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77BD" w14:textId="62F9D250" w:rsidR="00395B24" w:rsidRDefault="00FE3A1A" w:rsidP="00A22932">
      <w:pPr>
        <w:pStyle w:val="CourtTitle"/>
      </w:pPr>
      <w:r>
        <w:t xml:space="preserve">  </w:t>
      </w:r>
      <w:r w:rsidR="000F0016">
        <w:fldChar w:fldCharType="begin" w:fldLock="1"/>
      </w:r>
      <w:r w:rsidR="000F0016">
        <w:instrText xml:space="preserve"> DOCPROPERTY  Court  \* MERGEFORMAT </w:instrText>
      </w:r>
      <w:r w:rsidR="000F0016">
        <w:fldChar w:fldCharType="separate"/>
      </w:r>
      <w:r w:rsidR="00E64007">
        <w:t>Federal Court of Australia</w:t>
      </w:r>
      <w:r w:rsidR="000F0016">
        <w:fldChar w:fldCharType="end"/>
      </w:r>
    </w:p>
    <w:p w14:paraId="66C14E52" w14:textId="77777777" w:rsidR="00395B24" w:rsidRDefault="00395B24">
      <w:pPr>
        <w:pStyle w:val="NormalHeadings"/>
        <w:jc w:val="center"/>
        <w:rPr>
          <w:sz w:val="32"/>
        </w:rPr>
      </w:pPr>
    </w:p>
    <w:bookmarkStart w:id="0" w:name="MNC"/>
    <w:p w14:paraId="20E696A1" w14:textId="24F43F10" w:rsidR="00374CC4" w:rsidRDefault="000F0016" w:rsidP="001A2B40">
      <w:pPr>
        <w:pStyle w:val="MNC"/>
      </w:pPr>
      <w:sdt>
        <w:sdtPr>
          <w:alias w:val="MNC"/>
          <w:tag w:val="MNC"/>
          <w:id w:val="343289786"/>
          <w:lock w:val="sdtLocked"/>
          <w:placeholder>
            <w:docPart w:val="83E5C23E756141D6A4F2556B5C72247E"/>
          </w:placeholder>
          <w:dataBinding w:prefixMappings="xmlns:ns0='http://schemas.globalmacros.com/FCA'" w:xpath="/ns0:root[1]/ns0:Name[1]" w:storeItemID="{687E7CCB-4AA5-44E7-B148-17BA2B6F57C0}"/>
          <w:text w:multiLine="1"/>
        </w:sdtPr>
        <w:sdtEndPr/>
        <w:sdtContent>
          <w:r w:rsidR="00C23CC8" w:rsidRPr="00C23CC8">
            <w:t xml:space="preserve">La Mancha Group International B.V. v </w:t>
          </w:r>
          <w:r w:rsidR="00FB2E10">
            <w:t>Commissioner of Taxation [2020] </w:t>
          </w:r>
          <w:r w:rsidR="00C23CC8" w:rsidRPr="00C23CC8">
            <w:t xml:space="preserve">FCA 1799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51C3A237" w14:textId="77777777" w:rsidTr="009D2431">
        <w:tc>
          <w:tcPr>
            <w:tcW w:w="3083" w:type="dxa"/>
            <w:shd w:val="clear" w:color="auto" w:fill="auto"/>
          </w:tcPr>
          <w:p w14:paraId="492D551C" w14:textId="63835588" w:rsidR="00395B24" w:rsidRDefault="002C7385" w:rsidP="00164900">
            <w:pPr>
              <w:pStyle w:val="Normal1linespace"/>
              <w:widowControl w:val="0"/>
              <w:jc w:val="left"/>
            </w:pPr>
            <w:r>
              <w:t>File number:</w:t>
            </w:r>
          </w:p>
        </w:tc>
        <w:tc>
          <w:tcPr>
            <w:tcW w:w="5990" w:type="dxa"/>
            <w:shd w:val="clear" w:color="auto" w:fill="auto"/>
          </w:tcPr>
          <w:p w14:paraId="6B26FCF8" w14:textId="77777777" w:rsidR="00395B24" w:rsidRPr="00E64007" w:rsidRDefault="000F0016" w:rsidP="00E64007">
            <w:pPr>
              <w:pStyle w:val="Normal1linespace"/>
              <w:jc w:val="left"/>
            </w:pPr>
            <w:r>
              <w:fldChar w:fldCharType="begin" w:fldLock="1"/>
            </w:r>
            <w:r>
              <w:instrText xml:space="preserve"> REF  FileNo  \* MERGEFORMAT </w:instrText>
            </w:r>
            <w:r>
              <w:fldChar w:fldCharType="separate"/>
            </w:r>
            <w:r w:rsidR="00E64007" w:rsidRPr="00E64007">
              <w:t>NSD 1243 of 2020</w:t>
            </w:r>
            <w:r>
              <w:fldChar w:fldCharType="end"/>
            </w:r>
          </w:p>
        </w:tc>
      </w:tr>
      <w:tr w:rsidR="00395B24" w14:paraId="20719EA3" w14:textId="77777777" w:rsidTr="009D2431">
        <w:tc>
          <w:tcPr>
            <w:tcW w:w="3083" w:type="dxa"/>
            <w:shd w:val="clear" w:color="auto" w:fill="auto"/>
          </w:tcPr>
          <w:p w14:paraId="5932F604" w14:textId="77777777" w:rsidR="00395B24" w:rsidRDefault="00395B24" w:rsidP="00663878">
            <w:pPr>
              <w:pStyle w:val="Normal1linespace"/>
              <w:widowControl w:val="0"/>
              <w:jc w:val="left"/>
            </w:pPr>
          </w:p>
        </w:tc>
        <w:tc>
          <w:tcPr>
            <w:tcW w:w="5990" w:type="dxa"/>
            <w:shd w:val="clear" w:color="auto" w:fill="auto"/>
          </w:tcPr>
          <w:p w14:paraId="1314CFB9" w14:textId="77777777" w:rsidR="00395B24" w:rsidRDefault="00395B24" w:rsidP="00663878">
            <w:pPr>
              <w:pStyle w:val="Normal1linespace"/>
              <w:widowControl w:val="0"/>
              <w:jc w:val="left"/>
            </w:pPr>
          </w:p>
        </w:tc>
      </w:tr>
      <w:tr w:rsidR="00395B24" w14:paraId="6036AF2E" w14:textId="77777777" w:rsidTr="009D2431">
        <w:tc>
          <w:tcPr>
            <w:tcW w:w="3083" w:type="dxa"/>
            <w:shd w:val="clear" w:color="auto" w:fill="auto"/>
          </w:tcPr>
          <w:p w14:paraId="41DF900F"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38A655CF" w14:textId="77777777" w:rsidR="00395B24" w:rsidRDefault="002C7385" w:rsidP="00663878">
            <w:pPr>
              <w:pStyle w:val="Normal1linespace"/>
              <w:widowControl w:val="0"/>
              <w:jc w:val="left"/>
              <w:rPr>
                <w:b/>
              </w:rPr>
            </w:pPr>
            <w:r w:rsidRPr="00E64007">
              <w:rPr>
                <w:b/>
              </w:rPr>
              <w:fldChar w:fldCharType="begin" w:fldLock="1"/>
            </w:r>
            <w:r w:rsidRPr="00E64007">
              <w:rPr>
                <w:b/>
              </w:rPr>
              <w:instrText xml:space="preserve"> REF  Judge  \* MERGEFORMAT </w:instrText>
            </w:r>
            <w:r w:rsidRPr="00E64007">
              <w:rPr>
                <w:b/>
              </w:rPr>
              <w:fldChar w:fldCharType="separate"/>
            </w:r>
            <w:r w:rsidR="00E64007" w:rsidRPr="00E64007">
              <w:rPr>
                <w:b/>
                <w:caps/>
                <w:szCs w:val="24"/>
              </w:rPr>
              <w:t>DAVIES J</w:t>
            </w:r>
            <w:r w:rsidRPr="00E64007">
              <w:rPr>
                <w:b/>
              </w:rPr>
              <w:fldChar w:fldCharType="end"/>
            </w:r>
          </w:p>
        </w:tc>
      </w:tr>
      <w:tr w:rsidR="00395B24" w14:paraId="57724E2C" w14:textId="77777777" w:rsidTr="009D2431">
        <w:tc>
          <w:tcPr>
            <w:tcW w:w="3083" w:type="dxa"/>
            <w:shd w:val="clear" w:color="auto" w:fill="auto"/>
          </w:tcPr>
          <w:p w14:paraId="2CEB4E68" w14:textId="77777777" w:rsidR="00395B24" w:rsidRDefault="00395B24" w:rsidP="00663878">
            <w:pPr>
              <w:pStyle w:val="Normal1linespace"/>
              <w:widowControl w:val="0"/>
              <w:jc w:val="left"/>
            </w:pPr>
          </w:p>
        </w:tc>
        <w:tc>
          <w:tcPr>
            <w:tcW w:w="5990" w:type="dxa"/>
            <w:shd w:val="clear" w:color="auto" w:fill="auto"/>
          </w:tcPr>
          <w:p w14:paraId="5A2BA553" w14:textId="77777777" w:rsidR="00395B24" w:rsidRDefault="00395B24" w:rsidP="00663878">
            <w:pPr>
              <w:pStyle w:val="Normal1linespace"/>
              <w:widowControl w:val="0"/>
              <w:jc w:val="left"/>
            </w:pPr>
          </w:p>
        </w:tc>
      </w:tr>
      <w:tr w:rsidR="00395B24" w14:paraId="1D290679" w14:textId="77777777" w:rsidTr="009D2431">
        <w:tc>
          <w:tcPr>
            <w:tcW w:w="3083" w:type="dxa"/>
            <w:shd w:val="clear" w:color="auto" w:fill="auto"/>
          </w:tcPr>
          <w:p w14:paraId="572DD2D6" w14:textId="77777777" w:rsidR="00395B24" w:rsidRDefault="002C7385" w:rsidP="00663878">
            <w:pPr>
              <w:pStyle w:val="Normal1linespace"/>
              <w:widowControl w:val="0"/>
              <w:jc w:val="left"/>
            </w:pPr>
            <w:r>
              <w:t>Date of judgment:</w:t>
            </w:r>
          </w:p>
        </w:tc>
        <w:tc>
          <w:tcPr>
            <w:tcW w:w="5990" w:type="dxa"/>
            <w:shd w:val="clear" w:color="auto" w:fill="auto"/>
          </w:tcPr>
          <w:p w14:paraId="13FE4851" w14:textId="35AFC34C" w:rsidR="00395B24" w:rsidRDefault="00164900" w:rsidP="00164900">
            <w:pPr>
              <w:pStyle w:val="Normal1linespace"/>
              <w:widowControl w:val="0"/>
              <w:jc w:val="left"/>
            </w:pPr>
            <w:bookmarkStart w:id="1" w:name="JudgmentDate"/>
            <w:r>
              <w:t>16 December 2020</w:t>
            </w:r>
            <w:bookmarkEnd w:id="1"/>
          </w:p>
        </w:tc>
      </w:tr>
      <w:tr w:rsidR="00395B24" w14:paraId="289F5298" w14:textId="77777777" w:rsidTr="009D2431">
        <w:tc>
          <w:tcPr>
            <w:tcW w:w="3083" w:type="dxa"/>
            <w:shd w:val="clear" w:color="auto" w:fill="auto"/>
          </w:tcPr>
          <w:p w14:paraId="49EA0887" w14:textId="77777777" w:rsidR="00395B24" w:rsidRDefault="00395B24" w:rsidP="00663878">
            <w:pPr>
              <w:pStyle w:val="Normal1linespace"/>
              <w:widowControl w:val="0"/>
              <w:jc w:val="left"/>
            </w:pPr>
          </w:p>
        </w:tc>
        <w:tc>
          <w:tcPr>
            <w:tcW w:w="5990" w:type="dxa"/>
            <w:shd w:val="clear" w:color="auto" w:fill="auto"/>
          </w:tcPr>
          <w:p w14:paraId="32560234" w14:textId="77777777" w:rsidR="00395B24" w:rsidRDefault="00395B24" w:rsidP="00663878">
            <w:pPr>
              <w:pStyle w:val="Normal1linespace"/>
              <w:widowControl w:val="0"/>
              <w:jc w:val="left"/>
            </w:pPr>
          </w:p>
        </w:tc>
      </w:tr>
      <w:tr w:rsidR="00395B24" w14:paraId="65226C68" w14:textId="77777777" w:rsidTr="009D2431">
        <w:tc>
          <w:tcPr>
            <w:tcW w:w="3083" w:type="dxa"/>
            <w:shd w:val="clear" w:color="auto" w:fill="auto"/>
          </w:tcPr>
          <w:p w14:paraId="0330528F" w14:textId="77777777" w:rsidR="00395B24" w:rsidRPr="00C1146B" w:rsidRDefault="002C7385" w:rsidP="00663878">
            <w:pPr>
              <w:pStyle w:val="Normal1linespace"/>
              <w:widowControl w:val="0"/>
              <w:jc w:val="left"/>
            </w:pPr>
            <w:r w:rsidRPr="00C1146B">
              <w:t>Catchwords:</w:t>
            </w:r>
          </w:p>
        </w:tc>
        <w:tc>
          <w:tcPr>
            <w:tcW w:w="5990" w:type="dxa"/>
            <w:shd w:val="clear" w:color="auto" w:fill="auto"/>
          </w:tcPr>
          <w:p w14:paraId="6FDBFA68" w14:textId="3E72185A" w:rsidR="00395B24" w:rsidRPr="00C1146B" w:rsidRDefault="00164900" w:rsidP="00C1146B">
            <w:pPr>
              <w:pStyle w:val="Normal1linespace"/>
              <w:widowControl w:val="0"/>
              <w:jc w:val="left"/>
            </w:pPr>
            <w:bookmarkStart w:id="2" w:name="Catchwords"/>
            <w:r w:rsidRPr="00C1146B">
              <w:rPr>
                <w:b/>
              </w:rPr>
              <w:t>TAXATION</w:t>
            </w:r>
            <w:r w:rsidRPr="00C1146B">
              <w:t xml:space="preserve"> – </w:t>
            </w:r>
            <w:r w:rsidR="002F28EC" w:rsidRPr="00C1146B">
              <w:t xml:space="preserve">choice of laws – </w:t>
            </w:r>
            <w:r w:rsidR="00C1146B" w:rsidRPr="00C1146B">
              <w:t>cross</w:t>
            </w:r>
            <w:r w:rsidR="00C1146B">
              <w:t>-</w:t>
            </w:r>
            <w:r w:rsidR="00C1146B" w:rsidRPr="00C1146B">
              <w:t xml:space="preserve">border </w:t>
            </w:r>
            <w:r w:rsidR="00C1146B">
              <w:t>merger of two</w:t>
            </w:r>
            <w:r w:rsidR="0055024F" w:rsidRPr="00C1146B">
              <w:t xml:space="preserve"> </w:t>
            </w:r>
            <w:r w:rsidRPr="00C1146B">
              <w:t xml:space="preserve">foreign companies – application for </w:t>
            </w:r>
            <w:r w:rsidR="00457D1D" w:rsidRPr="00C1146B">
              <w:t>declaration</w:t>
            </w:r>
            <w:r w:rsidRPr="00C1146B">
              <w:t xml:space="preserve"> as to surviving company’s rights and liabilities with respect to disappearing company’s Australian taxation</w:t>
            </w:r>
            <w:r w:rsidR="00715751" w:rsidRPr="00C1146B">
              <w:t xml:space="preserve"> </w:t>
            </w:r>
            <w:r w:rsidRPr="00C1146B">
              <w:t>liabilities –</w:t>
            </w:r>
            <w:r w:rsidR="002F28EC" w:rsidRPr="00C1146B">
              <w:t>foreign law applies to determine surviving company’s status – principle of universal succession applied – Commissioner</w:t>
            </w:r>
            <w:r w:rsidR="00FB2E10">
              <w:t xml:space="preserve"> of Taxation</w:t>
            </w:r>
            <w:r w:rsidR="002F28EC" w:rsidRPr="00C1146B">
              <w:t xml:space="preserve"> proper contradictor despite consent to declaration</w:t>
            </w:r>
            <w:r w:rsidR="00457D1D" w:rsidRPr="00C1146B">
              <w:t xml:space="preserve"> – declaration</w:t>
            </w:r>
            <w:r w:rsidR="002F28EC" w:rsidRPr="00C1146B">
              <w:t xml:space="preserve"> made </w:t>
            </w:r>
            <w:r w:rsidR="002C7385" w:rsidRPr="00C1146B">
              <w:t xml:space="preserve"> </w:t>
            </w:r>
            <w:bookmarkEnd w:id="2"/>
          </w:p>
        </w:tc>
      </w:tr>
      <w:tr w:rsidR="00395B24" w14:paraId="251805D0" w14:textId="77777777" w:rsidTr="009D2431">
        <w:tc>
          <w:tcPr>
            <w:tcW w:w="3083" w:type="dxa"/>
            <w:shd w:val="clear" w:color="auto" w:fill="auto"/>
          </w:tcPr>
          <w:p w14:paraId="74A5AFAA" w14:textId="77777777" w:rsidR="00395B24" w:rsidRDefault="00395B24" w:rsidP="00663878">
            <w:pPr>
              <w:pStyle w:val="Normal1linespace"/>
              <w:widowControl w:val="0"/>
              <w:jc w:val="left"/>
            </w:pPr>
          </w:p>
        </w:tc>
        <w:tc>
          <w:tcPr>
            <w:tcW w:w="5990" w:type="dxa"/>
            <w:shd w:val="clear" w:color="auto" w:fill="auto"/>
          </w:tcPr>
          <w:p w14:paraId="1350FD74" w14:textId="77777777" w:rsidR="00395B24" w:rsidRDefault="00395B24" w:rsidP="00663878">
            <w:pPr>
              <w:pStyle w:val="Normal1linespace"/>
              <w:widowControl w:val="0"/>
              <w:jc w:val="left"/>
            </w:pPr>
          </w:p>
        </w:tc>
      </w:tr>
      <w:tr w:rsidR="00395B24" w14:paraId="4F68B827" w14:textId="77777777" w:rsidTr="009D2431">
        <w:tc>
          <w:tcPr>
            <w:tcW w:w="3083" w:type="dxa"/>
            <w:shd w:val="clear" w:color="auto" w:fill="auto"/>
          </w:tcPr>
          <w:p w14:paraId="25A3B8A8" w14:textId="77777777" w:rsidR="00395B24" w:rsidRDefault="002C7385" w:rsidP="00663878">
            <w:pPr>
              <w:pStyle w:val="Normal1linespace"/>
              <w:widowControl w:val="0"/>
              <w:jc w:val="left"/>
            </w:pPr>
            <w:r>
              <w:t>Legislation:</w:t>
            </w:r>
          </w:p>
        </w:tc>
        <w:tc>
          <w:tcPr>
            <w:tcW w:w="5990" w:type="dxa"/>
            <w:shd w:val="clear" w:color="auto" w:fill="auto"/>
          </w:tcPr>
          <w:p w14:paraId="11BB97A1" w14:textId="77777777" w:rsidR="00FF33AC" w:rsidRPr="00FF33AC" w:rsidRDefault="00FF33AC" w:rsidP="00FF33AC">
            <w:pPr>
              <w:pStyle w:val="CasesLegislationAppealFrom"/>
              <w:spacing w:after="60"/>
            </w:pPr>
            <w:bookmarkStart w:id="3" w:name="Legislation"/>
            <w:r w:rsidRPr="00FF33AC">
              <w:rPr>
                <w:i/>
              </w:rPr>
              <w:t>Family Law Act 1975</w:t>
            </w:r>
            <w:r w:rsidRPr="00FF33AC">
              <w:t xml:space="preserve"> (</w:t>
            </w:r>
            <w:proofErr w:type="spellStart"/>
            <w:r w:rsidRPr="00FF33AC">
              <w:t>Cth</w:t>
            </w:r>
            <w:proofErr w:type="spellEnd"/>
            <w:r w:rsidRPr="00FF33AC">
              <w:t>)</w:t>
            </w:r>
          </w:p>
          <w:p w14:paraId="64B4B7E1" w14:textId="7EA6982B" w:rsidR="00FF33AC" w:rsidRPr="00FF33AC" w:rsidRDefault="00FF33AC" w:rsidP="00FF33AC">
            <w:pPr>
              <w:pStyle w:val="CasesLegislationAppealFrom"/>
              <w:spacing w:after="60"/>
            </w:pPr>
            <w:r w:rsidRPr="00FF33AC">
              <w:rPr>
                <w:i/>
              </w:rPr>
              <w:t xml:space="preserve">Foreign Corporations (Application of Laws) Act 1989 </w:t>
            </w:r>
            <w:r w:rsidRPr="00FF33AC">
              <w:t>(</w:t>
            </w:r>
            <w:proofErr w:type="spellStart"/>
            <w:r w:rsidRPr="00FF33AC">
              <w:t>Cth</w:t>
            </w:r>
            <w:proofErr w:type="spellEnd"/>
            <w:r w:rsidRPr="00FF33AC">
              <w:t>)</w:t>
            </w:r>
            <w:r>
              <w:t xml:space="preserve"> s </w:t>
            </w:r>
            <w:r w:rsidRPr="00DC08F4">
              <w:t>7(3)(a)</w:t>
            </w:r>
          </w:p>
          <w:p w14:paraId="03FF1C04" w14:textId="2ABB35E1" w:rsidR="00FF33AC" w:rsidRPr="00FF33AC" w:rsidRDefault="00FF33AC" w:rsidP="00FF33AC">
            <w:pPr>
              <w:pStyle w:val="CasesLegislationAppealFrom"/>
              <w:spacing w:after="60"/>
            </w:pPr>
            <w:r w:rsidRPr="00FF33AC">
              <w:rPr>
                <w:i/>
              </w:rPr>
              <w:t xml:space="preserve">Income Tax Assessment Act 1936 </w:t>
            </w:r>
            <w:r w:rsidRPr="00FF33AC">
              <w:t>(</w:t>
            </w:r>
            <w:proofErr w:type="spellStart"/>
            <w:r w:rsidRPr="00FF33AC">
              <w:t>Cth</w:t>
            </w:r>
            <w:proofErr w:type="spellEnd"/>
            <w:r w:rsidRPr="00FF33AC">
              <w:t>)</w:t>
            </w:r>
            <w:r>
              <w:t xml:space="preserve"> s </w:t>
            </w:r>
            <w:r w:rsidRPr="00D9295E">
              <w:t>175A</w:t>
            </w:r>
          </w:p>
          <w:p w14:paraId="6CE280CB" w14:textId="54D0D740" w:rsidR="00FF33AC" w:rsidRPr="00FF33AC" w:rsidRDefault="00FF33AC" w:rsidP="00FF33AC">
            <w:pPr>
              <w:pStyle w:val="CasesLegislationAppealFrom"/>
              <w:spacing w:after="60"/>
            </w:pPr>
            <w:r w:rsidRPr="00FF33AC">
              <w:rPr>
                <w:i/>
              </w:rPr>
              <w:t xml:space="preserve">Judiciary Act 1903 </w:t>
            </w:r>
            <w:r w:rsidRPr="00FF33AC">
              <w:t>(</w:t>
            </w:r>
            <w:proofErr w:type="spellStart"/>
            <w:r w:rsidRPr="00FF33AC">
              <w:t>Cth</w:t>
            </w:r>
            <w:proofErr w:type="spellEnd"/>
            <w:r w:rsidRPr="00FF33AC">
              <w:t>)</w:t>
            </w:r>
            <w:r>
              <w:t xml:space="preserve"> s </w:t>
            </w:r>
            <w:r w:rsidRPr="007A3DA7">
              <w:t>39B</w:t>
            </w:r>
          </w:p>
          <w:p w14:paraId="4873E68E" w14:textId="683A3BEA" w:rsidR="00FF33AC" w:rsidRPr="00FF33AC" w:rsidRDefault="00FF33AC" w:rsidP="00FF33AC">
            <w:pPr>
              <w:pStyle w:val="CasesLegislationAppealFrom"/>
              <w:spacing w:after="60"/>
            </w:pPr>
            <w:r w:rsidRPr="00FF33AC">
              <w:rPr>
                <w:i/>
              </w:rPr>
              <w:t xml:space="preserve">Taxation Administration Act 1953 </w:t>
            </w:r>
            <w:r w:rsidRPr="00FF33AC">
              <w:t>(</w:t>
            </w:r>
            <w:proofErr w:type="spellStart"/>
            <w:r w:rsidRPr="00FF33AC">
              <w:t>Cth</w:t>
            </w:r>
            <w:proofErr w:type="spellEnd"/>
            <w:r w:rsidRPr="00FF33AC">
              <w:t>)</w:t>
            </w:r>
            <w:r>
              <w:t xml:space="preserve"> </w:t>
            </w:r>
            <w:proofErr w:type="spellStart"/>
            <w:r w:rsidRPr="007A3DA7">
              <w:t>pt</w:t>
            </w:r>
            <w:proofErr w:type="spellEnd"/>
            <w:r w:rsidRPr="007A3DA7">
              <w:t xml:space="preserve"> IVC</w:t>
            </w:r>
            <w:r>
              <w:t xml:space="preserve">, s </w:t>
            </w:r>
            <w:r w:rsidRPr="00AD6C59">
              <w:t>14ZZ</w:t>
            </w:r>
          </w:p>
          <w:p w14:paraId="1C19BCDF" w14:textId="77777777" w:rsidR="00FF33AC" w:rsidRDefault="00FF33AC" w:rsidP="00FF33AC">
            <w:pPr>
              <w:pStyle w:val="CasesLegislationAppealFrom"/>
              <w:spacing w:after="60"/>
            </w:pPr>
          </w:p>
          <w:p w14:paraId="02862885" w14:textId="5B210290" w:rsidR="00FF33AC" w:rsidRPr="00FF33AC" w:rsidRDefault="00FF33AC" w:rsidP="00FF33AC">
            <w:pPr>
              <w:pStyle w:val="CasesLegislationAppealFrom"/>
              <w:spacing w:after="60"/>
            </w:pPr>
            <w:r w:rsidRPr="00FF33AC">
              <w:t>Directive (EU) 2017/1132 of the European Council and European Parliament of 14 June 2017 relating to certain aspects of company law</w:t>
            </w:r>
            <w:r>
              <w:t>, art 131(1)</w:t>
            </w:r>
          </w:p>
          <w:p w14:paraId="2A53D0B0" w14:textId="4D82BB2B" w:rsidR="00FF33AC" w:rsidRDefault="00FF33AC" w:rsidP="00FF33AC">
            <w:pPr>
              <w:pStyle w:val="CasesLegislationAppealFrom"/>
              <w:spacing w:after="60"/>
            </w:pPr>
            <w:r w:rsidRPr="00FF33AC">
              <w:t>Dutch Civil Code</w:t>
            </w:r>
            <w:r>
              <w:t xml:space="preserve"> (Netherlands)</w:t>
            </w:r>
            <w:r w:rsidR="00FB4ADD">
              <w:t xml:space="preserve"> arts </w:t>
            </w:r>
            <w:r w:rsidR="00FB4ADD" w:rsidRPr="007A3DA7">
              <w:t>2:309 to 2:333b</w:t>
            </w:r>
            <w:r w:rsidR="00FB4ADD">
              <w:t xml:space="preserve">, </w:t>
            </w:r>
            <w:r w:rsidR="00FB4ADD" w:rsidRPr="00AD6C59">
              <w:t>3:116</w:t>
            </w:r>
          </w:p>
          <w:p w14:paraId="14EFD26F" w14:textId="6BC87802" w:rsidR="00FF33AC" w:rsidRPr="00FF33AC" w:rsidRDefault="00FF33AC" w:rsidP="00FB4ADD">
            <w:pPr>
              <w:pStyle w:val="CasesLegislationAppealFrom"/>
              <w:spacing w:after="60"/>
            </w:pPr>
            <w:r>
              <w:t>T</w:t>
            </w:r>
            <w:r w:rsidRPr="00FF33AC">
              <w:t>he law dated 10 August 1915 on commercial companie</w:t>
            </w:r>
            <w:r w:rsidR="00FB4ADD">
              <w:t>s</w:t>
            </w:r>
            <w:r>
              <w:t xml:space="preserve"> (Luxembourg</w:t>
            </w:r>
            <w:r w:rsidR="00FB4ADD">
              <w:t>) art</w:t>
            </w:r>
            <w:r w:rsidR="00FB4ADD" w:rsidRPr="000842B7">
              <w:t xml:space="preserve"> 1021</w:t>
            </w:r>
            <w:r w:rsidR="00FB4ADD" w:rsidRPr="00724957">
              <w:t>-17</w:t>
            </w:r>
            <w:bookmarkEnd w:id="3"/>
          </w:p>
        </w:tc>
      </w:tr>
      <w:tr w:rsidR="00395B24" w14:paraId="21E954A8" w14:textId="77777777" w:rsidTr="009D2431">
        <w:tc>
          <w:tcPr>
            <w:tcW w:w="3083" w:type="dxa"/>
            <w:shd w:val="clear" w:color="auto" w:fill="auto"/>
          </w:tcPr>
          <w:p w14:paraId="7F6D831C" w14:textId="77777777" w:rsidR="00395B24" w:rsidRDefault="00395B24" w:rsidP="00663878">
            <w:pPr>
              <w:pStyle w:val="Normal1linespace"/>
              <w:widowControl w:val="0"/>
              <w:jc w:val="left"/>
            </w:pPr>
          </w:p>
        </w:tc>
        <w:tc>
          <w:tcPr>
            <w:tcW w:w="5990" w:type="dxa"/>
            <w:shd w:val="clear" w:color="auto" w:fill="auto"/>
          </w:tcPr>
          <w:p w14:paraId="274BCC4C" w14:textId="77777777" w:rsidR="00395B24" w:rsidRDefault="00395B24" w:rsidP="00663878">
            <w:pPr>
              <w:pStyle w:val="Normal1linespace"/>
              <w:widowControl w:val="0"/>
              <w:jc w:val="left"/>
            </w:pPr>
          </w:p>
        </w:tc>
      </w:tr>
      <w:tr w:rsidR="00395B24" w14:paraId="1852C5DF" w14:textId="77777777" w:rsidTr="009D2431">
        <w:tc>
          <w:tcPr>
            <w:tcW w:w="3083" w:type="dxa"/>
            <w:shd w:val="clear" w:color="auto" w:fill="auto"/>
          </w:tcPr>
          <w:p w14:paraId="0F616ABB" w14:textId="77777777" w:rsidR="00395B24" w:rsidRDefault="002C7385" w:rsidP="00663878">
            <w:pPr>
              <w:pStyle w:val="Normal1linespace"/>
              <w:widowControl w:val="0"/>
              <w:jc w:val="left"/>
            </w:pPr>
            <w:r>
              <w:t>Cases cited:</w:t>
            </w:r>
          </w:p>
        </w:tc>
        <w:tc>
          <w:tcPr>
            <w:tcW w:w="5990" w:type="dxa"/>
            <w:shd w:val="clear" w:color="auto" w:fill="auto"/>
          </w:tcPr>
          <w:p w14:paraId="3020ABC1" w14:textId="77777777" w:rsidR="00FF33AC" w:rsidRPr="00FF33AC" w:rsidRDefault="00FF33AC" w:rsidP="00FF33AC">
            <w:pPr>
              <w:pStyle w:val="CasesLegislationAppealFrom"/>
              <w:spacing w:after="60"/>
            </w:pPr>
            <w:bookmarkStart w:id="4" w:name="Cases_Cited"/>
            <w:r w:rsidRPr="00FF33AC">
              <w:rPr>
                <w:i/>
              </w:rPr>
              <w:t xml:space="preserve">Australian Competition and Consumer Commission v MSY Technology Pty Ltd </w:t>
            </w:r>
            <w:r w:rsidRPr="00FF33AC">
              <w:t>[2012] FCAFC 56; 201 FCR 378</w:t>
            </w:r>
          </w:p>
          <w:p w14:paraId="7069D42A" w14:textId="77777777" w:rsidR="00FF33AC" w:rsidRPr="00FF33AC" w:rsidRDefault="00FF33AC" w:rsidP="00FF33AC">
            <w:pPr>
              <w:pStyle w:val="CasesLegislationAppealFrom"/>
              <w:spacing w:after="60"/>
            </w:pPr>
            <w:r w:rsidRPr="00FF33AC">
              <w:rPr>
                <w:i/>
              </w:rPr>
              <w:t xml:space="preserve">Clarence City Council v Commonwealth of Australia </w:t>
            </w:r>
            <w:r w:rsidRPr="00FF33AC">
              <w:t>[2020] FCAFC 134; 382 ALR 273</w:t>
            </w:r>
          </w:p>
          <w:p w14:paraId="26FD5349" w14:textId="77777777" w:rsidR="00FF33AC" w:rsidRPr="00FF33AC" w:rsidRDefault="00FF33AC" w:rsidP="00FF33AC">
            <w:pPr>
              <w:pStyle w:val="CasesLegislationAppealFrom"/>
              <w:spacing w:after="60"/>
            </w:pPr>
            <w:r w:rsidRPr="00FF33AC">
              <w:rPr>
                <w:i/>
              </w:rPr>
              <w:t xml:space="preserve">Commissioner of Taxation for the Commonwealth of Australia v </w:t>
            </w:r>
            <w:proofErr w:type="spellStart"/>
            <w:r w:rsidRPr="00FF33AC">
              <w:rPr>
                <w:i/>
              </w:rPr>
              <w:t>Tomaras</w:t>
            </w:r>
            <w:proofErr w:type="spellEnd"/>
            <w:r w:rsidRPr="00FF33AC">
              <w:rPr>
                <w:i/>
              </w:rPr>
              <w:t xml:space="preserve"> </w:t>
            </w:r>
            <w:r w:rsidRPr="00FF33AC">
              <w:t>[2018] HCA 62; 265 CLR 434</w:t>
            </w:r>
          </w:p>
          <w:p w14:paraId="5F70CD17" w14:textId="6A9156C9" w:rsidR="00FF33AC" w:rsidRPr="00FF33AC" w:rsidRDefault="00FF33AC" w:rsidP="00FF33AC">
            <w:pPr>
              <w:pStyle w:val="CasesLegislationAppealFrom"/>
              <w:spacing w:after="60"/>
            </w:pPr>
            <w:r w:rsidRPr="00FF33AC">
              <w:rPr>
                <w:i/>
              </w:rPr>
              <w:t xml:space="preserve">Federal Commissioner of Taxation v Thomas </w:t>
            </w:r>
            <w:r w:rsidRPr="00FF33AC">
              <w:t>[2018</w:t>
            </w:r>
            <w:r>
              <w:t>] HCA </w:t>
            </w:r>
            <w:r w:rsidRPr="00FF33AC">
              <w:t>31; 264 CLR 382</w:t>
            </w:r>
          </w:p>
          <w:p w14:paraId="0578E6B1" w14:textId="77777777" w:rsidR="00FF33AC" w:rsidRPr="00FF33AC" w:rsidRDefault="00FF33AC" w:rsidP="00FF33AC">
            <w:pPr>
              <w:pStyle w:val="CasesLegislationAppealFrom"/>
              <w:spacing w:after="60"/>
            </w:pPr>
            <w:r w:rsidRPr="00FF33AC">
              <w:rPr>
                <w:i/>
              </w:rPr>
              <w:t xml:space="preserve">John Alexander’s Clubs Pty Ltd v White City Tennis Club Ltd </w:t>
            </w:r>
            <w:r w:rsidRPr="00FF33AC">
              <w:t>[2010] HCA 19; 241 CLR 1</w:t>
            </w:r>
          </w:p>
          <w:p w14:paraId="0A36C708" w14:textId="77777777" w:rsidR="00FF33AC" w:rsidRPr="00FF33AC" w:rsidRDefault="00FF33AC" w:rsidP="00FF33AC">
            <w:pPr>
              <w:pStyle w:val="CasesLegislationAppealFrom"/>
              <w:spacing w:after="60"/>
            </w:pPr>
            <w:r w:rsidRPr="00FF33AC">
              <w:rPr>
                <w:i/>
              </w:rPr>
              <w:lastRenderedPageBreak/>
              <w:t xml:space="preserve">Laing O’Rourke Australia Construction Pty Ltd v Samsung C&amp;T Corporation </w:t>
            </w:r>
            <w:r w:rsidRPr="00FF33AC">
              <w:t>[2016] WASC 49</w:t>
            </w:r>
          </w:p>
          <w:p w14:paraId="727E3041" w14:textId="005470B6" w:rsidR="00FF33AC" w:rsidRPr="00FF33AC" w:rsidRDefault="00FF33AC" w:rsidP="00FF33AC">
            <w:pPr>
              <w:pStyle w:val="CasesLegislationAppealFrom"/>
              <w:spacing w:after="60"/>
            </w:pPr>
            <w:r w:rsidRPr="00FF33AC">
              <w:rPr>
                <w:i/>
              </w:rPr>
              <w:t xml:space="preserve">McCallum v Commissioner of Taxation </w:t>
            </w:r>
            <w:r w:rsidRPr="00FF33AC">
              <w:t>(1997) 75 FCR 458</w:t>
            </w:r>
          </w:p>
          <w:p w14:paraId="6E0E3036" w14:textId="77777777" w:rsidR="00FF33AC" w:rsidRPr="00FF33AC" w:rsidRDefault="00FF33AC" w:rsidP="00FF33AC">
            <w:pPr>
              <w:pStyle w:val="CasesLegislationAppealFrom"/>
              <w:spacing w:after="60"/>
            </w:pPr>
            <w:r w:rsidRPr="00FF33AC">
              <w:rPr>
                <w:i/>
              </w:rPr>
              <w:t xml:space="preserve">National Bank of Greece and Athens SA v </w:t>
            </w:r>
            <w:proofErr w:type="spellStart"/>
            <w:r w:rsidRPr="00FF33AC">
              <w:rPr>
                <w:i/>
              </w:rPr>
              <w:t>Metliss</w:t>
            </w:r>
            <w:proofErr w:type="spellEnd"/>
            <w:r w:rsidRPr="00FF33AC">
              <w:t xml:space="preserve"> [1958] AC 509</w:t>
            </w:r>
          </w:p>
          <w:p w14:paraId="315C7889" w14:textId="116EA9BD" w:rsidR="00FF33AC" w:rsidRPr="00FF33AC" w:rsidRDefault="00FF33AC" w:rsidP="00FF33AC">
            <w:pPr>
              <w:pStyle w:val="CasesLegislationAppealFrom"/>
              <w:spacing w:after="60"/>
            </w:pPr>
            <w:r w:rsidRPr="00FF33AC">
              <w:rPr>
                <w:i/>
              </w:rPr>
              <w:t xml:space="preserve">Oil Basins Ltd v Commonwealth </w:t>
            </w:r>
            <w:r w:rsidRPr="00FF33AC">
              <w:t>[1993] HCA 60;</w:t>
            </w:r>
            <w:r>
              <w:t xml:space="preserve"> 178 CLR </w:t>
            </w:r>
            <w:r w:rsidRPr="00FF33AC">
              <w:t>643</w:t>
            </w:r>
          </w:p>
          <w:p w14:paraId="2748362B" w14:textId="4388EF6B" w:rsidR="00FF33AC" w:rsidRPr="00FF33AC" w:rsidRDefault="00FF33AC" w:rsidP="00FF33AC">
            <w:pPr>
              <w:pStyle w:val="CasesLegislationAppealFrom"/>
              <w:spacing w:after="60"/>
            </w:pPr>
            <w:proofErr w:type="spellStart"/>
            <w:r w:rsidRPr="00FF33AC">
              <w:rPr>
                <w:i/>
              </w:rPr>
              <w:t>Sipad</w:t>
            </w:r>
            <w:proofErr w:type="spellEnd"/>
            <w:r w:rsidRPr="00FF33AC">
              <w:rPr>
                <w:i/>
              </w:rPr>
              <w:t xml:space="preserve"> Holding </w:t>
            </w:r>
            <w:proofErr w:type="spellStart"/>
            <w:r w:rsidRPr="00FF33AC">
              <w:rPr>
                <w:i/>
              </w:rPr>
              <w:t>ddpo</w:t>
            </w:r>
            <w:proofErr w:type="spellEnd"/>
            <w:r w:rsidRPr="00FF33AC">
              <w:rPr>
                <w:i/>
              </w:rPr>
              <w:t xml:space="preserve"> v </w:t>
            </w:r>
            <w:proofErr w:type="spellStart"/>
            <w:r w:rsidRPr="00FF33AC">
              <w:rPr>
                <w:i/>
              </w:rPr>
              <w:t>Popovic</w:t>
            </w:r>
            <w:proofErr w:type="spellEnd"/>
            <w:r w:rsidRPr="00FF33AC">
              <w:rPr>
                <w:i/>
              </w:rPr>
              <w:t xml:space="preserve"> </w:t>
            </w:r>
            <w:r w:rsidRPr="00FF33AC">
              <w:t>(1995) 61 FCR 205</w:t>
            </w:r>
            <w:bookmarkEnd w:id="4"/>
          </w:p>
        </w:tc>
      </w:tr>
      <w:tr w:rsidR="00E64007" w14:paraId="6BD92A97" w14:textId="77777777" w:rsidTr="009D2431">
        <w:tc>
          <w:tcPr>
            <w:tcW w:w="3083" w:type="dxa"/>
            <w:shd w:val="clear" w:color="auto" w:fill="auto"/>
          </w:tcPr>
          <w:p w14:paraId="3A7DC2F8" w14:textId="77777777" w:rsidR="00E64007" w:rsidRDefault="00E64007" w:rsidP="001701A8">
            <w:pPr>
              <w:pStyle w:val="Normal1linespace"/>
              <w:widowControl w:val="0"/>
            </w:pPr>
          </w:p>
        </w:tc>
        <w:tc>
          <w:tcPr>
            <w:tcW w:w="5990" w:type="dxa"/>
            <w:shd w:val="clear" w:color="auto" w:fill="auto"/>
          </w:tcPr>
          <w:p w14:paraId="05AD7E76" w14:textId="77777777" w:rsidR="00E64007" w:rsidRDefault="00E64007" w:rsidP="001701A8">
            <w:pPr>
              <w:pStyle w:val="Normal1linespace"/>
              <w:widowControl w:val="0"/>
              <w:jc w:val="left"/>
            </w:pPr>
          </w:p>
        </w:tc>
      </w:tr>
      <w:tr w:rsidR="00E64007" w14:paraId="5C692B67" w14:textId="77777777" w:rsidTr="009D2431">
        <w:tc>
          <w:tcPr>
            <w:tcW w:w="3083" w:type="dxa"/>
            <w:shd w:val="clear" w:color="auto" w:fill="auto"/>
          </w:tcPr>
          <w:p w14:paraId="0543C5C4" w14:textId="77777777" w:rsidR="00E64007" w:rsidRDefault="00E64007" w:rsidP="00501A12">
            <w:pPr>
              <w:pStyle w:val="Normal1linespace"/>
              <w:widowControl w:val="0"/>
            </w:pPr>
            <w:r>
              <w:t>Division:</w:t>
            </w:r>
          </w:p>
        </w:tc>
        <w:tc>
          <w:tcPr>
            <w:tcW w:w="5990" w:type="dxa"/>
            <w:shd w:val="clear" w:color="auto" w:fill="auto"/>
          </w:tcPr>
          <w:p w14:paraId="14069AB1" w14:textId="77777777" w:rsidR="00E64007" w:rsidRPr="00F17599" w:rsidRDefault="00FF5FAE" w:rsidP="00501A12">
            <w:pPr>
              <w:pStyle w:val="Normal1linespace"/>
              <w:widowControl w:val="0"/>
              <w:jc w:val="left"/>
            </w:pPr>
            <w:fldSimple w:instr=" DOCPROPERTY  Division " w:fldLock="1">
              <w:r w:rsidR="00E64007">
                <w:t>General Division</w:t>
              </w:r>
            </w:fldSimple>
          </w:p>
        </w:tc>
      </w:tr>
      <w:tr w:rsidR="00E64007" w14:paraId="26F5FD7A" w14:textId="77777777" w:rsidTr="009D2431">
        <w:tc>
          <w:tcPr>
            <w:tcW w:w="3083" w:type="dxa"/>
            <w:shd w:val="clear" w:color="auto" w:fill="auto"/>
          </w:tcPr>
          <w:p w14:paraId="49B2E39C" w14:textId="77777777" w:rsidR="00E64007" w:rsidRDefault="00E64007" w:rsidP="00501A12">
            <w:pPr>
              <w:pStyle w:val="Normal1linespace"/>
              <w:widowControl w:val="0"/>
            </w:pPr>
            <w:bookmarkStart w:id="5" w:name="Registry_rows" w:colFirst="0" w:colLast="1"/>
          </w:p>
        </w:tc>
        <w:tc>
          <w:tcPr>
            <w:tcW w:w="5990" w:type="dxa"/>
            <w:shd w:val="clear" w:color="auto" w:fill="auto"/>
          </w:tcPr>
          <w:p w14:paraId="6ED2C5AA" w14:textId="77777777" w:rsidR="00E64007" w:rsidRDefault="00E64007" w:rsidP="00501A12">
            <w:pPr>
              <w:pStyle w:val="Normal1linespace"/>
              <w:widowControl w:val="0"/>
              <w:jc w:val="left"/>
            </w:pPr>
          </w:p>
        </w:tc>
      </w:tr>
      <w:tr w:rsidR="00E64007" w14:paraId="7EEBA7CB" w14:textId="77777777" w:rsidTr="009D2431">
        <w:tc>
          <w:tcPr>
            <w:tcW w:w="3083" w:type="dxa"/>
            <w:shd w:val="clear" w:color="auto" w:fill="auto"/>
          </w:tcPr>
          <w:p w14:paraId="4609E864" w14:textId="77777777" w:rsidR="00E64007" w:rsidRDefault="00E64007" w:rsidP="00501A12">
            <w:pPr>
              <w:pStyle w:val="Normal1linespace"/>
              <w:widowControl w:val="0"/>
            </w:pPr>
            <w:r>
              <w:t>Registry:</w:t>
            </w:r>
          </w:p>
        </w:tc>
        <w:tc>
          <w:tcPr>
            <w:tcW w:w="5990" w:type="dxa"/>
            <w:shd w:val="clear" w:color="auto" w:fill="auto"/>
          </w:tcPr>
          <w:p w14:paraId="05253194" w14:textId="1CF46A02" w:rsidR="00E64007" w:rsidRPr="00F17599" w:rsidRDefault="00FF5FAE" w:rsidP="00164900">
            <w:pPr>
              <w:pStyle w:val="Normal1linespace"/>
              <w:widowControl w:val="0"/>
              <w:jc w:val="left"/>
            </w:pPr>
            <w:fldSimple w:instr=" DOCPROPERTY  Registry " w:fldLock="1">
              <w:r w:rsidR="00164900">
                <w:t>New South Wales</w:t>
              </w:r>
            </w:fldSimple>
          </w:p>
        </w:tc>
      </w:tr>
      <w:tr w:rsidR="00E64007" w14:paraId="5A5F215F" w14:textId="77777777" w:rsidTr="009D2431">
        <w:tc>
          <w:tcPr>
            <w:tcW w:w="3083" w:type="dxa"/>
            <w:shd w:val="clear" w:color="auto" w:fill="auto"/>
          </w:tcPr>
          <w:p w14:paraId="31911D52" w14:textId="77777777" w:rsidR="00E64007" w:rsidRDefault="00E64007" w:rsidP="00501A12">
            <w:pPr>
              <w:pStyle w:val="Normal1linespace"/>
              <w:widowControl w:val="0"/>
            </w:pPr>
            <w:bookmarkStart w:id="6" w:name="NPARow" w:colFirst="0" w:colLast="1"/>
            <w:bookmarkEnd w:id="5"/>
          </w:p>
        </w:tc>
        <w:tc>
          <w:tcPr>
            <w:tcW w:w="5990" w:type="dxa"/>
            <w:shd w:val="clear" w:color="auto" w:fill="auto"/>
          </w:tcPr>
          <w:p w14:paraId="271E8EF5" w14:textId="77777777" w:rsidR="00E64007" w:rsidRPr="00F17599" w:rsidRDefault="00E64007" w:rsidP="00501A12">
            <w:pPr>
              <w:pStyle w:val="Normal1linespace"/>
              <w:widowControl w:val="0"/>
              <w:jc w:val="left"/>
              <w:rPr>
                <w:b/>
              </w:rPr>
            </w:pPr>
          </w:p>
        </w:tc>
      </w:tr>
      <w:tr w:rsidR="00E64007" w14:paraId="23A6DF05" w14:textId="77777777" w:rsidTr="009D2431">
        <w:tc>
          <w:tcPr>
            <w:tcW w:w="3083" w:type="dxa"/>
            <w:shd w:val="clear" w:color="auto" w:fill="auto"/>
          </w:tcPr>
          <w:p w14:paraId="0E902796" w14:textId="77777777" w:rsidR="00E64007" w:rsidRDefault="00E64007" w:rsidP="00501A12">
            <w:pPr>
              <w:pStyle w:val="Normal1linespace"/>
              <w:widowControl w:val="0"/>
            </w:pPr>
            <w:r>
              <w:t>National Practice Area:</w:t>
            </w:r>
          </w:p>
        </w:tc>
        <w:tc>
          <w:tcPr>
            <w:tcW w:w="5990" w:type="dxa"/>
            <w:shd w:val="clear" w:color="auto" w:fill="auto"/>
          </w:tcPr>
          <w:p w14:paraId="4B4B5273" w14:textId="77777777" w:rsidR="00E64007" w:rsidRPr="00F17599" w:rsidRDefault="000F0016" w:rsidP="001701A8">
            <w:pPr>
              <w:pStyle w:val="Normal1linespace"/>
              <w:widowControl w:val="0"/>
              <w:jc w:val="left"/>
              <w:rPr>
                <w:b/>
              </w:rPr>
            </w:pPr>
            <w:r>
              <w:fldChar w:fldCharType="begin" w:fldLock="1"/>
            </w:r>
            <w:r>
              <w:instrText xml:space="preserve"> DOCPROPERTY  "Practice Area"  \* MERGEFORMAT </w:instrText>
            </w:r>
            <w:r>
              <w:fldChar w:fldCharType="separate"/>
            </w:r>
            <w:r w:rsidR="00E64007">
              <w:t>Taxation</w:t>
            </w:r>
            <w:r>
              <w:fldChar w:fldCharType="end"/>
            </w:r>
          </w:p>
        </w:tc>
      </w:tr>
      <w:bookmarkEnd w:id="6"/>
      <w:tr w:rsidR="00E64007" w14:paraId="03FA8811" w14:textId="77777777" w:rsidTr="009D2431">
        <w:tc>
          <w:tcPr>
            <w:tcW w:w="3083" w:type="dxa"/>
            <w:shd w:val="clear" w:color="auto" w:fill="auto"/>
          </w:tcPr>
          <w:p w14:paraId="53C6831B" w14:textId="77777777" w:rsidR="00E64007" w:rsidRDefault="00E64007" w:rsidP="00501A12">
            <w:pPr>
              <w:pStyle w:val="Normal1linespace"/>
              <w:widowControl w:val="0"/>
            </w:pPr>
          </w:p>
        </w:tc>
        <w:tc>
          <w:tcPr>
            <w:tcW w:w="5990" w:type="dxa"/>
            <w:shd w:val="clear" w:color="auto" w:fill="auto"/>
          </w:tcPr>
          <w:p w14:paraId="01A076CF" w14:textId="77777777" w:rsidR="00E64007" w:rsidRDefault="00E64007" w:rsidP="00501A12">
            <w:pPr>
              <w:pStyle w:val="Normal1linespace"/>
              <w:widowControl w:val="0"/>
              <w:jc w:val="left"/>
            </w:pPr>
          </w:p>
        </w:tc>
      </w:tr>
      <w:tr w:rsidR="00E64007" w14:paraId="7AF84B9E" w14:textId="77777777" w:rsidTr="009D2431">
        <w:tc>
          <w:tcPr>
            <w:tcW w:w="3083" w:type="dxa"/>
            <w:shd w:val="clear" w:color="auto" w:fill="auto"/>
          </w:tcPr>
          <w:p w14:paraId="3D42B5BD" w14:textId="77777777" w:rsidR="00E64007" w:rsidRDefault="00E64007" w:rsidP="00501A12">
            <w:pPr>
              <w:pStyle w:val="Normal1linespace"/>
              <w:widowControl w:val="0"/>
            </w:pPr>
            <w:r>
              <w:t>Number of paragraphs:</w:t>
            </w:r>
          </w:p>
        </w:tc>
        <w:tc>
          <w:tcPr>
            <w:tcW w:w="5990" w:type="dxa"/>
            <w:shd w:val="clear" w:color="auto" w:fill="auto"/>
          </w:tcPr>
          <w:p w14:paraId="4342F686" w14:textId="380425F2" w:rsidR="00E64007" w:rsidRDefault="009D2431" w:rsidP="00501A12">
            <w:pPr>
              <w:pStyle w:val="Normal1linespace"/>
              <w:widowControl w:val="0"/>
              <w:jc w:val="left"/>
            </w:pPr>
            <w:bookmarkStart w:id="7" w:name="PlaceCategoryParagraphs"/>
            <w:r>
              <w:t>32</w:t>
            </w:r>
            <w:bookmarkEnd w:id="7"/>
          </w:p>
        </w:tc>
      </w:tr>
      <w:tr w:rsidR="00E64007" w14:paraId="475CB785" w14:textId="77777777" w:rsidTr="009D2431">
        <w:tc>
          <w:tcPr>
            <w:tcW w:w="3083" w:type="dxa"/>
            <w:shd w:val="clear" w:color="auto" w:fill="auto"/>
          </w:tcPr>
          <w:p w14:paraId="2B7BEA21" w14:textId="77777777" w:rsidR="00E64007" w:rsidRDefault="00E64007" w:rsidP="00E64007">
            <w:pPr>
              <w:pStyle w:val="Normal1linespace"/>
              <w:widowControl w:val="0"/>
              <w:jc w:val="left"/>
            </w:pPr>
          </w:p>
        </w:tc>
        <w:tc>
          <w:tcPr>
            <w:tcW w:w="5990" w:type="dxa"/>
            <w:shd w:val="clear" w:color="auto" w:fill="auto"/>
          </w:tcPr>
          <w:p w14:paraId="4BD1B6C0" w14:textId="77777777" w:rsidR="00E64007" w:rsidRDefault="00E64007" w:rsidP="00E64007">
            <w:pPr>
              <w:pStyle w:val="Normal1linespace"/>
              <w:widowControl w:val="0"/>
              <w:jc w:val="left"/>
            </w:pPr>
          </w:p>
        </w:tc>
      </w:tr>
      <w:tr w:rsidR="00E64007" w14:paraId="7B6A871F" w14:textId="77777777" w:rsidTr="009D2431">
        <w:tc>
          <w:tcPr>
            <w:tcW w:w="3083" w:type="dxa"/>
            <w:shd w:val="clear" w:color="auto" w:fill="auto"/>
          </w:tcPr>
          <w:p w14:paraId="4AF94601" w14:textId="77777777" w:rsidR="00E64007" w:rsidRDefault="00E64007" w:rsidP="00E64007">
            <w:pPr>
              <w:pStyle w:val="Normal1linespace"/>
              <w:widowControl w:val="0"/>
              <w:jc w:val="left"/>
            </w:pPr>
            <w:bookmarkStart w:id="8" w:name="CounselDate" w:colFirst="0" w:colLast="2"/>
            <w:r w:rsidRPr="006A24E3">
              <w:t>Date of hearing:</w:t>
            </w:r>
          </w:p>
        </w:tc>
        <w:tc>
          <w:tcPr>
            <w:tcW w:w="5990" w:type="dxa"/>
            <w:shd w:val="clear" w:color="auto" w:fill="auto"/>
          </w:tcPr>
          <w:p w14:paraId="57FF624A" w14:textId="709A9E21" w:rsidR="00E64007" w:rsidRDefault="002F28EC" w:rsidP="00E64007">
            <w:pPr>
              <w:pStyle w:val="Normal1linespace"/>
              <w:widowControl w:val="0"/>
              <w:jc w:val="left"/>
            </w:pPr>
            <w:bookmarkStart w:id="9" w:name="HearingDate"/>
            <w:r>
              <w:t>10 December 2020</w:t>
            </w:r>
            <w:r w:rsidR="00E64007">
              <w:t xml:space="preserve"> </w:t>
            </w:r>
            <w:bookmarkEnd w:id="9"/>
          </w:p>
        </w:tc>
      </w:tr>
      <w:tr w:rsidR="00E64007" w14:paraId="5FD42F38" w14:textId="77777777" w:rsidTr="009D2431">
        <w:tc>
          <w:tcPr>
            <w:tcW w:w="3083" w:type="dxa"/>
            <w:shd w:val="clear" w:color="auto" w:fill="auto"/>
          </w:tcPr>
          <w:p w14:paraId="40CEB316" w14:textId="77777777" w:rsidR="00E64007" w:rsidRDefault="00E64007" w:rsidP="00E64007">
            <w:pPr>
              <w:pStyle w:val="Normal1linespace"/>
              <w:widowControl w:val="0"/>
              <w:jc w:val="left"/>
            </w:pPr>
          </w:p>
        </w:tc>
        <w:tc>
          <w:tcPr>
            <w:tcW w:w="5990" w:type="dxa"/>
            <w:shd w:val="clear" w:color="auto" w:fill="auto"/>
          </w:tcPr>
          <w:p w14:paraId="54B93286" w14:textId="77777777" w:rsidR="00E64007" w:rsidRDefault="00E64007" w:rsidP="00E64007">
            <w:pPr>
              <w:pStyle w:val="Normal1linespace"/>
              <w:widowControl w:val="0"/>
              <w:jc w:val="left"/>
            </w:pPr>
          </w:p>
        </w:tc>
      </w:tr>
      <w:tr w:rsidR="009D2431" w14:paraId="0D8C06CA" w14:textId="77777777" w:rsidTr="009D2431">
        <w:tc>
          <w:tcPr>
            <w:tcW w:w="3083" w:type="dxa"/>
            <w:shd w:val="clear" w:color="auto" w:fill="auto"/>
          </w:tcPr>
          <w:p w14:paraId="086154CE" w14:textId="5427BD2A" w:rsidR="009D2431" w:rsidRDefault="009D2431" w:rsidP="009D2431">
            <w:pPr>
              <w:pStyle w:val="Normal1linespace"/>
              <w:widowControl w:val="0"/>
              <w:jc w:val="left"/>
            </w:pPr>
            <w:bookmarkStart w:id="10" w:name="Counsel" w:colFirst="0" w:colLast="2"/>
            <w:bookmarkEnd w:id="8"/>
            <w:r>
              <w:t>Counsel for the Applicant:</w:t>
            </w:r>
          </w:p>
        </w:tc>
        <w:tc>
          <w:tcPr>
            <w:tcW w:w="5990" w:type="dxa"/>
            <w:shd w:val="clear" w:color="auto" w:fill="auto"/>
          </w:tcPr>
          <w:p w14:paraId="18FF19C3" w14:textId="1390C46F" w:rsidR="009D2431" w:rsidRDefault="009D2431" w:rsidP="009D2431">
            <w:pPr>
              <w:pStyle w:val="Normal1linespace"/>
              <w:widowControl w:val="0"/>
              <w:jc w:val="left"/>
            </w:pPr>
            <w:bookmarkStart w:id="11" w:name="AppCounsel"/>
            <w:bookmarkEnd w:id="11"/>
            <w:r>
              <w:t xml:space="preserve">Mr J Gleeson SC with Ms F </w:t>
            </w:r>
            <w:proofErr w:type="spellStart"/>
            <w:r>
              <w:t>Roughley</w:t>
            </w:r>
            <w:proofErr w:type="spellEnd"/>
          </w:p>
        </w:tc>
      </w:tr>
      <w:tr w:rsidR="009D2431" w14:paraId="443B6738" w14:textId="77777777" w:rsidTr="009D2431">
        <w:tc>
          <w:tcPr>
            <w:tcW w:w="3083" w:type="dxa"/>
            <w:shd w:val="clear" w:color="auto" w:fill="auto"/>
          </w:tcPr>
          <w:p w14:paraId="3A2B5FEF" w14:textId="77777777" w:rsidR="009D2431" w:rsidRDefault="009D2431" w:rsidP="009D2431">
            <w:pPr>
              <w:pStyle w:val="Normal1linespace"/>
              <w:widowControl w:val="0"/>
              <w:jc w:val="left"/>
            </w:pPr>
          </w:p>
        </w:tc>
        <w:tc>
          <w:tcPr>
            <w:tcW w:w="5989" w:type="dxa"/>
            <w:shd w:val="clear" w:color="auto" w:fill="auto"/>
          </w:tcPr>
          <w:p w14:paraId="2D0C1982" w14:textId="77777777" w:rsidR="009D2431" w:rsidRDefault="009D2431" w:rsidP="009D2431">
            <w:pPr>
              <w:pStyle w:val="Normal1linespace"/>
              <w:widowControl w:val="0"/>
              <w:jc w:val="left"/>
            </w:pPr>
          </w:p>
        </w:tc>
      </w:tr>
      <w:tr w:rsidR="009D2431" w14:paraId="53A1B44C" w14:textId="77777777" w:rsidTr="009D2431">
        <w:tc>
          <w:tcPr>
            <w:tcW w:w="3083" w:type="dxa"/>
            <w:shd w:val="clear" w:color="auto" w:fill="auto"/>
          </w:tcPr>
          <w:p w14:paraId="50E2AE3A" w14:textId="7D8EAE08" w:rsidR="009D2431" w:rsidRDefault="009D2431" w:rsidP="009D2431">
            <w:pPr>
              <w:pStyle w:val="Normal1linespace"/>
              <w:widowControl w:val="0"/>
              <w:jc w:val="left"/>
            </w:pPr>
            <w:r>
              <w:t>Solicitor for the Applicant:</w:t>
            </w:r>
          </w:p>
        </w:tc>
        <w:tc>
          <w:tcPr>
            <w:tcW w:w="5989" w:type="dxa"/>
            <w:shd w:val="clear" w:color="auto" w:fill="auto"/>
          </w:tcPr>
          <w:p w14:paraId="2342C58F" w14:textId="65B774B8" w:rsidR="009D2431" w:rsidRDefault="009D2431" w:rsidP="009D2431">
            <w:pPr>
              <w:pStyle w:val="Normal1linespace"/>
              <w:widowControl w:val="0"/>
              <w:jc w:val="left"/>
            </w:pPr>
            <w:r>
              <w:t xml:space="preserve">Clayton </w:t>
            </w:r>
            <w:proofErr w:type="spellStart"/>
            <w:r>
              <w:t>Utz</w:t>
            </w:r>
            <w:proofErr w:type="spellEnd"/>
          </w:p>
        </w:tc>
      </w:tr>
      <w:tr w:rsidR="009D2431" w14:paraId="298D052A" w14:textId="77777777" w:rsidTr="009D2431">
        <w:tc>
          <w:tcPr>
            <w:tcW w:w="3083" w:type="dxa"/>
            <w:shd w:val="clear" w:color="auto" w:fill="auto"/>
          </w:tcPr>
          <w:p w14:paraId="6AB58C5B" w14:textId="77777777" w:rsidR="009D2431" w:rsidRDefault="009D2431" w:rsidP="009D2431">
            <w:pPr>
              <w:pStyle w:val="Normal1linespace"/>
              <w:widowControl w:val="0"/>
              <w:jc w:val="left"/>
            </w:pPr>
          </w:p>
        </w:tc>
        <w:tc>
          <w:tcPr>
            <w:tcW w:w="5989" w:type="dxa"/>
            <w:shd w:val="clear" w:color="auto" w:fill="auto"/>
          </w:tcPr>
          <w:p w14:paraId="51D66928" w14:textId="77777777" w:rsidR="009D2431" w:rsidRDefault="009D2431" w:rsidP="009D2431">
            <w:pPr>
              <w:pStyle w:val="Normal1linespace"/>
              <w:widowControl w:val="0"/>
              <w:jc w:val="left"/>
            </w:pPr>
          </w:p>
        </w:tc>
      </w:tr>
      <w:tr w:rsidR="009D2431" w14:paraId="1E11784D" w14:textId="77777777" w:rsidTr="009D2431">
        <w:tc>
          <w:tcPr>
            <w:tcW w:w="3083" w:type="dxa"/>
            <w:shd w:val="clear" w:color="auto" w:fill="auto"/>
          </w:tcPr>
          <w:p w14:paraId="6C2DFB8A" w14:textId="1F40E676" w:rsidR="009D2431" w:rsidRDefault="009D2431" w:rsidP="009D2431">
            <w:pPr>
              <w:pStyle w:val="Normal1linespace"/>
              <w:widowControl w:val="0"/>
              <w:jc w:val="left"/>
            </w:pPr>
            <w:r>
              <w:t>Counsel for the First Respondent:</w:t>
            </w:r>
          </w:p>
        </w:tc>
        <w:tc>
          <w:tcPr>
            <w:tcW w:w="5989" w:type="dxa"/>
            <w:shd w:val="clear" w:color="auto" w:fill="auto"/>
          </w:tcPr>
          <w:p w14:paraId="3B17E0A2" w14:textId="17D5F118" w:rsidR="009D2431" w:rsidRDefault="009D2431" w:rsidP="009D2431">
            <w:pPr>
              <w:pStyle w:val="Normal1linespace"/>
              <w:widowControl w:val="0"/>
              <w:jc w:val="left"/>
            </w:pPr>
            <w:r>
              <w:t>Mr M O’Meara SC with Mr M Cosgrove</w:t>
            </w:r>
          </w:p>
        </w:tc>
      </w:tr>
      <w:tr w:rsidR="009D2431" w14:paraId="12BAB38A" w14:textId="77777777" w:rsidTr="009D2431">
        <w:tc>
          <w:tcPr>
            <w:tcW w:w="3083" w:type="dxa"/>
            <w:shd w:val="clear" w:color="auto" w:fill="auto"/>
          </w:tcPr>
          <w:p w14:paraId="4AA2CF59" w14:textId="77777777" w:rsidR="009D2431" w:rsidRDefault="009D2431" w:rsidP="009D2431">
            <w:pPr>
              <w:pStyle w:val="Normal1linespace"/>
              <w:widowControl w:val="0"/>
              <w:jc w:val="left"/>
            </w:pPr>
          </w:p>
        </w:tc>
        <w:tc>
          <w:tcPr>
            <w:tcW w:w="5989" w:type="dxa"/>
            <w:shd w:val="clear" w:color="auto" w:fill="auto"/>
          </w:tcPr>
          <w:p w14:paraId="62F9583B" w14:textId="77777777" w:rsidR="009D2431" w:rsidRDefault="009D2431" w:rsidP="009D2431">
            <w:pPr>
              <w:pStyle w:val="Normal1linespace"/>
              <w:widowControl w:val="0"/>
              <w:jc w:val="left"/>
            </w:pPr>
          </w:p>
        </w:tc>
      </w:tr>
      <w:tr w:rsidR="009D2431" w14:paraId="5AC7E0FE" w14:textId="77777777" w:rsidTr="009D2431">
        <w:tc>
          <w:tcPr>
            <w:tcW w:w="3083" w:type="dxa"/>
            <w:shd w:val="clear" w:color="auto" w:fill="auto"/>
          </w:tcPr>
          <w:p w14:paraId="189A25C0" w14:textId="410F4551" w:rsidR="009D2431" w:rsidRDefault="009D2431" w:rsidP="009D2431">
            <w:pPr>
              <w:pStyle w:val="Normal1linespace"/>
              <w:widowControl w:val="0"/>
              <w:jc w:val="left"/>
            </w:pPr>
            <w:r>
              <w:t>Solicitor for the First Respondent:</w:t>
            </w:r>
          </w:p>
        </w:tc>
        <w:tc>
          <w:tcPr>
            <w:tcW w:w="5989" w:type="dxa"/>
            <w:shd w:val="clear" w:color="auto" w:fill="auto"/>
          </w:tcPr>
          <w:p w14:paraId="6CA6EC65" w14:textId="01E3147D" w:rsidR="009D2431" w:rsidRDefault="009D2431" w:rsidP="009D2431">
            <w:pPr>
              <w:pStyle w:val="Normal1linespace"/>
              <w:widowControl w:val="0"/>
              <w:jc w:val="left"/>
            </w:pPr>
            <w:r>
              <w:t>Australian Government Solicitor</w:t>
            </w:r>
          </w:p>
        </w:tc>
      </w:tr>
      <w:tr w:rsidR="0027521D" w14:paraId="12B55450" w14:textId="77777777" w:rsidTr="009D2431">
        <w:tc>
          <w:tcPr>
            <w:tcW w:w="3083" w:type="dxa"/>
            <w:shd w:val="clear" w:color="auto" w:fill="auto"/>
          </w:tcPr>
          <w:p w14:paraId="7E6D397C" w14:textId="77777777" w:rsidR="0027521D" w:rsidRDefault="0027521D" w:rsidP="009D2431">
            <w:pPr>
              <w:pStyle w:val="Normal1linespace"/>
              <w:widowControl w:val="0"/>
              <w:jc w:val="left"/>
            </w:pPr>
          </w:p>
        </w:tc>
        <w:tc>
          <w:tcPr>
            <w:tcW w:w="5989" w:type="dxa"/>
            <w:shd w:val="clear" w:color="auto" w:fill="auto"/>
          </w:tcPr>
          <w:p w14:paraId="3F4344DB" w14:textId="77777777" w:rsidR="0027521D" w:rsidRDefault="0027521D" w:rsidP="009D2431">
            <w:pPr>
              <w:pStyle w:val="Normal1linespace"/>
              <w:widowControl w:val="0"/>
              <w:jc w:val="left"/>
            </w:pPr>
          </w:p>
        </w:tc>
      </w:tr>
      <w:tr w:rsidR="0027521D" w14:paraId="5727166F" w14:textId="77777777" w:rsidTr="009D2431">
        <w:tc>
          <w:tcPr>
            <w:tcW w:w="3083" w:type="dxa"/>
            <w:shd w:val="clear" w:color="auto" w:fill="auto"/>
          </w:tcPr>
          <w:p w14:paraId="22ADBBDF" w14:textId="28E9283C" w:rsidR="0027521D" w:rsidRDefault="0027521D" w:rsidP="009D2431">
            <w:pPr>
              <w:pStyle w:val="Normal1linespace"/>
              <w:widowControl w:val="0"/>
              <w:jc w:val="left"/>
            </w:pPr>
            <w:r>
              <w:t>Counsel for the Second Respondent:</w:t>
            </w:r>
          </w:p>
        </w:tc>
        <w:tc>
          <w:tcPr>
            <w:tcW w:w="5989" w:type="dxa"/>
            <w:shd w:val="clear" w:color="auto" w:fill="auto"/>
          </w:tcPr>
          <w:p w14:paraId="7E0D168D" w14:textId="6F482535" w:rsidR="0027521D" w:rsidRDefault="0027521D" w:rsidP="009D2431">
            <w:pPr>
              <w:pStyle w:val="Normal1linespace"/>
              <w:widowControl w:val="0"/>
              <w:jc w:val="left"/>
            </w:pPr>
            <w:r>
              <w:t>The Second Respondent filed a submitting notice</w:t>
            </w:r>
          </w:p>
        </w:tc>
      </w:tr>
      <w:bookmarkEnd w:id="10"/>
    </w:tbl>
    <w:p w14:paraId="1308532C" w14:textId="77777777" w:rsidR="007470BD" w:rsidRDefault="007470BD">
      <w:pPr>
        <w:pStyle w:val="Normal1linespace"/>
      </w:pPr>
    </w:p>
    <w:p w14:paraId="416B8BA3" w14:textId="77777777" w:rsidR="00E94CBF" w:rsidRDefault="00E94CBF">
      <w:pPr>
        <w:pStyle w:val="Normal1linespace"/>
      </w:pPr>
    </w:p>
    <w:p w14:paraId="55D8BF16" w14:textId="2C30E6B4" w:rsidR="009D2431" w:rsidRDefault="009D2431">
      <w:pPr>
        <w:pStyle w:val="Normal1linespace"/>
      </w:pPr>
    </w:p>
    <w:p w14:paraId="6B1232EB" w14:textId="77777777" w:rsidR="009D2431" w:rsidRPr="009D2431" w:rsidRDefault="009D2431" w:rsidP="009D2431"/>
    <w:p w14:paraId="6ED3BAE0" w14:textId="77777777" w:rsidR="009D2431" w:rsidRPr="009D2431" w:rsidRDefault="009D2431" w:rsidP="009D2431"/>
    <w:p w14:paraId="7D486BEC" w14:textId="77777777" w:rsidR="009D2431" w:rsidRPr="009D2431" w:rsidRDefault="009D2431" w:rsidP="009D2431"/>
    <w:p w14:paraId="53DBAFF7" w14:textId="77777777" w:rsidR="009D2431" w:rsidRPr="009D2431" w:rsidRDefault="009D2431" w:rsidP="009D2431"/>
    <w:p w14:paraId="7CABF7F9" w14:textId="77777777" w:rsidR="009D2431" w:rsidRPr="009D2431" w:rsidRDefault="009D2431" w:rsidP="009D2431"/>
    <w:p w14:paraId="16177F49" w14:textId="77777777" w:rsidR="009D2431" w:rsidRPr="009D2431" w:rsidRDefault="009D2431" w:rsidP="009D2431"/>
    <w:p w14:paraId="6747F546" w14:textId="77777777" w:rsidR="009D2431" w:rsidRPr="009D2431" w:rsidRDefault="009D2431" w:rsidP="009D2431"/>
    <w:p w14:paraId="6C99D833" w14:textId="77777777" w:rsidR="009D2431" w:rsidRPr="009D2431" w:rsidRDefault="009D2431" w:rsidP="009D2431"/>
    <w:p w14:paraId="02AD8A69" w14:textId="77777777" w:rsidR="009D2431" w:rsidRPr="009D2431" w:rsidRDefault="009D2431" w:rsidP="009D2431"/>
    <w:p w14:paraId="772784C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E4F64D0" w14:textId="77777777" w:rsidTr="00E81DA6">
        <w:tc>
          <w:tcPr>
            <w:tcW w:w="6912" w:type="dxa"/>
            <w:gridSpan w:val="2"/>
          </w:tcPr>
          <w:p w14:paraId="421DEC09" w14:textId="77777777" w:rsidR="00A46CCC" w:rsidRPr="001765E0" w:rsidRDefault="00A46CCC" w:rsidP="00525A49">
            <w:pPr>
              <w:pStyle w:val="NormalHeadings"/>
            </w:pPr>
          </w:p>
        </w:tc>
        <w:tc>
          <w:tcPr>
            <w:tcW w:w="2330" w:type="dxa"/>
          </w:tcPr>
          <w:p w14:paraId="10F4E705" w14:textId="77777777" w:rsidR="00A46CCC" w:rsidRDefault="00E64007" w:rsidP="00F92355">
            <w:pPr>
              <w:pStyle w:val="NormalHeadings"/>
              <w:jc w:val="right"/>
            </w:pPr>
            <w:bookmarkStart w:id="12" w:name="FileNo"/>
            <w:r>
              <w:t>NSD 1243 of 2020</w:t>
            </w:r>
            <w:bookmarkEnd w:id="12"/>
          </w:p>
        </w:tc>
      </w:tr>
      <w:tr w:rsidR="00A76C13" w14:paraId="05A5F141" w14:textId="77777777" w:rsidTr="001701A8">
        <w:tc>
          <w:tcPr>
            <w:tcW w:w="9242" w:type="dxa"/>
            <w:gridSpan w:val="3"/>
          </w:tcPr>
          <w:p w14:paraId="66DB49AA" w14:textId="77777777" w:rsidR="00A76C13" w:rsidRPr="00A76C13" w:rsidRDefault="00E64007" w:rsidP="00E64007">
            <w:pPr>
              <w:pStyle w:val="NormalHeadings"/>
              <w:jc w:val="left"/>
            </w:pPr>
            <w:bookmarkStart w:id="13" w:name="InTheMatterOf"/>
            <w:r>
              <w:t xml:space="preserve"> </w:t>
            </w:r>
            <w:bookmarkEnd w:id="13"/>
          </w:p>
        </w:tc>
      </w:tr>
      <w:tr w:rsidR="00A46CCC" w14:paraId="7F5FD2DD" w14:textId="77777777" w:rsidTr="001701A8">
        <w:trPr>
          <w:trHeight w:val="386"/>
        </w:trPr>
        <w:tc>
          <w:tcPr>
            <w:tcW w:w="2376" w:type="dxa"/>
          </w:tcPr>
          <w:p w14:paraId="4A24ECB5" w14:textId="77777777" w:rsidR="00A46CCC" w:rsidRDefault="00A46CCC" w:rsidP="001701A8">
            <w:pPr>
              <w:pStyle w:val="NormalHeadings"/>
              <w:jc w:val="left"/>
              <w:rPr>
                <w:caps/>
                <w:szCs w:val="24"/>
              </w:rPr>
            </w:pPr>
            <w:bookmarkStart w:id="14" w:name="Parties"/>
            <w:r>
              <w:rPr>
                <w:caps/>
                <w:szCs w:val="24"/>
              </w:rPr>
              <w:t>BETWEEN:</w:t>
            </w:r>
          </w:p>
        </w:tc>
        <w:tc>
          <w:tcPr>
            <w:tcW w:w="6866" w:type="dxa"/>
            <w:gridSpan w:val="2"/>
          </w:tcPr>
          <w:p w14:paraId="0599A809" w14:textId="77777777" w:rsidR="00E64007" w:rsidRDefault="00E64007" w:rsidP="00E64007">
            <w:pPr>
              <w:pStyle w:val="NormalHeadings"/>
              <w:jc w:val="left"/>
            </w:pPr>
            <w:bookmarkStart w:id="15" w:name="Applicant"/>
            <w:r>
              <w:t>LA MANCHA GROUP INTERNATIONAL B.V.</w:t>
            </w:r>
          </w:p>
          <w:p w14:paraId="72D0114C" w14:textId="77777777" w:rsidR="00E64007" w:rsidRDefault="00E64007" w:rsidP="00E64007">
            <w:pPr>
              <w:pStyle w:val="PartyType"/>
            </w:pPr>
            <w:r>
              <w:t>Applicant</w:t>
            </w:r>
          </w:p>
          <w:bookmarkEnd w:id="15"/>
          <w:p w14:paraId="33347B02" w14:textId="77777777" w:rsidR="00A46CCC" w:rsidRPr="006555B4" w:rsidRDefault="00A46CCC" w:rsidP="001701A8">
            <w:pPr>
              <w:pStyle w:val="NormalHeadings"/>
              <w:jc w:val="left"/>
            </w:pPr>
          </w:p>
        </w:tc>
      </w:tr>
      <w:tr w:rsidR="00A46CCC" w14:paraId="3D077C13" w14:textId="77777777" w:rsidTr="001701A8">
        <w:trPr>
          <w:trHeight w:val="386"/>
        </w:trPr>
        <w:tc>
          <w:tcPr>
            <w:tcW w:w="2376" w:type="dxa"/>
          </w:tcPr>
          <w:p w14:paraId="1A297202" w14:textId="77777777" w:rsidR="00A46CCC" w:rsidRDefault="00A46CCC" w:rsidP="001701A8">
            <w:pPr>
              <w:pStyle w:val="NormalHeadings"/>
              <w:jc w:val="left"/>
              <w:rPr>
                <w:caps/>
                <w:szCs w:val="24"/>
              </w:rPr>
            </w:pPr>
            <w:r>
              <w:rPr>
                <w:caps/>
                <w:szCs w:val="24"/>
              </w:rPr>
              <w:t>AND:</w:t>
            </w:r>
          </w:p>
        </w:tc>
        <w:tc>
          <w:tcPr>
            <w:tcW w:w="6866" w:type="dxa"/>
            <w:gridSpan w:val="2"/>
          </w:tcPr>
          <w:p w14:paraId="430764CF" w14:textId="77777777" w:rsidR="00E64007" w:rsidRDefault="00E64007" w:rsidP="00E64007">
            <w:pPr>
              <w:pStyle w:val="NormalHeadings"/>
              <w:jc w:val="left"/>
            </w:pPr>
            <w:bookmarkStart w:id="16" w:name="Respondent"/>
            <w:r>
              <w:t>COMMISSIONER OF TAXATION</w:t>
            </w:r>
          </w:p>
          <w:p w14:paraId="0DB327E1" w14:textId="77777777" w:rsidR="00E64007" w:rsidRDefault="00E64007" w:rsidP="00E64007">
            <w:pPr>
              <w:pStyle w:val="PartyType"/>
            </w:pPr>
            <w:r>
              <w:t>First Respondent</w:t>
            </w:r>
          </w:p>
          <w:p w14:paraId="2D0D8B93" w14:textId="77777777" w:rsidR="00E64007" w:rsidRDefault="00E64007" w:rsidP="001701A8">
            <w:pPr>
              <w:pStyle w:val="NormalHeadings"/>
              <w:jc w:val="left"/>
              <w:rPr>
                <w:szCs w:val="24"/>
              </w:rPr>
            </w:pPr>
          </w:p>
          <w:p w14:paraId="7BB06003" w14:textId="77777777" w:rsidR="00E64007" w:rsidRDefault="00E64007" w:rsidP="00E64007">
            <w:pPr>
              <w:pStyle w:val="NormalHeadings"/>
              <w:jc w:val="left"/>
            </w:pPr>
            <w:r>
              <w:t>LA MANCHA AFRICA S.À R.L.</w:t>
            </w:r>
          </w:p>
          <w:p w14:paraId="38605C96" w14:textId="77777777" w:rsidR="00E64007" w:rsidRDefault="00E64007" w:rsidP="00E64007">
            <w:pPr>
              <w:pStyle w:val="PartyType"/>
            </w:pPr>
            <w:r>
              <w:t>Second Respondent</w:t>
            </w:r>
          </w:p>
          <w:bookmarkEnd w:id="16"/>
          <w:p w14:paraId="63CCA5F4" w14:textId="77777777" w:rsidR="00A46CCC" w:rsidRPr="006555B4" w:rsidRDefault="00A46CCC" w:rsidP="001701A8">
            <w:pPr>
              <w:pStyle w:val="NormalHeadings"/>
              <w:jc w:val="left"/>
            </w:pPr>
          </w:p>
        </w:tc>
      </w:tr>
    </w:tbl>
    <w:p w14:paraId="632FB719"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615270A1" w14:textId="77777777">
        <w:tc>
          <w:tcPr>
            <w:tcW w:w="2376" w:type="dxa"/>
          </w:tcPr>
          <w:p w14:paraId="38901DE3"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0BD76536" w14:textId="77777777" w:rsidR="00395B24" w:rsidRDefault="00E64007">
            <w:pPr>
              <w:pStyle w:val="NormalHeadings"/>
              <w:jc w:val="left"/>
              <w:rPr>
                <w:caps/>
                <w:szCs w:val="24"/>
              </w:rPr>
            </w:pPr>
            <w:bookmarkStart w:id="19" w:name="Judge"/>
            <w:r>
              <w:rPr>
                <w:caps/>
                <w:szCs w:val="24"/>
              </w:rPr>
              <w:t>DAVIES J</w:t>
            </w:r>
            <w:bookmarkEnd w:id="19"/>
          </w:p>
        </w:tc>
      </w:tr>
      <w:tr w:rsidR="00395B24" w14:paraId="1CE8790C" w14:textId="77777777">
        <w:tc>
          <w:tcPr>
            <w:tcW w:w="2376" w:type="dxa"/>
          </w:tcPr>
          <w:p w14:paraId="32B7AA2E" w14:textId="77777777" w:rsidR="00395B24" w:rsidRDefault="002C7385">
            <w:pPr>
              <w:pStyle w:val="NormalHeadings"/>
              <w:spacing w:after="120"/>
              <w:jc w:val="left"/>
              <w:rPr>
                <w:caps/>
                <w:szCs w:val="24"/>
              </w:rPr>
            </w:pPr>
            <w:r>
              <w:rPr>
                <w:caps/>
                <w:szCs w:val="24"/>
              </w:rPr>
              <w:t>DATE OF ORDER:</w:t>
            </w:r>
          </w:p>
        </w:tc>
        <w:tc>
          <w:tcPr>
            <w:tcW w:w="6866" w:type="dxa"/>
          </w:tcPr>
          <w:p w14:paraId="4B086A72" w14:textId="0B87C3C3" w:rsidR="00395B24" w:rsidRDefault="00164900" w:rsidP="00164900">
            <w:pPr>
              <w:pStyle w:val="NormalHeadings"/>
              <w:jc w:val="left"/>
              <w:rPr>
                <w:caps/>
                <w:szCs w:val="24"/>
              </w:rPr>
            </w:pPr>
            <w:bookmarkStart w:id="20" w:name="Judgment_Dated"/>
            <w:r>
              <w:rPr>
                <w:caps/>
                <w:szCs w:val="24"/>
              </w:rPr>
              <w:t>16 December 2020</w:t>
            </w:r>
            <w:bookmarkEnd w:id="20"/>
          </w:p>
        </w:tc>
      </w:tr>
    </w:tbl>
    <w:p w14:paraId="1D788ED6" w14:textId="77777777" w:rsidR="00395B24" w:rsidRDefault="00395B24">
      <w:pPr>
        <w:pStyle w:val="NormalHeadings"/>
        <w:rPr>
          <w:b w:val="0"/>
        </w:rPr>
      </w:pPr>
    </w:p>
    <w:p w14:paraId="350C7A8A" w14:textId="77777777" w:rsidR="008D1617" w:rsidRDefault="008D1617">
      <w:pPr>
        <w:pStyle w:val="NormalHeadings"/>
        <w:rPr>
          <w:b w:val="0"/>
        </w:rPr>
      </w:pPr>
    </w:p>
    <w:p w14:paraId="3AC5CEF5" w14:textId="7D31E201" w:rsidR="00395B24" w:rsidRDefault="00A85B29">
      <w:pPr>
        <w:pStyle w:val="NormalHeadings"/>
      </w:pPr>
      <w:r>
        <w:t>THE COURT DECLARES</w:t>
      </w:r>
      <w:r w:rsidR="002C7385">
        <w:t xml:space="preserve"> THAT:</w:t>
      </w:r>
    </w:p>
    <w:p w14:paraId="51A16A24" w14:textId="77777777" w:rsidR="007F60DF" w:rsidRDefault="007F60DF" w:rsidP="00243E5E">
      <w:pPr>
        <w:pStyle w:val="NormalHeadings"/>
      </w:pPr>
    </w:p>
    <w:p w14:paraId="1CF0A2E6" w14:textId="544ABAC3" w:rsidR="00164900" w:rsidRPr="00C1146B" w:rsidRDefault="00FB2E10" w:rsidP="00164900">
      <w:pPr>
        <w:pStyle w:val="Order1"/>
      </w:pPr>
      <w:r>
        <w:t>Upon completion of the m</w:t>
      </w:r>
      <w:r w:rsidR="00164900" w:rsidRPr="00C1146B">
        <w:t>erger the subject of the Merger Proposal dated 3 November 2020 and approved by the Board of Managers and Directors on 3 November 2</w:t>
      </w:r>
      <w:r>
        <w:t>020, the second respondent, as surviving c</w:t>
      </w:r>
      <w:r w:rsidR="00164900" w:rsidRPr="00C1146B">
        <w:t>ompany and legal successor of the applicant is:</w:t>
      </w:r>
    </w:p>
    <w:p w14:paraId="56A6167D" w14:textId="250A884A" w:rsidR="00164900" w:rsidRPr="00C1146B" w:rsidRDefault="00164900" w:rsidP="00164900">
      <w:pPr>
        <w:pStyle w:val="Order2"/>
      </w:pPr>
      <w:r w:rsidRPr="00C1146B">
        <w:t>subject to such liability (as the applicant otherwise had) to income tax under s 5</w:t>
      </w:r>
      <w:r w:rsidRPr="00C1146B">
        <w:noBreakHyphen/>
        <w:t xml:space="preserve">5 of the </w:t>
      </w:r>
      <w:r w:rsidRPr="00C1146B">
        <w:rPr>
          <w:i/>
        </w:rPr>
        <w:t xml:space="preserve">Income Tax Assessment Act 1997 </w:t>
      </w:r>
      <w:r w:rsidRPr="00C1146B">
        <w:t>(</w:t>
      </w:r>
      <w:proofErr w:type="spellStart"/>
      <w:r w:rsidRPr="00C1146B">
        <w:t>Cth</w:t>
      </w:r>
      <w:proofErr w:type="spellEnd"/>
      <w:r w:rsidRPr="00C1146B">
        <w:t xml:space="preserve">) as a result of notices of assessment or notices of amended assessment issued or deemed to be issued to the applicant for the years ended 30 June 2016, 2017, 2018 and 2019 on 13 August 2018, 12 September 2018, 27 September 2018 and/or 9 July 2020 (including as subsequently amended), and is liable to be assessed to any further tax liabilities to which the applicant could otherwise have been assessed under that Act or the </w:t>
      </w:r>
      <w:r w:rsidRPr="00C1146B">
        <w:rPr>
          <w:i/>
        </w:rPr>
        <w:t xml:space="preserve">Income Tax Assessment Act 1936 </w:t>
      </w:r>
      <w:r w:rsidRPr="00C1146B">
        <w:t>(</w:t>
      </w:r>
      <w:proofErr w:type="spellStart"/>
      <w:r w:rsidRPr="00C1146B">
        <w:t>Cth</w:t>
      </w:r>
      <w:proofErr w:type="spellEnd"/>
      <w:r w:rsidRPr="00C1146B">
        <w:t>)</w:t>
      </w:r>
      <w:r w:rsidRPr="00C1146B">
        <w:rPr>
          <w:i/>
        </w:rPr>
        <w:t>,</w:t>
      </w:r>
      <w:r w:rsidRPr="00C1146B">
        <w:t xml:space="preserve"> together with any interest which accrues on those assessments or other liabilities; and</w:t>
      </w:r>
    </w:p>
    <w:p w14:paraId="3871B873" w14:textId="73B850ED" w:rsidR="001A6C52" w:rsidRPr="00C1146B" w:rsidRDefault="00FB2E10" w:rsidP="00164900">
      <w:pPr>
        <w:pStyle w:val="Order2"/>
      </w:pPr>
      <w:r>
        <w:t>entitled to exercise all objection and a</w:t>
      </w:r>
      <w:r w:rsidR="00164900" w:rsidRPr="00C1146B">
        <w:t xml:space="preserve">ppeal rights pursuant to Part IVC of the </w:t>
      </w:r>
      <w:r w:rsidR="00164900" w:rsidRPr="00C1146B">
        <w:rPr>
          <w:i/>
        </w:rPr>
        <w:t>Taxation Administration Act 1953</w:t>
      </w:r>
      <w:r w:rsidR="00164900" w:rsidRPr="00C1146B">
        <w:t xml:space="preserve"> (</w:t>
      </w:r>
      <w:proofErr w:type="spellStart"/>
      <w:r w:rsidR="00164900" w:rsidRPr="00C1146B">
        <w:t>Cth</w:t>
      </w:r>
      <w:proofErr w:type="spellEnd"/>
      <w:r w:rsidR="00164900" w:rsidRPr="00C1146B">
        <w:t xml:space="preserve">) in objection or appeal proceedings currently on foot or to be brought in </w:t>
      </w:r>
      <w:r>
        <w:t>respect of those and any other a</w:t>
      </w:r>
      <w:r w:rsidR="00164900" w:rsidRPr="00C1146B">
        <w:t>ssessments issued or to be issued to the applicant or in relation to its asserted liabilities to taxation under the laws of Australia.</w:t>
      </w:r>
    </w:p>
    <w:p w14:paraId="65027936" w14:textId="144683C7" w:rsidR="00A85B29" w:rsidRDefault="00A85B29" w:rsidP="00A85B29">
      <w:pPr>
        <w:pStyle w:val="NormalHeadings"/>
      </w:pPr>
      <w:r>
        <w:lastRenderedPageBreak/>
        <w:t>THE COURT ORDERS THAT:</w:t>
      </w:r>
    </w:p>
    <w:p w14:paraId="703A26A8" w14:textId="77777777" w:rsidR="00A85B29" w:rsidRDefault="00A85B29" w:rsidP="00A85B29">
      <w:pPr>
        <w:pStyle w:val="NormalHeadings"/>
      </w:pPr>
    </w:p>
    <w:p w14:paraId="6FDC3326" w14:textId="674BE0F8" w:rsidR="00164900" w:rsidRPr="00C1146B" w:rsidRDefault="00164900" w:rsidP="00164900">
      <w:pPr>
        <w:pStyle w:val="Order1"/>
      </w:pPr>
      <w:r w:rsidRPr="00C1146B">
        <w:t>The applicant pay the costs of the first respondent, such costs to be taxed in default of agreement.</w:t>
      </w:r>
    </w:p>
    <w:p w14:paraId="7DBDF7A7" w14:textId="77777777" w:rsidR="001A6C52" w:rsidRDefault="001A6C52" w:rsidP="001A6C52">
      <w:pPr>
        <w:pStyle w:val="BodyText"/>
      </w:pPr>
    </w:p>
    <w:p w14:paraId="7BD2C6BD" w14:textId="77777777" w:rsidR="00A431E6" w:rsidRDefault="00A431E6" w:rsidP="001A6C52">
      <w:pPr>
        <w:pStyle w:val="BodyText"/>
      </w:pPr>
    </w:p>
    <w:p w14:paraId="601F3147" w14:textId="77777777" w:rsidR="0050309C" w:rsidRDefault="00E64007"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27B24AEF" w14:textId="77777777" w:rsidR="0092590B" w:rsidRDefault="0092590B" w:rsidP="002B0E91">
      <w:pPr>
        <w:pStyle w:val="BodyText"/>
      </w:pPr>
    </w:p>
    <w:p w14:paraId="7DF17A01" w14:textId="77777777" w:rsidR="00395B24" w:rsidRDefault="00395B24">
      <w:pPr>
        <w:pStyle w:val="NormalHeadings"/>
        <w:spacing w:before="240" w:after="120"/>
        <w:rPr>
          <w:b w:val="0"/>
        </w:rPr>
        <w:sectPr w:rsidR="00395B24" w:rsidSect="0092590B">
          <w:headerReference w:type="default" r:id="rId8"/>
          <w:footerReference w:type="default" r:id="rId9"/>
          <w:headerReference w:type="first" r:id="rId10"/>
          <w:foot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33E267A2"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0FAE81A7" w14:textId="77777777" w:rsidR="00694BEB" w:rsidRDefault="00E64007" w:rsidP="005E0510">
      <w:pPr>
        <w:pStyle w:val="NormalHeadings"/>
        <w:spacing w:line="360" w:lineRule="auto"/>
        <w:jc w:val="left"/>
        <w:rPr>
          <w:sz w:val="26"/>
          <w:szCs w:val="26"/>
        </w:rPr>
      </w:pPr>
      <w:r>
        <w:rPr>
          <w:sz w:val="26"/>
          <w:szCs w:val="26"/>
        </w:rPr>
        <w:t>DAVIES J:</w:t>
      </w:r>
    </w:p>
    <w:p w14:paraId="34B0A84E" w14:textId="77777777" w:rsidR="0051434F" w:rsidRDefault="00E64007" w:rsidP="00E64007">
      <w:pPr>
        <w:pStyle w:val="Heading1"/>
      </w:pPr>
      <w:r>
        <w:t>Introduction</w:t>
      </w:r>
    </w:p>
    <w:p w14:paraId="78357A7F" w14:textId="2DED15F7" w:rsidR="0086430C" w:rsidRDefault="00E64007" w:rsidP="0051434F">
      <w:pPr>
        <w:pStyle w:val="ParaNumbering"/>
      </w:pPr>
      <w:r>
        <w:t>The applicant (</w:t>
      </w:r>
      <w:r>
        <w:rPr>
          <w:b/>
        </w:rPr>
        <w:t>LMGI</w:t>
      </w:r>
      <w:r>
        <w:t>) and the second res</w:t>
      </w:r>
      <w:r w:rsidRPr="00687CAC">
        <w:t>pondent (</w:t>
      </w:r>
      <w:r w:rsidRPr="00687CAC">
        <w:rPr>
          <w:b/>
        </w:rPr>
        <w:t>LMA</w:t>
      </w:r>
      <w:r w:rsidRPr="00687CAC">
        <w:t xml:space="preserve">) are members of the La Mancha Group, </w:t>
      </w:r>
      <w:r w:rsidR="00840503" w:rsidRPr="00687CAC">
        <w:t xml:space="preserve">a corporate group </w:t>
      </w:r>
      <w:r w:rsidR="0086430C" w:rsidRPr="00687CAC">
        <w:t>investing</w:t>
      </w:r>
      <w:r w:rsidRPr="00687CAC">
        <w:t xml:space="preserve"> in resources</w:t>
      </w:r>
      <w:r w:rsidR="00D96B81" w:rsidRPr="00687CAC">
        <w:t xml:space="preserve"> projects</w:t>
      </w:r>
      <w:r w:rsidRPr="00687CAC">
        <w:t xml:space="preserve"> globally.  LMGI is a private</w:t>
      </w:r>
      <w:r w:rsidR="003B6F70" w:rsidRPr="00687CAC">
        <w:t xml:space="preserve"> limited company incorporated in the Netherlands and LMA is a private limited</w:t>
      </w:r>
      <w:r w:rsidR="00D96B81" w:rsidRPr="00687CAC">
        <w:t xml:space="preserve"> liability</w:t>
      </w:r>
      <w:r w:rsidR="003B6F70" w:rsidRPr="00687CAC">
        <w:t xml:space="preserve"> company incorporated under the laws of Luxemb</w:t>
      </w:r>
      <w:r w:rsidR="00072ABB" w:rsidRPr="00687CAC">
        <w:t>o</w:t>
      </w:r>
      <w:r w:rsidR="003B6F70" w:rsidRPr="00687CAC">
        <w:t xml:space="preserve">urg.  </w:t>
      </w:r>
      <w:r w:rsidR="002A4822" w:rsidRPr="00687CAC">
        <w:t>Both companies are wholly owned by La Mancha</w:t>
      </w:r>
      <w:r w:rsidR="002A4822">
        <w:t xml:space="preserve"> Precious Metals SA, a public limited company organised under the laws of Luxemb</w:t>
      </w:r>
      <w:r w:rsidR="00072ABB">
        <w:t>o</w:t>
      </w:r>
      <w:r w:rsidR="002A4822">
        <w:t xml:space="preserve">urg.  As part of </w:t>
      </w:r>
      <w:r w:rsidR="007A166C">
        <w:t>a</w:t>
      </w:r>
      <w:r w:rsidR="00FE005E">
        <w:t xml:space="preserve"> corporate </w:t>
      </w:r>
      <w:r w:rsidR="00BA4AC9">
        <w:t>reorganisation o</w:t>
      </w:r>
      <w:r w:rsidR="002A4822">
        <w:t xml:space="preserve">f the La Mancha Group, LMGI </w:t>
      </w:r>
      <w:r w:rsidR="007A166C">
        <w:t xml:space="preserve">and LMA are to be </w:t>
      </w:r>
      <w:r w:rsidR="007A166C" w:rsidRPr="00687CAC">
        <w:t xml:space="preserve">merged </w:t>
      </w:r>
      <w:r w:rsidR="008C49AE" w:rsidRPr="00687CAC">
        <w:t xml:space="preserve">in accordance with </w:t>
      </w:r>
      <w:r w:rsidR="003A6536" w:rsidRPr="00687CAC">
        <w:t xml:space="preserve">the </w:t>
      </w:r>
      <w:r w:rsidR="00A94FE0" w:rsidRPr="00687CAC">
        <w:t xml:space="preserve">requirements of the </w:t>
      </w:r>
      <w:r w:rsidR="003A6536" w:rsidRPr="00687CAC">
        <w:t xml:space="preserve">Dutch </w:t>
      </w:r>
      <w:r w:rsidR="00A94FE0" w:rsidRPr="00687CAC">
        <w:t xml:space="preserve">and </w:t>
      </w:r>
      <w:r w:rsidR="003337D8" w:rsidRPr="00687CAC">
        <w:t>Luxemb</w:t>
      </w:r>
      <w:r w:rsidR="00072ABB" w:rsidRPr="00687CAC">
        <w:t>o</w:t>
      </w:r>
      <w:r w:rsidR="003337D8" w:rsidRPr="00687CAC">
        <w:t xml:space="preserve">urg </w:t>
      </w:r>
      <w:r w:rsidR="00A94FE0" w:rsidRPr="00687CAC">
        <w:t>cross</w:t>
      </w:r>
      <w:r w:rsidR="00D96B81" w:rsidRPr="00687CAC">
        <w:t>-</w:t>
      </w:r>
      <w:r w:rsidR="00A94FE0" w:rsidRPr="00687CAC">
        <w:t>borde</w:t>
      </w:r>
      <w:r w:rsidR="00A94FE0">
        <w:t xml:space="preserve">r merger laws, </w:t>
      </w:r>
      <w:r w:rsidR="00E65454">
        <w:t>pursuant to which the assets and liabilities of LMGI will transfer by universal succession of title to LMA</w:t>
      </w:r>
      <w:r w:rsidR="00E65454" w:rsidRPr="00E65454">
        <w:t xml:space="preserve"> </w:t>
      </w:r>
      <w:r w:rsidR="00E65454">
        <w:t xml:space="preserve">as the surviving company and </w:t>
      </w:r>
      <w:r w:rsidR="003337D8">
        <w:t>LMGI, as the disappearing company, will</w:t>
      </w:r>
      <w:r w:rsidR="008C49AE">
        <w:t xml:space="preserve"> cease to exist</w:t>
      </w:r>
      <w:r w:rsidR="003337D8">
        <w:t xml:space="preserve">.  </w:t>
      </w:r>
      <w:r w:rsidR="00846011">
        <w:t>LMGI has extant tax</w:t>
      </w:r>
      <w:r w:rsidR="003B67B3">
        <w:t xml:space="preserve"> liabilities under Australian taxation laws and a condition precedent to the merger is an order or judgment of an Australian court confirming, in proceedings to </w:t>
      </w:r>
      <w:r w:rsidR="00836FE6">
        <w:t>which</w:t>
      </w:r>
      <w:r w:rsidR="003B67B3">
        <w:t xml:space="preserve"> LMGI is a party, that upon completion of the </w:t>
      </w:r>
      <w:r w:rsidR="00456030">
        <w:t xml:space="preserve">merger, </w:t>
      </w:r>
      <w:r w:rsidR="00C934C3">
        <w:t>LMA as the surviving company as legal success</w:t>
      </w:r>
      <w:r w:rsidR="00C934C3" w:rsidRPr="007A3DA7">
        <w:t xml:space="preserve">or of LMGI is entitled to exercise all the objection and appeal rights pursuant to </w:t>
      </w:r>
      <w:proofErr w:type="spellStart"/>
      <w:r w:rsidR="009367D4" w:rsidRPr="007A3DA7">
        <w:t>p</w:t>
      </w:r>
      <w:r w:rsidR="00C934C3" w:rsidRPr="007A3DA7">
        <w:t>t</w:t>
      </w:r>
      <w:proofErr w:type="spellEnd"/>
      <w:r w:rsidR="00C934C3" w:rsidRPr="007A3DA7">
        <w:t xml:space="preserve"> IVC of the </w:t>
      </w:r>
      <w:r w:rsidR="00C934C3" w:rsidRPr="00FF33AC">
        <w:rPr>
          <w:i/>
        </w:rPr>
        <w:t>Tax</w:t>
      </w:r>
      <w:r w:rsidR="009367D4" w:rsidRPr="00FF33AC">
        <w:rPr>
          <w:i/>
        </w:rPr>
        <w:t>ation</w:t>
      </w:r>
      <w:r w:rsidR="00C934C3" w:rsidRPr="00FF33AC">
        <w:rPr>
          <w:i/>
        </w:rPr>
        <w:t xml:space="preserve"> Administration Act 1953 </w:t>
      </w:r>
      <w:r w:rsidR="00C934C3" w:rsidRPr="00FF33AC">
        <w:t>(</w:t>
      </w:r>
      <w:proofErr w:type="spellStart"/>
      <w:r w:rsidR="00C934C3" w:rsidRPr="00FF33AC">
        <w:t>Cth</w:t>
      </w:r>
      <w:proofErr w:type="spellEnd"/>
      <w:r w:rsidR="00C934C3" w:rsidRPr="00FF33AC">
        <w:t>)</w:t>
      </w:r>
      <w:r w:rsidR="008671D9" w:rsidRPr="007A3DA7">
        <w:t xml:space="preserve"> (</w:t>
      </w:r>
      <w:r w:rsidR="008671D9" w:rsidRPr="007A3DA7">
        <w:rPr>
          <w:b/>
        </w:rPr>
        <w:t>Taxation Administration Act</w:t>
      </w:r>
      <w:r w:rsidR="008671D9" w:rsidRPr="007A3DA7">
        <w:t>)</w:t>
      </w:r>
      <w:r w:rsidR="00C934C3" w:rsidRPr="007A3DA7">
        <w:t xml:space="preserve"> in objection or appeal p</w:t>
      </w:r>
      <w:r w:rsidR="00AE7F6F" w:rsidRPr="007A3DA7">
        <w:t xml:space="preserve">roceedings currently on foot or </w:t>
      </w:r>
      <w:r w:rsidR="00C934C3" w:rsidRPr="007A3DA7">
        <w:t xml:space="preserve">to be brought </w:t>
      </w:r>
      <w:r w:rsidR="00AE7F6F" w:rsidRPr="007A3DA7">
        <w:t>in respect of assessments issued or to be issued to LMGI.</w:t>
      </w:r>
      <w:r w:rsidR="00AE7F6F">
        <w:t xml:space="preserve">  </w:t>
      </w:r>
    </w:p>
    <w:p w14:paraId="36A942E3" w14:textId="4FFEA4E0" w:rsidR="00E64007" w:rsidRDefault="00AE7F6F" w:rsidP="0051434F">
      <w:pPr>
        <w:pStyle w:val="ParaNumbering"/>
      </w:pPr>
      <w:r>
        <w:t xml:space="preserve">By these </w:t>
      </w:r>
      <w:r w:rsidRPr="007A3DA7">
        <w:t>proceedings</w:t>
      </w:r>
      <w:r w:rsidR="008671D9" w:rsidRPr="007A3DA7">
        <w:t>,</w:t>
      </w:r>
      <w:r w:rsidRPr="007A3DA7">
        <w:t xml:space="preserve"> which have been brought under s 39B of the </w:t>
      </w:r>
      <w:r w:rsidRPr="00FF33AC">
        <w:rPr>
          <w:i/>
        </w:rPr>
        <w:t>Judiciary Act 1903</w:t>
      </w:r>
      <w:r w:rsidR="008671D9" w:rsidRPr="00FF33AC">
        <w:rPr>
          <w:i/>
        </w:rPr>
        <w:t xml:space="preserve"> </w:t>
      </w:r>
      <w:r w:rsidR="008671D9" w:rsidRPr="00FF33AC">
        <w:t>(</w:t>
      </w:r>
      <w:proofErr w:type="spellStart"/>
      <w:r w:rsidR="008671D9" w:rsidRPr="00FF33AC">
        <w:t>Cth</w:t>
      </w:r>
      <w:proofErr w:type="spellEnd"/>
      <w:r w:rsidR="008671D9" w:rsidRPr="00FF33AC">
        <w:t>)</w:t>
      </w:r>
      <w:r w:rsidR="00565A4D" w:rsidRPr="00FF33AC">
        <w:t xml:space="preserve"> </w:t>
      </w:r>
      <w:r w:rsidR="00565A4D" w:rsidRPr="007A3DA7">
        <w:t>(</w:t>
      </w:r>
      <w:r w:rsidR="00565A4D" w:rsidRPr="007A3DA7">
        <w:rPr>
          <w:b/>
        </w:rPr>
        <w:t>Judiciary Act</w:t>
      </w:r>
      <w:r w:rsidR="00565A4D" w:rsidRPr="007A3DA7">
        <w:t>)</w:t>
      </w:r>
      <w:r w:rsidRPr="007A3DA7">
        <w:t xml:space="preserve">, </w:t>
      </w:r>
      <w:r w:rsidR="00374363" w:rsidRPr="007A3DA7">
        <w:t xml:space="preserve">LMGI </w:t>
      </w:r>
      <w:r w:rsidRPr="007A3DA7">
        <w:t>see</w:t>
      </w:r>
      <w:r>
        <w:t>k</w:t>
      </w:r>
      <w:r w:rsidR="00374363">
        <w:t>s</w:t>
      </w:r>
      <w:r>
        <w:t xml:space="preserve"> the following declaratory relief:</w:t>
      </w:r>
    </w:p>
    <w:p w14:paraId="1677D5E9" w14:textId="77777777" w:rsidR="003353B4" w:rsidRDefault="00AE7F6F" w:rsidP="003353B4">
      <w:pPr>
        <w:pStyle w:val="Quote1"/>
      </w:pPr>
      <w:r>
        <w:t xml:space="preserve">A declaration, pursuant to s </w:t>
      </w:r>
      <w:proofErr w:type="gramStart"/>
      <w:r>
        <w:t>39B(</w:t>
      </w:r>
      <w:proofErr w:type="gramEnd"/>
      <w:r>
        <w:t>1A)(c) of the</w:t>
      </w:r>
      <w:r w:rsidRPr="008671D9">
        <w:rPr>
          <w:i/>
        </w:rPr>
        <w:t xml:space="preserve"> Judiciary Act 1903</w:t>
      </w:r>
      <w:r>
        <w:t xml:space="preserve"> (</w:t>
      </w:r>
      <w:proofErr w:type="spellStart"/>
      <w:r>
        <w:t>Cth</w:t>
      </w:r>
      <w:proofErr w:type="spellEnd"/>
      <w:r>
        <w:t xml:space="preserve">) and s 21 of the </w:t>
      </w:r>
      <w:r w:rsidRPr="008671D9">
        <w:rPr>
          <w:i/>
        </w:rPr>
        <w:t>Federal Court of Australia Act 1976</w:t>
      </w:r>
      <w:r>
        <w:t xml:space="preserve"> (</w:t>
      </w:r>
      <w:proofErr w:type="spellStart"/>
      <w:r>
        <w:t>Cth</w:t>
      </w:r>
      <w:proofErr w:type="spellEnd"/>
      <w:r>
        <w:t>) that upon completion of the Merger the subject of the Merger Proposal dated 3 November 2020 and approved by the Board of Managers and Directors on 3 November 2020, the Second Respondent, as Surviving Company and legal successor of the Applicant is:</w:t>
      </w:r>
    </w:p>
    <w:p w14:paraId="0E55FE26" w14:textId="77777777" w:rsidR="003353B4" w:rsidRDefault="00AE7F6F" w:rsidP="003353B4">
      <w:pPr>
        <w:pStyle w:val="Quote1"/>
        <w:ind w:left="1440" w:hanging="703"/>
      </w:pPr>
      <w:r>
        <w:t xml:space="preserve">a. </w:t>
      </w:r>
      <w:r w:rsidR="003353B4">
        <w:tab/>
      </w:r>
      <w:r>
        <w:t xml:space="preserve">subject to such liability (as the Applicant otherwise had) to income tax under s 5-5 of the </w:t>
      </w:r>
      <w:r w:rsidRPr="008671D9">
        <w:rPr>
          <w:i/>
        </w:rPr>
        <w:t>Income Tax Assessment Act 1997</w:t>
      </w:r>
      <w:r>
        <w:t xml:space="preserve"> (</w:t>
      </w:r>
      <w:proofErr w:type="spellStart"/>
      <w:r>
        <w:t>Cth</w:t>
      </w:r>
      <w:proofErr w:type="spellEnd"/>
      <w:r>
        <w:t xml:space="preserve">) as a result of notices of assessment or notices of amended assessment issued or deemed to be issued to the applicant for the years ended 30 June 2016, </w:t>
      </w:r>
      <w:r w:rsidR="003353B4">
        <w:t>2017, 2018 and 2019 on 13 </w:t>
      </w:r>
      <w:r>
        <w:t xml:space="preserve">August 2018, 12 September 2018, 27 September 2018 and/or 9 July 2020 (including as subsequently amended), and is liable to be assessed to any further tax liabilities to which the applicant could otherwise have been assessed under that Act or the </w:t>
      </w:r>
      <w:r w:rsidRPr="008671D9">
        <w:rPr>
          <w:i/>
        </w:rPr>
        <w:t>Income Tax Assessment Act 1936</w:t>
      </w:r>
      <w:r>
        <w:t>, together with any interest which accrues on those assessments or other liabilities; and</w:t>
      </w:r>
    </w:p>
    <w:p w14:paraId="1403BB9E" w14:textId="77777777" w:rsidR="00AE7F6F" w:rsidRDefault="00AE7F6F" w:rsidP="003353B4">
      <w:pPr>
        <w:pStyle w:val="Quote1"/>
        <w:ind w:left="1440" w:hanging="703"/>
      </w:pPr>
      <w:r>
        <w:lastRenderedPageBreak/>
        <w:t xml:space="preserve">b. </w:t>
      </w:r>
      <w:r w:rsidR="003353B4">
        <w:tab/>
      </w:r>
      <w:r>
        <w:t xml:space="preserve">entitled to exercise all Objection and Appeal rights pursuant to Part IVC of the </w:t>
      </w:r>
      <w:r w:rsidRPr="008671D9">
        <w:rPr>
          <w:i/>
        </w:rPr>
        <w:t>Tax Administration Act 1953</w:t>
      </w:r>
      <w:r>
        <w:t xml:space="preserve"> (</w:t>
      </w:r>
      <w:proofErr w:type="spellStart"/>
      <w:r>
        <w:t>Cth</w:t>
      </w:r>
      <w:proofErr w:type="spellEnd"/>
      <w:r>
        <w:t>) in objection or appeal proceedings currently on foot or to be brought in respect of those and any other Assessments issued or to be issued to the Applicant or in relation to its asserted liabilities to taxation under the laws of Australia.</w:t>
      </w:r>
    </w:p>
    <w:p w14:paraId="6E415EA2" w14:textId="39BC8D86" w:rsidR="00AE7F6F" w:rsidRPr="00DC08F4" w:rsidRDefault="003353B4" w:rsidP="0051434F">
      <w:pPr>
        <w:pStyle w:val="ParaNumbering"/>
      </w:pPr>
      <w:r>
        <w:t>The Commissioner of Taxation (</w:t>
      </w:r>
      <w:r>
        <w:rPr>
          <w:b/>
        </w:rPr>
        <w:t>Commissioner</w:t>
      </w:r>
      <w:r>
        <w:t xml:space="preserve">) is </w:t>
      </w:r>
      <w:r w:rsidR="0068546F">
        <w:t xml:space="preserve">a respondent </w:t>
      </w:r>
      <w:r>
        <w:t xml:space="preserve">to the </w:t>
      </w:r>
      <w:r w:rsidR="0002002A">
        <w:t xml:space="preserve">proceedings </w:t>
      </w:r>
      <w:r>
        <w:t>and has consented to the grant of the declaration sought.  Although the Commissioner has given his c</w:t>
      </w:r>
      <w:r w:rsidR="00457D1D">
        <w:t>onsent, whether the declaration</w:t>
      </w:r>
      <w:r>
        <w:t xml:space="preserve"> sought should be made is a matter for the Court.  For the </w:t>
      </w:r>
      <w:r w:rsidRPr="00DC08F4">
        <w:t xml:space="preserve">reasons that follow, I am satisfied as to the correctness of the declaration sought and as to the appropriateness of </w:t>
      </w:r>
      <w:r w:rsidR="00C1146B" w:rsidRPr="00DC08F4">
        <w:t>it</w:t>
      </w:r>
      <w:r w:rsidRPr="00DC08F4">
        <w:t xml:space="preserve"> being made. </w:t>
      </w:r>
    </w:p>
    <w:p w14:paraId="7BA8F593" w14:textId="16B16E30" w:rsidR="002C009E" w:rsidRPr="00C1146B" w:rsidRDefault="002C009E" w:rsidP="002C009E">
      <w:pPr>
        <w:pStyle w:val="Heading1"/>
      </w:pPr>
      <w:r w:rsidRPr="00DC08F4">
        <w:t>Proposed merger</w:t>
      </w:r>
    </w:p>
    <w:p w14:paraId="5CD85C91" w14:textId="19DE2E75" w:rsidR="00C70716" w:rsidRPr="00C70716" w:rsidRDefault="00C70716" w:rsidP="00C70716">
      <w:pPr>
        <w:pStyle w:val="ParaNumbering"/>
      </w:pPr>
      <w:r w:rsidRPr="00C1146B">
        <w:rPr>
          <w:rFonts w:ascii="TimesNewRomanPSMT" w:hAnsi="TimesNewRomanPSMT" w:cs="TimesNewRomanPSMT"/>
          <w:szCs w:val="24"/>
          <w:lang w:eastAsia="en-AU"/>
        </w:rPr>
        <w:t>Under the proposed merger, LMGI is referred to a</w:t>
      </w:r>
      <w:r w:rsidR="00EF6845" w:rsidRPr="00C1146B">
        <w:rPr>
          <w:rFonts w:ascii="TimesNewRomanPSMT" w:hAnsi="TimesNewRomanPSMT" w:cs="TimesNewRomanPSMT"/>
          <w:szCs w:val="24"/>
          <w:lang w:eastAsia="en-AU"/>
        </w:rPr>
        <w:t>s the “Disappearing Company”,</w:t>
      </w:r>
      <w:r w:rsidRPr="00C1146B">
        <w:rPr>
          <w:rFonts w:ascii="TimesNewRomanPSMT" w:hAnsi="TimesNewRomanPSMT" w:cs="TimesNewRomanPSMT"/>
          <w:szCs w:val="24"/>
          <w:lang w:eastAsia="en-AU"/>
        </w:rPr>
        <w:t xml:space="preserve"> LMA is referred to as the “Surviving</w:t>
      </w:r>
      <w:r w:rsidRPr="00C1146B">
        <w:t xml:space="preserve"> </w:t>
      </w:r>
      <w:r w:rsidRPr="00C1146B">
        <w:rPr>
          <w:rFonts w:ascii="TimesNewRomanPSMT" w:hAnsi="TimesNewRomanPSMT" w:cs="TimesNewRomanPSMT"/>
          <w:szCs w:val="24"/>
          <w:lang w:eastAsia="en-AU"/>
        </w:rPr>
        <w:t xml:space="preserve">Company” and together </w:t>
      </w:r>
      <w:r w:rsidR="00EF6845" w:rsidRPr="00C1146B">
        <w:rPr>
          <w:rFonts w:ascii="TimesNewRomanPSMT" w:hAnsi="TimesNewRomanPSMT" w:cs="TimesNewRomanPSMT"/>
          <w:szCs w:val="24"/>
          <w:lang w:eastAsia="en-AU"/>
        </w:rPr>
        <w:t xml:space="preserve">they are referred to </w:t>
      </w:r>
      <w:r w:rsidRPr="00C1146B">
        <w:rPr>
          <w:rFonts w:ascii="TimesNewRomanPSMT" w:hAnsi="TimesNewRomanPSMT" w:cs="TimesNewRomanPSMT"/>
          <w:szCs w:val="24"/>
          <w:lang w:eastAsia="en-AU"/>
        </w:rPr>
        <w:t xml:space="preserve">as the “Merging Companies”. </w:t>
      </w:r>
      <w:r w:rsidR="00EF6845" w:rsidRPr="00C1146B">
        <w:rPr>
          <w:rFonts w:ascii="TimesNewRomanPSMT" w:hAnsi="TimesNewRomanPSMT" w:cs="TimesNewRomanPSMT"/>
          <w:szCs w:val="24"/>
          <w:lang w:eastAsia="en-AU"/>
        </w:rPr>
        <w:t xml:space="preserve"> Recital </w:t>
      </w:r>
      <w:r w:rsidRPr="00C1146B">
        <w:rPr>
          <w:rFonts w:ascii="TimesNewRomanPSMT" w:hAnsi="TimesNewRomanPSMT" w:cs="TimesNewRomanPSMT"/>
          <w:szCs w:val="24"/>
          <w:lang w:eastAsia="en-AU"/>
        </w:rPr>
        <w:t>A of the “Proposal for a Cross Border Merger” (</w:t>
      </w:r>
      <w:r w:rsidRPr="00C1146B">
        <w:rPr>
          <w:rFonts w:ascii="TimesNewRomanPS-BoldMT" w:hAnsi="TimesNewRomanPS-BoldMT" w:cs="TimesNewRomanPS-BoldMT"/>
          <w:b/>
          <w:bCs/>
          <w:szCs w:val="24"/>
          <w:lang w:eastAsia="en-AU"/>
        </w:rPr>
        <w:t>Merger Propos</w:t>
      </w:r>
      <w:r w:rsidRPr="00C70716">
        <w:rPr>
          <w:rFonts w:ascii="TimesNewRomanPS-BoldMT" w:hAnsi="TimesNewRomanPS-BoldMT" w:cs="TimesNewRomanPS-BoldMT"/>
          <w:b/>
          <w:bCs/>
          <w:szCs w:val="24"/>
          <w:lang w:eastAsia="en-AU"/>
        </w:rPr>
        <w:t>al</w:t>
      </w:r>
      <w:r w:rsidRPr="00C70716">
        <w:rPr>
          <w:rFonts w:ascii="TimesNewRomanPSMT" w:hAnsi="TimesNewRomanPSMT" w:cs="TimesNewRomanPSMT"/>
          <w:szCs w:val="24"/>
          <w:lang w:eastAsia="en-AU"/>
        </w:rPr>
        <w:t>) records as follows:</w:t>
      </w:r>
    </w:p>
    <w:p w14:paraId="73642048" w14:textId="77777777" w:rsidR="00C70716" w:rsidRDefault="00C70716" w:rsidP="000C3CC1">
      <w:pPr>
        <w:pStyle w:val="Quote1"/>
        <w:rPr>
          <w:lang w:eastAsia="en-AU"/>
        </w:rPr>
      </w:pPr>
      <w:r>
        <w:rPr>
          <w:lang w:eastAsia="en-AU"/>
        </w:rPr>
        <w:t>The Merging Companies wish to enter into a cross-border merger within the</w:t>
      </w:r>
      <w:r w:rsidR="000C3CC1">
        <w:rPr>
          <w:lang w:eastAsia="en-AU"/>
        </w:rPr>
        <w:t xml:space="preserve"> </w:t>
      </w:r>
      <w:r>
        <w:rPr>
          <w:lang w:eastAsia="en-AU"/>
        </w:rPr>
        <w:t>meaning of sections 2:309 and 2:333b(1) of the Dutch Civil Code (“</w:t>
      </w:r>
      <w:r>
        <w:rPr>
          <w:rFonts w:ascii="TimesNewRomanPS-BoldMT" w:hAnsi="TimesNewRomanPS-BoldMT" w:cs="TimesNewRomanPS-BoldMT"/>
          <w:b/>
          <w:bCs/>
          <w:lang w:eastAsia="en-AU"/>
        </w:rPr>
        <w:t>DCC</w:t>
      </w:r>
      <w:r w:rsidR="000C3CC1">
        <w:rPr>
          <w:lang w:eastAsia="en-AU"/>
        </w:rPr>
        <w:t xml:space="preserve">”) and </w:t>
      </w:r>
      <w:r>
        <w:rPr>
          <w:lang w:eastAsia="en-AU"/>
        </w:rPr>
        <w:t>articles 1021-1 et seq</w:t>
      </w:r>
      <w:r w:rsidR="00EF6845">
        <w:rPr>
          <w:lang w:eastAsia="en-AU"/>
        </w:rPr>
        <w:t>.</w:t>
      </w:r>
      <w:r>
        <w:rPr>
          <w:lang w:eastAsia="en-AU"/>
        </w:rPr>
        <w:t xml:space="preserve"> of the Luxembourg Compan</w:t>
      </w:r>
      <w:r w:rsidR="000C3CC1">
        <w:rPr>
          <w:lang w:eastAsia="en-AU"/>
        </w:rPr>
        <w:t xml:space="preserve">ies Act on commercial companies </w:t>
      </w:r>
      <w:r w:rsidR="00EF6845">
        <w:rPr>
          <w:lang w:eastAsia="en-AU"/>
        </w:rPr>
        <w:t>dated 10 August </w:t>
      </w:r>
      <w:r>
        <w:rPr>
          <w:lang w:eastAsia="en-AU"/>
        </w:rPr>
        <w:t>1915, as amended from time to time (the “</w:t>
      </w:r>
      <w:r>
        <w:rPr>
          <w:rFonts w:ascii="TimesNewRomanPS-BoldMT" w:hAnsi="TimesNewRomanPS-BoldMT" w:cs="TimesNewRomanPS-BoldMT"/>
          <w:b/>
          <w:bCs/>
          <w:lang w:eastAsia="en-AU"/>
        </w:rPr>
        <w:t>Luxembourg</w:t>
      </w:r>
      <w:r w:rsidR="000C3CC1">
        <w:rPr>
          <w:lang w:eastAsia="en-AU"/>
        </w:rPr>
        <w:t xml:space="preserve"> </w:t>
      </w:r>
      <w:r>
        <w:rPr>
          <w:rFonts w:ascii="TimesNewRomanPS-BoldMT" w:hAnsi="TimesNewRomanPS-BoldMT" w:cs="TimesNewRomanPS-BoldMT"/>
          <w:b/>
          <w:bCs/>
          <w:lang w:eastAsia="en-AU"/>
        </w:rPr>
        <w:t>Companies Act</w:t>
      </w:r>
      <w:r>
        <w:rPr>
          <w:lang w:eastAsia="en-AU"/>
        </w:rPr>
        <w:t>”), pursuant to which [LMGI]</w:t>
      </w:r>
      <w:r w:rsidR="000C3CC1">
        <w:rPr>
          <w:lang w:eastAsia="en-AU"/>
        </w:rPr>
        <w:t xml:space="preserve"> as disappearing company (the </w:t>
      </w:r>
      <w:r>
        <w:rPr>
          <w:lang w:eastAsia="en-AU"/>
        </w:rPr>
        <w:t>“</w:t>
      </w:r>
      <w:r>
        <w:rPr>
          <w:rFonts w:ascii="TimesNewRomanPS-BoldMT" w:hAnsi="TimesNewRomanPS-BoldMT" w:cs="TimesNewRomanPS-BoldMT"/>
          <w:b/>
          <w:bCs/>
          <w:lang w:eastAsia="en-AU"/>
        </w:rPr>
        <w:t>Disappearing Company</w:t>
      </w:r>
      <w:r>
        <w:rPr>
          <w:lang w:eastAsia="en-AU"/>
        </w:rPr>
        <w:t xml:space="preserve">”) will merge with and </w:t>
      </w:r>
      <w:r w:rsidR="000C3CC1">
        <w:rPr>
          <w:lang w:eastAsia="en-AU"/>
        </w:rPr>
        <w:t xml:space="preserve">into [LMA] as surviving company </w:t>
      </w:r>
      <w:r>
        <w:rPr>
          <w:lang w:eastAsia="en-AU"/>
        </w:rPr>
        <w:t>(the “</w:t>
      </w:r>
      <w:r>
        <w:rPr>
          <w:rFonts w:ascii="TimesNewRomanPS-BoldMT" w:hAnsi="TimesNewRomanPS-BoldMT" w:cs="TimesNewRomanPS-BoldMT"/>
          <w:b/>
          <w:bCs/>
          <w:lang w:eastAsia="en-AU"/>
        </w:rPr>
        <w:t>Surviving Company</w:t>
      </w:r>
      <w:r>
        <w:rPr>
          <w:lang w:eastAsia="en-AU"/>
        </w:rPr>
        <w:t>”) as a result of whic</w:t>
      </w:r>
      <w:r w:rsidR="000C3CC1">
        <w:rPr>
          <w:lang w:eastAsia="en-AU"/>
        </w:rPr>
        <w:t xml:space="preserve">h the Disappearing Company will </w:t>
      </w:r>
      <w:r>
        <w:rPr>
          <w:lang w:eastAsia="en-AU"/>
        </w:rPr>
        <w:t>cease to exist and all assets and liabilities of t</w:t>
      </w:r>
      <w:r w:rsidR="000C3CC1">
        <w:rPr>
          <w:lang w:eastAsia="en-AU"/>
        </w:rPr>
        <w:t xml:space="preserve">he Disappearing Company will be </w:t>
      </w:r>
      <w:r>
        <w:rPr>
          <w:lang w:eastAsia="en-AU"/>
        </w:rPr>
        <w:t>transferred to the Surviving Company by universal success</w:t>
      </w:r>
      <w:r w:rsidR="000C3CC1">
        <w:rPr>
          <w:lang w:eastAsia="en-AU"/>
        </w:rPr>
        <w:t xml:space="preserve">ion of title in accordance </w:t>
      </w:r>
      <w:r>
        <w:rPr>
          <w:lang w:eastAsia="en-AU"/>
        </w:rPr>
        <w:t>with Articles 2:309 and 2:311(1) of the</w:t>
      </w:r>
      <w:r w:rsidR="000C3CC1">
        <w:rPr>
          <w:lang w:eastAsia="en-AU"/>
        </w:rPr>
        <w:t xml:space="preserve"> DCC and Article 1021-17 of the </w:t>
      </w:r>
      <w:r>
        <w:rPr>
          <w:lang w:eastAsia="en-AU"/>
        </w:rPr>
        <w:t>Luxembourg Companies Act” (the “</w:t>
      </w:r>
      <w:r>
        <w:rPr>
          <w:rFonts w:ascii="TimesNewRomanPS-BoldMT" w:hAnsi="TimesNewRomanPS-BoldMT" w:cs="TimesNewRomanPS-BoldMT"/>
          <w:b/>
          <w:bCs/>
          <w:lang w:eastAsia="en-AU"/>
        </w:rPr>
        <w:t>Merger</w:t>
      </w:r>
      <w:r>
        <w:rPr>
          <w:lang w:eastAsia="en-AU"/>
        </w:rPr>
        <w:t>”).</w:t>
      </w:r>
      <w:r w:rsidR="008631AD">
        <w:rPr>
          <w:lang w:eastAsia="en-AU"/>
        </w:rPr>
        <w:t xml:space="preserve"> </w:t>
      </w:r>
    </w:p>
    <w:p w14:paraId="633762CA" w14:textId="77777777" w:rsidR="006D5FF9" w:rsidRDefault="00EF6845" w:rsidP="006D5FF9">
      <w:pPr>
        <w:pStyle w:val="ParaNumbering"/>
        <w:rPr>
          <w:lang w:eastAsia="en-AU"/>
        </w:rPr>
      </w:pPr>
      <w:r w:rsidRPr="007A3DA7">
        <w:rPr>
          <w:lang w:eastAsia="en-AU"/>
        </w:rPr>
        <w:t>To effect the m</w:t>
      </w:r>
      <w:r w:rsidR="006D5FF9" w:rsidRPr="007A3DA7">
        <w:rPr>
          <w:lang w:eastAsia="en-AU"/>
        </w:rPr>
        <w:t xml:space="preserve">erger, LMA will, in consideration of the transfer of the assets and liabilities of LMGI </w:t>
      </w:r>
      <w:r w:rsidR="006D5FF9" w:rsidRPr="007A3DA7">
        <w:rPr>
          <w:rFonts w:ascii="TimesNewRomanPSMT" w:hAnsi="TimesNewRomanPSMT" w:cs="TimesNewRomanPSMT"/>
          <w:szCs w:val="24"/>
          <w:lang w:eastAsia="en-AU"/>
        </w:rPr>
        <w:t>valued at EUR 498,307,845 by universal succession</w:t>
      </w:r>
      <w:r w:rsidRPr="007A3DA7">
        <w:rPr>
          <w:rFonts w:ascii="TimesNewRomanPSMT" w:hAnsi="TimesNewRomanPSMT" w:cs="TimesNewRomanPSMT"/>
          <w:szCs w:val="24"/>
          <w:lang w:eastAsia="en-AU"/>
        </w:rPr>
        <w:t xml:space="preserve"> of title</w:t>
      </w:r>
      <w:r w:rsidR="006D5FF9" w:rsidRPr="007A3DA7">
        <w:rPr>
          <w:rFonts w:ascii="TimesNewRomanPSMT" w:hAnsi="TimesNewRomanPSMT" w:cs="TimesNewRomanPSMT"/>
          <w:szCs w:val="24"/>
          <w:lang w:eastAsia="en-AU"/>
        </w:rPr>
        <w:t xml:space="preserve">, increase its share capital by an amount equal to EUR 18,000 fully paid up and allocate the amount of EUR 498,289,345 to </w:t>
      </w:r>
      <w:r w:rsidR="00C30A6F" w:rsidRPr="007A3DA7">
        <w:rPr>
          <w:rFonts w:ascii="TimesNewRomanPSMT" w:hAnsi="TimesNewRomanPSMT" w:cs="TimesNewRomanPSMT"/>
          <w:szCs w:val="24"/>
          <w:lang w:eastAsia="en-AU"/>
        </w:rPr>
        <w:t>the</w:t>
      </w:r>
      <w:r w:rsidR="006D5FF9" w:rsidRPr="007A3DA7">
        <w:rPr>
          <w:rFonts w:ascii="TimesNewRomanPSMT" w:hAnsi="TimesNewRomanPSMT" w:cs="TimesNewRomanPSMT"/>
          <w:szCs w:val="24"/>
          <w:lang w:eastAsia="en-AU"/>
        </w:rPr>
        <w:t xml:space="preserve"> merger premium account</w:t>
      </w:r>
      <w:r w:rsidR="00C30A6F" w:rsidRPr="007A3DA7">
        <w:rPr>
          <w:rFonts w:ascii="TimesNewRomanPSMT" w:hAnsi="TimesNewRomanPSMT" w:cs="TimesNewRomanPSMT"/>
          <w:szCs w:val="24"/>
          <w:lang w:eastAsia="en-AU"/>
        </w:rPr>
        <w:t xml:space="preserve"> of LMA</w:t>
      </w:r>
      <w:r w:rsidR="006D5FF9" w:rsidRPr="007A3DA7">
        <w:rPr>
          <w:rFonts w:ascii="TimesNewRomanPSMT" w:hAnsi="TimesNewRomanPSMT" w:cs="TimesNewRomanPSMT"/>
          <w:szCs w:val="24"/>
          <w:lang w:eastAsia="en-AU"/>
        </w:rPr>
        <w:t xml:space="preserve">. </w:t>
      </w:r>
      <w:r w:rsidR="00C30A6F" w:rsidRPr="007A3DA7">
        <w:rPr>
          <w:rFonts w:ascii="TimesNewRomanPSMT" w:hAnsi="TimesNewRomanPSMT" w:cs="TimesNewRomanPSMT"/>
          <w:szCs w:val="24"/>
          <w:lang w:eastAsia="en-AU"/>
        </w:rPr>
        <w:t xml:space="preserve"> Upon completion of the m</w:t>
      </w:r>
      <w:r w:rsidR="006D5FF9" w:rsidRPr="007A3DA7">
        <w:rPr>
          <w:rFonts w:ascii="TimesNewRomanPSMT" w:hAnsi="TimesNewRomanPSMT" w:cs="TimesNewRomanPSMT"/>
          <w:szCs w:val="24"/>
          <w:lang w:eastAsia="en-AU"/>
        </w:rPr>
        <w:t>erger</w:t>
      </w:r>
      <w:r w:rsidR="00C30A6F" w:rsidRPr="007A3DA7">
        <w:rPr>
          <w:rFonts w:ascii="TimesNewRomanPSMT" w:hAnsi="TimesNewRomanPSMT" w:cs="TimesNewRomanPSMT"/>
          <w:szCs w:val="24"/>
          <w:lang w:eastAsia="en-AU"/>
        </w:rPr>
        <w:t xml:space="preserve"> and publication of the approval of the merger by the shareholder(s) of LMA in the </w:t>
      </w:r>
      <w:proofErr w:type="spellStart"/>
      <w:r w:rsidR="00C30A6F" w:rsidRPr="007A3DA7">
        <w:rPr>
          <w:rFonts w:ascii="TimesNewRomanPSMT" w:hAnsi="TimesNewRomanPSMT" w:cs="TimesNewRomanPSMT"/>
          <w:i/>
          <w:szCs w:val="24"/>
          <w:lang w:eastAsia="en-AU"/>
        </w:rPr>
        <w:t>Recueil</w:t>
      </w:r>
      <w:proofErr w:type="spellEnd"/>
      <w:r w:rsidR="00C30A6F" w:rsidRPr="007A3DA7">
        <w:rPr>
          <w:rFonts w:ascii="TimesNewRomanPSMT" w:hAnsi="TimesNewRomanPSMT" w:cs="TimesNewRomanPSMT"/>
          <w:i/>
          <w:szCs w:val="24"/>
          <w:lang w:eastAsia="en-AU"/>
        </w:rPr>
        <w:t xml:space="preserve"> </w:t>
      </w:r>
      <w:proofErr w:type="spellStart"/>
      <w:r w:rsidR="00C30A6F" w:rsidRPr="007A3DA7">
        <w:rPr>
          <w:rFonts w:ascii="TimesNewRomanPSMT" w:hAnsi="TimesNewRomanPSMT" w:cs="TimesNewRomanPSMT"/>
          <w:i/>
          <w:szCs w:val="24"/>
          <w:lang w:eastAsia="en-AU"/>
        </w:rPr>
        <w:t>Eletronique</w:t>
      </w:r>
      <w:proofErr w:type="spellEnd"/>
      <w:r w:rsidR="00C30A6F" w:rsidRPr="007A3DA7">
        <w:rPr>
          <w:rFonts w:ascii="TimesNewRomanPSMT" w:hAnsi="TimesNewRomanPSMT" w:cs="TimesNewRomanPSMT"/>
          <w:i/>
          <w:szCs w:val="24"/>
          <w:lang w:eastAsia="en-AU"/>
        </w:rPr>
        <w:t xml:space="preserve"> des </w:t>
      </w:r>
      <w:proofErr w:type="spellStart"/>
      <w:r w:rsidR="00C30A6F" w:rsidRPr="007A3DA7">
        <w:rPr>
          <w:rFonts w:ascii="TimesNewRomanPSMT" w:hAnsi="TimesNewRomanPSMT" w:cs="TimesNewRomanPSMT"/>
          <w:i/>
          <w:szCs w:val="24"/>
          <w:lang w:eastAsia="en-AU"/>
        </w:rPr>
        <w:t>Sociétés</w:t>
      </w:r>
      <w:proofErr w:type="spellEnd"/>
      <w:r w:rsidR="00C30A6F" w:rsidRPr="007A3DA7">
        <w:rPr>
          <w:rFonts w:ascii="TimesNewRomanPSMT" w:hAnsi="TimesNewRomanPSMT" w:cs="TimesNewRomanPSMT"/>
          <w:i/>
          <w:szCs w:val="24"/>
          <w:lang w:eastAsia="en-AU"/>
        </w:rPr>
        <w:t xml:space="preserve"> </w:t>
      </w:r>
      <w:proofErr w:type="gramStart"/>
      <w:r w:rsidR="00C30A6F" w:rsidRPr="007A3DA7">
        <w:rPr>
          <w:rFonts w:ascii="TimesNewRomanPSMT" w:hAnsi="TimesNewRomanPSMT" w:cs="TimesNewRomanPSMT"/>
          <w:i/>
          <w:szCs w:val="24"/>
          <w:lang w:eastAsia="en-AU"/>
        </w:rPr>
        <w:t>et</w:t>
      </w:r>
      <w:proofErr w:type="gramEnd"/>
      <w:r w:rsidR="00C30A6F" w:rsidRPr="007A3DA7">
        <w:rPr>
          <w:rFonts w:ascii="TimesNewRomanPSMT" w:hAnsi="TimesNewRomanPSMT" w:cs="TimesNewRomanPSMT"/>
          <w:i/>
          <w:szCs w:val="24"/>
          <w:lang w:eastAsia="en-AU"/>
        </w:rPr>
        <w:t xml:space="preserve"> Associations</w:t>
      </w:r>
      <w:r w:rsidR="006D5FF9" w:rsidRPr="007A3DA7">
        <w:rPr>
          <w:rFonts w:ascii="TimesNewRomanPSMT" w:hAnsi="TimesNewRomanPSMT" w:cs="TimesNewRomanPSMT"/>
          <w:szCs w:val="24"/>
          <w:lang w:eastAsia="en-AU"/>
        </w:rPr>
        <w:t>, all issued</w:t>
      </w:r>
      <w:r w:rsidR="00C30A6F" w:rsidRPr="007A3DA7">
        <w:rPr>
          <w:rFonts w:ascii="TimesNewRomanPSMT" w:hAnsi="TimesNewRomanPSMT" w:cs="TimesNewRomanPSMT"/>
          <w:szCs w:val="24"/>
          <w:lang w:eastAsia="en-AU"/>
        </w:rPr>
        <w:t xml:space="preserve"> and outstanding</w:t>
      </w:r>
      <w:r w:rsidR="006D5FF9" w:rsidRPr="007A3DA7">
        <w:rPr>
          <w:rFonts w:ascii="TimesNewRomanPSMT" w:hAnsi="TimesNewRomanPSMT" w:cs="TimesNewRomanPSMT"/>
          <w:szCs w:val="24"/>
          <w:lang w:eastAsia="en-AU"/>
        </w:rPr>
        <w:t xml:space="preserve"> shares in LMGI will lapse and LMGI will cease</w:t>
      </w:r>
      <w:r w:rsidR="006D5FF9" w:rsidRPr="007A3DA7">
        <w:rPr>
          <w:lang w:eastAsia="en-AU"/>
        </w:rPr>
        <w:t xml:space="preserve"> </w:t>
      </w:r>
      <w:r w:rsidR="00C30A6F" w:rsidRPr="007A3DA7">
        <w:rPr>
          <w:rFonts w:ascii="TimesNewRomanPSMT" w:hAnsi="TimesNewRomanPSMT" w:cs="TimesNewRomanPSMT"/>
          <w:szCs w:val="24"/>
          <w:lang w:eastAsia="en-AU"/>
        </w:rPr>
        <w:t xml:space="preserve">to exist (Merger Proposal at </w:t>
      </w:r>
      <w:proofErr w:type="spellStart"/>
      <w:r w:rsidR="00C30A6F" w:rsidRPr="007A3DA7">
        <w:rPr>
          <w:rFonts w:ascii="TimesNewRomanPSMT" w:hAnsi="TimesNewRomanPSMT" w:cs="TimesNewRomanPSMT"/>
          <w:szCs w:val="24"/>
          <w:lang w:eastAsia="en-AU"/>
        </w:rPr>
        <w:t>cls</w:t>
      </w:r>
      <w:proofErr w:type="spellEnd"/>
      <w:r w:rsidR="00C30A6F" w:rsidRPr="007A3DA7">
        <w:rPr>
          <w:rFonts w:ascii="TimesNewRomanPSMT" w:hAnsi="TimesNewRomanPSMT" w:cs="TimesNewRomanPSMT"/>
          <w:szCs w:val="24"/>
          <w:lang w:eastAsia="en-AU"/>
        </w:rPr>
        <w:t> 2.2 and</w:t>
      </w:r>
      <w:r w:rsidR="006D5FF9" w:rsidRPr="007A3DA7">
        <w:rPr>
          <w:rFonts w:ascii="TimesNewRomanPSMT" w:hAnsi="TimesNewRomanPSMT" w:cs="TimesNewRomanPSMT"/>
          <w:szCs w:val="24"/>
          <w:lang w:eastAsia="en-AU"/>
        </w:rPr>
        <w:t xml:space="preserve"> 4).</w:t>
      </w:r>
    </w:p>
    <w:p w14:paraId="520CD9B9" w14:textId="3C034FE3" w:rsidR="002C009E" w:rsidRDefault="002C009E" w:rsidP="002C009E">
      <w:pPr>
        <w:pStyle w:val="Heading1"/>
      </w:pPr>
      <w:r w:rsidRPr="007A3DA7">
        <w:t>Evidence</w:t>
      </w:r>
    </w:p>
    <w:p w14:paraId="5ED5CA4E" w14:textId="3200BC0B" w:rsidR="003353B4" w:rsidRDefault="003353B4" w:rsidP="008631AD">
      <w:pPr>
        <w:pStyle w:val="ParaNumbering"/>
      </w:pPr>
      <w:r w:rsidRPr="007A3DA7">
        <w:t xml:space="preserve">Expert evidence was adduced by LMGI on the content of the foreign laws </w:t>
      </w:r>
      <w:r w:rsidR="00836FE6" w:rsidRPr="007A3DA7">
        <w:t>which</w:t>
      </w:r>
      <w:r w:rsidRPr="007A3DA7">
        <w:t xml:space="preserve"> govern the </w:t>
      </w:r>
      <w:r w:rsidR="00374363" w:rsidRPr="007A3DA7">
        <w:t xml:space="preserve">proposed </w:t>
      </w:r>
      <w:r w:rsidR="00CF3392" w:rsidRPr="007A3DA7">
        <w:t xml:space="preserve">merger.  The expert evidence on </w:t>
      </w:r>
      <w:r w:rsidRPr="007A3DA7">
        <w:t>Dutch law with respect to cross</w:t>
      </w:r>
      <w:r w:rsidRPr="007A3DA7">
        <w:noBreakHyphen/>
        <w:t xml:space="preserve">border mergers was given by Dr Paul de </w:t>
      </w:r>
      <w:proofErr w:type="spellStart"/>
      <w:r w:rsidRPr="007A3DA7">
        <w:t>Vries</w:t>
      </w:r>
      <w:proofErr w:type="spellEnd"/>
      <w:r w:rsidR="00CF3392" w:rsidRPr="007A3DA7">
        <w:t xml:space="preserve"> and the expert evidence on</w:t>
      </w:r>
      <w:r w:rsidRPr="007A3DA7">
        <w:t xml:space="preserve"> Luxemb</w:t>
      </w:r>
      <w:r w:rsidR="00072ABB" w:rsidRPr="007A3DA7">
        <w:t>o</w:t>
      </w:r>
      <w:r w:rsidRPr="007A3DA7">
        <w:t xml:space="preserve">urg </w:t>
      </w:r>
      <w:r w:rsidR="00CF3392" w:rsidRPr="007A3DA7">
        <w:t xml:space="preserve">law </w:t>
      </w:r>
      <w:r w:rsidRPr="007A3DA7">
        <w:t xml:space="preserve">was given by </w:t>
      </w:r>
      <w:r w:rsidR="00836FE6" w:rsidRPr="007A3DA7">
        <w:t>Associate</w:t>
      </w:r>
      <w:r w:rsidR="00774AD8" w:rsidRPr="007A3DA7">
        <w:t xml:space="preserve"> </w:t>
      </w:r>
      <w:r w:rsidR="00774AD8" w:rsidRPr="007A3DA7">
        <w:lastRenderedPageBreak/>
        <w:t>Professor</w:t>
      </w:r>
      <w:r w:rsidRPr="007A3DA7">
        <w:t xml:space="preserve"> Alain Steichen.  Both experts also addressed the relevant laws of the </w:t>
      </w:r>
      <w:r w:rsidR="00836FE6" w:rsidRPr="007A3DA7">
        <w:t>European</w:t>
      </w:r>
      <w:r w:rsidRPr="007A3DA7">
        <w:t xml:space="preserve"> Union.  There </w:t>
      </w:r>
      <w:r w:rsidR="00836FE6" w:rsidRPr="007A3DA7">
        <w:t>was</w:t>
      </w:r>
      <w:r w:rsidRPr="007A3DA7">
        <w:t xml:space="preserve"> no dispute as to the expertise of Dr de </w:t>
      </w:r>
      <w:proofErr w:type="spellStart"/>
      <w:r w:rsidRPr="007A3DA7">
        <w:t>Vries</w:t>
      </w:r>
      <w:proofErr w:type="spellEnd"/>
      <w:r w:rsidRPr="007A3DA7">
        <w:t xml:space="preserve"> or Asso</w:t>
      </w:r>
      <w:r w:rsidR="002000FD" w:rsidRPr="007A3DA7">
        <w:t>ciate Professor</w:t>
      </w:r>
      <w:r w:rsidR="00CF3392" w:rsidRPr="007A3DA7">
        <w:t xml:space="preserve"> Steichen and t</w:t>
      </w:r>
      <w:r w:rsidRPr="007A3DA7">
        <w:t>heir evidence may be summarised as follows.</w:t>
      </w:r>
    </w:p>
    <w:p w14:paraId="4ABEF3E4" w14:textId="4CEF3F95" w:rsidR="00CF3392" w:rsidRDefault="00CF3392" w:rsidP="00162BB7">
      <w:pPr>
        <w:pStyle w:val="ParaNumbering"/>
      </w:pPr>
      <w:r>
        <w:t xml:space="preserve">The governing framework for cross-border mergers involving limited liability companies in </w:t>
      </w:r>
      <w:r w:rsidRPr="007A3DA7">
        <w:t>the European Union is the European Directiv</w:t>
      </w:r>
      <w:r w:rsidR="00162BB7" w:rsidRPr="007A3DA7">
        <w:t>e on cross-border mergers (</w:t>
      </w:r>
      <w:r w:rsidRPr="007A3DA7">
        <w:rPr>
          <w:b/>
          <w:bCs/>
        </w:rPr>
        <w:t>Tenth Company Directive</w:t>
      </w:r>
      <w:r w:rsidRPr="007A3DA7">
        <w:t>)</w:t>
      </w:r>
      <w:r w:rsidR="00C748D5" w:rsidRPr="007A3DA7">
        <w:t>,</w:t>
      </w:r>
      <w:r w:rsidRPr="007A3DA7">
        <w:t xml:space="preserve"> adopted by the European Parliament and European Council on 26 October 2005</w:t>
      </w:r>
      <w:r w:rsidR="005B3052" w:rsidRPr="007A3DA7">
        <w:t xml:space="preserve">, </w:t>
      </w:r>
      <w:r w:rsidR="00E65594" w:rsidRPr="007A3DA7">
        <w:t xml:space="preserve">as </w:t>
      </w:r>
      <w:r w:rsidRPr="007A3DA7">
        <w:t xml:space="preserve">consolidated in </w:t>
      </w:r>
      <w:r w:rsidRPr="00FF33AC">
        <w:t>Directive (EU) 2017/1132 of the European Council and European Parliament of 14 June 2017 relating to certa</w:t>
      </w:r>
      <w:r w:rsidR="00162BB7" w:rsidRPr="00FF33AC">
        <w:t>in aspects of company law</w:t>
      </w:r>
      <w:r w:rsidR="00162BB7" w:rsidRPr="007A3DA7">
        <w:t xml:space="preserve"> (</w:t>
      </w:r>
      <w:r w:rsidRPr="007A3DA7">
        <w:rPr>
          <w:b/>
          <w:bCs/>
        </w:rPr>
        <w:t>Consolidated Company Law Directive</w:t>
      </w:r>
      <w:r w:rsidR="00E55352" w:rsidRPr="007A3DA7">
        <w:t>).</w:t>
      </w:r>
      <w:r w:rsidR="007A3DA7" w:rsidRPr="007A3DA7">
        <w:t xml:space="preserve">  </w:t>
      </w:r>
      <w:r w:rsidRPr="007A3DA7">
        <w:t xml:space="preserve">The principal company law statute of Luxembourg implementing the Tenth Company Directive and the further amendments to it reflected in the Consolidated Company Law Directive is </w:t>
      </w:r>
      <w:r w:rsidRPr="00FF33AC">
        <w:t>the law dated 10 August 1915 on commercial companies</w:t>
      </w:r>
      <w:r w:rsidRPr="007A3DA7">
        <w:t>, as amen</w:t>
      </w:r>
      <w:r w:rsidR="00162BB7" w:rsidRPr="007A3DA7">
        <w:t>ded (</w:t>
      </w:r>
      <w:r w:rsidRPr="007A3DA7">
        <w:rPr>
          <w:b/>
          <w:bCs/>
        </w:rPr>
        <w:t>Luxembourg Companies Act</w:t>
      </w:r>
      <w:r w:rsidR="00591434" w:rsidRPr="007A3DA7">
        <w:t>).</w:t>
      </w:r>
      <w:r w:rsidR="00C748D5" w:rsidRPr="007A3DA7">
        <w:t xml:space="preserve"> </w:t>
      </w:r>
      <w:r w:rsidR="00591434" w:rsidRPr="007A3DA7">
        <w:t xml:space="preserve"> </w:t>
      </w:r>
      <w:r w:rsidR="0080769D" w:rsidRPr="007A3DA7">
        <w:t xml:space="preserve">Dutch law </w:t>
      </w:r>
      <w:r w:rsidR="004D0191" w:rsidRPr="007A3DA7">
        <w:t>implementing the</w:t>
      </w:r>
      <w:r w:rsidR="00E65594" w:rsidRPr="007A3DA7">
        <w:t xml:space="preserve"> </w:t>
      </w:r>
      <w:r w:rsidR="00D038A3" w:rsidRPr="007A3DA7">
        <w:t xml:space="preserve">Tenth Company </w:t>
      </w:r>
      <w:r w:rsidR="00E65594" w:rsidRPr="007A3DA7">
        <w:t>Directive</w:t>
      </w:r>
      <w:r w:rsidR="00EC635A" w:rsidRPr="007A3DA7">
        <w:t>, as consolidated in the Consolidated Company Law Directive,</w:t>
      </w:r>
      <w:r w:rsidR="00E65594" w:rsidRPr="007A3DA7">
        <w:t xml:space="preserve"> is </w:t>
      </w:r>
      <w:r w:rsidRPr="007A3DA7">
        <w:t xml:space="preserve">contained in Title 7, Book 2 of the </w:t>
      </w:r>
      <w:r w:rsidRPr="00FF33AC">
        <w:t>Dutch Civil Code</w:t>
      </w:r>
      <w:r w:rsidRPr="007A3DA7">
        <w:t>, in part</w:t>
      </w:r>
      <w:r w:rsidR="0080769D" w:rsidRPr="007A3DA7">
        <w:t xml:space="preserve">icular </w:t>
      </w:r>
      <w:r w:rsidR="00FC5461" w:rsidRPr="007A3DA7">
        <w:t>arts</w:t>
      </w:r>
      <w:r w:rsidR="0080769D" w:rsidRPr="007A3DA7">
        <w:t xml:space="preserve"> 2:309 to 2:333b.</w:t>
      </w:r>
      <w:r w:rsidR="00EC635A">
        <w:t xml:space="preserve">  </w:t>
      </w:r>
    </w:p>
    <w:p w14:paraId="1A9F5EB4" w14:textId="20A75D4B" w:rsidR="00546A53" w:rsidRDefault="003353B4" w:rsidP="00546A53">
      <w:pPr>
        <w:pStyle w:val="ParaNumbering"/>
      </w:pPr>
      <w:r>
        <w:t>The fo</w:t>
      </w:r>
      <w:r w:rsidRPr="007A3DA7">
        <w:t>undation</w:t>
      </w:r>
      <w:r w:rsidR="00EC635A" w:rsidRPr="007A3DA7">
        <w:t>al</w:t>
      </w:r>
      <w:r w:rsidRPr="007A3DA7">
        <w:t xml:space="preserve"> conc</w:t>
      </w:r>
      <w:r>
        <w:t>ept for cross-border mergers under each of those foreign laws is the prin</w:t>
      </w:r>
      <w:r w:rsidR="00D07FF2">
        <w:t xml:space="preserve">ciple of universal succession: </w:t>
      </w:r>
      <w:r w:rsidR="00BB2785">
        <w:t xml:space="preserve">see </w:t>
      </w:r>
      <w:r w:rsidR="00FC5461">
        <w:t>a</w:t>
      </w:r>
      <w:r w:rsidR="00C74EDD">
        <w:t xml:space="preserve">rt 131(1) of the Consolidated Company Law Directive; </w:t>
      </w:r>
      <w:r w:rsidR="00FC5461">
        <w:t>a</w:t>
      </w:r>
      <w:r w:rsidR="00D07FF2">
        <w:t xml:space="preserve">rt 2:309 of the </w:t>
      </w:r>
      <w:r w:rsidR="00D07FF2" w:rsidRPr="00FC5461">
        <w:t>Dutch Civil Code</w:t>
      </w:r>
      <w:r w:rsidR="00D07FF2">
        <w:rPr>
          <w:i/>
        </w:rPr>
        <w:t xml:space="preserve"> </w:t>
      </w:r>
      <w:r w:rsidR="00B33D9D">
        <w:t xml:space="preserve">and </w:t>
      </w:r>
      <w:r w:rsidR="00FC5461">
        <w:t>art</w:t>
      </w:r>
      <w:r w:rsidR="00FC5461" w:rsidRPr="000842B7">
        <w:t xml:space="preserve"> </w:t>
      </w:r>
      <w:r w:rsidR="00B33D9D" w:rsidRPr="000842B7">
        <w:t>1021</w:t>
      </w:r>
      <w:r w:rsidR="00B33D9D" w:rsidRPr="00724957">
        <w:t>-17 of the</w:t>
      </w:r>
      <w:r w:rsidR="00B33D9D">
        <w:t xml:space="preserve"> </w:t>
      </w:r>
      <w:r w:rsidR="00B33D9D" w:rsidRPr="00072ABB">
        <w:t>Luxemb</w:t>
      </w:r>
      <w:r w:rsidR="00072ABB">
        <w:t>o</w:t>
      </w:r>
      <w:r w:rsidR="00B33D9D" w:rsidRPr="00072ABB">
        <w:t>urg Companies Act</w:t>
      </w:r>
      <w:r w:rsidR="00B33D9D">
        <w:rPr>
          <w:i/>
        </w:rPr>
        <w:t>.</w:t>
      </w:r>
      <w:r w:rsidR="00546A53">
        <w:t xml:space="preserve"> </w:t>
      </w:r>
    </w:p>
    <w:p w14:paraId="6F00CFF1" w14:textId="207446A8" w:rsidR="003353B4" w:rsidRPr="00075A05" w:rsidRDefault="00B33D9D" w:rsidP="00546A53">
      <w:pPr>
        <w:pStyle w:val="ParaNumbering"/>
      </w:pPr>
      <w:r w:rsidRPr="00075A05">
        <w:t>The principle of</w:t>
      </w:r>
      <w:r w:rsidR="00D07FF2" w:rsidRPr="00075A05">
        <w:t xml:space="preserve"> </w:t>
      </w:r>
      <w:r w:rsidRPr="00075A05">
        <w:t>u</w:t>
      </w:r>
      <w:r w:rsidR="00EF58F7" w:rsidRPr="00075A05">
        <w:t xml:space="preserve">niversal succession is </w:t>
      </w:r>
      <w:r w:rsidRPr="00075A05">
        <w:t>express</w:t>
      </w:r>
      <w:r w:rsidRPr="007A3DA7">
        <w:t xml:space="preserve">ly </w:t>
      </w:r>
      <w:r w:rsidR="00EF58F7" w:rsidRPr="007A3DA7">
        <w:t>referred to in the definition of</w:t>
      </w:r>
      <w:r w:rsidR="00D07FF2" w:rsidRPr="007A3DA7">
        <w:t xml:space="preserve"> a “merger” given </w:t>
      </w:r>
      <w:r w:rsidR="007A3DA7">
        <w:t>by a</w:t>
      </w:r>
      <w:r w:rsidR="00EF58F7" w:rsidRPr="007A3DA7">
        <w:t>rt 2:309 of the Dutch Civil Code</w:t>
      </w:r>
      <w:r w:rsidR="00374363" w:rsidRPr="007A3DA7">
        <w:rPr>
          <w:i/>
        </w:rPr>
        <w:t xml:space="preserve"> </w:t>
      </w:r>
      <w:r w:rsidR="00374363" w:rsidRPr="007A3DA7">
        <w:t>as follows</w:t>
      </w:r>
      <w:r w:rsidR="000842B7" w:rsidRPr="007A3DA7">
        <w:t xml:space="preserve"> (</w:t>
      </w:r>
      <w:r w:rsidR="00E4600A" w:rsidRPr="007A3DA7">
        <w:t xml:space="preserve">translation </w:t>
      </w:r>
      <w:r w:rsidR="00BC5713" w:rsidRPr="007A3DA7">
        <w:t xml:space="preserve">from </w:t>
      </w:r>
      <w:r w:rsidR="000842B7" w:rsidRPr="007A3DA7">
        <w:t xml:space="preserve">Dr de </w:t>
      </w:r>
      <w:proofErr w:type="spellStart"/>
      <w:r w:rsidR="000842B7" w:rsidRPr="007A3DA7">
        <w:t>Vries</w:t>
      </w:r>
      <w:proofErr w:type="spellEnd"/>
      <w:r w:rsidR="000842B7" w:rsidRPr="007A3DA7">
        <w:t>’ report)</w:t>
      </w:r>
      <w:r w:rsidR="00EF58F7" w:rsidRPr="007A3DA7">
        <w:t>:</w:t>
      </w:r>
    </w:p>
    <w:p w14:paraId="0D36455E" w14:textId="77777777" w:rsidR="00724957" w:rsidRPr="00075A05" w:rsidRDefault="00EF58F7" w:rsidP="00724957">
      <w:pPr>
        <w:pStyle w:val="Quote1"/>
        <w:rPr>
          <w:szCs w:val="22"/>
        </w:rPr>
      </w:pPr>
      <w:r w:rsidRPr="00075A05">
        <w:rPr>
          <w:szCs w:val="22"/>
        </w:rPr>
        <w:t xml:space="preserve">Merger is the legal act of two or more legal persons, whereby one acquires the property, rights and interests and the liabilities of the other </w:t>
      </w:r>
      <w:r w:rsidRPr="00075A05">
        <w:rPr>
          <w:bCs/>
          <w:szCs w:val="22"/>
        </w:rPr>
        <w:t>by universal succession of title</w:t>
      </w:r>
      <w:r w:rsidRPr="00075A05">
        <w:rPr>
          <w:b/>
          <w:bCs/>
          <w:szCs w:val="22"/>
        </w:rPr>
        <w:t xml:space="preserve"> </w:t>
      </w:r>
      <w:r w:rsidRPr="00075A05">
        <w:rPr>
          <w:szCs w:val="22"/>
        </w:rPr>
        <w:t xml:space="preserve">or whereby a new legal person, formed or incorporated </w:t>
      </w:r>
      <w:r w:rsidR="00724957" w:rsidRPr="00075A05">
        <w:rPr>
          <w:szCs w:val="22"/>
        </w:rPr>
        <w:t>by them jointly by such legal act, acquires their property, rights and interests and the liabilities by universal title.</w:t>
      </w:r>
    </w:p>
    <w:p w14:paraId="760FE184" w14:textId="1FB43413" w:rsidR="00EF58F7" w:rsidRPr="00DC08F4" w:rsidRDefault="00C74EDD" w:rsidP="00724957">
      <w:pPr>
        <w:pStyle w:val="ParaNumbering"/>
      </w:pPr>
      <w:r w:rsidRPr="00075A05">
        <w:t>Article 1021-17</w:t>
      </w:r>
      <w:r w:rsidR="00D2706B">
        <w:t>(1)</w:t>
      </w:r>
      <w:r w:rsidRPr="00075A05">
        <w:t xml:space="preserve"> of the </w:t>
      </w:r>
      <w:r w:rsidRPr="00E4600A">
        <w:t>Luxemb</w:t>
      </w:r>
      <w:r w:rsidR="00072ABB">
        <w:t>o</w:t>
      </w:r>
      <w:r w:rsidRPr="00E4600A">
        <w:t>urg Companies Act</w:t>
      </w:r>
      <w:r w:rsidRPr="00075A05">
        <w:t xml:space="preserve"> reflects the same principle.</w:t>
      </w:r>
      <w:r w:rsidR="00E4600A">
        <w:t xml:space="preserve"> </w:t>
      </w:r>
      <w:r w:rsidRPr="00075A05">
        <w:t xml:space="preserve"> It provides</w:t>
      </w:r>
      <w:r w:rsidR="002909A1">
        <w:t xml:space="preserve"> (translatio</w:t>
      </w:r>
      <w:r w:rsidR="002909A1" w:rsidRPr="00DC08F4">
        <w:t>n from Associate Professor Steichen’s report)</w:t>
      </w:r>
      <w:r w:rsidR="00EF58F7" w:rsidRPr="00DC08F4">
        <w:t xml:space="preserve">: </w:t>
      </w:r>
    </w:p>
    <w:p w14:paraId="5A4B71E6" w14:textId="059D45A1" w:rsidR="00724957" w:rsidRPr="00DC08F4" w:rsidRDefault="00724957" w:rsidP="007A3DA7">
      <w:pPr>
        <w:pStyle w:val="Quote1"/>
        <w:ind w:left="1440" w:hanging="703"/>
      </w:pPr>
      <w:r w:rsidRPr="00DC08F4">
        <w:t xml:space="preserve">(1) </w:t>
      </w:r>
      <w:r w:rsidRPr="00DC08F4">
        <w:tab/>
        <w:t xml:space="preserve">The merger </w:t>
      </w:r>
      <w:r w:rsidR="007A3DA7" w:rsidRPr="00DC08F4">
        <w:t>shall have the following consequences</w:t>
      </w:r>
      <w:r w:rsidRPr="00DC08F4">
        <w:rPr>
          <w:i/>
        </w:rPr>
        <w:t xml:space="preserve"> ipso </w:t>
      </w:r>
      <w:proofErr w:type="spellStart"/>
      <w:r w:rsidRPr="00DC08F4">
        <w:rPr>
          <w:i/>
        </w:rPr>
        <w:t>iure</w:t>
      </w:r>
      <w:proofErr w:type="spellEnd"/>
      <w:r w:rsidRPr="00DC08F4">
        <w:t xml:space="preserve"> and simultaneously: </w:t>
      </w:r>
    </w:p>
    <w:p w14:paraId="1B5D6298" w14:textId="7064A978" w:rsidR="00724957" w:rsidRPr="00DC08F4" w:rsidRDefault="00724957" w:rsidP="00724957">
      <w:pPr>
        <w:pStyle w:val="Quote2"/>
        <w:ind w:left="2160" w:hanging="720"/>
      </w:pPr>
      <w:r w:rsidRPr="00DC08F4">
        <w:t xml:space="preserve">(1) </w:t>
      </w:r>
      <w:r w:rsidRPr="00DC08F4">
        <w:tab/>
      </w:r>
      <w:proofErr w:type="gramStart"/>
      <w:r w:rsidR="007A3DA7" w:rsidRPr="00DC08F4">
        <w:t>the</w:t>
      </w:r>
      <w:proofErr w:type="gramEnd"/>
      <w:r w:rsidR="007A3DA7" w:rsidRPr="00DC08F4">
        <w:t xml:space="preserve"> </w:t>
      </w:r>
      <w:r w:rsidRPr="00DC08F4">
        <w:t xml:space="preserve">universal transfer, both </w:t>
      </w:r>
      <w:r w:rsidR="007A3DA7" w:rsidRPr="00DC08F4">
        <w:t xml:space="preserve">as </w:t>
      </w:r>
      <w:r w:rsidRPr="00DC08F4">
        <w:t>between the company</w:t>
      </w:r>
      <w:r w:rsidR="007A3DA7" w:rsidRPr="00DC08F4">
        <w:t xml:space="preserve"> being acquired</w:t>
      </w:r>
      <w:r w:rsidRPr="00DC08F4">
        <w:t xml:space="preserve"> and the a</w:t>
      </w:r>
      <w:r w:rsidR="007A3DA7" w:rsidRPr="00DC08F4">
        <w:t>cquiring</w:t>
      </w:r>
      <w:r w:rsidRPr="00DC08F4">
        <w:t xml:space="preserve"> company and vis-à-vis third parties, of</w:t>
      </w:r>
      <w:r w:rsidR="007A3DA7" w:rsidRPr="00DC08F4">
        <w:t xml:space="preserve"> all of the assets and liabilities of the</w:t>
      </w:r>
      <w:r w:rsidRPr="00DC08F4">
        <w:t xml:space="preserve"> company </w:t>
      </w:r>
      <w:r w:rsidR="007A3DA7" w:rsidRPr="00DC08F4">
        <w:t xml:space="preserve">being acquired </w:t>
      </w:r>
      <w:r w:rsidRPr="00DC08F4">
        <w:t xml:space="preserve">to the </w:t>
      </w:r>
      <w:r w:rsidR="007A3DA7" w:rsidRPr="00DC08F4">
        <w:t xml:space="preserve">acquiring </w:t>
      </w:r>
      <w:r w:rsidRPr="00DC08F4">
        <w:t xml:space="preserve">company; </w:t>
      </w:r>
    </w:p>
    <w:p w14:paraId="689C131E" w14:textId="791D7EC0" w:rsidR="00724957" w:rsidRPr="00DC08F4" w:rsidRDefault="00724957" w:rsidP="00724957">
      <w:pPr>
        <w:pStyle w:val="Quote2"/>
        <w:ind w:left="2160" w:hanging="720"/>
      </w:pPr>
      <w:r w:rsidRPr="00DC08F4">
        <w:t xml:space="preserve">(2) </w:t>
      </w:r>
      <w:r w:rsidRPr="00DC08F4">
        <w:tab/>
      </w:r>
      <w:proofErr w:type="gramStart"/>
      <w:r w:rsidRPr="00DC08F4">
        <w:t>the</w:t>
      </w:r>
      <w:proofErr w:type="gramEnd"/>
      <w:r w:rsidRPr="00DC08F4">
        <w:t xml:space="preserve"> </w:t>
      </w:r>
      <w:r w:rsidR="007A3DA7" w:rsidRPr="00DC08F4">
        <w:t>shareholders</w:t>
      </w:r>
      <w:r w:rsidR="00E132EA" w:rsidRPr="00DC08F4">
        <w:t xml:space="preserve"> of the</w:t>
      </w:r>
      <w:r w:rsidRPr="00DC08F4">
        <w:t xml:space="preserve"> company</w:t>
      </w:r>
      <w:r w:rsidR="00E132EA" w:rsidRPr="00DC08F4">
        <w:t xml:space="preserve"> being acquired</w:t>
      </w:r>
      <w:r w:rsidRPr="00DC08F4">
        <w:t xml:space="preserve"> </w:t>
      </w:r>
      <w:r w:rsidR="00E132EA" w:rsidRPr="00DC08F4">
        <w:t xml:space="preserve">shall </w:t>
      </w:r>
      <w:r w:rsidRPr="00DC08F4">
        <w:t xml:space="preserve">become </w:t>
      </w:r>
      <w:r w:rsidR="00E132EA" w:rsidRPr="00DC08F4">
        <w:t>shareholders</w:t>
      </w:r>
      <w:r w:rsidRPr="00DC08F4">
        <w:t xml:space="preserve"> of the </w:t>
      </w:r>
      <w:r w:rsidR="00E132EA" w:rsidRPr="00DC08F4">
        <w:t xml:space="preserve">acquiring </w:t>
      </w:r>
      <w:r w:rsidRPr="00DC08F4">
        <w:t xml:space="preserve">company; </w:t>
      </w:r>
    </w:p>
    <w:p w14:paraId="4696650D" w14:textId="3441AB1D" w:rsidR="00724957" w:rsidRPr="00DC08F4" w:rsidRDefault="00724957" w:rsidP="00724957">
      <w:pPr>
        <w:pStyle w:val="Quote2"/>
        <w:ind w:left="2160" w:hanging="720"/>
      </w:pPr>
      <w:r w:rsidRPr="00DC08F4">
        <w:t xml:space="preserve">(3) </w:t>
      </w:r>
      <w:r w:rsidRPr="00DC08F4">
        <w:tab/>
      </w:r>
      <w:proofErr w:type="gramStart"/>
      <w:r w:rsidRPr="00DC08F4">
        <w:t>the</w:t>
      </w:r>
      <w:proofErr w:type="gramEnd"/>
      <w:r w:rsidRPr="00DC08F4">
        <w:t xml:space="preserve"> company </w:t>
      </w:r>
      <w:r w:rsidR="00E132EA" w:rsidRPr="00DC08F4">
        <w:t xml:space="preserve">being acquired shall </w:t>
      </w:r>
      <w:r w:rsidRPr="00DC08F4">
        <w:t xml:space="preserve">cease to exist; </w:t>
      </w:r>
    </w:p>
    <w:p w14:paraId="68232744" w14:textId="3B31901E" w:rsidR="00724957" w:rsidRPr="002C630D" w:rsidRDefault="00724957" w:rsidP="002C630D">
      <w:pPr>
        <w:pStyle w:val="Quote2"/>
        <w:ind w:left="2160" w:hanging="720"/>
      </w:pPr>
      <w:r w:rsidRPr="00DC08F4">
        <w:lastRenderedPageBreak/>
        <w:t xml:space="preserve">(4) </w:t>
      </w:r>
      <w:r w:rsidRPr="00DC08F4">
        <w:tab/>
      </w:r>
      <w:proofErr w:type="gramStart"/>
      <w:r w:rsidR="00E132EA" w:rsidRPr="00DC08F4">
        <w:t>the</w:t>
      </w:r>
      <w:proofErr w:type="gramEnd"/>
      <w:r w:rsidR="00E132EA" w:rsidRPr="00DC08F4">
        <w:t xml:space="preserve"> </w:t>
      </w:r>
      <w:r w:rsidRPr="00DC08F4">
        <w:t>cancellation of the shares</w:t>
      </w:r>
      <w:r w:rsidR="00E132EA" w:rsidRPr="00DC08F4">
        <w:t xml:space="preserve"> or corporate units</w:t>
      </w:r>
      <w:r w:rsidRPr="00DC08F4">
        <w:t xml:space="preserve"> of the company</w:t>
      </w:r>
      <w:r w:rsidR="00E132EA" w:rsidRPr="00DC08F4">
        <w:t xml:space="preserve"> being acquired</w:t>
      </w:r>
      <w:r w:rsidRPr="00DC08F4">
        <w:t xml:space="preserve"> held by the </w:t>
      </w:r>
      <w:r w:rsidR="00E132EA" w:rsidRPr="00DC08F4">
        <w:t>acquiring company or the c</w:t>
      </w:r>
      <w:r w:rsidRPr="00DC08F4">
        <w:t xml:space="preserve">ompany </w:t>
      </w:r>
      <w:r w:rsidR="00E132EA" w:rsidRPr="00DC08F4">
        <w:t xml:space="preserve">being acquired </w:t>
      </w:r>
      <w:r w:rsidRPr="00DC08F4">
        <w:t>or by any person acting in his own name but on behalf of either of those companies.</w:t>
      </w:r>
    </w:p>
    <w:p w14:paraId="27A658E9" w14:textId="77777777" w:rsidR="00724957" w:rsidRDefault="00724957" w:rsidP="00724957">
      <w:pPr>
        <w:pStyle w:val="ParaNumbering"/>
      </w:pPr>
      <w:r>
        <w:t xml:space="preserve">Article 131(1) of the Consolidated Company Law Directive describes the consequences of mergers of this kind in similar terms as follows: </w:t>
      </w:r>
    </w:p>
    <w:p w14:paraId="33ADAA21" w14:textId="625CCC18" w:rsidR="00724957" w:rsidRPr="001D4F7E" w:rsidRDefault="000F0016" w:rsidP="000F0016">
      <w:pPr>
        <w:pStyle w:val="Quote1"/>
        <w:ind w:left="1440" w:hanging="703"/>
        <w:rPr>
          <w:strike/>
        </w:rPr>
      </w:pPr>
      <w:r>
        <w:t>(a)</w:t>
      </w:r>
      <w:r>
        <w:tab/>
      </w:r>
      <w:proofErr w:type="gramStart"/>
      <w:r w:rsidR="00724957">
        <w:t>all</w:t>
      </w:r>
      <w:proofErr w:type="gramEnd"/>
      <w:r w:rsidR="00724957">
        <w:t xml:space="preserve"> the assets and liabilities of the company being acquired</w:t>
      </w:r>
      <w:r w:rsidR="001D4F7E" w:rsidRPr="001D4F7E">
        <w:t xml:space="preserve"> </w:t>
      </w:r>
      <w:r w:rsidR="00724957">
        <w:t xml:space="preserve">shall be transferred to the acquiring company; </w:t>
      </w:r>
    </w:p>
    <w:p w14:paraId="28647268" w14:textId="2FA24C02" w:rsidR="00724957" w:rsidRDefault="00724957" w:rsidP="00724957">
      <w:pPr>
        <w:pStyle w:val="Quote1"/>
        <w:ind w:left="1440" w:hanging="703"/>
      </w:pPr>
      <w:r>
        <w:t xml:space="preserve">(b) </w:t>
      </w:r>
      <w:r>
        <w:tab/>
      </w:r>
      <w:proofErr w:type="gramStart"/>
      <w:r>
        <w:t>the</w:t>
      </w:r>
      <w:proofErr w:type="gramEnd"/>
      <w:r>
        <w:t xml:space="preserve"> members of the company being acquired shall become members of the acquiring company; </w:t>
      </w:r>
      <w:bookmarkStart w:id="23" w:name="_GoBack"/>
      <w:bookmarkEnd w:id="23"/>
    </w:p>
    <w:p w14:paraId="3085BF06" w14:textId="77777777" w:rsidR="00724957" w:rsidRDefault="00724957" w:rsidP="00724957">
      <w:pPr>
        <w:pStyle w:val="Quote1"/>
      </w:pPr>
      <w:r>
        <w:t xml:space="preserve">(c) </w:t>
      </w:r>
      <w:r>
        <w:tab/>
      </w:r>
      <w:proofErr w:type="gramStart"/>
      <w:r>
        <w:t>the</w:t>
      </w:r>
      <w:proofErr w:type="gramEnd"/>
      <w:r>
        <w:t xml:space="preserve"> company being acquired shall cease to exist.</w:t>
      </w:r>
    </w:p>
    <w:p w14:paraId="15FE0859" w14:textId="37882BC8" w:rsidR="00BB2785" w:rsidRDefault="00910F81" w:rsidP="00D663C8">
      <w:pPr>
        <w:pStyle w:val="ParaNumbering"/>
      </w:pPr>
      <w:r>
        <w:t>As Associate Professor</w:t>
      </w:r>
      <w:r w:rsidR="00724957">
        <w:t xml:space="preserve"> Steichen and Dr de </w:t>
      </w:r>
      <w:proofErr w:type="spellStart"/>
      <w:r w:rsidR="00724957">
        <w:t>Vries</w:t>
      </w:r>
      <w:proofErr w:type="spellEnd"/>
      <w:r w:rsidR="00724957">
        <w:t xml:space="preserve"> </w:t>
      </w:r>
      <w:r w:rsidR="00581F65">
        <w:t xml:space="preserve">both </w:t>
      </w:r>
      <w:r w:rsidR="00724957">
        <w:t>explained, the concept of universal succession under European Union law is a concept that entails automatic transfer of the assets and liab</w:t>
      </w:r>
      <w:r w:rsidR="00724957" w:rsidRPr="00645C60">
        <w:t xml:space="preserve">ilities of the absorbed company, </w:t>
      </w:r>
      <w:r w:rsidR="00CE3B7B" w:rsidRPr="00645C60">
        <w:t xml:space="preserve">with some </w:t>
      </w:r>
      <w:r w:rsidR="003C6BBE" w:rsidRPr="00645C60">
        <w:t>limited</w:t>
      </w:r>
      <w:r w:rsidR="00603D61" w:rsidRPr="00645C60">
        <w:t xml:space="preserve"> </w:t>
      </w:r>
      <w:r w:rsidR="00CE3B7B" w:rsidRPr="00645C60">
        <w:t>exceptions</w:t>
      </w:r>
      <w:r w:rsidR="00677653" w:rsidRPr="00645C60">
        <w:t xml:space="preserve"> based on both legal and practical considerations</w:t>
      </w:r>
      <w:r w:rsidR="00BB2785" w:rsidRPr="00645C60">
        <w:t>.</w:t>
      </w:r>
      <w:r w:rsidR="00CE3B7B" w:rsidRPr="00645C60">
        <w:t xml:space="preserve"> </w:t>
      </w:r>
      <w:r w:rsidRPr="00645C60">
        <w:t xml:space="preserve"> </w:t>
      </w:r>
      <w:r w:rsidR="00BB2785" w:rsidRPr="00645C60">
        <w:t>G</w:t>
      </w:r>
      <w:r w:rsidR="00CE3B7B" w:rsidRPr="00645C60">
        <w:t>enerally stated</w:t>
      </w:r>
      <w:r w:rsidR="00514400" w:rsidRPr="00645C60">
        <w:t>,</w:t>
      </w:r>
      <w:r w:rsidR="00CE3B7B" w:rsidRPr="00645C60">
        <w:t xml:space="preserve"> </w:t>
      </w:r>
      <w:r w:rsidR="00BB2785" w:rsidRPr="00645C60">
        <w:t xml:space="preserve">these exceptions </w:t>
      </w:r>
      <w:r w:rsidR="00CE3B7B" w:rsidRPr="00645C60">
        <w:t>are</w:t>
      </w:r>
      <w:r w:rsidR="003C6BBE" w:rsidRPr="00645C60">
        <w:t>: (1) industrial and intellectual property rights and certain rights relating to movable and immovable property (all of which require certain further formalities such as notice an</w:t>
      </w:r>
      <w:r w:rsidR="00115E99" w:rsidRPr="00645C60">
        <w:t>d</w:t>
      </w:r>
      <w:r w:rsidR="003C6BBE" w:rsidRPr="00645C60">
        <w:t xml:space="preserve"> registration to be complied with to complete </w:t>
      </w:r>
      <w:r w:rsidR="00115E99" w:rsidRPr="00645C60">
        <w:t>the transfer</w:t>
      </w:r>
      <w:r w:rsidR="003C6BBE" w:rsidRPr="00645C60">
        <w:t xml:space="preserve">); (2) </w:t>
      </w:r>
      <w:r w:rsidR="00562179" w:rsidRPr="00645C60">
        <w:t xml:space="preserve">circumstances where the </w:t>
      </w:r>
      <w:r w:rsidR="00724957" w:rsidRPr="00645C60">
        <w:t xml:space="preserve">personal </w:t>
      </w:r>
      <w:r w:rsidR="00562179" w:rsidRPr="00645C60">
        <w:t xml:space="preserve">nature of the right involved precludes automatic transfer, such as </w:t>
      </w:r>
      <w:r w:rsidR="00677653" w:rsidRPr="00645C60">
        <w:t>personal services,</w:t>
      </w:r>
      <w:r w:rsidR="00562179" w:rsidRPr="00645C60">
        <w:t xml:space="preserve"> government licences or grants</w:t>
      </w:r>
      <w:r w:rsidR="00677653" w:rsidRPr="00645C60">
        <w:t>, or directorships, partnerships, nomination and appointment rights</w:t>
      </w:r>
      <w:r w:rsidR="00562179" w:rsidRPr="00645C60">
        <w:t xml:space="preserve">; and (3) </w:t>
      </w:r>
      <w:r w:rsidR="00724957" w:rsidRPr="00645C60">
        <w:t>contractual obligations which are either expressly or impliedly not transferrable by univers</w:t>
      </w:r>
      <w:r w:rsidR="00724957">
        <w:t>al succession</w:t>
      </w:r>
      <w:r w:rsidR="00562179">
        <w:t>.</w:t>
      </w:r>
      <w:r w:rsidR="00724957">
        <w:t xml:space="preserve"> </w:t>
      </w:r>
    </w:p>
    <w:p w14:paraId="4D92F687" w14:textId="295DE1B4" w:rsidR="00D663C8" w:rsidRDefault="00724957" w:rsidP="00D663C8">
      <w:pPr>
        <w:pStyle w:val="ParaNumbering"/>
      </w:pPr>
      <w:r>
        <w:t xml:space="preserve">Dr de </w:t>
      </w:r>
      <w:proofErr w:type="spellStart"/>
      <w:r>
        <w:t>Vries</w:t>
      </w:r>
      <w:proofErr w:type="spellEnd"/>
      <w:r>
        <w:t xml:space="preserve">’ </w:t>
      </w:r>
      <w:r w:rsidRPr="00EE3E69">
        <w:t>evidence was tha</w:t>
      </w:r>
      <w:r w:rsidR="0028114B" w:rsidRPr="00EE3E69">
        <w:t xml:space="preserve">t under </w:t>
      </w:r>
      <w:r w:rsidRPr="00EE3E69">
        <w:t>Dutch law, in the case of a transfer under universal succession of title, all property</w:t>
      </w:r>
      <w:r w:rsidR="0028114B" w:rsidRPr="00EE3E69">
        <w:t>,</w:t>
      </w:r>
      <w:r w:rsidRPr="00EE3E69">
        <w:t xml:space="preserve"> rights</w:t>
      </w:r>
      <w:r w:rsidR="0028114B" w:rsidRPr="00EE3E69">
        <w:t xml:space="preserve">, </w:t>
      </w:r>
      <w:r w:rsidR="00836FE6" w:rsidRPr="00EE3E69">
        <w:t>interests</w:t>
      </w:r>
      <w:r w:rsidRPr="00EE3E69">
        <w:t xml:space="preserve"> </w:t>
      </w:r>
      <w:r w:rsidR="0028114B" w:rsidRPr="00EE3E69">
        <w:t xml:space="preserve">and liabilities </w:t>
      </w:r>
      <w:r w:rsidRPr="00EE3E69">
        <w:t xml:space="preserve">will transfer in a </w:t>
      </w:r>
      <w:r w:rsidR="00836FE6" w:rsidRPr="00EE3E69">
        <w:t>single</w:t>
      </w:r>
      <w:r w:rsidR="002C009E" w:rsidRPr="00EE3E69">
        <w:t xml:space="preserve"> act without any requirement to</w:t>
      </w:r>
      <w:r w:rsidRPr="00EE3E69">
        <w:t xml:space="preserve"> follow specific transfer rules for each </w:t>
      </w:r>
      <w:r w:rsidR="00836FE6" w:rsidRPr="00EE3E69">
        <w:t>single</w:t>
      </w:r>
      <w:r w:rsidR="00A11EFB" w:rsidRPr="00EE3E69">
        <w:t xml:space="preserve"> item separately.  That includes </w:t>
      </w:r>
      <w:r w:rsidR="00B70784" w:rsidRPr="00EE3E69">
        <w:t xml:space="preserve">the </w:t>
      </w:r>
      <w:r w:rsidR="00A11EFB" w:rsidRPr="00EE3E69">
        <w:t>r</w:t>
      </w:r>
      <w:r w:rsidR="00B70784" w:rsidRPr="00EE3E69">
        <w:t>ight</w:t>
      </w:r>
      <w:r w:rsidRPr="00EE3E69">
        <w:t xml:space="preserve"> to commence</w:t>
      </w:r>
      <w:r w:rsidR="00A11EFB" w:rsidRPr="00EE3E69">
        <w:t xml:space="preserve"> litigation, or </w:t>
      </w:r>
      <w:r w:rsidR="002C009E" w:rsidRPr="00EE3E69">
        <w:t xml:space="preserve">to </w:t>
      </w:r>
      <w:r w:rsidR="00A11EFB" w:rsidRPr="00EE3E69">
        <w:t>continue litigation</w:t>
      </w:r>
      <w:r w:rsidR="00EE4400" w:rsidRPr="00EE3E69">
        <w:t xml:space="preserve"> initiated by the company that has been absorbed and no longer exists</w:t>
      </w:r>
      <w:r w:rsidR="00B70784" w:rsidRPr="00EE3E69">
        <w:t>.</w:t>
      </w:r>
      <w:r w:rsidRPr="00EE3E69">
        <w:t xml:space="preserve">  </w:t>
      </w:r>
      <w:r w:rsidR="0071225B" w:rsidRPr="00EE3E69">
        <w:t>Associate Professor</w:t>
      </w:r>
      <w:r w:rsidR="00D663C8" w:rsidRPr="00EE3E69">
        <w:t xml:space="preserve"> Steichen’s evidence was that under </w:t>
      </w:r>
      <w:r w:rsidR="00C107B6" w:rsidRPr="00EE3E69">
        <w:t>Luxemb</w:t>
      </w:r>
      <w:r w:rsidR="00072ABB" w:rsidRPr="00EE3E69">
        <w:t>o</w:t>
      </w:r>
      <w:r w:rsidR="00C107B6" w:rsidRPr="00EE3E69">
        <w:t>urg</w:t>
      </w:r>
      <w:r w:rsidR="00D663C8" w:rsidRPr="00EE3E69">
        <w:t xml:space="preserve"> law, the position with respect to assets</w:t>
      </w:r>
      <w:r w:rsidR="00D663C8">
        <w:t xml:space="preserve"> is materially the same.  A merger entails the automatic transfer of shareholdings without amendment to the corporate register, all rights of the disappearing company as creditor against </w:t>
      </w:r>
      <w:r w:rsidR="00C107B6">
        <w:t>debtors</w:t>
      </w:r>
      <w:r w:rsidR="00EE4400">
        <w:t>,</w:t>
      </w:r>
      <w:r w:rsidR="00D663C8">
        <w:t xml:space="preserve"> including security rights and judgment creditor ri</w:t>
      </w:r>
      <w:r w:rsidR="00D663C8" w:rsidRPr="00EE3E69">
        <w:t xml:space="preserve">ghts, </w:t>
      </w:r>
      <w:r w:rsidR="0071225B" w:rsidRPr="00EE3E69">
        <w:t>all principal</w:t>
      </w:r>
      <w:r w:rsidR="00D663C8" w:rsidRPr="00EE3E69">
        <w:t xml:space="preserve"> clai</w:t>
      </w:r>
      <w:r w:rsidR="00D663C8">
        <w:t xml:space="preserve">ms of the disappearing company – including under a mortgage over real estate property – and associated claims for </w:t>
      </w:r>
      <w:r w:rsidR="00C107B6">
        <w:t>interest</w:t>
      </w:r>
      <w:r w:rsidR="00D663C8">
        <w:t>, yield, indemnities, guarantee</w:t>
      </w:r>
      <w:r w:rsidR="00D663C8" w:rsidRPr="00EE3E69">
        <w:t xml:space="preserve">s and security interests </w:t>
      </w:r>
      <w:r w:rsidR="00CE654D" w:rsidRPr="00EE3E69">
        <w:t>(</w:t>
      </w:r>
      <w:r w:rsidR="00D663C8" w:rsidRPr="00EE3E69">
        <w:t>subject only to a possible exception in the case of suretyships</w:t>
      </w:r>
      <w:r w:rsidR="00CE654D" w:rsidRPr="00EE3E69">
        <w:t>)</w:t>
      </w:r>
      <w:r w:rsidR="00D663C8" w:rsidRPr="00EE3E69">
        <w:t>, rights in respect of asse</w:t>
      </w:r>
      <w:r w:rsidR="00D663C8" w:rsidRPr="00DC08F4">
        <w:t>ts transferred</w:t>
      </w:r>
      <w:r w:rsidR="00EE3E69" w:rsidRPr="00DC08F4">
        <w:t>,</w:t>
      </w:r>
      <w:r w:rsidR="00D663C8" w:rsidRPr="00DC08F4">
        <w:t xml:space="preserve"> such as th</w:t>
      </w:r>
      <w:r w:rsidR="00D663C8" w:rsidRPr="00EE3E69">
        <w:t xml:space="preserve">e right to sue in </w:t>
      </w:r>
      <w:r w:rsidR="00C107B6" w:rsidRPr="00EE3E69">
        <w:t>respect</w:t>
      </w:r>
      <w:r w:rsidR="00D663C8" w:rsidRPr="00EE3E69">
        <w:t xml:space="preserve"> of them and enforcing</w:t>
      </w:r>
      <w:r w:rsidR="00D663C8">
        <w:t xml:space="preserve"> legal proceedings, </w:t>
      </w:r>
      <w:r w:rsidR="00EE4400">
        <w:t xml:space="preserve">and </w:t>
      </w:r>
      <w:r w:rsidR="00D663C8">
        <w:t>rights attaching to the asset.</w:t>
      </w:r>
    </w:p>
    <w:p w14:paraId="1A087BBA" w14:textId="791C8126" w:rsidR="00D663C8" w:rsidRDefault="00D663C8" w:rsidP="00D663C8">
      <w:pPr>
        <w:pStyle w:val="ParaNumbering"/>
      </w:pPr>
      <w:r w:rsidRPr="00AD6C59">
        <w:lastRenderedPageBreak/>
        <w:t xml:space="preserve">The expert evidence </w:t>
      </w:r>
      <w:r w:rsidR="007D3134" w:rsidRPr="00AD6C59">
        <w:t xml:space="preserve">about the transfer of liabilities was </w:t>
      </w:r>
      <w:r w:rsidRPr="00AD6C59">
        <w:t xml:space="preserve">very similar.  </w:t>
      </w:r>
      <w:r w:rsidR="007D3134" w:rsidRPr="00AD6C59">
        <w:t xml:space="preserve">In particular, </w:t>
      </w:r>
      <w:r w:rsidRPr="00AD6C59">
        <w:t xml:space="preserve">Dr de </w:t>
      </w:r>
      <w:proofErr w:type="spellStart"/>
      <w:r w:rsidRPr="00AD6C59">
        <w:t>Vries</w:t>
      </w:r>
      <w:proofErr w:type="spellEnd"/>
      <w:r w:rsidRPr="00AD6C59">
        <w:t xml:space="preserve"> stated that it is generally held </w:t>
      </w:r>
      <w:r w:rsidR="00C107B6" w:rsidRPr="00AD6C59">
        <w:t>that</w:t>
      </w:r>
      <w:r w:rsidRPr="00AD6C59">
        <w:t xml:space="preserve"> liability arising from tax liabilities transfer</w:t>
      </w:r>
      <w:r w:rsidR="002000FD" w:rsidRPr="00AD6C59">
        <w:t>s</w:t>
      </w:r>
      <w:r w:rsidRPr="00AD6C59">
        <w:t xml:space="preserve"> by way of </w:t>
      </w:r>
      <w:r w:rsidR="00C107B6" w:rsidRPr="00AD6C59">
        <w:t>universal</w:t>
      </w:r>
      <w:r w:rsidRPr="00AD6C59">
        <w:t xml:space="preserve"> succession.  Dr de </w:t>
      </w:r>
      <w:proofErr w:type="spellStart"/>
      <w:r w:rsidRPr="00AD6C59">
        <w:t>Vries</w:t>
      </w:r>
      <w:proofErr w:type="spellEnd"/>
      <w:r w:rsidRPr="00AD6C59">
        <w:t xml:space="preserve"> noted this is to prevent abuse and avoidance of such liabil</w:t>
      </w:r>
      <w:r w:rsidR="002000FD" w:rsidRPr="00AD6C59">
        <w:t>ity</w:t>
      </w:r>
      <w:r w:rsidRPr="00AD6C59">
        <w:t xml:space="preserve"> by way</w:t>
      </w:r>
      <w:r w:rsidR="002000FD" w:rsidRPr="00AD6C59">
        <w:t xml:space="preserve"> of merger.  Associate Professor</w:t>
      </w:r>
      <w:r w:rsidRPr="00AD6C59">
        <w:t xml:space="preserve"> Steichen’s evidence was that under </w:t>
      </w:r>
      <w:r w:rsidR="00C107B6" w:rsidRPr="00AD6C59">
        <w:t>Luxemb</w:t>
      </w:r>
      <w:r w:rsidR="00072ABB" w:rsidRPr="00AD6C59">
        <w:t>o</w:t>
      </w:r>
      <w:r w:rsidR="00C107B6" w:rsidRPr="00AD6C59">
        <w:t>urg</w:t>
      </w:r>
      <w:r w:rsidRPr="00AD6C59">
        <w:t xml:space="preserve"> law, universal succession entails transfer of “all the liabilities of the Disappearing</w:t>
      </w:r>
      <w:r w:rsidR="00C107B6" w:rsidRPr="00AD6C59">
        <w:t xml:space="preserve"> </w:t>
      </w:r>
      <w:proofErr w:type="spellStart"/>
      <w:r w:rsidRPr="00AD6C59">
        <w:t>ForeignCo</w:t>
      </w:r>
      <w:proofErr w:type="spellEnd"/>
      <w:r w:rsidRPr="00AD6C59">
        <w:t>”</w:t>
      </w:r>
      <w:r w:rsidR="007D3134" w:rsidRPr="00AD6C59">
        <w:t>,</w:t>
      </w:r>
      <w:r w:rsidRPr="00AD6C59">
        <w:t xml:space="preserve"> whether they have a contractual or statutory basis, whether due or not yet payable and “whether they are owed to a private (within the corporate purpose) or public creditor (social security contributions, taxes or other public duties)”</w:t>
      </w:r>
      <w:r w:rsidR="00986780" w:rsidRPr="00AD6C59">
        <w:t>.  There is no requirement for novation, substitution of debtor or consent of creditor required for the substitution of the acquiring entity</w:t>
      </w:r>
      <w:r w:rsidR="00E8768E" w:rsidRPr="00AD6C59">
        <w:t>,</w:t>
      </w:r>
      <w:r w:rsidR="00986780" w:rsidRPr="00AD6C59">
        <w:t xml:space="preserve"> as the debtor stands in </w:t>
      </w:r>
      <w:r w:rsidR="00E8768E" w:rsidRPr="00AD6C59">
        <w:t>the shoes</w:t>
      </w:r>
      <w:r w:rsidR="00986780" w:rsidRPr="00AD6C59">
        <w:t xml:space="preserve"> of the disappeari</w:t>
      </w:r>
      <w:r w:rsidR="002000FD" w:rsidRPr="00AD6C59">
        <w:t>ng entity.  Associate Professor</w:t>
      </w:r>
      <w:r w:rsidR="00986780" w:rsidRPr="00AD6C59">
        <w:t xml:space="preserve"> Steichen was particularly emphatic as to the totality of liabilities transferred and that such transfer necessarily also entails the transfer of all rights attaching to such liabilities.  He stated:</w:t>
      </w:r>
      <w:r w:rsidR="00986780">
        <w:t xml:space="preserve"> </w:t>
      </w:r>
    </w:p>
    <w:p w14:paraId="527F4A83" w14:textId="77777777" w:rsidR="00986780" w:rsidRPr="00AD6C59" w:rsidRDefault="00986780" w:rsidP="00986780">
      <w:pPr>
        <w:pStyle w:val="Quote1"/>
      </w:pPr>
      <w:r>
        <w:t xml:space="preserve">[All such liabilities] are all to be assumed automatically by the Acquiring </w:t>
      </w:r>
      <w:proofErr w:type="spellStart"/>
      <w:r>
        <w:t>LuxCo</w:t>
      </w:r>
      <w:proofErr w:type="spellEnd"/>
      <w:r>
        <w:t xml:space="preserve">, </w:t>
      </w:r>
      <w:r w:rsidRPr="00215617">
        <w:rPr>
          <w:bCs/>
        </w:rPr>
        <w:t>as well as any accessory rights and obligations relating thereto</w:t>
      </w:r>
      <w:r>
        <w:t xml:space="preserve">. In particular the right to be sued or be defendant in court proceedings will automatically be vested with the Acquiring </w:t>
      </w:r>
      <w:proofErr w:type="spellStart"/>
      <w:r>
        <w:t>LuxCo</w:t>
      </w:r>
      <w:proofErr w:type="spellEnd"/>
      <w:r>
        <w:t xml:space="preserve">, who may thus be held liable for faults or defaults of the Disappearing </w:t>
      </w:r>
      <w:proofErr w:type="spellStart"/>
      <w:r>
        <w:t>ForeignCo</w:t>
      </w:r>
      <w:proofErr w:type="spellEnd"/>
      <w:r>
        <w:t xml:space="preserve"> in respect of the latter’s obligations. In any event, </w:t>
      </w:r>
      <w:r w:rsidRPr="00514400">
        <w:rPr>
          <w:bCs/>
        </w:rPr>
        <w:t>no liability</w:t>
      </w:r>
      <w:r>
        <w:rPr>
          <w:b/>
          <w:bCs/>
        </w:rPr>
        <w:t xml:space="preserve"> </w:t>
      </w:r>
      <w:r w:rsidRPr="00215617">
        <w:rPr>
          <w:bCs/>
        </w:rPr>
        <w:t xml:space="preserve">or accessory right or obligation attaching thereto may be left behind given that the Disappearing </w:t>
      </w:r>
      <w:proofErr w:type="spellStart"/>
      <w:r w:rsidRPr="00215617">
        <w:rPr>
          <w:bCs/>
        </w:rPr>
        <w:t>ForeignCo</w:t>
      </w:r>
      <w:proofErr w:type="spellEnd"/>
      <w:r w:rsidRPr="00215617">
        <w:rPr>
          <w:bCs/>
        </w:rPr>
        <w:t xml:space="preserve"> shall, also automatically and upon the Merger becoming </w:t>
      </w:r>
      <w:r w:rsidRPr="00AD6C59">
        <w:rPr>
          <w:bCs/>
        </w:rPr>
        <w:t>effective, cease to exist</w:t>
      </w:r>
      <w:r w:rsidRPr="00AD6C59">
        <w:t>…</w:t>
      </w:r>
    </w:p>
    <w:p w14:paraId="785A696A" w14:textId="5B6D0789" w:rsidR="001701A8" w:rsidRPr="001701A8" w:rsidRDefault="00986780" w:rsidP="0051434F">
      <w:pPr>
        <w:pStyle w:val="ParaNumbering"/>
      </w:pPr>
      <w:r w:rsidRPr="00AD6C59">
        <w:t xml:space="preserve">Dr de </w:t>
      </w:r>
      <w:proofErr w:type="spellStart"/>
      <w:r w:rsidRPr="00AD6C59">
        <w:t>Vries</w:t>
      </w:r>
      <w:proofErr w:type="spellEnd"/>
      <w:r w:rsidRPr="00AD6C59">
        <w:t xml:space="preserve"> </w:t>
      </w:r>
      <w:r w:rsidR="00C107B6" w:rsidRPr="00AD6C59">
        <w:t>likewise</w:t>
      </w:r>
      <w:r w:rsidRPr="00AD6C59">
        <w:t xml:space="preserve"> explained </w:t>
      </w:r>
      <w:r w:rsidR="00C107B6" w:rsidRPr="00AD6C59">
        <w:t>that</w:t>
      </w:r>
      <w:r w:rsidRPr="00AD6C59">
        <w:t xml:space="preserve"> a</w:t>
      </w:r>
      <w:r w:rsidR="00C107B6" w:rsidRPr="00AD6C59">
        <w:t xml:space="preserve"> </w:t>
      </w:r>
      <w:r w:rsidRPr="00AD6C59">
        <w:t>successor under universal succession of title will be entitled to exercise the same rights and obligations as the original owner.  Article 3:116 of the Dutch Civil Code stipulates that “</w:t>
      </w:r>
      <w:r w:rsidR="007753F5" w:rsidRPr="00AD6C59">
        <w:t>[</w:t>
      </w:r>
      <w:r w:rsidR="007753F5" w:rsidRPr="00AD6C59">
        <w:rPr>
          <w:szCs w:val="24"/>
        </w:rPr>
        <w:t>a]</w:t>
      </w:r>
      <w:r w:rsidRPr="00AD6C59">
        <w:rPr>
          <w:szCs w:val="24"/>
        </w:rPr>
        <w:t xml:space="preserve"> person who succeeds another by universal title succeeds to the other’s rights of possession and detention with all the characteristics and defects thereof</w:t>
      </w:r>
      <w:r w:rsidR="001701A8" w:rsidRPr="00AD6C59">
        <w:rPr>
          <w:sz w:val="23"/>
          <w:szCs w:val="23"/>
        </w:rPr>
        <w:t>”</w:t>
      </w:r>
      <w:r w:rsidR="007753F5" w:rsidRPr="00AD6C59">
        <w:t xml:space="preserve"> (translation</w:t>
      </w:r>
      <w:r w:rsidR="00023853" w:rsidRPr="00AD6C59">
        <w:t xml:space="preserve"> from</w:t>
      </w:r>
      <w:r w:rsidR="007753F5" w:rsidRPr="00AD6C59">
        <w:t xml:space="preserve"> Dr de </w:t>
      </w:r>
      <w:proofErr w:type="spellStart"/>
      <w:r w:rsidR="007753F5" w:rsidRPr="00AD6C59">
        <w:t>Vries</w:t>
      </w:r>
      <w:proofErr w:type="spellEnd"/>
      <w:r w:rsidR="007753F5" w:rsidRPr="00AD6C59">
        <w:t>’ report)</w:t>
      </w:r>
      <w:r w:rsidR="001701A8" w:rsidRPr="00AD6C59">
        <w:rPr>
          <w:sz w:val="23"/>
          <w:szCs w:val="23"/>
        </w:rPr>
        <w:t>.</w:t>
      </w:r>
      <w:r w:rsidR="001701A8">
        <w:rPr>
          <w:sz w:val="23"/>
          <w:szCs w:val="23"/>
        </w:rPr>
        <w:t xml:space="preserve">  </w:t>
      </w:r>
    </w:p>
    <w:p w14:paraId="3F8B01F1" w14:textId="68B79F85" w:rsidR="00E61C34" w:rsidRDefault="001701A8" w:rsidP="005D5411">
      <w:pPr>
        <w:pStyle w:val="ParaNumbering"/>
      </w:pPr>
      <w:r>
        <w:t xml:space="preserve">Following a request from </w:t>
      </w:r>
      <w:r w:rsidRPr="00AD6C59">
        <w:t>the Commissioner for clarification, both experts were asked to clarify whether, in referring to the transfer of tax liabilities under</w:t>
      </w:r>
      <w:r w:rsidR="007753F5" w:rsidRPr="00AD6C59">
        <w:t xml:space="preserve"> the</w:t>
      </w:r>
      <w:r w:rsidRPr="00AD6C59">
        <w:t xml:space="preserve"> universal</w:t>
      </w:r>
      <w:r w:rsidR="007753F5" w:rsidRPr="00AD6C59">
        <w:t xml:space="preserve"> succession principle</w:t>
      </w:r>
      <w:r w:rsidRPr="00AD6C59">
        <w:t>, they were including both domestic tax liabilities and those arising under foreign law</w:t>
      </w:r>
      <w:r w:rsidR="00026EEE" w:rsidRPr="00AD6C59">
        <w:t xml:space="preserve">. </w:t>
      </w:r>
      <w:r w:rsidRPr="00AD6C59">
        <w:t xml:space="preserve"> </w:t>
      </w:r>
      <w:r w:rsidR="005D5411" w:rsidRPr="00AD6C59">
        <w:t>Both experts confirmed that tax liabilities passed under the univ</w:t>
      </w:r>
      <w:r w:rsidR="005D5411">
        <w:t xml:space="preserve">ersal succession principle, regardless of whether they arose under domestic law or foreign law.  </w:t>
      </w:r>
    </w:p>
    <w:p w14:paraId="52D64CE5" w14:textId="21B968E4" w:rsidR="00E61C34" w:rsidRDefault="00E61C34" w:rsidP="00216C17">
      <w:pPr>
        <w:pStyle w:val="ParaNumbering"/>
      </w:pPr>
      <w:r>
        <w:t>The following points can be taken from the expert evidence</w:t>
      </w:r>
      <w:r w:rsidR="0027127C">
        <w:t>.</w:t>
      </w:r>
      <w:r w:rsidR="007753F5">
        <w:t xml:space="preserve"> </w:t>
      </w:r>
      <w:r w:rsidR="0027127C">
        <w:t xml:space="preserve"> </w:t>
      </w:r>
      <w:r w:rsidR="00216C17">
        <w:t>U</w:t>
      </w:r>
      <w:r w:rsidR="0027127C">
        <w:t>nder European law, Luxemb</w:t>
      </w:r>
      <w:r w:rsidR="00072ABB">
        <w:t>o</w:t>
      </w:r>
      <w:r w:rsidR="0027127C">
        <w:t>urg law and Dutch law, pursuant to the principle of universal succession</w:t>
      </w:r>
      <w:r>
        <w:t>:</w:t>
      </w:r>
    </w:p>
    <w:p w14:paraId="0250DEF0" w14:textId="46708440" w:rsidR="00E61C34" w:rsidRPr="00AD6C59" w:rsidRDefault="00E61C34" w:rsidP="00E61C34">
      <w:pPr>
        <w:pStyle w:val="ListNo2"/>
        <w:numPr>
          <w:ilvl w:val="1"/>
          <w:numId w:val="26"/>
        </w:numPr>
      </w:pPr>
      <w:r>
        <w:t>a</w:t>
      </w:r>
      <w:r w:rsidRPr="00AD6C59">
        <w:t>ll liabilities of LMGI to tax, including under foreign law (that is</w:t>
      </w:r>
      <w:r w:rsidR="007753F5" w:rsidRPr="00AD6C59">
        <w:t>,</w:t>
      </w:r>
      <w:r w:rsidRPr="00AD6C59">
        <w:t xml:space="preserve"> the </w:t>
      </w:r>
      <w:r w:rsidR="007753F5" w:rsidRPr="00AD6C59">
        <w:t>relevant Australian t</w:t>
      </w:r>
      <w:r w:rsidRPr="00AD6C59">
        <w:t>ax</w:t>
      </w:r>
      <w:r w:rsidR="007753F5" w:rsidRPr="00AD6C59">
        <w:t xml:space="preserve"> a</w:t>
      </w:r>
      <w:r w:rsidRPr="00AD6C59">
        <w:t>cts)</w:t>
      </w:r>
      <w:r w:rsidR="007753F5" w:rsidRPr="00AD6C59">
        <w:t>,</w:t>
      </w:r>
      <w:r w:rsidRPr="00AD6C59">
        <w:t xml:space="preserve"> will transfer to LMA by operation of law pursuant to the </w:t>
      </w:r>
      <w:r w:rsidRPr="00AD6C59">
        <w:lastRenderedPageBreak/>
        <w:t xml:space="preserve">principle of universal succession upon completion of the merger, as </w:t>
      </w:r>
      <w:r w:rsidR="00AB7A74" w:rsidRPr="00AD6C59">
        <w:t xml:space="preserve">will </w:t>
      </w:r>
      <w:r w:rsidRPr="00AD6C59">
        <w:t xml:space="preserve">the rights and obligations of LMGI in respect of such tax </w:t>
      </w:r>
      <w:r w:rsidR="007753F5" w:rsidRPr="00AD6C59">
        <w:t>liabilities</w:t>
      </w:r>
      <w:r w:rsidRPr="00AD6C59">
        <w:t>;</w:t>
      </w:r>
    </w:p>
    <w:p w14:paraId="73854652" w14:textId="63EDDB02" w:rsidR="00216C17" w:rsidRPr="00AD6C59" w:rsidRDefault="00216C17" w:rsidP="00810018">
      <w:pPr>
        <w:pStyle w:val="ListNo2"/>
        <w:numPr>
          <w:ilvl w:val="1"/>
          <w:numId w:val="26"/>
        </w:numPr>
      </w:pPr>
      <w:r w:rsidRPr="00AD6C59">
        <w:t>upon the completion of the merger, LMGI will cease to exist;</w:t>
      </w:r>
      <w:r w:rsidR="007753F5" w:rsidRPr="00AD6C59">
        <w:t xml:space="preserve"> and</w:t>
      </w:r>
    </w:p>
    <w:p w14:paraId="5AE7AD47" w14:textId="38230CF5" w:rsidR="001D3F31" w:rsidRDefault="00A66E8A" w:rsidP="00216C17">
      <w:pPr>
        <w:pStyle w:val="ListNo2"/>
        <w:numPr>
          <w:ilvl w:val="1"/>
          <w:numId w:val="26"/>
        </w:numPr>
      </w:pPr>
      <w:proofErr w:type="gramStart"/>
      <w:r w:rsidRPr="00AD6C59">
        <w:t>from</w:t>
      </w:r>
      <w:proofErr w:type="gramEnd"/>
      <w:r w:rsidRPr="00AD6C59">
        <w:t xml:space="preserve"> the effective date of </w:t>
      </w:r>
      <w:r w:rsidR="001D3F31" w:rsidRPr="00AD6C59">
        <w:t>the merger, LMA will stand in the shoes of LMGI.</w:t>
      </w:r>
      <w:r w:rsidR="00514D1D">
        <w:t xml:space="preserve"> </w:t>
      </w:r>
    </w:p>
    <w:p w14:paraId="31012161" w14:textId="4F5550F2" w:rsidR="002C009E" w:rsidRDefault="007753F5" w:rsidP="002C009E">
      <w:pPr>
        <w:pStyle w:val="Heading1"/>
      </w:pPr>
      <w:r w:rsidRPr="00AD6C59">
        <w:t>LM</w:t>
      </w:r>
      <w:r w:rsidR="009978B3" w:rsidRPr="00AD6C59">
        <w:t>G</w:t>
      </w:r>
      <w:r w:rsidRPr="00AD6C59">
        <w:t xml:space="preserve">I’s Australian </w:t>
      </w:r>
      <w:r w:rsidR="00662C0C" w:rsidRPr="00AD6C59">
        <w:t>t</w:t>
      </w:r>
      <w:r w:rsidRPr="00AD6C59">
        <w:t>ax</w:t>
      </w:r>
      <w:r w:rsidR="002C009E" w:rsidRPr="00AD6C59">
        <w:t xml:space="preserve"> liabilities</w:t>
      </w:r>
    </w:p>
    <w:p w14:paraId="04EF6685" w14:textId="3D134986" w:rsidR="001D3F31" w:rsidRDefault="000373F8" w:rsidP="000373F8">
      <w:pPr>
        <w:pStyle w:val="ParaNumbering"/>
      </w:pPr>
      <w:r w:rsidRPr="00AD6C59">
        <w:t xml:space="preserve">LMGI has unpaid Australian tax liabilities arising from assessments for the income years ended 30 June 2016 to 30 June 2019, together with shortfall interest charge and general interest charge in the total </w:t>
      </w:r>
      <w:r w:rsidR="00AC44A9" w:rsidRPr="00AD6C59">
        <w:t xml:space="preserve">amount </w:t>
      </w:r>
      <w:r w:rsidRPr="00AD6C59">
        <w:t>of $90,083,572.47 as at 4 December 2020.  LMGI objected to those assessments</w:t>
      </w:r>
      <w:r w:rsidR="00AC44A9" w:rsidRPr="00AD6C59">
        <w:t>,</w:t>
      </w:r>
      <w:r w:rsidRPr="00AD6C59">
        <w:t xml:space="preserve"> which</w:t>
      </w:r>
      <w:r w:rsidR="00AC44A9" w:rsidRPr="00AD6C59">
        <w:t xml:space="preserve"> </w:t>
      </w:r>
      <w:r w:rsidRPr="00AD6C59">
        <w:t xml:space="preserve">were disallowed by objection decisions </w:t>
      </w:r>
      <w:r w:rsidR="00350309" w:rsidRPr="00AD6C59">
        <w:t xml:space="preserve">made </w:t>
      </w:r>
      <w:r w:rsidRPr="00AD6C59">
        <w:t>in November 2020</w:t>
      </w:r>
      <w:r w:rsidR="00AC44A9" w:rsidRPr="00AD6C59">
        <w:t>.</w:t>
      </w:r>
      <w:r w:rsidRPr="00AD6C59">
        <w:t xml:space="preserve">  </w:t>
      </w:r>
      <w:r w:rsidR="00AC44A9" w:rsidRPr="00AD6C59">
        <w:t>O</w:t>
      </w:r>
      <w:r w:rsidR="00AD6C59" w:rsidRPr="00AD6C59">
        <w:t>n 2 December </w:t>
      </w:r>
      <w:r w:rsidRPr="00AD6C59">
        <w:t>2020</w:t>
      </w:r>
      <w:r w:rsidR="00AC44A9" w:rsidRPr="00AD6C59">
        <w:t>,</w:t>
      </w:r>
      <w:r w:rsidRPr="00AD6C59">
        <w:t xml:space="preserve"> LMGI commenced proceedings under s 14ZZ of the Tax</w:t>
      </w:r>
      <w:r w:rsidR="009C4279" w:rsidRPr="00AD6C59">
        <w:t>ation</w:t>
      </w:r>
      <w:r w:rsidRPr="00AD6C59">
        <w:t xml:space="preserve"> Administration Act</w:t>
      </w:r>
      <w:r w:rsidRPr="00AD6C59">
        <w:rPr>
          <w:i/>
        </w:rPr>
        <w:t xml:space="preserve"> </w:t>
      </w:r>
      <w:r w:rsidRPr="00AD6C59">
        <w:t xml:space="preserve">appealing from those objection decisions.  LMGI has not yet lodged income tax returns for the income years ended 30 June 2020 or 30 June 2021 (they are not yet due to be lodged).  Therefore, LMGI may have unassessed tax liabilities for those income years. </w:t>
      </w:r>
      <w:r w:rsidR="00846011" w:rsidRPr="00AD6C59">
        <w:t xml:space="preserve"> </w:t>
      </w:r>
      <w:r w:rsidR="00EE39D8" w:rsidRPr="00AD6C59">
        <w:t>The legal question raised by this application is whether, after the merger and as a matter of Australian law, LMA, as the surviving entity,</w:t>
      </w:r>
      <w:r w:rsidR="00846011" w:rsidRPr="00AD6C59">
        <w:t xml:space="preserve"> would be subject to the tax</w:t>
      </w:r>
      <w:r w:rsidR="00EE39D8" w:rsidRPr="00AD6C59">
        <w:t xml:space="preserve"> liabilities of LMGI and entitled to exercise the rel</w:t>
      </w:r>
      <w:r w:rsidR="006905D3" w:rsidRPr="00AD6C59">
        <w:t xml:space="preserve">evant statutory rights under </w:t>
      </w:r>
      <w:proofErr w:type="spellStart"/>
      <w:r w:rsidR="006905D3" w:rsidRPr="00AD6C59">
        <w:t>p</w:t>
      </w:r>
      <w:r w:rsidR="00EE39D8" w:rsidRPr="00AD6C59">
        <w:t>t</w:t>
      </w:r>
      <w:proofErr w:type="spellEnd"/>
      <w:r w:rsidR="00EE39D8" w:rsidRPr="00AD6C59">
        <w:t xml:space="preserve"> IVC of the Tax</w:t>
      </w:r>
      <w:r w:rsidR="009367D4" w:rsidRPr="00AD6C59">
        <w:t>ation</w:t>
      </w:r>
      <w:r w:rsidR="00EE39D8" w:rsidRPr="00AD6C59">
        <w:t xml:space="preserve"> Administration Act</w:t>
      </w:r>
      <w:r w:rsidR="00EE39D8" w:rsidRPr="00AD6C59">
        <w:rPr>
          <w:i/>
        </w:rPr>
        <w:t xml:space="preserve"> </w:t>
      </w:r>
      <w:r w:rsidR="00850678" w:rsidRPr="00AD6C59">
        <w:t xml:space="preserve">in respect of </w:t>
      </w:r>
      <w:r w:rsidR="00EE39D8" w:rsidRPr="00AD6C59">
        <w:t xml:space="preserve">assessments </w:t>
      </w:r>
      <w:r w:rsidR="00850678" w:rsidRPr="00AD6C59">
        <w:t xml:space="preserve">which have issued to LMGI </w:t>
      </w:r>
      <w:r w:rsidR="00EE39D8" w:rsidRPr="00AD6C59">
        <w:t xml:space="preserve">and any future assessments issued in respect of </w:t>
      </w:r>
      <w:r w:rsidR="00A95251" w:rsidRPr="00AD6C59">
        <w:t>tax liabilities</w:t>
      </w:r>
      <w:r w:rsidR="00EE39D8" w:rsidRPr="00AD6C59">
        <w:t xml:space="preserve"> of LMGI</w:t>
      </w:r>
      <w:r w:rsidR="00846011" w:rsidRPr="00AD6C59">
        <w:t xml:space="preserve"> which accrued</w:t>
      </w:r>
      <w:r w:rsidR="0027005B" w:rsidRPr="00AD6C59">
        <w:t xml:space="preserve"> pre-</w:t>
      </w:r>
      <w:r w:rsidR="00A95251" w:rsidRPr="00AD6C59">
        <w:t>merger</w:t>
      </w:r>
      <w:r w:rsidR="00EE39D8" w:rsidRPr="00AD6C59">
        <w:t>.</w:t>
      </w:r>
      <w:r w:rsidR="00EE39D8">
        <w:t xml:space="preserve">  </w:t>
      </w:r>
    </w:p>
    <w:p w14:paraId="6F3CBB1B" w14:textId="1B645CA1" w:rsidR="000373F8" w:rsidRDefault="000373F8" w:rsidP="009E1E82">
      <w:pPr>
        <w:pStyle w:val="ParaNumbering"/>
      </w:pPr>
      <w:r>
        <w:t>The disputed tax liabilities result from several assessments issued by</w:t>
      </w:r>
      <w:r w:rsidR="00350309">
        <w:t>,</w:t>
      </w:r>
      <w:r>
        <w:t xml:space="preserve"> or deemed to have been </w:t>
      </w:r>
      <w:r w:rsidRPr="00AD6C59">
        <w:t>issued by</w:t>
      </w:r>
      <w:r w:rsidR="00350309" w:rsidRPr="00AD6C59">
        <w:t>,</w:t>
      </w:r>
      <w:r w:rsidRPr="00AD6C59">
        <w:t xml:space="preserve"> the Commissioner to LMGI for the financial years ending 2016, 2017, 2018 and 2019 relating to transactions by LMGI in selling its shares in</w:t>
      </w:r>
      <w:r w:rsidR="00F21434" w:rsidRPr="00AD6C59">
        <w:t xml:space="preserve"> an Australian company named </w:t>
      </w:r>
      <w:r w:rsidRPr="00AD6C59">
        <w:t>Evolution</w:t>
      </w:r>
      <w:r w:rsidR="00F21434" w:rsidRPr="00AD6C59">
        <w:t xml:space="preserve"> Mining Limited</w:t>
      </w:r>
      <w:r w:rsidR="008068AA" w:rsidRPr="00AD6C59">
        <w:t xml:space="preserve"> (</w:t>
      </w:r>
      <w:r w:rsidR="008068AA" w:rsidRPr="00AD6C59">
        <w:rPr>
          <w:b/>
        </w:rPr>
        <w:t>Evolution</w:t>
      </w:r>
      <w:r w:rsidR="008068AA" w:rsidRPr="00AD6C59">
        <w:t>)</w:t>
      </w:r>
      <w:r w:rsidRPr="00AD6C59">
        <w:t xml:space="preserve">. </w:t>
      </w:r>
      <w:r w:rsidR="00846011" w:rsidRPr="00AD6C59">
        <w:t xml:space="preserve"> </w:t>
      </w:r>
      <w:r w:rsidRPr="00AD6C59">
        <w:t>The Commissioner contends that the sale of those shares in Evolution attract</w:t>
      </w:r>
      <w:r w:rsidR="00846011" w:rsidRPr="00AD6C59">
        <w:t>s</w:t>
      </w:r>
      <w:r w:rsidRPr="00AD6C59">
        <w:t xml:space="preserve"> capital gains tax. </w:t>
      </w:r>
      <w:r w:rsidR="00846011" w:rsidRPr="00AD6C59">
        <w:t xml:space="preserve"> </w:t>
      </w:r>
      <w:r w:rsidRPr="00AD6C59">
        <w:t>LMGI dispu</w:t>
      </w:r>
      <w:r w:rsidR="00F21434" w:rsidRPr="00AD6C59">
        <w:t xml:space="preserve">tes that </w:t>
      </w:r>
      <w:r w:rsidRPr="00AD6C59">
        <w:t>the sale of the Evolution shares attract</w:t>
      </w:r>
      <w:r w:rsidR="009E1E82" w:rsidRPr="00AD6C59">
        <w:t>s</w:t>
      </w:r>
      <w:r w:rsidRPr="00AD6C59">
        <w:t xml:space="preserve"> </w:t>
      </w:r>
      <w:r w:rsidR="009E1E82" w:rsidRPr="00AD6C59">
        <w:t xml:space="preserve">any liability to </w:t>
      </w:r>
      <w:r w:rsidRPr="00AD6C59">
        <w:t>capital gains tax, and if</w:t>
      </w:r>
      <w:r w:rsidR="009E1E82" w:rsidRPr="00AD6C59">
        <w:t xml:space="preserve"> it does</w:t>
      </w:r>
      <w:r w:rsidRPr="00AD6C59">
        <w:t xml:space="preserve">, </w:t>
      </w:r>
      <w:r w:rsidR="008068AA" w:rsidRPr="00AD6C59">
        <w:t xml:space="preserve">disputes </w:t>
      </w:r>
      <w:r w:rsidRPr="00AD6C59">
        <w:t>the quantum of the tax</w:t>
      </w:r>
      <w:r w:rsidR="008068AA" w:rsidRPr="00AD6C59">
        <w:t xml:space="preserve"> to which it has been assessed</w:t>
      </w:r>
      <w:r w:rsidRPr="00AD6C59">
        <w:t xml:space="preserve">. </w:t>
      </w:r>
      <w:r w:rsidR="00846011" w:rsidRPr="00AD6C59">
        <w:t xml:space="preserve"> </w:t>
      </w:r>
      <w:r w:rsidRPr="00AD6C59">
        <w:t xml:space="preserve">Pending </w:t>
      </w:r>
      <w:r w:rsidR="008068AA" w:rsidRPr="00AD6C59">
        <w:t xml:space="preserve">resolution </w:t>
      </w:r>
      <w:r w:rsidR="009B5852" w:rsidRPr="00AD6C59">
        <w:t xml:space="preserve">of </w:t>
      </w:r>
      <w:r w:rsidRPr="00AD6C59">
        <w:t xml:space="preserve">that dispute, security agreements </w:t>
      </w:r>
      <w:r w:rsidR="009B5852" w:rsidRPr="00AD6C59">
        <w:t xml:space="preserve">have been </w:t>
      </w:r>
      <w:r w:rsidRPr="00AD6C59">
        <w:t>entered into between the Commissioner</w:t>
      </w:r>
      <w:r w:rsidR="00846011" w:rsidRPr="00AD6C59">
        <w:t xml:space="preserve"> and</w:t>
      </w:r>
      <w:r w:rsidRPr="00AD6C59">
        <w:t xml:space="preserve"> </w:t>
      </w:r>
      <w:r w:rsidR="003978DE" w:rsidRPr="00AD6C59">
        <w:t>LMGI</w:t>
      </w:r>
      <w:r w:rsidR="00846011" w:rsidRPr="00AD6C59">
        <w:t>,</w:t>
      </w:r>
      <w:r w:rsidR="00FD66B0" w:rsidRPr="00AD6C59">
        <w:t xml:space="preserve"> and La Mancha Holdings </w:t>
      </w:r>
      <w:proofErr w:type="spellStart"/>
      <w:r w:rsidR="00FD66B0" w:rsidRPr="00AD6C59">
        <w:t>S.a.r.l</w:t>
      </w:r>
      <w:proofErr w:type="spellEnd"/>
      <w:r w:rsidR="00FD66B0" w:rsidRPr="00AD6C59">
        <w:t>. (the ultimate holding company)</w:t>
      </w:r>
      <w:r w:rsidRPr="00AD6C59">
        <w:t xml:space="preserve"> </w:t>
      </w:r>
      <w:r w:rsidR="009B5852" w:rsidRPr="00AD6C59">
        <w:t xml:space="preserve">has </w:t>
      </w:r>
      <w:r w:rsidRPr="00AD6C59">
        <w:t>g</w:t>
      </w:r>
      <w:r w:rsidR="009B5852" w:rsidRPr="00AD6C59">
        <w:t xml:space="preserve">iven </w:t>
      </w:r>
      <w:r w:rsidRPr="00AD6C59">
        <w:t xml:space="preserve">the Commissioner a deed of guarantee in </w:t>
      </w:r>
      <w:r w:rsidR="0080223D" w:rsidRPr="00AD6C59">
        <w:t>respect of the amounts assessed.</w:t>
      </w:r>
      <w:r w:rsidR="0080223D">
        <w:t xml:space="preserve"> </w:t>
      </w:r>
    </w:p>
    <w:p w14:paraId="07E2DCE5" w14:textId="1B0EE5B8" w:rsidR="00FD66B0" w:rsidRDefault="00265EB5" w:rsidP="00265EB5">
      <w:pPr>
        <w:pStyle w:val="ParaNumbering"/>
      </w:pPr>
      <w:r>
        <w:t>As mentioned, the proposed merger is subject</w:t>
      </w:r>
      <w:r w:rsidR="00AD6C59">
        <w:t xml:space="preserve"> to</w:t>
      </w:r>
      <w:r>
        <w:t xml:space="preserve"> a </w:t>
      </w:r>
      <w:r w:rsidR="00FD66B0">
        <w:t xml:space="preserve">condition precedent </w:t>
      </w:r>
      <w:r>
        <w:t>in the following form:</w:t>
      </w:r>
    </w:p>
    <w:p w14:paraId="2540E7D4" w14:textId="3267CB79" w:rsidR="00FD66B0" w:rsidRDefault="00FD66B0" w:rsidP="00265EB5">
      <w:pPr>
        <w:pStyle w:val="Quote1"/>
      </w:pPr>
      <w:r>
        <w:t xml:space="preserve">In addition to the above conditions, the Merger shall only be completed upon acknowledgement of receipt by the Merging Companies of an order or Judgment of an </w:t>
      </w:r>
      <w:r>
        <w:lastRenderedPageBreak/>
        <w:t xml:space="preserve">Australian Court (Federal Court of Australia, Full Court of the Federal Court of Australia, or the High Court of Australia) confirming, in proceedings to which the Disappearing Company is party, that upon completion of the Merger, the Surviving Company as legal successor of the Disappearing Company is entitled to exercise all Objection and Appeal rights pursuant to Part IVC of the Tax Administration Act 1953 </w:t>
      </w:r>
      <w:r w:rsidRPr="00AD6C59">
        <w:t>(</w:t>
      </w:r>
      <w:proofErr w:type="spellStart"/>
      <w:r w:rsidRPr="00AD6C59">
        <w:t>Cth</w:t>
      </w:r>
      <w:proofErr w:type="spellEnd"/>
      <w:r w:rsidRPr="00AD6C59">
        <w:t xml:space="preserve">) </w:t>
      </w:r>
      <w:r w:rsidR="00662C0C" w:rsidRPr="00AD6C59">
        <w:t xml:space="preserve">[sic] </w:t>
      </w:r>
      <w:r w:rsidRPr="00AD6C59">
        <w:t>in</w:t>
      </w:r>
      <w:r>
        <w:t xml:space="preserve"> objection or appeal proceedings currently on foot or to be brought in respect of Assessments issued or to be issued to the Disappearing Company or in relation to its asserted liabilities to taxation under the laws of Australia (or makes orders or gives reasons to the same or similar effect as the preceding). </w:t>
      </w:r>
    </w:p>
    <w:p w14:paraId="460A710E" w14:textId="7FA6AA0F" w:rsidR="00FD66B0" w:rsidRDefault="00265EB5" w:rsidP="00662C0C">
      <w:pPr>
        <w:pStyle w:val="NoNum"/>
      </w:pPr>
      <w:r w:rsidRPr="00AD6C59">
        <w:t>In effect, the m</w:t>
      </w:r>
      <w:r w:rsidR="00662C0C" w:rsidRPr="00AD6C59">
        <w:t>erger can only complete if</w:t>
      </w:r>
      <w:r w:rsidR="00FD66B0" w:rsidRPr="00AD6C59">
        <w:t xml:space="preserve"> </w:t>
      </w:r>
      <w:r w:rsidRPr="00AD6C59">
        <w:t>LM</w:t>
      </w:r>
      <w:r w:rsidR="009978B3" w:rsidRPr="00AD6C59">
        <w:t>G</w:t>
      </w:r>
      <w:r w:rsidRPr="00AD6C59">
        <w:t xml:space="preserve">I and LMA obtain </w:t>
      </w:r>
      <w:r w:rsidR="00FD66B0" w:rsidRPr="00AD6C59">
        <w:t>an o</w:t>
      </w:r>
      <w:r w:rsidR="00662C0C" w:rsidRPr="00AD6C59">
        <w:t>rder or judgment of this Court</w:t>
      </w:r>
      <w:r w:rsidR="00FD66B0" w:rsidRPr="00AD6C59">
        <w:t xml:space="preserve"> (or an appeal court from the first instance decision) confirming that LMA</w:t>
      </w:r>
      <w:r w:rsidR="00607869" w:rsidRPr="00AD6C59">
        <w:t>,</w:t>
      </w:r>
      <w:r w:rsidR="00FD66B0" w:rsidRPr="00AD6C59">
        <w:t xml:space="preserve"> as the surviving entity after the </w:t>
      </w:r>
      <w:r w:rsidR="00607869" w:rsidRPr="00AD6C59">
        <w:t>merger, takes LMGI’s statutory object</w:t>
      </w:r>
      <w:r w:rsidR="006905D3" w:rsidRPr="00AD6C59">
        <w:t xml:space="preserve">ion and appeal rights under </w:t>
      </w:r>
      <w:proofErr w:type="spellStart"/>
      <w:r w:rsidR="006905D3" w:rsidRPr="00AD6C59">
        <w:t>pt</w:t>
      </w:r>
      <w:proofErr w:type="spellEnd"/>
      <w:r w:rsidR="00AD6C59" w:rsidRPr="00AD6C59">
        <w:t> </w:t>
      </w:r>
      <w:r w:rsidR="00607869" w:rsidRPr="00AD6C59">
        <w:t>IVC of the Tax</w:t>
      </w:r>
      <w:r w:rsidR="009367D4" w:rsidRPr="00AD6C59">
        <w:t>ation</w:t>
      </w:r>
      <w:r w:rsidR="00607869" w:rsidRPr="00AD6C59">
        <w:t xml:space="preserve"> Administration Act in respect of the assessments currently</w:t>
      </w:r>
      <w:r w:rsidR="007C3690" w:rsidRPr="00AD6C59">
        <w:t xml:space="preserve"> disputed </w:t>
      </w:r>
      <w:r w:rsidR="00607869" w:rsidRPr="00AD6C59">
        <w:t xml:space="preserve">and any future assessments relating to LMGI. </w:t>
      </w:r>
      <w:r w:rsidR="00AD6C59" w:rsidRPr="00AD6C59">
        <w:t xml:space="preserve"> </w:t>
      </w:r>
      <w:r w:rsidR="00AB081B" w:rsidRPr="00AD6C59">
        <w:t>The application for declaratory relief to this Court is made to satisfy the condition precedent.</w:t>
      </w:r>
      <w:r w:rsidR="00AB081B">
        <w:t xml:space="preserve"> </w:t>
      </w:r>
    </w:p>
    <w:p w14:paraId="5060971D" w14:textId="1684404A" w:rsidR="002C009E" w:rsidRDefault="002C009E" w:rsidP="002C009E">
      <w:pPr>
        <w:pStyle w:val="Heading1"/>
      </w:pPr>
      <w:r w:rsidRPr="00AD6C59">
        <w:t>Consideration</w:t>
      </w:r>
    </w:p>
    <w:p w14:paraId="199FF30A" w14:textId="2D75161D" w:rsidR="008A74A4" w:rsidRDefault="00AD45A4" w:rsidP="00FB1504">
      <w:pPr>
        <w:pStyle w:val="ParaNumbering"/>
      </w:pPr>
      <w:r w:rsidRPr="00AD6C59">
        <w:t>Where a question arises under Australian law as to the status of foreign entity, Australian common law choice of law rules look to the law of incorporation of the entity to determine questions of the entity’s status</w:t>
      </w:r>
      <w:r w:rsidR="00EE39D8" w:rsidRPr="00AD6C59">
        <w:t xml:space="preserve">: </w:t>
      </w:r>
      <w:r w:rsidR="00C107B6" w:rsidRPr="00FF33AC">
        <w:rPr>
          <w:i/>
        </w:rPr>
        <w:t>National</w:t>
      </w:r>
      <w:r w:rsidR="00EE39D8" w:rsidRPr="00FF33AC">
        <w:rPr>
          <w:i/>
        </w:rPr>
        <w:t xml:space="preserve"> Bank of Greece and Athens SA v </w:t>
      </w:r>
      <w:proofErr w:type="spellStart"/>
      <w:r w:rsidR="00EE39D8" w:rsidRPr="00FF33AC">
        <w:rPr>
          <w:i/>
        </w:rPr>
        <w:t>Metliss</w:t>
      </w:r>
      <w:proofErr w:type="spellEnd"/>
      <w:r w:rsidR="00662C0C" w:rsidRPr="00FF33AC">
        <w:t xml:space="preserve"> [1958] AC </w:t>
      </w:r>
      <w:r w:rsidR="00EE39D8" w:rsidRPr="00FF33AC">
        <w:t>509</w:t>
      </w:r>
      <w:r w:rsidR="008C2B73" w:rsidRPr="00AD6C59">
        <w:t xml:space="preserve"> (</w:t>
      </w:r>
      <w:proofErr w:type="spellStart"/>
      <w:r w:rsidR="008C2B73" w:rsidRPr="00AD6C59">
        <w:rPr>
          <w:b/>
          <w:i/>
        </w:rPr>
        <w:t>Metliss</w:t>
      </w:r>
      <w:proofErr w:type="spellEnd"/>
      <w:r w:rsidR="008C2B73" w:rsidRPr="00AD6C59">
        <w:t>)</w:t>
      </w:r>
      <w:r w:rsidR="00EE39D8" w:rsidRPr="00AD6C59">
        <w:t xml:space="preserve"> at 525</w:t>
      </w:r>
      <w:r w:rsidR="00662C0C" w:rsidRPr="00AD6C59">
        <w:t xml:space="preserve"> per Viscount Simonds</w:t>
      </w:r>
      <w:r w:rsidR="00EE39D8" w:rsidRPr="00AD6C59">
        <w:t>, 529</w:t>
      </w:r>
      <w:r w:rsidR="00662C0C" w:rsidRPr="00AD6C59">
        <w:t xml:space="preserve"> per Lord Tucker</w:t>
      </w:r>
      <w:r w:rsidR="00EE39D8" w:rsidRPr="00AD6C59">
        <w:t xml:space="preserve"> and 531</w:t>
      </w:r>
      <w:r w:rsidR="00662C0C" w:rsidRPr="00AD6C59">
        <w:t xml:space="preserve"> per Lord K</w:t>
      </w:r>
      <w:r w:rsidR="003A0107" w:rsidRPr="00AD6C59">
        <w:t>eith</w:t>
      </w:r>
      <w:r w:rsidR="00EE39D8" w:rsidRPr="00AD6C59">
        <w:t xml:space="preserve">; </w:t>
      </w:r>
      <w:proofErr w:type="spellStart"/>
      <w:r w:rsidR="00EE39D8" w:rsidRPr="00FF33AC">
        <w:rPr>
          <w:i/>
        </w:rPr>
        <w:t>Sipad</w:t>
      </w:r>
      <w:proofErr w:type="spellEnd"/>
      <w:r w:rsidR="00EE39D8" w:rsidRPr="00FF33AC">
        <w:rPr>
          <w:i/>
        </w:rPr>
        <w:t xml:space="preserve"> Holding </w:t>
      </w:r>
      <w:proofErr w:type="spellStart"/>
      <w:r w:rsidR="00EE39D8" w:rsidRPr="00FF33AC">
        <w:rPr>
          <w:i/>
        </w:rPr>
        <w:t>ddpo</w:t>
      </w:r>
      <w:proofErr w:type="spellEnd"/>
      <w:r w:rsidR="00EE39D8" w:rsidRPr="00FF33AC">
        <w:rPr>
          <w:i/>
        </w:rPr>
        <w:t xml:space="preserve"> v </w:t>
      </w:r>
      <w:proofErr w:type="spellStart"/>
      <w:r w:rsidR="00EE39D8" w:rsidRPr="00FF33AC">
        <w:rPr>
          <w:i/>
        </w:rPr>
        <w:t>Popovic</w:t>
      </w:r>
      <w:proofErr w:type="spellEnd"/>
      <w:r w:rsidR="00EE39D8" w:rsidRPr="00FF33AC">
        <w:rPr>
          <w:i/>
        </w:rPr>
        <w:t xml:space="preserve"> </w:t>
      </w:r>
      <w:r w:rsidR="00EE39D8" w:rsidRPr="00FF33AC">
        <w:t>(1995) 61 FCR 205</w:t>
      </w:r>
      <w:r w:rsidR="008C2B73" w:rsidRPr="00AD6C59">
        <w:t xml:space="preserve"> (</w:t>
      </w:r>
      <w:proofErr w:type="spellStart"/>
      <w:r w:rsidR="008C2B73" w:rsidRPr="00AD6C59">
        <w:rPr>
          <w:b/>
          <w:i/>
        </w:rPr>
        <w:t>Sipad</w:t>
      </w:r>
      <w:proofErr w:type="spellEnd"/>
      <w:r w:rsidR="008C2B73" w:rsidRPr="00AD6C59">
        <w:t>)</w:t>
      </w:r>
      <w:r w:rsidR="00EE39D8" w:rsidRPr="00AD6C59">
        <w:t xml:space="preserve"> at 213; </w:t>
      </w:r>
      <w:r w:rsidR="00EE39D8" w:rsidRPr="00FF33AC">
        <w:rPr>
          <w:i/>
        </w:rPr>
        <w:t xml:space="preserve">Laing O’Rourke Australia Construction Pty Ltd v Samsung C&amp;T Corporation </w:t>
      </w:r>
      <w:r w:rsidR="00EE39D8" w:rsidRPr="00FF33AC">
        <w:t>[2016] WASC 49</w:t>
      </w:r>
      <w:r w:rsidR="00EE39D8" w:rsidRPr="00AD6C59">
        <w:t xml:space="preserve"> </w:t>
      </w:r>
      <w:r w:rsidR="00F26073" w:rsidRPr="00AD6C59">
        <w:t>(</w:t>
      </w:r>
      <w:r w:rsidR="00F26073" w:rsidRPr="00AD6C59">
        <w:rPr>
          <w:b/>
          <w:i/>
        </w:rPr>
        <w:t>Laing</w:t>
      </w:r>
      <w:r w:rsidR="00F26073" w:rsidRPr="00AD6C59">
        <w:t xml:space="preserve">) </w:t>
      </w:r>
      <w:r w:rsidR="00EE39D8" w:rsidRPr="00AD6C59">
        <w:t xml:space="preserve">at </w:t>
      </w:r>
      <w:r w:rsidR="003A0107" w:rsidRPr="00AD6C59">
        <w:t>[</w:t>
      </w:r>
      <w:r w:rsidR="00EE39D8" w:rsidRPr="00AD6C59">
        <w:t>26</w:t>
      </w:r>
      <w:r w:rsidR="003A0107" w:rsidRPr="00AD6C59">
        <w:t>]</w:t>
      </w:r>
      <w:r w:rsidR="00EE39D8" w:rsidRPr="00AD6C59">
        <w:t>–</w:t>
      </w:r>
      <w:r w:rsidR="003A0107" w:rsidRPr="002435F6">
        <w:t>[</w:t>
      </w:r>
      <w:r w:rsidR="00EE39D8" w:rsidRPr="002435F6">
        <w:t>36</w:t>
      </w:r>
      <w:r w:rsidR="003A0107" w:rsidRPr="002435F6">
        <w:t>]</w:t>
      </w:r>
      <w:r w:rsidR="00EE39D8" w:rsidRPr="002435F6">
        <w:t>.</w:t>
      </w:r>
      <w:r w:rsidR="00EA15D2" w:rsidRPr="002435F6">
        <w:t xml:space="preserve">  </w:t>
      </w:r>
      <w:r w:rsidR="008A74A4" w:rsidRPr="002435F6">
        <w:t xml:space="preserve">In </w:t>
      </w:r>
      <w:proofErr w:type="spellStart"/>
      <w:r w:rsidR="008A74A4" w:rsidRPr="002435F6">
        <w:rPr>
          <w:i/>
          <w:iCs/>
        </w:rPr>
        <w:t>Metliss</w:t>
      </w:r>
      <w:proofErr w:type="spellEnd"/>
      <w:r w:rsidR="008A74A4" w:rsidRPr="002435F6">
        <w:t xml:space="preserve">, the National Bank of Greece had been created under the law of Greece. </w:t>
      </w:r>
      <w:r w:rsidR="003A0107" w:rsidRPr="002435F6">
        <w:t xml:space="preserve"> </w:t>
      </w:r>
      <w:r w:rsidR="008A74A4" w:rsidRPr="002435F6">
        <w:t>By a Greek dec</w:t>
      </w:r>
      <w:r w:rsidR="003A0107" w:rsidRPr="002435F6">
        <w:t>ree, the b</w:t>
      </w:r>
      <w:r w:rsidR="008A74A4" w:rsidRPr="002435F6">
        <w:t>ank was dissolved and, by the same decree, amalgamated with another bank into a new banking c</w:t>
      </w:r>
      <w:r w:rsidR="003A0107" w:rsidRPr="002435F6">
        <w:t>orporation under the name of</w:t>
      </w:r>
      <w:r w:rsidR="008A74A4" w:rsidRPr="002435F6">
        <w:t xml:space="preserve"> “National Bank of Greece and Athens”.</w:t>
      </w:r>
      <w:r w:rsidR="003A0107" w:rsidRPr="002435F6">
        <w:t xml:space="preserve"> </w:t>
      </w:r>
      <w:r w:rsidR="008A74A4" w:rsidRPr="002435F6">
        <w:t xml:space="preserve"> The Greek decree provided that the new bank was the “universal successor” to the rights and obligations of the former banks. </w:t>
      </w:r>
      <w:r w:rsidR="00F122D8" w:rsidRPr="002435F6">
        <w:t xml:space="preserve"> </w:t>
      </w:r>
      <w:r w:rsidR="008A74A4" w:rsidRPr="002435F6">
        <w:t xml:space="preserve">The House of Lords held that, for the purposes of determining who was the nominated guarantor of certain bonds, the question was not one of contract (which was governed by English law) but one as to the status of the new bank. </w:t>
      </w:r>
      <w:r w:rsidR="008C2B73" w:rsidRPr="002435F6">
        <w:t xml:space="preserve"> </w:t>
      </w:r>
      <w:r w:rsidR="008A74A4" w:rsidRPr="002435F6">
        <w:t xml:space="preserve">The House of Lords rejected the contention that “status” </w:t>
      </w:r>
      <w:r w:rsidR="008C2B73" w:rsidRPr="002435F6">
        <w:t>wa</w:t>
      </w:r>
      <w:r w:rsidR="008A74A4" w:rsidRPr="002435F6">
        <w:t>s “confine</w:t>
      </w:r>
      <w:r w:rsidR="008A74A4">
        <w:t xml:space="preserve">d to the existence, powers and dissolution of the new corporation”. </w:t>
      </w:r>
      <w:r w:rsidR="008C2B73">
        <w:t xml:space="preserve"> </w:t>
      </w:r>
      <w:r w:rsidR="008A74A4">
        <w:t xml:space="preserve">It held that the question of the transfer of liabilities from the old bank to the new was a matter of, or pertaining to, the new bank’s “status”. </w:t>
      </w:r>
      <w:r w:rsidR="008C2B73">
        <w:t xml:space="preserve"> </w:t>
      </w:r>
      <w:r w:rsidR="008A74A4">
        <w:t>Since English law looks to the law of incorporation for matters of status, and because Greek law provided that the new bank was the universal successor to the old bank, the House of Lords held that the new bank could b</w:t>
      </w:r>
      <w:r w:rsidR="008A74A4" w:rsidRPr="00D9295E">
        <w:t xml:space="preserve">e sued for the dissolved National Bank of Greece’s obligations as guarantor of certain </w:t>
      </w:r>
      <w:r w:rsidR="008A74A4" w:rsidRPr="00D9295E">
        <w:lastRenderedPageBreak/>
        <w:t xml:space="preserve">bonds, although the question of whether the bonds were enforceable against the </w:t>
      </w:r>
      <w:r w:rsidR="008C2B73" w:rsidRPr="00D9295E">
        <w:t>n</w:t>
      </w:r>
      <w:r w:rsidR="008A74A4" w:rsidRPr="00D9295E">
        <w:t xml:space="preserve">ew bank was governed by English law. </w:t>
      </w:r>
      <w:r w:rsidR="008C2B73" w:rsidRPr="00D9295E">
        <w:t xml:space="preserve"> </w:t>
      </w:r>
      <w:proofErr w:type="spellStart"/>
      <w:r w:rsidR="008A74A4" w:rsidRPr="00D9295E">
        <w:rPr>
          <w:i/>
        </w:rPr>
        <w:t>Sipad</w:t>
      </w:r>
      <w:proofErr w:type="spellEnd"/>
      <w:r w:rsidR="008A74A4" w:rsidRPr="00D9295E">
        <w:rPr>
          <w:i/>
        </w:rPr>
        <w:t xml:space="preserve"> </w:t>
      </w:r>
      <w:r w:rsidR="008A74A4" w:rsidRPr="00D9295E">
        <w:t xml:space="preserve">was a case involving the construction and application of Australian corporations laws dealing with membership of a company and rights of members </w:t>
      </w:r>
      <w:r w:rsidR="008C2B73" w:rsidRPr="00D9295E">
        <w:t>in</w:t>
      </w:r>
      <w:r w:rsidR="008A74A4" w:rsidRPr="00D9295E">
        <w:t xml:space="preserve"> circumstance</w:t>
      </w:r>
      <w:r w:rsidR="00F26073" w:rsidRPr="00D9295E">
        <w:t>s</w:t>
      </w:r>
      <w:r w:rsidR="008A74A4" w:rsidRPr="00D9295E">
        <w:t xml:space="preserve"> where foreign law had operated to transfer the assets and liabilities of former entities (including their shareholding) to new entities by universal succession. </w:t>
      </w:r>
      <w:r w:rsidR="00F26073" w:rsidRPr="00D9295E">
        <w:t xml:space="preserve"> </w:t>
      </w:r>
      <w:proofErr w:type="spellStart"/>
      <w:r w:rsidR="008A74A4" w:rsidRPr="00D9295E">
        <w:t>Lehane</w:t>
      </w:r>
      <w:proofErr w:type="spellEnd"/>
      <w:r w:rsidR="008A74A4" w:rsidRPr="00D9295E">
        <w:t xml:space="preserve"> J, after referring to </w:t>
      </w:r>
      <w:proofErr w:type="spellStart"/>
      <w:r w:rsidR="008A74A4" w:rsidRPr="00D9295E">
        <w:rPr>
          <w:i/>
        </w:rPr>
        <w:t>Metliss</w:t>
      </w:r>
      <w:proofErr w:type="spellEnd"/>
      <w:r w:rsidR="008A74A4" w:rsidRPr="00D9295E">
        <w:rPr>
          <w:i/>
        </w:rPr>
        <w:t xml:space="preserve"> </w:t>
      </w:r>
      <w:r w:rsidR="008A74A4" w:rsidRPr="00D9295E">
        <w:t>and</w:t>
      </w:r>
      <w:r w:rsidR="008A74A4" w:rsidRPr="00D9295E">
        <w:rPr>
          <w:i/>
        </w:rPr>
        <w:t xml:space="preserve"> </w:t>
      </w:r>
      <w:r w:rsidR="008A74A4" w:rsidRPr="00D9295E">
        <w:t>“applying [Australia’s] rules of private international law” gave recognition and effect to the principle of universal succession, which applied under the foreign law, in determining the construction and applica</w:t>
      </w:r>
      <w:r w:rsidR="00F26073" w:rsidRPr="00D9295E">
        <w:t xml:space="preserve">tion of Australian </w:t>
      </w:r>
      <w:proofErr w:type="gramStart"/>
      <w:r w:rsidR="00F26073" w:rsidRPr="00D9295E">
        <w:t>corporations</w:t>
      </w:r>
      <w:proofErr w:type="gramEnd"/>
      <w:r w:rsidR="008A74A4" w:rsidRPr="00D9295E">
        <w:t xml:space="preserve"> laws to the successor entity.</w:t>
      </w:r>
      <w:r w:rsidR="008A74A4">
        <w:t xml:space="preserve"> </w:t>
      </w:r>
      <w:r w:rsidR="00F26073">
        <w:t xml:space="preserve"> </w:t>
      </w:r>
      <w:r w:rsidR="008A74A4">
        <w:t xml:space="preserve">In </w:t>
      </w:r>
      <w:r w:rsidR="008A74A4">
        <w:rPr>
          <w:i/>
        </w:rPr>
        <w:t xml:space="preserve">Laing </w:t>
      </w:r>
      <w:r w:rsidR="008A74A4" w:rsidRPr="00C00D20">
        <w:rPr>
          <w:rFonts w:ascii="TimesNewRomanPSMT" w:hAnsi="TimesNewRomanPSMT" w:cs="TimesNewRomanPSMT"/>
          <w:szCs w:val="24"/>
          <w:lang w:eastAsia="en-AU"/>
        </w:rPr>
        <w:t>the Suprem</w:t>
      </w:r>
      <w:r w:rsidR="008A74A4" w:rsidRPr="00D9295E">
        <w:rPr>
          <w:rFonts w:ascii="TimesNewRomanPSMT" w:hAnsi="TimesNewRomanPSMT" w:cs="TimesNewRomanPSMT"/>
          <w:szCs w:val="24"/>
          <w:lang w:eastAsia="en-AU"/>
        </w:rPr>
        <w:t xml:space="preserve">e Court </w:t>
      </w:r>
      <w:r w:rsidR="00F26073" w:rsidRPr="00D9295E">
        <w:rPr>
          <w:rFonts w:ascii="TimesNewRomanPSMT" w:hAnsi="TimesNewRomanPSMT" w:cs="TimesNewRomanPSMT"/>
          <w:szCs w:val="24"/>
          <w:lang w:eastAsia="en-AU"/>
        </w:rPr>
        <w:t xml:space="preserve">of Western Australia </w:t>
      </w:r>
      <w:r w:rsidR="008A74A4" w:rsidRPr="00D9295E">
        <w:rPr>
          <w:rFonts w:ascii="TimesNewRomanPSMT" w:hAnsi="TimesNewRomanPSMT" w:cs="TimesNewRomanPSMT"/>
          <w:szCs w:val="24"/>
          <w:lang w:eastAsia="en-AU"/>
        </w:rPr>
        <w:t>conc</w:t>
      </w:r>
      <w:r w:rsidR="008A74A4" w:rsidRPr="00C00D20">
        <w:rPr>
          <w:rFonts w:ascii="TimesNewRomanPSMT" w:hAnsi="TimesNewRomanPSMT" w:cs="TimesNewRomanPSMT"/>
          <w:szCs w:val="24"/>
          <w:lang w:eastAsia="en-AU"/>
        </w:rPr>
        <w:t>luded that the effect of a merger under Korean law, which (in substance) provided for one</w:t>
      </w:r>
      <w:r w:rsidR="008A74A4">
        <w:rPr>
          <w:rFonts w:ascii="TimesNewRomanPSMT" w:hAnsi="TimesNewRomanPSMT" w:cs="TimesNewRomanPSMT"/>
          <w:szCs w:val="24"/>
          <w:lang w:eastAsia="en-AU"/>
        </w:rPr>
        <w:t xml:space="preserve"> </w:t>
      </w:r>
      <w:r w:rsidR="008A74A4" w:rsidRPr="00C00D20">
        <w:rPr>
          <w:rFonts w:ascii="TimesNewRomanPSMT" w:hAnsi="TimesNewRomanPSMT" w:cs="TimesNewRomanPSMT"/>
          <w:szCs w:val="24"/>
          <w:lang w:eastAsia="en-AU"/>
        </w:rPr>
        <w:t>Samsung entity to be merged into another and for the surviving entity to be the universal successor</w:t>
      </w:r>
      <w:r w:rsidR="008A74A4">
        <w:rPr>
          <w:rFonts w:ascii="TimesNewRomanPSMT" w:hAnsi="TimesNewRomanPSMT" w:cs="TimesNewRomanPSMT"/>
          <w:szCs w:val="24"/>
          <w:lang w:eastAsia="en-AU"/>
        </w:rPr>
        <w:t xml:space="preserve"> </w:t>
      </w:r>
      <w:r w:rsidR="008A74A4" w:rsidRPr="00C00D20">
        <w:rPr>
          <w:rFonts w:ascii="TimesNewRomanPSMT" w:hAnsi="TimesNewRomanPSMT" w:cs="TimesNewRomanPSMT"/>
          <w:szCs w:val="24"/>
          <w:lang w:eastAsia="en-AU"/>
        </w:rPr>
        <w:t>of the rights and liabilities of the old Samsung entity, was that performance bonds issued by a bank</w:t>
      </w:r>
      <w:r w:rsidR="008A74A4">
        <w:rPr>
          <w:rFonts w:ascii="TimesNewRomanPSMT" w:hAnsi="TimesNewRomanPSMT" w:cs="TimesNewRomanPSMT"/>
          <w:szCs w:val="24"/>
          <w:lang w:eastAsia="en-AU"/>
        </w:rPr>
        <w:t xml:space="preserve"> </w:t>
      </w:r>
      <w:r w:rsidR="008A74A4" w:rsidRPr="00C00D20">
        <w:rPr>
          <w:rFonts w:ascii="TimesNewRomanPSMT" w:hAnsi="TimesNewRomanPSMT" w:cs="TimesNewRomanPSMT"/>
          <w:szCs w:val="24"/>
          <w:lang w:eastAsia="en-AU"/>
        </w:rPr>
        <w:t>in favour of the old Samsung entity and which were governed by the law of Western Australia were</w:t>
      </w:r>
      <w:r w:rsidR="008A74A4">
        <w:rPr>
          <w:rFonts w:ascii="TimesNewRomanPSMT" w:hAnsi="TimesNewRomanPSMT" w:cs="TimesNewRomanPSMT"/>
          <w:szCs w:val="24"/>
          <w:lang w:eastAsia="en-AU"/>
        </w:rPr>
        <w:t xml:space="preserve"> </w:t>
      </w:r>
      <w:r w:rsidR="008A74A4" w:rsidRPr="00C00D20">
        <w:rPr>
          <w:rFonts w:ascii="TimesNewRomanPSMT" w:hAnsi="TimesNewRomanPSMT" w:cs="TimesNewRomanPSMT"/>
          <w:szCs w:val="24"/>
          <w:lang w:eastAsia="en-AU"/>
        </w:rPr>
        <w:t>enfo</w:t>
      </w:r>
      <w:r w:rsidR="008A74A4" w:rsidRPr="00D9295E">
        <w:rPr>
          <w:rFonts w:ascii="TimesNewRomanPSMT" w:hAnsi="TimesNewRomanPSMT" w:cs="TimesNewRomanPSMT"/>
          <w:szCs w:val="24"/>
          <w:lang w:eastAsia="en-AU"/>
        </w:rPr>
        <w:t>rceable by the new Samsung entity by reason that the question of the status of the new Samsung entity was governed by the law of Korea</w:t>
      </w:r>
      <w:r w:rsidR="00F26073" w:rsidRPr="00D9295E">
        <w:rPr>
          <w:rFonts w:ascii="TimesNewRomanPSMT" w:hAnsi="TimesNewRomanPSMT" w:cs="TimesNewRomanPSMT"/>
          <w:szCs w:val="24"/>
          <w:lang w:eastAsia="en-AU"/>
        </w:rPr>
        <w:t>,</w:t>
      </w:r>
      <w:r w:rsidR="008A74A4" w:rsidRPr="00D9295E">
        <w:rPr>
          <w:rFonts w:ascii="TimesNewRomanPSMT" w:hAnsi="TimesNewRomanPSMT" w:cs="TimesNewRomanPSMT"/>
          <w:szCs w:val="24"/>
          <w:lang w:eastAsia="en-AU"/>
        </w:rPr>
        <w:t xml:space="preserve"> and that law provided, in effect, that it stood </w:t>
      </w:r>
      <w:r w:rsidR="008A74A4" w:rsidRPr="00DC08F4">
        <w:rPr>
          <w:rFonts w:ascii="TimesNewRomanPSMT" w:hAnsi="TimesNewRomanPSMT" w:cs="TimesNewRomanPSMT"/>
          <w:szCs w:val="24"/>
          <w:lang w:eastAsia="en-AU"/>
        </w:rPr>
        <w:t>in</w:t>
      </w:r>
      <w:r w:rsidR="008A74A4" w:rsidRPr="00DC08F4">
        <w:t xml:space="preserve"> </w:t>
      </w:r>
      <w:r w:rsidR="00F26073" w:rsidRPr="00DC08F4">
        <w:rPr>
          <w:rFonts w:ascii="TimesNewRomanPSMT" w:hAnsi="TimesNewRomanPSMT" w:cs="TimesNewRomanPSMT"/>
          <w:szCs w:val="24"/>
          <w:lang w:eastAsia="en-AU"/>
        </w:rPr>
        <w:t>the shoes of the old</w:t>
      </w:r>
      <w:r w:rsidR="008A74A4" w:rsidRPr="00DC08F4">
        <w:rPr>
          <w:rFonts w:ascii="TimesNewRomanPSMT" w:hAnsi="TimesNewRomanPSMT" w:cs="TimesNewRomanPSMT"/>
          <w:szCs w:val="24"/>
          <w:lang w:eastAsia="en-AU"/>
        </w:rPr>
        <w:t xml:space="preserve"> Samsung entity.</w:t>
      </w:r>
      <w:r w:rsidR="00FB1504" w:rsidRPr="00DC08F4">
        <w:t xml:space="preserve"> </w:t>
      </w:r>
      <w:r w:rsidR="00F26073" w:rsidRPr="00DC08F4">
        <w:t xml:space="preserve"> </w:t>
      </w:r>
      <w:r w:rsidR="008A74A4" w:rsidRPr="00DC08F4">
        <w:t xml:space="preserve">The common law </w:t>
      </w:r>
      <w:r w:rsidR="003F51A0" w:rsidRPr="00DC08F4">
        <w:t>principle finds further expression in s 7(3</w:t>
      </w:r>
      <w:proofErr w:type="gramStart"/>
      <w:r w:rsidR="003F51A0" w:rsidRPr="00DC08F4">
        <w:t>)(</w:t>
      </w:r>
      <w:proofErr w:type="gramEnd"/>
      <w:r w:rsidR="003F51A0" w:rsidRPr="00DC08F4">
        <w:t xml:space="preserve">a) of the </w:t>
      </w:r>
      <w:r w:rsidR="003F51A0" w:rsidRPr="00FF33AC">
        <w:rPr>
          <w:i/>
        </w:rPr>
        <w:t>Foreign Corporation</w:t>
      </w:r>
      <w:r w:rsidR="00FF33AC" w:rsidRPr="00FF33AC">
        <w:rPr>
          <w:i/>
        </w:rPr>
        <w:t>s</w:t>
      </w:r>
      <w:r w:rsidR="003F51A0" w:rsidRPr="00FF33AC">
        <w:rPr>
          <w:i/>
        </w:rPr>
        <w:t xml:space="preserve"> (Application of Laws) Act 1989 </w:t>
      </w:r>
      <w:r w:rsidR="003F51A0" w:rsidRPr="00FF33AC">
        <w:t>(</w:t>
      </w:r>
      <w:proofErr w:type="spellStart"/>
      <w:r w:rsidR="003F51A0" w:rsidRPr="00FF33AC">
        <w:t>Cth</w:t>
      </w:r>
      <w:proofErr w:type="spellEnd"/>
      <w:r w:rsidR="003F51A0" w:rsidRPr="00FF33AC">
        <w:t>)</w:t>
      </w:r>
      <w:r w:rsidR="00D9295E" w:rsidRPr="00DC08F4">
        <w:t xml:space="preserve"> (</w:t>
      </w:r>
      <w:r w:rsidR="00D9295E" w:rsidRPr="00DC08F4">
        <w:rPr>
          <w:b/>
        </w:rPr>
        <w:t>Foreign Corporation</w:t>
      </w:r>
      <w:r w:rsidR="00FF33AC">
        <w:rPr>
          <w:b/>
        </w:rPr>
        <w:t>s</w:t>
      </w:r>
      <w:r w:rsidR="00D9295E" w:rsidRPr="00DC08F4">
        <w:rPr>
          <w:b/>
        </w:rPr>
        <w:t xml:space="preserve"> Act</w:t>
      </w:r>
      <w:r w:rsidR="00D9295E" w:rsidRPr="00DC08F4">
        <w:t>)</w:t>
      </w:r>
      <w:r w:rsidR="00F26073" w:rsidRPr="00DC08F4">
        <w:t>,</w:t>
      </w:r>
      <w:r w:rsidR="003F51A0" w:rsidRPr="00DC08F4">
        <w:t xml:space="preserve"> which provides to the effect that any question relating to the status of a foreign corporation (including its ide</w:t>
      </w:r>
      <w:r w:rsidR="003F51A0" w:rsidRPr="00D9295E">
        <w:t>ntity</w:t>
      </w:r>
      <w:r w:rsidR="00F26073" w:rsidRPr="00D9295E">
        <w:t xml:space="preserve"> as a legal entity and its</w:t>
      </w:r>
      <w:r w:rsidR="003F51A0" w:rsidRPr="00D9295E">
        <w:t xml:space="preserve"> legal capacity and powers) is to be determined by reference to </w:t>
      </w:r>
      <w:r w:rsidR="00F26073" w:rsidRPr="00D9295E">
        <w:t>“</w:t>
      </w:r>
      <w:r w:rsidR="003F51A0" w:rsidRPr="00D9295E">
        <w:t>the law applied by the people in the</w:t>
      </w:r>
      <w:r w:rsidR="00F26073" w:rsidRPr="00D9295E">
        <w:t xml:space="preserve"> place in which the foreign </w:t>
      </w:r>
      <w:r w:rsidR="003F51A0" w:rsidRPr="00D9295E">
        <w:t>corporation was incorporated</w:t>
      </w:r>
      <w:r w:rsidR="00F26073" w:rsidRPr="00D9295E">
        <w:t>”</w:t>
      </w:r>
      <w:r w:rsidR="003F51A0" w:rsidRPr="00D9295E">
        <w:t>.</w:t>
      </w:r>
      <w:r w:rsidR="003F51A0">
        <w:t xml:space="preserve">  </w:t>
      </w:r>
    </w:p>
    <w:p w14:paraId="283B8F04" w14:textId="6DFA0462" w:rsidR="00F702EB" w:rsidRDefault="00204C07" w:rsidP="00692C1A">
      <w:pPr>
        <w:pStyle w:val="ParaNumbering"/>
      </w:pPr>
      <w:r>
        <w:t xml:space="preserve">As </w:t>
      </w:r>
      <w:proofErr w:type="spellStart"/>
      <w:r w:rsidRPr="008A74A4">
        <w:rPr>
          <w:i/>
        </w:rPr>
        <w:t>Metliss</w:t>
      </w:r>
      <w:proofErr w:type="spellEnd"/>
      <w:r w:rsidRPr="008A74A4">
        <w:rPr>
          <w:i/>
        </w:rPr>
        <w:t xml:space="preserve">, </w:t>
      </w:r>
      <w:proofErr w:type="spellStart"/>
      <w:r w:rsidRPr="008A74A4">
        <w:rPr>
          <w:i/>
        </w:rPr>
        <w:t>Sipad</w:t>
      </w:r>
      <w:proofErr w:type="spellEnd"/>
      <w:r>
        <w:t xml:space="preserve"> and </w:t>
      </w:r>
      <w:r w:rsidRPr="008A74A4">
        <w:rPr>
          <w:i/>
        </w:rPr>
        <w:t xml:space="preserve">Laing </w:t>
      </w:r>
      <w:r>
        <w:t xml:space="preserve">all demonstrate, the determination of the “status” of LMA will </w:t>
      </w:r>
      <w:r w:rsidRPr="00D9295E">
        <w:t>include the question as to the legal consequences of the merger with respect to the tax debts of LMGI and any future tax liabilities pursuant to the principles of universal succession.</w:t>
      </w:r>
      <w:r w:rsidR="0032458C" w:rsidRPr="00D9295E">
        <w:t xml:space="preserve"> </w:t>
      </w:r>
      <w:r w:rsidRPr="00D9295E">
        <w:t xml:space="preserve"> </w:t>
      </w:r>
      <w:r w:rsidR="004E715C" w:rsidRPr="00D9295E">
        <w:t xml:space="preserve">In </w:t>
      </w:r>
      <w:r w:rsidR="00EA15D2" w:rsidRPr="00D9295E">
        <w:t>addressing this question in the present case, it</w:t>
      </w:r>
      <w:r w:rsidR="004C1F2A" w:rsidRPr="00D9295E">
        <w:t xml:space="preserve"> is unnecessary to determine </w:t>
      </w:r>
      <w:r w:rsidR="00C107B6" w:rsidRPr="00D9295E">
        <w:t>whether</w:t>
      </w:r>
      <w:r w:rsidR="004C1F2A" w:rsidRPr="00D9295E">
        <w:t xml:space="preserve"> it is the </w:t>
      </w:r>
      <w:r w:rsidR="00FB1504" w:rsidRPr="00D9295E">
        <w:t xml:space="preserve">law </w:t>
      </w:r>
      <w:r w:rsidR="004C1F2A" w:rsidRPr="00D9295E">
        <w:t>of the surviving entity which will determine whether the surviving entity has, post</w:t>
      </w:r>
      <w:r w:rsidR="004C1F2A" w:rsidRPr="00D9295E">
        <w:noBreakHyphen/>
        <w:t>merger, the status of universal successor of the obligations and rights (including taxation obligations and objection appeal rights in respect of foreign tax liabilities) of the disappearing entity</w:t>
      </w:r>
      <w:r w:rsidR="00477EC6" w:rsidRPr="00D9295E">
        <w:t>,</w:t>
      </w:r>
      <w:r w:rsidR="004C1F2A" w:rsidRPr="00D9295E">
        <w:t xml:space="preserve"> or whether it is the law of the original entity (which would be Dutch law)</w:t>
      </w:r>
      <w:r w:rsidR="00477EC6" w:rsidRPr="00D9295E">
        <w:t>.</w:t>
      </w:r>
      <w:r w:rsidR="004C1F2A" w:rsidRPr="00D9295E">
        <w:t xml:space="preserve">  </w:t>
      </w:r>
      <w:r w:rsidR="00477EC6" w:rsidRPr="00D9295E">
        <w:t xml:space="preserve">This is because </w:t>
      </w:r>
      <w:r w:rsidR="004C1F2A" w:rsidRPr="00D9295E">
        <w:t>Luxemb</w:t>
      </w:r>
      <w:r w:rsidR="00072ABB" w:rsidRPr="00D9295E">
        <w:t>o</w:t>
      </w:r>
      <w:r w:rsidR="004C1F2A" w:rsidRPr="00D9295E">
        <w:t xml:space="preserve">urg law and Dutch law </w:t>
      </w:r>
      <w:r w:rsidR="00FB1504" w:rsidRPr="00D9295E">
        <w:t xml:space="preserve">apply </w:t>
      </w:r>
      <w:r w:rsidR="004C1F2A" w:rsidRPr="00D9295E">
        <w:t xml:space="preserve">the same principle of universal succession </w:t>
      </w:r>
      <w:r w:rsidR="00FB1504" w:rsidRPr="00D9295E">
        <w:t>to cross</w:t>
      </w:r>
      <w:r w:rsidR="00477EC6" w:rsidRPr="00D9295E">
        <w:t>-</w:t>
      </w:r>
      <w:r w:rsidR="00FB1504" w:rsidRPr="00D9295E">
        <w:t xml:space="preserve">border mergers </w:t>
      </w:r>
      <w:r w:rsidR="004C1F2A" w:rsidRPr="00D9295E">
        <w:t xml:space="preserve">and </w:t>
      </w:r>
      <w:r w:rsidR="00FB1504" w:rsidRPr="00D9295E">
        <w:t xml:space="preserve">the </w:t>
      </w:r>
      <w:r w:rsidR="004C1F2A" w:rsidRPr="00D9295E">
        <w:t>law</w:t>
      </w:r>
      <w:r w:rsidR="00FB1504" w:rsidRPr="00D9295E">
        <w:t>s</w:t>
      </w:r>
      <w:r w:rsidR="004C1F2A" w:rsidRPr="00D9295E">
        <w:t xml:space="preserve"> ha</w:t>
      </w:r>
      <w:r w:rsidR="00FB1504" w:rsidRPr="00D9295E">
        <w:t>ve the same legal consequences</w:t>
      </w:r>
      <w:r w:rsidR="004C1F2A" w:rsidRPr="00D9295E">
        <w:t xml:space="preserve">.  </w:t>
      </w:r>
      <w:r w:rsidR="00D527B4" w:rsidRPr="00D9295E">
        <w:t>Thus</w:t>
      </w:r>
      <w:r w:rsidR="00001D82" w:rsidRPr="00D9295E">
        <w:t>, through either or both of the</w:t>
      </w:r>
      <w:r w:rsidR="00001D82">
        <w:t xml:space="preserve"> common law principles of private international law or s 7(3</w:t>
      </w:r>
      <w:proofErr w:type="gramStart"/>
      <w:r w:rsidR="00001D82">
        <w:t>)(</w:t>
      </w:r>
      <w:proofErr w:type="gramEnd"/>
      <w:r w:rsidR="00001D82">
        <w:t xml:space="preserve">a) of the </w:t>
      </w:r>
      <w:r w:rsidR="00001D82" w:rsidRPr="00D9295E">
        <w:t>Foreign Corporation</w:t>
      </w:r>
      <w:r w:rsidR="00FF33AC">
        <w:t>s</w:t>
      </w:r>
      <w:r w:rsidR="00001D82" w:rsidRPr="00D9295E">
        <w:t xml:space="preserve"> Act</w:t>
      </w:r>
      <w:r w:rsidR="00001D82">
        <w:t xml:space="preserve">, </w:t>
      </w:r>
      <w:r w:rsidR="00001D82">
        <w:lastRenderedPageBreak/>
        <w:t xml:space="preserve">Australian law will recognise and give effect to </w:t>
      </w:r>
      <w:r w:rsidR="00990AA6">
        <w:t xml:space="preserve">the </w:t>
      </w:r>
      <w:r w:rsidR="00001D82">
        <w:t xml:space="preserve">Dutch and/or </w:t>
      </w:r>
      <w:r w:rsidR="00C107B6">
        <w:t>Luxemb</w:t>
      </w:r>
      <w:r w:rsidR="00072ABB">
        <w:t>o</w:t>
      </w:r>
      <w:r w:rsidR="00C107B6">
        <w:t>urg</w:t>
      </w:r>
      <w:r w:rsidR="00001D82">
        <w:t xml:space="preserve"> </w:t>
      </w:r>
      <w:r w:rsidR="00990AA6">
        <w:t xml:space="preserve">laws governing </w:t>
      </w:r>
      <w:r w:rsidR="00D97613" w:rsidRPr="00D9295E">
        <w:t>cross</w:t>
      </w:r>
      <w:r w:rsidR="00477EC6" w:rsidRPr="00D9295E">
        <w:t>-</w:t>
      </w:r>
      <w:r w:rsidR="00D97613" w:rsidRPr="00D9295E">
        <w:t>bo</w:t>
      </w:r>
      <w:r w:rsidR="00990AA6" w:rsidRPr="00D9295E">
        <w:t xml:space="preserve">rder </w:t>
      </w:r>
      <w:r w:rsidR="00001D82" w:rsidRPr="00D9295E">
        <w:t>merger</w:t>
      </w:r>
      <w:r w:rsidR="00990AA6" w:rsidRPr="00D9295E">
        <w:t>s</w:t>
      </w:r>
      <w:r w:rsidR="006A4F69" w:rsidRPr="00D9295E">
        <w:t>, which draw on the principle of universal succession,</w:t>
      </w:r>
      <w:r w:rsidR="00001D82" w:rsidRPr="00D9295E">
        <w:t xml:space="preserve"> as laws which relate to the statu</w:t>
      </w:r>
      <w:r w:rsidR="00001D82">
        <w:t>s, including le</w:t>
      </w:r>
      <w:r w:rsidR="00D92B35">
        <w:t xml:space="preserve">gal identity, of LMGI and LMA. </w:t>
      </w:r>
    </w:p>
    <w:p w14:paraId="0FEA51C4" w14:textId="2512D93E" w:rsidR="00D527B4" w:rsidRDefault="00F702EB" w:rsidP="00692C1A">
      <w:pPr>
        <w:pStyle w:val="ParaNumbering"/>
      </w:pPr>
      <w:r>
        <w:t>In acco</w:t>
      </w:r>
      <w:r w:rsidR="005B4CEA">
        <w:t>rdance with these principles</w:t>
      </w:r>
      <w:r>
        <w:t>, f</w:t>
      </w:r>
      <w:r w:rsidR="00001D82">
        <w:t xml:space="preserve">ollowing completion of the merger, Australian law will recognise LMA as possessing the necessary </w:t>
      </w:r>
      <w:r w:rsidR="00935016">
        <w:t>status or identity to enable it:</w:t>
      </w:r>
    </w:p>
    <w:p w14:paraId="2B4F805B" w14:textId="7D5B6393" w:rsidR="00935016" w:rsidRDefault="00FF5E4D" w:rsidP="00C107B6">
      <w:pPr>
        <w:pStyle w:val="ListNo2"/>
        <w:numPr>
          <w:ilvl w:val="1"/>
          <w:numId w:val="27"/>
        </w:numPr>
      </w:pPr>
      <w:r>
        <w:t xml:space="preserve">to </w:t>
      </w:r>
      <w:r w:rsidR="00935016">
        <w:t xml:space="preserve">be subjected to the liabilities and obligations </w:t>
      </w:r>
      <w:r w:rsidR="00F70D12">
        <w:t xml:space="preserve">that </w:t>
      </w:r>
      <w:r w:rsidR="00935016">
        <w:t>LMGI possessed prior to the merger or to which it would have become subjected but for the merger; and</w:t>
      </w:r>
    </w:p>
    <w:p w14:paraId="23FBE6B9" w14:textId="4AD16453" w:rsidR="00935016" w:rsidRDefault="00FF5E4D" w:rsidP="00C107B6">
      <w:pPr>
        <w:pStyle w:val="ListNo2"/>
        <w:numPr>
          <w:ilvl w:val="1"/>
          <w:numId w:val="27"/>
        </w:numPr>
      </w:pPr>
      <w:proofErr w:type="gramStart"/>
      <w:r>
        <w:t>to</w:t>
      </w:r>
      <w:proofErr w:type="gramEnd"/>
      <w:r>
        <w:t xml:space="preserve"> </w:t>
      </w:r>
      <w:r w:rsidR="00935016">
        <w:t>exercise the rights and privileges</w:t>
      </w:r>
      <w:r w:rsidR="00872852">
        <w:t xml:space="preserve"> that</w:t>
      </w:r>
      <w:r w:rsidR="00935016">
        <w:t xml:space="preserve"> LMGI possessed prior to the merger or would have been able to exercise but for the merger.</w:t>
      </w:r>
    </w:p>
    <w:p w14:paraId="11CEFB83" w14:textId="38220901" w:rsidR="003623F7" w:rsidRPr="003623F7" w:rsidRDefault="00382396" w:rsidP="0005588C">
      <w:pPr>
        <w:pStyle w:val="ParaNumbering"/>
      </w:pPr>
      <w:r w:rsidRPr="00D9295E">
        <w:t>In consequence, the tax liabilities of LMGI will be assumed by LMA as a result of the merger.  Moreover, LMA</w:t>
      </w:r>
      <w:r w:rsidR="00126823" w:rsidRPr="00D9295E">
        <w:t>,</w:t>
      </w:r>
      <w:r w:rsidRPr="00D9295E">
        <w:t xml:space="preserve"> </w:t>
      </w:r>
      <w:r w:rsidR="009C4279" w:rsidRPr="00D9295E">
        <w:t xml:space="preserve">as the “taxpayer” </w:t>
      </w:r>
      <w:r w:rsidR="005B4CEA" w:rsidRPr="00D9295E">
        <w:t xml:space="preserve">under s 175A of the </w:t>
      </w:r>
      <w:r w:rsidR="005B4CEA" w:rsidRPr="00FF33AC">
        <w:rPr>
          <w:i/>
        </w:rPr>
        <w:t>Income Tax Assessment Act 1936</w:t>
      </w:r>
      <w:r w:rsidR="00072ABB" w:rsidRPr="00FF33AC">
        <w:rPr>
          <w:i/>
        </w:rPr>
        <w:t xml:space="preserve"> </w:t>
      </w:r>
      <w:r w:rsidR="00072ABB" w:rsidRPr="00FF33AC">
        <w:t>(</w:t>
      </w:r>
      <w:proofErr w:type="spellStart"/>
      <w:r w:rsidR="00072ABB" w:rsidRPr="00FF33AC">
        <w:t>Cth</w:t>
      </w:r>
      <w:proofErr w:type="spellEnd"/>
      <w:r w:rsidR="00072ABB" w:rsidRPr="00FF33AC">
        <w:t>)</w:t>
      </w:r>
      <w:r w:rsidR="0066498E" w:rsidRPr="00FF33AC">
        <w:t xml:space="preserve"> </w:t>
      </w:r>
      <w:r w:rsidR="0066498E" w:rsidRPr="00D9295E">
        <w:t>(</w:t>
      </w:r>
      <w:r w:rsidR="0066498E" w:rsidRPr="00D9295E">
        <w:rPr>
          <w:b/>
        </w:rPr>
        <w:t>ITAA 1936</w:t>
      </w:r>
      <w:r w:rsidR="0066498E" w:rsidRPr="00D9295E">
        <w:t>)</w:t>
      </w:r>
      <w:r w:rsidR="00126823" w:rsidRPr="00D9295E">
        <w:t>, will be entitled to object</w:t>
      </w:r>
      <w:r w:rsidR="005B4CEA" w:rsidRPr="00D9295E">
        <w:t xml:space="preserve"> </w:t>
      </w:r>
      <w:r w:rsidRPr="00D9295E">
        <w:t xml:space="preserve">against assessments which have been issued to LMGI, or which are issued to LMA in its place, </w:t>
      </w:r>
      <w:r w:rsidR="005B4CEA" w:rsidRPr="00D9295E">
        <w:t>a</w:t>
      </w:r>
      <w:r w:rsidRPr="00D9295E">
        <w:t xml:space="preserve">nd will be </w:t>
      </w:r>
      <w:r w:rsidR="005B4CEA" w:rsidRPr="00D9295E">
        <w:t>“</w:t>
      </w:r>
      <w:r w:rsidRPr="00D9295E">
        <w:t>the person</w:t>
      </w:r>
      <w:r w:rsidR="005B4CEA" w:rsidRPr="00D9295E">
        <w:t>”</w:t>
      </w:r>
      <w:r w:rsidRPr="00D9295E">
        <w:t xml:space="preserve"> entitled to appeal against </w:t>
      </w:r>
      <w:r w:rsidR="00552F66" w:rsidRPr="00D9295E">
        <w:t>objection decisions in relation to objection</w:t>
      </w:r>
      <w:r w:rsidR="00FF33AC">
        <w:t xml:space="preserve">s from those assessments under </w:t>
      </w:r>
      <w:proofErr w:type="spellStart"/>
      <w:r w:rsidR="00FF33AC">
        <w:t>p</w:t>
      </w:r>
      <w:r w:rsidR="00552F66" w:rsidRPr="00D9295E">
        <w:t>t</w:t>
      </w:r>
      <w:proofErr w:type="spellEnd"/>
      <w:r w:rsidR="00552F66" w:rsidRPr="00D9295E">
        <w:t xml:space="preserve"> IVC of the Tax</w:t>
      </w:r>
      <w:r w:rsidR="009367D4" w:rsidRPr="00D9295E">
        <w:t>ation</w:t>
      </w:r>
      <w:r w:rsidR="00552F66" w:rsidRPr="00D9295E">
        <w:t xml:space="preserve"> Administration Act</w:t>
      </w:r>
      <w:r w:rsidR="00072ABB" w:rsidRPr="00D9295E">
        <w:t>,</w:t>
      </w:r>
      <w:r w:rsidR="00552F66" w:rsidRPr="00D9295E">
        <w:t xml:space="preserve"> or to continue those appeals.</w:t>
      </w:r>
      <w:r w:rsidR="00552F66">
        <w:t xml:space="preserve">  Although those liabilities and obligations (on the one hand) and rights and capacities (on the other) arise under Australian law and are governed by Australian law, Australian law will recognise the operation of Dutch and/or Luxemb</w:t>
      </w:r>
      <w:r w:rsidR="00072ABB">
        <w:t>o</w:t>
      </w:r>
      <w:r w:rsidR="00552F66">
        <w:t xml:space="preserve">urg law following the merger as </w:t>
      </w:r>
      <w:r w:rsidR="00552F66" w:rsidRPr="00D9295E">
        <w:t xml:space="preserve">having </w:t>
      </w:r>
      <w:r w:rsidR="007321EB" w:rsidRPr="00D9295E">
        <w:t>clothed</w:t>
      </w:r>
      <w:r w:rsidR="00552F66" w:rsidRPr="00D9295E">
        <w:t xml:space="preserve"> LMA with the necessary attributes or identity to subject it to those obligations and liabilities and </w:t>
      </w:r>
      <w:r w:rsidR="007321EB" w:rsidRPr="00D9295E">
        <w:t xml:space="preserve">to </w:t>
      </w:r>
      <w:r w:rsidR="00552F66" w:rsidRPr="00D9295E">
        <w:t>enable it to exercise those rights and capacities for the purposes o</w:t>
      </w:r>
      <w:r w:rsidR="00072ABB" w:rsidRPr="00D9295E">
        <w:t>f Australia’s tax a</w:t>
      </w:r>
      <w:r w:rsidR="00552F66" w:rsidRPr="00D9295E">
        <w:t>cts</w:t>
      </w:r>
      <w:r w:rsidR="0005588C" w:rsidRPr="00D9295E">
        <w:t xml:space="preserve">. </w:t>
      </w:r>
      <w:r w:rsidR="00072ABB" w:rsidRPr="00D9295E">
        <w:t xml:space="preserve"> </w:t>
      </w:r>
      <w:r w:rsidR="005467AF" w:rsidRPr="00D9295E">
        <w:t>I accordingly accept as correct</w:t>
      </w:r>
      <w:r w:rsidR="00620E93" w:rsidRPr="00D9295E">
        <w:t xml:space="preserve"> the contentions of LMGI and of the Commissioner that LMA w</w:t>
      </w:r>
      <w:r w:rsidR="00620E93">
        <w:t>ill stand in the shoes of LMGI</w:t>
      </w:r>
      <w:r w:rsidR="003623F7" w:rsidRPr="003623F7">
        <w:t xml:space="preserve"> </w:t>
      </w:r>
      <w:r w:rsidR="003623F7">
        <w:t>for the purposes of the application of Australia’s taxation laws.</w:t>
      </w:r>
    </w:p>
    <w:p w14:paraId="4C937BD3" w14:textId="0AECF4ED" w:rsidR="00620E93" w:rsidRPr="00196FF1" w:rsidRDefault="003623F7" w:rsidP="00196FF1">
      <w:pPr>
        <w:pStyle w:val="ParaNumbering"/>
      </w:pPr>
      <w:r w:rsidRPr="00CE7E23">
        <w:t xml:space="preserve">The Court was taken to </w:t>
      </w:r>
      <w:r w:rsidR="00620E93" w:rsidRPr="00FF33AC">
        <w:rPr>
          <w:i/>
        </w:rPr>
        <w:t xml:space="preserve">McCallum v Commissioner of Taxation </w:t>
      </w:r>
      <w:r w:rsidR="00620E93" w:rsidRPr="00FF33AC">
        <w:t>(1997) 75 FCR 458</w:t>
      </w:r>
      <w:r w:rsidR="006905D3" w:rsidRPr="00FF33AC">
        <w:t xml:space="preserve"> </w:t>
      </w:r>
      <w:r w:rsidR="006905D3" w:rsidRPr="00CE7E23">
        <w:t>(</w:t>
      </w:r>
      <w:r w:rsidR="006905D3" w:rsidRPr="00CE7E23">
        <w:rPr>
          <w:b/>
          <w:i/>
        </w:rPr>
        <w:t>McCallum</w:t>
      </w:r>
      <w:r w:rsidR="006905D3" w:rsidRPr="00CE7E23">
        <w:t>)</w:t>
      </w:r>
      <w:r w:rsidR="00620E93" w:rsidRPr="00CE7E23">
        <w:t xml:space="preserve"> and </w:t>
      </w:r>
      <w:r w:rsidR="00620E93" w:rsidRPr="00FF33AC">
        <w:rPr>
          <w:i/>
        </w:rPr>
        <w:t xml:space="preserve">Commissioner of Taxation for the Commonwealth of Australia v </w:t>
      </w:r>
      <w:proofErr w:type="spellStart"/>
      <w:r w:rsidR="00620E93" w:rsidRPr="00FF33AC">
        <w:rPr>
          <w:i/>
        </w:rPr>
        <w:t>Tomaras</w:t>
      </w:r>
      <w:proofErr w:type="spellEnd"/>
      <w:r w:rsidR="00620E93" w:rsidRPr="00FF33AC">
        <w:rPr>
          <w:i/>
        </w:rPr>
        <w:t xml:space="preserve"> </w:t>
      </w:r>
      <w:r w:rsidR="00A32133" w:rsidRPr="00FF33AC">
        <w:t>[</w:t>
      </w:r>
      <w:r w:rsidR="00620E93" w:rsidRPr="00FF33AC">
        <w:t>2018</w:t>
      </w:r>
      <w:r w:rsidR="00A32133" w:rsidRPr="00FF33AC">
        <w:t>] HCA 62;</w:t>
      </w:r>
      <w:r w:rsidR="006905D3" w:rsidRPr="00FF33AC">
        <w:t xml:space="preserve"> 265 </w:t>
      </w:r>
      <w:r w:rsidR="00620E93" w:rsidRPr="00FF33AC">
        <w:t>CLR 434</w:t>
      </w:r>
      <w:r w:rsidR="006905D3" w:rsidRPr="00CE7E23">
        <w:t xml:space="preserve"> (</w:t>
      </w:r>
      <w:proofErr w:type="spellStart"/>
      <w:r w:rsidR="006905D3" w:rsidRPr="00CE7E23">
        <w:rPr>
          <w:b/>
          <w:i/>
        </w:rPr>
        <w:t>Tomaras</w:t>
      </w:r>
      <w:proofErr w:type="spellEnd"/>
      <w:r w:rsidR="006905D3" w:rsidRPr="00CE7E23">
        <w:t>)</w:t>
      </w:r>
      <w:r w:rsidR="00553A76">
        <w:t xml:space="preserve"> </w:t>
      </w:r>
      <w:r>
        <w:t xml:space="preserve">as to the meaning of “the person” and “a person” </w:t>
      </w:r>
      <w:r w:rsidR="006905D3">
        <w:t xml:space="preserve">in </w:t>
      </w:r>
      <w:proofErr w:type="spellStart"/>
      <w:r w:rsidR="006905D3">
        <w:t>pt</w:t>
      </w:r>
      <w:proofErr w:type="spellEnd"/>
      <w:r w:rsidR="00196FF1">
        <w:t xml:space="preserve"> IVC of the </w:t>
      </w:r>
      <w:r w:rsidR="00196FF1" w:rsidRPr="008671D9">
        <w:t>Taxation Administration Act</w:t>
      </w:r>
      <w:r w:rsidR="00196FF1" w:rsidRPr="006905D3">
        <w:t xml:space="preserve">. </w:t>
      </w:r>
      <w:r w:rsidRPr="006905D3">
        <w:t xml:space="preserve"> </w:t>
      </w:r>
      <w:r w:rsidR="00196FF1">
        <w:t>Both cases can be distinguished from the present case.</w:t>
      </w:r>
      <w:r w:rsidR="00620E93">
        <w:t xml:space="preserve"> </w:t>
      </w:r>
      <w:r w:rsidR="006905D3">
        <w:t xml:space="preserve"> </w:t>
      </w:r>
      <w:r w:rsidR="00620E93" w:rsidRPr="00196FF1">
        <w:rPr>
          <w:i/>
        </w:rPr>
        <w:t xml:space="preserve">McCallum </w:t>
      </w:r>
      <w:r w:rsidR="00620E93">
        <w:t xml:space="preserve">concerned the construction and application of </w:t>
      </w:r>
      <w:proofErr w:type="spellStart"/>
      <w:r w:rsidR="006905D3">
        <w:t>pt</w:t>
      </w:r>
      <w:proofErr w:type="spellEnd"/>
      <w:r w:rsidR="00620E93">
        <w:t xml:space="preserve"> IVC</w:t>
      </w:r>
      <w:r w:rsidR="00CB0443">
        <w:t xml:space="preserve"> of the </w:t>
      </w:r>
      <w:r w:rsidR="00CB0443" w:rsidRPr="008671D9">
        <w:t>Tax</w:t>
      </w:r>
      <w:r w:rsidR="009C4279" w:rsidRPr="008671D9">
        <w:t>ation</w:t>
      </w:r>
      <w:r w:rsidR="00CB0443" w:rsidRPr="008671D9">
        <w:t xml:space="preserve"> Administration Act</w:t>
      </w:r>
      <w:r w:rsidR="00CB0443">
        <w:t xml:space="preserve"> in the circumstance of a bankrupt who had objected to an assessment made by the Commissioner before he was made bankrupt.  After the objection was disallowed, the bankrupt, in reliance on s 14ZZ of the </w:t>
      </w:r>
      <w:r w:rsidR="00CB0443" w:rsidRPr="008671D9">
        <w:t>Tax</w:t>
      </w:r>
      <w:r w:rsidR="00196FF1" w:rsidRPr="008671D9">
        <w:t>ation</w:t>
      </w:r>
      <w:r w:rsidR="00CB0443" w:rsidRPr="008671D9">
        <w:t xml:space="preserve"> Administration Act</w:t>
      </w:r>
      <w:r w:rsidR="00CB0443">
        <w:t xml:space="preserve">, applied to the Administrative Appeals Tribunal for review of the Commissioner’s decision to disallow the </w:t>
      </w:r>
      <w:r w:rsidR="00CB0443">
        <w:lastRenderedPageBreak/>
        <w:t>objection</w:t>
      </w:r>
      <w:r w:rsidR="006905D3">
        <w:t xml:space="preserve">.  The Full </w:t>
      </w:r>
      <w:r w:rsidR="00CB0443">
        <w:t xml:space="preserve">Court (Whitlam and </w:t>
      </w:r>
      <w:proofErr w:type="spellStart"/>
      <w:r w:rsidR="00CB0443">
        <w:t>Lehane</w:t>
      </w:r>
      <w:proofErr w:type="spellEnd"/>
      <w:r w:rsidR="00CB0443">
        <w:t xml:space="preserve"> JJ, Hill J dissenting) held that the bankrupt was “the person” for the purposes of s 14ZZ </w:t>
      </w:r>
      <w:r w:rsidR="00742F20">
        <w:t xml:space="preserve">of the </w:t>
      </w:r>
      <w:r w:rsidR="00742F20" w:rsidRPr="008671D9">
        <w:t>Tax</w:t>
      </w:r>
      <w:r w:rsidR="00196FF1" w:rsidRPr="008671D9">
        <w:t>ation</w:t>
      </w:r>
      <w:r w:rsidR="00742F20" w:rsidRPr="008671D9">
        <w:t xml:space="preserve"> Administration Act </w:t>
      </w:r>
      <w:r w:rsidR="00742F20">
        <w:t>with the st</w:t>
      </w:r>
      <w:r w:rsidR="00196FF1">
        <w:t>atutory right to bring a review</w:t>
      </w:r>
      <w:r w:rsidR="00742F20">
        <w:t xml:space="preserve"> </w:t>
      </w:r>
      <w:r w:rsidR="00553A76">
        <w:t>but,</w:t>
      </w:r>
      <w:r w:rsidR="00553A76" w:rsidRPr="00553A76">
        <w:t xml:space="preserve"> </w:t>
      </w:r>
      <w:r w:rsidR="00553A76">
        <w:t xml:space="preserve">by operation of the bankruptcy laws, </w:t>
      </w:r>
      <w:r w:rsidR="00742F20">
        <w:t>he lost his standing to bring th</w:t>
      </w:r>
      <w:r w:rsidR="00742F20" w:rsidRPr="00CE7E23">
        <w:t xml:space="preserve">at application upon </w:t>
      </w:r>
      <w:r w:rsidR="00F57535" w:rsidRPr="00CE7E23">
        <w:t>becoming</w:t>
      </w:r>
      <w:r w:rsidR="00742F20" w:rsidRPr="00CE7E23">
        <w:t xml:space="preserve"> bankrupt</w:t>
      </w:r>
      <w:r w:rsidR="00196FF1" w:rsidRPr="00CE7E23">
        <w:t>.</w:t>
      </w:r>
      <w:r w:rsidR="00742F20" w:rsidRPr="00CE7E23">
        <w:t xml:space="preserve">  In </w:t>
      </w:r>
      <w:proofErr w:type="spellStart"/>
      <w:r w:rsidR="00742F20" w:rsidRPr="00CE7E23">
        <w:rPr>
          <w:i/>
        </w:rPr>
        <w:t>Tomaras</w:t>
      </w:r>
      <w:proofErr w:type="spellEnd"/>
      <w:r w:rsidR="00742F20" w:rsidRPr="00CE7E23">
        <w:t>, in family law proceedings between Mr and Mrs </w:t>
      </w:r>
      <w:proofErr w:type="spellStart"/>
      <w:r w:rsidR="00742F20" w:rsidRPr="00CE7E23">
        <w:t>Tomaras</w:t>
      </w:r>
      <w:proofErr w:type="spellEnd"/>
      <w:r w:rsidR="00742F20" w:rsidRPr="00CE7E23">
        <w:t xml:space="preserve">, the question arose as to </w:t>
      </w:r>
      <w:r w:rsidR="000141B3" w:rsidRPr="00CE7E23">
        <w:t>whether</w:t>
      </w:r>
      <w:r w:rsidR="00742F20" w:rsidRPr="00CE7E23">
        <w:t xml:space="preserve"> the Court had the power to make an order</w:t>
      </w:r>
      <w:r w:rsidR="00700106" w:rsidRPr="00CE7E23">
        <w:t xml:space="preserve"> under the </w:t>
      </w:r>
      <w:r w:rsidR="00700106" w:rsidRPr="00FF33AC">
        <w:rPr>
          <w:i/>
        </w:rPr>
        <w:t>Family Law Act</w:t>
      </w:r>
      <w:r w:rsidR="0066498E" w:rsidRPr="00FF33AC">
        <w:rPr>
          <w:i/>
        </w:rPr>
        <w:t xml:space="preserve"> 1975</w:t>
      </w:r>
      <w:r w:rsidR="0066498E" w:rsidRPr="00FF33AC">
        <w:t xml:space="preserve"> (</w:t>
      </w:r>
      <w:proofErr w:type="spellStart"/>
      <w:r w:rsidR="0066498E" w:rsidRPr="00FF33AC">
        <w:t>Cth</w:t>
      </w:r>
      <w:proofErr w:type="spellEnd"/>
      <w:r w:rsidR="0066498E" w:rsidRPr="00FF33AC">
        <w:t>)</w:t>
      </w:r>
      <w:r w:rsidR="0066498E" w:rsidRPr="00CE7E23">
        <w:t xml:space="preserve"> (</w:t>
      </w:r>
      <w:r w:rsidR="0066498E" w:rsidRPr="00CE7E23">
        <w:rPr>
          <w:b/>
        </w:rPr>
        <w:t>Family Law Act</w:t>
      </w:r>
      <w:r w:rsidR="0066498E" w:rsidRPr="00CE7E23">
        <w:t>)</w:t>
      </w:r>
      <w:r w:rsidR="00700106" w:rsidRPr="00CE7E23">
        <w:t xml:space="preserve"> </w:t>
      </w:r>
      <w:r w:rsidR="00FA1630" w:rsidRPr="00CE7E23">
        <w:t xml:space="preserve">binding </w:t>
      </w:r>
      <w:r w:rsidR="00700106" w:rsidRPr="00CE7E23">
        <w:t>on</w:t>
      </w:r>
      <w:r w:rsidR="00700106">
        <w:t xml:space="preserve"> </w:t>
      </w:r>
      <w:r w:rsidR="00FA1630">
        <w:t>the Commissioner</w:t>
      </w:r>
      <w:r w:rsidR="00700106">
        <w:t xml:space="preserve">, </w:t>
      </w:r>
      <w:r w:rsidR="00742F20">
        <w:t>substituting one spouse as the debtor of a</w:t>
      </w:r>
      <w:r w:rsidR="00FA1630">
        <w:t xml:space="preserve"> tax debt owed by the other</w:t>
      </w:r>
      <w:r w:rsidR="00742F20">
        <w:t xml:space="preserve">.  </w:t>
      </w:r>
      <w:r w:rsidR="00FA1630">
        <w:t xml:space="preserve">The case turned on the Court’s powers under the </w:t>
      </w:r>
      <w:r w:rsidR="00FA1630" w:rsidRPr="0066498E">
        <w:t>Family Law Act</w:t>
      </w:r>
      <w:r w:rsidR="00FA1630">
        <w:t xml:space="preserve">, not upon consideration as </w:t>
      </w:r>
      <w:r w:rsidR="007177DC">
        <w:t>to whet</w:t>
      </w:r>
      <w:r w:rsidR="0066498E">
        <w:t>her the st</w:t>
      </w:r>
      <w:r w:rsidR="0066498E" w:rsidRPr="00CE7E23">
        <w:t xml:space="preserve">atutory rights under </w:t>
      </w:r>
      <w:proofErr w:type="spellStart"/>
      <w:r w:rsidR="0066498E" w:rsidRPr="00CE7E23">
        <w:t>p</w:t>
      </w:r>
      <w:r w:rsidR="007177DC" w:rsidRPr="00CE7E23">
        <w:t>t</w:t>
      </w:r>
      <w:proofErr w:type="spellEnd"/>
      <w:r w:rsidR="007177DC" w:rsidRPr="00CE7E23">
        <w:t> IVC of the Tax</w:t>
      </w:r>
      <w:r w:rsidR="009367D4" w:rsidRPr="00CE7E23">
        <w:t>ation</w:t>
      </w:r>
      <w:r w:rsidR="007177DC" w:rsidRPr="00CE7E23">
        <w:t xml:space="preserve"> Administration Act applied to a person who was not the taxpayer.  </w:t>
      </w:r>
      <w:r w:rsidR="00876029" w:rsidRPr="00CE7E23">
        <w:t xml:space="preserve">Both those cases concerned very </w:t>
      </w:r>
      <w:r w:rsidR="000141B3" w:rsidRPr="00CE7E23">
        <w:t>different</w:t>
      </w:r>
      <w:r w:rsidR="00876029" w:rsidRPr="00CE7E23">
        <w:t xml:space="preserve"> questions that do not arise in the present case and do not stand as authority against the proposition that</w:t>
      </w:r>
      <w:r w:rsidR="001347A4" w:rsidRPr="00CE7E23">
        <w:t>,</w:t>
      </w:r>
      <w:r w:rsidR="00876029" w:rsidRPr="00CE7E23">
        <w:t xml:space="preserve"> in relation to the objection </w:t>
      </w:r>
      <w:r w:rsidR="007177DC" w:rsidRPr="00CE7E23">
        <w:t xml:space="preserve">rights under s 175A of the ITAA 1936 </w:t>
      </w:r>
      <w:r w:rsidR="00876029" w:rsidRPr="00CE7E23">
        <w:t xml:space="preserve">and review or appeal rights </w:t>
      </w:r>
      <w:r w:rsidR="007177DC" w:rsidRPr="00CE7E23">
        <w:t xml:space="preserve">under </w:t>
      </w:r>
      <w:proofErr w:type="spellStart"/>
      <w:r w:rsidR="0066498E" w:rsidRPr="00CE7E23">
        <w:t>p</w:t>
      </w:r>
      <w:r w:rsidR="00876029" w:rsidRPr="00CE7E23">
        <w:t>t</w:t>
      </w:r>
      <w:proofErr w:type="spellEnd"/>
      <w:r w:rsidR="00876029" w:rsidRPr="00CE7E23">
        <w:t xml:space="preserve"> IVC</w:t>
      </w:r>
      <w:r w:rsidR="007177DC" w:rsidRPr="00CE7E23">
        <w:t xml:space="preserve"> of the Tax</w:t>
      </w:r>
      <w:r w:rsidR="009367D4" w:rsidRPr="00CE7E23">
        <w:t>ation</w:t>
      </w:r>
      <w:r w:rsidR="007177DC" w:rsidRPr="00CE7E23">
        <w:t xml:space="preserve"> Administration Act</w:t>
      </w:r>
      <w:r w:rsidR="00876029" w:rsidRPr="00CE7E23">
        <w:t>, LMA</w:t>
      </w:r>
      <w:r w:rsidR="001347A4" w:rsidRPr="00CE7E23">
        <w:t>,</w:t>
      </w:r>
      <w:r w:rsidR="00876029" w:rsidRPr="00CE7E23">
        <w:t xml:space="preserve"> as the surviving company</w:t>
      </w:r>
      <w:r w:rsidR="001347A4" w:rsidRPr="00CE7E23">
        <w:t>,</w:t>
      </w:r>
      <w:r w:rsidR="00876029" w:rsidRPr="00CE7E23">
        <w:t xml:space="preserve"> will, by universal succession, stand in</w:t>
      </w:r>
      <w:r w:rsidR="00876029">
        <w:t xml:space="preserve"> LMGI’s shoes and hold such rights upon completion of the merger.</w:t>
      </w:r>
    </w:p>
    <w:p w14:paraId="51022013" w14:textId="2D1219E5" w:rsidR="00B21FB6" w:rsidRPr="00B21FB6" w:rsidRDefault="00876029" w:rsidP="00876029">
      <w:pPr>
        <w:pStyle w:val="ParaNumbering"/>
        <w:rPr>
          <w:i/>
        </w:rPr>
      </w:pPr>
      <w:r>
        <w:t>The next m</w:t>
      </w:r>
      <w:r w:rsidRPr="00CE7E23">
        <w:t>atter for consideration is the Court’s jurisdiction to make the d</w:t>
      </w:r>
      <w:r w:rsidR="00457D1D">
        <w:t>eclaration</w:t>
      </w:r>
      <w:r w:rsidR="00565A4D" w:rsidRPr="00CE7E23">
        <w:t xml:space="preserve"> sought and whether this</w:t>
      </w:r>
      <w:r w:rsidRPr="00CE7E23">
        <w:t xml:space="preserve"> is an</w:t>
      </w:r>
      <w:r>
        <w:t xml:space="preserve"> appropriate case to exerc</w:t>
      </w:r>
      <w:r w:rsidR="00457D1D">
        <w:t>ise the dis</w:t>
      </w:r>
      <w:r w:rsidR="00457D1D" w:rsidRPr="00DC08F4">
        <w:t>cretion to make that</w:t>
      </w:r>
      <w:r w:rsidRPr="00DC08F4">
        <w:t xml:space="preserve"> declaration.</w:t>
      </w:r>
      <w:r>
        <w:t xml:space="preserve">  </w:t>
      </w:r>
      <w:r w:rsidRPr="00CE7E23">
        <w:t xml:space="preserve">There is no </w:t>
      </w:r>
      <w:r w:rsidR="000141B3" w:rsidRPr="00CE7E23">
        <w:t>doubting</w:t>
      </w:r>
      <w:r w:rsidRPr="00CE7E23">
        <w:t xml:space="preserve"> the Court’s jurisdiction</w:t>
      </w:r>
      <w:r w:rsidR="00D85863" w:rsidRPr="00CE7E23">
        <w:t>,</w:t>
      </w:r>
      <w:r w:rsidRPr="00CE7E23">
        <w:t xml:space="preserve"> as the question raised by the declaration sought is a matter </w:t>
      </w:r>
      <w:r w:rsidR="00D85863" w:rsidRPr="00CE7E23">
        <w:t xml:space="preserve">arising </w:t>
      </w:r>
      <w:r w:rsidRPr="00CE7E23">
        <w:t xml:space="preserve">under </w:t>
      </w:r>
      <w:r w:rsidR="00D85863" w:rsidRPr="00CE7E23">
        <w:t>laws made by P</w:t>
      </w:r>
      <w:r w:rsidRPr="00CE7E23">
        <w:t xml:space="preserve">arliament </w:t>
      </w:r>
      <w:r w:rsidR="000E0A02" w:rsidRPr="00CE7E23">
        <w:t>within</w:t>
      </w:r>
      <w:r w:rsidR="00D85863" w:rsidRPr="00CE7E23">
        <w:t xml:space="preserve"> the meaning of</w:t>
      </w:r>
      <w:r w:rsidR="000E0A02" w:rsidRPr="00CE7E23">
        <w:t xml:space="preserve"> s </w:t>
      </w:r>
      <w:proofErr w:type="gramStart"/>
      <w:r w:rsidR="000E0A02" w:rsidRPr="00CE7E23">
        <w:t>39B(</w:t>
      </w:r>
      <w:proofErr w:type="gramEnd"/>
      <w:r w:rsidR="000E0A02" w:rsidRPr="00CE7E23">
        <w:t xml:space="preserve">1A)(c) of the </w:t>
      </w:r>
      <w:r w:rsidR="00565A4D" w:rsidRPr="00CE7E23">
        <w:t>Judic</w:t>
      </w:r>
      <w:r w:rsidR="00565A4D" w:rsidRPr="00565A4D">
        <w:t>iary Act</w:t>
      </w:r>
      <w:r w:rsidR="000E0A02">
        <w:t>: namely, to which entity do the Australian tax laws imposing liabilities to tax and correlative objection and appeal rights apply on compl</w:t>
      </w:r>
      <w:r w:rsidR="00CD63AA">
        <w:t xml:space="preserve">etion of the proposed merger?  The </w:t>
      </w:r>
      <w:r w:rsidR="000E0A02">
        <w:t xml:space="preserve">matter is </w:t>
      </w:r>
      <w:r w:rsidR="00CD63AA">
        <w:t xml:space="preserve">also </w:t>
      </w:r>
      <w:r w:rsidR="000E0A02">
        <w:t xml:space="preserve">not </w:t>
      </w:r>
      <w:r w:rsidR="00C83D1A">
        <w:t xml:space="preserve">a </w:t>
      </w:r>
      <w:r w:rsidR="000E0A02">
        <w:t xml:space="preserve">theoretical </w:t>
      </w:r>
      <w:r w:rsidR="00C83D1A">
        <w:t xml:space="preserve">question for determination </w:t>
      </w:r>
      <w:r w:rsidR="000E0A02">
        <w:t>and the declaration</w:t>
      </w:r>
      <w:r w:rsidR="00D056D6">
        <w:t xml:space="preserve"> is sought by a person with a real </w:t>
      </w:r>
      <w:r w:rsidR="000141B3">
        <w:t>interest</w:t>
      </w:r>
      <w:r w:rsidR="00D056D6">
        <w:t xml:space="preserve"> to do so.  Furthermore, the Commissioner is both a proper and necessary party</w:t>
      </w:r>
      <w:r w:rsidR="00CD63AA">
        <w:t xml:space="preserve"> as respondent to the application</w:t>
      </w:r>
      <w:r w:rsidR="00D056D6">
        <w:t xml:space="preserve">.  The Commissioner has a true </w:t>
      </w:r>
      <w:r w:rsidR="000141B3">
        <w:t>interest</w:t>
      </w:r>
      <w:r w:rsidR="00D056D6">
        <w:t xml:space="preserve"> </w:t>
      </w:r>
      <w:r w:rsidR="00C83D1A">
        <w:t>in opposing</w:t>
      </w:r>
      <w:r w:rsidR="00D056D6">
        <w:t xml:space="preserve"> the declaration sought and is therefore a proper contradictor: </w:t>
      </w:r>
      <w:proofErr w:type="spellStart"/>
      <w:r w:rsidR="00D056D6">
        <w:t>cf</w:t>
      </w:r>
      <w:proofErr w:type="spellEnd"/>
      <w:r w:rsidR="00D056D6">
        <w:t xml:space="preserve"> </w:t>
      </w:r>
      <w:r w:rsidR="00D056D6" w:rsidRPr="00FF33AC">
        <w:rPr>
          <w:i/>
        </w:rPr>
        <w:t xml:space="preserve">Federal Commissioner of Taxation v Thomas </w:t>
      </w:r>
      <w:r w:rsidR="00D85863" w:rsidRPr="00FF33AC">
        <w:t>[</w:t>
      </w:r>
      <w:r w:rsidR="00D056D6" w:rsidRPr="00FF33AC">
        <w:t>2018</w:t>
      </w:r>
      <w:r w:rsidR="00D85863" w:rsidRPr="00FF33AC">
        <w:t>] HCA 31;</w:t>
      </w:r>
      <w:r w:rsidR="00D056D6" w:rsidRPr="00FF33AC">
        <w:t xml:space="preserve"> 264 CLR 382</w:t>
      </w:r>
      <w:r w:rsidR="00D056D6">
        <w:t>.  It is not necessary that the declaration sought actually be contested at the final hearing, merely that there be a party who has a true interest to oppose the declaratory relief</w:t>
      </w:r>
      <w:r w:rsidR="008F20B1" w:rsidRPr="008F20B1">
        <w:t xml:space="preserve"> </w:t>
      </w:r>
      <w:r w:rsidR="008F20B1">
        <w:t>and</w:t>
      </w:r>
      <w:r w:rsidR="00A20F59">
        <w:t>, in the present case,</w:t>
      </w:r>
      <w:r w:rsidR="008F20B1">
        <w:t xml:space="preserve"> the Court has had the benefit of a contradictor </w:t>
      </w:r>
      <w:r w:rsidR="00A2034D">
        <w:t xml:space="preserve">actively participating in the proceedings and </w:t>
      </w:r>
      <w:r w:rsidR="008F20B1">
        <w:t xml:space="preserve">putting forward detailed submissions, albeit the Commissioner </w:t>
      </w:r>
      <w:r w:rsidR="00A20F59">
        <w:t xml:space="preserve">ultimately </w:t>
      </w:r>
      <w:r w:rsidR="008F20B1">
        <w:t xml:space="preserve">has agreed with the terms of the </w:t>
      </w:r>
      <w:r w:rsidR="00457D1D">
        <w:t>declaration</w:t>
      </w:r>
      <w:r w:rsidR="008F20B1" w:rsidRPr="00457D1D">
        <w:t xml:space="preserve"> sought</w:t>
      </w:r>
      <w:r w:rsidR="00D056D6" w:rsidRPr="00457D1D">
        <w:t xml:space="preserve">: </w:t>
      </w:r>
      <w:r w:rsidR="00D056D6" w:rsidRPr="00FF33AC">
        <w:rPr>
          <w:i/>
        </w:rPr>
        <w:t xml:space="preserve">Oil Basins Ltd v Commonwealth </w:t>
      </w:r>
      <w:r w:rsidR="00D85863" w:rsidRPr="00FF33AC">
        <w:t>[</w:t>
      </w:r>
      <w:r w:rsidR="00D056D6" w:rsidRPr="00FF33AC">
        <w:t>1993</w:t>
      </w:r>
      <w:r w:rsidR="00D85863" w:rsidRPr="00FF33AC">
        <w:t>] HCA 60;</w:t>
      </w:r>
      <w:r w:rsidR="00D056D6" w:rsidRPr="00FF33AC">
        <w:t xml:space="preserve"> 178 CLR 643</w:t>
      </w:r>
      <w:r w:rsidR="00D056D6" w:rsidRPr="00457D1D">
        <w:t xml:space="preserve"> at 649</w:t>
      </w:r>
      <w:r w:rsidR="00D85863" w:rsidRPr="00457D1D">
        <w:t xml:space="preserve"> per Dawson J</w:t>
      </w:r>
      <w:r w:rsidR="00D056D6" w:rsidRPr="00457D1D">
        <w:t xml:space="preserve">; </w:t>
      </w:r>
      <w:r w:rsidR="00D056D6" w:rsidRPr="00FF33AC">
        <w:rPr>
          <w:i/>
        </w:rPr>
        <w:t xml:space="preserve">Australian Competition and Consumer </w:t>
      </w:r>
      <w:r w:rsidR="00D85863" w:rsidRPr="00FF33AC">
        <w:rPr>
          <w:i/>
        </w:rPr>
        <w:t>Commission v M</w:t>
      </w:r>
      <w:r w:rsidR="00625938" w:rsidRPr="00FF33AC">
        <w:rPr>
          <w:i/>
        </w:rPr>
        <w:t xml:space="preserve">SY Technology Pty Ltd </w:t>
      </w:r>
      <w:r w:rsidR="00D85863" w:rsidRPr="00FF33AC">
        <w:t>[</w:t>
      </w:r>
      <w:r w:rsidR="00625938" w:rsidRPr="00FF33AC">
        <w:t>2012</w:t>
      </w:r>
      <w:r w:rsidR="00D85863" w:rsidRPr="00FF33AC">
        <w:t>] FCAFC 56;</w:t>
      </w:r>
      <w:r w:rsidR="00625938" w:rsidRPr="00FF33AC">
        <w:t xml:space="preserve"> 201 FCR 378</w:t>
      </w:r>
      <w:r w:rsidR="00625938" w:rsidRPr="00457D1D">
        <w:t xml:space="preserve"> at</w:t>
      </w:r>
      <w:r w:rsidR="00D85863" w:rsidRPr="00457D1D">
        <w:t xml:space="preserve"> 387 </w:t>
      </w:r>
      <w:r w:rsidR="00625938" w:rsidRPr="00457D1D">
        <w:t xml:space="preserve">[30]; </w:t>
      </w:r>
      <w:r w:rsidR="00625938" w:rsidRPr="00FF33AC">
        <w:rPr>
          <w:i/>
        </w:rPr>
        <w:t xml:space="preserve">Clarence City Council v Commonwealth of </w:t>
      </w:r>
      <w:r w:rsidR="00625938" w:rsidRPr="00FF33AC">
        <w:rPr>
          <w:i/>
        </w:rPr>
        <w:lastRenderedPageBreak/>
        <w:t xml:space="preserve">Australia </w:t>
      </w:r>
      <w:r w:rsidR="00625938" w:rsidRPr="00FF33AC">
        <w:t>[2020] FCAFC 134</w:t>
      </w:r>
      <w:r w:rsidR="00D85863" w:rsidRPr="00FF33AC">
        <w:t>; 382 ALR 273</w:t>
      </w:r>
      <w:r w:rsidR="00625938" w:rsidRPr="00457D1D">
        <w:t xml:space="preserve"> at</w:t>
      </w:r>
      <w:r w:rsidR="00D85863" w:rsidRPr="00457D1D">
        <w:t xml:space="preserve"> 314</w:t>
      </w:r>
      <w:r w:rsidR="00625938" w:rsidRPr="00457D1D">
        <w:t xml:space="preserve"> [133].</w:t>
      </w:r>
      <w:r w:rsidR="00625938">
        <w:t xml:space="preserve">  </w:t>
      </w:r>
      <w:r w:rsidR="00616539">
        <w:t xml:space="preserve">LMA, </w:t>
      </w:r>
      <w:r w:rsidR="00497BD9">
        <w:t xml:space="preserve">the other entity </w:t>
      </w:r>
      <w:r w:rsidR="00616539">
        <w:t xml:space="preserve">whose rights and liabilities are </w:t>
      </w:r>
      <w:r w:rsidR="00A20F59">
        <w:t xml:space="preserve">also </w:t>
      </w:r>
      <w:r w:rsidR="00616539">
        <w:t>directly affected by the relief sought is also a respondent to the proce</w:t>
      </w:r>
      <w:r w:rsidR="00616539" w:rsidRPr="00457D1D">
        <w:t xml:space="preserve">eding: </w:t>
      </w:r>
      <w:r w:rsidR="00616539" w:rsidRPr="00FF33AC">
        <w:rPr>
          <w:i/>
        </w:rPr>
        <w:t xml:space="preserve">John </w:t>
      </w:r>
      <w:r w:rsidR="00497BD9" w:rsidRPr="00FF33AC">
        <w:rPr>
          <w:i/>
        </w:rPr>
        <w:t>Alexander’s</w:t>
      </w:r>
      <w:r w:rsidR="00616539" w:rsidRPr="00FF33AC">
        <w:rPr>
          <w:i/>
        </w:rPr>
        <w:t xml:space="preserve"> Clubs </w:t>
      </w:r>
      <w:r w:rsidR="00A2034D" w:rsidRPr="00FF33AC">
        <w:rPr>
          <w:i/>
        </w:rPr>
        <w:t>Pty Ltd v White City Tennis Club</w:t>
      </w:r>
      <w:r w:rsidR="00616539" w:rsidRPr="00FF33AC">
        <w:rPr>
          <w:i/>
        </w:rPr>
        <w:t xml:space="preserve"> Ltd </w:t>
      </w:r>
      <w:r w:rsidR="00D85863" w:rsidRPr="00FF33AC">
        <w:t>[</w:t>
      </w:r>
      <w:r w:rsidR="00616539" w:rsidRPr="00FF33AC">
        <w:t>2010</w:t>
      </w:r>
      <w:r w:rsidR="00D85863" w:rsidRPr="00FF33AC">
        <w:t>] HCA 19;</w:t>
      </w:r>
      <w:r w:rsidR="00FF33AC" w:rsidRPr="00FF33AC">
        <w:t xml:space="preserve"> 241 </w:t>
      </w:r>
      <w:r w:rsidR="00616539" w:rsidRPr="00FF33AC">
        <w:t>CLR 1</w:t>
      </w:r>
      <w:r w:rsidR="00616539" w:rsidRPr="00457D1D">
        <w:t xml:space="preserve"> at </w:t>
      </w:r>
      <w:r w:rsidR="00D85863" w:rsidRPr="00457D1D">
        <w:t>46 </w:t>
      </w:r>
      <w:r w:rsidR="00616539" w:rsidRPr="00457D1D">
        <w:t>[</w:t>
      </w:r>
      <w:r w:rsidR="00D85863" w:rsidRPr="00457D1D">
        <w:t>1</w:t>
      </w:r>
      <w:r w:rsidR="00616539" w:rsidRPr="00457D1D">
        <w:t>3</w:t>
      </w:r>
      <w:r w:rsidR="00616539">
        <w:t xml:space="preserve">1]. </w:t>
      </w:r>
      <w:r w:rsidR="00D85863">
        <w:t xml:space="preserve"> </w:t>
      </w:r>
      <w:r w:rsidR="008F20B1">
        <w:t>Finall</w:t>
      </w:r>
      <w:r w:rsidR="008F20B1" w:rsidRPr="00DC08F4">
        <w:t>y, t</w:t>
      </w:r>
      <w:r w:rsidR="00625938" w:rsidRPr="00DC08F4">
        <w:t>he declarati</w:t>
      </w:r>
      <w:r w:rsidR="00497BD9" w:rsidRPr="00DC08F4">
        <w:t>on also ha</w:t>
      </w:r>
      <w:r w:rsidR="00457D1D" w:rsidRPr="00DC08F4">
        <w:t>s</w:t>
      </w:r>
      <w:r w:rsidR="00497BD9" w:rsidRPr="00DC08F4">
        <w:t xml:space="preserve"> obvious uti</w:t>
      </w:r>
      <w:r w:rsidR="00025199" w:rsidRPr="00DC08F4">
        <w:t xml:space="preserve">lity in that </w:t>
      </w:r>
      <w:r w:rsidR="00457D1D" w:rsidRPr="00DC08F4">
        <w:t>it</w:t>
      </w:r>
      <w:r w:rsidR="00025199" w:rsidRPr="00DC08F4">
        <w:t xml:space="preserve"> serve</w:t>
      </w:r>
      <w:r w:rsidR="00457D1D" w:rsidRPr="00DC08F4">
        <w:t>s</w:t>
      </w:r>
      <w:r w:rsidR="00025199" w:rsidRPr="00DC08F4">
        <w:t xml:space="preserve"> to put</w:t>
      </w:r>
      <w:r w:rsidR="00625938">
        <w:t xml:space="preserve"> beyond doubt the effect of the merger in relation to the</w:t>
      </w:r>
      <w:r w:rsidR="009978B3">
        <w:t xml:space="preserve"> application and operation of</w:t>
      </w:r>
      <w:r w:rsidR="00625938">
        <w:t xml:space="preserve"> </w:t>
      </w:r>
      <w:r w:rsidR="000141B3">
        <w:t>Australian</w:t>
      </w:r>
      <w:r w:rsidR="00625938">
        <w:t xml:space="preserve"> t</w:t>
      </w:r>
      <w:r w:rsidR="00497BD9">
        <w:t>ax laws with respect to the exta</w:t>
      </w:r>
      <w:r w:rsidR="00625938">
        <w:t>nt and future tax liabilities (if any) of L</w:t>
      </w:r>
      <w:r w:rsidR="000141B3">
        <w:t>MG</w:t>
      </w:r>
      <w:r w:rsidR="00625938">
        <w:t xml:space="preserve">I.  </w:t>
      </w:r>
    </w:p>
    <w:p w14:paraId="59954B3F" w14:textId="3CA9A352" w:rsidR="00347E98" w:rsidRPr="00347E98" w:rsidRDefault="001076DF" w:rsidP="002B03EB">
      <w:pPr>
        <w:pStyle w:val="ParaNumbering"/>
        <w:rPr>
          <w:i/>
        </w:rPr>
      </w:pPr>
      <w:r>
        <w:t xml:space="preserve">Three </w:t>
      </w:r>
      <w:r w:rsidR="002B03EB">
        <w:t>other</w:t>
      </w:r>
      <w:r>
        <w:t xml:space="preserve"> matters should be mentioned which </w:t>
      </w:r>
      <w:r w:rsidR="00A2034D">
        <w:t xml:space="preserve">give confidence to the Court about </w:t>
      </w:r>
      <w:r>
        <w:t>the appropriateness of making the d</w:t>
      </w:r>
      <w:r w:rsidRPr="00457D1D">
        <w:t>eclaration</w:t>
      </w:r>
      <w:r w:rsidR="009978B3" w:rsidRPr="00457D1D">
        <w:t xml:space="preserve"> sought</w:t>
      </w:r>
      <w:r w:rsidR="002B03EB" w:rsidRPr="00457D1D">
        <w:t>.</w:t>
      </w:r>
      <w:r w:rsidR="002B03EB">
        <w:t xml:space="preserve"> </w:t>
      </w:r>
    </w:p>
    <w:p w14:paraId="4F74A1A1" w14:textId="6645DC23" w:rsidR="00876029" w:rsidRPr="002B03EB" w:rsidRDefault="002B03EB" w:rsidP="002B03EB">
      <w:pPr>
        <w:pStyle w:val="ParaNumbering"/>
        <w:rPr>
          <w:i/>
        </w:rPr>
      </w:pPr>
      <w:r w:rsidRPr="00457D1D">
        <w:t xml:space="preserve">First, </w:t>
      </w:r>
      <w:r w:rsidR="00625938" w:rsidRPr="00457D1D">
        <w:t>the Court has before it evidence as to the rationale for the merger</w:t>
      </w:r>
      <w:r w:rsidR="00AF6C5F" w:rsidRPr="00457D1D">
        <w:t xml:space="preserve">. </w:t>
      </w:r>
      <w:r w:rsidR="009978B3" w:rsidRPr="00457D1D">
        <w:t xml:space="preserve"> </w:t>
      </w:r>
      <w:r w:rsidR="00AF6C5F" w:rsidRPr="00457D1D">
        <w:t>Mr Karim</w:t>
      </w:r>
      <w:r w:rsidR="009978B3" w:rsidRPr="00457D1D">
        <w:t>-Michel</w:t>
      </w:r>
      <w:r w:rsidR="00AF6C5F" w:rsidRPr="00457D1D">
        <w:t xml:space="preserve"> Nasr</w:t>
      </w:r>
      <w:r w:rsidR="003D69BE" w:rsidRPr="00457D1D">
        <w:t>, a director of both LM</w:t>
      </w:r>
      <w:r w:rsidR="009978B3" w:rsidRPr="00457D1D">
        <w:t>G</w:t>
      </w:r>
      <w:r w:rsidR="003D69BE" w:rsidRPr="00457D1D">
        <w:t xml:space="preserve">I and LMA, and also of their shared parent company La Mancha Precious Metals SA and the CEO of the La Mancha </w:t>
      </w:r>
      <w:r w:rsidR="009978B3" w:rsidRPr="00457D1D">
        <w:t>G</w:t>
      </w:r>
      <w:r w:rsidR="003D69BE" w:rsidRPr="00457D1D">
        <w:t>roup</w:t>
      </w:r>
      <w:r w:rsidR="009978B3" w:rsidRPr="00457D1D">
        <w:t>,</w:t>
      </w:r>
      <w:r w:rsidR="003D69BE" w:rsidRPr="00457D1D">
        <w:t xml:space="preserve"> explained that since 2019, the La Mancha Group has been attempting to rationalise</w:t>
      </w:r>
      <w:r w:rsidRPr="00457D1D">
        <w:t xml:space="preserve"> and </w:t>
      </w:r>
      <w:r w:rsidR="003D69BE" w:rsidRPr="00457D1D">
        <w:t xml:space="preserve">consolidate </w:t>
      </w:r>
      <w:r w:rsidR="009978B3" w:rsidRPr="00457D1D">
        <w:t>its</w:t>
      </w:r>
      <w:r w:rsidR="00B908E4" w:rsidRPr="00457D1D">
        <w:t xml:space="preserve"> </w:t>
      </w:r>
      <w:r w:rsidR="003D69BE" w:rsidRPr="00457D1D">
        <w:t>corporate</w:t>
      </w:r>
      <w:r w:rsidR="00B908E4" w:rsidRPr="00457D1D">
        <w:t xml:space="preserve"> structure</w:t>
      </w:r>
      <w:r w:rsidR="00625938" w:rsidRPr="00457D1D">
        <w:t xml:space="preserve">, including for cost reduction </w:t>
      </w:r>
      <w:r w:rsidR="000141B3" w:rsidRPr="00457D1D">
        <w:t>purp</w:t>
      </w:r>
      <w:r w:rsidR="000141B3">
        <w:t>oses</w:t>
      </w:r>
      <w:r w:rsidR="00625938">
        <w:t xml:space="preserve">.  LMGI </w:t>
      </w:r>
      <w:r w:rsidR="00477F81">
        <w:t xml:space="preserve">is a special purpose vehicle that was incorporated in 2012 to hold </w:t>
      </w:r>
      <w:r w:rsidR="00457D1D">
        <w:t>La Mancha Group’s investment in</w:t>
      </w:r>
      <w:r w:rsidR="00477F81">
        <w:t xml:space="preserve"> Evolutio</w:t>
      </w:r>
      <w:r w:rsidR="001B389B">
        <w:t>n and was structured as a stand</w:t>
      </w:r>
      <w:r w:rsidR="001B389B">
        <w:noBreakHyphen/>
      </w:r>
      <w:r w:rsidR="00477F81">
        <w:t xml:space="preserve">alone company because of requirements </w:t>
      </w:r>
      <w:r w:rsidR="00B908E4">
        <w:t xml:space="preserve">of </w:t>
      </w:r>
      <w:r w:rsidR="00477F81">
        <w:t xml:space="preserve">La Mancha Group’s former financing and loan </w:t>
      </w:r>
      <w:r w:rsidR="000141B3" w:rsidRPr="00457D1D">
        <w:t>arrangements</w:t>
      </w:r>
      <w:r w:rsidR="00477F81" w:rsidRPr="00457D1D">
        <w:t xml:space="preserve">.  Earlier in 2020, LMGI sold the last of its remaining shares in Evolution </w:t>
      </w:r>
      <w:r w:rsidR="00A129A9" w:rsidRPr="00457D1D">
        <w:t xml:space="preserve">(the sale of which </w:t>
      </w:r>
      <w:r w:rsidR="00FD3C38" w:rsidRPr="00457D1D">
        <w:t xml:space="preserve">has given </w:t>
      </w:r>
      <w:r w:rsidR="00A129A9" w:rsidRPr="00457D1D">
        <w:t>rise to the</w:t>
      </w:r>
      <w:r w:rsidR="009978B3" w:rsidRPr="00457D1D">
        <w:t xml:space="preserve"> disputed tax</w:t>
      </w:r>
      <w:r w:rsidR="00A129A9" w:rsidRPr="00457D1D">
        <w:t xml:space="preserve"> assessments </w:t>
      </w:r>
      <w:r w:rsidR="001076DF" w:rsidRPr="00457D1D">
        <w:t xml:space="preserve">and potential future tax liabilities </w:t>
      </w:r>
      <w:r w:rsidR="00A129A9" w:rsidRPr="00457D1D">
        <w:t xml:space="preserve">in question) </w:t>
      </w:r>
      <w:r w:rsidR="00477F81" w:rsidRPr="00457D1D">
        <w:t>and has now fully divested its holding</w:t>
      </w:r>
      <w:r w:rsidR="009978B3" w:rsidRPr="00457D1D">
        <w:t>s in</w:t>
      </w:r>
      <w:r w:rsidR="00477F81" w:rsidRPr="00457D1D">
        <w:t xml:space="preserve"> Evolution to third parties, repaid the relevant loans and is no longer needed as part of the La Mancha Group as it serves no further investment purpose.  It is estimated that the proposed merger, if completed, will save the</w:t>
      </w:r>
      <w:r w:rsidR="00FB2E10">
        <w:t xml:space="preserve"> La Mancha Group approximately EUR </w:t>
      </w:r>
      <w:r w:rsidR="00B90E07" w:rsidRPr="00457D1D">
        <w:t>840,000 per annum in operating costs, not including additional serv</w:t>
      </w:r>
      <w:r w:rsidR="009978B3" w:rsidRPr="00457D1D">
        <w:t>ic</w:t>
      </w:r>
      <w:r w:rsidR="00B90E07" w:rsidRPr="00457D1D">
        <w:t xml:space="preserve">e costs incurred by the </w:t>
      </w:r>
      <w:r w:rsidR="009978B3" w:rsidRPr="00457D1D">
        <w:t>parent</w:t>
      </w:r>
      <w:r w:rsidR="00B90E07" w:rsidRPr="00457D1D">
        <w:t xml:space="preserve"> company under the current structure in respect of LMGI, but not currently charged to LMGI.  </w:t>
      </w:r>
      <w:r w:rsidR="00A104F0" w:rsidRPr="00457D1D">
        <w:t xml:space="preserve">Based on that evidence, </w:t>
      </w:r>
      <w:r w:rsidR="00B90E07" w:rsidRPr="00457D1D">
        <w:t xml:space="preserve">I accept </w:t>
      </w:r>
      <w:r w:rsidR="00B908E4" w:rsidRPr="00457D1D">
        <w:t xml:space="preserve">that </w:t>
      </w:r>
      <w:r w:rsidR="009978B3" w:rsidRPr="00457D1D">
        <w:t xml:space="preserve">the </w:t>
      </w:r>
      <w:r w:rsidR="00B90E07" w:rsidRPr="00457D1D">
        <w:t>purpose of the merger is legitimate and consistent with good corporate</w:t>
      </w:r>
      <w:r w:rsidR="00B90E07">
        <w:t xml:space="preserve"> governance.  </w:t>
      </w:r>
    </w:p>
    <w:p w14:paraId="48696CFD" w14:textId="78077768" w:rsidR="00B90E07" w:rsidRPr="00A129A9" w:rsidRDefault="00B908E4" w:rsidP="00876029">
      <w:pPr>
        <w:pStyle w:val="ParaNumbering"/>
        <w:rPr>
          <w:i/>
        </w:rPr>
      </w:pPr>
      <w:r>
        <w:t xml:space="preserve">Secondly, it </w:t>
      </w:r>
      <w:r w:rsidR="000141B3">
        <w:t>was</w:t>
      </w:r>
      <w:r w:rsidR="00B90E07">
        <w:t xml:space="preserve"> brought to the Court’s attention </w:t>
      </w:r>
      <w:r w:rsidR="000141B3">
        <w:t>that</w:t>
      </w:r>
      <w:r w:rsidR="00B90E07">
        <w:t xml:space="preserve"> there is currently a proposal before the Dutch Parliament to impose a tax colloquially referred to as an “exit tax” on cross-border mergers (and other kinds of transactions) which lead to a corporate exit from the Netherlands, or an exiting from the Netherlands of the revenue or profits of a corporation by way of share capital distribution to members in specified other jurisdictions.  In its present form the bill makes provision for such a tax, if made law, to apply retrospectively from </w:t>
      </w:r>
      <w:r>
        <w:t>12.00</w:t>
      </w:r>
      <w:r w:rsidR="00457D1D">
        <w:t> </w:t>
      </w:r>
      <w:r>
        <w:t xml:space="preserve">pm on 18 September 2020 </w:t>
      </w:r>
      <w:r w:rsidR="00B90E07">
        <w:t xml:space="preserve">and </w:t>
      </w:r>
      <w:r w:rsidR="00347E98">
        <w:t xml:space="preserve">thus it appears that </w:t>
      </w:r>
      <w:r w:rsidR="00B90E07">
        <w:t xml:space="preserve">the timing of the proposed merger would not avoid </w:t>
      </w:r>
      <w:r w:rsidR="00B90E07">
        <w:lastRenderedPageBreak/>
        <w:t>the imposition of the proposed exit tax in respect of it</w:t>
      </w:r>
      <w:r w:rsidR="00A129A9">
        <w:t>,</w:t>
      </w:r>
      <w:r w:rsidR="00B90E07">
        <w:t xml:space="preserve"> if the bill is pass</w:t>
      </w:r>
      <w:r w:rsidR="00B90E07" w:rsidRPr="00457D1D">
        <w:t>ed in its present form</w:t>
      </w:r>
      <w:r w:rsidR="00D55DD8" w:rsidRPr="00457D1D">
        <w:t>,</w:t>
      </w:r>
      <w:r w:rsidR="00B90E07">
        <w:t xml:space="preserve"> by reason of its retrospective effect (</w:t>
      </w:r>
      <w:r w:rsidR="00347E98">
        <w:t xml:space="preserve">and if the law </w:t>
      </w:r>
      <w:r w:rsidR="00904911">
        <w:t xml:space="preserve">otherwise applies to the merger).  </w:t>
      </w:r>
    </w:p>
    <w:p w14:paraId="0F86F50A" w14:textId="4DDCD24A" w:rsidR="00393F72" w:rsidRPr="00393F72" w:rsidRDefault="00A129A9" w:rsidP="00771F9A">
      <w:pPr>
        <w:pStyle w:val="ParaNumbering"/>
        <w:rPr>
          <w:i/>
          <w:szCs w:val="24"/>
        </w:rPr>
      </w:pPr>
      <w:r>
        <w:t xml:space="preserve">Thirdly, </w:t>
      </w:r>
      <w:r w:rsidR="00660DE1">
        <w:t>aside from the terms of the declaration in sub-par</w:t>
      </w:r>
      <w:r w:rsidR="00D55DD8">
        <w:t>a</w:t>
      </w:r>
      <w:r w:rsidR="00660DE1">
        <w:t xml:space="preserve"> (a)</w:t>
      </w:r>
      <w:r w:rsidR="009416A1">
        <w:t>,</w:t>
      </w:r>
      <w:r w:rsidR="00660DE1">
        <w:t xml:space="preserve"> </w:t>
      </w:r>
      <w:r>
        <w:t xml:space="preserve">the </w:t>
      </w:r>
      <w:r w:rsidR="009416A1">
        <w:t xml:space="preserve">parties have entered into </w:t>
      </w:r>
      <w:r w:rsidR="00C3189D">
        <w:t xml:space="preserve">security arrangements and a </w:t>
      </w:r>
      <w:r w:rsidR="00C3189D" w:rsidRPr="00771F9A">
        <w:rPr>
          <w:szCs w:val="24"/>
          <w:lang w:eastAsia="en-AU"/>
        </w:rPr>
        <w:t xml:space="preserve">deed of acknowledgement </w:t>
      </w:r>
      <w:r w:rsidR="00C3189D">
        <w:rPr>
          <w:szCs w:val="24"/>
          <w:lang w:eastAsia="en-AU"/>
        </w:rPr>
        <w:t xml:space="preserve">(to which </w:t>
      </w:r>
      <w:r w:rsidR="00C3189D" w:rsidRPr="00771F9A">
        <w:rPr>
          <w:szCs w:val="24"/>
          <w:lang w:eastAsia="en-AU"/>
        </w:rPr>
        <w:t>La Mancha Holding</w:t>
      </w:r>
      <w:r w:rsidR="00C3189D">
        <w:rPr>
          <w:i/>
          <w:szCs w:val="24"/>
        </w:rPr>
        <w:t xml:space="preserve"> </w:t>
      </w:r>
      <w:proofErr w:type="spellStart"/>
      <w:r w:rsidR="00C3189D" w:rsidRPr="00771F9A">
        <w:rPr>
          <w:szCs w:val="24"/>
          <w:lang w:eastAsia="en-AU"/>
        </w:rPr>
        <w:t>S.a</w:t>
      </w:r>
      <w:r w:rsidR="00D55DD8">
        <w:rPr>
          <w:szCs w:val="24"/>
          <w:lang w:eastAsia="en-AU"/>
        </w:rPr>
        <w:t>.</w:t>
      </w:r>
      <w:r w:rsidR="00C3189D" w:rsidRPr="00771F9A">
        <w:rPr>
          <w:szCs w:val="24"/>
          <w:lang w:eastAsia="en-AU"/>
        </w:rPr>
        <w:t>r.l</w:t>
      </w:r>
      <w:proofErr w:type="spellEnd"/>
      <w:r w:rsidR="00C3189D">
        <w:t xml:space="preserve"> is also a party) in protection of the parties’ respective interests in relation to </w:t>
      </w:r>
      <w:r w:rsidR="00660016">
        <w:t xml:space="preserve">the tax liabilities. </w:t>
      </w:r>
    </w:p>
    <w:p w14:paraId="47732CEA" w14:textId="4A93035C" w:rsidR="003C0B0B" w:rsidRPr="00457D1D" w:rsidRDefault="00904911" w:rsidP="00771F9A">
      <w:pPr>
        <w:pStyle w:val="ParaNumbering"/>
        <w:rPr>
          <w:i/>
          <w:szCs w:val="24"/>
        </w:rPr>
      </w:pPr>
      <w:r w:rsidRPr="00457D1D">
        <w:t xml:space="preserve">Accordingly </w:t>
      </w:r>
      <w:r w:rsidR="005D0444" w:rsidRPr="00457D1D">
        <w:t xml:space="preserve">I have concluded that </w:t>
      </w:r>
      <w:r w:rsidR="00457D1D" w:rsidRPr="00457D1D">
        <w:t>the declaration</w:t>
      </w:r>
      <w:r w:rsidRPr="00457D1D">
        <w:t xml:space="preserve"> sought should be made. </w:t>
      </w:r>
    </w:p>
    <w:p w14:paraId="12FF2BA5" w14:textId="4543BCA7" w:rsidR="002C009E" w:rsidRPr="00457D1D" w:rsidRDefault="002C009E" w:rsidP="002C009E">
      <w:pPr>
        <w:pStyle w:val="Heading1"/>
        <w:rPr>
          <w:szCs w:val="24"/>
        </w:rPr>
      </w:pPr>
      <w:r w:rsidRPr="00457D1D">
        <w:rPr>
          <w:szCs w:val="24"/>
        </w:rPr>
        <w:t>Costs</w:t>
      </w:r>
    </w:p>
    <w:p w14:paraId="288EF443" w14:textId="2F965EAE" w:rsidR="00904911" w:rsidRPr="00771F9A" w:rsidRDefault="00904911" w:rsidP="00771F9A">
      <w:pPr>
        <w:pStyle w:val="ParaNumbering"/>
        <w:rPr>
          <w:i/>
          <w:szCs w:val="24"/>
        </w:rPr>
      </w:pPr>
      <w:r w:rsidRPr="00457D1D">
        <w:t xml:space="preserve">The </w:t>
      </w:r>
      <w:r w:rsidR="000141B3" w:rsidRPr="00457D1D">
        <w:t>Commissioner</w:t>
      </w:r>
      <w:r w:rsidRPr="00457D1D">
        <w:t xml:space="preserve"> seeks his costs of the </w:t>
      </w:r>
      <w:r w:rsidR="000141B3" w:rsidRPr="00457D1D">
        <w:t>application</w:t>
      </w:r>
      <w:r w:rsidRPr="00457D1D">
        <w:t xml:space="preserve"> on the basis that </w:t>
      </w:r>
      <w:r w:rsidR="002C009E" w:rsidRPr="00457D1D">
        <w:t xml:space="preserve">LMGI </w:t>
      </w:r>
      <w:r w:rsidRPr="00457D1D">
        <w:t>s</w:t>
      </w:r>
      <w:r>
        <w:t>ou</w:t>
      </w:r>
      <w:r w:rsidRPr="00DC08F4">
        <w:t xml:space="preserve">ght </w:t>
      </w:r>
      <w:r w:rsidR="00457D1D" w:rsidRPr="00DC08F4">
        <w:t>a</w:t>
      </w:r>
      <w:r w:rsidR="00457D1D">
        <w:t xml:space="preserve"> </w:t>
      </w:r>
      <w:r w:rsidR="00457D1D" w:rsidRPr="00457D1D">
        <w:t>declaration</w:t>
      </w:r>
      <w:r w:rsidRPr="00457D1D">
        <w:t xml:space="preserve"> binding on the Commissioner as a condition of the cor</w:t>
      </w:r>
      <w:r w:rsidR="00D55DD8" w:rsidRPr="00457D1D">
        <w:t>porate reorganisation which the La Mancha Group</w:t>
      </w:r>
      <w:r w:rsidRPr="00457D1D">
        <w:t xml:space="preserve"> proposed to implement for their own commercial reasons</w:t>
      </w:r>
      <w:r w:rsidR="00D55DD8" w:rsidRPr="00457D1D">
        <w:t>.</w:t>
      </w:r>
      <w:r w:rsidRPr="00457D1D">
        <w:t xml:space="preserve"> </w:t>
      </w:r>
      <w:r w:rsidR="00D55DD8" w:rsidRPr="00457D1D">
        <w:t xml:space="preserve"> It was submitted that this</w:t>
      </w:r>
      <w:r w:rsidRPr="00457D1D">
        <w:t xml:space="preserve"> has had the consequence </w:t>
      </w:r>
      <w:r w:rsidR="000141B3" w:rsidRPr="00457D1D">
        <w:t>that</w:t>
      </w:r>
      <w:r w:rsidRPr="00457D1D">
        <w:t xml:space="preserve"> the Commissioner has been required to engage with the matter and incur costs both to protect his own </w:t>
      </w:r>
      <w:r w:rsidR="000141B3" w:rsidRPr="00457D1D">
        <w:t>interests</w:t>
      </w:r>
      <w:r w:rsidRPr="00457D1D">
        <w:t xml:space="preserve"> and to discharge his duty to assist the Court</w:t>
      </w:r>
      <w:r w:rsidR="00D55DD8" w:rsidRPr="00457D1D">
        <w:t>,</w:t>
      </w:r>
      <w:r w:rsidRPr="00457D1D">
        <w:t xml:space="preserve"> which he would otherwise have had to bear.  The submission put for LMGI </w:t>
      </w:r>
      <w:r w:rsidR="00D55DD8" w:rsidRPr="00457D1D">
        <w:t xml:space="preserve">in this regard was </w:t>
      </w:r>
      <w:r w:rsidRPr="00457D1D">
        <w:t xml:space="preserve">that the Court in the exercise of its discretion to award costs should also take into account </w:t>
      </w:r>
      <w:r w:rsidR="000141B3" w:rsidRPr="00457D1D">
        <w:t>that</w:t>
      </w:r>
      <w:r w:rsidRPr="00457D1D">
        <w:t xml:space="preserve"> the declaration will likely have utility beyond the </w:t>
      </w:r>
      <w:r w:rsidR="000141B3" w:rsidRPr="00457D1D">
        <w:t>interests</w:t>
      </w:r>
      <w:r w:rsidRPr="00457D1D">
        <w:t xml:space="preserve"> of the La Mancha Group and the declaratory relief is </w:t>
      </w:r>
      <w:r w:rsidR="00F57535" w:rsidRPr="00457D1D">
        <w:t xml:space="preserve">one of wider significance to the revenue and the </w:t>
      </w:r>
      <w:r w:rsidR="000141B3" w:rsidRPr="00457D1D">
        <w:t>Commissioner</w:t>
      </w:r>
      <w:r w:rsidR="00F57535" w:rsidRPr="00457D1D">
        <w:t xml:space="preserve"> because it will establish how the law operates for Australian tax law purposes with respect to cross-border mergers of this kind.  The wider public importance of the subject matter of the declaration </w:t>
      </w:r>
      <w:r w:rsidR="006E5664" w:rsidRPr="00457D1D">
        <w:t>can be recognised</w:t>
      </w:r>
      <w:r w:rsidR="00D55DD8" w:rsidRPr="00457D1D">
        <w:t>,</w:t>
      </w:r>
      <w:r w:rsidR="006E5664" w:rsidRPr="00457D1D">
        <w:t xml:space="preserve"> </w:t>
      </w:r>
      <w:r w:rsidR="00F57535" w:rsidRPr="00457D1D">
        <w:t>but I do not think it warrants the Commissioner being deprived of his costs.  As stated, the Commissioner was both a proper and necessary party to the application</w:t>
      </w:r>
      <w:r w:rsidR="000B6C45" w:rsidRPr="00457D1D">
        <w:t>,</w:t>
      </w:r>
      <w:r w:rsidR="00F57535" w:rsidRPr="00457D1D">
        <w:t xml:space="preserve"> both because it was sought to have the declaration binding on the Commissioner and </w:t>
      </w:r>
      <w:r w:rsidR="000141B3" w:rsidRPr="00457D1D">
        <w:t>because</w:t>
      </w:r>
      <w:r w:rsidR="00F57535" w:rsidRPr="00457D1D">
        <w:t xml:space="preserve"> the Commissioner has a true </w:t>
      </w:r>
      <w:r w:rsidR="000141B3" w:rsidRPr="00457D1D">
        <w:t>interest</w:t>
      </w:r>
      <w:r w:rsidR="00F57535" w:rsidRPr="00457D1D">
        <w:t xml:space="preserve"> to oppose t</w:t>
      </w:r>
      <w:r w:rsidR="000B6C45" w:rsidRPr="00457D1D">
        <w:t xml:space="preserve">he declaration sought and is an appropriate </w:t>
      </w:r>
      <w:r w:rsidR="006E5664" w:rsidRPr="00457D1D">
        <w:t>contradictor.  He is entitled to his costs in responding to the application and</w:t>
      </w:r>
      <w:r w:rsidR="00F57535" w:rsidRPr="00457D1D">
        <w:t xml:space="preserve"> there will be an</w:t>
      </w:r>
      <w:r w:rsidR="00F57535">
        <w:t xml:space="preserve"> order that the applicant pay the costs of the first respondent.</w:t>
      </w:r>
    </w:p>
    <w:tbl>
      <w:tblPr>
        <w:tblW w:w="0" w:type="auto"/>
        <w:tblLook w:val="04A0" w:firstRow="1" w:lastRow="0" w:firstColumn="1" w:lastColumn="0" w:noHBand="0" w:noVBand="1"/>
      </w:tblPr>
      <w:tblGrid>
        <w:gridCol w:w="3794"/>
      </w:tblGrid>
      <w:tr w:rsidR="009D2431" w:rsidRPr="009D2431" w14:paraId="55875785" w14:textId="77777777">
        <w:tc>
          <w:tcPr>
            <w:tcW w:w="3794" w:type="dxa"/>
            <w:shd w:val="clear" w:color="auto" w:fill="auto"/>
          </w:tcPr>
          <w:p w14:paraId="54BF9A17" w14:textId="3E43555F" w:rsidR="009D2431" w:rsidRPr="009D2431" w:rsidRDefault="009D2431" w:rsidP="009D2431">
            <w:pPr>
              <w:pStyle w:val="Normal1linespace"/>
            </w:pPr>
            <w:bookmarkStart w:id="24" w:name="Certification"/>
            <w:r w:rsidRPr="009D2431">
              <w:t xml:space="preserve">I certify that the preceding </w:t>
            </w:r>
            <w:bookmarkStart w:id="25" w:name="NumberWord"/>
            <w:r>
              <w:t>thirty-two</w:t>
            </w:r>
            <w:bookmarkEnd w:id="25"/>
            <w:r w:rsidRPr="009D2431">
              <w:t xml:space="preserve"> (</w:t>
            </w:r>
            <w:bookmarkStart w:id="26" w:name="NumberNumeral"/>
            <w:r>
              <w:t>32</w:t>
            </w:r>
            <w:bookmarkEnd w:id="26"/>
            <w:r w:rsidRPr="009D2431">
              <w:t xml:space="preserve">) numbered </w:t>
            </w:r>
            <w:bookmarkStart w:id="27" w:name="CertPara"/>
            <w:r>
              <w:t>paragraphs are</w:t>
            </w:r>
            <w:bookmarkEnd w:id="27"/>
            <w:r w:rsidRPr="009D2431">
              <w:t xml:space="preserve"> a true copy of the Reasons for Judgment of </w:t>
            </w:r>
            <w:bookmarkStart w:id="28" w:name="bkHonourable"/>
            <w:r w:rsidRPr="009D2431">
              <w:t xml:space="preserve">the Honourable </w:t>
            </w:r>
            <w:bookmarkStart w:id="29" w:name="Justice"/>
            <w:bookmarkEnd w:id="28"/>
            <w:r>
              <w:t>Justice Davies</w:t>
            </w:r>
            <w:bookmarkEnd w:id="29"/>
            <w:r w:rsidRPr="009D2431">
              <w:t>.</w:t>
            </w:r>
          </w:p>
        </w:tc>
      </w:tr>
    </w:tbl>
    <w:p w14:paraId="19C44F6B" w14:textId="54FC7822" w:rsidR="009D2431" w:rsidRDefault="009D2431" w:rsidP="00815065">
      <w:pPr>
        <w:pStyle w:val="BodyText"/>
      </w:pPr>
    </w:p>
    <w:p w14:paraId="2D608E3D" w14:textId="6ACA4025" w:rsidR="009D2431" w:rsidRDefault="009D2431" w:rsidP="00815065">
      <w:pPr>
        <w:pStyle w:val="BodyText"/>
      </w:pPr>
      <w:r>
        <w:t>Associate:</w:t>
      </w:r>
      <w:r w:rsidRPr="009D2431">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6C3D97AB" w14:textId="77777777" w:rsidR="009D2431" w:rsidRDefault="009D2431" w:rsidP="00815065">
      <w:pPr>
        <w:pStyle w:val="BodyText"/>
      </w:pPr>
    </w:p>
    <w:p w14:paraId="0F3D6D5C" w14:textId="50C5CA02" w:rsidR="005467AF" w:rsidRDefault="009D2431" w:rsidP="009D2431">
      <w:pPr>
        <w:pStyle w:val="BodyText"/>
        <w:tabs>
          <w:tab w:val="left" w:pos="1134"/>
        </w:tabs>
      </w:pPr>
      <w:r>
        <w:t>Dated:</w:t>
      </w:r>
      <w:r>
        <w:tab/>
      </w:r>
      <w:bookmarkStart w:id="30" w:name="CertifyDated"/>
      <w:r>
        <w:t>16 December 2020</w:t>
      </w:r>
      <w:bookmarkEnd w:id="30"/>
      <w:bookmarkEnd w:id="24"/>
    </w:p>
    <w:sectPr w:rsidR="005467AF" w:rsidSect="00A84FD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F59D" w14:textId="77777777" w:rsidR="00910F81" w:rsidRDefault="00910F81">
      <w:pPr>
        <w:spacing w:line="20" w:lineRule="exact"/>
      </w:pPr>
    </w:p>
    <w:p w14:paraId="6A0690A1" w14:textId="77777777" w:rsidR="00910F81" w:rsidRDefault="00910F81"/>
    <w:p w14:paraId="18E74F6D" w14:textId="77777777" w:rsidR="00910F81" w:rsidRDefault="00910F81"/>
  </w:endnote>
  <w:endnote w:type="continuationSeparator" w:id="0">
    <w:p w14:paraId="08AE0D65" w14:textId="77777777" w:rsidR="00910F81" w:rsidRDefault="00910F81">
      <w:r>
        <w:t xml:space="preserve"> </w:t>
      </w:r>
    </w:p>
    <w:p w14:paraId="18449D1B" w14:textId="77777777" w:rsidR="00910F81" w:rsidRDefault="00910F81"/>
    <w:p w14:paraId="1B4BDE3E" w14:textId="77777777" w:rsidR="00910F81" w:rsidRDefault="00910F81"/>
  </w:endnote>
  <w:endnote w:type="continuationNotice" w:id="1">
    <w:p w14:paraId="4940E527" w14:textId="77777777" w:rsidR="00910F81" w:rsidRDefault="00910F81">
      <w:r>
        <w:t xml:space="preserve"> </w:t>
      </w:r>
    </w:p>
    <w:p w14:paraId="59A3F86F" w14:textId="77777777" w:rsidR="00910F81" w:rsidRDefault="00910F81"/>
    <w:p w14:paraId="027EB06A" w14:textId="77777777" w:rsidR="00910F81" w:rsidRDefault="00910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C329" w14:textId="50E42624" w:rsidR="00910F81" w:rsidRPr="00C47B9D" w:rsidRDefault="00910F8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D6927E3" wp14:editId="662BE42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B336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EDBE1D2E82A40E284B32D054D50D843"/>
        </w:placeholder>
        <w:dataBinding w:prefixMappings="xmlns:ns0='http://schemas.globalmacros.com/FCA'" w:xpath="/ns0:root[1]/ns0:Name[1]" w:storeItemID="{687E7CCB-4AA5-44E7-B148-17BA2B6F57C0}"/>
        <w:text w:multiLine="1"/>
      </w:sdtPr>
      <w:sdtEndPr/>
      <w:sdtContent>
        <w:r w:rsidR="00687CAC">
          <w:rPr>
            <w:bCs/>
            <w:sz w:val="18"/>
            <w:szCs w:val="18"/>
          </w:rPr>
          <w:t xml:space="preserve">La Mancha Group International B.V. v Commissioner of Taxation [2020] FCA 1799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0016">
      <w:rPr>
        <w:bCs/>
        <w:noProof/>
        <w:sz w:val="20"/>
      </w:rPr>
      <w:t>iv</w:t>
    </w:r>
    <w:r w:rsidRPr="00EA7F6D">
      <w:rPr>
        <w:bCs/>
        <w:noProof/>
        <w:sz w:val="20"/>
      </w:rPr>
      <w:fldChar w:fldCharType="end"/>
    </w:r>
  </w:p>
  <w:p w14:paraId="79F0C758" w14:textId="4227584C" w:rsidR="00910F81" w:rsidRPr="00A84FD0" w:rsidRDefault="00910F81" w:rsidP="00A84FD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BE1E" w14:textId="1674AC3F" w:rsidR="00910F81" w:rsidRPr="00C47B9D" w:rsidRDefault="00910F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CDC0727" wp14:editId="600B475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575D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4B81E0494D943599015ED3BC520DF89"/>
        </w:placeholder>
        <w:dataBinding w:prefixMappings="xmlns:ns0='http://schemas.globalmacros.com/FCA'" w:xpath="/ns0:root[1]/ns0:Name[1]" w:storeItemID="{687E7CCB-4AA5-44E7-B148-17BA2B6F57C0}"/>
        <w:text w:multiLine="1"/>
      </w:sdtPr>
      <w:sdtEndPr/>
      <w:sdtContent>
        <w:r w:rsidR="00687CAC">
          <w:rPr>
            <w:bCs/>
            <w:sz w:val="18"/>
            <w:szCs w:val="18"/>
          </w:rPr>
          <w:t xml:space="preserve">La Mancha Group International B.V. v Commissioner of Taxation [2020] FCA 1799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0016">
      <w:rPr>
        <w:bCs/>
        <w:noProof/>
        <w:sz w:val="20"/>
      </w:rPr>
      <w:t>i</w:t>
    </w:r>
    <w:r w:rsidRPr="00EA7F6D">
      <w:rPr>
        <w:bCs/>
        <w:noProof/>
        <w:sz w:val="20"/>
      </w:rPr>
      <w:fldChar w:fldCharType="end"/>
    </w:r>
  </w:p>
  <w:p w14:paraId="59F6566B" w14:textId="6197FBE6" w:rsidR="00910F81" w:rsidRPr="00A436E8" w:rsidRDefault="00910F81"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F174" w14:textId="2B45A02D" w:rsidR="00910F81" w:rsidRPr="00C47B9D" w:rsidRDefault="00910F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BBCF58E" wp14:editId="0B25025C">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267B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31FE7ED031D4545BAB28EB4FD7C1D19"/>
        </w:placeholder>
        <w:dataBinding w:prefixMappings="xmlns:ns0='http://schemas.globalmacros.com/FCA'" w:xpath="/ns0:root[1]/ns0:Name[1]" w:storeItemID="{687E7CCB-4AA5-44E7-B148-17BA2B6F57C0}"/>
        <w:text w:multiLine="1"/>
      </w:sdtPr>
      <w:sdtEndPr/>
      <w:sdtContent>
        <w:r w:rsidR="00687CAC">
          <w:rPr>
            <w:bCs/>
            <w:sz w:val="18"/>
            <w:szCs w:val="18"/>
          </w:rPr>
          <w:t xml:space="preserve">La Mancha Group International B.V. v Commissioner of Taxation [2020] FCA 1799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0016">
      <w:rPr>
        <w:bCs/>
        <w:noProof/>
        <w:sz w:val="20"/>
      </w:rPr>
      <w:t>12</w:t>
    </w:r>
    <w:r w:rsidRPr="00EA7F6D">
      <w:rPr>
        <w:bCs/>
        <w:noProof/>
        <w:sz w:val="20"/>
      </w:rPr>
      <w:fldChar w:fldCharType="end"/>
    </w:r>
  </w:p>
  <w:p w14:paraId="5D629BA6" w14:textId="04FB5D2C" w:rsidR="00910F81" w:rsidRPr="00A84FD0" w:rsidRDefault="00910F81" w:rsidP="00A84FD0">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6660" w14:textId="0592AF17" w:rsidR="00910F81" w:rsidRPr="00C47B9D" w:rsidRDefault="00910F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5D8389F" wp14:editId="73010440">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7203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2CA9203BC0548AA925B48F76897B39B"/>
        </w:placeholder>
        <w:dataBinding w:prefixMappings="xmlns:ns0='http://schemas.globalmacros.com/FCA'" w:xpath="/ns0:root[1]/ns0:Name[1]" w:storeItemID="{687E7CCB-4AA5-44E7-B148-17BA2B6F57C0}"/>
        <w:text w:multiLine="1"/>
      </w:sdtPr>
      <w:sdtEndPr/>
      <w:sdtContent>
        <w:r w:rsidR="00687CAC">
          <w:rPr>
            <w:bCs/>
            <w:sz w:val="18"/>
            <w:szCs w:val="18"/>
          </w:rPr>
          <w:t xml:space="preserve">La Mancha Group International B.V. v Commissioner of Taxation [2020] FCA 1799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0016">
      <w:rPr>
        <w:bCs/>
        <w:noProof/>
        <w:sz w:val="20"/>
      </w:rPr>
      <w:t>1</w:t>
    </w:r>
    <w:r w:rsidRPr="00EA7F6D">
      <w:rPr>
        <w:bCs/>
        <w:noProof/>
        <w:sz w:val="20"/>
      </w:rPr>
      <w:fldChar w:fldCharType="end"/>
    </w:r>
  </w:p>
  <w:p w14:paraId="19563B22" w14:textId="74668E17" w:rsidR="00910F81" w:rsidRPr="00A84FD0" w:rsidRDefault="00910F81"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AE64" w14:textId="77777777" w:rsidR="00910F81" w:rsidRDefault="00910F81"/>
    <w:p w14:paraId="24D1F70A" w14:textId="77777777" w:rsidR="00910F81" w:rsidRDefault="00910F81"/>
    <w:p w14:paraId="25FF03C4" w14:textId="77777777" w:rsidR="00910F81" w:rsidRDefault="00910F81"/>
  </w:footnote>
  <w:footnote w:type="continuationSeparator" w:id="0">
    <w:p w14:paraId="1129B743" w14:textId="77777777" w:rsidR="00910F81" w:rsidRDefault="00910F81">
      <w:r>
        <w:continuationSeparator/>
      </w:r>
    </w:p>
    <w:p w14:paraId="08684CC0" w14:textId="77777777" w:rsidR="00910F81" w:rsidRDefault="00910F81"/>
    <w:p w14:paraId="24551933" w14:textId="77777777" w:rsidR="00910F81" w:rsidRDefault="00910F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826A" w14:textId="77777777" w:rsidR="00910F81" w:rsidRDefault="00910F8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BEA0" w14:textId="77777777" w:rsidR="00910F81" w:rsidRDefault="00910F8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8E67" w14:textId="77777777" w:rsidR="00910F81" w:rsidRDefault="00910F8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501E" w14:textId="77777777" w:rsidR="00910F81" w:rsidRDefault="00910F8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6919" w14:textId="77777777" w:rsidR="00910F81" w:rsidRDefault="00910F8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E9B0B81E"/>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57E8EAF4"/>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0AC51DD"/>
    <w:multiLevelType w:val="hybridMultilevel"/>
    <w:tmpl w:val="E548B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lvlOverride w:ilvl="1">
      <w:lvl w:ilvl="1">
        <w:start w:val="1"/>
        <w:numFmt w:val="lowerLetter"/>
        <w:pStyle w:val="Order2"/>
        <w:lvlText w:val="(%2)"/>
        <w:lvlJc w:val="left"/>
        <w:pPr>
          <w:tabs>
            <w:tab w:val="num" w:pos="1440"/>
          </w:tabs>
          <w:ind w:left="1440" w:hanging="720"/>
        </w:pPr>
        <w:rPr>
          <w:rFonts w:hint="default"/>
          <w:strike w:val="0"/>
        </w:rPr>
      </w:lvl>
    </w:lvlOverride>
  </w:num>
  <w:num w:numId="22">
    <w:abstractNumId w:val="16"/>
  </w:num>
  <w:num w:numId="23">
    <w:abstractNumId w:val="19"/>
  </w:num>
  <w:num w:numId="24">
    <w:abstractNumId w:val="10"/>
  </w:num>
  <w:num w:numId="25">
    <w:abstractNumId w:val="10"/>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8"/>
  </w:num>
  <w:num w:numId="31">
    <w:abstractNumId w:val="15"/>
  </w:num>
  <w:num w:numId="32">
    <w:abstractNumId w:val="15"/>
    <w:lvlOverride w:ilvl="1">
      <w:lvl w:ilvl="1">
        <w:start w:val="1"/>
        <w:numFmt w:val="lowerLetter"/>
        <w:pStyle w:val="Order2"/>
        <w:lvlText w:val="(%2)"/>
        <w:lvlJc w:val="left"/>
        <w:pPr>
          <w:tabs>
            <w:tab w:val="num" w:pos="1440"/>
          </w:tabs>
          <w:ind w:left="1440" w:hanging="720"/>
        </w:pPr>
        <w:rPr>
          <w:rFonts w:hint="default"/>
          <w:strike w:val="0"/>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La Mancha Group International B.V."/>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243 of 2020"/>
    <w:docVar w:name="grpRadioJudges" w:val="Justice"/>
    <w:docVar w:name="Initiators" w:val="(and another named in the Schedule)"/>
    <w:docVar w:name="Judgdate" w:val="16 December 2020"/>
    <w:docVar w:name="Judge" w:val="DAVIES"/>
    <w:docVar w:name="lstEntryList" w:val="-1"/>
    <w:docVar w:name="myEntryList" w:val="Counsel for the Applicant=Mr J Gleeson SC with Ms F Roughley|Solicitor for the Applicant=Clayton Utz|Counsel for the First Respondent=Mr M O'Meara SC with Mr M Cosgrove|Solicitor for the First Respondent=Australian Government Solicito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adioJudge" w:val="False"/>
    <w:docVar w:name="RadioJustice" w:val="True"/>
    <w:docVar w:name="RadioJustices" w:val="False"/>
    <w:docVar w:name="RESAndAnother" w:val="True"/>
    <w:docVar w:name="RESAndOthers" w:val="False"/>
    <w:docVar w:name="Respondent" w:val="Commissioner of Taxation|LA MANCHA AFRICA S.à r.l."/>
    <w:docVar w:name="ResState" w:val="Victoria"/>
    <w:docVar w:name="SubArea" w:val="[none]"/>
  </w:docVars>
  <w:rsids>
    <w:rsidRoot w:val="00E64007"/>
    <w:rsid w:val="00000747"/>
    <w:rsid w:val="00001D82"/>
    <w:rsid w:val="000115C5"/>
    <w:rsid w:val="000141B3"/>
    <w:rsid w:val="0001469E"/>
    <w:rsid w:val="00015993"/>
    <w:rsid w:val="0002002A"/>
    <w:rsid w:val="00021CCB"/>
    <w:rsid w:val="00022289"/>
    <w:rsid w:val="00023853"/>
    <w:rsid w:val="00025199"/>
    <w:rsid w:val="00026EEE"/>
    <w:rsid w:val="00027398"/>
    <w:rsid w:val="0003201A"/>
    <w:rsid w:val="0003207A"/>
    <w:rsid w:val="00032F9F"/>
    <w:rsid w:val="000373F8"/>
    <w:rsid w:val="00041C07"/>
    <w:rsid w:val="00045BB7"/>
    <w:rsid w:val="000536B8"/>
    <w:rsid w:val="00055719"/>
    <w:rsid w:val="0005588C"/>
    <w:rsid w:val="0005641B"/>
    <w:rsid w:val="0006196A"/>
    <w:rsid w:val="0006655A"/>
    <w:rsid w:val="00072ABB"/>
    <w:rsid w:val="00075A05"/>
    <w:rsid w:val="00081497"/>
    <w:rsid w:val="000842B7"/>
    <w:rsid w:val="00085255"/>
    <w:rsid w:val="000A2E76"/>
    <w:rsid w:val="000A4807"/>
    <w:rsid w:val="000A4BE4"/>
    <w:rsid w:val="000B6C45"/>
    <w:rsid w:val="000C023E"/>
    <w:rsid w:val="000C3CC1"/>
    <w:rsid w:val="000C5195"/>
    <w:rsid w:val="000C5B33"/>
    <w:rsid w:val="000C62EF"/>
    <w:rsid w:val="000D2137"/>
    <w:rsid w:val="000D3FD2"/>
    <w:rsid w:val="000D4B2E"/>
    <w:rsid w:val="000E0A02"/>
    <w:rsid w:val="000E3FC8"/>
    <w:rsid w:val="000E7BAE"/>
    <w:rsid w:val="000F0016"/>
    <w:rsid w:val="000F1192"/>
    <w:rsid w:val="000F133D"/>
    <w:rsid w:val="0010536B"/>
    <w:rsid w:val="001076DF"/>
    <w:rsid w:val="0011145C"/>
    <w:rsid w:val="001128BD"/>
    <w:rsid w:val="0011419D"/>
    <w:rsid w:val="00114B02"/>
    <w:rsid w:val="00115E99"/>
    <w:rsid w:val="001226C0"/>
    <w:rsid w:val="0012491B"/>
    <w:rsid w:val="00126823"/>
    <w:rsid w:val="00126EC8"/>
    <w:rsid w:val="0012731C"/>
    <w:rsid w:val="00132054"/>
    <w:rsid w:val="001347A4"/>
    <w:rsid w:val="00134964"/>
    <w:rsid w:val="001351B9"/>
    <w:rsid w:val="001471D1"/>
    <w:rsid w:val="00155CD2"/>
    <w:rsid w:val="00162BB7"/>
    <w:rsid w:val="00164900"/>
    <w:rsid w:val="001701A8"/>
    <w:rsid w:val="001727A4"/>
    <w:rsid w:val="0017376C"/>
    <w:rsid w:val="001738AB"/>
    <w:rsid w:val="001765E0"/>
    <w:rsid w:val="00177759"/>
    <w:rsid w:val="00180BB3"/>
    <w:rsid w:val="00185E6B"/>
    <w:rsid w:val="00187BBC"/>
    <w:rsid w:val="001924EA"/>
    <w:rsid w:val="001932F3"/>
    <w:rsid w:val="00196FF1"/>
    <w:rsid w:val="001A2B40"/>
    <w:rsid w:val="001A4309"/>
    <w:rsid w:val="001A46AE"/>
    <w:rsid w:val="001A6C52"/>
    <w:rsid w:val="001B1053"/>
    <w:rsid w:val="001B14AC"/>
    <w:rsid w:val="001B389B"/>
    <w:rsid w:val="001B7940"/>
    <w:rsid w:val="001C171A"/>
    <w:rsid w:val="001C37CA"/>
    <w:rsid w:val="001C4085"/>
    <w:rsid w:val="001D3F31"/>
    <w:rsid w:val="001D4303"/>
    <w:rsid w:val="001D4F7E"/>
    <w:rsid w:val="001D6746"/>
    <w:rsid w:val="001D7395"/>
    <w:rsid w:val="001E3B49"/>
    <w:rsid w:val="001E4A05"/>
    <w:rsid w:val="001E7388"/>
    <w:rsid w:val="001F13DD"/>
    <w:rsid w:val="001F2473"/>
    <w:rsid w:val="001F2DBC"/>
    <w:rsid w:val="001F73E8"/>
    <w:rsid w:val="002000FD"/>
    <w:rsid w:val="0020262C"/>
    <w:rsid w:val="00204C07"/>
    <w:rsid w:val="00211A3E"/>
    <w:rsid w:val="00215617"/>
    <w:rsid w:val="00215BCA"/>
    <w:rsid w:val="00216C17"/>
    <w:rsid w:val="00217AC4"/>
    <w:rsid w:val="00221461"/>
    <w:rsid w:val="00224537"/>
    <w:rsid w:val="00235956"/>
    <w:rsid w:val="002435F6"/>
    <w:rsid w:val="00243E5E"/>
    <w:rsid w:val="00247C9A"/>
    <w:rsid w:val="0025160C"/>
    <w:rsid w:val="002535D0"/>
    <w:rsid w:val="002539B3"/>
    <w:rsid w:val="00256336"/>
    <w:rsid w:val="00257C3E"/>
    <w:rsid w:val="002602C2"/>
    <w:rsid w:val="00265EB5"/>
    <w:rsid w:val="002666C9"/>
    <w:rsid w:val="0027005B"/>
    <w:rsid w:val="00270136"/>
    <w:rsid w:val="00270FD7"/>
    <w:rsid w:val="0027127C"/>
    <w:rsid w:val="00274F5B"/>
    <w:rsid w:val="0027521D"/>
    <w:rsid w:val="00280836"/>
    <w:rsid w:val="0028114B"/>
    <w:rsid w:val="002813F0"/>
    <w:rsid w:val="00282E1A"/>
    <w:rsid w:val="002840F1"/>
    <w:rsid w:val="002909A1"/>
    <w:rsid w:val="0029113B"/>
    <w:rsid w:val="002934C0"/>
    <w:rsid w:val="0029764C"/>
    <w:rsid w:val="002A1B50"/>
    <w:rsid w:val="002A4822"/>
    <w:rsid w:val="002A6C1F"/>
    <w:rsid w:val="002B03EB"/>
    <w:rsid w:val="002B0E91"/>
    <w:rsid w:val="002B132C"/>
    <w:rsid w:val="002B3F23"/>
    <w:rsid w:val="002B4EB5"/>
    <w:rsid w:val="002B6779"/>
    <w:rsid w:val="002B71C0"/>
    <w:rsid w:val="002B7A34"/>
    <w:rsid w:val="002B7E08"/>
    <w:rsid w:val="002C009E"/>
    <w:rsid w:val="002C31AD"/>
    <w:rsid w:val="002C630D"/>
    <w:rsid w:val="002C7385"/>
    <w:rsid w:val="002D2DBB"/>
    <w:rsid w:val="002D37D8"/>
    <w:rsid w:val="002D52A8"/>
    <w:rsid w:val="002D54A6"/>
    <w:rsid w:val="002E5BF9"/>
    <w:rsid w:val="002E6A7A"/>
    <w:rsid w:val="002F1E49"/>
    <w:rsid w:val="002F28EC"/>
    <w:rsid w:val="002F4E9C"/>
    <w:rsid w:val="00302F4E"/>
    <w:rsid w:val="0031256C"/>
    <w:rsid w:val="00314D6C"/>
    <w:rsid w:val="00316D2A"/>
    <w:rsid w:val="00322A7C"/>
    <w:rsid w:val="00322EEC"/>
    <w:rsid w:val="00323061"/>
    <w:rsid w:val="00324041"/>
    <w:rsid w:val="0032458C"/>
    <w:rsid w:val="003337D8"/>
    <w:rsid w:val="003353B4"/>
    <w:rsid w:val="003402D3"/>
    <w:rsid w:val="00343ABC"/>
    <w:rsid w:val="003463FE"/>
    <w:rsid w:val="00347D41"/>
    <w:rsid w:val="00347E98"/>
    <w:rsid w:val="00350309"/>
    <w:rsid w:val="003554B3"/>
    <w:rsid w:val="00356632"/>
    <w:rsid w:val="00357C7E"/>
    <w:rsid w:val="003623F7"/>
    <w:rsid w:val="003653B6"/>
    <w:rsid w:val="00374363"/>
    <w:rsid w:val="00374CC4"/>
    <w:rsid w:val="003774B2"/>
    <w:rsid w:val="00380F2D"/>
    <w:rsid w:val="00382396"/>
    <w:rsid w:val="003845A9"/>
    <w:rsid w:val="003850C9"/>
    <w:rsid w:val="00390883"/>
    <w:rsid w:val="003922F8"/>
    <w:rsid w:val="00393F72"/>
    <w:rsid w:val="00395B24"/>
    <w:rsid w:val="003978DE"/>
    <w:rsid w:val="003A0107"/>
    <w:rsid w:val="003A2D38"/>
    <w:rsid w:val="003A6536"/>
    <w:rsid w:val="003A7ECC"/>
    <w:rsid w:val="003B2C72"/>
    <w:rsid w:val="003B3FE0"/>
    <w:rsid w:val="003B4506"/>
    <w:rsid w:val="003B58B4"/>
    <w:rsid w:val="003B67B3"/>
    <w:rsid w:val="003B6F70"/>
    <w:rsid w:val="003C0B0B"/>
    <w:rsid w:val="003C1333"/>
    <w:rsid w:val="003C20FF"/>
    <w:rsid w:val="003C550A"/>
    <w:rsid w:val="003C6055"/>
    <w:rsid w:val="003C6BBE"/>
    <w:rsid w:val="003D2650"/>
    <w:rsid w:val="003D560C"/>
    <w:rsid w:val="003D5C00"/>
    <w:rsid w:val="003D69BE"/>
    <w:rsid w:val="003E3154"/>
    <w:rsid w:val="003E5874"/>
    <w:rsid w:val="003E72D3"/>
    <w:rsid w:val="003F193E"/>
    <w:rsid w:val="003F242C"/>
    <w:rsid w:val="003F34F1"/>
    <w:rsid w:val="003F51A0"/>
    <w:rsid w:val="004104B6"/>
    <w:rsid w:val="00411AE8"/>
    <w:rsid w:val="00413B74"/>
    <w:rsid w:val="004342F3"/>
    <w:rsid w:val="00435C5F"/>
    <w:rsid w:val="00436155"/>
    <w:rsid w:val="00441E98"/>
    <w:rsid w:val="00450F3A"/>
    <w:rsid w:val="004532F7"/>
    <w:rsid w:val="00456030"/>
    <w:rsid w:val="00457D1D"/>
    <w:rsid w:val="00464D51"/>
    <w:rsid w:val="00472027"/>
    <w:rsid w:val="00477EC6"/>
    <w:rsid w:val="00477F81"/>
    <w:rsid w:val="004804CF"/>
    <w:rsid w:val="00480F69"/>
    <w:rsid w:val="00484962"/>
    <w:rsid w:val="00484F6D"/>
    <w:rsid w:val="00484FB7"/>
    <w:rsid w:val="0048554D"/>
    <w:rsid w:val="0049338A"/>
    <w:rsid w:val="0049417F"/>
    <w:rsid w:val="00496D41"/>
    <w:rsid w:val="00497BD9"/>
    <w:rsid w:val="004A6602"/>
    <w:rsid w:val="004B3EFA"/>
    <w:rsid w:val="004C1F2A"/>
    <w:rsid w:val="004C2A87"/>
    <w:rsid w:val="004C4D7B"/>
    <w:rsid w:val="004C4ED3"/>
    <w:rsid w:val="004C667B"/>
    <w:rsid w:val="004C7ECD"/>
    <w:rsid w:val="004D0191"/>
    <w:rsid w:val="004D2EA5"/>
    <w:rsid w:val="004D32A6"/>
    <w:rsid w:val="004D53E5"/>
    <w:rsid w:val="004E6DC4"/>
    <w:rsid w:val="004E715C"/>
    <w:rsid w:val="004F21C1"/>
    <w:rsid w:val="00501A12"/>
    <w:rsid w:val="0050309C"/>
    <w:rsid w:val="0051327C"/>
    <w:rsid w:val="0051346D"/>
    <w:rsid w:val="00513EAE"/>
    <w:rsid w:val="0051434F"/>
    <w:rsid w:val="00514400"/>
    <w:rsid w:val="00514D1D"/>
    <w:rsid w:val="00516806"/>
    <w:rsid w:val="0052098C"/>
    <w:rsid w:val="00525A49"/>
    <w:rsid w:val="005262D1"/>
    <w:rsid w:val="00530876"/>
    <w:rsid w:val="00535613"/>
    <w:rsid w:val="005359EB"/>
    <w:rsid w:val="0054254A"/>
    <w:rsid w:val="0054500B"/>
    <w:rsid w:val="005466B5"/>
    <w:rsid w:val="005467AF"/>
    <w:rsid w:val="00546A53"/>
    <w:rsid w:val="0055024F"/>
    <w:rsid w:val="00552F66"/>
    <w:rsid w:val="00553A76"/>
    <w:rsid w:val="00554314"/>
    <w:rsid w:val="00562179"/>
    <w:rsid w:val="00562829"/>
    <w:rsid w:val="005629B3"/>
    <w:rsid w:val="00563BB4"/>
    <w:rsid w:val="00565A4D"/>
    <w:rsid w:val="005724F6"/>
    <w:rsid w:val="00573AC4"/>
    <w:rsid w:val="005801FC"/>
    <w:rsid w:val="00581F65"/>
    <w:rsid w:val="00585BA9"/>
    <w:rsid w:val="00587359"/>
    <w:rsid w:val="00591434"/>
    <w:rsid w:val="00595016"/>
    <w:rsid w:val="00597AAE"/>
    <w:rsid w:val="005A222C"/>
    <w:rsid w:val="005A4DF8"/>
    <w:rsid w:val="005A78C8"/>
    <w:rsid w:val="005B1426"/>
    <w:rsid w:val="005B3052"/>
    <w:rsid w:val="005B4CEA"/>
    <w:rsid w:val="005C0A8E"/>
    <w:rsid w:val="005C1767"/>
    <w:rsid w:val="005C185C"/>
    <w:rsid w:val="005C42EF"/>
    <w:rsid w:val="005D0444"/>
    <w:rsid w:val="005D5411"/>
    <w:rsid w:val="005D5C65"/>
    <w:rsid w:val="005E02F5"/>
    <w:rsid w:val="005E0510"/>
    <w:rsid w:val="005E099A"/>
    <w:rsid w:val="005E176E"/>
    <w:rsid w:val="005E218E"/>
    <w:rsid w:val="005E35A0"/>
    <w:rsid w:val="005F0D1B"/>
    <w:rsid w:val="005F1865"/>
    <w:rsid w:val="006007BD"/>
    <w:rsid w:val="006013C8"/>
    <w:rsid w:val="006018A1"/>
    <w:rsid w:val="0060270D"/>
    <w:rsid w:val="00603D61"/>
    <w:rsid w:val="00604611"/>
    <w:rsid w:val="00607869"/>
    <w:rsid w:val="00611586"/>
    <w:rsid w:val="00612D26"/>
    <w:rsid w:val="00615855"/>
    <w:rsid w:val="00616539"/>
    <w:rsid w:val="00620DA8"/>
    <w:rsid w:val="00620E93"/>
    <w:rsid w:val="00621887"/>
    <w:rsid w:val="00624520"/>
    <w:rsid w:val="00625938"/>
    <w:rsid w:val="006271F5"/>
    <w:rsid w:val="00632300"/>
    <w:rsid w:val="00632BB7"/>
    <w:rsid w:val="00635B36"/>
    <w:rsid w:val="00636871"/>
    <w:rsid w:val="00640EE1"/>
    <w:rsid w:val="00640F4E"/>
    <w:rsid w:val="00643DE0"/>
    <w:rsid w:val="0064437D"/>
    <w:rsid w:val="00644E85"/>
    <w:rsid w:val="006459CE"/>
    <w:rsid w:val="00645C60"/>
    <w:rsid w:val="00652C52"/>
    <w:rsid w:val="00660016"/>
    <w:rsid w:val="0066063F"/>
    <w:rsid w:val="00660DE1"/>
    <w:rsid w:val="00662BB0"/>
    <w:rsid w:val="00662C0C"/>
    <w:rsid w:val="00663878"/>
    <w:rsid w:val="0066498E"/>
    <w:rsid w:val="00667773"/>
    <w:rsid w:val="00670743"/>
    <w:rsid w:val="00677653"/>
    <w:rsid w:val="00680A85"/>
    <w:rsid w:val="00681ADF"/>
    <w:rsid w:val="0068546F"/>
    <w:rsid w:val="00687CAC"/>
    <w:rsid w:val="006905D3"/>
    <w:rsid w:val="006905EC"/>
    <w:rsid w:val="00690EE2"/>
    <w:rsid w:val="00692C1A"/>
    <w:rsid w:val="00693854"/>
    <w:rsid w:val="00694BEB"/>
    <w:rsid w:val="00696C47"/>
    <w:rsid w:val="006A0E20"/>
    <w:rsid w:val="006A24E3"/>
    <w:rsid w:val="006A4F69"/>
    <w:rsid w:val="006A5223"/>
    <w:rsid w:val="006A5695"/>
    <w:rsid w:val="006B0439"/>
    <w:rsid w:val="006B3904"/>
    <w:rsid w:val="006B5B7D"/>
    <w:rsid w:val="006B5EFC"/>
    <w:rsid w:val="006C4F0C"/>
    <w:rsid w:val="006C5B46"/>
    <w:rsid w:val="006C6E39"/>
    <w:rsid w:val="006D0ECF"/>
    <w:rsid w:val="006D3D5B"/>
    <w:rsid w:val="006D4BBA"/>
    <w:rsid w:val="006D4C92"/>
    <w:rsid w:val="006D4EB6"/>
    <w:rsid w:val="006D5FF9"/>
    <w:rsid w:val="006E35BF"/>
    <w:rsid w:val="006E5664"/>
    <w:rsid w:val="006E7850"/>
    <w:rsid w:val="006F46D6"/>
    <w:rsid w:val="00700106"/>
    <w:rsid w:val="00700C57"/>
    <w:rsid w:val="007028D9"/>
    <w:rsid w:val="00707218"/>
    <w:rsid w:val="00710D04"/>
    <w:rsid w:val="0071225B"/>
    <w:rsid w:val="00712B1D"/>
    <w:rsid w:val="00715751"/>
    <w:rsid w:val="00716790"/>
    <w:rsid w:val="007171BA"/>
    <w:rsid w:val="00717616"/>
    <w:rsid w:val="007177DC"/>
    <w:rsid w:val="00724957"/>
    <w:rsid w:val="007321EB"/>
    <w:rsid w:val="007325D9"/>
    <w:rsid w:val="0073503F"/>
    <w:rsid w:val="0073583B"/>
    <w:rsid w:val="007360CA"/>
    <w:rsid w:val="00742F20"/>
    <w:rsid w:val="0074667B"/>
    <w:rsid w:val="007470BD"/>
    <w:rsid w:val="00760EC0"/>
    <w:rsid w:val="0076270B"/>
    <w:rsid w:val="007711BD"/>
    <w:rsid w:val="00771F9A"/>
    <w:rsid w:val="00774AD8"/>
    <w:rsid w:val="007753F5"/>
    <w:rsid w:val="0078003A"/>
    <w:rsid w:val="00780771"/>
    <w:rsid w:val="00781F36"/>
    <w:rsid w:val="007929CF"/>
    <w:rsid w:val="007A166C"/>
    <w:rsid w:val="007A3DA7"/>
    <w:rsid w:val="007A49E7"/>
    <w:rsid w:val="007A503E"/>
    <w:rsid w:val="007A6F28"/>
    <w:rsid w:val="007B03C6"/>
    <w:rsid w:val="007B0DB1"/>
    <w:rsid w:val="007B2C11"/>
    <w:rsid w:val="007B36C7"/>
    <w:rsid w:val="007B4A0E"/>
    <w:rsid w:val="007B5673"/>
    <w:rsid w:val="007B7238"/>
    <w:rsid w:val="007B76FF"/>
    <w:rsid w:val="007C3690"/>
    <w:rsid w:val="007C3BF6"/>
    <w:rsid w:val="007C67B3"/>
    <w:rsid w:val="007D0FD2"/>
    <w:rsid w:val="007D2EF8"/>
    <w:rsid w:val="007D3134"/>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223D"/>
    <w:rsid w:val="008068AA"/>
    <w:rsid w:val="0080769D"/>
    <w:rsid w:val="00810018"/>
    <w:rsid w:val="008216E7"/>
    <w:rsid w:val="00825BE6"/>
    <w:rsid w:val="008276B4"/>
    <w:rsid w:val="00831927"/>
    <w:rsid w:val="00836FE6"/>
    <w:rsid w:val="00837288"/>
    <w:rsid w:val="00840503"/>
    <w:rsid w:val="00841BD3"/>
    <w:rsid w:val="0084273D"/>
    <w:rsid w:val="00844E3F"/>
    <w:rsid w:val="00845A83"/>
    <w:rsid w:val="00846011"/>
    <w:rsid w:val="00846BB9"/>
    <w:rsid w:val="00850678"/>
    <w:rsid w:val="008631AD"/>
    <w:rsid w:val="0086430C"/>
    <w:rsid w:val="008649D5"/>
    <w:rsid w:val="008671D9"/>
    <w:rsid w:val="008712BB"/>
    <w:rsid w:val="00872852"/>
    <w:rsid w:val="00876029"/>
    <w:rsid w:val="008830E7"/>
    <w:rsid w:val="00890EDE"/>
    <w:rsid w:val="00892B38"/>
    <w:rsid w:val="008A1741"/>
    <w:rsid w:val="008A2484"/>
    <w:rsid w:val="008A52F3"/>
    <w:rsid w:val="008A74A4"/>
    <w:rsid w:val="008B34D5"/>
    <w:rsid w:val="008C26D9"/>
    <w:rsid w:val="008C2B73"/>
    <w:rsid w:val="008C49AE"/>
    <w:rsid w:val="008C6D50"/>
    <w:rsid w:val="008C7167"/>
    <w:rsid w:val="008C7503"/>
    <w:rsid w:val="008D1617"/>
    <w:rsid w:val="008D1FC1"/>
    <w:rsid w:val="008D330F"/>
    <w:rsid w:val="008D48C1"/>
    <w:rsid w:val="008E6315"/>
    <w:rsid w:val="008F07FC"/>
    <w:rsid w:val="008F11E0"/>
    <w:rsid w:val="008F20B1"/>
    <w:rsid w:val="008F3EA7"/>
    <w:rsid w:val="008F78BC"/>
    <w:rsid w:val="008F7B63"/>
    <w:rsid w:val="008F7D6A"/>
    <w:rsid w:val="00901C86"/>
    <w:rsid w:val="00903603"/>
    <w:rsid w:val="00904911"/>
    <w:rsid w:val="009054CB"/>
    <w:rsid w:val="00910F81"/>
    <w:rsid w:val="00911F8D"/>
    <w:rsid w:val="00912F94"/>
    <w:rsid w:val="009171BC"/>
    <w:rsid w:val="0092497E"/>
    <w:rsid w:val="0092590B"/>
    <w:rsid w:val="00925BF3"/>
    <w:rsid w:val="00925E60"/>
    <w:rsid w:val="009264B3"/>
    <w:rsid w:val="00935016"/>
    <w:rsid w:val="009365E0"/>
    <w:rsid w:val="009367D4"/>
    <w:rsid w:val="009416A1"/>
    <w:rsid w:val="00942BA2"/>
    <w:rsid w:val="009432B7"/>
    <w:rsid w:val="00944C86"/>
    <w:rsid w:val="00947C02"/>
    <w:rsid w:val="00950BE6"/>
    <w:rsid w:val="00954B27"/>
    <w:rsid w:val="00957DE8"/>
    <w:rsid w:val="00960ECB"/>
    <w:rsid w:val="009615D6"/>
    <w:rsid w:val="00967855"/>
    <w:rsid w:val="00974709"/>
    <w:rsid w:val="00980736"/>
    <w:rsid w:val="00981A39"/>
    <w:rsid w:val="00982D56"/>
    <w:rsid w:val="009836D7"/>
    <w:rsid w:val="00983DBF"/>
    <w:rsid w:val="00986780"/>
    <w:rsid w:val="00987097"/>
    <w:rsid w:val="00990AA6"/>
    <w:rsid w:val="00991123"/>
    <w:rsid w:val="00991CAB"/>
    <w:rsid w:val="009978B3"/>
    <w:rsid w:val="009A3A9C"/>
    <w:rsid w:val="009A4FD4"/>
    <w:rsid w:val="009B046C"/>
    <w:rsid w:val="009B13FA"/>
    <w:rsid w:val="009B1E2D"/>
    <w:rsid w:val="009B5852"/>
    <w:rsid w:val="009C0A01"/>
    <w:rsid w:val="009C4279"/>
    <w:rsid w:val="009C59FB"/>
    <w:rsid w:val="009C6F3B"/>
    <w:rsid w:val="009D1467"/>
    <w:rsid w:val="009D2431"/>
    <w:rsid w:val="009E1E82"/>
    <w:rsid w:val="009E4FA6"/>
    <w:rsid w:val="009E7D93"/>
    <w:rsid w:val="009F3555"/>
    <w:rsid w:val="009F3C34"/>
    <w:rsid w:val="009F42AD"/>
    <w:rsid w:val="009F462C"/>
    <w:rsid w:val="009F5C33"/>
    <w:rsid w:val="00A026F0"/>
    <w:rsid w:val="00A03EAC"/>
    <w:rsid w:val="00A04DBB"/>
    <w:rsid w:val="00A07EA0"/>
    <w:rsid w:val="00A104F0"/>
    <w:rsid w:val="00A10DF3"/>
    <w:rsid w:val="00A11CA6"/>
    <w:rsid w:val="00A11EFB"/>
    <w:rsid w:val="00A129A9"/>
    <w:rsid w:val="00A2034D"/>
    <w:rsid w:val="00A20C49"/>
    <w:rsid w:val="00A20F59"/>
    <w:rsid w:val="00A22932"/>
    <w:rsid w:val="00A252C6"/>
    <w:rsid w:val="00A26460"/>
    <w:rsid w:val="00A269CA"/>
    <w:rsid w:val="00A32133"/>
    <w:rsid w:val="00A336EE"/>
    <w:rsid w:val="00A33F46"/>
    <w:rsid w:val="00A3427E"/>
    <w:rsid w:val="00A359AC"/>
    <w:rsid w:val="00A364BF"/>
    <w:rsid w:val="00A40F83"/>
    <w:rsid w:val="00A410FB"/>
    <w:rsid w:val="00A41413"/>
    <w:rsid w:val="00A431E6"/>
    <w:rsid w:val="00A436E8"/>
    <w:rsid w:val="00A45FB1"/>
    <w:rsid w:val="00A46CCC"/>
    <w:rsid w:val="00A47996"/>
    <w:rsid w:val="00A51CFE"/>
    <w:rsid w:val="00A5204D"/>
    <w:rsid w:val="00A61605"/>
    <w:rsid w:val="00A65F97"/>
    <w:rsid w:val="00A66E8A"/>
    <w:rsid w:val="00A76C13"/>
    <w:rsid w:val="00A84FD0"/>
    <w:rsid w:val="00A85B29"/>
    <w:rsid w:val="00A92E79"/>
    <w:rsid w:val="00A94FE0"/>
    <w:rsid w:val="00A950B6"/>
    <w:rsid w:val="00A95251"/>
    <w:rsid w:val="00A95D45"/>
    <w:rsid w:val="00A97CF3"/>
    <w:rsid w:val="00AB081B"/>
    <w:rsid w:val="00AB41C1"/>
    <w:rsid w:val="00AB4CF2"/>
    <w:rsid w:val="00AB6CCA"/>
    <w:rsid w:val="00AB7A74"/>
    <w:rsid w:val="00AC223F"/>
    <w:rsid w:val="00AC33B1"/>
    <w:rsid w:val="00AC44A9"/>
    <w:rsid w:val="00AD12A8"/>
    <w:rsid w:val="00AD45A4"/>
    <w:rsid w:val="00AD6C59"/>
    <w:rsid w:val="00AE023F"/>
    <w:rsid w:val="00AE7F6F"/>
    <w:rsid w:val="00AF3577"/>
    <w:rsid w:val="00AF35F9"/>
    <w:rsid w:val="00AF6C5F"/>
    <w:rsid w:val="00B02973"/>
    <w:rsid w:val="00B0424C"/>
    <w:rsid w:val="00B05C7D"/>
    <w:rsid w:val="00B15D57"/>
    <w:rsid w:val="00B16347"/>
    <w:rsid w:val="00B17D6E"/>
    <w:rsid w:val="00B21FB6"/>
    <w:rsid w:val="00B2435E"/>
    <w:rsid w:val="00B33D9D"/>
    <w:rsid w:val="00B346C3"/>
    <w:rsid w:val="00B35F2A"/>
    <w:rsid w:val="00B4005C"/>
    <w:rsid w:val="00B4227E"/>
    <w:rsid w:val="00B4471C"/>
    <w:rsid w:val="00B451A6"/>
    <w:rsid w:val="00B56D6E"/>
    <w:rsid w:val="00B64347"/>
    <w:rsid w:val="00B65DC6"/>
    <w:rsid w:val="00B67AC2"/>
    <w:rsid w:val="00B70784"/>
    <w:rsid w:val="00B722DE"/>
    <w:rsid w:val="00B751E3"/>
    <w:rsid w:val="00B75BA6"/>
    <w:rsid w:val="00B7644C"/>
    <w:rsid w:val="00B76C44"/>
    <w:rsid w:val="00B8184A"/>
    <w:rsid w:val="00B82283"/>
    <w:rsid w:val="00B828D8"/>
    <w:rsid w:val="00B83F87"/>
    <w:rsid w:val="00B85635"/>
    <w:rsid w:val="00B87CDC"/>
    <w:rsid w:val="00B908E4"/>
    <w:rsid w:val="00B90E07"/>
    <w:rsid w:val="00B910C1"/>
    <w:rsid w:val="00BA2CA4"/>
    <w:rsid w:val="00BA2EFA"/>
    <w:rsid w:val="00BA3DBC"/>
    <w:rsid w:val="00BA4AC9"/>
    <w:rsid w:val="00BA707A"/>
    <w:rsid w:val="00BB1AFB"/>
    <w:rsid w:val="00BB2785"/>
    <w:rsid w:val="00BB27AE"/>
    <w:rsid w:val="00BB2DA2"/>
    <w:rsid w:val="00BB56DC"/>
    <w:rsid w:val="00BC5713"/>
    <w:rsid w:val="00BD7044"/>
    <w:rsid w:val="00BE183D"/>
    <w:rsid w:val="00BF5D7A"/>
    <w:rsid w:val="00C00D20"/>
    <w:rsid w:val="00C01C2E"/>
    <w:rsid w:val="00C0254B"/>
    <w:rsid w:val="00C02D33"/>
    <w:rsid w:val="00C04B53"/>
    <w:rsid w:val="00C107B6"/>
    <w:rsid w:val="00C1146B"/>
    <w:rsid w:val="00C1232C"/>
    <w:rsid w:val="00C23CC8"/>
    <w:rsid w:val="00C27C6B"/>
    <w:rsid w:val="00C30A6F"/>
    <w:rsid w:val="00C3189D"/>
    <w:rsid w:val="00C3594D"/>
    <w:rsid w:val="00C36442"/>
    <w:rsid w:val="00C400CE"/>
    <w:rsid w:val="00C410FD"/>
    <w:rsid w:val="00C457DE"/>
    <w:rsid w:val="00C47DD3"/>
    <w:rsid w:val="00C53562"/>
    <w:rsid w:val="00C539FB"/>
    <w:rsid w:val="00C66E57"/>
    <w:rsid w:val="00C70716"/>
    <w:rsid w:val="00C74150"/>
    <w:rsid w:val="00C748D5"/>
    <w:rsid w:val="00C74EDD"/>
    <w:rsid w:val="00C75594"/>
    <w:rsid w:val="00C83D1A"/>
    <w:rsid w:val="00C85982"/>
    <w:rsid w:val="00C934C3"/>
    <w:rsid w:val="00CA0466"/>
    <w:rsid w:val="00CA246D"/>
    <w:rsid w:val="00CA50D9"/>
    <w:rsid w:val="00CB0443"/>
    <w:rsid w:val="00CB1031"/>
    <w:rsid w:val="00CB3054"/>
    <w:rsid w:val="00CB5636"/>
    <w:rsid w:val="00CC3EE5"/>
    <w:rsid w:val="00CD192F"/>
    <w:rsid w:val="00CD63AA"/>
    <w:rsid w:val="00CE3B7B"/>
    <w:rsid w:val="00CE425C"/>
    <w:rsid w:val="00CE58AC"/>
    <w:rsid w:val="00CE654D"/>
    <w:rsid w:val="00CE7E23"/>
    <w:rsid w:val="00CF3392"/>
    <w:rsid w:val="00CF5A80"/>
    <w:rsid w:val="00D038A3"/>
    <w:rsid w:val="00D045EE"/>
    <w:rsid w:val="00D05091"/>
    <w:rsid w:val="00D056D6"/>
    <w:rsid w:val="00D07FF2"/>
    <w:rsid w:val="00D10CA6"/>
    <w:rsid w:val="00D10F21"/>
    <w:rsid w:val="00D134CF"/>
    <w:rsid w:val="00D1573B"/>
    <w:rsid w:val="00D22542"/>
    <w:rsid w:val="00D24806"/>
    <w:rsid w:val="00D2706B"/>
    <w:rsid w:val="00D34040"/>
    <w:rsid w:val="00D34E69"/>
    <w:rsid w:val="00D36C78"/>
    <w:rsid w:val="00D375EE"/>
    <w:rsid w:val="00D527B4"/>
    <w:rsid w:val="00D55AE8"/>
    <w:rsid w:val="00D55DD8"/>
    <w:rsid w:val="00D56056"/>
    <w:rsid w:val="00D6085F"/>
    <w:rsid w:val="00D62699"/>
    <w:rsid w:val="00D663C8"/>
    <w:rsid w:val="00D778E9"/>
    <w:rsid w:val="00D812BF"/>
    <w:rsid w:val="00D82620"/>
    <w:rsid w:val="00D85707"/>
    <w:rsid w:val="00D85863"/>
    <w:rsid w:val="00D9295E"/>
    <w:rsid w:val="00D92B35"/>
    <w:rsid w:val="00D96B81"/>
    <w:rsid w:val="00D9725F"/>
    <w:rsid w:val="00D97613"/>
    <w:rsid w:val="00DA01B1"/>
    <w:rsid w:val="00DA11A2"/>
    <w:rsid w:val="00DA14ED"/>
    <w:rsid w:val="00DA26D6"/>
    <w:rsid w:val="00DA7A7D"/>
    <w:rsid w:val="00DB2EF1"/>
    <w:rsid w:val="00DB3DE1"/>
    <w:rsid w:val="00DB5DA0"/>
    <w:rsid w:val="00DB716C"/>
    <w:rsid w:val="00DC08F4"/>
    <w:rsid w:val="00DC2A94"/>
    <w:rsid w:val="00DC5C85"/>
    <w:rsid w:val="00DC7C5D"/>
    <w:rsid w:val="00DD4236"/>
    <w:rsid w:val="00DD44F1"/>
    <w:rsid w:val="00DD6957"/>
    <w:rsid w:val="00DD6E7A"/>
    <w:rsid w:val="00DE3067"/>
    <w:rsid w:val="00DF3559"/>
    <w:rsid w:val="00DF3EEE"/>
    <w:rsid w:val="00DF75E1"/>
    <w:rsid w:val="00E027BC"/>
    <w:rsid w:val="00E10F0D"/>
    <w:rsid w:val="00E132EA"/>
    <w:rsid w:val="00E14EA5"/>
    <w:rsid w:val="00E2070E"/>
    <w:rsid w:val="00E21133"/>
    <w:rsid w:val="00E2327E"/>
    <w:rsid w:val="00E266EF"/>
    <w:rsid w:val="00E4600A"/>
    <w:rsid w:val="00E47428"/>
    <w:rsid w:val="00E55352"/>
    <w:rsid w:val="00E56C8E"/>
    <w:rsid w:val="00E5716B"/>
    <w:rsid w:val="00E57F1F"/>
    <w:rsid w:val="00E61C34"/>
    <w:rsid w:val="00E64007"/>
    <w:rsid w:val="00E65454"/>
    <w:rsid w:val="00E65594"/>
    <w:rsid w:val="00E66B9F"/>
    <w:rsid w:val="00E70A6A"/>
    <w:rsid w:val="00E70CE0"/>
    <w:rsid w:val="00E710D6"/>
    <w:rsid w:val="00E73DA4"/>
    <w:rsid w:val="00E76E45"/>
    <w:rsid w:val="00E777C9"/>
    <w:rsid w:val="00E81DA6"/>
    <w:rsid w:val="00E84212"/>
    <w:rsid w:val="00E8768E"/>
    <w:rsid w:val="00E9086C"/>
    <w:rsid w:val="00E90AAA"/>
    <w:rsid w:val="00E91A0F"/>
    <w:rsid w:val="00E92AE1"/>
    <w:rsid w:val="00E94A71"/>
    <w:rsid w:val="00E94CBF"/>
    <w:rsid w:val="00EA03CE"/>
    <w:rsid w:val="00EA121E"/>
    <w:rsid w:val="00EA15D2"/>
    <w:rsid w:val="00EA23E5"/>
    <w:rsid w:val="00EA4E2E"/>
    <w:rsid w:val="00EB2417"/>
    <w:rsid w:val="00EB2CCB"/>
    <w:rsid w:val="00EB3C89"/>
    <w:rsid w:val="00EB7A25"/>
    <w:rsid w:val="00EC0F3E"/>
    <w:rsid w:val="00EC57A7"/>
    <w:rsid w:val="00EC635A"/>
    <w:rsid w:val="00ED0817"/>
    <w:rsid w:val="00ED7DD9"/>
    <w:rsid w:val="00EE39D8"/>
    <w:rsid w:val="00EE3E69"/>
    <w:rsid w:val="00EE4400"/>
    <w:rsid w:val="00EE445B"/>
    <w:rsid w:val="00EF3113"/>
    <w:rsid w:val="00EF3F84"/>
    <w:rsid w:val="00EF58F7"/>
    <w:rsid w:val="00EF6845"/>
    <w:rsid w:val="00F05F28"/>
    <w:rsid w:val="00F122D8"/>
    <w:rsid w:val="00F176AC"/>
    <w:rsid w:val="00F21434"/>
    <w:rsid w:val="00F26073"/>
    <w:rsid w:val="00F26F28"/>
    <w:rsid w:val="00F27714"/>
    <w:rsid w:val="00F3276E"/>
    <w:rsid w:val="00F33D3C"/>
    <w:rsid w:val="00F37A91"/>
    <w:rsid w:val="00F408A0"/>
    <w:rsid w:val="00F45CF5"/>
    <w:rsid w:val="00F47DB0"/>
    <w:rsid w:val="00F50C3F"/>
    <w:rsid w:val="00F50E34"/>
    <w:rsid w:val="00F53EF7"/>
    <w:rsid w:val="00F54BF2"/>
    <w:rsid w:val="00F57535"/>
    <w:rsid w:val="00F702EB"/>
    <w:rsid w:val="00F70D12"/>
    <w:rsid w:val="00F75400"/>
    <w:rsid w:val="00F775AC"/>
    <w:rsid w:val="00F85269"/>
    <w:rsid w:val="00F92355"/>
    <w:rsid w:val="00F93963"/>
    <w:rsid w:val="00F94291"/>
    <w:rsid w:val="00FA1630"/>
    <w:rsid w:val="00FA298A"/>
    <w:rsid w:val="00FA5B66"/>
    <w:rsid w:val="00FB1504"/>
    <w:rsid w:val="00FB2E10"/>
    <w:rsid w:val="00FB30EB"/>
    <w:rsid w:val="00FB4ADD"/>
    <w:rsid w:val="00FB7982"/>
    <w:rsid w:val="00FC0734"/>
    <w:rsid w:val="00FC0FC5"/>
    <w:rsid w:val="00FC5461"/>
    <w:rsid w:val="00FC588F"/>
    <w:rsid w:val="00FC6879"/>
    <w:rsid w:val="00FD3C38"/>
    <w:rsid w:val="00FD66B0"/>
    <w:rsid w:val="00FE005E"/>
    <w:rsid w:val="00FE1B30"/>
    <w:rsid w:val="00FE3A1A"/>
    <w:rsid w:val="00FE7B44"/>
    <w:rsid w:val="00FF33AC"/>
    <w:rsid w:val="00FF5E4D"/>
    <w:rsid w:val="00FF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B732C1"/>
  <w15:docId w15:val="{631E4593-0A7D-4FF0-9D58-E8EDCB71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3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7249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7934">
      <w:bodyDiv w:val="1"/>
      <w:marLeft w:val="0"/>
      <w:marRight w:val="0"/>
      <w:marTop w:val="0"/>
      <w:marBottom w:val="0"/>
      <w:divBdr>
        <w:top w:val="none" w:sz="0" w:space="0" w:color="auto"/>
        <w:left w:val="none" w:sz="0" w:space="0" w:color="auto"/>
        <w:bottom w:val="none" w:sz="0" w:space="0" w:color="auto"/>
        <w:right w:val="none" w:sz="0" w:space="0" w:color="auto"/>
      </w:divBdr>
    </w:div>
    <w:div w:id="1958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E5C23E756141D6A4F2556B5C72247E"/>
        <w:category>
          <w:name w:val="General"/>
          <w:gallery w:val="placeholder"/>
        </w:category>
        <w:types>
          <w:type w:val="bbPlcHdr"/>
        </w:types>
        <w:behaviors>
          <w:behavior w:val="content"/>
        </w:behaviors>
        <w:guid w:val="{89674633-FA24-4E95-82D2-7D0B151ED4FD}"/>
      </w:docPartPr>
      <w:docPartBody>
        <w:p w:rsidR="00F25DBD" w:rsidRDefault="00F25DBD">
          <w:pPr>
            <w:pStyle w:val="83E5C23E756141D6A4F2556B5C72247E"/>
          </w:pPr>
          <w:r>
            <w:rPr>
              <w:rStyle w:val="PlaceholderText"/>
            </w:rPr>
            <w:t>MNC Text</w:t>
          </w:r>
        </w:p>
      </w:docPartBody>
    </w:docPart>
    <w:docPart>
      <w:docPartPr>
        <w:name w:val="CEDBE1D2E82A40E284B32D054D50D843"/>
        <w:category>
          <w:name w:val="General"/>
          <w:gallery w:val="placeholder"/>
        </w:category>
        <w:types>
          <w:type w:val="bbPlcHdr"/>
        </w:types>
        <w:behaviors>
          <w:behavior w:val="content"/>
        </w:behaviors>
        <w:guid w:val="{BDFF42DE-CBDC-4245-A771-B3E23C188F6D}"/>
      </w:docPartPr>
      <w:docPartBody>
        <w:p w:rsidR="00F25DBD" w:rsidRDefault="00F25DBD">
          <w:pPr>
            <w:pStyle w:val="CEDBE1D2E82A40E284B32D054D50D843"/>
          </w:pPr>
          <w:r w:rsidRPr="005C44BE">
            <w:rPr>
              <w:rStyle w:val="PlaceholderText"/>
            </w:rPr>
            <w:t>Click or tap here to enter text.</w:t>
          </w:r>
        </w:p>
      </w:docPartBody>
    </w:docPart>
    <w:docPart>
      <w:docPartPr>
        <w:name w:val="84B81E0494D943599015ED3BC520DF89"/>
        <w:category>
          <w:name w:val="General"/>
          <w:gallery w:val="placeholder"/>
        </w:category>
        <w:types>
          <w:type w:val="bbPlcHdr"/>
        </w:types>
        <w:behaviors>
          <w:behavior w:val="content"/>
        </w:behaviors>
        <w:guid w:val="{0DDB1315-A174-4BD2-8FBF-6C4064A51E49}"/>
      </w:docPartPr>
      <w:docPartBody>
        <w:p w:rsidR="00F25DBD" w:rsidRDefault="00F25DBD">
          <w:pPr>
            <w:pStyle w:val="84B81E0494D943599015ED3BC520DF89"/>
          </w:pPr>
          <w:r w:rsidRPr="005C44BE">
            <w:rPr>
              <w:rStyle w:val="PlaceholderText"/>
            </w:rPr>
            <w:t>Click or tap here to enter text.</w:t>
          </w:r>
        </w:p>
      </w:docPartBody>
    </w:docPart>
    <w:docPart>
      <w:docPartPr>
        <w:name w:val="931FE7ED031D4545BAB28EB4FD7C1D19"/>
        <w:category>
          <w:name w:val="General"/>
          <w:gallery w:val="placeholder"/>
        </w:category>
        <w:types>
          <w:type w:val="bbPlcHdr"/>
        </w:types>
        <w:behaviors>
          <w:behavior w:val="content"/>
        </w:behaviors>
        <w:guid w:val="{228E37FC-A54F-4321-A227-C9EAE0148A1E}"/>
      </w:docPartPr>
      <w:docPartBody>
        <w:p w:rsidR="00F25DBD" w:rsidRDefault="00F25DBD">
          <w:pPr>
            <w:pStyle w:val="931FE7ED031D4545BAB28EB4FD7C1D19"/>
          </w:pPr>
          <w:r w:rsidRPr="005C44BE">
            <w:rPr>
              <w:rStyle w:val="PlaceholderText"/>
            </w:rPr>
            <w:t>Click or tap here to enter text.</w:t>
          </w:r>
        </w:p>
      </w:docPartBody>
    </w:docPart>
    <w:docPart>
      <w:docPartPr>
        <w:name w:val="92CA9203BC0548AA925B48F76897B39B"/>
        <w:category>
          <w:name w:val="General"/>
          <w:gallery w:val="placeholder"/>
        </w:category>
        <w:types>
          <w:type w:val="bbPlcHdr"/>
        </w:types>
        <w:behaviors>
          <w:behavior w:val="content"/>
        </w:behaviors>
        <w:guid w:val="{B253D01A-FE1B-4E12-AA8B-4BE7C6EA7007}"/>
      </w:docPartPr>
      <w:docPartBody>
        <w:p w:rsidR="00F25DBD" w:rsidRDefault="00F25DBD">
          <w:pPr>
            <w:pStyle w:val="92CA9203BC0548AA925B48F76897B39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BD"/>
    <w:rsid w:val="00190EC3"/>
    <w:rsid w:val="00F25DBD"/>
    <w:rsid w:val="00F85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E5C23E756141D6A4F2556B5C72247E">
    <w:name w:val="83E5C23E756141D6A4F2556B5C72247E"/>
  </w:style>
  <w:style w:type="paragraph" w:customStyle="1" w:styleId="CEDBE1D2E82A40E284B32D054D50D843">
    <w:name w:val="CEDBE1D2E82A40E284B32D054D50D843"/>
  </w:style>
  <w:style w:type="paragraph" w:customStyle="1" w:styleId="84B81E0494D943599015ED3BC520DF89">
    <w:name w:val="84B81E0494D943599015ED3BC520DF89"/>
  </w:style>
  <w:style w:type="paragraph" w:customStyle="1" w:styleId="931FE7ED031D4545BAB28EB4FD7C1D19">
    <w:name w:val="931FE7ED031D4545BAB28EB4FD7C1D19"/>
  </w:style>
  <w:style w:type="paragraph" w:customStyle="1" w:styleId="92CA9203BC0548AA925B48F76897B39B">
    <w:name w:val="92CA9203BC0548AA925B48F76897B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La Mancha Group International B.V. v Commissioner of Taxation [2020] FCA 1799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11</TotalTime>
  <Pages>16</Pages>
  <Words>6044</Words>
  <Characters>31223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La Mancha Group International B.V. v Commissioner of Taxation [2020] FCA 1799 </vt:lpstr>
    </vt:vector>
  </TitlesOfParts>
  <Company>Federal Court of Australia</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Mancha Group International B.V. v Commissioner of Taxation [2020] FCA 1799</dc:title>
  <dc:creator>Sona Muradyan</dc:creator>
  <cp:lastModifiedBy>Sona Muradyan</cp:lastModifiedBy>
  <cp:revision>5</cp:revision>
  <cp:lastPrinted>2006-02-06T01:31:00Z</cp:lastPrinted>
  <dcterms:created xsi:type="dcterms:W3CDTF">2020-12-16T05:27:00Z</dcterms:created>
  <dcterms:modified xsi:type="dcterms:W3CDTF">2020-12-16T22:48:00Z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