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879D6" w14:textId="77777777" w:rsidR="00395B24" w:rsidRPr="00232655" w:rsidRDefault="002C7385">
      <w:pPr>
        <w:pStyle w:val="NormalHeadings"/>
        <w:jc w:val="center"/>
        <w:rPr>
          <w:sz w:val="32"/>
        </w:rPr>
      </w:pPr>
      <w:r w:rsidRPr="00232655">
        <w:rPr>
          <w:sz w:val="32"/>
        </w:rPr>
        <w:t>FEDERAL COURT OF AUSTRALIA</w:t>
      </w:r>
    </w:p>
    <w:p w14:paraId="0816BF64" w14:textId="77777777" w:rsidR="00395B24" w:rsidRPr="00232655" w:rsidRDefault="00395B24">
      <w:pPr>
        <w:pStyle w:val="NormalHeadings"/>
        <w:jc w:val="center"/>
        <w:rPr>
          <w:sz w:val="32"/>
        </w:rPr>
      </w:pPr>
    </w:p>
    <w:p w14:paraId="6BB91F17" w14:textId="2BE5A4D9" w:rsidR="00395B24" w:rsidRPr="00232655" w:rsidRDefault="00EC359A">
      <w:pPr>
        <w:pStyle w:val="MediaNeutralStyle"/>
      </w:pPr>
      <w:bookmarkStart w:id="0" w:name="MNC"/>
      <w:r w:rsidRPr="00232655">
        <w:t xml:space="preserve">Bryant, in the matter of </w:t>
      </w:r>
      <w:proofErr w:type="spellStart"/>
      <w:r w:rsidRPr="00232655">
        <w:t>Gunns</w:t>
      </w:r>
      <w:proofErr w:type="spellEnd"/>
      <w:r w:rsidRPr="00232655">
        <w:t xml:space="preserve"> Limited (in </w:t>
      </w:r>
      <w:proofErr w:type="spellStart"/>
      <w:r w:rsidRPr="00232655">
        <w:t>liq</w:t>
      </w:r>
      <w:proofErr w:type="spellEnd"/>
      <w:r w:rsidRPr="00232655">
        <w:t>) (receivers and managers appointed</w:t>
      </w:r>
      <w:r w:rsidR="00B5317C" w:rsidRPr="00232655">
        <w:t>)</w:t>
      </w:r>
      <w:r w:rsidRPr="00232655">
        <w:t xml:space="preserve"> v Badenoch Integrated Logging Pty Ltd </w:t>
      </w:r>
      <w:r w:rsidR="00B5317C" w:rsidRPr="00232655">
        <w:t xml:space="preserve">(No 2) </w:t>
      </w:r>
      <w:r w:rsidRPr="00232655">
        <w:t xml:space="preserve">[2020] FCA </w:t>
      </w:r>
      <w:r w:rsidR="00F60AE8" w:rsidRPr="00232655">
        <w:t>1081</w:t>
      </w:r>
      <w:r w:rsidR="002C7385" w:rsidRPr="00232655">
        <w:t xml:space="preserve"> </w:t>
      </w:r>
      <w:bookmarkEnd w:id="0"/>
    </w:p>
    <w:p w14:paraId="37EAA54D" w14:textId="77777777" w:rsidR="00395B24" w:rsidRPr="00232655"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232655" w14:paraId="3554572D" w14:textId="77777777" w:rsidTr="00A20287">
        <w:tc>
          <w:tcPr>
            <w:tcW w:w="3085" w:type="dxa"/>
            <w:shd w:val="clear" w:color="auto" w:fill="auto"/>
          </w:tcPr>
          <w:p w14:paraId="3FD43CD6" w14:textId="77777777" w:rsidR="00395B24" w:rsidRPr="00232655" w:rsidRDefault="00B5317C" w:rsidP="00663878">
            <w:pPr>
              <w:pStyle w:val="Normal1linespace"/>
              <w:widowControl w:val="0"/>
              <w:jc w:val="left"/>
            </w:pPr>
            <w:r w:rsidRPr="00232655">
              <w:t>File number</w:t>
            </w:r>
            <w:r w:rsidR="002C7385" w:rsidRPr="00232655">
              <w:t>:</w:t>
            </w:r>
          </w:p>
        </w:tc>
        <w:tc>
          <w:tcPr>
            <w:tcW w:w="5989" w:type="dxa"/>
            <w:shd w:val="clear" w:color="auto" w:fill="auto"/>
          </w:tcPr>
          <w:p w14:paraId="4C2EAA9E" w14:textId="77777777" w:rsidR="00395B24" w:rsidRPr="00232655" w:rsidRDefault="001B786F" w:rsidP="00ED3A28">
            <w:pPr>
              <w:pStyle w:val="Normal1linespace"/>
              <w:jc w:val="left"/>
            </w:pPr>
            <w:fldSimple w:instr=" REF  FileNo  \* MERGEFORMAT " w:fldLock="1">
              <w:r w:rsidR="00ED3A28" w:rsidRPr="00232655">
                <w:t>SAD 341 of 2015</w:t>
              </w:r>
            </w:fldSimple>
          </w:p>
        </w:tc>
      </w:tr>
      <w:tr w:rsidR="00395B24" w:rsidRPr="00232655" w14:paraId="58C39794" w14:textId="77777777" w:rsidTr="00A20287">
        <w:tc>
          <w:tcPr>
            <w:tcW w:w="3085" w:type="dxa"/>
            <w:shd w:val="clear" w:color="auto" w:fill="auto"/>
          </w:tcPr>
          <w:p w14:paraId="7FA122C6" w14:textId="77777777" w:rsidR="00395B24" w:rsidRPr="00232655" w:rsidRDefault="00395B24" w:rsidP="00663878">
            <w:pPr>
              <w:pStyle w:val="Normal1linespace"/>
              <w:widowControl w:val="0"/>
              <w:jc w:val="left"/>
            </w:pPr>
          </w:p>
        </w:tc>
        <w:tc>
          <w:tcPr>
            <w:tcW w:w="5989" w:type="dxa"/>
            <w:shd w:val="clear" w:color="auto" w:fill="auto"/>
          </w:tcPr>
          <w:p w14:paraId="63C0066E" w14:textId="77777777" w:rsidR="00395B24" w:rsidRPr="00232655" w:rsidRDefault="00395B24" w:rsidP="00663878">
            <w:pPr>
              <w:pStyle w:val="Normal1linespace"/>
              <w:widowControl w:val="0"/>
              <w:jc w:val="left"/>
            </w:pPr>
          </w:p>
        </w:tc>
      </w:tr>
      <w:tr w:rsidR="00395B24" w:rsidRPr="00232655" w14:paraId="75A0AC22" w14:textId="77777777" w:rsidTr="00A20287">
        <w:tc>
          <w:tcPr>
            <w:tcW w:w="3085" w:type="dxa"/>
            <w:shd w:val="clear" w:color="auto" w:fill="auto"/>
          </w:tcPr>
          <w:p w14:paraId="629AFF00" w14:textId="77777777" w:rsidR="00395B24" w:rsidRPr="00232655" w:rsidRDefault="00B5317C" w:rsidP="00663878">
            <w:pPr>
              <w:pStyle w:val="Normal1linespace"/>
              <w:widowControl w:val="0"/>
              <w:jc w:val="left"/>
            </w:pPr>
            <w:r w:rsidRPr="00232655">
              <w:t>Judge</w:t>
            </w:r>
            <w:r w:rsidR="002C7385" w:rsidRPr="00232655">
              <w:t>:</w:t>
            </w:r>
          </w:p>
        </w:tc>
        <w:tc>
          <w:tcPr>
            <w:tcW w:w="5989" w:type="dxa"/>
            <w:shd w:val="clear" w:color="auto" w:fill="auto"/>
          </w:tcPr>
          <w:p w14:paraId="6F3594F7" w14:textId="77777777" w:rsidR="00395B24" w:rsidRPr="00232655" w:rsidRDefault="002C7385" w:rsidP="00663878">
            <w:pPr>
              <w:pStyle w:val="Normal1linespace"/>
              <w:widowControl w:val="0"/>
              <w:jc w:val="left"/>
              <w:rPr>
                <w:b/>
              </w:rPr>
            </w:pPr>
            <w:r w:rsidRPr="00232655">
              <w:rPr>
                <w:b/>
              </w:rPr>
              <w:fldChar w:fldCharType="begin" w:fldLock="1"/>
            </w:r>
            <w:r w:rsidRPr="00232655">
              <w:rPr>
                <w:b/>
              </w:rPr>
              <w:instrText xml:space="preserve"> REF  Judge  \* MERGEFORMAT </w:instrText>
            </w:r>
            <w:r w:rsidRPr="00232655">
              <w:rPr>
                <w:b/>
              </w:rPr>
              <w:fldChar w:fldCharType="separate"/>
            </w:r>
            <w:r w:rsidR="00ED3A28" w:rsidRPr="00232655">
              <w:rPr>
                <w:b/>
                <w:caps/>
                <w:szCs w:val="24"/>
              </w:rPr>
              <w:t>DAVIES J</w:t>
            </w:r>
            <w:r w:rsidRPr="00232655">
              <w:rPr>
                <w:b/>
              </w:rPr>
              <w:fldChar w:fldCharType="end"/>
            </w:r>
          </w:p>
        </w:tc>
      </w:tr>
      <w:tr w:rsidR="00395B24" w:rsidRPr="00232655" w14:paraId="74EB7FE9" w14:textId="77777777" w:rsidTr="00A20287">
        <w:tc>
          <w:tcPr>
            <w:tcW w:w="3085" w:type="dxa"/>
            <w:shd w:val="clear" w:color="auto" w:fill="auto"/>
          </w:tcPr>
          <w:p w14:paraId="2FF87D7A" w14:textId="77777777" w:rsidR="00395B24" w:rsidRPr="00232655" w:rsidRDefault="00395B24" w:rsidP="00663878">
            <w:pPr>
              <w:pStyle w:val="Normal1linespace"/>
              <w:widowControl w:val="0"/>
              <w:jc w:val="left"/>
            </w:pPr>
          </w:p>
        </w:tc>
        <w:tc>
          <w:tcPr>
            <w:tcW w:w="5989" w:type="dxa"/>
            <w:shd w:val="clear" w:color="auto" w:fill="auto"/>
          </w:tcPr>
          <w:p w14:paraId="6AF2852A" w14:textId="77777777" w:rsidR="00395B24" w:rsidRPr="00232655" w:rsidRDefault="00395B24" w:rsidP="00663878">
            <w:pPr>
              <w:pStyle w:val="Normal1linespace"/>
              <w:widowControl w:val="0"/>
              <w:jc w:val="left"/>
            </w:pPr>
          </w:p>
        </w:tc>
      </w:tr>
      <w:tr w:rsidR="00395B24" w:rsidRPr="00232655" w14:paraId="2241D04E" w14:textId="77777777" w:rsidTr="00A20287">
        <w:tc>
          <w:tcPr>
            <w:tcW w:w="3085" w:type="dxa"/>
            <w:shd w:val="clear" w:color="auto" w:fill="auto"/>
          </w:tcPr>
          <w:p w14:paraId="0996FDF7" w14:textId="77777777" w:rsidR="00395B24" w:rsidRPr="00232655" w:rsidRDefault="002C7385" w:rsidP="00663878">
            <w:pPr>
              <w:pStyle w:val="Normal1linespace"/>
              <w:widowControl w:val="0"/>
              <w:jc w:val="left"/>
            </w:pPr>
            <w:r w:rsidRPr="00232655">
              <w:t>Date of judgment:</w:t>
            </w:r>
          </w:p>
        </w:tc>
        <w:tc>
          <w:tcPr>
            <w:tcW w:w="5989" w:type="dxa"/>
            <w:shd w:val="clear" w:color="auto" w:fill="auto"/>
          </w:tcPr>
          <w:p w14:paraId="0099AB00" w14:textId="21010676" w:rsidR="00395B24" w:rsidRPr="00232655" w:rsidRDefault="00F04D15" w:rsidP="00663878">
            <w:pPr>
              <w:pStyle w:val="Normal1linespace"/>
              <w:widowControl w:val="0"/>
              <w:jc w:val="left"/>
            </w:pPr>
            <w:bookmarkStart w:id="1" w:name="JudgmentDate"/>
            <w:r w:rsidRPr="00232655">
              <w:t>30</w:t>
            </w:r>
            <w:r w:rsidR="00ED3A28" w:rsidRPr="00232655">
              <w:t xml:space="preserve"> </w:t>
            </w:r>
            <w:r w:rsidR="00B5317C" w:rsidRPr="00232655">
              <w:t xml:space="preserve">July </w:t>
            </w:r>
            <w:r w:rsidR="00ED3A28" w:rsidRPr="00232655">
              <w:t>2020</w:t>
            </w:r>
            <w:bookmarkEnd w:id="1"/>
          </w:p>
        </w:tc>
      </w:tr>
      <w:tr w:rsidR="00395B24" w:rsidRPr="00232655" w14:paraId="4287CE37" w14:textId="77777777" w:rsidTr="00A20287">
        <w:tc>
          <w:tcPr>
            <w:tcW w:w="3085" w:type="dxa"/>
            <w:shd w:val="clear" w:color="auto" w:fill="auto"/>
          </w:tcPr>
          <w:p w14:paraId="51E107BE" w14:textId="77777777" w:rsidR="00395B24" w:rsidRPr="00232655" w:rsidRDefault="00395B24" w:rsidP="00663878">
            <w:pPr>
              <w:pStyle w:val="Normal1linespace"/>
              <w:widowControl w:val="0"/>
              <w:jc w:val="left"/>
            </w:pPr>
          </w:p>
        </w:tc>
        <w:tc>
          <w:tcPr>
            <w:tcW w:w="5989" w:type="dxa"/>
            <w:shd w:val="clear" w:color="auto" w:fill="auto"/>
          </w:tcPr>
          <w:p w14:paraId="40F2ED56" w14:textId="77777777" w:rsidR="00395B24" w:rsidRPr="00232655" w:rsidRDefault="00395B24" w:rsidP="00663878">
            <w:pPr>
              <w:pStyle w:val="Normal1linespace"/>
              <w:widowControl w:val="0"/>
              <w:jc w:val="left"/>
            </w:pPr>
          </w:p>
        </w:tc>
      </w:tr>
      <w:tr w:rsidR="00395B24" w:rsidRPr="00232655" w14:paraId="5716ECB8" w14:textId="77777777" w:rsidTr="00A20287">
        <w:tc>
          <w:tcPr>
            <w:tcW w:w="3085" w:type="dxa"/>
            <w:shd w:val="clear" w:color="auto" w:fill="auto"/>
          </w:tcPr>
          <w:p w14:paraId="6EFEE2E1" w14:textId="77777777" w:rsidR="00395B24" w:rsidRPr="00232655" w:rsidRDefault="002C7385" w:rsidP="00663878">
            <w:pPr>
              <w:pStyle w:val="Normal1linespace"/>
              <w:widowControl w:val="0"/>
              <w:jc w:val="left"/>
            </w:pPr>
            <w:r w:rsidRPr="00232655">
              <w:t>Catchwords:</w:t>
            </w:r>
          </w:p>
        </w:tc>
        <w:tc>
          <w:tcPr>
            <w:tcW w:w="5989" w:type="dxa"/>
            <w:shd w:val="clear" w:color="auto" w:fill="auto"/>
          </w:tcPr>
          <w:p w14:paraId="4352B5D8" w14:textId="1841A164" w:rsidR="00395B24" w:rsidRPr="00232655" w:rsidRDefault="00D93DD5" w:rsidP="00A20287">
            <w:pPr>
              <w:pStyle w:val="Normal1linespace"/>
              <w:widowControl w:val="0"/>
              <w:jc w:val="left"/>
            </w:pPr>
            <w:bookmarkStart w:id="2" w:name="Catchwords"/>
            <w:r w:rsidRPr="00232655">
              <w:rPr>
                <w:b/>
              </w:rPr>
              <w:t>COSTS</w:t>
            </w:r>
            <w:r w:rsidRPr="00232655">
              <w:t xml:space="preserve"> – application for indemnity costs </w:t>
            </w:r>
            <w:r w:rsidR="009113BE" w:rsidRPr="00232655">
              <w:t>– where Calderbank offer made and notice of offer to compromise</w:t>
            </w:r>
            <w:r w:rsidR="001F2A88" w:rsidRPr="00232655">
              <w:t xml:space="preserve"> under r 25.01(1) of the </w:t>
            </w:r>
            <w:r w:rsidR="001F2A88" w:rsidRPr="00232655">
              <w:rPr>
                <w:i/>
              </w:rPr>
              <w:t xml:space="preserve">Federal Court Rules 2011 </w:t>
            </w:r>
            <w:r w:rsidR="001F2A88" w:rsidRPr="00232655">
              <w:t>(</w:t>
            </w:r>
            <w:proofErr w:type="spellStart"/>
            <w:r w:rsidR="001F2A88" w:rsidRPr="00232655">
              <w:t>Cth</w:t>
            </w:r>
            <w:proofErr w:type="spellEnd"/>
            <w:r w:rsidR="001F2A88" w:rsidRPr="00232655">
              <w:t>) (</w:t>
            </w:r>
            <w:r w:rsidR="001F2A88" w:rsidRPr="00232655">
              <w:rPr>
                <w:b/>
              </w:rPr>
              <w:t>Rules</w:t>
            </w:r>
            <w:r w:rsidR="001F2A88" w:rsidRPr="00232655">
              <w:t>)</w:t>
            </w:r>
            <w:r w:rsidR="009113BE" w:rsidRPr="00232655">
              <w:t xml:space="preserve"> later issued – whether defendant unreasonably rejected Calderbank offer – indemnity costs awa</w:t>
            </w:r>
            <w:r w:rsidR="00A20287" w:rsidRPr="00232655">
              <w:t>rded only from notice of offer to</w:t>
            </w:r>
            <w:r w:rsidR="009113BE" w:rsidRPr="00232655">
              <w:t xml:space="preserve"> compromise in accordance with r 25.14(3) </w:t>
            </w:r>
            <w:r w:rsidR="001F2A88" w:rsidRPr="00232655">
              <w:t>of the Rules</w:t>
            </w:r>
            <w:r w:rsidR="002C7385" w:rsidRPr="00232655">
              <w:t xml:space="preserve"> </w:t>
            </w:r>
            <w:bookmarkEnd w:id="2"/>
          </w:p>
        </w:tc>
      </w:tr>
      <w:tr w:rsidR="00395B24" w:rsidRPr="00232655" w14:paraId="026E3015" w14:textId="77777777" w:rsidTr="00A20287">
        <w:tc>
          <w:tcPr>
            <w:tcW w:w="3085" w:type="dxa"/>
            <w:shd w:val="clear" w:color="auto" w:fill="auto"/>
          </w:tcPr>
          <w:p w14:paraId="2584331A" w14:textId="77777777" w:rsidR="00395B24" w:rsidRPr="00232655" w:rsidRDefault="00395B24" w:rsidP="00663878">
            <w:pPr>
              <w:pStyle w:val="Normal1linespace"/>
              <w:widowControl w:val="0"/>
              <w:jc w:val="left"/>
            </w:pPr>
          </w:p>
        </w:tc>
        <w:tc>
          <w:tcPr>
            <w:tcW w:w="5989" w:type="dxa"/>
            <w:shd w:val="clear" w:color="auto" w:fill="auto"/>
          </w:tcPr>
          <w:p w14:paraId="5BA92145" w14:textId="77777777" w:rsidR="00395B24" w:rsidRPr="00232655" w:rsidRDefault="00395B24" w:rsidP="00663878">
            <w:pPr>
              <w:pStyle w:val="Normal1linespace"/>
              <w:widowControl w:val="0"/>
              <w:jc w:val="left"/>
            </w:pPr>
          </w:p>
        </w:tc>
      </w:tr>
      <w:tr w:rsidR="00395B24" w:rsidRPr="00232655" w14:paraId="0C0E8E05" w14:textId="77777777" w:rsidTr="00A20287">
        <w:tc>
          <w:tcPr>
            <w:tcW w:w="3085" w:type="dxa"/>
            <w:shd w:val="clear" w:color="auto" w:fill="auto"/>
          </w:tcPr>
          <w:p w14:paraId="58374B34" w14:textId="77777777" w:rsidR="00395B24" w:rsidRPr="00232655" w:rsidRDefault="002C7385" w:rsidP="00663878">
            <w:pPr>
              <w:pStyle w:val="Normal1linespace"/>
              <w:widowControl w:val="0"/>
              <w:jc w:val="left"/>
            </w:pPr>
            <w:r w:rsidRPr="00232655">
              <w:t>Legislation:</w:t>
            </w:r>
          </w:p>
        </w:tc>
        <w:tc>
          <w:tcPr>
            <w:tcW w:w="5989" w:type="dxa"/>
            <w:shd w:val="clear" w:color="auto" w:fill="auto"/>
          </w:tcPr>
          <w:p w14:paraId="01D91D98" w14:textId="7F7D523D" w:rsidR="00F60AE8" w:rsidRPr="00232655" w:rsidRDefault="00F60AE8" w:rsidP="00D82620">
            <w:pPr>
              <w:pStyle w:val="CasesLegislationAppealFrom"/>
              <w:spacing w:after="60"/>
            </w:pPr>
            <w:bookmarkStart w:id="3" w:name="Legislation"/>
            <w:r w:rsidRPr="00232655">
              <w:rPr>
                <w:i/>
              </w:rPr>
              <w:t>Corporations Act 2001</w:t>
            </w:r>
            <w:r w:rsidRPr="00232655">
              <w:t xml:space="preserve"> (</w:t>
            </w:r>
            <w:proofErr w:type="spellStart"/>
            <w:r w:rsidRPr="00232655">
              <w:t>Cth</w:t>
            </w:r>
            <w:proofErr w:type="spellEnd"/>
            <w:r w:rsidRPr="00232655">
              <w:t>) s 588FA</w:t>
            </w:r>
            <w:r w:rsidR="00D64C83" w:rsidRPr="00232655">
              <w:t>(3)</w:t>
            </w:r>
          </w:p>
          <w:p w14:paraId="5C4CDEDC" w14:textId="2A5A41B4" w:rsidR="00395B24" w:rsidRPr="00232655" w:rsidRDefault="00F60AE8" w:rsidP="00D82620">
            <w:pPr>
              <w:pStyle w:val="CasesLegislationAppealFrom"/>
              <w:spacing w:after="60"/>
            </w:pPr>
            <w:r w:rsidRPr="00232655">
              <w:rPr>
                <w:i/>
              </w:rPr>
              <w:t xml:space="preserve">Federal Court Rules 2011 </w:t>
            </w:r>
            <w:r w:rsidRPr="00232655">
              <w:t>(</w:t>
            </w:r>
            <w:proofErr w:type="spellStart"/>
            <w:r w:rsidRPr="00232655">
              <w:t>Cth</w:t>
            </w:r>
            <w:proofErr w:type="spellEnd"/>
            <w:r w:rsidRPr="00232655">
              <w:t xml:space="preserve">) </w:t>
            </w:r>
            <w:r w:rsidR="00A20287" w:rsidRPr="00232655">
              <w:t xml:space="preserve">Pt 25, </w:t>
            </w:r>
            <w:proofErr w:type="spellStart"/>
            <w:r w:rsidRPr="00232655">
              <w:t>r</w:t>
            </w:r>
            <w:r w:rsidR="00160C3E" w:rsidRPr="00232655">
              <w:t>r</w:t>
            </w:r>
            <w:proofErr w:type="spellEnd"/>
            <w:r w:rsidR="00160C3E" w:rsidRPr="00232655">
              <w:t xml:space="preserve"> 25.01(1),</w:t>
            </w:r>
            <w:r w:rsidRPr="00232655">
              <w:t xml:space="preserve"> 25.14(3) </w:t>
            </w:r>
            <w:r w:rsidR="002C7385" w:rsidRPr="00232655">
              <w:t xml:space="preserve"> </w:t>
            </w:r>
            <w:bookmarkEnd w:id="3"/>
          </w:p>
        </w:tc>
      </w:tr>
      <w:tr w:rsidR="00395B24" w:rsidRPr="00232655" w14:paraId="0D47F6A2" w14:textId="77777777" w:rsidTr="00A20287">
        <w:tc>
          <w:tcPr>
            <w:tcW w:w="3085" w:type="dxa"/>
            <w:shd w:val="clear" w:color="auto" w:fill="auto"/>
          </w:tcPr>
          <w:p w14:paraId="256AFF1B" w14:textId="77777777" w:rsidR="00395B24" w:rsidRPr="00232655" w:rsidRDefault="00395B24" w:rsidP="00663878">
            <w:pPr>
              <w:pStyle w:val="Normal1linespace"/>
              <w:widowControl w:val="0"/>
              <w:jc w:val="left"/>
            </w:pPr>
          </w:p>
        </w:tc>
        <w:tc>
          <w:tcPr>
            <w:tcW w:w="5989" w:type="dxa"/>
            <w:shd w:val="clear" w:color="auto" w:fill="auto"/>
          </w:tcPr>
          <w:p w14:paraId="14C96582" w14:textId="77777777" w:rsidR="00395B24" w:rsidRPr="00232655" w:rsidRDefault="00395B24" w:rsidP="00663878">
            <w:pPr>
              <w:pStyle w:val="Normal1linespace"/>
              <w:widowControl w:val="0"/>
              <w:jc w:val="left"/>
            </w:pPr>
          </w:p>
        </w:tc>
      </w:tr>
      <w:tr w:rsidR="00395B24" w:rsidRPr="00232655" w14:paraId="01ED182B" w14:textId="77777777" w:rsidTr="00A20287">
        <w:tc>
          <w:tcPr>
            <w:tcW w:w="3085" w:type="dxa"/>
            <w:shd w:val="clear" w:color="auto" w:fill="auto"/>
          </w:tcPr>
          <w:p w14:paraId="1CCD667E" w14:textId="77777777" w:rsidR="00395B24" w:rsidRPr="00232655" w:rsidRDefault="002C7385" w:rsidP="00663878">
            <w:pPr>
              <w:pStyle w:val="Normal1linespace"/>
              <w:widowControl w:val="0"/>
              <w:jc w:val="left"/>
            </w:pPr>
            <w:r w:rsidRPr="00232655">
              <w:t>Cases cited:</w:t>
            </w:r>
          </w:p>
        </w:tc>
        <w:tc>
          <w:tcPr>
            <w:tcW w:w="5989" w:type="dxa"/>
            <w:shd w:val="clear" w:color="auto" w:fill="auto"/>
          </w:tcPr>
          <w:p w14:paraId="17C91E72" w14:textId="77777777" w:rsidR="00D64C83" w:rsidRPr="00232655" w:rsidRDefault="00D64C83" w:rsidP="00D82620">
            <w:pPr>
              <w:pStyle w:val="CasesLegislationAppealFrom"/>
              <w:spacing w:after="60"/>
            </w:pPr>
            <w:bookmarkStart w:id="4" w:name="Cases_Cited"/>
            <w:r w:rsidRPr="00232655">
              <w:rPr>
                <w:i/>
              </w:rPr>
              <w:t xml:space="preserve">Anchorage Capital Partners Pty Limited v ACPA Pty Ltd (No 2) </w:t>
            </w:r>
            <w:r w:rsidRPr="00232655">
              <w:t>[2018] FCAFC 112</w:t>
            </w:r>
          </w:p>
          <w:p w14:paraId="19A1BB41" w14:textId="77777777" w:rsidR="00D64C83" w:rsidRPr="00232655" w:rsidRDefault="00D64C83" w:rsidP="00D82620">
            <w:pPr>
              <w:pStyle w:val="CasesLegislationAppealFrom"/>
              <w:spacing w:after="60"/>
              <w:rPr>
                <w:bCs/>
              </w:rPr>
            </w:pPr>
            <w:r w:rsidRPr="00232655">
              <w:rPr>
                <w:i/>
                <w:iCs/>
              </w:rPr>
              <w:t xml:space="preserve">Bryant (Liquidator) v LV </w:t>
            </w:r>
            <w:proofErr w:type="spellStart"/>
            <w:r w:rsidRPr="00232655">
              <w:rPr>
                <w:i/>
                <w:iCs/>
              </w:rPr>
              <w:t>Dohnt</w:t>
            </w:r>
            <w:proofErr w:type="spellEnd"/>
            <w:r w:rsidRPr="00232655">
              <w:rPr>
                <w:i/>
                <w:iCs/>
              </w:rPr>
              <w:t xml:space="preserve"> &amp; Co Pty Ltd,</w:t>
            </w:r>
            <w:r w:rsidRPr="00232655">
              <w:rPr>
                <w:rFonts w:ascii="Arial" w:hAnsi="Arial" w:cs="Arial"/>
                <w:b/>
                <w:bCs/>
              </w:rPr>
              <w:t xml:space="preserve"> </w:t>
            </w:r>
            <w:r w:rsidRPr="00232655">
              <w:rPr>
                <w:bCs/>
                <w:i/>
              </w:rPr>
              <w:t xml:space="preserve">in the Matter of </w:t>
            </w:r>
            <w:proofErr w:type="spellStart"/>
            <w:r w:rsidRPr="00232655">
              <w:rPr>
                <w:bCs/>
                <w:i/>
              </w:rPr>
              <w:t>Gunns</w:t>
            </w:r>
            <w:proofErr w:type="spellEnd"/>
            <w:r w:rsidRPr="00232655">
              <w:rPr>
                <w:bCs/>
                <w:i/>
              </w:rPr>
              <w:t xml:space="preserve"> Limited (In </w:t>
            </w:r>
            <w:proofErr w:type="spellStart"/>
            <w:r w:rsidRPr="00232655">
              <w:rPr>
                <w:bCs/>
                <w:i/>
              </w:rPr>
              <w:t>Liq</w:t>
            </w:r>
            <w:proofErr w:type="spellEnd"/>
            <w:r w:rsidRPr="00232655">
              <w:rPr>
                <w:bCs/>
                <w:i/>
              </w:rPr>
              <w:t>) (Receivers and Managers Appointed)</w:t>
            </w:r>
            <w:r w:rsidRPr="00232655">
              <w:rPr>
                <w:bCs/>
              </w:rPr>
              <w:t xml:space="preserve"> [2018] FCA 238</w:t>
            </w:r>
          </w:p>
          <w:p w14:paraId="6C997D29" w14:textId="77777777" w:rsidR="00D64C83" w:rsidRPr="00232655" w:rsidRDefault="00D64C83" w:rsidP="00D82620">
            <w:pPr>
              <w:pStyle w:val="CasesLegislationAppealFrom"/>
              <w:spacing w:after="60"/>
              <w:rPr>
                <w:lang w:eastAsia="en-AU"/>
              </w:rPr>
            </w:pPr>
            <w:r w:rsidRPr="00232655">
              <w:rPr>
                <w:i/>
              </w:rPr>
              <w:t xml:space="preserve">Bryant, </w:t>
            </w:r>
            <w:r w:rsidRPr="00232655">
              <w:rPr>
                <w:i/>
                <w:lang w:eastAsia="en-AU"/>
              </w:rPr>
              <w:t xml:space="preserve">in the matter of </w:t>
            </w:r>
            <w:proofErr w:type="spellStart"/>
            <w:r w:rsidRPr="00232655">
              <w:rPr>
                <w:i/>
                <w:lang w:eastAsia="en-AU"/>
              </w:rPr>
              <w:t>Gunns</w:t>
            </w:r>
            <w:proofErr w:type="spellEnd"/>
            <w:r w:rsidRPr="00232655">
              <w:rPr>
                <w:i/>
                <w:lang w:eastAsia="en-AU"/>
              </w:rPr>
              <w:t xml:space="preserve"> Limited (in </w:t>
            </w:r>
            <w:proofErr w:type="spellStart"/>
            <w:r w:rsidRPr="00232655">
              <w:rPr>
                <w:i/>
                <w:lang w:eastAsia="en-AU"/>
              </w:rPr>
              <w:t>liq</w:t>
            </w:r>
            <w:proofErr w:type="spellEnd"/>
            <w:r w:rsidRPr="00232655">
              <w:rPr>
                <w:i/>
                <w:lang w:eastAsia="en-AU"/>
              </w:rPr>
              <w:t>) (receivers and managers appointed) v Badenoch Integrated Logging Pty Ltd</w:t>
            </w:r>
            <w:r w:rsidRPr="00232655">
              <w:rPr>
                <w:lang w:eastAsia="en-AU"/>
              </w:rPr>
              <w:t xml:space="preserve"> [2020] FCA 713</w:t>
            </w:r>
          </w:p>
          <w:p w14:paraId="576371D9" w14:textId="77777777" w:rsidR="00D64C83" w:rsidRPr="00232655" w:rsidRDefault="00D64C83" w:rsidP="00D82620">
            <w:pPr>
              <w:pStyle w:val="CasesLegislationAppealFrom"/>
              <w:spacing w:after="60"/>
            </w:pPr>
            <w:r w:rsidRPr="00232655">
              <w:rPr>
                <w:i/>
              </w:rPr>
              <w:t xml:space="preserve">Ford Motor Company of Australia Ltd v Lo </w:t>
            </w:r>
            <w:proofErr w:type="spellStart"/>
            <w:r w:rsidRPr="00232655">
              <w:rPr>
                <w:i/>
              </w:rPr>
              <w:t>Presti</w:t>
            </w:r>
            <w:proofErr w:type="spellEnd"/>
            <w:r w:rsidRPr="00232655">
              <w:rPr>
                <w:i/>
              </w:rPr>
              <w:t xml:space="preserve"> </w:t>
            </w:r>
            <w:r w:rsidRPr="00232655">
              <w:t>[2009] WASCA 115; 41 WAR 1</w:t>
            </w:r>
          </w:p>
          <w:p w14:paraId="0EE1A7C0" w14:textId="1D1377A9" w:rsidR="00D64C83" w:rsidRPr="00232655" w:rsidRDefault="00D64C83" w:rsidP="00D82620">
            <w:pPr>
              <w:pStyle w:val="CasesLegislationAppealFrom"/>
              <w:spacing w:after="60"/>
            </w:pPr>
            <w:proofErr w:type="spellStart"/>
            <w:r w:rsidRPr="00232655">
              <w:rPr>
                <w:i/>
                <w:iCs/>
              </w:rPr>
              <w:t>Timberworld</w:t>
            </w:r>
            <w:proofErr w:type="spellEnd"/>
            <w:r w:rsidRPr="00232655">
              <w:rPr>
                <w:i/>
                <w:iCs/>
              </w:rPr>
              <w:t xml:space="preserve"> Ltd v Levin </w:t>
            </w:r>
            <w:r w:rsidRPr="00232655">
              <w:t>[2015] 3 NZLR 365</w:t>
            </w:r>
            <w:bookmarkEnd w:id="4"/>
          </w:p>
        </w:tc>
      </w:tr>
      <w:tr w:rsidR="00A20287" w:rsidRPr="00232655" w14:paraId="041A76FA" w14:textId="77777777" w:rsidTr="00A20287">
        <w:tc>
          <w:tcPr>
            <w:tcW w:w="3085" w:type="dxa"/>
            <w:shd w:val="clear" w:color="auto" w:fill="auto"/>
          </w:tcPr>
          <w:p w14:paraId="2F392E72" w14:textId="77777777" w:rsidR="00A20287" w:rsidRPr="00232655" w:rsidRDefault="00A20287" w:rsidP="00A20287">
            <w:pPr>
              <w:pStyle w:val="Normal1linespace"/>
              <w:jc w:val="left"/>
            </w:pPr>
          </w:p>
        </w:tc>
        <w:tc>
          <w:tcPr>
            <w:tcW w:w="5989" w:type="dxa"/>
            <w:shd w:val="clear" w:color="auto" w:fill="auto"/>
          </w:tcPr>
          <w:p w14:paraId="3FB7AAA6" w14:textId="77777777" w:rsidR="00A20287" w:rsidRPr="00232655" w:rsidRDefault="00A20287" w:rsidP="00A20287">
            <w:pPr>
              <w:pStyle w:val="Normal1linespace"/>
              <w:jc w:val="left"/>
            </w:pPr>
          </w:p>
        </w:tc>
      </w:tr>
      <w:tr w:rsidR="00A20287" w:rsidRPr="00232655" w14:paraId="469BF255" w14:textId="77777777" w:rsidTr="00A20287">
        <w:tc>
          <w:tcPr>
            <w:tcW w:w="3085" w:type="dxa"/>
            <w:shd w:val="clear" w:color="auto" w:fill="auto"/>
          </w:tcPr>
          <w:p w14:paraId="0653120A" w14:textId="77777777" w:rsidR="00A20287" w:rsidRPr="00232655" w:rsidRDefault="00A20287" w:rsidP="00A20287">
            <w:pPr>
              <w:pStyle w:val="Normal1linespace"/>
              <w:jc w:val="left"/>
            </w:pPr>
            <w:bookmarkStart w:id="5" w:name="CounselDate" w:colFirst="0" w:colLast="2"/>
            <w:r w:rsidRPr="00232655">
              <w:t>Date of hearing:</w:t>
            </w:r>
          </w:p>
        </w:tc>
        <w:tc>
          <w:tcPr>
            <w:tcW w:w="5989" w:type="dxa"/>
            <w:shd w:val="clear" w:color="auto" w:fill="auto"/>
          </w:tcPr>
          <w:p w14:paraId="3BE7CC78" w14:textId="3907D2D7" w:rsidR="00A20287" w:rsidRPr="00232655" w:rsidRDefault="001E5929" w:rsidP="00A20287">
            <w:pPr>
              <w:pStyle w:val="Normal1linespace"/>
              <w:jc w:val="left"/>
            </w:pPr>
            <w:bookmarkStart w:id="6" w:name="HearingDate"/>
            <w:r>
              <w:t>Determined on</w:t>
            </w:r>
            <w:r w:rsidR="00A20287" w:rsidRPr="00232655">
              <w:t xml:space="preserve"> the papers</w:t>
            </w:r>
            <w:bookmarkEnd w:id="6"/>
          </w:p>
        </w:tc>
      </w:tr>
      <w:tr w:rsidR="00A20287" w:rsidRPr="00232655" w14:paraId="65E86D33" w14:textId="77777777" w:rsidTr="00A20287">
        <w:tc>
          <w:tcPr>
            <w:tcW w:w="3085" w:type="dxa"/>
            <w:shd w:val="clear" w:color="auto" w:fill="auto"/>
          </w:tcPr>
          <w:p w14:paraId="67AC7F71" w14:textId="77777777" w:rsidR="00A20287" w:rsidRPr="00232655" w:rsidRDefault="00A20287" w:rsidP="00A20287">
            <w:pPr>
              <w:pStyle w:val="Normal1linespace"/>
              <w:jc w:val="left"/>
            </w:pPr>
          </w:p>
        </w:tc>
        <w:tc>
          <w:tcPr>
            <w:tcW w:w="5989" w:type="dxa"/>
            <w:shd w:val="clear" w:color="auto" w:fill="auto"/>
          </w:tcPr>
          <w:p w14:paraId="5FA206B6" w14:textId="77777777" w:rsidR="00A20287" w:rsidRPr="00232655" w:rsidRDefault="00A20287" w:rsidP="00A20287">
            <w:pPr>
              <w:pStyle w:val="Normal1linespace"/>
              <w:jc w:val="left"/>
            </w:pPr>
          </w:p>
        </w:tc>
      </w:tr>
      <w:tr w:rsidR="00A20287" w:rsidRPr="00232655" w14:paraId="6CDBCDF0" w14:textId="77777777" w:rsidTr="00A20287">
        <w:tc>
          <w:tcPr>
            <w:tcW w:w="3085" w:type="dxa"/>
            <w:shd w:val="clear" w:color="auto" w:fill="auto"/>
          </w:tcPr>
          <w:p w14:paraId="20B22BC0" w14:textId="77777777" w:rsidR="00A20287" w:rsidRPr="00232655" w:rsidRDefault="00A20287" w:rsidP="00A20287">
            <w:pPr>
              <w:pStyle w:val="Normal1linespace"/>
              <w:jc w:val="left"/>
            </w:pPr>
            <w:r w:rsidRPr="00232655">
              <w:t>Date of last submissions:</w:t>
            </w:r>
          </w:p>
        </w:tc>
        <w:tc>
          <w:tcPr>
            <w:tcW w:w="5989" w:type="dxa"/>
            <w:shd w:val="clear" w:color="auto" w:fill="auto"/>
          </w:tcPr>
          <w:p w14:paraId="6E451FA4" w14:textId="78699EDE" w:rsidR="00A20287" w:rsidRPr="00232655" w:rsidRDefault="00A20287" w:rsidP="00A20287">
            <w:pPr>
              <w:pStyle w:val="Normal1linespace"/>
              <w:jc w:val="left"/>
            </w:pPr>
            <w:r w:rsidRPr="00232655">
              <w:t>1 July 2020</w:t>
            </w:r>
          </w:p>
        </w:tc>
      </w:tr>
      <w:bookmarkEnd w:id="5"/>
      <w:tr w:rsidR="00A20287" w:rsidRPr="00232655" w14:paraId="752C09D3" w14:textId="77777777" w:rsidTr="00A20287">
        <w:tc>
          <w:tcPr>
            <w:tcW w:w="3085" w:type="dxa"/>
            <w:shd w:val="clear" w:color="auto" w:fill="auto"/>
          </w:tcPr>
          <w:p w14:paraId="53A89488" w14:textId="77777777" w:rsidR="00A20287" w:rsidRPr="00232655" w:rsidRDefault="00A20287" w:rsidP="00A20287">
            <w:pPr>
              <w:pStyle w:val="Normal1linespace"/>
              <w:widowControl w:val="0"/>
              <w:jc w:val="left"/>
            </w:pPr>
          </w:p>
        </w:tc>
        <w:tc>
          <w:tcPr>
            <w:tcW w:w="5989" w:type="dxa"/>
            <w:shd w:val="clear" w:color="auto" w:fill="auto"/>
          </w:tcPr>
          <w:p w14:paraId="0556FCC7" w14:textId="77777777" w:rsidR="00A20287" w:rsidRPr="00232655" w:rsidRDefault="00A20287" w:rsidP="00A20287">
            <w:pPr>
              <w:pStyle w:val="Normal1linespace"/>
              <w:widowControl w:val="0"/>
              <w:jc w:val="left"/>
            </w:pPr>
          </w:p>
        </w:tc>
      </w:tr>
      <w:tr w:rsidR="00A20287" w:rsidRPr="00232655" w14:paraId="11B146F5" w14:textId="77777777" w:rsidTr="00A20287">
        <w:tc>
          <w:tcPr>
            <w:tcW w:w="3085" w:type="dxa"/>
            <w:shd w:val="clear" w:color="auto" w:fill="auto"/>
          </w:tcPr>
          <w:p w14:paraId="3581D1F3" w14:textId="77777777" w:rsidR="00A20287" w:rsidRPr="00232655" w:rsidRDefault="00A20287" w:rsidP="00A20287">
            <w:pPr>
              <w:pStyle w:val="Normal1linespace"/>
              <w:widowControl w:val="0"/>
              <w:jc w:val="left"/>
            </w:pPr>
            <w:r w:rsidRPr="00232655">
              <w:t>Registry:</w:t>
            </w:r>
          </w:p>
        </w:tc>
        <w:tc>
          <w:tcPr>
            <w:tcW w:w="5989" w:type="dxa"/>
            <w:shd w:val="clear" w:color="auto" w:fill="auto"/>
          </w:tcPr>
          <w:p w14:paraId="50601923" w14:textId="565547FC" w:rsidR="00A20287" w:rsidRPr="00232655" w:rsidRDefault="00DF0D0D" w:rsidP="00A20287">
            <w:pPr>
              <w:pStyle w:val="Normal1linespace"/>
              <w:widowControl w:val="0"/>
              <w:jc w:val="left"/>
            </w:pPr>
            <w:r>
              <w:fldChar w:fldCharType="begin" w:fldLock="1"/>
            </w:r>
            <w:r>
              <w:instrText xml:space="preserve"> DOCPROPERTY  Registry </w:instrText>
            </w:r>
            <w:r>
              <w:fldChar w:fldCharType="separate"/>
            </w:r>
            <w:r w:rsidR="00A20287" w:rsidRPr="00232655">
              <w:t>South Australia</w:t>
            </w:r>
            <w:r>
              <w:fldChar w:fldCharType="end"/>
            </w:r>
          </w:p>
        </w:tc>
      </w:tr>
      <w:tr w:rsidR="00A20287" w:rsidRPr="00232655" w14:paraId="2C52441D" w14:textId="77777777" w:rsidTr="00A20287">
        <w:tc>
          <w:tcPr>
            <w:tcW w:w="3085" w:type="dxa"/>
            <w:shd w:val="clear" w:color="auto" w:fill="auto"/>
          </w:tcPr>
          <w:p w14:paraId="58FBE66A" w14:textId="77777777" w:rsidR="00A20287" w:rsidRPr="00232655" w:rsidRDefault="00A20287" w:rsidP="00A20287">
            <w:pPr>
              <w:pStyle w:val="Normal1linespace"/>
              <w:widowControl w:val="0"/>
              <w:jc w:val="left"/>
            </w:pPr>
          </w:p>
        </w:tc>
        <w:tc>
          <w:tcPr>
            <w:tcW w:w="5989" w:type="dxa"/>
            <w:shd w:val="clear" w:color="auto" w:fill="auto"/>
          </w:tcPr>
          <w:p w14:paraId="52C3604D" w14:textId="77777777" w:rsidR="00A20287" w:rsidRPr="00232655" w:rsidRDefault="00A20287" w:rsidP="00A20287">
            <w:pPr>
              <w:pStyle w:val="Normal1linespace"/>
              <w:widowControl w:val="0"/>
              <w:jc w:val="left"/>
            </w:pPr>
          </w:p>
        </w:tc>
      </w:tr>
      <w:tr w:rsidR="00A20287" w:rsidRPr="00232655" w14:paraId="2A644F8D" w14:textId="77777777" w:rsidTr="00A20287">
        <w:tc>
          <w:tcPr>
            <w:tcW w:w="3085" w:type="dxa"/>
            <w:shd w:val="clear" w:color="auto" w:fill="auto"/>
          </w:tcPr>
          <w:p w14:paraId="6B0BD3B7" w14:textId="77777777" w:rsidR="00A20287" w:rsidRPr="00232655" w:rsidRDefault="00A20287" w:rsidP="00A20287">
            <w:pPr>
              <w:pStyle w:val="Normal1linespace"/>
              <w:widowControl w:val="0"/>
              <w:jc w:val="left"/>
            </w:pPr>
            <w:r w:rsidRPr="00232655">
              <w:t>Division:</w:t>
            </w:r>
          </w:p>
        </w:tc>
        <w:tc>
          <w:tcPr>
            <w:tcW w:w="5989" w:type="dxa"/>
            <w:shd w:val="clear" w:color="auto" w:fill="auto"/>
          </w:tcPr>
          <w:p w14:paraId="3FC602C0" w14:textId="379F6A77" w:rsidR="00A20287" w:rsidRPr="00232655" w:rsidRDefault="00DF0D0D" w:rsidP="00A20287">
            <w:pPr>
              <w:pStyle w:val="Normal1linespace"/>
              <w:widowControl w:val="0"/>
              <w:jc w:val="left"/>
            </w:pPr>
            <w:r>
              <w:fldChar w:fldCharType="begin" w:fldLock="1"/>
            </w:r>
            <w:r>
              <w:instrText xml:space="preserve"> DOCPROPERTY  Division </w:instrText>
            </w:r>
            <w:r>
              <w:fldChar w:fldCharType="separate"/>
            </w:r>
            <w:r w:rsidR="00A20287" w:rsidRPr="00232655">
              <w:t>General Division</w:t>
            </w:r>
            <w:r>
              <w:fldChar w:fldCharType="end"/>
            </w:r>
          </w:p>
        </w:tc>
      </w:tr>
      <w:tr w:rsidR="00A20287" w:rsidRPr="00232655" w14:paraId="41A3F861" w14:textId="77777777" w:rsidTr="00A20287">
        <w:tc>
          <w:tcPr>
            <w:tcW w:w="3085" w:type="dxa"/>
            <w:shd w:val="clear" w:color="auto" w:fill="auto"/>
          </w:tcPr>
          <w:p w14:paraId="654C98DB" w14:textId="77777777" w:rsidR="00A20287" w:rsidRPr="00232655" w:rsidRDefault="00A20287" w:rsidP="00A20287">
            <w:pPr>
              <w:pStyle w:val="Normal1linespace"/>
              <w:widowControl w:val="0"/>
              <w:jc w:val="left"/>
            </w:pPr>
          </w:p>
        </w:tc>
        <w:tc>
          <w:tcPr>
            <w:tcW w:w="5989" w:type="dxa"/>
            <w:shd w:val="clear" w:color="auto" w:fill="auto"/>
          </w:tcPr>
          <w:p w14:paraId="4690F215" w14:textId="77777777" w:rsidR="00A20287" w:rsidRPr="00232655" w:rsidRDefault="00A20287" w:rsidP="00A20287">
            <w:pPr>
              <w:pStyle w:val="Normal1linespace"/>
              <w:widowControl w:val="0"/>
              <w:jc w:val="left"/>
              <w:rPr>
                <w:b/>
              </w:rPr>
            </w:pPr>
          </w:p>
        </w:tc>
      </w:tr>
      <w:tr w:rsidR="00A20287" w:rsidRPr="00232655" w14:paraId="4B00E34B" w14:textId="77777777" w:rsidTr="00A20287">
        <w:tc>
          <w:tcPr>
            <w:tcW w:w="3085" w:type="dxa"/>
            <w:shd w:val="clear" w:color="auto" w:fill="auto"/>
          </w:tcPr>
          <w:p w14:paraId="4A7C7888" w14:textId="77777777" w:rsidR="00A20287" w:rsidRPr="00232655" w:rsidRDefault="00A20287" w:rsidP="00A20287">
            <w:pPr>
              <w:pStyle w:val="Normal1linespace"/>
              <w:widowControl w:val="0"/>
              <w:jc w:val="left"/>
            </w:pPr>
            <w:r w:rsidRPr="00232655">
              <w:t>National Practice Area:</w:t>
            </w:r>
          </w:p>
        </w:tc>
        <w:tc>
          <w:tcPr>
            <w:tcW w:w="5989" w:type="dxa"/>
            <w:shd w:val="clear" w:color="auto" w:fill="auto"/>
          </w:tcPr>
          <w:p w14:paraId="2428C456" w14:textId="7144B350" w:rsidR="00A20287" w:rsidRPr="00232655" w:rsidRDefault="00A20287" w:rsidP="00A20287">
            <w:pPr>
              <w:pStyle w:val="Normal1linespace"/>
              <w:widowControl w:val="0"/>
              <w:jc w:val="left"/>
              <w:rPr>
                <w:b/>
              </w:rPr>
            </w:pPr>
            <w:r w:rsidRPr="00232655">
              <w:t>Commercial and Corporations</w:t>
            </w:r>
          </w:p>
        </w:tc>
      </w:tr>
      <w:tr w:rsidR="00A20287" w:rsidRPr="00232655" w14:paraId="5AFFB3C6" w14:textId="77777777" w:rsidTr="00A20287">
        <w:tc>
          <w:tcPr>
            <w:tcW w:w="3085" w:type="dxa"/>
            <w:shd w:val="clear" w:color="auto" w:fill="auto"/>
          </w:tcPr>
          <w:p w14:paraId="7C1C9C18" w14:textId="77777777" w:rsidR="00A20287" w:rsidRPr="00232655" w:rsidRDefault="00A20287" w:rsidP="00A20287">
            <w:pPr>
              <w:pStyle w:val="Normal1linespace"/>
              <w:widowControl w:val="0"/>
              <w:jc w:val="left"/>
            </w:pPr>
          </w:p>
        </w:tc>
        <w:tc>
          <w:tcPr>
            <w:tcW w:w="5989" w:type="dxa"/>
            <w:shd w:val="clear" w:color="auto" w:fill="auto"/>
          </w:tcPr>
          <w:p w14:paraId="709D3B7A" w14:textId="77777777" w:rsidR="00A20287" w:rsidRPr="00232655" w:rsidRDefault="00A20287" w:rsidP="00A20287">
            <w:pPr>
              <w:pStyle w:val="Normal1linespace"/>
              <w:widowControl w:val="0"/>
              <w:jc w:val="left"/>
            </w:pPr>
          </w:p>
        </w:tc>
      </w:tr>
      <w:tr w:rsidR="00A20287" w:rsidRPr="00232655" w14:paraId="395D40F8" w14:textId="77777777" w:rsidTr="00A20287">
        <w:tc>
          <w:tcPr>
            <w:tcW w:w="3085" w:type="dxa"/>
            <w:shd w:val="clear" w:color="auto" w:fill="auto"/>
          </w:tcPr>
          <w:p w14:paraId="1EA0A7E5" w14:textId="77777777" w:rsidR="00A20287" w:rsidRPr="00232655" w:rsidRDefault="00A20287" w:rsidP="00A20287">
            <w:pPr>
              <w:pStyle w:val="Normal1linespace"/>
              <w:widowControl w:val="0"/>
              <w:jc w:val="left"/>
            </w:pPr>
            <w:r w:rsidRPr="00232655">
              <w:t>Sub-area:</w:t>
            </w:r>
          </w:p>
        </w:tc>
        <w:tc>
          <w:tcPr>
            <w:tcW w:w="5989" w:type="dxa"/>
            <w:shd w:val="clear" w:color="auto" w:fill="auto"/>
          </w:tcPr>
          <w:p w14:paraId="1455C46D" w14:textId="390512DF" w:rsidR="00A20287" w:rsidRPr="00232655" w:rsidRDefault="00DF0D0D" w:rsidP="00A20287">
            <w:pPr>
              <w:pStyle w:val="Normal1linespace"/>
              <w:widowControl w:val="0"/>
              <w:jc w:val="left"/>
            </w:pPr>
            <w:r>
              <w:fldChar w:fldCharType="begin" w:fldLock="1"/>
            </w:r>
            <w:r>
              <w:instrText xml:space="preserve"> DOCPROPERTY  "Sub Area"  \* MERGEFORMAT </w:instrText>
            </w:r>
            <w:r>
              <w:fldChar w:fldCharType="separate"/>
            </w:r>
            <w:r w:rsidR="00A20287" w:rsidRPr="00232655">
              <w:rPr>
                <w:bCs/>
                <w:lang w:val="en-US"/>
              </w:rPr>
              <w:t>Corporations and Corporate Insolvency</w:t>
            </w:r>
            <w:r>
              <w:rPr>
                <w:bCs/>
                <w:lang w:val="en-US"/>
              </w:rPr>
              <w:fldChar w:fldCharType="end"/>
            </w:r>
          </w:p>
        </w:tc>
      </w:tr>
      <w:tr w:rsidR="00A20287" w:rsidRPr="00232655" w14:paraId="32DF8F84" w14:textId="77777777" w:rsidTr="00A20287">
        <w:tc>
          <w:tcPr>
            <w:tcW w:w="3085" w:type="dxa"/>
            <w:shd w:val="clear" w:color="auto" w:fill="auto"/>
          </w:tcPr>
          <w:p w14:paraId="49924CD9" w14:textId="77777777" w:rsidR="00A20287" w:rsidRPr="00232655" w:rsidRDefault="00A20287" w:rsidP="00A20287">
            <w:pPr>
              <w:pStyle w:val="Normal1linespace"/>
              <w:widowControl w:val="0"/>
              <w:jc w:val="left"/>
            </w:pPr>
          </w:p>
        </w:tc>
        <w:tc>
          <w:tcPr>
            <w:tcW w:w="5989" w:type="dxa"/>
            <w:shd w:val="clear" w:color="auto" w:fill="auto"/>
          </w:tcPr>
          <w:p w14:paraId="0C9B0A1C" w14:textId="77777777" w:rsidR="00A20287" w:rsidRPr="00232655" w:rsidRDefault="00A20287" w:rsidP="00A20287">
            <w:pPr>
              <w:pStyle w:val="Normal1linespace"/>
              <w:widowControl w:val="0"/>
              <w:jc w:val="left"/>
              <w:rPr>
                <w:b/>
              </w:rPr>
            </w:pPr>
          </w:p>
        </w:tc>
      </w:tr>
      <w:tr w:rsidR="00A20287" w:rsidRPr="00232655" w14:paraId="66A37721" w14:textId="77777777" w:rsidTr="00A20287">
        <w:tc>
          <w:tcPr>
            <w:tcW w:w="3085" w:type="dxa"/>
            <w:shd w:val="clear" w:color="auto" w:fill="auto"/>
          </w:tcPr>
          <w:p w14:paraId="45918F66" w14:textId="77777777" w:rsidR="00A20287" w:rsidRPr="00232655" w:rsidRDefault="00A20287" w:rsidP="00A20287">
            <w:pPr>
              <w:pStyle w:val="Normal1linespace"/>
              <w:widowControl w:val="0"/>
              <w:jc w:val="left"/>
            </w:pPr>
            <w:r w:rsidRPr="00232655">
              <w:t>Category:</w:t>
            </w:r>
          </w:p>
        </w:tc>
        <w:tc>
          <w:tcPr>
            <w:tcW w:w="5989" w:type="dxa"/>
            <w:shd w:val="clear" w:color="auto" w:fill="auto"/>
          </w:tcPr>
          <w:p w14:paraId="7C370ABA" w14:textId="1F59D9E0" w:rsidR="00A20287" w:rsidRPr="00232655" w:rsidRDefault="00A20287" w:rsidP="00A20287">
            <w:pPr>
              <w:pStyle w:val="Normal1linespace"/>
              <w:widowControl w:val="0"/>
              <w:jc w:val="left"/>
            </w:pPr>
            <w:r w:rsidRPr="00232655">
              <w:t>Catchwords</w:t>
            </w:r>
          </w:p>
        </w:tc>
      </w:tr>
      <w:tr w:rsidR="00A20287" w:rsidRPr="00232655" w14:paraId="6CE56190" w14:textId="77777777" w:rsidTr="00A20287">
        <w:tc>
          <w:tcPr>
            <w:tcW w:w="3085" w:type="dxa"/>
            <w:shd w:val="clear" w:color="auto" w:fill="auto"/>
          </w:tcPr>
          <w:p w14:paraId="281E2D0B" w14:textId="77777777" w:rsidR="00A20287" w:rsidRPr="00232655" w:rsidRDefault="00A20287" w:rsidP="00A20287">
            <w:pPr>
              <w:pStyle w:val="Normal1linespace"/>
              <w:widowControl w:val="0"/>
              <w:jc w:val="left"/>
            </w:pPr>
          </w:p>
        </w:tc>
        <w:tc>
          <w:tcPr>
            <w:tcW w:w="5989" w:type="dxa"/>
            <w:shd w:val="clear" w:color="auto" w:fill="auto"/>
          </w:tcPr>
          <w:p w14:paraId="28B2C2BC" w14:textId="77777777" w:rsidR="00A20287" w:rsidRPr="00232655" w:rsidRDefault="00A20287" w:rsidP="00A20287">
            <w:pPr>
              <w:pStyle w:val="Normal1linespace"/>
              <w:widowControl w:val="0"/>
              <w:jc w:val="left"/>
            </w:pPr>
          </w:p>
        </w:tc>
      </w:tr>
      <w:tr w:rsidR="00A20287" w:rsidRPr="00232655" w14:paraId="4203014C" w14:textId="77777777" w:rsidTr="00A20287">
        <w:tc>
          <w:tcPr>
            <w:tcW w:w="3085" w:type="dxa"/>
            <w:shd w:val="clear" w:color="auto" w:fill="auto"/>
          </w:tcPr>
          <w:p w14:paraId="36DCC527" w14:textId="77777777" w:rsidR="00A20287" w:rsidRPr="00232655" w:rsidRDefault="00A20287" w:rsidP="00A20287">
            <w:pPr>
              <w:pStyle w:val="Normal1linespace"/>
              <w:widowControl w:val="0"/>
              <w:jc w:val="left"/>
            </w:pPr>
            <w:r w:rsidRPr="00232655">
              <w:t>Number of paragraphs:</w:t>
            </w:r>
          </w:p>
        </w:tc>
        <w:tc>
          <w:tcPr>
            <w:tcW w:w="5989" w:type="dxa"/>
            <w:shd w:val="clear" w:color="auto" w:fill="auto"/>
          </w:tcPr>
          <w:p w14:paraId="4E843C1D" w14:textId="576BB957" w:rsidR="00A20287" w:rsidRPr="00232655" w:rsidRDefault="00A20287" w:rsidP="00A20287">
            <w:pPr>
              <w:pStyle w:val="Normal1linespace"/>
              <w:widowControl w:val="0"/>
              <w:jc w:val="left"/>
            </w:pPr>
            <w:bookmarkStart w:id="7" w:name="PlaceCategoryParagraphs"/>
            <w:r w:rsidRPr="00232655">
              <w:t>5</w:t>
            </w:r>
            <w:bookmarkEnd w:id="7"/>
          </w:p>
        </w:tc>
      </w:tr>
      <w:tr w:rsidR="00A20287" w:rsidRPr="00232655" w14:paraId="08273F99" w14:textId="77777777" w:rsidTr="00A20287">
        <w:tc>
          <w:tcPr>
            <w:tcW w:w="3085" w:type="dxa"/>
            <w:shd w:val="clear" w:color="auto" w:fill="auto"/>
          </w:tcPr>
          <w:p w14:paraId="5AB22ACD" w14:textId="77777777" w:rsidR="00A20287" w:rsidRPr="00232655" w:rsidRDefault="00A20287" w:rsidP="00A20287">
            <w:pPr>
              <w:pStyle w:val="Normal1linespace"/>
              <w:widowControl w:val="0"/>
              <w:jc w:val="left"/>
            </w:pPr>
          </w:p>
        </w:tc>
        <w:tc>
          <w:tcPr>
            <w:tcW w:w="5989" w:type="dxa"/>
            <w:shd w:val="clear" w:color="auto" w:fill="auto"/>
          </w:tcPr>
          <w:p w14:paraId="0020DF68" w14:textId="77777777" w:rsidR="00A20287" w:rsidRPr="00232655" w:rsidRDefault="00A20287" w:rsidP="00A20287">
            <w:pPr>
              <w:pStyle w:val="Normal1linespace"/>
              <w:widowControl w:val="0"/>
              <w:jc w:val="left"/>
            </w:pPr>
          </w:p>
        </w:tc>
      </w:tr>
      <w:tr w:rsidR="00A20287" w:rsidRPr="00232655" w14:paraId="79B1E1C7" w14:textId="77777777" w:rsidTr="00A20287">
        <w:tc>
          <w:tcPr>
            <w:tcW w:w="3085" w:type="dxa"/>
            <w:shd w:val="clear" w:color="auto" w:fill="auto"/>
          </w:tcPr>
          <w:p w14:paraId="64BF8781" w14:textId="16386873" w:rsidR="00A20287" w:rsidRPr="00232655" w:rsidRDefault="00A20287" w:rsidP="00A20287">
            <w:pPr>
              <w:pStyle w:val="Normal1linespace"/>
              <w:widowControl w:val="0"/>
              <w:jc w:val="left"/>
            </w:pPr>
            <w:bookmarkStart w:id="8" w:name="Counsel" w:colFirst="0" w:colLast="2"/>
            <w:r w:rsidRPr="00232655">
              <w:t>Counsel for the Plaintiffs:</w:t>
            </w:r>
          </w:p>
        </w:tc>
        <w:tc>
          <w:tcPr>
            <w:tcW w:w="5989" w:type="dxa"/>
            <w:shd w:val="clear" w:color="auto" w:fill="auto"/>
          </w:tcPr>
          <w:p w14:paraId="22BE4D8D" w14:textId="0D0BCDBC" w:rsidR="00A20287" w:rsidRPr="00232655" w:rsidRDefault="00A20287" w:rsidP="00A20287">
            <w:pPr>
              <w:pStyle w:val="Normal1linespace"/>
              <w:widowControl w:val="0"/>
              <w:jc w:val="left"/>
            </w:pPr>
            <w:bookmarkStart w:id="9" w:name="AppCounsel"/>
            <w:bookmarkEnd w:id="9"/>
            <w:r w:rsidRPr="00232655">
              <w:t>Mr J Evans QC with Mr B Gibson</w:t>
            </w:r>
          </w:p>
        </w:tc>
      </w:tr>
      <w:tr w:rsidR="00A20287" w:rsidRPr="00232655" w14:paraId="13596471" w14:textId="77777777" w:rsidTr="00A20287">
        <w:tc>
          <w:tcPr>
            <w:tcW w:w="3085" w:type="dxa"/>
            <w:shd w:val="clear" w:color="auto" w:fill="auto"/>
          </w:tcPr>
          <w:p w14:paraId="2B4C2C08" w14:textId="77777777" w:rsidR="00A20287" w:rsidRPr="00232655" w:rsidRDefault="00A20287" w:rsidP="00A20287">
            <w:pPr>
              <w:pStyle w:val="Normal1linespace"/>
              <w:widowControl w:val="0"/>
              <w:jc w:val="left"/>
            </w:pPr>
          </w:p>
        </w:tc>
        <w:tc>
          <w:tcPr>
            <w:tcW w:w="5989" w:type="dxa"/>
            <w:shd w:val="clear" w:color="auto" w:fill="auto"/>
          </w:tcPr>
          <w:p w14:paraId="24420227" w14:textId="77777777" w:rsidR="00A20287" w:rsidRPr="00232655" w:rsidRDefault="00A20287" w:rsidP="00A20287">
            <w:pPr>
              <w:pStyle w:val="Normal1linespace"/>
              <w:widowControl w:val="0"/>
              <w:jc w:val="left"/>
            </w:pPr>
          </w:p>
        </w:tc>
      </w:tr>
      <w:tr w:rsidR="00A20287" w:rsidRPr="00232655" w14:paraId="4D7A054E" w14:textId="77777777" w:rsidTr="00A20287">
        <w:tc>
          <w:tcPr>
            <w:tcW w:w="3085" w:type="dxa"/>
            <w:shd w:val="clear" w:color="auto" w:fill="auto"/>
          </w:tcPr>
          <w:p w14:paraId="63D84328" w14:textId="18E0637D" w:rsidR="00A20287" w:rsidRPr="00232655" w:rsidRDefault="00A20287" w:rsidP="00A20287">
            <w:pPr>
              <w:pStyle w:val="Normal1linespace"/>
              <w:widowControl w:val="0"/>
              <w:jc w:val="left"/>
            </w:pPr>
            <w:r w:rsidRPr="00232655">
              <w:t>Solicitor for the Plaintiffs:</w:t>
            </w:r>
          </w:p>
        </w:tc>
        <w:tc>
          <w:tcPr>
            <w:tcW w:w="5989" w:type="dxa"/>
            <w:shd w:val="clear" w:color="auto" w:fill="auto"/>
          </w:tcPr>
          <w:p w14:paraId="7A95520F" w14:textId="7355831B" w:rsidR="00A20287" w:rsidRPr="00232655" w:rsidRDefault="00A20287" w:rsidP="00A20287">
            <w:pPr>
              <w:pStyle w:val="Normal1linespace"/>
              <w:widowControl w:val="0"/>
              <w:jc w:val="left"/>
            </w:pPr>
            <w:r w:rsidRPr="00232655">
              <w:t>Johnson Winter &amp; Slattery</w:t>
            </w:r>
          </w:p>
        </w:tc>
      </w:tr>
      <w:tr w:rsidR="00A20287" w:rsidRPr="00232655" w14:paraId="4C653768" w14:textId="77777777" w:rsidTr="00A20287">
        <w:tc>
          <w:tcPr>
            <w:tcW w:w="3085" w:type="dxa"/>
            <w:shd w:val="clear" w:color="auto" w:fill="auto"/>
          </w:tcPr>
          <w:p w14:paraId="28BB21FE" w14:textId="77777777" w:rsidR="00A20287" w:rsidRPr="00232655" w:rsidRDefault="00A20287" w:rsidP="00A20287">
            <w:pPr>
              <w:pStyle w:val="Normal1linespace"/>
              <w:widowControl w:val="0"/>
              <w:jc w:val="left"/>
            </w:pPr>
          </w:p>
        </w:tc>
        <w:tc>
          <w:tcPr>
            <w:tcW w:w="5989" w:type="dxa"/>
            <w:shd w:val="clear" w:color="auto" w:fill="auto"/>
          </w:tcPr>
          <w:p w14:paraId="2E13E5D7" w14:textId="77777777" w:rsidR="00A20287" w:rsidRPr="00232655" w:rsidRDefault="00A20287" w:rsidP="00A20287">
            <w:pPr>
              <w:pStyle w:val="Normal1linespace"/>
              <w:widowControl w:val="0"/>
              <w:jc w:val="left"/>
            </w:pPr>
          </w:p>
        </w:tc>
      </w:tr>
      <w:tr w:rsidR="00A20287" w:rsidRPr="00232655" w14:paraId="593C6787" w14:textId="77777777" w:rsidTr="00A20287">
        <w:tc>
          <w:tcPr>
            <w:tcW w:w="3085" w:type="dxa"/>
            <w:shd w:val="clear" w:color="auto" w:fill="auto"/>
          </w:tcPr>
          <w:p w14:paraId="7A025B19" w14:textId="329394B3" w:rsidR="00A20287" w:rsidRPr="00232655" w:rsidRDefault="00A20287" w:rsidP="00A20287">
            <w:pPr>
              <w:pStyle w:val="Normal1linespace"/>
              <w:widowControl w:val="0"/>
              <w:jc w:val="left"/>
            </w:pPr>
            <w:r w:rsidRPr="00232655">
              <w:t>Counsel for the Defendant:</w:t>
            </w:r>
          </w:p>
        </w:tc>
        <w:tc>
          <w:tcPr>
            <w:tcW w:w="5989" w:type="dxa"/>
            <w:shd w:val="clear" w:color="auto" w:fill="auto"/>
          </w:tcPr>
          <w:p w14:paraId="476DC571" w14:textId="62BC7476" w:rsidR="00A20287" w:rsidRPr="00232655" w:rsidRDefault="00A20287" w:rsidP="00A20287">
            <w:pPr>
              <w:pStyle w:val="Normal1linespace"/>
              <w:widowControl w:val="0"/>
              <w:jc w:val="left"/>
            </w:pPr>
            <w:r w:rsidRPr="00232655">
              <w:t xml:space="preserve">Mr M G R </w:t>
            </w:r>
            <w:proofErr w:type="spellStart"/>
            <w:r w:rsidRPr="00232655">
              <w:t>Gronow</w:t>
            </w:r>
            <w:proofErr w:type="spellEnd"/>
            <w:r w:rsidRPr="00232655">
              <w:t xml:space="preserve"> QC with Ms R G Morison</w:t>
            </w:r>
          </w:p>
        </w:tc>
      </w:tr>
      <w:tr w:rsidR="00A20287" w:rsidRPr="00232655" w14:paraId="36172FBB" w14:textId="77777777" w:rsidTr="00A20287">
        <w:tc>
          <w:tcPr>
            <w:tcW w:w="3085" w:type="dxa"/>
            <w:shd w:val="clear" w:color="auto" w:fill="auto"/>
          </w:tcPr>
          <w:p w14:paraId="125E170F" w14:textId="77777777" w:rsidR="00A20287" w:rsidRPr="00232655" w:rsidRDefault="00A20287" w:rsidP="00A20287">
            <w:pPr>
              <w:pStyle w:val="Normal1linespace"/>
              <w:widowControl w:val="0"/>
              <w:jc w:val="left"/>
            </w:pPr>
          </w:p>
        </w:tc>
        <w:tc>
          <w:tcPr>
            <w:tcW w:w="5989" w:type="dxa"/>
            <w:shd w:val="clear" w:color="auto" w:fill="auto"/>
          </w:tcPr>
          <w:p w14:paraId="3EA75FE8" w14:textId="77777777" w:rsidR="00A20287" w:rsidRPr="00232655" w:rsidRDefault="00A20287" w:rsidP="00A20287">
            <w:pPr>
              <w:pStyle w:val="Normal1linespace"/>
              <w:widowControl w:val="0"/>
              <w:jc w:val="left"/>
            </w:pPr>
          </w:p>
        </w:tc>
      </w:tr>
      <w:tr w:rsidR="00A20287" w:rsidRPr="00232655" w14:paraId="750F5975" w14:textId="77777777" w:rsidTr="00A20287">
        <w:tc>
          <w:tcPr>
            <w:tcW w:w="3085" w:type="dxa"/>
            <w:shd w:val="clear" w:color="auto" w:fill="auto"/>
          </w:tcPr>
          <w:p w14:paraId="3A2F30BF" w14:textId="72CCC01C" w:rsidR="00A20287" w:rsidRPr="00232655" w:rsidRDefault="00A20287" w:rsidP="00A20287">
            <w:pPr>
              <w:pStyle w:val="Normal1linespace"/>
              <w:widowControl w:val="0"/>
              <w:jc w:val="left"/>
            </w:pPr>
            <w:r w:rsidRPr="00232655">
              <w:t>Solicitor for the Defendant:</w:t>
            </w:r>
          </w:p>
        </w:tc>
        <w:tc>
          <w:tcPr>
            <w:tcW w:w="5989" w:type="dxa"/>
            <w:shd w:val="clear" w:color="auto" w:fill="auto"/>
          </w:tcPr>
          <w:p w14:paraId="3F6DDEF6" w14:textId="4BF00256" w:rsidR="00A20287" w:rsidRPr="00232655" w:rsidRDefault="00A20287" w:rsidP="00A20287">
            <w:pPr>
              <w:pStyle w:val="Normal1linespace"/>
              <w:widowControl w:val="0"/>
              <w:jc w:val="left"/>
            </w:pPr>
            <w:proofErr w:type="spellStart"/>
            <w:r w:rsidRPr="00232655">
              <w:t>Scanlan</w:t>
            </w:r>
            <w:proofErr w:type="spellEnd"/>
            <w:r w:rsidRPr="00232655">
              <w:t xml:space="preserve"> Carroll Pty Ltd</w:t>
            </w:r>
          </w:p>
        </w:tc>
      </w:tr>
      <w:bookmarkEnd w:id="8"/>
    </w:tbl>
    <w:p w14:paraId="7FC4CB8F" w14:textId="0D59204F" w:rsidR="00395B24" w:rsidRPr="00232655" w:rsidRDefault="00395B24">
      <w:pPr>
        <w:pStyle w:val="Normal1linespace"/>
      </w:pPr>
    </w:p>
    <w:p w14:paraId="3BC23805" w14:textId="77777777" w:rsidR="0092590B" w:rsidRPr="00232655" w:rsidRDefault="0092590B">
      <w:pPr>
        <w:pStyle w:val="Normal1linespace"/>
      </w:pPr>
    </w:p>
    <w:p w14:paraId="24EBE72B" w14:textId="77777777" w:rsidR="00395B24" w:rsidRPr="00232655" w:rsidRDefault="00395B24">
      <w:pPr>
        <w:pStyle w:val="Normal1linespace"/>
        <w:sectPr w:rsidR="00395B24" w:rsidRPr="00232655">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09101DD0" w14:textId="77777777" w:rsidR="008C7167" w:rsidRPr="00232655" w:rsidRDefault="0011419D" w:rsidP="00045BB7">
      <w:pPr>
        <w:pStyle w:val="NormalHeadings"/>
        <w:spacing w:line="480" w:lineRule="auto"/>
        <w:jc w:val="center"/>
        <w:rPr>
          <w:sz w:val="28"/>
          <w:szCs w:val="28"/>
        </w:rPr>
      </w:pPr>
      <w:r w:rsidRPr="00232655">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RPr="00232655" w14:paraId="5C396931" w14:textId="77777777" w:rsidTr="00086B52">
        <w:tc>
          <w:tcPr>
            <w:tcW w:w="6912" w:type="dxa"/>
            <w:gridSpan w:val="2"/>
          </w:tcPr>
          <w:p w14:paraId="4A546916" w14:textId="77777777" w:rsidR="00A46CCC" w:rsidRPr="00232655" w:rsidRDefault="00A46CCC" w:rsidP="00525A49">
            <w:pPr>
              <w:pStyle w:val="NormalHeadings"/>
            </w:pPr>
          </w:p>
        </w:tc>
        <w:tc>
          <w:tcPr>
            <w:tcW w:w="2330" w:type="dxa"/>
          </w:tcPr>
          <w:p w14:paraId="2350577F" w14:textId="77777777" w:rsidR="00A46CCC" w:rsidRPr="00232655" w:rsidRDefault="00ED3A28" w:rsidP="00F92355">
            <w:pPr>
              <w:pStyle w:val="NormalHeadings"/>
              <w:jc w:val="right"/>
            </w:pPr>
            <w:bookmarkStart w:id="10" w:name="FileNo"/>
            <w:r w:rsidRPr="00232655">
              <w:t>SAD 341 of 2015</w:t>
            </w:r>
            <w:bookmarkEnd w:id="10"/>
          </w:p>
        </w:tc>
      </w:tr>
      <w:tr w:rsidR="00A76C13" w:rsidRPr="00232655" w14:paraId="18250C08" w14:textId="77777777" w:rsidTr="00086B52">
        <w:tc>
          <w:tcPr>
            <w:tcW w:w="9242" w:type="dxa"/>
            <w:gridSpan w:val="3"/>
          </w:tcPr>
          <w:p w14:paraId="218576A3" w14:textId="77777777" w:rsidR="00A76C13" w:rsidRPr="00232655" w:rsidRDefault="00ED3A28" w:rsidP="00ED3A28">
            <w:pPr>
              <w:pStyle w:val="NormalHeadings"/>
              <w:spacing w:before="240" w:after="240"/>
              <w:jc w:val="left"/>
            </w:pPr>
            <w:bookmarkStart w:id="11" w:name="InTheMatterOf"/>
            <w:r w:rsidRPr="00232655">
              <w:t>IN THE MATTER OF GUNNS LIMITED (IN LIQUIDATION) (RECEIVERS &amp; MANAGERS APPOINTED) (ACN 009 478 148)</w:t>
            </w:r>
            <w:bookmarkEnd w:id="11"/>
          </w:p>
        </w:tc>
      </w:tr>
      <w:tr w:rsidR="00A46CCC" w:rsidRPr="00232655" w14:paraId="38D34126" w14:textId="77777777" w:rsidTr="00086B52">
        <w:trPr>
          <w:trHeight w:val="386"/>
        </w:trPr>
        <w:tc>
          <w:tcPr>
            <w:tcW w:w="2376" w:type="dxa"/>
          </w:tcPr>
          <w:p w14:paraId="604B46F3" w14:textId="77777777" w:rsidR="00A46CCC" w:rsidRPr="00232655" w:rsidRDefault="00A46CCC" w:rsidP="005041F0">
            <w:pPr>
              <w:pStyle w:val="NormalHeadings"/>
              <w:jc w:val="left"/>
              <w:rPr>
                <w:caps/>
                <w:szCs w:val="24"/>
              </w:rPr>
            </w:pPr>
            <w:bookmarkStart w:id="12" w:name="Parties"/>
            <w:r w:rsidRPr="00232655">
              <w:rPr>
                <w:caps/>
                <w:szCs w:val="24"/>
              </w:rPr>
              <w:t>BETWEEN:</w:t>
            </w:r>
          </w:p>
        </w:tc>
        <w:tc>
          <w:tcPr>
            <w:tcW w:w="6866" w:type="dxa"/>
            <w:gridSpan w:val="2"/>
          </w:tcPr>
          <w:p w14:paraId="1833FB3E" w14:textId="77777777" w:rsidR="00086B52" w:rsidRPr="001570EC" w:rsidRDefault="00086B52" w:rsidP="00086B52">
            <w:pPr>
              <w:pStyle w:val="NormalHeadings"/>
              <w:jc w:val="left"/>
            </w:pPr>
            <w:bookmarkStart w:id="13" w:name="Applicant"/>
            <w:bookmarkEnd w:id="13"/>
            <w:r w:rsidRPr="001570EC">
              <w:t>DANIEL MATHEW BRYANT, IAN MENZIES CARSON AND CRAIG DAVID CROSBIE (IN THEIR CAPACITIES AS JOINT AND SEVERAL LIQUIDATORS OF GUNNS LIMITED (IN LIQUIDATION) (RECEIVERS AND MANAGERS APPOINTED) (ACN 009 478 148))</w:t>
            </w:r>
          </w:p>
          <w:p w14:paraId="0BD31E8F" w14:textId="77777777" w:rsidR="00A46CCC" w:rsidRPr="001B786F" w:rsidRDefault="00086B52" w:rsidP="001B786F">
            <w:pPr>
              <w:pStyle w:val="PartyType"/>
            </w:pPr>
            <w:r w:rsidRPr="00086B52">
              <w:t>Plaintiffs</w:t>
            </w:r>
          </w:p>
          <w:p w14:paraId="42EDD362" w14:textId="4DD552B7" w:rsidR="00086B52" w:rsidRPr="00086B52" w:rsidRDefault="00086B52" w:rsidP="00086B52">
            <w:pPr>
              <w:pStyle w:val="NormalHeadings"/>
              <w:jc w:val="left"/>
              <w:rPr>
                <w:b w:val="0"/>
              </w:rPr>
            </w:pPr>
          </w:p>
        </w:tc>
      </w:tr>
      <w:tr w:rsidR="00A46CCC" w:rsidRPr="00232655" w14:paraId="3F5511C1" w14:textId="77777777" w:rsidTr="00086B52">
        <w:trPr>
          <w:trHeight w:val="386"/>
        </w:trPr>
        <w:tc>
          <w:tcPr>
            <w:tcW w:w="2376" w:type="dxa"/>
          </w:tcPr>
          <w:p w14:paraId="1B7733E3" w14:textId="77777777" w:rsidR="00A46CCC" w:rsidRPr="00232655" w:rsidRDefault="00A46CCC" w:rsidP="005041F0">
            <w:pPr>
              <w:pStyle w:val="NormalHeadings"/>
              <w:jc w:val="left"/>
              <w:rPr>
                <w:caps/>
                <w:szCs w:val="24"/>
              </w:rPr>
            </w:pPr>
            <w:r w:rsidRPr="00232655">
              <w:rPr>
                <w:caps/>
                <w:szCs w:val="24"/>
              </w:rPr>
              <w:t>AND:</w:t>
            </w:r>
          </w:p>
        </w:tc>
        <w:tc>
          <w:tcPr>
            <w:tcW w:w="6866" w:type="dxa"/>
            <w:gridSpan w:val="2"/>
          </w:tcPr>
          <w:p w14:paraId="470E4037" w14:textId="77777777" w:rsidR="00ED3A28" w:rsidRPr="00232655" w:rsidRDefault="00ED3A28" w:rsidP="00ED3A28">
            <w:pPr>
              <w:pStyle w:val="NormalHeadings"/>
              <w:jc w:val="left"/>
            </w:pPr>
            <w:bookmarkStart w:id="14" w:name="Respondent"/>
            <w:r w:rsidRPr="00232655">
              <w:t>BADENOCH INTEGRATED LOGGING PTY LTD (ACN 097 956 995)</w:t>
            </w:r>
          </w:p>
          <w:p w14:paraId="08C25307" w14:textId="77777777" w:rsidR="00ED3A28" w:rsidRPr="00232655" w:rsidRDefault="00ED3A28" w:rsidP="00ED3A28">
            <w:pPr>
              <w:pStyle w:val="PartyType"/>
            </w:pPr>
            <w:r w:rsidRPr="00232655">
              <w:t>Defendant</w:t>
            </w:r>
          </w:p>
          <w:bookmarkEnd w:id="14"/>
          <w:p w14:paraId="21F7ED3D" w14:textId="77777777" w:rsidR="00A46CCC" w:rsidRPr="00232655" w:rsidRDefault="00A46CCC" w:rsidP="005041F0">
            <w:pPr>
              <w:pStyle w:val="NormalHeadings"/>
              <w:jc w:val="left"/>
            </w:pPr>
          </w:p>
        </w:tc>
      </w:tr>
    </w:tbl>
    <w:p w14:paraId="3D96F5BA" w14:textId="77777777" w:rsidR="00395B24" w:rsidRPr="00232655"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rsidRPr="00232655" w14:paraId="211231DF" w14:textId="77777777">
        <w:tc>
          <w:tcPr>
            <w:tcW w:w="2376" w:type="dxa"/>
          </w:tcPr>
          <w:p w14:paraId="635DA787" w14:textId="77777777" w:rsidR="00395B24" w:rsidRPr="00232655" w:rsidRDefault="00ED3A28">
            <w:pPr>
              <w:pStyle w:val="NormalHeadings"/>
              <w:spacing w:after="120"/>
              <w:jc w:val="left"/>
              <w:rPr>
                <w:caps/>
                <w:szCs w:val="24"/>
              </w:rPr>
            </w:pPr>
            <w:bookmarkStart w:id="16" w:name="JudgeText"/>
            <w:r w:rsidRPr="00232655">
              <w:rPr>
                <w:caps/>
                <w:szCs w:val="24"/>
              </w:rPr>
              <w:t>JUDGE</w:t>
            </w:r>
            <w:bookmarkEnd w:id="16"/>
            <w:r w:rsidR="002C7385" w:rsidRPr="00232655">
              <w:rPr>
                <w:caps/>
                <w:szCs w:val="24"/>
              </w:rPr>
              <w:t>:</w:t>
            </w:r>
          </w:p>
        </w:tc>
        <w:tc>
          <w:tcPr>
            <w:tcW w:w="6866" w:type="dxa"/>
          </w:tcPr>
          <w:p w14:paraId="1AF0C069" w14:textId="77777777" w:rsidR="00395B24" w:rsidRPr="00232655" w:rsidRDefault="00ED3A28">
            <w:pPr>
              <w:pStyle w:val="NormalHeadings"/>
              <w:jc w:val="left"/>
              <w:rPr>
                <w:caps/>
                <w:szCs w:val="24"/>
              </w:rPr>
            </w:pPr>
            <w:bookmarkStart w:id="17" w:name="Judge"/>
            <w:r w:rsidRPr="00232655">
              <w:rPr>
                <w:caps/>
                <w:szCs w:val="24"/>
              </w:rPr>
              <w:t>DAVIES J</w:t>
            </w:r>
            <w:bookmarkEnd w:id="17"/>
          </w:p>
        </w:tc>
      </w:tr>
      <w:tr w:rsidR="00395B24" w:rsidRPr="00232655" w14:paraId="47BAC7CA" w14:textId="77777777">
        <w:tc>
          <w:tcPr>
            <w:tcW w:w="2376" w:type="dxa"/>
          </w:tcPr>
          <w:p w14:paraId="520FF48E" w14:textId="77777777" w:rsidR="00395B24" w:rsidRPr="00232655" w:rsidRDefault="002C7385">
            <w:pPr>
              <w:pStyle w:val="NormalHeadings"/>
              <w:spacing w:after="120"/>
              <w:jc w:val="left"/>
              <w:rPr>
                <w:caps/>
                <w:szCs w:val="24"/>
              </w:rPr>
            </w:pPr>
            <w:r w:rsidRPr="00232655">
              <w:rPr>
                <w:caps/>
                <w:szCs w:val="24"/>
              </w:rPr>
              <w:t>DATE OF ORDER:</w:t>
            </w:r>
          </w:p>
        </w:tc>
        <w:tc>
          <w:tcPr>
            <w:tcW w:w="6866" w:type="dxa"/>
          </w:tcPr>
          <w:p w14:paraId="4925BC6F" w14:textId="40186280" w:rsidR="00395B24" w:rsidRPr="00232655" w:rsidRDefault="00F04D15" w:rsidP="00F04D15">
            <w:pPr>
              <w:pStyle w:val="NormalHeadings"/>
              <w:jc w:val="left"/>
              <w:rPr>
                <w:caps/>
                <w:szCs w:val="24"/>
              </w:rPr>
            </w:pPr>
            <w:bookmarkStart w:id="18" w:name="Judgment_Dated"/>
            <w:r w:rsidRPr="00232655">
              <w:rPr>
                <w:caps/>
                <w:szCs w:val="24"/>
              </w:rPr>
              <w:t>30</w:t>
            </w:r>
            <w:r w:rsidR="00F60AE8" w:rsidRPr="00232655">
              <w:rPr>
                <w:caps/>
                <w:szCs w:val="24"/>
              </w:rPr>
              <w:t xml:space="preserve"> </w:t>
            </w:r>
            <w:r w:rsidR="00A76AF0" w:rsidRPr="00232655">
              <w:rPr>
                <w:caps/>
                <w:szCs w:val="24"/>
              </w:rPr>
              <w:t>July</w:t>
            </w:r>
            <w:r w:rsidR="00ED3A28" w:rsidRPr="00232655">
              <w:rPr>
                <w:caps/>
                <w:szCs w:val="24"/>
              </w:rPr>
              <w:t xml:space="preserve"> 2020</w:t>
            </w:r>
            <w:bookmarkEnd w:id="18"/>
          </w:p>
        </w:tc>
      </w:tr>
    </w:tbl>
    <w:p w14:paraId="638F6593" w14:textId="77777777" w:rsidR="00395B24" w:rsidRPr="00232655" w:rsidRDefault="00395B24">
      <w:pPr>
        <w:pStyle w:val="NormalHeadings"/>
        <w:rPr>
          <w:b w:val="0"/>
        </w:rPr>
      </w:pPr>
    </w:p>
    <w:p w14:paraId="0F38A666" w14:textId="77777777" w:rsidR="008D1617" w:rsidRPr="00232655" w:rsidRDefault="008D1617">
      <w:pPr>
        <w:pStyle w:val="NormalHeadings"/>
        <w:rPr>
          <w:b w:val="0"/>
        </w:rPr>
      </w:pPr>
    </w:p>
    <w:p w14:paraId="0B546369" w14:textId="77777777" w:rsidR="00395B24" w:rsidRPr="00232655" w:rsidRDefault="002C7385">
      <w:pPr>
        <w:pStyle w:val="NormalHeadings"/>
      </w:pPr>
      <w:r w:rsidRPr="00232655">
        <w:t>THE COURT ORDERS THAT:</w:t>
      </w:r>
    </w:p>
    <w:p w14:paraId="3F766A24" w14:textId="77777777" w:rsidR="00395B24" w:rsidRPr="00232655" w:rsidRDefault="00395B24">
      <w:pPr>
        <w:pStyle w:val="NormalHeadings"/>
      </w:pPr>
    </w:p>
    <w:p w14:paraId="78A9800F" w14:textId="5659A235" w:rsidR="00A76AF0" w:rsidRPr="00232655" w:rsidRDefault="00A76AF0" w:rsidP="00A76AF0">
      <w:pPr>
        <w:pStyle w:val="Order1"/>
      </w:pPr>
      <w:bookmarkStart w:id="19" w:name="Order_Start_Text"/>
      <w:bookmarkEnd w:id="19"/>
      <w:r w:rsidRPr="00232655">
        <w:t xml:space="preserve">It is declared that the payments made by </w:t>
      </w:r>
      <w:proofErr w:type="spellStart"/>
      <w:r w:rsidRPr="00232655">
        <w:t>Gunns</w:t>
      </w:r>
      <w:proofErr w:type="spellEnd"/>
      <w:r w:rsidRPr="00232655">
        <w:t xml:space="preserve"> Limited (In Liquidation) (Receivers and Managers Appointed) (ACN 009 478 148) (</w:t>
      </w:r>
      <w:proofErr w:type="spellStart"/>
      <w:r w:rsidRPr="00232655">
        <w:rPr>
          <w:b/>
        </w:rPr>
        <w:t>Gunns</w:t>
      </w:r>
      <w:proofErr w:type="spellEnd"/>
      <w:r w:rsidRPr="00232655">
        <w:rPr>
          <w:b/>
        </w:rPr>
        <w:t xml:space="preserve"> Limited</w:t>
      </w:r>
      <w:r w:rsidRPr="00232655">
        <w:t xml:space="preserve">) to the Defendant on the dates and in the amounts set out below were unfair preferences within the meaning of s 588FA of the </w:t>
      </w:r>
      <w:r w:rsidRPr="00232655">
        <w:rPr>
          <w:i/>
        </w:rPr>
        <w:t>Corporations Act 2001</w:t>
      </w:r>
      <w:r w:rsidRPr="00232655">
        <w:t xml:space="preserve"> (</w:t>
      </w:r>
      <w:proofErr w:type="spellStart"/>
      <w:r w:rsidRPr="00232655">
        <w:t>Cth</w:t>
      </w:r>
      <w:proofErr w:type="spellEnd"/>
      <w:r w:rsidRPr="00232655">
        <w:t>) (</w:t>
      </w:r>
      <w:r w:rsidRPr="00232655">
        <w:rPr>
          <w:b/>
        </w:rPr>
        <w:t>the Act</w:t>
      </w:r>
      <w:r w:rsidRPr="00232655">
        <w:t>), insolvent transactions within the meaning of s 588FC of the Act, and voidable trans</w:t>
      </w:r>
      <w:r w:rsidR="00D93DD5" w:rsidRPr="00232655">
        <w:t>actions within the meaning of s </w:t>
      </w:r>
      <w:r w:rsidRPr="00232655">
        <w:t>588FE of the Act:</w:t>
      </w:r>
    </w:p>
    <w:tbl>
      <w:tblPr>
        <w:tblStyle w:val="TableGrid"/>
        <w:tblW w:w="0" w:type="auto"/>
        <w:tblInd w:w="720" w:type="dxa"/>
        <w:tblLook w:val="04A0" w:firstRow="1" w:lastRow="0" w:firstColumn="1" w:lastColumn="0" w:noHBand="0" w:noVBand="1"/>
      </w:tblPr>
      <w:tblGrid>
        <w:gridCol w:w="835"/>
        <w:gridCol w:w="3402"/>
        <w:gridCol w:w="4060"/>
      </w:tblGrid>
      <w:tr w:rsidR="00A76AF0" w:rsidRPr="00232655" w14:paraId="28D481D5" w14:textId="77777777" w:rsidTr="00D93DD5">
        <w:tc>
          <w:tcPr>
            <w:tcW w:w="835" w:type="dxa"/>
          </w:tcPr>
          <w:p w14:paraId="7DD000D4" w14:textId="0FFE0E2B" w:rsidR="00A76AF0" w:rsidRPr="001B786F" w:rsidRDefault="00A76AF0" w:rsidP="001B786F">
            <w:pPr>
              <w:pStyle w:val="NoNum"/>
              <w:spacing w:line="240" w:lineRule="auto"/>
              <w:rPr>
                <w:b/>
              </w:rPr>
            </w:pPr>
            <w:r w:rsidRPr="001B786F">
              <w:rPr>
                <w:b/>
              </w:rPr>
              <w:t>No:</w:t>
            </w:r>
          </w:p>
        </w:tc>
        <w:tc>
          <w:tcPr>
            <w:tcW w:w="3402" w:type="dxa"/>
          </w:tcPr>
          <w:p w14:paraId="2FBCB76F" w14:textId="207246DD" w:rsidR="00A76AF0" w:rsidRPr="001B786F" w:rsidRDefault="00A76AF0" w:rsidP="001B786F">
            <w:pPr>
              <w:pStyle w:val="NoNum"/>
              <w:spacing w:line="240" w:lineRule="auto"/>
              <w:rPr>
                <w:b/>
              </w:rPr>
            </w:pPr>
            <w:r w:rsidRPr="001B786F">
              <w:rPr>
                <w:b/>
              </w:rPr>
              <w:t>Date</w:t>
            </w:r>
          </w:p>
        </w:tc>
        <w:tc>
          <w:tcPr>
            <w:tcW w:w="4060" w:type="dxa"/>
          </w:tcPr>
          <w:p w14:paraId="75D5DEE2" w14:textId="5B154B73" w:rsidR="00A76AF0" w:rsidRPr="001B786F" w:rsidRDefault="00A76AF0" w:rsidP="001B786F">
            <w:pPr>
              <w:pStyle w:val="NoNum"/>
              <w:spacing w:line="240" w:lineRule="auto"/>
              <w:rPr>
                <w:b/>
              </w:rPr>
            </w:pPr>
            <w:r w:rsidRPr="001B786F">
              <w:rPr>
                <w:b/>
              </w:rPr>
              <w:t>Amount</w:t>
            </w:r>
          </w:p>
        </w:tc>
      </w:tr>
      <w:tr w:rsidR="00A76AF0" w:rsidRPr="00232655" w14:paraId="23B25159" w14:textId="77777777" w:rsidTr="00D93DD5">
        <w:tc>
          <w:tcPr>
            <w:tcW w:w="835" w:type="dxa"/>
          </w:tcPr>
          <w:p w14:paraId="7B859A6C" w14:textId="403ABE85" w:rsidR="00A76AF0" w:rsidRPr="00232655" w:rsidRDefault="00A76AF0" w:rsidP="001B786F">
            <w:pPr>
              <w:pStyle w:val="NoNum"/>
              <w:spacing w:line="240" w:lineRule="auto"/>
            </w:pPr>
            <w:r w:rsidRPr="00232655">
              <w:t>1</w:t>
            </w:r>
          </w:p>
        </w:tc>
        <w:tc>
          <w:tcPr>
            <w:tcW w:w="3402" w:type="dxa"/>
          </w:tcPr>
          <w:p w14:paraId="4F821D77" w14:textId="28ABCB76" w:rsidR="00A76AF0" w:rsidRPr="00232655" w:rsidRDefault="00A76AF0" w:rsidP="001B786F">
            <w:pPr>
              <w:pStyle w:val="NoNum"/>
              <w:spacing w:line="240" w:lineRule="auto"/>
            </w:pPr>
            <w:r w:rsidRPr="00232655">
              <w:t>30 March 2012</w:t>
            </w:r>
          </w:p>
        </w:tc>
        <w:tc>
          <w:tcPr>
            <w:tcW w:w="4060" w:type="dxa"/>
          </w:tcPr>
          <w:p w14:paraId="4DB13E5D" w14:textId="61A92ADB" w:rsidR="00A76AF0" w:rsidRPr="00232655" w:rsidRDefault="00A76AF0" w:rsidP="001B786F">
            <w:pPr>
              <w:pStyle w:val="NoNum"/>
              <w:spacing w:line="240" w:lineRule="auto"/>
            </w:pPr>
            <w:r w:rsidRPr="00232655">
              <w:t>$410,000.00</w:t>
            </w:r>
          </w:p>
        </w:tc>
      </w:tr>
      <w:tr w:rsidR="00A76AF0" w:rsidRPr="00232655" w14:paraId="5F6409E2" w14:textId="77777777" w:rsidTr="00D93DD5">
        <w:tc>
          <w:tcPr>
            <w:tcW w:w="835" w:type="dxa"/>
          </w:tcPr>
          <w:p w14:paraId="0AE79BD3" w14:textId="31DE0E38" w:rsidR="00A76AF0" w:rsidRPr="00232655" w:rsidRDefault="00A76AF0" w:rsidP="001B786F">
            <w:pPr>
              <w:pStyle w:val="NoNum"/>
              <w:spacing w:line="240" w:lineRule="auto"/>
            </w:pPr>
            <w:r w:rsidRPr="00232655">
              <w:t>2</w:t>
            </w:r>
          </w:p>
        </w:tc>
        <w:tc>
          <w:tcPr>
            <w:tcW w:w="3402" w:type="dxa"/>
          </w:tcPr>
          <w:p w14:paraId="7251B4FB" w14:textId="2ED43B15" w:rsidR="00A76AF0" w:rsidRPr="00232655" w:rsidRDefault="00A76AF0" w:rsidP="001B786F">
            <w:pPr>
              <w:pStyle w:val="NoNum"/>
              <w:spacing w:line="240" w:lineRule="auto"/>
            </w:pPr>
            <w:r w:rsidRPr="00232655">
              <w:t>16 April 2012</w:t>
            </w:r>
          </w:p>
        </w:tc>
        <w:tc>
          <w:tcPr>
            <w:tcW w:w="4060" w:type="dxa"/>
          </w:tcPr>
          <w:p w14:paraId="4398FE64" w14:textId="1EEB6C13" w:rsidR="00A76AF0" w:rsidRPr="00232655" w:rsidRDefault="00A76AF0" w:rsidP="001B786F">
            <w:pPr>
              <w:pStyle w:val="NoNum"/>
              <w:spacing w:line="240" w:lineRule="auto"/>
            </w:pPr>
            <w:r w:rsidRPr="00232655">
              <w:t>$410,956.07</w:t>
            </w:r>
          </w:p>
        </w:tc>
      </w:tr>
      <w:tr w:rsidR="00A76AF0" w:rsidRPr="00232655" w14:paraId="19F754C5" w14:textId="77777777" w:rsidTr="00D93DD5">
        <w:tc>
          <w:tcPr>
            <w:tcW w:w="4237" w:type="dxa"/>
            <w:gridSpan w:val="2"/>
          </w:tcPr>
          <w:p w14:paraId="64327C50" w14:textId="2786B67E" w:rsidR="00A76AF0" w:rsidRPr="001B786F" w:rsidRDefault="00A76AF0" w:rsidP="001B786F">
            <w:pPr>
              <w:pStyle w:val="NoNum"/>
              <w:spacing w:line="240" w:lineRule="auto"/>
              <w:jc w:val="right"/>
              <w:rPr>
                <w:b/>
              </w:rPr>
            </w:pPr>
            <w:r w:rsidRPr="001B786F">
              <w:rPr>
                <w:b/>
              </w:rPr>
              <w:t>Total</w:t>
            </w:r>
          </w:p>
        </w:tc>
        <w:tc>
          <w:tcPr>
            <w:tcW w:w="4060" w:type="dxa"/>
          </w:tcPr>
          <w:p w14:paraId="7FD7EEF6" w14:textId="0D702CC7" w:rsidR="00A76AF0" w:rsidRPr="00232655" w:rsidRDefault="00A76AF0" w:rsidP="001B786F">
            <w:pPr>
              <w:pStyle w:val="NoNum"/>
              <w:spacing w:line="240" w:lineRule="auto"/>
            </w:pPr>
            <w:r w:rsidRPr="00232655">
              <w:t>$820,956.07</w:t>
            </w:r>
          </w:p>
        </w:tc>
      </w:tr>
    </w:tbl>
    <w:p w14:paraId="11114326" w14:textId="77777777" w:rsidR="00A76AF0" w:rsidRPr="00232655" w:rsidRDefault="00A76AF0" w:rsidP="00A76AF0">
      <w:pPr>
        <w:pStyle w:val="Order1"/>
        <w:numPr>
          <w:ilvl w:val="0"/>
          <w:numId w:val="0"/>
        </w:numPr>
        <w:ind w:left="720"/>
      </w:pPr>
    </w:p>
    <w:p w14:paraId="33E05ECC" w14:textId="218290D7" w:rsidR="00A76AF0" w:rsidRPr="00232655" w:rsidRDefault="00A76AF0" w:rsidP="00A76AF0">
      <w:pPr>
        <w:pStyle w:val="Order1"/>
      </w:pPr>
      <w:r w:rsidRPr="00232655">
        <w:t xml:space="preserve">It is declared that the following payments made by </w:t>
      </w:r>
      <w:proofErr w:type="spellStart"/>
      <w:r w:rsidRPr="00232655">
        <w:t>Gunns</w:t>
      </w:r>
      <w:proofErr w:type="spellEnd"/>
      <w:r w:rsidRPr="00232655">
        <w:t xml:space="preserve"> Limited to the Defendant and the invoices issued by the Defendant to </w:t>
      </w:r>
      <w:proofErr w:type="spellStart"/>
      <w:r w:rsidRPr="00232655">
        <w:t>Gunns</w:t>
      </w:r>
      <w:proofErr w:type="spellEnd"/>
      <w:r w:rsidRPr="00232655">
        <w:t xml:space="preserve"> Limit</w:t>
      </w:r>
      <w:r w:rsidR="00D93DD5" w:rsidRPr="00232655">
        <w:t>ed between 30 April 2012 and 30 </w:t>
      </w:r>
      <w:r w:rsidRPr="00232655">
        <w:t xml:space="preserve">June 2012 are a single transaction which was an unfair preference within the </w:t>
      </w:r>
      <w:r w:rsidRPr="00232655">
        <w:lastRenderedPageBreak/>
        <w:t xml:space="preserve">meaning of s 588FA of the Act in the sum of fifty-one thousand, two hundred and forty-two dollars and twenty-nine cents ($51,242.29), an insolvent transaction within the meaning of s 588FC of the Act, and a voidable transaction within the meaning of </w:t>
      </w:r>
      <w:r w:rsidR="00D93DD5" w:rsidRPr="00232655">
        <w:t>s </w:t>
      </w:r>
      <w:r w:rsidRPr="00232655">
        <w:t xml:space="preserve">588FE of the Act: </w:t>
      </w:r>
    </w:p>
    <w:tbl>
      <w:tblPr>
        <w:tblStyle w:val="TableGrid"/>
        <w:tblW w:w="0" w:type="auto"/>
        <w:tblInd w:w="720" w:type="dxa"/>
        <w:tblLook w:val="04A0" w:firstRow="1" w:lastRow="0" w:firstColumn="1" w:lastColumn="0" w:noHBand="0" w:noVBand="1"/>
      </w:tblPr>
      <w:tblGrid>
        <w:gridCol w:w="835"/>
        <w:gridCol w:w="3402"/>
        <w:gridCol w:w="4060"/>
      </w:tblGrid>
      <w:tr w:rsidR="00D93DD5" w:rsidRPr="00232655" w14:paraId="13A87254" w14:textId="77777777" w:rsidTr="00D93DD5">
        <w:tc>
          <w:tcPr>
            <w:tcW w:w="835" w:type="dxa"/>
          </w:tcPr>
          <w:p w14:paraId="6DDD2DB5" w14:textId="0F73E803" w:rsidR="00D93DD5" w:rsidRPr="001B786F" w:rsidRDefault="00D93DD5" w:rsidP="001B786F">
            <w:pPr>
              <w:pStyle w:val="NoNum"/>
              <w:spacing w:line="240" w:lineRule="auto"/>
              <w:rPr>
                <w:b/>
              </w:rPr>
            </w:pPr>
            <w:r w:rsidRPr="001B786F">
              <w:rPr>
                <w:b/>
              </w:rPr>
              <w:t>No:</w:t>
            </w:r>
          </w:p>
        </w:tc>
        <w:tc>
          <w:tcPr>
            <w:tcW w:w="3402" w:type="dxa"/>
          </w:tcPr>
          <w:p w14:paraId="592F78CE" w14:textId="6C987C5A" w:rsidR="00D93DD5" w:rsidRPr="001B786F" w:rsidRDefault="00D93DD5" w:rsidP="001B786F">
            <w:pPr>
              <w:pStyle w:val="NoNum"/>
              <w:spacing w:line="240" w:lineRule="auto"/>
              <w:rPr>
                <w:b/>
              </w:rPr>
            </w:pPr>
            <w:r w:rsidRPr="001B786F">
              <w:rPr>
                <w:b/>
              </w:rPr>
              <w:t>Date</w:t>
            </w:r>
          </w:p>
        </w:tc>
        <w:tc>
          <w:tcPr>
            <w:tcW w:w="4060" w:type="dxa"/>
          </w:tcPr>
          <w:p w14:paraId="0D3A6103" w14:textId="30E7760E" w:rsidR="00D93DD5" w:rsidRPr="001B786F" w:rsidRDefault="00D93DD5" w:rsidP="001B786F">
            <w:pPr>
              <w:pStyle w:val="NoNum"/>
              <w:spacing w:line="240" w:lineRule="auto"/>
              <w:rPr>
                <w:b/>
              </w:rPr>
            </w:pPr>
            <w:r w:rsidRPr="001B786F">
              <w:rPr>
                <w:b/>
              </w:rPr>
              <w:t>Amount</w:t>
            </w:r>
          </w:p>
        </w:tc>
      </w:tr>
      <w:tr w:rsidR="00D93DD5" w:rsidRPr="00232655" w14:paraId="5942AAC5" w14:textId="77777777" w:rsidTr="00D93DD5">
        <w:tc>
          <w:tcPr>
            <w:tcW w:w="835" w:type="dxa"/>
          </w:tcPr>
          <w:p w14:paraId="4036C9DF" w14:textId="551571C4" w:rsidR="00D93DD5" w:rsidRPr="00232655" w:rsidRDefault="00D93DD5" w:rsidP="001B786F">
            <w:pPr>
              <w:pStyle w:val="NoNum"/>
              <w:spacing w:line="240" w:lineRule="auto"/>
            </w:pPr>
            <w:r w:rsidRPr="00232655">
              <w:t>3</w:t>
            </w:r>
          </w:p>
        </w:tc>
        <w:tc>
          <w:tcPr>
            <w:tcW w:w="3402" w:type="dxa"/>
          </w:tcPr>
          <w:p w14:paraId="10EB432F" w14:textId="32BA4991" w:rsidR="00D93DD5" w:rsidRPr="00232655" w:rsidRDefault="00D93DD5" w:rsidP="001B786F">
            <w:pPr>
              <w:pStyle w:val="NoNum"/>
              <w:spacing w:line="240" w:lineRule="auto"/>
            </w:pPr>
            <w:r w:rsidRPr="00232655">
              <w:t>2 May 2012</w:t>
            </w:r>
          </w:p>
        </w:tc>
        <w:tc>
          <w:tcPr>
            <w:tcW w:w="4060" w:type="dxa"/>
          </w:tcPr>
          <w:p w14:paraId="2C7D2D61" w14:textId="2FA4FF97" w:rsidR="00D93DD5" w:rsidRPr="00232655" w:rsidRDefault="00D93DD5" w:rsidP="001B786F">
            <w:pPr>
              <w:pStyle w:val="NoNum"/>
              <w:spacing w:line="240" w:lineRule="auto"/>
            </w:pPr>
            <w:r w:rsidRPr="00232655">
              <w:t>$660,347.78</w:t>
            </w:r>
          </w:p>
        </w:tc>
      </w:tr>
      <w:tr w:rsidR="00D93DD5" w:rsidRPr="00232655" w14:paraId="4ADF5087" w14:textId="77777777" w:rsidTr="00D93DD5">
        <w:tc>
          <w:tcPr>
            <w:tcW w:w="835" w:type="dxa"/>
          </w:tcPr>
          <w:p w14:paraId="6D9E1ACF" w14:textId="67EE1B5F" w:rsidR="00D93DD5" w:rsidRPr="00232655" w:rsidRDefault="00D93DD5" w:rsidP="001B786F">
            <w:pPr>
              <w:pStyle w:val="NoNum"/>
              <w:spacing w:line="240" w:lineRule="auto"/>
            </w:pPr>
            <w:r w:rsidRPr="00232655">
              <w:t>4</w:t>
            </w:r>
          </w:p>
        </w:tc>
        <w:tc>
          <w:tcPr>
            <w:tcW w:w="3402" w:type="dxa"/>
          </w:tcPr>
          <w:p w14:paraId="65776FD5" w14:textId="349CEB59" w:rsidR="00D93DD5" w:rsidRPr="00232655" w:rsidRDefault="00D93DD5" w:rsidP="001B786F">
            <w:pPr>
              <w:pStyle w:val="NoNum"/>
              <w:spacing w:line="240" w:lineRule="auto"/>
            </w:pPr>
            <w:r w:rsidRPr="00232655">
              <w:t>8 June 2012</w:t>
            </w:r>
          </w:p>
        </w:tc>
        <w:tc>
          <w:tcPr>
            <w:tcW w:w="4060" w:type="dxa"/>
          </w:tcPr>
          <w:p w14:paraId="320A294E" w14:textId="02FD7506" w:rsidR="00D93DD5" w:rsidRPr="00232655" w:rsidRDefault="00D93DD5" w:rsidP="001B786F">
            <w:pPr>
              <w:pStyle w:val="NoNum"/>
              <w:spacing w:line="240" w:lineRule="auto"/>
            </w:pPr>
            <w:r w:rsidRPr="00232655">
              <w:t>$678,929.63</w:t>
            </w:r>
          </w:p>
        </w:tc>
      </w:tr>
    </w:tbl>
    <w:p w14:paraId="70B8F496" w14:textId="1CEABF61" w:rsidR="00A76AF0" w:rsidRPr="00232655" w:rsidRDefault="00A76AF0" w:rsidP="00D93DD5">
      <w:pPr>
        <w:pStyle w:val="Order1"/>
        <w:numPr>
          <w:ilvl w:val="0"/>
          <w:numId w:val="0"/>
        </w:numPr>
      </w:pPr>
    </w:p>
    <w:p w14:paraId="028C21EC" w14:textId="0E9CE2B3" w:rsidR="00A76AF0" w:rsidRPr="00232655" w:rsidRDefault="00A76AF0" w:rsidP="00A76AF0">
      <w:pPr>
        <w:pStyle w:val="Order1"/>
      </w:pPr>
      <w:r w:rsidRPr="00232655">
        <w:t xml:space="preserve">It is declared that the payments made by </w:t>
      </w:r>
      <w:proofErr w:type="spellStart"/>
      <w:r w:rsidRPr="00232655">
        <w:t>Gunns</w:t>
      </w:r>
      <w:proofErr w:type="spellEnd"/>
      <w:r w:rsidRPr="00232655">
        <w:t xml:space="preserve"> to the Defendant on the dates and in the amounts set out below were unfair preferences within the meaning of s 588FA of the Act, insolvent transactions within the meaning of s 588FC of the Act, and voidable transactions within the meaning of s 588FE of the Act:</w:t>
      </w:r>
    </w:p>
    <w:tbl>
      <w:tblPr>
        <w:tblStyle w:val="TableGrid"/>
        <w:tblW w:w="0" w:type="auto"/>
        <w:tblInd w:w="720" w:type="dxa"/>
        <w:tblLook w:val="04A0" w:firstRow="1" w:lastRow="0" w:firstColumn="1" w:lastColumn="0" w:noHBand="0" w:noVBand="1"/>
      </w:tblPr>
      <w:tblGrid>
        <w:gridCol w:w="835"/>
        <w:gridCol w:w="3402"/>
        <w:gridCol w:w="4060"/>
      </w:tblGrid>
      <w:tr w:rsidR="00D93DD5" w:rsidRPr="00232655" w14:paraId="1B298B4F" w14:textId="77777777" w:rsidTr="00D93DD5">
        <w:tc>
          <w:tcPr>
            <w:tcW w:w="835" w:type="dxa"/>
          </w:tcPr>
          <w:p w14:paraId="6D93FDEF" w14:textId="4A27655B" w:rsidR="00D93DD5" w:rsidRPr="001B786F" w:rsidRDefault="00D93DD5" w:rsidP="001B786F">
            <w:pPr>
              <w:pStyle w:val="NoNum"/>
              <w:spacing w:line="240" w:lineRule="auto"/>
              <w:rPr>
                <w:b/>
              </w:rPr>
            </w:pPr>
            <w:r w:rsidRPr="001B786F">
              <w:rPr>
                <w:b/>
              </w:rPr>
              <w:t>No:</w:t>
            </w:r>
          </w:p>
        </w:tc>
        <w:tc>
          <w:tcPr>
            <w:tcW w:w="3402" w:type="dxa"/>
          </w:tcPr>
          <w:p w14:paraId="6181BCB9" w14:textId="64683A1C" w:rsidR="00D93DD5" w:rsidRPr="001B786F" w:rsidRDefault="00D93DD5" w:rsidP="001B786F">
            <w:pPr>
              <w:pStyle w:val="NoNum"/>
              <w:spacing w:line="240" w:lineRule="auto"/>
              <w:rPr>
                <w:b/>
              </w:rPr>
            </w:pPr>
            <w:r w:rsidRPr="001B786F">
              <w:rPr>
                <w:b/>
              </w:rPr>
              <w:t>Date</w:t>
            </w:r>
          </w:p>
        </w:tc>
        <w:tc>
          <w:tcPr>
            <w:tcW w:w="4060" w:type="dxa"/>
          </w:tcPr>
          <w:p w14:paraId="4931EBA2" w14:textId="0D8A2D26" w:rsidR="00D93DD5" w:rsidRPr="001B786F" w:rsidRDefault="00D93DD5" w:rsidP="001B786F">
            <w:pPr>
              <w:pStyle w:val="NoNum"/>
              <w:spacing w:line="240" w:lineRule="auto"/>
              <w:rPr>
                <w:b/>
              </w:rPr>
            </w:pPr>
            <w:r w:rsidRPr="001B786F">
              <w:rPr>
                <w:b/>
              </w:rPr>
              <w:t>Amount</w:t>
            </w:r>
          </w:p>
        </w:tc>
      </w:tr>
      <w:tr w:rsidR="00D93DD5" w:rsidRPr="00232655" w14:paraId="69982B65" w14:textId="77777777" w:rsidTr="00D93DD5">
        <w:tc>
          <w:tcPr>
            <w:tcW w:w="835" w:type="dxa"/>
          </w:tcPr>
          <w:p w14:paraId="23D206EE" w14:textId="24C91576" w:rsidR="00D93DD5" w:rsidRPr="00232655" w:rsidRDefault="00D93DD5" w:rsidP="001B786F">
            <w:pPr>
              <w:pStyle w:val="NoNum"/>
              <w:spacing w:line="240" w:lineRule="auto"/>
            </w:pPr>
            <w:r w:rsidRPr="00232655">
              <w:t>5</w:t>
            </w:r>
          </w:p>
        </w:tc>
        <w:tc>
          <w:tcPr>
            <w:tcW w:w="3402" w:type="dxa"/>
          </w:tcPr>
          <w:p w14:paraId="4B6098E6" w14:textId="51491660" w:rsidR="00D93DD5" w:rsidRPr="00232655" w:rsidRDefault="00D93DD5" w:rsidP="001B786F">
            <w:pPr>
              <w:pStyle w:val="NoNum"/>
              <w:spacing w:line="240" w:lineRule="auto"/>
            </w:pPr>
            <w:r w:rsidRPr="00232655">
              <w:t>8 August 2012</w:t>
            </w:r>
          </w:p>
        </w:tc>
        <w:tc>
          <w:tcPr>
            <w:tcW w:w="4060" w:type="dxa"/>
          </w:tcPr>
          <w:p w14:paraId="53D6917C" w14:textId="7BEC37CA" w:rsidR="00D93DD5" w:rsidRPr="00232655" w:rsidRDefault="00D93DD5" w:rsidP="001B786F">
            <w:pPr>
              <w:pStyle w:val="NoNum"/>
              <w:spacing w:line="240" w:lineRule="auto"/>
            </w:pPr>
            <w:r w:rsidRPr="00232655">
              <w:t>$300,000.00</w:t>
            </w:r>
          </w:p>
        </w:tc>
      </w:tr>
      <w:tr w:rsidR="00D93DD5" w:rsidRPr="00232655" w14:paraId="1AA98D7B" w14:textId="77777777" w:rsidTr="00D93DD5">
        <w:tc>
          <w:tcPr>
            <w:tcW w:w="835" w:type="dxa"/>
          </w:tcPr>
          <w:p w14:paraId="0DC5AA5F" w14:textId="30253533" w:rsidR="00D93DD5" w:rsidRPr="00232655" w:rsidRDefault="00D93DD5" w:rsidP="001B786F">
            <w:pPr>
              <w:pStyle w:val="NoNum"/>
              <w:spacing w:line="240" w:lineRule="auto"/>
            </w:pPr>
            <w:r w:rsidRPr="00232655">
              <w:t>6</w:t>
            </w:r>
          </w:p>
        </w:tc>
        <w:tc>
          <w:tcPr>
            <w:tcW w:w="3402" w:type="dxa"/>
          </w:tcPr>
          <w:p w14:paraId="7325A878" w14:textId="1E769FE6" w:rsidR="00D93DD5" w:rsidRPr="00232655" w:rsidRDefault="00D93DD5" w:rsidP="001B786F">
            <w:pPr>
              <w:pStyle w:val="NoNum"/>
              <w:spacing w:line="240" w:lineRule="auto"/>
            </w:pPr>
            <w:r w:rsidRPr="00232655">
              <w:t>17 August 2012</w:t>
            </w:r>
          </w:p>
        </w:tc>
        <w:tc>
          <w:tcPr>
            <w:tcW w:w="4060" w:type="dxa"/>
          </w:tcPr>
          <w:p w14:paraId="06BCF903" w14:textId="47E10123" w:rsidR="00D93DD5" w:rsidRPr="00232655" w:rsidRDefault="00D93DD5" w:rsidP="001B786F">
            <w:pPr>
              <w:pStyle w:val="NoNum"/>
              <w:spacing w:line="240" w:lineRule="auto"/>
            </w:pPr>
            <w:r w:rsidRPr="00232655">
              <w:t>$150,000.00</w:t>
            </w:r>
          </w:p>
        </w:tc>
      </w:tr>
      <w:tr w:rsidR="00D93DD5" w:rsidRPr="00232655" w14:paraId="16E85D94" w14:textId="77777777" w:rsidTr="00D93DD5">
        <w:tc>
          <w:tcPr>
            <w:tcW w:w="835" w:type="dxa"/>
          </w:tcPr>
          <w:p w14:paraId="75A573A8" w14:textId="1DF5799A" w:rsidR="00D93DD5" w:rsidRPr="00232655" w:rsidRDefault="00D93DD5" w:rsidP="001B786F">
            <w:pPr>
              <w:pStyle w:val="NoNum"/>
              <w:spacing w:line="240" w:lineRule="auto"/>
            </w:pPr>
            <w:r w:rsidRPr="00232655">
              <w:t>7</w:t>
            </w:r>
          </w:p>
        </w:tc>
        <w:tc>
          <w:tcPr>
            <w:tcW w:w="3402" w:type="dxa"/>
          </w:tcPr>
          <w:p w14:paraId="6752FB46" w14:textId="6D46D346" w:rsidR="00D93DD5" w:rsidRPr="00232655" w:rsidRDefault="00D93DD5" w:rsidP="001B786F">
            <w:pPr>
              <w:pStyle w:val="NoNum"/>
              <w:spacing w:line="240" w:lineRule="auto"/>
            </w:pPr>
            <w:r w:rsidRPr="00232655">
              <w:t>27 August 2012</w:t>
            </w:r>
          </w:p>
        </w:tc>
        <w:tc>
          <w:tcPr>
            <w:tcW w:w="4060" w:type="dxa"/>
          </w:tcPr>
          <w:p w14:paraId="757EA762" w14:textId="51240576" w:rsidR="00D93DD5" w:rsidRPr="00232655" w:rsidRDefault="00D93DD5" w:rsidP="001B786F">
            <w:pPr>
              <w:pStyle w:val="NoNum"/>
              <w:spacing w:line="240" w:lineRule="auto"/>
            </w:pPr>
            <w:r w:rsidRPr="00232655">
              <w:t>$150,000.00</w:t>
            </w:r>
          </w:p>
        </w:tc>
      </w:tr>
      <w:tr w:rsidR="00D93DD5" w:rsidRPr="00232655" w14:paraId="56943345" w14:textId="77777777" w:rsidTr="00D93DD5">
        <w:tc>
          <w:tcPr>
            <w:tcW w:w="835" w:type="dxa"/>
          </w:tcPr>
          <w:p w14:paraId="6B5ABDB8" w14:textId="6DF26265" w:rsidR="00D93DD5" w:rsidRPr="00232655" w:rsidRDefault="00D93DD5" w:rsidP="001B786F">
            <w:pPr>
              <w:pStyle w:val="NoNum"/>
              <w:spacing w:line="240" w:lineRule="auto"/>
            </w:pPr>
            <w:r w:rsidRPr="00232655">
              <w:t>8</w:t>
            </w:r>
          </w:p>
        </w:tc>
        <w:tc>
          <w:tcPr>
            <w:tcW w:w="3402" w:type="dxa"/>
          </w:tcPr>
          <w:p w14:paraId="132D3C93" w14:textId="06B5B76E" w:rsidR="00D93DD5" w:rsidRPr="00232655" w:rsidRDefault="00D93DD5" w:rsidP="001B786F">
            <w:pPr>
              <w:pStyle w:val="NoNum"/>
              <w:spacing w:line="240" w:lineRule="auto"/>
            </w:pPr>
            <w:r w:rsidRPr="00232655">
              <w:t>3 September 2012</w:t>
            </w:r>
          </w:p>
        </w:tc>
        <w:tc>
          <w:tcPr>
            <w:tcW w:w="4060" w:type="dxa"/>
          </w:tcPr>
          <w:p w14:paraId="49798947" w14:textId="044A9875" w:rsidR="00D93DD5" w:rsidRPr="00232655" w:rsidRDefault="00D93DD5" w:rsidP="001B786F">
            <w:pPr>
              <w:pStyle w:val="NoNum"/>
              <w:spacing w:line="240" w:lineRule="auto"/>
            </w:pPr>
            <w:r w:rsidRPr="00232655">
              <w:t>$150,633.68</w:t>
            </w:r>
          </w:p>
        </w:tc>
      </w:tr>
      <w:tr w:rsidR="00D93DD5" w:rsidRPr="00232655" w14:paraId="7CA16C4F" w14:textId="77777777" w:rsidTr="00D93DD5">
        <w:tc>
          <w:tcPr>
            <w:tcW w:w="835" w:type="dxa"/>
          </w:tcPr>
          <w:p w14:paraId="0E7FCD0A" w14:textId="3CC77B66" w:rsidR="00D93DD5" w:rsidRPr="00232655" w:rsidRDefault="00D93DD5" w:rsidP="001B786F">
            <w:pPr>
              <w:pStyle w:val="NoNum"/>
              <w:spacing w:line="240" w:lineRule="auto"/>
            </w:pPr>
            <w:r w:rsidRPr="00232655">
              <w:t>9</w:t>
            </w:r>
          </w:p>
        </w:tc>
        <w:tc>
          <w:tcPr>
            <w:tcW w:w="3402" w:type="dxa"/>
          </w:tcPr>
          <w:p w14:paraId="57E9AC7B" w14:textId="4BD5C90D" w:rsidR="00D93DD5" w:rsidRPr="00232655" w:rsidRDefault="00D93DD5" w:rsidP="001B786F">
            <w:pPr>
              <w:pStyle w:val="NoNum"/>
              <w:spacing w:line="240" w:lineRule="auto"/>
            </w:pPr>
            <w:r w:rsidRPr="00232655">
              <w:t>10 September 2012</w:t>
            </w:r>
          </w:p>
        </w:tc>
        <w:tc>
          <w:tcPr>
            <w:tcW w:w="4060" w:type="dxa"/>
          </w:tcPr>
          <w:p w14:paraId="3A8ADF33" w14:textId="638EDF1F" w:rsidR="00D93DD5" w:rsidRPr="00232655" w:rsidRDefault="00D93DD5" w:rsidP="001B786F">
            <w:pPr>
              <w:pStyle w:val="NoNum"/>
              <w:spacing w:line="240" w:lineRule="auto"/>
            </w:pPr>
            <w:r w:rsidRPr="00232655">
              <w:t>$150,000.00</w:t>
            </w:r>
          </w:p>
        </w:tc>
      </w:tr>
      <w:tr w:rsidR="00D93DD5" w:rsidRPr="00232655" w14:paraId="2DB5C1A5" w14:textId="77777777" w:rsidTr="00D93DD5">
        <w:tc>
          <w:tcPr>
            <w:tcW w:w="835" w:type="dxa"/>
          </w:tcPr>
          <w:p w14:paraId="57C50929" w14:textId="7B129B93" w:rsidR="00D93DD5" w:rsidRPr="00232655" w:rsidRDefault="00D93DD5" w:rsidP="001B786F">
            <w:pPr>
              <w:pStyle w:val="NoNum"/>
              <w:spacing w:line="240" w:lineRule="auto"/>
            </w:pPr>
            <w:r w:rsidRPr="00232655">
              <w:t>10</w:t>
            </w:r>
          </w:p>
        </w:tc>
        <w:tc>
          <w:tcPr>
            <w:tcW w:w="3402" w:type="dxa"/>
          </w:tcPr>
          <w:p w14:paraId="3CFD4A7A" w14:textId="13E74526" w:rsidR="00D93DD5" w:rsidRPr="00232655" w:rsidRDefault="00D93DD5" w:rsidP="001B786F">
            <w:pPr>
              <w:pStyle w:val="NoNum"/>
              <w:spacing w:line="240" w:lineRule="auto"/>
            </w:pPr>
            <w:r w:rsidRPr="00232655">
              <w:t>17 September 2012</w:t>
            </w:r>
          </w:p>
        </w:tc>
        <w:tc>
          <w:tcPr>
            <w:tcW w:w="4060" w:type="dxa"/>
          </w:tcPr>
          <w:p w14:paraId="5C1F0954" w14:textId="2A548844" w:rsidR="00D93DD5" w:rsidRPr="00232655" w:rsidRDefault="00D93DD5" w:rsidP="001B786F">
            <w:pPr>
              <w:pStyle w:val="NoNum"/>
              <w:spacing w:line="240" w:lineRule="auto"/>
            </w:pPr>
            <w:r w:rsidRPr="00232655">
              <w:t>$150,000.00</w:t>
            </w:r>
          </w:p>
        </w:tc>
      </w:tr>
      <w:tr w:rsidR="00D93DD5" w:rsidRPr="00232655" w14:paraId="2D8EF382" w14:textId="77777777" w:rsidTr="00D93DD5">
        <w:tc>
          <w:tcPr>
            <w:tcW w:w="835" w:type="dxa"/>
          </w:tcPr>
          <w:p w14:paraId="30D2A086" w14:textId="07FC5ACB" w:rsidR="00D93DD5" w:rsidRPr="00232655" w:rsidRDefault="00D93DD5" w:rsidP="001B786F">
            <w:pPr>
              <w:pStyle w:val="NoNum"/>
              <w:spacing w:line="240" w:lineRule="auto"/>
            </w:pPr>
            <w:r w:rsidRPr="00232655">
              <w:t>11</w:t>
            </w:r>
          </w:p>
        </w:tc>
        <w:tc>
          <w:tcPr>
            <w:tcW w:w="3402" w:type="dxa"/>
          </w:tcPr>
          <w:p w14:paraId="1B64F665" w14:textId="7733D929" w:rsidR="00D93DD5" w:rsidRPr="00232655" w:rsidRDefault="00D93DD5" w:rsidP="001B786F">
            <w:pPr>
              <w:pStyle w:val="NoNum"/>
              <w:spacing w:line="240" w:lineRule="auto"/>
            </w:pPr>
            <w:r w:rsidRPr="00232655">
              <w:t>24 September 2012</w:t>
            </w:r>
          </w:p>
        </w:tc>
        <w:tc>
          <w:tcPr>
            <w:tcW w:w="4060" w:type="dxa"/>
          </w:tcPr>
          <w:p w14:paraId="0B4D3FA2" w14:textId="1B1EFBAC" w:rsidR="00D93DD5" w:rsidRPr="00232655" w:rsidRDefault="00D93DD5" w:rsidP="001B786F">
            <w:pPr>
              <w:pStyle w:val="NoNum"/>
              <w:spacing w:line="240" w:lineRule="auto"/>
            </w:pPr>
            <w:r w:rsidRPr="00232655">
              <w:t>$150,000.00</w:t>
            </w:r>
          </w:p>
        </w:tc>
      </w:tr>
      <w:tr w:rsidR="00D93DD5" w:rsidRPr="00232655" w14:paraId="20765094" w14:textId="77777777" w:rsidTr="00093BAE">
        <w:tc>
          <w:tcPr>
            <w:tcW w:w="4237" w:type="dxa"/>
            <w:gridSpan w:val="2"/>
          </w:tcPr>
          <w:p w14:paraId="54FDCBBC" w14:textId="3CFAB00F" w:rsidR="00D93DD5" w:rsidRPr="001B786F" w:rsidRDefault="00D93DD5" w:rsidP="001B786F">
            <w:pPr>
              <w:pStyle w:val="NoNum"/>
              <w:spacing w:line="240" w:lineRule="auto"/>
              <w:jc w:val="right"/>
              <w:rPr>
                <w:b/>
              </w:rPr>
            </w:pPr>
            <w:r w:rsidRPr="001B786F">
              <w:rPr>
                <w:b/>
              </w:rPr>
              <w:t>Total</w:t>
            </w:r>
          </w:p>
        </w:tc>
        <w:tc>
          <w:tcPr>
            <w:tcW w:w="4060" w:type="dxa"/>
          </w:tcPr>
          <w:p w14:paraId="277DCEE1" w14:textId="66F572C0" w:rsidR="00D93DD5" w:rsidRPr="00232655" w:rsidRDefault="00D93DD5" w:rsidP="001B786F">
            <w:pPr>
              <w:pStyle w:val="NoNum"/>
              <w:spacing w:line="240" w:lineRule="auto"/>
            </w:pPr>
            <w:r w:rsidRPr="00232655">
              <w:t>$1,200,633.68</w:t>
            </w:r>
          </w:p>
        </w:tc>
      </w:tr>
    </w:tbl>
    <w:p w14:paraId="4212C39A" w14:textId="303D35C8" w:rsidR="00A76AF0" w:rsidRPr="00232655" w:rsidRDefault="00A76AF0" w:rsidP="00D93DD5">
      <w:pPr>
        <w:pStyle w:val="Order1"/>
        <w:numPr>
          <w:ilvl w:val="0"/>
          <w:numId w:val="0"/>
        </w:numPr>
      </w:pPr>
    </w:p>
    <w:p w14:paraId="64E6C768" w14:textId="77777777" w:rsidR="00A76AF0" w:rsidRPr="00232655" w:rsidRDefault="00A76AF0" w:rsidP="00A76AF0">
      <w:pPr>
        <w:pStyle w:val="Order1"/>
      </w:pPr>
      <w:r w:rsidRPr="00232655">
        <w:t>Pursuant to s 588FF of the Act, the Defendant pay to the Plaintiff the sum of two million, seventy-two thousand, eight hundred and thirty-two dollars and four cents ($2,072,832.04) representing the total of the amounts of the unfair preferences referred to in Orders 1 to 3 above.</w:t>
      </w:r>
    </w:p>
    <w:p w14:paraId="047CC02B" w14:textId="77777777" w:rsidR="00A76AF0" w:rsidRPr="00232655" w:rsidRDefault="00A76AF0" w:rsidP="00A76AF0">
      <w:pPr>
        <w:pStyle w:val="Order1"/>
      </w:pPr>
      <w:r w:rsidRPr="00232655">
        <w:t xml:space="preserve">Pursuant to s 51A(1)(a) of the </w:t>
      </w:r>
      <w:r w:rsidRPr="00232655">
        <w:rPr>
          <w:i/>
        </w:rPr>
        <w:t>Federal Court of Australia Act 1976</w:t>
      </w:r>
      <w:r w:rsidRPr="00232655">
        <w:t xml:space="preserve"> (</w:t>
      </w:r>
      <w:proofErr w:type="spellStart"/>
      <w:r w:rsidRPr="00232655">
        <w:t>Cth</w:t>
      </w:r>
      <w:proofErr w:type="spellEnd"/>
      <w:r w:rsidRPr="00232655">
        <w:t>) (</w:t>
      </w:r>
      <w:r w:rsidRPr="00232655">
        <w:rPr>
          <w:b/>
        </w:rPr>
        <w:t>Federal Court Act</w:t>
      </w:r>
      <w:r w:rsidRPr="00232655">
        <w:t xml:space="preserve">), the Defendant pay the Plaintiffs pre-judgment interest on the amount </w:t>
      </w:r>
      <w:r w:rsidRPr="00232655">
        <w:lastRenderedPageBreak/>
        <w:t>payable pursuant to Order 4 above, in the amount of five hundred and five thousand, eight hundred and forty-eight dollars and twenty-one cents ($505,848.21), calculated as follows:</w:t>
      </w:r>
    </w:p>
    <w:p w14:paraId="40E4EDDD" w14:textId="441B6C56" w:rsidR="00A76AF0" w:rsidRPr="00232655" w:rsidRDefault="00A76AF0" w:rsidP="00D93DD5">
      <w:pPr>
        <w:pStyle w:val="Order2"/>
      </w:pPr>
      <w:r w:rsidRPr="00232655">
        <w:t>pursuant to paragraph 3.1 of the Plaintiffs’ Amended Originating Process, pre</w:t>
      </w:r>
      <w:r w:rsidR="007A63E1" w:rsidRPr="00232655">
        <w:noBreakHyphen/>
      </w:r>
      <w:r w:rsidRPr="00232655">
        <w:t>judgment interest of $314,062.90 on the sum of $1,200,633.68 in respect of the transactions referred to in order 3 above (being transactions which occurred between 3 July 2012 and 25 September 2012) calculated from 1 September 2015 until 27 May 2020 on the following basis:</w:t>
      </w:r>
    </w:p>
    <w:p w14:paraId="298612A0" w14:textId="77777777" w:rsidR="00A76AF0" w:rsidRPr="00232655" w:rsidRDefault="00A76AF0" w:rsidP="00D93DD5">
      <w:pPr>
        <w:pStyle w:val="Order3"/>
      </w:pPr>
      <w:r w:rsidRPr="00232655">
        <w:t>$23,881.10 for the period between 1 September 2015 and 31 December 2015, calculated at a rate of 6.00% per annum pursuant to paragraph 2 of Federal Court Practice Note GPN-INT;</w:t>
      </w:r>
    </w:p>
    <w:p w14:paraId="178547B7" w14:textId="77777777" w:rsidR="00A76AF0" w:rsidRPr="00232655" w:rsidRDefault="00A76AF0" w:rsidP="00D93DD5">
      <w:pPr>
        <w:pStyle w:val="Order3"/>
      </w:pPr>
      <w:r w:rsidRPr="00232655">
        <w:t>$35,822.19 for the period between 1 January 2016 and 30 June 2016, calculated at a rate of 6.00% per annum pursuant to paragraph 2 of Federal Court Practice Note GPN-INT;</w:t>
      </w:r>
    </w:p>
    <w:p w14:paraId="6F1CE4CF" w14:textId="77777777" w:rsidR="00A76AF0" w:rsidRPr="00232655" w:rsidRDefault="00A76AF0" w:rsidP="00D93DD5">
      <w:pPr>
        <w:pStyle w:val="Order3"/>
      </w:pPr>
      <w:r w:rsidRPr="00232655">
        <w:t>$34,706.84 for the period between 1 July 2016 and 31 December 2016, calculated at a rate of 5.75% per annum pursuant to paragraph 2 of Federal Court Practice Note GPN-INT;</w:t>
      </w:r>
    </w:p>
    <w:p w14:paraId="4282D548" w14:textId="77777777" w:rsidR="00A76AF0" w:rsidRPr="00232655" w:rsidRDefault="00A76AF0" w:rsidP="00D93DD5">
      <w:pPr>
        <w:pStyle w:val="Order3"/>
      </w:pPr>
      <w:r w:rsidRPr="00232655">
        <w:t>$66,034.85 for the period between 1 January 2017 and 31 December 2017, calculated at a rate of 5.50% per annum pursuant to paragraph 2 of Federal Court Practice Note GPN-INT;</w:t>
      </w:r>
    </w:p>
    <w:p w14:paraId="303CFD34" w14:textId="77777777" w:rsidR="00A76AF0" w:rsidRPr="00232655" w:rsidRDefault="00A76AF0" w:rsidP="00D93DD5">
      <w:pPr>
        <w:pStyle w:val="Order3"/>
      </w:pPr>
      <w:r w:rsidRPr="00232655">
        <w:t>$66,034.85 for the period between 1 January 2018 and 31 December 2018, calculated at a rate of 5.50% per annum pursuant to paragraph 2 of Federal Court Practice Note GPN-INT;</w:t>
      </w:r>
    </w:p>
    <w:p w14:paraId="2ECA89C3" w14:textId="77777777" w:rsidR="00A76AF0" w:rsidRPr="00232655" w:rsidRDefault="00A76AF0" w:rsidP="00D93DD5">
      <w:pPr>
        <w:pStyle w:val="Order3"/>
      </w:pPr>
      <w:r w:rsidRPr="00232655">
        <w:t>$32,746.05 for the period between 1 January 2019 and 30 June 2019, calculated at a rate of 5.50% per annum pursuant to paragraph 2 of Federal Court Practice Note GPN-INT;</w:t>
      </w:r>
    </w:p>
    <w:p w14:paraId="2B13B776" w14:textId="77777777" w:rsidR="00A76AF0" w:rsidRPr="00232655" w:rsidRDefault="00A76AF0" w:rsidP="00D93DD5">
      <w:pPr>
        <w:pStyle w:val="Order3"/>
      </w:pPr>
      <w:r w:rsidRPr="00232655">
        <w:t>$31,775.67 for the period between 1 July 2019 and 31 December 2019, calculated at a rate of 5.25% per annum pursuant to paragraph 2 of Federal Court Practice Note GPN-INT; and</w:t>
      </w:r>
    </w:p>
    <w:p w14:paraId="2E71F77F" w14:textId="77777777" w:rsidR="00A76AF0" w:rsidRPr="00232655" w:rsidRDefault="00A76AF0" w:rsidP="00D93DD5">
      <w:pPr>
        <w:pStyle w:val="Order3"/>
      </w:pPr>
      <w:r w:rsidRPr="00232655">
        <w:t>$23,061.35 for the period between 1 January 2020 and 27 May 2020, calculated at a rate of 4.75% per annum pursuant to paragraph 2 of Federal Court Practice Note GPN-INT.</w:t>
      </w:r>
    </w:p>
    <w:p w14:paraId="65307D81" w14:textId="26C29395" w:rsidR="00A76AF0" w:rsidRPr="00232655" w:rsidRDefault="00A76AF0" w:rsidP="00D93DD5">
      <w:pPr>
        <w:pStyle w:val="Order2"/>
      </w:pPr>
      <w:r w:rsidRPr="00232655">
        <w:lastRenderedPageBreak/>
        <w:t>pursuant to paragraph 3.2 of the Plaintiffs’ A</w:t>
      </w:r>
      <w:r w:rsidR="007A63E1" w:rsidRPr="00232655">
        <w:t>mended Originating Process, pre</w:t>
      </w:r>
      <w:r w:rsidR="007A63E1" w:rsidRPr="00232655">
        <w:noBreakHyphen/>
      </w:r>
      <w:r w:rsidRPr="00232655">
        <w:t>judgment interest of $191,785.31 on the sum of $872,198.36 in respect of the transactions referred to in in orders 1 and 2 above (being transactions which occurred between 30 March 2012 and 2 July 2012 calculated from 12 May 2016 (being the date of the Plaintiffs’ Amended Originating Process) until 27 May 2020 on the following basis:</w:t>
      </w:r>
    </w:p>
    <w:p w14:paraId="104BAAD0" w14:textId="77777777" w:rsidR="00A76AF0" w:rsidRPr="00232655" w:rsidRDefault="00A76AF0" w:rsidP="00D93DD5">
      <w:pPr>
        <w:pStyle w:val="Order3"/>
      </w:pPr>
      <w:r w:rsidRPr="00232655">
        <w:t>$7,006.18 for the period between 12 May 2016 and 30 June 2016, calculated at a rate of 6.00% per annum pursuant to paragraph 2 of Federal Court Practice Note GPN-INT; and</w:t>
      </w:r>
    </w:p>
    <w:p w14:paraId="41E4A516" w14:textId="77777777" w:rsidR="00A76AF0" w:rsidRPr="00232655" w:rsidRDefault="00A76AF0" w:rsidP="00D93DD5">
      <w:pPr>
        <w:pStyle w:val="Order3"/>
      </w:pPr>
      <w:r w:rsidRPr="00232655">
        <w:t>$25,212.73 for the period between 1 July 2016 and 31 December 2016, calculated at a rate of 5.75% per annum pursuant to paragraph 2 of Federal Court Practice Note GPN-INT;</w:t>
      </w:r>
    </w:p>
    <w:p w14:paraId="7B9E0751" w14:textId="77777777" w:rsidR="00A76AF0" w:rsidRPr="00232655" w:rsidRDefault="00A76AF0" w:rsidP="00D93DD5">
      <w:pPr>
        <w:pStyle w:val="Order3"/>
      </w:pPr>
      <w:r w:rsidRPr="00232655">
        <w:t>$47,970.91 for the period between 1 January 2017 and 31 December 2017, calculated at a rate of 5.50% per annum pursuant to paragraph 2 of Federal Court Practice Note GPN-INT;</w:t>
      </w:r>
    </w:p>
    <w:p w14:paraId="788BB5D1" w14:textId="77777777" w:rsidR="00A76AF0" w:rsidRPr="00232655" w:rsidRDefault="00A76AF0" w:rsidP="00D93DD5">
      <w:pPr>
        <w:pStyle w:val="Order3"/>
      </w:pPr>
      <w:r w:rsidRPr="00232655">
        <w:t>$47,970.91 for the period between 1 January 2018 and 31 December 2018, calculated at a rate of 5.50% per annum pursuant to paragraph 2 of Federal Court Practice Note GPN-INT;</w:t>
      </w:r>
    </w:p>
    <w:p w14:paraId="22CB1BD2" w14:textId="77777777" w:rsidR="00A76AF0" w:rsidRPr="00232655" w:rsidRDefault="00A76AF0" w:rsidP="00D93DD5">
      <w:pPr>
        <w:pStyle w:val="Order3"/>
      </w:pPr>
      <w:r w:rsidRPr="00232655">
        <w:t xml:space="preserve">$23,788.31 for the period between 1 January 2019 and 30 June 2019, calculated at a rate of 5.50% per annum pursuant to paragraph 2 of Federal Court Practice Note GPN-INT; </w:t>
      </w:r>
    </w:p>
    <w:p w14:paraId="64F71BBB" w14:textId="77777777" w:rsidR="00A76AF0" w:rsidRPr="00232655" w:rsidRDefault="00A76AF0" w:rsidP="00D93DD5">
      <w:pPr>
        <w:pStyle w:val="Order3"/>
      </w:pPr>
      <w:r w:rsidRPr="00232655">
        <w:t>$23,083.39 for the period between 1 July 2019 and 31 December 2019, calculated at a rate of 5.25% per annum pursuant to paragraph 2 of Federal Court Practice Note GPN-INT; and</w:t>
      </w:r>
    </w:p>
    <w:p w14:paraId="76EFC9F8" w14:textId="77777777" w:rsidR="00A76AF0" w:rsidRPr="00232655" w:rsidRDefault="00A76AF0" w:rsidP="00D93DD5">
      <w:pPr>
        <w:pStyle w:val="Order3"/>
      </w:pPr>
      <w:r w:rsidRPr="00232655">
        <w:t>$16,752.88 for the period between 1 January 2020 and 27 May 2020, calculated at a rate of 4.75% per annum pursuant to paragraph 2 of Federal Court Practice Note GPN-INT.</w:t>
      </w:r>
    </w:p>
    <w:p w14:paraId="682424A7" w14:textId="0F07942B" w:rsidR="00A76AF0" w:rsidRPr="00232655" w:rsidRDefault="00A76AF0" w:rsidP="00A76AF0">
      <w:pPr>
        <w:pStyle w:val="Order1"/>
      </w:pPr>
      <w:r w:rsidRPr="00232655">
        <w:t>Pursuant to s 52 of the Federal Court Act, the De</w:t>
      </w:r>
      <w:r w:rsidR="007A63E1" w:rsidRPr="00232655">
        <w:t>fendant pay the Plaintiffs post</w:t>
      </w:r>
      <w:r w:rsidR="007A63E1" w:rsidRPr="00232655">
        <w:noBreakHyphen/>
      </w:r>
      <w:r w:rsidRPr="00232655">
        <w:t>judgment interest on the amount payable pursuant to Order 4 above, calculated at a rate of 6.75% per annum pursuant to paragraph 3.2 of Federal Court Practice Note GPN</w:t>
      </w:r>
      <w:r w:rsidR="007A63E1" w:rsidRPr="00232655">
        <w:noBreakHyphen/>
      </w:r>
      <w:r w:rsidRPr="00232655">
        <w:t xml:space="preserve">INT from 27 May 2020 and continuing to accrue at that rate until the date of the Defendant’s payment of the amount payable pursuant to Order 4 above. </w:t>
      </w:r>
    </w:p>
    <w:p w14:paraId="4D9F1AB8" w14:textId="77777777" w:rsidR="00A76AF0" w:rsidRPr="00232655" w:rsidRDefault="00A76AF0" w:rsidP="00A76AF0">
      <w:pPr>
        <w:pStyle w:val="Order1"/>
      </w:pPr>
      <w:r w:rsidRPr="00232655">
        <w:lastRenderedPageBreak/>
        <w:t>Pursuant to r 40.02 of the Federal Court Rules 2011 (</w:t>
      </w:r>
      <w:proofErr w:type="spellStart"/>
      <w:r w:rsidRPr="00232655">
        <w:t>Cth</w:t>
      </w:r>
      <w:proofErr w:type="spellEnd"/>
      <w:r w:rsidRPr="00232655">
        <w:t>), the Plaintiffs are entitled to their costs of, and incidental to, this proceeding on:</w:t>
      </w:r>
    </w:p>
    <w:p w14:paraId="6BD0EEF1" w14:textId="23A33C74" w:rsidR="00A76AF0" w:rsidRPr="00232655" w:rsidRDefault="00A76AF0" w:rsidP="00D93DD5">
      <w:pPr>
        <w:pStyle w:val="Order2"/>
      </w:pPr>
      <w:r w:rsidRPr="00232655">
        <w:t xml:space="preserve">a party and party basis up to and including </w:t>
      </w:r>
      <w:r w:rsidR="00D93DD5" w:rsidRPr="00232655">
        <w:t>11.00am on 18 February 2019</w:t>
      </w:r>
      <w:r w:rsidRPr="00232655">
        <w:t>; and</w:t>
      </w:r>
    </w:p>
    <w:p w14:paraId="496B752F" w14:textId="30DE4C99" w:rsidR="00A76AF0" w:rsidRPr="00232655" w:rsidRDefault="00A76AF0" w:rsidP="00D93DD5">
      <w:pPr>
        <w:pStyle w:val="Order2"/>
      </w:pPr>
      <w:r w:rsidRPr="00232655">
        <w:t xml:space="preserve">an indemnity basis after </w:t>
      </w:r>
      <w:r w:rsidR="00D93DD5" w:rsidRPr="00232655">
        <w:t>11.00am on 18 February 2019</w:t>
      </w:r>
      <w:r w:rsidRPr="00232655">
        <w:t>.</w:t>
      </w:r>
    </w:p>
    <w:p w14:paraId="3A7B59A0" w14:textId="77777777" w:rsidR="00A76AF0" w:rsidRPr="00232655" w:rsidRDefault="00A76AF0" w:rsidP="00A76AF0">
      <w:pPr>
        <w:pStyle w:val="Order1"/>
      </w:pPr>
      <w:r w:rsidRPr="00232655">
        <w:t>Within 14 days of the date of this order, the parties are to confer with a view to agreeing the amount of costs payable by the Defendant pursuant to Order 7 above.</w:t>
      </w:r>
    </w:p>
    <w:p w14:paraId="3CD2CD5B" w14:textId="227F86B9" w:rsidR="00395B24" w:rsidRPr="00232655" w:rsidRDefault="00A76AF0" w:rsidP="00D93DD5">
      <w:pPr>
        <w:pStyle w:val="Order1"/>
      </w:pPr>
      <w:r w:rsidRPr="00232655">
        <w:t>In the absence of agreement in respect of the costs payable by the Defendant pursuant to Order 8 above, the Plaintiffs have liberty to apply to a Registrar of this Court f</w:t>
      </w:r>
      <w:r w:rsidR="00D93DD5" w:rsidRPr="00232655">
        <w:t>or the taxation of their costs.</w:t>
      </w:r>
    </w:p>
    <w:p w14:paraId="7E1CF392" w14:textId="77777777" w:rsidR="00636871" w:rsidRPr="00232655" w:rsidRDefault="00636871" w:rsidP="002B0E91">
      <w:pPr>
        <w:pStyle w:val="BodyText"/>
      </w:pPr>
    </w:p>
    <w:p w14:paraId="37B92E3D" w14:textId="77777777" w:rsidR="00395B24" w:rsidRPr="00232655" w:rsidRDefault="00395B24" w:rsidP="002B0E91">
      <w:pPr>
        <w:pStyle w:val="BodyText"/>
      </w:pPr>
    </w:p>
    <w:p w14:paraId="562F99EC" w14:textId="77777777" w:rsidR="00395B24" w:rsidRPr="00232655" w:rsidRDefault="002C7385" w:rsidP="004D53E5">
      <w:pPr>
        <w:pStyle w:val="SingleSpace"/>
      </w:pPr>
      <w:r w:rsidRPr="00232655">
        <w:t>Note:</w:t>
      </w:r>
      <w:r w:rsidRPr="00232655">
        <w:tab/>
        <w:t xml:space="preserve">Entry of orders is dealt with in Rule 39.32 of the </w:t>
      </w:r>
      <w:r w:rsidRPr="00232655">
        <w:rPr>
          <w:i/>
        </w:rPr>
        <w:t>Federal Court Rules 2011</w:t>
      </w:r>
      <w:r w:rsidRPr="00232655">
        <w:t>.</w:t>
      </w:r>
    </w:p>
    <w:p w14:paraId="7B30E2AD" w14:textId="77777777" w:rsidR="00395B24" w:rsidRPr="00232655" w:rsidRDefault="00395B24" w:rsidP="002B0E91">
      <w:pPr>
        <w:pStyle w:val="BodyText"/>
      </w:pPr>
    </w:p>
    <w:p w14:paraId="1D74EEED" w14:textId="77777777" w:rsidR="00395B24" w:rsidRPr="00232655" w:rsidRDefault="00395B24" w:rsidP="001F2DBC">
      <w:pPr>
        <w:pStyle w:val="BodyText"/>
      </w:pPr>
    </w:p>
    <w:p w14:paraId="29FEB91D" w14:textId="77777777" w:rsidR="0092590B" w:rsidRPr="00232655" w:rsidRDefault="0092590B" w:rsidP="002B0E91">
      <w:pPr>
        <w:pStyle w:val="BodyText"/>
      </w:pPr>
    </w:p>
    <w:p w14:paraId="2C105E29" w14:textId="77777777" w:rsidR="00395B24" w:rsidRPr="00232655" w:rsidRDefault="00395B24">
      <w:pPr>
        <w:pStyle w:val="NormalHeadings"/>
        <w:spacing w:before="240" w:after="120"/>
        <w:rPr>
          <w:b w:val="0"/>
        </w:rPr>
        <w:sectPr w:rsidR="00395B24" w:rsidRPr="00232655"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0AF90F75" w14:textId="77777777" w:rsidR="00484F6D" w:rsidRPr="00232655" w:rsidRDefault="00484F6D" w:rsidP="00045BB7">
      <w:pPr>
        <w:pStyle w:val="NormalHeadings"/>
        <w:spacing w:line="480" w:lineRule="auto"/>
        <w:jc w:val="center"/>
        <w:rPr>
          <w:sz w:val="28"/>
          <w:szCs w:val="28"/>
        </w:rPr>
      </w:pPr>
      <w:bookmarkStart w:id="20" w:name="ReasonsPage"/>
      <w:bookmarkEnd w:id="20"/>
      <w:r w:rsidRPr="00232655">
        <w:rPr>
          <w:sz w:val="28"/>
          <w:szCs w:val="28"/>
        </w:rPr>
        <w:lastRenderedPageBreak/>
        <w:t>REASONS FOR JUDGMENT</w:t>
      </w:r>
    </w:p>
    <w:p w14:paraId="0FD2B6B3" w14:textId="77777777" w:rsidR="00395B24" w:rsidRPr="00232655" w:rsidRDefault="00ED3A28" w:rsidP="005E0510">
      <w:pPr>
        <w:pStyle w:val="NormalHeadings"/>
        <w:spacing w:line="360" w:lineRule="auto"/>
        <w:jc w:val="left"/>
        <w:rPr>
          <w:sz w:val="26"/>
          <w:szCs w:val="26"/>
        </w:rPr>
      </w:pPr>
      <w:r w:rsidRPr="00232655">
        <w:rPr>
          <w:sz w:val="26"/>
          <w:szCs w:val="26"/>
        </w:rPr>
        <w:t>DAVIES J</w:t>
      </w:r>
      <w:r w:rsidR="00484F6D" w:rsidRPr="00232655">
        <w:rPr>
          <w:sz w:val="26"/>
          <w:szCs w:val="26"/>
        </w:rPr>
        <w:t>:</w:t>
      </w:r>
    </w:p>
    <w:p w14:paraId="519F069B" w14:textId="53E749CC" w:rsidR="008D719A" w:rsidRPr="00232655" w:rsidRDefault="00ED3A28" w:rsidP="00A301C6">
      <w:pPr>
        <w:pStyle w:val="ParaNumbering"/>
      </w:pPr>
      <w:r w:rsidRPr="00232655">
        <w:t xml:space="preserve">On 27 May 2020, the Court handed down judgment in this proceeding in favour of the plaintiffs: </w:t>
      </w:r>
      <w:r w:rsidRPr="00232655">
        <w:rPr>
          <w:i/>
        </w:rPr>
        <w:t xml:space="preserve">Bryant, </w:t>
      </w:r>
      <w:r w:rsidRPr="00232655">
        <w:rPr>
          <w:i/>
          <w:lang w:eastAsia="en-AU"/>
        </w:rPr>
        <w:t xml:space="preserve">in the matter of </w:t>
      </w:r>
      <w:proofErr w:type="spellStart"/>
      <w:r w:rsidRPr="00232655">
        <w:rPr>
          <w:i/>
          <w:lang w:eastAsia="en-AU"/>
        </w:rPr>
        <w:t>Gunns</w:t>
      </w:r>
      <w:proofErr w:type="spellEnd"/>
      <w:r w:rsidRPr="00232655">
        <w:rPr>
          <w:i/>
          <w:lang w:eastAsia="en-AU"/>
        </w:rPr>
        <w:t xml:space="preserve"> Limited (in </w:t>
      </w:r>
      <w:proofErr w:type="spellStart"/>
      <w:r w:rsidRPr="00232655">
        <w:rPr>
          <w:i/>
          <w:lang w:eastAsia="en-AU"/>
        </w:rPr>
        <w:t>liq</w:t>
      </w:r>
      <w:proofErr w:type="spellEnd"/>
      <w:r w:rsidRPr="00232655">
        <w:rPr>
          <w:i/>
          <w:lang w:eastAsia="en-AU"/>
        </w:rPr>
        <w:t>) (receivers and managers appointed) v Badenoch Integrated Logging Pty Ltd</w:t>
      </w:r>
      <w:r w:rsidR="00AB2295" w:rsidRPr="00232655">
        <w:rPr>
          <w:lang w:eastAsia="en-AU"/>
        </w:rPr>
        <w:t xml:space="preserve"> </w:t>
      </w:r>
      <w:r w:rsidRPr="00232655">
        <w:rPr>
          <w:lang w:eastAsia="en-AU"/>
        </w:rPr>
        <w:t>[2020] FCA 713</w:t>
      </w:r>
      <w:r w:rsidR="00AB2295" w:rsidRPr="00232655">
        <w:rPr>
          <w:lang w:eastAsia="en-AU"/>
        </w:rPr>
        <w:t xml:space="preserve">.  </w:t>
      </w:r>
      <w:r w:rsidR="004869E8" w:rsidRPr="00232655">
        <w:rPr>
          <w:lang w:eastAsia="en-AU"/>
        </w:rPr>
        <w:t>The parties have agreed on orders that</w:t>
      </w:r>
      <w:r w:rsidR="00B5317C" w:rsidRPr="00232655">
        <w:rPr>
          <w:lang w:eastAsia="en-AU"/>
        </w:rPr>
        <w:t xml:space="preserve"> the defendant</w:t>
      </w:r>
      <w:r w:rsidR="004869E8" w:rsidRPr="00232655">
        <w:rPr>
          <w:lang w:eastAsia="en-AU"/>
        </w:rPr>
        <w:t xml:space="preserve"> </w:t>
      </w:r>
      <w:r w:rsidR="00B5317C" w:rsidRPr="00232655">
        <w:rPr>
          <w:lang w:eastAsia="en-AU"/>
        </w:rPr>
        <w:t>(</w:t>
      </w:r>
      <w:r w:rsidR="004869E8" w:rsidRPr="00232655">
        <w:rPr>
          <w:b/>
        </w:rPr>
        <w:t>Badenoch</w:t>
      </w:r>
      <w:r w:rsidR="00B5317C" w:rsidRPr="00232655">
        <w:t>)</w:t>
      </w:r>
      <w:r w:rsidR="004869E8" w:rsidRPr="00232655">
        <w:t xml:space="preserve"> pay the plaintiffs the sum of $2,072,832.04. </w:t>
      </w:r>
      <w:r w:rsidR="00B5317C" w:rsidRPr="00232655">
        <w:t xml:space="preserve"> </w:t>
      </w:r>
      <w:r w:rsidR="004869E8" w:rsidRPr="00232655">
        <w:t xml:space="preserve">Badenoch </w:t>
      </w:r>
      <w:r w:rsidR="00A301C6" w:rsidRPr="00232655">
        <w:t xml:space="preserve">also </w:t>
      </w:r>
      <w:r w:rsidR="004869E8" w:rsidRPr="00232655">
        <w:t>accepts that an order should be made that it pay the plaintiffs’ costs of the proc</w:t>
      </w:r>
      <w:r w:rsidR="007A63E1" w:rsidRPr="00232655">
        <w:t xml:space="preserve">eeding on a party/party basis. </w:t>
      </w:r>
      <w:r w:rsidR="004869E8" w:rsidRPr="00232655">
        <w:t>However, the plaintiffs seek costs on an i</w:t>
      </w:r>
      <w:r w:rsidR="00A34B3A" w:rsidRPr="00232655">
        <w:t>ndemnity basis after 26 October </w:t>
      </w:r>
      <w:r w:rsidR="004869E8" w:rsidRPr="00232655">
        <w:t xml:space="preserve">2017, </w:t>
      </w:r>
      <w:r w:rsidR="00B5317C" w:rsidRPr="00232655">
        <w:t xml:space="preserve">or </w:t>
      </w:r>
      <w:r w:rsidR="004869E8" w:rsidRPr="00232655">
        <w:t>alternatively after 11.00</w:t>
      </w:r>
      <w:r w:rsidR="007A63E1" w:rsidRPr="00232655">
        <w:t xml:space="preserve"> </w:t>
      </w:r>
      <w:r w:rsidR="004869E8" w:rsidRPr="00232655">
        <w:t>am on 18 February 2019</w:t>
      </w:r>
      <w:r w:rsidR="00337618" w:rsidRPr="00232655">
        <w:t>, which Badenoch disputes</w:t>
      </w:r>
      <w:r w:rsidR="004869E8" w:rsidRPr="00232655">
        <w:t xml:space="preserve">.  </w:t>
      </w:r>
      <w:r w:rsidR="008D719A" w:rsidRPr="00232655">
        <w:t>The parties were directed to provide written submissions as to costs, with a decision to be made on the papers.</w:t>
      </w:r>
    </w:p>
    <w:p w14:paraId="2008D9B0" w14:textId="494FD345" w:rsidR="00FE3BBB" w:rsidRPr="00232655" w:rsidRDefault="009242FF" w:rsidP="00AB2E51">
      <w:pPr>
        <w:pStyle w:val="ParaNumbering"/>
      </w:pPr>
      <w:r w:rsidRPr="00232655">
        <w:t xml:space="preserve">The </w:t>
      </w:r>
      <w:r w:rsidR="009113BE" w:rsidRPr="00232655">
        <w:t xml:space="preserve">plaintiffs’ </w:t>
      </w:r>
      <w:r w:rsidRPr="00232655">
        <w:t>claim for indemnity costs after 26 October 2017 is based on a</w:t>
      </w:r>
      <w:r w:rsidR="000304D7" w:rsidRPr="00232655">
        <w:t>n</w:t>
      </w:r>
      <w:r w:rsidRPr="00232655">
        <w:t xml:space="preserve"> offer pursuant to which the plaintiffs offered to compromise their claims for the sum of $750,000</w:t>
      </w:r>
      <w:r w:rsidR="00AB2E51" w:rsidRPr="00232655">
        <w:t>,</w:t>
      </w:r>
      <w:r w:rsidRPr="00232655">
        <w:t xml:space="preserve"> inclusive of costs </w:t>
      </w:r>
      <w:r w:rsidR="00AB2E51" w:rsidRPr="00232655">
        <w:t>and interest</w:t>
      </w:r>
      <w:r w:rsidR="004E0220" w:rsidRPr="00232655">
        <w:t xml:space="preserve"> (</w:t>
      </w:r>
      <w:r w:rsidR="004E0220" w:rsidRPr="00232655">
        <w:rPr>
          <w:b/>
        </w:rPr>
        <w:t>the first offer</w:t>
      </w:r>
      <w:r w:rsidR="004E0220" w:rsidRPr="00232655">
        <w:t>)</w:t>
      </w:r>
      <w:r w:rsidRPr="00232655">
        <w:t xml:space="preserve">. </w:t>
      </w:r>
      <w:r w:rsidR="00AB2E51" w:rsidRPr="00232655">
        <w:t xml:space="preserve"> </w:t>
      </w:r>
      <w:r w:rsidR="00FE3BBB" w:rsidRPr="00232655">
        <w:t xml:space="preserve">It is well established that an unsuccessful party is not liable to pay indemnity costs merely because it received an offer to settle on terms more favourable than it achieved at trial and rejected that offer.  However, indemnity costs may properly be awarded where the refusal of the offer was unreasonable when viewed in light of the circumstances existing at the time the offer was rejected.  In </w:t>
      </w:r>
      <w:r w:rsidR="00FE3BBB" w:rsidRPr="00232655">
        <w:rPr>
          <w:i/>
        </w:rPr>
        <w:t>Anchorage Capital Partners Pty L</w:t>
      </w:r>
      <w:r w:rsidR="00AE7769" w:rsidRPr="00232655">
        <w:rPr>
          <w:i/>
        </w:rPr>
        <w:t>imi</w:t>
      </w:r>
      <w:r w:rsidR="00FE3BBB" w:rsidRPr="00232655">
        <w:rPr>
          <w:i/>
        </w:rPr>
        <w:t>t</w:t>
      </w:r>
      <w:r w:rsidR="00AE7769" w:rsidRPr="00232655">
        <w:rPr>
          <w:i/>
        </w:rPr>
        <w:t>e</w:t>
      </w:r>
      <w:r w:rsidR="00FE3BBB" w:rsidRPr="00232655">
        <w:rPr>
          <w:i/>
        </w:rPr>
        <w:t xml:space="preserve">d v ACPA Pty Ltd (No 2) </w:t>
      </w:r>
      <w:r w:rsidR="00AE7769" w:rsidRPr="00232655">
        <w:t>[2018] </w:t>
      </w:r>
      <w:r w:rsidR="00FE3BBB" w:rsidRPr="00232655">
        <w:t>FCAFC</w:t>
      </w:r>
      <w:r w:rsidR="00AE7769" w:rsidRPr="00232655">
        <w:t> </w:t>
      </w:r>
      <w:r w:rsidR="00FE3BBB" w:rsidRPr="00232655">
        <w:t>112 at [7], the Full Court stated that the circumstances to be taken into account in determining whether the rejection of an offer was unreasonable cannot be stated exhaustively, but may include, for example</w:t>
      </w:r>
      <w:r w:rsidR="00AE7769" w:rsidRPr="00232655">
        <w:t>:</w:t>
      </w:r>
      <w:r w:rsidR="00FE3BBB" w:rsidRPr="00232655">
        <w:t xml:space="preserve"> the stage of a proceeding which the offer was received</w:t>
      </w:r>
      <w:r w:rsidR="00AE7769" w:rsidRPr="00232655">
        <w:t>;</w:t>
      </w:r>
      <w:r w:rsidR="00FE3BBB" w:rsidRPr="00232655">
        <w:t xml:space="preserve"> the time allowed to the offeree to consider the offer</w:t>
      </w:r>
      <w:r w:rsidR="00AE7769" w:rsidRPr="00232655">
        <w:t>;</w:t>
      </w:r>
      <w:r w:rsidR="00FE3BBB" w:rsidRPr="00232655">
        <w:t xml:space="preserve"> the e</w:t>
      </w:r>
      <w:r w:rsidR="00AE7769" w:rsidRPr="00232655">
        <w:t>xtent of the compromise offered;</w:t>
      </w:r>
      <w:r w:rsidR="00FE3BBB" w:rsidRPr="00232655">
        <w:t xml:space="preserve"> the offeree’s prospects of success, assessed as at the date of the offer</w:t>
      </w:r>
      <w:r w:rsidR="00AE7769" w:rsidRPr="00232655">
        <w:t>;</w:t>
      </w:r>
      <w:r w:rsidR="00FE3BBB" w:rsidRPr="00232655">
        <w:t xml:space="preserve"> the clarity with which the terms of the offer were expressed</w:t>
      </w:r>
      <w:r w:rsidR="00AE7769" w:rsidRPr="00232655">
        <w:t>;</w:t>
      </w:r>
      <w:r w:rsidR="00FE3BBB" w:rsidRPr="00232655">
        <w:t xml:space="preserve"> and whether the offer foreshadowed an application for an indemnity costs</w:t>
      </w:r>
      <w:r w:rsidR="00AE7769" w:rsidRPr="00232655">
        <w:t xml:space="preserve"> order</w:t>
      </w:r>
      <w:r w:rsidR="00FE3BBB" w:rsidRPr="00232655">
        <w:t xml:space="preserve"> in the event of the offeree rejecting it</w:t>
      </w:r>
      <w:r w:rsidR="00910F76" w:rsidRPr="00232655">
        <w:t xml:space="preserve">. </w:t>
      </w:r>
      <w:r w:rsidR="00A34B3A" w:rsidRPr="00232655">
        <w:t xml:space="preserve"> </w:t>
      </w:r>
      <w:r w:rsidR="00FE3BBB" w:rsidRPr="00232655">
        <w:t>The party seeking the award of indemnity costs has the onus to prove that the rejection of a settlement offer was unreasonable in the circumstances of the case</w:t>
      </w:r>
      <w:r w:rsidR="00A34B3A" w:rsidRPr="00232655">
        <w:t>:</w:t>
      </w:r>
      <w:r w:rsidR="003E768B" w:rsidRPr="00232655">
        <w:t xml:space="preserve"> see </w:t>
      </w:r>
      <w:proofErr w:type="spellStart"/>
      <w:r w:rsidR="003E768B" w:rsidRPr="00232655">
        <w:t>eg</w:t>
      </w:r>
      <w:proofErr w:type="spellEnd"/>
      <w:r w:rsidR="003E768B" w:rsidRPr="00232655">
        <w:t xml:space="preserve"> </w:t>
      </w:r>
      <w:r w:rsidR="003E768B" w:rsidRPr="00232655">
        <w:rPr>
          <w:i/>
        </w:rPr>
        <w:t>Ford Motor Company of Australia</w:t>
      </w:r>
      <w:r w:rsidR="004557AD" w:rsidRPr="00232655">
        <w:rPr>
          <w:i/>
        </w:rPr>
        <w:t xml:space="preserve"> Ltd v Lo </w:t>
      </w:r>
      <w:proofErr w:type="spellStart"/>
      <w:r w:rsidR="004557AD" w:rsidRPr="00232655">
        <w:rPr>
          <w:i/>
        </w:rPr>
        <w:t>Presti</w:t>
      </w:r>
      <w:proofErr w:type="spellEnd"/>
      <w:r w:rsidR="004557AD" w:rsidRPr="00232655">
        <w:rPr>
          <w:i/>
        </w:rPr>
        <w:t xml:space="preserve"> </w:t>
      </w:r>
      <w:r w:rsidR="004557AD" w:rsidRPr="00232655">
        <w:t>[2009] WASCA 115; 41 WAR 1 at 9 [21]–[23]</w:t>
      </w:r>
      <w:r w:rsidR="00856A07" w:rsidRPr="00232655">
        <w:t xml:space="preserve"> per Buss JA (Wheeler JA agreeing)</w:t>
      </w:r>
      <w:r w:rsidR="00FE3BBB" w:rsidRPr="00232655">
        <w:t>.</w:t>
      </w:r>
    </w:p>
    <w:p w14:paraId="0E940364" w14:textId="4C4D79D7" w:rsidR="00360C9A" w:rsidRPr="00232655" w:rsidRDefault="00FE3BBB" w:rsidP="00FE3BBB">
      <w:pPr>
        <w:pStyle w:val="ParaNumbering"/>
      </w:pPr>
      <w:r w:rsidRPr="00232655">
        <w:t>Badenoch accepts</w:t>
      </w:r>
      <w:r w:rsidR="00360C9A" w:rsidRPr="00232655">
        <w:t xml:space="preserve"> that the plaintiffs </w:t>
      </w:r>
      <w:r w:rsidR="00EC359A" w:rsidRPr="00232655">
        <w:t>have</w:t>
      </w:r>
      <w:r w:rsidR="00360C9A" w:rsidRPr="00232655">
        <w:t xml:space="preserve"> obtained judgment in an </w:t>
      </w:r>
      <w:r w:rsidR="00EC359A" w:rsidRPr="00232655">
        <w:t>amount</w:t>
      </w:r>
      <w:r w:rsidR="00360C9A" w:rsidRPr="00232655">
        <w:t xml:space="preserve"> which is signif</w:t>
      </w:r>
      <w:r w:rsidR="004E0220" w:rsidRPr="00232655">
        <w:t>icantly more favourable to them</w:t>
      </w:r>
      <w:r w:rsidR="00360C9A" w:rsidRPr="00232655">
        <w:t xml:space="preserve"> than the first offer of $</w:t>
      </w:r>
      <w:r w:rsidRPr="00232655">
        <w:t>750,000.  Badenoch also accepts</w:t>
      </w:r>
      <w:r w:rsidR="00360C9A" w:rsidRPr="00232655">
        <w:t xml:space="preserve"> </w:t>
      </w:r>
      <w:r w:rsidR="00360C9A" w:rsidRPr="00232655">
        <w:lastRenderedPageBreak/>
        <w:t>it was aware of the nature and circumstances of the case against it as at October 2017.  It was submitted it was nevertheless not unreasonable for Badenoch to reject the first offer because:</w:t>
      </w:r>
    </w:p>
    <w:p w14:paraId="5F52CD9F" w14:textId="6FC0120B" w:rsidR="00D918F8" w:rsidRPr="00232655" w:rsidRDefault="00FE3BBB" w:rsidP="00D918F8">
      <w:pPr>
        <w:pStyle w:val="ListNo2"/>
      </w:pPr>
      <w:r w:rsidRPr="00232655">
        <w:t>at the time the first o</w:t>
      </w:r>
      <w:r w:rsidR="00360C9A" w:rsidRPr="00232655">
        <w:t>ffer was made, Badenoch had not been afforded a realistic opportunity to consider the strength</w:t>
      </w:r>
      <w:r w:rsidRPr="00232655">
        <w:t xml:space="preserve"> or otherwise of the plaintiffs’</w:t>
      </w:r>
      <w:r w:rsidR="00360C9A" w:rsidRPr="00232655">
        <w:t xml:space="preserve"> position vis</w:t>
      </w:r>
      <w:r w:rsidR="004E0B7D" w:rsidRPr="00232655">
        <w:noBreakHyphen/>
        <w:t>à</w:t>
      </w:r>
      <w:r w:rsidR="004E0B7D" w:rsidRPr="00232655">
        <w:noBreakHyphen/>
      </w:r>
      <w:r w:rsidR="004E0220" w:rsidRPr="00232655">
        <w:t xml:space="preserve">vis its </w:t>
      </w:r>
      <w:r w:rsidR="00360C9A" w:rsidRPr="00232655">
        <w:t>own position</w:t>
      </w:r>
      <w:r w:rsidR="00360C9A" w:rsidRPr="00232655">
        <w:rPr>
          <w:sz w:val="16"/>
          <w:szCs w:val="16"/>
        </w:rPr>
        <w:t xml:space="preserve"> </w:t>
      </w:r>
      <w:r w:rsidR="00360C9A" w:rsidRPr="00232655">
        <w:t xml:space="preserve">because the preliminary question as to </w:t>
      </w:r>
      <w:proofErr w:type="spellStart"/>
      <w:r w:rsidR="00360C9A" w:rsidRPr="00232655">
        <w:t>Gunns</w:t>
      </w:r>
      <w:proofErr w:type="spellEnd"/>
      <w:r w:rsidR="00360C9A" w:rsidRPr="00232655">
        <w:t>’ solvency had not been determined.</w:t>
      </w:r>
      <w:r w:rsidR="00D918F8" w:rsidRPr="00232655">
        <w:t xml:space="preserve"> </w:t>
      </w:r>
      <w:r w:rsidR="00360C9A" w:rsidRPr="00232655">
        <w:rPr>
          <w:sz w:val="16"/>
          <w:szCs w:val="16"/>
        </w:rPr>
        <w:t xml:space="preserve"> </w:t>
      </w:r>
      <w:r w:rsidR="00DC0B1B" w:rsidRPr="00232655">
        <w:t xml:space="preserve">That question was determined in </w:t>
      </w:r>
      <w:r w:rsidR="004E0220" w:rsidRPr="00232655">
        <w:rPr>
          <w:i/>
          <w:iCs/>
        </w:rPr>
        <w:t>Bryant (L</w:t>
      </w:r>
      <w:r w:rsidR="00D918F8" w:rsidRPr="00232655">
        <w:rPr>
          <w:i/>
          <w:iCs/>
        </w:rPr>
        <w:t>iqu</w:t>
      </w:r>
      <w:r w:rsidR="004E0220" w:rsidRPr="00232655">
        <w:rPr>
          <w:i/>
          <w:iCs/>
        </w:rPr>
        <w:t xml:space="preserve">idator) v LV </w:t>
      </w:r>
      <w:proofErr w:type="spellStart"/>
      <w:r w:rsidR="004E0220" w:rsidRPr="00232655">
        <w:rPr>
          <w:i/>
          <w:iCs/>
        </w:rPr>
        <w:t>Dohnt</w:t>
      </w:r>
      <w:proofErr w:type="spellEnd"/>
      <w:r w:rsidR="004E0220" w:rsidRPr="00232655">
        <w:rPr>
          <w:i/>
          <w:iCs/>
        </w:rPr>
        <w:t xml:space="preserve"> &amp; Co Pty Ltd,</w:t>
      </w:r>
      <w:r w:rsidR="00DC0B1B" w:rsidRPr="00232655">
        <w:rPr>
          <w:rFonts w:ascii="Arial" w:hAnsi="Arial" w:cs="Arial"/>
          <w:b/>
          <w:bCs/>
        </w:rPr>
        <w:t xml:space="preserve"> </w:t>
      </w:r>
      <w:r w:rsidR="00DC0B1B" w:rsidRPr="00232655">
        <w:rPr>
          <w:bCs/>
          <w:i/>
        </w:rPr>
        <w:t xml:space="preserve">in the Matter of </w:t>
      </w:r>
      <w:proofErr w:type="spellStart"/>
      <w:r w:rsidR="00DC0B1B" w:rsidRPr="00232655">
        <w:rPr>
          <w:bCs/>
          <w:i/>
        </w:rPr>
        <w:t>Gunns</w:t>
      </w:r>
      <w:proofErr w:type="spellEnd"/>
      <w:r w:rsidR="00DC0B1B" w:rsidRPr="00232655">
        <w:rPr>
          <w:bCs/>
          <w:i/>
        </w:rPr>
        <w:t xml:space="preserve"> Limited (In </w:t>
      </w:r>
      <w:proofErr w:type="spellStart"/>
      <w:r w:rsidR="00DC0B1B" w:rsidRPr="00232655">
        <w:rPr>
          <w:bCs/>
          <w:i/>
        </w:rPr>
        <w:t>Liq</w:t>
      </w:r>
      <w:proofErr w:type="spellEnd"/>
      <w:r w:rsidR="00DC0B1B" w:rsidRPr="00232655">
        <w:rPr>
          <w:bCs/>
          <w:i/>
        </w:rPr>
        <w:t>) (Receivers and Managers Appointed)</w:t>
      </w:r>
      <w:r w:rsidR="00DC0B1B" w:rsidRPr="00232655">
        <w:rPr>
          <w:bCs/>
        </w:rPr>
        <w:t xml:space="preserve"> [2018] FCA 238</w:t>
      </w:r>
      <w:r w:rsidR="004E0220" w:rsidRPr="00232655">
        <w:rPr>
          <w:bCs/>
        </w:rPr>
        <w:t>,</w:t>
      </w:r>
      <w:r w:rsidR="004E0B7D" w:rsidRPr="00232655">
        <w:rPr>
          <w:bCs/>
        </w:rPr>
        <w:t xml:space="preserve"> handed down on 6 </w:t>
      </w:r>
      <w:r w:rsidR="00DC0B1B" w:rsidRPr="00232655">
        <w:rPr>
          <w:bCs/>
        </w:rPr>
        <w:t>March 2018;</w:t>
      </w:r>
    </w:p>
    <w:p w14:paraId="06A732BE" w14:textId="67CCAB39" w:rsidR="00D918F8" w:rsidRPr="00232655" w:rsidRDefault="00DC0B1B" w:rsidP="00D918F8">
      <w:pPr>
        <w:pStyle w:val="ListNo2"/>
      </w:pPr>
      <w:r w:rsidRPr="00232655">
        <w:t>t</w:t>
      </w:r>
      <w:r w:rsidR="00D918F8" w:rsidRPr="00232655">
        <w:t xml:space="preserve">he </w:t>
      </w:r>
      <w:r w:rsidR="002D2152" w:rsidRPr="00232655">
        <w:t xml:space="preserve">plaintiffs </w:t>
      </w:r>
      <w:r w:rsidR="00D918F8" w:rsidRPr="00232655">
        <w:t xml:space="preserve">had not </w:t>
      </w:r>
      <w:r w:rsidRPr="00232655">
        <w:t xml:space="preserve">yet </w:t>
      </w:r>
      <w:r w:rsidR="00D918F8" w:rsidRPr="00232655">
        <w:t xml:space="preserve">filed the </w:t>
      </w:r>
      <w:r w:rsidRPr="00232655">
        <w:t xml:space="preserve">affidavit of Craig David Crosbie, one of the liquidators of the </w:t>
      </w:r>
      <w:proofErr w:type="spellStart"/>
      <w:r w:rsidRPr="00232655">
        <w:t>Gunns</w:t>
      </w:r>
      <w:proofErr w:type="spellEnd"/>
      <w:r w:rsidRPr="00232655">
        <w:t xml:space="preserve"> Group, which was the only affidavit </w:t>
      </w:r>
      <w:r w:rsidR="00D918F8" w:rsidRPr="00232655">
        <w:t>they ultimately</w:t>
      </w:r>
      <w:r w:rsidR="000304D7" w:rsidRPr="00232655">
        <w:t xml:space="preserve"> relied on in the proceeding;</w:t>
      </w:r>
    </w:p>
    <w:p w14:paraId="57525EAA" w14:textId="67A79ABB" w:rsidR="00D918F8" w:rsidRPr="00232655" w:rsidRDefault="00D918F8" w:rsidP="00EC359A">
      <w:pPr>
        <w:pStyle w:val="ListNo2"/>
      </w:pPr>
      <w:r w:rsidRPr="00232655">
        <w:t xml:space="preserve">the Calderbank letter only gave </w:t>
      </w:r>
      <w:r w:rsidR="002D2152" w:rsidRPr="00232655">
        <w:t>Badenoch</w:t>
      </w:r>
      <w:r w:rsidRPr="00232655">
        <w:t xml:space="preserve"> seven days to consider the offer, which was not long enough given the complexity of the proceedin</w:t>
      </w:r>
      <w:r w:rsidR="008078DD" w:rsidRPr="00232655">
        <w:t>g and the issues involved in it;</w:t>
      </w:r>
      <w:r w:rsidRPr="00232655">
        <w:t xml:space="preserve"> </w:t>
      </w:r>
    </w:p>
    <w:p w14:paraId="0E069014" w14:textId="244F2331" w:rsidR="00D918F8" w:rsidRPr="00232655" w:rsidRDefault="00D918F8" w:rsidP="00EC359A">
      <w:pPr>
        <w:pStyle w:val="ListNo2"/>
      </w:pPr>
      <w:r w:rsidRPr="00232655">
        <w:t>Badenoch</w:t>
      </w:r>
      <w:r w:rsidR="002D2152" w:rsidRPr="00232655">
        <w:t>’s</w:t>
      </w:r>
      <w:r w:rsidRPr="00232655">
        <w:t xml:space="preserve"> defence raised novel questions of law</w:t>
      </w:r>
      <w:r w:rsidR="002D2152" w:rsidRPr="00232655">
        <w:t>,</w:t>
      </w:r>
      <w:r w:rsidRPr="00232655">
        <w:rPr>
          <w:sz w:val="16"/>
          <w:szCs w:val="16"/>
        </w:rPr>
        <w:t xml:space="preserve"> </w:t>
      </w:r>
      <w:r w:rsidRPr="00232655">
        <w:t>namely whether the peak indebtedness rule applie</w:t>
      </w:r>
      <w:r w:rsidR="002D2152" w:rsidRPr="00232655">
        <w:t>d on a proper construction of s </w:t>
      </w:r>
      <w:r w:rsidRPr="00232655">
        <w:t xml:space="preserve">588FA(3) of the </w:t>
      </w:r>
      <w:r w:rsidRPr="00232655">
        <w:rPr>
          <w:i/>
          <w:iCs/>
        </w:rPr>
        <w:t xml:space="preserve">Corporations Act 2001 </w:t>
      </w:r>
      <w:r w:rsidRPr="00232655">
        <w:t>(</w:t>
      </w:r>
      <w:proofErr w:type="spellStart"/>
      <w:r w:rsidRPr="00232655">
        <w:t>Cth</w:t>
      </w:r>
      <w:proofErr w:type="spellEnd"/>
      <w:r w:rsidRPr="00232655">
        <w:t>) (</w:t>
      </w:r>
      <w:r w:rsidRPr="00232655">
        <w:rPr>
          <w:b/>
          <w:bCs/>
        </w:rPr>
        <w:t>the Act</w:t>
      </w:r>
      <w:r w:rsidRPr="00232655">
        <w:t>)</w:t>
      </w:r>
      <w:r w:rsidR="008078DD" w:rsidRPr="00232655">
        <w:t>,</w:t>
      </w:r>
      <w:r w:rsidRPr="00232655">
        <w:t xml:space="preserve"> which defence was raised legitimately in the context of the recent (at the time) </w:t>
      </w:r>
      <w:r w:rsidR="002D2152" w:rsidRPr="00232655">
        <w:t xml:space="preserve">High Court of </w:t>
      </w:r>
      <w:r w:rsidRPr="00232655">
        <w:t xml:space="preserve">New Zealand </w:t>
      </w:r>
      <w:r w:rsidR="002D2152" w:rsidRPr="00232655">
        <w:t>decision in</w:t>
      </w:r>
      <w:r w:rsidRPr="00232655">
        <w:t xml:space="preserve"> </w:t>
      </w:r>
      <w:proofErr w:type="spellStart"/>
      <w:r w:rsidRPr="00232655">
        <w:rPr>
          <w:i/>
          <w:iCs/>
        </w:rPr>
        <w:t>Timberworld</w:t>
      </w:r>
      <w:proofErr w:type="spellEnd"/>
      <w:r w:rsidR="002D2152" w:rsidRPr="00232655">
        <w:rPr>
          <w:i/>
          <w:iCs/>
        </w:rPr>
        <w:t xml:space="preserve"> Ltd</w:t>
      </w:r>
      <w:r w:rsidRPr="00232655">
        <w:rPr>
          <w:i/>
          <w:iCs/>
        </w:rPr>
        <w:t xml:space="preserve"> v Levin </w:t>
      </w:r>
      <w:r w:rsidRPr="00232655">
        <w:t xml:space="preserve">[2015] 3 NZLR 365. </w:t>
      </w:r>
      <w:r w:rsidR="002D2152" w:rsidRPr="00232655">
        <w:t xml:space="preserve"> </w:t>
      </w:r>
      <w:r w:rsidR="008078DD" w:rsidRPr="00232655">
        <w:t xml:space="preserve">It was argued that </w:t>
      </w:r>
      <w:r w:rsidRPr="00232655">
        <w:t xml:space="preserve">Badenoch may have validly reasoned that the benefit of </w:t>
      </w:r>
      <w:r w:rsidR="002D2152" w:rsidRPr="00232655">
        <w:t>saving costs</w:t>
      </w:r>
      <w:r w:rsidRPr="00232655">
        <w:t xml:space="preserve"> by acceptance of the offer was disproportionate to the potential benefit to the development of the law in determining the issue of whether the peak indebtedness rule had any application to s 588FA(3) of the Act. </w:t>
      </w:r>
    </w:p>
    <w:p w14:paraId="2CD20D75" w14:textId="7E86F521" w:rsidR="00D918F8" w:rsidRPr="00232655" w:rsidRDefault="00D918F8" w:rsidP="007415F8">
      <w:pPr>
        <w:pStyle w:val="ParaNumbering"/>
      </w:pPr>
      <w:r w:rsidRPr="00232655">
        <w:t xml:space="preserve">I </w:t>
      </w:r>
      <w:r w:rsidR="007415F8" w:rsidRPr="00232655">
        <w:t xml:space="preserve">do not think </w:t>
      </w:r>
      <w:r w:rsidR="008078DD" w:rsidRPr="00232655">
        <w:t xml:space="preserve">that it was unreasonable for Badenoch to refuse the first offer. </w:t>
      </w:r>
      <w:r w:rsidR="002D2152" w:rsidRPr="00232655">
        <w:t xml:space="preserve"> </w:t>
      </w:r>
      <w:r w:rsidR="007415F8" w:rsidRPr="00232655">
        <w:t xml:space="preserve">Foremost, </w:t>
      </w:r>
      <w:r w:rsidRPr="00232655">
        <w:t xml:space="preserve">at the time the offer was </w:t>
      </w:r>
      <w:r w:rsidR="00EC359A" w:rsidRPr="00232655">
        <w:t>received</w:t>
      </w:r>
      <w:r w:rsidRPr="00232655">
        <w:t>, trial steps had not significantly advanced and</w:t>
      </w:r>
      <w:r w:rsidR="007415F8" w:rsidRPr="00232655">
        <w:t>,</w:t>
      </w:r>
      <w:r w:rsidRPr="00232655">
        <w:t xml:space="preserve"> in particular, the plaintiffs had not filed the evidence on which they sought to rely or identified the key documents which they intended to tender at the hearing.  Added to this, the defences raised by Badenoch involved substantial factual issues for determination and questions of law on matters where the law was not settled. </w:t>
      </w:r>
      <w:r w:rsidR="002D2152" w:rsidRPr="00232655">
        <w:t xml:space="preserve"> </w:t>
      </w:r>
      <w:r w:rsidR="00A546EE" w:rsidRPr="00232655">
        <w:t xml:space="preserve">Although ultimately I found against Badenoch on its defences,  </w:t>
      </w:r>
      <w:r w:rsidRPr="00232655">
        <w:t xml:space="preserve"> it could not be said </w:t>
      </w:r>
      <w:r w:rsidR="00A546EE" w:rsidRPr="00232655">
        <w:t xml:space="preserve">at the time of the first offer </w:t>
      </w:r>
      <w:r w:rsidRPr="00232655">
        <w:t xml:space="preserve">that the defences were not reasonably arguable.  </w:t>
      </w:r>
    </w:p>
    <w:p w14:paraId="115B1234" w14:textId="03ABBE55" w:rsidR="009242FF" w:rsidRPr="00232655" w:rsidRDefault="00D918F8" w:rsidP="00A546EE">
      <w:pPr>
        <w:pStyle w:val="ParaNumbering"/>
      </w:pPr>
      <w:r w:rsidRPr="00232655">
        <w:lastRenderedPageBreak/>
        <w:t>The second offer was made by a notice of offer to compromise</w:t>
      </w:r>
      <w:r w:rsidR="00F60AE8" w:rsidRPr="00232655">
        <w:t xml:space="preserve"> under r 25.01(1) of the </w:t>
      </w:r>
      <w:r w:rsidR="00F60AE8" w:rsidRPr="00232655">
        <w:rPr>
          <w:i/>
        </w:rPr>
        <w:t xml:space="preserve">Federal Court Rules 2011 </w:t>
      </w:r>
      <w:r w:rsidR="00F60AE8" w:rsidRPr="00232655">
        <w:t>(</w:t>
      </w:r>
      <w:proofErr w:type="spellStart"/>
      <w:r w:rsidR="00F60AE8" w:rsidRPr="00232655">
        <w:t>Cth</w:t>
      </w:r>
      <w:proofErr w:type="spellEnd"/>
      <w:r w:rsidR="00F60AE8" w:rsidRPr="00232655">
        <w:t>) (</w:t>
      </w:r>
      <w:r w:rsidR="00F60AE8" w:rsidRPr="00232655">
        <w:rPr>
          <w:b/>
        </w:rPr>
        <w:t>Rules</w:t>
      </w:r>
      <w:r w:rsidR="00F60AE8" w:rsidRPr="00232655">
        <w:t>)</w:t>
      </w:r>
      <w:r w:rsidRPr="00232655">
        <w:t xml:space="preserve"> dated 14 February 2019 (</w:t>
      </w:r>
      <w:r w:rsidRPr="00232655">
        <w:rPr>
          <w:b/>
        </w:rPr>
        <w:t>the second offer</w:t>
      </w:r>
      <w:r w:rsidRPr="00232655">
        <w:t>), approximately one month before trial</w:t>
      </w:r>
      <w:r w:rsidR="002D2152" w:rsidRPr="00232655">
        <w:t>,</w:t>
      </w:r>
      <w:r w:rsidRPr="00232655">
        <w:t xml:space="preserve"> which commenced on 12 March 2019.  By the second offer, the plaintiffs offered to compromise their claims for the sum of $1,140,272.29</w:t>
      </w:r>
      <w:r w:rsidR="0081282A" w:rsidRPr="00232655">
        <w:t>,</w:t>
      </w:r>
      <w:r w:rsidRPr="00232655">
        <w:t xml:space="preserve"> inclusive of interests and costs</w:t>
      </w:r>
      <w:r w:rsidR="0081282A" w:rsidRPr="00232655">
        <w:t xml:space="preserve"> and</w:t>
      </w:r>
      <w:r w:rsidRPr="00232655">
        <w:t xml:space="preserve"> payable within 28 days of acceptance, </w:t>
      </w:r>
      <w:r w:rsidR="00EC359A" w:rsidRPr="00232655">
        <w:t>comprising</w:t>
      </w:r>
      <w:r w:rsidRPr="00232655">
        <w:t xml:space="preserve"> the sum of $940,272.29 (said to be the lowest quantum of the plaintiffs’ claim assuming the existence of </w:t>
      </w:r>
      <w:r w:rsidR="0081282A" w:rsidRPr="00232655">
        <w:t>a running account ($990,272.29),</w:t>
      </w:r>
      <w:r w:rsidRPr="00232655">
        <w:t xml:space="preserve"> less a commercial discount of $50,000</w:t>
      </w:r>
      <w:r w:rsidR="0081282A" w:rsidRPr="00232655">
        <w:t>)</w:t>
      </w:r>
      <w:r w:rsidRPr="00232655">
        <w:t xml:space="preserve"> and costs in the amount of $200,000.  </w:t>
      </w:r>
      <w:r w:rsidR="0081282A" w:rsidRPr="00232655">
        <w:t>By r</w:t>
      </w:r>
      <w:r w:rsidR="00E46A2B" w:rsidRPr="00232655">
        <w:t xml:space="preserve"> 25.14(3) of the </w:t>
      </w:r>
      <w:r w:rsidR="00F60AE8" w:rsidRPr="00232655">
        <w:t>Rules</w:t>
      </w:r>
      <w:r w:rsidR="00E46A2B" w:rsidRPr="00232655">
        <w:t>, if an offer is made by an applicant and not accepted by a respondent and the applicant obtains a judgment that is more favourable than the terms of the offer</w:t>
      </w:r>
      <w:r w:rsidR="0081282A" w:rsidRPr="00232655">
        <w:t>,</w:t>
      </w:r>
      <w:r w:rsidR="00E46A2B" w:rsidRPr="00232655">
        <w:t xml:space="preserve"> </w:t>
      </w:r>
      <w:r w:rsidR="00F60AE8" w:rsidRPr="00232655">
        <w:t xml:space="preserve">there is a presumption that </w:t>
      </w:r>
      <w:r w:rsidR="00E46A2B" w:rsidRPr="00232655">
        <w:t>the applicant is entitled to an order that the respondent pay the applicant’s costs on</w:t>
      </w:r>
      <w:r w:rsidR="0081282A" w:rsidRPr="00232655">
        <w:t xml:space="preserve"> an indemnity basis after 11.00</w:t>
      </w:r>
      <w:r w:rsidR="0001385F" w:rsidRPr="00232655">
        <w:t xml:space="preserve"> </w:t>
      </w:r>
      <w:r w:rsidR="00E46A2B" w:rsidRPr="00232655">
        <w:t xml:space="preserve">am on the second business day after the offer was served.  </w:t>
      </w:r>
      <w:r w:rsidR="0081282A" w:rsidRPr="00232655">
        <w:t xml:space="preserve">Badenoch </w:t>
      </w:r>
      <w:r w:rsidR="00E46A2B" w:rsidRPr="00232655">
        <w:t>did not oppose an order that it pay the plaintiffs’ costs of and incidental to the proceeding on an indemnity basis fro</w:t>
      </w:r>
      <w:r w:rsidR="0081282A" w:rsidRPr="00232655">
        <w:t>m 11.00</w:t>
      </w:r>
      <w:r w:rsidR="0001385F" w:rsidRPr="00232655">
        <w:t xml:space="preserve"> </w:t>
      </w:r>
      <w:r w:rsidR="0081282A" w:rsidRPr="00232655">
        <w:t>am on 18 February 2019,</w:t>
      </w:r>
      <w:r w:rsidR="00BF54D2" w:rsidRPr="00232655">
        <w:t xml:space="preserve"> and as the offer to</w:t>
      </w:r>
      <w:r w:rsidR="00A546EE" w:rsidRPr="00232655">
        <w:t xml:space="preserve"> compromise complies wit</w:t>
      </w:r>
      <w:r w:rsidR="00B16BA0" w:rsidRPr="00232655">
        <w:t>h the requirement</w:t>
      </w:r>
      <w:r w:rsidR="00BF54D2" w:rsidRPr="00232655">
        <w:t>s</w:t>
      </w:r>
      <w:r w:rsidR="00B16BA0" w:rsidRPr="00232655">
        <w:t xml:space="preserve"> of </w:t>
      </w:r>
      <w:r w:rsidR="00BF54D2" w:rsidRPr="00232655">
        <w:t>Pt 25 of the Rules</w:t>
      </w:r>
      <w:r w:rsidR="00A546EE" w:rsidRPr="00232655">
        <w:t>, an order will be so made.</w:t>
      </w:r>
      <w:r w:rsidR="00E46A2B" w:rsidRPr="00232655">
        <w:t xml:space="preserve"> </w:t>
      </w:r>
    </w:p>
    <w:p w14:paraId="5A43E1A1" w14:textId="77777777" w:rsidR="00A20287" w:rsidRPr="00232655" w:rsidRDefault="00A20287" w:rsidP="00815065">
      <w:pPr>
        <w:pStyle w:val="BodyText"/>
      </w:pPr>
      <w:bookmarkStart w:id="21" w:name="Certification"/>
    </w:p>
    <w:tbl>
      <w:tblPr>
        <w:tblW w:w="0" w:type="auto"/>
        <w:tblLook w:val="04A0" w:firstRow="1" w:lastRow="0" w:firstColumn="1" w:lastColumn="0" w:noHBand="0" w:noVBand="1"/>
      </w:tblPr>
      <w:tblGrid>
        <w:gridCol w:w="3794"/>
      </w:tblGrid>
      <w:tr w:rsidR="00A20287" w:rsidRPr="00232655" w14:paraId="52B91B69" w14:textId="77777777">
        <w:tc>
          <w:tcPr>
            <w:tcW w:w="3794" w:type="dxa"/>
            <w:shd w:val="clear" w:color="auto" w:fill="auto"/>
          </w:tcPr>
          <w:p w14:paraId="7933C929" w14:textId="1D543047" w:rsidR="00A20287" w:rsidRPr="00232655" w:rsidRDefault="00A20287" w:rsidP="00A20287">
            <w:pPr>
              <w:pStyle w:val="Normal1linespace"/>
            </w:pPr>
            <w:r w:rsidRPr="00232655">
              <w:t xml:space="preserve">I certify that the preceding </w:t>
            </w:r>
            <w:bookmarkStart w:id="22" w:name="NumberWord"/>
            <w:r w:rsidRPr="00232655">
              <w:t>five</w:t>
            </w:r>
            <w:bookmarkEnd w:id="22"/>
            <w:r w:rsidRPr="00232655">
              <w:t xml:space="preserve"> (</w:t>
            </w:r>
            <w:bookmarkStart w:id="23" w:name="NumberNumeral"/>
            <w:r w:rsidRPr="00232655">
              <w:t>5</w:t>
            </w:r>
            <w:bookmarkEnd w:id="23"/>
            <w:r w:rsidRPr="00232655">
              <w:t xml:space="preserve">) numbered </w:t>
            </w:r>
            <w:bookmarkStart w:id="24" w:name="CertPara"/>
            <w:r w:rsidRPr="00232655">
              <w:t>paragraphs are</w:t>
            </w:r>
            <w:bookmarkEnd w:id="24"/>
            <w:r w:rsidRPr="00232655">
              <w:t xml:space="preserve"> a true copy of the Reasons for Judgment herein of the Honourable </w:t>
            </w:r>
            <w:bookmarkStart w:id="25" w:name="Justice"/>
            <w:r w:rsidRPr="00232655">
              <w:t>Justice Davies</w:t>
            </w:r>
            <w:bookmarkEnd w:id="25"/>
            <w:r w:rsidRPr="00232655">
              <w:t>.</w:t>
            </w:r>
          </w:p>
        </w:tc>
      </w:tr>
    </w:tbl>
    <w:p w14:paraId="225D6C2E" w14:textId="77777777" w:rsidR="00A20287" w:rsidRPr="00232655" w:rsidRDefault="00A20287" w:rsidP="00815065">
      <w:pPr>
        <w:pStyle w:val="BodyText"/>
      </w:pPr>
    </w:p>
    <w:p w14:paraId="750BDCCD" w14:textId="77777777" w:rsidR="00A20287" w:rsidRPr="00232655" w:rsidRDefault="00A20287" w:rsidP="00815065">
      <w:pPr>
        <w:pStyle w:val="BodyText"/>
      </w:pPr>
    </w:p>
    <w:p w14:paraId="41372810" w14:textId="24BA6749" w:rsidR="00A20287" w:rsidRPr="00232655" w:rsidRDefault="00A20287" w:rsidP="00815065">
      <w:pPr>
        <w:pStyle w:val="BodyText"/>
      </w:pPr>
      <w:r w:rsidRPr="00232655">
        <w:t>Associate:</w:t>
      </w:r>
      <w:r w:rsidR="00232655">
        <w:t xml:space="preserve"> </w:t>
      </w:r>
    </w:p>
    <w:p w14:paraId="7C08C7B9" w14:textId="77777777" w:rsidR="00A20287" w:rsidRPr="00232655" w:rsidRDefault="00A20287" w:rsidP="00815065">
      <w:pPr>
        <w:pStyle w:val="BodyText"/>
      </w:pPr>
      <w:bookmarkStart w:id="26" w:name="_GoBack"/>
      <w:bookmarkEnd w:id="26"/>
    </w:p>
    <w:p w14:paraId="77E30335" w14:textId="3DE69202" w:rsidR="00A20287" w:rsidRPr="00232655" w:rsidRDefault="00A20287" w:rsidP="00815065">
      <w:pPr>
        <w:pStyle w:val="BodyText"/>
        <w:tabs>
          <w:tab w:val="left" w:pos="1134"/>
        </w:tabs>
      </w:pPr>
      <w:r w:rsidRPr="00232655">
        <w:t>Dated:</w:t>
      </w:r>
      <w:r w:rsidRPr="00232655">
        <w:tab/>
      </w:r>
      <w:bookmarkStart w:id="27" w:name="CertifyDated"/>
      <w:r w:rsidRPr="00232655">
        <w:t>30 July 2020</w:t>
      </w:r>
      <w:bookmarkEnd w:id="27"/>
    </w:p>
    <w:p w14:paraId="5AFF03F6" w14:textId="77777777" w:rsidR="00A20287" w:rsidRPr="00232655" w:rsidRDefault="00A20287" w:rsidP="00815065">
      <w:pPr>
        <w:pStyle w:val="BodyText"/>
      </w:pPr>
    </w:p>
    <w:bookmarkEnd w:id="21"/>
    <w:p w14:paraId="6EB170E2" w14:textId="77777777" w:rsidR="00A20287" w:rsidRPr="00232655" w:rsidRDefault="00A20287" w:rsidP="00A20287">
      <w:pPr>
        <w:pStyle w:val="BodyText"/>
      </w:pPr>
    </w:p>
    <w:sectPr w:rsidR="00A20287" w:rsidRPr="00232655">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3B18B" w14:textId="77777777" w:rsidR="00ED3A28" w:rsidRDefault="00ED3A28">
      <w:pPr>
        <w:spacing w:line="20" w:lineRule="exact"/>
      </w:pPr>
    </w:p>
    <w:p w14:paraId="369EF365" w14:textId="77777777" w:rsidR="00ED3A28" w:rsidRDefault="00ED3A28"/>
    <w:p w14:paraId="0AEC31A0" w14:textId="77777777" w:rsidR="00ED3A28" w:rsidRDefault="00ED3A28"/>
  </w:endnote>
  <w:endnote w:type="continuationSeparator" w:id="0">
    <w:p w14:paraId="6DEC1EC9" w14:textId="77777777" w:rsidR="00ED3A28" w:rsidRDefault="00ED3A28">
      <w:r>
        <w:t xml:space="preserve"> </w:t>
      </w:r>
    </w:p>
    <w:p w14:paraId="1665ECCC" w14:textId="77777777" w:rsidR="00ED3A28" w:rsidRDefault="00ED3A28"/>
    <w:p w14:paraId="5F3A179D" w14:textId="77777777" w:rsidR="00ED3A28" w:rsidRDefault="00ED3A28"/>
  </w:endnote>
  <w:endnote w:type="continuationNotice" w:id="1">
    <w:p w14:paraId="2F532581" w14:textId="77777777" w:rsidR="00ED3A28" w:rsidRDefault="00ED3A28">
      <w:r>
        <w:t xml:space="preserve"> </w:t>
      </w:r>
    </w:p>
    <w:p w14:paraId="23D28F25" w14:textId="77777777" w:rsidR="00ED3A28" w:rsidRDefault="00ED3A28"/>
    <w:p w14:paraId="5FCA4AA4" w14:textId="77777777" w:rsidR="00ED3A28" w:rsidRDefault="00ED3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BD4E" w14:textId="5275D32D"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26FE" w14:textId="67570C66"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2E4E" w14:textId="458C55B7"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925E" w14:textId="77777777" w:rsidR="00ED3A28" w:rsidRDefault="00ED3A28"/>
    <w:p w14:paraId="3353F3C5" w14:textId="77777777" w:rsidR="00ED3A28" w:rsidRDefault="00ED3A28"/>
    <w:p w14:paraId="36BB9B51" w14:textId="77777777" w:rsidR="00ED3A28" w:rsidRDefault="00ED3A28"/>
  </w:footnote>
  <w:footnote w:type="continuationSeparator" w:id="0">
    <w:p w14:paraId="47E7C4B6" w14:textId="77777777" w:rsidR="00ED3A28" w:rsidRDefault="00ED3A28">
      <w:r>
        <w:continuationSeparator/>
      </w:r>
    </w:p>
    <w:p w14:paraId="21725DA0" w14:textId="77777777" w:rsidR="00ED3A28" w:rsidRDefault="00ED3A28"/>
    <w:p w14:paraId="3B7E7EFE" w14:textId="77777777" w:rsidR="00ED3A28" w:rsidRDefault="00ED3A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1C31" w14:textId="1BE1B8F9"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DF0D0D">
      <w:rPr>
        <w:noProof/>
      </w:rPr>
      <w:t>v</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DB72"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574D"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F56B" w14:textId="052C7F54" w:rsidR="00395B24" w:rsidRDefault="002C7385">
    <w:pPr>
      <w:tabs>
        <w:tab w:val="center" w:pos="4512"/>
      </w:tabs>
      <w:suppressAutoHyphens/>
    </w:pPr>
    <w:r>
      <w:tab/>
      <w:t xml:space="preserve">- </w:t>
    </w:r>
    <w:r>
      <w:fldChar w:fldCharType="begin"/>
    </w:r>
    <w:r>
      <w:instrText>page \* arabic</w:instrText>
    </w:r>
    <w:r>
      <w:fldChar w:fldCharType="separate"/>
    </w:r>
    <w:r w:rsidR="00DF0D0D">
      <w:rPr>
        <w:noProof/>
      </w:rPr>
      <w:t>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33DF"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Plaintiff"/>
    <w:docVar w:name="CounselType" w:val="Counsel for the "/>
    <w:docVar w:name="Cross1AndAnother" w:val="True"/>
    <w:docVar w:name="Cross1AndOthers" w:val="False"/>
    <w:docVar w:name="Cross2AndAnother" w:val="True"/>
    <w:docVar w:name="Cross2AndOthers" w:val="False"/>
    <w:docVar w:name="Defendant" w:val="BADENOCH INTEGRATED LOGGING PTY LTD (ACN 097 956 995)"/>
    <w:docVar w:name="Defenders" w:val="(and another named in the Schedule)"/>
    <w:docVar w:name="Division" w:val="General Division"/>
    <w:docVar w:name="DocCreated" w:val="True"/>
    <w:docVar w:name="FileNumbers" w:val="SAD 341 of 2015"/>
    <w:docVar w:name="HearingDate" w:val="On the papers"/>
    <w:docVar w:name="Initiators" w:val="(and another named in the Schedule)"/>
    <w:docVar w:name="InTheMatterOf" w:val="GUNNS LIMITED (IN LIQUIDATION) (RECEIVERS &amp; MANAGERS APPOINTED) (ACN 009 478 148)"/>
    <w:docVar w:name="Judgdate" w:val="30 July 2020"/>
    <w:docVar w:name="Judge" w:val="Davies"/>
    <w:docVar w:name="Justices" w:val="Justice"/>
    <w:docVar w:name="lstEntryList" w:val="-1"/>
    <w:docVar w:name="NSD" w:val="NSD "/>
    <w:docVar w:name="NumApps" w:val="0"/>
    <w:docVar w:name="NumApps_" w:val="0"/>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racticeArea" w:val="[none]"/>
    <w:docVar w:name="RESAndAnother" w:val="True"/>
    <w:docVar w:name="RESAndOthers" w:val="False"/>
    <w:docVar w:name="ResState" w:val="South Australia"/>
    <w:docVar w:name="SubArea" w:val="[none]"/>
  </w:docVars>
  <w:rsids>
    <w:rsidRoot w:val="00ED3A28"/>
    <w:rsid w:val="0001385F"/>
    <w:rsid w:val="0001469E"/>
    <w:rsid w:val="00015993"/>
    <w:rsid w:val="00022289"/>
    <w:rsid w:val="000304D7"/>
    <w:rsid w:val="00032F9F"/>
    <w:rsid w:val="00041C07"/>
    <w:rsid w:val="00045BB7"/>
    <w:rsid w:val="00055719"/>
    <w:rsid w:val="0005641B"/>
    <w:rsid w:val="00067B80"/>
    <w:rsid w:val="00081497"/>
    <w:rsid w:val="00086B52"/>
    <w:rsid w:val="000A2E76"/>
    <w:rsid w:val="000A4807"/>
    <w:rsid w:val="000A4BE4"/>
    <w:rsid w:val="000C023E"/>
    <w:rsid w:val="000C5195"/>
    <w:rsid w:val="000C62EF"/>
    <w:rsid w:val="000D2137"/>
    <w:rsid w:val="000D3FD2"/>
    <w:rsid w:val="000E2BB9"/>
    <w:rsid w:val="000E3FC8"/>
    <w:rsid w:val="000E7BAE"/>
    <w:rsid w:val="000F133D"/>
    <w:rsid w:val="0010536B"/>
    <w:rsid w:val="0011145C"/>
    <w:rsid w:val="001128BD"/>
    <w:rsid w:val="0011419D"/>
    <w:rsid w:val="00132054"/>
    <w:rsid w:val="00143D6F"/>
    <w:rsid w:val="00160C3E"/>
    <w:rsid w:val="001727A4"/>
    <w:rsid w:val="0017376C"/>
    <w:rsid w:val="001738AB"/>
    <w:rsid w:val="001765E0"/>
    <w:rsid w:val="00177759"/>
    <w:rsid w:val="00185E6B"/>
    <w:rsid w:val="00187BBC"/>
    <w:rsid w:val="001932F3"/>
    <w:rsid w:val="001A4309"/>
    <w:rsid w:val="001B1053"/>
    <w:rsid w:val="001B14AC"/>
    <w:rsid w:val="001B786F"/>
    <w:rsid w:val="001B7940"/>
    <w:rsid w:val="001C37CA"/>
    <w:rsid w:val="001D4303"/>
    <w:rsid w:val="001D6746"/>
    <w:rsid w:val="001E3B49"/>
    <w:rsid w:val="001E5929"/>
    <w:rsid w:val="001E7388"/>
    <w:rsid w:val="001F13DD"/>
    <w:rsid w:val="001F2A88"/>
    <w:rsid w:val="001F2DBC"/>
    <w:rsid w:val="001F73E8"/>
    <w:rsid w:val="0020262C"/>
    <w:rsid w:val="00224537"/>
    <w:rsid w:val="00232655"/>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152"/>
    <w:rsid w:val="002D2DBB"/>
    <w:rsid w:val="002D54A6"/>
    <w:rsid w:val="002E6A7A"/>
    <w:rsid w:val="002F1E49"/>
    <w:rsid w:val="002F2235"/>
    <w:rsid w:val="002F4E9C"/>
    <w:rsid w:val="0031256C"/>
    <w:rsid w:val="00314D6C"/>
    <w:rsid w:val="00316D2A"/>
    <w:rsid w:val="00322A7C"/>
    <w:rsid w:val="00337618"/>
    <w:rsid w:val="003402D3"/>
    <w:rsid w:val="00343ABC"/>
    <w:rsid w:val="003463FE"/>
    <w:rsid w:val="003554B3"/>
    <w:rsid w:val="00356632"/>
    <w:rsid w:val="00360C9A"/>
    <w:rsid w:val="003845A9"/>
    <w:rsid w:val="00390883"/>
    <w:rsid w:val="003922F8"/>
    <w:rsid w:val="00395B24"/>
    <w:rsid w:val="003A2D38"/>
    <w:rsid w:val="003A7ECC"/>
    <w:rsid w:val="003B2C72"/>
    <w:rsid w:val="003C1333"/>
    <w:rsid w:val="003C20FF"/>
    <w:rsid w:val="003D2650"/>
    <w:rsid w:val="003D560C"/>
    <w:rsid w:val="003E5874"/>
    <w:rsid w:val="003E768B"/>
    <w:rsid w:val="003F193E"/>
    <w:rsid w:val="003F34F1"/>
    <w:rsid w:val="00405D72"/>
    <w:rsid w:val="00411AE8"/>
    <w:rsid w:val="00413B74"/>
    <w:rsid w:val="00435C5F"/>
    <w:rsid w:val="00441E98"/>
    <w:rsid w:val="004532F7"/>
    <w:rsid w:val="004557AD"/>
    <w:rsid w:val="00472027"/>
    <w:rsid w:val="00473B56"/>
    <w:rsid w:val="004804CF"/>
    <w:rsid w:val="00484962"/>
    <w:rsid w:val="00484F6D"/>
    <w:rsid w:val="004869E8"/>
    <w:rsid w:val="0049338A"/>
    <w:rsid w:val="0049417F"/>
    <w:rsid w:val="004B3EFA"/>
    <w:rsid w:val="004C2A87"/>
    <w:rsid w:val="004C4D7B"/>
    <w:rsid w:val="004C4ED3"/>
    <w:rsid w:val="004D2EA5"/>
    <w:rsid w:val="004D32A6"/>
    <w:rsid w:val="004D53E5"/>
    <w:rsid w:val="004E0220"/>
    <w:rsid w:val="004E0B7D"/>
    <w:rsid w:val="004F0928"/>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47FC"/>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415F8"/>
    <w:rsid w:val="00760EC0"/>
    <w:rsid w:val="0078003A"/>
    <w:rsid w:val="00780771"/>
    <w:rsid w:val="007929CF"/>
    <w:rsid w:val="007A63E1"/>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078DD"/>
    <w:rsid w:val="0081282A"/>
    <w:rsid w:val="008276B4"/>
    <w:rsid w:val="00831927"/>
    <w:rsid w:val="00841BD3"/>
    <w:rsid w:val="0084273D"/>
    <w:rsid w:val="00844E3F"/>
    <w:rsid w:val="00845A83"/>
    <w:rsid w:val="00856A07"/>
    <w:rsid w:val="008712BB"/>
    <w:rsid w:val="00877B29"/>
    <w:rsid w:val="008A2484"/>
    <w:rsid w:val="008C26D9"/>
    <w:rsid w:val="008C6D50"/>
    <w:rsid w:val="008C7167"/>
    <w:rsid w:val="008C7503"/>
    <w:rsid w:val="008D1617"/>
    <w:rsid w:val="008D719A"/>
    <w:rsid w:val="008E6315"/>
    <w:rsid w:val="008F11E0"/>
    <w:rsid w:val="008F78BC"/>
    <w:rsid w:val="008F7B63"/>
    <w:rsid w:val="008F7D6A"/>
    <w:rsid w:val="009054CB"/>
    <w:rsid w:val="00910F76"/>
    <w:rsid w:val="009113BE"/>
    <w:rsid w:val="00912F94"/>
    <w:rsid w:val="009242FF"/>
    <w:rsid w:val="0092590B"/>
    <w:rsid w:val="00925E60"/>
    <w:rsid w:val="009264B3"/>
    <w:rsid w:val="009365E0"/>
    <w:rsid w:val="00942BA2"/>
    <w:rsid w:val="00944C86"/>
    <w:rsid w:val="00957DE8"/>
    <w:rsid w:val="00960ECB"/>
    <w:rsid w:val="009615D6"/>
    <w:rsid w:val="00964A30"/>
    <w:rsid w:val="00967855"/>
    <w:rsid w:val="00980736"/>
    <w:rsid w:val="00981A39"/>
    <w:rsid w:val="00987097"/>
    <w:rsid w:val="00994CEF"/>
    <w:rsid w:val="009A3A9C"/>
    <w:rsid w:val="009B046C"/>
    <w:rsid w:val="009B13FA"/>
    <w:rsid w:val="009B1E2D"/>
    <w:rsid w:val="009C59FB"/>
    <w:rsid w:val="009C6F3B"/>
    <w:rsid w:val="009D1467"/>
    <w:rsid w:val="009E2F5C"/>
    <w:rsid w:val="009E4FA6"/>
    <w:rsid w:val="009E7D93"/>
    <w:rsid w:val="009F5C33"/>
    <w:rsid w:val="00A03EAC"/>
    <w:rsid w:val="00A11CA6"/>
    <w:rsid w:val="00A20287"/>
    <w:rsid w:val="00A20C49"/>
    <w:rsid w:val="00A23801"/>
    <w:rsid w:val="00A269CA"/>
    <w:rsid w:val="00A301C6"/>
    <w:rsid w:val="00A336EE"/>
    <w:rsid w:val="00A34B3A"/>
    <w:rsid w:val="00A359AC"/>
    <w:rsid w:val="00A41413"/>
    <w:rsid w:val="00A45FB1"/>
    <w:rsid w:val="00A46CCC"/>
    <w:rsid w:val="00A51CFE"/>
    <w:rsid w:val="00A546EE"/>
    <w:rsid w:val="00A76AF0"/>
    <w:rsid w:val="00A76C13"/>
    <w:rsid w:val="00A92E79"/>
    <w:rsid w:val="00A950B6"/>
    <w:rsid w:val="00AB2295"/>
    <w:rsid w:val="00AB2E51"/>
    <w:rsid w:val="00AB41C1"/>
    <w:rsid w:val="00AD12A8"/>
    <w:rsid w:val="00AE023F"/>
    <w:rsid w:val="00AE7769"/>
    <w:rsid w:val="00AF3577"/>
    <w:rsid w:val="00AF35F9"/>
    <w:rsid w:val="00B05C7D"/>
    <w:rsid w:val="00B16BA0"/>
    <w:rsid w:val="00B346C3"/>
    <w:rsid w:val="00B4471C"/>
    <w:rsid w:val="00B451A6"/>
    <w:rsid w:val="00B5317C"/>
    <w:rsid w:val="00B722DE"/>
    <w:rsid w:val="00B76C44"/>
    <w:rsid w:val="00B83F87"/>
    <w:rsid w:val="00BA2EFA"/>
    <w:rsid w:val="00BA3DBC"/>
    <w:rsid w:val="00BB2DA2"/>
    <w:rsid w:val="00BB56DC"/>
    <w:rsid w:val="00BE183D"/>
    <w:rsid w:val="00BF54D2"/>
    <w:rsid w:val="00BF5D7A"/>
    <w:rsid w:val="00C02D33"/>
    <w:rsid w:val="00C1232C"/>
    <w:rsid w:val="00C36442"/>
    <w:rsid w:val="00C400CE"/>
    <w:rsid w:val="00C410FD"/>
    <w:rsid w:val="00C539FB"/>
    <w:rsid w:val="00CA246D"/>
    <w:rsid w:val="00CA50D9"/>
    <w:rsid w:val="00CB5636"/>
    <w:rsid w:val="00D10F21"/>
    <w:rsid w:val="00D24806"/>
    <w:rsid w:val="00D34040"/>
    <w:rsid w:val="00D34E69"/>
    <w:rsid w:val="00D375EE"/>
    <w:rsid w:val="00D62699"/>
    <w:rsid w:val="00D64C83"/>
    <w:rsid w:val="00D82620"/>
    <w:rsid w:val="00D918F8"/>
    <w:rsid w:val="00D93DD5"/>
    <w:rsid w:val="00D9725F"/>
    <w:rsid w:val="00DA01B1"/>
    <w:rsid w:val="00DA11A2"/>
    <w:rsid w:val="00DA14ED"/>
    <w:rsid w:val="00DB2EF1"/>
    <w:rsid w:val="00DB3DE1"/>
    <w:rsid w:val="00DB5DA0"/>
    <w:rsid w:val="00DB716C"/>
    <w:rsid w:val="00DC0B1B"/>
    <w:rsid w:val="00DC5C85"/>
    <w:rsid w:val="00DD4236"/>
    <w:rsid w:val="00DD44F1"/>
    <w:rsid w:val="00DE3067"/>
    <w:rsid w:val="00DF0D0D"/>
    <w:rsid w:val="00E027BC"/>
    <w:rsid w:val="00E14EA5"/>
    <w:rsid w:val="00E21133"/>
    <w:rsid w:val="00E2327E"/>
    <w:rsid w:val="00E266EF"/>
    <w:rsid w:val="00E46A2B"/>
    <w:rsid w:val="00E47428"/>
    <w:rsid w:val="00E66B9F"/>
    <w:rsid w:val="00E710D6"/>
    <w:rsid w:val="00E7677F"/>
    <w:rsid w:val="00E76E45"/>
    <w:rsid w:val="00E777C9"/>
    <w:rsid w:val="00E81DA6"/>
    <w:rsid w:val="00E84212"/>
    <w:rsid w:val="00E86A2D"/>
    <w:rsid w:val="00E9086C"/>
    <w:rsid w:val="00E91A0F"/>
    <w:rsid w:val="00E94A71"/>
    <w:rsid w:val="00EA03CE"/>
    <w:rsid w:val="00EA23E5"/>
    <w:rsid w:val="00EA4E2E"/>
    <w:rsid w:val="00EB2CCB"/>
    <w:rsid w:val="00EC359A"/>
    <w:rsid w:val="00EC4CC2"/>
    <w:rsid w:val="00EC57A7"/>
    <w:rsid w:val="00ED0817"/>
    <w:rsid w:val="00ED3A28"/>
    <w:rsid w:val="00ED7DD9"/>
    <w:rsid w:val="00EF3113"/>
    <w:rsid w:val="00EF3F84"/>
    <w:rsid w:val="00F04D15"/>
    <w:rsid w:val="00F176AC"/>
    <w:rsid w:val="00F27714"/>
    <w:rsid w:val="00F3276E"/>
    <w:rsid w:val="00F33D3C"/>
    <w:rsid w:val="00F37A91"/>
    <w:rsid w:val="00F45CF5"/>
    <w:rsid w:val="00F47DB0"/>
    <w:rsid w:val="00F50E34"/>
    <w:rsid w:val="00F53EF7"/>
    <w:rsid w:val="00F54BF2"/>
    <w:rsid w:val="00F60AE8"/>
    <w:rsid w:val="00F92355"/>
    <w:rsid w:val="00F93963"/>
    <w:rsid w:val="00F94291"/>
    <w:rsid w:val="00FA5BCC"/>
    <w:rsid w:val="00FB7982"/>
    <w:rsid w:val="00FC0734"/>
    <w:rsid w:val="00FC0FC5"/>
    <w:rsid w:val="00FC588F"/>
    <w:rsid w:val="00FD4110"/>
    <w:rsid w:val="00FE1B30"/>
    <w:rsid w:val="00FE3BBB"/>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221A735"/>
  <w15:docId w15:val="{89A94F0B-D7A8-4A4D-A617-40640EA5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360C9A"/>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10</Pages>
  <Words>2643</Words>
  <Characters>12995</Characters>
  <Application>Microsoft Office Word</Application>
  <DocSecurity>0</DocSecurity>
  <Lines>371</Lines>
  <Paragraphs>177</Paragraphs>
  <ScaleCrop>false</ScaleCrop>
  <HeadingPairs>
    <vt:vector size="2" baseType="variant">
      <vt:variant>
        <vt:lpstr>Title</vt:lpstr>
      </vt:variant>
      <vt:variant>
        <vt:i4>1</vt:i4>
      </vt:variant>
    </vt:vector>
  </HeadingPairs>
  <TitlesOfParts>
    <vt:vector size="1" baseType="lpstr">
      <vt:lpstr>Bryant, in the matter of Gunns Limited (in liq) (receivers and managers appointed) v Badenoch Integrated Logging Pty Ltd (No 2) [2020] FCA 1081 </vt:lpstr>
    </vt:vector>
  </TitlesOfParts>
  <Company>Federal Court of Australia</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in the matter of Gunns Limited (in liq) (receivers and managers appointed) v Badenoch Integrated Logging Pty Ltd (No 2) [2020] FCA 1081</dc:title>
  <dc:creator>Wendy Hawkless</dc:creator>
  <cp:lastModifiedBy>Federal Court of Australia</cp:lastModifiedBy>
  <cp:revision>4</cp:revision>
  <cp:lastPrinted>2006-02-06T01:31:00Z</cp:lastPrinted>
  <dcterms:created xsi:type="dcterms:W3CDTF">2020-07-30T23:26:00Z</dcterms:created>
  <dcterms:modified xsi:type="dcterms:W3CDTF">2020-07-30T23:27:00Z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DAVIES J</vt:lpwstr>
  </property>
  <property fmtid="{D5CDD505-2E9C-101B-9397-08002B2CF9AE}" pid="4" name="Judgment_dated" linkTarget="Judgment_dated">
    <vt:lpwstr>30 July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South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