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ABBE" w14:textId="77777777"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14:paraId="2B14ABBF" w14:textId="77777777" w:rsidR="00395B24" w:rsidRDefault="00395B24">
      <w:pPr>
        <w:pStyle w:val="NormalHeadings"/>
        <w:jc w:val="center"/>
        <w:rPr>
          <w:sz w:val="32"/>
        </w:rPr>
      </w:pPr>
    </w:p>
    <w:p w14:paraId="2B14ABC0" w14:textId="77777777" w:rsidR="00395B24" w:rsidRDefault="001460D2">
      <w:pPr>
        <w:pStyle w:val="MediaNeutralStyle"/>
      </w:pPr>
      <w:bookmarkStart w:id="0" w:name="MNC"/>
      <w:r>
        <w:t xml:space="preserve">Lamont v </w:t>
      </w:r>
      <w:r w:rsidR="003E3D4D">
        <w:t xml:space="preserve">University of Queensland </w:t>
      </w:r>
      <w:r w:rsidR="003C5280">
        <w:t xml:space="preserve">(No 3) </w:t>
      </w:r>
      <w:r w:rsidR="003E3D4D">
        <w:t xml:space="preserve">[2020] FCA </w:t>
      </w:r>
      <w:r w:rsidR="0006352E">
        <w:t>1005</w:t>
      </w:r>
      <w:r w:rsidR="002C7385">
        <w:t xml:space="preserve"> </w:t>
      </w:r>
      <w:bookmarkEnd w:id="0"/>
    </w:p>
    <w:p w14:paraId="2B14ABC1" w14:textId="77777777"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14:paraId="2B14ABC4" w14:textId="77777777" w:rsidTr="00EB4EFC">
        <w:tc>
          <w:tcPr>
            <w:tcW w:w="3085" w:type="dxa"/>
            <w:shd w:val="clear" w:color="auto" w:fill="auto"/>
          </w:tcPr>
          <w:p w14:paraId="2B14ABC2" w14:textId="77777777" w:rsidR="00395B24" w:rsidRDefault="003E3D4D" w:rsidP="00663878">
            <w:pPr>
              <w:pStyle w:val="Normal1linespace"/>
              <w:widowControl w:val="0"/>
              <w:jc w:val="left"/>
            </w:pPr>
            <w:r>
              <w:t>File number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14:paraId="2B14ABC3" w14:textId="77777777" w:rsidR="00395B24" w:rsidRPr="008867FB" w:rsidRDefault="00B90ED8" w:rsidP="008867FB">
            <w:pPr>
              <w:pStyle w:val="Normal1linespace"/>
              <w:jc w:val="left"/>
            </w:pPr>
            <w:fldSimple w:instr=" REF  FileNo  \* MERGEFORMAT " w:fldLock="1">
              <w:r w:rsidR="008867FB" w:rsidRPr="008867FB">
                <w:t>QUD 263 of 2018</w:t>
              </w:r>
            </w:fldSimple>
          </w:p>
        </w:tc>
      </w:tr>
      <w:tr w:rsidR="00395B24" w14:paraId="2B14ABC7" w14:textId="77777777" w:rsidTr="00EB4EFC">
        <w:tc>
          <w:tcPr>
            <w:tcW w:w="3085" w:type="dxa"/>
            <w:shd w:val="clear" w:color="auto" w:fill="auto"/>
          </w:tcPr>
          <w:p w14:paraId="2B14ABC5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C6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B14ABCA" w14:textId="77777777" w:rsidTr="00EB4EFC">
        <w:tc>
          <w:tcPr>
            <w:tcW w:w="3085" w:type="dxa"/>
            <w:shd w:val="clear" w:color="auto" w:fill="auto"/>
          </w:tcPr>
          <w:p w14:paraId="2B14ABC8" w14:textId="77777777" w:rsidR="00395B24" w:rsidRDefault="003E3D4D" w:rsidP="00663878">
            <w:pPr>
              <w:pStyle w:val="Normal1linespace"/>
              <w:widowControl w:val="0"/>
              <w:jc w:val="left"/>
            </w:pPr>
            <w:r>
              <w:t>Judge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14:paraId="2B14ABC9" w14:textId="77777777"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8867FB">
              <w:rPr>
                <w:b/>
              </w:rPr>
              <w:fldChar w:fldCharType="begin" w:fldLock="1"/>
            </w:r>
            <w:r w:rsidRPr="008867FB">
              <w:rPr>
                <w:b/>
              </w:rPr>
              <w:instrText xml:space="preserve"> REF  Judge  \* MERGEFORMAT </w:instrText>
            </w:r>
            <w:r w:rsidRPr="008867FB">
              <w:rPr>
                <w:b/>
              </w:rPr>
              <w:fldChar w:fldCharType="separate"/>
            </w:r>
            <w:r w:rsidR="008867FB" w:rsidRPr="008867FB">
              <w:rPr>
                <w:b/>
                <w:caps/>
                <w:szCs w:val="24"/>
              </w:rPr>
              <w:t>RANGIAH J</w:t>
            </w:r>
            <w:r w:rsidRPr="008867FB">
              <w:rPr>
                <w:b/>
              </w:rPr>
              <w:fldChar w:fldCharType="end"/>
            </w:r>
          </w:p>
        </w:tc>
      </w:tr>
      <w:tr w:rsidR="00395B24" w14:paraId="2B14ABCD" w14:textId="77777777" w:rsidTr="00EB4EFC">
        <w:tc>
          <w:tcPr>
            <w:tcW w:w="3085" w:type="dxa"/>
            <w:shd w:val="clear" w:color="auto" w:fill="auto"/>
          </w:tcPr>
          <w:p w14:paraId="2B14ABCB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CC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B14ABD0" w14:textId="77777777" w:rsidTr="00EB4EFC">
        <w:tc>
          <w:tcPr>
            <w:tcW w:w="3085" w:type="dxa"/>
            <w:shd w:val="clear" w:color="auto" w:fill="auto"/>
          </w:tcPr>
          <w:p w14:paraId="2B14ABCE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14:paraId="2B14ABCF" w14:textId="77777777" w:rsidR="00395B24" w:rsidRDefault="008867FB" w:rsidP="00663878">
            <w:pPr>
              <w:pStyle w:val="Normal1linespace"/>
              <w:widowControl w:val="0"/>
              <w:jc w:val="left"/>
            </w:pPr>
            <w:bookmarkStart w:id="1" w:name="JudgmentDate"/>
            <w:r>
              <w:t>10 July 2020</w:t>
            </w:r>
            <w:bookmarkEnd w:id="1"/>
          </w:p>
        </w:tc>
      </w:tr>
      <w:tr w:rsidR="00395B24" w14:paraId="2B14ABD3" w14:textId="77777777" w:rsidTr="00EB4EFC">
        <w:tc>
          <w:tcPr>
            <w:tcW w:w="3085" w:type="dxa"/>
            <w:shd w:val="clear" w:color="auto" w:fill="auto"/>
          </w:tcPr>
          <w:p w14:paraId="2B14ABD1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D2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RPr="0026265A" w14:paraId="2B14ABD6" w14:textId="77777777" w:rsidTr="00EB4EFC">
        <w:tc>
          <w:tcPr>
            <w:tcW w:w="3085" w:type="dxa"/>
            <w:shd w:val="clear" w:color="auto" w:fill="auto"/>
          </w:tcPr>
          <w:p w14:paraId="2B14ABD4" w14:textId="77777777" w:rsidR="00395B24" w:rsidRPr="006B29EA" w:rsidRDefault="002C7385" w:rsidP="00663878">
            <w:pPr>
              <w:pStyle w:val="Normal1linespace"/>
              <w:widowControl w:val="0"/>
              <w:jc w:val="left"/>
            </w:pPr>
            <w:r w:rsidRPr="006B29EA">
              <w:t>Catchwords:</w:t>
            </w:r>
          </w:p>
        </w:tc>
        <w:tc>
          <w:tcPr>
            <w:tcW w:w="5989" w:type="dxa"/>
            <w:shd w:val="clear" w:color="auto" w:fill="auto"/>
          </w:tcPr>
          <w:p w14:paraId="2B14ABD5" w14:textId="77777777" w:rsidR="00395B24" w:rsidRPr="006B29EA" w:rsidRDefault="006B29EA" w:rsidP="009C387A">
            <w:pPr>
              <w:pStyle w:val="Normal1linespace"/>
              <w:widowControl w:val="0"/>
              <w:jc w:val="left"/>
            </w:pPr>
            <w:bookmarkStart w:id="2" w:name="Catchwords"/>
            <w:r w:rsidRPr="006B29EA">
              <w:rPr>
                <w:b/>
              </w:rPr>
              <w:t>INDUSTRIAL LAW</w:t>
            </w:r>
            <w:r w:rsidRPr="00250CBB">
              <w:t xml:space="preserve"> </w:t>
            </w:r>
            <w:r w:rsidR="00250CBB" w:rsidRPr="006B29EA">
              <w:t xml:space="preserve">– contraventions of s 340(1) of the </w:t>
            </w:r>
            <w:r w:rsidR="00250CBB" w:rsidRPr="006B29EA">
              <w:rPr>
                <w:i/>
              </w:rPr>
              <w:t xml:space="preserve">Fair Work Act 2009 </w:t>
            </w:r>
            <w:r w:rsidR="00250CBB" w:rsidRPr="006B29EA">
              <w:t>(Cth)</w:t>
            </w:r>
            <w:r w:rsidR="00250CBB">
              <w:t xml:space="preserve"> </w:t>
            </w:r>
            <w:r w:rsidRPr="006B29EA">
              <w:t xml:space="preserve">– </w:t>
            </w:r>
            <w:r w:rsidR="00250CBB">
              <w:t xml:space="preserve">whether </w:t>
            </w:r>
            <w:r w:rsidRPr="006B29EA">
              <w:t xml:space="preserve">pecuniary penalties </w:t>
            </w:r>
            <w:r w:rsidR="00250CBB">
              <w:t>should be imposed</w:t>
            </w:r>
            <w:r w:rsidR="009C387A">
              <w:t xml:space="preserve"> and in what amounts</w:t>
            </w:r>
            <w:r w:rsidRPr="006B29EA">
              <w:t xml:space="preserve"> </w:t>
            </w:r>
            <w:r w:rsidR="00250CBB">
              <w:t>– breach of confidentiality – threat to investigate conduct of employee who had complained of harassment – failure to disclose or utilise independent report commissioned under grievance procedure – penalties imposed on employer</w:t>
            </w:r>
            <w:r w:rsidR="009C387A">
              <w:t xml:space="preserve"> – no penalties imposed on individual respondents</w:t>
            </w:r>
            <w:r w:rsidR="00250CBB">
              <w:t xml:space="preserve"> </w:t>
            </w:r>
            <w:bookmarkEnd w:id="2"/>
          </w:p>
        </w:tc>
      </w:tr>
      <w:tr w:rsidR="00395B24" w14:paraId="2B14ABD9" w14:textId="77777777" w:rsidTr="00EB4EFC">
        <w:tc>
          <w:tcPr>
            <w:tcW w:w="3085" w:type="dxa"/>
            <w:shd w:val="clear" w:color="auto" w:fill="auto"/>
          </w:tcPr>
          <w:p w14:paraId="2B14ABD7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D8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RPr="0026265A" w14:paraId="2B14ABDC" w14:textId="77777777" w:rsidTr="00EB4EFC">
        <w:tc>
          <w:tcPr>
            <w:tcW w:w="3085" w:type="dxa"/>
            <w:shd w:val="clear" w:color="auto" w:fill="auto"/>
          </w:tcPr>
          <w:p w14:paraId="2B14ABDA" w14:textId="77777777" w:rsidR="00395B24" w:rsidRPr="00CD59AD" w:rsidRDefault="002C7385" w:rsidP="00663878">
            <w:pPr>
              <w:pStyle w:val="Normal1linespace"/>
              <w:widowControl w:val="0"/>
              <w:jc w:val="left"/>
            </w:pPr>
            <w:r w:rsidRPr="00CD59AD">
              <w:t>Legislation:</w:t>
            </w:r>
          </w:p>
        </w:tc>
        <w:tc>
          <w:tcPr>
            <w:tcW w:w="5989" w:type="dxa"/>
            <w:shd w:val="clear" w:color="auto" w:fill="auto"/>
          </w:tcPr>
          <w:p w14:paraId="2B14ABDB" w14:textId="77777777" w:rsidR="00395B24" w:rsidRPr="00CD59AD" w:rsidRDefault="00CD59AD" w:rsidP="00CD59AD">
            <w:pPr>
              <w:pStyle w:val="CasesLegislationAppealFrom"/>
              <w:spacing w:after="60"/>
            </w:pPr>
            <w:bookmarkStart w:id="3" w:name="Legislation"/>
            <w:r w:rsidRPr="00CD59AD">
              <w:rPr>
                <w:i/>
              </w:rPr>
              <w:t>Fair Work Act 2009</w:t>
            </w:r>
            <w:r w:rsidRPr="00CD59AD">
              <w:t xml:space="preserve"> (Cth) ss 340 and 546  </w:t>
            </w:r>
            <w:bookmarkEnd w:id="3"/>
            <w:r w:rsidRPr="00CD59AD">
              <w:t xml:space="preserve"> </w:t>
            </w:r>
          </w:p>
        </w:tc>
      </w:tr>
      <w:tr w:rsidR="00395B24" w14:paraId="2B14ABDF" w14:textId="77777777" w:rsidTr="00EB4EFC">
        <w:tc>
          <w:tcPr>
            <w:tcW w:w="3085" w:type="dxa"/>
            <w:shd w:val="clear" w:color="auto" w:fill="auto"/>
          </w:tcPr>
          <w:p w14:paraId="2B14ABDD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DE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RPr="0026265A" w14:paraId="2B14ABE8" w14:textId="77777777" w:rsidTr="00EB4EFC">
        <w:tc>
          <w:tcPr>
            <w:tcW w:w="3085" w:type="dxa"/>
            <w:shd w:val="clear" w:color="auto" w:fill="auto"/>
          </w:tcPr>
          <w:p w14:paraId="2B14ABE0" w14:textId="77777777" w:rsidR="00395B24" w:rsidRPr="00CD59AD" w:rsidRDefault="002C7385" w:rsidP="00663878">
            <w:pPr>
              <w:pStyle w:val="Normal1linespace"/>
              <w:widowControl w:val="0"/>
              <w:jc w:val="left"/>
            </w:pPr>
            <w:r w:rsidRPr="00CD59AD">
              <w:t>Cases cited:</w:t>
            </w:r>
          </w:p>
        </w:tc>
        <w:tc>
          <w:tcPr>
            <w:tcW w:w="5989" w:type="dxa"/>
            <w:shd w:val="clear" w:color="auto" w:fill="auto"/>
          </w:tcPr>
          <w:p w14:paraId="2B14ABE1" w14:textId="77777777" w:rsidR="00715CBF" w:rsidRPr="00CD59AD" w:rsidRDefault="00715CBF" w:rsidP="00D82620">
            <w:pPr>
              <w:pStyle w:val="CasesLegislationAppealFrom"/>
              <w:spacing w:after="60"/>
            </w:pPr>
            <w:bookmarkStart w:id="4" w:name="Cases_Cited"/>
            <w:r w:rsidRPr="00CD59AD">
              <w:rPr>
                <w:i/>
              </w:rPr>
              <w:t>Australian Building and Construction Commission v Construction, Forestry, Mining and Energy Union</w:t>
            </w:r>
            <w:r w:rsidRPr="00CD59AD">
              <w:t xml:space="preserve"> (2017) 254 FCR 68</w:t>
            </w:r>
          </w:p>
          <w:p w14:paraId="2B14ABE2" w14:textId="77777777" w:rsidR="00715CBF" w:rsidRPr="00CD59AD" w:rsidRDefault="00715CBF" w:rsidP="00D82620">
            <w:pPr>
              <w:pStyle w:val="CasesLegislationAppealFrom"/>
              <w:spacing w:after="60"/>
            </w:pPr>
            <w:r w:rsidRPr="00CD59AD">
              <w:rPr>
                <w:i/>
              </w:rPr>
              <w:t>Australian Building and Construction Commissioner v Construction, Forestry, Mining and Energy Union</w:t>
            </w:r>
            <w:r w:rsidRPr="00CD59AD">
              <w:t xml:space="preserve"> (2018) 262 CLR 157</w:t>
            </w:r>
          </w:p>
          <w:p w14:paraId="2B14ABE3" w14:textId="77777777" w:rsidR="00715CBF" w:rsidRPr="00CD59AD" w:rsidRDefault="00715CBF" w:rsidP="00D82620">
            <w:pPr>
              <w:pStyle w:val="CasesLegislationAppealFrom"/>
              <w:spacing w:after="60"/>
            </w:pPr>
            <w:r w:rsidRPr="00CD59AD">
              <w:rPr>
                <w:i/>
              </w:rPr>
              <w:t>Australian Building and Construction Commissioner v Construction, Forestry, Maritime, Mining and Energy Union</w:t>
            </w:r>
            <w:r w:rsidRPr="00CD59AD">
              <w:t xml:space="preserve"> </w:t>
            </w:r>
            <w:r w:rsidRPr="00CD59AD">
              <w:rPr>
                <w:i/>
              </w:rPr>
              <w:t>(“Cardigan St Case”</w:t>
            </w:r>
            <w:r w:rsidRPr="00CD59AD">
              <w:t xml:space="preserve"> [2018] FCA 957</w:t>
            </w:r>
          </w:p>
          <w:p w14:paraId="2B14ABE4" w14:textId="77777777" w:rsidR="00715CBF" w:rsidRPr="00CD59AD" w:rsidRDefault="00715CBF" w:rsidP="00D82620">
            <w:pPr>
              <w:pStyle w:val="CasesLegislationAppealFrom"/>
              <w:spacing w:after="60"/>
            </w:pPr>
            <w:r w:rsidRPr="00CD59AD">
              <w:rPr>
                <w:i/>
              </w:rPr>
              <w:t>Australian Op</w:t>
            </w:r>
            <w:r>
              <w:rPr>
                <w:i/>
              </w:rPr>
              <w:t>h</w:t>
            </w:r>
            <w:r w:rsidRPr="00CD59AD">
              <w:rPr>
                <w:i/>
              </w:rPr>
              <w:t xml:space="preserve">thalmic Supplies Pty Ltd v McAlary-Smith </w:t>
            </w:r>
            <w:r w:rsidRPr="00CD59AD">
              <w:t>(2008) 165 FCR 560</w:t>
            </w:r>
          </w:p>
          <w:p w14:paraId="2B14ABE5" w14:textId="77777777" w:rsidR="00715CBF" w:rsidRPr="00CD59AD" w:rsidRDefault="00715CBF" w:rsidP="00D82620">
            <w:pPr>
              <w:pStyle w:val="CasesLegislationAppealFrom"/>
              <w:spacing w:after="60"/>
            </w:pPr>
            <w:r w:rsidRPr="00CD59AD">
              <w:rPr>
                <w:i/>
              </w:rPr>
              <w:t>Director of the Fair Work Building Inspectorate v Construction, Forestry, Mining and Energy Union</w:t>
            </w:r>
            <w:r w:rsidRPr="00CD59AD">
              <w:t xml:space="preserve"> [2015] FCA 353</w:t>
            </w:r>
          </w:p>
          <w:p w14:paraId="2B14ABE6" w14:textId="77777777" w:rsidR="00715CBF" w:rsidRDefault="00715CBF" w:rsidP="00D82620">
            <w:pPr>
              <w:pStyle w:val="CasesLegislationAppealFrom"/>
              <w:spacing w:after="60"/>
            </w:pPr>
            <w:r w:rsidRPr="00CD59AD">
              <w:rPr>
                <w:i/>
              </w:rPr>
              <w:t>Lamont v University of Queensland</w:t>
            </w:r>
            <w:r w:rsidRPr="00CD59AD">
              <w:t xml:space="preserve"> </w:t>
            </w:r>
            <w:r w:rsidRPr="00CD59AD">
              <w:rPr>
                <w:i/>
              </w:rPr>
              <w:t>(No 2)</w:t>
            </w:r>
            <w:r w:rsidRPr="00CD59AD">
              <w:t xml:space="preserve"> [2020] FCA 720</w:t>
            </w:r>
          </w:p>
          <w:p w14:paraId="2B14ABE7" w14:textId="77777777" w:rsidR="00395B24" w:rsidRPr="00CD59AD" w:rsidRDefault="00715CBF" w:rsidP="00715CBF">
            <w:pPr>
              <w:pStyle w:val="CasesLegislationAppealFrom"/>
              <w:spacing w:after="60"/>
            </w:pPr>
            <w:r>
              <w:rPr>
                <w:i/>
              </w:rPr>
              <w:t xml:space="preserve">Parker v Australian Building and Construction Commissioner </w:t>
            </w:r>
            <w:r>
              <w:t xml:space="preserve">(2019) 286 IR 116 </w:t>
            </w:r>
            <w:r w:rsidR="00CD59AD" w:rsidRPr="00CD59AD">
              <w:t xml:space="preserve"> </w:t>
            </w:r>
            <w:bookmarkEnd w:id="4"/>
          </w:p>
        </w:tc>
      </w:tr>
      <w:tr w:rsidR="00EB4EFC" w:rsidRPr="00EB4EFC" w14:paraId="2B14ABEB" w14:textId="77777777" w:rsidTr="00EB4EFC">
        <w:tc>
          <w:tcPr>
            <w:tcW w:w="3085" w:type="dxa"/>
            <w:shd w:val="clear" w:color="auto" w:fill="auto"/>
          </w:tcPr>
          <w:p w14:paraId="2B14ABE9" w14:textId="77777777" w:rsidR="00EB4EFC" w:rsidRPr="00EB4EFC" w:rsidRDefault="00EB4EFC" w:rsidP="00EB4EFC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EA" w14:textId="77777777" w:rsidR="00EB4EFC" w:rsidRPr="00EB4EFC" w:rsidRDefault="00EB4EFC" w:rsidP="00EB4EFC">
            <w:pPr>
              <w:pStyle w:val="Normal1linespace"/>
              <w:jc w:val="left"/>
            </w:pPr>
          </w:p>
        </w:tc>
      </w:tr>
      <w:tr w:rsidR="00EB4EFC" w:rsidRPr="00EB4EFC" w14:paraId="2B14ABEE" w14:textId="77777777" w:rsidTr="00EB4EFC">
        <w:tc>
          <w:tcPr>
            <w:tcW w:w="3085" w:type="dxa"/>
            <w:shd w:val="clear" w:color="auto" w:fill="auto"/>
          </w:tcPr>
          <w:p w14:paraId="2B14ABEC" w14:textId="77777777" w:rsidR="00EB4EFC" w:rsidRPr="00EB4EFC" w:rsidRDefault="00EB4EFC" w:rsidP="00EB4EFC">
            <w:pPr>
              <w:pStyle w:val="Normal1linespace"/>
              <w:jc w:val="left"/>
            </w:pPr>
            <w:bookmarkStart w:id="5" w:name="CounselDate" w:colFirst="0" w:colLast="2"/>
            <w:r w:rsidRPr="00EB4EFC">
              <w:t>Date of hearing:</w:t>
            </w:r>
          </w:p>
        </w:tc>
        <w:tc>
          <w:tcPr>
            <w:tcW w:w="5989" w:type="dxa"/>
            <w:shd w:val="clear" w:color="auto" w:fill="auto"/>
          </w:tcPr>
          <w:p w14:paraId="2B14ABED" w14:textId="77777777" w:rsidR="00EB4EFC" w:rsidRPr="00EB4EFC" w:rsidRDefault="00EB4EFC" w:rsidP="00EB4EFC">
            <w:pPr>
              <w:pStyle w:val="Normal1linespace"/>
              <w:jc w:val="left"/>
            </w:pPr>
            <w:bookmarkStart w:id="6" w:name="HearingDate"/>
            <w:r>
              <w:t>10 July 2020</w:t>
            </w:r>
            <w:bookmarkEnd w:id="6"/>
          </w:p>
        </w:tc>
      </w:tr>
      <w:tr w:rsidR="00EB4EFC" w:rsidRPr="00EB4EFC" w14:paraId="2B14ABF1" w14:textId="77777777" w:rsidTr="00EB4EFC">
        <w:tc>
          <w:tcPr>
            <w:tcW w:w="3085" w:type="dxa"/>
            <w:shd w:val="clear" w:color="auto" w:fill="auto"/>
          </w:tcPr>
          <w:p w14:paraId="2B14ABEF" w14:textId="77777777" w:rsidR="00EB4EFC" w:rsidRPr="00EB4EFC" w:rsidRDefault="00EB4EFC" w:rsidP="00EB4EFC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F0" w14:textId="77777777" w:rsidR="00EB4EFC" w:rsidRPr="00EB4EFC" w:rsidRDefault="00EB4EFC" w:rsidP="00EB4EFC">
            <w:pPr>
              <w:pStyle w:val="Normal1linespace"/>
              <w:jc w:val="left"/>
            </w:pPr>
          </w:p>
        </w:tc>
      </w:tr>
      <w:bookmarkEnd w:id="5"/>
      <w:tr w:rsidR="00EB4EFC" w14:paraId="2B14ABF4" w14:textId="77777777" w:rsidTr="00EB4EFC">
        <w:tc>
          <w:tcPr>
            <w:tcW w:w="3085" w:type="dxa"/>
            <w:shd w:val="clear" w:color="auto" w:fill="auto"/>
          </w:tcPr>
          <w:p w14:paraId="2B14ABF2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14:paraId="2B14ABF3" w14:textId="77777777" w:rsidR="00EB4EFC" w:rsidRPr="00F17599" w:rsidRDefault="00B90ED8" w:rsidP="00EB4EFC">
            <w:pPr>
              <w:pStyle w:val="Normal1linespace"/>
              <w:widowControl w:val="0"/>
              <w:jc w:val="left"/>
            </w:pPr>
            <w:fldSimple w:instr=" DOCPROPERTY  Registry " w:fldLock="1">
              <w:r w:rsidR="008867FB">
                <w:t>Queensland</w:t>
              </w:r>
            </w:fldSimple>
          </w:p>
        </w:tc>
      </w:tr>
      <w:tr w:rsidR="00EB4EFC" w14:paraId="2B14ABF7" w14:textId="77777777" w:rsidTr="00EB4EFC">
        <w:tc>
          <w:tcPr>
            <w:tcW w:w="3085" w:type="dxa"/>
            <w:shd w:val="clear" w:color="auto" w:fill="auto"/>
          </w:tcPr>
          <w:p w14:paraId="2B14ABF5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F6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BFA" w14:textId="77777777" w:rsidTr="00EB4EFC">
        <w:tc>
          <w:tcPr>
            <w:tcW w:w="3085" w:type="dxa"/>
            <w:shd w:val="clear" w:color="auto" w:fill="auto"/>
          </w:tcPr>
          <w:p w14:paraId="2B14ABF8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14:paraId="2B14ABF9" w14:textId="77777777" w:rsidR="00EB4EFC" w:rsidRPr="00F17599" w:rsidRDefault="00B90ED8" w:rsidP="00EB4EFC">
            <w:pPr>
              <w:pStyle w:val="Normal1linespace"/>
              <w:widowControl w:val="0"/>
              <w:jc w:val="left"/>
            </w:pPr>
            <w:fldSimple w:instr=" DOCPROPERTY  Division " w:fldLock="1">
              <w:r w:rsidR="008867FB">
                <w:t>Fair Work Division</w:t>
              </w:r>
            </w:fldSimple>
          </w:p>
        </w:tc>
      </w:tr>
      <w:tr w:rsidR="00EB4EFC" w14:paraId="2B14ABFD" w14:textId="77777777" w:rsidTr="00EB4EFC">
        <w:tc>
          <w:tcPr>
            <w:tcW w:w="3085" w:type="dxa"/>
            <w:shd w:val="clear" w:color="auto" w:fill="auto"/>
          </w:tcPr>
          <w:p w14:paraId="2B14ABFB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BFC" w14:textId="77777777" w:rsidR="00EB4EFC" w:rsidRPr="00F17599" w:rsidRDefault="00EB4EFC" w:rsidP="00EB4EFC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EB4EFC" w14:paraId="2B14AC00" w14:textId="77777777" w:rsidTr="00EB4EFC">
        <w:tc>
          <w:tcPr>
            <w:tcW w:w="3085" w:type="dxa"/>
            <w:shd w:val="clear" w:color="auto" w:fill="auto"/>
          </w:tcPr>
          <w:p w14:paraId="2B14ABFE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14:paraId="2B14ABFF" w14:textId="77777777" w:rsidR="00EB4EFC" w:rsidRPr="00F17599" w:rsidRDefault="00B90ED8" w:rsidP="00EB4EFC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 w:fldLock="1">
              <w:r w:rsidR="008867FB">
                <w:t>Employment &amp; Industrial Relations</w:t>
              </w:r>
            </w:fldSimple>
          </w:p>
        </w:tc>
      </w:tr>
      <w:tr w:rsidR="00EB4EFC" w14:paraId="2B14AC03" w14:textId="77777777" w:rsidTr="00EB4EFC">
        <w:tc>
          <w:tcPr>
            <w:tcW w:w="3085" w:type="dxa"/>
            <w:shd w:val="clear" w:color="auto" w:fill="auto"/>
          </w:tcPr>
          <w:p w14:paraId="2B14AC01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C02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C06" w14:textId="77777777" w:rsidTr="00EB4EFC">
        <w:tc>
          <w:tcPr>
            <w:tcW w:w="3085" w:type="dxa"/>
            <w:shd w:val="clear" w:color="auto" w:fill="auto"/>
          </w:tcPr>
          <w:p w14:paraId="2B14AC04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lastRenderedPageBreak/>
              <w:t>Category:</w:t>
            </w:r>
          </w:p>
        </w:tc>
        <w:tc>
          <w:tcPr>
            <w:tcW w:w="5989" w:type="dxa"/>
            <w:shd w:val="clear" w:color="auto" w:fill="auto"/>
          </w:tcPr>
          <w:p w14:paraId="2B14AC05" w14:textId="77777777" w:rsidR="00EB4EFC" w:rsidRPr="00E3534D" w:rsidRDefault="00EB4EFC" w:rsidP="00EB4EFC">
            <w:pPr>
              <w:pStyle w:val="Normal1linespace"/>
              <w:widowControl w:val="0"/>
              <w:jc w:val="left"/>
            </w:pPr>
            <w:r w:rsidRPr="00E3534D">
              <w:t>Catchwords</w:t>
            </w:r>
          </w:p>
        </w:tc>
      </w:tr>
      <w:tr w:rsidR="00EB4EFC" w14:paraId="2B14AC09" w14:textId="77777777" w:rsidTr="00EB4EFC">
        <w:tc>
          <w:tcPr>
            <w:tcW w:w="3085" w:type="dxa"/>
            <w:shd w:val="clear" w:color="auto" w:fill="auto"/>
          </w:tcPr>
          <w:p w14:paraId="2B14AC07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C08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C0C" w14:textId="77777777" w:rsidTr="00EB4EFC">
        <w:tc>
          <w:tcPr>
            <w:tcW w:w="3085" w:type="dxa"/>
            <w:shd w:val="clear" w:color="auto" w:fill="auto"/>
          </w:tcPr>
          <w:p w14:paraId="2B14AC0A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14:paraId="2B14AC0B" w14:textId="77777777" w:rsidR="00EB4EFC" w:rsidRDefault="009358A4" w:rsidP="00EB4EFC">
            <w:pPr>
              <w:pStyle w:val="Normal1linespace"/>
              <w:widowControl w:val="0"/>
              <w:jc w:val="left"/>
            </w:pPr>
            <w:bookmarkStart w:id="7" w:name="PlaceCategoryParagraphs"/>
            <w:r>
              <w:t>20</w:t>
            </w:r>
            <w:bookmarkEnd w:id="7"/>
          </w:p>
        </w:tc>
      </w:tr>
      <w:tr w:rsidR="00EB4EFC" w14:paraId="2B14AC0F" w14:textId="77777777" w:rsidTr="00EB4EFC">
        <w:tc>
          <w:tcPr>
            <w:tcW w:w="3085" w:type="dxa"/>
            <w:shd w:val="clear" w:color="auto" w:fill="auto"/>
          </w:tcPr>
          <w:p w14:paraId="2B14AC0D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C0E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C12" w14:textId="77777777" w:rsidTr="00EB4EFC">
        <w:tc>
          <w:tcPr>
            <w:tcW w:w="3085" w:type="dxa"/>
            <w:shd w:val="clear" w:color="auto" w:fill="auto"/>
          </w:tcPr>
          <w:p w14:paraId="2B14AC10" w14:textId="77777777" w:rsidR="00EB4EFC" w:rsidRDefault="00EB4EFC" w:rsidP="00EB4EFC">
            <w:pPr>
              <w:pStyle w:val="Normal1linespace"/>
              <w:widowControl w:val="0"/>
              <w:jc w:val="left"/>
            </w:pPr>
            <w:bookmarkStart w:id="8" w:name="Counsel" w:colFirst="0" w:colLast="2"/>
            <w:r>
              <w:t>Counsel for the Applicant:</w:t>
            </w:r>
          </w:p>
        </w:tc>
        <w:tc>
          <w:tcPr>
            <w:tcW w:w="5989" w:type="dxa"/>
            <w:shd w:val="clear" w:color="auto" w:fill="auto"/>
          </w:tcPr>
          <w:p w14:paraId="2B14AC11" w14:textId="77777777" w:rsidR="00EB4EFC" w:rsidRDefault="00EB4EFC" w:rsidP="00EB4EFC">
            <w:pPr>
              <w:pStyle w:val="Normal1linespace"/>
              <w:widowControl w:val="0"/>
              <w:jc w:val="left"/>
            </w:pPr>
            <w:bookmarkStart w:id="9" w:name="AppCounsel"/>
            <w:bookmarkEnd w:id="9"/>
            <w:r>
              <w:t>Mr A Britt</w:t>
            </w:r>
          </w:p>
        </w:tc>
      </w:tr>
      <w:tr w:rsidR="00EB4EFC" w14:paraId="2B14AC15" w14:textId="77777777" w:rsidTr="00EB4EFC">
        <w:tc>
          <w:tcPr>
            <w:tcW w:w="3085" w:type="dxa"/>
            <w:shd w:val="clear" w:color="auto" w:fill="auto"/>
          </w:tcPr>
          <w:p w14:paraId="2B14AC13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C14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C18" w14:textId="77777777" w:rsidTr="00EB4EFC">
        <w:tc>
          <w:tcPr>
            <w:tcW w:w="3085" w:type="dxa"/>
            <w:shd w:val="clear" w:color="auto" w:fill="auto"/>
          </w:tcPr>
          <w:p w14:paraId="2B14AC16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Solicitor for the Applicant:</w:t>
            </w:r>
          </w:p>
        </w:tc>
        <w:tc>
          <w:tcPr>
            <w:tcW w:w="5989" w:type="dxa"/>
            <w:shd w:val="clear" w:color="auto" w:fill="auto"/>
          </w:tcPr>
          <w:p w14:paraId="2B14AC17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Susan Moriarty &amp; Associates</w:t>
            </w:r>
          </w:p>
        </w:tc>
      </w:tr>
      <w:tr w:rsidR="00EB4EFC" w14:paraId="2B14AC1B" w14:textId="77777777" w:rsidTr="00EB4EFC">
        <w:tc>
          <w:tcPr>
            <w:tcW w:w="3085" w:type="dxa"/>
            <w:shd w:val="clear" w:color="auto" w:fill="auto"/>
          </w:tcPr>
          <w:p w14:paraId="2B14AC19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C1A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C1E" w14:textId="77777777" w:rsidTr="00EB4EFC">
        <w:tc>
          <w:tcPr>
            <w:tcW w:w="3085" w:type="dxa"/>
            <w:shd w:val="clear" w:color="auto" w:fill="auto"/>
          </w:tcPr>
          <w:p w14:paraId="2B14AC1C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Counsel for the Respondents:</w:t>
            </w:r>
          </w:p>
        </w:tc>
        <w:tc>
          <w:tcPr>
            <w:tcW w:w="5989" w:type="dxa"/>
            <w:shd w:val="clear" w:color="auto" w:fill="auto"/>
          </w:tcPr>
          <w:p w14:paraId="2B14AC1D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Mr C Murdoch QC with Mr E Shorten</w:t>
            </w:r>
          </w:p>
        </w:tc>
      </w:tr>
      <w:tr w:rsidR="00EB4EFC" w14:paraId="2B14AC21" w14:textId="77777777" w:rsidTr="00EB4EFC">
        <w:tc>
          <w:tcPr>
            <w:tcW w:w="3085" w:type="dxa"/>
            <w:shd w:val="clear" w:color="auto" w:fill="auto"/>
          </w:tcPr>
          <w:p w14:paraId="2B14AC1F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B14AC20" w14:textId="77777777" w:rsidR="00EB4EFC" w:rsidRDefault="00EB4EFC" w:rsidP="00EB4EFC">
            <w:pPr>
              <w:pStyle w:val="Normal1linespace"/>
              <w:widowControl w:val="0"/>
              <w:jc w:val="left"/>
            </w:pPr>
          </w:p>
        </w:tc>
      </w:tr>
      <w:tr w:rsidR="00EB4EFC" w14:paraId="2B14AC24" w14:textId="77777777" w:rsidTr="00EB4EFC">
        <w:tc>
          <w:tcPr>
            <w:tcW w:w="3085" w:type="dxa"/>
            <w:shd w:val="clear" w:color="auto" w:fill="auto"/>
          </w:tcPr>
          <w:p w14:paraId="2B14AC22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Solicitor for the Respondents:</w:t>
            </w:r>
          </w:p>
        </w:tc>
        <w:tc>
          <w:tcPr>
            <w:tcW w:w="5989" w:type="dxa"/>
            <w:shd w:val="clear" w:color="auto" w:fill="auto"/>
          </w:tcPr>
          <w:p w14:paraId="2B14AC23" w14:textId="77777777" w:rsidR="00EB4EFC" w:rsidRDefault="00EB4EFC" w:rsidP="00EB4EFC">
            <w:pPr>
              <w:pStyle w:val="Normal1linespace"/>
              <w:widowControl w:val="0"/>
              <w:jc w:val="left"/>
            </w:pPr>
            <w:r>
              <w:t>Minter Ellison</w:t>
            </w:r>
          </w:p>
        </w:tc>
      </w:tr>
      <w:bookmarkEnd w:id="8"/>
    </w:tbl>
    <w:p w14:paraId="2B14AC25" w14:textId="77777777" w:rsidR="00395B24" w:rsidRDefault="00395B24">
      <w:pPr>
        <w:pStyle w:val="Normal1linespace"/>
      </w:pPr>
    </w:p>
    <w:p w14:paraId="2B14AC26" w14:textId="77777777" w:rsidR="0092590B" w:rsidRDefault="0092590B">
      <w:pPr>
        <w:pStyle w:val="Normal1linespace"/>
      </w:pPr>
    </w:p>
    <w:p w14:paraId="2B14AC27" w14:textId="77777777" w:rsidR="00395B24" w:rsidRDefault="00395B24">
      <w:pPr>
        <w:pStyle w:val="Normal1linespace"/>
        <w:sectPr w:rsidR="00395B24"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14:paraId="2B14AC28" w14:textId="77777777"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14:paraId="2B14AC2B" w14:textId="77777777" w:rsidTr="00E81DA6">
        <w:tc>
          <w:tcPr>
            <w:tcW w:w="6912" w:type="dxa"/>
            <w:gridSpan w:val="2"/>
          </w:tcPr>
          <w:p w14:paraId="2B14AC29" w14:textId="77777777"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14:paraId="2B14AC2A" w14:textId="77777777" w:rsidR="00A46CCC" w:rsidRDefault="008867FB" w:rsidP="00F92355">
            <w:pPr>
              <w:pStyle w:val="NormalHeadings"/>
              <w:jc w:val="right"/>
            </w:pPr>
            <w:bookmarkStart w:id="10" w:name="FileNo"/>
            <w:r>
              <w:t>QUD 263 of 2018</w:t>
            </w:r>
            <w:bookmarkEnd w:id="10"/>
          </w:p>
        </w:tc>
      </w:tr>
      <w:tr w:rsidR="00A76C13" w14:paraId="2B14AC2D" w14:textId="77777777" w:rsidTr="00F461A4">
        <w:tc>
          <w:tcPr>
            <w:tcW w:w="9242" w:type="dxa"/>
            <w:gridSpan w:val="3"/>
          </w:tcPr>
          <w:p w14:paraId="2B14AC2C" w14:textId="77777777" w:rsidR="00A76C13" w:rsidRPr="00A76C13" w:rsidRDefault="008867FB" w:rsidP="008867FB">
            <w:pPr>
              <w:pStyle w:val="NormalHeadings"/>
              <w:jc w:val="left"/>
            </w:pPr>
            <w:bookmarkStart w:id="11" w:name="InTheMatterOf"/>
            <w:r>
              <w:t xml:space="preserve"> </w:t>
            </w:r>
            <w:bookmarkEnd w:id="11"/>
          </w:p>
        </w:tc>
      </w:tr>
      <w:tr w:rsidR="00A46CCC" w14:paraId="2B14AC32" w14:textId="77777777" w:rsidTr="005041F0">
        <w:trPr>
          <w:trHeight w:val="386"/>
        </w:trPr>
        <w:tc>
          <w:tcPr>
            <w:tcW w:w="2376" w:type="dxa"/>
          </w:tcPr>
          <w:p w14:paraId="2B14AC2E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2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14:paraId="2B14AC2F" w14:textId="77777777" w:rsidR="008867FB" w:rsidRDefault="008867FB" w:rsidP="008867FB">
            <w:pPr>
              <w:pStyle w:val="NormalHeadings"/>
              <w:jc w:val="left"/>
            </w:pPr>
            <w:bookmarkStart w:id="13" w:name="Applicant"/>
            <w:r>
              <w:t>JULIAN LAMONT</w:t>
            </w:r>
          </w:p>
          <w:p w14:paraId="2B14AC30" w14:textId="77777777" w:rsidR="008867FB" w:rsidRDefault="008867FB" w:rsidP="008867FB">
            <w:pPr>
              <w:pStyle w:val="PartyType"/>
            </w:pPr>
            <w:r>
              <w:t>Applicant</w:t>
            </w:r>
          </w:p>
          <w:bookmarkEnd w:id="13"/>
          <w:p w14:paraId="2B14AC31" w14:textId="77777777" w:rsidR="00A46CCC" w:rsidRPr="006555B4" w:rsidRDefault="00A46CCC" w:rsidP="003E3D4D">
            <w:pPr>
              <w:pStyle w:val="NormalHeadings"/>
              <w:jc w:val="left"/>
            </w:pPr>
          </w:p>
        </w:tc>
      </w:tr>
      <w:tr w:rsidR="00A46CCC" w14:paraId="2B14AC3D" w14:textId="77777777" w:rsidTr="005041F0">
        <w:trPr>
          <w:trHeight w:val="386"/>
        </w:trPr>
        <w:tc>
          <w:tcPr>
            <w:tcW w:w="2376" w:type="dxa"/>
          </w:tcPr>
          <w:p w14:paraId="2B14AC33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14:paraId="2B14AC34" w14:textId="77777777" w:rsidR="008867FB" w:rsidRDefault="008867FB" w:rsidP="008867FB">
            <w:pPr>
              <w:pStyle w:val="NormalHeadings"/>
              <w:jc w:val="left"/>
            </w:pPr>
            <w:bookmarkStart w:id="14" w:name="Respondent"/>
            <w:r>
              <w:t>UNIVERSITY OF QUEENSLAND</w:t>
            </w:r>
          </w:p>
          <w:p w14:paraId="2B14AC35" w14:textId="77777777" w:rsidR="008867FB" w:rsidRDefault="008867FB" w:rsidP="008867FB">
            <w:pPr>
              <w:pStyle w:val="PartyType"/>
            </w:pPr>
            <w:r>
              <w:t>First Respondent</w:t>
            </w:r>
          </w:p>
          <w:p w14:paraId="2B14AC36" w14:textId="77777777" w:rsidR="008867FB" w:rsidRDefault="008867FB" w:rsidP="003E3D4D">
            <w:pPr>
              <w:pStyle w:val="NormalHeadings"/>
              <w:jc w:val="left"/>
            </w:pPr>
          </w:p>
          <w:p w14:paraId="2B14AC37" w14:textId="77777777" w:rsidR="008867FB" w:rsidRDefault="008867FB" w:rsidP="008867FB">
            <w:pPr>
              <w:pStyle w:val="NormalHeadings"/>
              <w:jc w:val="left"/>
            </w:pPr>
            <w:r>
              <w:t>CLIVE MOORE</w:t>
            </w:r>
          </w:p>
          <w:p w14:paraId="2B14AC38" w14:textId="77777777" w:rsidR="008867FB" w:rsidRDefault="008867FB" w:rsidP="008867FB">
            <w:pPr>
              <w:pStyle w:val="PartyType"/>
            </w:pPr>
            <w:r>
              <w:t>Second Respondent</w:t>
            </w:r>
          </w:p>
          <w:p w14:paraId="2B14AC39" w14:textId="77777777" w:rsidR="008867FB" w:rsidRDefault="008867FB" w:rsidP="003E3D4D">
            <w:pPr>
              <w:pStyle w:val="NormalHeadings"/>
              <w:jc w:val="left"/>
            </w:pPr>
          </w:p>
          <w:p w14:paraId="2B14AC3A" w14:textId="77777777" w:rsidR="008867FB" w:rsidRDefault="008867FB" w:rsidP="008867FB">
            <w:pPr>
              <w:pStyle w:val="NormalHeadings"/>
              <w:jc w:val="left"/>
            </w:pPr>
            <w:r>
              <w:t xml:space="preserve">RICHARD FOTHERINGHAM </w:t>
            </w:r>
            <w:r w:rsidRPr="008867FB">
              <w:rPr>
                <w:b w:val="0"/>
              </w:rPr>
              <w:t>(and others named in the Schedule)</w:t>
            </w:r>
          </w:p>
          <w:p w14:paraId="2B14AC3B" w14:textId="77777777" w:rsidR="008867FB" w:rsidRDefault="008867FB" w:rsidP="008867FB">
            <w:pPr>
              <w:pStyle w:val="PartyType"/>
            </w:pPr>
            <w:r>
              <w:t>Third Respondent</w:t>
            </w:r>
          </w:p>
          <w:bookmarkEnd w:id="14"/>
          <w:p w14:paraId="2B14AC3C" w14:textId="77777777" w:rsidR="00A46CCC" w:rsidRPr="006555B4" w:rsidRDefault="00A46CCC" w:rsidP="003E3D4D">
            <w:pPr>
              <w:pStyle w:val="NormalHeadings"/>
              <w:jc w:val="left"/>
            </w:pPr>
          </w:p>
        </w:tc>
      </w:tr>
    </w:tbl>
    <w:p w14:paraId="2B14AC3E" w14:textId="77777777" w:rsidR="00395B24" w:rsidRDefault="00395B24">
      <w:pPr>
        <w:pStyle w:val="NormalHeadings"/>
      </w:pPr>
      <w:bookmarkStart w:id="15" w:name="CrossClaimPosition"/>
      <w:bookmarkEnd w:id="12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 w14:paraId="2B14AC41" w14:textId="77777777">
        <w:tc>
          <w:tcPr>
            <w:tcW w:w="2376" w:type="dxa"/>
          </w:tcPr>
          <w:p w14:paraId="2B14AC3F" w14:textId="77777777" w:rsidR="00395B24" w:rsidRDefault="008867FB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6" w:name="JudgeText"/>
            <w:r>
              <w:rPr>
                <w:caps/>
                <w:szCs w:val="24"/>
              </w:rPr>
              <w:t>JUDGE</w:t>
            </w:r>
            <w:bookmarkEnd w:id="16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14:paraId="2B14AC40" w14:textId="77777777" w:rsidR="00395B24" w:rsidRDefault="008867FB">
            <w:pPr>
              <w:pStyle w:val="NormalHeadings"/>
              <w:jc w:val="left"/>
              <w:rPr>
                <w:caps/>
                <w:szCs w:val="24"/>
              </w:rPr>
            </w:pPr>
            <w:bookmarkStart w:id="17" w:name="Judge"/>
            <w:r>
              <w:rPr>
                <w:caps/>
                <w:szCs w:val="24"/>
              </w:rPr>
              <w:t>RANGIAH J</w:t>
            </w:r>
            <w:bookmarkEnd w:id="17"/>
          </w:p>
        </w:tc>
      </w:tr>
      <w:tr w:rsidR="00395B24" w14:paraId="2B14AC44" w14:textId="77777777">
        <w:tc>
          <w:tcPr>
            <w:tcW w:w="2376" w:type="dxa"/>
          </w:tcPr>
          <w:p w14:paraId="2B14AC42" w14:textId="77777777"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14:paraId="2B14AC43" w14:textId="77777777" w:rsidR="00395B24" w:rsidRDefault="008867FB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ment_Dated"/>
            <w:r>
              <w:rPr>
                <w:caps/>
                <w:szCs w:val="24"/>
              </w:rPr>
              <w:t>10 JULY 2020</w:t>
            </w:r>
            <w:bookmarkEnd w:id="18"/>
          </w:p>
        </w:tc>
      </w:tr>
    </w:tbl>
    <w:p w14:paraId="2B14AC45" w14:textId="77777777" w:rsidR="00395B24" w:rsidRDefault="00395B24">
      <w:pPr>
        <w:pStyle w:val="NormalHeadings"/>
        <w:rPr>
          <w:b w:val="0"/>
        </w:rPr>
      </w:pPr>
    </w:p>
    <w:p w14:paraId="2B14AC46" w14:textId="77777777" w:rsidR="008D1617" w:rsidRDefault="008D1617">
      <w:pPr>
        <w:pStyle w:val="NormalHeadings"/>
        <w:rPr>
          <w:b w:val="0"/>
        </w:rPr>
      </w:pPr>
    </w:p>
    <w:p w14:paraId="2B14AC47" w14:textId="77777777" w:rsidR="00395B24" w:rsidRDefault="002C7385">
      <w:pPr>
        <w:pStyle w:val="NormalHeadings"/>
      </w:pPr>
      <w:r>
        <w:t>THE COURT ORDERS THAT:</w:t>
      </w:r>
    </w:p>
    <w:p w14:paraId="2B14AC48" w14:textId="77777777" w:rsidR="00395B24" w:rsidRDefault="00395B24">
      <w:pPr>
        <w:pStyle w:val="NormalHeadings"/>
      </w:pPr>
    </w:p>
    <w:p w14:paraId="2B14AC49" w14:textId="77777777" w:rsidR="001323A9" w:rsidRDefault="001323A9" w:rsidP="001323A9">
      <w:pPr>
        <w:pStyle w:val="Order1"/>
      </w:pPr>
      <w:bookmarkStart w:id="19" w:name="Order_Start_Text"/>
      <w:bookmarkEnd w:id="19"/>
      <w:r>
        <w:t xml:space="preserve">The first respondent pay a pecuniary penalty of $9,000 for its contravention of s 340(1) of the </w:t>
      </w:r>
      <w:r w:rsidRPr="008867FB">
        <w:rPr>
          <w:i/>
        </w:rPr>
        <w:t>Fair Work Act 2009</w:t>
      </w:r>
      <w:r>
        <w:t xml:space="preserve"> (Cth) (the </w:t>
      </w:r>
      <w:r w:rsidRPr="0048259E">
        <w:rPr>
          <w:b/>
        </w:rPr>
        <w:t>FW Act</w:t>
      </w:r>
      <w:r>
        <w:t>) by breaching the confidentiality of the complaint dated 12 April 2010 made by the applicant.</w:t>
      </w:r>
    </w:p>
    <w:p w14:paraId="2B14AC4A" w14:textId="77777777" w:rsidR="001323A9" w:rsidRDefault="001323A9" w:rsidP="001323A9">
      <w:pPr>
        <w:pStyle w:val="Order1"/>
      </w:pPr>
      <w:r>
        <w:t>The first respondent pay a pecuniary penalty of $12,000 for its contravention of s 340(1) of the FW</w:t>
      </w:r>
      <w:r w:rsidR="0048259E">
        <w:t xml:space="preserve"> </w:t>
      </w:r>
      <w:r>
        <w:t>Act by threatening to initiate an investigation into the applicant</w:t>
      </w:r>
      <w:r w:rsidR="008867FB">
        <w:t>’</w:t>
      </w:r>
      <w:r>
        <w:t>s conduct on 8 July 2010.</w:t>
      </w:r>
    </w:p>
    <w:p w14:paraId="2B14AC4B" w14:textId="77777777" w:rsidR="001323A9" w:rsidRDefault="001323A9" w:rsidP="001323A9">
      <w:pPr>
        <w:pStyle w:val="Order1"/>
      </w:pPr>
      <w:r>
        <w:t>The first respondent pay a pecuniary penalty of $16,000 for its contravention of s 340(1) of the FW Act by failing to comply with the requirements of the first respondent</w:t>
      </w:r>
      <w:r w:rsidR="008867FB">
        <w:t>’</w:t>
      </w:r>
      <w:r>
        <w:t xml:space="preserve">s Staff Grievance Resolution Policy in respect of an investigative report known as the Byrom Report and ancillary dealings in respect of the Policy. </w:t>
      </w:r>
    </w:p>
    <w:p w14:paraId="2B14AC4C" w14:textId="77777777" w:rsidR="001323A9" w:rsidRDefault="001323A9" w:rsidP="001323A9">
      <w:pPr>
        <w:pStyle w:val="Order1"/>
      </w:pPr>
      <w:r>
        <w:t>The first respondent pay the pecuniary penalties to the applicant within 14 days of the date of this order.</w:t>
      </w:r>
    </w:p>
    <w:p w14:paraId="2B14AC4D" w14:textId="77777777" w:rsidR="00636871" w:rsidRDefault="00636871" w:rsidP="002B0E91">
      <w:pPr>
        <w:pStyle w:val="BodyText"/>
      </w:pPr>
    </w:p>
    <w:p w14:paraId="2B14AC4E" w14:textId="77777777" w:rsidR="008867FB" w:rsidRDefault="008867FB" w:rsidP="002B0E91">
      <w:pPr>
        <w:pStyle w:val="BodyText"/>
      </w:pPr>
    </w:p>
    <w:p w14:paraId="2B14AC4F" w14:textId="77777777" w:rsidR="00395B24" w:rsidRDefault="002C7385" w:rsidP="004D53E5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14:paraId="2B14AC50" w14:textId="77777777" w:rsidR="0092590B" w:rsidRDefault="0092590B" w:rsidP="002B0E91">
      <w:pPr>
        <w:pStyle w:val="BodyText"/>
      </w:pPr>
    </w:p>
    <w:p w14:paraId="2B14AC51" w14:textId="77777777"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14:paraId="2B14AC52" w14:textId="77777777" w:rsidR="00484F6D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0" w:name="ReasonsPage"/>
      <w:bookmarkEnd w:id="20"/>
      <w:r w:rsidRPr="00045BB7">
        <w:rPr>
          <w:sz w:val="28"/>
          <w:szCs w:val="28"/>
        </w:rPr>
        <w:lastRenderedPageBreak/>
        <w:t>REASONS FOR JUDGMENT</w:t>
      </w:r>
    </w:p>
    <w:p w14:paraId="2B14AC53" w14:textId="77777777" w:rsidR="00DC69A0" w:rsidRPr="004A6AC0" w:rsidRDefault="00DC69A0" w:rsidP="004A6AC0">
      <w:pPr>
        <w:pStyle w:val="BodyText"/>
        <w:jc w:val="center"/>
        <w:rPr>
          <w:b/>
        </w:rPr>
      </w:pPr>
      <w:r w:rsidRPr="004A6AC0">
        <w:rPr>
          <w:b/>
        </w:rPr>
        <w:t>(DELIVERED EX TEMPORE AND REVISED)</w:t>
      </w:r>
    </w:p>
    <w:p w14:paraId="2B14AC54" w14:textId="77777777" w:rsidR="00395B24" w:rsidRPr="00EA03CE" w:rsidRDefault="001460D2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RANGIAH J</w:t>
      </w:r>
      <w:r w:rsidR="00484F6D" w:rsidRPr="00EA03CE">
        <w:rPr>
          <w:sz w:val="26"/>
          <w:szCs w:val="26"/>
        </w:rPr>
        <w:t>:</w:t>
      </w:r>
    </w:p>
    <w:p w14:paraId="2B14AC55" w14:textId="77777777" w:rsidR="00722412" w:rsidRDefault="001460D2" w:rsidP="008867FB">
      <w:pPr>
        <w:pStyle w:val="ParaNumbering"/>
      </w:pPr>
      <w:r>
        <w:t xml:space="preserve">On 28 May 2020, in </w:t>
      </w:r>
      <w:r w:rsidRPr="00722412">
        <w:rPr>
          <w:i/>
        </w:rPr>
        <w:t>Lamont v University of Queensland</w:t>
      </w:r>
      <w:r>
        <w:t xml:space="preserve"> </w:t>
      </w:r>
      <w:r w:rsidR="0048259E" w:rsidRPr="0048259E">
        <w:rPr>
          <w:i/>
        </w:rPr>
        <w:t>(No 2)</w:t>
      </w:r>
      <w:r w:rsidR="0048259E">
        <w:t xml:space="preserve"> </w:t>
      </w:r>
      <w:r>
        <w:t>[2020] FCA 720, I held that the first respondent, University of Queensland</w:t>
      </w:r>
      <w:r w:rsidR="00D62009">
        <w:t xml:space="preserve"> (the </w:t>
      </w:r>
      <w:r w:rsidR="00D62009" w:rsidRPr="0048259E">
        <w:rPr>
          <w:b/>
        </w:rPr>
        <w:t>University</w:t>
      </w:r>
      <w:r w:rsidR="00D62009">
        <w:t>)</w:t>
      </w:r>
      <w:r>
        <w:t xml:space="preserve">, </w:t>
      </w:r>
      <w:r w:rsidR="004A6AC0" w:rsidRPr="004A6AC0">
        <w:t>had</w:t>
      </w:r>
      <w:r w:rsidR="004A6AC0">
        <w:rPr>
          <w:u w:val="words"/>
        </w:rPr>
        <w:t xml:space="preserve"> </w:t>
      </w:r>
      <w:r>
        <w:t xml:space="preserve">committed the following contraventions of </w:t>
      </w:r>
      <w:r w:rsidR="00722412">
        <w:t>s </w:t>
      </w:r>
      <w:r>
        <w:t xml:space="preserve">340(1) of the </w:t>
      </w:r>
      <w:r w:rsidRPr="00722412">
        <w:rPr>
          <w:i/>
        </w:rPr>
        <w:t>Fair Work Act 2009</w:t>
      </w:r>
      <w:r>
        <w:t xml:space="preserve"> (</w:t>
      </w:r>
      <w:r w:rsidR="00722412">
        <w:t>Cth</w:t>
      </w:r>
      <w:r>
        <w:t>)</w:t>
      </w:r>
      <w:r w:rsidR="00D62009">
        <w:t xml:space="preserve"> (the </w:t>
      </w:r>
      <w:r w:rsidR="00D62009" w:rsidRPr="0048259E">
        <w:rPr>
          <w:b/>
        </w:rPr>
        <w:t>FW</w:t>
      </w:r>
      <w:r w:rsidR="0048259E">
        <w:rPr>
          <w:b/>
        </w:rPr>
        <w:t xml:space="preserve"> </w:t>
      </w:r>
      <w:r w:rsidR="00D62009" w:rsidRPr="0048259E">
        <w:rPr>
          <w:b/>
        </w:rPr>
        <w:t>A</w:t>
      </w:r>
      <w:r w:rsidR="0048259E">
        <w:rPr>
          <w:b/>
        </w:rPr>
        <w:t>ct</w:t>
      </w:r>
      <w:r w:rsidR="00D62009">
        <w:t>)</w:t>
      </w:r>
      <w:r>
        <w:t xml:space="preserve">: </w:t>
      </w:r>
    </w:p>
    <w:p w14:paraId="2B14AC56" w14:textId="77777777" w:rsidR="00722412" w:rsidRDefault="0048259E" w:rsidP="00722412">
      <w:pPr>
        <w:pStyle w:val="ListNo1"/>
      </w:pPr>
      <w:r>
        <w:t xml:space="preserve">The </w:t>
      </w:r>
      <w:r w:rsidR="00D62009">
        <w:t>University</w:t>
      </w:r>
      <w:r w:rsidR="001460D2">
        <w:t xml:space="preserve">, through </w:t>
      </w:r>
      <w:r w:rsidR="00D62009">
        <w:t>Prof</w:t>
      </w:r>
      <w:r w:rsidR="001460D2">
        <w:t xml:space="preserve"> Moore, took adverse action against</w:t>
      </w:r>
      <w:r w:rsidR="00F022E9">
        <w:t xml:space="preserve"> Dr </w:t>
      </w:r>
      <w:r w:rsidR="001460D2">
        <w:t xml:space="preserve">Lamont by notifying </w:t>
      </w:r>
      <w:r w:rsidR="00D62009">
        <w:t>Prof</w:t>
      </w:r>
      <w:r w:rsidR="001460D2">
        <w:t xml:space="preserve"> Almond and Associate </w:t>
      </w:r>
      <w:r w:rsidR="00D62009">
        <w:t>Prof</w:t>
      </w:r>
      <w:r w:rsidR="001460D2">
        <w:t xml:space="preserve"> Hutch of the contents of</w:t>
      </w:r>
      <w:r w:rsidR="00F022E9">
        <w:t xml:space="preserve"> Dr </w:t>
      </w:r>
      <w:r w:rsidR="001460D2">
        <w:t>Lamont</w:t>
      </w:r>
      <w:r w:rsidR="008867FB">
        <w:t>’</w:t>
      </w:r>
      <w:r w:rsidR="001460D2">
        <w:t xml:space="preserve">s letter of complaint against </w:t>
      </w:r>
      <w:r w:rsidR="00D62009">
        <w:t>Prof</w:t>
      </w:r>
      <w:r w:rsidR="001460D2">
        <w:t xml:space="preserve"> Moore dated 12 April 2010</w:t>
      </w:r>
      <w:r>
        <w:t xml:space="preserve"> </w:t>
      </w:r>
      <w:r w:rsidR="004A6AC0">
        <w:t xml:space="preserve">(the </w:t>
      </w:r>
      <w:r w:rsidR="004A6AC0" w:rsidRPr="009C387A">
        <w:rPr>
          <w:b/>
        </w:rPr>
        <w:t>first contravention</w:t>
      </w:r>
      <w:r w:rsidR="004A6AC0">
        <w:t>)</w:t>
      </w:r>
      <w:r>
        <w:t>.</w:t>
      </w:r>
    </w:p>
    <w:p w14:paraId="2B14AC57" w14:textId="77777777" w:rsidR="00722412" w:rsidRDefault="0048259E" w:rsidP="00722412">
      <w:pPr>
        <w:pStyle w:val="ListNo1"/>
      </w:pPr>
      <w:r>
        <w:t xml:space="preserve">The </w:t>
      </w:r>
      <w:r w:rsidR="00D62009">
        <w:t>University</w:t>
      </w:r>
      <w:r w:rsidR="001460D2">
        <w:t xml:space="preserve">, through </w:t>
      </w:r>
      <w:r w:rsidR="00D62009">
        <w:t>Prof</w:t>
      </w:r>
      <w:r w:rsidR="001460D2">
        <w:t xml:space="preserve"> Fotheringham, took adverse action against</w:t>
      </w:r>
      <w:r w:rsidR="00F022E9">
        <w:t xml:space="preserve"> Dr </w:t>
      </w:r>
      <w:r w:rsidR="001460D2">
        <w:t>Lamont by threatening to initiate an investigation into his conduct on 8 July 2010</w:t>
      </w:r>
      <w:r>
        <w:t xml:space="preserve"> </w:t>
      </w:r>
      <w:r w:rsidR="004A6AC0">
        <w:t xml:space="preserve">(the </w:t>
      </w:r>
      <w:r w:rsidR="004A6AC0" w:rsidRPr="009C387A">
        <w:rPr>
          <w:b/>
        </w:rPr>
        <w:t>second contravention</w:t>
      </w:r>
      <w:r w:rsidR="004A6AC0">
        <w:t>)</w:t>
      </w:r>
      <w:r>
        <w:t>.</w:t>
      </w:r>
    </w:p>
    <w:p w14:paraId="2B14AC58" w14:textId="77777777" w:rsidR="00722412" w:rsidRDefault="0048259E" w:rsidP="00722412">
      <w:pPr>
        <w:pStyle w:val="ListNo1"/>
      </w:pPr>
      <w:r>
        <w:t xml:space="preserve">The </w:t>
      </w:r>
      <w:r w:rsidR="00D62009">
        <w:t xml:space="preserve">University </w:t>
      </w:r>
      <w:r w:rsidR="001460D2">
        <w:t>took adverse action against</w:t>
      </w:r>
      <w:r w:rsidR="00F022E9">
        <w:t xml:space="preserve"> Dr </w:t>
      </w:r>
      <w:r w:rsidR="001460D2">
        <w:t xml:space="preserve">Lamont by setting aside the findings of </w:t>
      </w:r>
      <w:r>
        <w:t xml:space="preserve">the </w:t>
      </w:r>
      <w:r w:rsidR="001460D2">
        <w:t>Byrom Report</w:t>
      </w:r>
      <w:r w:rsidR="004A6AC0">
        <w:t xml:space="preserve"> (the </w:t>
      </w:r>
      <w:r w:rsidR="004A6AC0" w:rsidRPr="009C387A">
        <w:rPr>
          <w:b/>
        </w:rPr>
        <w:t>third contravention</w:t>
      </w:r>
      <w:r w:rsidR="004A6AC0">
        <w:t>)</w:t>
      </w:r>
      <w:r w:rsidR="008107F7">
        <w:t>.</w:t>
      </w:r>
    </w:p>
    <w:p w14:paraId="2B14AC59" w14:textId="77777777" w:rsidR="00722412" w:rsidRDefault="008107F7" w:rsidP="00722412">
      <w:pPr>
        <w:pStyle w:val="ListNo1"/>
      </w:pPr>
      <w:r>
        <w:t xml:space="preserve">The </w:t>
      </w:r>
      <w:r w:rsidR="00D62009">
        <w:t xml:space="preserve">University </w:t>
      </w:r>
      <w:r w:rsidR="001460D2">
        <w:t>took adverse action against</w:t>
      </w:r>
      <w:r w:rsidR="00F022E9">
        <w:t xml:space="preserve"> Dr </w:t>
      </w:r>
      <w:r w:rsidR="001460D2">
        <w:t xml:space="preserve">Lamont by refusing to provide </w:t>
      </w:r>
      <w:r w:rsidR="00A67B11">
        <w:t xml:space="preserve">the </w:t>
      </w:r>
      <w:r w:rsidR="001460D2">
        <w:t>Byrom Report to him</w:t>
      </w:r>
      <w:r>
        <w:t xml:space="preserve"> </w:t>
      </w:r>
      <w:r w:rsidR="004A6AC0">
        <w:t xml:space="preserve">(the </w:t>
      </w:r>
      <w:r w:rsidR="004A6AC0" w:rsidRPr="009C387A">
        <w:rPr>
          <w:b/>
        </w:rPr>
        <w:t>fourth contravention</w:t>
      </w:r>
      <w:r w:rsidR="004A6AC0">
        <w:t>)</w:t>
      </w:r>
      <w:r>
        <w:t>.</w:t>
      </w:r>
    </w:p>
    <w:p w14:paraId="2B14AC5A" w14:textId="77777777" w:rsidR="001460D2" w:rsidRDefault="008107F7" w:rsidP="00722412">
      <w:pPr>
        <w:pStyle w:val="ListNo1"/>
      </w:pPr>
      <w:r>
        <w:t xml:space="preserve">The </w:t>
      </w:r>
      <w:r w:rsidR="00A67B11">
        <w:t>University</w:t>
      </w:r>
      <w:r w:rsidR="001460D2">
        <w:t xml:space="preserve">, through </w:t>
      </w:r>
      <w:r w:rsidR="00D62009">
        <w:t>Prof</w:t>
      </w:r>
      <w:r w:rsidR="001460D2">
        <w:t xml:space="preserve"> Keniger, took adverse action against</w:t>
      </w:r>
      <w:r w:rsidR="00F022E9">
        <w:t xml:space="preserve"> Dr </w:t>
      </w:r>
      <w:r w:rsidR="001460D2">
        <w:t>Lamont by failing to comply with the Staff Grievance Resolution Policy by not acting in a way that was impartial and fair and failing to act as expeditiously as possible</w:t>
      </w:r>
      <w:r w:rsidR="004A6AC0">
        <w:t xml:space="preserve"> (the </w:t>
      </w:r>
      <w:r w:rsidR="004A6AC0" w:rsidRPr="009C387A">
        <w:rPr>
          <w:b/>
        </w:rPr>
        <w:t>fifth contravention</w:t>
      </w:r>
      <w:r w:rsidR="004A6AC0">
        <w:t>)</w:t>
      </w:r>
      <w:r w:rsidR="001460D2">
        <w:t>.</w:t>
      </w:r>
    </w:p>
    <w:p w14:paraId="2B14AC5B" w14:textId="77777777" w:rsidR="005A404B" w:rsidRDefault="001460D2" w:rsidP="001460D2">
      <w:pPr>
        <w:pStyle w:val="ParaNumbering"/>
      </w:pPr>
      <w:r>
        <w:t xml:space="preserve">I </w:t>
      </w:r>
      <w:r w:rsidR="001135E0">
        <w:t xml:space="preserve">also </w:t>
      </w:r>
      <w:r>
        <w:t xml:space="preserve">held that the second respondent, </w:t>
      </w:r>
      <w:r w:rsidR="00D62009">
        <w:t>Prof</w:t>
      </w:r>
      <w:r>
        <w:t xml:space="preserve"> Clive Moore, had committed the first </w:t>
      </w:r>
      <w:r w:rsidR="005A404B">
        <w:t>contravention</w:t>
      </w:r>
      <w:r>
        <w:t xml:space="preserve">.  I </w:t>
      </w:r>
      <w:r w:rsidR="005A404B">
        <w:t xml:space="preserve">further </w:t>
      </w:r>
      <w:r>
        <w:t xml:space="preserve">held that the third respondent, </w:t>
      </w:r>
      <w:r w:rsidR="00D62009">
        <w:t>Prof</w:t>
      </w:r>
      <w:r>
        <w:t xml:space="preserve"> Richard Fotheringham, had committed the second contravention.  </w:t>
      </w:r>
    </w:p>
    <w:p w14:paraId="2B14AC5C" w14:textId="77777777" w:rsidR="001460D2" w:rsidRDefault="001460D2" w:rsidP="005A404B">
      <w:pPr>
        <w:pStyle w:val="ParaNumbering"/>
      </w:pPr>
      <w:r>
        <w:t xml:space="preserve">It is necessary to consider the question of whether pecuniary penalties should be imposed and in what amounts.  </w:t>
      </w:r>
    </w:p>
    <w:p w14:paraId="2B14AC5D" w14:textId="77777777" w:rsidR="00722412" w:rsidRDefault="001460D2" w:rsidP="001460D2">
      <w:pPr>
        <w:pStyle w:val="ParaNumbering"/>
      </w:pPr>
      <w:r>
        <w:t xml:space="preserve">Section 546 of the </w:t>
      </w:r>
      <w:r w:rsidR="008107F7">
        <w:t xml:space="preserve">FW </w:t>
      </w:r>
      <w:r>
        <w:t>Act provides</w:t>
      </w:r>
      <w:r w:rsidR="008107F7">
        <w:t>, relevantly</w:t>
      </w:r>
      <w:r w:rsidR="00722412">
        <w:t>:</w:t>
      </w:r>
    </w:p>
    <w:p w14:paraId="2B14AC5E" w14:textId="77777777" w:rsidR="00A67B11" w:rsidRPr="00A67B11" w:rsidRDefault="00A67B11" w:rsidP="00A67B11">
      <w:pPr>
        <w:pStyle w:val="Quote1"/>
        <w:rPr>
          <w:b/>
        </w:rPr>
      </w:pPr>
      <w:r w:rsidRPr="00A67B11">
        <w:rPr>
          <w:b/>
        </w:rPr>
        <w:t>546</w:t>
      </w:r>
      <w:r>
        <w:rPr>
          <w:b/>
        </w:rPr>
        <w:tab/>
      </w:r>
      <w:r w:rsidRPr="00A67B11">
        <w:rPr>
          <w:b/>
        </w:rPr>
        <w:t>Pecuniary penalty orders</w:t>
      </w:r>
    </w:p>
    <w:p w14:paraId="2B14AC5F" w14:textId="77777777" w:rsidR="00A67B11" w:rsidRDefault="00A67B11" w:rsidP="00A67B11">
      <w:pPr>
        <w:pStyle w:val="Quote1"/>
        <w:ind w:left="1440" w:hanging="703"/>
      </w:pPr>
      <w:r>
        <w:t>(1)</w:t>
      </w:r>
      <w:r>
        <w:tab/>
        <w:t>The Federal Court, the Federal Circuit Court or an eligible State or Territory court may, on application, order a person to pay a pecuniary penalty that the court considers is appropriate if the court is satisfied that the person has contravened a civil remedy provision.</w:t>
      </w:r>
    </w:p>
    <w:p w14:paraId="2B14AC60" w14:textId="77777777" w:rsidR="00A67B11" w:rsidRDefault="00122DFC" w:rsidP="00A67B11">
      <w:pPr>
        <w:pStyle w:val="Quote2"/>
        <w:ind w:left="2160" w:hanging="720"/>
      </w:pPr>
      <w:r>
        <w:lastRenderedPageBreak/>
        <w:t>…</w:t>
      </w:r>
    </w:p>
    <w:p w14:paraId="2B14AC61" w14:textId="77777777" w:rsidR="00A67B11" w:rsidRPr="00A67B11" w:rsidRDefault="00A67B11" w:rsidP="00A67B11">
      <w:pPr>
        <w:pStyle w:val="Quote1"/>
        <w:keepNext/>
        <w:keepLines/>
        <w:rPr>
          <w:i/>
        </w:rPr>
      </w:pPr>
      <w:r w:rsidRPr="00A67B11">
        <w:rPr>
          <w:i/>
        </w:rPr>
        <w:t>Determining amount of pecuniary penalty</w:t>
      </w:r>
    </w:p>
    <w:p w14:paraId="2B14AC62" w14:textId="77777777" w:rsidR="00A67B11" w:rsidRDefault="00A67B11" w:rsidP="00A67B11">
      <w:pPr>
        <w:pStyle w:val="Quote1"/>
        <w:keepNext/>
        <w:keepLines/>
      </w:pPr>
      <w:r>
        <w:t>(2)</w:t>
      </w:r>
      <w:r>
        <w:tab/>
        <w:t>The pecuniary penalty must not be more than:</w:t>
      </w:r>
    </w:p>
    <w:p w14:paraId="2B14AC63" w14:textId="77777777" w:rsidR="00A67B11" w:rsidRDefault="00A67B11" w:rsidP="00A67B11">
      <w:pPr>
        <w:pStyle w:val="Quote2"/>
        <w:ind w:left="2160" w:hanging="720"/>
      </w:pPr>
      <w:r>
        <w:t>(a)</w:t>
      </w:r>
      <w:r>
        <w:tab/>
        <w:t>if the person is an individual—the maximum number of penalty units referred to in the relevant item in column 4 of the table in subsection 539(2); or</w:t>
      </w:r>
    </w:p>
    <w:p w14:paraId="2B14AC64" w14:textId="77777777" w:rsidR="00722412" w:rsidRDefault="00A67B11" w:rsidP="00A67B11">
      <w:pPr>
        <w:pStyle w:val="Quote2"/>
        <w:ind w:left="2160" w:hanging="720"/>
      </w:pPr>
      <w:r>
        <w:t>(b)</w:t>
      </w:r>
      <w:r>
        <w:tab/>
        <w:t>if the person is a body corporate—5 times the maximum number of penalty units referred to in the relevant item in column 4 of the table in subsection 539(2).</w:t>
      </w:r>
    </w:p>
    <w:p w14:paraId="2B14AC65" w14:textId="77777777" w:rsidR="00122DFC" w:rsidRDefault="00122DFC" w:rsidP="00A67B11">
      <w:pPr>
        <w:pStyle w:val="Quote2"/>
        <w:ind w:left="2160" w:hanging="720"/>
      </w:pPr>
      <w:r>
        <w:t>…</w:t>
      </w:r>
    </w:p>
    <w:p w14:paraId="2B14AC66" w14:textId="77777777" w:rsidR="001460D2" w:rsidRDefault="00F022E9" w:rsidP="00722412">
      <w:pPr>
        <w:pStyle w:val="ParaNumbering"/>
      </w:pPr>
      <w:r>
        <w:t>Section 546</w:t>
      </w:r>
      <w:r w:rsidR="001460D2">
        <w:t xml:space="preserve">(1) provides the </w:t>
      </w:r>
      <w:r w:rsidR="00A67B11">
        <w:t xml:space="preserve">Court </w:t>
      </w:r>
      <w:r w:rsidR="001460D2">
        <w:t xml:space="preserve">with a discretion both as to whether to impose any penalty and as to the amount of any penalty imposed.  </w:t>
      </w:r>
    </w:p>
    <w:p w14:paraId="2B14AC67" w14:textId="77777777" w:rsidR="00722412" w:rsidRDefault="001460D2" w:rsidP="001460D2">
      <w:pPr>
        <w:pStyle w:val="ParaNumbering"/>
      </w:pPr>
      <w:r>
        <w:t xml:space="preserve">In </w:t>
      </w:r>
      <w:r w:rsidRPr="00722412">
        <w:rPr>
          <w:i/>
        </w:rPr>
        <w:t>Australian Building and Construction Commission v Construction, Forestry, Mining and Energy Union</w:t>
      </w:r>
      <w:r w:rsidR="00122DFC">
        <w:t xml:space="preserve"> (</w:t>
      </w:r>
      <w:r>
        <w:t>2017</w:t>
      </w:r>
      <w:r w:rsidR="00122DFC">
        <w:t>)</w:t>
      </w:r>
      <w:r>
        <w:t xml:space="preserve"> 254 FCR 68, the Full Court considered the factors that may be relevant to the exercise of discretion under </w:t>
      </w:r>
      <w:r w:rsidR="00F022E9">
        <w:t>s </w:t>
      </w:r>
      <w:r>
        <w:t xml:space="preserve">546(1).  The Full Court </w:t>
      </w:r>
      <w:r w:rsidR="00CB5D03">
        <w:t xml:space="preserve">at </w:t>
      </w:r>
      <w:r w:rsidR="0081611A">
        <w:t xml:space="preserve">[102] </w:t>
      </w:r>
      <w:r>
        <w:t>categorised the factors based on</w:t>
      </w:r>
      <w:r w:rsidR="00122DFC">
        <w:t>,</w:t>
      </w:r>
      <w:r>
        <w:t xml:space="preserve"> </w:t>
      </w:r>
      <w:r w:rsidR="00122DFC">
        <w:t>“</w:t>
      </w:r>
      <w:r>
        <w:t>whether they relate to the objective nature and seriousness of the offending conduct</w:t>
      </w:r>
      <w:r w:rsidR="00122DFC">
        <w:t>,</w:t>
      </w:r>
      <w:r>
        <w:t xml:space="preserve"> or concern the particular circumstances of the defendant in question</w:t>
      </w:r>
      <w:r w:rsidR="00122DFC">
        <w:t>”</w:t>
      </w:r>
      <w:r>
        <w:t>.  The Full Court continued</w:t>
      </w:r>
      <w:r w:rsidR="00722412">
        <w:t>:</w:t>
      </w:r>
    </w:p>
    <w:p w14:paraId="2B14AC68" w14:textId="77777777" w:rsidR="00531963" w:rsidRDefault="00122DFC" w:rsidP="00531963">
      <w:pPr>
        <w:pStyle w:val="Quote1"/>
        <w:ind w:left="1440" w:hanging="703"/>
      </w:pPr>
      <w:r>
        <w:t>[</w:t>
      </w:r>
      <w:r w:rsidR="00531963">
        <w:t>103</w:t>
      </w:r>
      <w:r>
        <w:t>]</w:t>
      </w:r>
      <w:r w:rsidR="00531963">
        <w:tab/>
        <w:t>The factors relating to the objective seriousness of the contravention include: the extent to which the contravention was the result of deliberate, covert or reckless conduct, as opposed to negligence or carelessness; whether the contravention comprised isolated conduct, or was systematic or occurred over a period of time; if the defendant is a corporation, the seniority of the officers responsible for the contravention; the existence, within the corporation, of compliance systems and whether there was a culture of compliance at the corporation; the impact or consequences of the contravention on the market or innocent third parties; and the extent of any profit or benefit derived as a result of the contravention.</w:t>
      </w:r>
    </w:p>
    <w:p w14:paraId="2B14AC69" w14:textId="77777777" w:rsidR="00531963" w:rsidRDefault="00122DFC" w:rsidP="00531963">
      <w:pPr>
        <w:pStyle w:val="Quote1"/>
        <w:ind w:left="1440" w:hanging="703"/>
      </w:pPr>
      <w:r>
        <w:t>[</w:t>
      </w:r>
      <w:r w:rsidR="00531963">
        <w:t>104</w:t>
      </w:r>
      <w:r>
        <w:t>]</w:t>
      </w:r>
      <w:r w:rsidR="00531963">
        <w:tab/>
        <w:t>The factors that concern the particular circumstances of the defendant, particularly where the defendant is a corporation, generally include: the size and financial position of the contravening company; whether the company has been found to have engaged in similar conduct in the past; whether the company has improved or modified its compliance systems since the contravention; whether the company (through its senior officers) has demonstrated contrition and remorse; whether the company had disgorged any profit or benefit received as a result of the contravention, or made reparation; whether the company has cooperated with and assisted the relevant regulatory authority in the investigation and prosecution of the contravention; and whether the company has suffered any extra-curial punishment or detriment arising from the finding that it had contravened the law.</w:t>
      </w:r>
    </w:p>
    <w:p w14:paraId="2B14AC6A" w14:textId="77777777" w:rsidR="001460D2" w:rsidRDefault="001460D2" w:rsidP="001460D2">
      <w:pPr>
        <w:pStyle w:val="ParaNumbering"/>
      </w:pPr>
      <w:r>
        <w:t xml:space="preserve">While such </w:t>
      </w:r>
      <w:r w:rsidR="00122DFC">
        <w:t>“</w:t>
      </w:r>
      <w:r>
        <w:t>checklists</w:t>
      </w:r>
      <w:r w:rsidR="00122DFC">
        <w:t>”</w:t>
      </w:r>
      <w:r>
        <w:t xml:space="preserve"> of factors may be useful, they must not become a </w:t>
      </w:r>
      <w:r w:rsidR="00122DFC">
        <w:t>“</w:t>
      </w:r>
      <w:r>
        <w:t>rigid catalogue of matters for attention</w:t>
      </w:r>
      <w:r w:rsidR="00122DFC">
        <w:t xml:space="preserve">”:  </w:t>
      </w:r>
      <w:r w:rsidR="00122DFC">
        <w:rPr>
          <w:i/>
        </w:rPr>
        <w:t xml:space="preserve">Australian </w:t>
      </w:r>
      <w:r w:rsidR="00186E76">
        <w:rPr>
          <w:i/>
        </w:rPr>
        <w:t>Ophthalmic</w:t>
      </w:r>
      <w:r w:rsidR="00122DFC">
        <w:rPr>
          <w:i/>
        </w:rPr>
        <w:t xml:space="preserve"> Supplies Pty Ltd v McAlary-Smith </w:t>
      </w:r>
      <w:r w:rsidR="00122DFC">
        <w:t xml:space="preserve">(2008) 165 </w:t>
      </w:r>
      <w:r w:rsidR="00122DFC">
        <w:lastRenderedPageBreak/>
        <w:t>FCR 560 at [91]</w:t>
      </w:r>
      <w:r>
        <w:t xml:space="preserve">.  Rather, the task of the </w:t>
      </w:r>
      <w:r w:rsidR="00531963">
        <w:t>Court</w:t>
      </w:r>
      <w:r>
        <w:t xml:space="preserve">, when assessing penalty, is one of </w:t>
      </w:r>
      <w:r w:rsidR="00122DFC">
        <w:t>“</w:t>
      </w:r>
      <w:r>
        <w:t>instinctive synthesis</w:t>
      </w:r>
      <w:r w:rsidR="00122DFC">
        <w:t>”</w:t>
      </w:r>
      <w:r w:rsidR="00621EC1">
        <w:t>,</w:t>
      </w:r>
      <w:r>
        <w:t xml:space="preserve"> involving </w:t>
      </w:r>
      <w:r w:rsidR="00621EC1">
        <w:t>the “</w:t>
      </w:r>
      <w:r>
        <w:t>identification and balancing of all the considerations relevant to the contravention and the circumstances of the respondent</w:t>
      </w:r>
      <w:r w:rsidR="00621EC1">
        <w:t xml:space="preserve">”: </w:t>
      </w:r>
      <w:r w:rsidR="00621EC1">
        <w:rPr>
          <w:i/>
        </w:rPr>
        <w:t>Australian Building and Construction Commissioner v Construction, Forestry, Maritime, Mining and Energy Union</w:t>
      </w:r>
      <w:r w:rsidR="00621EC1">
        <w:t xml:space="preserve"> </w:t>
      </w:r>
      <w:r w:rsidR="00621EC1" w:rsidRPr="00621EC1">
        <w:rPr>
          <w:i/>
        </w:rPr>
        <w:t>(“Cardigan St Case”</w:t>
      </w:r>
      <w:r w:rsidR="00621EC1">
        <w:t xml:space="preserve"> [2018] FCA 957 at [51]</w:t>
      </w:r>
      <w:r>
        <w:t xml:space="preserve">.  Ultimately, the </w:t>
      </w:r>
      <w:r w:rsidR="00531963">
        <w:t xml:space="preserve">Court </w:t>
      </w:r>
      <w:r>
        <w:t xml:space="preserve">must </w:t>
      </w:r>
      <w:r w:rsidR="00816CA5">
        <w:t>“</w:t>
      </w:r>
      <w:r>
        <w:t>ensure that any penalty which is imposed is proportionate to the gravity of the contravening conduct</w:t>
      </w:r>
      <w:r w:rsidR="00816CA5">
        <w:t xml:space="preserve">”:  </w:t>
      </w:r>
      <w:r w:rsidR="00816CA5">
        <w:rPr>
          <w:i/>
        </w:rPr>
        <w:t>Director of the Fair Work Building Inspectorate v Construction, Forestry, Mining and Energy Union</w:t>
      </w:r>
      <w:r w:rsidR="00816CA5">
        <w:t xml:space="preserve"> [2015] FCA 353 at [66]</w:t>
      </w:r>
      <w:r>
        <w:t>.</w:t>
      </w:r>
    </w:p>
    <w:p w14:paraId="2B14AC6B" w14:textId="77777777" w:rsidR="001460D2" w:rsidRDefault="001460D2" w:rsidP="001460D2">
      <w:pPr>
        <w:pStyle w:val="ParaNumbering"/>
      </w:pPr>
      <w:r>
        <w:t>The principal object of an order to pay a pecun</w:t>
      </w:r>
      <w:r w:rsidR="00531963">
        <w:t>iary penalty under s 546</w:t>
      </w:r>
      <w:r>
        <w:t>(1) of the FW</w:t>
      </w:r>
      <w:r w:rsidR="00282D5B">
        <w:t xml:space="preserve"> </w:t>
      </w:r>
      <w:r>
        <w:t>A</w:t>
      </w:r>
      <w:r w:rsidR="00282D5B">
        <w:t>ct</w:t>
      </w:r>
      <w:r>
        <w:t xml:space="preserve"> was described by the High Court in </w:t>
      </w:r>
      <w:r w:rsidRPr="00531963">
        <w:rPr>
          <w:i/>
        </w:rPr>
        <w:t>Australian Building and Construction Commissioner v Construction, Forestry, Mining and Energy Union</w:t>
      </w:r>
      <w:r w:rsidR="00282D5B">
        <w:t xml:space="preserve"> (</w:t>
      </w:r>
      <w:r>
        <w:t>2018</w:t>
      </w:r>
      <w:r w:rsidR="00282D5B">
        <w:t>)</w:t>
      </w:r>
      <w:r>
        <w:t xml:space="preserve"> 262 CLR 157 at </w:t>
      </w:r>
      <w:r w:rsidR="00282D5B">
        <w:t>[</w:t>
      </w:r>
      <w:r>
        <w:t>116</w:t>
      </w:r>
      <w:r w:rsidR="00282D5B">
        <w:t>]</w:t>
      </w:r>
      <w:r>
        <w:t xml:space="preserve"> as:</w:t>
      </w:r>
    </w:p>
    <w:p w14:paraId="2B14AC6C" w14:textId="77777777" w:rsidR="001460D2" w:rsidRDefault="00531963" w:rsidP="001460D2">
      <w:pPr>
        <w:pStyle w:val="Quote1"/>
      </w:pPr>
      <w:r>
        <w:t>…</w:t>
      </w:r>
      <w:r w:rsidRPr="00531963">
        <w:t>deterrence:  specific deterrence of the contravener and, by his or her example, general deterrence of other would-be contraveners.</w:t>
      </w:r>
    </w:p>
    <w:p w14:paraId="2B14AC6D" w14:textId="77777777" w:rsidR="001460D2" w:rsidRDefault="001460D2" w:rsidP="001460D2">
      <w:pPr>
        <w:pStyle w:val="ParaNumbering"/>
      </w:pPr>
      <w:r>
        <w:t>At the time of the contraventions, the maximum penalty for a single contravention was $33,000 for a body corporate and $6</w:t>
      </w:r>
      <w:r w:rsidR="00A71AE5">
        <w:t>,</w:t>
      </w:r>
      <w:r>
        <w:t>600 for an individual.  The maximum penalty is reserved for the most serious contraventions</w:t>
      </w:r>
      <w:r w:rsidR="0081611A">
        <w:t xml:space="preserve">: </w:t>
      </w:r>
      <w:r w:rsidR="0081611A">
        <w:rPr>
          <w:i/>
        </w:rPr>
        <w:t xml:space="preserve">Parker v Australian Building and Construction Commissioner </w:t>
      </w:r>
      <w:r w:rsidR="0081611A">
        <w:t>(2019) 286 IR 116 at [342]</w:t>
      </w:r>
      <w:r>
        <w:t>.  Although I consider the contraventions in this case to be serious, they are not in that category.</w:t>
      </w:r>
    </w:p>
    <w:p w14:paraId="2B14AC6E" w14:textId="77777777" w:rsidR="001460D2" w:rsidRDefault="001460D2" w:rsidP="001460D2">
      <w:pPr>
        <w:pStyle w:val="ParaNumbering"/>
      </w:pPr>
      <w:r>
        <w:t xml:space="preserve">I will commence with some general matters which apply in respect of each of the contraventions.  The </w:t>
      </w:r>
      <w:r w:rsidR="00A71AE5">
        <w:t xml:space="preserve">University </w:t>
      </w:r>
      <w:r>
        <w:t xml:space="preserve">is a large and well-resourced organisation.  There is no evidence of any previous contraventions of the </w:t>
      </w:r>
      <w:r w:rsidR="00A71AE5">
        <w:t>FW</w:t>
      </w:r>
      <w:r w:rsidR="00282D5B">
        <w:t xml:space="preserve"> </w:t>
      </w:r>
      <w:r w:rsidR="00A71AE5">
        <w:t>A</w:t>
      </w:r>
      <w:r w:rsidR="00282D5B">
        <w:t>ct</w:t>
      </w:r>
      <w:r w:rsidR="00A71AE5">
        <w:t xml:space="preserve"> </w:t>
      </w:r>
      <w:r>
        <w:t xml:space="preserve">by the </w:t>
      </w:r>
      <w:r w:rsidR="00A71AE5">
        <w:t>University</w:t>
      </w:r>
      <w:r>
        <w:t>.  There is some, although limited, evidence of contrition, or at least attempts to resolve the disputes</w:t>
      </w:r>
      <w:r w:rsidR="00CB5D03">
        <w:t>,</w:t>
      </w:r>
      <w:r>
        <w:t xml:space="preserve"> by the </w:t>
      </w:r>
      <w:r w:rsidR="00A71AE5">
        <w:t>University</w:t>
      </w:r>
      <w:r>
        <w:t xml:space="preserve">.  In particular, I note that the </w:t>
      </w:r>
      <w:r w:rsidR="00126B24">
        <w:t xml:space="preserve">University </w:t>
      </w:r>
      <w:r>
        <w:t xml:space="preserve">has agreed to waive </w:t>
      </w:r>
      <w:r w:rsidR="00FA1CD5">
        <w:t xml:space="preserve">a </w:t>
      </w:r>
      <w:r>
        <w:t>costs order made in its favour against</w:t>
      </w:r>
      <w:r w:rsidR="00F022E9">
        <w:t xml:space="preserve"> Dr </w:t>
      </w:r>
      <w:r>
        <w:t xml:space="preserve">Lamont in the Federal Circuit Court, and I consider this to be indicative of some contrition.  On the other hand, I would have accepted that there was a significantly greater degree of contrition had the </w:t>
      </w:r>
      <w:r w:rsidR="00281706">
        <w:t xml:space="preserve">University </w:t>
      </w:r>
      <w:r>
        <w:t>admitted the contraventions instead of taking them to a contested trial.</w:t>
      </w:r>
    </w:p>
    <w:p w14:paraId="2B14AC6F" w14:textId="77777777" w:rsidR="00CB5D03" w:rsidRDefault="001460D2" w:rsidP="001460D2">
      <w:pPr>
        <w:pStyle w:val="ParaNumbering"/>
      </w:pPr>
      <w:r>
        <w:t>Each of the contraventions made some, although limited, contribution to</w:t>
      </w:r>
      <w:r w:rsidR="00F022E9">
        <w:t xml:space="preserve"> Dr </w:t>
      </w:r>
      <w:r>
        <w:t>Lamont</w:t>
      </w:r>
      <w:r w:rsidR="008867FB">
        <w:t>’</w:t>
      </w:r>
      <w:r>
        <w:t>s psychiatric condition.  That has already been reflected in the award of compensation that I have made in favour of</w:t>
      </w:r>
      <w:r w:rsidR="00F022E9">
        <w:t xml:space="preserve"> Dr </w:t>
      </w:r>
      <w:r>
        <w:t>Lamont</w:t>
      </w:r>
      <w:r w:rsidR="00FA1CD5">
        <w:t>, but that consequence assists to demonstrate the seriousness of the contraventing conduct</w:t>
      </w:r>
      <w:r>
        <w:t xml:space="preserve">.  </w:t>
      </w:r>
    </w:p>
    <w:p w14:paraId="2B14AC70" w14:textId="77777777" w:rsidR="001460D2" w:rsidRDefault="001460D2" w:rsidP="001460D2">
      <w:pPr>
        <w:pStyle w:val="ParaNumbering"/>
      </w:pPr>
      <w:r>
        <w:lastRenderedPageBreak/>
        <w:t xml:space="preserve">The first contravention was a serious example of adverse action.  It involved </w:t>
      </w:r>
      <w:r w:rsidR="00D62009">
        <w:t>Prof</w:t>
      </w:r>
      <w:r>
        <w:t xml:space="preserve"> Moore deliberately breaching the confidentiality of a complaint made against him by</w:t>
      </w:r>
      <w:r w:rsidR="00F022E9">
        <w:t xml:space="preserve"> Dr </w:t>
      </w:r>
      <w:r>
        <w:t>Lamont</w:t>
      </w:r>
      <w:r w:rsidR="00CB5D03">
        <w:t>.</w:t>
      </w:r>
      <w:r>
        <w:t xml:space="preserve"> </w:t>
      </w:r>
      <w:r w:rsidR="00CB5D03">
        <w:t>However</w:t>
      </w:r>
      <w:r>
        <w:t>, it is necessary to consider the context in which that contravention occurred.  In his complaint,</w:t>
      </w:r>
      <w:r w:rsidR="00F022E9">
        <w:t xml:space="preserve"> Dr </w:t>
      </w:r>
      <w:r>
        <w:t xml:space="preserve">Lamont had implied that </w:t>
      </w:r>
      <w:r w:rsidR="00D62009">
        <w:t>Prof</w:t>
      </w:r>
      <w:r>
        <w:t xml:space="preserve"> Moore</w:t>
      </w:r>
      <w:r w:rsidR="008867FB">
        <w:t>’</w:t>
      </w:r>
      <w:r>
        <w:t xml:space="preserve">s conduct had contributed to the suicide of another staff member.  There was no reasonable basis for such an implication.  </w:t>
      </w:r>
      <w:r w:rsidR="00D62009">
        <w:t>Prof</w:t>
      </w:r>
      <w:r>
        <w:t xml:space="preserve"> Moore was understandably shocked, angry and outraged about that implication.  That does not excuse the contravention</w:t>
      </w:r>
      <w:r w:rsidR="00FE59AC">
        <w:t>,</w:t>
      </w:r>
      <w:r>
        <w:t xml:space="preserve"> but does assist to explain it.  </w:t>
      </w:r>
    </w:p>
    <w:p w14:paraId="2B14AC71" w14:textId="77777777" w:rsidR="001460D2" w:rsidRDefault="001460D2" w:rsidP="001460D2">
      <w:pPr>
        <w:pStyle w:val="ParaNumbering"/>
      </w:pPr>
      <w:r>
        <w:t xml:space="preserve">It is appropriate to impose a significant penalty upon the </w:t>
      </w:r>
      <w:r w:rsidR="00281706">
        <w:t xml:space="preserve">University </w:t>
      </w:r>
      <w:r>
        <w:t xml:space="preserve">for the first contravention.  The processes that it had for dealing with complaints at that time were clearly inadequate.  One of the inadequacies was the absence of a warning and reinforcement to </w:t>
      </w:r>
      <w:r w:rsidR="00D62009">
        <w:t>Prof</w:t>
      </w:r>
      <w:r>
        <w:t xml:space="preserve"> Moore that the complaint was to be kept confidential.  I accept, however, that some attempts were made to delegate some of </w:t>
      </w:r>
      <w:r w:rsidR="00D62009">
        <w:t>Prof</w:t>
      </w:r>
      <w:r>
        <w:t xml:space="preserve"> Moore</w:t>
      </w:r>
      <w:r w:rsidR="008867FB">
        <w:t>’</w:t>
      </w:r>
      <w:r>
        <w:t>s supervisory functions over</w:t>
      </w:r>
      <w:r w:rsidR="00F022E9">
        <w:t xml:space="preserve"> Dr </w:t>
      </w:r>
      <w:r>
        <w:t>Lamont following the contravention.  I consider that it is appropriate to impose a penalty of $9</w:t>
      </w:r>
      <w:r w:rsidR="00281706">
        <w:t>,</w:t>
      </w:r>
      <w:r>
        <w:t xml:space="preserve">000 upon the </w:t>
      </w:r>
      <w:r w:rsidR="00F9632C">
        <w:t xml:space="preserve">University </w:t>
      </w:r>
      <w:r>
        <w:t>in respect of the first contravention.</w:t>
      </w:r>
    </w:p>
    <w:p w14:paraId="2B14AC72" w14:textId="77777777" w:rsidR="001460D2" w:rsidRDefault="00D62009" w:rsidP="001460D2">
      <w:pPr>
        <w:pStyle w:val="ParaNumbering"/>
      </w:pPr>
      <w:r>
        <w:t>Prof</w:t>
      </w:r>
      <w:r w:rsidR="001460D2">
        <w:t xml:space="preserve"> Moore retired from the </w:t>
      </w:r>
      <w:r w:rsidR="00F9632C">
        <w:t xml:space="preserve">University </w:t>
      </w:r>
      <w:r w:rsidR="001460D2">
        <w:t xml:space="preserve">in 2013.  There is no need for specific deterrence of his conduct.  He will, no doubt, have experienced embarrassment as a result of the </w:t>
      </w:r>
      <w:r w:rsidR="00FE59AC">
        <w:t xml:space="preserve">public </w:t>
      </w:r>
      <w:r w:rsidR="001460D2">
        <w:t xml:space="preserve">finding of contravention that has been made, and I consider that is enough.  In view of the circumstances of the contravention and the fact that his employment with the </w:t>
      </w:r>
      <w:r w:rsidR="00F9632C">
        <w:t xml:space="preserve">University </w:t>
      </w:r>
      <w:r w:rsidR="001460D2">
        <w:t xml:space="preserve">ended some seven years ago, I do not think that it is necessary or appropriate to impose a penalty upon </w:t>
      </w:r>
      <w:r>
        <w:t>Prof</w:t>
      </w:r>
      <w:r w:rsidR="001460D2">
        <w:t xml:space="preserve"> Moore.</w:t>
      </w:r>
    </w:p>
    <w:p w14:paraId="2B14AC73" w14:textId="77777777" w:rsidR="00FE59AC" w:rsidRDefault="001460D2" w:rsidP="00F46BF9">
      <w:pPr>
        <w:pStyle w:val="ParaNumbering"/>
      </w:pPr>
      <w:r>
        <w:t xml:space="preserve">The second contravention of </w:t>
      </w:r>
      <w:r w:rsidR="00F9632C">
        <w:t>s </w:t>
      </w:r>
      <w:r>
        <w:t>340</w:t>
      </w:r>
      <w:r w:rsidR="008721B9">
        <w:t>(1)</w:t>
      </w:r>
      <w:r>
        <w:t xml:space="preserve"> of the </w:t>
      </w:r>
      <w:r w:rsidR="00F9632C">
        <w:t>FW</w:t>
      </w:r>
      <w:r w:rsidR="008721B9">
        <w:t xml:space="preserve"> </w:t>
      </w:r>
      <w:r w:rsidR="00F9632C">
        <w:t>A</w:t>
      </w:r>
      <w:r w:rsidR="008721B9">
        <w:t>ct</w:t>
      </w:r>
      <w:r w:rsidR="00F9632C">
        <w:t xml:space="preserve"> </w:t>
      </w:r>
      <w:r>
        <w:t xml:space="preserve">was a threat by </w:t>
      </w:r>
      <w:r w:rsidR="00D62009">
        <w:t>Prof</w:t>
      </w:r>
      <w:r>
        <w:t xml:space="preserve"> Fotheringham to initiate an investigation into</w:t>
      </w:r>
      <w:r w:rsidR="00F022E9">
        <w:t xml:space="preserve"> Dr </w:t>
      </w:r>
      <w:r>
        <w:t>Lamont</w:t>
      </w:r>
      <w:r w:rsidR="008867FB">
        <w:t>’</w:t>
      </w:r>
      <w:r>
        <w:t>s conduct.  I consider this to be a serious breach.  The threat was calculated to intimidate</w:t>
      </w:r>
      <w:r w:rsidR="00F022E9">
        <w:t xml:space="preserve"> Dr </w:t>
      </w:r>
      <w:r>
        <w:t xml:space="preserve">Lamont into complying with </w:t>
      </w:r>
      <w:r w:rsidR="00D62009">
        <w:t>Prof</w:t>
      </w:r>
      <w:r>
        <w:t xml:space="preserve"> Fotheringham</w:t>
      </w:r>
      <w:r w:rsidR="008867FB">
        <w:t>’</w:t>
      </w:r>
      <w:r>
        <w:t>s demand to respond to correspondence.  The threat was unjustified.  It was not withdrawn, although it was not acted upon.</w:t>
      </w:r>
      <w:r w:rsidR="009C387A">
        <w:t xml:space="preserve">  </w:t>
      </w:r>
      <w:r>
        <w:t xml:space="preserve">The conduct was serious because it involved a threat </w:t>
      </w:r>
      <w:r w:rsidR="00FE59AC">
        <w:t xml:space="preserve">to take action </w:t>
      </w:r>
      <w:r>
        <w:t>that could have led to disciplinary action being taken against</w:t>
      </w:r>
      <w:r w:rsidR="00F022E9">
        <w:t xml:space="preserve"> Dr </w:t>
      </w:r>
      <w:r>
        <w:t>Lamont in circumstances where it was</w:t>
      </w:r>
      <w:r w:rsidR="00F022E9">
        <w:t xml:space="preserve"> Dr </w:t>
      </w:r>
      <w:r>
        <w:t xml:space="preserve">Lamont who had made complaints of harassment and bullying against another staff member.  I consider that general and specific deterrence requires the imposition of a penalty of $12,000 </w:t>
      </w:r>
      <w:r w:rsidR="00FE59AC">
        <w:t xml:space="preserve">upon the University </w:t>
      </w:r>
      <w:r>
        <w:t xml:space="preserve">for this contravention.  </w:t>
      </w:r>
    </w:p>
    <w:p w14:paraId="2B14AC74" w14:textId="77777777" w:rsidR="001460D2" w:rsidRDefault="00D62009" w:rsidP="001460D2">
      <w:pPr>
        <w:pStyle w:val="ParaNumbering"/>
      </w:pPr>
      <w:r>
        <w:t>Prof</w:t>
      </w:r>
      <w:r w:rsidR="001460D2">
        <w:t xml:space="preserve"> Fotheringham retired from the </w:t>
      </w:r>
      <w:r w:rsidR="001323A9">
        <w:t xml:space="preserve">University </w:t>
      </w:r>
      <w:r w:rsidR="008721B9">
        <w:t>in 2011</w:t>
      </w:r>
      <w:r w:rsidR="001460D2">
        <w:t xml:space="preserve">.  Again, the embarrassment he will have experienced by having the </w:t>
      </w:r>
      <w:r w:rsidR="00FE59AC">
        <w:t xml:space="preserve">public </w:t>
      </w:r>
      <w:r w:rsidR="001460D2">
        <w:t xml:space="preserve">finding of contravention made against him is enough.  There </w:t>
      </w:r>
      <w:r w:rsidR="001460D2">
        <w:lastRenderedPageBreak/>
        <w:t xml:space="preserve">is no need for specific deterrence.  I do not propose to impose a penalty upon </w:t>
      </w:r>
      <w:r>
        <w:t>Prof</w:t>
      </w:r>
      <w:r w:rsidR="001460D2">
        <w:t xml:space="preserve"> Fotheringham.</w:t>
      </w:r>
    </w:p>
    <w:p w14:paraId="2B14AC75" w14:textId="77777777" w:rsidR="00FA057C" w:rsidRDefault="001460D2" w:rsidP="001460D2">
      <w:pPr>
        <w:pStyle w:val="ParaNumbering"/>
      </w:pPr>
      <w:r>
        <w:t xml:space="preserve">The third, fourth and fifth contraventions arose from essentially the same or similar conduct.  They involved dealings by </w:t>
      </w:r>
      <w:r w:rsidR="00D62009">
        <w:t>Prof</w:t>
      </w:r>
      <w:r>
        <w:t xml:space="preserve"> Keniger with </w:t>
      </w:r>
      <w:r w:rsidR="001323A9">
        <w:t xml:space="preserve">the </w:t>
      </w:r>
      <w:r>
        <w:t xml:space="preserve">Byrom Report, which contained findings that were adverse to the </w:t>
      </w:r>
      <w:r w:rsidR="001323A9">
        <w:t xml:space="preserve">University </w:t>
      </w:r>
      <w:r>
        <w:t xml:space="preserve">and some staff members.  The contraventions arose in a single course of conduct, and I consider that it would risk excessive punishment to impose a separate penalty in </w:t>
      </w:r>
      <w:r w:rsidR="001323A9">
        <w:t>respect of each contravention</w:t>
      </w:r>
      <w:r w:rsidR="008721B9">
        <w:t>.</w:t>
      </w:r>
      <w:r w:rsidR="001323A9">
        <w:t xml:space="preserve"> </w:t>
      </w:r>
    </w:p>
    <w:p w14:paraId="2B14AC76" w14:textId="77777777" w:rsidR="001460D2" w:rsidRDefault="008721B9" w:rsidP="00D201F7">
      <w:pPr>
        <w:pStyle w:val="ParaNumbering"/>
      </w:pPr>
      <w:r>
        <w:t>However</w:t>
      </w:r>
      <w:r w:rsidR="001460D2">
        <w:t xml:space="preserve">, I regard the conduct involved in the third, fourth and fifth contraventions as very serious.  To withhold an investigative report commissioned by the </w:t>
      </w:r>
      <w:r w:rsidR="001323A9">
        <w:t xml:space="preserve">University </w:t>
      </w:r>
      <w:r w:rsidR="001460D2">
        <w:t>under the Staff Grievance Resolution Policy was a gross breach of the trust that</w:t>
      </w:r>
      <w:r w:rsidR="00F022E9">
        <w:t xml:space="preserve"> Dr </w:t>
      </w:r>
      <w:r w:rsidR="001460D2">
        <w:t xml:space="preserve">Lamont was entitled to have in </w:t>
      </w:r>
      <w:r w:rsidR="00FA057C">
        <w:t>his employer</w:t>
      </w:r>
      <w:r w:rsidR="001460D2">
        <w:t xml:space="preserve">.  It may be noted that the present litigation, or at least a substantial part of it, may have been avoided if the </w:t>
      </w:r>
      <w:r w:rsidR="000827C8">
        <w:t xml:space="preserve">University </w:t>
      </w:r>
      <w:r w:rsidR="001460D2">
        <w:t xml:space="preserve">had acted as it was required to do under the </w:t>
      </w:r>
      <w:r>
        <w:t>Policy</w:t>
      </w:r>
      <w:r w:rsidR="001460D2">
        <w:t xml:space="preserve">.  I consider it appropriate to impose a single penalty of $16,000 </w:t>
      </w:r>
      <w:r w:rsidR="00FA057C">
        <w:t xml:space="preserve">upon the University </w:t>
      </w:r>
      <w:r w:rsidR="001460D2">
        <w:t>in respect of the third, fourth and fifth contraventions.</w:t>
      </w:r>
    </w:p>
    <w:p w14:paraId="2B14AC77" w14:textId="77777777" w:rsidR="00FA057C" w:rsidRDefault="001460D2" w:rsidP="00696030">
      <w:pPr>
        <w:pStyle w:val="ParaNumbering"/>
      </w:pPr>
      <w:r>
        <w:t>It is necessary</w:t>
      </w:r>
      <w:r w:rsidR="00FA057C">
        <w:t>,</w:t>
      </w:r>
      <w:r>
        <w:t xml:space="preserve"> under the totality principle</w:t>
      </w:r>
      <w:r w:rsidR="00FA057C">
        <w:t>,</w:t>
      </w:r>
      <w:r>
        <w:t xml:space="preserve"> to examine the aggregate of the penalties that are proposed and to consider whether </w:t>
      </w:r>
      <w:r w:rsidR="009C387A">
        <w:t xml:space="preserve">it is </w:t>
      </w:r>
      <w:r>
        <w:t>excessive</w:t>
      </w:r>
      <w:r w:rsidR="00696030">
        <w:t>:</w:t>
      </w:r>
      <w:r w:rsidR="0081611A">
        <w:t xml:space="preserve"> </w:t>
      </w:r>
      <w:r w:rsidR="0081611A">
        <w:rPr>
          <w:i/>
        </w:rPr>
        <w:t>Australian Ophthalmic Supplies</w:t>
      </w:r>
      <w:r w:rsidR="0081611A">
        <w:t xml:space="preserve"> at [23], [71] and [94]</w:t>
      </w:r>
      <w:r>
        <w:t xml:space="preserve">.  I do not consider that </w:t>
      </w:r>
      <w:r w:rsidR="009C387A">
        <w:t xml:space="preserve">the aggregate </w:t>
      </w:r>
      <w:r>
        <w:t xml:space="preserve">is excessive.  </w:t>
      </w:r>
    </w:p>
    <w:p w14:paraId="2B14AC78" w14:textId="77777777" w:rsidR="001460D2" w:rsidRDefault="001460D2" w:rsidP="00696030">
      <w:pPr>
        <w:pStyle w:val="ParaNumbering"/>
      </w:pPr>
      <w:r>
        <w:t>Accordingly, I will impose penalties of $9</w:t>
      </w:r>
      <w:r w:rsidR="001323A9">
        <w:t>,</w:t>
      </w:r>
      <w:r>
        <w:t>000 in respect of the first contravention, $12,000 in respect of t</w:t>
      </w:r>
      <w:r w:rsidR="00696030">
        <w:t>he second contravention, and $16</w:t>
      </w:r>
      <w:r>
        <w:t>,000 in respect of the third, fourth and fifth contraventions</w:t>
      </w:r>
      <w:r w:rsidR="00FA057C">
        <w:t xml:space="preserve"> upon the University</w:t>
      </w:r>
      <w:r>
        <w:t>.  In accordance with the usual practice, it is appropriate that the pecuniary penalties be paid to the applicant.</w:t>
      </w:r>
    </w:p>
    <w:p w14:paraId="2B14AC79" w14:textId="77777777" w:rsidR="009D69BC" w:rsidRDefault="009D69BC" w:rsidP="009D69BC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EB4EFC" w:rsidRPr="00EB4EFC" w14:paraId="2B14AC7B" w14:textId="77777777">
        <w:tc>
          <w:tcPr>
            <w:tcW w:w="3794" w:type="dxa"/>
            <w:shd w:val="clear" w:color="auto" w:fill="auto"/>
          </w:tcPr>
          <w:p w14:paraId="2B14AC7A" w14:textId="77777777" w:rsidR="00EB4EFC" w:rsidRPr="00EB4EFC" w:rsidRDefault="00EB4EFC" w:rsidP="00EB4EFC">
            <w:pPr>
              <w:pStyle w:val="Normal1linespace"/>
            </w:pPr>
            <w:bookmarkStart w:id="21" w:name="Certification"/>
            <w:r w:rsidRPr="00EB4EFC">
              <w:t xml:space="preserve">I certify that the preceding </w:t>
            </w:r>
            <w:bookmarkStart w:id="22" w:name="NumberWord"/>
            <w:r w:rsidR="009358A4">
              <w:t>twenty</w:t>
            </w:r>
            <w:bookmarkEnd w:id="22"/>
            <w:r w:rsidRPr="00EB4EFC">
              <w:t xml:space="preserve"> (</w:t>
            </w:r>
            <w:bookmarkStart w:id="23" w:name="NumberNumeral"/>
            <w:r w:rsidR="009358A4">
              <w:t>20</w:t>
            </w:r>
            <w:bookmarkEnd w:id="23"/>
            <w:r w:rsidRPr="00EB4EFC">
              <w:t xml:space="preserve">) numbered </w:t>
            </w:r>
            <w:bookmarkStart w:id="24" w:name="CertPara"/>
            <w:r w:rsidR="009358A4">
              <w:t>paragraphs are</w:t>
            </w:r>
            <w:bookmarkEnd w:id="24"/>
            <w:r w:rsidRPr="00EB4EFC">
              <w:t xml:space="preserve"> a true copy of the Reasons for Judgment herein of the Honourable </w:t>
            </w:r>
            <w:bookmarkStart w:id="25" w:name="Justice"/>
            <w:r>
              <w:t>Justice Rangiah</w:t>
            </w:r>
            <w:bookmarkEnd w:id="25"/>
            <w:r w:rsidRPr="00EB4EFC">
              <w:t>.</w:t>
            </w:r>
          </w:p>
        </w:tc>
      </w:tr>
    </w:tbl>
    <w:p w14:paraId="2B14AC7C" w14:textId="77777777" w:rsidR="00EB4EFC" w:rsidRDefault="00EB4EFC" w:rsidP="00815065">
      <w:pPr>
        <w:pStyle w:val="BodyText"/>
      </w:pPr>
    </w:p>
    <w:p w14:paraId="2B14AC7D" w14:textId="4197F748" w:rsidR="00EB4EFC" w:rsidRDefault="00EB4EFC" w:rsidP="00815065">
      <w:pPr>
        <w:pStyle w:val="BodyText"/>
      </w:pPr>
      <w:r>
        <w:t>Associate:</w:t>
      </w:r>
      <w:r w:rsidR="00246326">
        <w:tab/>
      </w:r>
      <w:bookmarkStart w:id="26" w:name="_GoBack"/>
      <w:bookmarkEnd w:id="26"/>
    </w:p>
    <w:p w14:paraId="2B14AC7E" w14:textId="77777777" w:rsidR="00EB4EFC" w:rsidRDefault="00EB4EFC" w:rsidP="00815065">
      <w:pPr>
        <w:pStyle w:val="BodyText"/>
      </w:pPr>
    </w:p>
    <w:p w14:paraId="2B14AC7F" w14:textId="77777777" w:rsidR="0035608A" w:rsidRDefault="00EB4EFC" w:rsidP="00246326">
      <w:pPr>
        <w:pStyle w:val="BodyText"/>
        <w:tabs>
          <w:tab w:val="left" w:pos="1134"/>
        </w:tabs>
      </w:pPr>
      <w:r>
        <w:t>Dated:</w:t>
      </w:r>
      <w:r>
        <w:tab/>
      </w:r>
      <w:bookmarkStart w:id="27" w:name="CertifyDated"/>
      <w:r w:rsidR="00715CBF" w:rsidRPr="0006352E">
        <w:t>1</w:t>
      </w:r>
      <w:r w:rsidR="009358A4">
        <w:t>6</w:t>
      </w:r>
      <w:r>
        <w:t xml:space="preserve"> July 2020</w:t>
      </w:r>
      <w:bookmarkEnd w:id="27"/>
      <w:bookmarkEnd w:id="21"/>
    </w:p>
    <w:p w14:paraId="2B14AC80" w14:textId="77777777" w:rsidR="0035608A" w:rsidRDefault="0035608A" w:rsidP="0035608A">
      <w:pPr>
        <w:pStyle w:val="BodyText"/>
        <w:sectPr w:rsidR="0035608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14:paraId="2B14AC81" w14:textId="77777777" w:rsidR="008867FB" w:rsidRPr="00CD498A" w:rsidRDefault="008867FB" w:rsidP="00E91A0F">
      <w:pPr>
        <w:pStyle w:val="NormalHeadings"/>
        <w:spacing w:before="180" w:line="480" w:lineRule="auto"/>
        <w:jc w:val="center"/>
        <w:rPr>
          <w:sz w:val="28"/>
          <w:szCs w:val="28"/>
        </w:rPr>
      </w:pPr>
      <w:bookmarkStart w:id="28" w:name="SOP_Section"/>
      <w:r w:rsidRPr="00CD498A">
        <w:rPr>
          <w:sz w:val="28"/>
          <w:szCs w:val="28"/>
        </w:rPr>
        <w:lastRenderedPageBreak/>
        <w:t>SCHEDULE OF PARTIES</w:t>
      </w:r>
    </w:p>
    <w:p w14:paraId="2B14AC82" w14:textId="77777777" w:rsidR="008867FB" w:rsidRPr="00663089" w:rsidRDefault="008867FB" w:rsidP="00663089">
      <w:pPr>
        <w:pStyle w:val="BodyText"/>
      </w:pPr>
    </w:p>
    <w:tbl>
      <w:tblPr>
        <w:tblW w:w="9242" w:type="dxa"/>
        <w:tblLayout w:type="fixed"/>
        <w:tblLook w:val="0000" w:firstRow="0" w:lastRow="0" w:firstColumn="0" w:lastColumn="0" w:noHBand="0" w:noVBand="0"/>
        <w:tblCaption w:val="SOP Table"/>
        <w:tblDescription w:val="SOP Table"/>
      </w:tblPr>
      <w:tblGrid>
        <w:gridCol w:w="3368"/>
        <w:gridCol w:w="5874"/>
      </w:tblGrid>
      <w:tr w:rsidR="008867FB" w14:paraId="2B14AC85" w14:textId="77777777" w:rsidTr="008867FB">
        <w:tc>
          <w:tcPr>
            <w:tcW w:w="3368" w:type="dxa"/>
          </w:tcPr>
          <w:p w14:paraId="2B14AC83" w14:textId="77777777" w:rsidR="008867FB" w:rsidRDefault="008867FB" w:rsidP="004F5197">
            <w:pPr>
              <w:pStyle w:val="NormalHeadings"/>
              <w:jc w:val="left"/>
              <w:rPr>
                <w:caps/>
                <w:szCs w:val="24"/>
              </w:rPr>
            </w:pPr>
          </w:p>
        </w:tc>
        <w:tc>
          <w:tcPr>
            <w:tcW w:w="5874" w:type="dxa"/>
          </w:tcPr>
          <w:p w14:paraId="2B14AC84" w14:textId="77777777" w:rsidR="008867FB" w:rsidRDefault="00B90ED8" w:rsidP="004F5197">
            <w:pPr>
              <w:pStyle w:val="NormalHeadings"/>
              <w:jc w:val="right"/>
            </w:pPr>
            <w:fldSimple w:instr=" REF  FileNo " w:fldLock="1">
              <w:r w:rsidR="008867FB">
                <w:t>QUD 263 of 2018</w:t>
              </w:r>
            </w:fldSimple>
          </w:p>
        </w:tc>
      </w:tr>
      <w:tr w:rsidR="008867FB" w14:paraId="2B14AC88" w14:textId="77777777" w:rsidTr="008867FB">
        <w:trPr>
          <w:trHeight w:val="386"/>
        </w:trPr>
        <w:tc>
          <w:tcPr>
            <w:tcW w:w="3368" w:type="dxa"/>
          </w:tcPr>
          <w:p w14:paraId="2B14AC86" w14:textId="77777777" w:rsidR="008867FB" w:rsidRDefault="008867FB" w:rsidP="0087788E">
            <w:pPr>
              <w:pStyle w:val="BodyTextBold"/>
              <w:spacing w:before="180"/>
              <w:jc w:val="left"/>
            </w:pPr>
            <w:bookmarkStart w:id="29" w:name="SOP_RespondentsRows" w:colFirst="0" w:colLast="1"/>
            <w:r>
              <w:t>Respondents</w:t>
            </w:r>
          </w:p>
        </w:tc>
        <w:tc>
          <w:tcPr>
            <w:tcW w:w="5874" w:type="dxa"/>
            <w:tcMar>
              <w:left w:w="28" w:type="dxa"/>
            </w:tcMar>
          </w:tcPr>
          <w:p w14:paraId="2B14AC87" w14:textId="77777777" w:rsidR="008867FB" w:rsidRDefault="008867FB" w:rsidP="0087788E">
            <w:pPr>
              <w:pStyle w:val="BodyText"/>
              <w:jc w:val="left"/>
            </w:pPr>
          </w:p>
        </w:tc>
      </w:tr>
      <w:tr w:rsidR="008867FB" w14:paraId="2B14AC8B" w14:textId="77777777" w:rsidTr="008867FB">
        <w:trPr>
          <w:trHeight w:val="386"/>
        </w:trPr>
        <w:tc>
          <w:tcPr>
            <w:tcW w:w="3368" w:type="dxa"/>
          </w:tcPr>
          <w:p w14:paraId="2B14AC89" w14:textId="77777777" w:rsidR="008867FB" w:rsidRDefault="008867FB" w:rsidP="00F2363B">
            <w:pPr>
              <w:pStyle w:val="BodyText"/>
              <w:spacing w:after="240" w:line="240" w:lineRule="auto"/>
              <w:jc w:val="left"/>
            </w:pPr>
            <w:bookmarkStart w:id="30" w:name="SOP_FirstRespondent"/>
            <w:bookmarkEnd w:id="30"/>
            <w:r>
              <w:t>Fourth Respondent:</w:t>
            </w:r>
          </w:p>
        </w:tc>
        <w:tc>
          <w:tcPr>
            <w:tcW w:w="5874" w:type="dxa"/>
            <w:tcMar>
              <w:left w:w="28" w:type="dxa"/>
            </w:tcMar>
          </w:tcPr>
          <w:p w14:paraId="2B14AC8A" w14:textId="77777777" w:rsidR="008867FB" w:rsidRDefault="008867FB" w:rsidP="00F2363B">
            <w:pPr>
              <w:pStyle w:val="BodyText"/>
              <w:spacing w:after="240" w:line="240" w:lineRule="auto"/>
              <w:jc w:val="left"/>
            </w:pPr>
            <w:r>
              <w:t>MARTIN CROTTY</w:t>
            </w:r>
          </w:p>
        </w:tc>
      </w:tr>
      <w:tr w:rsidR="008867FB" w14:paraId="2B14AC8E" w14:textId="77777777" w:rsidTr="008867FB">
        <w:trPr>
          <w:trHeight w:val="386"/>
        </w:trPr>
        <w:tc>
          <w:tcPr>
            <w:tcW w:w="3368" w:type="dxa"/>
          </w:tcPr>
          <w:p w14:paraId="2B14AC8C" w14:textId="77777777" w:rsidR="008867FB" w:rsidRDefault="008867FB" w:rsidP="00F2363B">
            <w:pPr>
              <w:pStyle w:val="BodyText"/>
              <w:spacing w:after="240" w:line="240" w:lineRule="auto"/>
              <w:jc w:val="left"/>
            </w:pPr>
            <w:r>
              <w:t>Fifth Respondent:</w:t>
            </w:r>
          </w:p>
        </w:tc>
        <w:tc>
          <w:tcPr>
            <w:tcW w:w="5874" w:type="dxa"/>
            <w:tcMar>
              <w:left w:w="28" w:type="dxa"/>
            </w:tcMar>
          </w:tcPr>
          <w:p w14:paraId="2B14AC8D" w14:textId="77777777" w:rsidR="008867FB" w:rsidRDefault="008867FB" w:rsidP="00F2363B">
            <w:pPr>
              <w:pStyle w:val="BodyText"/>
              <w:spacing w:after="240" w:line="240" w:lineRule="auto"/>
              <w:jc w:val="left"/>
            </w:pPr>
            <w:r>
              <w:t>PETER HØJ</w:t>
            </w:r>
          </w:p>
        </w:tc>
      </w:tr>
      <w:bookmarkEnd w:id="29"/>
    </w:tbl>
    <w:p w14:paraId="2B14AC8F" w14:textId="77777777" w:rsidR="008867FB" w:rsidRDefault="008867FB" w:rsidP="002B0E91">
      <w:pPr>
        <w:pStyle w:val="BodyText"/>
      </w:pPr>
    </w:p>
    <w:bookmarkEnd w:id="28"/>
    <w:p w14:paraId="2B14AC90" w14:textId="77777777" w:rsidR="0035608A" w:rsidRDefault="0035608A" w:rsidP="0035608A">
      <w:pPr>
        <w:pStyle w:val="BodyText"/>
      </w:pPr>
    </w:p>
    <w:sectPr w:rsidR="0035608A" w:rsidSect="0035608A">
      <w:headerReference w:type="first" r:id="rId17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AC99" w14:textId="77777777" w:rsidR="001460D2" w:rsidRDefault="001460D2">
      <w:pPr>
        <w:spacing w:line="20" w:lineRule="exact"/>
      </w:pPr>
    </w:p>
    <w:p w14:paraId="2B14AC9A" w14:textId="77777777" w:rsidR="001460D2" w:rsidRDefault="001460D2"/>
    <w:p w14:paraId="2B14AC9B" w14:textId="77777777" w:rsidR="001460D2" w:rsidRDefault="001460D2"/>
  </w:endnote>
  <w:endnote w:type="continuationSeparator" w:id="0">
    <w:p w14:paraId="2B14AC9C" w14:textId="77777777" w:rsidR="001460D2" w:rsidRDefault="001460D2">
      <w:r>
        <w:t xml:space="preserve"> </w:t>
      </w:r>
    </w:p>
    <w:p w14:paraId="2B14AC9D" w14:textId="77777777" w:rsidR="001460D2" w:rsidRDefault="001460D2"/>
    <w:p w14:paraId="2B14AC9E" w14:textId="77777777" w:rsidR="001460D2" w:rsidRDefault="001460D2"/>
  </w:endnote>
  <w:endnote w:type="continuationNotice" w:id="1">
    <w:p w14:paraId="2B14AC9F" w14:textId="77777777" w:rsidR="001460D2" w:rsidRDefault="001460D2">
      <w:r>
        <w:t xml:space="preserve"> </w:t>
      </w:r>
    </w:p>
    <w:p w14:paraId="2B14ACA0" w14:textId="77777777" w:rsidR="001460D2" w:rsidRDefault="001460D2"/>
    <w:p w14:paraId="2B14ACA1" w14:textId="77777777" w:rsidR="001460D2" w:rsidRDefault="00146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6" w14:textId="77777777" w:rsidR="00395B24" w:rsidRPr="00172781" w:rsidRDefault="00395B24" w:rsidP="00172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8" w14:textId="77777777" w:rsidR="002F1E49" w:rsidRPr="00172781" w:rsidRDefault="002F1E49" w:rsidP="0017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AC93" w14:textId="77777777" w:rsidR="001460D2" w:rsidRDefault="001460D2"/>
    <w:p w14:paraId="2B14AC94" w14:textId="77777777" w:rsidR="001460D2" w:rsidRDefault="001460D2"/>
    <w:p w14:paraId="2B14AC95" w14:textId="77777777" w:rsidR="001460D2" w:rsidRDefault="001460D2"/>
  </w:footnote>
  <w:footnote w:type="continuationSeparator" w:id="0">
    <w:p w14:paraId="2B14AC96" w14:textId="77777777" w:rsidR="001460D2" w:rsidRDefault="001460D2">
      <w:r>
        <w:continuationSeparator/>
      </w:r>
    </w:p>
    <w:p w14:paraId="2B14AC97" w14:textId="77777777" w:rsidR="001460D2" w:rsidRDefault="001460D2"/>
    <w:p w14:paraId="2B14AC98" w14:textId="77777777" w:rsidR="001460D2" w:rsidRDefault="00146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2" w14:textId="77777777"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8867FB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3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4" w14:textId="77777777" w:rsidR="00395B24" w:rsidRDefault="00395B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5" w14:textId="792B65C1"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956069">
      <w:rPr>
        <w:noProof/>
      </w:rPr>
      <w:t>4</w:t>
    </w:r>
    <w: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7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CA9" w14:textId="17408C3E" w:rsidR="0035608A" w:rsidRDefault="008867FB" w:rsidP="008867FB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>page \* arabic</w:instrText>
    </w:r>
    <w:r>
      <w:fldChar w:fldCharType="separate"/>
    </w:r>
    <w:r w:rsidR="002738D0">
      <w:rPr>
        <w:noProof/>
      </w:rPr>
      <w:t>6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 w15:restartNumberingAfterBreak="0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8" w15:restartNumberingAfterBreak="0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 w15:restartNumberingAfterBreak="0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494817A7"/>
    <w:multiLevelType w:val="multilevel"/>
    <w:tmpl w:val="0F0EC90E"/>
    <w:numStyleLink w:val="FCListNo"/>
  </w:abstractNum>
  <w:abstractNum w:abstractNumId="23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0"/>
  </w:num>
  <w:num w:numId="19">
    <w:abstractNumId w:val="26"/>
  </w:num>
  <w:num w:numId="20">
    <w:abstractNumId w:val="23"/>
  </w:num>
  <w:num w:numId="21">
    <w:abstractNumId w:val="24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9"/>
  </w:num>
  <w:num w:numId="35">
    <w:abstractNumId w:val="22"/>
  </w:num>
  <w:num w:numId="36">
    <w:abstractNumId w:val="22"/>
  </w:num>
  <w:num w:numId="37">
    <w:abstractNumId w:val="22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AU" w:vendorID="8" w:dllVersion="513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Applicant" w:val="Julian Lamont"/>
    <w:docVar w:name="CounselParties" w:val="Respondent"/>
    <w:docVar w:name="CounselType" w:val="Solicitor for the 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Fair Work Division"/>
    <w:docVar w:name="DocCreated" w:val="True"/>
    <w:docVar w:name="FileNumbers" w:val="QUD 263 of 2018"/>
    <w:docVar w:name="HearingDate" w:val="10 July 2020"/>
    <w:docVar w:name="Initiators" w:val="(and another named in the Schedule)"/>
    <w:docVar w:name="Judgdate" w:val="10 July 2020"/>
    <w:docVar w:name="Judge" w:val="Rangiah"/>
    <w:docVar w:name="Justices" w:val="Justice"/>
    <w:docVar w:name="lstEntryList" w:val="-1"/>
    <w:docVar w:name="myEntryList" w:val="Counsel for the Applicant=Mr A Britt|Solicitor for the Applicant=Susan Moriarty &amp; Associates|Counsel for the Respondents=Mr C Murdoch QC with Mr E Shorten|Solicitor for the Respondents=Minter Ellison"/>
    <w:docVar w:name="NSD" w:val="NSD "/>
    <w:docVar w:name="NumApps" w:val="1"/>
    <w:docVar w:name="NumApps_" w:val="5"/>
    <w:docVar w:name="NumCrossResps" w:val="0"/>
    <w:docVar w:name="NumDefs" w:val="5"/>
    <w:docVar w:name="NumOthers" w:val="0"/>
    <w:docVar w:name="OtherNum" w:val="0"/>
    <w:docVar w:name="Parties1" w:val="Applicant"/>
    <w:docVar w:name="Parties2" w:val="Respondent"/>
    <w:docVar w:name="Parties3" w:val="Cross-Appellant"/>
    <w:docVar w:name="Parties4" w:val="Cross-Defendant"/>
    <w:docVar w:name="Parties5" w:val="Intervener"/>
    <w:docVar w:name="PracticeArea" w:val="Employment &amp; Industrial Relations"/>
    <w:docVar w:name="RESAndAnother" w:val="False"/>
    <w:docVar w:name="RESAndOthers" w:val="True"/>
    <w:docVar w:name="Respondent" w:val="University of Queensland|Clive Moore|Richard Fotheringham|Martin Crotty|Peter Høj"/>
    <w:docVar w:name="ResState" w:val="Queensland"/>
    <w:docVar w:name="SubArea" w:val="[none]"/>
  </w:docVars>
  <w:rsids>
    <w:rsidRoot w:val="001460D2"/>
    <w:rsid w:val="0001469E"/>
    <w:rsid w:val="00015993"/>
    <w:rsid w:val="00022289"/>
    <w:rsid w:val="00032F9F"/>
    <w:rsid w:val="00041C07"/>
    <w:rsid w:val="00045BB7"/>
    <w:rsid w:val="00055719"/>
    <w:rsid w:val="0005641B"/>
    <w:rsid w:val="0006352E"/>
    <w:rsid w:val="00081497"/>
    <w:rsid w:val="000827C8"/>
    <w:rsid w:val="000A2E76"/>
    <w:rsid w:val="000A4807"/>
    <w:rsid w:val="000A4BE4"/>
    <w:rsid w:val="000C023E"/>
    <w:rsid w:val="000C5195"/>
    <w:rsid w:val="000C62EF"/>
    <w:rsid w:val="000D2137"/>
    <w:rsid w:val="000D3FD2"/>
    <w:rsid w:val="000E3FC8"/>
    <w:rsid w:val="000E7BAE"/>
    <w:rsid w:val="000F133D"/>
    <w:rsid w:val="0010536B"/>
    <w:rsid w:val="0011145C"/>
    <w:rsid w:val="001128BD"/>
    <w:rsid w:val="001135E0"/>
    <w:rsid w:val="0011419D"/>
    <w:rsid w:val="001142B3"/>
    <w:rsid w:val="00122DFC"/>
    <w:rsid w:val="00126B24"/>
    <w:rsid w:val="00132054"/>
    <w:rsid w:val="001323A9"/>
    <w:rsid w:val="001460D2"/>
    <w:rsid w:val="00172781"/>
    <w:rsid w:val="001727A4"/>
    <w:rsid w:val="0017376C"/>
    <w:rsid w:val="001738AB"/>
    <w:rsid w:val="001765E0"/>
    <w:rsid w:val="00177759"/>
    <w:rsid w:val="00185E6B"/>
    <w:rsid w:val="00186E76"/>
    <w:rsid w:val="00187BBC"/>
    <w:rsid w:val="001932F3"/>
    <w:rsid w:val="00195BE4"/>
    <w:rsid w:val="001A4309"/>
    <w:rsid w:val="001B1053"/>
    <w:rsid w:val="001B14AC"/>
    <w:rsid w:val="001B7940"/>
    <w:rsid w:val="001C37CA"/>
    <w:rsid w:val="001D4303"/>
    <w:rsid w:val="001D6746"/>
    <w:rsid w:val="001E3B49"/>
    <w:rsid w:val="001E7388"/>
    <w:rsid w:val="001F13DD"/>
    <w:rsid w:val="001F2DBC"/>
    <w:rsid w:val="001F73E8"/>
    <w:rsid w:val="0020262C"/>
    <w:rsid w:val="00224537"/>
    <w:rsid w:val="00235956"/>
    <w:rsid w:val="00246326"/>
    <w:rsid w:val="00247C9A"/>
    <w:rsid w:val="00250CBB"/>
    <w:rsid w:val="0025160C"/>
    <w:rsid w:val="002535D0"/>
    <w:rsid w:val="002539B3"/>
    <w:rsid w:val="00257C3E"/>
    <w:rsid w:val="002602C2"/>
    <w:rsid w:val="0026265A"/>
    <w:rsid w:val="002666C9"/>
    <w:rsid w:val="00270136"/>
    <w:rsid w:val="002738D0"/>
    <w:rsid w:val="00274F5B"/>
    <w:rsid w:val="00280836"/>
    <w:rsid w:val="00281706"/>
    <w:rsid w:val="00282D5B"/>
    <w:rsid w:val="00282E1A"/>
    <w:rsid w:val="0029113B"/>
    <w:rsid w:val="002934C0"/>
    <w:rsid w:val="002A1B50"/>
    <w:rsid w:val="002B0E91"/>
    <w:rsid w:val="002B6779"/>
    <w:rsid w:val="002B71C0"/>
    <w:rsid w:val="002B7A34"/>
    <w:rsid w:val="002C31AD"/>
    <w:rsid w:val="002C7385"/>
    <w:rsid w:val="002D2DBB"/>
    <w:rsid w:val="002D54A6"/>
    <w:rsid w:val="002E6A7A"/>
    <w:rsid w:val="002F1E49"/>
    <w:rsid w:val="002F4E9C"/>
    <w:rsid w:val="0031256C"/>
    <w:rsid w:val="00314D6C"/>
    <w:rsid w:val="00316D2A"/>
    <w:rsid w:val="00322A7C"/>
    <w:rsid w:val="003402D3"/>
    <w:rsid w:val="00343ABC"/>
    <w:rsid w:val="003463FE"/>
    <w:rsid w:val="003554B3"/>
    <w:rsid w:val="0035608A"/>
    <w:rsid w:val="00356632"/>
    <w:rsid w:val="003845A9"/>
    <w:rsid w:val="00390883"/>
    <w:rsid w:val="003922F8"/>
    <w:rsid w:val="00395B24"/>
    <w:rsid w:val="003A2D38"/>
    <w:rsid w:val="003A7ECC"/>
    <w:rsid w:val="003B2C72"/>
    <w:rsid w:val="003C1333"/>
    <w:rsid w:val="003C20FF"/>
    <w:rsid w:val="003C5280"/>
    <w:rsid w:val="003D2650"/>
    <w:rsid w:val="003D560C"/>
    <w:rsid w:val="003E3D4D"/>
    <w:rsid w:val="003E5874"/>
    <w:rsid w:val="003F193E"/>
    <w:rsid w:val="003F34F1"/>
    <w:rsid w:val="00411AE8"/>
    <w:rsid w:val="00413B74"/>
    <w:rsid w:val="00435C5F"/>
    <w:rsid w:val="00441E98"/>
    <w:rsid w:val="004532F7"/>
    <w:rsid w:val="00472027"/>
    <w:rsid w:val="004804CF"/>
    <w:rsid w:val="0048259E"/>
    <w:rsid w:val="00484962"/>
    <w:rsid w:val="00484F6D"/>
    <w:rsid w:val="0049338A"/>
    <w:rsid w:val="0049417F"/>
    <w:rsid w:val="004A6AC0"/>
    <w:rsid w:val="004B3EFA"/>
    <w:rsid w:val="004C2A87"/>
    <w:rsid w:val="004C4D7B"/>
    <w:rsid w:val="004C4ED3"/>
    <w:rsid w:val="004D2EA5"/>
    <w:rsid w:val="004D32A6"/>
    <w:rsid w:val="004D53E5"/>
    <w:rsid w:val="00501A12"/>
    <w:rsid w:val="00511AE1"/>
    <w:rsid w:val="0051346D"/>
    <w:rsid w:val="00513EAE"/>
    <w:rsid w:val="00516806"/>
    <w:rsid w:val="00525A49"/>
    <w:rsid w:val="00531963"/>
    <w:rsid w:val="00535613"/>
    <w:rsid w:val="005359EB"/>
    <w:rsid w:val="0054254A"/>
    <w:rsid w:val="005466B5"/>
    <w:rsid w:val="00554314"/>
    <w:rsid w:val="005629B3"/>
    <w:rsid w:val="00573AC4"/>
    <w:rsid w:val="005801FC"/>
    <w:rsid w:val="00595016"/>
    <w:rsid w:val="00597AAE"/>
    <w:rsid w:val="005A222C"/>
    <w:rsid w:val="005A404B"/>
    <w:rsid w:val="005A4DF8"/>
    <w:rsid w:val="005B1426"/>
    <w:rsid w:val="005C0A8E"/>
    <w:rsid w:val="005C1767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611"/>
    <w:rsid w:val="00611586"/>
    <w:rsid w:val="0062106A"/>
    <w:rsid w:val="00621887"/>
    <w:rsid w:val="00621EC1"/>
    <w:rsid w:val="00624520"/>
    <w:rsid w:val="00632300"/>
    <w:rsid w:val="00632BB7"/>
    <w:rsid w:val="00635B36"/>
    <w:rsid w:val="00636871"/>
    <w:rsid w:val="00640F4E"/>
    <w:rsid w:val="00643DE0"/>
    <w:rsid w:val="00644E85"/>
    <w:rsid w:val="0066063F"/>
    <w:rsid w:val="00662BB0"/>
    <w:rsid w:val="00663878"/>
    <w:rsid w:val="00667773"/>
    <w:rsid w:val="00670743"/>
    <w:rsid w:val="00690EE2"/>
    <w:rsid w:val="00696030"/>
    <w:rsid w:val="006A0E20"/>
    <w:rsid w:val="006A5695"/>
    <w:rsid w:val="006B29EA"/>
    <w:rsid w:val="006B3904"/>
    <w:rsid w:val="006B5B7D"/>
    <w:rsid w:val="006D0ECF"/>
    <w:rsid w:val="006D4C92"/>
    <w:rsid w:val="006D4EB6"/>
    <w:rsid w:val="006E35BF"/>
    <w:rsid w:val="006E7850"/>
    <w:rsid w:val="007028D9"/>
    <w:rsid w:val="00707218"/>
    <w:rsid w:val="00712B1D"/>
    <w:rsid w:val="00715CBF"/>
    <w:rsid w:val="00717154"/>
    <w:rsid w:val="0072141B"/>
    <w:rsid w:val="00722412"/>
    <w:rsid w:val="007325D9"/>
    <w:rsid w:val="007360CA"/>
    <w:rsid w:val="00760EC0"/>
    <w:rsid w:val="0078003A"/>
    <w:rsid w:val="00780771"/>
    <w:rsid w:val="007929CF"/>
    <w:rsid w:val="007A6F28"/>
    <w:rsid w:val="007B03C6"/>
    <w:rsid w:val="007B0DB1"/>
    <w:rsid w:val="007C3BF6"/>
    <w:rsid w:val="007D0FD2"/>
    <w:rsid w:val="007D2EF8"/>
    <w:rsid w:val="007D561F"/>
    <w:rsid w:val="007D7FD2"/>
    <w:rsid w:val="007E13D9"/>
    <w:rsid w:val="007E41BE"/>
    <w:rsid w:val="007E4DB6"/>
    <w:rsid w:val="007E7CD4"/>
    <w:rsid w:val="007F12AC"/>
    <w:rsid w:val="00801800"/>
    <w:rsid w:val="00801B5B"/>
    <w:rsid w:val="008107F7"/>
    <w:rsid w:val="0081611A"/>
    <w:rsid w:val="00816CA5"/>
    <w:rsid w:val="008276B4"/>
    <w:rsid w:val="00831927"/>
    <w:rsid w:val="00841BD3"/>
    <w:rsid w:val="0084273D"/>
    <w:rsid w:val="00844E3F"/>
    <w:rsid w:val="00845A83"/>
    <w:rsid w:val="008712BB"/>
    <w:rsid w:val="008721B9"/>
    <w:rsid w:val="008867FB"/>
    <w:rsid w:val="008A2484"/>
    <w:rsid w:val="008C26D9"/>
    <w:rsid w:val="008C69C9"/>
    <w:rsid w:val="008C6D50"/>
    <w:rsid w:val="008C7167"/>
    <w:rsid w:val="008C7503"/>
    <w:rsid w:val="008D1617"/>
    <w:rsid w:val="008E6315"/>
    <w:rsid w:val="008F11E0"/>
    <w:rsid w:val="008F5D5B"/>
    <w:rsid w:val="008F78BC"/>
    <w:rsid w:val="008F7B63"/>
    <w:rsid w:val="008F7D6A"/>
    <w:rsid w:val="009054CB"/>
    <w:rsid w:val="00912F94"/>
    <w:rsid w:val="0092590B"/>
    <w:rsid w:val="00925E60"/>
    <w:rsid w:val="009264B3"/>
    <w:rsid w:val="009358A4"/>
    <w:rsid w:val="009365E0"/>
    <w:rsid w:val="00942BA2"/>
    <w:rsid w:val="00944C86"/>
    <w:rsid w:val="00956069"/>
    <w:rsid w:val="00957DE8"/>
    <w:rsid w:val="00960ECB"/>
    <w:rsid w:val="009615D6"/>
    <w:rsid w:val="00967855"/>
    <w:rsid w:val="00980736"/>
    <w:rsid w:val="00981A39"/>
    <w:rsid w:val="00987097"/>
    <w:rsid w:val="009A3A9C"/>
    <w:rsid w:val="009B046C"/>
    <w:rsid w:val="009B13FA"/>
    <w:rsid w:val="009B1E2D"/>
    <w:rsid w:val="009C387A"/>
    <w:rsid w:val="009C59FB"/>
    <w:rsid w:val="009C6F3B"/>
    <w:rsid w:val="009D1467"/>
    <w:rsid w:val="009D69BC"/>
    <w:rsid w:val="009E4FA6"/>
    <w:rsid w:val="009E7D93"/>
    <w:rsid w:val="009F5C33"/>
    <w:rsid w:val="00A03EAC"/>
    <w:rsid w:val="00A11CA6"/>
    <w:rsid w:val="00A20C49"/>
    <w:rsid w:val="00A269CA"/>
    <w:rsid w:val="00A336EE"/>
    <w:rsid w:val="00A359AC"/>
    <w:rsid w:val="00A41413"/>
    <w:rsid w:val="00A45FB1"/>
    <w:rsid w:val="00A46CCC"/>
    <w:rsid w:val="00A51CFE"/>
    <w:rsid w:val="00A67B11"/>
    <w:rsid w:val="00A71AE5"/>
    <w:rsid w:val="00A76C13"/>
    <w:rsid w:val="00A92E79"/>
    <w:rsid w:val="00A950B6"/>
    <w:rsid w:val="00AB41C1"/>
    <w:rsid w:val="00AD12A8"/>
    <w:rsid w:val="00AE023F"/>
    <w:rsid w:val="00AF3385"/>
    <w:rsid w:val="00AF3577"/>
    <w:rsid w:val="00AF35F9"/>
    <w:rsid w:val="00B05C7D"/>
    <w:rsid w:val="00B346C3"/>
    <w:rsid w:val="00B4471C"/>
    <w:rsid w:val="00B451A6"/>
    <w:rsid w:val="00B722DE"/>
    <w:rsid w:val="00B76C44"/>
    <w:rsid w:val="00B83F87"/>
    <w:rsid w:val="00B90ED8"/>
    <w:rsid w:val="00BA2EFA"/>
    <w:rsid w:val="00BA3DBC"/>
    <w:rsid w:val="00BB2DA2"/>
    <w:rsid w:val="00BB56DC"/>
    <w:rsid w:val="00BC7ACA"/>
    <w:rsid w:val="00BE183D"/>
    <w:rsid w:val="00BF5D7A"/>
    <w:rsid w:val="00C02D33"/>
    <w:rsid w:val="00C1232C"/>
    <w:rsid w:val="00C36442"/>
    <w:rsid w:val="00C400CE"/>
    <w:rsid w:val="00C410FD"/>
    <w:rsid w:val="00C539FB"/>
    <w:rsid w:val="00CA246D"/>
    <w:rsid w:val="00CA4945"/>
    <w:rsid w:val="00CA50D9"/>
    <w:rsid w:val="00CB5636"/>
    <w:rsid w:val="00CB5D03"/>
    <w:rsid w:val="00CD59AD"/>
    <w:rsid w:val="00D10F21"/>
    <w:rsid w:val="00D24806"/>
    <w:rsid w:val="00D34040"/>
    <w:rsid w:val="00D34E69"/>
    <w:rsid w:val="00D375EE"/>
    <w:rsid w:val="00D62009"/>
    <w:rsid w:val="00D62699"/>
    <w:rsid w:val="00D82620"/>
    <w:rsid w:val="00D9609C"/>
    <w:rsid w:val="00D9632D"/>
    <w:rsid w:val="00D9725F"/>
    <w:rsid w:val="00DA01B1"/>
    <w:rsid w:val="00DA11A2"/>
    <w:rsid w:val="00DA14ED"/>
    <w:rsid w:val="00DB2EF1"/>
    <w:rsid w:val="00DB3DE1"/>
    <w:rsid w:val="00DB5DA0"/>
    <w:rsid w:val="00DB716C"/>
    <w:rsid w:val="00DC5C85"/>
    <w:rsid w:val="00DC69A0"/>
    <w:rsid w:val="00DD4236"/>
    <w:rsid w:val="00DD44F1"/>
    <w:rsid w:val="00DE3067"/>
    <w:rsid w:val="00E027BC"/>
    <w:rsid w:val="00E14EA5"/>
    <w:rsid w:val="00E21133"/>
    <w:rsid w:val="00E2327E"/>
    <w:rsid w:val="00E266EF"/>
    <w:rsid w:val="00E3534D"/>
    <w:rsid w:val="00E47428"/>
    <w:rsid w:val="00E62E03"/>
    <w:rsid w:val="00E66B9F"/>
    <w:rsid w:val="00E710D6"/>
    <w:rsid w:val="00E76E45"/>
    <w:rsid w:val="00E777C9"/>
    <w:rsid w:val="00E81DA6"/>
    <w:rsid w:val="00E84212"/>
    <w:rsid w:val="00E9086C"/>
    <w:rsid w:val="00E91A0F"/>
    <w:rsid w:val="00E94A71"/>
    <w:rsid w:val="00EA03CE"/>
    <w:rsid w:val="00EA23E5"/>
    <w:rsid w:val="00EA4E2E"/>
    <w:rsid w:val="00EB2CCB"/>
    <w:rsid w:val="00EB4EFC"/>
    <w:rsid w:val="00EC57A7"/>
    <w:rsid w:val="00ED0817"/>
    <w:rsid w:val="00ED7DD9"/>
    <w:rsid w:val="00EF3113"/>
    <w:rsid w:val="00EF3F84"/>
    <w:rsid w:val="00F022E9"/>
    <w:rsid w:val="00F176AC"/>
    <w:rsid w:val="00F27714"/>
    <w:rsid w:val="00F3276E"/>
    <w:rsid w:val="00F33D3C"/>
    <w:rsid w:val="00F37A91"/>
    <w:rsid w:val="00F45CF5"/>
    <w:rsid w:val="00F47DB0"/>
    <w:rsid w:val="00F50E34"/>
    <w:rsid w:val="00F53EF7"/>
    <w:rsid w:val="00F54BF2"/>
    <w:rsid w:val="00F92355"/>
    <w:rsid w:val="00F93963"/>
    <w:rsid w:val="00F94291"/>
    <w:rsid w:val="00F9632C"/>
    <w:rsid w:val="00FA057C"/>
    <w:rsid w:val="00FA1CD5"/>
    <w:rsid w:val="00FB7982"/>
    <w:rsid w:val="00FC0734"/>
    <w:rsid w:val="00FC0FC5"/>
    <w:rsid w:val="00FC588F"/>
    <w:rsid w:val="00FE1B30"/>
    <w:rsid w:val="00FE59AC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B14ABBE"/>
  <w15:docId w15:val="{1F7B8925-DE9D-4328-871C-C9E19F68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32300"/>
    <w:pPr>
      <w:tabs>
        <w:tab w:val="right" w:leader="dot" w:pos="9072"/>
      </w:tabs>
      <w:spacing w:before="120" w:after="60" w:line="240" w:lineRule="auto"/>
    </w:pPr>
    <w:rPr>
      <w:b/>
      <w:caps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Record_x0020_Authority xmlns="85512599-8531-48e1-9b90-9215d01f2c32">A</Record_x0020_Authority>
    <Inspection_x0020_Code xmlns="85512599-8531-48e1-9b90-9215d01f2c32">Restricted</Inspection_x0020_Code>
    <Judgment_x0020_Type xmlns="85512599-8531-48e1-9b90-9215d01f2c32">Final</Judgment_x0020_Type>
    <Document_x0020_Type xmlns="85512599-8531-48e1-9b90-9215d01f2c32">Judgment</Document_x0020_Type>
    <Publishing_x0020_Status xmlns="85512599-8531-48e1-9b90-9215d01f2c32">Ready for Publication</Publishing_x0020_Status>
    <Notes1 xmlns="85512599-8531-48e1-9b90-9215d01f2c32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599AD722C34EAC70355DA5F14A5E" ma:contentTypeVersion="" ma:contentTypeDescription="Create a new document." ma:contentTypeScope="" ma:versionID="6a375a7e0d234822a1e25deb6766d7a0">
  <xsd:schema xmlns:xsd="http://www.w3.org/2001/XMLSchema" xmlns:xs="http://www.w3.org/2001/XMLSchema" xmlns:p="http://schemas.microsoft.com/office/2006/metadata/properties" xmlns:ns2="85512599-8531-48e1-9b90-9215d01f2c32" xmlns:ns3="http://schemas.microsoft.com/sharepoint/v3/fields" targetNamespace="http://schemas.microsoft.com/office/2006/metadata/properties" ma:root="true" ma:fieldsID="996f48de914186299c09820322c7624b" ns2:_="" ns3:_="">
    <xsd:import namespace="85512599-8531-48e1-9b90-9215d01f2c3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cord_x0020_Authority"/>
                <xsd:element ref="ns2:Inspection_x0020_Code" minOccurs="0"/>
                <xsd:element ref="ns2:Notes1" minOccurs="0"/>
                <xsd:element ref="ns3:_DCDateCreated" minOccurs="0"/>
                <xsd:element ref="ns3:_DCDateModified" minOccurs="0"/>
                <xsd:element ref="ns2:Judgment_x0020_Type"/>
                <xsd:element ref="ns2:Publishing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12599-8531-48e1-9b90-9215d01f2c3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/>
      </xsd:simpleType>
    </xsd:element>
    <xsd:element name="Record_x0020_Authority" ma:index="9" ma:displayName="Record Authority" ma:description="Part A - Status of National Archive or Held in Perpetuity &#10;&#10;Part B - Candidate to be destroyed after a set period of time in accordance with the FCA and FCC Records Authority." ma:format="Dropdown" ma:internalName="Record_x0020_Authority">
      <xsd:simpleType>
        <xsd:restriction base="dms:Choice">
          <xsd:enumeration value="A"/>
          <xsd:enumeration value="B"/>
        </xsd:restriction>
      </xsd:simpleType>
    </xsd:element>
    <xsd:element name="Inspection_x0020_Code" ma:index="10" nillable="true" ma:displayName="Inspection Code" ma:default="Restricted" ma:format="Dropdown" ma:internalName="Inspection_x0020_Code">
      <xsd:simpleType>
        <xsd:restriction base="dms:Choice">
          <xsd:enumeration value="Restricted"/>
          <xsd:enumeration value="General"/>
        </xsd:restriction>
      </xsd:simpleType>
    </xsd:element>
    <xsd:element name="Notes1" ma:index="11" nillable="true" ma:displayName="Notes" ma:internalName="Notes1">
      <xsd:simpleType>
        <xsd:restriction base="dms:Note">
          <xsd:maxLength value="255"/>
        </xsd:restriction>
      </xsd:simpleType>
    </xsd:element>
    <xsd:element name="Judgment_x0020_Type" ma:index="14" ma:displayName="Judgment Type" ma:format="Dropdown" ma:internalName="Judgment_x0020_Type">
      <xsd:simpleType>
        <xsd:restriction base="dms:Choice">
          <xsd:enumeration value="Final"/>
          <xsd:enumeration value="Interim"/>
          <xsd:enumeration value="Costs"/>
          <xsd:enumeration value="Interlocutory"/>
        </xsd:restriction>
      </xsd:simpleType>
    </xsd:element>
    <xsd:element name="Publishing_x0020_Status" ma:index="15" ma:displayName="Publishing Status" ma:default="Not for Release" ma:format="Dropdown" ma:internalName="Publishing_x0020_Status">
      <xsd:simpleType>
        <xsd:restriction base="dms:Choice">
          <xsd:enumeration value="Not for Release"/>
          <xsd:enumeration value="Ready for Publi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3DB70-0337-4B17-8BB5-BD6362F2B44C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purl.org/dc/dcmitype/"/>
    <ds:schemaRef ds:uri="85512599-8531-48e1-9b90-9215d01f2c3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F1A5C4-3F76-4FAC-AF1A-2D11D4EE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12599-8531-48e1-9b90-9215d01f2c3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2CC2F-1728-4F00-B3F1-97728D00A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0</TotalTime>
  <Pages>9</Pages>
  <Words>2385</Words>
  <Characters>12804</Characters>
  <Application>Microsoft Office Word</Application>
  <DocSecurity>0</DocSecurity>
  <Lines>328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Lamont v University of Queensland (No 3) [2020] FCA 1005 </vt:lpstr>
    </vt:vector>
  </TitlesOfParts>
  <Company>Federal Court of Australia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Lamont v University of Queensland (No 3) [2020] FCA 1005</dc:title>
  <dc:creator>Leanne Bowles</dc:creator>
  <cp:lastModifiedBy>Sona Muradyan</cp:lastModifiedBy>
  <cp:revision>4</cp:revision>
  <cp:lastPrinted>2020-07-16T04:57:00Z</cp:lastPrinted>
  <dcterms:created xsi:type="dcterms:W3CDTF">2020-07-16T06:11:00Z</dcterms:created>
  <dcterms:modified xsi:type="dcterms:W3CDTF">2020-07-16T06:12:00Z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Judge" linkTarget="Judge">
    <vt:lpwstr>RANGIAH J</vt:lpwstr>
  </property>
  <property fmtid="{D5CDD505-2E9C-101B-9397-08002B2CF9AE}" pid="4" name="Judgment_dated" linkTarget="Judgment_dated">
    <vt:lpwstr>10 JULY 2020</vt:lpwstr>
  </property>
  <property fmtid="{D5CDD505-2E9C-101B-9397-08002B2CF9AE}" pid="5" name="Distribution">
    <vt:lpwstr>GENERAL DISTRIBUTION</vt:lpwstr>
  </property>
  <property fmtid="{D5CDD505-2E9C-101B-9397-08002B2CF9AE}" pid="6" name="MNC">
    <vt:lpwstr> </vt:lpwstr>
  </property>
  <property fmtid="{D5CDD505-2E9C-101B-9397-08002B2CF9AE}" pid="7" name="Pages">
    <vt:lpwstr>8</vt:lpwstr>
  </property>
  <property fmtid="{D5CDD505-2E9C-101B-9397-08002B2CF9AE}" pid="8" name="Parties">
    <vt:lpwstr> </vt:lpwstr>
  </property>
  <property fmtid="{D5CDD505-2E9C-101B-9397-08002B2CF9AE}" pid="9" name="Place">
    <vt:lpwstr>SYDNEY</vt:lpwstr>
  </property>
  <property fmtid="{D5CDD505-2E9C-101B-9397-08002B2CF9AE}" pid="10" name="Respondent">
    <vt:lpwstr> </vt:lpwstr>
  </property>
  <property fmtid="{D5CDD505-2E9C-101B-9397-08002B2CF9AE}" pid="11" name="State" linkTarget="State">
    <vt:lpwstr>NEW SOUTH WALES</vt:lpwstr>
  </property>
  <property fmtid="{D5CDD505-2E9C-101B-9397-08002B2CF9AE}" pid="12" name="Year">
    <vt:lpwstr>2006</vt:lpwstr>
  </property>
  <property fmtid="{D5CDD505-2E9C-101B-9397-08002B2CF9AE}" pid="13" name="Judgment Template">
    <vt:lpwstr>True</vt:lpwstr>
  </property>
  <property fmtid="{D5CDD505-2E9C-101B-9397-08002B2CF9AE}" pid="14" name="VERSION">
    <vt:lpwstr>16.0</vt:lpwstr>
  </property>
  <property fmtid="{D5CDD505-2E9C-101B-9397-08002B2CF9AE}" pid="15" name="Registry">
    <vt:lpwstr>Queensland</vt:lpwstr>
  </property>
  <property fmtid="{D5CDD505-2E9C-101B-9397-08002B2CF9AE}" pid="16" name="Division">
    <vt:lpwstr>Fair Work Division</vt:lpwstr>
  </property>
  <property fmtid="{D5CDD505-2E9C-101B-9397-08002B2CF9AE}" pid="17" name="FileNo">
    <vt:lpwstr>&lt;FILE NO&gt;</vt:lpwstr>
  </property>
  <property fmtid="{D5CDD505-2E9C-101B-9397-08002B2CF9AE}" pid="18" name="Practice Area">
    <vt:lpwstr>Employment &amp; Industrial Relations</vt:lpwstr>
  </property>
  <property fmtid="{D5CDD505-2E9C-101B-9397-08002B2CF9AE}" pid="19" name="Sub Area">
    <vt:lpwstr>Delete these rows - not required</vt:lpwstr>
  </property>
  <property fmtid="{D5CDD505-2E9C-101B-9397-08002B2CF9AE}" pid="20" name="Legislation">
    <vt:lpwstr>Legislation</vt:lpwstr>
  </property>
  <property fmtid="{D5CDD505-2E9C-101B-9397-08002B2CF9AE}" pid="21" name="Catchwords">
    <vt:lpwstr>Catchwords</vt:lpwstr>
  </property>
  <property fmtid="{D5CDD505-2E9C-101B-9397-08002B2CF9AE}" pid="22" name="Words_Phrases">
    <vt:lpwstr>WordsPhrases</vt:lpwstr>
  </property>
  <property fmtid="{D5CDD505-2E9C-101B-9397-08002B2CF9AE}" pid="23" name="Cases_Cited">
    <vt:lpwstr>CasesCited</vt:lpwstr>
  </property>
  <property fmtid="{D5CDD505-2E9C-101B-9397-08002B2CF9AE}" pid="24" name="File_Number">
    <vt:lpwstr>Num</vt:lpwstr>
  </property>
  <property fmtid="{D5CDD505-2E9C-101B-9397-08002B2CF9AE}" pid="25" name="ContentTypeId">
    <vt:lpwstr>0x01010004DF599AD722C34EAC70355DA5F14A5E</vt:lpwstr>
  </property>
</Properties>
</file>