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D31F3">
      <w:pPr>
        <w:pStyle w:val="MediaNeutralStyle"/>
      </w:pPr>
      <w:bookmarkStart w:id="0" w:name="MNC"/>
      <w:proofErr w:type="spellStart"/>
      <w:r>
        <w:t>Sanjel</w:t>
      </w:r>
      <w:proofErr w:type="spellEnd"/>
      <w:r>
        <w:t xml:space="preserve"> v </w:t>
      </w:r>
      <w:r w:rsidR="002D3CB3">
        <w:t>Minister for Immigration, Citizenship, Migrant Services and Multicultural Affairs</w:t>
      </w:r>
      <w:r>
        <w:t xml:space="preserve"> [2019] FCA </w:t>
      </w:r>
      <w:r w:rsidR="002D3CB3">
        <w:t>1966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83A74">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8D31F3" w:rsidP="002539B3">
            <w:pPr>
              <w:pStyle w:val="CasesLegislationAppealFrom"/>
              <w:spacing w:after="60"/>
            </w:pPr>
            <w:bookmarkStart w:id="1" w:name="AppealFrom"/>
            <w:proofErr w:type="spellStart"/>
            <w:r>
              <w:rPr>
                <w:i/>
              </w:rPr>
              <w:t>Sanjel</w:t>
            </w:r>
            <w:proofErr w:type="spellEnd"/>
            <w:r>
              <w:rPr>
                <w:i/>
              </w:rPr>
              <w:t xml:space="preserve"> v Minister for Home Affairs &amp; Anor </w:t>
            </w:r>
            <w:r>
              <w:t>[2019] FCCA 1436</w:t>
            </w:r>
            <w:r w:rsidR="009264B3">
              <w:t xml:space="preserve"> </w:t>
            </w:r>
            <w:bookmarkEnd w:id="1"/>
          </w:p>
        </w:tc>
      </w:tr>
      <w:tr w:rsidR="00395B24" w:rsidTr="00083A7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83A74">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8D31F3" w:rsidRDefault="00E8796C" w:rsidP="008D31F3">
            <w:pPr>
              <w:pStyle w:val="Normal1linespace"/>
              <w:jc w:val="left"/>
            </w:pPr>
            <w:fldSimple w:instr=" REF  FileNo  \* MERGEFORMAT " w:fldLock="1">
              <w:r w:rsidR="008D31F3" w:rsidRPr="008D31F3">
                <w:t>NSD 945 of 2019</w:t>
              </w:r>
            </w:fldSimple>
          </w:p>
        </w:tc>
      </w:tr>
      <w:tr w:rsidR="00395B24" w:rsidTr="00083A7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83A74">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8D31F3">
              <w:rPr>
                <w:b/>
              </w:rPr>
              <w:fldChar w:fldCharType="begin" w:fldLock="1"/>
            </w:r>
            <w:r w:rsidRPr="008D31F3">
              <w:rPr>
                <w:b/>
              </w:rPr>
              <w:instrText xml:space="preserve"> REF  Judge  \* MERGEFORMAT </w:instrText>
            </w:r>
            <w:r w:rsidRPr="008D31F3">
              <w:rPr>
                <w:b/>
              </w:rPr>
              <w:fldChar w:fldCharType="separate"/>
            </w:r>
            <w:r w:rsidR="008D31F3" w:rsidRPr="008D31F3">
              <w:rPr>
                <w:b/>
                <w:caps/>
                <w:szCs w:val="24"/>
              </w:rPr>
              <w:t>THAWLEY J</w:t>
            </w:r>
            <w:r w:rsidRPr="008D31F3">
              <w:rPr>
                <w:b/>
              </w:rPr>
              <w:fldChar w:fldCharType="end"/>
            </w:r>
          </w:p>
        </w:tc>
      </w:tr>
      <w:tr w:rsidR="00395B24" w:rsidTr="00083A7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83A7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2D3CB3">
            <w:pPr>
              <w:pStyle w:val="Normal1linespace"/>
              <w:widowControl w:val="0"/>
              <w:jc w:val="left"/>
            </w:pPr>
            <w:bookmarkStart w:id="2" w:name="JudgmentDate"/>
            <w:r>
              <w:t>21 November 2019</w:t>
            </w:r>
            <w:bookmarkEnd w:id="2"/>
          </w:p>
        </w:tc>
      </w:tr>
      <w:tr w:rsidR="00395B24" w:rsidTr="00083A7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83A7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516B4A" w:rsidRDefault="00516B4A" w:rsidP="00D82620">
            <w:pPr>
              <w:pStyle w:val="CasesLegislationAppealFrom"/>
              <w:spacing w:after="60"/>
            </w:pPr>
            <w:bookmarkStart w:id="3" w:name="Legislation"/>
            <w:r>
              <w:rPr>
                <w:i/>
              </w:rPr>
              <w:t xml:space="preserve">Federal Court of Australia Act 1976 </w:t>
            </w:r>
            <w:r>
              <w:t>(</w:t>
            </w:r>
            <w:proofErr w:type="spellStart"/>
            <w:r>
              <w:t>Cth</w:t>
            </w:r>
            <w:proofErr w:type="spellEnd"/>
            <w:r>
              <w:t>) s 24(1)(d), 25(1AA)(a)</w:t>
            </w:r>
          </w:p>
          <w:p w:rsidR="00691C17" w:rsidRDefault="00691C17" w:rsidP="00D82620">
            <w:pPr>
              <w:pStyle w:val="CasesLegislationAppealFrom"/>
              <w:spacing w:after="60"/>
            </w:pPr>
            <w:r w:rsidRPr="005E2351">
              <w:rPr>
                <w:i/>
              </w:rPr>
              <w:t>Migration Act</w:t>
            </w:r>
            <w:r>
              <w:rPr>
                <w:i/>
              </w:rPr>
              <w:t xml:space="preserve"> 1958</w:t>
            </w:r>
            <w:r w:rsidRPr="005E2351">
              <w:t xml:space="preserve"> (</w:t>
            </w:r>
            <w:proofErr w:type="spellStart"/>
            <w:r w:rsidRPr="005E2351">
              <w:t>Cth</w:t>
            </w:r>
            <w:proofErr w:type="spellEnd"/>
            <w:r w:rsidRPr="005E2351">
              <w:t>)</w:t>
            </w:r>
            <w:r>
              <w:t xml:space="preserve"> s 499</w:t>
            </w:r>
          </w:p>
          <w:p w:rsidR="00395B24" w:rsidRDefault="00516B4A" w:rsidP="00D82620">
            <w:pPr>
              <w:pStyle w:val="CasesLegislationAppealFrom"/>
              <w:spacing w:after="60"/>
            </w:pPr>
            <w:r w:rsidRPr="00966A43">
              <w:rPr>
                <w:i/>
              </w:rPr>
              <w:t xml:space="preserve">Migration </w:t>
            </w:r>
            <w:r w:rsidRPr="001948C4">
              <w:rPr>
                <w:i/>
              </w:rPr>
              <w:t>Regulations</w:t>
            </w:r>
            <w:r w:rsidRPr="00966A43">
              <w:rPr>
                <w:i/>
              </w:rPr>
              <w:t xml:space="preserve"> 1994</w:t>
            </w:r>
            <w:r>
              <w:t xml:space="preserve"> (</w:t>
            </w:r>
            <w:proofErr w:type="spellStart"/>
            <w:r>
              <w:t>Cth</w:t>
            </w:r>
            <w:proofErr w:type="spellEnd"/>
            <w:r>
              <w:t>) cl 500.212</w:t>
            </w:r>
            <w:r w:rsidR="002C7385">
              <w:t xml:space="preserve"> </w:t>
            </w:r>
            <w:bookmarkEnd w:id="3"/>
          </w:p>
        </w:tc>
      </w:tr>
      <w:tr w:rsidR="00395B24" w:rsidTr="00083A7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83A74">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16B4A" w:rsidRDefault="00516B4A" w:rsidP="00D82620">
            <w:pPr>
              <w:pStyle w:val="CasesLegislationAppealFrom"/>
              <w:spacing w:after="60"/>
            </w:pPr>
            <w:bookmarkStart w:id="4" w:name="Cases_Cited"/>
            <w:r>
              <w:rPr>
                <w:i/>
              </w:rPr>
              <w:t>AYF16 v Minister for Immigration and Border Protection</w:t>
            </w:r>
            <w:r>
              <w:t xml:space="preserve"> (2018) </w:t>
            </w:r>
            <w:r w:rsidRPr="00833531">
              <w:t>264 FCR 654</w:t>
            </w:r>
          </w:p>
          <w:p w:rsidR="00F357B2" w:rsidRDefault="00F357B2" w:rsidP="00D82620">
            <w:pPr>
              <w:pStyle w:val="CasesLegislationAppealFrom"/>
              <w:spacing w:after="60"/>
            </w:pPr>
            <w:r w:rsidRPr="001948C4">
              <w:rPr>
                <w:i/>
              </w:rPr>
              <w:t>Han</w:t>
            </w:r>
            <w:r w:rsidRPr="005F3D82">
              <w:rPr>
                <w:i/>
              </w:rPr>
              <w:t xml:space="preserve"> v Mini</w:t>
            </w:r>
            <w:r w:rsidRPr="006E03D9">
              <w:rPr>
                <w:i/>
              </w:rPr>
              <w:t xml:space="preserve">ster for Home Affairs </w:t>
            </w:r>
            <w:r>
              <w:t>[2019] FCA 331</w:t>
            </w:r>
          </w:p>
          <w:p w:rsidR="00516B4A" w:rsidRDefault="00516B4A" w:rsidP="00D82620">
            <w:pPr>
              <w:pStyle w:val="CasesLegislationAppealFrom"/>
              <w:spacing w:after="60"/>
            </w:pPr>
            <w:r w:rsidRPr="00FD3750">
              <w:rPr>
                <w:i/>
              </w:rPr>
              <w:t xml:space="preserve">Hicks v Minister for Immigration and Multicultural and Indigenous Affairs </w:t>
            </w:r>
            <w:r w:rsidRPr="00FD3750">
              <w:t>[2003] FCA 757</w:t>
            </w:r>
          </w:p>
          <w:p w:rsidR="00516B4A" w:rsidRDefault="00516B4A" w:rsidP="00D82620">
            <w:pPr>
              <w:pStyle w:val="CasesLegislationAppealFrom"/>
              <w:spacing w:after="60"/>
            </w:pPr>
            <w:proofErr w:type="spellStart"/>
            <w:r>
              <w:rPr>
                <w:i/>
              </w:rPr>
              <w:t>Sanjel</w:t>
            </w:r>
            <w:proofErr w:type="spellEnd"/>
            <w:r>
              <w:rPr>
                <w:i/>
              </w:rPr>
              <w:t xml:space="preserve"> v Minister for Home Affairs &amp; Anor </w:t>
            </w:r>
            <w:r>
              <w:t>[2019] FCCA 1436</w:t>
            </w:r>
          </w:p>
          <w:p w:rsidR="00395B24" w:rsidRDefault="0089541A" w:rsidP="00D82620">
            <w:pPr>
              <w:pStyle w:val="CasesLegislationAppealFrom"/>
              <w:spacing w:after="60"/>
            </w:pPr>
            <w:proofErr w:type="spellStart"/>
            <w:r w:rsidRPr="001948C4">
              <w:rPr>
                <w:i/>
              </w:rPr>
              <w:t>Vidiyala</w:t>
            </w:r>
            <w:proofErr w:type="spellEnd"/>
            <w:r w:rsidRPr="00976A68">
              <w:rPr>
                <w:i/>
              </w:rPr>
              <w:t xml:space="preserve"> v Minister for Home Affairs</w:t>
            </w:r>
            <w:r w:rsidRPr="00976A68">
              <w:t xml:space="preserve"> [2018] FCA 1973</w:t>
            </w:r>
            <w:r>
              <w:t xml:space="preserve"> </w:t>
            </w:r>
            <w:r w:rsidR="00516B4A">
              <w:t>W</w:t>
            </w:r>
            <w:r w:rsidR="00516B4A" w:rsidRPr="00364752">
              <w:rPr>
                <w:i/>
              </w:rPr>
              <w:t>ozniak v Minister for Immigration and Border Protection</w:t>
            </w:r>
            <w:r w:rsidR="00516B4A">
              <w:t xml:space="preserve"> (2017) 258 FCR 147</w:t>
            </w:r>
            <w:r w:rsidR="002C7385">
              <w:t xml:space="preserve"> </w:t>
            </w:r>
            <w:bookmarkEnd w:id="4"/>
          </w:p>
        </w:tc>
      </w:tr>
      <w:tr w:rsidR="00083A74" w:rsidRPr="00083A74" w:rsidTr="00083A74">
        <w:tc>
          <w:tcPr>
            <w:tcW w:w="3085" w:type="dxa"/>
            <w:shd w:val="clear" w:color="auto" w:fill="auto"/>
          </w:tcPr>
          <w:p w:rsidR="00083A74" w:rsidRPr="00083A74" w:rsidRDefault="00083A74" w:rsidP="00083A74">
            <w:pPr>
              <w:pStyle w:val="Normal1linespace"/>
              <w:jc w:val="left"/>
            </w:pPr>
          </w:p>
        </w:tc>
        <w:tc>
          <w:tcPr>
            <w:tcW w:w="5989" w:type="dxa"/>
            <w:shd w:val="clear" w:color="auto" w:fill="auto"/>
          </w:tcPr>
          <w:p w:rsidR="00083A74" w:rsidRPr="00083A74" w:rsidRDefault="00083A74" w:rsidP="00083A74">
            <w:pPr>
              <w:pStyle w:val="Normal1linespace"/>
              <w:jc w:val="left"/>
            </w:pPr>
          </w:p>
        </w:tc>
      </w:tr>
      <w:tr w:rsidR="00083A74" w:rsidRPr="00083A74" w:rsidTr="00083A74">
        <w:tc>
          <w:tcPr>
            <w:tcW w:w="3085" w:type="dxa"/>
            <w:shd w:val="clear" w:color="auto" w:fill="auto"/>
          </w:tcPr>
          <w:p w:rsidR="00083A74" w:rsidRPr="00083A74" w:rsidRDefault="00083A74" w:rsidP="00083A74">
            <w:pPr>
              <w:pStyle w:val="Normal1linespace"/>
              <w:jc w:val="left"/>
            </w:pPr>
            <w:bookmarkStart w:id="5" w:name="CounselDate" w:colFirst="0" w:colLast="2"/>
            <w:r w:rsidRPr="00083A74">
              <w:t>Date of hearing:</w:t>
            </w:r>
          </w:p>
        </w:tc>
        <w:tc>
          <w:tcPr>
            <w:tcW w:w="5989" w:type="dxa"/>
            <w:shd w:val="clear" w:color="auto" w:fill="auto"/>
          </w:tcPr>
          <w:p w:rsidR="00083A74" w:rsidRPr="00083A74" w:rsidRDefault="00083A74" w:rsidP="00083A74">
            <w:pPr>
              <w:pStyle w:val="Normal1linespace"/>
              <w:jc w:val="left"/>
            </w:pPr>
            <w:bookmarkStart w:id="6" w:name="HearingDate"/>
            <w:r>
              <w:t>21 November 2019</w:t>
            </w:r>
            <w:bookmarkEnd w:id="6"/>
          </w:p>
        </w:tc>
      </w:tr>
      <w:tr w:rsidR="00083A74" w:rsidRPr="00083A74" w:rsidTr="00083A74">
        <w:tc>
          <w:tcPr>
            <w:tcW w:w="3085" w:type="dxa"/>
            <w:shd w:val="clear" w:color="auto" w:fill="auto"/>
          </w:tcPr>
          <w:p w:rsidR="00083A74" w:rsidRPr="00083A74" w:rsidRDefault="00083A74" w:rsidP="00083A74">
            <w:pPr>
              <w:pStyle w:val="Normal1linespace"/>
              <w:jc w:val="left"/>
            </w:pPr>
          </w:p>
        </w:tc>
        <w:tc>
          <w:tcPr>
            <w:tcW w:w="5989" w:type="dxa"/>
            <w:shd w:val="clear" w:color="auto" w:fill="auto"/>
          </w:tcPr>
          <w:p w:rsidR="00083A74" w:rsidRPr="00083A74" w:rsidRDefault="00083A74" w:rsidP="00083A74">
            <w:pPr>
              <w:pStyle w:val="Normal1linespace"/>
              <w:jc w:val="left"/>
            </w:pPr>
          </w:p>
        </w:tc>
      </w:tr>
      <w:bookmarkEnd w:id="5"/>
      <w:tr w:rsidR="00083A74" w:rsidTr="00083A74">
        <w:tc>
          <w:tcPr>
            <w:tcW w:w="3085" w:type="dxa"/>
            <w:shd w:val="clear" w:color="auto" w:fill="auto"/>
          </w:tcPr>
          <w:p w:rsidR="00083A74" w:rsidRDefault="00083A74" w:rsidP="00083A74">
            <w:pPr>
              <w:pStyle w:val="Normal1linespace"/>
              <w:widowControl w:val="0"/>
              <w:jc w:val="left"/>
            </w:pPr>
            <w:r>
              <w:t>Registry:</w:t>
            </w:r>
          </w:p>
        </w:tc>
        <w:tc>
          <w:tcPr>
            <w:tcW w:w="5989" w:type="dxa"/>
            <w:shd w:val="clear" w:color="auto" w:fill="auto"/>
          </w:tcPr>
          <w:p w:rsidR="00083A74" w:rsidRPr="00F17599" w:rsidRDefault="00A1793E" w:rsidP="00083A74">
            <w:pPr>
              <w:pStyle w:val="Normal1linespace"/>
              <w:widowControl w:val="0"/>
              <w:jc w:val="left"/>
            </w:pPr>
            <w:r>
              <w:fldChar w:fldCharType="begin" w:fldLock="1"/>
            </w:r>
            <w:r>
              <w:instrText xml:space="preserve"> DOCPROPERTY  Registry </w:instrText>
            </w:r>
            <w:r>
              <w:fldChar w:fldCharType="separate"/>
            </w:r>
            <w:r w:rsidR="00083A74">
              <w:t>New South Wales</w:t>
            </w:r>
            <w:r>
              <w:fldChar w:fldCharType="end"/>
            </w:r>
          </w:p>
        </w:tc>
      </w:tr>
      <w:tr w:rsidR="00083A74" w:rsidTr="00083A74">
        <w:tc>
          <w:tcPr>
            <w:tcW w:w="3085" w:type="dxa"/>
            <w:shd w:val="clear" w:color="auto" w:fill="auto"/>
          </w:tcPr>
          <w:p w:rsidR="00083A74" w:rsidRDefault="00083A74" w:rsidP="00083A74">
            <w:pPr>
              <w:pStyle w:val="Normal1linespace"/>
              <w:widowControl w:val="0"/>
              <w:jc w:val="left"/>
            </w:pPr>
          </w:p>
        </w:tc>
        <w:tc>
          <w:tcPr>
            <w:tcW w:w="5989" w:type="dxa"/>
            <w:shd w:val="clear" w:color="auto" w:fill="auto"/>
          </w:tcPr>
          <w:p w:rsidR="00083A74" w:rsidRDefault="00083A74" w:rsidP="00083A74">
            <w:pPr>
              <w:pStyle w:val="Normal1linespace"/>
              <w:widowControl w:val="0"/>
              <w:jc w:val="left"/>
            </w:pPr>
          </w:p>
        </w:tc>
      </w:tr>
      <w:tr w:rsidR="00083A74" w:rsidTr="00083A74">
        <w:tc>
          <w:tcPr>
            <w:tcW w:w="3085" w:type="dxa"/>
            <w:shd w:val="clear" w:color="auto" w:fill="auto"/>
          </w:tcPr>
          <w:p w:rsidR="00083A74" w:rsidRDefault="00083A74" w:rsidP="00083A74">
            <w:pPr>
              <w:pStyle w:val="Normal1linespace"/>
              <w:widowControl w:val="0"/>
              <w:jc w:val="left"/>
            </w:pPr>
            <w:r>
              <w:t>Division:</w:t>
            </w:r>
          </w:p>
        </w:tc>
        <w:tc>
          <w:tcPr>
            <w:tcW w:w="5989" w:type="dxa"/>
            <w:shd w:val="clear" w:color="auto" w:fill="auto"/>
          </w:tcPr>
          <w:p w:rsidR="00083A74" w:rsidRPr="00F17599" w:rsidRDefault="00A1793E" w:rsidP="00083A74">
            <w:pPr>
              <w:pStyle w:val="Normal1linespace"/>
              <w:widowControl w:val="0"/>
              <w:jc w:val="left"/>
            </w:pPr>
            <w:r>
              <w:fldChar w:fldCharType="begin" w:fldLock="1"/>
            </w:r>
            <w:r>
              <w:instrText xml:space="preserve"> DOCPROPERTY  Division </w:instrText>
            </w:r>
            <w:r>
              <w:fldChar w:fldCharType="separate"/>
            </w:r>
            <w:r w:rsidR="00083A74">
              <w:t>General Division</w:t>
            </w:r>
            <w:r>
              <w:fldChar w:fldCharType="end"/>
            </w:r>
          </w:p>
        </w:tc>
      </w:tr>
      <w:tr w:rsidR="00083A74" w:rsidTr="00083A74">
        <w:tc>
          <w:tcPr>
            <w:tcW w:w="3085" w:type="dxa"/>
            <w:shd w:val="clear" w:color="auto" w:fill="auto"/>
          </w:tcPr>
          <w:p w:rsidR="00083A74" w:rsidRDefault="00083A74" w:rsidP="00083A74">
            <w:pPr>
              <w:pStyle w:val="Normal1linespace"/>
              <w:widowControl w:val="0"/>
              <w:jc w:val="left"/>
            </w:pPr>
          </w:p>
        </w:tc>
        <w:tc>
          <w:tcPr>
            <w:tcW w:w="5989" w:type="dxa"/>
            <w:shd w:val="clear" w:color="auto" w:fill="auto"/>
          </w:tcPr>
          <w:p w:rsidR="00083A74" w:rsidRPr="00F17599" w:rsidRDefault="00083A74" w:rsidP="00083A74">
            <w:pPr>
              <w:pStyle w:val="Normal1linespace"/>
              <w:widowControl w:val="0"/>
              <w:jc w:val="left"/>
              <w:rPr>
                <w:b/>
              </w:rPr>
            </w:pPr>
          </w:p>
        </w:tc>
      </w:tr>
      <w:tr w:rsidR="00083A74" w:rsidTr="00083A74">
        <w:tc>
          <w:tcPr>
            <w:tcW w:w="3085" w:type="dxa"/>
            <w:shd w:val="clear" w:color="auto" w:fill="auto"/>
          </w:tcPr>
          <w:p w:rsidR="00083A74" w:rsidRDefault="00083A74" w:rsidP="00083A74">
            <w:pPr>
              <w:pStyle w:val="Normal1linespace"/>
              <w:widowControl w:val="0"/>
              <w:jc w:val="left"/>
            </w:pPr>
            <w:r>
              <w:t>National Practice Area:</w:t>
            </w:r>
          </w:p>
        </w:tc>
        <w:tc>
          <w:tcPr>
            <w:tcW w:w="5989" w:type="dxa"/>
            <w:shd w:val="clear" w:color="auto" w:fill="auto"/>
          </w:tcPr>
          <w:p w:rsidR="00083A74" w:rsidRPr="00F17599" w:rsidRDefault="00A1793E" w:rsidP="00083A74">
            <w:pPr>
              <w:pStyle w:val="Normal1linespace"/>
              <w:widowControl w:val="0"/>
              <w:jc w:val="left"/>
              <w:rPr>
                <w:b/>
              </w:rPr>
            </w:pPr>
            <w:r>
              <w:fldChar w:fldCharType="begin" w:fldLock="1"/>
            </w:r>
            <w:r>
              <w:instrText xml:space="preserve"> DOCPROPERTY  "Practice Area"  \* MERGEFORMAT </w:instrText>
            </w:r>
            <w:r>
              <w:fldChar w:fldCharType="separate"/>
            </w:r>
            <w:r w:rsidR="00083A74">
              <w:t>Administrative and Constitutional Law and Human Rights</w:t>
            </w:r>
            <w:r>
              <w:fldChar w:fldCharType="end"/>
            </w:r>
          </w:p>
        </w:tc>
      </w:tr>
      <w:tr w:rsidR="00083A74" w:rsidTr="00083A74">
        <w:tc>
          <w:tcPr>
            <w:tcW w:w="3085" w:type="dxa"/>
            <w:shd w:val="clear" w:color="auto" w:fill="auto"/>
          </w:tcPr>
          <w:p w:rsidR="00083A74" w:rsidRDefault="00083A74" w:rsidP="00083A74">
            <w:pPr>
              <w:pStyle w:val="Normal1linespace"/>
              <w:widowControl w:val="0"/>
              <w:jc w:val="left"/>
            </w:pPr>
          </w:p>
        </w:tc>
        <w:tc>
          <w:tcPr>
            <w:tcW w:w="5989" w:type="dxa"/>
            <w:shd w:val="clear" w:color="auto" w:fill="auto"/>
          </w:tcPr>
          <w:p w:rsidR="00083A74" w:rsidRDefault="00083A74" w:rsidP="00083A74">
            <w:pPr>
              <w:pStyle w:val="Normal1linespace"/>
              <w:widowControl w:val="0"/>
              <w:jc w:val="left"/>
            </w:pPr>
          </w:p>
        </w:tc>
      </w:tr>
      <w:tr w:rsidR="00083A74" w:rsidTr="00083A74">
        <w:tc>
          <w:tcPr>
            <w:tcW w:w="3085" w:type="dxa"/>
            <w:shd w:val="clear" w:color="auto" w:fill="auto"/>
          </w:tcPr>
          <w:p w:rsidR="00083A74" w:rsidRDefault="00083A74" w:rsidP="00083A74">
            <w:pPr>
              <w:pStyle w:val="Normal1linespace"/>
              <w:widowControl w:val="0"/>
              <w:jc w:val="left"/>
            </w:pPr>
            <w:r>
              <w:t>Category:</w:t>
            </w:r>
          </w:p>
        </w:tc>
        <w:tc>
          <w:tcPr>
            <w:tcW w:w="5989" w:type="dxa"/>
            <w:shd w:val="clear" w:color="auto" w:fill="auto"/>
          </w:tcPr>
          <w:p w:rsidR="00083A74" w:rsidRPr="00FD32F5" w:rsidRDefault="00083A74" w:rsidP="00083A74">
            <w:pPr>
              <w:pStyle w:val="Normal1linespace"/>
              <w:widowControl w:val="0"/>
              <w:jc w:val="left"/>
            </w:pPr>
            <w:r w:rsidRPr="00FD32F5">
              <w:t>No Catchwords</w:t>
            </w:r>
          </w:p>
        </w:tc>
      </w:tr>
      <w:tr w:rsidR="00083A74" w:rsidTr="00083A74">
        <w:tc>
          <w:tcPr>
            <w:tcW w:w="3085" w:type="dxa"/>
            <w:shd w:val="clear" w:color="auto" w:fill="auto"/>
          </w:tcPr>
          <w:p w:rsidR="00083A74" w:rsidRDefault="00083A74" w:rsidP="00083A74">
            <w:pPr>
              <w:pStyle w:val="Normal1linespace"/>
              <w:widowControl w:val="0"/>
              <w:jc w:val="left"/>
            </w:pPr>
          </w:p>
        </w:tc>
        <w:tc>
          <w:tcPr>
            <w:tcW w:w="5989" w:type="dxa"/>
            <w:shd w:val="clear" w:color="auto" w:fill="auto"/>
          </w:tcPr>
          <w:p w:rsidR="00083A74" w:rsidRDefault="00083A74" w:rsidP="00083A74">
            <w:pPr>
              <w:pStyle w:val="Normal1linespace"/>
              <w:widowControl w:val="0"/>
              <w:jc w:val="left"/>
            </w:pPr>
          </w:p>
        </w:tc>
      </w:tr>
      <w:tr w:rsidR="00083A74" w:rsidTr="00083A74">
        <w:tc>
          <w:tcPr>
            <w:tcW w:w="3085" w:type="dxa"/>
            <w:shd w:val="clear" w:color="auto" w:fill="auto"/>
          </w:tcPr>
          <w:p w:rsidR="00083A74" w:rsidRDefault="00083A74" w:rsidP="00083A74">
            <w:pPr>
              <w:pStyle w:val="Normal1linespace"/>
              <w:widowControl w:val="0"/>
              <w:jc w:val="left"/>
            </w:pPr>
            <w:r>
              <w:t>Number of paragraphs:</w:t>
            </w:r>
          </w:p>
        </w:tc>
        <w:tc>
          <w:tcPr>
            <w:tcW w:w="5989" w:type="dxa"/>
            <w:shd w:val="clear" w:color="auto" w:fill="auto"/>
          </w:tcPr>
          <w:p w:rsidR="00083A74" w:rsidRDefault="00083A74" w:rsidP="00083A74">
            <w:pPr>
              <w:pStyle w:val="Normal1linespace"/>
              <w:widowControl w:val="0"/>
              <w:jc w:val="left"/>
            </w:pPr>
            <w:bookmarkStart w:id="7" w:name="PlaceCategoryParagraphs"/>
            <w:r>
              <w:t>29</w:t>
            </w:r>
            <w:bookmarkEnd w:id="7"/>
          </w:p>
        </w:tc>
      </w:tr>
      <w:tr w:rsidR="00083A74" w:rsidTr="00083A74">
        <w:tc>
          <w:tcPr>
            <w:tcW w:w="3085" w:type="dxa"/>
            <w:shd w:val="clear" w:color="auto" w:fill="auto"/>
          </w:tcPr>
          <w:p w:rsidR="00083A74" w:rsidRDefault="00083A74" w:rsidP="00083A74">
            <w:pPr>
              <w:pStyle w:val="Normal1linespace"/>
              <w:widowControl w:val="0"/>
              <w:jc w:val="left"/>
            </w:pPr>
          </w:p>
        </w:tc>
        <w:tc>
          <w:tcPr>
            <w:tcW w:w="5989" w:type="dxa"/>
            <w:shd w:val="clear" w:color="auto" w:fill="auto"/>
          </w:tcPr>
          <w:p w:rsidR="00083A74" w:rsidRDefault="00083A74" w:rsidP="00083A74">
            <w:pPr>
              <w:pStyle w:val="Normal1linespace"/>
              <w:widowControl w:val="0"/>
              <w:jc w:val="left"/>
            </w:pPr>
          </w:p>
        </w:tc>
      </w:tr>
      <w:tr w:rsidR="00083A74" w:rsidTr="00083A74">
        <w:tc>
          <w:tcPr>
            <w:tcW w:w="3085" w:type="dxa"/>
            <w:shd w:val="clear" w:color="auto" w:fill="auto"/>
          </w:tcPr>
          <w:p w:rsidR="00083A74" w:rsidRDefault="00083A74" w:rsidP="00083A74">
            <w:pPr>
              <w:pStyle w:val="Normal1linespace"/>
              <w:widowControl w:val="0"/>
              <w:jc w:val="left"/>
            </w:pPr>
            <w:bookmarkStart w:id="8" w:name="Counsel" w:colFirst="0" w:colLast="2"/>
            <w:r>
              <w:t>Counsel for the Appellant:</w:t>
            </w:r>
          </w:p>
        </w:tc>
        <w:tc>
          <w:tcPr>
            <w:tcW w:w="5989" w:type="dxa"/>
            <w:shd w:val="clear" w:color="auto" w:fill="auto"/>
          </w:tcPr>
          <w:p w:rsidR="00083A74" w:rsidRDefault="00E8796C" w:rsidP="00083A74">
            <w:pPr>
              <w:pStyle w:val="Normal1linespace"/>
              <w:widowControl w:val="0"/>
              <w:jc w:val="left"/>
            </w:pPr>
            <w:bookmarkStart w:id="9" w:name="AppCounsel"/>
            <w:bookmarkEnd w:id="9"/>
            <w:r>
              <w:t>T</w:t>
            </w:r>
            <w:r w:rsidR="00083A74">
              <w:t>he appellant appeared in person</w:t>
            </w:r>
          </w:p>
        </w:tc>
      </w:tr>
      <w:tr w:rsidR="00083A74" w:rsidTr="00083A74">
        <w:tc>
          <w:tcPr>
            <w:tcW w:w="3085" w:type="dxa"/>
            <w:shd w:val="clear" w:color="auto" w:fill="auto"/>
          </w:tcPr>
          <w:p w:rsidR="00083A74" w:rsidRDefault="00083A74" w:rsidP="00083A74">
            <w:pPr>
              <w:pStyle w:val="Normal1linespace"/>
              <w:widowControl w:val="0"/>
              <w:jc w:val="left"/>
            </w:pPr>
          </w:p>
        </w:tc>
        <w:tc>
          <w:tcPr>
            <w:tcW w:w="5989" w:type="dxa"/>
            <w:shd w:val="clear" w:color="auto" w:fill="auto"/>
          </w:tcPr>
          <w:p w:rsidR="00083A74" w:rsidRDefault="00083A74" w:rsidP="00083A74">
            <w:pPr>
              <w:pStyle w:val="Normal1linespace"/>
              <w:widowControl w:val="0"/>
              <w:jc w:val="left"/>
            </w:pPr>
          </w:p>
        </w:tc>
      </w:tr>
      <w:tr w:rsidR="00083A74" w:rsidTr="00083A74">
        <w:tc>
          <w:tcPr>
            <w:tcW w:w="3085" w:type="dxa"/>
            <w:shd w:val="clear" w:color="auto" w:fill="auto"/>
          </w:tcPr>
          <w:p w:rsidR="00083A74" w:rsidRDefault="00083A74" w:rsidP="00083A74">
            <w:pPr>
              <w:pStyle w:val="Normal1linespace"/>
              <w:widowControl w:val="0"/>
              <w:jc w:val="left"/>
            </w:pPr>
            <w:r>
              <w:t>Counsel for the Respondents:</w:t>
            </w:r>
          </w:p>
        </w:tc>
        <w:tc>
          <w:tcPr>
            <w:tcW w:w="5989" w:type="dxa"/>
            <w:shd w:val="clear" w:color="auto" w:fill="auto"/>
          </w:tcPr>
          <w:p w:rsidR="00083A74" w:rsidRDefault="00083A74" w:rsidP="00083A74">
            <w:pPr>
              <w:pStyle w:val="Normal1linespace"/>
              <w:widowControl w:val="0"/>
              <w:jc w:val="left"/>
            </w:pPr>
            <w:r>
              <w:t>Mr G Johnson</w:t>
            </w:r>
          </w:p>
        </w:tc>
      </w:tr>
      <w:tr w:rsidR="00083A74" w:rsidTr="00083A74">
        <w:tc>
          <w:tcPr>
            <w:tcW w:w="3085" w:type="dxa"/>
            <w:shd w:val="clear" w:color="auto" w:fill="auto"/>
          </w:tcPr>
          <w:p w:rsidR="00083A74" w:rsidRDefault="00083A74" w:rsidP="00083A74">
            <w:pPr>
              <w:pStyle w:val="Normal1linespace"/>
              <w:widowControl w:val="0"/>
              <w:jc w:val="left"/>
            </w:pPr>
          </w:p>
        </w:tc>
        <w:tc>
          <w:tcPr>
            <w:tcW w:w="5989" w:type="dxa"/>
            <w:shd w:val="clear" w:color="auto" w:fill="auto"/>
          </w:tcPr>
          <w:p w:rsidR="00083A74" w:rsidRDefault="00CD7F1B" w:rsidP="00CD7F1B">
            <w:pPr>
              <w:pStyle w:val="Normal1linespace"/>
              <w:widowControl w:val="0"/>
              <w:tabs>
                <w:tab w:val="left" w:pos="1200"/>
              </w:tabs>
              <w:jc w:val="left"/>
            </w:pPr>
            <w:r>
              <w:tab/>
            </w:r>
          </w:p>
        </w:tc>
      </w:tr>
      <w:tr w:rsidR="00083A74" w:rsidTr="00083A74">
        <w:tc>
          <w:tcPr>
            <w:tcW w:w="3085" w:type="dxa"/>
            <w:shd w:val="clear" w:color="auto" w:fill="auto"/>
          </w:tcPr>
          <w:p w:rsidR="00083A74" w:rsidRDefault="00083A74" w:rsidP="00083A74">
            <w:pPr>
              <w:pStyle w:val="Normal1linespace"/>
              <w:widowControl w:val="0"/>
              <w:jc w:val="left"/>
            </w:pPr>
            <w:r>
              <w:lastRenderedPageBreak/>
              <w:t>Solicitor for the Respondents:</w:t>
            </w:r>
          </w:p>
        </w:tc>
        <w:tc>
          <w:tcPr>
            <w:tcW w:w="5989" w:type="dxa"/>
            <w:shd w:val="clear" w:color="auto" w:fill="auto"/>
          </w:tcPr>
          <w:p w:rsidR="00083A74" w:rsidRDefault="00083A74" w:rsidP="00083A74">
            <w:pPr>
              <w:pStyle w:val="Normal1linespace"/>
              <w:widowControl w:val="0"/>
              <w:jc w:val="left"/>
            </w:pPr>
            <w:r>
              <w:t>DLA Piper</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D31F3" w:rsidP="00F92355">
            <w:pPr>
              <w:pStyle w:val="NormalHeadings"/>
              <w:jc w:val="right"/>
            </w:pPr>
            <w:bookmarkStart w:id="10" w:name="FileNo"/>
            <w:r>
              <w:t>NSD 945 of 2019</w:t>
            </w:r>
            <w:bookmarkEnd w:id="10"/>
          </w:p>
        </w:tc>
      </w:tr>
      <w:tr w:rsidR="00A76C13" w:rsidTr="00575D4B">
        <w:tc>
          <w:tcPr>
            <w:tcW w:w="9242" w:type="dxa"/>
            <w:gridSpan w:val="3"/>
          </w:tcPr>
          <w:p w:rsidR="00A76C13" w:rsidRPr="00A76C13" w:rsidRDefault="008D31F3" w:rsidP="008D31F3">
            <w:pPr>
              <w:pStyle w:val="NormalHeadings"/>
              <w:jc w:val="left"/>
            </w:pPr>
            <w:bookmarkStart w:id="11" w:name="InTheMatterOf"/>
            <w:r>
              <w:t xml:space="preserve"> </w:t>
            </w:r>
            <w:bookmarkEnd w:id="11"/>
          </w:p>
        </w:tc>
      </w:tr>
      <w:tr w:rsidR="00A46CCC" w:rsidTr="00575D4B">
        <w:trPr>
          <w:trHeight w:val="386"/>
        </w:trPr>
        <w:tc>
          <w:tcPr>
            <w:tcW w:w="2376" w:type="dxa"/>
          </w:tcPr>
          <w:p w:rsidR="00A46CCC" w:rsidRDefault="00A46CCC" w:rsidP="00575D4B">
            <w:pPr>
              <w:pStyle w:val="NormalHeadings"/>
              <w:jc w:val="left"/>
              <w:rPr>
                <w:caps/>
                <w:szCs w:val="24"/>
              </w:rPr>
            </w:pPr>
            <w:bookmarkStart w:id="12" w:name="Parties"/>
            <w:r>
              <w:rPr>
                <w:caps/>
                <w:szCs w:val="24"/>
              </w:rPr>
              <w:t>BETWEEN:</w:t>
            </w:r>
          </w:p>
        </w:tc>
        <w:tc>
          <w:tcPr>
            <w:tcW w:w="6866" w:type="dxa"/>
            <w:gridSpan w:val="2"/>
          </w:tcPr>
          <w:p w:rsidR="008D31F3" w:rsidRDefault="008D31F3" w:rsidP="008D31F3">
            <w:pPr>
              <w:pStyle w:val="NormalHeadings"/>
              <w:jc w:val="left"/>
            </w:pPr>
            <w:bookmarkStart w:id="13" w:name="Applicant"/>
            <w:r>
              <w:t>MAHESH SANJEL</w:t>
            </w:r>
          </w:p>
          <w:p w:rsidR="008D31F3" w:rsidRDefault="008D31F3" w:rsidP="008D31F3">
            <w:pPr>
              <w:pStyle w:val="PartyType"/>
            </w:pPr>
            <w:r>
              <w:t>Appellant</w:t>
            </w:r>
          </w:p>
          <w:bookmarkEnd w:id="13"/>
          <w:p w:rsidR="00A46CCC" w:rsidRPr="006555B4" w:rsidRDefault="00A46CCC" w:rsidP="00575D4B">
            <w:pPr>
              <w:pStyle w:val="NormalHeadings"/>
              <w:jc w:val="left"/>
            </w:pPr>
          </w:p>
        </w:tc>
      </w:tr>
      <w:tr w:rsidR="00A46CCC" w:rsidTr="00575D4B">
        <w:trPr>
          <w:trHeight w:val="386"/>
        </w:trPr>
        <w:tc>
          <w:tcPr>
            <w:tcW w:w="2376" w:type="dxa"/>
          </w:tcPr>
          <w:p w:rsidR="00A46CCC" w:rsidRDefault="00A46CCC" w:rsidP="00575D4B">
            <w:pPr>
              <w:pStyle w:val="NormalHeadings"/>
              <w:jc w:val="left"/>
              <w:rPr>
                <w:caps/>
                <w:szCs w:val="24"/>
              </w:rPr>
            </w:pPr>
            <w:r>
              <w:rPr>
                <w:caps/>
                <w:szCs w:val="24"/>
              </w:rPr>
              <w:t>AND:</w:t>
            </w:r>
          </w:p>
        </w:tc>
        <w:tc>
          <w:tcPr>
            <w:tcW w:w="6866" w:type="dxa"/>
            <w:gridSpan w:val="2"/>
          </w:tcPr>
          <w:p w:rsidR="008D31F3" w:rsidRDefault="00E120E2" w:rsidP="008D31F3">
            <w:pPr>
              <w:pStyle w:val="NormalHeadings"/>
              <w:jc w:val="left"/>
            </w:pPr>
            <w:bookmarkStart w:id="14" w:name="Respondent"/>
            <w:r w:rsidRPr="00E120E2">
              <w:t xml:space="preserve">MINISTER FOR IMMIGRATION, CITIZENSHIP, MIGRANT SERVICES AND MULTICULTURAL AFFAIRS </w:t>
            </w:r>
          </w:p>
          <w:p w:rsidR="008D31F3" w:rsidRDefault="008D31F3" w:rsidP="008D31F3">
            <w:pPr>
              <w:pStyle w:val="PartyType"/>
            </w:pPr>
            <w:r>
              <w:t>First Respondent</w:t>
            </w:r>
          </w:p>
          <w:p w:rsidR="008D31F3" w:rsidRDefault="008D31F3" w:rsidP="00575D4B">
            <w:pPr>
              <w:pStyle w:val="NormalHeadings"/>
              <w:jc w:val="left"/>
              <w:rPr>
                <w:szCs w:val="24"/>
              </w:rPr>
            </w:pPr>
          </w:p>
          <w:p w:rsidR="008D31F3" w:rsidRDefault="008D31F3" w:rsidP="008D31F3">
            <w:pPr>
              <w:pStyle w:val="NormalHeadings"/>
              <w:jc w:val="left"/>
            </w:pPr>
            <w:r>
              <w:t>ADMINISTRATIVE APPEALS TRIBUNAL</w:t>
            </w:r>
          </w:p>
          <w:p w:rsidR="008D31F3" w:rsidRDefault="008D31F3" w:rsidP="008D31F3">
            <w:pPr>
              <w:pStyle w:val="PartyType"/>
            </w:pPr>
            <w:r>
              <w:t>Second Respondent</w:t>
            </w:r>
          </w:p>
          <w:bookmarkEnd w:id="14"/>
          <w:p w:rsidR="00A46CCC" w:rsidRPr="006555B4" w:rsidRDefault="00A46CCC" w:rsidP="00575D4B">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D31F3">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8D31F3">
            <w:pPr>
              <w:pStyle w:val="NormalHeadings"/>
              <w:jc w:val="left"/>
              <w:rPr>
                <w:caps/>
                <w:szCs w:val="24"/>
              </w:rPr>
            </w:pPr>
            <w:bookmarkStart w:id="17" w:name="Judge"/>
            <w:r>
              <w:rPr>
                <w:caps/>
                <w:szCs w:val="24"/>
              </w:rPr>
              <w:t>THAWLEY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16B4A">
            <w:pPr>
              <w:pStyle w:val="NormalHeadings"/>
              <w:jc w:val="left"/>
              <w:rPr>
                <w:caps/>
                <w:szCs w:val="24"/>
              </w:rPr>
            </w:pPr>
            <w:r>
              <w:rPr>
                <w:caps/>
                <w:szCs w:val="24"/>
              </w:rPr>
              <w:t>21 November 2019</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F1472" w:rsidRDefault="003F1472" w:rsidP="00B724C1">
      <w:pPr>
        <w:pStyle w:val="Order1"/>
      </w:pPr>
      <w:bookmarkStart w:id="18" w:name="Order_Start_Text"/>
      <w:bookmarkEnd w:id="18"/>
      <w:r>
        <w:t>The name of the first respondent be changed to the Minister for Immigration, Citizenship, Migrant Services and Multicultural Affairs.</w:t>
      </w:r>
    </w:p>
    <w:p w:rsidR="007327AD" w:rsidRDefault="00B724C1" w:rsidP="00B724C1">
      <w:pPr>
        <w:pStyle w:val="Order1"/>
      </w:pPr>
      <w:r w:rsidRPr="00B724C1">
        <w:t xml:space="preserve">The appeal is dismissed </w:t>
      </w:r>
    </w:p>
    <w:p w:rsidR="00B724C1" w:rsidRPr="00B724C1" w:rsidRDefault="007327AD" w:rsidP="00B724C1">
      <w:pPr>
        <w:pStyle w:val="Order1"/>
      </w:pPr>
      <w:r>
        <w:t>The appellant is to pay the first respondents</w:t>
      </w:r>
      <w:r w:rsidR="00B724C1" w:rsidRPr="00B724C1">
        <w:t xml:space="preserve"> costs.</w:t>
      </w:r>
    </w:p>
    <w:p w:rsidR="00395B24" w:rsidRDefault="00395B24" w:rsidP="001948C4">
      <w:pPr>
        <w:pStyle w:val="Order1"/>
        <w:numPr>
          <w:ilvl w:val="0"/>
          <w:numId w:val="0"/>
        </w:numPr>
        <w:ind w:left="720"/>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16124B" w:rsidRPr="00045BB7" w:rsidRDefault="0016124B" w:rsidP="00045BB7">
      <w:pPr>
        <w:pStyle w:val="NormalHeadings"/>
        <w:spacing w:line="480" w:lineRule="auto"/>
        <w:jc w:val="center"/>
        <w:rPr>
          <w:sz w:val="28"/>
          <w:szCs w:val="28"/>
        </w:rPr>
      </w:pPr>
      <w:r>
        <w:rPr>
          <w:sz w:val="28"/>
          <w:szCs w:val="28"/>
        </w:rPr>
        <w:t>(Revised from transcript)</w:t>
      </w:r>
    </w:p>
    <w:p w:rsidR="00395B24" w:rsidRPr="00EA03CE" w:rsidRDefault="008D31F3" w:rsidP="005E0510">
      <w:pPr>
        <w:pStyle w:val="NormalHeadings"/>
        <w:spacing w:line="360" w:lineRule="auto"/>
        <w:jc w:val="left"/>
        <w:rPr>
          <w:sz w:val="26"/>
          <w:szCs w:val="26"/>
        </w:rPr>
      </w:pPr>
      <w:r>
        <w:rPr>
          <w:sz w:val="26"/>
          <w:szCs w:val="26"/>
        </w:rPr>
        <w:t>THAWLEY J</w:t>
      </w:r>
      <w:r w:rsidR="00484F6D" w:rsidRPr="00EA03CE">
        <w:rPr>
          <w:sz w:val="26"/>
          <w:szCs w:val="26"/>
        </w:rPr>
        <w:t>:</w:t>
      </w:r>
    </w:p>
    <w:p w:rsidR="00C23A9D" w:rsidRDefault="00BE2087" w:rsidP="008A4B69">
      <w:pPr>
        <w:pStyle w:val="ParaNumbering"/>
      </w:pPr>
      <w:r>
        <w:t xml:space="preserve">This is an appeal from </w:t>
      </w:r>
      <w:r w:rsidR="005057E1">
        <w:t>orders</w:t>
      </w:r>
      <w:r w:rsidR="00BF4571">
        <w:t xml:space="preserve"> </w:t>
      </w:r>
      <w:r w:rsidR="00D23B83">
        <w:t>of</w:t>
      </w:r>
      <w:r w:rsidR="00BF4571">
        <w:t xml:space="preserve"> </w:t>
      </w:r>
      <w:r w:rsidR="00D23B83">
        <w:t>the Federal Circuit Court</w:t>
      </w:r>
      <w:r w:rsidR="000451EF">
        <w:t xml:space="preserve"> made</w:t>
      </w:r>
      <w:r w:rsidR="00D23B83">
        <w:t xml:space="preserve"> </w:t>
      </w:r>
      <w:r w:rsidR="008A4B69" w:rsidRPr="008A4B69">
        <w:t>on 28 May 2019</w:t>
      </w:r>
      <w:r w:rsidR="008A4B69">
        <w:t xml:space="preserve"> </w:t>
      </w:r>
      <w:r w:rsidR="00BF4571">
        <w:t>dismissing an application for judicial review</w:t>
      </w:r>
      <w:r w:rsidR="00F0147B">
        <w:t xml:space="preserve"> of a decision </w:t>
      </w:r>
      <w:r w:rsidR="00AE1AB4">
        <w:t xml:space="preserve">of </w:t>
      </w:r>
      <w:r w:rsidR="00F0147B">
        <w:t xml:space="preserve">the Administrative Appeals </w:t>
      </w:r>
      <w:r w:rsidR="00F0147B" w:rsidRPr="00F0147B">
        <w:rPr>
          <w:b/>
        </w:rPr>
        <w:t>Tribunal</w:t>
      </w:r>
      <w:r w:rsidR="00C23A9D" w:rsidRPr="00C23A9D">
        <w:t xml:space="preserve">: </w:t>
      </w:r>
      <w:proofErr w:type="spellStart"/>
      <w:r w:rsidR="00C23A9D">
        <w:rPr>
          <w:i/>
        </w:rPr>
        <w:t>Sanjel</w:t>
      </w:r>
      <w:proofErr w:type="spellEnd"/>
      <w:r w:rsidR="00C23A9D">
        <w:rPr>
          <w:i/>
        </w:rPr>
        <w:t xml:space="preserve"> v Minister for Home Affairs &amp; Anor </w:t>
      </w:r>
      <w:r w:rsidR="00C23A9D">
        <w:t>[2019] FCCA 1436</w:t>
      </w:r>
      <w:r w:rsidR="00BF4571">
        <w:t xml:space="preserve">. </w:t>
      </w:r>
    </w:p>
    <w:p w:rsidR="00BE2087" w:rsidRDefault="00BF4571" w:rsidP="008A4B69">
      <w:pPr>
        <w:pStyle w:val="ParaNumbering"/>
      </w:pPr>
      <w:r>
        <w:t xml:space="preserve">The decision </w:t>
      </w:r>
      <w:r w:rsidR="00F0147B">
        <w:t>by the Tribunal</w:t>
      </w:r>
      <w:r w:rsidR="008A4B69">
        <w:t xml:space="preserve"> </w:t>
      </w:r>
      <w:r w:rsidR="00AE1AB4">
        <w:t xml:space="preserve">made </w:t>
      </w:r>
      <w:r w:rsidR="008A4B69">
        <w:t>o</w:t>
      </w:r>
      <w:r w:rsidR="001E3422">
        <w:t>n 13 M</w:t>
      </w:r>
      <w:r w:rsidR="000F3646">
        <w:t xml:space="preserve">arch 2018 </w:t>
      </w:r>
      <w:r w:rsidR="008A4B69">
        <w:t>affirm</w:t>
      </w:r>
      <w:r w:rsidR="00C23A9D">
        <w:t>ed</w:t>
      </w:r>
      <w:r w:rsidR="008A4B69">
        <w:t xml:space="preserve"> </w:t>
      </w:r>
      <w:r w:rsidR="00F0147B">
        <w:t>a</w:t>
      </w:r>
      <w:r w:rsidR="000F3646">
        <w:t xml:space="preserve"> decision by </w:t>
      </w:r>
      <w:r w:rsidR="005057E1">
        <w:t xml:space="preserve">a delegate of </w:t>
      </w:r>
      <w:r w:rsidR="000F3646">
        <w:t xml:space="preserve">the </w:t>
      </w:r>
      <w:r w:rsidR="002037F1">
        <w:t>then</w:t>
      </w:r>
      <w:r w:rsidR="00F0147B">
        <w:t xml:space="preserve"> </w:t>
      </w:r>
      <w:r w:rsidR="000F3646">
        <w:t xml:space="preserve">Minister for Immigration </w:t>
      </w:r>
      <w:r w:rsidR="00F0147B">
        <w:t xml:space="preserve">and Border Protection </w:t>
      </w:r>
      <w:r w:rsidR="00AE1AB4">
        <w:t xml:space="preserve">made </w:t>
      </w:r>
      <w:r w:rsidR="000F3646">
        <w:t>on 29</w:t>
      </w:r>
      <w:r w:rsidR="00BB2592">
        <w:t xml:space="preserve"> December</w:t>
      </w:r>
      <w:r w:rsidR="000F3646">
        <w:t xml:space="preserve"> 2016 </w:t>
      </w:r>
      <w:r w:rsidR="00F0147B">
        <w:t>refusing</w:t>
      </w:r>
      <w:r w:rsidR="000F3646">
        <w:t xml:space="preserve"> to grant the appellant a Student (Temporary) (Class TU) visa</w:t>
      </w:r>
      <w:r w:rsidR="00297419">
        <w:t xml:space="preserve"> </w:t>
      </w:r>
      <w:r w:rsidR="00F0147B">
        <w:t>on the ground that the appellant did not meet a criterion fo</w:t>
      </w:r>
      <w:r w:rsidR="00444D63">
        <w:t>r the grant of the visa in cl</w:t>
      </w:r>
      <w:r w:rsidR="00F0147B">
        <w:t xml:space="preserve"> 500.212 of Schedule 2 to the </w:t>
      </w:r>
      <w:r w:rsidR="00F0147B" w:rsidRPr="00966A43">
        <w:rPr>
          <w:i/>
        </w:rPr>
        <w:t xml:space="preserve">Migration </w:t>
      </w:r>
      <w:r w:rsidR="00F0147B" w:rsidRPr="00F0147B">
        <w:rPr>
          <w:b/>
          <w:i/>
        </w:rPr>
        <w:t>Regulations</w:t>
      </w:r>
      <w:r w:rsidR="00F0147B" w:rsidRPr="00966A43">
        <w:rPr>
          <w:i/>
        </w:rPr>
        <w:t xml:space="preserve"> 1994</w:t>
      </w:r>
      <w:r w:rsidR="00F0147B">
        <w:t xml:space="preserve"> (</w:t>
      </w:r>
      <w:proofErr w:type="spellStart"/>
      <w:r w:rsidR="00F0147B">
        <w:t>Cth</w:t>
      </w:r>
      <w:proofErr w:type="spellEnd"/>
      <w:r w:rsidR="00F0147B">
        <w:t>)</w:t>
      </w:r>
      <w:r w:rsidR="000F3646">
        <w:t>.</w:t>
      </w:r>
    </w:p>
    <w:p w:rsidR="009C0FF0" w:rsidRDefault="00784A96" w:rsidP="009C0FF0">
      <w:pPr>
        <w:pStyle w:val="Heading1"/>
      </w:pPr>
      <w:r>
        <w:t>BACKGR</w:t>
      </w:r>
      <w:r w:rsidR="009C0FF0">
        <w:t>OUND</w:t>
      </w:r>
    </w:p>
    <w:p w:rsidR="000F3646" w:rsidRDefault="00BE2087" w:rsidP="00BE2087">
      <w:pPr>
        <w:pStyle w:val="ParaNumbering"/>
      </w:pPr>
      <w:r>
        <w:t xml:space="preserve">The </w:t>
      </w:r>
      <w:r w:rsidR="00B63AE0">
        <w:t>appellant</w:t>
      </w:r>
      <w:r>
        <w:t xml:space="preserve"> is a citizen of Nepal</w:t>
      </w:r>
      <w:r w:rsidR="00BB2592">
        <w:t xml:space="preserve"> who d</w:t>
      </w:r>
      <w:r w:rsidR="00891786">
        <w:t xml:space="preserve">eparted in 2008 after completing </w:t>
      </w:r>
      <w:r w:rsidR="007A0730">
        <w:t xml:space="preserve">the equivalent of </w:t>
      </w:r>
      <w:r w:rsidR="00BB2592">
        <w:t xml:space="preserve">a </w:t>
      </w:r>
      <w:r w:rsidR="00891786">
        <w:t>year 12</w:t>
      </w:r>
      <w:r w:rsidR="00BB2592">
        <w:t xml:space="preserve"> education</w:t>
      </w:r>
      <w:r w:rsidR="00891786">
        <w:t xml:space="preserve">. </w:t>
      </w:r>
      <w:r w:rsidR="00B724C1">
        <w:t xml:space="preserve"> </w:t>
      </w:r>
      <w:r w:rsidR="00BB2592">
        <w:t>He</w:t>
      </w:r>
      <w:r w:rsidR="00891786">
        <w:t xml:space="preserve"> has resided in Au</w:t>
      </w:r>
      <w:r w:rsidR="00BB2592">
        <w:t>stralia</w:t>
      </w:r>
      <w:r w:rsidR="00891786">
        <w:t xml:space="preserve"> on student or related bridging visas since 2008</w:t>
      </w:r>
      <w:r w:rsidR="00BB2592">
        <w:t xml:space="preserve"> and has not returned to Nepal</w:t>
      </w:r>
      <w:r w:rsidR="00891786">
        <w:t xml:space="preserve">.  He </w:t>
      </w:r>
      <w:r w:rsidR="00BB2592">
        <w:t xml:space="preserve">currently </w:t>
      </w:r>
      <w:r w:rsidR="00891786">
        <w:t>lives with his Australian</w:t>
      </w:r>
      <w:r w:rsidR="00B724C1">
        <w:t xml:space="preserve"> </w:t>
      </w:r>
      <w:r w:rsidR="00891786">
        <w:t>citizen brother and sister-in-law</w:t>
      </w:r>
      <w:r w:rsidR="00BB2592">
        <w:t>.</w:t>
      </w:r>
      <w:r w:rsidR="0022457B">
        <w:t xml:space="preserve"> </w:t>
      </w:r>
    </w:p>
    <w:p w:rsidR="00891786" w:rsidRDefault="00891786" w:rsidP="00BE2087">
      <w:pPr>
        <w:pStyle w:val="ParaNumbering"/>
      </w:pPr>
      <w:r>
        <w:t xml:space="preserve">At the time of the application, the appellant was enrolled in a bachelor of professional accounting, which was due to </w:t>
      </w:r>
      <w:r w:rsidR="00B63AE0">
        <w:t xml:space="preserve">finish at the end of </w:t>
      </w:r>
      <w:r w:rsidR="00BD7F6D">
        <w:t>March</w:t>
      </w:r>
      <w:r w:rsidR="00BB2592">
        <w:t xml:space="preserve"> 2018</w:t>
      </w:r>
      <w:r>
        <w:t xml:space="preserve">. </w:t>
      </w:r>
      <w:r w:rsidR="00BB2592">
        <w:t xml:space="preserve"> The appellant had also intended on commencing further study. </w:t>
      </w:r>
    </w:p>
    <w:p w:rsidR="000F3646" w:rsidRDefault="00BB2592" w:rsidP="00575D4B">
      <w:pPr>
        <w:pStyle w:val="ParaNumbering"/>
      </w:pPr>
      <w:r>
        <w:t>The appellant a</w:t>
      </w:r>
      <w:r w:rsidR="000F3646">
        <w:t>pplied for the visa</w:t>
      </w:r>
      <w:r>
        <w:t xml:space="preserve"> on</w:t>
      </w:r>
      <w:r w:rsidR="000F3646">
        <w:t xml:space="preserve"> 28 </w:t>
      </w:r>
      <w:r w:rsidR="00891786">
        <w:t>September</w:t>
      </w:r>
      <w:r w:rsidR="000F3646">
        <w:t xml:space="preserve"> 2016. </w:t>
      </w:r>
      <w:r w:rsidR="00FD2087">
        <w:t xml:space="preserve"> </w:t>
      </w:r>
      <w:r w:rsidR="000F3646">
        <w:t xml:space="preserve">At the time of application, Class TU contained two subclasses: Subclass 500 (Student) and Subclass 590 (Student Guardian). </w:t>
      </w:r>
      <w:r w:rsidR="000451EF">
        <w:t xml:space="preserve"> </w:t>
      </w:r>
      <w:r w:rsidR="000F3646">
        <w:t xml:space="preserve">The </w:t>
      </w:r>
      <w:r w:rsidR="00AE1AB4">
        <w:t xml:space="preserve">appellant </w:t>
      </w:r>
      <w:r w:rsidR="000F3646">
        <w:t xml:space="preserve">applied for the </w:t>
      </w:r>
      <w:r>
        <w:t xml:space="preserve">500 student </w:t>
      </w:r>
      <w:r w:rsidR="000F3646">
        <w:t>visa to undertake study in Australia.</w:t>
      </w:r>
    </w:p>
    <w:p w:rsidR="000F3646" w:rsidRDefault="00BB2592" w:rsidP="00575D4B">
      <w:pPr>
        <w:pStyle w:val="ParaNumbering"/>
      </w:pPr>
      <w:r>
        <w:t xml:space="preserve">The </w:t>
      </w:r>
      <w:r w:rsidR="00A17CD0">
        <w:t>delegate concluded</w:t>
      </w:r>
      <w:r>
        <w:t xml:space="preserve"> that t</w:t>
      </w:r>
      <w:r w:rsidR="000F3646">
        <w:t xml:space="preserve">he </w:t>
      </w:r>
      <w:r>
        <w:t>appellant</w:t>
      </w:r>
      <w:r w:rsidR="000F3646">
        <w:t xml:space="preserve"> did not satisfy the requirements of cl.500.212</w:t>
      </w:r>
      <w:r w:rsidR="00A17CD0">
        <w:t>(a)</w:t>
      </w:r>
      <w:r w:rsidR="000F3646">
        <w:t xml:space="preserve"> because the delegate was not satisfied the </w:t>
      </w:r>
      <w:r w:rsidR="00AE1AB4">
        <w:t xml:space="preserve">appellant </w:t>
      </w:r>
      <w:r w:rsidR="00FE4458">
        <w:t xml:space="preserve">was </w:t>
      </w:r>
      <w:r w:rsidR="00A17CD0">
        <w:t>“</w:t>
      </w:r>
      <w:r w:rsidR="000F3646">
        <w:t>a genuine applicant for entry and stay as a student</w:t>
      </w:r>
      <w:r w:rsidR="00A17CD0">
        <w:t xml:space="preserve">”: </w:t>
      </w:r>
      <w:r w:rsidR="00AE1AB4">
        <w:t>T</w:t>
      </w:r>
      <w:r w:rsidR="0022457B">
        <w:t>[3]</w:t>
      </w:r>
      <w:r w:rsidR="00A17CD0">
        <w:t>.</w:t>
      </w:r>
    </w:p>
    <w:p w:rsidR="00891786" w:rsidRDefault="00891786" w:rsidP="00BE2087">
      <w:pPr>
        <w:pStyle w:val="Heading1"/>
      </w:pPr>
      <w:r>
        <w:t>Legislative context</w:t>
      </w:r>
    </w:p>
    <w:p w:rsidR="00B63AE0" w:rsidRPr="00957862" w:rsidRDefault="00F0147B" w:rsidP="00F0147B">
      <w:pPr>
        <w:pStyle w:val="ParaNumbering"/>
        <w:rPr>
          <w:b/>
        </w:rPr>
      </w:pPr>
      <w:r w:rsidRPr="00F0147B">
        <w:t xml:space="preserve">Clause 500.212 (the genuine temporary entrant criterion) of the </w:t>
      </w:r>
      <w:r w:rsidRPr="00D65C57">
        <w:rPr>
          <w:i/>
        </w:rPr>
        <w:t>Regulations</w:t>
      </w:r>
      <w:r w:rsidRPr="00F0147B">
        <w:t xml:space="preserve"> </w:t>
      </w:r>
      <w:r w:rsidR="00A17CD0" w:rsidRPr="00F0147B">
        <w:t>provide</w:t>
      </w:r>
      <w:r w:rsidR="00A17CD0">
        <w:t>d</w:t>
      </w:r>
      <w:r w:rsidR="00A17CD0" w:rsidRPr="00F0147B">
        <w:t xml:space="preserve"> </w:t>
      </w:r>
      <w:r w:rsidRPr="00F0147B">
        <w:t>as follows</w:t>
      </w:r>
      <w:r>
        <w:t>:</w:t>
      </w:r>
      <w:r w:rsidR="00B63AE0" w:rsidRPr="00957862">
        <w:rPr>
          <w:b/>
        </w:rPr>
        <w:t xml:space="preserve">  </w:t>
      </w:r>
    </w:p>
    <w:p w:rsidR="00B63AE0" w:rsidRDefault="00B63AE0" w:rsidP="00575D4B">
      <w:pPr>
        <w:pStyle w:val="Quote1"/>
      </w:pPr>
      <w:r>
        <w:lastRenderedPageBreak/>
        <w:t>The applicant is a genuine applicant for entry and stay as a student because:</w:t>
      </w:r>
    </w:p>
    <w:p w:rsidR="00B63AE0" w:rsidRDefault="00575D4B" w:rsidP="00E8796C">
      <w:pPr>
        <w:pStyle w:val="Quote2"/>
        <w:ind w:left="2160" w:hanging="720"/>
      </w:pPr>
      <w:r>
        <w:t>(a)</w:t>
      </w:r>
      <w:r>
        <w:tab/>
      </w:r>
      <w:r w:rsidR="00B63AE0">
        <w:t>the applicant intends genuinely to stay in Australia temporarily, having regard to:</w:t>
      </w:r>
    </w:p>
    <w:p w:rsidR="00B63AE0" w:rsidRDefault="00B63AE0" w:rsidP="00E8796C">
      <w:pPr>
        <w:pStyle w:val="Quote3"/>
        <w:ind w:left="2880" w:hanging="720"/>
      </w:pPr>
      <w:r>
        <w:t>(</w:t>
      </w:r>
      <w:proofErr w:type="spellStart"/>
      <w:r>
        <w:t>i</w:t>
      </w:r>
      <w:proofErr w:type="spellEnd"/>
      <w:r>
        <w:t>)</w:t>
      </w:r>
      <w:r w:rsidR="00575D4B">
        <w:tab/>
      </w:r>
      <w:r>
        <w:t>the applicant</w:t>
      </w:r>
      <w:r w:rsidR="00A17CD0">
        <w:t>’</w:t>
      </w:r>
      <w:r>
        <w:t>s circumstances; and</w:t>
      </w:r>
    </w:p>
    <w:p w:rsidR="00B63AE0" w:rsidRDefault="00B63AE0" w:rsidP="00E8796C">
      <w:pPr>
        <w:pStyle w:val="Quote3"/>
        <w:ind w:left="2880" w:hanging="720"/>
      </w:pPr>
      <w:r>
        <w:t>(ii)</w:t>
      </w:r>
      <w:r w:rsidR="00575D4B">
        <w:tab/>
      </w:r>
      <w:r>
        <w:t>the applicant</w:t>
      </w:r>
      <w:r w:rsidR="00A17CD0">
        <w:t>’</w:t>
      </w:r>
      <w:r>
        <w:t>s immigration history; and</w:t>
      </w:r>
    </w:p>
    <w:p w:rsidR="00B63AE0" w:rsidRDefault="00B63AE0" w:rsidP="00E8796C">
      <w:pPr>
        <w:pStyle w:val="Quote3"/>
        <w:ind w:left="2880" w:hanging="720"/>
      </w:pPr>
      <w:r>
        <w:t>(iii)</w:t>
      </w:r>
      <w:r w:rsidR="00575D4B">
        <w:tab/>
      </w:r>
      <w:r>
        <w:t>if the applicant is a minor--the intentions of a parent, legal guardian or spouse of the applicant; and</w:t>
      </w:r>
    </w:p>
    <w:p w:rsidR="00B63AE0" w:rsidRDefault="00B63AE0" w:rsidP="00E8796C">
      <w:pPr>
        <w:pStyle w:val="Quote3"/>
        <w:ind w:left="2880" w:hanging="720"/>
      </w:pPr>
      <w:r>
        <w:t>(iv)</w:t>
      </w:r>
      <w:r w:rsidR="00575D4B">
        <w:tab/>
      </w:r>
      <w:r>
        <w:t>any other relevant matter; and</w:t>
      </w:r>
    </w:p>
    <w:p w:rsidR="00B63AE0" w:rsidRDefault="00575D4B" w:rsidP="00E8796C">
      <w:pPr>
        <w:pStyle w:val="Quote2"/>
        <w:ind w:left="2160" w:hanging="720"/>
      </w:pPr>
      <w:r>
        <w:t>(b)</w:t>
      </w:r>
      <w:r>
        <w:tab/>
      </w:r>
      <w:r w:rsidR="00B63AE0">
        <w:t>the applicant intends to comply with any conditions subject to which the visa is granted, having regard to:</w:t>
      </w:r>
    </w:p>
    <w:p w:rsidR="00B63AE0" w:rsidRDefault="009376C9" w:rsidP="00E8796C">
      <w:pPr>
        <w:pStyle w:val="Quote3"/>
        <w:ind w:left="2880" w:hanging="720"/>
      </w:pPr>
      <w:r>
        <w:t>(</w:t>
      </w:r>
      <w:proofErr w:type="spellStart"/>
      <w:r>
        <w:t>i</w:t>
      </w:r>
      <w:proofErr w:type="spellEnd"/>
      <w:r>
        <w:t>)</w:t>
      </w:r>
      <w:r>
        <w:tab/>
      </w:r>
      <w:r w:rsidR="00B63AE0">
        <w:t>the applicant</w:t>
      </w:r>
      <w:r w:rsidR="00A17CD0">
        <w:t>’</w:t>
      </w:r>
      <w:r w:rsidR="00B63AE0">
        <w:t>s record of compliance with any condition of a visa previously held by the applicant (if any); and</w:t>
      </w:r>
    </w:p>
    <w:p w:rsidR="00B63AE0" w:rsidRDefault="00B63AE0" w:rsidP="00E8796C">
      <w:pPr>
        <w:pStyle w:val="Quote3"/>
        <w:ind w:left="2880" w:hanging="720"/>
      </w:pPr>
      <w:r>
        <w:t>(ii)</w:t>
      </w:r>
      <w:r w:rsidR="009376C9">
        <w:tab/>
      </w:r>
      <w:r>
        <w:t>the applicant</w:t>
      </w:r>
      <w:r w:rsidR="00A17CD0">
        <w:t>’</w:t>
      </w:r>
      <w:r>
        <w:t>s stated intention to comply with any conditions to which the visa may be subject; and</w:t>
      </w:r>
    </w:p>
    <w:p w:rsidR="00B63AE0" w:rsidRDefault="009376C9" w:rsidP="00E8796C">
      <w:pPr>
        <w:pStyle w:val="Quote2"/>
        <w:ind w:left="2160" w:hanging="720"/>
      </w:pPr>
      <w:r>
        <w:t>(c)</w:t>
      </w:r>
      <w:r>
        <w:tab/>
      </w:r>
      <w:r w:rsidR="00B63AE0">
        <w:t>of any other relevant matter.</w:t>
      </w:r>
    </w:p>
    <w:p w:rsidR="00B63AE0" w:rsidRDefault="00FE4458" w:rsidP="00BE2087">
      <w:pPr>
        <w:pStyle w:val="Heading1"/>
      </w:pPr>
      <w:r>
        <w:t>TRIBUNAL</w:t>
      </w:r>
    </w:p>
    <w:p w:rsidR="00F0147B" w:rsidRPr="00F0147B" w:rsidRDefault="00AE1AB4" w:rsidP="00F0147B">
      <w:pPr>
        <w:pStyle w:val="ParaNumbering"/>
      </w:pPr>
      <w:r>
        <w:t>The appellant appeared before the Tribunal on 8 March 2018 to present evidence and give arguments.  As mentioned</w:t>
      </w:r>
      <w:r w:rsidR="00516B4A">
        <w:t>,</w:t>
      </w:r>
      <w:r>
        <w:t xml:space="preserve"> the Tribunal gave reasons on 13 March 2018.  </w:t>
      </w:r>
      <w:r w:rsidR="00F0147B" w:rsidRPr="00F0147B">
        <w:t>The Tribunal acknowledged that</w:t>
      </w:r>
      <w:r w:rsidR="00FD32F5">
        <w:t>,</w:t>
      </w:r>
      <w:r w:rsidR="00F0147B" w:rsidRPr="00F0147B">
        <w:t xml:space="preserve"> </w:t>
      </w:r>
      <w:r w:rsidR="00366CC2">
        <w:t xml:space="preserve">in considering whether the appellant satisfied cl 500.212(a), it had to have regard to </w:t>
      </w:r>
      <w:r w:rsidR="00F0147B" w:rsidRPr="00E32085">
        <w:rPr>
          <w:b/>
          <w:i/>
        </w:rPr>
        <w:t xml:space="preserve">Direction Number 69 </w:t>
      </w:r>
      <w:r w:rsidR="00F0147B" w:rsidRPr="00E32085">
        <w:rPr>
          <w:i/>
        </w:rPr>
        <w:t>– Assessing the Genuine Temporary Entrant Criterion for Student Visa and Student Guardian Visa Applications</w:t>
      </w:r>
      <w:r w:rsidR="00E32085">
        <w:t xml:space="preserve">, authorised under s 499 of the </w:t>
      </w:r>
      <w:r w:rsidR="00D81CAF" w:rsidRPr="001948C4">
        <w:rPr>
          <w:i/>
        </w:rPr>
        <w:t xml:space="preserve">Migration </w:t>
      </w:r>
      <w:r w:rsidR="00E32085" w:rsidRPr="00D81CAF">
        <w:rPr>
          <w:i/>
        </w:rPr>
        <w:t>Act</w:t>
      </w:r>
      <w:r w:rsidR="00D81CAF">
        <w:rPr>
          <w:i/>
        </w:rPr>
        <w:t xml:space="preserve"> 1958</w:t>
      </w:r>
      <w:r w:rsidR="00D81CAF" w:rsidRPr="001948C4">
        <w:t xml:space="preserve"> (</w:t>
      </w:r>
      <w:proofErr w:type="spellStart"/>
      <w:r w:rsidR="00D81CAF" w:rsidRPr="001948C4">
        <w:t>Cth</w:t>
      </w:r>
      <w:proofErr w:type="spellEnd"/>
      <w:r w:rsidR="00D81CAF" w:rsidRPr="001948C4">
        <w:t>)</w:t>
      </w:r>
      <w:r w:rsidR="00516B4A">
        <w:t>:</w:t>
      </w:r>
      <w:r w:rsidR="00A17CD0" w:rsidRPr="00F0147B">
        <w:t xml:space="preserve"> </w:t>
      </w:r>
      <w:r w:rsidR="00A17CD0">
        <w:t>T</w:t>
      </w:r>
      <w:r w:rsidR="00A17CD0" w:rsidRPr="00F0147B">
        <w:t>[</w:t>
      </w:r>
      <w:r w:rsidR="00A17CD0">
        <w:t>19</w:t>
      </w:r>
      <w:r w:rsidR="00A17CD0" w:rsidRPr="00F0147B">
        <w:t>]</w:t>
      </w:r>
      <w:r w:rsidR="00A17CD0">
        <w:t>.</w:t>
      </w:r>
    </w:p>
    <w:p w:rsidR="00A17CD0" w:rsidRDefault="00955548" w:rsidP="00F0147B">
      <w:pPr>
        <w:pStyle w:val="ParaNumbering"/>
      </w:pPr>
      <w:r>
        <w:t xml:space="preserve">The Tribunal </w:t>
      </w:r>
      <w:r w:rsidR="00A17CD0">
        <w:t xml:space="preserve">correctly observed </w:t>
      </w:r>
      <w:r>
        <w:t xml:space="preserve">that </w:t>
      </w:r>
      <w:r w:rsidRPr="00D65C57">
        <w:rPr>
          <w:i/>
        </w:rPr>
        <w:t>Direction Number 69</w:t>
      </w:r>
      <w:r>
        <w:t xml:space="preserve"> </w:t>
      </w:r>
      <w:r w:rsidR="00A17CD0">
        <w:t xml:space="preserve">indicated </w:t>
      </w:r>
      <w:r>
        <w:t xml:space="preserve">that the factors specified should not be used as a checklist but rather </w:t>
      </w:r>
      <w:r w:rsidR="00A17CD0">
        <w:t xml:space="preserve">were </w:t>
      </w:r>
      <w:r>
        <w:t>intended to guide decision-makers when considering an applicant</w:t>
      </w:r>
      <w:r w:rsidR="00A17CD0">
        <w:t>’</w:t>
      </w:r>
      <w:r>
        <w:t xml:space="preserve">s circumstances as a whole, in reaching a finding about whether the applicant </w:t>
      </w:r>
      <w:r w:rsidR="00A17CD0">
        <w:t xml:space="preserve">satisfied </w:t>
      </w:r>
      <w:r>
        <w:t xml:space="preserve">the genuine temporary entrant criterion: T[20].  </w:t>
      </w:r>
    </w:p>
    <w:p w:rsidR="00F0147B" w:rsidRDefault="00F0147B" w:rsidP="00F0147B">
      <w:pPr>
        <w:pStyle w:val="ParaNumbering"/>
      </w:pPr>
      <w:r>
        <w:t xml:space="preserve">In considering the </w:t>
      </w:r>
      <w:r w:rsidR="00955548">
        <w:t>facto</w:t>
      </w:r>
      <w:r>
        <w:t>rs</w:t>
      </w:r>
      <w:r w:rsidR="00E32085">
        <w:t xml:space="preserve"> </w:t>
      </w:r>
      <w:r w:rsidR="00955548">
        <w:t>mentioned</w:t>
      </w:r>
      <w:r w:rsidR="00E32085">
        <w:t xml:space="preserve"> in </w:t>
      </w:r>
      <w:r w:rsidR="00E32085" w:rsidRPr="00FD2087">
        <w:rPr>
          <w:i/>
        </w:rPr>
        <w:t>Direction Number 69</w:t>
      </w:r>
      <w:r>
        <w:t xml:space="preserve"> the Tribunal </w:t>
      </w:r>
      <w:r w:rsidR="005057E1">
        <w:t>stated</w:t>
      </w:r>
      <w:r>
        <w:t>:</w:t>
      </w:r>
    </w:p>
    <w:p w:rsidR="001E3422" w:rsidRDefault="009376C9" w:rsidP="00F0147B">
      <w:pPr>
        <w:pStyle w:val="Quote1"/>
        <w:ind w:left="1440" w:hanging="703"/>
      </w:pPr>
      <w:r>
        <w:t>[</w:t>
      </w:r>
      <w:r w:rsidR="001E3422">
        <w:t>27</w:t>
      </w:r>
      <w:r>
        <w:t>]</w:t>
      </w:r>
      <w:r>
        <w:tab/>
      </w:r>
      <w:r w:rsidR="001E3422">
        <w:t>The Tribunal</w:t>
      </w:r>
      <w:r w:rsidR="00A17CD0">
        <w:t>’</w:t>
      </w:r>
      <w:r w:rsidR="001E3422">
        <w:t>s view, on the evidence, is that the applicant made poor academic progress</w:t>
      </w:r>
      <w:r>
        <w:t xml:space="preserve"> </w:t>
      </w:r>
      <w:r w:rsidR="001E3422">
        <w:t>from 2010 to the end of 2014. Notwithstanding that he is now doing better academically and</w:t>
      </w:r>
      <w:r>
        <w:t xml:space="preserve"> </w:t>
      </w:r>
      <w:r w:rsidR="001E3422">
        <w:t>has nearly finished a Bachelor of Professional accounting, the Tribunal does not consider his</w:t>
      </w:r>
      <w:r>
        <w:t xml:space="preserve"> </w:t>
      </w:r>
      <w:r w:rsidR="001E3422">
        <w:t>academic pro</w:t>
      </w:r>
      <w:r w:rsidR="00957862">
        <w:t>gress over a period of nearly 10</w:t>
      </w:r>
      <w:r w:rsidR="001E3422">
        <w:t xml:space="preserve"> years indicates he is a genuine applicant for</w:t>
      </w:r>
      <w:r>
        <w:t xml:space="preserve"> </w:t>
      </w:r>
      <w:r w:rsidR="00957862">
        <w:t>entry and stay as a student,</w:t>
      </w:r>
      <w:r w:rsidR="001E3422">
        <w:t xml:space="preserve"> that is, a Genuine Temporary Applicant (GTE).</w:t>
      </w:r>
    </w:p>
    <w:p w:rsidR="001E3422" w:rsidRDefault="009376C9" w:rsidP="009376C9">
      <w:pPr>
        <w:pStyle w:val="Quote1"/>
        <w:ind w:left="1440" w:hanging="703"/>
      </w:pPr>
      <w:r>
        <w:t>[28]</w:t>
      </w:r>
      <w:r>
        <w:tab/>
      </w:r>
      <w:r w:rsidR="001E3422">
        <w:t>The applicant</w:t>
      </w:r>
      <w:r w:rsidR="00A17CD0">
        <w:t>’</w:t>
      </w:r>
      <w:r w:rsidR="001E3422">
        <w:t>s stated career goal, at the time of application, was that he is looking forward</w:t>
      </w:r>
      <w:r>
        <w:t xml:space="preserve"> </w:t>
      </w:r>
      <w:r w:rsidR="001E3422">
        <w:t>to sta</w:t>
      </w:r>
      <w:r w:rsidR="005057E1">
        <w:t>r</w:t>
      </w:r>
      <w:r w:rsidR="001E3422">
        <w:t>ting his accounting career in Nepal. He completed an Advanced Diploma of</w:t>
      </w:r>
      <w:r>
        <w:t xml:space="preserve"> </w:t>
      </w:r>
      <w:r w:rsidR="001E3422">
        <w:t>Accounting in 2010 and, at the time of this decision, he has nearly completed a Bachelor</w:t>
      </w:r>
      <w:r>
        <w:t xml:space="preserve"> </w:t>
      </w:r>
      <w:r w:rsidR="001E3422">
        <w:t xml:space="preserve">Professional Accounting. He also has a </w:t>
      </w:r>
      <w:r w:rsidR="001E3422">
        <w:lastRenderedPageBreak/>
        <w:t>Diploma of Management (2014) and a Diploma of</w:t>
      </w:r>
      <w:r>
        <w:t xml:space="preserve"> </w:t>
      </w:r>
      <w:r w:rsidR="001E3422">
        <w:t>Business (2016). The Tribunal</w:t>
      </w:r>
      <w:r w:rsidR="00A17CD0">
        <w:t>’</w:t>
      </w:r>
      <w:r w:rsidR="001E3422">
        <w:t>s view is that the applicant is, at the time of this decision, well</w:t>
      </w:r>
      <w:r>
        <w:t xml:space="preserve"> </w:t>
      </w:r>
      <w:r w:rsidR="001E3422">
        <w:t>qualified and equipped with significant life experience (gained in his time onshore from the</w:t>
      </w:r>
      <w:r>
        <w:t xml:space="preserve"> </w:t>
      </w:r>
      <w:r w:rsidR="001E3422">
        <w:t>age of 19 to 29 and working at Hungry Jacks) to return to his home country and work as an</w:t>
      </w:r>
      <w:r>
        <w:t xml:space="preserve"> </w:t>
      </w:r>
      <w:r w:rsidR="001E3422">
        <w:t>accountant or in an accounting related field. The Tribunal does not consider that the</w:t>
      </w:r>
      <w:r>
        <w:t xml:space="preserve"> </w:t>
      </w:r>
      <w:r w:rsidR="001E3422">
        <w:t>additional qualifications, in the applicant</w:t>
      </w:r>
      <w:r w:rsidR="00A17CD0">
        <w:t>’</w:t>
      </w:r>
      <w:r w:rsidR="001E3422">
        <w:t>s circumstances - Master of Professional</w:t>
      </w:r>
      <w:r>
        <w:t xml:space="preserve"> </w:t>
      </w:r>
      <w:r w:rsidR="001E3422">
        <w:t>Accounting and Master of Business Administration - will add value to his prospects of</w:t>
      </w:r>
      <w:r>
        <w:t xml:space="preserve"> </w:t>
      </w:r>
      <w:r w:rsidR="001E3422">
        <w:t>achieving his career goal in Nepal.</w:t>
      </w:r>
    </w:p>
    <w:p w:rsidR="001E3422" w:rsidRDefault="009376C9" w:rsidP="009376C9">
      <w:pPr>
        <w:pStyle w:val="Quote1"/>
        <w:ind w:left="1440" w:hanging="703"/>
      </w:pPr>
      <w:r>
        <w:t>[</w:t>
      </w:r>
      <w:r w:rsidR="001E3422">
        <w:t>29</w:t>
      </w:r>
      <w:r>
        <w:t>]</w:t>
      </w:r>
      <w:r>
        <w:tab/>
      </w:r>
      <w:r w:rsidR="001E3422">
        <w:t>At the time of this decision, the applicant has, or will shortly have, the following academic</w:t>
      </w:r>
      <w:r>
        <w:t xml:space="preserve"> </w:t>
      </w:r>
      <w:r w:rsidR="001E3422">
        <w:t>qualifications:</w:t>
      </w:r>
    </w:p>
    <w:p w:rsidR="001E3422" w:rsidRDefault="001E3422" w:rsidP="00E8796C">
      <w:pPr>
        <w:pStyle w:val="Quote3"/>
      </w:pPr>
      <w:r>
        <w:t>a. Bachelor of Professional Accounting (2018)</w:t>
      </w:r>
    </w:p>
    <w:p w:rsidR="001E3422" w:rsidRDefault="001E3422" w:rsidP="00E8796C">
      <w:pPr>
        <w:pStyle w:val="Quote3"/>
      </w:pPr>
      <w:r>
        <w:t>b. Diploma of Business (2016)</w:t>
      </w:r>
    </w:p>
    <w:p w:rsidR="001E3422" w:rsidRDefault="001E3422" w:rsidP="00E8796C">
      <w:pPr>
        <w:pStyle w:val="Quote3"/>
      </w:pPr>
      <w:r>
        <w:t>c. Diploma of Management (2014)</w:t>
      </w:r>
    </w:p>
    <w:p w:rsidR="001E3422" w:rsidRDefault="001E3422" w:rsidP="00E8796C">
      <w:pPr>
        <w:pStyle w:val="Quote3"/>
      </w:pPr>
      <w:r>
        <w:t>d. Advanced Diploma of Accounting (2010)</w:t>
      </w:r>
    </w:p>
    <w:p w:rsidR="001E3422" w:rsidRDefault="009376C9" w:rsidP="009376C9">
      <w:pPr>
        <w:pStyle w:val="Quote1"/>
        <w:ind w:left="1440" w:hanging="703"/>
      </w:pPr>
      <w:r>
        <w:t>[</w:t>
      </w:r>
      <w:r w:rsidR="001E3422">
        <w:t>30</w:t>
      </w:r>
      <w:r>
        <w:t>]</w:t>
      </w:r>
      <w:r>
        <w:tab/>
      </w:r>
      <w:r w:rsidR="001E3422">
        <w:t>At the hearing, the applicant said he had not yet paid the course fees for the Master of</w:t>
      </w:r>
      <w:r>
        <w:t xml:space="preserve"> </w:t>
      </w:r>
      <w:r w:rsidR="001E3422">
        <w:t>Business Administration starting on 2 April 2018 and, relying on this oral evidence, the</w:t>
      </w:r>
      <w:r>
        <w:t xml:space="preserve"> </w:t>
      </w:r>
      <w:r w:rsidR="001E3422">
        <w:t>Tribunal notes that the applicant has not made any financial outlay, nor will he be financially</w:t>
      </w:r>
      <w:r>
        <w:t xml:space="preserve"> </w:t>
      </w:r>
      <w:r w:rsidR="001E3422">
        <w:t>penalised if he does not commence the course. His current Bachelor of Professional</w:t>
      </w:r>
      <w:r>
        <w:t xml:space="preserve"> </w:t>
      </w:r>
      <w:r w:rsidR="001E3422">
        <w:t>Accounting finishes on 31 March 2018, in about three weeks at the time of this decision.</w:t>
      </w:r>
    </w:p>
    <w:p w:rsidR="001E3422" w:rsidRDefault="009376C9" w:rsidP="009376C9">
      <w:pPr>
        <w:pStyle w:val="Quote1"/>
        <w:ind w:left="1440" w:hanging="703"/>
      </w:pPr>
      <w:r>
        <w:t>[</w:t>
      </w:r>
      <w:r w:rsidR="001E3422">
        <w:t>31</w:t>
      </w:r>
      <w:r>
        <w:t>]</w:t>
      </w:r>
      <w:r>
        <w:tab/>
      </w:r>
      <w:r w:rsidR="001E3422">
        <w:t>The Tribunal</w:t>
      </w:r>
      <w:r w:rsidR="00A17CD0">
        <w:t>’</w:t>
      </w:r>
      <w:r w:rsidR="001E3422">
        <w:t>s view, having considered all relevant facts and matters, including having</w:t>
      </w:r>
      <w:r>
        <w:t xml:space="preserve"> </w:t>
      </w:r>
      <w:r w:rsidR="001E3422">
        <w:t>regard to some of the matters in Direction 69, is that the applicant has enrolled in the</w:t>
      </w:r>
      <w:r>
        <w:t xml:space="preserve"> </w:t>
      </w:r>
      <w:r w:rsidR="001E3422">
        <w:t>courses commencing in April 2018 for the primary purpose of extending his time onshore</w:t>
      </w:r>
      <w:r>
        <w:t xml:space="preserve"> </w:t>
      </w:r>
      <w:r w:rsidR="001E3422">
        <w:t>and to maintain residence. He has provided no reliable or documentary evidence that he</w:t>
      </w:r>
      <w:r>
        <w:t xml:space="preserve"> </w:t>
      </w:r>
      <w:r w:rsidR="001E3422">
        <w:t>intends to return to Nepal in the near or distant future, even to visit.</w:t>
      </w:r>
    </w:p>
    <w:p w:rsidR="001E3422" w:rsidRDefault="009376C9" w:rsidP="009376C9">
      <w:pPr>
        <w:pStyle w:val="Quote1"/>
        <w:ind w:left="1440" w:hanging="703"/>
      </w:pPr>
      <w:r>
        <w:t>[</w:t>
      </w:r>
      <w:r w:rsidR="001E3422">
        <w:t>32</w:t>
      </w:r>
      <w:r>
        <w:t>]</w:t>
      </w:r>
      <w:r>
        <w:tab/>
      </w:r>
      <w:r w:rsidR="001E3422">
        <w:t>On the basis of the above, the Tribunal is not satisfied that the applicant intends genuinely to</w:t>
      </w:r>
      <w:r>
        <w:t xml:space="preserve"> </w:t>
      </w:r>
      <w:r w:rsidR="001E3422">
        <w:t>stay in Australia temporarily. Accordingly, the applicant does not meet cl.500.212(a) and the</w:t>
      </w:r>
      <w:r>
        <w:t xml:space="preserve"> </w:t>
      </w:r>
      <w:r w:rsidR="001E3422">
        <w:t>Tribunal is not satisfied that the applicant is a genuine applicant for entry and stay as a</w:t>
      </w:r>
      <w:r>
        <w:t xml:space="preserve"> </w:t>
      </w:r>
      <w:r w:rsidR="001E3422">
        <w:t>student as required by cl.500.212.</w:t>
      </w:r>
    </w:p>
    <w:p w:rsidR="00BE2087" w:rsidRDefault="00BE2087" w:rsidP="00BE2087">
      <w:pPr>
        <w:pStyle w:val="Heading1"/>
      </w:pPr>
      <w:r>
        <w:t>The Federal Circuit court</w:t>
      </w:r>
    </w:p>
    <w:p w:rsidR="00BE2087" w:rsidRDefault="00BF4571" w:rsidP="00A96D43">
      <w:pPr>
        <w:pStyle w:val="ParaNumbering"/>
      </w:pPr>
      <w:r>
        <w:t xml:space="preserve">The </w:t>
      </w:r>
      <w:r w:rsidR="00B2067C">
        <w:t>application</w:t>
      </w:r>
      <w:r w:rsidR="00E81C37">
        <w:t xml:space="preserve"> </w:t>
      </w:r>
      <w:r w:rsidR="004B46D8">
        <w:t xml:space="preserve">for judicial review </w:t>
      </w:r>
      <w:r w:rsidR="00AE1AB4">
        <w:t xml:space="preserve">to </w:t>
      </w:r>
      <w:r w:rsidR="00E81C37">
        <w:t xml:space="preserve">the </w:t>
      </w:r>
      <w:r>
        <w:t>Federal C</w:t>
      </w:r>
      <w:r w:rsidR="001E3422">
        <w:t xml:space="preserve">ircuit </w:t>
      </w:r>
      <w:r w:rsidR="00B2067C">
        <w:t>Court</w:t>
      </w:r>
      <w:r w:rsidR="00E43D4B">
        <w:t xml:space="preserve"> </w:t>
      </w:r>
      <w:r w:rsidR="00B2067C">
        <w:t>contained</w:t>
      </w:r>
      <w:r w:rsidR="00DD2AE6">
        <w:t xml:space="preserve"> five grounds of </w:t>
      </w:r>
      <w:r w:rsidR="00976FC6">
        <w:t>review</w:t>
      </w:r>
      <w:r w:rsidR="00BE2087">
        <w:t>:</w:t>
      </w:r>
    </w:p>
    <w:p w:rsidR="00BE2087" w:rsidRPr="00DD2AE6" w:rsidRDefault="00877693" w:rsidP="004B46D8">
      <w:pPr>
        <w:pStyle w:val="Quote1"/>
        <w:ind w:left="1418" w:hanging="681"/>
      </w:pPr>
      <w:r>
        <w:t xml:space="preserve">1. </w:t>
      </w:r>
      <w:r w:rsidR="004B46D8">
        <w:tab/>
      </w:r>
      <w:r w:rsidR="00BE2087">
        <w:t xml:space="preserve">The Second Respondent made jurisdictional error by making legal error as to the </w:t>
      </w:r>
      <w:r w:rsidR="009A7E45" w:rsidRPr="00DD2AE6">
        <w:t>construction</w:t>
      </w:r>
      <w:r w:rsidR="00BE2087" w:rsidRPr="00DD2AE6">
        <w:t xml:space="preserve"> of </w:t>
      </w:r>
      <w:proofErr w:type="spellStart"/>
      <w:r w:rsidR="00BE2087" w:rsidRPr="00DD2AE6">
        <w:t>Reg</w:t>
      </w:r>
      <w:proofErr w:type="spellEnd"/>
      <w:r w:rsidR="00BE2087" w:rsidRPr="00DD2AE6">
        <w:t xml:space="preserve"> 500.212 of the </w:t>
      </w:r>
      <w:r w:rsidR="00BE2087" w:rsidRPr="00DD2AE6">
        <w:rPr>
          <w:i/>
        </w:rPr>
        <w:t>Migration Regulations</w:t>
      </w:r>
      <w:r w:rsidR="00BE2087" w:rsidRPr="00DD2AE6">
        <w:t xml:space="preserve"> 1994.</w:t>
      </w:r>
    </w:p>
    <w:p w:rsidR="00BE2087" w:rsidRPr="00DD2AE6" w:rsidRDefault="00BE2087" w:rsidP="004B46D8">
      <w:pPr>
        <w:pStyle w:val="Quote1"/>
        <w:ind w:left="1418" w:hanging="681"/>
      </w:pPr>
      <w:r w:rsidRPr="00DD2AE6">
        <w:t xml:space="preserve">2. </w:t>
      </w:r>
      <w:r w:rsidR="004B46D8">
        <w:tab/>
      </w:r>
      <w:r w:rsidRPr="00DD2AE6">
        <w:t>The Second Respondent made a decision which was irrational, unreasonable or capricious or</w:t>
      </w:r>
      <w:r w:rsidR="009A7E45" w:rsidRPr="00DD2AE6">
        <w:t xml:space="preserve"> </w:t>
      </w:r>
      <w:r w:rsidRPr="00DD2AE6">
        <w:t>devoid of any intellectual process by stating that it gave the Applicants claim that he intended</w:t>
      </w:r>
      <w:r w:rsidR="009A7E45" w:rsidRPr="00DD2AE6">
        <w:t xml:space="preserve"> </w:t>
      </w:r>
      <w:r w:rsidRPr="00DD2AE6">
        <w:t xml:space="preserve">to return home to his parents </w:t>
      </w:r>
      <w:r w:rsidR="00A17CD0">
        <w:t>‘</w:t>
      </w:r>
      <w:r w:rsidRPr="00DD2AE6">
        <w:t>little credit</w:t>
      </w:r>
      <w:r w:rsidR="00A17CD0">
        <w:t>’</w:t>
      </w:r>
      <w:r w:rsidRPr="00DD2AE6">
        <w:t>.</w:t>
      </w:r>
    </w:p>
    <w:p w:rsidR="00BE2087" w:rsidRPr="00DD2AE6" w:rsidRDefault="00BE2087" w:rsidP="004B46D8">
      <w:pPr>
        <w:pStyle w:val="Quote1"/>
        <w:ind w:left="1418" w:hanging="681"/>
      </w:pPr>
      <w:r w:rsidRPr="00DD2AE6">
        <w:t xml:space="preserve">3. </w:t>
      </w:r>
      <w:r w:rsidR="004B46D8">
        <w:tab/>
      </w:r>
      <w:r w:rsidRPr="00DD2AE6">
        <w:t>The Second Respondent made jurisdictional error at [27] by making findings about academic</w:t>
      </w:r>
      <w:r w:rsidR="009A7E45" w:rsidRPr="00DD2AE6">
        <w:t xml:space="preserve"> progress which were entirely irre</w:t>
      </w:r>
      <w:r w:rsidRPr="00DD2AE6">
        <w:t>levant to the relevant statutory inquiry, namely whether the</w:t>
      </w:r>
      <w:r w:rsidR="009A7E45" w:rsidRPr="00DD2AE6">
        <w:t xml:space="preserve"> </w:t>
      </w:r>
      <w:r w:rsidRPr="00DD2AE6">
        <w:t>Applicant intended to stay in Australia temporarily.</w:t>
      </w:r>
    </w:p>
    <w:p w:rsidR="00BE2087" w:rsidRPr="00DD2AE6" w:rsidRDefault="00BE2087" w:rsidP="004B46D8">
      <w:pPr>
        <w:pStyle w:val="Quote1"/>
        <w:ind w:left="1418" w:hanging="681"/>
      </w:pPr>
      <w:r w:rsidRPr="00DD2AE6">
        <w:lastRenderedPageBreak/>
        <w:t xml:space="preserve">4. </w:t>
      </w:r>
      <w:r w:rsidR="004B46D8">
        <w:tab/>
      </w:r>
      <w:r w:rsidRPr="00DD2AE6">
        <w:t>The Second Respondent made jurisdictional error by misunderstanding or misconstruing the</w:t>
      </w:r>
      <w:r w:rsidR="009A7E45" w:rsidRPr="00DD2AE6">
        <w:t xml:space="preserve"> </w:t>
      </w:r>
      <w:r w:rsidRPr="00DD2AE6">
        <w:t xml:space="preserve">statutory intention and construing </w:t>
      </w:r>
      <w:r w:rsidR="00A17CD0">
        <w:t>‘</w:t>
      </w:r>
      <w:r w:rsidRPr="00DD2AE6">
        <w:t>temporarily</w:t>
      </w:r>
      <w:r w:rsidR="00A17CD0">
        <w:t>’</w:t>
      </w:r>
      <w:r w:rsidRPr="00DD2AE6">
        <w:t xml:space="preserve"> as meaning in the near future.</w:t>
      </w:r>
    </w:p>
    <w:p w:rsidR="00BE2087" w:rsidRPr="00DD2AE6" w:rsidRDefault="00BE2087" w:rsidP="004B46D8">
      <w:pPr>
        <w:pStyle w:val="Quote1"/>
        <w:ind w:left="1418" w:hanging="681"/>
      </w:pPr>
      <w:r w:rsidRPr="00DD2AE6">
        <w:t xml:space="preserve">5. </w:t>
      </w:r>
      <w:r w:rsidR="004B46D8">
        <w:tab/>
      </w:r>
      <w:r w:rsidRPr="00DD2AE6">
        <w:t>The Second Respondent made jurisdictional error by creating subjective views about whether</w:t>
      </w:r>
      <w:r w:rsidR="009A7E45" w:rsidRPr="00DD2AE6">
        <w:t xml:space="preserve"> </w:t>
      </w:r>
      <w:r w:rsidRPr="00DD2AE6">
        <w:t>further study was necessary or desirable (in the Second Respondent</w:t>
      </w:r>
      <w:r w:rsidR="00A17CD0">
        <w:t>’</w:t>
      </w:r>
      <w:r w:rsidRPr="00DD2AE6">
        <w:t>s view) to add</w:t>
      </w:r>
      <w:r w:rsidR="009A7E45" w:rsidRPr="00DD2AE6">
        <w:t xml:space="preserve"> </w:t>
      </w:r>
      <w:r w:rsidRPr="00DD2AE6">
        <w:t>significantly to his qualifications and life experience to return to his home country as a relevant</w:t>
      </w:r>
      <w:r w:rsidR="009A7E45" w:rsidRPr="00DD2AE6">
        <w:t xml:space="preserve"> </w:t>
      </w:r>
      <w:r w:rsidRPr="00DD2AE6">
        <w:t>consideration in relation to whether the Applicant intended to stay in Australia temporarily.</w:t>
      </w:r>
    </w:p>
    <w:p w:rsidR="00976FC6" w:rsidRDefault="00976FC6" w:rsidP="00976FC6">
      <w:pPr>
        <w:pStyle w:val="ParaNumbering"/>
      </w:pPr>
      <w:r>
        <w:t xml:space="preserve">The primary judge was not persuaded </w:t>
      </w:r>
      <w:r w:rsidR="0047622C">
        <w:t>by</w:t>
      </w:r>
      <w:r>
        <w:t xml:space="preserve"> any of th</w:t>
      </w:r>
      <w:r w:rsidR="004B46D8">
        <w:t>os</w:t>
      </w:r>
      <w:r>
        <w:t>e grounds and dismissed the application.  It is not necessary to set out his Honour</w:t>
      </w:r>
      <w:r w:rsidR="00A17CD0">
        <w:t>’</w:t>
      </w:r>
      <w:r>
        <w:t>s reasoning</w:t>
      </w:r>
      <w:r w:rsidR="00AE1AB4">
        <w:t xml:space="preserve"> in detail</w:t>
      </w:r>
      <w:r>
        <w:t xml:space="preserve">.  </w:t>
      </w:r>
      <w:r w:rsidR="00A17CD0">
        <w:t xml:space="preserve">That reasoning </w:t>
      </w:r>
      <w:r>
        <w:t>is referred to</w:t>
      </w:r>
      <w:r w:rsidR="00AE1AB4">
        <w:t xml:space="preserve"> below</w:t>
      </w:r>
      <w:r>
        <w:t xml:space="preserve"> where relevant to the appeal. </w:t>
      </w:r>
    </w:p>
    <w:p w:rsidR="00A17CD0" w:rsidRDefault="00976FC6" w:rsidP="00976FC6">
      <w:pPr>
        <w:pStyle w:val="ParaNumbering"/>
      </w:pPr>
      <w:r>
        <w:t>Of</w:t>
      </w:r>
      <w:r w:rsidR="00345B0C">
        <w:t xml:space="preserve"> particular relevance to </w:t>
      </w:r>
      <w:r w:rsidR="00A17CD0">
        <w:t xml:space="preserve">the </w:t>
      </w:r>
      <w:r w:rsidR="00345B0C">
        <w:t xml:space="preserve">appeal, the </w:t>
      </w:r>
      <w:r>
        <w:t xml:space="preserve">primary judge followed the decision of Perry J in </w:t>
      </w:r>
      <w:proofErr w:type="spellStart"/>
      <w:r w:rsidR="0047622C" w:rsidRPr="00976A68">
        <w:rPr>
          <w:b/>
          <w:i/>
        </w:rPr>
        <w:t>Vidiyala</w:t>
      </w:r>
      <w:proofErr w:type="spellEnd"/>
      <w:r w:rsidR="0047622C" w:rsidRPr="00976A68">
        <w:rPr>
          <w:i/>
        </w:rPr>
        <w:t xml:space="preserve"> v Minister for Home Affairs</w:t>
      </w:r>
      <w:r w:rsidR="0047622C" w:rsidRPr="00976A68">
        <w:t xml:space="preserve"> [2018] FCA 1973</w:t>
      </w:r>
      <w:r w:rsidR="00715625">
        <w:t xml:space="preserve"> </w:t>
      </w:r>
      <w:r>
        <w:t>at [28]</w:t>
      </w:r>
      <w:r w:rsidR="00A17CD0">
        <w:t xml:space="preserve"> to the effect</w:t>
      </w:r>
      <w:r>
        <w:t xml:space="preserve"> that </w:t>
      </w:r>
      <w:r w:rsidR="00A17CD0">
        <w:t xml:space="preserve">paragraphs (a) to (c) of </w:t>
      </w:r>
      <w:r w:rsidR="00345B0C">
        <w:t>cl</w:t>
      </w:r>
      <w:r w:rsidR="00345B0C" w:rsidRPr="00345B0C">
        <w:t xml:space="preserve"> 500.212 </w:t>
      </w:r>
      <w:r w:rsidR="00A17CD0">
        <w:t xml:space="preserve">are </w:t>
      </w:r>
      <w:r>
        <w:t>to</w:t>
      </w:r>
      <w:r w:rsidR="00345B0C" w:rsidRPr="00345B0C">
        <w:t xml:space="preserve"> be read cumulatively</w:t>
      </w:r>
      <w:r>
        <w:t xml:space="preserve">.  </w:t>
      </w:r>
      <w:r w:rsidR="00A17CD0">
        <w:t>Her Honour said:</w:t>
      </w:r>
    </w:p>
    <w:p w:rsidR="007869D9" w:rsidRPr="00F365FD" w:rsidRDefault="007869D9" w:rsidP="007869D9">
      <w:pPr>
        <w:pStyle w:val="Quote1"/>
        <w:ind w:left="1440" w:hanging="703"/>
      </w:pPr>
      <w:r>
        <w:t xml:space="preserve">[28] </w:t>
      </w:r>
      <w:r>
        <w:tab/>
        <w:t xml:space="preserve">… </w:t>
      </w:r>
      <w:r w:rsidRPr="00976A68">
        <w:t xml:space="preserve">It is apparent from the use of the word </w:t>
      </w:r>
      <w:r>
        <w:t>“</w:t>
      </w:r>
      <w:r w:rsidRPr="001948C4">
        <w:rPr>
          <w:i/>
        </w:rPr>
        <w:t>and</w:t>
      </w:r>
      <w:r>
        <w:t>”</w:t>
      </w:r>
      <w:r w:rsidRPr="00976A68">
        <w:t xml:space="preserve"> at the end of subclauses (a) and (b) of clause 500.212 that the appellant had to satisfy the Tribunal that each of the criteria in (a), (b) and (c) were met.  It follows that once the Tribunal found that the criterion in subclause (a) was not met, the Tribunal was required to dismiss the visa application irrespective of whether the criteria in subclauses (b) and (c) were met.  It follows that the FCC correctly held that the Tribunal was not required to consider the criteria in clause 500.212(b) and (c) before it could lawfully decide to affirm the delegate</w:t>
      </w:r>
      <w:r>
        <w:t>’</w:t>
      </w:r>
      <w:r w:rsidRPr="00976A68">
        <w:t>s decision to refu</w:t>
      </w:r>
      <w:r w:rsidRPr="00F365FD">
        <w:t xml:space="preserve">se the application.  </w:t>
      </w:r>
    </w:p>
    <w:p w:rsidR="009C0FF0" w:rsidRDefault="009C0FF0" w:rsidP="005F3D82">
      <w:pPr>
        <w:pStyle w:val="Heading1"/>
      </w:pPr>
      <w:r>
        <w:t xml:space="preserve">THE APPEAL </w:t>
      </w:r>
    </w:p>
    <w:p w:rsidR="009C0FF0" w:rsidRDefault="00A80091" w:rsidP="00D36A30">
      <w:pPr>
        <w:pStyle w:val="ParaNumbering"/>
      </w:pPr>
      <w:r w:rsidRPr="00A80091">
        <w:t>The</w:t>
      </w:r>
      <w:r w:rsidR="00E50567">
        <w:t xml:space="preserve"> appellant </w:t>
      </w:r>
      <w:r w:rsidR="00976FC6">
        <w:t>relied upon</w:t>
      </w:r>
      <w:r w:rsidR="00E50567">
        <w:t xml:space="preserve"> three grounds of appeal: </w:t>
      </w:r>
    </w:p>
    <w:p w:rsidR="00E50567" w:rsidRDefault="00E50567" w:rsidP="004B46D8">
      <w:pPr>
        <w:pStyle w:val="Quote1"/>
        <w:numPr>
          <w:ilvl w:val="0"/>
          <w:numId w:val="49"/>
        </w:numPr>
        <w:ind w:left="1418" w:hanging="681"/>
      </w:pPr>
      <w:r>
        <w:t>His Honour erred in failing to consider the submission that the Second Respondent had failed to consider mandatory relevant considerations and in particular the Applicant</w:t>
      </w:r>
      <w:r w:rsidR="00A17CD0">
        <w:t>’</w:t>
      </w:r>
      <w:r>
        <w:t>s immigration history.</w:t>
      </w:r>
    </w:p>
    <w:p w:rsidR="00E50567" w:rsidRDefault="00E50567" w:rsidP="004B46D8">
      <w:pPr>
        <w:pStyle w:val="Quote1"/>
        <w:numPr>
          <w:ilvl w:val="0"/>
          <w:numId w:val="49"/>
        </w:numPr>
        <w:ind w:left="1418" w:hanging="681"/>
      </w:pPr>
      <w:r>
        <w:t xml:space="preserve">His Honour erred in following and applying the decision of Perry J in </w:t>
      </w:r>
      <w:proofErr w:type="spellStart"/>
      <w:r w:rsidRPr="00E50567">
        <w:rPr>
          <w:i/>
        </w:rPr>
        <w:t>Vidiyala</w:t>
      </w:r>
      <w:proofErr w:type="spellEnd"/>
      <w:r w:rsidRPr="00E50567">
        <w:rPr>
          <w:i/>
        </w:rPr>
        <w:t xml:space="preserve"> v Minister for Home Affairs </w:t>
      </w:r>
      <w:r>
        <w:t>[2018] FCA 1973</w:t>
      </w:r>
    </w:p>
    <w:p w:rsidR="00E50567" w:rsidRDefault="00E50567" w:rsidP="004B46D8">
      <w:pPr>
        <w:pStyle w:val="Quote1"/>
        <w:numPr>
          <w:ilvl w:val="0"/>
          <w:numId w:val="49"/>
        </w:numPr>
        <w:ind w:left="1418" w:hanging="681"/>
      </w:pPr>
      <w:r>
        <w:t>Further grounds may</w:t>
      </w:r>
      <w:r w:rsidR="00A17CD0">
        <w:t xml:space="preserve"> </w:t>
      </w:r>
      <w:r>
        <w:t>be added when the written judgment of his Honour becomes available.</w:t>
      </w:r>
    </w:p>
    <w:p w:rsidR="00B2067C" w:rsidRDefault="00E50567" w:rsidP="001B793C">
      <w:pPr>
        <w:pStyle w:val="ParaNumbering"/>
      </w:pPr>
      <w:r>
        <w:t>The appellant did no</w:t>
      </w:r>
      <w:r w:rsidR="00B25D04">
        <w:t xml:space="preserve">t file any written </w:t>
      </w:r>
      <w:r w:rsidR="00B2067C">
        <w:t xml:space="preserve">submissions or </w:t>
      </w:r>
      <w:r w:rsidR="00976FC6">
        <w:t xml:space="preserve">seek to rely upon </w:t>
      </w:r>
      <w:r w:rsidR="00FD1C17">
        <w:t xml:space="preserve">further grounds.  </w:t>
      </w:r>
      <w:r w:rsidR="00976FC6">
        <w:t>Accordingly, the third ground of appeal may be put to one side.</w:t>
      </w:r>
    </w:p>
    <w:p w:rsidR="009C0FF0" w:rsidRDefault="009C0FF0" w:rsidP="009C0FF0">
      <w:pPr>
        <w:pStyle w:val="Heading1"/>
      </w:pPr>
      <w:r>
        <w:t>CONSIDERATION</w:t>
      </w:r>
    </w:p>
    <w:p w:rsidR="00EF580C" w:rsidRDefault="00EF580C" w:rsidP="00EF580C">
      <w:pPr>
        <w:pStyle w:val="Heading3"/>
      </w:pPr>
      <w:r>
        <w:t>Ground 2</w:t>
      </w:r>
    </w:p>
    <w:p w:rsidR="00EF580C" w:rsidRDefault="004D576C" w:rsidP="0040603D">
      <w:pPr>
        <w:pStyle w:val="ParaNumbering"/>
      </w:pPr>
      <w:r>
        <w:t xml:space="preserve">For convenience, </w:t>
      </w:r>
      <w:r w:rsidR="00EF580C">
        <w:t>I will deal with the second ground of appeal first</w:t>
      </w:r>
      <w:r w:rsidR="00A17CD0">
        <w:t xml:space="preserve">, namely </w:t>
      </w:r>
      <w:r w:rsidR="00545C6C">
        <w:t>whether</w:t>
      </w:r>
      <w:r w:rsidR="00A17CD0">
        <w:t xml:space="preserve"> the primary judge</w:t>
      </w:r>
      <w:r w:rsidR="00EF580C" w:rsidRPr="00EB3A12">
        <w:t xml:space="preserve"> erred in </w:t>
      </w:r>
      <w:r w:rsidR="00EF580C">
        <w:t>following</w:t>
      </w:r>
      <w:r w:rsidR="00EF580C" w:rsidRPr="00EB3A12">
        <w:t xml:space="preserve"> the decision of Perry J in</w:t>
      </w:r>
      <w:r w:rsidR="0047622C">
        <w:t xml:space="preserve"> </w:t>
      </w:r>
      <w:proofErr w:type="spellStart"/>
      <w:r w:rsidR="0047622C" w:rsidRPr="005F3D82">
        <w:rPr>
          <w:i/>
        </w:rPr>
        <w:t>Vidiyala</w:t>
      </w:r>
      <w:proofErr w:type="spellEnd"/>
      <w:r w:rsidR="00EF580C" w:rsidRPr="00EB3A12">
        <w:t xml:space="preserve">. </w:t>
      </w:r>
      <w:r w:rsidR="007869D9">
        <w:t xml:space="preserve"> </w:t>
      </w:r>
      <w:r w:rsidR="00EF580C">
        <w:t>T</w:t>
      </w:r>
      <w:r w:rsidR="00EF580C" w:rsidRPr="00EB3A12">
        <w:t xml:space="preserve">he Federal Circuit Court </w:t>
      </w:r>
      <w:r w:rsidR="00EF580C">
        <w:t xml:space="preserve">was </w:t>
      </w:r>
      <w:r w:rsidR="00EF580C">
        <w:lastRenderedPageBreak/>
        <w:t xml:space="preserve">bound to apply </w:t>
      </w:r>
      <w:r w:rsidR="007869D9">
        <w:t xml:space="preserve">the </w:t>
      </w:r>
      <w:r w:rsidR="00EF580C">
        <w:t xml:space="preserve">decision of </w:t>
      </w:r>
      <w:r w:rsidR="007869D9">
        <w:t xml:space="preserve">Perry J.  Her Honour’s decision was made in the appellate jurisdiction of this Court on appeal from the Federal Circuit Court: s 24(1)(d) and s 25(1AA)(a) of the </w:t>
      </w:r>
      <w:r w:rsidR="007869D9">
        <w:rPr>
          <w:i/>
        </w:rPr>
        <w:t xml:space="preserve">Federal Court of Australia Act 1976 </w:t>
      </w:r>
      <w:r w:rsidR="007869D9">
        <w:t>(</w:t>
      </w:r>
      <w:proofErr w:type="spellStart"/>
      <w:r w:rsidR="007869D9">
        <w:t>Cth</w:t>
      </w:r>
      <w:proofErr w:type="spellEnd"/>
      <w:r w:rsidR="007869D9">
        <w:t>)</w:t>
      </w:r>
      <w:r w:rsidR="00EF580C">
        <w:t xml:space="preserve">. </w:t>
      </w:r>
      <w:r w:rsidR="004B46D8">
        <w:t xml:space="preserve"> </w:t>
      </w:r>
    </w:p>
    <w:p w:rsidR="007869D9" w:rsidRDefault="00FD3750" w:rsidP="00833531">
      <w:pPr>
        <w:pStyle w:val="ParaNumbering"/>
      </w:pPr>
      <w:r>
        <w:t xml:space="preserve">A </w:t>
      </w:r>
      <w:r w:rsidR="007869D9">
        <w:t xml:space="preserve">single </w:t>
      </w:r>
      <w:r>
        <w:t xml:space="preserve">judge of this Court </w:t>
      </w:r>
      <w:r w:rsidR="00545C6C">
        <w:t xml:space="preserve">is not bound by any doctrine of precent to </w:t>
      </w:r>
      <w:r>
        <w:t xml:space="preserve">follow </w:t>
      </w:r>
      <w:r w:rsidR="000451EF">
        <w:t>an</w:t>
      </w:r>
      <w:r>
        <w:t xml:space="preserve"> earlier decision of </w:t>
      </w:r>
      <w:r w:rsidR="007869D9">
        <w:t xml:space="preserve">a single </w:t>
      </w:r>
      <w:r>
        <w:t>judge of this</w:t>
      </w:r>
      <w:r w:rsidR="000451EF">
        <w:t xml:space="preserve"> Court </w:t>
      </w:r>
      <w:r w:rsidR="00545C6C">
        <w:t xml:space="preserve">but should follow it </w:t>
      </w:r>
      <w:r w:rsidR="000451EF">
        <w:t>unless</w:t>
      </w:r>
      <w:r w:rsidRPr="00FD3750">
        <w:t xml:space="preserve"> that decision is </w:t>
      </w:r>
      <w:r w:rsidR="00545C6C">
        <w:t xml:space="preserve">regarded as </w:t>
      </w:r>
      <w:r w:rsidRPr="00FD3750">
        <w:t>plainly wrong</w:t>
      </w:r>
      <w:r w:rsidR="004B46D8">
        <w:t xml:space="preserve">, including where the </w:t>
      </w:r>
      <w:r w:rsidR="001C3BD1">
        <w:t xml:space="preserve">question arises in </w:t>
      </w:r>
      <w:r w:rsidR="004B46D8">
        <w:t>the appellate jurisdiction of the Court – see</w:t>
      </w:r>
      <w:r w:rsidRPr="00FD3750">
        <w:t xml:space="preserve">: </w:t>
      </w:r>
      <w:r w:rsidR="00EF580C" w:rsidRPr="00FD3750">
        <w:rPr>
          <w:i/>
        </w:rPr>
        <w:t xml:space="preserve">Hicks v Minister for Immigration and Multicultural and Indigenous Affairs </w:t>
      </w:r>
      <w:r w:rsidR="00EF580C" w:rsidRPr="00FD3750">
        <w:t xml:space="preserve">[2003] FCA 757 at </w:t>
      </w:r>
      <w:r w:rsidR="00545C6C">
        <w:t xml:space="preserve">[74], </w:t>
      </w:r>
      <w:r w:rsidR="00EF580C" w:rsidRPr="00FD3750">
        <w:t>[75] (French J)</w:t>
      </w:r>
      <w:r w:rsidR="007869D9">
        <w:t>;</w:t>
      </w:r>
      <w:r w:rsidR="00EF580C">
        <w:t xml:space="preserve"> W</w:t>
      </w:r>
      <w:r w:rsidR="00EF580C" w:rsidRPr="00364752">
        <w:rPr>
          <w:i/>
        </w:rPr>
        <w:t>ozniak v Minister for Immigration and Border Protection</w:t>
      </w:r>
      <w:r w:rsidR="00EF580C">
        <w:t xml:space="preserve"> (2017) 258 FCR 147 </w:t>
      </w:r>
      <w:r w:rsidR="007869D9">
        <w:t>at [35] (</w:t>
      </w:r>
      <w:r w:rsidR="00EF580C">
        <w:t>Kenny, Griffiths and Bromwich JJ</w:t>
      </w:r>
      <w:r w:rsidR="007869D9">
        <w:t>)</w:t>
      </w:r>
      <w:r w:rsidR="0009067C">
        <w:t xml:space="preserve">; </w:t>
      </w:r>
      <w:r w:rsidR="0009067C">
        <w:rPr>
          <w:i/>
        </w:rPr>
        <w:t>AYF16 v Minister for Immigration and Border Protection</w:t>
      </w:r>
      <w:r w:rsidR="0009067C">
        <w:t xml:space="preserve"> </w:t>
      </w:r>
      <w:r w:rsidR="00516B4A">
        <w:t xml:space="preserve">(2018) </w:t>
      </w:r>
      <w:r w:rsidR="00833531" w:rsidRPr="00833531">
        <w:t>264 FCR 654</w:t>
      </w:r>
      <w:r w:rsidR="0009067C">
        <w:t xml:space="preserve"> at [29]</w:t>
      </w:r>
      <w:r w:rsidR="00545C6C">
        <w:t xml:space="preserve"> (McKerracher, Murphy and Davies JJ)</w:t>
      </w:r>
      <w:r w:rsidR="007869D9">
        <w:t>.</w:t>
      </w:r>
    </w:p>
    <w:p w:rsidR="0009067C" w:rsidRDefault="00EF580C" w:rsidP="00EF580C">
      <w:pPr>
        <w:pStyle w:val="ParaNumbering"/>
      </w:pPr>
      <w:r>
        <w:t xml:space="preserve">I do not consider </w:t>
      </w:r>
      <w:r w:rsidR="007869D9">
        <w:t xml:space="preserve">the statement of Perry J in </w:t>
      </w:r>
      <w:proofErr w:type="spellStart"/>
      <w:r w:rsidRPr="005F3D82">
        <w:rPr>
          <w:i/>
        </w:rPr>
        <w:t>Vidiyala</w:t>
      </w:r>
      <w:proofErr w:type="spellEnd"/>
      <w:r>
        <w:t xml:space="preserve"> </w:t>
      </w:r>
      <w:r w:rsidR="007869D9">
        <w:t xml:space="preserve">at [28] </w:t>
      </w:r>
      <w:r>
        <w:t xml:space="preserve">to be plainly wrong. </w:t>
      </w:r>
      <w:r w:rsidR="007869D9">
        <w:t xml:space="preserve"> </w:t>
      </w:r>
      <w:r>
        <w:t>Indeed, I consider her Honour</w:t>
      </w:r>
      <w:r w:rsidR="00A17CD0">
        <w:t>’</w:t>
      </w:r>
      <w:r>
        <w:t xml:space="preserve">s statement to be correct.  A </w:t>
      </w:r>
      <w:r w:rsidR="007869D9">
        <w:t>decision-</w:t>
      </w:r>
      <w:r>
        <w:t xml:space="preserve">maker </w:t>
      </w:r>
      <w:r w:rsidR="00B57559">
        <w:t>who affirmed a decision not to grant a visa on the basis that paragraph (a)</w:t>
      </w:r>
      <w:r w:rsidR="00366CC2">
        <w:t xml:space="preserve"> </w:t>
      </w:r>
      <w:r w:rsidR="00B57559">
        <w:t>of cl</w:t>
      </w:r>
      <w:r w:rsidR="00B57559" w:rsidRPr="00345B0C">
        <w:t xml:space="preserve"> 500.212 </w:t>
      </w:r>
      <w:r w:rsidR="00B57559">
        <w:t xml:space="preserve">had not been met </w:t>
      </w:r>
      <w:r>
        <w:t xml:space="preserve">would </w:t>
      </w:r>
      <w:r w:rsidR="00B57559">
        <w:t xml:space="preserve">have </w:t>
      </w:r>
      <w:r>
        <w:t>exercise</w:t>
      </w:r>
      <w:r w:rsidR="00B57559">
        <w:t>d</w:t>
      </w:r>
      <w:r>
        <w:t xml:space="preserve"> the jurisdiction entrusted</w:t>
      </w:r>
      <w:r w:rsidR="00B4791A">
        <w:t xml:space="preserve"> to him or her </w:t>
      </w:r>
      <w:r>
        <w:t>and would not</w:t>
      </w:r>
      <w:r w:rsidR="00B57559">
        <w:t xml:space="preserve"> have</w:t>
      </w:r>
      <w:r>
        <w:t xml:space="preserve"> </w:t>
      </w:r>
      <w:r w:rsidR="0009067C">
        <w:t>failed to</w:t>
      </w:r>
      <w:r w:rsidR="00B57559">
        <w:t xml:space="preserve"> exercise </w:t>
      </w:r>
      <w:r w:rsidR="00366CC2">
        <w:t xml:space="preserve">or complete the exercise </w:t>
      </w:r>
      <w:r w:rsidR="00B57559">
        <w:t xml:space="preserve">of jurisdiction </w:t>
      </w:r>
      <w:r w:rsidR="001C3BD1">
        <w:t xml:space="preserve">entrusted to him or her </w:t>
      </w:r>
      <w:r w:rsidR="00B57559">
        <w:t xml:space="preserve">merely </w:t>
      </w:r>
      <w:r>
        <w:t xml:space="preserve">by failing to consider whether the </w:t>
      </w:r>
      <w:r w:rsidR="00B57559">
        <w:t xml:space="preserve">paragraphs </w:t>
      </w:r>
      <w:r w:rsidR="00366CC2">
        <w:t>(b) and (c)</w:t>
      </w:r>
      <w:r w:rsidR="00FD32F5">
        <w:t xml:space="preserve"> </w:t>
      </w:r>
      <w:r>
        <w:t xml:space="preserve">were also not met. </w:t>
      </w:r>
    </w:p>
    <w:p w:rsidR="009C0FF0" w:rsidRDefault="002B09E2" w:rsidP="002B09E2">
      <w:pPr>
        <w:pStyle w:val="Heading3"/>
      </w:pPr>
      <w:r>
        <w:t>Ground 1</w:t>
      </w:r>
    </w:p>
    <w:p w:rsidR="00CC63DA" w:rsidRDefault="00CC63DA" w:rsidP="002B09E2">
      <w:pPr>
        <w:pStyle w:val="ParaNumbering"/>
      </w:pPr>
      <w:r>
        <w:t>As framed</w:t>
      </w:r>
      <w:r w:rsidR="00A01625">
        <w:t>,</w:t>
      </w:r>
      <w:r>
        <w:t xml:space="preserve"> </w:t>
      </w:r>
      <w:r w:rsidR="00B57559">
        <w:t xml:space="preserve">this </w:t>
      </w:r>
      <w:r>
        <w:t>ground of appeal alleges a failure by the Tribunal to assess the appellant</w:t>
      </w:r>
      <w:r w:rsidR="00A17CD0">
        <w:t>’</w:t>
      </w:r>
      <w:r>
        <w:t>s immigration history under cl 500.212(a)(ii).</w:t>
      </w:r>
      <w:r w:rsidR="00B57559">
        <w:t xml:space="preserve">  </w:t>
      </w:r>
    </w:p>
    <w:p w:rsidR="00156128" w:rsidRDefault="00156128" w:rsidP="00156128">
      <w:pPr>
        <w:pStyle w:val="ParaNumbering"/>
      </w:pPr>
      <w:r>
        <w:t xml:space="preserve">This was not </w:t>
      </w:r>
      <w:r w:rsidR="006E03D9">
        <w:t xml:space="preserve">a ground of review </w:t>
      </w:r>
      <w:r>
        <w:t>put to the Federal Circuit Court</w:t>
      </w:r>
      <w:r w:rsidR="006E03D9">
        <w:t xml:space="preserve">.  The </w:t>
      </w:r>
      <w:r>
        <w:t xml:space="preserve">appellant therefore </w:t>
      </w:r>
      <w:r w:rsidR="006E03D9">
        <w:t xml:space="preserve">requires </w:t>
      </w:r>
      <w:r>
        <w:t xml:space="preserve">leave to raise </w:t>
      </w:r>
      <w:r w:rsidR="006E03D9">
        <w:t>it in the</w:t>
      </w:r>
      <w:r>
        <w:t xml:space="preserve"> appeal </w:t>
      </w:r>
      <w:r w:rsidR="006E03D9">
        <w:t xml:space="preserve">to </w:t>
      </w:r>
      <w:r>
        <w:t>this Court.</w:t>
      </w:r>
    </w:p>
    <w:p w:rsidR="00156128" w:rsidRPr="00B17945" w:rsidRDefault="00156128">
      <w:pPr>
        <w:pStyle w:val="ParaNumbering"/>
        <w:tabs>
          <w:tab w:val="num" w:pos="720"/>
        </w:tabs>
      </w:pPr>
      <w:r>
        <w:t xml:space="preserve">The principles relevant to whether leave should be granted to raise on appeal grounds </w:t>
      </w:r>
      <w:r w:rsidR="006E03D9">
        <w:t xml:space="preserve">of judicial review </w:t>
      </w:r>
      <w:r>
        <w:t xml:space="preserve">which were not relied upon </w:t>
      </w:r>
      <w:r w:rsidR="006E03D9">
        <w:t>below</w:t>
      </w:r>
      <w:r>
        <w:t xml:space="preserve"> were set out by Bromwich J in </w:t>
      </w:r>
      <w:r w:rsidRPr="005F3D82">
        <w:rPr>
          <w:b/>
          <w:i/>
        </w:rPr>
        <w:t>Han</w:t>
      </w:r>
      <w:r w:rsidRPr="005F3D82">
        <w:rPr>
          <w:i/>
        </w:rPr>
        <w:t xml:space="preserve"> v Mini</w:t>
      </w:r>
      <w:r w:rsidRPr="006E03D9">
        <w:rPr>
          <w:i/>
        </w:rPr>
        <w:t xml:space="preserve">ster for Home Affairs </w:t>
      </w:r>
      <w:r>
        <w:t>[2019] FCA 331 at [</w:t>
      </w:r>
      <w:r w:rsidR="006E03D9">
        <w:t>4</w:t>
      </w:r>
      <w:r>
        <w:t xml:space="preserve">]-[18].  One important consideration is the merit of the ground which the appellant seeks leave to raise.  </w:t>
      </w:r>
      <w:r w:rsidR="006E03D9">
        <w:t>Others</w:t>
      </w:r>
      <w:r w:rsidR="006E03D9" w:rsidRPr="006E03D9">
        <w:t xml:space="preserve"> include whether there </w:t>
      </w:r>
      <w:r w:rsidR="006E03D9">
        <w:t>is prejudice to the respondent, whe</w:t>
      </w:r>
      <w:r w:rsidR="006E03D9" w:rsidRPr="006E03D9">
        <w:t>ther it is a matter of construction or law that could have been met by evidence below, whether there is an acceptable explanation and whether it is in the interests of justice.</w:t>
      </w:r>
      <w:r w:rsidR="006E03D9">
        <w:t xml:space="preserve">  None of the considerations point in favour of granting leave.</w:t>
      </w:r>
    </w:p>
    <w:p w:rsidR="006E03D9" w:rsidRDefault="00A01625" w:rsidP="00156128">
      <w:pPr>
        <w:pStyle w:val="ParaNumbering"/>
        <w:tabs>
          <w:tab w:val="num" w:pos="720"/>
        </w:tabs>
      </w:pPr>
      <w:r>
        <w:t>The Tribunal</w:t>
      </w:r>
      <w:r w:rsidR="00A17CD0">
        <w:t>’</w:t>
      </w:r>
      <w:r>
        <w:t>s reasons show engagement with the appellant</w:t>
      </w:r>
      <w:r w:rsidR="00A17CD0">
        <w:t>’</w:t>
      </w:r>
      <w:r>
        <w:t>s immigration history</w:t>
      </w:r>
      <w:r w:rsidR="00F357B2">
        <w:t>,</w:t>
      </w:r>
      <w:r w:rsidR="006E03D9">
        <w:t xml:space="preserve"> and there is nothing to suggest some aspect of immigration history which was put to the Tribunal </w:t>
      </w:r>
      <w:r w:rsidR="00F357B2">
        <w:t xml:space="preserve">was </w:t>
      </w:r>
      <w:r w:rsidR="006E03D9">
        <w:t xml:space="preserve">not taken into account.  </w:t>
      </w:r>
    </w:p>
    <w:p w:rsidR="00AE1AB4" w:rsidRDefault="00AE1AB4" w:rsidP="00156128">
      <w:pPr>
        <w:pStyle w:val="ParaNumbering"/>
        <w:tabs>
          <w:tab w:val="num" w:pos="720"/>
        </w:tabs>
      </w:pPr>
      <w:r>
        <w:lastRenderedPageBreak/>
        <w:t>The Tribunal expressly referred to the following as a relevant factor:</w:t>
      </w:r>
    </w:p>
    <w:p w:rsidR="00AE1AB4" w:rsidRDefault="000D7957" w:rsidP="001948C4">
      <w:pPr>
        <w:pStyle w:val="Quote1"/>
      </w:pPr>
      <w:r>
        <w:t>[T]</w:t>
      </w:r>
      <w:r w:rsidR="002202EA">
        <w:t xml:space="preserve">he applicant's immigration history, including previous applications for an Australian visa or for visas to other countries, and previous travel to Australia or other </w:t>
      </w:r>
      <w:r>
        <w:t>countries.</w:t>
      </w:r>
    </w:p>
    <w:p w:rsidR="00156128" w:rsidRDefault="00AE1AB4" w:rsidP="00156128">
      <w:pPr>
        <w:pStyle w:val="ParaNumbering"/>
        <w:tabs>
          <w:tab w:val="num" w:pos="720"/>
        </w:tabs>
      </w:pPr>
      <w:r>
        <w:t>Having identified that as a relevant factor, t</w:t>
      </w:r>
      <w:r w:rsidR="006E03D9">
        <w:t>he Tribunal’s reasons included:</w:t>
      </w:r>
      <w:r w:rsidR="00156128">
        <w:t xml:space="preserve"> </w:t>
      </w:r>
    </w:p>
    <w:p w:rsidR="006A0EAA" w:rsidRDefault="00B17945" w:rsidP="00B229EF">
      <w:pPr>
        <w:pStyle w:val="Quote1"/>
        <w:widowControl/>
        <w:rPr>
          <w:lang w:eastAsia="en-AU"/>
        </w:rPr>
      </w:pPr>
      <w:r>
        <w:t>[13]</w:t>
      </w:r>
      <w:r>
        <w:tab/>
        <w:t>…</w:t>
      </w:r>
      <w:r w:rsidRPr="00B17945">
        <w:rPr>
          <w:lang w:eastAsia="en-AU"/>
        </w:rPr>
        <w:t xml:space="preserve"> </w:t>
      </w:r>
      <w:r>
        <w:rPr>
          <w:lang w:eastAsia="en-AU"/>
        </w:rPr>
        <w:t xml:space="preserve">He has not departed Australia since arriving onshore… </w:t>
      </w:r>
    </w:p>
    <w:p w:rsidR="00B17945" w:rsidRDefault="00B17945" w:rsidP="00B229EF">
      <w:pPr>
        <w:pStyle w:val="Quote1"/>
        <w:widowControl/>
        <w:ind w:left="1440" w:hanging="703"/>
        <w:rPr>
          <w:lang w:eastAsia="en-AU"/>
        </w:rPr>
      </w:pPr>
      <w:r>
        <w:rPr>
          <w:lang w:eastAsia="en-AU"/>
        </w:rPr>
        <w:t>[14]</w:t>
      </w:r>
      <w:r>
        <w:rPr>
          <w:lang w:eastAsia="en-AU"/>
        </w:rPr>
        <w:tab/>
        <w:t>… If the applicant</w:t>
      </w:r>
      <w:r w:rsidR="00A17CD0">
        <w:rPr>
          <w:lang w:eastAsia="en-AU"/>
        </w:rPr>
        <w:t>’</w:t>
      </w:r>
      <w:r>
        <w:rPr>
          <w:lang w:eastAsia="en-AU"/>
        </w:rPr>
        <w:t>s visa is granted and he completes the courses on time, this will mean he has resided onshore holding a student visa for over 12 years.</w:t>
      </w:r>
    </w:p>
    <w:p w:rsidR="00A01625" w:rsidRDefault="00A01625" w:rsidP="00B229EF">
      <w:pPr>
        <w:pStyle w:val="Quote1"/>
        <w:widowControl/>
        <w:ind w:left="1440"/>
        <w:rPr>
          <w:lang w:eastAsia="en-AU"/>
        </w:rPr>
      </w:pPr>
      <w:r>
        <w:rPr>
          <w:lang w:eastAsia="en-AU"/>
        </w:rPr>
        <w:t>…</w:t>
      </w:r>
    </w:p>
    <w:p w:rsidR="00B17945" w:rsidRDefault="00B17945" w:rsidP="00B229EF">
      <w:pPr>
        <w:pStyle w:val="Quote1"/>
        <w:widowControl/>
        <w:ind w:left="1440" w:hanging="703"/>
        <w:rPr>
          <w:lang w:eastAsia="en-AU"/>
        </w:rPr>
      </w:pPr>
      <w:r>
        <w:rPr>
          <w:lang w:eastAsia="en-AU"/>
        </w:rPr>
        <w:t>[17]</w:t>
      </w:r>
      <w:r>
        <w:rPr>
          <w:lang w:eastAsia="en-AU"/>
        </w:rPr>
        <w:tab/>
        <w:t>The applicant has spent his whole adult life living in Australia. He has not been a full time resident of his home country since September 2008 and has spent no time in his home country since he departed in September 2008, a total of nine and a half years at the time of this decision.</w:t>
      </w:r>
    </w:p>
    <w:p w:rsidR="00A01625" w:rsidRDefault="00A01625" w:rsidP="00B229EF">
      <w:pPr>
        <w:pStyle w:val="Quote1"/>
        <w:widowControl/>
        <w:ind w:left="1440"/>
        <w:rPr>
          <w:lang w:eastAsia="en-AU"/>
        </w:rPr>
      </w:pPr>
      <w:r>
        <w:rPr>
          <w:lang w:eastAsia="en-AU"/>
        </w:rPr>
        <w:t>…</w:t>
      </w:r>
    </w:p>
    <w:p w:rsidR="00B17945" w:rsidRDefault="00B17945" w:rsidP="00B229EF">
      <w:pPr>
        <w:pStyle w:val="Quote1"/>
        <w:widowControl/>
        <w:ind w:left="1440" w:hanging="703"/>
      </w:pPr>
      <w:r>
        <w:rPr>
          <w:lang w:eastAsia="en-AU"/>
        </w:rPr>
        <w:t>[21]</w:t>
      </w:r>
      <w:r>
        <w:rPr>
          <w:lang w:eastAsia="en-AU"/>
        </w:rPr>
        <w:tab/>
        <w:t>… The applicant</w:t>
      </w:r>
      <w:r w:rsidR="00A17CD0">
        <w:rPr>
          <w:lang w:eastAsia="en-AU"/>
        </w:rPr>
        <w:t>’</w:t>
      </w:r>
      <w:r>
        <w:rPr>
          <w:lang w:eastAsia="en-AU"/>
        </w:rPr>
        <w:t>s brother, on the applicant</w:t>
      </w:r>
      <w:r w:rsidR="00A17CD0">
        <w:rPr>
          <w:lang w:eastAsia="en-AU"/>
        </w:rPr>
        <w:t>’</w:t>
      </w:r>
      <w:r>
        <w:rPr>
          <w:lang w:eastAsia="en-AU"/>
        </w:rPr>
        <w:t xml:space="preserve">s oral evidence, has returned to Nepal on three or four occasions over the years - the applicant has not returned once… </w:t>
      </w:r>
    </w:p>
    <w:p w:rsidR="00CC63DA" w:rsidRDefault="00156128" w:rsidP="00B17945">
      <w:pPr>
        <w:pStyle w:val="ParaNumbering"/>
      </w:pPr>
      <w:r>
        <w:t>There is no merit</w:t>
      </w:r>
      <w:r w:rsidR="006A0EAA">
        <w:t xml:space="preserve"> to the appellant</w:t>
      </w:r>
      <w:r w:rsidR="00A17CD0">
        <w:t>’</w:t>
      </w:r>
      <w:r w:rsidR="006A0EAA">
        <w:t xml:space="preserve">s </w:t>
      </w:r>
      <w:r w:rsidR="00B57559">
        <w:t>contention that the Tribunal did not consider his immigration history as required by cl</w:t>
      </w:r>
      <w:r w:rsidR="00B57559" w:rsidRPr="00345B0C">
        <w:t xml:space="preserve"> 500.212</w:t>
      </w:r>
      <w:r w:rsidR="00B57559">
        <w:t xml:space="preserve">(a)(ii).  In the circumstances of this case, </w:t>
      </w:r>
      <w:r w:rsidR="001C3BD1">
        <w:t>which includes</w:t>
      </w:r>
      <w:r w:rsidR="004B46D8">
        <w:t xml:space="preserve"> that no other factor weighs in favour of granting leave, </w:t>
      </w:r>
      <w:r w:rsidR="00B57559">
        <w:t xml:space="preserve">that is sufficient not to </w:t>
      </w:r>
      <w:r w:rsidR="004B46D8">
        <w:t>grant</w:t>
      </w:r>
      <w:r w:rsidR="00B57559">
        <w:t xml:space="preserve"> leave to raise the </w:t>
      </w:r>
      <w:r w:rsidR="004B46D8">
        <w:t>new issue in the</w:t>
      </w:r>
      <w:r>
        <w:t xml:space="preserve"> appeal. </w:t>
      </w:r>
    </w:p>
    <w:p w:rsidR="006E03D9" w:rsidRDefault="00EF580C" w:rsidP="00B17945">
      <w:pPr>
        <w:pStyle w:val="ParaNumbering"/>
      </w:pPr>
      <w:r>
        <w:t>If</w:t>
      </w:r>
      <w:r w:rsidR="006A0EAA">
        <w:t>,</w:t>
      </w:r>
      <w:r>
        <w:t xml:space="preserve"> </w:t>
      </w:r>
      <w:r w:rsidR="00156128">
        <w:t>in the appellant</w:t>
      </w:r>
      <w:r w:rsidR="00A17CD0">
        <w:t>’</w:t>
      </w:r>
      <w:r w:rsidR="00156128">
        <w:t>s first ground of appeal</w:t>
      </w:r>
      <w:r w:rsidR="00A01625">
        <w:t>,</w:t>
      </w:r>
      <w:r>
        <w:t xml:space="preserve"> </w:t>
      </w:r>
      <w:r w:rsidR="00A17CD0">
        <w:t>“</w:t>
      </w:r>
      <w:r>
        <w:t>immigration history</w:t>
      </w:r>
      <w:r w:rsidR="00A17CD0">
        <w:t>”</w:t>
      </w:r>
      <w:r w:rsidR="00B57559">
        <w:t xml:space="preserve"> had been intended to</w:t>
      </w:r>
      <w:r w:rsidR="00156128">
        <w:t xml:space="preserve"> r</w:t>
      </w:r>
      <w:r>
        <w:t>efer to</w:t>
      </w:r>
      <w:r w:rsidR="00B57559">
        <w:t xml:space="preserve"> his</w:t>
      </w:r>
      <w:r>
        <w:t xml:space="preserve"> </w:t>
      </w:r>
      <w:r w:rsidR="00B57559">
        <w:t xml:space="preserve">“record </w:t>
      </w:r>
      <w:r w:rsidR="00B57559" w:rsidRPr="00AB3D2E">
        <w:t xml:space="preserve">of compliance with any condition of a visa previously held by” him </w:t>
      </w:r>
      <w:r w:rsidR="006E03D9" w:rsidRPr="00AB3D2E">
        <w:t>(</w:t>
      </w:r>
      <w:r w:rsidRPr="00AB3D2E">
        <w:t>cl</w:t>
      </w:r>
      <w:r w:rsidR="006E03D9" w:rsidRPr="00AB3D2E">
        <w:t> </w:t>
      </w:r>
      <w:r w:rsidRPr="00AB3D2E">
        <w:t>500.212(b)</w:t>
      </w:r>
      <w:r w:rsidR="006E03D9" w:rsidRPr="00AB3D2E">
        <w:t>(</w:t>
      </w:r>
      <w:proofErr w:type="spellStart"/>
      <w:r w:rsidR="006E03D9" w:rsidRPr="00AB3D2E">
        <w:t>i</w:t>
      </w:r>
      <w:proofErr w:type="spellEnd"/>
      <w:r w:rsidR="006E03D9" w:rsidRPr="00AB3D2E">
        <w:t>))</w:t>
      </w:r>
      <w:r>
        <w:t xml:space="preserve">, </w:t>
      </w:r>
      <w:r w:rsidR="00156128">
        <w:t>the ground of appeal would</w:t>
      </w:r>
      <w:r w:rsidR="004B46D8">
        <w:t xml:space="preserve"> have</w:t>
      </w:r>
      <w:r w:rsidR="00156128">
        <w:t xml:space="preserve"> be</w:t>
      </w:r>
      <w:r w:rsidR="004B46D8">
        <w:t>en</w:t>
      </w:r>
      <w:r w:rsidR="00156128">
        <w:t xml:space="preserve"> dismissed</w:t>
      </w:r>
      <w:r w:rsidR="004920BD">
        <w:t xml:space="preserve"> </w:t>
      </w:r>
      <w:r w:rsidR="006E03D9">
        <w:t>for two reasons:</w:t>
      </w:r>
    </w:p>
    <w:p w:rsidR="006E03D9" w:rsidRDefault="006E03D9" w:rsidP="00B229EF">
      <w:pPr>
        <w:pStyle w:val="ListNo1"/>
      </w:pPr>
      <w:r>
        <w:t>first, the Tribunal did not need to consider cl</w:t>
      </w:r>
      <w:r w:rsidR="004B46D8">
        <w:t xml:space="preserve"> </w:t>
      </w:r>
      <w:r>
        <w:t>500.212</w:t>
      </w:r>
      <w:r w:rsidR="004B46D8">
        <w:t>(b)</w:t>
      </w:r>
      <w:r>
        <w:t xml:space="preserve"> in circumstances where </w:t>
      </w:r>
      <w:r w:rsidR="004B46D8">
        <w:t>it</w:t>
      </w:r>
      <w:r>
        <w:t xml:space="preserve"> affirmed the decision not to grant a visa because </w:t>
      </w:r>
      <w:r w:rsidR="004B46D8">
        <w:t>cl 500.212</w:t>
      </w:r>
      <w:r>
        <w:t xml:space="preserve">(a) was not met by the </w:t>
      </w:r>
      <w:r w:rsidR="00AB3D2E">
        <w:t xml:space="preserve">appellant </w:t>
      </w:r>
      <w:r>
        <w:t>(as noted above in relation to ground 2 of the appeal);</w:t>
      </w:r>
    </w:p>
    <w:p w:rsidR="006E03D9" w:rsidRDefault="006E03D9" w:rsidP="00B229EF">
      <w:pPr>
        <w:pStyle w:val="ListNo1"/>
      </w:pPr>
      <w:r>
        <w:t>secondly, the appellant ha</w:t>
      </w:r>
      <w:r w:rsidR="004B46D8">
        <w:t>s</w:t>
      </w:r>
      <w:r>
        <w:t xml:space="preserve"> not discharged the onus of establishing that his record of compliance was not taken into account</w:t>
      </w:r>
      <w:r w:rsidR="004B46D8">
        <w:t xml:space="preserve"> by the Tribunal</w:t>
      </w:r>
      <w:r>
        <w:t>.</w:t>
      </w:r>
    </w:p>
    <w:p w:rsidR="00366CC2" w:rsidRDefault="00AE1AB4" w:rsidP="001948C4">
      <w:pPr>
        <w:pStyle w:val="ParaNumbering"/>
      </w:pPr>
      <w:r>
        <w:t>In amplification of the last mentioned point, the Tribunal referred to the appellant</w:t>
      </w:r>
      <w:r w:rsidR="00366CC2">
        <w:t>’</w:t>
      </w:r>
      <w:r>
        <w:t>s holding of visas at T[13] in terms from which</w:t>
      </w:r>
      <w:r w:rsidR="00FD32F5">
        <w:t xml:space="preserve"> it should be </w:t>
      </w:r>
      <w:r>
        <w:t>infe</w:t>
      </w:r>
      <w:r w:rsidR="00FD32F5">
        <w:t>r</w:t>
      </w:r>
      <w:r>
        <w:t>r</w:t>
      </w:r>
      <w:r w:rsidR="00FD32F5">
        <w:t>ed</w:t>
      </w:r>
      <w:r>
        <w:t xml:space="preserve"> that it appreciated that there was no suggested non-compliance.  At T[15] the Tribunal stated</w:t>
      </w:r>
    </w:p>
    <w:p w:rsidR="00366CC2" w:rsidRDefault="000D7957" w:rsidP="00E438DF">
      <w:pPr>
        <w:pStyle w:val="Quote1"/>
      </w:pPr>
      <w:r>
        <w:t xml:space="preserve">The Tribunal has considered all relevant facts and matters, including documents provided by the applicant and his oral evidence at the hearing. The Tribunal has </w:t>
      </w:r>
      <w:r>
        <w:lastRenderedPageBreak/>
        <w:t>considered the matters raised in the representative</w:t>
      </w:r>
      <w:r w:rsidR="00366CC2">
        <w:t>’</w:t>
      </w:r>
      <w:r>
        <w:t>s written submissions dated 1 March 2018.</w:t>
      </w:r>
    </w:p>
    <w:p w:rsidR="00AE1AB4" w:rsidRDefault="00AE1AB4" w:rsidP="00E438DF">
      <w:pPr>
        <w:pStyle w:val="ParaNumbering"/>
      </w:pPr>
      <w:r>
        <w:t xml:space="preserve">It was not shown either before the primary judge or this Court that anything was put to the Tribunal in respect of visa compliance </w:t>
      </w:r>
      <w:r w:rsidR="00A4283C">
        <w:t xml:space="preserve">that </w:t>
      </w:r>
      <w:r>
        <w:t xml:space="preserve">was not taken into account. </w:t>
      </w:r>
    </w:p>
    <w:p w:rsidR="00484F6D" w:rsidRDefault="009C0FF0" w:rsidP="009C0FF0">
      <w:pPr>
        <w:pStyle w:val="Heading1"/>
      </w:pPr>
      <w:r>
        <w:t>CONCLUSION</w:t>
      </w:r>
    </w:p>
    <w:p w:rsidR="00BA7C9B" w:rsidRDefault="00F0147B" w:rsidP="00061056">
      <w:pPr>
        <w:pStyle w:val="ParaNumbering"/>
      </w:pPr>
      <w:r>
        <w:t xml:space="preserve">The appeal </w:t>
      </w:r>
      <w:r w:rsidR="004B46D8">
        <w:t xml:space="preserve">must be </w:t>
      </w:r>
      <w:r>
        <w:t>dismissed.</w:t>
      </w:r>
    </w:p>
    <w:p w:rsidR="00083A74" w:rsidRDefault="00083A74" w:rsidP="00815065">
      <w:pPr>
        <w:pStyle w:val="BodyText"/>
      </w:pPr>
      <w:bookmarkStart w:id="20" w:name="Certification"/>
    </w:p>
    <w:tbl>
      <w:tblPr>
        <w:tblW w:w="0" w:type="auto"/>
        <w:tblLook w:val="04A0" w:firstRow="1" w:lastRow="0" w:firstColumn="1" w:lastColumn="0" w:noHBand="0" w:noVBand="1"/>
      </w:tblPr>
      <w:tblGrid>
        <w:gridCol w:w="3794"/>
      </w:tblGrid>
      <w:tr w:rsidR="00083A74" w:rsidRPr="00083A74">
        <w:tc>
          <w:tcPr>
            <w:tcW w:w="3794" w:type="dxa"/>
            <w:shd w:val="clear" w:color="auto" w:fill="auto"/>
          </w:tcPr>
          <w:p w:rsidR="00083A74" w:rsidRPr="00083A74" w:rsidRDefault="00083A74" w:rsidP="00083A74">
            <w:pPr>
              <w:pStyle w:val="Normal1linespace"/>
            </w:pPr>
            <w:r w:rsidRPr="00083A74">
              <w:t xml:space="preserve">I certify that the preceding </w:t>
            </w:r>
            <w:bookmarkStart w:id="21" w:name="NumberWord"/>
            <w:r>
              <w:t>twenty-nine</w:t>
            </w:r>
            <w:bookmarkEnd w:id="21"/>
            <w:r w:rsidRPr="00083A74">
              <w:t xml:space="preserve"> (</w:t>
            </w:r>
            <w:bookmarkStart w:id="22" w:name="NumberNumeral"/>
            <w:r>
              <w:t>29</w:t>
            </w:r>
            <w:bookmarkEnd w:id="22"/>
            <w:r w:rsidRPr="00083A74">
              <w:t xml:space="preserve">) numbered </w:t>
            </w:r>
            <w:bookmarkStart w:id="23" w:name="CertPara"/>
            <w:r>
              <w:t>paragraphs are</w:t>
            </w:r>
            <w:bookmarkEnd w:id="23"/>
            <w:r w:rsidRPr="00083A74">
              <w:t xml:space="preserve"> a true copy of the Reasons for Judgment herein of the Honourable </w:t>
            </w:r>
            <w:bookmarkStart w:id="24" w:name="Justice"/>
            <w:r>
              <w:t>Justice Thawley</w:t>
            </w:r>
            <w:bookmarkEnd w:id="24"/>
            <w:r w:rsidRPr="00083A74">
              <w:t>.</w:t>
            </w:r>
          </w:p>
        </w:tc>
      </w:tr>
    </w:tbl>
    <w:p w:rsidR="00083A74" w:rsidRDefault="00083A74" w:rsidP="00815065">
      <w:pPr>
        <w:pStyle w:val="BodyText"/>
      </w:pPr>
    </w:p>
    <w:p w:rsidR="00083A74" w:rsidRDefault="00083A74" w:rsidP="00815065">
      <w:pPr>
        <w:pStyle w:val="BodyText"/>
      </w:pPr>
      <w:r>
        <w:t>Associate:</w:t>
      </w:r>
      <w:r w:rsidR="00FD32F5" w:rsidRPr="00FD32F5">
        <w:t xml:space="preserve"> </w:t>
      </w:r>
      <w:bookmarkStart w:id="25" w:name="_GoBack"/>
      <w:bookmarkEnd w:id="25"/>
    </w:p>
    <w:p w:rsidR="00083A74" w:rsidRDefault="00083A74" w:rsidP="00815065">
      <w:pPr>
        <w:pStyle w:val="BodyText"/>
      </w:pPr>
    </w:p>
    <w:p w:rsidR="00083A74" w:rsidRDefault="00083A74" w:rsidP="00815065">
      <w:pPr>
        <w:pStyle w:val="BodyText"/>
        <w:tabs>
          <w:tab w:val="left" w:pos="1134"/>
        </w:tabs>
      </w:pPr>
      <w:r>
        <w:t>Dated:</w:t>
      </w:r>
      <w:r>
        <w:tab/>
      </w:r>
      <w:bookmarkStart w:id="26" w:name="CertifyDated"/>
      <w:r>
        <w:t>25 November 2019</w:t>
      </w:r>
      <w:bookmarkEnd w:id="26"/>
    </w:p>
    <w:p w:rsidR="00083A74" w:rsidRDefault="00083A74" w:rsidP="00815065">
      <w:pPr>
        <w:pStyle w:val="BodyText"/>
      </w:pPr>
    </w:p>
    <w:bookmarkEnd w:id="20"/>
    <w:p w:rsidR="00083A74" w:rsidRDefault="00083A74" w:rsidP="00083A74">
      <w:pPr>
        <w:pStyle w:val="BodyText"/>
      </w:pPr>
    </w:p>
    <w:sectPr w:rsidR="00083A74">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4B" w:rsidRDefault="00575D4B">
      <w:pPr>
        <w:spacing w:line="20" w:lineRule="exact"/>
      </w:pPr>
    </w:p>
    <w:p w:rsidR="00575D4B" w:rsidRDefault="00575D4B"/>
    <w:p w:rsidR="00575D4B" w:rsidRDefault="00575D4B"/>
  </w:endnote>
  <w:endnote w:type="continuationSeparator" w:id="0">
    <w:p w:rsidR="00575D4B" w:rsidRDefault="00575D4B">
      <w:r>
        <w:t xml:space="preserve"> </w:t>
      </w:r>
    </w:p>
    <w:p w:rsidR="00575D4B" w:rsidRDefault="00575D4B"/>
    <w:p w:rsidR="00575D4B" w:rsidRDefault="00575D4B"/>
  </w:endnote>
  <w:endnote w:type="continuationNotice" w:id="1">
    <w:p w:rsidR="00575D4B" w:rsidRDefault="00575D4B">
      <w:r>
        <w:t xml:space="preserve"> </w:t>
      </w:r>
    </w:p>
    <w:p w:rsidR="00575D4B" w:rsidRDefault="00575D4B"/>
    <w:p w:rsidR="00575D4B" w:rsidRDefault="00575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4B" w:rsidRDefault="00575D4B">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4B" w:rsidRPr="00624520" w:rsidRDefault="00575D4B"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4B" w:rsidRDefault="00575D4B"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D4B" w:rsidRDefault="00575D4B"/>
    <w:p w:rsidR="00575D4B" w:rsidRDefault="00575D4B"/>
    <w:p w:rsidR="00575D4B" w:rsidRDefault="00575D4B"/>
  </w:footnote>
  <w:footnote w:type="continuationSeparator" w:id="0">
    <w:p w:rsidR="00575D4B" w:rsidRDefault="00575D4B">
      <w:r>
        <w:continuationSeparator/>
      </w:r>
    </w:p>
    <w:p w:rsidR="00575D4B" w:rsidRDefault="00575D4B"/>
    <w:p w:rsidR="00575D4B" w:rsidRDefault="00575D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4B" w:rsidRDefault="00575D4B">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4B" w:rsidRDefault="00575D4B">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4B" w:rsidRDefault="00575D4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4B" w:rsidRDefault="00575D4B">
    <w:pPr>
      <w:tabs>
        <w:tab w:val="center" w:pos="4512"/>
      </w:tabs>
      <w:suppressAutoHyphens/>
    </w:pPr>
    <w:r>
      <w:tab/>
      <w:t xml:space="preserve">- </w:t>
    </w:r>
    <w:r>
      <w:fldChar w:fldCharType="begin"/>
    </w:r>
    <w:r>
      <w:instrText>page \* arabic</w:instrText>
    </w:r>
    <w:r>
      <w:fldChar w:fldCharType="separate"/>
    </w:r>
    <w:r w:rsidR="00A1793E">
      <w:rPr>
        <w:noProof/>
      </w:rPr>
      <w:t>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4B" w:rsidRDefault="00575D4B">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1440"/>
        </w:tabs>
        <w:ind w:left="1440" w:hanging="720"/>
      </w:pPr>
      <w:rPr>
        <w:rFonts w:ascii="Symbol" w:hAnsi="Symbol"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Roman"/>
      <w:lvlText w:val="(%5)"/>
      <w:lvlJc w:val="left"/>
      <w:pPr>
        <w:tabs>
          <w:tab w:val="num" w:pos="4320"/>
        </w:tabs>
        <w:ind w:left="4320" w:hanging="720"/>
      </w:pPr>
      <w:rPr>
        <w:rFonts w:hint="default"/>
      </w:rPr>
    </w:lvl>
    <w:lvl w:ilvl="5">
      <w:start w:val="1"/>
      <w:numFmt w:val="none"/>
      <w:lvlText w:val=""/>
      <w:lvlJc w:val="left"/>
      <w:pPr>
        <w:tabs>
          <w:tab w:val="num" w:pos="3600"/>
        </w:tabs>
        <w:ind w:left="3458" w:hanging="941"/>
      </w:pPr>
      <w:rPr>
        <w:rFonts w:hint="default"/>
      </w:rPr>
    </w:lvl>
    <w:lvl w:ilvl="6">
      <w:start w:val="1"/>
      <w:numFmt w:val="none"/>
      <w:lvlText w:val=""/>
      <w:lvlJc w:val="left"/>
      <w:pPr>
        <w:tabs>
          <w:tab w:val="num" w:pos="4320"/>
        </w:tabs>
        <w:ind w:left="3957" w:hanging="1077"/>
      </w:pPr>
      <w:rPr>
        <w:rFonts w:hint="default"/>
      </w:rPr>
    </w:lvl>
    <w:lvl w:ilvl="7">
      <w:start w:val="1"/>
      <w:numFmt w:val="none"/>
      <w:lvlText w:val=""/>
      <w:lvlJc w:val="left"/>
      <w:pPr>
        <w:tabs>
          <w:tab w:val="num" w:pos="4677"/>
        </w:tabs>
        <w:ind w:left="4462" w:hanging="1225"/>
      </w:pPr>
      <w:rPr>
        <w:rFonts w:hint="default"/>
      </w:rPr>
    </w:lvl>
    <w:lvl w:ilvl="8">
      <w:start w:val="1"/>
      <w:numFmt w:val="none"/>
      <w:lvlText w:val=""/>
      <w:lvlJc w:val="left"/>
      <w:pPr>
        <w:tabs>
          <w:tab w:val="num" w:pos="5397"/>
        </w:tabs>
        <w:ind w:left="504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1440"/>
        </w:tabs>
        <w:ind w:left="72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EC14076"/>
    <w:multiLevelType w:val="hybridMultilevel"/>
    <w:tmpl w:val="0AD25AC0"/>
    <w:lvl w:ilvl="0" w:tplc="7B6ECCD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6"/>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Mahesh Sanjel"/>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945 of 2019"/>
    <w:docVar w:name="HearingDate" w:val="21 November 2019"/>
    <w:docVar w:name="Initiators" w:val="(and another named in the Schedule)"/>
    <w:docVar w:name="Judgdate" w:val="25 November 2019"/>
    <w:docVar w:name="Judge" w:val="Thawley"/>
    <w:docVar w:name="Justices" w:val="Justice"/>
    <w:docVar w:name="lstEntryList" w:val="-1"/>
    <w:docVar w:name="myEntryList" w:val="Counsel for the Appellant=the appellant appeared in person|Counsel for the Respondents=Mr G Johnson|Solicitor for the Respondents=DLA Piper"/>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New South Wales"/>
    <w:docVar w:name="SubArea" w:val="[none]"/>
  </w:docVars>
  <w:rsids>
    <w:rsidRoot w:val="008D31F3"/>
    <w:rsid w:val="0001469E"/>
    <w:rsid w:val="00015993"/>
    <w:rsid w:val="00016826"/>
    <w:rsid w:val="00022289"/>
    <w:rsid w:val="00032F9F"/>
    <w:rsid w:val="00041C07"/>
    <w:rsid w:val="000451EF"/>
    <w:rsid w:val="00045542"/>
    <w:rsid w:val="00045BB7"/>
    <w:rsid w:val="00055719"/>
    <w:rsid w:val="0005641B"/>
    <w:rsid w:val="00061056"/>
    <w:rsid w:val="00063664"/>
    <w:rsid w:val="00075FA3"/>
    <w:rsid w:val="00081497"/>
    <w:rsid w:val="00083A74"/>
    <w:rsid w:val="0009067C"/>
    <w:rsid w:val="000A2E76"/>
    <w:rsid w:val="000A4807"/>
    <w:rsid w:val="000A4BE4"/>
    <w:rsid w:val="000C023E"/>
    <w:rsid w:val="000C5195"/>
    <w:rsid w:val="000C62EF"/>
    <w:rsid w:val="000D1609"/>
    <w:rsid w:val="000D2137"/>
    <w:rsid w:val="000D3FD2"/>
    <w:rsid w:val="000D7957"/>
    <w:rsid w:val="000E3FC8"/>
    <w:rsid w:val="000E7BAE"/>
    <w:rsid w:val="000F133D"/>
    <w:rsid w:val="000F25E9"/>
    <w:rsid w:val="000F3646"/>
    <w:rsid w:val="000F413B"/>
    <w:rsid w:val="0010536B"/>
    <w:rsid w:val="0011145C"/>
    <w:rsid w:val="001128BD"/>
    <w:rsid w:val="0011419D"/>
    <w:rsid w:val="00132054"/>
    <w:rsid w:val="00156128"/>
    <w:rsid w:val="0016124B"/>
    <w:rsid w:val="001727A4"/>
    <w:rsid w:val="0017376C"/>
    <w:rsid w:val="001738AB"/>
    <w:rsid w:val="001765E0"/>
    <w:rsid w:val="00177759"/>
    <w:rsid w:val="00185E6B"/>
    <w:rsid w:val="00187BBC"/>
    <w:rsid w:val="001932F3"/>
    <w:rsid w:val="001948C4"/>
    <w:rsid w:val="001A4309"/>
    <w:rsid w:val="001A4EB4"/>
    <w:rsid w:val="001B1053"/>
    <w:rsid w:val="001B14AC"/>
    <w:rsid w:val="001B7940"/>
    <w:rsid w:val="001C37CA"/>
    <w:rsid w:val="001C3BD1"/>
    <w:rsid w:val="001D4303"/>
    <w:rsid w:val="001D5B41"/>
    <w:rsid w:val="001D6746"/>
    <w:rsid w:val="001E3422"/>
    <w:rsid w:val="001E3B49"/>
    <w:rsid w:val="001E7388"/>
    <w:rsid w:val="001F13DD"/>
    <w:rsid w:val="001F2DBC"/>
    <w:rsid w:val="001F3E60"/>
    <w:rsid w:val="001F73E8"/>
    <w:rsid w:val="0020262C"/>
    <w:rsid w:val="002037F1"/>
    <w:rsid w:val="00210FD8"/>
    <w:rsid w:val="002202EA"/>
    <w:rsid w:val="00224537"/>
    <w:rsid w:val="0022457B"/>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7419"/>
    <w:rsid w:val="002A1B50"/>
    <w:rsid w:val="002A3660"/>
    <w:rsid w:val="002A54C2"/>
    <w:rsid w:val="002B09E2"/>
    <w:rsid w:val="002B0E91"/>
    <w:rsid w:val="002B6779"/>
    <w:rsid w:val="002B71C0"/>
    <w:rsid w:val="002B7A34"/>
    <w:rsid w:val="002C31AD"/>
    <w:rsid w:val="002C7385"/>
    <w:rsid w:val="002D2DBB"/>
    <w:rsid w:val="002D3754"/>
    <w:rsid w:val="002D3CB3"/>
    <w:rsid w:val="002D54A6"/>
    <w:rsid w:val="002E6A7A"/>
    <w:rsid w:val="002F1E49"/>
    <w:rsid w:val="002F4E9C"/>
    <w:rsid w:val="00301B4A"/>
    <w:rsid w:val="0031256C"/>
    <w:rsid w:val="00314D6C"/>
    <w:rsid w:val="00316D2A"/>
    <w:rsid w:val="00320610"/>
    <w:rsid w:val="00322A7C"/>
    <w:rsid w:val="003402D3"/>
    <w:rsid w:val="00343943"/>
    <w:rsid w:val="00343ABC"/>
    <w:rsid w:val="00345B0C"/>
    <w:rsid w:val="003463FE"/>
    <w:rsid w:val="003554B3"/>
    <w:rsid w:val="00356632"/>
    <w:rsid w:val="00364752"/>
    <w:rsid w:val="00366CC2"/>
    <w:rsid w:val="003845A9"/>
    <w:rsid w:val="00390883"/>
    <w:rsid w:val="00391309"/>
    <w:rsid w:val="003922F8"/>
    <w:rsid w:val="00395B24"/>
    <w:rsid w:val="003A2D38"/>
    <w:rsid w:val="003A7ECC"/>
    <w:rsid w:val="003B2C72"/>
    <w:rsid w:val="003C1333"/>
    <w:rsid w:val="003C20FF"/>
    <w:rsid w:val="003D2650"/>
    <w:rsid w:val="003D560C"/>
    <w:rsid w:val="003E5874"/>
    <w:rsid w:val="003F1472"/>
    <w:rsid w:val="003F193E"/>
    <w:rsid w:val="003F34F1"/>
    <w:rsid w:val="00406D83"/>
    <w:rsid w:val="00411AE8"/>
    <w:rsid w:val="00413B74"/>
    <w:rsid w:val="00417DA6"/>
    <w:rsid w:val="00435C5F"/>
    <w:rsid w:val="004376D0"/>
    <w:rsid w:val="00441E98"/>
    <w:rsid w:val="00444D63"/>
    <w:rsid w:val="00447835"/>
    <w:rsid w:val="004532F7"/>
    <w:rsid w:val="00461783"/>
    <w:rsid w:val="00472027"/>
    <w:rsid w:val="0047622C"/>
    <w:rsid w:val="004804CF"/>
    <w:rsid w:val="00484962"/>
    <w:rsid w:val="00484F6D"/>
    <w:rsid w:val="00486F24"/>
    <w:rsid w:val="004920BD"/>
    <w:rsid w:val="0049338A"/>
    <w:rsid w:val="0049417F"/>
    <w:rsid w:val="004B3EFA"/>
    <w:rsid w:val="004B46D8"/>
    <w:rsid w:val="004B7BAB"/>
    <w:rsid w:val="004C2A87"/>
    <w:rsid w:val="004C4D7B"/>
    <w:rsid w:val="004C4ED3"/>
    <w:rsid w:val="004D2EA5"/>
    <w:rsid w:val="004D32A6"/>
    <w:rsid w:val="004D4495"/>
    <w:rsid w:val="004D53E5"/>
    <w:rsid w:val="004D576C"/>
    <w:rsid w:val="00501A12"/>
    <w:rsid w:val="005057E1"/>
    <w:rsid w:val="0051346D"/>
    <w:rsid w:val="00513EAE"/>
    <w:rsid w:val="00516806"/>
    <w:rsid w:val="00516B4A"/>
    <w:rsid w:val="00525A49"/>
    <w:rsid w:val="00535613"/>
    <w:rsid w:val="005359EB"/>
    <w:rsid w:val="0054254A"/>
    <w:rsid w:val="00545C6C"/>
    <w:rsid w:val="005466B5"/>
    <w:rsid w:val="00554314"/>
    <w:rsid w:val="00562997"/>
    <w:rsid w:val="005629B3"/>
    <w:rsid w:val="00573AC4"/>
    <w:rsid w:val="00575D4B"/>
    <w:rsid w:val="005801FC"/>
    <w:rsid w:val="00587792"/>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5F3D82"/>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51161"/>
    <w:rsid w:val="0066063F"/>
    <w:rsid w:val="00662BB0"/>
    <w:rsid w:val="00663878"/>
    <w:rsid w:val="00667773"/>
    <w:rsid w:val="006678F6"/>
    <w:rsid w:val="00670743"/>
    <w:rsid w:val="00690EE2"/>
    <w:rsid w:val="00691C17"/>
    <w:rsid w:val="006A0E20"/>
    <w:rsid w:val="006A0EAA"/>
    <w:rsid w:val="006A5695"/>
    <w:rsid w:val="006B3904"/>
    <w:rsid w:val="006B5B7D"/>
    <w:rsid w:val="006C1544"/>
    <w:rsid w:val="006D0ECF"/>
    <w:rsid w:val="006D4C92"/>
    <w:rsid w:val="006D4EB6"/>
    <w:rsid w:val="006E03D9"/>
    <w:rsid w:val="006E35BF"/>
    <w:rsid w:val="006E4CCE"/>
    <w:rsid w:val="006E7850"/>
    <w:rsid w:val="007028D9"/>
    <w:rsid w:val="00707218"/>
    <w:rsid w:val="007104C6"/>
    <w:rsid w:val="00712B1D"/>
    <w:rsid w:val="00715625"/>
    <w:rsid w:val="007325D9"/>
    <w:rsid w:val="007327AD"/>
    <w:rsid w:val="007360CA"/>
    <w:rsid w:val="00760EC0"/>
    <w:rsid w:val="00771074"/>
    <w:rsid w:val="00773042"/>
    <w:rsid w:val="0078003A"/>
    <w:rsid w:val="00780771"/>
    <w:rsid w:val="00784A96"/>
    <w:rsid w:val="007869D9"/>
    <w:rsid w:val="007929CF"/>
    <w:rsid w:val="007A0730"/>
    <w:rsid w:val="007A6F28"/>
    <w:rsid w:val="007B03C6"/>
    <w:rsid w:val="007B0DB1"/>
    <w:rsid w:val="007B4943"/>
    <w:rsid w:val="007C3BF6"/>
    <w:rsid w:val="007D0FD2"/>
    <w:rsid w:val="007D2EF8"/>
    <w:rsid w:val="007D561F"/>
    <w:rsid w:val="007D7E17"/>
    <w:rsid w:val="007D7FD2"/>
    <w:rsid w:val="007E13D9"/>
    <w:rsid w:val="007E41BE"/>
    <w:rsid w:val="007E4DB6"/>
    <w:rsid w:val="007E7CD4"/>
    <w:rsid w:val="007F12AC"/>
    <w:rsid w:val="00801800"/>
    <w:rsid w:val="00801B5B"/>
    <w:rsid w:val="008276B4"/>
    <w:rsid w:val="00831927"/>
    <w:rsid w:val="00833531"/>
    <w:rsid w:val="00841BD3"/>
    <w:rsid w:val="0084273D"/>
    <w:rsid w:val="00844E3F"/>
    <w:rsid w:val="00845A83"/>
    <w:rsid w:val="00856003"/>
    <w:rsid w:val="008712BB"/>
    <w:rsid w:val="00877693"/>
    <w:rsid w:val="00885C13"/>
    <w:rsid w:val="00890FEA"/>
    <w:rsid w:val="00891786"/>
    <w:rsid w:val="0089541A"/>
    <w:rsid w:val="008958AF"/>
    <w:rsid w:val="008A000D"/>
    <w:rsid w:val="008A2484"/>
    <w:rsid w:val="008A4B69"/>
    <w:rsid w:val="008C26D9"/>
    <w:rsid w:val="008C6D50"/>
    <w:rsid w:val="008C7167"/>
    <w:rsid w:val="008C7503"/>
    <w:rsid w:val="008D1617"/>
    <w:rsid w:val="008D31F3"/>
    <w:rsid w:val="008E4F31"/>
    <w:rsid w:val="008E6315"/>
    <w:rsid w:val="008F11E0"/>
    <w:rsid w:val="008F78BC"/>
    <w:rsid w:val="008F7B63"/>
    <w:rsid w:val="008F7D6A"/>
    <w:rsid w:val="008F7DFA"/>
    <w:rsid w:val="009054CB"/>
    <w:rsid w:val="00912F94"/>
    <w:rsid w:val="00914D68"/>
    <w:rsid w:val="00924BD6"/>
    <w:rsid w:val="0092590B"/>
    <w:rsid w:val="00925E60"/>
    <w:rsid w:val="009264B3"/>
    <w:rsid w:val="009365E0"/>
    <w:rsid w:val="009376C9"/>
    <w:rsid w:val="00942BA2"/>
    <w:rsid w:val="00944C86"/>
    <w:rsid w:val="00955548"/>
    <w:rsid w:val="00957862"/>
    <w:rsid w:val="00957DE8"/>
    <w:rsid w:val="00960ECB"/>
    <w:rsid w:val="009615D6"/>
    <w:rsid w:val="00961F06"/>
    <w:rsid w:val="00967855"/>
    <w:rsid w:val="00976A68"/>
    <w:rsid w:val="00976FC6"/>
    <w:rsid w:val="00980736"/>
    <w:rsid w:val="00981A39"/>
    <w:rsid w:val="00987097"/>
    <w:rsid w:val="009879BA"/>
    <w:rsid w:val="009A18B7"/>
    <w:rsid w:val="009A3A9C"/>
    <w:rsid w:val="009A7E45"/>
    <w:rsid w:val="009B046C"/>
    <w:rsid w:val="009B13FA"/>
    <w:rsid w:val="009B1E2D"/>
    <w:rsid w:val="009C0FF0"/>
    <w:rsid w:val="009C59FB"/>
    <w:rsid w:val="009C6F3B"/>
    <w:rsid w:val="009D1467"/>
    <w:rsid w:val="009E4FA6"/>
    <w:rsid w:val="009E7D93"/>
    <w:rsid w:val="009F5C33"/>
    <w:rsid w:val="00A01625"/>
    <w:rsid w:val="00A03EAC"/>
    <w:rsid w:val="00A11CA6"/>
    <w:rsid w:val="00A166C8"/>
    <w:rsid w:val="00A1793E"/>
    <w:rsid w:val="00A17CD0"/>
    <w:rsid w:val="00A20C49"/>
    <w:rsid w:val="00A21B38"/>
    <w:rsid w:val="00A269CA"/>
    <w:rsid w:val="00A336EE"/>
    <w:rsid w:val="00A359AC"/>
    <w:rsid w:val="00A41413"/>
    <w:rsid w:val="00A41DB8"/>
    <w:rsid w:val="00A4283C"/>
    <w:rsid w:val="00A45FB1"/>
    <w:rsid w:val="00A46CCC"/>
    <w:rsid w:val="00A51CFE"/>
    <w:rsid w:val="00A76C13"/>
    <w:rsid w:val="00A80091"/>
    <w:rsid w:val="00A92E79"/>
    <w:rsid w:val="00A950B6"/>
    <w:rsid w:val="00AB3D2E"/>
    <w:rsid w:val="00AB41C1"/>
    <w:rsid w:val="00AD12A8"/>
    <w:rsid w:val="00AE023F"/>
    <w:rsid w:val="00AE1AB4"/>
    <w:rsid w:val="00AF3577"/>
    <w:rsid w:val="00AF35F9"/>
    <w:rsid w:val="00B0339D"/>
    <w:rsid w:val="00B05C7D"/>
    <w:rsid w:val="00B05FBA"/>
    <w:rsid w:val="00B06DE3"/>
    <w:rsid w:val="00B17945"/>
    <w:rsid w:val="00B2067C"/>
    <w:rsid w:val="00B229EF"/>
    <w:rsid w:val="00B25D04"/>
    <w:rsid w:val="00B346C3"/>
    <w:rsid w:val="00B4471C"/>
    <w:rsid w:val="00B451A6"/>
    <w:rsid w:val="00B4791A"/>
    <w:rsid w:val="00B54ADE"/>
    <w:rsid w:val="00B558DE"/>
    <w:rsid w:val="00B57559"/>
    <w:rsid w:val="00B63AE0"/>
    <w:rsid w:val="00B722DE"/>
    <w:rsid w:val="00B724C1"/>
    <w:rsid w:val="00B76C44"/>
    <w:rsid w:val="00B83F87"/>
    <w:rsid w:val="00B9175A"/>
    <w:rsid w:val="00BA2EFA"/>
    <w:rsid w:val="00BA3DBC"/>
    <w:rsid w:val="00BA7C9B"/>
    <w:rsid w:val="00BB2592"/>
    <w:rsid w:val="00BB2DA2"/>
    <w:rsid w:val="00BB56DC"/>
    <w:rsid w:val="00BC77A2"/>
    <w:rsid w:val="00BD5754"/>
    <w:rsid w:val="00BD7F6D"/>
    <w:rsid w:val="00BE183D"/>
    <w:rsid w:val="00BE2087"/>
    <w:rsid w:val="00BE65BE"/>
    <w:rsid w:val="00BF4571"/>
    <w:rsid w:val="00BF5D7A"/>
    <w:rsid w:val="00C02D33"/>
    <w:rsid w:val="00C1232C"/>
    <w:rsid w:val="00C23A9D"/>
    <w:rsid w:val="00C36442"/>
    <w:rsid w:val="00C400CE"/>
    <w:rsid w:val="00C410FD"/>
    <w:rsid w:val="00C47DBE"/>
    <w:rsid w:val="00C539FB"/>
    <w:rsid w:val="00C6418D"/>
    <w:rsid w:val="00CA246D"/>
    <w:rsid w:val="00CA50D9"/>
    <w:rsid w:val="00CB51D2"/>
    <w:rsid w:val="00CB5636"/>
    <w:rsid w:val="00CC400E"/>
    <w:rsid w:val="00CC63DA"/>
    <w:rsid w:val="00CD7F1B"/>
    <w:rsid w:val="00D045AC"/>
    <w:rsid w:val="00D101E0"/>
    <w:rsid w:val="00D10F21"/>
    <w:rsid w:val="00D12BA3"/>
    <w:rsid w:val="00D23B83"/>
    <w:rsid w:val="00D24806"/>
    <w:rsid w:val="00D25150"/>
    <w:rsid w:val="00D31EC2"/>
    <w:rsid w:val="00D34040"/>
    <w:rsid w:val="00D34E69"/>
    <w:rsid w:val="00D375EE"/>
    <w:rsid w:val="00D62699"/>
    <w:rsid w:val="00D62757"/>
    <w:rsid w:val="00D65C57"/>
    <w:rsid w:val="00D72F28"/>
    <w:rsid w:val="00D81CAF"/>
    <w:rsid w:val="00D82620"/>
    <w:rsid w:val="00D9725F"/>
    <w:rsid w:val="00DA01B1"/>
    <w:rsid w:val="00DA11A2"/>
    <w:rsid w:val="00DA14ED"/>
    <w:rsid w:val="00DB2EF1"/>
    <w:rsid w:val="00DB3DE1"/>
    <w:rsid w:val="00DB5DA0"/>
    <w:rsid w:val="00DB716C"/>
    <w:rsid w:val="00DC0527"/>
    <w:rsid w:val="00DC5C85"/>
    <w:rsid w:val="00DD2AE6"/>
    <w:rsid w:val="00DD4236"/>
    <w:rsid w:val="00DD44F1"/>
    <w:rsid w:val="00DE3067"/>
    <w:rsid w:val="00DF440F"/>
    <w:rsid w:val="00E027BC"/>
    <w:rsid w:val="00E120E2"/>
    <w:rsid w:val="00E139A8"/>
    <w:rsid w:val="00E14EA5"/>
    <w:rsid w:val="00E21133"/>
    <w:rsid w:val="00E2327E"/>
    <w:rsid w:val="00E266EF"/>
    <w:rsid w:val="00E32085"/>
    <w:rsid w:val="00E348AE"/>
    <w:rsid w:val="00E4347E"/>
    <w:rsid w:val="00E438DF"/>
    <w:rsid w:val="00E43D4B"/>
    <w:rsid w:val="00E43D64"/>
    <w:rsid w:val="00E47428"/>
    <w:rsid w:val="00E50567"/>
    <w:rsid w:val="00E56643"/>
    <w:rsid w:val="00E66B9F"/>
    <w:rsid w:val="00E710D6"/>
    <w:rsid w:val="00E76146"/>
    <w:rsid w:val="00E76E45"/>
    <w:rsid w:val="00E777C9"/>
    <w:rsid w:val="00E81C37"/>
    <w:rsid w:val="00E81DA6"/>
    <w:rsid w:val="00E84212"/>
    <w:rsid w:val="00E8693A"/>
    <w:rsid w:val="00E8796C"/>
    <w:rsid w:val="00E9086C"/>
    <w:rsid w:val="00E91A0F"/>
    <w:rsid w:val="00E94A71"/>
    <w:rsid w:val="00EA03CE"/>
    <w:rsid w:val="00EA23E5"/>
    <w:rsid w:val="00EA4E2E"/>
    <w:rsid w:val="00EB2CCB"/>
    <w:rsid w:val="00EB3A12"/>
    <w:rsid w:val="00EC57A7"/>
    <w:rsid w:val="00EC78C2"/>
    <w:rsid w:val="00ED0817"/>
    <w:rsid w:val="00ED7DD9"/>
    <w:rsid w:val="00EE0EC4"/>
    <w:rsid w:val="00EF3113"/>
    <w:rsid w:val="00EF3F84"/>
    <w:rsid w:val="00EF580C"/>
    <w:rsid w:val="00F00743"/>
    <w:rsid w:val="00F0147B"/>
    <w:rsid w:val="00F06598"/>
    <w:rsid w:val="00F12BD4"/>
    <w:rsid w:val="00F13550"/>
    <w:rsid w:val="00F13BC9"/>
    <w:rsid w:val="00F176AC"/>
    <w:rsid w:val="00F20405"/>
    <w:rsid w:val="00F27714"/>
    <w:rsid w:val="00F3276E"/>
    <w:rsid w:val="00F33D3C"/>
    <w:rsid w:val="00F357B2"/>
    <w:rsid w:val="00F365FD"/>
    <w:rsid w:val="00F37A91"/>
    <w:rsid w:val="00F45CF5"/>
    <w:rsid w:val="00F47DB0"/>
    <w:rsid w:val="00F50E34"/>
    <w:rsid w:val="00F53EF7"/>
    <w:rsid w:val="00F54BF2"/>
    <w:rsid w:val="00F92355"/>
    <w:rsid w:val="00F93963"/>
    <w:rsid w:val="00F94291"/>
    <w:rsid w:val="00F956E6"/>
    <w:rsid w:val="00FA3B2E"/>
    <w:rsid w:val="00FB0E8F"/>
    <w:rsid w:val="00FB7982"/>
    <w:rsid w:val="00FC0734"/>
    <w:rsid w:val="00FC0FC5"/>
    <w:rsid w:val="00FC588F"/>
    <w:rsid w:val="00FC6037"/>
    <w:rsid w:val="00FC7950"/>
    <w:rsid w:val="00FD1C17"/>
    <w:rsid w:val="00FD2087"/>
    <w:rsid w:val="00FD32F5"/>
    <w:rsid w:val="00FD3750"/>
    <w:rsid w:val="00FE1B30"/>
    <w:rsid w:val="00FE4458"/>
    <w:rsid w:val="00FE7B44"/>
    <w:rsid w:val="00FF24A7"/>
    <w:rsid w:val="00FF3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CB44321-C99A-4E82-AC0A-C166A97E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44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3Char">
    <w:name w:val="Heading 3 Char"/>
    <w:basedOn w:val="DefaultParagraphFont"/>
    <w:link w:val="Heading3"/>
    <w:rsid w:val="00EF580C"/>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0328C-994C-46FC-9494-06341A6D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10</Pages>
  <Words>2779</Words>
  <Characters>14268</Characters>
  <Application>Microsoft Office Word</Application>
  <DocSecurity>0</DocSecurity>
  <Lines>356</Lines>
  <Paragraphs>168</Paragraphs>
  <ScaleCrop>false</ScaleCrop>
  <HeadingPairs>
    <vt:vector size="2" baseType="variant">
      <vt:variant>
        <vt:lpstr>Title</vt:lpstr>
      </vt:variant>
      <vt:variant>
        <vt:i4>1</vt:i4>
      </vt:variant>
    </vt:vector>
  </HeadingPairs>
  <TitlesOfParts>
    <vt:vector size="1" baseType="lpstr">
      <vt:lpstr>Sanjel v Minister for Immigration, Citizenship, Migrant Services and Multicultural Affairs [2019] FCA 1966 </vt:lpstr>
    </vt:vector>
  </TitlesOfParts>
  <Company>Federal Court of Australia</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Sanjel v Minister for Immigration, Citizenship, Migrant Services and Multicultural Affairs [2019] FCA 1966</dc:title>
  <dc:creator>Sasha Shearer</dc:creator>
  <cp:lastModifiedBy>Sona Muradyan</cp:lastModifiedBy>
  <cp:revision>4</cp:revision>
  <cp:lastPrinted>2019-11-24T23:25:00Z</cp:lastPrinted>
  <dcterms:created xsi:type="dcterms:W3CDTF">2019-11-25T00:07:00Z</dcterms:created>
  <dcterms:modified xsi:type="dcterms:W3CDTF">2019-11-25T00:08:00Z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THAWLEY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