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rsidP="00A978D7">
      <w:pPr>
        <w:pStyle w:val="NormalHeadings"/>
        <w:widowControl/>
        <w:jc w:val="center"/>
        <w:rPr>
          <w:sz w:val="32"/>
        </w:rPr>
      </w:pPr>
      <w:r>
        <w:rPr>
          <w:sz w:val="32"/>
        </w:rPr>
        <w:t>FEDERAL COURT OF AUSTRALIA</w:t>
      </w:r>
    </w:p>
    <w:p w:rsidR="00395B24" w:rsidRDefault="00395B24" w:rsidP="00A978D7">
      <w:pPr>
        <w:pStyle w:val="NormalHeadings"/>
        <w:widowControl/>
        <w:jc w:val="center"/>
        <w:rPr>
          <w:sz w:val="32"/>
        </w:rPr>
      </w:pPr>
    </w:p>
    <w:p w:rsidR="00395B24" w:rsidRDefault="00066893" w:rsidP="00A978D7">
      <w:pPr>
        <w:pStyle w:val="MediaNeutralStyle"/>
      </w:pPr>
      <w:bookmarkStart w:id="0" w:name="MNC"/>
      <w:r>
        <w:t xml:space="preserve">Keith, in the matter of Aequitas Limited (in liq) [2019] FCA </w:t>
      </w:r>
      <w:r w:rsidR="0017655D">
        <w:t>1314</w:t>
      </w:r>
      <w:r w:rsidR="002C7385">
        <w:t xml:space="preserve"> </w:t>
      </w:r>
      <w:bookmarkEnd w:id="0"/>
    </w:p>
    <w:p w:rsidR="00395B24" w:rsidRDefault="00395B24" w:rsidP="00A978D7">
      <w:pPr>
        <w:pStyle w:val="Normal1linespace"/>
      </w:pPr>
    </w:p>
    <w:tbl>
      <w:tblPr>
        <w:tblW w:w="9250" w:type="dxa"/>
        <w:tblLayout w:type="fixed"/>
        <w:tblLook w:val="01E0" w:firstRow="1" w:lastRow="1" w:firstColumn="1" w:lastColumn="1" w:noHBand="0" w:noVBand="0"/>
        <w:tblCaption w:val="Cover Table"/>
        <w:tblDescription w:val="Cover Table"/>
      </w:tblPr>
      <w:tblGrid>
        <w:gridCol w:w="3261"/>
        <w:gridCol w:w="5989"/>
      </w:tblGrid>
      <w:tr w:rsidR="00395B24" w:rsidTr="00A0049D">
        <w:tc>
          <w:tcPr>
            <w:tcW w:w="3261" w:type="dxa"/>
            <w:shd w:val="clear" w:color="auto" w:fill="auto"/>
          </w:tcPr>
          <w:p w:rsidR="00395B24" w:rsidRDefault="002C7385" w:rsidP="00A978D7">
            <w:pPr>
              <w:pStyle w:val="Normal1linespace"/>
              <w:jc w:val="left"/>
            </w:pPr>
            <w:r>
              <w:t>File number:</w:t>
            </w:r>
          </w:p>
        </w:tc>
        <w:tc>
          <w:tcPr>
            <w:tcW w:w="5989" w:type="dxa"/>
            <w:shd w:val="clear" w:color="auto" w:fill="auto"/>
          </w:tcPr>
          <w:p w:rsidR="00395B24" w:rsidRPr="00066893" w:rsidRDefault="003C3502" w:rsidP="00A978D7">
            <w:pPr>
              <w:pStyle w:val="Normal1linespace"/>
              <w:jc w:val="left"/>
            </w:pPr>
            <w:r>
              <w:fldChar w:fldCharType="begin" w:fldLock="1"/>
            </w:r>
            <w:r>
              <w:instrText xml:space="preserve"> REF  FileNo  \* MERGEFORMAT </w:instrText>
            </w:r>
            <w:r>
              <w:fldChar w:fldCharType="separate"/>
            </w:r>
            <w:r w:rsidR="00066893" w:rsidRPr="00066893">
              <w:t>NSD 1059 of 2019</w:t>
            </w:r>
            <w:r>
              <w:fldChar w:fldCharType="end"/>
            </w:r>
          </w:p>
        </w:tc>
      </w:tr>
      <w:tr w:rsidR="00395B24" w:rsidTr="00A0049D">
        <w:tc>
          <w:tcPr>
            <w:tcW w:w="3261" w:type="dxa"/>
            <w:shd w:val="clear" w:color="auto" w:fill="auto"/>
          </w:tcPr>
          <w:p w:rsidR="00395B24" w:rsidRDefault="00395B24" w:rsidP="00A978D7">
            <w:pPr>
              <w:pStyle w:val="Normal1linespace"/>
              <w:jc w:val="left"/>
            </w:pPr>
          </w:p>
        </w:tc>
        <w:tc>
          <w:tcPr>
            <w:tcW w:w="5989" w:type="dxa"/>
            <w:shd w:val="clear" w:color="auto" w:fill="auto"/>
          </w:tcPr>
          <w:p w:rsidR="00395B24" w:rsidRDefault="00395B24" w:rsidP="00A978D7">
            <w:pPr>
              <w:pStyle w:val="Normal1linespace"/>
              <w:jc w:val="left"/>
            </w:pPr>
          </w:p>
        </w:tc>
      </w:tr>
      <w:tr w:rsidR="00395B24" w:rsidTr="00A0049D">
        <w:tc>
          <w:tcPr>
            <w:tcW w:w="3261" w:type="dxa"/>
            <w:shd w:val="clear" w:color="auto" w:fill="auto"/>
          </w:tcPr>
          <w:p w:rsidR="00395B24" w:rsidRDefault="002C7385" w:rsidP="00A978D7">
            <w:pPr>
              <w:pStyle w:val="Normal1linespace"/>
              <w:jc w:val="left"/>
            </w:pPr>
            <w:r>
              <w:t>Judge:</w:t>
            </w:r>
          </w:p>
        </w:tc>
        <w:tc>
          <w:tcPr>
            <w:tcW w:w="5989" w:type="dxa"/>
            <w:shd w:val="clear" w:color="auto" w:fill="auto"/>
          </w:tcPr>
          <w:p w:rsidR="00395B24" w:rsidRDefault="002C7385" w:rsidP="00A978D7">
            <w:pPr>
              <w:pStyle w:val="Normal1linespace"/>
              <w:jc w:val="left"/>
              <w:rPr>
                <w:b/>
              </w:rPr>
            </w:pPr>
            <w:r w:rsidRPr="00066893">
              <w:rPr>
                <w:b/>
              </w:rPr>
              <w:fldChar w:fldCharType="begin" w:fldLock="1"/>
            </w:r>
            <w:r w:rsidRPr="00066893">
              <w:rPr>
                <w:b/>
              </w:rPr>
              <w:instrText xml:space="preserve"> REF  Judge  \* MERGEFORMAT </w:instrText>
            </w:r>
            <w:r w:rsidRPr="00066893">
              <w:rPr>
                <w:b/>
              </w:rPr>
              <w:fldChar w:fldCharType="separate"/>
            </w:r>
            <w:r w:rsidR="00066893" w:rsidRPr="00066893">
              <w:rPr>
                <w:b/>
                <w:caps/>
                <w:szCs w:val="24"/>
              </w:rPr>
              <w:t>GLEESON J</w:t>
            </w:r>
            <w:r w:rsidRPr="00066893">
              <w:rPr>
                <w:b/>
              </w:rPr>
              <w:fldChar w:fldCharType="end"/>
            </w:r>
          </w:p>
        </w:tc>
      </w:tr>
      <w:tr w:rsidR="00395B24" w:rsidTr="00A0049D">
        <w:tc>
          <w:tcPr>
            <w:tcW w:w="3261" w:type="dxa"/>
            <w:shd w:val="clear" w:color="auto" w:fill="auto"/>
          </w:tcPr>
          <w:p w:rsidR="00395B24" w:rsidRDefault="00395B24" w:rsidP="00A978D7">
            <w:pPr>
              <w:pStyle w:val="Normal1linespace"/>
              <w:jc w:val="left"/>
            </w:pPr>
          </w:p>
        </w:tc>
        <w:tc>
          <w:tcPr>
            <w:tcW w:w="5989" w:type="dxa"/>
            <w:shd w:val="clear" w:color="auto" w:fill="auto"/>
          </w:tcPr>
          <w:p w:rsidR="00395B24" w:rsidRDefault="00395B24" w:rsidP="00A978D7">
            <w:pPr>
              <w:pStyle w:val="Normal1linespace"/>
              <w:jc w:val="left"/>
            </w:pPr>
          </w:p>
        </w:tc>
      </w:tr>
      <w:tr w:rsidR="00395B24" w:rsidTr="00A0049D">
        <w:tc>
          <w:tcPr>
            <w:tcW w:w="3261" w:type="dxa"/>
            <w:shd w:val="clear" w:color="auto" w:fill="auto"/>
          </w:tcPr>
          <w:p w:rsidR="00395B24" w:rsidRDefault="002C7385" w:rsidP="00A978D7">
            <w:pPr>
              <w:pStyle w:val="Normal1linespace"/>
              <w:jc w:val="left"/>
            </w:pPr>
            <w:r>
              <w:t>Date of judgment:</w:t>
            </w:r>
          </w:p>
        </w:tc>
        <w:tc>
          <w:tcPr>
            <w:tcW w:w="5989" w:type="dxa"/>
            <w:shd w:val="clear" w:color="auto" w:fill="auto"/>
          </w:tcPr>
          <w:p w:rsidR="00395B24" w:rsidRDefault="00751624" w:rsidP="00A978D7">
            <w:pPr>
              <w:pStyle w:val="Normal1linespace"/>
              <w:jc w:val="left"/>
            </w:pPr>
            <w:bookmarkStart w:id="1" w:name="JudgmentDate"/>
            <w:r>
              <w:t xml:space="preserve">30 July </w:t>
            </w:r>
            <w:r w:rsidR="00066893">
              <w:t>2019</w:t>
            </w:r>
            <w:bookmarkEnd w:id="1"/>
          </w:p>
        </w:tc>
      </w:tr>
      <w:tr w:rsidR="00751624" w:rsidTr="00A0049D">
        <w:tc>
          <w:tcPr>
            <w:tcW w:w="3261" w:type="dxa"/>
            <w:shd w:val="clear" w:color="auto" w:fill="auto"/>
          </w:tcPr>
          <w:p w:rsidR="00751624" w:rsidRDefault="00751624" w:rsidP="00A978D7">
            <w:pPr>
              <w:pStyle w:val="Normal1linespace"/>
              <w:jc w:val="left"/>
            </w:pPr>
          </w:p>
        </w:tc>
        <w:tc>
          <w:tcPr>
            <w:tcW w:w="5989" w:type="dxa"/>
            <w:shd w:val="clear" w:color="auto" w:fill="auto"/>
          </w:tcPr>
          <w:p w:rsidR="00751624" w:rsidRDefault="00751624" w:rsidP="00A978D7">
            <w:pPr>
              <w:pStyle w:val="Normal1linespace"/>
              <w:jc w:val="left"/>
            </w:pPr>
          </w:p>
        </w:tc>
      </w:tr>
      <w:tr w:rsidR="00751624" w:rsidTr="00A0049D">
        <w:tc>
          <w:tcPr>
            <w:tcW w:w="3261" w:type="dxa"/>
            <w:shd w:val="clear" w:color="auto" w:fill="auto"/>
          </w:tcPr>
          <w:p w:rsidR="00751624" w:rsidRDefault="00751624" w:rsidP="00A978D7">
            <w:pPr>
              <w:pStyle w:val="Normal1linespace"/>
              <w:jc w:val="left"/>
            </w:pPr>
            <w:r>
              <w:t>Date of publication of reasons:</w:t>
            </w:r>
          </w:p>
        </w:tc>
        <w:tc>
          <w:tcPr>
            <w:tcW w:w="5989" w:type="dxa"/>
            <w:shd w:val="clear" w:color="auto" w:fill="auto"/>
          </w:tcPr>
          <w:p w:rsidR="00751624" w:rsidRDefault="00786A1F" w:rsidP="00A978D7">
            <w:pPr>
              <w:pStyle w:val="Normal1linespace"/>
              <w:jc w:val="left"/>
            </w:pPr>
            <w:r>
              <w:t>19 August</w:t>
            </w:r>
            <w:r w:rsidR="00751624">
              <w:t xml:space="preserve"> 2019</w:t>
            </w:r>
          </w:p>
        </w:tc>
      </w:tr>
      <w:tr w:rsidR="00395B24" w:rsidTr="00A0049D">
        <w:tc>
          <w:tcPr>
            <w:tcW w:w="3261" w:type="dxa"/>
            <w:shd w:val="clear" w:color="auto" w:fill="auto"/>
          </w:tcPr>
          <w:p w:rsidR="00395B24" w:rsidRDefault="00395B24" w:rsidP="00A978D7">
            <w:pPr>
              <w:pStyle w:val="Normal1linespace"/>
              <w:jc w:val="left"/>
            </w:pPr>
          </w:p>
        </w:tc>
        <w:tc>
          <w:tcPr>
            <w:tcW w:w="5989" w:type="dxa"/>
            <w:shd w:val="clear" w:color="auto" w:fill="auto"/>
          </w:tcPr>
          <w:p w:rsidR="00395B24" w:rsidRDefault="00395B24" w:rsidP="00A978D7">
            <w:pPr>
              <w:pStyle w:val="Normal1linespace"/>
              <w:jc w:val="left"/>
            </w:pPr>
          </w:p>
        </w:tc>
      </w:tr>
      <w:tr w:rsidR="00395B24" w:rsidTr="00A0049D">
        <w:tc>
          <w:tcPr>
            <w:tcW w:w="3261" w:type="dxa"/>
            <w:shd w:val="clear" w:color="auto" w:fill="auto"/>
          </w:tcPr>
          <w:p w:rsidR="00395B24" w:rsidRDefault="002C7385" w:rsidP="00A978D7">
            <w:pPr>
              <w:pStyle w:val="Normal1linespace"/>
              <w:jc w:val="left"/>
            </w:pPr>
            <w:r>
              <w:t>Catchwords:</w:t>
            </w:r>
          </w:p>
        </w:tc>
        <w:tc>
          <w:tcPr>
            <w:tcW w:w="5989" w:type="dxa"/>
            <w:shd w:val="clear" w:color="auto" w:fill="auto"/>
          </w:tcPr>
          <w:p w:rsidR="00395B24" w:rsidRDefault="00EA4985" w:rsidP="00A978D7">
            <w:pPr>
              <w:pStyle w:val="Normal1linespace"/>
              <w:jc w:val="left"/>
            </w:pPr>
            <w:bookmarkStart w:id="2" w:name="Catchwords"/>
            <w:r>
              <w:rPr>
                <w:b/>
              </w:rPr>
              <w:t>CORPORATIONS</w:t>
            </w:r>
            <w:r>
              <w:t xml:space="preserve"> – replacement of liquidator</w:t>
            </w:r>
            <w:r w:rsidR="00373A6B">
              <w:t>s</w:t>
            </w:r>
            <w:r>
              <w:t xml:space="preserve"> –</w:t>
            </w:r>
            <w:r w:rsidR="00373A6B">
              <w:t xml:space="preserve">application to replace </w:t>
            </w:r>
            <w:r>
              <w:t>liquidator</w:t>
            </w:r>
            <w:r w:rsidR="00373A6B">
              <w:t>s</w:t>
            </w:r>
            <w:r>
              <w:t xml:space="preserve"> with partner</w:t>
            </w:r>
            <w:r w:rsidR="00373A6B">
              <w:t>s of</w:t>
            </w:r>
            <w:r>
              <w:t xml:space="preserve"> firm of previous liquidator</w:t>
            </w:r>
            <w:r w:rsidR="00373A6B">
              <w:t>s</w:t>
            </w:r>
            <w:r>
              <w:t xml:space="preserve"> – orders made</w:t>
            </w:r>
            <w:r w:rsidR="002C7385">
              <w:t xml:space="preserve"> </w:t>
            </w:r>
            <w:bookmarkEnd w:id="2"/>
          </w:p>
        </w:tc>
      </w:tr>
      <w:tr w:rsidR="00395B24" w:rsidTr="00A0049D">
        <w:tc>
          <w:tcPr>
            <w:tcW w:w="3261" w:type="dxa"/>
            <w:shd w:val="clear" w:color="auto" w:fill="auto"/>
          </w:tcPr>
          <w:p w:rsidR="00395B24" w:rsidRDefault="00395B24" w:rsidP="00A978D7">
            <w:pPr>
              <w:pStyle w:val="Normal1linespace"/>
              <w:jc w:val="left"/>
            </w:pPr>
          </w:p>
        </w:tc>
        <w:tc>
          <w:tcPr>
            <w:tcW w:w="5989" w:type="dxa"/>
            <w:shd w:val="clear" w:color="auto" w:fill="auto"/>
          </w:tcPr>
          <w:p w:rsidR="00395B24" w:rsidRDefault="00395B24" w:rsidP="00A978D7">
            <w:pPr>
              <w:pStyle w:val="Normal1linespace"/>
              <w:jc w:val="left"/>
            </w:pPr>
          </w:p>
        </w:tc>
      </w:tr>
      <w:tr w:rsidR="00395B24" w:rsidTr="00A0049D">
        <w:tc>
          <w:tcPr>
            <w:tcW w:w="3261" w:type="dxa"/>
            <w:shd w:val="clear" w:color="auto" w:fill="auto"/>
          </w:tcPr>
          <w:p w:rsidR="00395B24" w:rsidRDefault="002C7385" w:rsidP="00A978D7">
            <w:pPr>
              <w:pStyle w:val="Normal1linespace"/>
              <w:jc w:val="left"/>
            </w:pPr>
            <w:r>
              <w:t>Legislation:</w:t>
            </w:r>
          </w:p>
        </w:tc>
        <w:tc>
          <w:tcPr>
            <w:tcW w:w="5989" w:type="dxa"/>
            <w:shd w:val="clear" w:color="auto" w:fill="auto"/>
          </w:tcPr>
          <w:p w:rsidR="00395B24" w:rsidRDefault="00EA4985" w:rsidP="00A978D7">
            <w:pPr>
              <w:pStyle w:val="CasesLegislationAppealFrom"/>
              <w:widowControl/>
              <w:spacing w:after="60"/>
            </w:pPr>
            <w:bookmarkStart w:id="3" w:name="Legislation"/>
            <w:r w:rsidRPr="00A0049D">
              <w:rPr>
                <w:i/>
              </w:rPr>
              <w:t>Corporations Act 2001</w:t>
            </w:r>
            <w:r w:rsidRPr="00235627">
              <w:t xml:space="preserve"> (</w:t>
            </w:r>
            <w:proofErr w:type="spellStart"/>
            <w:r w:rsidRPr="00235627">
              <w:t>Cth</w:t>
            </w:r>
            <w:proofErr w:type="spellEnd"/>
            <w:r w:rsidRPr="00235627">
              <w:t xml:space="preserve">) </w:t>
            </w:r>
            <w:r>
              <w:t xml:space="preserve">s 473A, </w:t>
            </w:r>
            <w:proofErr w:type="spellStart"/>
            <w:r>
              <w:t>Sch</w:t>
            </w:r>
            <w:proofErr w:type="spellEnd"/>
            <w:r>
              <w:t xml:space="preserve"> 2 s </w:t>
            </w:r>
            <w:r w:rsidRPr="00235627">
              <w:t>90</w:t>
            </w:r>
            <w:r>
              <w:noBreakHyphen/>
              <w:t>1</w:t>
            </w:r>
            <w:r w:rsidRPr="00235627">
              <w:t xml:space="preserve">5 </w:t>
            </w:r>
            <w:r w:rsidR="002C7385">
              <w:t xml:space="preserve"> </w:t>
            </w:r>
            <w:bookmarkEnd w:id="3"/>
          </w:p>
        </w:tc>
      </w:tr>
      <w:tr w:rsidR="00395B24" w:rsidTr="00A0049D">
        <w:tc>
          <w:tcPr>
            <w:tcW w:w="3261" w:type="dxa"/>
            <w:shd w:val="clear" w:color="auto" w:fill="auto"/>
          </w:tcPr>
          <w:p w:rsidR="00395B24" w:rsidRDefault="00395B24" w:rsidP="00A978D7">
            <w:pPr>
              <w:pStyle w:val="Normal1linespace"/>
              <w:jc w:val="left"/>
            </w:pPr>
          </w:p>
        </w:tc>
        <w:tc>
          <w:tcPr>
            <w:tcW w:w="5989" w:type="dxa"/>
            <w:shd w:val="clear" w:color="auto" w:fill="auto"/>
          </w:tcPr>
          <w:p w:rsidR="00395B24" w:rsidRDefault="00395B24" w:rsidP="00A978D7">
            <w:pPr>
              <w:pStyle w:val="Normal1linespace"/>
              <w:jc w:val="left"/>
            </w:pPr>
          </w:p>
        </w:tc>
      </w:tr>
      <w:tr w:rsidR="00395B24" w:rsidTr="00A0049D">
        <w:tc>
          <w:tcPr>
            <w:tcW w:w="3261" w:type="dxa"/>
            <w:shd w:val="clear" w:color="auto" w:fill="auto"/>
          </w:tcPr>
          <w:p w:rsidR="00395B24" w:rsidRDefault="002C7385" w:rsidP="00A978D7">
            <w:pPr>
              <w:pStyle w:val="Normal1linespace"/>
              <w:jc w:val="left"/>
            </w:pPr>
            <w:r>
              <w:t>Cases cited:</w:t>
            </w:r>
          </w:p>
        </w:tc>
        <w:tc>
          <w:tcPr>
            <w:tcW w:w="5989" w:type="dxa"/>
            <w:shd w:val="clear" w:color="auto" w:fill="auto"/>
          </w:tcPr>
          <w:p w:rsidR="003A0E76" w:rsidRDefault="003A0E76" w:rsidP="00A978D7">
            <w:pPr>
              <w:pStyle w:val="CasesLegislationAppealFrom"/>
              <w:widowControl/>
              <w:spacing w:after="60"/>
              <w:rPr>
                <w:i/>
              </w:rPr>
            </w:pPr>
            <w:bookmarkStart w:id="4" w:name="Cases_Cited"/>
            <w:r w:rsidRPr="006A167E">
              <w:rPr>
                <w:i/>
              </w:rPr>
              <w:t xml:space="preserve">Free &amp; </w:t>
            </w:r>
            <w:proofErr w:type="spellStart"/>
            <w:r w:rsidRPr="006A167E">
              <w:rPr>
                <w:i/>
              </w:rPr>
              <w:t>Ors</w:t>
            </w:r>
            <w:proofErr w:type="spellEnd"/>
            <w:r>
              <w:t xml:space="preserve"> [2010] NSWSC 1079</w:t>
            </w:r>
          </w:p>
          <w:p w:rsidR="003A0E76" w:rsidRDefault="003A0E76" w:rsidP="00A978D7">
            <w:pPr>
              <w:pStyle w:val="CasesLegislationAppealFrom"/>
              <w:widowControl/>
              <w:spacing w:after="60"/>
              <w:rPr>
                <w:i/>
              </w:rPr>
            </w:pPr>
            <w:r>
              <w:rPr>
                <w:i/>
              </w:rPr>
              <w:t>In the matter of</w:t>
            </w:r>
            <w:r w:rsidRPr="00A0049D">
              <w:rPr>
                <w:i/>
              </w:rPr>
              <w:t xml:space="preserve"> Ambridge Investments Pty </w:t>
            </w:r>
            <w:r>
              <w:rPr>
                <w:i/>
              </w:rPr>
              <w:t xml:space="preserve">Limited &amp; </w:t>
            </w:r>
            <w:proofErr w:type="spellStart"/>
            <w:r>
              <w:rPr>
                <w:i/>
              </w:rPr>
              <w:t>Ors</w:t>
            </w:r>
            <w:proofErr w:type="spellEnd"/>
            <w:r w:rsidRPr="00111EAF">
              <w:t xml:space="preserve"> [2015] NSWSC 1671</w:t>
            </w:r>
          </w:p>
          <w:p w:rsidR="003A0E76" w:rsidRDefault="003A0E76" w:rsidP="00A978D7">
            <w:pPr>
              <w:pStyle w:val="CasesLegislationAppealFrom"/>
              <w:widowControl/>
              <w:spacing w:after="60"/>
              <w:rPr>
                <w:i/>
              </w:rPr>
            </w:pPr>
            <w:r w:rsidRPr="00EE0A37">
              <w:rPr>
                <w:i/>
              </w:rPr>
              <w:t>In the matter of</w:t>
            </w:r>
            <w:r w:rsidRPr="00465E51">
              <w:t xml:space="preserve"> </w:t>
            </w:r>
            <w:r w:rsidRPr="00A0049D">
              <w:rPr>
                <w:i/>
              </w:rPr>
              <w:t>Columbia Private Holdings Pty Ltd and other companies</w:t>
            </w:r>
            <w:r w:rsidRPr="00465E51">
              <w:t xml:space="preserve"> [2017] NSWSC 1859</w:t>
            </w:r>
          </w:p>
          <w:p w:rsidR="003A0E76" w:rsidRDefault="003A0E76" w:rsidP="00A978D7">
            <w:pPr>
              <w:pStyle w:val="CasesLegislationAppealFrom"/>
              <w:widowControl/>
              <w:spacing w:after="60"/>
            </w:pPr>
            <w:r>
              <w:rPr>
                <w:i/>
              </w:rPr>
              <w:t xml:space="preserve">In the matter of </w:t>
            </w:r>
            <w:proofErr w:type="spellStart"/>
            <w:r>
              <w:rPr>
                <w:i/>
              </w:rPr>
              <w:t>Equiticorp</w:t>
            </w:r>
            <w:proofErr w:type="spellEnd"/>
            <w:r>
              <w:rPr>
                <w:i/>
              </w:rPr>
              <w:t xml:space="preserve"> Australia Limited (in liquidation) and other companies </w:t>
            </w:r>
            <w:r>
              <w:t>[2017] NSWSC 1456</w:t>
            </w:r>
          </w:p>
          <w:p w:rsidR="003A0E76" w:rsidRDefault="003A0E76" w:rsidP="00A978D7">
            <w:pPr>
              <w:pStyle w:val="CasesLegislationAppealFrom"/>
              <w:widowControl/>
              <w:spacing w:after="60"/>
            </w:pPr>
            <w:r w:rsidRPr="00150B8B">
              <w:rPr>
                <w:i/>
              </w:rPr>
              <w:t xml:space="preserve">In the matter of </w:t>
            </w:r>
            <w:proofErr w:type="spellStart"/>
            <w:r w:rsidRPr="00150B8B">
              <w:rPr>
                <w:i/>
              </w:rPr>
              <w:t>Kukulovski</w:t>
            </w:r>
            <w:proofErr w:type="spellEnd"/>
            <w:r w:rsidRPr="00150B8B">
              <w:rPr>
                <w:i/>
              </w:rPr>
              <w:t xml:space="preserve">, </w:t>
            </w:r>
            <w:proofErr w:type="spellStart"/>
            <w:r w:rsidRPr="00150B8B">
              <w:rPr>
                <w:i/>
              </w:rPr>
              <w:t>Arnautovic</w:t>
            </w:r>
            <w:proofErr w:type="spellEnd"/>
            <w:r w:rsidRPr="00150B8B">
              <w:rPr>
                <w:i/>
              </w:rPr>
              <w:t xml:space="preserve"> &amp; Crisp</w:t>
            </w:r>
            <w:r>
              <w:t xml:space="preserve"> [2015] NSWSC 2040</w:t>
            </w:r>
          </w:p>
          <w:p w:rsidR="003A0E76" w:rsidRDefault="003A0E76" w:rsidP="00A978D7">
            <w:pPr>
              <w:pStyle w:val="CasesLegislationAppealFrom"/>
              <w:widowControl/>
              <w:spacing w:after="60"/>
            </w:pPr>
            <w:r w:rsidRPr="00DF0378">
              <w:rPr>
                <w:i/>
              </w:rPr>
              <w:t>In the matter of Richard James Porter and David Ian Mansfield</w:t>
            </w:r>
            <w:r>
              <w:t xml:space="preserve"> [2012] NSWSC 220</w:t>
            </w:r>
          </w:p>
          <w:p w:rsidR="00395B24" w:rsidRDefault="003A0E76" w:rsidP="00A978D7">
            <w:pPr>
              <w:pStyle w:val="CasesLegislationAppealFrom"/>
              <w:widowControl/>
              <w:spacing w:after="60"/>
            </w:pPr>
            <w:proofErr w:type="spellStart"/>
            <w:r w:rsidRPr="00A0049D">
              <w:rPr>
                <w:i/>
              </w:rPr>
              <w:t>Naudi</w:t>
            </w:r>
            <w:proofErr w:type="spellEnd"/>
            <w:r w:rsidRPr="00A0049D">
              <w:rPr>
                <w:i/>
              </w:rPr>
              <w:t xml:space="preserve">, </w:t>
            </w:r>
            <w:r>
              <w:rPr>
                <w:i/>
              </w:rPr>
              <w:t>in the matter of</w:t>
            </w:r>
            <w:r w:rsidRPr="00A0049D">
              <w:rPr>
                <w:i/>
              </w:rPr>
              <w:t xml:space="preserve"> ACN 156 335 787 Pty Ltd (in liq)</w:t>
            </w:r>
            <w:r>
              <w:t xml:space="preserve"> [2017] FCA 815  </w:t>
            </w:r>
            <w:r w:rsidR="002C7385">
              <w:t xml:space="preserve"> </w:t>
            </w:r>
            <w:bookmarkEnd w:id="4"/>
          </w:p>
        </w:tc>
      </w:tr>
      <w:tr w:rsidR="00066893" w:rsidRPr="00066893" w:rsidTr="00A0049D">
        <w:tc>
          <w:tcPr>
            <w:tcW w:w="3261" w:type="dxa"/>
            <w:shd w:val="clear" w:color="auto" w:fill="auto"/>
          </w:tcPr>
          <w:p w:rsidR="00066893" w:rsidRPr="00066893" w:rsidRDefault="00066893" w:rsidP="00A978D7">
            <w:pPr>
              <w:pStyle w:val="Normal1linespace"/>
              <w:jc w:val="left"/>
            </w:pPr>
          </w:p>
        </w:tc>
        <w:tc>
          <w:tcPr>
            <w:tcW w:w="5989" w:type="dxa"/>
            <w:shd w:val="clear" w:color="auto" w:fill="auto"/>
          </w:tcPr>
          <w:p w:rsidR="00066893" w:rsidRPr="00066893" w:rsidRDefault="00066893" w:rsidP="00A978D7">
            <w:pPr>
              <w:pStyle w:val="Normal1linespace"/>
              <w:jc w:val="left"/>
            </w:pPr>
          </w:p>
        </w:tc>
      </w:tr>
      <w:tr w:rsidR="00066893" w:rsidRPr="00066893" w:rsidTr="00A0049D">
        <w:tc>
          <w:tcPr>
            <w:tcW w:w="3261" w:type="dxa"/>
            <w:shd w:val="clear" w:color="auto" w:fill="auto"/>
          </w:tcPr>
          <w:p w:rsidR="00066893" w:rsidRPr="00066893" w:rsidRDefault="00066893" w:rsidP="00A978D7">
            <w:pPr>
              <w:pStyle w:val="Normal1linespace"/>
              <w:jc w:val="left"/>
            </w:pPr>
            <w:bookmarkStart w:id="5" w:name="CounselDate" w:colFirst="0" w:colLast="2"/>
            <w:r w:rsidRPr="00066893">
              <w:t>Date of hearing:</w:t>
            </w:r>
          </w:p>
        </w:tc>
        <w:tc>
          <w:tcPr>
            <w:tcW w:w="5989" w:type="dxa"/>
            <w:shd w:val="clear" w:color="auto" w:fill="auto"/>
          </w:tcPr>
          <w:p w:rsidR="00066893" w:rsidRPr="00066893" w:rsidRDefault="00751624" w:rsidP="00A978D7">
            <w:pPr>
              <w:pStyle w:val="Normal1linespace"/>
              <w:jc w:val="left"/>
            </w:pPr>
            <w:bookmarkStart w:id="6" w:name="HearingDate"/>
            <w:r>
              <w:t>30 July 2019</w:t>
            </w:r>
            <w:bookmarkEnd w:id="6"/>
          </w:p>
        </w:tc>
      </w:tr>
      <w:tr w:rsidR="00066893" w:rsidRPr="00066893" w:rsidTr="00A0049D">
        <w:tc>
          <w:tcPr>
            <w:tcW w:w="3261" w:type="dxa"/>
            <w:shd w:val="clear" w:color="auto" w:fill="auto"/>
          </w:tcPr>
          <w:p w:rsidR="00066893" w:rsidRPr="00066893" w:rsidRDefault="00066893" w:rsidP="00A978D7">
            <w:pPr>
              <w:pStyle w:val="Normal1linespace"/>
              <w:jc w:val="left"/>
            </w:pPr>
          </w:p>
        </w:tc>
        <w:tc>
          <w:tcPr>
            <w:tcW w:w="5989" w:type="dxa"/>
            <w:shd w:val="clear" w:color="auto" w:fill="auto"/>
          </w:tcPr>
          <w:p w:rsidR="00066893" w:rsidRPr="00066893" w:rsidRDefault="00066893" w:rsidP="00A978D7">
            <w:pPr>
              <w:pStyle w:val="Normal1linespace"/>
              <w:jc w:val="left"/>
            </w:pPr>
          </w:p>
        </w:tc>
      </w:tr>
      <w:bookmarkEnd w:id="5"/>
      <w:tr w:rsidR="00066893" w:rsidTr="00A0049D">
        <w:tc>
          <w:tcPr>
            <w:tcW w:w="3261" w:type="dxa"/>
            <w:shd w:val="clear" w:color="auto" w:fill="auto"/>
          </w:tcPr>
          <w:p w:rsidR="00066893" w:rsidRDefault="00066893" w:rsidP="00A978D7">
            <w:pPr>
              <w:pStyle w:val="Normal1linespace"/>
              <w:jc w:val="left"/>
            </w:pPr>
            <w:r>
              <w:t>Registry:</w:t>
            </w:r>
          </w:p>
        </w:tc>
        <w:tc>
          <w:tcPr>
            <w:tcW w:w="5989" w:type="dxa"/>
            <w:shd w:val="clear" w:color="auto" w:fill="auto"/>
          </w:tcPr>
          <w:p w:rsidR="00066893" w:rsidRPr="00F17599" w:rsidRDefault="003C3502" w:rsidP="00A978D7">
            <w:pPr>
              <w:pStyle w:val="Normal1linespace"/>
              <w:jc w:val="left"/>
            </w:pPr>
            <w:r>
              <w:fldChar w:fldCharType="begin" w:fldLock="1"/>
            </w:r>
            <w:r>
              <w:instrText xml:space="preserve"> DOCPROPERTY  Registry </w:instrText>
            </w:r>
            <w:r>
              <w:fldChar w:fldCharType="separate"/>
            </w:r>
            <w:r w:rsidR="00066893">
              <w:t>New South Wales</w:t>
            </w:r>
            <w:r>
              <w:fldChar w:fldCharType="end"/>
            </w:r>
          </w:p>
        </w:tc>
      </w:tr>
      <w:tr w:rsidR="00066893" w:rsidTr="00A0049D">
        <w:tc>
          <w:tcPr>
            <w:tcW w:w="3261" w:type="dxa"/>
            <w:shd w:val="clear" w:color="auto" w:fill="auto"/>
          </w:tcPr>
          <w:p w:rsidR="00066893" w:rsidRDefault="00066893" w:rsidP="00A978D7">
            <w:pPr>
              <w:pStyle w:val="Normal1linespace"/>
              <w:jc w:val="left"/>
            </w:pPr>
          </w:p>
        </w:tc>
        <w:tc>
          <w:tcPr>
            <w:tcW w:w="5989" w:type="dxa"/>
            <w:shd w:val="clear" w:color="auto" w:fill="auto"/>
          </w:tcPr>
          <w:p w:rsidR="00066893" w:rsidRDefault="00066893" w:rsidP="00A978D7">
            <w:pPr>
              <w:pStyle w:val="Normal1linespace"/>
              <w:jc w:val="left"/>
            </w:pPr>
          </w:p>
        </w:tc>
      </w:tr>
      <w:tr w:rsidR="00066893" w:rsidTr="00A0049D">
        <w:tc>
          <w:tcPr>
            <w:tcW w:w="3261" w:type="dxa"/>
            <w:shd w:val="clear" w:color="auto" w:fill="auto"/>
          </w:tcPr>
          <w:p w:rsidR="00066893" w:rsidRDefault="00066893" w:rsidP="00A978D7">
            <w:pPr>
              <w:pStyle w:val="Normal1linespace"/>
              <w:jc w:val="left"/>
            </w:pPr>
            <w:r>
              <w:t>Division:</w:t>
            </w:r>
          </w:p>
        </w:tc>
        <w:tc>
          <w:tcPr>
            <w:tcW w:w="5989" w:type="dxa"/>
            <w:shd w:val="clear" w:color="auto" w:fill="auto"/>
          </w:tcPr>
          <w:p w:rsidR="00066893" w:rsidRPr="00F17599" w:rsidRDefault="003C3502" w:rsidP="00A978D7">
            <w:pPr>
              <w:pStyle w:val="Normal1linespace"/>
              <w:jc w:val="left"/>
            </w:pPr>
            <w:r>
              <w:fldChar w:fldCharType="begin" w:fldLock="1"/>
            </w:r>
            <w:r>
              <w:instrText xml:space="preserve"> DOCPROPERTY  Division </w:instrText>
            </w:r>
            <w:r>
              <w:fldChar w:fldCharType="separate"/>
            </w:r>
            <w:r w:rsidR="00066893">
              <w:t>General Division</w:t>
            </w:r>
            <w:r>
              <w:fldChar w:fldCharType="end"/>
            </w:r>
          </w:p>
        </w:tc>
      </w:tr>
      <w:tr w:rsidR="00066893" w:rsidTr="00A0049D">
        <w:tc>
          <w:tcPr>
            <w:tcW w:w="3261" w:type="dxa"/>
            <w:shd w:val="clear" w:color="auto" w:fill="auto"/>
          </w:tcPr>
          <w:p w:rsidR="00066893" w:rsidRDefault="00066893" w:rsidP="00A978D7">
            <w:pPr>
              <w:pStyle w:val="Normal1linespace"/>
              <w:jc w:val="left"/>
            </w:pPr>
          </w:p>
        </w:tc>
        <w:tc>
          <w:tcPr>
            <w:tcW w:w="5989" w:type="dxa"/>
            <w:shd w:val="clear" w:color="auto" w:fill="auto"/>
          </w:tcPr>
          <w:p w:rsidR="00066893" w:rsidRPr="00F17599" w:rsidRDefault="00066893" w:rsidP="00A978D7">
            <w:pPr>
              <w:pStyle w:val="Normal1linespace"/>
              <w:jc w:val="left"/>
              <w:rPr>
                <w:b/>
              </w:rPr>
            </w:pPr>
          </w:p>
        </w:tc>
      </w:tr>
      <w:tr w:rsidR="00066893" w:rsidTr="00A0049D">
        <w:tc>
          <w:tcPr>
            <w:tcW w:w="3261" w:type="dxa"/>
            <w:shd w:val="clear" w:color="auto" w:fill="auto"/>
          </w:tcPr>
          <w:p w:rsidR="00066893" w:rsidRDefault="00066893" w:rsidP="00A978D7">
            <w:pPr>
              <w:pStyle w:val="Normal1linespace"/>
              <w:jc w:val="left"/>
            </w:pPr>
            <w:r>
              <w:t>National Practice Area:</w:t>
            </w:r>
          </w:p>
        </w:tc>
        <w:tc>
          <w:tcPr>
            <w:tcW w:w="5989" w:type="dxa"/>
            <w:shd w:val="clear" w:color="auto" w:fill="auto"/>
          </w:tcPr>
          <w:p w:rsidR="00066893" w:rsidRPr="00F17599" w:rsidRDefault="003C3502" w:rsidP="00A978D7">
            <w:pPr>
              <w:pStyle w:val="Normal1linespace"/>
              <w:jc w:val="left"/>
              <w:rPr>
                <w:b/>
              </w:rPr>
            </w:pPr>
            <w:r>
              <w:fldChar w:fldCharType="begin" w:fldLock="1"/>
            </w:r>
            <w:r>
              <w:instrText xml:space="preserve"> DOCPROPERTY  "Practice Area"  \* MERGEFORMAT </w:instrText>
            </w:r>
            <w:r>
              <w:fldChar w:fldCharType="separate"/>
            </w:r>
            <w:r w:rsidR="00066893">
              <w:t>Commercial and Corporations</w:t>
            </w:r>
            <w:r>
              <w:fldChar w:fldCharType="end"/>
            </w:r>
          </w:p>
        </w:tc>
      </w:tr>
      <w:tr w:rsidR="00066893" w:rsidTr="00A0049D">
        <w:tc>
          <w:tcPr>
            <w:tcW w:w="3261" w:type="dxa"/>
            <w:shd w:val="clear" w:color="auto" w:fill="auto"/>
          </w:tcPr>
          <w:p w:rsidR="00066893" w:rsidRDefault="00066893" w:rsidP="00A978D7">
            <w:pPr>
              <w:pStyle w:val="Normal1linespace"/>
              <w:jc w:val="left"/>
            </w:pPr>
          </w:p>
        </w:tc>
        <w:tc>
          <w:tcPr>
            <w:tcW w:w="5989" w:type="dxa"/>
            <w:shd w:val="clear" w:color="auto" w:fill="auto"/>
          </w:tcPr>
          <w:p w:rsidR="00066893" w:rsidRDefault="00066893" w:rsidP="00A978D7">
            <w:pPr>
              <w:pStyle w:val="Normal1linespace"/>
              <w:jc w:val="left"/>
            </w:pPr>
          </w:p>
        </w:tc>
      </w:tr>
      <w:tr w:rsidR="00066893" w:rsidTr="00A0049D">
        <w:tc>
          <w:tcPr>
            <w:tcW w:w="3261" w:type="dxa"/>
            <w:shd w:val="clear" w:color="auto" w:fill="auto"/>
          </w:tcPr>
          <w:p w:rsidR="00066893" w:rsidRDefault="00066893" w:rsidP="00A978D7">
            <w:pPr>
              <w:pStyle w:val="Normal1linespace"/>
              <w:jc w:val="left"/>
            </w:pPr>
            <w:r>
              <w:t>Sub-area:</w:t>
            </w:r>
          </w:p>
        </w:tc>
        <w:tc>
          <w:tcPr>
            <w:tcW w:w="5989" w:type="dxa"/>
            <w:shd w:val="clear" w:color="auto" w:fill="auto"/>
          </w:tcPr>
          <w:p w:rsidR="00066893" w:rsidRPr="00435936" w:rsidRDefault="003C3502" w:rsidP="00A978D7">
            <w:pPr>
              <w:pStyle w:val="Normal1linespace"/>
              <w:jc w:val="left"/>
            </w:pPr>
            <w:r>
              <w:fldChar w:fldCharType="begin" w:fldLock="1"/>
            </w:r>
            <w:r>
              <w:instrText xml:space="preserve"> DOCPROPERTY  "Sub Area"  \* MERGEFORMAT </w:instrText>
            </w:r>
            <w:r>
              <w:fldChar w:fldCharType="separate"/>
            </w:r>
            <w:r w:rsidR="00066893" w:rsidRPr="00066893">
              <w:rPr>
                <w:bCs/>
                <w:lang w:val="en-US"/>
              </w:rPr>
              <w:t>Corporations and Corporate</w:t>
            </w:r>
            <w:r w:rsidR="00066893">
              <w:t xml:space="preserve"> Insolvency</w:t>
            </w:r>
            <w:r>
              <w:fldChar w:fldCharType="end"/>
            </w:r>
          </w:p>
        </w:tc>
      </w:tr>
      <w:tr w:rsidR="00066893" w:rsidTr="00A0049D">
        <w:tc>
          <w:tcPr>
            <w:tcW w:w="3261" w:type="dxa"/>
            <w:shd w:val="clear" w:color="auto" w:fill="auto"/>
          </w:tcPr>
          <w:p w:rsidR="00066893" w:rsidRDefault="00066893" w:rsidP="00A978D7">
            <w:pPr>
              <w:pStyle w:val="Normal1linespace"/>
              <w:jc w:val="left"/>
            </w:pPr>
          </w:p>
        </w:tc>
        <w:tc>
          <w:tcPr>
            <w:tcW w:w="5989" w:type="dxa"/>
            <w:shd w:val="clear" w:color="auto" w:fill="auto"/>
          </w:tcPr>
          <w:p w:rsidR="00066893" w:rsidRDefault="00066893" w:rsidP="00A978D7">
            <w:pPr>
              <w:pStyle w:val="Normal1linespace"/>
              <w:jc w:val="left"/>
              <w:rPr>
                <w:b/>
              </w:rPr>
            </w:pPr>
          </w:p>
        </w:tc>
      </w:tr>
      <w:tr w:rsidR="00066893" w:rsidTr="00A0049D">
        <w:tc>
          <w:tcPr>
            <w:tcW w:w="3261" w:type="dxa"/>
            <w:shd w:val="clear" w:color="auto" w:fill="auto"/>
          </w:tcPr>
          <w:p w:rsidR="00066893" w:rsidRDefault="00066893" w:rsidP="00A978D7">
            <w:pPr>
              <w:pStyle w:val="Normal1linespace"/>
              <w:jc w:val="left"/>
            </w:pPr>
            <w:r>
              <w:t>Category:</w:t>
            </w:r>
          </w:p>
        </w:tc>
        <w:tc>
          <w:tcPr>
            <w:tcW w:w="5989" w:type="dxa"/>
            <w:shd w:val="clear" w:color="auto" w:fill="auto"/>
          </w:tcPr>
          <w:p w:rsidR="00066893" w:rsidRDefault="00066893" w:rsidP="00A978D7">
            <w:pPr>
              <w:pStyle w:val="Normal1linespace"/>
              <w:jc w:val="left"/>
            </w:pPr>
            <w:r w:rsidRPr="00751624">
              <w:t>Catchwords</w:t>
            </w:r>
          </w:p>
        </w:tc>
      </w:tr>
      <w:tr w:rsidR="00066893" w:rsidTr="00A0049D">
        <w:tc>
          <w:tcPr>
            <w:tcW w:w="3261" w:type="dxa"/>
            <w:shd w:val="clear" w:color="auto" w:fill="auto"/>
          </w:tcPr>
          <w:p w:rsidR="00066893" w:rsidRDefault="00066893" w:rsidP="00A978D7">
            <w:pPr>
              <w:pStyle w:val="Normal1linespace"/>
              <w:jc w:val="left"/>
            </w:pPr>
          </w:p>
        </w:tc>
        <w:tc>
          <w:tcPr>
            <w:tcW w:w="5989" w:type="dxa"/>
            <w:shd w:val="clear" w:color="auto" w:fill="auto"/>
          </w:tcPr>
          <w:p w:rsidR="00066893" w:rsidRDefault="00066893" w:rsidP="00A978D7">
            <w:pPr>
              <w:pStyle w:val="Normal1linespace"/>
              <w:jc w:val="left"/>
            </w:pPr>
          </w:p>
        </w:tc>
      </w:tr>
      <w:tr w:rsidR="00066893" w:rsidTr="00A0049D">
        <w:tc>
          <w:tcPr>
            <w:tcW w:w="3261" w:type="dxa"/>
            <w:shd w:val="clear" w:color="auto" w:fill="auto"/>
          </w:tcPr>
          <w:p w:rsidR="00066893" w:rsidRDefault="00066893" w:rsidP="00A978D7">
            <w:pPr>
              <w:pStyle w:val="Normal1linespace"/>
              <w:jc w:val="left"/>
            </w:pPr>
            <w:r>
              <w:t>Number of paragraphs:</w:t>
            </w:r>
          </w:p>
        </w:tc>
        <w:tc>
          <w:tcPr>
            <w:tcW w:w="5989" w:type="dxa"/>
            <w:shd w:val="clear" w:color="auto" w:fill="auto"/>
          </w:tcPr>
          <w:p w:rsidR="00066893" w:rsidRDefault="00A0049D" w:rsidP="00A978D7">
            <w:pPr>
              <w:pStyle w:val="Normal1linespace"/>
              <w:jc w:val="left"/>
            </w:pPr>
            <w:bookmarkStart w:id="7" w:name="PlaceCategoryParagraphs"/>
            <w:r>
              <w:t>23</w:t>
            </w:r>
            <w:bookmarkEnd w:id="7"/>
          </w:p>
        </w:tc>
      </w:tr>
      <w:tr w:rsidR="00751624" w:rsidTr="00A0049D">
        <w:tc>
          <w:tcPr>
            <w:tcW w:w="3261" w:type="dxa"/>
            <w:shd w:val="clear" w:color="auto" w:fill="auto"/>
          </w:tcPr>
          <w:p w:rsidR="00751624" w:rsidRDefault="00751624" w:rsidP="00A978D7">
            <w:pPr>
              <w:pStyle w:val="Normal1linespace"/>
              <w:jc w:val="left"/>
            </w:pPr>
          </w:p>
        </w:tc>
        <w:tc>
          <w:tcPr>
            <w:tcW w:w="5989" w:type="dxa"/>
            <w:shd w:val="clear" w:color="auto" w:fill="auto"/>
          </w:tcPr>
          <w:p w:rsidR="00751624" w:rsidRDefault="00751624" w:rsidP="00A978D7">
            <w:pPr>
              <w:pStyle w:val="Normal1linespace"/>
              <w:jc w:val="left"/>
            </w:pPr>
          </w:p>
        </w:tc>
      </w:tr>
      <w:tr w:rsidR="00751624" w:rsidTr="00A0049D">
        <w:tc>
          <w:tcPr>
            <w:tcW w:w="3261" w:type="dxa"/>
            <w:shd w:val="clear" w:color="auto" w:fill="auto"/>
          </w:tcPr>
          <w:p w:rsidR="00751624" w:rsidRDefault="00751624" w:rsidP="00A978D7">
            <w:pPr>
              <w:pStyle w:val="Normal1linespace"/>
              <w:jc w:val="left"/>
            </w:pPr>
            <w:bookmarkStart w:id="8" w:name="Counsel" w:colFirst="0" w:colLast="2"/>
            <w:r>
              <w:t>Solicitor for the Plaintiffs:</w:t>
            </w:r>
          </w:p>
        </w:tc>
        <w:tc>
          <w:tcPr>
            <w:tcW w:w="5989" w:type="dxa"/>
            <w:shd w:val="clear" w:color="auto" w:fill="auto"/>
          </w:tcPr>
          <w:p w:rsidR="00751624" w:rsidRDefault="002F2383" w:rsidP="00A978D7">
            <w:pPr>
              <w:pStyle w:val="Normal1linespace"/>
              <w:jc w:val="left"/>
            </w:pPr>
            <w:bookmarkStart w:id="9" w:name="AppCounsel"/>
            <w:bookmarkEnd w:id="9"/>
            <w:r>
              <w:t>Stuart</w:t>
            </w:r>
            <w:r w:rsidR="00751624">
              <w:t xml:space="preserve"> McKenzie of Colin Biggers &amp; Paisley</w:t>
            </w:r>
          </w:p>
        </w:tc>
      </w:tr>
      <w:bookmarkEnd w:id="8"/>
    </w:tbl>
    <w:p w:rsidR="00395B24" w:rsidRDefault="00395B24" w:rsidP="00A978D7">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A978D7">
      <w:pPr>
        <w:pStyle w:val="NormalHeadings"/>
        <w:widowControl/>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751624">
        <w:tc>
          <w:tcPr>
            <w:tcW w:w="6912" w:type="dxa"/>
            <w:gridSpan w:val="2"/>
          </w:tcPr>
          <w:p w:rsidR="00A46CCC" w:rsidRPr="001765E0" w:rsidRDefault="00A46CCC" w:rsidP="00A978D7">
            <w:pPr>
              <w:pStyle w:val="NormalHeadings"/>
              <w:widowControl/>
            </w:pPr>
          </w:p>
        </w:tc>
        <w:tc>
          <w:tcPr>
            <w:tcW w:w="2330" w:type="dxa"/>
          </w:tcPr>
          <w:p w:rsidR="00A46CCC" w:rsidRDefault="00066893" w:rsidP="00A978D7">
            <w:pPr>
              <w:pStyle w:val="NormalHeadings"/>
              <w:widowControl/>
              <w:jc w:val="right"/>
            </w:pPr>
            <w:bookmarkStart w:id="10" w:name="FileNo"/>
            <w:r>
              <w:t>NSD 1059 of 2019</w:t>
            </w:r>
            <w:bookmarkEnd w:id="10"/>
          </w:p>
        </w:tc>
      </w:tr>
      <w:tr w:rsidR="00A76C13" w:rsidTr="00751624">
        <w:tc>
          <w:tcPr>
            <w:tcW w:w="9242" w:type="dxa"/>
            <w:gridSpan w:val="3"/>
          </w:tcPr>
          <w:p w:rsidR="00A76C13" w:rsidRPr="00A76C13" w:rsidRDefault="00066893" w:rsidP="00A978D7">
            <w:pPr>
              <w:pStyle w:val="NormalHeadings"/>
              <w:widowControl/>
              <w:spacing w:before="240" w:after="240"/>
              <w:jc w:val="left"/>
            </w:pPr>
            <w:bookmarkStart w:id="11" w:name="InTheMatterOf"/>
            <w:r>
              <w:t>IN THE MATTER OF AEQUITAS LIMITED (IN LIQUIDATION) (ACN 002 944 845</w:t>
            </w:r>
            <w:bookmarkEnd w:id="11"/>
            <w:r w:rsidR="00A04022">
              <w:t>)</w:t>
            </w:r>
          </w:p>
        </w:tc>
      </w:tr>
      <w:tr w:rsidR="00A46CCC" w:rsidTr="00751624">
        <w:trPr>
          <w:trHeight w:val="386"/>
        </w:trPr>
        <w:tc>
          <w:tcPr>
            <w:tcW w:w="2376" w:type="dxa"/>
          </w:tcPr>
          <w:p w:rsidR="00A46CCC" w:rsidRDefault="00A46CCC" w:rsidP="00A978D7">
            <w:pPr>
              <w:pStyle w:val="NormalHeadings"/>
              <w:widowControl/>
              <w:jc w:val="left"/>
              <w:rPr>
                <w:caps/>
                <w:szCs w:val="24"/>
              </w:rPr>
            </w:pPr>
            <w:bookmarkStart w:id="12" w:name="Parties"/>
            <w:r>
              <w:rPr>
                <w:caps/>
                <w:szCs w:val="24"/>
              </w:rPr>
              <w:t>BETWEEN:</w:t>
            </w:r>
          </w:p>
        </w:tc>
        <w:tc>
          <w:tcPr>
            <w:tcW w:w="6866" w:type="dxa"/>
            <w:gridSpan w:val="2"/>
          </w:tcPr>
          <w:p w:rsidR="00066893" w:rsidRDefault="00066893" w:rsidP="00A978D7">
            <w:pPr>
              <w:pStyle w:val="NormalHeadings"/>
              <w:widowControl/>
              <w:jc w:val="left"/>
            </w:pPr>
            <w:bookmarkStart w:id="13" w:name="Applicant"/>
            <w:r>
              <w:t>GREGORY JOHN KEITH</w:t>
            </w:r>
          </w:p>
          <w:p w:rsidR="00066893" w:rsidRDefault="00066893" w:rsidP="00A978D7">
            <w:pPr>
              <w:pStyle w:val="PartyType"/>
              <w:widowControl/>
            </w:pPr>
            <w:r>
              <w:t>First Plaintiff</w:t>
            </w:r>
          </w:p>
          <w:p w:rsidR="00066893" w:rsidRDefault="00066893" w:rsidP="00A978D7">
            <w:pPr>
              <w:pStyle w:val="NormalHeadings"/>
              <w:widowControl/>
              <w:jc w:val="left"/>
            </w:pPr>
          </w:p>
          <w:p w:rsidR="00066893" w:rsidRDefault="00066893" w:rsidP="00A978D7">
            <w:pPr>
              <w:pStyle w:val="NormalHeadings"/>
              <w:widowControl/>
              <w:jc w:val="left"/>
            </w:pPr>
            <w:r>
              <w:t>PAUL ANDREW BILLINGHAM</w:t>
            </w:r>
          </w:p>
          <w:p w:rsidR="00066893" w:rsidRDefault="00066893" w:rsidP="00A978D7">
            <w:pPr>
              <w:pStyle w:val="PartyType"/>
              <w:widowControl/>
            </w:pPr>
            <w:r>
              <w:t>Second Plaintiff</w:t>
            </w:r>
          </w:p>
          <w:p w:rsidR="00066893" w:rsidRDefault="00066893" w:rsidP="00A978D7">
            <w:pPr>
              <w:pStyle w:val="NormalHeadings"/>
              <w:widowControl/>
              <w:jc w:val="left"/>
            </w:pPr>
          </w:p>
          <w:p w:rsidR="00066893" w:rsidRDefault="00066893" w:rsidP="00A978D7">
            <w:pPr>
              <w:pStyle w:val="NormalHeadings"/>
              <w:widowControl/>
              <w:jc w:val="left"/>
            </w:pPr>
            <w:r>
              <w:t xml:space="preserve">SHAUN CHRISTOPHER MCKINNON </w:t>
            </w:r>
            <w:r w:rsidRPr="00066893">
              <w:rPr>
                <w:b w:val="0"/>
              </w:rPr>
              <w:t>(and others named in the Schedule)</w:t>
            </w:r>
          </w:p>
          <w:p w:rsidR="00066893" w:rsidRDefault="00066893" w:rsidP="00A978D7">
            <w:pPr>
              <w:pStyle w:val="PartyType"/>
              <w:widowControl/>
            </w:pPr>
            <w:r>
              <w:t>Third Plaintiff</w:t>
            </w:r>
          </w:p>
          <w:bookmarkEnd w:id="13"/>
          <w:p w:rsidR="00A46CCC" w:rsidRPr="006555B4" w:rsidRDefault="00A46CCC" w:rsidP="00A978D7">
            <w:pPr>
              <w:pStyle w:val="NormalHeadings"/>
              <w:widowControl/>
              <w:jc w:val="left"/>
            </w:pPr>
          </w:p>
        </w:tc>
      </w:tr>
    </w:tbl>
    <w:p w:rsidR="00395B24" w:rsidRDefault="00395B24" w:rsidP="00A978D7">
      <w:pPr>
        <w:pStyle w:val="NormalHeadings"/>
        <w:widowControl/>
      </w:pPr>
      <w:bookmarkStart w:id="14" w:name="CrossClaimPosition"/>
      <w:bookmarkEnd w:id="12"/>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66893" w:rsidP="00A978D7">
            <w:pPr>
              <w:pStyle w:val="NormalHeadings"/>
              <w:widowControl/>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066893" w:rsidP="00A978D7">
            <w:pPr>
              <w:pStyle w:val="NormalHeadings"/>
              <w:widowControl/>
              <w:jc w:val="left"/>
              <w:rPr>
                <w:caps/>
                <w:szCs w:val="24"/>
              </w:rPr>
            </w:pPr>
            <w:bookmarkStart w:id="16" w:name="Judge"/>
            <w:r>
              <w:rPr>
                <w:caps/>
                <w:szCs w:val="24"/>
              </w:rPr>
              <w:t>GLEESON J</w:t>
            </w:r>
            <w:bookmarkEnd w:id="16"/>
          </w:p>
        </w:tc>
      </w:tr>
      <w:tr w:rsidR="00395B24">
        <w:tc>
          <w:tcPr>
            <w:tcW w:w="2376" w:type="dxa"/>
          </w:tcPr>
          <w:p w:rsidR="00395B24" w:rsidRDefault="002C7385" w:rsidP="00A978D7">
            <w:pPr>
              <w:pStyle w:val="NormalHeadings"/>
              <w:widowControl/>
              <w:spacing w:after="120"/>
              <w:jc w:val="left"/>
              <w:rPr>
                <w:caps/>
                <w:szCs w:val="24"/>
              </w:rPr>
            </w:pPr>
            <w:r>
              <w:rPr>
                <w:caps/>
                <w:szCs w:val="24"/>
              </w:rPr>
              <w:t>DATE OF ORDER:</w:t>
            </w:r>
          </w:p>
        </w:tc>
        <w:tc>
          <w:tcPr>
            <w:tcW w:w="6866" w:type="dxa"/>
          </w:tcPr>
          <w:p w:rsidR="00395B24" w:rsidRDefault="00DA4F7F" w:rsidP="00A978D7">
            <w:pPr>
              <w:pStyle w:val="NormalHeadings"/>
              <w:widowControl/>
              <w:jc w:val="left"/>
              <w:rPr>
                <w:caps/>
                <w:szCs w:val="24"/>
              </w:rPr>
            </w:pPr>
            <w:bookmarkStart w:id="17" w:name="Judgment_Dated"/>
            <w:r>
              <w:rPr>
                <w:caps/>
                <w:szCs w:val="24"/>
              </w:rPr>
              <w:t>30 July</w:t>
            </w:r>
            <w:r w:rsidR="00066893">
              <w:rPr>
                <w:caps/>
                <w:szCs w:val="24"/>
              </w:rPr>
              <w:t xml:space="preserve"> 2019</w:t>
            </w:r>
            <w:bookmarkEnd w:id="17"/>
          </w:p>
        </w:tc>
      </w:tr>
    </w:tbl>
    <w:p w:rsidR="00395B24" w:rsidRDefault="00395B24" w:rsidP="00A978D7">
      <w:pPr>
        <w:pStyle w:val="NormalHeadings"/>
        <w:widowControl/>
        <w:rPr>
          <w:b w:val="0"/>
        </w:rPr>
      </w:pPr>
    </w:p>
    <w:p w:rsidR="008D1617" w:rsidRDefault="008D1617" w:rsidP="00A978D7">
      <w:pPr>
        <w:pStyle w:val="NormalHeadings"/>
        <w:widowControl/>
        <w:rPr>
          <w:b w:val="0"/>
        </w:rPr>
      </w:pPr>
    </w:p>
    <w:p w:rsidR="00395B24" w:rsidRDefault="002C7385" w:rsidP="00A978D7">
      <w:pPr>
        <w:pStyle w:val="NormalHeadings"/>
        <w:widowControl/>
      </w:pPr>
      <w:r>
        <w:t>THE COURT ORDERS THAT:</w:t>
      </w:r>
    </w:p>
    <w:p w:rsidR="00395B24" w:rsidRDefault="00395B24" w:rsidP="00A978D7">
      <w:pPr>
        <w:pStyle w:val="NormalHeadings"/>
        <w:widowControl/>
      </w:pPr>
    </w:p>
    <w:p w:rsidR="00DA4F7F" w:rsidRDefault="00A04022" w:rsidP="00A978D7">
      <w:pPr>
        <w:pStyle w:val="Order1"/>
      </w:pPr>
      <w:bookmarkStart w:id="18" w:name="Order_Start_Text"/>
      <w:bookmarkEnd w:id="18"/>
      <w:r>
        <w:t>Direct t</w:t>
      </w:r>
      <w:r w:rsidR="00DA4F7F">
        <w:t xml:space="preserve">he plaintiffs </w:t>
      </w:r>
      <w:r>
        <w:t xml:space="preserve">to </w:t>
      </w:r>
      <w:r w:rsidR="00DA4F7F">
        <w:t>file electronically the affidavit of S</w:t>
      </w:r>
      <w:r w:rsidR="00751624">
        <w:t>tuart William McKenzie sworn 30 </w:t>
      </w:r>
      <w:r w:rsidR="00DA4F7F">
        <w:t>July 2019 by 5</w:t>
      </w:r>
      <w:r>
        <w:t>.00</w:t>
      </w:r>
      <w:r w:rsidR="00DA4F7F">
        <w:t xml:space="preserve"> pm today.</w:t>
      </w:r>
    </w:p>
    <w:p w:rsidR="008E2DE8" w:rsidRDefault="001520D8" w:rsidP="00A978D7">
      <w:pPr>
        <w:pStyle w:val="Order1"/>
      </w:pPr>
      <w:r w:rsidRPr="008E2DE8">
        <w:t xml:space="preserve">Pursuant to </w:t>
      </w:r>
      <w:proofErr w:type="spellStart"/>
      <w:r w:rsidRPr="008E2DE8">
        <w:t>s</w:t>
      </w:r>
      <w:proofErr w:type="spellEnd"/>
      <w:r w:rsidRPr="008E2DE8">
        <w:t xml:space="preserve"> 90-15 of the </w:t>
      </w:r>
      <w:r w:rsidRPr="00751624">
        <w:rPr>
          <w:i/>
        </w:rPr>
        <w:t>Insolvency Practice Schedule (Corporations)</w:t>
      </w:r>
      <w:r w:rsidR="008E2DE8">
        <w:t xml:space="preserve"> (</w:t>
      </w:r>
      <w:r w:rsidR="008E2DE8" w:rsidRPr="008E2DE8">
        <w:rPr>
          <w:b/>
        </w:rPr>
        <w:t>IPS</w:t>
      </w:r>
      <w:r w:rsidR="008E2DE8">
        <w:t>)</w:t>
      </w:r>
      <w:r w:rsidRPr="008E2DE8">
        <w:t xml:space="preserve">, being Schedule 2 to the </w:t>
      </w:r>
      <w:r w:rsidRPr="008E2DE8">
        <w:rPr>
          <w:i/>
        </w:rPr>
        <w:t xml:space="preserve">Corporations Act </w:t>
      </w:r>
      <w:r w:rsidR="008E2DE8" w:rsidRPr="008E2DE8">
        <w:rPr>
          <w:i/>
        </w:rPr>
        <w:t>2001</w:t>
      </w:r>
      <w:r w:rsidR="008E2DE8">
        <w:t xml:space="preserve"> (Cth)</w:t>
      </w:r>
      <w:r w:rsidR="00751624">
        <w:t xml:space="preserve"> </w:t>
      </w:r>
      <w:r w:rsidR="008E2DE8">
        <w:t>(</w:t>
      </w:r>
      <w:r w:rsidR="008E2DE8" w:rsidRPr="008E2DE8">
        <w:rPr>
          <w:b/>
        </w:rPr>
        <w:t>Act</w:t>
      </w:r>
      <w:r w:rsidR="008E2DE8">
        <w:t>), the first plaintiff cease</w:t>
      </w:r>
      <w:r w:rsidR="00A04022">
        <w:t xml:space="preserve"> forthwith</w:t>
      </w:r>
      <w:r w:rsidR="008E2DE8">
        <w:t xml:space="preserve"> to be the liquidator of the following companies:</w:t>
      </w:r>
    </w:p>
    <w:p w:rsidR="008E2DE8" w:rsidRDefault="008E2DE8" w:rsidP="00A978D7">
      <w:pPr>
        <w:pStyle w:val="Order2"/>
      </w:pPr>
      <w:r>
        <w:t>Aequitas Limited (in liquidation);</w:t>
      </w:r>
    </w:p>
    <w:p w:rsidR="008E2DE8" w:rsidRDefault="008E2DE8" w:rsidP="00A978D7">
      <w:pPr>
        <w:pStyle w:val="Order2"/>
      </w:pPr>
      <w:r>
        <w:t>Group Corporate Services Pty Ltd (in liquidation);</w:t>
      </w:r>
    </w:p>
    <w:p w:rsidR="008E2DE8" w:rsidRDefault="008E2DE8" w:rsidP="00A978D7">
      <w:pPr>
        <w:pStyle w:val="Order2"/>
      </w:pPr>
      <w:proofErr w:type="spellStart"/>
      <w:r>
        <w:t>InvestmentSource</w:t>
      </w:r>
      <w:proofErr w:type="spellEnd"/>
      <w:r>
        <w:t xml:space="preserve"> Corporation Pty Ltd (in liquidation);</w:t>
      </w:r>
    </w:p>
    <w:p w:rsidR="008E2DE8" w:rsidRDefault="008E2DE8" w:rsidP="00A978D7">
      <w:pPr>
        <w:pStyle w:val="Order2"/>
      </w:pPr>
      <w:r>
        <w:t>Property Corporate Services Pty Ltd (in liquidation); and</w:t>
      </w:r>
    </w:p>
    <w:p w:rsidR="008E2DE8" w:rsidRDefault="008E2DE8" w:rsidP="00A978D7">
      <w:pPr>
        <w:pStyle w:val="Order2"/>
      </w:pPr>
      <w:proofErr w:type="spellStart"/>
      <w:r>
        <w:t>Vilacon</w:t>
      </w:r>
      <w:proofErr w:type="spellEnd"/>
      <w:r>
        <w:t xml:space="preserve"> Corporation Pty Ltd (in liquidation).</w:t>
      </w:r>
    </w:p>
    <w:p w:rsidR="008E2DE8" w:rsidRDefault="008E2DE8" w:rsidP="00A978D7">
      <w:pPr>
        <w:pStyle w:val="Order1"/>
      </w:pPr>
      <w:r>
        <w:t>Pursuant to s 473A of the Act and s 90-15 of the IPS, the fourth plaintiff be appointed as liquidator of the following companies:</w:t>
      </w:r>
    </w:p>
    <w:p w:rsidR="008E2DE8" w:rsidRDefault="008E2DE8" w:rsidP="00A978D7">
      <w:pPr>
        <w:pStyle w:val="Order2"/>
      </w:pPr>
      <w:r>
        <w:t>Aequitas Limited (in liquidation);</w:t>
      </w:r>
    </w:p>
    <w:p w:rsidR="008E2DE8" w:rsidRDefault="008E2DE8" w:rsidP="00A978D7">
      <w:pPr>
        <w:pStyle w:val="Order2"/>
      </w:pPr>
      <w:r>
        <w:t>Group Corporate Services Pty Ltd (in liquidation);</w:t>
      </w:r>
    </w:p>
    <w:p w:rsidR="008E2DE8" w:rsidRDefault="008E2DE8" w:rsidP="00A978D7">
      <w:pPr>
        <w:pStyle w:val="Order2"/>
      </w:pPr>
      <w:proofErr w:type="spellStart"/>
      <w:r>
        <w:t>InvestmentSource</w:t>
      </w:r>
      <w:proofErr w:type="spellEnd"/>
      <w:r>
        <w:t xml:space="preserve"> Corporation Pty Ltd (in liquidation);</w:t>
      </w:r>
    </w:p>
    <w:p w:rsidR="008E2DE8" w:rsidRDefault="008E2DE8" w:rsidP="00A978D7">
      <w:pPr>
        <w:pStyle w:val="Order2"/>
      </w:pPr>
      <w:r>
        <w:t>Property Corporate Services Pty Ltd (in liquidation); and</w:t>
      </w:r>
    </w:p>
    <w:p w:rsidR="008E2DE8" w:rsidRDefault="008E2DE8" w:rsidP="00A978D7">
      <w:pPr>
        <w:pStyle w:val="Order2"/>
      </w:pPr>
      <w:proofErr w:type="spellStart"/>
      <w:r>
        <w:lastRenderedPageBreak/>
        <w:t>Vilacon</w:t>
      </w:r>
      <w:proofErr w:type="spellEnd"/>
      <w:r>
        <w:t xml:space="preserve"> Corporation Pty Ltd (in liquidation).</w:t>
      </w:r>
    </w:p>
    <w:p w:rsidR="008E2DE8" w:rsidRDefault="008E2DE8" w:rsidP="00A978D7">
      <w:pPr>
        <w:pStyle w:val="Order1"/>
      </w:pPr>
      <w:r>
        <w:t xml:space="preserve">Pursuant to </w:t>
      </w:r>
      <w:proofErr w:type="spellStart"/>
      <w:r>
        <w:t>s</w:t>
      </w:r>
      <w:proofErr w:type="spellEnd"/>
      <w:r>
        <w:t xml:space="preserve"> 90-15 of the IPS, the second plaintiff cease</w:t>
      </w:r>
      <w:r w:rsidR="00A04022">
        <w:t xml:space="preserve"> forthwith</w:t>
      </w:r>
      <w:r>
        <w:t xml:space="preserve"> to be the liquidator of the following companies:</w:t>
      </w:r>
    </w:p>
    <w:p w:rsidR="008E2DE8" w:rsidRDefault="008E2DE8" w:rsidP="00A978D7">
      <w:pPr>
        <w:pStyle w:val="Order2"/>
      </w:pPr>
      <w:r>
        <w:t>Rubicon Asset Management Limited (in liquidation);</w:t>
      </w:r>
    </w:p>
    <w:p w:rsidR="008E2DE8" w:rsidRDefault="008E2DE8" w:rsidP="00A978D7">
      <w:pPr>
        <w:pStyle w:val="Order2"/>
      </w:pPr>
      <w:proofErr w:type="spellStart"/>
      <w:r>
        <w:t>Galestar</w:t>
      </w:r>
      <w:proofErr w:type="spellEnd"/>
      <w:r>
        <w:t xml:space="preserve"> Pty Ltd (in liquidation);</w:t>
      </w:r>
    </w:p>
    <w:p w:rsidR="008E2DE8" w:rsidRDefault="008E2DE8" w:rsidP="00A978D7">
      <w:pPr>
        <w:pStyle w:val="Order2"/>
      </w:pPr>
      <w:proofErr w:type="spellStart"/>
      <w:r>
        <w:t>Zambito</w:t>
      </w:r>
      <w:proofErr w:type="spellEnd"/>
      <w:r>
        <w:t xml:space="preserve"> Pty Ltd (in liquidation);</w:t>
      </w:r>
    </w:p>
    <w:p w:rsidR="008E2DE8" w:rsidRDefault="008E2DE8" w:rsidP="00A978D7">
      <w:pPr>
        <w:pStyle w:val="Order1"/>
      </w:pPr>
      <w:r>
        <w:t xml:space="preserve">Pursuant to </w:t>
      </w:r>
      <w:proofErr w:type="spellStart"/>
      <w:r>
        <w:t>s</w:t>
      </w:r>
      <w:proofErr w:type="spellEnd"/>
      <w:r>
        <w:t xml:space="preserve"> 90-15 of the IPS, the fifth plaintiff be appointed as liquidator of Rubicon Asset Management Limited (in liquidation).</w:t>
      </w:r>
    </w:p>
    <w:p w:rsidR="008E2DE8" w:rsidRDefault="008E2DE8" w:rsidP="00A978D7">
      <w:pPr>
        <w:pStyle w:val="Order1"/>
      </w:pPr>
      <w:r>
        <w:t xml:space="preserve">Pursuant to s 473A of the Act and s 90-15 of the IPS, the fifth plaintiff </w:t>
      </w:r>
      <w:r w:rsidR="00B33B93">
        <w:t>be appointed as liquidator of the following companies:</w:t>
      </w:r>
    </w:p>
    <w:p w:rsidR="00B33B93" w:rsidRDefault="00B33B93" w:rsidP="00A978D7">
      <w:pPr>
        <w:pStyle w:val="Order2"/>
      </w:pPr>
      <w:proofErr w:type="spellStart"/>
      <w:r>
        <w:t>Galestar</w:t>
      </w:r>
      <w:proofErr w:type="spellEnd"/>
      <w:r>
        <w:t xml:space="preserve"> Pty Ltd (in liquidation); and</w:t>
      </w:r>
    </w:p>
    <w:p w:rsidR="00B33B93" w:rsidRDefault="00B33B93" w:rsidP="00A978D7">
      <w:pPr>
        <w:pStyle w:val="Order2"/>
      </w:pPr>
      <w:proofErr w:type="spellStart"/>
      <w:r>
        <w:t>Zambito</w:t>
      </w:r>
      <w:proofErr w:type="spellEnd"/>
      <w:r>
        <w:t xml:space="preserve"> Pty Ltd (in liquidation).</w:t>
      </w:r>
    </w:p>
    <w:p w:rsidR="00751624" w:rsidRDefault="00751624" w:rsidP="00A978D7">
      <w:pPr>
        <w:pStyle w:val="Order1"/>
      </w:pPr>
      <w:r>
        <w:t xml:space="preserve">Pursuant to </w:t>
      </w:r>
      <w:proofErr w:type="spellStart"/>
      <w:r>
        <w:t>s</w:t>
      </w:r>
      <w:proofErr w:type="spellEnd"/>
      <w:r>
        <w:t xml:space="preserve"> 90-15 of the IPS, the sixth plaintiff and seventh plaintiff be appointed jointly and severally together with the existing liquidator, the third plaintiff, as liquidators of:</w:t>
      </w:r>
    </w:p>
    <w:p w:rsidR="00751624" w:rsidRDefault="00751624" w:rsidP="00A978D7">
      <w:pPr>
        <w:pStyle w:val="Order2"/>
      </w:pPr>
      <w:proofErr w:type="spellStart"/>
      <w:r>
        <w:t>Multifix</w:t>
      </w:r>
      <w:proofErr w:type="spellEnd"/>
      <w:r>
        <w:t xml:space="preserve"> Constructions (QLD) Pty Limited (in liquidation); and</w:t>
      </w:r>
    </w:p>
    <w:p w:rsidR="00751624" w:rsidRDefault="00751624" w:rsidP="00A978D7">
      <w:pPr>
        <w:pStyle w:val="Order2"/>
      </w:pPr>
      <w:r>
        <w:t>Stone Benches Pty Limited (in liquidation).</w:t>
      </w:r>
    </w:p>
    <w:p w:rsidR="00751624" w:rsidRDefault="00751624" w:rsidP="00A978D7">
      <w:pPr>
        <w:pStyle w:val="Order1"/>
      </w:pPr>
      <w:r>
        <w:t>Pursuant to</w:t>
      </w:r>
      <w:r w:rsidR="00FD755E">
        <w:t xml:space="preserve"> </w:t>
      </w:r>
      <w:proofErr w:type="spellStart"/>
      <w:r w:rsidR="00FD755E">
        <w:t>s</w:t>
      </w:r>
      <w:proofErr w:type="spellEnd"/>
      <w:r w:rsidR="00FD755E">
        <w:t> </w:t>
      </w:r>
      <w:r>
        <w:t>90-15 of the IPS, anything authorised by the Act to be done by the third plaintiff, sixth plaintiff and seventh plaintiff as the joint and several liquidators of the companies set out in order 7 above may be done by any of them.</w:t>
      </w:r>
    </w:p>
    <w:p w:rsidR="00751624" w:rsidRDefault="00751624" w:rsidP="00A978D7">
      <w:pPr>
        <w:pStyle w:val="Order1"/>
      </w:pPr>
      <w:r>
        <w:t xml:space="preserve">Pursuant to </w:t>
      </w:r>
      <w:proofErr w:type="spellStart"/>
      <w:r>
        <w:t>s</w:t>
      </w:r>
      <w:proofErr w:type="spellEnd"/>
      <w:r>
        <w:t xml:space="preserve"> 90-15(2)(a) of the IPS, the fourth plaintiff, fifth plaintiff, sixth plaintiff and seventh plaintiff, each in respect of each company of which they are liquidator pursuant to orders 3, 5, 6 and 7 above, notify creditors of their appointments (including that the cost of the application was borne by Grant Thornton and not the creditors of the relevant company) and provide an update on the status of the external administration within 28 days of the date of this order.  </w:t>
      </w:r>
    </w:p>
    <w:p w:rsidR="001520D8" w:rsidRDefault="00A04022" w:rsidP="00A978D7">
      <w:pPr>
        <w:pStyle w:val="Order1"/>
      </w:pPr>
      <w:r>
        <w:t>N</w:t>
      </w:r>
      <w:r w:rsidR="001520D8">
        <w:t>o order as to costs.</w:t>
      </w:r>
    </w:p>
    <w:p w:rsidR="00066893" w:rsidRDefault="00630705" w:rsidP="00A978D7">
      <w:pPr>
        <w:pStyle w:val="Order1"/>
      </w:pPr>
      <w:r>
        <w:t xml:space="preserve">Grant </w:t>
      </w:r>
      <w:r w:rsidR="00DA4F7F">
        <w:t>liberty to the plaintiffs to apply for further orders or relief in connection with the orders made today.</w:t>
      </w:r>
    </w:p>
    <w:p w:rsidR="00066893" w:rsidRDefault="00066893" w:rsidP="00A978D7">
      <w:pPr>
        <w:pStyle w:val="BodyText"/>
      </w:pPr>
    </w:p>
    <w:p w:rsidR="00395B24" w:rsidRDefault="002C7385" w:rsidP="00A978D7">
      <w:pPr>
        <w:pStyle w:val="SingleSpace"/>
      </w:pPr>
      <w:r>
        <w:t>Note:</w:t>
      </w:r>
      <w:r>
        <w:tab/>
        <w:t xml:space="preserve">Entry of orders is dealt with in Rule 39.32 of the </w:t>
      </w:r>
      <w:r>
        <w:rPr>
          <w:i/>
        </w:rPr>
        <w:t>Federal Court Rules 2011</w:t>
      </w:r>
      <w:r>
        <w:t>.</w:t>
      </w:r>
    </w:p>
    <w:p w:rsidR="00395B24" w:rsidRDefault="00395B24" w:rsidP="00A978D7">
      <w:pPr>
        <w:pStyle w:val="BodyText"/>
      </w:pPr>
    </w:p>
    <w:p w:rsidR="00395B24" w:rsidRDefault="00395B24" w:rsidP="00A978D7">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A978D7">
      <w:pPr>
        <w:pStyle w:val="NormalHeadings"/>
        <w:widowControl/>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066893" w:rsidP="00A978D7">
      <w:pPr>
        <w:pStyle w:val="NormalHeadings"/>
        <w:widowControl/>
        <w:spacing w:line="360" w:lineRule="auto"/>
        <w:jc w:val="left"/>
        <w:rPr>
          <w:sz w:val="26"/>
          <w:szCs w:val="26"/>
        </w:rPr>
      </w:pPr>
      <w:r>
        <w:rPr>
          <w:sz w:val="26"/>
          <w:szCs w:val="26"/>
        </w:rPr>
        <w:t>GLEESON J</w:t>
      </w:r>
      <w:r w:rsidR="00484F6D" w:rsidRPr="00EA03CE">
        <w:rPr>
          <w:sz w:val="26"/>
          <w:szCs w:val="26"/>
        </w:rPr>
        <w:t>:</w:t>
      </w:r>
    </w:p>
    <w:p w:rsidR="001520D8" w:rsidRDefault="001520D8" w:rsidP="00A978D7">
      <w:pPr>
        <w:pStyle w:val="ParaNumbering"/>
      </w:pPr>
      <w:r>
        <w:t xml:space="preserve">On 30 July 2019, I made orders which had the effect of changing the liquidators of </w:t>
      </w:r>
      <w:r w:rsidR="00A04022">
        <w:t xml:space="preserve">10 </w:t>
      </w:r>
      <w:r>
        <w:t>companies presently in the course of being wound up by various partners of the firm Grant Thornton Australia Limited</w:t>
      </w:r>
      <w:r w:rsidR="00227DA5">
        <w:t xml:space="preserve"> (</w:t>
      </w:r>
      <w:r w:rsidR="00227DA5" w:rsidRPr="00227DA5">
        <w:rPr>
          <w:b/>
        </w:rPr>
        <w:t>Grant Thornton</w:t>
      </w:r>
      <w:r w:rsidR="00227DA5">
        <w:t>)</w:t>
      </w:r>
      <w:r>
        <w:t>.</w:t>
      </w:r>
    </w:p>
    <w:p w:rsidR="001520D8" w:rsidRDefault="001520D8" w:rsidP="00A978D7">
      <w:pPr>
        <w:pStyle w:val="ParaNumbering"/>
      </w:pPr>
      <w:r>
        <w:t>These are my reasons for making the orders.</w:t>
      </w:r>
    </w:p>
    <w:p w:rsidR="001520D8" w:rsidRDefault="001520D8" w:rsidP="00A978D7">
      <w:pPr>
        <w:pStyle w:val="ParaNumbering"/>
      </w:pPr>
      <w:r>
        <w:t>The orders were sought by an originating process filed on 5 July 2019 and supported by affidavit</w:t>
      </w:r>
      <w:r w:rsidR="00E17696">
        <w:t>s made by the following persons on the following dates</w:t>
      </w:r>
      <w:r>
        <w:t>:</w:t>
      </w:r>
    </w:p>
    <w:p w:rsidR="00022337" w:rsidRDefault="00022337" w:rsidP="00A978D7">
      <w:pPr>
        <w:pStyle w:val="ListNo1"/>
        <w:numPr>
          <w:ilvl w:val="0"/>
          <w:numId w:val="29"/>
        </w:numPr>
      </w:pPr>
      <w:r>
        <w:t>The first plaintiff, Gregory John Keith, sworn 28 June 2019.</w:t>
      </w:r>
    </w:p>
    <w:p w:rsidR="00022337" w:rsidRDefault="00022337" w:rsidP="00A978D7">
      <w:pPr>
        <w:pStyle w:val="ListNo1"/>
        <w:numPr>
          <w:ilvl w:val="0"/>
          <w:numId w:val="29"/>
        </w:numPr>
      </w:pPr>
      <w:r>
        <w:t xml:space="preserve">The second plaintiff, Paul Andrew </w:t>
      </w:r>
      <w:proofErr w:type="spellStart"/>
      <w:r>
        <w:t>Billingham</w:t>
      </w:r>
      <w:proofErr w:type="spellEnd"/>
      <w:r>
        <w:t>, sworn 26 June 2019.</w:t>
      </w:r>
    </w:p>
    <w:p w:rsidR="00022337" w:rsidRDefault="00022337" w:rsidP="00A978D7">
      <w:pPr>
        <w:pStyle w:val="ListNo1"/>
        <w:numPr>
          <w:ilvl w:val="0"/>
          <w:numId w:val="29"/>
        </w:numPr>
      </w:pPr>
      <w:r>
        <w:t>The third plaintiffs, Shaun Christopher McKinnon, sworn 26 June 2019.</w:t>
      </w:r>
    </w:p>
    <w:p w:rsidR="00630705" w:rsidRDefault="00022337" w:rsidP="00A978D7">
      <w:pPr>
        <w:pStyle w:val="ListNo1"/>
        <w:numPr>
          <w:ilvl w:val="0"/>
          <w:numId w:val="29"/>
        </w:numPr>
      </w:pPr>
      <w:r>
        <w:t xml:space="preserve">The fourth plaintiff, </w:t>
      </w:r>
      <w:r w:rsidR="00630705">
        <w:t>Andrew Stewart Reed Hewitt</w:t>
      </w:r>
      <w:r>
        <w:t>,</w:t>
      </w:r>
      <w:r w:rsidR="00630705">
        <w:t xml:space="preserve"> sworn 21 June 2019.</w:t>
      </w:r>
    </w:p>
    <w:p w:rsidR="00022337" w:rsidRDefault="00022337" w:rsidP="00A978D7">
      <w:pPr>
        <w:pStyle w:val="ListNo1"/>
        <w:numPr>
          <w:ilvl w:val="0"/>
          <w:numId w:val="29"/>
        </w:numPr>
      </w:pPr>
      <w:r>
        <w:t xml:space="preserve">The fifth plaintiff, Said </w:t>
      </w:r>
      <w:proofErr w:type="spellStart"/>
      <w:r>
        <w:t>Jahani</w:t>
      </w:r>
      <w:proofErr w:type="spellEnd"/>
      <w:r>
        <w:t>, affirmed 26 June 2019.</w:t>
      </w:r>
    </w:p>
    <w:p w:rsidR="00630705" w:rsidRDefault="00022337" w:rsidP="00A978D7">
      <w:pPr>
        <w:pStyle w:val="ListNo1"/>
        <w:numPr>
          <w:ilvl w:val="0"/>
          <w:numId w:val="29"/>
        </w:numPr>
      </w:pPr>
      <w:r>
        <w:t xml:space="preserve">The sixth plaintiff, </w:t>
      </w:r>
      <w:r w:rsidR="00630705">
        <w:t>Cameron Alexander Crichton</w:t>
      </w:r>
      <w:r>
        <w:t>,</w:t>
      </w:r>
      <w:r w:rsidR="00630705">
        <w:t xml:space="preserve"> </w:t>
      </w:r>
      <w:r w:rsidR="00A04022">
        <w:t xml:space="preserve">affirmed </w:t>
      </w:r>
      <w:r w:rsidR="00630705">
        <w:t>26 June 2019.</w:t>
      </w:r>
    </w:p>
    <w:p w:rsidR="00630705" w:rsidRDefault="00022337" w:rsidP="00A978D7">
      <w:pPr>
        <w:pStyle w:val="ListNo1"/>
        <w:numPr>
          <w:ilvl w:val="0"/>
          <w:numId w:val="29"/>
        </w:numPr>
      </w:pPr>
      <w:r>
        <w:t xml:space="preserve">The seventh plaintiff, </w:t>
      </w:r>
      <w:r w:rsidR="00630705">
        <w:t>Graham Robert Killer</w:t>
      </w:r>
      <w:r>
        <w:t>,</w:t>
      </w:r>
      <w:r w:rsidR="00630705">
        <w:t xml:space="preserve"> affirmed 26 June 2019</w:t>
      </w:r>
      <w:r w:rsidR="00373A6B">
        <w:t>.</w:t>
      </w:r>
    </w:p>
    <w:p w:rsidR="001520D8" w:rsidRDefault="001520D8" w:rsidP="00A978D7">
      <w:pPr>
        <w:pStyle w:val="ListNo1"/>
        <w:numPr>
          <w:ilvl w:val="0"/>
          <w:numId w:val="29"/>
        </w:numPr>
      </w:pPr>
      <w:r>
        <w:t xml:space="preserve">Stuart </w:t>
      </w:r>
      <w:r w:rsidR="00A04022">
        <w:t xml:space="preserve">William </w:t>
      </w:r>
      <w:r>
        <w:t>McKenzie</w:t>
      </w:r>
      <w:r w:rsidR="00022337">
        <w:t>, solicitor,</w:t>
      </w:r>
      <w:r>
        <w:t xml:space="preserve"> sworn 30 July 2019.</w:t>
      </w:r>
    </w:p>
    <w:p w:rsidR="00E62060" w:rsidRDefault="00E62060" w:rsidP="00A978D7">
      <w:pPr>
        <w:pStyle w:val="Heading1"/>
      </w:pPr>
      <w:r>
        <w:t>Background to application</w:t>
      </w:r>
    </w:p>
    <w:p w:rsidR="00E62060" w:rsidRDefault="00E62060" w:rsidP="00A978D7">
      <w:pPr>
        <w:pStyle w:val="ParaNumbering"/>
      </w:pPr>
      <w:r w:rsidRPr="00022337">
        <w:t>Mr Keith</w:t>
      </w:r>
      <w:r>
        <w:t xml:space="preserve"> was the liquidator of each of the following five companies:</w:t>
      </w:r>
    </w:p>
    <w:p w:rsidR="00E62060" w:rsidRDefault="00E62060" w:rsidP="00A978D7">
      <w:pPr>
        <w:pStyle w:val="ListNo1"/>
        <w:numPr>
          <w:ilvl w:val="0"/>
          <w:numId w:val="24"/>
        </w:numPr>
      </w:pPr>
      <w:r>
        <w:t>Aequitas Limited (in liquidation)</w:t>
      </w:r>
      <w:r w:rsidR="001910A5">
        <w:t xml:space="preserve"> from April 2007</w:t>
      </w:r>
      <w:r>
        <w:t>;</w:t>
      </w:r>
    </w:p>
    <w:p w:rsidR="00E62060" w:rsidRDefault="00E62060" w:rsidP="00A978D7">
      <w:pPr>
        <w:pStyle w:val="ListNo1"/>
        <w:numPr>
          <w:ilvl w:val="0"/>
          <w:numId w:val="24"/>
        </w:numPr>
      </w:pPr>
      <w:r>
        <w:t>Group Corporate Services Pty Ltd (in liquidation)</w:t>
      </w:r>
      <w:r w:rsidR="001910A5">
        <w:t xml:space="preserve"> from March 2004</w:t>
      </w:r>
      <w:r>
        <w:t>;</w:t>
      </w:r>
    </w:p>
    <w:p w:rsidR="00E62060" w:rsidRDefault="00E62060" w:rsidP="00A978D7">
      <w:pPr>
        <w:pStyle w:val="ListNo1"/>
        <w:numPr>
          <w:ilvl w:val="0"/>
          <w:numId w:val="24"/>
        </w:numPr>
      </w:pPr>
      <w:proofErr w:type="spellStart"/>
      <w:r>
        <w:t>InvestmentSource</w:t>
      </w:r>
      <w:proofErr w:type="spellEnd"/>
      <w:r>
        <w:t xml:space="preserve"> Corporation Pty Ltd (in liquidation)</w:t>
      </w:r>
      <w:r w:rsidR="001910A5">
        <w:t xml:space="preserve"> from March 2004</w:t>
      </w:r>
      <w:r>
        <w:t>;</w:t>
      </w:r>
    </w:p>
    <w:p w:rsidR="00E62060" w:rsidRDefault="00E62060" w:rsidP="00A978D7">
      <w:pPr>
        <w:pStyle w:val="ListNo1"/>
        <w:numPr>
          <w:ilvl w:val="0"/>
          <w:numId w:val="24"/>
        </w:numPr>
      </w:pPr>
      <w:r>
        <w:t>Property Corporate Services Pty Ltd (in liquidation)</w:t>
      </w:r>
      <w:r w:rsidR="001910A5">
        <w:t xml:space="preserve"> from March 2004</w:t>
      </w:r>
      <w:r>
        <w:t>; and</w:t>
      </w:r>
    </w:p>
    <w:p w:rsidR="00E62060" w:rsidRDefault="00E62060" w:rsidP="00A978D7">
      <w:pPr>
        <w:pStyle w:val="ListNo1"/>
        <w:numPr>
          <w:ilvl w:val="0"/>
          <w:numId w:val="24"/>
        </w:numPr>
      </w:pPr>
      <w:proofErr w:type="spellStart"/>
      <w:r>
        <w:t>Vilacon</w:t>
      </w:r>
      <w:proofErr w:type="spellEnd"/>
      <w:r>
        <w:t xml:space="preserve"> Corporation Pty Ltd (in liquidation)</w:t>
      </w:r>
      <w:r w:rsidR="001910A5">
        <w:t xml:space="preserve"> from September 2004</w:t>
      </w:r>
      <w:r>
        <w:t>.</w:t>
      </w:r>
    </w:p>
    <w:p w:rsidR="001C4266" w:rsidRDefault="00E62060" w:rsidP="00A978D7">
      <w:pPr>
        <w:pStyle w:val="ParaNumbering"/>
      </w:pPr>
      <w:r>
        <w:t xml:space="preserve">In July 2015, Mr Keith was appointed as Chief Executive Officer of Grant Thornton. He has not accepted any external administration appointments since </w:t>
      </w:r>
      <w:r w:rsidR="00022337">
        <w:t>t</w:t>
      </w:r>
      <w:r>
        <w:t>h</w:t>
      </w:r>
      <w:r w:rsidR="00022337">
        <w:t>at</w:t>
      </w:r>
      <w:r>
        <w:t xml:space="preserve"> appointment and does not intended to do so in the future. </w:t>
      </w:r>
      <w:r w:rsidR="00022337">
        <w:t xml:space="preserve">In his affidavit, </w:t>
      </w:r>
      <w:r w:rsidR="001C4266">
        <w:t xml:space="preserve">Mr Keith addressed the work that he has done to date and the work he considers still remains to be completed in each of the five liquidations. </w:t>
      </w:r>
    </w:p>
    <w:p w:rsidR="00E62060" w:rsidRDefault="00E62060" w:rsidP="00A978D7">
      <w:pPr>
        <w:pStyle w:val="ParaNumbering"/>
      </w:pPr>
      <w:r>
        <w:lastRenderedPageBreak/>
        <w:t>Given his responsibilities as CEO</w:t>
      </w:r>
      <w:r w:rsidR="00227DA5">
        <w:t xml:space="preserve"> and his intention to cease to maintain his registration as a liquidator</w:t>
      </w:r>
      <w:r w:rsidR="00235627">
        <w:t xml:space="preserve"> with</w:t>
      </w:r>
      <w:r w:rsidR="00A04022">
        <w:t xml:space="preserve"> the</w:t>
      </w:r>
      <w:r w:rsidR="00235627">
        <w:t xml:space="preserve"> Australian Securities and Investments Commission (</w:t>
      </w:r>
      <w:r w:rsidR="00235627" w:rsidRPr="00235627">
        <w:rPr>
          <w:b/>
        </w:rPr>
        <w:t>ASIC</w:t>
      </w:r>
      <w:r w:rsidR="00235627">
        <w:t>)</w:t>
      </w:r>
      <w:r>
        <w:t xml:space="preserve">, Mr Keith decided that it was prudent and in the best interests of the creditors of the five companies for him to cease to be liquidator and to be replaced by one of his partners, </w:t>
      </w:r>
      <w:r w:rsidR="00A04022" w:rsidRPr="00022337">
        <w:t>Mr </w:t>
      </w:r>
      <w:r w:rsidRPr="00022337">
        <w:t>Hewitt</w:t>
      </w:r>
      <w:r>
        <w:t>.</w:t>
      </w:r>
      <w:r w:rsidR="006A167E">
        <w:t xml:space="preserve"> </w:t>
      </w:r>
    </w:p>
    <w:p w:rsidR="00227DA5" w:rsidRDefault="00227DA5" w:rsidP="00A978D7">
      <w:pPr>
        <w:pStyle w:val="ParaNumbering"/>
      </w:pPr>
      <w:r>
        <w:t>Mr Hewitt</w:t>
      </w:r>
      <w:r w:rsidR="00111EAF">
        <w:t>, a registered liquidator,</w:t>
      </w:r>
      <w:r>
        <w:t xml:space="preserve"> consented to his appointment as liquidator of the five companies.</w:t>
      </w:r>
    </w:p>
    <w:p w:rsidR="00227DA5" w:rsidRDefault="00227DA5" w:rsidP="00A978D7">
      <w:pPr>
        <w:pStyle w:val="ParaNumbering"/>
      </w:pPr>
      <w:r w:rsidRPr="00022337">
        <w:t xml:space="preserve">Mr </w:t>
      </w:r>
      <w:proofErr w:type="spellStart"/>
      <w:r w:rsidRPr="00022337">
        <w:t>Billingham</w:t>
      </w:r>
      <w:proofErr w:type="spellEnd"/>
      <w:r>
        <w:t xml:space="preserve"> was the liquidator of each of the following three companies:</w:t>
      </w:r>
    </w:p>
    <w:p w:rsidR="00227DA5" w:rsidRDefault="00227DA5" w:rsidP="00A978D7">
      <w:pPr>
        <w:pStyle w:val="ListNo1"/>
        <w:numPr>
          <w:ilvl w:val="0"/>
          <w:numId w:val="25"/>
        </w:numPr>
      </w:pPr>
      <w:r>
        <w:t xml:space="preserve">Rubicon Asset Management Limited (in liquidation) </w:t>
      </w:r>
      <w:r w:rsidR="008D5B00">
        <w:t>(</w:t>
      </w:r>
      <w:r w:rsidR="008D5B00" w:rsidRPr="008D5B00">
        <w:rPr>
          <w:b/>
        </w:rPr>
        <w:t>Rubicon</w:t>
      </w:r>
      <w:r w:rsidR="008D5B00">
        <w:t xml:space="preserve">) </w:t>
      </w:r>
      <w:r>
        <w:t>from October 2009;</w:t>
      </w:r>
    </w:p>
    <w:p w:rsidR="00227DA5" w:rsidRDefault="00227DA5" w:rsidP="00A978D7">
      <w:pPr>
        <w:pStyle w:val="ListNo1"/>
        <w:numPr>
          <w:ilvl w:val="0"/>
          <w:numId w:val="25"/>
        </w:numPr>
      </w:pPr>
      <w:proofErr w:type="spellStart"/>
      <w:r>
        <w:t>Galestar</w:t>
      </w:r>
      <w:proofErr w:type="spellEnd"/>
      <w:r>
        <w:t xml:space="preserve"> Pty Ltd (in liquidation) from March 2012</w:t>
      </w:r>
      <w:r w:rsidR="008D5B00">
        <w:t xml:space="preserve"> (</w:t>
      </w:r>
      <w:proofErr w:type="spellStart"/>
      <w:r w:rsidR="008D5B00" w:rsidRPr="008D5B00">
        <w:rPr>
          <w:b/>
        </w:rPr>
        <w:t>Galestar</w:t>
      </w:r>
      <w:proofErr w:type="spellEnd"/>
      <w:r w:rsidR="008D5B00">
        <w:t>)</w:t>
      </w:r>
      <w:r>
        <w:t>;</w:t>
      </w:r>
      <w:r w:rsidR="00630705">
        <w:t xml:space="preserve"> and</w:t>
      </w:r>
    </w:p>
    <w:p w:rsidR="00227DA5" w:rsidRDefault="00227DA5" w:rsidP="00A978D7">
      <w:pPr>
        <w:pStyle w:val="ListNo1"/>
        <w:numPr>
          <w:ilvl w:val="0"/>
          <w:numId w:val="25"/>
        </w:numPr>
      </w:pPr>
      <w:proofErr w:type="spellStart"/>
      <w:r>
        <w:t>Zambito</w:t>
      </w:r>
      <w:proofErr w:type="spellEnd"/>
      <w:r>
        <w:t xml:space="preserve"> Pty Ltd (in liquidation)</w:t>
      </w:r>
      <w:r w:rsidR="001910A5">
        <w:t xml:space="preserve"> from March 2012</w:t>
      </w:r>
      <w:r w:rsidR="008D5B00">
        <w:t xml:space="preserve"> (</w:t>
      </w:r>
      <w:proofErr w:type="spellStart"/>
      <w:r w:rsidR="008D5B00" w:rsidRPr="008D5B00">
        <w:rPr>
          <w:b/>
        </w:rPr>
        <w:t>Zambito</w:t>
      </w:r>
      <w:proofErr w:type="spellEnd"/>
      <w:r w:rsidR="008D5B00">
        <w:t>)</w:t>
      </w:r>
      <w:r>
        <w:t>.</w:t>
      </w:r>
    </w:p>
    <w:p w:rsidR="008D5B00" w:rsidRDefault="00227DA5" w:rsidP="00A978D7">
      <w:pPr>
        <w:pStyle w:val="ParaNumbering"/>
      </w:pPr>
      <w:r>
        <w:t xml:space="preserve">On 1 January 2019, Mr </w:t>
      </w:r>
      <w:proofErr w:type="spellStart"/>
      <w:r>
        <w:t>Billingham</w:t>
      </w:r>
      <w:proofErr w:type="spellEnd"/>
      <w:r>
        <w:t xml:space="preserve"> was appointed as the Office Chair of Grant Thornton in New South Wales. Like Mr Keith, he has not accepted any external administration appointments since his appointment as Office Chair and does not intended to do so in the future. In addition, Mr </w:t>
      </w:r>
      <w:proofErr w:type="spellStart"/>
      <w:r>
        <w:t>Billingham</w:t>
      </w:r>
      <w:proofErr w:type="spellEnd"/>
      <w:r>
        <w:t xml:space="preserve"> intends to work solely in Grant Thornton’s consulting practice in the future and to cease to maintain his ASIC registration as a liquidator. </w:t>
      </w:r>
    </w:p>
    <w:p w:rsidR="008D5B00" w:rsidRDefault="008D5B00" w:rsidP="00A978D7">
      <w:pPr>
        <w:pStyle w:val="ParaNumbering"/>
      </w:pPr>
      <w:r>
        <w:t xml:space="preserve">Mr </w:t>
      </w:r>
      <w:proofErr w:type="spellStart"/>
      <w:r>
        <w:t>Billingham’s</w:t>
      </w:r>
      <w:proofErr w:type="spellEnd"/>
      <w:r>
        <w:t xml:space="preserve"> evidence was that, due to continuing complexities in the liquidation of Rubicon and entities for which it is responsible, it is not clear when the liquidation will be finalised. Mr </w:t>
      </w:r>
      <w:proofErr w:type="spellStart"/>
      <w:r>
        <w:t>Billingham</w:t>
      </w:r>
      <w:proofErr w:type="spellEnd"/>
      <w:r>
        <w:t xml:space="preserve"> </w:t>
      </w:r>
      <w:r w:rsidR="00022337">
        <w:t xml:space="preserve">also </w:t>
      </w:r>
      <w:r>
        <w:t xml:space="preserve">identified tasks to be completed in the liquidations of </w:t>
      </w:r>
      <w:proofErr w:type="spellStart"/>
      <w:r>
        <w:t>Galestar</w:t>
      </w:r>
      <w:proofErr w:type="spellEnd"/>
      <w:r>
        <w:t xml:space="preserve"> and </w:t>
      </w:r>
      <w:proofErr w:type="spellStart"/>
      <w:r>
        <w:t>Zambito</w:t>
      </w:r>
      <w:proofErr w:type="spellEnd"/>
      <w:r>
        <w:t xml:space="preserve">. </w:t>
      </w:r>
      <w:r w:rsidR="00227DA5">
        <w:t xml:space="preserve">In the circumstances, Mr </w:t>
      </w:r>
      <w:proofErr w:type="spellStart"/>
      <w:r w:rsidR="00227DA5">
        <w:t>Billingham</w:t>
      </w:r>
      <w:proofErr w:type="spellEnd"/>
      <w:r w:rsidR="00227DA5">
        <w:t xml:space="preserve"> also considered that it was prudent and in the best interests of the creditors of the three companies for him to cease to be liquidator and to be replaced by one of his partners, </w:t>
      </w:r>
      <w:r w:rsidR="00227DA5" w:rsidRPr="00022337">
        <w:t xml:space="preserve">Mr </w:t>
      </w:r>
      <w:proofErr w:type="spellStart"/>
      <w:r w:rsidR="00227DA5" w:rsidRPr="00022337">
        <w:t>Jahani</w:t>
      </w:r>
      <w:proofErr w:type="spellEnd"/>
      <w:r w:rsidR="00227DA5">
        <w:t>.</w:t>
      </w:r>
      <w:r>
        <w:t xml:space="preserve"> </w:t>
      </w:r>
    </w:p>
    <w:p w:rsidR="001910A5" w:rsidRDefault="001910A5" w:rsidP="00A978D7">
      <w:pPr>
        <w:pStyle w:val="ParaNumbering"/>
      </w:pPr>
      <w:r>
        <w:t xml:space="preserve">Mr </w:t>
      </w:r>
      <w:proofErr w:type="spellStart"/>
      <w:r>
        <w:t>Jahani</w:t>
      </w:r>
      <w:proofErr w:type="spellEnd"/>
      <w:r w:rsidR="00111EAF">
        <w:t>, also a registered liquidator</w:t>
      </w:r>
      <w:r w:rsidR="00A0049D">
        <w:t>,</w:t>
      </w:r>
      <w:r>
        <w:t xml:space="preserve"> consented to his appointment as liquidator of the five companies.</w:t>
      </w:r>
    </w:p>
    <w:p w:rsidR="00227DA5" w:rsidRDefault="001910A5" w:rsidP="00A978D7">
      <w:pPr>
        <w:pStyle w:val="ParaNumbering"/>
      </w:pPr>
      <w:r w:rsidRPr="00022337">
        <w:t>Mr McKinnon</w:t>
      </w:r>
      <w:r>
        <w:t xml:space="preserve"> had given notice of his resignation from Grant Thornton and his employment with the firm ended on 31 July 2019. He proposed that </w:t>
      </w:r>
      <w:r w:rsidR="00022337" w:rsidRPr="00022337">
        <w:t xml:space="preserve">Mr </w:t>
      </w:r>
      <w:r w:rsidRPr="00022337">
        <w:t>Crichton and Mr Killer</w:t>
      </w:r>
      <w:r>
        <w:t xml:space="preserve"> be appointed as joint and several liquidators of the following two companies:</w:t>
      </w:r>
    </w:p>
    <w:p w:rsidR="001910A5" w:rsidRDefault="001910A5" w:rsidP="00A978D7">
      <w:pPr>
        <w:pStyle w:val="ListNo1"/>
        <w:numPr>
          <w:ilvl w:val="0"/>
          <w:numId w:val="26"/>
        </w:numPr>
      </w:pPr>
      <w:proofErr w:type="spellStart"/>
      <w:r>
        <w:t>Multifix</w:t>
      </w:r>
      <w:proofErr w:type="spellEnd"/>
      <w:r>
        <w:t xml:space="preserve"> Constructions (QLD) Pty Ltd (in liquidation)</w:t>
      </w:r>
      <w:r w:rsidR="00235627">
        <w:t xml:space="preserve"> (</w:t>
      </w:r>
      <w:proofErr w:type="spellStart"/>
      <w:r w:rsidR="00235627" w:rsidRPr="00235627">
        <w:rPr>
          <w:b/>
        </w:rPr>
        <w:t>Multifix</w:t>
      </w:r>
      <w:proofErr w:type="spellEnd"/>
      <w:r w:rsidR="00235627">
        <w:t>)</w:t>
      </w:r>
      <w:r>
        <w:t>; and</w:t>
      </w:r>
    </w:p>
    <w:p w:rsidR="001910A5" w:rsidRDefault="001910A5" w:rsidP="00A978D7">
      <w:pPr>
        <w:pStyle w:val="ListNo1"/>
        <w:numPr>
          <w:ilvl w:val="0"/>
          <w:numId w:val="26"/>
        </w:numPr>
      </w:pPr>
      <w:r>
        <w:t>Stone Benches Pty Ltd (in liquidation</w:t>
      </w:r>
      <w:r w:rsidR="00235627">
        <w:t>) (</w:t>
      </w:r>
      <w:r w:rsidR="00235627" w:rsidRPr="00235627">
        <w:rPr>
          <w:b/>
        </w:rPr>
        <w:t>Stone Benches</w:t>
      </w:r>
      <w:r w:rsidR="00235627">
        <w:t>)</w:t>
      </w:r>
      <w:r>
        <w:t>.</w:t>
      </w:r>
    </w:p>
    <w:p w:rsidR="00235627" w:rsidRDefault="001910A5" w:rsidP="00A978D7">
      <w:pPr>
        <w:pStyle w:val="ParaNumbering"/>
      </w:pPr>
      <w:r>
        <w:lastRenderedPageBreak/>
        <w:t xml:space="preserve">Mr McKinnon </w:t>
      </w:r>
      <w:r w:rsidR="00235627">
        <w:t xml:space="preserve">was appointed as liquidator of </w:t>
      </w:r>
      <w:proofErr w:type="spellStart"/>
      <w:r w:rsidR="00235627">
        <w:t>Multifix</w:t>
      </w:r>
      <w:proofErr w:type="spellEnd"/>
      <w:r w:rsidR="00235627">
        <w:t xml:space="preserve"> in February 2019. He </w:t>
      </w:r>
      <w:r>
        <w:t>was appointed with Stephen Dixon as joint and several liquidators of Sto</w:t>
      </w:r>
      <w:r w:rsidR="00A0049D">
        <w:t>ne Benches in February 2018. Mr </w:t>
      </w:r>
      <w:r>
        <w:t xml:space="preserve">Dixon retired from </w:t>
      </w:r>
      <w:r w:rsidR="00235627">
        <w:t>his</w:t>
      </w:r>
      <w:r>
        <w:t xml:space="preserve"> position </w:t>
      </w:r>
      <w:r w:rsidR="00235627">
        <w:t xml:space="preserve">as liquidator </w:t>
      </w:r>
      <w:r>
        <w:t>in June 2018</w:t>
      </w:r>
      <w:r w:rsidR="00A04022">
        <w:t>,</w:t>
      </w:r>
      <w:r>
        <w:t xml:space="preserve"> when he resigned from Grant Thornton’s partner</w:t>
      </w:r>
      <w:r w:rsidR="00235627">
        <w:t>ship</w:t>
      </w:r>
      <w:r>
        <w:t xml:space="preserve">. </w:t>
      </w:r>
    </w:p>
    <w:p w:rsidR="00227DA5" w:rsidRDefault="008D5B00" w:rsidP="00A978D7">
      <w:pPr>
        <w:pStyle w:val="ParaNumbering"/>
      </w:pPr>
      <w:r>
        <w:t xml:space="preserve">Investigations are continuing in the </w:t>
      </w:r>
      <w:proofErr w:type="spellStart"/>
      <w:r>
        <w:t>Multifix</w:t>
      </w:r>
      <w:proofErr w:type="spellEnd"/>
      <w:r>
        <w:t xml:space="preserve"> liquidation</w:t>
      </w:r>
      <w:r w:rsidR="00022337">
        <w:t>. I</w:t>
      </w:r>
      <w:r>
        <w:t>n the Stone Benches liquidation, all of the assets have been realised and it is now necessary to review proofs of debt, calculate the dividend payable</w:t>
      </w:r>
      <w:r w:rsidR="00A04022">
        <w:t>,</w:t>
      </w:r>
      <w:r>
        <w:t xml:space="preserve"> pay that dividend to creditors</w:t>
      </w:r>
      <w:r w:rsidR="00A04022">
        <w:t>,</w:t>
      </w:r>
      <w:r>
        <w:t xml:space="preserve"> engage in statutory reporting</w:t>
      </w:r>
      <w:r w:rsidR="00A04022">
        <w:t>,</w:t>
      </w:r>
      <w:r>
        <w:t xml:space="preserve"> and finalise the liquidation. </w:t>
      </w:r>
      <w:r w:rsidR="001910A5">
        <w:t xml:space="preserve">Mr McKinnon considered that it was in the best interests of the creditors of </w:t>
      </w:r>
      <w:proofErr w:type="spellStart"/>
      <w:r w:rsidR="00235627">
        <w:t>Multifix</w:t>
      </w:r>
      <w:proofErr w:type="spellEnd"/>
      <w:r w:rsidR="00235627">
        <w:t xml:space="preserve"> and </w:t>
      </w:r>
      <w:r w:rsidR="001910A5">
        <w:t xml:space="preserve">Stone Benches that Mr Crichton and Mr Killer </w:t>
      </w:r>
      <w:r w:rsidR="00111EAF">
        <w:t xml:space="preserve">(both registered liquidators) </w:t>
      </w:r>
      <w:r w:rsidR="001910A5">
        <w:t xml:space="preserve">be appointed </w:t>
      </w:r>
      <w:r w:rsidR="00235627">
        <w:t>for reasons set out in his affidavit, particularly that this would be the most cost effective course in the light of his intended resignation as liquidator.</w:t>
      </w:r>
      <w:r>
        <w:t xml:space="preserve"> </w:t>
      </w:r>
    </w:p>
    <w:p w:rsidR="00235627" w:rsidRDefault="00235627" w:rsidP="00A978D7">
      <w:pPr>
        <w:pStyle w:val="ParaNumbering"/>
      </w:pPr>
      <w:r>
        <w:t>Mr Crichton and Mr Killer consented to the proposed appointments.</w:t>
      </w:r>
    </w:p>
    <w:p w:rsidR="006A167E" w:rsidRDefault="006A167E" w:rsidP="00A978D7">
      <w:pPr>
        <w:pStyle w:val="ParaNumbering"/>
      </w:pPr>
      <w:r>
        <w:t>ASIC was advised of the substance of the orders sought</w:t>
      </w:r>
      <w:r w:rsidR="00A04022">
        <w:t xml:space="preserve"> on 16 June 2019</w:t>
      </w:r>
      <w:r>
        <w:t xml:space="preserve">. Its officer, Ms Hu, stated AISC’s view that creditors should be notified of the appointment of the replacement liquidators (including that the costs of the application were borne by Grant Thornton and not the creditors of the relevant companies) and should also be provided with an update on the status of the relevant external administration. </w:t>
      </w:r>
    </w:p>
    <w:p w:rsidR="001520D8" w:rsidRDefault="001520D8" w:rsidP="00A978D7">
      <w:pPr>
        <w:pStyle w:val="Heading1"/>
      </w:pPr>
      <w:r>
        <w:t>R</w:t>
      </w:r>
      <w:r w:rsidR="00B33B93">
        <w:t>elevant legal framework</w:t>
      </w:r>
    </w:p>
    <w:p w:rsidR="00235627" w:rsidRDefault="001520D8" w:rsidP="00A978D7">
      <w:pPr>
        <w:pStyle w:val="ParaNumbering"/>
      </w:pPr>
      <w:r w:rsidRPr="00235627">
        <w:t>The plaintiffs sought relief under s 473</w:t>
      </w:r>
      <w:r w:rsidR="00235627" w:rsidRPr="00235627">
        <w:t>A</w:t>
      </w:r>
      <w:r w:rsidRPr="00235627">
        <w:t xml:space="preserve"> of the </w:t>
      </w:r>
      <w:r w:rsidRPr="00A0049D">
        <w:rPr>
          <w:i/>
        </w:rPr>
        <w:t>Corporations Act 2001</w:t>
      </w:r>
      <w:r w:rsidRPr="00235627">
        <w:t xml:space="preserve"> (Cth) (</w:t>
      </w:r>
      <w:r w:rsidRPr="006A167E">
        <w:rPr>
          <w:b/>
        </w:rPr>
        <w:t>Act</w:t>
      </w:r>
      <w:r w:rsidRPr="00235627">
        <w:t>)</w:t>
      </w:r>
      <w:r w:rsidR="00235627" w:rsidRPr="00235627">
        <w:t xml:space="preserve"> and s</w:t>
      </w:r>
      <w:r w:rsidR="00A0049D">
        <w:t> </w:t>
      </w:r>
      <w:r w:rsidR="00EE0A37" w:rsidRPr="00235627">
        <w:t>90</w:t>
      </w:r>
      <w:r w:rsidR="00EE0A37">
        <w:noBreakHyphen/>
        <w:t>1</w:t>
      </w:r>
      <w:r w:rsidR="00EE0A37" w:rsidRPr="00235627">
        <w:t>5</w:t>
      </w:r>
      <w:r w:rsidR="00235627" w:rsidRPr="00235627">
        <w:t xml:space="preserve"> of the </w:t>
      </w:r>
      <w:r w:rsidR="00235627" w:rsidRPr="00A0049D">
        <w:rPr>
          <w:i/>
        </w:rPr>
        <w:t>Insolvency Practice Schedule (Corporations)</w:t>
      </w:r>
      <w:r w:rsidR="00235627">
        <w:t xml:space="preserve"> (</w:t>
      </w:r>
      <w:r w:rsidR="00235627" w:rsidRPr="00235627">
        <w:rPr>
          <w:b/>
        </w:rPr>
        <w:t>IPS</w:t>
      </w:r>
      <w:r w:rsidR="00235627">
        <w:t>)</w:t>
      </w:r>
      <w:r w:rsidR="00235627" w:rsidRPr="00235627">
        <w:t>, being Sch 2 to the Act.</w:t>
      </w:r>
      <w:r w:rsidR="00465E51" w:rsidRPr="00465E51">
        <w:t xml:space="preserve"> </w:t>
      </w:r>
      <w:r w:rsidR="00465E51">
        <w:t xml:space="preserve">The plaintiffs did not press for relief sought in the originating process pursuant to s 1322(4) of the Act dispensing with the requirements to comply with </w:t>
      </w:r>
      <w:proofErr w:type="spellStart"/>
      <w:r w:rsidR="00465E51">
        <w:t>ss</w:t>
      </w:r>
      <w:proofErr w:type="spellEnd"/>
      <w:r w:rsidR="00465E51">
        <w:t xml:space="preserve"> 70-30, 70-35 and 70-40 of the IPS.</w:t>
      </w:r>
    </w:p>
    <w:p w:rsidR="00465E51" w:rsidRDefault="00235627" w:rsidP="00A978D7">
      <w:pPr>
        <w:pStyle w:val="ParaNumbering"/>
      </w:pPr>
      <w:r>
        <w:t xml:space="preserve">Section 90-15(1) of the IPS provides that the Court </w:t>
      </w:r>
      <w:r w:rsidRPr="00235627">
        <w:t>may make such orders as it thinks fit in relation to the external administration of a company.</w:t>
      </w:r>
      <w:r w:rsidR="00465E51">
        <w:t xml:space="preserve"> S</w:t>
      </w:r>
      <w:r w:rsidR="00EE0A37">
        <w:t>ub-s</w:t>
      </w:r>
      <w:r w:rsidR="00465E51">
        <w:t>ection</w:t>
      </w:r>
      <w:r w:rsidR="00EE0A37">
        <w:t>s</w:t>
      </w:r>
      <w:r w:rsidR="00465E51">
        <w:t xml:space="preserve"> 90-15(3)(b) and (c) identify orders that may be made pursuant to </w:t>
      </w:r>
      <w:proofErr w:type="spellStart"/>
      <w:r w:rsidR="00465E51">
        <w:t>s</w:t>
      </w:r>
      <w:proofErr w:type="spellEnd"/>
      <w:r w:rsidR="00465E51">
        <w:t xml:space="preserve"> 90-15(1),</w:t>
      </w:r>
      <w:r w:rsidR="00EE0A37">
        <w:t xml:space="preserve"> namely,</w:t>
      </w:r>
      <w:r w:rsidR="00465E51">
        <w:t xml:space="preserve"> an order that a person cease to be the external administrator of the company and an order that another registered liquidator be appointed as the external administrator of the company.</w:t>
      </w:r>
    </w:p>
    <w:p w:rsidR="00235627" w:rsidRDefault="00235627" w:rsidP="00A978D7">
      <w:pPr>
        <w:pStyle w:val="ParaNumbering"/>
      </w:pPr>
      <w:r>
        <w:t>Section 473A</w:t>
      </w:r>
      <w:r w:rsidR="00465E51">
        <w:t>(1)(a)</w:t>
      </w:r>
      <w:r>
        <w:t xml:space="preserve"> provides</w:t>
      </w:r>
      <w:r w:rsidR="00465E51">
        <w:t xml:space="preserve"> that a vacancy in the office of a liquidator appointed by the Court may be filled by the Court.</w:t>
      </w:r>
    </w:p>
    <w:p w:rsidR="00DF2D2A" w:rsidRDefault="00465E51" w:rsidP="00A978D7">
      <w:pPr>
        <w:pStyle w:val="ParaNumbering"/>
      </w:pPr>
      <w:r>
        <w:lastRenderedPageBreak/>
        <w:t xml:space="preserve">In </w:t>
      </w:r>
      <w:r w:rsidR="00EE0A37">
        <w:rPr>
          <w:i/>
        </w:rPr>
        <w:t xml:space="preserve">In the matter of </w:t>
      </w:r>
      <w:proofErr w:type="spellStart"/>
      <w:r>
        <w:rPr>
          <w:i/>
        </w:rPr>
        <w:t>Equiticorp</w:t>
      </w:r>
      <w:proofErr w:type="spellEnd"/>
      <w:r w:rsidR="00EE0A37">
        <w:rPr>
          <w:i/>
        </w:rPr>
        <w:t xml:space="preserve"> Australia Limited (in liquidation) and other companies</w:t>
      </w:r>
      <w:r>
        <w:rPr>
          <w:i/>
        </w:rPr>
        <w:t xml:space="preserve"> </w:t>
      </w:r>
      <w:r>
        <w:t xml:space="preserve">[2017] NSWSC 1456 at [2], Black J noted that the </w:t>
      </w:r>
      <w:r w:rsidRPr="00465E51">
        <w:t>orders permitting the appointment of another liquidator under s 90-15 of the IPS correspond to a longstanding power of the Court to make orders for the appointment of a new liquidator, on the resignation of an existing liquidator</w:t>
      </w:r>
      <w:r w:rsidR="00235627">
        <w:t>.</w:t>
      </w:r>
    </w:p>
    <w:p w:rsidR="00465E51" w:rsidRDefault="00EE0A37" w:rsidP="00A978D7">
      <w:pPr>
        <w:pStyle w:val="ParaNumbering"/>
      </w:pPr>
      <w:r>
        <w:t xml:space="preserve">In </w:t>
      </w:r>
      <w:r w:rsidR="00465E51" w:rsidRPr="00EE0A37">
        <w:rPr>
          <w:i/>
        </w:rPr>
        <w:t>In the matter of</w:t>
      </w:r>
      <w:r w:rsidR="00465E51" w:rsidRPr="00465E51">
        <w:t xml:space="preserve"> </w:t>
      </w:r>
      <w:r w:rsidR="00465E51" w:rsidRPr="00A0049D">
        <w:rPr>
          <w:i/>
        </w:rPr>
        <w:t>Columbia Private Holdings Pty Ltd and other companies</w:t>
      </w:r>
      <w:r w:rsidR="00465E51" w:rsidRPr="00465E51">
        <w:t xml:space="preserve"> [2017] NSWSC 1859</w:t>
      </w:r>
      <w:r w:rsidR="00111EAF">
        <w:t xml:space="preserve">, Brereton J explained how s 90-15 permits the Court to do things that were previously done under </w:t>
      </w:r>
      <w:proofErr w:type="spellStart"/>
      <w:r w:rsidR="00111EAF">
        <w:t>ss</w:t>
      </w:r>
      <w:proofErr w:type="spellEnd"/>
      <w:r w:rsidR="00111EAF">
        <w:t xml:space="preserve"> 473, 499 and 503 of the Act. Relevantly, the following principles </w:t>
      </w:r>
      <w:r>
        <w:t>were</w:t>
      </w:r>
      <w:r w:rsidR="00111EAF">
        <w:t xml:space="preserve"> established under the former provisions:</w:t>
      </w:r>
    </w:p>
    <w:p w:rsidR="00111EAF" w:rsidRDefault="00111EAF" w:rsidP="00A978D7">
      <w:pPr>
        <w:pStyle w:val="ListNo1"/>
        <w:numPr>
          <w:ilvl w:val="0"/>
          <w:numId w:val="28"/>
        </w:numPr>
      </w:pPr>
      <w:r w:rsidRPr="00465E51">
        <w:t>where</w:t>
      </w:r>
      <w:r w:rsidR="00DF0378">
        <w:t xml:space="preserve"> an appointment of liquidators</w:t>
      </w:r>
      <w:r w:rsidRPr="00465E51">
        <w:t xml:space="preserve"> was made by a court other than this Court, this Court has power to make orders under s 473 and </w:t>
      </w:r>
      <w:r w:rsidR="00A0049D">
        <w:t>s </w:t>
      </w:r>
      <w:r w:rsidRPr="00465E51">
        <w:t xml:space="preserve">503: </w:t>
      </w:r>
      <w:proofErr w:type="spellStart"/>
      <w:r w:rsidRPr="00A0049D">
        <w:rPr>
          <w:i/>
        </w:rPr>
        <w:t>Naudi</w:t>
      </w:r>
      <w:proofErr w:type="spellEnd"/>
      <w:r w:rsidRPr="00A0049D">
        <w:rPr>
          <w:i/>
        </w:rPr>
        <w:t xml:space="preserve">, </w:t>
      </w:r>
      <w:r w:rsidR="00DF0378">
        <w:rPr>
          <w:i/>
        </w:rPr>
        <w:t>in the matter of</w:t>
      </w:r>
      <w:r w:rsidR="00DF0378" w:rsidRPr="00A0049D">
        <w:rPr>
          <w:i/>
        </w:rPr>
        <w:t xml:space="preserve"> </w:t>
      </w:r>
      <w:r w:rsidRPr="00A0049D">
        <w:rPr>
          <w:i/>
        </w:rPr>
        <w:t>ACN 156 335 787 Pt</w:t>
      </w:r>
      <w:r w:rsidR="006A167E" w:rsidRPr="00A0049D">
        <w:rPr>
          <w:i/>
        </w:rPr>
        <w:t>y Ltd (in liq)</w:t>
      </w:r>
      <w:r w:rsidR="006A167E">
        <w:t xml:space="preserve"> [2017] FCA 815 (</w:t>
      </w:r>
      <w:proofErr w:type="spellStart"/>
      <w:r w:rsidRPr="00A0049D">
        <w:rPr>
          <w:b/>
          <w:i/>
        </w:rPr>
        <w:t>Naudi</w:t>
      </w:r>
      <w:proofErr w:type="spellEnd"/>
      <w:r w:rsidRPr="00111EAF">
        <w:t>)</w:t>
      </w:r>
      <w:r w:rsidRPr="00465E51">
        <w:t xml:space="preserve"> at [18]; </w:t>
      </w:r>
      <w:r w:rsidR="00DF0378">
        <w:rPr>
          <w:i/>
        </w:rPr>
        <w:t>In the matter of</w:t>
      </w:r>
      <w:r w:rsidR="00DF0378" w:rsidRPr="00A0049D">
        <w:rPr>
          <w:i/>
        </w:rPr>
        <w:t xml:space="preserve"> </w:t>
      </w:r>
      <w:r w:rsidRPr="00A0049D">
        <w:rPr>
          <w:i/>
        </w:rPr>
        <w:t xml:space="preserve">Ambridge Investments Pty </w:t>
      </w:r>
      <w:r w:rsidR="00DF0378">
        <w:rPr>
          <w:i/>
        </w:rPr>
        <w:t xml:space="preserve">Limited &amp; </w:t>
      </w:r>
      <w:proofErr w:type="spellStart"/>
      <w:r w:rsidR="00DF0378">
        <w:rPr>
          <w:i/>
        </w:rPr>
        <w:t>Ors</w:t>
      </w:r>
      <w:proofErr w:type="spellEnd"/>
      <w:r w:rsidR="00DF0378" w:rsidRPr="00111EAF">
        <w:t xml:space="preserve"> </w:t>
      </w:r>
      <w:r w:rsidRPr="00111EAF">
        <w:t>[2015] NSWSC 1671</w:t>
      </w:r>
      <w:r>
        <w:rPr>
          <w:i/>
        </w:rPr>
        <w:t xml:space="preserve"> </w:t>
      </w:r>
      <w:r w:rsidRPr="00465E51">
        <w:t>at [13];</w:t>
      </w:r>
    </w:p>
    <w:p w:rsidR="003C3502" w:rsidRDefault="00111EAF" w:rsidP="00F705FF">
      <w:pPr>
        <w:pStyle w:val="ListNo1"/>
        <w:numPr>
          <w:ilvl w:val="0"/>
          <w:numId w:val="28"/>
        </w:numPr>
      </w:pPr>
      <w:r w:rsidRPr="006A167E">
        <w:t xml:space="preserve">a sufficient ground for </w:t>
      </w:r>
      <w:r w:rsidR="00DF0378">
        <w:t>removal includes a case where a liquidator</w:t>
      </w:r>
      <w:r w:rsidRPr="006A167E">
        <w:t xml:space="preserve"> wishes to resign: </w:t>
      </w:r>
      <w:proofErr w:type="spellStart"/>
      <w:r w:rsidRPr="003C3502">
        <w:rPr>
          <w:i/>
        </w:rPr>
        <w:t>Naudi</w:t>
      </w:r>
      <w:proofErr w:type="spellEnd"/>
      <w:r w:rsidRPr="006A167E">
        <w:t xml:space="preserve"> at [16];</w:t>
      </w:r>
    </w:p>
    <w:p w:rsidR="003C3502" w:rsidRDefault="00111EAF" w:rsidP="00E40001">
      <w:pPr>
        <w:pStyle w:val="ListNo1"/>
        <w:numPr>
          <w:ilvl w:val="0"/>
          <w:numId w:val="28"/>
        </w:numPr>
      </w:pPr>
      <w:r w:rsidRPr="006A167E">
        <w:t>where a removal order is to be made because of retirement, there is a clear benefit in making orders which ensure continuity of the administration, in the case of</w:t>
      </w:r>
      <w:r w:rsidR="00DF0378">
        <w:t xml:space="preserve"> joint and several liquidators</w:t>
      </w:r>
      <w:r w:rsidRPr="006A167E">
        <w:t xml:space="preserve">, by having another member of the firm joint with the co-appointee whose appointment will continue: </w:t>
      </w:r>
      <w:r w:rsidRPr="003C3502">
        <w:rPr>
          <w:i/>
        </w:rPr>
        <w:t xml:space="preserve">Free &amp; </w:t>
      </w:r>
      <w:proofErr w:type="spellStart"/>
      <w:r w:rsidRPr="003C3502">
        <w:rPr>
          <w:i/>
        </w:rPr>
        <w:t>Ors</w:t>
      </w:r>
      <w:proofErr w:type="spellEnd"/>
      <w:r w:rsidR="006A167E">
        <w:t xml:space="preserve"> [2010] NSWSC 1079 at [6];</w:t>
      </w:r>
      <w:r w:rsidRPr="006A167E">
        <w:t xml:space="preserve"> </w:t>
      </w:r>
      <w:proofErr w:type="spellStart"/>
      <w:r w:rsidRPr="003C3502">
        <w:rPr>
          <w:i/>
        </w:rPr>
        <w:t>Naudi</w:t>
      </w:r>
      <w:proofErr w:type="spellEnd"/>
      <w:r w:rsidRPr="006A167E">
        <w:t xml:space="preserve"> at [17];</w:t>
      </w:r>
      <w:r w:rsidR="00A0049D">
        <w:t xml:space="preserve"> </w:t>
      </w:r>
      <w:r w:rsidR="00DF0378" w:rsidRPr="003C3502">
        <w:rPr>
          <w:i/>
        </w:rPr>
        <w:t>In the matter of Rich</w:t>
      </w:r>
      <w:bookmarkStart w:id="20" w:name="_GoBack"/>
      <w:bookmarkEnd w:id="20"/>
      <w:r w:rsidR="00DF0378" w:rsidRPr="003C3502">
        <w:rPr>
          <w:i/>
        </w:rPr>
        <w:t>ard James Porter and David Ian Mansfield</w:t>
      </w:r>
      <w:r w:rsidR="00DF0378">
        <w:t xml:space="preserve"> [2012] NSWSC 220 at [5]; and </w:t>
      </w:r>
      <w:r w:rsidR="00DF0378" w:rsidRPr="003C3502">
        <w:rPr>
          <w:i/>
        </w:rPr>
        <w:t xml:space="preserve">In the matter of </w:t>
      </w:r>
      <w:proofErr w:type="spellStart"/>
      <w:r w:rsidR="00DF0378" w:rsidRPr="003C3502">
        <w:rPr>
          <w:i/>
        </w:rPr>
        <w:t>Kukulovski</w:t>
      </w:r>
      <w:proofErr w:type="spellEnd"/>
      <w:r w:rsidR="00DF0378" w:rsidRPr="003C3502">
        <w:rPr>
          <w:i/>
        </w:rPr>
        <w:t xml:space="preserve">, </w:t>
      </w:r>
      <w:proofErr w:type="spellStart"/>
      <w:r w:rsidR="00DF0378" w:rsidRPr="003C3502">
        <w:rPr>
          <w:i/>
        </w:rPr>
        <w:t>Arnautovic</w:t>
      </w:r>
      <w:proofErr w:type="spellEnd"/>
      <w:r w:rsidR="00DF0378" w:rsidRPr="003C3502">
        <w:rPr>
          <w:i/>
        </w:rPr>
        <w:t xml:space="preserve"> &amp; Crisp</w:t>
      </w:r>
      <w:r w:rsidR="00DF0378">
        <w:t xml:space="preserve"> [2015] NSWSC 2040 at [7]; </w:t>
      </w:r>
      <w:r w:rsidR="00A0049D">
        <w:t>and</w:t>
      </w:r>
    </w:p>
    <w:p w:rsidR="00111EAF" w:rsidRPr="006A167E" w:rsidRDefault="00111EAF" w:rsidP="00E40001">
      <w:pPr>
        <w:pStyle w:val="ListNo1"/>
        <w:numPr>
          <w:ilvl w:val="0"/>
          <w:numId w:val="28"/>
        </w:numPr>
      </w:pPr>
      <w:r w:rsidRPr="006A167E">
        <w:t>where a removal order is made in respect of one of two or m</w:t>
      </w:r>
      <w:r w:rsidR="00EA4985">
        <w:t>ore</w:t>
      </w:r>
      <w:r w:rsidRPr="006A167E">
        <w:t xml:space="preserve"> liquidators, there are practical advantages in making orders which ensure that the liquidation </w:t>
      </w:r>
      <w:r w:rsidR="00EA4985">
        <w:t>proceeds with jointly appointed</w:t>
      </w:r>
      <w:r w:rsidRPr="006A167E">
        <w:t xml:space="preserve"> liquidators: </w:t>
      </w:r>
      <w:proofErr w:type="spellStart"/>
      <w:r w:rsidRPr="003C3502">
        <w:rPr>
          <w:i/>
        </w:rPr>
        <w:t>Naudi</w:t>
      </w:r>
      <w:proofErr w:type="spellEnd"/>
      <w:r w:rsidRPr="006A167E">
        <w:t xml:space="preserve"> at [17]</w:t>
      </w:r>
      <w:r w:rsidR="006A167E" w:rsidRPr="006A167E">
        <w:t>.</w:t>
      </w:r>
    </w:p>
    <w:p w:rsidR="001520D8" w:rsidRDefault="00B33B93" w:rsidP="00A978D7">
      <w:pPr>
        <w:pStyle w:val="Heading1"/>
      </w:pPr>
      <w:r>
        <w:t>conclusion</w:t>
      </w:r>
    </w:p>
    <w:p w:rsidR="001520D8" w:rsidRDefault="008D5B00" w:rsidP="00A978D7">
      <w:pPr>
        <w:pStyle w:val="ParaNumbering"/>
      </w:pPr>
      <w:r>
        <w:t xml:space="preserve">On the evidence provided to the Court, </w:t>
      </w:r>
      <w:r w:rsidR="001520D8">
        <w:t>I accepted that I should</w:t>
      </w:r>
      <w:r w:rsidR="006A167E">
        <w:t xml:space="preserve"> make orders of the kind sought, </w:t>
      </w:r>
      <w:r w:rsidR="00022337">
        <w:t>together with</w:t>
      </w:r>
      <w:r w:rsidR="006A167E">
        <w:t xml:space="preserve"> an order </w:t>
      </w:r>
      <w:r w:rsidR="0087432A">
        <w:t>in accordance with</w:t>
      </w:r>
      <w:r w:rsidR="006A167E">
        <w:t xml:space="preserve"> ASIC’s view set out above.</w:t>
      </w:r>
    </w:p>
    <w:p w:rsidR="008D5B00" w:rsidRDefault="008D5B00" w:rsidP="00A978D7">
      <w:pPr>
        <w:pStyle w:val="ParaNumbering"/>
      </w:pPr>
      <w:r>
        <w:t>As Grant Thornton indicated that it would bear the costs of the application</w:t>
      </w:r>
      <w:r w:rsidR="00EA4985">
        <w:t>,</w:t>
      </w:r>
      <w:r>
        <w:t xml:space="preserve"> </w:t>
      </w:r>
      <w:r w:rsidR="00EA4985">
        <w:t>n</w:t>
      </w:r>
      <w:r>
        <w:t>o order for costs was made.</w:t>
      </w:r>
    </w:p>
    <w:p w:rsidR="00A0049D" w:rsidRDefault="00A0049D" w:rsidP="00A978D7">
      <w:pPr>
        <w:pStyle w:val="BodyText"/>
      </w:pPr>
      <w:bookmarkStart w:id="21" w:name="Certification"/>
    </w:p>
    <w:tbl>
      <w:tblPr>
        <w:tblW w:w="0" w:type="auto"/>
        <w:tblLook w:val="04A0" w:firstRow="1" w:lastRow="0" w:firstColumn="1" w:lastColumn="0" w:noHBand="0" w:noVBand="1"/>
      </w:tblPr>
      <w:tblGrid>
        <w:gridCol w:w="3794"/>
      </w:tblGrid>
      <w:tr w:rsidR="00A0049D" w:rsidRPr="00A0049D">
        <w:tc>
          <w:tcPr>
            <w:tcW w:w="3794" w:type="dxa"/>
            <w:shd w:val="clear" w:color="auto" w:fill="auto"/>
          </w:tcPr>
          <w:p w:rsidR="00A0049D" w:rsidRPr="00A0049D" w:rsidRDefault="00A0049D" w:rsidP="00A978D7">
            <w:pPr>
              <w:pStyle w:val="Normal1linespace"/>
            </w:pPr>
            <w:r w:rsidRPr="00A0049D">
              <w:lastRenderedPageBreak/>
              <w:t xml:space="preserve">I certify that the preceding </w:t>
            </w:r>
            <w:bookmarkStart w:id="22" w:name="NumberWord"/>
            <w:r>
              <w:t>twenty-three</w:t>
            </w:r>
            <w:bookmarkEnd w:id="22"/>
            <w:r w:rsidRPr="00A0049D">
              <w:t xml:space="preserve"> (</w:t>
            </w:r>
            <w:bookmarkStart w:id="23" w:name="NumberNumeral"/>
            <w:r>
              <w:t>23</w:t>
            </w:r>
            <w:bookmarkEnd w:id="23"/>
            <w:r w:rsidRPr="00A0049D">
              <w:t xml:space="preserve">) numbered </w:t>
            </w:r>
            <w:bookmarkStart w:id="24" w:name="CertPara"/>
            <w:r>
              <w:t>paragraphs are</w:t>
            </w:r>
            <w:bookmarkEnd w:id="24"/>
            <w:r w:rsidRPr="00A0049D">
              <w:t xml:space="preserve"> a true copy of the Reasons for Judgment herein of the Honourable </w:t>
            </w:r>
            <w:bookmarkStart w:id="25" w:name="Justice"/>
            <w:r>
              <w:t>Justice Gleeson</w:t>
            </w:r>
            <w:bookmarkEnd w:id="25"/>
            <w:r w:rsidRPr="00A0049D">
              <w:t>.</w:t>
            </w:r>
          </w:p>
        </w:tc>
      </w:tr>
    </w:tbl>
    <w:p w:rsidR="00A0049D" w:rsidRDefault="00A0049D" w:rsidP="00A978D7">
      <w:pPr>
        <w:pStyle w:val="BodyText"/>
      </w:pPr>
    </w:p>
    <w:p w:rsidR="00A0049D" w:rsidRDefault="00A0049D" w:rsidP="00A978D7">
      <w:pPr>
        <w:pStyle w:val="BodyText"/>
      </w:pPr>
    </w:p>
    <w:p w:rsidR="00A0049D" w:rsidRDefault="00A0049D" w:rsidP="00A978D7">
      <w:pPr>
        <w:pStyle w:val="BodyText"/>
      </w:pPr>
      <w:r>
        <w:t xml:space="preserve">Associate: </w:t>
      </w:r>
    </w:p>
    <w:p w:rsidR="00A0049D" w:rsidRDefault="00A0049D" w:rsidP="00A978D7">
      <w:pPr>
        <w:pStyle w:val="BodyText"/>
      </w:pPr>
    </w:p>
    <w:p w:rsidR="00A0049D" w:rsidRDefault="00A0049D" w:rsidP="00A978D7">
      <w:pPr>
        <w:pStyle w:val="BodyText"/>
        <w:tabs>
          <w:tab w:val="left" w:pos="1134"/>
        </w:tabs>
      </w:pPr>
      <w:r>
        <w:t>Dated:</w:t>
      </w:r>
      <w:r>
        <w:tab/>
      </w:r>
      <w:bookmarkStart w:id="26" w:name="CertifyDated"/>
      <w:r w:rsidR="00A978D7">
        <w:t xml:space="preserve">19 August </w:t>
      </w:r>
      <w:r>
        <w:t>2019</w:t>
      </w:r>
      <w:bookmarkEnd w:id="26"/>
    </w:p>
    <w:p w:rsidR="00A0049D" w:rsidRDefault="00A0049D" w:rsidP="00A978D7">
      <w:pPr>
        <w:pStyle w:val="BodyText"/>
      </w:pPr>
    </w:p>
    <w:bookmarkEnd w:id="21"/>
    <w:p w:rsidR="00A0049D" w:rsidRDefault="00A0049D" w:rsidP="00A978D7">
      <w:pPr>
        <w:pStyle w:val="BodyText"/>
      </w:pPr>
    </w:p>
    <w:p w:rsidR="00A0049D" w:rsidRDefault="00A0049D" w:rsidP="00A978D7">
      <w:pPr>
        <w:pStyle w:val="BodyText"/>
        <w:sectPr w:rsidR="00A0049D">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066893" w:rsidRPr="00CD498A" w:rsidRDefault="00066893" w:rsidP="00A978D7">
      <w:pPr>
        <w:pStyle w:val="NormalHeadings"/>
        <w:widowControl/>
        <w:spacing w:before="180" w:line="480" w:lineRule="auto"/>
        <w:jc w:val="center"/>
        <w:rPr>
          <w:sz w:val="28"/>
          <w:szCs w:val="28"/>
        </w:rPr>
      </w:pPr>
      <w:bookmarkStart w:id="27" w:name="SOP_Section"/>
      <w:r w:rsidRPr="00CD498A">
        <w:rPr>
          <w:sz w:val="28"/>
          <w:szCs w:val="28"/>
        </w:rPr>
        <w:lastRenderedPageBreak/>
        <w:t>SCHEDULE OF PARTIES</w:t>
      </w:r>
    </w:p>
    <w:p w:rsidR="00066893" w:rsidRPr="00663089" w:rsidRDefault="00066893" w:rsidP="00A978D7">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066893" w:rsidTr="00066893">
        <w:tc>
          <w:tcPr>
            <w:tcW w:w="3368" w:type="dxa"/>
          </w:tcPr>
          <w:p w:rsidR="00066893" w:rsidRDefault="00066893" w:rsidP="00A978D7">
            <w:pPr>
              <w:pStyle w:val="NormalHeadings"/>
              <w:widowControl/>
              <w:jc w:val="left"/>
              <w:rPr>
                <w:caps/>
                <w:szCs w:val="24"/>
              </w:rPr>
            </w:pPr>
          </w:p>
        </w:tc>
        <w:tc>
          <w:tcPr>
            <w:tcW w:w="5874" w:type="dxa"/>
          </w:tcPr>
          <w:p w:rsidR="00066893" w:rsidRDefault="003C3502" w:rsidP="00A978D7">
            <w:pPr>
              <w:pStyle w:val="NormalHeadings"/>
              <w:widowControl/>
              <w:jc w:val="right"/>
            </w:pPr>
            <w:r>
              <w:fldChar w:fldCharType="begin" w:fldLock="1"/>
            </w:r>
            <w:r>
              <w:instrText xml:space="preserve"> REF  FileNo </w:instrText>
            </w:r>
            <w:r>
              <w:fldChar w:fldCharType="separate"/>
            </w:r>
            <w:r w:rsidR="00066893">
              <w:t>NSD 1059 of 2019</w:t>
            </w:r>
            <w:r>
              <w:fldChar w:fldCharType="end"/>
            </w:r>
          </w:p>
        </w:tc>
      </w:tr>
      <w:tr w:rsidR="00066893" w:rsidTr="00066893">
        <w:trPr>
          <w:trHeight w:val="386"/>
        </w:trPr>
        <w:tc>
          <w:tcPr>
            <w:tcW w:w="3368" w:type="dxa"/>
          </w:tcPr>
          <w:p w:rsidR="00066893" w:rsidRDefault="00066893" w:rsidP="00A978D7">
            <w:pPr>
              <w:pStyle w:val="BodyTextBold"/>
              <w:spacing w:before="180"/>
              <w:jc w:val="left"/>
            </w:pPr>
            <w:bookmarkStart w:id="28" w:name="SOP_ApplicantsRows" w:colFirst="0" w:colLast="1"/>
            <w:r>
              <w:t>Plaintiffs</w:t>
            </w:r>
          </w:p>
        </w:tc>
        <w:tc>
          <w:tcPr>
            <w:tcW w:w="5874" w:type="dxa"/>
            <w:tcMar>
              <w:left w:w="28" w:type="dxa"/>
            </w:tcMar>
          </w:tcPr>
          <w:p w:rsidR="00066893" w:rsidRDefault="00066893" w:rsidP="00A978D7">
            <w:pPr>
              <w:pStyle w:val="BodyText"/>
              <w:jc w:val="left"/>
            </w:pPr>
          </w:p>
        </w:tc>
      </w:tr>
      <w:tr w:rsidR="00066893" w:rsidTr="00066893">
        <w:trPr>
          <w:trHeight w:val="386"/>
        </w:trPr>
        <w:tc>
          <w:tcPr>
            <w:tcW w:w="3368" w:type="dxa"/>
          </w:tcPr>
          <w:p w:rsidR="00066893" w:rsidRDefault="00066893" w:rsidP="00A978D7">
            <w:pPr>
              <w:pStyle w:val="BodyText"/>
              <w:spacing w:after="240" w:line="240" w:lineRule="auto"/>
              <w:jc w:val="left"/>
            </w:pPr>
            <w:bookmarkStart w:id="29" w:name="SOP_FirstApplicant"/>
            <w:bookmarkEnd w:id="29"/>
            <w:r>
              <w:t>Fourth Plaintiff:</w:t>
            </w:r>
          </w:p>
        </w:tc>
        <w:tc>
          <w:tcPr>
            <w:tcW w:w="5874" w:type="dxa"/>
            <w:tcMar>
              <w:left w:w="28" w:type="dxa"/>
            </w:tcMar>
          </w:tcPr>
          <w:p w:rsidR="00066893" w:rsidRDefault="00066893" w:rsidP="00A978D7">
            <w:pPr>
              <w:pStyle w:val="BodyText"/>
              <w:spacing w:after="240" w:line="240" w:lineRule="auto"/>
              <w:jc w:val="left"/>
            </w:pPr>
            <w:r>
              <w:t>ANDREW STEWARD REED HEWITT</w:t>
            </w:r>
          </w:p>
        </w:tc>
      </w:tr>
      <w:tr w:rsidR="00066893" w:rsidTr="00066893">
        <w:trPr>
          <w:trHeight w:val="386"/>
        </w:trPr>
        <w:tc>
          <w:tcPr>
            <w:tcW w:w="3368" w:type="dxa"/>
          </w:tcPr>
          <w:p w:rsidR="00066893" w:rsidRDefault="00066893" w:rsidP="00A978D7">
            <w:pPr>
              <w:pStyle w:val="BodyText"/>
              <w:spacing w:after="240" w:line="240" w:lineRule="auto"/>
              <w:jc w:val="left"/>
            </w:pPr>
            <w:r>
              <w:t>Fifth Plaintiff:</w:t>
            </w:r>
          </w:p>
        </w:tc>
        <w:tc>
          <w:tcPr>
            <w:tcW w:w="5874" w:type="dxa"/>
            <w:tcMar>
              <w:left w:w="28" w:type="dxa"/>
            </w:tcMar>
          </w:tcPr>
          <w:p w:rsidR="00066893" w:rsidRDefault="00066893" w:rsidP="00A978D7">
            <w:pPr>
              <w:pStyle w:val="BodyText"/>
              <w:spacing w:after="240" w:line="240" w:lineRule="auto"/>
              <w:jc w:val="left"/>
            </w:pPr>
            <w:r>
              <w:t>SAID JAHANI</w:t>
            </w:r>
          </w:p>
        </w:tc>
      </w:tr>
      <w:tr w:rsidR="00066893" w:rsidTr="00066893">
        <w:trPr>
          <w:trHeight w:val="386"/>
        </w:trPr>
        <w:tc>
          <w:tcPr>
            <w:tcW w:w="3368" w:type="dxa"/>
          </w:tcPr>
          <w:p w:rsidR="00066893" w:rsidRDefault="00066893" w:rsidP="00A978D7">
            <w:pPr>
              <w:pStyle w:val="BodyText"/>
              <w:spacing w:after="240" w:line="240" w:lineRule="auto"/>
              <w:jc w:val="left"/>
            </w:pPr>
            <w:r>
              <w:t>Sixth Plaintiff:</w:t>
            </w:r>
          </w:p>
        </w:tc>
        <w:tc>
          <w:tcPr>
            <w:tcW w:w="5874" w:type="dxa"/>
            <w:tcMar>
              <w:left w:w="28" w:type="dxa"/>
            </w:tcMar>
          </w:tcPr>
          <w:p w:rsidR="00066893" w:rsidRDefault="00066893" w:rsidP="00A978D7">
            <w:pPr>
              <w:pStyle w:val="BodyText"/>
              <w:spacing w:after="240" w:line="240" w:lineRule="auto"/>
              <w:jc w:val="left"/>
            </w:pPr>
            <w:r>
              <w:t>CAMERON ALEXANDER CRICHTON</w:t>
            </w:r>
          </w:p>
        </w:tc>
      </w:tr>
      <w:bookmarkEnd w:id="28"/>
    </w:tbl>
    <w:p w:rsidR="00066893" w:rsidRDefault="00066893" w:rsidP="00A978D7">
      <w:pPr>
        <w:pStyle w:val="BodyText"/>
      </w:pPr>
    </w:p>
    <w:bookmarkEnd w:id="27"/>
    <w:p w:rsidR="00066893" w:rsidRDefault="00066893" w:rsidP="00A978D7">
      <w:pPr>
        <w:pStyle w:val="BodyText"/>
      </w:pPr>
    </w:p>
    <w:sectPr w:rsidR="00066893" w:rsidSect="00066893">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93" w:rsidRDefault="00066893">
      <w:pPr>
        <w:spacing w:line="20" w:lineRule="exact"/>
      </w:pPr>
    </w:p>
    <w:p w:rsidR="00066893" w:rsidRDefault="00066893"/>
    <w:p w:rsidR="00066893" w:rsidRDefault="00066893"/>
  </w:endnote>
  <w:endnote w:type="continuationSeparator" w:id="0">
    <w:p w:rsidR="00066893" w:rsidRDefault="00066893">
      <w:r>
        <w:t xml:space="preserve"> </w:t>
      </w:r>
    </w:p>
    <w:p w:rsidR="00066893" w:rsidRDefault="00066893"/>
    <w:p w:rsidR="00066893" w:rsidRDefault="00066893"/>
  </w:endnote>
  <w:endnote w:type="continuationNotice" w:id="1">
    <w:p w:rsidR="00066893" w:rsidRDefault="00066893">
      <w:r>
        <w:t xml:space="preserve"> </w:t>
      </w:r>
    </w:p>
    <w:p w:rsidR="00066893" w:rsidRDefault="00066893"/>
    <w:p w:rsidR="00066893" w:rsidRDefault="0006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93" w:rsidRDefault="00066893"/>
    <w:p w:rsidR="00066893" w:rsidRDefault="00066893"/>
    <w:p w:rsidR="00066893" w:rsidRDefault="00066893"/>
  </w:footnote>
  <w:footnote w:type="continuationSeparator" w:id="0">
    <w:p w:rsidR="00066893" w:rsidRDefault="00066893">
      <w:r>
        <w:continuationSeparator/>
      </w:r>
    </w:p>
    <w:p w:rsidR="00066893" w:rsidRDefault="00066893"/>
    <w:p w:rsidR="00066893" w:rsidRDefault="000668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3C3502">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3C3502">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93" w:rsidRDefault="00066893" w:rsidP="00066893">
    <w:pPr>
      <w:pStyle w:val="Header"/>
      <w:tabs>
        <w:tab w:val="clear" w:pos="4320"/>
        <w:tab w:val="clear" w:pos="8640"/>
      </w:tabs>
      <w:jc w:val="center"/>
    </w:pPr>
    <w:r>
      <w:t xml:space="preserve">- </w:t>
    </w:r>
    <w:r>
      <w:fldChar w:fldCharType="begin"/>
    </w:r>
    <w:r>
      <w:instrText>page \* arabic</w:instrText>
    </w:r>
    <w:r>
      <w:fldChar w:fldCharType="separate"/>
    </w:r>
    <w:r w:rsidR="003C3502">
      <w:rPr>
        <w:noProof/>
      </w:rPr>
      <w:t>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E0FED"/>
    <w:multiLevelType w:val="multilevel"/>
    <w:tmpl w:val="0F0EC90E"/>
    <w:numStyleLink w:val="FCListNo"/>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F94185B"/>
    <w:multiLevelType w:val="multilevel"/>
    <w:tmpl w:val="0F0EC90E"/>
    <w:numStyleLink w:val="FCListNo"/>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2732BD4"/>
    <w:multiLevelType w:val="multilevel"/>
    <w:tmpl w:val="0F0EC90E"/>
    <w:numStyleLink w:val="FCListNo"/>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358547F"/>
    <w:multiLevelType w:val="multilevel"/>
    <w:tmpl w:val="0F0EC90E"/>
    <w:numStyleLink w:val="FCListNo"/>
  </w:abstractNum>
  <w:abstractNum w:abstractNumId="20" w15:restartNumberingAfterBreak="0">
    <w:nsid w:val="494817A7"/>
    <w:multiLevelType w:val="multilevel"/>
    <w:tmpl w:val="3238DDC4"/>
    <w:lvl w:ilvl="0">
      <w:start w:val="8"/>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68C1A0E"/>
    <w:multiLevelType w:val="multilevel"/>
    <w:tmpl w:val="0F0EC90E"/>
    <w:numStyleLink w:val="FCListNo"/>
  </w:abstractNum>
  <w:abstractNum w:abstractNumId="26" w15:restartNumberingAfterBreak="0">
    <w:nsid w:val="7BE43898"/>
    <w:multiLevelType w:val="multilevel"/>
    <w:tmpl w:val="0F0EC90E"/>
    <w:numStyleLink w:val="FCListNo"/>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7"/>
  </w:num>
  <w:num w:numId="17">
    <w:abstractNumId w:val="13"/>
  </w:num>
  <w:num w:numId="18">
    <w:abstractNumId w:val="24"/>
  </w:num>
  <w:num w:numId="19">
    <w:abstractNumId w:val="11"/>
  </w:num>
  <w:num w:numId="20">
    <w:abstractNumId w:val="18"/>
  </w:num>
  <w:num w:numId="21">
    <w:abstractNumId w:val="20"/>
  </w:num>
  <w:num w:numId="22">
    <w:abstractNumId w:val="16"/>
  </w:num>
  <w:num w:numId="23">
    <w:abstractNumId w:val="16"/>
  </w:num>
  <w:num w:numId="24">
    <w:abstractNumId w:val="10"/>
  </w:num>
  <w:num w:numId="25">
    <w:abstractNumId w:val="26"/>
  </w:num>
  <w:num w:numId="26">
    <w:abstractNumId w:val="19"/>
  </w:num>
  <w:num w:numId="27">
    <w:abstractNumId w:val="25"/>
  </w:num>
  <w:num w:numId="28">
    <w:abstractNumId w:val="17"/>
    <w:lvlOverride w:ilvl="0">
      <w:lvl w:ilvl="0">
        <w:start w:val="1"/>
        <w:numFmt w:val="decimal"/>
        <w:lvlRestart w:val="0"/>
        <w:lvlText w:val="(%1)"/>
        <w:lvlJc w:val="left"/>
        <w:pPr>
          <w:tabs>
            <w:tab w:val="num" w:pos="720"/>
          </w:tabs>
          <w:ind w:left="720" w:hanging="720"/>
        </w:pPr>
        <w:rPr>
          <w:rFonts w:ascii="Times New Roman" w:hAnsi="Times New Roman" w:hint="default"/>
        </w:rPr>
      </w:lvl>
    </w:lvlOverride>
  </w:num>
  <w:num w:numId="29">
    <w:abstractNumId w:val="14"/>
    <w:lvlOverride w:ilvl="0">
      <w:lvl w:ilvl="0">
        <w:start w:val="1"/>
        <w:numFmt w:val="decimal"/>
        <w:lvlRestart w:val="0"/>
        <w:lvlText w:val="(%1)"/>
        <w:lvlJc w:val="left"/>
        <w:pPr>
          <w:tabs>
            <w:tab w:val="num" w:pos="720"/>
          </w:tabs>
          <w:ind w:left="720" w:hanging="720"/>
        </w:pPr>
        <w:rPr>
          <w:rFonts w:ascii="Times New Roman" w:hAnsi="Times New Roman" w:hint="default"/>
          <w:b w:val="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CounselParties" w:val="Plaintiff"/>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059 of 2019"/>
    <w:docVar w:name="HearingDate" w:val="30 July 2019"/>
    <w:docVar w:name="Initiators" w:val="(and another named in the Schedule)"/>
    <w:docVar w:name="InTheMatterOf" w:val="AEQUITAS LIMITED (IN LIQUIDATION) (ACN) 002 944 845"/>
    <w:docVar w:name="Judgdate" w:val="## ..................... 2019"/>
    <w:docVar w:name="Judge" w:val="Gleeson"/>
    <w:docVar w:name="Justices" w:val="Justice"/>
    <w:docVar w:name="lstEntryList" w:val="-1"/>
    <w:docVar w:name="myEntryList" w:val="Solicitor for the Plaintiffs=Mr SW McKenzie of Colin Biggers &amp; Paisley"/>
    <w:docVar w:name="NSD" w:val="NSD "/>
    <w:docVar w:name="NumApps" w:val="6"/>
    <w:docVar w:name="NumApps_" w:val="6"/>
    <w:docVar w:name="NumCrossResps" w:val="0"/>
    <w:docVar w:name="NumDefs" w:val="0"/>
    <w:docVar w:name="NumOthers" w:val="0"/>
    <w:docVar w:name="OtherNum" w:val="0"/>
    <w:docVar w:name="Parties1" w:val="Plaintiff"/>
    <w:docVar w:name="Parties2" w:val="Defendant"/>
    <w:docVar w:name="Parties3" w:val="Cross-Appellant"/>
    <w:docVar w:name="Parties4" w:val="Cross-Defendant"/>
    <w:docVar w:name="Parties5" w:val="Intervener"/>
    <w:docVar w:name="Plaintiff" w:val="Gregory John Keith|Paul Andrew Billingham|Shaun Christopher McKinnon|Andrew Steward Reed Hewitt|Said Jahani|Cameron Alexander Crichton"/>
    <w:docVar w:name="PracticeArea" w:val="Commercial and Corporations"/>
    <w:docVar w:name="RESAndAnother" w:val="True"/>
    <w:docVar w:name="RESAndOthers" w:val="False"/>
    <w:docVar w:name="ResState" w:val="New South Wales"/>
    <w:docVar w:name="SubArea" w:val="Corporations and Corporate Insolvency (C &amp; C)"/>
  </w:docVars>
  <w:rsids>
    <w:rsidRoot w:val="00066893"/>
    <w:rsid w:val="0001469E"/>
    <w:rsid w:val="00015993"/>
    <w:rsid w:val="00022289"/>
    <w:rsid w:val="00022337"/>
    <w:rsid w:val="00032F9F"/>
    <w:rsid w:val="00041C07"/>
    <w:rsid w:val="00045BB7"/>
    <w:rsid w:val="00055719"/>
    <w:rsid w:val="0005641B"/>
    <w:rsid w:val="00066893"/>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1EAF"/>
    <w:rsid w:val="001128BD"/>
    <w:rsid w:val="0011419D"/>
    <w:rsid w:val="00132054"/>
    <w:rsid w:val="001520D8"/>
    <w:rsid w:val="001727A4"/>
    <w:rsid w:val="0017376C"/>
    <w:rsid w:val="001738AB"/>
    <w:rsid w:val="0017655D"/>
    <w:rsid w:val="001765E0"/>
    <w:rsid w:val="00177759"/>
    <w:rsid w:val="00184F3A"/>
    <w:rsid w:val="00185E6B"/>
    <w:rsid w:val="00187BBC"/>
    <w:rsid w:val="001910A5"/>
    <w:rsid w:val="001932F3"/>
    <w:rsid w:val="001A4309"/>
    <w:rsid w:val="001B1053"/>
    <w:rsid w:val="001B14AC"/>
    <w:rsid w:val="001B7940"/>
    <w:rsid w:val="001C37CA"/>
    <w:rsid w:val="001C4266"/>
    <w:rsid w:val="001D4303"/>
    <w:rsid w:val="001D6746"/>
    <w:rsid w:val="001E3B49"/>
    <w:rsid w:val="001E7388"/>
    <w:rsid w:val="001F13DD"/>
    <w:rsid w:val="001F2DBC"/>
    <w:rsid w:val="001F73E8"/>
    <w:rsid w:val="0020262C"/>
    <w:rsid w:val="00224537"/>
    <w:rsid w:val="00227DA5"/>
    <w:rsid w:val="0023562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5844"/>
    <w:rsid w:val="002A1B50"/>
    <w:rsid w:val="002A7730"/>
    <w:rsid w:val="002B0E91"/>
    <w:rsid w:val="002B6779"/>
    <w:rsid w:val="002B71C0"/>
    <w:rsid w:val="002B7A34"/>
    <w:rsid w:val="002C31AD"/>
    <w:rsid w:val="002C7385"/>
    <w:rsid w:val="002D2DBB"/>
    <w:rsid w:val="002D54A6"/>
    <w:rsid w:val="002E6A7A"/>
    <w:rsid w:val="002F1E49"/>
    <w:rsid w:val="002F2383"/>
    <w:rsid w:val="002F4E9C"/>
    <w:rsid w:val="0031256C"/>
    <w:rsid w:val="00314D6C"/>
    <w:rsid w:val="00316D2A"/>
    <w:rsid w:val="00322A7C"/>
    <w:rsid w:val="003402D3"/>
    <w:rsid w:val="00342C5A"/>
    <w:rsid w:val="00343ABC"/>
    <w:rsid w:val="003463FE"/>
    <w:rsid w:val="003554B3"/>
    <w:rsid w:val="00356632"/>
    <w:rsid w:val="00373A6B"/>
    <w:rsid w:val="003845A9"/>
    <w:rsid w:val="00390883"/>
    <w:rsid w:val="003922F8"/>
    <w:rsid w:val="00395B24"/>
    <w:rsid w:val="003A0E76"/>
    <w:rsid w:val="003A2D38"/>
    <w:rsid w:val="003A7ECC"/>
    <w:rsid w:val="003B2C72"/>
    <w:rsid w:val="003C1333"/>
    <w:rsid w:val="003C20FF"/>
    <w:rsid w:val="003C3502"/>
    <w:rsid w:val="003D2650"/>
    <w:rsid w:val="003D560C"/>
    <w:rsid w:val="003E5874"/>
    <w:rsid w:val="003F193E"/>
    <w:rsid w:val="003F34F1"/>
    <w:rsid w:val="00411AE8"/>
    <w:rsid w:val="00413B74"/>
    <w:rsid w:val="00435C5F"/>
    <w:rsid w:val="00441E98"/>
    <w:rsid w:val="004532F7"/>
    <w:rsid w:val="00465E51"/>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533A"/>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0705"/>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167E"/>
    <w:rsid w:val="006A5695"/>
    <w:rsid w:val="006B3904"/>
    <w:rsid w:val="006B5B7D"/>
    <w:rsid w:val="006D0ECF"/>
    <w:rsid w:val="006D4C92"/>
    <w:rsid w:val="006D4EB6"/>
    <w:rsid w:val="006E35BF"/>
    <w:rsid w:val="006E7850"/>
    <w:rsid w:val="007028D9"/>
    <w:rsid w:val="00707218"/>
    <w:rsid w:val="00712B1D"/>
    <w:rsid w:val="007325D9"/>
    <w:rsid w:val="007360CA"/>
    <w:rsid w:val="00751624"/>
    <w:rsid w:val="00760EC0"/>
    <w:rsid w:val="0078003A"/>
    <w:rsid w:val="00780771"/>
    <w:rsid w:val="00786A1F"/>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7432A"/>
    <w:rsid w:val="008A2484"/>
    <w:rsid w:val="008C26D9"/>
    <w:rsid w:val="008C6D50"/>
    <w:rsid w:val="008C7167"/>
    <w:rsid w:val="008C7503"/>
    <w:rsid w:val="008D1617"/>
    <w:rsid w:val="008D5B00"/>
    <w:rsid w:val="008E2DE8"/>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2C6E"/>
    <w:rsid w:val="00987097"/>
    <w:rsid w:val="00990ECE"/>
    <w:rsid w:val="009A3A9C"/>
    <w:rsid w:val="009B046C"/>
    <w:rsid w:val="009B13FA"/>
    <w:rsid w:val="009B1E2D"/>
    <w:rsid w:val="009C59FB"/>
    <w:rsid w:val="009C6F3B"/>
    <w:rsid w:val="009D1467"/>
    <w:rsid w:val="009E4FA6"/>
    <w:rsid w:val="009E7D93"/>
    <w:rsid w:val="009F5C33"/>
    <w:rsid w:val="00A0049D"/>
    <w:rsid w:val="00A03EAC"/>
    <w:rsid w:val="00A04022"/>
    <w:rsid w:val="00A11CA6"/>
    <w:rsid w:val="00A20C49"/>
    <w:rsid w:val="00A269CA"/>
    <w:rsid w:val="00A336EE"/>
    <w:rsid w:val="00A359AC"/>
    <w:rsid w:val="00A41413"/>
    <w:rsid w:val="00A45FB1"/>
    <w:rsid w:val="00A46CCC"/>
    <w:rsid w:val="00A51CFE"/>
    <w:rsid w:val="00A76C13"/>
    <w:rsid w:val="00A90673"/>
    <w:rsid w:val="00A92E79"/>
    <w:rsid w:val="00A950B6"/>
    <w:rsid w:val="00A978D7"/>
    <w:rsid w:val="00AB41C1"/>
    <w:rsid w:val="00AD12A8"/>
    <w:rsid w:val="00AE023F"/>
    <w:rsid w:val="00AF3577"/>
    <w:rsid w:val="00AF35F9"/>
    <w:rsid w:val="00B05C7D"/>
    <w:rsid w:val="00B33B93"/>
    <w:rsid w:val="00B346C3"/>
    <w:rsid w:val="00B4471C"/>
    <w:rsid w:val="00B451A6"/>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50D9"/>
    <w:rsid w:val="00CB5636"/>
    <w:rsid w:val="00D10F21"/>
    <w:rsid w:val="00D1555A"/>
    <w:rsid w:val="00D24806"/>
    <w:rsid w:val="00D34040"/>
    <w:rsid w:val="00D34E69"/>
    <w:rsid w:val="00D375EE"/>
    <w:rsid w:val="00D62699"/>
    <w:rsid w:val="00D82620"/>
    <w:rsid w:val="00D94248"/>
    <w:rsid w:val="00D9725F"/>
    <w:rsid w:val="00DA01B1"/>
    <w:rsid w:val="00DA11A2"/>
    <w:rsid w:val="00DA14ED"/>
    <w:rsid w:val="00DA4F7F"/>
    <w:rsid w:val="00DB2EF1"/>
    <w:rsid w:val="00DB3DE1"/>
    <w:rsid w:val="00DB5DA0"/>
    <w:rsid w:val="00DB716C"/>
    <w:rsid w:val="00DC5C85"/>
    <w:rsid w:val="00DD4236"/>
    <w:rsid w:val="00DD44F1"/>
    <w:rsid w:val="00DE3067"/>
    <w:rsid w:val="00DF0378"/>
    <w:rsid w:val="00DF2D2A"/>
    <w:rsid w:val="00E027BC"/>
    <w:rsid w:val="00E14EA5"/>
    <w:rsid w:val="00E17696"/>
    <w:rsid w:val="00E21133"/>
    <w:rsid w:val="00E2327E"/>
    <w:rsid w:val="00E266EF"/>
    <w:rsid w:val="00E47428"/>
    <w:rsid w:val="00E62060"/>
    <w:rsid w:val="00E66B9F"/>
    <w:rsid w:val="00E710D6"/>
    <w:rsid w:val="00E76E45"/>
    <w:rsid w:val="00E777C9"/>
    <w:rsid w:val="00E81DA6"/>
    <w:rsid w:val="00E84212"/>
    <w:rsid w:val="00E85D9E"/>
    <w:rsid w:val="00E9086C"/>
    <w:rsid w:val="00E91A0F"/>
    <w:rsid w:val="00E94A71"/>
    <w:rsid w:val="00EA03CE"/>
    <w:rsid w:val="00EA23E5"/>
    <w:rsid w:val="00EA4985"/>
    <w:rsid w:val="00EA4E2E"/>
    <w:rsid w:val="00EB2CCB"/>
    <w:rsid w:val="00EC57A7"/>
    <w:rsid w:val="00ED0817"/>
    <w:rsid w:val="00ED7DD9"/>
    <w:rsid w:val="00EE0A37"/>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D755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7FA6E2"/>
  <w15:docId w15:val="{200EB3DD-9D1B-440A-9CB9-235D76F7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DA4F7F"/>
    <w:pPr>
      <w:spacing w:line="240" w:lineRule="auto"/>
    </w:pPr>
    <w:rPr>
      <w:sz w:val="20"/>
    </w:rPr>
  </w:style>
  <w:style w:type="character" w:customStyle="1" w:styleId="FootnoteTextChar">
    <w:name w:val="Footnote Text Char"/>
    <w:basedOn w:val="DefaultParagraphFont"/>
    <w:link w:val="FootnoteText"/>
    <w:semiHidden/>
    <w:rsid w:val="00DA4F7F"/>
    <w:rPr>
      <w:lang w:eastAsia="en-US"/>
    </w:rPr>
  </w:style>
  <w:style w:type="character" w:styleId="FootnoteReference">
    <w:name w:val="footnote reference"/>
    <w:basedOn w:val="DefaultParagraphFont"/>
    <w:semiHidden/>
    <w:unhideWhenUsed/>
    <w:rsid w:val="00DA4F7F"/>
    <w:rPr>
      <w:vertAlign w:val="superscript"/>
    </w:rPr>
  </w:style>
  <w:style w:type="paragraph" w:styleId="Revision">
    <w:name w:val="Revision"/>
    <w:hidden/>
    <w:uiPriority w:val="99"/>
    <w:semiHidden/>
    <w:rsid w:val="00DF03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E425-0F2A-478D-AAFD-CAB781B7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9</Pages>
  <Words>2206</Words>
  <Characters>11228</Characters>
  <Application>Microsoft Office Word</Application>
  <DocSecurity>0</DocSecurity>
  <Lines>295</Lines>
  <Paragraphs>172</Paragraphs>
  <ScaleCrop>false</ScaleCrop>
  <HeadingPairs>
    <vt:vector size="2" baseType="variant">
      <vt:variant>
        <vt:lpstr>Title</vt:lpstr>
      </vt:variant>
      <vt:variant>
        <vt:i4>1</vt:i4>
      </vt:variant>
    </vt:vector>
  </HeadingPairs>
  <TitlesOfParts>
    <vt:vector size="1" baseType="lpstr">
      <vt:lpstr>Keith, in the matter of Aequitas Limited (in liq) [2019] FCA 1314 </vt:lpstr>
    </vt:vector>
  </TitlesOfParts>
  <Company>Federal Court of Australia</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in the matter of Aequitas Limited (in liq) [2019] FCA 1314</dc:title>
  <dc:creator>Philippa Moore</dc:creator>
  <cp:lastModifiedBy>Sona Muradyan</cp:lastModifiedBy>
  <cp:revision>5</cp:revision>
  <cp:lastPrinted>2019-08-18T23:47:00Z</cp:lastPrinted>
  <dcterms:created xsi:type="dcterms:W3CDTF">2019-08-19T05:35:00Z</dcterms:created>
  <dcterms:modified xsi:type="dcterms:W3CDTF">2019-08-19T06:01:00Z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30 July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