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8A914" w14:textId="77777777" w:rsidR="00395B24" w:rsidRDefault="002C7385">
      <w:pPr>
        <w:pStyle w:val="NormalHeadings"/>
        <w:jc w:val="center"/>
        <w:rPr>
          <w:sz w:val="32"/>
        </w:rPr>
      </w:pPr>
      <w:r>
        <w:rPr>
          <w:sz w:val="32"/>
        </w:rPr>
        <w:t>FEDERAL COURT OF AUSTRALIA</w:t>
      </w:r>
    </w:p>
    <w:p w14:paraId="038B4BD2" w14:textId="77777777" w:rsidR="00395B24" w:rsidRDefault="00395B24">
      <w:pPr>
        <w:pStyle w:val="NormalHeadings"/>
        <w:jc w:val="center"/>
        <w:rPr>
          <w:sz w:val="32"/>
        </w:rPr>
      </w:pPr>
    </w:p>
    <w:p w14:paraId="11E86BD1" w14:textId="0B96664A" w:rsidR="00395B24" w:rsidRDefault="00E134CA">
      <w:pPr>
        <w:pStyle w:val="MediaNeutralStyle"/>
      </w:pPr>
      <w:bookmarkStart w:id="0" w:name="MNC"/>
      <w:r>
        <w:t>A</w:t>
      </w:r>
      <w:r w:rsidR="008C0A06">
        <w:t>QP</w:t>
      </w:r>
      <w:r w:rsidR="00B35790">
        <w:t xml:space="preserve">16 v Minister for Immigration and Border Protection [2018] FCA </w:t>
      </w:r>
      <w:r w:rsidR="00446B7A">
        <w:t>1880</w:t>
      </w:r>
      <w:r w:rsidR="002C7385">
        <w:t xml:space="preserve"> </w:t>
      </w:r>
      <w:bookmarkEnd w:id="0"/>
    </w:p>
    <w:p w14:paraId="1C7CF111" w14:textId="77777777" w:rsidR="00395B24" w:rsidRDefault="00395B24">
      <w:pPr>
        <w:pStyle w:val="Normal1linespace"/>
      </w:pP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39541BE2" w14:textId="77777777" w:rsidTr="00931239">
        <w:tc>
          <w:tcPr>
            <w:tcW w:w="3084" w:type="dxa"/>
            <w:shd w:val="clear" w:color="auto" w:fill="auto"/>
          </w:tcPr>
          <w:p w14:paraId="0038DF3D" w14:textId="77777777" w:rsidR="00395B24" w:rsidRDefault="002C7385" w:rsidP="002539B3">
            <w:pPr>
              <w:pStyle w:val="Normal1linespace"/>
              <w:widowControl w:val="0"/>
              <w:spacing w:after="60"/>
              <w:jc w:val="left"/>
            </w:pPr>
            <w:r>
              <w:t>Appeal from:</w:t>
            </w:r>
          </w:p>
        </w:tc>
        <w:tc>
          <w:tcPr>
            <w:tcW w:w="5989" w:type="dxa"/>
            <w:shd w:val="clear" w:color="auto" w:fill="auto"/>
          </w:tcPr>
          <w:p w14:paraId="20D8D445" w14:textId="77777777" w:rsidR="00395B24" w:rsidRDefault="00980DCD" w:rsidP="002539B3">
            <w:pPr>
              <w:pStyle w:val="CasesLegislationAppealFrom"/>
              <w:spacing w:after="60"/>
            </w:pPr>
            <w:bookmarkStart w:id="1" w:name="AppealFrom"/>
            <w:r>
              <w:rPr>
                <w:i/>
              </w:rPr>
              <w:t xml:space="preserve">AQP16 v Minister for Immigration &amp; Anor </w:t>
            </w:r>
            <w:r>
              <w:t>[2018] FCCA 1225</w:t>
            </w:r>
            <w:r w:rsidR="009264B3">
              <w:t xml:space="preserve"> </w:t>
            </w:r>
            <w:bookmarkEnd w:id="1"/>
          </w:p>
        </w:tc>
      </w:tr>
      <w:tr w:rsidR="00395B24" w14:paraId="209E4B6B" w14:textId="77777777" w:rsidTr="00931239">
        <w:tc>
          <w:tcPr>
            <w:tcW w:w="3084" w:type="dxa"/>
            <w:shd w:val="clear" w:color="auto" w:fill="auto"/>
          </w:tcPr>
          <w:p w14:paraId="6ABE7388" w14:textId="77777777" w:rsidR="00395B24" w:rsidRDefault="00395B24" w:rsidP="00663878">
            <w:pPr>
              <w:pStyle w:val="Normal1linespace"/>
              <w:widowControl w:val="0"/>
              <w:jc w:val="left"/>
            </w:pPr>
          </w:p>
        </w:tc>
        <w:tc>
          <w:tcPr>
            <w:tcW w:w="5989" w:type="dxa"/>
            <w:shd w:val="clear" w:color="auto" w:fill="auto"/>
          </w:tcPr>
          <w:p w14:paraId="27631EB8" w14:textId="77777777" w:rsidR="00395B24" w:rsidRDefault="00395B24" w:rsidP="00663878">
            <w:pPr>
              <w:pStyle w:val="Normal1linespace"/>
              <w:widowControl w:val="0"/>
              <w:jc w:val="left"/>
            </w:pPr>
          </w:p>
        </w:tc>
      </w:tr>
      <w:tr w:rsidR="00395B24" w14:paraId="44302D5A" w14:textId="77777777" w:rsidTr="00931239">
        <w:tc>
          <w:tcPr>
            <w:tcW w:w="3084" w:type="dxa"/>
            <w:shd w:val="clear" w:color="auto" w:fill="auto"/>
          </w:tcPr>
          <w:p w14:paraId="73C001CA" w14:textId="77777777" w:rsidR="00395B24" w:rsidRDefault="00980DCD" w:rsidP="00663878">
            <w:pPr>
              <w:pStyle w:val="Normal1linespace"/>
              <w:widowControl w:val="0"/>
              <w:jc w:val="left"/>
            </w:pPr>
            <w:r>
              <w:t>File number</w:t>
            </w:r>
            <w:r w:rsidR="002C7385">
              <w:t>:</w:t>
            </w:r>
          </w:p>
        </w:tc>
        <w:tc>
          <w:tcPr>
            <w:tcW w:w="5989" w:type="dxa"/>
            <w:shd w:val="clear" w:color="auto" w:fill="auto"/>
          </w:tcPr>
          <w:p w14:paraId="28118BE2" w14:textId="77777777" w:rsidR="00395B24" w:rsidRPr="00B35790" w:rsidRDefault="00D31B48" w:rsidP="00980DCD">
            <w:pPr>
              <w:pStyle w:val="Normal1linespace"/>
              <w:jc w:val="left"/>
            </w:pPr>
            <w:r>
              <w:fldChar w:fldCharType="begin" w:fldLock="1"/>
            </w:r>
            <w:r>
              <w:instrText xml:space="preserve"> REF  FileNo  \* MERGEFORMAT </w:instrText>
            </w:r>
            <w:r>
              <w:fldChar w:fldCharType="separate"/>
            </w:r>
            <w:r w:rsidR="00B35790" w:rsidRPr="00B35790">
              <w:t>NSD</w:t>
            </w:r>
            <w:r w:rsidR="00980DCD">
              <w:t xml:space="preserve"> </w:t>
            </w:r>
            <w:r w:rsidR="00E134CA">
              <w:t>859</w:t>
            </w:r>
            <w:r w:rsidR="00980DCD">
              <w:t xml:space="preserve"> of </w:t>
            </w:r>
            <w:r w:rsidR="00B35790" w:rsidRPr="00B35790">
              <w:t>2018</w:t>
            </w:r>
            <w:r>
              <w:fldChar w:fldCharType="end"/>
            </w:r>
          </w:p>
        </w:tc>
      </w:tr>
      <w:tr w:rsidR="00395B24" w14:paraId="44857C5A" w14:textId="77777777" w:rsidTr="00931239">
        <w:tc>
          <w:tcPr>
            <w:tcW w:w="3084" w:type="dxa"/>
            <w:shd w:val="clear" w:color="auto" w:fill="auto"/>
          </w:tcPr>
          <w:p w14:paraId="07489DC8" w14:textId="77777777" w:rsidR="00395B24" w:rsidRDefault="00395B24" w:rsidP="00663878">
            <w:pPr>
              <w:pStyle w:val="Normal1linespace"/>
              <w:widowControl w:val="0"/>
              <w:jc w:val="left"/>
            </w:pPr>
          </w:p>
        </w:tc>
        <w:tc>
          <w:tcPr>
            <w:tcW w:w="5989" w:type="dxa"/>
            <w:shd w:val="clear" w:color="auto" w:fill="auto"/>
          </w:tcPr>
          <w:p w14:paraId="07D9AB18" w14:textId="77777777" w:rsidR="00395B24" w:rsidRDefault="00395B24" w:rsidP="00663878">
            <w:pPr>
              <w:pStyle w:val="Normal1linespace"/>
              <w:widowControl w:val="0"/>
              <w:jc w:val="left"/>
            </w:pPr>
          </w:p>
        </w:tc>
      </w:tr>
      <w:tr w:rsidR="00395B24" w14:paraId="0E012203" w14:textId="77777777" w:rsidTr="00931239">
        <w:tc>
          <w:tcPr>
            <w:tcW w:w="3084" w:type="dxa"/>
            <w:shd w:val="clear" w:color="auto" w:fill="auto"/>
          </w:tcPr>
          <w:p w14:paraId="50007138" w14:textId="77777777" w:rsidR="00395B24" w:rsidRDefault="00980DCD" w:rsidP="00980DCD">
            <w:pPr>
              <w:pStyle w:val="Normal1linespace"/>
              <w:widowControl w:val="0"/>
              <w:jc w:val="left"/>
            </w:pPr>
            <w:r>
              <w:t>Judge</w:t>
            </w:r>
            <w:r w:rsidR="002C7385">
              <w:t>:</w:t>
            </w:r>
          </w:p>
        </w:tc>
        <w:tc>
          <w:tcPr>
            <w:tcW w:w="5989" w:type="dxa"/>
            <w:shd w:val="clear" w:color="auto" w:fill="auto"/>
          </w:tcPr>
          <w:p w14:paraId="3C045A18" w14:textId="77777777" w:rsidR="00395B24" w:rsidRDefault="002C7385" w:rsidP="00663878">
            <w:pPr>
              <w:pStyle w:val="Normal1linespace"/>
              <w:widowControl w:val="0"/>
              <w:jc w:val="left"/>
              <w:rPr>
                <w:b/>
              </w:rPr>
            </w:pPr>
            <w:r w:rsidRPr="00B35790">
              <w:rPr>
                <w:b/>
              </w:rPr>
              <w:fldChar w:fldCharType="begin" w:fldLock="1"/>
            </w:r>
            <w:r w:rsidRPr="00B35790">
              <w:rPr>
                <w:b/>
              </w:rPr>
              <w:instrText xml:space="preserve"> REF  Judge  \* MERGEFORMAT </w:instrText>
            </w:r>
            <w:r w:rsidRPr="00B35790">
              <w:rPr>
                <w:b/>
              </w:rPr>
              <w:fldChar w:fldCharType="separate"/>
            </w:r>
            <w:r w:rsidR="00B35790" w:rsidRPr="00B35790">
              <w:rPr>
                <w:b/>
                <w:caps/>
                <w:szCs w:val="24"/>
              </w:rPr>
              <w:t>BROMWICH J</w:t>
            </w:r>
            <w:r w:rsidRPr="00B35790">
              <w:rPr>
                <w:b/>
              </w:rPr>
              <w:fldChar w:fldCharType="end"/>
            </w:r>
          </w:p>
        </w:tc>
      </w:tr>
      <w:tr w:rsidR="00395B24" w14:paraId="667D037F" w14:textId="77777777" w:rsidTr="00931239">
        <w:tc>
          <w:tcPr>
            <w:tcW w:w="3084" w:type="dxa"/>
            <w:shd w:val="clear" w:color="auto" w:fill="auto"/>
          </w:tcPr>
          <w:p w14:paraId="5C829804" w14:textId="77777777" w:rsidR="00395B24" w:rsidRDefault="00395B24" w:rsidP="00663878">
            <w:pPr>
              <w:pStyle w:val="Normal1linespace"/>
              <w:widowControl w:val="0"/>
              <w:jc w:val="left"/>
            </w:pPr>
          </w:p>
        </w:tc>
        <w:tc>
          <w:tcPr>
            <w:tcW w:w="5989" w:type="dxa"/>
            <w:shd w:val="clear" w:color="auto" w:fill="auto"/>
          </w:tcPr>
          <w:p w14:paraId="190EC3DF" w14:textId="77777777" w:rsidR="00395B24" w:rsidRDefault="00395B24" w:rsidP="00663878">
            <w:pPr>
              <w:pStyle w:val="Normal1linespace"/>
              <w:widowControl w:val="0"/>
              <w:jc w:val="left"/>
            </w:pPr>
          </w:p>
        </w:tc>
      </w:tr>
      <w:tr w:rsidR="00395B24" w14:paraId="112D44F6" w14:textId="77777777" w:rsidTr="00931239">
        <w:tc>
          <w:tcPr>
            <w:tcW w:w="3084" w:type="dxa"/>
            <w:shd w:val="clear" w:color="auto" w:fill="auto"/>
          </w:tcPr>
          <w:p w14:paraId="64FC15E5" w14:textId="77777777" w:rsidR="00395B24" w:rsidRDefault="002C7385" w:rsidP="00663878">
            <w:pPr>
              <w:pStyle w:val="Normal1linespace"/>
              <w:widowControl w:val="0"/>
              <w:jc w:val="left"/>
            </w:pPr>
            <w:r>
              <w:t>Date of judgment:</w:t>
            </w:r>
          </w:p>
        </w:tc>
        <w:tc>
          <w:tcPr>
            <w:tcW w:w="5989" w:type="dxa"/>
            <w:shd w:val="clear" w:color="auto" w:fill="auto"/>
          </w:tcPr>
          <w:p w14:paraId="35E0EE93" w14:textId="77777777" w:rsidR="00395B24" w:rsidRDefault="00980DCD" w:rsidP="00E134CA">
            <w:pPr>
              <w:pStyle w:val="Normal1linespace"/>
              <w:widowControl w:val="0"/>
              <w:jc w:val="left"/>
            </w:pPr>
            <w:bookmarkStart w:id="2" w:name="JudgmentDate"/>
            <w:r w:rsidRPr="00931239">
              <w:t>30</w:t>
            </w:r>
            <w:r w:rsidR="00B35790">
              <w:t xml:space="preserve"> November 2018</w:t>
            </w:r>
            <w:bookmarkEnd w:id="2"/>
          </w:p>
        </w:tc>
      </w:tr>
      <w:tr w:rsidR="00395B24" w14:paraId="4395EE56" w14:textId="77777777" w:rsidTr="00931239">
        <w:tc>
          <w:tcPr>
            <w:tcW w:w="3084" w:type="dxa"/>
            <w:shd w:val="clear" w:color="auto" w:fill="auto"/>
          </w:tcPr>
          <w:p w14:paraId="10BB56C1" w14:textId="77777777" w:rsidR="00395B24" w:rsidRDefault="00395B24" w:rsidP="00663878">
            <w:pPr>
              <w:pStyle w:val="Normal1linespace"/>
              <w:widowControl w:val="0"/>
              <w:jc w:val="left"/>
            </w:pPr>
          </w:p>
        </w:tc>
        <w:tc>
          <w:tcPr>
            <w:tcW w:w="5989" w:type="dxa"/>
            <w:shd w:val="clear" w:color="auto" w:fill="auto"/>
          </w:tcPr>
          <w:p w14:paraId="7DFBE53A" w14:textId="77777777" w:rsidR="00395B24" w:rsidRDefault="00395B24" w:rsidP="00663878">
            <w:pPr>
              <w:pStyle w:val="Normal1linespace"/>
              <w:widowControl w:val="0"/>
              <w:jc w:val="left"/>
            </w:pPr>
          </w:p>
        </w:tc>
      </w:tr>
      <w:tr w:rsidR="00395B24" w14:paraId="1B91C79E" w14:textId="77777777" w:rsidTr="00931239">
        <w:tc>
          <w:tcPr>
            <w:tcW w:w="3084" w:type="dxa"/>
            <w:shd w:val="clear" w:color="auto" w:fill="auto"/>
          </w:tcPr>
          <w:p w14:paraId="69E53447" w14:textId="77777777" w:rsidR="00395B24" w:rsidRDefault="002C7385" w:rsidP="00663878">
            <w:pPr>
              <w:pStyle w:val="Normal1linespace"/>
              <w:widowControl w:val="0"/>
              <w:jc w:val="left"/>
            </w:pPr>
            <w:r>
              <w:t>Catchwords:</w:t>
            </w:r>
          </w:p>
        </w:tc>
        <w:tc>
          <w:tcPr>
            <w:tcW w:w="5989" w:type="dxa"/>
            <w:shd w:val="clear" w:color="auto" w:fill="auto"/>
          </w:tcPr>
          <w:p w14:paraId="19137C3C" w14:textId="6895F1CF" w:rsidR="00395B24" w:rsidRDefault="00980DCD" w:rsidP="00631BBD">
            <w:pPr>
              <w:pStyle w:val="Normal1linespace"/>
              <w:widowControl w:val="0"/>
              <w:jc w:val="left"/>
            </w:pPr>
            <w:bookmarkStart w:id="3" w:name="Catchwords"/>
            <w:r>
              <w:rPr>
                <w:b/>
              </w:rPr>
              <w:t>MIGRATION</w:t>
            </w:r>
            <w:r w:rsidRPr="00631BBD">
              <w:t xml:space="preserve"> </w:t>
            </w:r>
            <w:r>
              <w:rPr>
                <w:b/>
              </w:rPr>
              <w:t>–</w:t>
            </w:r>
            <w:r>
              <w:t xml:space="preserve"> </w:t>
            </w:r>
            <w:r w:rsidR="00631BBD" w:rsidRPr="00631BBD">
              <w:t xml:space="preserve">appeal from orders of the Federal Circuit </w:t>
            </w:r>
            <w:r w:rsidR="00631BBD" w:rsidRPr="001F4CC6">
              <w:t>Court</w:t>
            </w:r>
            <w:r w:rsidR="00631BBD" w:rsidRPr="00631BBD">
              <w:t xml:space="preserve"> dismissing an application for judicial review of a decision of the Administrative Appeals </w:t>
            </w:r>
            <w:r w:rsidR="00631BBD" w:rsidRPr="001F4CC6">
              <w:t>Tribunal</w:t>
            </w:r>
            <w:r w:rsidR="00631BBD">
              <w:t xml:space="preserve"> – where ground of appeal regarding purported error of the Tribunal not raised in the Court below – </w:t>
            </w:r>
            <w:r w:rsidR="00631BBD">
              <w:rPr>
                <w:b/>
              </w:rPr>
              <w:t>held</w:t>
            </w:r>
            <w:r w:rsidR="00631BBD">
              <w:t>: appeal dismissed</w:t>
            </w:r>
            <w:r w:rsidR="002C7385">
              <w:t xml:space="preserve"> </w:t>
            </w:r>
            <w:bookmarkEnd w:id="3"/>
          </w:p>
        </w:tc>
      </w:tr>
      <w:tr w:rsidR="00395B24" w14:paraId="4BB9D9F3" w14:textId="77777777" w:rsidTr="00931239">
        <w:tc>
          <w:tcPr>
            <w:tcW w:w="3084" w:type="dxa"/>
            <w:shd w:val="clear" w:color="auto" w:fill="auto"/>
          </w:tcPr>
          <w:p w14:paraId="42A3A641" w14:textId="77777777" w:rsidR="00395B24" w:rsidRDefault="00395B24" w:rsidP="00663878">
            <w:pPr>
              <w:pStyle w:val="Normal1linespace"/>
              <w:widowControl w:val="0"/>
              <w:jc w:val="left"/>
            </w:pPr>
          </w:p>
        </w:tc>
        <w:tc>
          <w:tcPr>
            <w:tcW w:w="5989" w:type="dxa"/>
            <w:shd w:val="clear" w:color="auto" w:fill="auto"/>
          </w:tcPr>
          <w:p w14:paraId="1B2DEBC0" w14:textId="77777777" w:rsidR="00395B24" w:rsidRDefault="00395B24" w:rsidP="00663878">
            <w:pPr>
              <w:pStyle w:val="Normal1linespace"/>
              <w:widowControl w:val="0"/>
              <w:jc w:val="left"/>
            </w:pPr>
          </w:p>
        </w:tc>
      </w:tr>
      <w:tr w:rsidR="00395B24" w14:paraId="3D64F966" w14:textId="77777777" w:rsidTr="00931239">
        <w:tc>
          <w:tcPr>
            <w:tcW w:w="3084" w:type="dxa"/>
            <w:shd w:val="clear" w:color="auto" w:fill="auto"/>
          </w:tcPr>
          <w:p w14:paraId="33EB17C5" w14:textId="77777777" w:rsidR="00395B24" w:rsidRDefault="002C7385" w:rsidP="00663878">
            <w:pPr>
              <w:pStyle w:val="Normal1linespace"/>
              <w:widowControl w:val="0"/>
              <w:jc w:val="left"/>
            </w:pPr>
            <w:r>
              <w:t>Legislation:</w:t>
            </w:r>
          </w:p>
        </w:tc>
        <w:tc>
          <w:tcPr>
            <w:tcW w:w="5989" w:type="dxa"/>
            <w:shd w:val="clear" w:color="auto" w:fill="auto"/>
          </w:tcPr>
          <w:p w14:paraId="5CFBA7E6" w14:textId="129FA065" w:rsidR="00395B24" w:rsidRDefault="00DA4572" w:rsidP="00DA4572">
            <w:pPr>
              <w:pStyle w:val="CasesLegislationAppealFrom"/>
              <w:spacing w:after="60"/>
            </w:pPr>
            <w:bookmarkStart w:id="4" w:name="Legislation"/>
            <w:r w:rsidRPr="000C027F">
              <w:rPr>
                <w:i/>
              </w:rPr>
              <w:t xml:space="preserve">Migration Act 1958 </w:t>
            </w:r>
            <w:r w:rsidRPr="000C027F">
              <w:t>(</w:t>
            </w:r>
            <w:proofErr w:type="spellStart"/>
            <w:r w:rsidRPr="000C027F">
              <w:t>Cth</w:t>
            </w:r>
            <w:proofErr w:type="spellEnd"/>
            <w:r w:rsidRPr="000C027F">
              <w:t>)</w:t>
            </w:r>
            <w:r>
              <w:t xml:space="preserve"> </w:t>
            </w:r>
            <w:proofErr w:type="spellStart"/>
            <w:r>
              <w:t>ss</w:t>
            </w:r>
            <w:proofErr w:type="spellEnd"/>
            <w:r>
              <w:t> 424A, 424A(1), 424A(3)(b), 424(3)(</w:t>
            </w:r>
            <w:proofErr w:type="spellStart"/>
            <w:r>
              <w:t>ba</w:t>
            </w:r>
            <w:proofErr w:type="spellEnd"/>
            <w:r>
              <w:t>)</w:t>
            </w:r>
            <w:bookmarkEnd w:id="4"/>
          </w:p>
        </w:tc>
      </w:tr>
      <w:tr w:rsidR="00395B24" w14:paraId="2DA78977" w14:textId="77777777" w:rsidTr="00931239">
        <w:tc>
          <w:tcPr>
            <w:tcW w:w="3084" w:type="dxa"/>
            <w:shd w:val="clear" w:color="auto" w:fill="auto"/>
          </w:tcPr>
          <w:p w14:paraId="65C08589" w14:textId="77777777" w:rsidR="00395B24" w:rsidRDefault="00395B24" w:rsidP="00663878">
            <w:pPr>
              <w:pStyle w:val="Normal1linespace"/>
              <w:widowControl w:val="0"/>
              <w:jc w:val="left"/>
            </w:pPr>
          </w:p>
        </w:tc>
        <w:tc>
          <w:tcPr>
            <w:tcW w:w="5989" w:type="dxa"/>
            <w:shd w:val="clear" w:color="auto" w:fill="auto"/>
          </w:tcPr>
          <w:p w14:paraId="25CFBD8D" w14:textId="77777777" w:rsidR="00395B24" w:rsidRDefault="00395B24" w:rsidP="00663878">
            <w:pPr>
              <w:pStyle w:val="Normal1linespace"/>
              <w:widowControl w:val="0"/>
              <w:jc w:val="left"/>
            </w:pPr>
          </w:p>
        </w:tc>
      </w:tr>
      <w:tr w:rsidR="00395B24" w14:paraId="18FCB7EF" w14:textId="77777777" w:rsidTr="00931239">
        <w:tc>
          <w:tcPr>
            <w:tcW w:w="3084" w:type="dxa"/>
            <w:shd w:val="clear" w:color="auto" w:fill="auto"/>
          </w:tcPr>
          <w:p w14:paraId="0F515966" w14:textId="77777777" w:rsidR="00395B24" w:rsidRDefault="002C7385" w:rsidP="00663878">
            <w:pPr>
              <w:pStyle w:val="Normal1linespace"/>
              <w:widowControl w:val="0"/>
              <w:jc w:val="left"/>
            </w:pPr>
            <w:r>
              <w:t>Cases cited:</w:t>
            </w:r>
          </w:p>
        </w:tc>
        <w:tc>
          <w:tcPr>
            <w:tcW w:w="5989" w:type="dxa"/>
            <w:shd w:val="clear" w:color="auto" w:fill="auto"/>
          </w:tcPr>
          <w:p w14:paraId="154DAA4C" w14:textId="77777777" w:rsidR="00DA4572" w:rsidRDefault="00DA4572" w:rsidP="00DA4572">
            <w:pPr>
              <w:widowControl w:val="0"/>
              <w:spacing w:after="60" w:line="240" w:lineRule="auto"/>
              <w:jc w:val="left"/>
              <w:rPr>
                <w:i/>
                <w:iCs/>
              </w:rPr>
            </w:pPr>
            <w:bookmarkStart w:id="5" w:name="Cases_Cited"/>
            <w:proofErr w:type="spellStart"/>
            <w:r w:rsidRPr="004A58AC">
              <w:rPr>
                <w:i/>
                <w:iCs/>
                <w:szCs w:val="24"/>
                <w:lang w:eastAsia="en-AU"/>
              </w:rPr>
              <w:t>Branir</w:t>
            </w:r>
            <w:proofErr w:type="spellEnd"/>
            <w:r w:rsidRPr="004A58AC">
              <w:rPr>
                <w:i/>
                <w:iCs/>
                <w:szCs w:val="24"/>
                <w:lang w:eastAsia="en-AU"/>
              </w:rPr>
              <w:t xml:space="preserve"> Pty Ltd v </w:t>
            </w:r>
            <w:proofErr w:type="spellStart"/>
            <w:r w:rsidRPr="004A58AC">
              <w:rPr>
                <w:i/>
                <w:iCs/>
                <w:szCs w:val="24"/>
                <w:lang w:eastAsia="en-AU"/>
              </w:rPr>
              <w:t>Owston</w:t>
            </w:r>
            <w:proofErr w:type="spellEnd"/>
            <w:r w:rsidRPr="004A58AC">
              <w:rPr>
                <w:i/>
                <w:iCs/>
                <w:szCs w:val="24"/>
                <w:lang w:eastAsia="en-AU"/>
              </w:rPr>
              <w:t xml:space="preserve"> Nominees (No 2) Pty Ltd </w:t>
            </w:r>
            <w:r>
              <w:rPr>
                <w:iCs/>
                <w:szCs w:val="24"/>
                <w:lang w:eastAsia="en-AU"/>
              </w:rPr>
              <w:t>[2001] FCA 1833;</w:t>
            </w:r>
            <w:r w:rsidRPr="004A58AC">
              <w:rPr>
                <w:szCs w:val="24"/>
                <w:lang w:eastAsia="en-AU"/>
              </w:rPr>
              <w:t xml:space="preserve"> 117 FCR 424</w:t>
            </w:r>
          </w:p>
          <w:p w14:paraId="5F8AD1E4" w14:textId="77777777" w:rsidR="00DA4572" w:rsidRDefault="00DA4572" w:rsidP="00DA4572">
            <w:pPr>
              <w:widowControl w:val="0"/>
              <w:spacing w:after="60" w:line="240" w:lineRule="auto"/>
              <w:jc w:val="left"/>
              <w:rPr>
                <w:i/>
                <w:iCs/>
                <w:szCs w:val="24"/>
                <w:lang w:eastAsia="en-AU"/>
              </w:rPr>
            </w:pPr>
            <w:r w:rsidRPr="000C027F">
              <w:rPr>
                <w:i/>
                <w:iCs/>
                <w:szCs w:val="24"/>
                <w:lang w:eastAsia="en-AU"/>
              </w:rPr>
              <w:t xml:space="preserve">CQG15 v Minister for Immigration and Border Protection </w:t>
            </w:r>
            <w:r w:rsidRPr="000C027F">
              <w:rPr>
                <w:iCs/>
                <w:szCs w:val="24"/>
                <w:lang w:eastAsia="en-AU"/>
              </w:rPr>
              <w:t>[2016] FCAFC 146; 253 FCR 496</w:t>
            </w:r>
          </w:p>
          <w:p w14:paraId="6BA2FF14" w14:textId="77777777" w:rsidR="00DA4572" w:rsidRDefault="00DA4572" w:rsidP="00DA4572">
            <w:pPr>
              <w:widowControl w:val="0"/>
              <w:spacing w:after="60" w:line="240" w:lineRule="auto"/>
              <w:jc w:val="left"/>
              <w:rPr>
                <w:i/>
                <w:iCs/>
              </w:rPr>
            </w:pPr>
            <w:r w:rsidRPr="000C027F">
              <w:rPr>
                <w:i/>
                <w:iCs/>
                <w:szCs w:val="24"/>
                <w:lang w:eastAsia="en-AU"/>
              </w:rPr>
              <w:t>H v Minister</w:t>
            </w:r>
            <w:r w:rsidRPr="004A58AC">
              <w:rPr>
                <w:i/>
                <w:iCs/>
                <w:szCs w:val="24"/>
                <w:lang w:eastAsia="en-AU"/>
              </w:rPr>
              <w:t xml:space="preserve"> for Immigration and Multicultural Affairs </w:t>
            </w:r>
            <w:r w:rsidRPr="004A58AC">
              <w:rPr>
                <w:szCs w:val="24"/>
                <w:lang w:eastAsia="en-AU"/>
              </w:rPr>
              <w:t>[2000] FCA 1348; 63 ALD 43</w:t>
            </w:r>
          </w:p>
          <w:p w14:paraId="672087A4" w14:textId="77777777" w:rsidR="00DA4572" w:rsidRDefault="00DA4572" w:rsidP="00DA4572">
            <w:pPr>
              <w:widowControl w:val="0"/>
              <w:spacing w:after="60" w:line="240" w:lineRule="auto"/>
              <w:jc w:val="left"/>
              <w:rPr>
                <w:i/>
                <w:iCs/>
              </w:rPr>
            </w:pPr>
            <w:r w:rsidRPr="004A58AC">
              <w:rPr>
                <w:i/>
                <w:iCs/>
                <w:szCs w:val="24"/>
                <w:lang w:eastAsia="en-AU"/>
              </w:rPr>
              <w:t>O</w:t>
            </w:r>
            <w:r>
              <w:rPr>
                <w:i/>
                <w:iCs/>
                <w:szCs w:val="24"/>
                <w:lang w:eastAsia="en-AU"/>
              </w:rPr>
              <w:t>’</w:t>
            </w:r>
            <w:r w:rsidRPr="004A58AC">
              <w:rPr>
                <w:i/>
                <w:iCs/>
                <w:szCs w:val="24"/>
                <w:lang w:eastAsia="en-AU"/>
              </w:rPr>
              <w:t xml:space="preserve">Brien v </w:t>
            </w:r>
            <w:proofErr w:type="spellStart"/>
            <w:r w:rsidRPr="004A58AC">
              <w:rPr>
                <w:i/>
                <w:iCs/>
                <w:szCs w:val="24"/>
                <w:lang w:eastAsia="en-AU"/>
              </w:rPr>
              <w:t>Komesaroff</w:t>
            </w:r>
            <w:proofErr w:type="spellEnd"/>
            <w:r w:rsidRPr="004A58AC">
              <w:rPr>
                <w:i/>
                <w:iCs/>
                <w:szCs w:val="24"/>
                <w:lang w:eastAsia="en-AU"/>
              </w:rPr>
              <w:t xml:space="preserve"> </w:t>
            </w:r>
            <w:r w:rsidRPr="004A58AC">
              <w:rPr>
                <w:szCs w:val="24"/>
                <w:lang w:eastAsia="en-AU"/>
              </w:rPr>
              <w:t>(1982) 150 CLR 310</w:t>
            </w:r>
          </w:p>
          <w:p w14:paraId="660095A3" w14:textId="77777777" w:rsidR="00DA4572" w:rsidRDefault="00DA4572" w:rsidP="00DA4572">
            <w:pPr>
              <w:widowControl w:val="0"/>
              <w:spacing w:after="60" w:line="240" w:lineRule="auto"/>
              <w:jc w:val="left"/>
              <w:rPr>
                <w:i/>
                <w:iCs/>
              </w:rPr>
            </w:pPr>
            <w:r w:rsidRPr="000C027F">
              <w:rPr>
                <w:i/>
                <w:iCs/>
              </w:rPr>
              <w:t xml:space="preserve">Minister for Immigration &amp; Citizenship v SZGUR </w:t>
            </w:r>
            <w:r w:rsidRPr="000C027F">
              <w:rPr>
                <w:iCs/>
              </w:rPr>
              <w:t>[2011] HCA 1; 241 CLR 594</w:t>
            </w:r>
          </w:p>
          <w:p w14:paraId="3F79801B" w14:textId="77777777" w:rsidR="00DA4572" w:rsidRDefault="00DA4572" w:rsidP="00DA4572">
            <w:pPr>
              <w:widowControl w:val="0"/>
              <w:spacing w:after="60" w:line="240" w:lineRule="auto"/>
              <w:jc w:val="left"/>
              <w:rPr>
                <w:i/>
                <w:iCs/>
              </w:rPr>
            </w:pPr>
            <w:r w:rsidRPr="000C027F">
              <w:rPr>
                <w:i/>
                <w:iCs/>
              </w:rPr>
              <w:t xml:space="preserve">Minister for Immigration v </w:t>
            </w:r>
            <w:proofErr w:type="spellStart"/>
            <w:r w:rsidRPr="000C027F">
              <w:rPr>
                <w:i/>
                <w:iCs/>
              </w:rPr>
              <w:t>Jia</w:t>
            </w:r>
            <w:proofErr w:type="spellEnd"/>
            <w:r w:rsidRPr="000C027F">
              <w:rPr>
                <w:i/>
                <w:iCs/>
              </w:rPr>
              <w:t xml:space="preserve"> </w:t>
            </w:r>
            <w:proofErr w:type="spellStart"/>
            <w:r w:rsidRPr="000C027F">
              <w:rPr>
                <w:i/>
                <w:iCs/>
              </w:rPr>
              <w:t>Legeng</w:t>
            </w:r>
            <w:proofErr w:type="spellEnd"/>
            <w:r w:rsidRPr="000C027F">
              <w:rPr>
                <w:i/>
                <w:iCs/>
              </w:rPr>
              <w:t xml:space="preserve"> </w:t>
            </w:r>
            <w:r w:rsidRPr="000C027F">
              <w:rPr>
                <w:iCs/>
              </w:rPr>
              <w:t>[2001] HCA 17; 205 CLR 507</w:t>
            </w:r>
          </w:p>
          <w:p w14:paraId="3334693F" w14:textId="77777777" w:rsidR="00DA4572" w:rsidRDefault="00DA4572" w:rsidP="00DA4572">
            <w:pPr>
              <w:widowControl w:val="0"/>
              <w:spacing w:after="60" w:line="240" w:lineRule="auto"/>
              <w:jc w:val="left"/>
            </w:pPr>
            <w:r w:rsidRPr="000C027F">
              <w:rPr>
                <w:i/>
                <w:iCs/>
              </w:rPr>
              <w:t xml:space="preserve">SZBYR v Minister for Immigration and Citizenship </w:t>
            </w:r>
            <w:r w:rsidRPr="000C027F">
              <w:t>[2007] HCA 26; 235 ALR 609</w:t>
            </w:r>
          </w:p>
          <w:p w14:paraId="7CB65CC4" w14:textId="77777777" w:rsidR="00DA4572" w:rsidRDefault="00DA4572" w:rsidP="00DA4572">
            <w:pPr>
              <w:widowControl w:val="0"/>
              <w:spacing w:after="60" w:line="240" w:lineRule="auto"/>
              <w:jc w:val="left"/>
            </w:pPr>
            <w:r w:rsidRPr="000C027F">
              <w:rPr>
                <w:i/>
              </w:rPr>
              <w:t xml:space="preserve">SZVCZ v Minister for Immigration and Border Protection </w:t>
            </w:r>
            <w:r w:rsidRPr="000C027F">
              <w:t>[2017] FCAFC 130; 252 FCR 540</w:t>
            </w:r>
          </w:p>
          <w:p w14:paraId="7B11C4F5" w14:textId="77777777" w:rsidR="00DA4572" w:rsidRDefault="00DA4572" w:rsidP="00DA4572">
            <w:pPr>
              <w:widowControl w:val="0"/>
              <w:spacing w:after="60" w:line="240" w:lineRule="auto"/>
              <w:jc w:val="left"/>
              <w:rPr>
                <w:i/>
                <w:w w:val="105"/>
                <w:szCs w:val="24"/>
              </w:rPr>
            </w:pPr>
            <w:r w:rsidRPr="004A58AC">
              <w:rPr>
                <w:i/>
                <w:iCs/>
                <w:szCs w:val="24"/>
                <w:lang w:eastAsia="en-AU"/>
              </w:rPr>
              <w:t xml:space="preserve">VAAC v Minister for Immigration and Multicultural and Indigenous Affairs </w:t>
            </w:r>
            <w:r w:rsidRPr="004A58AC">
              <w:rPr>
                <w:szCs w:val="24"/>
                <w:lang w:eastAsia="en-AU"/>
              </w:rPr>
              <w:t>[2003] FCAFC 74; 129 FCR 168</w:t>
            </w:r>
          </w:p>
          <w:p w14:paraId="3EDF5640" w14:textId="6B49E272" w:rsidR="00395B24" w:rsidRDefault="00DA4572" w:rsidP="00DA4572">
            <w:pPr>
              <w:pStyle w:val="CasesLegislationAppealFrom"/>
              <w:spacing w:after="60"/>
            </w:pPr>
            <w:r w:rsidRPr="004A58AC">
              <w:rPr>
                <w:i/>
                <w:w w:val="105"/>
                <w:szCs w:val="24"/>
              </w:rPr>
              <w:t>VUAX v Minister for Immigration and Multicultural and Indigenous Affairs</w:t>
            </w:r>
            <w:r w:rsidRPr="004A58AC">
              <w:rPr>
                <w:w w:val="105"/>
                <w:szCs w:val="24"/>
              </w:rPr>
              <w:t xml:space="preserve"> [2004] FCAFC 158; 238 FCR 588</w:t>
            </w:r>
            <w:r w:rsidR="002C7385">
              <w:t xml:space="preserve"> </w:t>
            </w:r>
            <w:bookmarkEnd w:id="5"/>
          </w:p>
        </w:tc>
      </w:tr>
      <w:tr w:rsidR="00B35790" w14:paraId="250896FA" w14:textId="77777777" w:rsidTr="00931239">
        <w:tc>
          <w:tcPr>
            <w:tcW w:w="3084" w:type="dxa"/>
            <w:shd w:val="clear" w:color="auto" w:fill="auto"/>
          </w:tcPr>
          <w:p w14:paraId="322907C5" w14:textId="77777777" w:rsidR="00B35790" w:rsidRDefault="00B35790" w:rsidP="00663878">
            <w:pPr>
              <w:pStyle w:val="Normal1linespace"/>
              <w:widowControl w:val="0"/>
              <w:jc w:val="left"/>
            </w:pPr>
          </w:p>
        </w:tc>
        <w:tc>
          <w:tcPr>
            <w:tcW w:w="5989" w:type="dxa"/>
            <w:shd w:val="clear" w:color="auto" w:fill="auto"/>
          </w:tcPr>
          <w:p w14:paraId="6B1BD007" w14:textId="77777777" w:rsidR="00B35790" w:rsidRDefault="00B35790" w:rsidP="00D82620">
            <w:pPr>
              <w:pStyle w:val="CasesLegislationAppealFrom"/>
              <w:spacing w:after="60"/>
            </w:pPr>
          </w:p>
        </w:tc>
      </w:tr>
      <w:tr w:rsidR="00B35790" w14:paraId="4DD33780" w14:textId="77777777" w:rsidTr="00931239">
        <w:tc>
          <w:tcPr>
            <w:tcW w:w="3084" w:type="dxa"/>
            <w:shd w:val="clear" w:color="auto" w:fill="auto"/>
          </w:tcPr>
          <w:p w14:paraId="5594C72A" w14:textId="77777777" w:rsidR="00B35790" w:rsidRDefault="00B35790" w:rsidP="00663878">
            <w:pPr>
              <w:pStyle w:val="Normal1linespace"/>
              <w:widowControl w:val="0"/>
              <w:jc w:val="left"/>
            </w:pPr>
            <w:r>
              <w:t>Date of hearing:</w:t>
            </w:r>
          </w:p>
        </w:tc>
        <w:tc>
          <w:tcPr>
            <w:tcW w:w="5989" w:type="dxa"/>
            <w:shd w:val="clear" w:color="auto" w:fill="auto"/>
          </w:tcPr>
          <w:p w14:paraId="47A98800" w14:textId="77777777" w:rsidR="00B35790" w:rsidRDefault="00980DCD" w:rsidP="00D82620">
            <w:pPr>
              <w:pStyle w:val="CasesLegislationAppealFrom"/>
              <w:spacing w:after="60"/>
            </w:pPr>
            <w:r>
              <w:t>21 November 2018</w:t>
            </w:r>
          </w:p>
        </w:tc>
      </w:tr>
      <w:tr w:rsidR="00B35790" w14:paraId="77CF40D1" w14:textId="77777777" w:rsidTr="00931239">
        <w:tc>
          <w:tcPr>
            <w:tcW w:w="3084" w:type="dxa"/>
            <w:shd w:val="clear" w:color="auto" w:fill="auto"/>
          </w:tcPr>
          <w:p w14:paraId="3B04F8A0" w14:textId="77777777" w:rsidR="00B35790" w:rsidRDefault="00B35790" w:rsidP="00663878">
            <w:pPr>
              <w:pStyle w:val="Normal1linespace"/>
              <w:widowControl w:val="0"/>
              <w:jc w:val="left"/>
            </w:pPr>
          </w:p>
        </w:tc>
        <w:tc>
          <w:tcPr>
            <w:tcW w:w="5989" w:type="dxa"/>
            <w:shd w:val="clear" w:color="auto" w:fill="auto"/>
          </w:tcPr>
          <w:p w14:paraId="48C2E4C5" w14:textId="77777777" w:rsidR="00B35790" w:rsidRDefault="00B35790" w:rsidP="00D82620">
            <w:pPr>
              <w:pStyle w:val="CasesLegislationAppealFrom"/>
              <w:spacing w:after="60"/>
            </w:pPr>
          </w:p>
        </w:tc>
      </w:tr>
      <w:tr w:rsidR="00B35790" w14:paraId="1A7970CD" w14:textId="77777777" w:rsidTr="00931239">
        <w:tc>
          <w:tcPr>
            <w:tcW w:w="3084" w:type="dxa"/>
            <w:shd w:val="clear" w:color="auto" w:fill="auto"/>
          </w:tcPr>
          <w:p w14:paraId="64F6774D" w14:textId="77777777" w:rsidR="00B35790" w:rsidRDefault="00B35790" w:rsidP="00663878">
            <w:pPr>
              <w:pStyle w:val="Normal1linespace"/>
              <w:widowControl w:val="0"/>
              <w:jc w:val="left"/>
            </w:pPr>
            <w:r>
              <w:t>Registry:</w:t>
            </w:r>
          </w:p>
        </w:tc>
        <w:tc>
          <w:tcPr>
            <w:tcW w:w="5989" w:type="dxa"/>
            <w:shd w:val="clear" w:color="auto" w:fill="auto"/>
          </w:tcPr>
          <w:p w14:paraId="5E4BBC08" w14:textId="77777777" w:rsidR="00B35790" w:rsidRDefault="00980DCD" w:rsidP="00D82620">
            <w:pPr>
              <w:pStyle w:val="CasesLegislationAppealFrom"/>
              <w:spacing w:after="60"/>
            </w:pPr>
            <w:r>
              <w:t>New South Wales</w:t>
            </w:r>
          </w:p>
        </w:tc>
      </w:tr>
      <w:tr w:rsidR="00B35790" w14:paraId="63FEC06B" w14:textId="77777777" w:rsidTr="00931239">
        <w:tc>
          <w:tcPr>
            <w:tcW w:w="3084" w:type="dxa"/>
            <w:shd w:val="clear" w:color="auto" w:fill="auto"/>
          </w:tcPr>
          <w:p w14:paraId="3FE91F8C" w14:textId="77777777" w:rsidR="00B35790" w:rsidRDefault="00B35790" w:rsidP="00663878">
            <w:pPr>
              <w:pStyle w:val="Normal1linespace"/>
              <w:widowControl w:val="0"/>
              <w:jc w:val="left"/>
            </w:pPr>
          </w:p>
        </w:tc>
        <w:tc>
          <w:tcPr>
            <w:tcW w:w="5989" w:type="dxa"/>
            <w:shd w:val="clear" w:color="auto" w:fill="auto"/>
          </w:tcPr>
          <w:p w14:paraId="6D6C04BD" w14:textId="77777777" w:rsidR="00B35790" w:rsidRDefault="00B35790" w:rsidP="00D82620">
            <w:pPr>
              <w:pStyle w:val="CasesLegislationAppealFrom"/>
              <w:spacing w:after="60"/>
            </w:pPr>
          </w:p>
        </w:tc>
      </w:tr>
      <w:tr w:rsidR="00B35790" w14:paraId="6C4E3E5E" w14:textId="77777777" w:rsidTr="00931239">
        <w:tc>
          <w:tcPr>
            <w:tcW w:w="3084" w:type="dxa"/>
            <w:shd w:val="clear" w:color="auto" w:fill="auto"/>
          </w:tcPr>
          <w:p w14:paraId="3F28A928" w14:textId="77777777" w:rsidR="00B35790" w:rsidRDefault="00980DCD" w:rsidP="00663878">
            <w:pPr>
              <w:pStyle w:val="Normal1linespace"/>
              <w:widowControl w:val="0"/>
              <w:jc w:val="left"/>
            </w:pPr>
            <w:r>
              <w:t>Division:</w:t>
            </w:r>
          </w:p>
        </w:tc>
        <w:tc>
          <w:tcPr>
            <w:tcW w:w="5989" w:type="dxa"/>
            <w:shd w:val="clear" w:color="auto" w:fill="auto"/>
          </w:tcPr>
          <w:p w14:paraId="15EE26AB" w14:textId="77777777" w:rsidR="00B35790" w:rsidRDefault="00980DCD" w:rsidP="00D82620">
            <w:pPr>
              <w:pStyle w:val="CasesLegislationAppealFrom"/>
              <w:spacing w:after="60"/>
            </w:pPr>
            <w:r>
              <w:t>General Division</w:t>
            </w:r>
          </w:p>
        </w:tc>
      </w:tr>
      <w:tr w:rsidR="00980DCD" w14:paraId="4D8C7931" w14:textId="77777777" w:rsidTr="00931239">
        <w:tc>
          <w:tcPr>
            <w:tcW w:w="3084" w:type="dxa"/>
            <w:shd w:val="clear" w:color="auto" w:fill="auto"/>
          </w:tcPr>
          <w:p w14:paraId="10BB8A99" w14:textId="77777777" w:rsidR="00980DCD" w:rsidRDefault="00980DCD" w:rsidP="00663878">
            <w:pPr>
              <w:pStyle w:val="Normal1linespace"/>
              <w:widowControl w:val="0"/>
              <w:jc w:val="left"/>
            </w:pPr>
          </w:p>
        </w:tc>
        <w:tc>
          <w:tcPr>
            <w:tcW w:w="5989" w:type="dxa"/>
            <w:shd w:val="clear" w:color="auto" w:fill="auto"/>
          </w:tcPr>
          <w:p w14:paraId="05C0B92C" w14:textId="77777777" w:rsidR="00980DCD" w:rsidRDefault="00980DCD" w:rsidP="00D82620">
            <w:pPr>
              <w:pStyle w:val="CasesLegislationAppealFrom"/>
              <w:spacing w:after="60"/>
            </w:pPr>
          </w:p>
        </w:tc>
      </w:tr>
      <w:tr w:rsidR="00980DCD" w14:paraId="479F8A3D" w14:textId="77777777" w:rsidTr="00931239">
        <w:tc>
          <w:tcPr>
            <w:tcW w:w="3084" w:type="dxa"/>
            <w:shd w:val="clear" w:color="auto" w:fill="auto"/>
          </w:tcPr>
          <w:p w14:paraId="21122D16" w14:textId="77777777" w:rsidR="00980DCD" w:rsidRDefault="00980DCD" w:rsidP="00663878">
            <w:pPr>
              <w:pStyle w:val="Normal1linespace"/>
              <w:widowControl w:val="0"/>
              <w:jc w:val="left"/>
            </w:pPr>
            <w:r>
              <w:t>National Practice Area:</w:t>
            </w:r>
          </w:p>
        </w:tc>
        <w:tc>
          <w:tcPr>
            <w:tcW w:w="5989" w:type="dxa"/>
            <w:shd w:val="clear" w:color="auto" w:fill="auto"/>
          </w:tcPr>
          <w:p w14:paraId="51586821" w14:textId="77777777" w:rsidR="00980DCD" w:rsidRDefault="00980DCD" w:rsidP="00D82620">
            <w:pPr>
              <w:pStyle w:val="CasesLegislationAppealFrom"/>
              <w:spacing w:after="60"/>
            </w:pPr>
            <w:r>
              <w:t>Administrative and Constitutional Law and Human Rights</w:t>
            </w:r>
          </w:p>
        </w:tc>
      </w:tr>
      <w:tr w:rsidR="00980DCD" w14:paraId="095CA4CA" w14:textId="77777777" w:rsidTr="00931239">
        <w:tc>
          <w:tcPr>
            <w:tcW w:w="3084" w:type="dxa"/>
            <w:shd w:val="clear" w:color="auto" w:fill="auto"/>
          </w:tcPr>
          <w:p w14:paraId="4E870E3E" w14:textId="77777777" w:rsidR="00980DCD" w:rsidRDefault="00980DCD" w:rsidP="00663878">
            <w:pPr>
              <w:pStyle w:val="Normal1linespace"/>
              <w:widowControl w:val="0"/>
              <w:jc w:val="left"/>
            </w:pPr>
          </w:p>
        </w:tc>
        <w:tc>
          <w:tcPr>
            <w:tcW w:w="5989" w:type="dxa"/>
            <w:shd w:val="clear" w:color="auto" w:fill="auto"/>
          </w:tcPr>
          <w:p w14:paraId="2E3A3053" w14:textId="77777777" w:rsidR="00980DCD" w:rsidRDefault="00980DCD" w:rsidP="00D82620">
            <w:pPr>
              <w:pStyle w:val="CasesLegislationAppealFrom"/>
              <w:spacing w:after="60"/>
            </w:pPr>
          </w:p>
        </w:tc>
      </w:tr>
      <w:tr w:rsidR="00980DCD" w14:paraId="0548A42F" w14:textId="77777777" w:rsidTr="00931239">
        <w:tc>
          <w:tcPr>
            <w:tcW w:w="3084" w:type="dxa"/>
            <w:shd w:val="clear" w:color="auto" w:fill="auto"/>
          </w:tcPr>
          <w:p w14:paraId="422A9B8B" w14:textId="77777777" w:rsidR="00980DCD" w:rsidRDefault="00980DCD" w:rsidP="00663878">
            <w:pPr>
              <w:pStyle w:val="Normal1linespace"/>
              <w:widowControl w:val="0"/>
              <w:jc w:val="left"/>
            </w:pPr>
            <w:r>
              <w:t>Category:</w:t>
            </w:r>
          </w:p>
        </w:tc>
        <w:tc>
          <w:tcPr>
            <w:tcW w:w="5989" w:type="dxa"/>
            <w:shd w:val="clear" w:color="auto" w:fill="auto"/>
          </w:tcPr>
          <w:p w14:paraId="779E0C3E" w14:textId="77777777" w:rsidR="00980DCD" w:rsidRDefault="00980DCD" w:rsidP="00D82620">
            <w:pPr>
              <w:pStyle w:val="CasesLegislationAppealFrom"/>
              <w:spacing w:after="60"/>
            </w:pPr>
            <w:r>
              <w:t>Catchwords</w:t>
            </w:r>
          </w:p>
        </w:tc>
      </w:tr>
      <w:tr w:rsidR="00980DCD" w14:paraId="544B903B" w14:textId="77777777" w:rsidTr="00931239">
        <w:tc>
          <w:tcPr>
            <w:tcW w:w="3084" w:type="dxa"/>
            <w:shd w:val="clear" w:color="auto" w:fill="auto"/>
          </w:tcPr>
          <w:p w14:paraId="4ECF43B7" w14:textId="77777777" w:rsidR="00980DCD" w:rsidRDefault="00980DCD" w:rsidP="00663878">
            <w:pPr>
              <w:pStyle w:val="Normal1linespace"/>
              <w:widowControl w:val="0"/>
              <w:jc w:val="left"/>
            </w:pPr>
          </w:p>
        </w:tc>
        <w:tc>
          <w:tcPr>
            <w:tcW w:w="5989" w:type="dxa"/>
            <w:shd w:val="clear" w:color="auto" w:fill="auto"/>
          </w:tcPr>
          <w:p w14:paraId="00659681" w14:textId="77777777" w:rsidR="00980DCD" w:rsidRDefault="00980DCD" w:rsidP="00D82620">
            <w:pPr>
              <w:pStyle w:val="CasesLegislationAppealFrom"/>
              <w:spacing w:after="60"/>
            </w:pPr>
          </w:p>
        </w:tc>
      </w:tr>
      <w:tr w:rsidR="00980DCD" w14:paraId="7FD1154E" w14:textId="77777777" w:rsidTr="00931239">
        <w:tc>
          <w:tcPr>
            <w:tcW w:w="3084" w:type="dxa"/>
            <w:shd w:val="clear" w:color="auto" w:fill="auto"/>
          </w:tcPr>
          <w:p w14:paraId="71E8F834" w14:textId="77777777" w:rsidR="00980DCD" w:rsidRDefault="00980DCD" w:rsidP="00663878">
            <w:pPr>
              <w:pStyle w:val="Normal1linespace"/>
              <w:widowControl w:val="0"/>
              <w:jc w:val="left"/>
            </w:pPr>
            <w:r>
              <w:t>Number of paragraphs:</w:t>
            </w:r>
          </w:p>
        </w:tc>
        <w:tc>
          <w:tcPr>
            <w:tcW w:w="5989" w:type="dxa"/>
            <w:shd w:val="clear" w:color="auto" w:fill="auto"/>
          </w:tcPr>
          <w:p w14:paraId="1186EA24" w14:textId="77777777" w:rsidR="00980DCD" w:rsidRDefault="00980DCD" w:rsidP="00D82620">
            <w:pPr>
              <w:pStyle w:val="CasesLegislationAppealFrom"/>
              <w:spacing w:after="60"/>
            </w:pPr>
            <w:r w:rsidRPr="006F337D">
              <w:t>29</w:t>
            </w:r>
          </w:p>
        </w:tc>
      </w:tr>
      <w:tr w:rsidR="00980DCD" w14:paraId="562DC22E" w14:textId="77777777" w:rsidTr="00931239">
        <w:tc>
          <w:tcPr>
            <w:tcW w:w="3084" w:type="dxa"/>
            <w:shd w:val="clear" w:color="auto" w:fill="auto"/>
          </w:tcPr>
          <w:p w14:paraId="132B5450" w14:textId="77777777" w:rsidR="00980DCD" w:rsidRDefault="00980DCD" w:rsidP="00663878">
            <w:pPr>
              <w:pStyle w:val="Normal1linespace"/>
              <w:widowControl w:val="0"/>
              <w:jc w:val="left"/>
            </w:pPr>
          </w:p>
        </w:tc>
        <w:tc>
          <w:tcPr>
            <w:tcW w:w="5989" w:type="dxa"/>
            <w:shd w:val="clear" w:color="auto" w:fill="auto"/>
          </w:tcPr>
          <w:p w14:paraId="004E4806" w14:textId="77777777" w:rsidR="00980DCD" w:rsidRDefault="00980DCD" w:rsidP="00D82620">
            <w:pPr>
              <w:pStyle w:val="CasesLegislationAppealFrom"/>
              <w:spacing w:after="60"/>
            </w:pPr>
          </w:p>
        </w:tc>
      </w:tr>
      <w:tr w:rsidR="00980DCD" w14:paraId="5B135C78" w14:textId="77777777" w:rsidTr="00931239">
        <w:tc>
          <w:tcPr>
            <w:tcW w:w="3084" w:type="dxa"/>
            <w:shd w:val="clear" w:color="auto" w:fill="auto"/>
          </w:tcPr>
          <w:p w14:paraId="347F3ACD" w14:textId="77777777" w:rsidR="00980DCD" w:rsidRDefault="00980DCD" w:rsidP="00663878">
            <w:pPr>
              <w:pStyle w:val="Normal1linespace"/>
              <w:widowControl w:val="0"/>
              <w:jc w:val="left"/>
            </w:pPr>
            <w:r>
              <w:t>Counsel for the Appellant:</w:t>
            </w:r>
          </w:p>
        </w:tc>
        <w:tc>
          <w:tcPr>
            <w:tcW w:w="5989" w:type="dxa"/>
            <w:shd w:val="clear" w:color="auto" w:fill="auto"/>
          </w:tcPr>
          <w:p w14:paraId="0FFF9567" w14:textId="77777777" w:rsidR="00980DCD" w:rsidRDefault="0044653A" w:rsidP="00D82620">
            <w:pPr>
              <w:pStyle w:val="CasesLegislationAppealFrom"/>
              <w:spacing w:after="60"/>
            </w:pPr>
            <w:r>
              <w:t>The Appellant appeared in person</w:t>
            </w:r>
          </w:p>
        </w:tc>
      </w:tr>
      <w:tr w:rsidR="00980DCD" w14:paraId="161E3995" w14:textId="77777777" w:rsidTr="00931239">
        <w:tc>
          <w:tcPr>
            <w:tcW w:w="3084" w:type="dxa"/>
            <w:shd w:val="clear" w:color="auto" w:fill="auto"/>
          </w:tcPr>
          <w:p w14:paraId="10CF4F73" w14:textId="77777777" w:rsidR="00980DCD" w:rsidRDefault="00980DCD" w:rsidP="00663878">
            <w:pPr>
              <w:pStyle w:val="Normal1linespace"/>
              <w:widowControl w:val="0"/>
              <w:jc w:val="left"/>
            </w:pPr>
          </w:p>
        </w:tc>
        <w:tc>
          <w:tcPr>
            <w:tcW w:w="5989" w:type="dxa"/>
            <w:shd w:val="clear" w:color="auto" w:fill="auto"/>
          </w:tcPr>
          <w:p w14:paraId="7C2798CF" w14:textId="77777777" w:rsidR="00980DCD" w:rsidRDefault="00980DCD" w:rsidP="00D82620">
            <w:pPr>
              <w:pStyle w:val="CasesLegislationAppealFrom"/>
              <w:spacing w:after="60"/>
            </w:pPr>
          </w:p>
        </w:tc>
      </w:tr>
      <w:tr w:rsidR="00980DCD" w14:paraId="2C6DEC46" w14:textId="77777777" w:rsidTr="00931239">
        <w:tc>
          <w:tcPr>
            <w:tcW w:w="3084" w:type="dxa"/>
            <w:shd w:val="clear" w:color="auto" w:fill="auto"/>
          </w:tcPr>
          <w:p w14:paraId="2093D0B0" w14:textId="77777777" w:rsidR="00980DCD" w:rsidRDefault="0044653A" w:rsidP="00980DCD">
            <w:pPr>
              <w:pStyle w:val="Normal1linespace"/>
              <w:widowControl w:val="0"/>
              <w:jc w:val="left"/>
            </w:pPr>
            <w:r>
              <w:t>Solicitor</w:t>
            </w:r>
            <w:r w:rsidR="00980DCD">
              <w:t xml:space="preserve"> for the First Respondent:</w:t>
            </w:r>
          </w:p>
        </w:tc>
        <w:tc>
          <w:tcPr>
            <w:tcW w:w="5989" w:type="dxa"/>
            <w:shd w:val="clear" w:color="auto" w:fill="auto"/>
          </w:tcPr>
          <w:p w14:paraId="61B9B552" w14:textId="77777777" w:rsidR="00980DCD" w:rsidRDefault="0044653A" w:rsidP="00D82620">
            <w:pPr>
              <w:pStyle w:val="CasesLegislationAppealFrom"/>
              <w:spacing w:after="60"/>
            </w:pPr>
            <w:r>
              <w:t xml:space="preserve">Mr J McGovern of Clayton </w:t>
            </w:r>
            <w:proofErr w:type="spellStart"/>
            <w:r>
              <w:t>Utz</w:t>
            </w:r>
            <w:proofErr w:type="spellEnd"/>
          </w:p>
        </w:tc>
      </w:tr>
      <w:tr w:rsidR="00980DCD" w14:paraId="5C0B6F6D" w14:textId="77777777" w:rsidTr="00931239">
        <w:tc>
          <w:tcPr>
            <w:tcW w:w="3084" w:type="dxa"/>
            <w:shd w:val="clear" w:color="auto" w:fill="auto"/>
          </w:tcPr>
          <w:p w14:paraId="100DF8F9" w14:textId="77777777" w:rsidR="00980DCD" w:rsidRDefault="00980DCD" w:rsidP="00663878">
            <w:pPr>
              <w:pStyle w:val="Normal1linespace"/>
              <w:widowControl w:val="0"/>
              <w:jc w:val="left"/>
            </w:pPr>
          </w:p>
        </w:tc>
        <w:tc>
          <w:tcPr>
            <w:tcW w:w="5989" w:type="dxa"/>
            <w:shd w:val="clear" w:color="auto" w:fill="auto"/>
          </w:tcPr>
          <w:p w14:paraId="03151D23" w14:textId="77777777" w:rsidR="00980DCD" w:rsidRDefault="00980DCD" w:rsidP="00D82620">
            <w:pPr>
              <w:pStyle w:val="CasesLegislationAppealFrom"/>
              <w:spacing w:after="60"/>
            </w:pPr>
          </w:p>
        </w:tc>
      </w:tr>
      <w:tr w:rsidR="00980DCD" w14:paraId="6DAD3404" w14:textId="77777777" w:rsidTr="00931239">
        <w:tc>
          <w:tcPr>
            <w:tcW w:w="3084" w:type="dxa"/>
            <w:shd w:val="clear" w:color="auto" w:fill="auto"/>
          </w:tcPr>
          <w:p w14:paraId="3DBE8CC8" w14:textId="77777777" w:rsidR="00980DCD" w:rsidRDefault="00980DCD" w:rsidP="00663878">
            <w:pPr>
              <w:pStyle w:val="Normal1linespace"/>
              <w:widowControl w:val="0"/>
              <w:jc w:val="left"/>
            </w:pPr>
            <w:r>
              <w:t>Counsel for the Second Respondent:</w:t>
            </w:r>
          </w:p>
        </w:tc>
        <w:tc>
          <w:tcPr>
            <w:tcW w:w="5989" w:type="dxa"/>
            <w:shd w:val="clear" w:color="auto" w:fill="auto"/>
          </w:tcPr>
          <w:p w14:paraId="522B9984" w14:textId="77777777" w:rsidR="00980DCD" w:rsidRDefault="00980DCD" w:rsidP="00D82620">
            <w:pPr>
              <w:pStyle w:val="CasesLegislationAppealFrom"/>
              <w:spacing w:after="60"/>
            </w:pPr>
            <w:r>
              <w:t>The Second Respondent filed a su</w:t>
            </w:r>
            <w:r w:rsidR="0044653A">
              <w:t>bmitting notice save as to costs</w:t>
            </w:r>
          </w:p>
        </w:tc>
      </w:tr>
    </w:tbl>
    <w:p w14:paraId="28B18034" w14:textId="77777777" w:rsidR="00395B24" w:rsidRDefault="002C7385">
      <w:pPr>
        <w:pStyle w:val="Normal1linespace"/>
      </w:pPr>
      <w:bookmarkStart w:id="6" w:name="CounselTable"/>
      <w:r>
        <w:t xml:space="preserve"> </w:t>
      </w:r>
      <w:bookmarkEnd w:id="6"/>
    </w:p>
    <w:p w14:paraId="3C902362" w14:textId="77777777" w:rsidR="0092590B" w:rsidRDefault="0092590B">
      <w:pPr>
        <w:pStyle w:val="Normal1linespace"/>
      </w:pPr>
    </w:p>
    <w:p w14:paraId="00AA2DF0" w14:textId="77777777" w:rsidR="00395B24" w:rsidRDefault="00395B24">
      <w:pPr>
        <w:pStyle w:val="Normal1linespace"/>
        <w:sectPr w:rsidR="00395B2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851" w:gutter="0"/>
          <w:pgNumType w:start="1"/>
          <w:cols w:space="720"/>
          <w:noEndnote/>
          <w:titlePg/>
        </w:sectPr>
      </w:pPr>
    </w:p>
    <w:p w14:paraId="1BB100AB"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2669D213" w14:textId="77777777" w:rsidTr="00E81DA6">
        <w:tc>
          <w:tcPr>
            <w:tcW w:w="6912" w:type="dxa"/>
            <w:gridSpan w:val="2"/>
          </w:tcPr>
          <w:p w14:paraId="7073679A" w14:textId="77777777" w:rsidR="00A46CCC" w:rsidRPr="001765E0" w:rsidRDefault="00A46CCC" w:rsidP="00525A49">
            <w:pPr>
              <w:pStyle w:val="NormalHeadings"/>
            </w:pPr>
          </w:p>
        </w:tc>
        <w:tc>
          <w:tcPr>
            <w:tcW w:w="2330" w:type="dxa"/>
          </w:tcPr>
          <w:p w14:paraId="165A6F3A" w14:textId="2E6F7D77" w:rsidR="00A46CCC" w:rsidRDefault="00B35790" w:rsidP="00DE3907">
            <w:pPr>
              <w:pStyle w:val="NormalHeadings"/>
              <w:jc w:val="right"/>
            </w:pPr>
            <w:bookmarkStart w:id="7" w:name="FileNo"/>
            <w:r>
              <w:t>NSD</w:t>
            </w:r>
            <w:r w:rsidR="00980DCD">
              <w:t xml:space="preserve"> </w:t>
            </w:r>
            <w:r w:rsidR="00DE3907">
              <w:t>859</w:t>
            </w:r>
            <w:r w:rsidR="00980DCD">
              <w:t xml:space="preserve"> of </w:t>
            </w:r>
            <w:r>
              <w:t>2018</w:t>
            </w:r>
            <w:bookmarkEnd w:id="7"/>
          </w:p>
        </w:tc>
      </w:tr>
      <w:tr w:rsidR="00A76C13" w14:paraId="362A7317" w14:textId="77777777" w:rsidTr="00931239">
        <w:tc>
          <w:tcPr>
            <w:tcW w:w="9242" w:type="dxa"/>
            <w:gridSpan w:val="3"/>
          </w:tcPr>
          <w:p w14:paraId="44ACD9C0" w14:textId="77777777" w:rsidR="00A76C13" w:rsidRPr="00A76C13" w:rsidRDefault="00B35790" w:rsidP="00B35790">
            <w:pPr>
              <w:pStyle w:val="NormalHeadings"/>
              <w:jc w:val="left"/>
            </w:pPr>
            <w:bookmarkStart w:id="8" w:name="InTheMatterOf"/>
            <w:r>
              <w:t xml:space="preserve"> </w:t>
            </w:r>
            <w:bookmarkEnd w:id="8"/>
          </w:p>
        </w:tc>
      </w:tr>
      <w:tr w:rsidR="00A46CCC" w14:paraId="1DED8EBF" w14:textId="77777777" w:rsidTr="00931239">
        <w:trPr>
          <w:trHeight w:val="386"/>
        </w:trPr>
        <w:tc>
          <w:tcPr>
            <w:tcW w:w="2376" w:type="dxa"/>
          </w:tcPr>
          <w:p w14:paraId="158E191E" w14:textId="77777777" w:rsidR="00A46CCC" w:rsidRDefault="00A46CCC" w:rsidP="00931239">
            <w:pPr>
              <w:pStyle w:val="NormalHeadings"/>
              <w:jc w:val="left"/>
              <w:rPr>
                <w:caps/>
                <w:szCs w:val="24"/>
              </w:rPr>
            </w:pPr>
            <w:bookmarkStart w:id="9" w:name="Parties"/>
            <w:r>
              <w:rPr>
                <w:caps/>
                <w:szCs w:val="24"/>
              </w:rPr>
              <w:t>BETWEEN:</w:t>
            </w:r>
          </w:p>
        </w:tc>
        <w:tc>
          <w:tcPr>
            <w:tcW w:w="6866" w:type="dxa"/>
            <w:gridSpan w:val="2"/>
          </w:tcPr>
          <w:p w14:paraId="07664C9F" w14:textId="09C3AE4E" w:rsidR="00B35790" w:rsidRDefault="006F337D" w:rsidP="00B35790">
            <w:pPr>
              <w:pStyle w:val="NormalHeadings"/>
              <w:jc w:val="left"/>
            </w:pPr>
            <w:bookmarkStart w:id="10" w:name="Applicant"/>
            <w:r>
              <w:t>AQP16</w:t>
            </w:r>
          </w:p>
          <w:p w14:paraId="7A96367E" w14:textId="77777777" w:rsidR="00B35790" w:rsidRDefault="00B35790" w:rsidP="00B35790">
            <w:pPr>
              <w:pStyle w:val="PartyType"/>
            </w:pPr>
            <w:r>
              <w:t>Appellant</w:t>
            </w:r>
          </w:p>
          <w:bookmarkEnd w:id="10"/>
          <w:p w14:paraId="6FB56B98" w14:textId="77777777" w:rsidR="00A46CCC" w:rsidRPr="006555B4" w:rsidRDefault="00A46CCC" w:rsidP="00931239">
            <w:pPr>
              <w:pStyle w:val="NormalHeadings"/>
              <w:jc w:val="left"/>
            </w:pPr>
          </w:p>
        </w:tc>
      </w:tr>
      <w:tr w:rsidR="00A46CCC" w14:paraId="737C6AAC" w14:textId="77777777" w:rsidTr="00931239">
        <w:trPr>
          <w:trHeight w:val="386"/>
        </w:trPr>
        <w:tc>
          <w:tcPr>
            <w:tcW w:w="2376" w:type="dxa"/>
          </w:tcPr>
          <w:p w14:paraId="3D89F7D9" w14:textId="77777777" w:rsidR="00A46CCC" w:rsidRDefault="00A46CCC" w:rsidP="00931239">
            <w:pPr>
              <w:pStyle w:val="NormalHeadings"/>
              <w:jc w:val="left"/>
              <w:rPr>
                <w:caps/>
                <w:szCs w:val="24"/>
              </w:rPr>
            </w:pPr>
            <w:r>
              <w:rPr>
                <w:caps/>
                <w:szCs w:val="24"/>
              </w:rPr>
              <w:t>AND:</w:t>
            </w:r>
          </w:p>
        </w:tc>
        <w:tc>
          <w:tcPr>
            <w:tcW w:w="6866" w:type="dxa"/>
            <w:gridSpan w:val="2"/>
          </w:tcPr>
          <w:p w14:paraId="70F61E17" w14:textId="77777777" w:rsidR="00B35790" w:rsidRDefault="00B35790" w:rsidP="00B35790">
            <w:pPr>
              <w:pStyle w:val="NormalHeadings"/>
              <w:jc w:val="left"/>
            </w:pPr>
            <w:bookmarkStart w:id="11" w:name="Respondent"/>
            <w:r>
              <w:t>MINISTER FOR IMMIGRATION AND BORDER PROTECTION</w:t>
            </w:r>
          </w:p>
          <w:p w14:paraId="2CED4587" w14:textId="77777777" w:rsidR="00B35790" w:rsidRDefault="00B35790" w:rsidP="00B35790">
            <w:pPr>
              <w:pStyle w:val="PartyType"/>
            </w:pPr>
            <w:r>
              <w:t>First Respondent</w:t>
            </w:r>
          </w:p>
          <w:p w14:paraId="2591188C" w14:textId="77777777" w:rsidR="00B35790" w:rsidRDefault="00B35790" w:rsidP="00931239">
            <w:pPr>
              <w:pStyle w:val="NormalHeadings"/>
              <w:jc w:val="left"/>
              <w:rPr>
                <w:szCs w:val="24"/>
              </w:rPr>
            </w:pPr>
          </w:p>
          <w:p w14:paraId="4A6777CB" w14:textId="77777777" w:rsidR="00B35790" w:rsidRDefault="00B35790" w:rsidP="00B35790">
            <w:pPr>
              <w:pStyle w:val="NormalHeadings"/>
              <w:jc w:val="left"/>
            </w:pPr>
            <w:r>
              <w:t>ADMINISTRATIVE APPEALS TRIBUNAL</w:t>
            </w:r>
          </w:p>
          <w:p w14:paraId="7E6B84C7" w14:textId="77777777" w:rsidR="00B35790" w:rsidRDefault="00B35790" w:rsidP="00B35790">
            <w:pPr>
              <w:pStyle w:val="PartyType"/>
            </w:pPr>
            <w:r>
              <w:t>Second Respondent</w:t>
            </w:r>
          </w:p>
          <w:bookmarkEnd w:id="11"/>
          <w:p w14:paraId="7DD1C4EB" w14:textId="77777777" w:rsidR="00A46CCC" w:rsidRPr="006555B4" w:rsidRDefault="00A46CCC" w:rsidP="00931239">
            <w:pPr>
              <w:pStyle w:val="NormalHeadings"/>
              <w:jc w:val="left"/>
            </w:pPr>
          </w:p>
        </w:tc>
      </w:tr>
    </w:tbl>
    <w:p w14:paraId="071539B4" w14:textId="77777777" w:rsidR="00395B24" w:rsidRDefault="00395B24">
      <w:pPr>
        <w:pStyle w:val="NormalHeadings"/>
      </w:pPr>
      <w:bookmarkStart w:id="12" w:name="CrossClaimPosition"/>
      <w:bookmarkEnd w:id="9"/>
      <w:bookmarkEnd w:id="12"/>
    </w:p>
    <w:tbl>
      <w:tblPr>
        <w:tblW w:w="0" w:type="auto"/>
        <w:tblLayout w:type="fixed"/>
        <w:tblLook w:val="0000" w:firstRow="0" w:lastRow="0" w:firstColumn="0" w:lastColumn="0" w:noHBand="0" w:noVBand="0"/>
        <w:tblCaption w:val="Judge"/>
        <w:tblDescription w:val="Judge"/>
      </w:tblPr>
      <w:tblGrid>
        <w:gridCol w:w="2376"/>
        <w:gridCol w:w="6866"/>
      </w:tblGrid>
      <w:tr w:rsidR="00395B24" w14:paraId="1E18E861" w14:textId="77777777">
        <w:tc>
          <w:tcPr>
            <w:tcW w:w="2376" w:type="dxa"/>
          </w:tcPr>
          <w:p w14:paraId="5453738C" w14:textId="77777777" w:rsidR="00395B24" w:rsidRDefault="00B35790">
            <w:pPr>
              <w:pStyle w:val="NormalHeadings"/>
              <w:spacing w:after="120"/>
              <w:jc w:val="left"/>
              <w:rPr>
                <w:caps/>
                <w:szCs w:val="24"/>
              </w:rPr>
            </w:pPr>
            <w:bookmarkStart w:id="13" w:name="JudgeText"/>
            <w:r>
              <w:rPr>
                <w:caps/>
                <w:szCs w:val="24"/>
              </w:rPr>
              <w:t>JUDGE</w:t>
            </w:r>
            <w:bookmarkEnd w:id="13"/>
            <w:r w:rsidR="002C7385">
              <w:rPr>
                <w:caps/>
                <w:szCs w:val="24"/>
              </w:rPr>
              <w:t>:</w:t>
            </w:r>
          </w:p>
        </w:tc>
        <w:tc>
          <w:tcPr>
            <w:tcW w:w="6866" w:type="dxa"/>
          </w:tcPr>
          <w:p w14:paraId="2084B4CD" w14:textId="77777777" w:rsidR="00395B24" w:rsidRDefault="00B35790">
            <w:pPr>
              <w:pStyle w:val="NormalHeadings"/>
              <w:jc w:val="left"/>
              <w:rPr>
                <w:caps/>
                <w:szCs w:val="24"/>
              </w:rPr>
            </w:pPr>
            <w:bookmarkStart w:id="14" w:name="Judge"/>
            <w:r>
              <w:rPr>
                <w:caps/>
                <w:szCs w:val="24"/>
              </w:rPr>
              <w:t>BROMWICH J</w:t>
            </w:r>
            <w:bookmarkEnd w:id="14"/>
          </w:p>
        </w:tc>
      </w:tr>
      <w:tr w:rsidR="00395B24" w14:paraId="4B964573" w14:textId="77777777">
        <w:tc>
          <w:tcPr>
            <w:tcW w:w="2376" w:type="dxa"/>
          </w:tcPr>
          <w:p w14:paraId="3C9784CA" w14:textId="77777777" w:rsidR="00395B24" w:rsidRDefault="002C7385">
            <w:pPr>
              <w:pStyle w:val="NormalHeadings"/>
              <w:spacing w:after="120"/>
              <w:jc w:val="left"/>
              <w:rPr>
                <w:caps/>
                <w:szCs w:val="24"/>
              </w:rPr>
            </w:pPr>
            <w:r>
              <w:rPr>
                <w:caps/>
                <w:szCs w:val="24"/>
              </w:rPr>
              <w:t>DATE OF ORDER:</w:t>
            </w:r>
          </w:p>
        </w:tc>
        <w:tc>
          <w:tcPr>
            <w:tcW w:w="6866" w:type="dxa"/>
          </w:tcPr>
          <w:p w14:paraId="1BCE1207" w14:textId="77777777" w:rsidR="00395B24" w:rsidRDefault="00980DCD">
            <w:pPr>
              <w:pStyle w:val="NormalHeadings"/>
              <w:jc w:val="left"/>
              <w:rPr>
                <w:caps/>
                <w:szCs w:val="24"/>
              </w:rPr>
            </w:pPr>
            <w:bookmarkStart w:id="15" w:name="Judgment_Dated"/>
            <w:r w:rsidRPr="00631BBD">
              <w:rPr>
                <w:caps/>
                <w:szCs w:val="24"/>
              </w:rPr>
              <w:t>30</w:t>
            </w:r>
            <w:r w:rsidRPr="00980DCD">
              <w:rPr>
                <w:caps/>
                <w:szCs w:val="24"/>
              </w:rPr>
              <w:t xml:space="preserve"> </w:t>
            </w:r>
            <w:r w:rsidR="00B35790">
              <w:rPr>
                <w:caps/>
                <w:szCs w:val="24"/>
              </w:rPr>
              <w:t>NOVEMBER 2018</w:t>
            </w:r>
            <w:bookmarkEnd w:id="15"/>
          </w:p>
        </w:tc>
      </w:tr>
    </w:tbl>
    <w:p w14:paraId="5EF31B60" w14:textId="77777777" w:rsidR="00395B24" w:rsidRDefault="00395B24">
      <w:pPr>
        <w:pStyle w:val="NormalHeadings"/>
        <w:rPr>
          <w:b w:val="0"/>
        </w:rPr>
      </w:pPr>
    </w:p>
    <w:p w14:paraId="2F6E2078" w14:textId="77777777" w:rsidR="008D1617" w:rsidRDefault="008D1617">
      <w:pPr>
        <w:pStyle w:val="NormalHeadings"/>
        <w:rPr>
          <w:b w:val="0"/>
        </w:rPr>
      </w:pPr>
    </w:p>
    <w:p w14:paraId="2EE07955" w14:textId="77777777" w:rsidR="00395B24" w:rsidRDefault="002C7385">
      <w:pPr>
        <w:pStyle w:val="NormalHeadings"/>
      </w:pPr>
      <w:r>
        <w:t>THE COURT ORDERS THAT:</w:t>
      </w:r>
    </w:p>
    <w:p w14:paraId="749B6E45" w14:textId="77777777" w:rsidR="00395B24" w:rsidRDefault="00395B24">
      <w:pPr>
        <w:pStyle w:val="NormalHeadings"/>
      </w:pPr>
    </w:p>
    <w:p w14:paraId="09E23658" w14:textId="77777777" w:rsidR="0088341D" w:rsidRDefault="0088341D" w:rsidP="00274F5B">
      <w:pPr>
        <w:pStyle w:val="Order1"/>
      </w:pPr>
      <w:bookmarkStart w:id="16" w:name="Order_Start_Text"/>
      <w:bookmarkEnd w:id="16"/>
      <w:r>
        <w:t>Leave to rely upon ground 1 in the undated notice of appeal filed on 24 May 2018 be refused.</w:t>
      </w:r>
    </w:p>
    <w:p w14:paraId="464B8963" w14:textId="77777777" w:rsidR="00395B24" w:rsidRDefault="00A6002A" w:rsidP="00274F5B">
      <w:pPr>
        <w:pStyle w:val="Order1"/>
      </w:pPr>
      <w:r>
        <w:t>The appeal be dismissed.</w:t>
      </w:r>
    </w:p>
    <w:p w14:paraId="5AE27660" w14:textId="49A63067" w:rsidR="00A6002A" w:rsidRDefault="00A6002A" w:rsidP="00274F5B">
      <w:pPr>
        <w:pStyle w:val="Order1"/>
      </w:pPr>
      <w:r>
        <w:t>The appellant pay the first respondent</w:t>
      </w:r>
      <w:r w:rsidR="00BF5075">
        <w:t>’</w:t>
      </w:r>
      <w:r>
        <w:t xml:space="preserve">s costs </w:t>
      </w:r>
      <w:r w:rsidR="00E44D1C">
        <w:t>fixed in the sum of $3,500</w:t>
      </w:r>
      <w:r>
        <w:t>.</w:t>
      </w:r>
    </w:p>
    <w:p w14:paraId="3CE431CB" w14:textId="77777777" w:rsidR="00636871" w:rsidRDefault="00636871" w:rsidP="002B0E91">
      <w:pPr>
        <w:pStyle w:val="BodyText"/>
      </w:pPr>
    </w:p>
    <w:p w14:paraId="19570853" w14:textId="77777777" w:rsidR="00395B24" w:rsidRDefault="00395B24" w:rsidP="002B0E91">
      <w:pPr>
        <w:pStyle w:val="BodyText"/>
      </w:pPr>
    </w:p>
    <w:p w14:paraId="3AE707E2" w14:textId="77777777" w:rsidR="00395B24" w:rsidRDefault="002C7385" w:rsidP="004D53E5">
      <w:pPr>
        <w:pStyle w:val="SingleSpace"/>
      </w:pPr>
      <w:r>
        <w:t>Note:</w:t>
      </w:r>
      <w:r>
        <w:tab/>
        <w:t xml:space="preserve">Entry of orders is dealt with in Rule 39.32 of the </w:t>
      </w:r>
      <w:r>
        <w:rPr>
          <w:i/>
        </w:rPr>
        <w:t>Federal Court Rules 2011</w:t>
      </w:r>
      <w:r>
        <w:t>.</w:t>
      </w:r>
    </w:p>
    <w:p w14:paraId="4C2637A0" w14:textId="77777777" w:rsidR="00395B24" w:rsidRDefault="00395B24" w:rsidP="002B0E91">
      <w:pPr>
        <w:pStyle w:val="BodyText"/>
      </w:pPr>
    </w:p>
    <w:p w14:paraId="7130DCC0" w14:textId="77777777" w:rsidR="00395B24" w:rsidRDefault="00395B24" w:rsidP="001F2DBC">
      <w:pPr>
        <w:pStyle w:val="BodyText"/>
      </w:pPr>
    </w:p>
    <w:p w14:paraId="7A91939A" w14:textId="77777777" w:rsidR="0092590B" w:rsidRDefault="0092590B" w:rsidP="002B0E91">
      <w:pPr>
        <w:pStyle w:val="BodyText"/>
      </w:pPr>
    </w:p>
    <w:p w14:paraId="3DD883D7" w14:textId="77777777" w:rsidR="00395B24" w:rsidRDefault="00395B24">
      <w:pPr>
        <w:pStyle w:val="NormalHeadings"/>
        <w:spacing w:before="240" w:after="120"/>
        <w:rPr>
          <w:b w:val="0"/>
        </w:rPr>
        <w:sectPr w:rsidR="00395B24" w:rsidSect="0092590B">
          <w:headerReference w:type="default" r:id="rId14"/>
          <w:headerReference w:type="first" r:id="rId15"/>
          <w:endnotePr>
            <w:numFmt w:val="decimal"/>
          </w:endnotePr>
          <w:pgSz w:w="11907" w:h="16840" w:code="9"/>
          <w:pgMar w:top="1440" w:right="1440" w:bottom="1440" w:left="1440" w:header="851" w:footer="851" w:gutter="0"/>
          <w:pgNumType w:fmt="lowerRoman" w:start="1"/>
          <w:cols w:space="720"/>
          <w:noEndnote/>
          <w:titlePg/>
        </w:sectPr>
      </w:pPr>
    </w:p>
    <w:p w14:paraId="3646A38D" w14:textId="77777777" w:rsidR="00484F6D" w:rsidRPr="0086198C" w:rsidRDefault="00484F6D" w:rsidP="00045BB7">
      <w:pPr>
        <w:pStyle w:val="NormalHeadings"/>
        <w:spacing w:line="480" w:lineRule="auto"/>
        <w:jc w:val="center"/>
        <w:rPr>
          <w:sz w:val="28"/>
          <w:szCs w:val="28"/>
        </w:rPr>
      </w:pPr>
      <w:bookmarkStart w:id="17" w:name="ReasonsPage"/>
      <w:bookmarkEnd w:id="17"/>
      <w:r w:rsidRPr="0086198C">
        <w:rPr>
          <w:sz w:val="28"/>
          <w:szCs w:val="28"/>
        </w:rPr>
        <w:lastRenderedPageBreak/>
        <w:t>REASONS FOR JUDGMENT</w:t>
      </w:r>
    </w:p>
    <w:p w14:paraId="4EFD26E6" w14:textId="77777777" w:rsidR="00395B24" w:rsidRPr="0086198C" w:rsidRDefault="00B35790" w:rsidP="005E0510">
      <w:pPr>
        <w:pStyle w:val="NormalHeadings"/>
        <w:spacing w:line="360" w:lineRule="auto"/>
        <w:jc w:val="left"/>
        <w:rPr>
          <w:sz w:val="26"/>
          <w:szCs w:val="26"/>
        </w:rPr>
      </w:pPr>
      <w:r w:rsidRPr="0086198C">
        <w:rPr>
          <w:sz w:val="26"/>
          <w:szCs w:val="26"/>
        </w:rPr>
        <w:t>BROMWICH J</w:t>
      </w:r>
      <w:r w:rsidR="00484F6D" w:rsidRPr="0086198C">
        <w:rPr>
          <w:sz w:val="26"/>
          <w:szCs w:val="26"/>
        </w:rPr>
        <w:t>:</w:t>
      </w:r>
    </w:p>
    <w:p w14:paraId="60CA14C1" w14:textId="7D798C16" w:rsidR="00631771" w:rsidRPr="0086198C" w:rsidRDefault="00631771" w:rsidP="00631771">
      <w:pPr>
        <w:pStyle w:val="ParaNumbering"/>
        <w:rPr>
          <w:szCs w:val="24"/>
        </w:rPr>
      </w:pPr>
      <w:r w:rsidRPr="0086198C">
        <w:rPr>
          <w:szCs w:val="24"/>
        </w:rPr>
        <w:t xml:space="preserve">This is an appeal from orders of a judge of the Federal Circuit Court of Australia </w:t>
      </w:r>
      <w:r w:rsidR="00F043F1" w:rsidRPr="0086198C">
        <w:rPr>
          <w:szCs w:val="24"/>
        </w:rPr>
        <w:t xml:space="preserve">made on 18 May 2018, </w:t>
      </w:r>
      <w:r w:rsidRPr="0086198C">
        <w:rPr>
          <w:szCs w:val="24"/>
        </w:rPr>
        <w:t xml:space="preserve">by which a judicial review challenge to a decision of the Administrative Appeals </w:t>
      </w:r>
      <w:r w:rsidRPr="001F4CC6">
        <w:rPr>
          <w:b/>
          <w:szCs w:val="24"/>
        </w:rPr>
        <w:t>Tribunal</w:t>
      </w:r>
      <w:r w:rsidRPr="0086198C">
        <w:rPr>
          <w:szCs w:val="24"/>
        </w:rPr>
        <w:t xml:space="preserve"> was dismissed.  The Tribunal had affirmed a decision of a delegate of the Minister for Immigration and Border Protection, now the Minister for Home Affairs.  The delegate had refused the grant of a protection visa.  </w:t>
      </w:r>
    </w:p>
    <w:p w14:paraId="438B09BA" w14:textId="77777777" w:rsidR="007A4DE2" w:rsidRPr="0086198C" w:rsidRDefault="007A4DE2" w:rsidP="00631771">
      <w:pPr>
        <w:pStyle w:val="ParaNumbering"/>
        <w:rPr>
          <w:szCs w:val="24"/>
        </w:rPr>
      </w:pPr>
      <w:r w:rsidRPr="0086198C">
        <w:rPr>
          <w:szCs w:val="24"/>
        </w:rPr>
        <w:t xml:space="preserve">The background facts were summarised by the </w:t>
      </w:r>
      <w:r w:rsidR="00631771" w:rsidRPr="0086198C">
        <w:rPr>
          <w:szCs w:val="24"/>
        </w:rPr>
        <w:t xml:space="preserve">primary judge </w:t>
      </w:r>
      <w:r w:rsidRPr="0086198C">
        <w:rPr>
          <w:szCs w:val="24"/>
        </w:rPr>
        <w:t>as follows</w:t>
      </w:r>
      <w:r w:rsidR="00631771" w:rsidRPr="0086198C">
        <w:rPr>
          <w:szCs w:val="24"/>
        </w:rPr>
        <w:t xml:space="preserve"> (at [</w:t>
      </w:r>
      <w:r w:rsidR="00E134CA" w:rsidRPr="0086198C">
        <w:rPr>
          <w:szCs w:val="24"/>
        </w:rPr>
        <w:t>8</w:t>
      </w:r>
      <w:r w:rsidR="00631771" w:rsidRPr="0086198C">
        <w:rPr>
          <w:szCs w:val="24"/>
        </w:rPr>
        <w:t>]</w:t>
      </w:r>
      <w:r w:rsidRPr="0086198C">
        <w:rPr>
          <w:szCs w:val="24"/>
        </w:rPr>
        <w:t>-[</w:t>
      </w:r>
      <w:r w:rsidR="00E134CA" w:rsidRPr="0086198C">
        <w:rPr>
          <w:szCs w:val="24"/>
        </w:rPr>
        <w:t>15</w:t>
      </w:r>
      <w:r w:rsidRPr="0086198C">
        <w:rPr>
          <w:szCs w:val="24"/>
        </w:rPr>
        <w:t>]</w:t>
      </w:r>
      <w:r w:rsidR="00E134CA" w:rsidRPr="0086198C">
        <w:rPr>
          <w:szCs w:val="24"/>
        </w:rPr>
        <w:t>, omitting application book references</w:t>
      </w:r>
      <w:r w:rsidR="00670765" w:rsidRPr="0086198C">
        <w:rPr>
          <w:szCs w:val="24"/>
        </w:rPr>
        <w:t>)</w:t>
      </w:r>
      <w:r w:rsidRPr="0086198C">
        <w:rPr>
          <w:szCs w:val="24"/>
        </w:rPr>
        <w:t>:</w:t>
      </w:r>
    </w:p>
    <w:p w14:paraId="480107B3" w14:textId="66142A4B" w:rsidR="00E8340E" w:rsidRPr="0086198C" w:rsidRDefault="00E8340E" w:rsidP="00E8340E">
      <w:pPr>
        <w:pStyle w:val="Quote1"/>
      </w:pPr>
      <w:r w:rsidRPr="0086198C">
        <w:t xml:space="preserve">The applicant is a citizen of Lebanon. </w:t>
      </w:r>
      <w:r w:rsidR="001F4CC6">
        <w:t xml:space="preserve"> </w:t>
      </w:r>
      <w:r w:rsidRPr="0086198C">
        <w:t xml:space="preserve">She arrived in Australia on 12 November 2013 on a visitor visa. </w:t>
      </w:r>
      <w:r w:rsidR="001F4CC6">
        <w:t xml:space="preserve"> </w:t>
      </w:r>
      <w:r w:rsidRPr="0086198C">
        <w:t>She applied for a protection visa which was received by the Minister</w:t>
      </w:r>
      <w:r w:rsidR="00BF5075" w:rsidRPr="0086198C">
        <w:t>’</w:t>
      </w:r>
      <w:r w:rsidRPr="0086198C">
        <w:t>s department on 28 November 2013.</w:t>
      </w:r>
    </w:p>
    <w:p w14:paraId="6A9143C7" w14:textId="1A3A9299" w:rsidR="00E8340E" w:rsidRPr="0086198C" w:rsidRDefault="00E8340E" w:rsidP="00E8340E">
      <w:pPr>
        <w:pStyle w:val="Quote1"/>
      </w:pPr>
      <w:r w:rsidRPr="0086198C">
        <w:t xml:space="preserve">The applicant set out her claims to fear harm in her protection visa application. She claimed to fear harm on the basis of an incident that occurred in her home village in Lebanon. </w:t>
      </w:r>
      <w:r w:rsidR="001F4CC6">
        <w:t xml:space="preserve"> </w:t>
      </w:r>
      <w:r w:rsidRPr="0086198C">
        <w:t xml:space="preserve">She claimed that she had allowed a family of refugees from Syria to stay with her at her home, and that the </w:t>
      </w:r>
      <w:r w:rsidR="00BF5075" w:rsidRPr="0086198C">
        <w:t>“</w:t>
      </w:r>
      <w:r w:rsidRPr="0086198C">
        <w:t>husband</w:t>
      </w:r>
      <w:r w:rsidR="00BF5075" w:rsidRPr="0086198C">
        <w:t>”</w:t>
      </w:r>
      <w:r w:rsidRPr="0086198C">
        <w:t xml:space="preserve"> in the family had </w:t>
      </w:r>
      <w:r w:rsidR="00BF5075" w:rsidRPr="0086198C">
        <w:t>“</w:t>
      </w:r>
      <w:r w:rsidRPr="0086198C">
        <w:t>attacked</w:t>
      </w:r>
      <w:r w:rsidR="00BF5075" w:rsidRPr="0086198C">
        <w:t>”</w:t>
      </w:r>
      <w:r w:rsidRPr="0086198C">
        <w:t xml:space="preserve"> her and raped her on multiple occasions. </w:t>
      </w:r>
      <w:r w:rsidR="001F4CC6">
        <w:t xml:space="preserve"> </w:t>
      </w:r>
      <w:r w:rsidRPr="0086198C">
        <w:t xml:space="preserve">She claimed that the Syrian family now occupied her house and that she was fearful that the </w:t>
      </w:r>
      <w:r w:rsidR="00BF5075" w:rsidRPr="0086198C">
        <w:t>“</w:t>
      </w:r>
      <w:r w:rsidRPr="0086198C">
        <w:t>Syrian family</w:t>
      </w:r>
      <w:r w:rsidR="00BF5075" w:rsidRPr="0086198C">
        <w:t>”</w:t>
      </w:r>
      <w:r w:rsidRPr="0086198C">
        <w:t xml:space="preserve">, especially </w:t>
      </w:r>
      <w:r w:rsidR="00BF5075" w:rsidRPr="0086198C">
        <w:t>“</w:t>
      </w:r>
      <w:r w:rsidRPr="0086198C">
        <w:t>the husband</w:t>
      </w:r>
      <w:r w:rsidR="00BF5075" w:rsidRPr="0086198C">
        <w:t>”</w:t>
      </w:r>
      <w:r w:rsidRPr="0086198C">
        <w:t>, would harm her if she returned to Lebanon.</w:t>
      </w:r>
    </w:p>
    <w:p w14:paraId="61E21CC1" w14:textId="03CC05A7" w:rsidR="00E8340E" w:rsidRPr="0086198C" w:rsidRDefault="00E8340E" w:rsidP="00E8340E">
      <w:pPr>
        <w:pStyle w:val="Quote1"/>
      </w:pPr>
      <w:r w:rsidRPr="0086198C">
        <w:t xml:space="preserve">The applicant also claimed to have initially come to Australia for the purpose of visiting her mother, who had a </w:t>
      </w:r>
      <w:r w:rsidR="00BF5075" w:rsidRPr="0086198C">
        <w:t>“</w:t>
      </w:r>
      <w:r w:rsidRPr="0086198C">
        <w:t>serious medical condition</w:t>
      </w:r>
      <w:r w:rsidR="00BF5075" w:rsidRPr="0086198C">
        <w:t>”</w:t>
      </w:r>
      <w:r w:rsidRPr="0086198C">
        <w:t xml:space="preserve">. </w:t>
      </w:r>
      <w:r w:rsidR="001F4CC6">
        <w:t xml:space="preserve"> </w:t>
      </w:r>
      <w:r w:rsidRPr="0086198C">
        <w:t>She was initially refused a visitor visa but one was ultimately granted after a bond was paid.</w:t>
      </w:r>
    </w:p>
    <w:p w14:paraId="3A7614CB" w14:textId="77777777" w:rsidR="00E8340E" w:rsidRPr="0086198C" w:rsidRDefault="00E8340E" w:rsidP="00E8340E">
      <w:pPr>
        <w:pStyle w:val="Quote1"/>
      </w:pPr>
      <w:r w:rsidRPr="0086198C">
        <w:t>The applicant had previously applied, and been refused, a carer visa and a prospective spouse visa to come to Australia.</w:t>
      </w:r>
    </w:p>
    <w:p w14:paraId="5F08932D" w14:textId="5C860E6F" w:rsidR="00E8340E" w:rsidRPr="0086198C" w:rsidRDefault="00E8340E" w:rsidP="00E8340E">
      <w:pPr>
        <w:pStyle w:val="Quote1"/>
      </w:pPr>
      <w:r w:rsidRPr="0086198C">
        <w:t xml:space="preserve">The applicant was invited to, and attended, an interview with the delegate on 19 March 2014. </w:t>
      </w:r>
      <w:r w:rsidR="001F4CC6">
        <w:t xml:space="preserve"> </w:t>
      </w:r>
      <w:r w:rsidRPr="0086198C">
        <w:t>The delegate refused the application for a protection visa on 2 April 2014.</w:t>
      </w:r>
    </w:p>
    <w:p w14:paraId="6703009C" w14:textId="40C464D3" w:rsidR="00E8340E" w:rsidRPr="0086198C" w:rsidRDefault="00E8340E" w:rsidP="00E8340E">
      <w:pPr>
        <w:pStyle w:val="Quote1"/>
      </w:pPr>
      <w:r w:rsidRPr="0086198C">
        <w:t>On 22 April 2014, the applicant applied to the Tribunal for review of the delegate</w:t>
      </w:r>
      <w:r w:rsidR="00BF5075" w:rsidRPr="0086198C">
        <w:t>’</w:t>
      </w:r>
      <w:r w:rsidRPr="0086198C">
        <w:t xml:space="preserve">s decision. </w:t>
      </w:r>
      <w:r w:rsidR="001F4CC6">
        <w:t xml:space="preserve"> </w:t>
      </w:r>
      <w:r w:rsidRPr="0086198C">
        <w:t>On 21 July 2014 the applicant provided the Tribunal with a copy of a psychological evaluation in relation to herself.</w:t>
      </w:r>
    </w:p>
    <w:p w14:paraId="793B43A6" w14:textId="0411F8FB" w:rsidR="00E8340E" w:rsidRPr="0086198C" w:rsidRDefault="00E8340E" w:rsidP="00E8340E">
      <w:pPr>
        <w:pStyle w:val="Quote1"/>
      </w:pPr>
      <w:r w:rsidRPr="0086198C">
        <w:t xml:space="preserve">The applicant was invited to, and attended, a hearing before the Tribunal on 9 February 2016. </w:t>
      </w:r>
      <w:r w:rsidR="001F4CC6">
        <w:t xml:space="preserve"> </w:t>
      </w:r>
      <w:r w:rsidRPr="0086198C">
        <w:t>She provided the Tribunal with a letter from a registered psychologist dated 1</w:t>
      </w:r>
      <w:r w:rsidR="001F4CC6">
        <w:t> </w:t>
      </w:r>
      <w:r w:rsidRPr="0086198C">
        <w:t>February 2016.</w:t>
      </w:r>
    </w:p>
    <w:p w14:paraId="719F357B" w14:textId="25DE73E7" w:rsidR="00E8340E" w:rsidRPr="0086198C" w:rsidRDefault="00E8340E" w:rsidP="00F043F1">
      <w:pPr>
        <w:pStyle w:val="Quote1"/>
        <w:spacing w:after="360"/>
      </w:pPr>
      <w:r w:rsidRPr="0086198C">
        <w:t>The Tribunal affirmed the decision not to grant the applicant a protection visa on 1</w:t>
      </w:r>
      <w:r w:rsidR="001F4CC6">
        <w:t> </w:t>
      </w:r>
      <w:r w:rsidRPr="0086198C">
        <w:t>March 2016.</w:t>
      </w:r>
    </w:p>
    <w:p w14:paraId="70C34B88" w14:textId="42567AE1" w:rsidR="0093179C" w:rsidRPr="0086198C" w:rsidRDefault="00746C1F" w:rsidP="00B35790">
      <w:pPr>
        <w:pStyle w:val="ParaNumbering"/>
        <w:rPr>
          <w:szCs w:val="24"/>
        </w:rPr>
      </w:pPr>
      <w:bookmarkStart w:id="18" w:name="Reasons"/>
      <w:bookmarkEnd w:id="18"/>
      <w:r w:rsidRPr="0086198C">
        <w:rPr>
          <w:szCs w:val="24"/>
        </w:rPr>
        <w:t xml:space="preserve">The primary judge </w:t>
      </w:r>
      <w:r w:rsidR="0093179C" w:rsidRPr="0086198C">
        <w:rPr>
          <w:szCs w:val="24"/>
        </w:rPr>
        <w:t>accepted the Minister</w:t>
      </w:r>
      <w:r w:rsidR="00BF5075" w:rsidRPr="0086198C">
        <w:rPr>
          <w:szCs w:val="24"/>
        </w:rPr>
        <w:t>’</w:t>
      </w:r>
      <w:r w:rsidR="0093179C" w:rsidRPr="0086198C">
        <w:rPr>
          <w:szCs w:val="24"/>
        </w:rPr>
        <w:t>s written summary of the Tribunal</w:t>
      </w:r>
      <w:r w:rsidR="00BF5075" w:rsidRPr="0086198C">
        <w:rPr>
          <w:szCs w:val="24"/>
        </w:rPr>
        <w:t>’</w:t>
      </w:r>
      <w:r w:rsidR="0093179C" w:rsidRPr="0086198C">
        <w:rPr>
          <w:szCs w:val="24"/>
        </w:rPr>
        <w:t>s analysis and findings as fair and therefore adopted them verbatim</w:t>
      </w:r>
      <w:r w:rsidR="002A453B" w:rsidRPr="0086198C">
        <w:rPr>
          <w:szCs w:val="24"/>
        </w:rPr>
        <w:t>, excluding the footnotes</w:t>
      </w:r>
      <w:r w:rsidR="0093179C" w:rsidRPr="0086198C">
        <w:rPr>
          <w:szCs w:val="24"/>
        </w:rPr>
        <w:t>.  There is no suggestion that there was anything wrong with either that summary o</w:t>
      </w:r>
      <w:r w:rsidR="00E8340E" w:rsidRPr="0086198C">
        <w:rPr>
          <w:szCs w:val="24"/>
        </w:rPr>
        <w:t>r</w:t>
      </w:r>
      <w:r w:rsidR="0093179C" w:rsidRPr="0086198C">
        <w:rPr>
          <w:szCs w:val="24"/>
        </w:rPr>
        <w:t xml:space="preserve"> his Honour</w:t>
      </w:r>
      <w:r w:rsidR="00BF5075" w:rsidRPr="0086198C">
        <w:rPr>
          <w:szCs w:val="24"/>
        </w:rPr>
        <w:t>’</w:t>
      </w:r>
      <w:r w:rsidR="0093179C" w:rsidRPr="0086198C">
        <w:rPr>
          <w:szCs w:val="24"/>
        </w:rPr>
        <w:t xml:space="preserve">s adoption </w:t>
      </w:r>
      <w:r w:rsidR="0093179C" w:rsidRPr="0086198C">
        <w:rPr>
          <w:szCs w:val="24"/>
        </w:rPr>
        <w:lastRenderedPageBreak/>
        <w:t>of them.  A part of that summary may conveniently be further reproduced as follows</w:t>
      </w:r>
      <w:r w:rsidR="00640A72" w:rsidRPr="0086198C">
        <w:rPr>
          <w:szCs w:val="24"/>
        </w:rPr>
        <w:t xml:space="preserve"> (</w:t>
      </w:r>
      <w:r w:rsidR="00DE3907">
        <w:rPr>
          <w:szCs w:val="24"/>
        </w:rPr>
        <w:t xml:space="preserve">drawn from the </w:t>
      </w:r>
      <w:r w:rsidR="00640A72" w:rsidRPr="0086198C">
        <w:rPr>
          <w:szCs w:val="24"/>
        </w:rPr>
        <w:t>primary judge</w:t>
      </w:r>
      <w:r w:rsidR="00BF5075" w:rsidRPr="0086198C">
        <w:rPr>
          <w:szCs w:val="24"/>
        </w:rPr>
        <w:t>’</w:t>
      </w:r>
      <w:r w:rsidR="00640A72" w:rsidRPr="0086198C">
        <w:rPr>
          <w:szCs w:val="24"/>
        </w:rPr>
        <w:t>s reasons at [16]</w:t>
      </w:r>
      <w:r w:rsidR="00B81AE3" w:rsidRPr="0086198C">
        <w:rPr>
          <w:szCs w:val="24"/>
        </w:rPr>
        <w:t>, emphasis in original</w:t>
      </w:r>
      <w:r w:rsidR="00640A72" w:rsidRPr="0086198C">
        <w:rPr>
          <w:szCs w:val="24"/>
        </w:rPr>
        <w:t>)</w:t>
      </w:r>
      <w:r w:rsidR="0093179C" w:rsidRPr="0086198C">
        <w:rPr>
          <w:szCs w:val="24"/>
        </w:rPr>
        <w:t>:</w:t>
      </w:r>
    </w:p>
    <w:p w14:paraId="0F35A0C3" w14:textId="14F440D4" w:rsidR="00640A72" w:rsidRPr="0086198C" w:rsidRDefault="00640A72" w:rsidP="00640A72">
      <w:pPr>
        <w:pStyle w:val="Quote1"/>
        <w:rPr>
          <w:lang w:eastAsia="en-AU"/>
        </w:rPr>
      </w:pPr>
      <w:r w:rsidRPr="0086198C">
        <w:rPr>
          <w:lang w:eastAsia="en-AU"/>
        </w:rPr>
        <w:t xml:space="preserve">The Tribunal found that the applicant was not a credible witness and </w:t>
      </w:r>
      <w:r w:rsidR="00BF5075" w:rsidRPr="0086198C">
        <w:rPr>
          <w:lang w:eastAsia="en-AU"/>
        </w:rPr>
        <w:t>‘</w:t>
      </w:r>
      <w:r w:rsidRPr="0086198C">
        <w:rPr>
          <w:lang w:eastAsia="en-AU"/>
        </w:rPr>
        <w:t>had fabricated accounts of events, as well as claimed fears, upon which she based her protection claims.</w:t>
      </w:r>
      <w:r w:rsidR="00BF5075" w:rsidRPr="0086198C">
        <w:rPr>
          <w:lang w:eastAsia="en-AU"/>
        </w:rPr>
        <w:t>’</w:t>
      </w:r>
      <w:r w:rsidRPr="0086198C">
        <w:rPr>
          <w:lang w:eastAsia="en-AU"/>
        </w:rPr>
        <w:t xml:space="preserve">  In coming to this conclusion, the Tribunal expressed concerns about: </w:t>
      </w:r>
    </w:p>
    <w:p w14:paraId="1765122A" w14:textId="77777777" w:rsidR="00640A72" w:rsidRPr="0086198C" w:rsidRDefault="00640A72" w:rsidP="004E66AE">
      <w:pPr>
        <w:pStyle w:val="Quote1"/>
        <w:numPr>
          <w:ilvl w:val="0"/>
          <w:numId w:val="24"/>
        </w:numPr>
        <w:rPr>
          <w:lang w:eastAsia="en-AU"/>
        </w:rPr>
      </w:pPr>
      <w:proofErr w:type="gramStart"/>
      <w:r w:rsidRPr="0086198C">
        <w:rPr>
          <w:b/>
          <w:bCs/>
          <w:lang w:eastAsia="en-AU"/>
        </w:rPr>
        <w:t>inconsistent</w:t>
      </w:r>
      <w:proofErr w:type="gramEnd"/>
      <w:r w:rsidRPr="0086198C">
        <w:rPr>
          <w:b/>
          <w:bCs/>
          <w:lang w:eastAsia="en-AU"/>
        </w:rPr>
        <w:t xml:space="preserve"> evidence concerning her previous relationship</w:t>
      </w:r>
      <w:r w:rsidRPr="0086198C">
        <w:rPr>
          <w:lang w:eastAsia="en-AU"/>
        </w:rPr>
        <w:t>, which had formed the basis of an earlier</w:t>
      </w:r>
      <w:r w:rsidRPr="0086198C">
        <w:t xml:space="preserve"> </w:t>
      </w:r>
      <w:r w:rsidRPr="0086198C">
        <w:rPr>
          <w:lang w:eastAsia="en-AU"/>
        </w:rPr>
        <w:t xml:space="preserve">application to come to and remain in Australia. </w:t>
      </w:r>
      <w:r w:rsidR="00B81AE3" w:rsidRPr="0086198C">
        <w:rPr>
          <w:lang w:eastAsia="en-AU"/>
        </w:rPr>
        <w:t xml:space="preserve"> </w:t>
      </w:r>
      <w:r w:rsidRPr="0086198C">
        <w:rPr>
          <w:lang w:eastAsia="en-AU"/>
        </w:rPr>
        <w:t xml:space="preserve">The applicant repeatedly denied that she had had a relationship since her divorce, despite this being inconsistent with her application which noted that the Department had refused her a prospective spouse visa. </w:t>
      </w:r>
      <w:r w:rsidR="00B81AE3" w:rsidRPr="0086198C">
        <w:rPr>
          <w:lang w:eastAsia="en-AU"/>
        </w:rPr>
        <w:t xml:space="preserve"> </w:t>
      </w:r>
      <w:r w:rsidRPr="0086198C">
        <w:rPr>
          <w:lang w:eastAsia="en-AU"/>
        </w:rPr>
        <w:t>The Tribunal indicated that this undermined her credibility and indicated that she was prepared to make a false application to the Department in order to come to Australia;</w:t>
      </w:r>
    </w:p>
    <w:p w14:paraId="1B768703" w14:textId="17D50DB7" w:rsidR="00640A72" w:rsidRPr="0086198C" w:rsidRDefault="00640A72" w:rsidP="004E66AE">
      <w:pPr>
        <w:pStyle w:val="Quote1"/>
        <w:numPr>
          <w:ilvl w:val="0"/>
          <w:numId w:val="24"/>
        </w:numPr>
        <w:rPr>
          <w:lang w:eastAsia="en-AU"/>
        </w:rPr>
      </w:pPr>
      <w:proofErr w:type="gramStart"/>
      <w:r w:rsidRPr="0086198C">
        <w:rPr>
          <w:b/>
          <w:bCs/>
          <w:lang w:eastAsia="en-AU"/>
        </w:rPr>
        <w:t>evidence</w:t>
      </w:r>
      <w:proofErr w:type="gramEnd"/>
      <w:r w:rsidRPr="0086198C">
        <w:rPr>
          <w:b/>
          <w:bCs/>
          <w:lang w:eastAsia="en-AU"/>
        </w:rPr>
        <w:t xml:space="preserve"> given at an interview in November 2012 in support of her prospective spouse application</w:t>
      </w:r>
      <w:r w:rsidRPr="0086198C">
        <w:rPr>
          <w:lang w:eastAsia="en-AU"/>
        </w:rPr>
        <w:t xml:space="preserve">. </w:t>
      </w:r>
      <w:r w:rsidR="00B81AE3" w:rsidRPr="0086198C">
        <w:rPr>
          <w:lang w:eastAsia="en-AU"/>
        </w:rPr>
        <w:t xml:space="preserve"> </w:t>
      </w:r>
      <w:r w:rsidRPr="0086198C">
        <w:rPr>
          <w:lang w:eastAsia="en-AU"/>
        </w:rPr>
        <w:t>The applicant was unaware of basic information about her sponsor who was her prospective spouse, and the sponsor</w:t>
      </w:r>
      <w:r w:rsidR="00BF5075" w:rsidRPr="0086198C">
        <w:rPr>
          <w:lang w:eastAsia="en-AU"/>
        </w:rPr>
        <w:t>’</w:t>
      </w:r>
      <w:r w:rsidRPr="0086198C">
        <w:rPr>
          <w:lang w:eastAsia="en-AU"/>
        </w:rPr>
        <w:t>s evidence was contradictory to [the] applicant</w:t>
      </w:r>
      <w:r w:rsidR="00BF5075" w:rsidRPr="0086198C">
        <w:rPr>
          <w:lang w:eastAsia="en-AU"/>
        </w:rPr>
        <w:t>’</w:t>
      </w:r>
      <w:r w:rsidRPr="0086198C">
        <w:rPr>
          <w:lang w:eastAsia="en-AU"/>
        </w:rPr>
        <w:t xml:space="preserve">s evidence. </w:t>
      </w:r>
      <w:r w:rsidR="00B81AE3" w:rsidRPr="0086198C">
        <w:rPr>
          <w:lang w:eastAsia="en-AU"/>
        </w:rPr>
        <w:t xml:space="preserve"> </w:t>
      </w:r>
      <w:r w:rsidRPr="0086198C">
        <w:rPr>
          <w:lang w:eastAsia="en-AU"/>
        </w:rPr>
        <w:t>The Tribunal did not find the applicant</w:t>
      </w:r>
      <w:r w:rsidR="00BF5075" w:rsidRPr="0086198C">
        <w:rPr>
          <w:lang w:eastAsia="en-AU"/>
        </w:rPr>
        <w:t>’</w:t>
      </w:r>
      <w:r w:rsidRPr="0086198C">
        <w:rPr>
          <w:lang w:eastAsia="en-AU"/>
        </w:rPr>
        <w:t>s response to this information to be persuasive, and considered the contradictory evidence to undermine the applicant</w:t>
      </w:r>
      <w:r w:rsidR="00BF5075" w:rsidRPr="0086198C">
        <w:rPr>
          <w:lang w:eastAsia="en-AU"/>
        </w:rPr>
        <w:t>’</w:t>
      </w:r>
      <w:r w:rsidRPr="0086198C">
        <w:rPr>
          <w:lang w:eastAsia="en-AU"/>
        </w:rPr>
        <w:t>s credibility;</w:t>
      </w:r>
    </w:p>
    <w:p w14:paraId="2D2648F2" w14:textId="37997C0A" w:rsidR="00640A72" w:rsidRPr="0086198C" w:rsidRDefault="00640A72" w:rsidP="004E66AE">
      <w:pPr>
        <w:pStyle w:val="Quote1"/>
        <w:numPr>
          <w:ilvl w:val="0"/>
          <w:numId w:val="24"/>
        </w:numPr>
        <w:rPr>
          <w:lang w:eastAsia="en-AU"/>
        </w:rPr>
      </w:pPr>
      <w:proofErr w:type="gramStart"/>
      <w:r w:rsidRPr="0086198C">
        <w:rPr>
          <w:b/>
          <w:bCs/>
          <w:lang w:eastAsia="en-AU"/>
        </w:rPr>
        <w:t>the</w:t>
      </w:r>
      <w:proofErr w:type="gramEnd"/>
      <w:r w:rsidRPr="0086198C">
        <w:rPr>
          <w:b/>
          <w:bCs/>
          <w:lang w:eastAsia="en-AU"/>
        </w:rPr>
        <w:t xml:space="preserve"> claim that she was living alone in her home in Lebanon</w:t>
      </w:r>
      <w:r w:rsidR="001C6A92" w:rsidRPr="0086198C">
        <w:rPr>
          <w:bCs/>
          <w:lang w:eastAsia="en-AU"/>
        </w:rPr>
        <w:t>.</w:t>
      </w:r>
      <w:r w:rsidR="00B81AE3" w:rsidRPr="0086198C">
        <w:rPr>
          <w:b/>
          <w:bCs/>
          <w:lang w:eastAsia="en-AU"/>
        </w:rPr>
        <w:t xml:space="preserve"> </w:t>
      </w:r>
      <w:r w:rsidRPr="0086198C">
        <w:rPr>
          <w:b/>
          <w:bCs/>
          <w:lang w:eastAsia="en-AU"/>
        </w:rPr>
        <w:t xml:space="preserve"> </w:t>
      </w:r>
      <w:r w:rsidRPr="0086198C">
        <w:rPr>
          <w:lang w:eastAsia="en-AU"/>
        </w:rPr>
        <w:t>The applicant</w:t>
      </w:r>
      <w:r w:rsidR="00BF5075" w:rsidRPr="0086198C">
        <w:rPr>
          <w:lang w:eastAsia="en-AU"/>
        </w:rPr>
        <w:t>’</w:t>
      </w:r>
      <w:r w:rsidRPr="0086198C">
        <w:rPr>
          <w:lang w:eastAsia="en-AU"/>
        </w:rPr>
        <w:t xml:space="preserve">s claim that she had not lived with her son since November 2011 was inconsistent with the Departmental notes of the interview held on 27 November 2012 for the purposes of her prospective spouse application. Those notes recorded that the applicant stated that she was currently residing with her son in </w:t>
      </w:r>
      <w:proofErr w:type="spellStart"/>
      <w:r w:rsidRPr="0086198C">
        <w:rPr>
          <w:lang w:eastAsia="en-AU"/>
        </w:rPr>
        <w:t>Majdala</w:t>
      </w:r>
      <w:proofErr w:type="spellEnd"/>
      <w:r w:rsidRPr="0086198C">
        <w:rPr>
          <w:lang w:eastAsia="en-AU"/>
        </w:rPr>
        <w:t xml:space="preserve">, Lebanon. </w:t>
      </w:r>
      <w:r w:rsidR="00B81AE3" w:rsidRPr="0086198C">
        <w:rPr>
          <w:lang w:eastAsia="en-AU"/>
        </w:rPr>
        <w:t xml:space="preserve"> </w:t>
      </w:r>
      <w:r w:rsidRPr="0086198C">
        <w:rPr>
          <w:lang w:eastAsia="en-AU"/>
        </w:rPr>
        <w:t xml:space="preserve">Further, before the Tribunal, the applicant changed her evidence about receiving the house from her husband in the divorce settlement. </w:t>
      </w:r>
      <w:r w:rsidR="00B81AE3" w:rsidRPr="0086198C">
        <w:rPr>
          <w:lang w:eastAsia="en-AU"/>
        </w:rPr>
        <w:t xml:space="preserve"> </w:t>
      </w:r>
      <w:r w:rsidRPr="0086198C">
        <w:rPr>
          <w:lang w:eastAsia="en-AU"/>
        </w:rPr>
        <w:t>The Tribunal indicated that this, cumulatively, undermined the applicant</w:t>
      </w:r>
      <w:r w:rsidR="00BF5075" w:rsidRPr="0086198C">
        <w:rPr>
          <w:lang w:eastAsia="en-AU"/>
        </w:rPr>
        <w:t>’</w:t>
      </w:r>
      <w:r w:rsidRPr="0086198C">
        <w:rPr>
          <w:lang w:eastAsia="en-AU"/>
        </w:rPr>
        <w:t xml:space="preserve">s credibility, as well as the credibility of her assertion that she was living alone and vulnerable nine months later, when she took the Syrian refugee family into her home. </w:t>
      </w:r>
      <w:r w:rsidR="00B81AE3" w:rsidRPr="0086198C">
        <w:rPr>
          <w:lang w:eastAsia="en-AU"/>
        </w:rPr>
        <w:t xml:space="preserve"> </w:t>
      </w:r>
      <w:r w:rsidRPr="0086198C">
        <w:rPr>
          <w:lang w:eastAsia="en-AU"/>
        </w:rPr>
        <w:t>This, in turn, undermined her claims about the harm she suffered in Lebanon because she was living alone;</w:t>
      </w:r>
    </w:p>
    <w:p w14:paraId="30C93100" w14:textId="296E4609" w:rsidR="00640A72" w:rsidRPr="0086198C" w:rsidRDefault="00640A72" w:rsidP="004E66AE">
      <w:pPr>
        <w:pStyle w:val="Quote1"/>
        <w:numPr>
          <w:ilvl w:val="0"/>
          <w:numId w:val="24"/>
        </w:numPr>
        <w:rPr>
          <w:lang w:eastAsia="en-AU"/>
        </w:rPr>
      </w:pPr>
      <w:proofErr w:type="gramStart"/>
      <w:r w:rsidRPr="0086198C">
        <w:rPr>
          <w:b/>
          <w:bCs/>
          <w:lang w:eastAsia="en-AU"/>
        </w:rPr>
        <w:t>the</w:t>
      </w:r>
      <w:proofErr w:type="gramEnd"/>
      <w:r w:rsidRPr="0086198C">
        <w:rPr>
          <w:b/>
          <w:bCs/>
          <w:lang w:eastAsia="en-AU"/>
        </w:rPr>
        <w:t xml:space="preserve"> applicant</w:t>
      </w:r>
      <w:r w:rsidR="00BF5075" w:rsidRPr="0086198C">
        <w:rPr>
          <w:b/>
          <w:bCs/>
          <w:lang w:eastAsia="en-AU"/>
        </w:rPr>
        <w:t>’</w:t>
      </w:r>
      <w:r w:rsidRPr="0086198C">
        <w:rPr>
          <w:b/>
          <w:bCs/>
          <w:lang w:eastAsia="en-AU"/>
        </w:rPr>
        <w:t>s changing evidence about the Syrian refugees</w:t>
      </w:r>
      <w:r w:rsidRPr="0086198C">
        <w:rPr>
          <w:lang w:eastAsia="en-AU"/>
        </w:rPr>
        <w:t xml:space="preserve">. The applicant claimed in her application to have heard from the family about what had happened to them. However, in the Tribunal interview, she was only able to give first names and ages of the children and the area they came from. Further, the applicant gave changing evidence as to the date the family moved in and also regarding the sexual assaults perpetrated by the male Syrian refugee. </w:t>
      </w:r>
      <w:r w:rsidR="00B81AE3" w:rsidRPr="0086198C">
        <w:rPr>
          <w:lang w:eastAsia="en-AU"/>
        </w:rPr>
        <w:t xml:space="preserve"> </w:t>
      </w:r>
      <w:r w:rsidRPr="0086198C">
        <w:rPr>
          <w:lang w:eastAsia="en-AU"/>
        </w:rPr>
        <w:t xml:space="preserve">The Tribunal found that </w:t>
      </w:r>
      <w:r w:rsidR="002A453B" w:rsidRPr="0086198C">
        <w:rPr>
          <w:lang w:eastAsia="en-AU"/>
        </w:rPr>
        <w:t>[t]</w:t>
      </w:r>
      <w:r w:rsidRPr="0086198C">
        <w:rPr>
          <w:lang w:eastAsia="en-AU"/>
        </w:rPr>
        <w:t>his undermined her claims that she allowed a Syrian refugee family into her home and that she suffered harm as a result;</w:t>
      </w:r>
    </w:p>
    <w:p w14:paraId="3169929C" w14:textId="4934146B" w:rsidR="00640A72" w:rsidRPr="0086198C" w:rsidRDefault="00640A72" w:rsidP="004E66AE">
      <w:pPr>
        <w:pStyle w:val="Quote1"/>
        <w:numPr>
          <w:ilvl w:val="0"/>
          <w:numId w:val="24"/>
        </w:numPr>
        <w:rPr>
          <w:lang w:eastAsia="en-AU"/>
        </w:rPr>
      </w:pPr>
      <w:proofErr w:type="gramStart"/>
      <w:r w:rsidRPr="0086198C">
        <w:rPr>
          <w:b/>
          <w:lang w:eastAsia="en-AU"/>
        </w:rPr>
        <w:t>the</w:t>
      </w:r>
      <w:proofErr w:type="gramEnd"/>
      <w:r w:rsidRPr="0086198C">
        <w:rPr>
          <w:b/>
          <w:lang w:eastAsia="en-AU"/>
        </w:rPr>
        <w:t xml:space="preserve"> applicant</w:t>
      </w:r>
      <w:r w:rsidR="00BF5075" w:rsidRPr="0086198C">
        <w:rPr>
          <w:b/>
          <w:lang w:eastAsia="en-AU"/>
        </w:rPr>
        <w:t>’</w:t>
      </w:r>
      <w:r w:rsidRPr="0086198C">
        <w:rPr>
          <w:b/>
          <w:lang w:eastAsia="en-AU"/>
        </w:rPr>
        <w:t>s evidence concerning her lack of action to stop the sexual assaults and to remove the Syrian family from her home</w:t>
      </w:r>
      <w:r w:rsidRPr="0086198C">
        <w:rPr>
          <w:lang w:eastAsia="en-AU"/>
        </w:rPr>
        <w:t>. The applicant stated that she avoided being further assaulted by the Syrian man in the two months prior to coming to Australia by going out when the man</w:t>
      </w:r>
      <w:r w:rsidR="00BF5075" w:rsidRPr="0086198C">
        <w:rPr>
          <w:lang w:eastAsia="en-AU"/>
        </w:rPr>
        <w:t>’</w:t>
      </w:r>
      <w:r w:rsidRPr="0086198C">
        <w:rPr>
          <w:lang w:eastAsia="en-AU"/>
        </w:rPr>
        <w:t xml:space="preserve">s wife was out. </w:t>
      </w:r>
      <w:r w:rsidR="00B81AE3" w:rsidRPr="0086198C">
        <w:rPr>
          <w:lang w:eastAsia="en-AU"/>
        </w:rPr>
        <w:t xml:space="preserve"> </w:t>
      </w:r>
      <w:r w:rsidRPr="0086198C">
        <w:rPr>
          <w:lang w:eastAsia="en-AU"/>
        </w:rPr>
        <w:t>The Tribunal found it difficult to accept the applicant</w:t>
      </w:r>
      <w:r w:rsidR="00BF5075" w:rsidRPr="0086198C">
        <w:rPr>
          <w:lang w:eastAsia="en-AU"/>
        </w:rPr>
        <w:t>’</w:t>
      </w:r>
      <w:r w:rsidRPr="0086198C">
        <w:rPr>
          <w:lang w:eastAsia="en-AU"/>
        </w:rPr>
        <w:t>s claim that in the periods before the alleged second and third assaults, it did not occur to her to avoid further assaults by deciding to go out when the Syrian man</w:t>
      </w:r>
      <w:r w:rsidR="00BF5075" w:rsidRPr="0086198C">
        <w:rPr>
          <w:lang w:eastAsia="en-AU"/>
        </w:rPr>
        <w:t>’</w:t>
      </w:r>
      <w:r w:rsidRPr="0086198C">
        <w:rPr>
          <w:lang w:eastAsia="en-AU"/>
        </w:rPr>
        <w:t xml:space="preserve">s wife left the house. </w:t>
      </w:r>
      <w:r w:rsidR="00B81AE3" w:rsidRPr="0086198C">
        <w:rPr>
          <w:lang w:eastAsia="en-AU"/>
        </w:rPr>
        <w:t xml:space="preserve"> </w:t>
      </w:r>
      <w:r w:rsidRPr="0086198C">
        <w:rPr>
          <w:lang w:eastAsia="en-AU"/>
        </w:rPr>
        <w:t xml:space="preserve">The Tribunal put to the applicant its concerns that she took no steps to have the Syrian family removed from her house while she was there, and even after she had left. </w:t>
      </w:r>
      <w:r w:rsidR="00B81AE3" w:rsidRPr="0086198C">
        <w:rPr>
          <w:lang w:eastAsia="en-AU"/>
        </w:rPr>
        <w:t xml:space="preserve"> </w:t>
      </w:r>
      <w:r w:rsidRPr="0086198C">
        <w:rPr>
          <w:lang w:eastAsia="en-AU"/>
        </w:rPr>
        <w:t xml:space="preserve">It did not accept her purported explanations for not approaching the authorities for state protection, and was further concerned that the applicant raised new claims about violence perpetrated by Syrian refugees against her father and his neighbour, and </w:t>
      </w:r>
      <w:r w:rsidRPr="0086198C">
        <w:rPr>
          <w:lang w:eastAsia="en-AU"/>
        </w:rPr>
        <w:lastRenderedPageBreak/>
        <w:t xml:space="preserve">contradictory evidence about the availability of the authorities to assist a person in her position. </w:t>
      </w:r>
      <w:r w:rsidR="00B81AE3" w:rsidRPr="0086198C">
        <w:rPr>
          <w:lang w:eastAsia="en-AU"/>
        </w:rPr>
        <w:t xml:space="preserve"> </w:t>
      </w:r>
      <w:r w:rsidRPr="0086198C">
        <w:rPr>
          <w:lang w:eastAsia="en-AU"/>
        </w:rPr>
        <w:t xml:space="preserve">The Tribunal considered that her </w:t>
      </w:r>
      <w:r w:rsidR="00BF5075" w:rsidRPr="0086198C">
        <w:rPr>
          <w:lang w:eastAsia="en-AU"/>
        </w:rPr>
        <w:t>‘</w:t>
      </w:r>
      <w:r w:rsidRPr="0086198C">
        <w:rPr>
          <w:lang w:eastAsia="en-AU"/>
        </w:rPr>
        <w:t>changing evidence, depending on the claim she was making to the Tribunal, undermines her credibility</w:t>
      </w:r>
      <w:r w:rsidR="00BF5075" w:rsidRPr="0086198C">
        <w:rPr>
          <w:lang w:eastAsia="en-AU"/>
        </w:rPr>
        <w:t>’</w:t>
      </w:r>
      <w:r w:rsidRPr="0086198C">
        <w:rPr>
          <w:lang w:eastAsia="en-AU"/>
        </w:rPr>
        <w:t>;</w:t>
      </w:r>
    </w:p>
    <w:p w14:paraId="3A2A3AB2" w14:textId="7A0A1D08" w:rsidR="00640A72" w:rsidRPr="0086198C" w:rsidRDefault="00640A72" w:rsidP="004E66AE">
      <w:pPr>
        <w:pStyle w:val="Quote1"/>
        <w:numPr>
          <w:ilvl w:val="0"/>
          <w:numId w:val="24"/>
        </w:numPr>
        <w:rPr>
          <w:lang w:eastAsia="en-AU"/>
        </w:rPr>
      </w:pPr>
      <w:proofErr w:type="gramStart"/>
      <w:r w:rsidRPr="0086198C">
        <w:rPr>
          <w:b/>
          <w:bCs/>
          <w:lang w:eastAsia="en-AU"/>
        </w:rPr>
        <w:t>evidence</w:t>
      </w:r>
      <w:proofErr w:type="gramEnd"/>
      <w:r w:rsidRPr="0086198C">
        <w:rPr>
          <w:b/>
          <w:bCs/>
          <w:lang w:eastAsia="en-AU"/>
        </w:rPr>
        <w:t xml:space="preserve"> that the applicant planned to return to Lebanon, despite the Syrian family still living in her home</w:t>
      </w:r>
      <w:r w:rsidRPr="0086198C">
        <w:rPr>
          <w:lang w:eastAsia="en-AU"/>
        </w:rPr>
        <w:t>.  On the basis of the adverse credibility finding, the Tribunal rejected the applicant</w:t>
      </w:r>
      <w:r w:rsidR="00BF5075" w:rsidRPr="0086198C">
        <w:rPr>
          <w:lang w:eastAsia="en-AU"/>
        </w:rPr>
        <w:t>’</w:t>
      </w:r>
      <w:r w:rsidRPr="0086198C">
        <w:rPr>
          <w:lang w:eastAsia="en-AU"/>
        </w:rPr>
        <w:t>s claims regarding her living arrangements in Lebanon.</w:t>
      </w:r>
      <w:r w:rsidR="00DA5C49">
        <w:rPr>
          <w:lang w:eastAsia="en-AU"/>
        </w:rPr>
        <w:t xml:space="preserve"> </w:t>
      </w:r>
      <w:r w:rsidRPr="0086198C">
        <w:rPr>
          <w:lang w:eastAsia="en-AU"/>
        </w:rPr>
        <w:t xml:space="preserve"> It did not accept that the applicant lived alone and invited a Syrian family into her home, nor that she was sexually assaulted by the Syrian refugee in her home, nor that the Syrian family have continued to reside in her home, nor that any of the associated claims were true.</w:t>
      </w:r>
    </w:p>
    <w:p w14:paraId="011A9835" w14:textId="4EF98CBA" w:rsidR="00640A72" w:rsidRPr="0086198C" w:rsidRDefault="00640A72" w:rsidP="00640A72">
      <w:pPr>
        <w:pStyle w:val="Quote1"/>
        <w:rPr>
          <w:lang w:eastAsia="en-AU"/>
        </w:rPr>
      </w:pPr>
      <w:r w:rsidRPr="0086198C">
        <w:rPr>
          <w:lang w:eastAsia="en-AU"/>
        </w:rPr>
        <w:t xml:space="preserve">On the evidence before it, the Tribunal considered that the applicant made the prospective spouse visa application in an attempt to remain in Australia, and that the Protection visa application claims were </w:t>
      </w:r>
      <w:r w:rsidR="00BF5075" w:rsidRPr="0086198C">
        <w:rPr>
          <w:lang w:eastAsia="en-AU"/>
        </w:rPr>
        <w:t>‘</w:t>
      </w:r>
      <w:r w:rsidRPr="0086198C">
        <w:rPr>
          <w:lang w:eastAsia="en-AU"/>
        </w:rPr>
        <w:t>fabricated ... as a continuation of her attempts to remain in Australia ...</w:t>
      </w:r>
      <w:r w:rsidR="00BF5075" w:rsidRPr="0086198C">
        <w:rPr>
          <w:lang w:eastAsia="en-AU"/>
        </w:rPr>
        <w:t>’</w:t>
      </w:r>
    </w:p>
    <w:p w14:paraId="744DDF0D" w14:textId="77777777" w:rsidR="00640A72" w:rsidRPr="0086198C" w:rsidRDefault="00640A72" w:rsidP="00640A72">
      <w:pPr>
        <w:pStyle w:val="Quote1"/>
        <w:rPr>
          <w:lang w:eastAsia="en-AU"/>
        </w:rPr>
      </w:pPr>
      <w:r w:rsidRPr="0086198C">
        <w:rPr>
          <w:lang w:eastAsia="en-AU"/>
        </w:rPr>
        <w:t xml:space="preserve">The Tribunal found that the applicant will return to live with her son and his family in </w:t>
      </w:r>
      <w:proofErr w:type="spellStart"/>
      <w:r w:rsidRPr="0086198C">
        <w:rPr>
          <w:lang w:eastAsia="en-AU"/>
        </w:rPr>
        <w:t>Madjala</w:t>
      </w:r>
      <w:proofErr w:type="spellEnd"/>
      <w:r w:rsidRPr="0086198C">
        <w:rPr>
          <w:lang w:eastAsia="en-AU"/>
        </w:rPr>
        <w:t xml:space="preserve">. </w:t>
      </w:r>
      <w:r w:rsidR="00B81AE3" w:rsidRPr="0086198C">
        <w:rPr>
          <w:lang w:eastAsia="en-AU"/>
        </w:rPr>
        <w:t xml:space="preserve"> </w:t>
      </w:r>
      <w:r w:rsidRPr="0086198C">
        <w:rPr>
          <w:lang w:eastAsia="en-AU"/>
        </w:rPr>
        <w:t>It found that even if she was not to work in the future in Lebanon, she has had and will continue to have sufficient financial support from her extensive family in the future.</w:t>
      </w:r>
    </w:p>
    <w:p w14:paraId="6A72DF98" w14:textId="3760A68A" w:rsidR="00640A72" w:rsidRPr="0086198C" w:rsidRDefault="00640A72" w:rsidP="00640A72">
      <w:pPr>
        <w:pStyle w:val="Quote1"/>
        <w:rPr>
          <w:lang w:eastAsia="en-AU"/>
        </w:rPr>
      </w:pPr>
      <w:r w:rsidRPr="0086198C">
        <w:rPr>
          <w:lang w:eastAsia="en-AU"/>
        </w:rPr>
        <w:t>Although the applicant gave evidence that she only feared harm from the one Syrian man, the Tribunal considered the risk of</w:t>
      </w:r>
      <w:r w:rsidRPr="0086198C">
        <w:t xml:space="preserve"> </w:t>
      </w:r>
      <w:r w:rsidRPr="0086198C">
        <w:rPr>
          <w:lang w:eastAsia="en-AU"/>
        </w:rPr>
        <w:t xml:space="preserve">violence or other harm facing her upon return. </w:t>
      </w:r>
      <w:r w:rsidR="00B81AE3" w:rsidRPr="0086198C">
        <w:rPr>
          <w:lang w:eastAsia="en-AU"/>
        </w:rPr>
        <w:t xml:space="preserve"> </w:t>
      </w:r>
      <w:r w:rsidRPr="0086198C">
        <w:rPr>
          <w:lang w:eastAsia="en-AU"/>
        </w:rPr>
        <w:t>On the basis of country information and the applicant</w:t>
      </w:r>
      <w:r w:rsidR="00BF5075" w:rsidRPr="0086198C">
        <w:rPr>
          <w:lang w:eastAsia="en-AU"/>
        </w:rPr>
        <w:t>’</w:t>
      </w:r>
      <w:r w:rsidRPr="0086198C">
        <w:rPr>
          <w:lang w:eastAsia="en-AU"/>
        </w:rPr>
        <w:t>s evidence, it found that the applicant does not face a real risk of harm from Syrian refugees, cross-border attacks by Syrian authorities or for any other reason.</w:t>
      </w:r>
    </w:p>
    <w:p w14:paraId="53F8C8EC" w14:textId="467CDB40" w:rsidR="00640A72" w:rsidRPr="0086198C" w:rsidRDefault="00640A72" w:rsidP="00B81AE3">
      <w:pPr>
        <w:pStyle w:val="Quote1"/>
        <w:spacing w:after="360"/>
      </w:pPr>
      <w:r w:rsidRPr="0086198C">
        <w:rPr>
          <w:lang w:eastAsia="en-AU"/>
        </w:rPr>
        <w:t xml:space="preserve">The Tribunal considered the two psychologists reports and was prepared to accept the diagnosis that in 2014, the applicant suffered from major depressive disorder and that in 2016 she continues to have </w:t>
      </w:r>
      <w:r w:rsidR="00BF5075" w:rsidRPr="0086198C">
        <w:rPr>
          <w:lang w:eastAsia="en-AU"/>
        </w:rPr>
        <w:t>‘</w:t>
      </w:r>
      <w:r w:rsidRPr="0086198C">
        <w:rPr>
          <w:lang w:eastAsia="en-AU"/>
        </w:rPr>
        <w:t>psychological difficulties</w:t>
      </w:r>
      <w:r w:rsidR="00BF5075" w:rsidRPr="0086198C">
        <w:rPr>
          <w:lang w:eastAsia="en-AU"/>
        </w:rPr>
        <w:t>’</w:t>
      </w:r>
      <w:r w:rsidRPr="0086198C">
        <w:rPr>
          <w:lang w:eastAsia="en-AU"/>
        </w:rPr>
        <w:t>.</w:t>
      </w:r>
      <w:r w:rsidR="00B81AE3" w:rsidRPr="0086198C">
        <w:rPr>
          <w:lang w:eastAsia="en-AU"/>
        </w:rPr>
        <w:t xml:space="preserve"> </w:t>
      </w:r>
      <w:r w:rsidRPr="0086198C">
        <w:rPr>
          <w:lang w:eastAsia="en-AU"/>
        </w:rPr>
        <w:t xml:space="preserve"> However, it was not prepared to give weight to the psychologist</w:t>
      </w:r>
      <w:r w:rsidR="00BF5075" w:rsidRPr="0086198C">
        <w:rPr>
          <w:lang w:eastAsia="en-AU"/>
        </w:rPr>
        <w:t>’</w:t>
      </w:r>
      <w:r w:rsidRPr="0086198C">
        <w:rPr>
          <w:lang w:eastAsia="en-AU"/>
        </w:rPr>
        <w:t>s assertion that the applicant suffered trauma in Lebanon (including that she had been sexually assaulted) given that the reports appeared to be based on self-reporting, and given inconsistencies between the reports and the applicant</w:t>
      </w:r>
      <w:r w:rsidR="00BF5075" w:rsidRPr="0086198C">
        <w:rPr>
          <w:lang w:eastAsia="en-AU"/>
        </w:rPr>
        <w:t>’</w:t>
      </w:r>
      <w:r w:rsidRPr="0086198C">
        <w:rPr>
          <w:lang w:eastAsia="en-AU"/>
        </w:rPr>
        <w:t xml:space="preserve">s claims. </w:t>
      </w:r>
      <w:r w:rsidR="00B81AE3" w:rsidRPr="0086198C">
        <w:rPr>
          <w:lang w:eastAsia="en-AU"/>
        </w:rPr>
        <w:t xml:space="preserve"> </w:t>
      </w:r>
      <w:r w:rsidRPr="0086198C">
        <w:rPr>
          <w:lang w:eastAsia="en-AU"/>
        </w:rPr>
        <w:t>The Tribunal noted that the applicant would be able to access healthcare in Lebanon.</w:t>
      </w:r>
      <w:r w:rsidR="00BF5075" w:rsidRPr="0086198C">
        <w:rPr>
          <w:lang w:eastAsia="en-AU"/>
        </w:rPr>
        <w:t>”</w:t>
      </w:r>
    </w:p>
    <w:p w14:paraId="0A40E57F" w14:textId="31CB47B8" w:rsidR="00B81AE3" w:rsidRPr="0086198C" w:rsidRDefault="00B81AE3" w:rsidP="00B81AE3">
      <w:pPr>
        <w:pStyle w:val="ParaNumbering"/>
        <w:rPr>
          <w:szCs w:val="24"/>
        </w:rPr>
      </w:pPr>
      <w:r w:rsidRPr="0086198C">
        <w:rPr>
          <w:szCs w:val="24"/>
        </w:rPr>
        <w:t>The appellant</w:t>
      </w:r>
      <w:r w:rsidR="00BF5075" w:rsidRPr="0086198C">
        <w:rPr>
          <w:szCs w:val="24"/>
        </w:rPr>
        <w:t>’</w:t>
      </w:r>
      <w:r w:rsidRPr="0086198C">
        <w:rPr>
          <w:szCs w:val="24"/>
        </w:rPr>
        <w:t xml:space="preserve">s original application for </w:t>
      </w:r>
      <w:r w:rsidR="001C6A92" w:rsidRPr="0086198C">
        <w:rPr>
          <w:szCs w:val="24"/>
        </w:rPr>
        <w:t xml:space="preserve">judicial </w:t>
      </w:r>
      <w:r w:rsidRPr="0086198C">
        <w:rPr>
          <w:szCs w:val="24"/>
        </w:rPr>
        <w:t>review contained six grounds, which were reproduced in full in his Honour</w:t>
      </w:r>
      <w:r w:rsidR="00BF5075" w:rsidRPr="0086198C">
        <w:rPr>
          <w:szCs w:val="24"/>
        </w:rPr>
        <w:t>’</w:t>
      </w:r>
      <w:r w:rsidRPr="0086198C">
        <w:rPr>
          <w:szCs w:val="24"/>
        </w:rPr>
        <w:t xml:space="preserve">s reasons.  </w:t>
      </w:r>
      <w:r w:rsidR="00285E05" w:rsidRPr="0086198C">
        <w:rPr>
          <w:szCs w:val="24"/>
        </w:rPr>
        <w:t xml:space="preserve">Those grounds as pleaded were </w:t>
      </w:r>
      <w:r w:rsidRPr="0086198C">
        <w:rPr>
          <w:szCs w:val="24"/>
        </w:rPr>
        <w:t>as follows (verbatim):</w:t>
      </w:r>
    </w:p>
    <w:p w14:paraId="7D3B4BA7" w14:textId="2136C273" w:rsidR="00B81AE3" w:rsidRPr="0086198C" w:rsidRDefault="00B81AE3" w:rsidP="00B81AE3">
      <w:pPr>
        <w:pStyle w:val="Quote1"/>
        <w:ind w:left="1440" w:hanging="703"/>
        <w:rPr>
          <w:lang w:eastAsia="en-AU"/>
        </w:rPr>
      </w:pPr>
      <w:r w:rsidRPr="0086198C">
        <w:rPr>
          <w:lang w:eastAsia="en-AU"/>
        </w:rPr>
        <w:t>1.</w:t>
      </w:r>
      <w:r w:rsidRPr="0086198C">
        <w:rPr>
          <w:lang w:eastAsia="en-AU"/>
        </w:rPr>
        <w:tab/>
        <w:t>The Tribunal misunderstood my case and had no basis not to accept my claim concerning the rape by Syrian man.</w:t>
      </w:r>
    </w:p>
    <w:p w14:paraId="66D2317D" w14:textId="77777777" w:rsidR="00B81AE3" w:rsidRPr="0086198C" w:rsidRDefault="00B81AE3" w:rsidP="00B81AE3">
      <w:pPr>
        <w:pStyle w:val="Quote1"/>
        <w:ind w:left="1440" w:hanging="703"/>
        <w:rPr>
          <w:lang w:eastAsia="en-AU"/>
        </w:rPr>
      </w:pPr>
      <w:r w:rsidRPr="0086198C">
        <w:rPr>
          <w:lang w:eastAsia="en-AU"/>
        </w:rPr>
        <w:t>2.</w:t>
      </w:r>
      <w:r w:rsidRPr="0086198C">
        <w:rPr>
          <w:lang w:eastAsia="en-AU"/>
        </w:rPr>
        <w:tab/>
        <w:t>The Tribunal also has no basis to make a finding that I am not a credible witness.</w:t>
      </w:r>
    </w:p>
    <w:p w14:paraId="28C170F0" w14:textId="77777777" w:rsidR="00B81AE3" w:rsidRPr="0086198C" w:rsidRDefault="00B81AE3" w:rsidP="00B81AE3">
      <w:pPr>
        <w:pStyle w:val="Quote1"/>
        <w:ind w:left="1440" w:hanging="703"/>
        <w:rPr>
          <w:lang w:eastAsia="en-AU"/>
        </w:rPr>
      </w:pPr>
      <w:r w:rsidRPr="0086198C">
        <w:rPr>
          <w:lang w:eastAsia="en-AU"/>
        </w:rPr>
        <w:t>3.</w:t>
      </w:r>
      <w:r w:rsidRPr="0086198C">
        <w:rPr>
          <w:lang w:eastAsia="en-AU"/>
        </w:rPr>
        <w:tab/>
        <w:t>The Tribunal while accepted the Psychologist Report its conclusion is wrong because I see my Psychologist as a result of the trauma and rape I suffered in Lebanon.</w:t>
      </w:r>
    </w:p>
    <w:p w14:paraId="20166994" w14:textId="77777777" w:rsidR="00B81AE3" w:rsidRPr="0086198C" w:rsidRDefault="00B81AE3" w:rsidP="00B81AE3">
      <w:pPr>
        <w:pStyle w:val="Quote1"/>
        <w:ind w:left="1440" w:hanging="703"/>
        <w:rPr>
          <w:lang w:eastAsia="en-AU"/>
        </w:rPr>
      </w:pPr>
      <w:r w:rsidRPr="0086198C">
        <w:rPr>
          <w:lang w:eastAsia="en-AU"/>
        </w:rPr>
        <w:t>4.</w:t>
      </w:r>
      <w:r w:rsidRPr="0086198C">
        <w:rPr>
          <w:lang w:eastAsia="en-AU"/>
        </w:rPr>
        <w:tab/>
        <w:t>The Tribunal had reports and based on those reports and the significant influx of Syrian refugees since 2011 yet failed to accept that rape took place and as a result of that I have been seeing a Psychologist.</w:t>
      </w:r>
    </w:p>
    <w:p w14:paraId="16DD03B2" w14:textId="77777777" w:rsidR="00B81AE3" w:rsidRPr="0086198C" w:rsidRDefault="00B81AE3" w:rsidP="00B81AE3">
      <w:pPr>
        <w:pStyle w:val="Quote1"/>
        <w:ind w:left="1440" w:hanging="703"/>
        <w:rPr>
          <w:lang w:eastAsia="en-AU"/>
        </w:rPr>
      </w:pPr>
      <w:r w:rsidRPr="0086198C">
        <w:rPr>
          <w:lang w:eastAsia="en-AU"/>
        </w:rPr>
        <w:lastRenderedPageBreak/>
        <w:t>5.</w:t>
      </w:r>
      <w:r w:rsidRPr="0086198C">
        <w:rPr>
          <w:lang w:eastAsia="en-AU"/>
        </w:rPr>
        <w:tab/>
        <w:t>The Tribunal must accept my evidence that I am prepared to return back home as soon as the Government can return refugees to Syria because my fear and harm is the result of the Syrian who harmed me and as long as he continues to occupy my home my life continues to be at risk if I return.</w:t>
      </w:r>
    </w:p>
    <w:p w14:paraId="37E38E98" w14:textId="77777777" w:rsidR="00B81AE3" w:rsidRPr="0086198C" w:rsidRDefault="00B81AE3" w:rsidP="00B81AE3">
      <w:pPr>
        <w:pStyle w:val="Quote1"/>
        <w:spacing w:after="360"/>
        <w:ind w:left="1440" w:hanging="703"/>
        <w:rPr>
          <w:lang w:eastAsia="en-AU"/>
        </w:rPr>
      </w:pPr>
      <w:r w:rsidRPr="0086198C">
        <w:rPr>
          <w:lang w:eastAsia="en-AU"/>
        </w:rPr>
        <w:t>6.</w:t>
      </w:r>
      <w:r w:rsidRPr="0086198C">
        <w:rPr>
          <w:lang w:eastAsia="en-AU"/>
        </w:rPr>
        <w:tab/>
        <w:t>I am therefore a credible witness and the Member was bias and made a finding contrary to the facts presented.</w:t>
      </w:r>
    </w:p>
    <w:p w14:paraId="2FE22946" w14:textId="3CB19934" w:rsidR="00285E05" w:rsidRPr="0086198C" w:rsidRDefault="00285E05" w:rsidP="00285E05">
      <w:pPr>
        <w:pStyle w:val="ParaNumbering"/>
        <w:rPr>
          <w:szCs w:val="24"/>
        </w:rPr>
      </w:pPr>
      <w:r w:rsidRPr="0086198C">
        <w:rPr>
          <w:szCs w:val="24"/>
        </w:rPr>
        <w:t>A further and additional ground of review, contained in a proposed amended application</w:t>
      </w:r>
      <w:r w:rsidR="001C6A92" w:rsidRPr="0086198C">
        <w:rPr>
          <w:szCs w:val="24"/>
        </w:rPr>
        <w:t>,</w:t>
      </w:r>
      <w:r w:rsidRPr="0086198C">
        <w:rPr>
          <w:szCs w:val="24"/>
        </w:rPr>
        <w:t xml:space="preserve"> was as follows (as reproduced in the primary judge</w:t>
      </w:r>
      <w:r w:rsidR="00BF5075" w:rsidRPr="0086198C">
        <w:rPr>
          <w:szCs w:val="24"/>
        </w:rPr>
        <w:t>’</w:t>
      </w:r>
      <w:r w:rsidRPr="0086198C">
        <w:rPr>
          <w:szCs w:val="24"/>
        </w:rPr>
        <w:t>s reasons at [18]):</w:t>
      </w:r>
    </w:p>
    <w:p w14:paraId="125623EC" w14:textId="77777777" w:rsidR="00285E05" w:rsidRPr="0086198C" w:rsidRDefault="00285E05" w:rsidP="00285E05">
      <w:pPr>
        <w:pStyle w:val="Quote1"/>
      </w:pPr>
      <w:r w:rsidRPr="0086198C">
        <w:t>The Tribunal failed to comply with s 424A of the Migration Act</w:t>
      </w:r>
    </w:p>
    <w:p w14:paraId="0DACBEC6" w14:textId="77777777" w:rsidR="00285E05" w:rsidRPr="0086198C" w:rsidRDefault="00285E05" w:rsidP="00285E05">
      <w:pPr>
        <w:pStyle w:val="Quote1"/>
      </w:pPr>
      <w:r w:rsidRPr="0086198C">
        <w:t>Particulars</w:t>
      </w:r>
    </w:p>
    <w:p w14:paraId="371F6196" w14:textId="0FBD1D1F" w:rsidR="00285E05" w:rsidRPr="0086198C" w:rsidRDefault="00285E05" w:rsidP="00E10709">
      <w:pPr>
        <w:pStyle w:val="Quote1"/>
        <w:spacing w:after="360"/>
        <w:ind w:left="1440" w:hanging="703"/>
      </w:pPr>
      <w:r w:rsidRPr="0086198C">
        <w:t>(1)</w:t>
      </w:r>
      <w:r w:rsidRPr="0086198C">
        <w:tab/>
        <w:t>The Tribunal used as part of a reason for affirming the decision under review the fact that the applicant had previously made an application for a prospective spouse visa.  This application was material evidence that, in combination with other evidence the Tribunal accepted, led to the making of a finding of fact that by itself contradicted or undermined an essential element of the applicant</w:t>
      </w:r>
      <w:r w:rsidR="00BF5075" w:rsidRPr="0086198C">
        <w:t>’</w:t>
      </w:r>
      <w:r w:rsidRPr="0086198C">
        <w:t>s claim.</w:t>
      </w:r>
    </w:p>
    <w:p w14:paraId="49EF7F0C" w14:textId="0B95A062" w:rsidR="00285E05" w:rsidRPr="0086198C" w:rsidRDefault="00285E05" w:rsidP="00285E05">
      <w:pPr>
        <w:pStyle w:val="ParaNumbering"/>
        <w:rPr>
          <w:szCs w:val="24"/>
        </w:rPr>
      </w:pPr>
      <w:r w:rsidRPr="0086198C">
        <w:rPr>
          <w:szCs w:val="24"/>
        </w:rPr>
        <w:t>All seven grounds of review were pressed</w:t>
      </w:r>
      <w:r w:rsidR="00DE3907">
        <w:rPr>
          <w:szCs w:val="24"/>
        </w:rPr>
        <w:t xml:space="preserve"> before </w:t>
      </w:r>
      <w:r w:rsidR="00E10709">
        <w:rPr>
          <w:szCs w:val="24"/>
        </w:rPr>
        <w:t>the primary judge</w:t>
      </w:r>
      <w:r w:rsidRPr="0086198C">
        <w:rPr>
          <w:szCs w:val="24"/>
        </w:rPr>
        <w:t>.</w:t>
      </w:r>
      <w:r w:rsidR="00E10709">
        <w:rPr>
          <w:szCs w:val="24"/>
        </w:rPr>
        <w:t xml:space="preserve">  </w:t>
      </w:r>
    </w:p>
    <w:p w14:paraId="03E9DB1C" w14:textId="7F87CA90" w:rsidR="00285E05" w:rsidRPr="0086198C" w:rsidRDefault="00285E05" w:rsidP="00285E05">
      <w:pPr>
        <w:pStyle w:val="ParaNumbering"/>
        <w:rPr>
          <w:szCs w:val="24"/>
        </w:rPr>
      </w:pPr>
      <w:r w:rsidRPr="0086198C">
        <w:rPr>
          <w:szCs w:val="24"/>
        </w:rPr>
        <w:t>The primary judge detailed the oral submissions made by the appellant in relation to the original six grounds of review, including the appellant reading a prepared statement that repeated her claims to fear harm from the Syrian man whom she said had sexually assaulted her</w:t>
      </w:r>
      <w:r w:rsidR="006E6FAA" w:rsidRPr="0086198C">
        <w:rPr>
          <w:szCs w:val="24"/>
        </w:rPr>
        <w:t>.</w:t>
      </w:r>
      <w:r w:rsidRPr="0086198C">
        <w:rPr>
          <w:szCs w:val="24"/>
        </w:rPr>
        <w:t xml:space="preserve"> </w:t>
      </w:r>
      <w:r w:rsidR="006E6FAA" w:rsidRPr="0086198C">
        <w:rPr>
          <w:szCs w:val="24"/>
        </w:rPr>
        <w:t xml:space="preserve"> The appellant also asserted that</w:t>
      </w:r>
      <w:r w:rsidRPr="0086198C">
        <w:rPr>
          <w:szCs w:val="24"/>
        </w:rPr>
        <w:t xml:space="preserve"> she had not lied before the Tribunal.  However</w:t>
      </w:r>
      <w:r w:rsidR="006E6FAA" w:rsidRPr="0086198C">
        <w:rPr>
          <w:szCs w:val="24"/>
        </w:rPr>
        <w:t>,</w:t>
      </w:r>
      <w:r w:rsidRPr="0086198C">
        <w:rPr>
          <w:szCs w:val="24"/>
        </w:rPr>
        <w:t xml:space="preserve"> his Honour characterised the Tribunal</w:t>
      </w:r>
      <w:r w:rsidR="00BF5075" w:rsidRPr="0086198C">
        <w:rPr>
          <w:szCs w:val="24"/>
        </w:rPr>
        <w:t>’</w:t>
      </w:r>
      <w:r w:rsidRPr="0086198C">
        <w:rPr>
          <w:szCs w:val="24"/>
        </w:rPr>
        <w:t>s ultimate adverse conclusions as to the appellant</w:t>
      </w:r>
      <w:r w:rsidR="00BF5075" w:rsidRPr="0086198C">
        <w:rPr>
          <w:szCs w:val="24"/>
        </w:rPr>
        <w:t>’</w:t>
      </w:r>
      <w:r w:rsidRPr="0086198C">
        <w:rPr>
          <w:szCs w:val="24"/>
        </w:rPr>
        <w:t xml:space="preserve">s credibility as being based on factual findings that were reasonably open and for which there were intelligible and cogent reasons, citing well-established authority on that topic, culminating in </w:t>
      </w:r>
      <w:r w:rsidRPr="0086198C">
        <w:rPr>
          <w:i/>
          <w:szCs w:val="24"/>
          <w:lang w:eastAsia="en-AU"/>
        </w:rPr>
        <w:t>CQG15 v Minister for Immigration and Border Protection</w:t>
      </w:r>
      <w:r w:rsidRPr="0086198C">
        <w:rPr>
          <w:szCs w:val="24"/>
          <w:lang w:eastAsia="en-AU"/>
        </w:rPr>
        <w:t xml:space="preserve"> [2016] FCAFC 146</w:t>
      </w:r>
      <w:r w:rsidRPr="0086198C">
        <w:rPr>
          <w:szCs w:val="24"/>
        </w:rPr>
        <w:t xml:space="preserve">; </w:t>
      </w:r>
      <w:r w:rsidR="00D750F8" w:rsidRPr="0086198C">
        <w:rPr>
          <w:szCs w:val="24"/>
        </w:rPr>
        <w:t>253 FCR 496</w:t>
      </w:r>
      <w:r w:rsidR="004E66AE" w:rsidRPr="0086198C">
        <w:rPr>
          <w:szCs w:val="24"/>
        </w:rPr>
        <w:t>.</w:t>
      </w:r>
      <w:r w:rsidR="004E66AE" w:rsidRPr="0086198C">
        <w:rPr>
          <w:szCs w:val="24"/>
          <w:lang w:eastAsia="en-AU"/>
        </w:rPr>
        <w:t xml:space="preserve"> </w:t>
      </w:r>
    </w:p>
    <w:p w14:paraId="3D877C4A" w14:textId="6414842F" w:rsidR="00285E05" w:rsidRPr="00631BBD" w:rsidRDefault="004E66AE" w:rsidP="004E66AE">
      <w:pPr>
        <w:pStyle w:val="ParaNumbering"/>
        <w:rPr>
          <w:i/>
          <w:iCs/>
          <w:szCs w:val="24"/>
          <w:lang w:eastAsia="en-AU"/>
        </w:rPr>
      </w:pPr>
      <w:r w:rsidRPr="00631BBD">
        <w:rPr>
          <w:szCs w:val="24"/>
        </w:rPr>
        <w:t xml:space="preserve">Dealing first with the seventh </w:t>
      </w:r>
      <w:r w:rsidR="00DA5C49">
        <w:rPr>
          <w:szCs w:val="24"/>
        </w:rPr>
        <w:t>(</w:t>
      </w:r>
      <w:r w:rsidR="00DA5C49" w:rsidRPr="0086198C">
        <w:rPr>
          <w:szCs w:val="24"/>
        </w:rPr>
        <w:t>further and additional</w:t>
      </w:r>
      <w:r w:rsidR="00DA5C49">
        <w:rPr>
          <w:szCs w:val="24"/>
        </w:rPr>
        <w:t xml:space="preserve">) </w:t>
      </w:r>
      <w:r w:rsidRPr="00631BBD">
        <w:rPr>
          <w:szCs w:val="24"/>
        </w:rPr>
        <w:t xml:space="preserve">ground concerning an alleged breach of s 424A of the </w:t>
      </w:r>
      <w:r w:rsidRPr="00631BBD">
        <w:rPr>
          <w:i/>
          <w:szCs w:val="24"/>
        </w:rPr>
        <w:t xml:space="preserve">Migration Act 1958 </w:t>
      </w:r>
      <w:r w:rsidRPr="0039544B">
        <w:rPr>
          <w:szCs w:val="24"/>
        </w:rPr>
        <w:t>(</w:t>
      </w:r>
      <w:proofErr w:type="spellStart"/>
      <w:r w:rsidRPr="0039544B">
        <w:rPr>
          <w:szCs w:val="24"/>
        </w:rPr>
        <w:t>Cth</w:t>
      </w:r>
      <w:proofErr w:type="spellEnd"/>
      <w:r w:rsidRPr="0039544B">
        <w:rPr>
          <w:szCs w:val="24"/>
        </w:rPr>
        <w:t>), the primary judge characterised the inform</w:t>
      </w:r>
      <w:r w:rsidRPr="00631BBD">
        <w:rPr>
          <w:szCs w:val="24"/>
        </w:rPr>
        <w:t xml:space="preserve">ation in question about </w:t>
      </w:r>
      <w:r w:rsidR="00DA5C49">
        <w:rPr>
          <w:szCs w:val="24"/>
        </w:rPr>
        <w:t>the appellant’s</w:t>
      </w:r>
      <w:r w:rsidRPr="00631BBD">
        <w:rPr>
          <w:szCs w:val="24"/>
        </w:rPr>
        <w:t xml:space="preserve"> prospective spouse visa as having been provided in her protection visa application</w:t>
      </w:r>
      <w:r w:rsidR="00DE3907">
        <w:rPr>
          <w:szCs w:val="24"/>
        </w:rPr>
        <w:t>,</w:t>
      </w:r>
      <w:r w:rsidRPr="00631BBD">
        <w:rPr>
          <w:szCs w:val="24"/>
        </w:rPr>
        <w:t xml:space="preserve"> and having also been provided to the Tribunal for the purpose of its merits review.  His Honour concluded that this information therefore fell within the exceptions in s </w:t>
      </w:r>
      <w:proofErr w:type="gramStart"/>
      <w:r w:rsidRPr="00631BBD">
        <w:rPr>
          <w:szCs w:val="24"/>
        </w:rPr>
        <w:t>424A(</w:t>
      </w:r>
      <w:proofErr w:type="gramEnd"/>
      <w:r w:rsidRPr="00631BBD">
        <w:rPr>
          <w:szCs w:val="24"/>
        </w:rPr>
        <w:t>3)(</w:t>
      </w:r>
      <w:proofErr w:type="spellStart"/>
      <w:r w:rsidRPr="00631BBD">
        <w:rPr>
          <w:szCs w:val="24"/>
        </w:rPr>
        <w:t>ba</w:t>
      </w:r>
      <w:proofErr w:type="spellEnd"/>
      <w:r w:rsidRPr="00631BBD">
        <w:rPr>
          <w:szCs w:val="24"/>
        </w:rPr>
        <w:t xml:space="preserve">) and (3)(b) respectively.  His Honour also found that the inconsistency between the information provided by the appellant and her evidence at the Tribunal hearing was not </w:t>
      </w:r>
      <w:r w:rsidR="00BF5075" w:rsidRPr="00631BBD">
        <w:rPr>
          <w:szCs w:val="24"/>
        </w:rPr>
        <w:t>“</w:t>
      </w:r>
      <w:r w:rsidRPr="00631BBD">
        <w:rPr>
          <w:i/>
          <w:szCs w:val="24"/>
        </w:rPr>
        <w:t>information</w:t>
      </w:r>
      <w:r w:rsidR="00BF5075" w:rsidRPr="00631BBD">
        <w:rPr>
          <w:szCs w:val="24"/>
        </w:rPr>
        <w:t>”</w:t>
      </w:r>
      <w:r w:rsidRPr="00631BBD">
        <w:rPr>
          <w:szCs w:val="24"/>
        </w:rPr>
        <w:t xml:space="preserve"> for the purposes of s 424A(1), citing </w:t>
      </w:r>
      <w:r w:rsidRPr="00631BBD">
        <w:rPr>
          <w:i/>
          <w:iCs/>
          <w:szCs w:val="24"/>
          <w:lang w:eastAsia="en-AU"/>
        </w:rPr>
        <w:t xml:space="preserve">SZBYR v Minister for Immigration and Citizenship </w:t>
      </w:r>
      <w:r w:rsidRPr="00631BBD">
        <w:rPr>
          <w:szCs w:val="24"/>
          <w:lang w:eastAsia="en-AU"/>
        </w:rPr>
        <w:t>[2007] HCA 26; 235 ALR 609</w:t>
      </w:r>
      <w:r w:rsidR="00F36033" w:rsidRPr="00631BBD">
        <w:rPr>
          <w:szCs w:val="24"/>
          <w:lang w:eastAsia="en-AU"/>
        </w:rPr>
        <w:t xml:space="preserve">; see also </w:t>
      </w:r>
      <w:r w:rsidR="00F36033" w:rsidRPr="00631BBD">
        <w:rPr>
          <w:i/>
          <w:szCs w:val="24"/>
          <w:lang w:eastAsia="en-AU"/>
        </w:rPr>
        <w:t xml:space="preserve">Minister for Immigration &amp; Citizenship v SZGUR </w:t>
      </w:r>
      <w:r w:rsidR="00F36033" w:rsidRPr="00631BBD">
        <w:rPr>
          <w:szCs w:val="24"/>
          <w:lang w:eastAsia="en-AU"/>
        </w:rPr>
        <w:t>[2011] HCA 1; 241</w:t>
      </w:r>
      <w:r w:rsidR="00F32E02" w:rsidRPr="00631BBD">
        <w:rPr>
          <w:szCs w:val="24"/>
          <w:lang w:eastAsia="en-AU"/>
        </w:rPr>
        <w:t xml:space="preserve"> CLR 594</w:t>
      </w:r>
      <w:r w:rsidR="00470E8E" w:rsidRPr="00631BBD">
        <w:rPr>
          <w:szCs w:val="24"/>
          <w:lang w:eastAsia="en-AU"/>
        </w:rPr>
        <w:t xml:space="preserve"> at [9]</w:t>
      </w:r>
      <w:r w:rsidR="00A31672" w:rsidRPr="00631BBD">
        <w:rPr>
          <w:szCs w:val="24"/>
          <w:lang w:eastAsia="en-AU"/>
        </w:rPr>
        <w:t xml:space="preserve"> (French CJ and </w:t>
      </w:r>
      <w:proofErr w:type="spellStart"/>
      <w:r w:rsidR="00A31672" w:rsidRPr="00631BBD">
        <w:rPr>
          <w:szCs w:val="24"/>
          <w:lang w:eastAsia="en-AU"/>
        </w:rPr>
        <w:t>Kiefel</w:t>
      </w:r>
      <w:proofErr w:type="spellEnd"/>
      <w:r w:rsidR="00A31672" w:rsidRPr="00631BBD">
        <w:rPr>
          <w:szCs w:val="24"/>
          <w:lang w:eastAsia="en-AU"/>
        </w:rPr>
        <w:t xml:space="preserve"> </w:t>
      </w:r>
      <w:r w:rsidR="00A31672" w:rsidRPr="00631BBD">
        <w:rPr>
          <w:szCs w:val="24"/>
          <w:lang w:eastAsia="en-AU"/>
        </w:rPr>
        <w:lastRenderedPageBreak/>
        <w:t>J)</w:t>
      </w:r>
      <w:r w:rsidR="00F36033" w:rsidRPr="00631BBD">
        <w:rPr>
          <w:szCs w:val="24"/>
          <w:lang w:eastAsia="en-AU"/>
        </w:rPr>
        <w:t xml:space="preserve">; </w:t>
      </w:r>
      <w:r w:rsidR="00A31672" w:rsidRPr="00631BBD">
        <w:rPr>
          <w:i/>
          <w:szCs w:val="24"/>
          <w:lang w:eastAsia="en-AU"/>
        </w:rPr>
        <w:t xml:space="preserve">SZVCZ v Minister for Immigration and Border Protection </w:t>
      </w:r>
      <w:r w:rsidR="00A31672" w:rsidRPr="00631BBD">
        <w:rPr>
          <w:szCs w:val="24"/>
          <w:lang w:eastAsia="en-AU"/>
        </w:rPr>
        <w:t>[2017] FCAFC 130; 252 FCR 540</w:t>
      </w:r>
      <w:r w:rsidRPr="00631BBD">
        <w:rPr>
          <w:szCs w:val="24"/>
          <w:lang w:eastAsia="en-AU"/>
        </w:rPr>
        <w:t xml:space="preserve">.  </w:t>
      </w:r>
      <w:r w:rsidR="001446C1" w:rsidRPr="00631BBD">
        <w:rPr>
          <w:szCs w:val="24"/>
          <w:lang w:eastAsia="en-AU"/>
        </w:rPr>
        <w:t xml:space="preserve">His Honour therefore </w:t>
      </w:r>
      <w:r w:rsidR="00DC01E3" w:rsidRPr="00631BBD">
        <w:rPr>
          <w:szCs w:val="24"/>
          <w:lang w:eastAsia="en-AU"/>
        </w:rPr>
        <w:t>refused leave to rely upon that ground of review</w:t>
      </w:r>
      <w:r w:rsidRPr="00631BBD">
        <w:rPr>
          <w:szCs w:val="24"/>
          <w:lang w:eastAsia="en-AU"/>
        </w:rPr>
        <w:t>.</w:t>
      </w:r>
    </w:p>
    <w:p w14:paraId="11B808CA" w14:textId="1BD71344" w:rsidR="00285E05" w:rsidRPr="0086198C" w:rsidRDefault="001446C1" w:rsidP="00285E05">
      <w:pPr>
        <w:pStyle w:val="ParaNumbering"/>
        <w:rPr>
          <w:szCs w:val="24"/>
        </w:rPr>
      </w:pPr>
      <w:r w:rsidRPr="0086198C">
        <w:rPr>
          <w:szCs w:val="24"/>
        </w:rPr>
        <w:t xml:space="preserve">The primary judge then turned to the six original grounds of review.  His Honour characterised grounds 1 and 2 as mere </w:t>
      </w:r>
      <w:r w:rsidR="00DC01E3" w:rsidRPr="0086198C">
        <w:rPr>
          <w:szCs w:val="24"/>
        </w:rPr>
        <w:t>general assertions, without particulars, which was of itself a sufficient reason to dismiss them.  However</w:t>
      </w:r>
      <w:r w:rsidR="00070904" w:rsidRPr="0086198C">
        <w:rPr>
          <w:szCs w:val="24"/>
        </w:rPr>
        <w:t>,</w:t>
      </w:r>
      <w:r w:rsidR="00DC01E3" w:rsidRPr="0086198C">
        <w:rPr>
          <w:szCs w:val="24"/>
        </w:rPr>
        <w:t xml:space="preserve"> his Honour went further and considered the grounds, noting that there was nothing in the evidence to indicate that the Tribunal misunderstood the appellant</w:t>
      </w:r>
      <w:r w:rsidR="00BF5075" w:rsidRPr="0086198C">
        <w:rPr>
          <w:szCs w:val="24"/>
        </w:rPr>
        <w:t>’</w:t>
      </w:r>
      <w:r w:rsidR="00DC01E3" w:rsidRPr="0086198C">
        <w:rPr>
          <w:szCs w:val="24"/>
        </w:rPr>
        <w:t xml:space="preserve">s claim to fear harm from a Syrian man who had previously assaulted her, which was confirmed as the only basis for this feared harm.  </w:t>
      </w:r>
      <w:r w:rsidR="00DA5C49">
        <w:rPr>
          <w:szCs w:val="24"/>
        </w:rPr>
        <w:t>His Honour found that the</w:t>
      </w:r>
      <w:r w:rsidR="00DC01E3" w:rsidRPr="0086198C">
        <w:rPr>
          <w:szCs w:val="24"/>
        </w:rPr>
        <w:t xml:space="preserve"> Tribunal had a basis for rejecting that claim, it being her own evidence which led to an adverse credibility finding.  That finding in turn was based on a series of factual findings that were open for it to make.  </w:t>
      </w:r>
      <w:r w:rsidR="00DA5C49">
        <w:rPr>
          <w:szCs w:val="24"/>
        </w:rPr>
        <w:t>Thus, his Honour concluded, t</w:t>
      </w:r>
      <w:r w:rsidR="00DC01E3" w:rsidRPr="0086198C">
        <w:rPr>
          <w:szCs w:val="24"/>
        </w:rPr>
        <w:t>he appellant</w:t>
      </w:r>
      <w:r w:rsidR="00BF5075" w:rsidRPr="0086198C">
        <w:rPr>
          <w:szCs w:val="24"/>
        </w:rPr>
        <w:t>’</w:t>
      </w:r>
      <w:r w:rsidR="00DC01E3" w:rsidRPr="0086198C">
        <w:rPr>
          <w:szCs w:val="24"/>
        </w:rPr>
        <w:t>s case rose no higher than an assertion that she had told the truth and that it was not open to the Tribunal to find otherwise.  This was nothing more than impermissible merits review.</w:t>
      </w:r>
    </w:p>
    <w:p w14:paraId="5C35E20E" w14:textId="3C21A243" w:rsidR="00FF36F5" w:rsidRPr="0086198C" w:rsidRDefault="00DC01E3" w:rsidP="00FF36F5">
      <w:pPr>
        <w:pStyle w:val="ParaNumbering"/>
        <w:rPr>
          <w:szCs w:val="24"/>
        </w:rPr>
      </w:pPr>
      <w:r w:rsidRPr="0086198C">
        <w:rPr>
          <w:szCs w:val="24"/>
        </w:rPr>
        <w:t>The primary judge similarly characterised grounds 3, 4 and 5 as being no more than expressions of disagreement with the Tribunal</w:t>
      </w:r>
      <w:r w:rsidR="00BF5075" w:rsidRPr="0086198C">
        <w:rPr>
          <w:szCs w:val="24"/>
        </w:rPr>
        <w:t>’</w:t>
      </w:r>
      <w:r w:rsidRPr="0086198C">
        <w:rPr>
          <w:szCs w:val="24"/>
        </w:rPr>
        <w:t>s findings.  His Honour said that the appellant</w:t>
      </w:r>
      <w:r w:rsidR="00BF5075" w:rsidRPr="0086198C">
        <w:rPr>
          <w:szCs w:val="24"/>
        </w:rPr>
        <w:t>’</w:t>
      </w:r>
      <w:r w:rsidRPr="0086198C">
        <w:rPr>
          <w:szCs w:val="24"/>
        </w:rPr>
        <w:t>s complaint appeared to be that the Tribunal should have accepted her claim to fear harm from the Syrian man because she had provided reports from a psychologist which arose from the asserted trauma of events in Lebanon and her having been raped.  However</w:t>
      </w:r>
      <w:r w:rsidR="00FF36F5" w:rsidRPr="0086198C">
        <w:rPr>
          <w:szCs w:val="24"/>
        </w:rPr>
        <w:t>,</w:t>
      </w:r>
      <w:r w:rsidRPr="0086198C">
        <w:rPr>
          <w:szCs w:val="24"/>
        </w:rPr>
        <w:t xml:space="preserve"> </w:t>
      </w:r>
      <w:r w:rsidR="00FF36F5" w:rsidRPr="0086198C">
        <w:rPr>
          <w:szCs w:val="24"/>
        </w:rPr>
        <w:t>h</w:t>
      </w:r>
      <w:r w:rsidRPr="0086198C">
        <w:rPr>
          <w:szCs w:val="24"/>
        </w:rPr>
        <w:t xml:space="preserve">is Honour noted that the Tribunal </w:t>
      </w:r>
      <w:r w:rsidR="00FF36F5" w:rsidRPr="0086198C">
        <w:rPr>
          <w:szCs w:val="24"/>
        </w:rPr>
        <w:t>had</w:t>
      </w:r>
      <w:r w:rsidRPr="0086198C">
        <w:rPr>
          <w:szCs w:val="24"/>
        </w:rPr>
        <w:t xml:space="preserve"> specifically and extensively </w:t>
      </w:r>
      <w:r w:rsidR="00FF36F5" w:rsidRPr="0086198C">
        <w:rPr>
          <w:szCs w:val="24"/>
        </w:rPr>
        <w:t xml:space="preserve">considered those </w:t>
      </w:r>
      <w:r w:rsidR="00FF36F5" w:rsidRPr="0086198C">
        <w:rPr>
          <w:szCs w:val="24"/>
          <w:lang w:eastAsia="en-AU"/>
        </w:rPr>
        <w:t>psychological reports, the appellant</w:t>
      </w:r>
      <w:r w:rsidR="00BF5075" w:rsidRPr="0086198C">
        <w:rPr>
          <w:szCs w:val="24"/>
          <w:lang w:eastAsia="en-AU"/>
        </w:rPr>
        <w:t>’</w:t>
      </w:r>
      <w:r w:rsidR="00FF36F5" w:rsidRPr="0086198C">
        <w:rPr>
          <w:szCs w:val="24"/>
          <w:lang w:eastAsia="en-AU"/>
        </w:rPr>
        <w:t xml:space="preserve">s evidence about those reports and her evidence about the events to which they were said to relate.  </w:t>
      </w:r>
      <w:r w:rsidR="00414267">
        <w:rPr>
          <w:szCs w:val="24"/>
          <w:lang w:eastAsia="en-AU"/>
        </w:rPr>
        <w:t>His Honour observed that t</w:t>
      </w:r>
      <w:r w:rsidR="00FF36F5" w:rsidRPr="0086198C">
        <w:rPr>
          <w:szCs w:val="24"/>
          <w:lang w:eastAsia="en-AU"/>
        </w:rPr>
        <w:t>he Tribunal</w:t>
      </w:r>
      <w:r w:rsidR="00BF5075" w:rsidRPr="0086198C">
        <w:rPr>
          <w:szCs w:val="24"/>
          <w:lang w:eastAsia="en-AU"/>
        </w:rPr>
        <w:t>’</w:t>
      </w:r>
      <w:r w:rsidR="00070904" w:rsidRPr="0086198C">
        <w:rPr>
          <w:szCs w:val="24"/>
          <w:lang w:eastAsia="en-AU"/>
        </w:rPr>
        <w:t>s</w:t>
      </w:r>
      <w:r w:rsidR="00FF36F5" w:rsidRPr="0086198C">
        <w:rPr>
          <w:szCs w:val="24"/>
          <w:lang w:eastAsia="en-AU"/>
        </w:rPr>
        <w:t xml:space="preserve"> reasons refer to putting inconsistencies to the appellant, part of which resulted in her saying that </w:t>
      </w:r>
      <w:r w:rsidR="006F0140" w:rsidRPr="0086198C">
        <w:rPr>
          <w:szCs w:val="24"/>
          <w:lang w:eastAsia="en-AU"/>
        </w:rPr>
        <w:t>a part of one of the reports was incorrect</w:t>
      </w:r>
      <w:r w:rsidR="00347147">
        <w:rPr>
          <w:szCs w:val="24"/>
          <w:lang w:eastAsia="en-AU"/>
        </w:rPr>
        <w:t>,</w:t>
      </w:r>
      <w:r w:rsidR="00414267">
        <w:rPr>
          <w:szCs w:val="24"/>
          <w:lang w:eastAsia="en-AU"/>
        </w:rPr>
        <w:t xml:space="preserve"> and that t</w:t>
      </w:r>
      <w:r w:rsidR="006F0140" w:rsidRPr="0086198C">
        <w:rPr>
          <w:szCs w:val="24"/>
          <w:lang w:eastAsia="en-AU"/>
        </w:rPr>
        <w:t>he Tribunal had accepted aspects of those reports, but</w:t>
      </w:r>
      <w:r w:rsidR="00347147">
        <w:rPr>
          <w:szCs w:val="24"/>
          <w:lang w:eastAsia="en-AU"/>
        </w:rPr>
        <w:t xml:space="preserve"> that</w:t>
      </w:r>
      <w:r w:rsidR="006F0140" w:rsidRPr="0086198C">
        <w:rPr>
          <w:szCs w:val="24"/>
          <w:lang w:eastAsia="en-AU"/>
        </w:rPr>
        <w:t xml:space="preserve"> this was not enough to overcome </w:t>
      </w:r>
      <w:r w:rsidR="00347147">
        <w:rPr>
          <w:szCs w:val="24"/>
          <w:lang w:eastAsia="en-AU"/>
        </w:rPr>
        <w:t>its</w:t>
      </w:r>
      <w:r w:rsidR="00347147" w:rsidRPr="0086198C">
        <w:rPr>
          <w:szCs w:val="24"/>
          <w:lang w:eastAsia="en-AU"/>
        </w:rPr>
        <w:t xml:space="preserve"> </w:t>
      </w:r>
      <w:r w:rsidR="006F0140" w:rsidRPr="0086198C">
        <w:rPr>
          <w:szCs w:val="24"/>
          <w:lang w:eastAsia="en-AU"/>
        </w:rPr>
        <w:t>adverse findings as to the appellant</w:t>
      </w:r>
      <w:r w:rsidR="00BF5075" w:rsidRPr="0086198C">
        <w:rPr>
          <w:szCs w:val="24"/>
          <w:lang w:eastAsia="en-AU"/>
        </w:rPr>
        <w:t>’</w:t>
      </w:r>
      <w:r w:rsidR="006F0140" w:rsidRPr="0086198C">
        <w:rPr>
          <w:szCs w:val="24"/>
          <w:lang w:eastAsia="en-AU"/>
        </w:rPr>
        <w:t>s credibility and the consequential rejection of her claim of having been sexually assaulted by the Syrian man.  The primary judge concluded that these three grounds of review also sought impermissible merits review.</w:t>
      </w:r>
    </w:p>
    <w:p w14:paraId="1A2E2787" w14:textId="58A9A89D" w:rsidR="006F0140" w:rsidRPr="0086198C" w:rsidRDefault="006F0140" w:rsidP="006F0140">
      <w:pPr>
        <w:pStyle w:val="ParaNumbering"/>
        <w:rPr>
          <w:szCs w:val="24"/>
        </w:rPr>
      </w:pPr>
      <w:r w:rsidRPr="0086198C">
        <w:rPr>
          <w:szCs w:val="24"/>
          <w:lang w:eastAsia="en-AU"/>
        </w:rPr>
        <w:t xml:space="preserve">The primary judge described bias, raised by ground 6, as a serious allegation which was required to be clearly alleged and distinctly proven, citing the leading authority of </w:t>
      </w:r>
      <w:r w:rsidRPr="0086198C">
        <w:rPr>
          <w:i/>
          <w:iCs/>
          <w:szCs w:val="24"/>
          <w:lang w:eastAsia="en-AU"/>
        </w:rPr>
        <w:t xml:space="preserve">Minister for Immigration v </w:t>
      </w:r>
      <w:proofErr w:type="spellStart"/>
      <w:r w:rsidRPr="0086198C">
        <w:rPr>
          <w:i/>
          <w:iCs/>
          <w:szCs w:val="24"/>
          <w:lang w:eastAsia="en-AU"/>
        </w:rPr>
        <w:t>Jia</w:t>
      </w:r>
      <w:proofErr w:type="spellEnd"/>
      <w:r w:rsidRPr="0086198C">
        <w:rPr>
          <w:i/>
          <w:iCs/>
          <w:szCs w:val="24"/>
          <w:lang w:eastAsia="en-AU"/>
        </w:rPr>
        <w:t xml:space="preserve"> </w:t>
      </w:r>
      <w:proofErr w:type="spellStart"/>
      <w:r w:rsidRPr="0086198C">
        <w:rPr>
          <w:i/>
          <w:iCs/>
          <w:szCs w:val="24"/>
          <w:lang w:eastAsia="en-AU"/>
        </w:rPr>
        <w:t>Legeng</w:t>
      </w:r>
      <w:proofErr w:type="spellEnd"/>
      <w:r w:rsidRPr="0086198C">
        <w:rPr>
          <w:i/>
          <w:iCs/>
          <w:szCs w:val="24"/>
          <w:lang w:eastAsia="en-AU"/>
        </w:rPr>
        <w:t xml:space="preserve"> </w:t>
      </w:r>
      <w:r w:rsidRPr="0086198C">
        <w:rPr>
          <w:szCs w:val="24"/>
          <w:lang w:eastAsia="en-AU"/>
        </w:rPr>
        <w:t>[2001] HCA 17; 205 CLR 507.  His Honour noted that it is rare that such an allegation can be established by reference only to the reasons for the decision, citing numerous authorit</w:t>
      </w:r>
      <w:r w:rsidR="00414267">
        <w:rPr>
          <w:szCs w:val="24"/>
          <w:lang w:eastAsia="en-AU"/>
        </w:rPr>
        <w:t>ies</w:t>
      </w:r>
      <w:r w:rsidRPr="0086198C">
        <w:rPr>
          <w:szCs w:val="24"/>
          <w:lang w:eastAsia="en-AU"/>
        </w:rPr>
        <w:t xml:space="preserve"> to that effect.  His Honour referred to the transcript of the Tribunal hearing provided and relied upon by the appellant.  His Honour found nothing in that transcript </w:t>
      </w:r>
      <w:r w:rsidRPr="0086198C">
        <w:rPr>
          <w:szCs w:val="24"/>
          <w:lang w:eastAsia="en-AU"/>
        </w:rPr>
        <w:lastRenderedPageBreak/>
        <w:t>to support the assertion of bias, noting also that the appellant had not identified any particular aspect of the Tribunal</w:t>
      </w:r>
      <w:r w:rsidR="00BF5075" w:rsidRPr="0086198C">
        <w:rPr>
          <w:szCs w:val="24"/>
          <w:lang w:eastAsia="en-AU"/>
        </w:rPr>
        <w:t>’</w:t>
      </w:r>
      <w:r w:rsidRPr="0086198C">
        <w:rPr>
          <w:szCs w:val="24"/>
          <w:lang w:eastAsia="en-AU"/>
        </w:rPr>
        <w:t>s reasons that indicated or revealed any pre-judgment.  His Honour was not satisfied that any allegation of bias had been established.</w:t>
      </w:r>
    </w:p>
    <w:p w14:paraId="77AF23DB" w14:textId="01B044AC" w:rsidR="006F0140" w:rsidRPr="0086198C" w:rsidRDefault="006F0140" w:rsidP="006F0140">
      <w:pPr>
        <w:pStyle w:val="ParaNumbering"/>
        <w:rPr>
          <w:szCs w:val="24"/>
        </w:rPr>
      </w:pPr>
      <w:r w:rsidRPr="0086198C">
        <w:rPr>
          <w:szCs w:val="24"/>
          <w:lang w:eastAsia="en-AU"/>
        </w:rPr>
        <w:t>The appellant</w:t>
      </w:r>
      <w:r w:rsidR="00BF5075" w:rsidRPr="0086198C">
        <w:rPr>
          <w:szCs w:val="24"/>
          <w:lang w:eastAsia="en-AU"/>
        </w:rPr>
        <w:t>’</w:t>
      </w:r>
      <w:r w:rsidRPr="0086198C">
        <w:rPr>
          <w:szCs w:val="24"/>
          <w:lang w:eastAsia="en-AU"/>
        </w:rPr>
        <w:t>s judicial review application was therefore dismissed as no jurisdiction</w:t>
      </w:r>
      <w:r w:rsidR="00347147">
        <w:rPr>
          <w:szCs w:val="24"/>
          <w:lang w:eastAsia="en-AU"/>
        </w:rPr>
        <w:t>al</w:t>
      </w:r>
      <w:r w:rsidRPr="0086198C">
        <w:rPr>
          <w:szCs w:val="24"/>
          <w:lang w:eastAsia="en-AU"/>
        </w:rPr>
        <w:t xml:space="preserve"> error had been revealed.</w:t>
      </w:r>
    </w:p>
    <w:p w14:paraId="14FF8325" w14:textId="09886D96" w:rsidR="0041079B" w:rsidRPr="0086198C" w:rsidRDefault="0089088A" w:rsidP="00EC4738">
      <w:pPr>
        <w:pStyle w:val="ParaNumbering"/>
        <w:rPr>
          <w:szCs w:val="24"/>
        </w:rPr>
      </w:pPr>
      <w:r w:rsidRPr="0086198C">
        <w:rPr>
          <w:szCs w:val="24"/>
        </w:rPr>
        <w:t xml:space="preserve">By an undated </w:t>
      </w:r>
      <w:r w:rsidR="00EC4738" w:rsidRPr="0086198C">
        <w:rPr>
          <w:szCs w:val="24"/>
        </w:rPr>
        <w:t xml:space="preserve">notice of appeal filed on </w:t>
      </w:r>
      <w:r w:rsidRPr="0086198C">
        <w:rPr>
          <w:szCs w:val="24"/>
        </w:rPr>
        <w:t>24 May 2018</w:t>
      </w:r>
      <w:r w:rsidR="00EC4738" w:rsidRPr="0086198C">
        <w:rPr>
          <w:szCs w:val="24"/>
        </w:rPr>
        <w:t>, the appellant raises two grounds of appeal</w:t>
      </w:r>
      <w:r w:rsidR="0041079B" w:rsidRPr="0086198C">
        <w:rPr>
          <w:szCs w:val="24"/>
        </w:rPr>
        <w:t>, which are reproduced in turn below.</w:t>
      </w:r>
    </w:p>
    <w:p w14:paraId="2956DC36" w14:textId="77777777" w:rsidR="00257DCE" w:rsidRPr="008A28C7" w:rsidRDefault="00DC3319" w:rsidP="00DC3319">
      <w:pPr>
        <w:pStyle w:val="ParaNumbering"/>
        <w:rPr>
          <w:w w:val="105"/>
          <w:szCs w:val="24"/>
        </w:rPr>
      </w:pPr>
      <w:r w:rsidRPr="00631BBD">
        <w:rPr>
          <w:w w:val="105"/>
          <w:szCs w:val="24"/>
        </w:rPr>
        <w:t xml:space="preserve">The appellant did not provide any further grounds of appeal.  Nor did </w:t>
      </w:r>
      <w:r w:rsidR="0041079B" w:rsidRPr="00631BBD">
        <w:rPr>
          <w:w w:val="105"/>
          <w:szCs w:val="24"/>
        </w:rPr>
        <w:t>s</w:t>
      </w:r>
      <w:r w:rsidRPr="00631BBD">
        <w:rPr>
          <w:w w:val="105"/>
          <w:szCs w:val="24"/>
        </w:rPr>
        <w:t xml:space="preserve">he provide any written submissions as ordered by a registrar of the Court.  </w:t>
      </w:r>
      <w:r w:rsidR="0041079B" w:rsidRPr="0039544B">
        <w:rPr>
          <w:w w:val="105"/>
          <w:szCs w:val="24"/>
        </w:rPr>
        <w:t>However, at the hearing of the appeal, she read from a prepared statement.  As the Minister correct</w:t>
      </w:r>
      <w:r w:rsidR="0041079B" w:rsidRPr="005A1FC4">
        <w:rPr>
          <w:w w:val="105"/>
          <w:szCs w:val="24"/>
        </w:rPr>
        <w:t>ly observed, that statement did not rise above an appeal to the merits of her case, and made only passing reference t</w:t>
      </w:r>
      <w:r w:rsidR="0041079B" w:rsidRPr="008A28C7">
        <w:rPr>
          <w:w w:val="105"/>
          <w:szCs w:val="24"/>
        </w:rPr>
        <w:t xml:space="preserve">o the primary judge having dismissed her judicial review application. </w:t>
      </w:r>
    </w:p>
    <w:p w14:paraId="044ADF2F" w14:textId="77777777" w:rsidR="0041079B" w:rsidRPr="0086198C" w:rsidRDefault="0041079B" w:rsidP="0041079B">
      <w:pPr>
        <w:pStyle w:val="Heading2"/>
        <w:rPr>
          <w:w w:val="105"/>
        </w:rPr>
      </w:pPr>
      <w:r w:rsidRPr="0086198C">
        <w:rPr>
          <w:w w:val="105"/>
        </w:rPr>
        <w:t>Ground 1</w:t>
      </w:r>
    </w:p>
    <w:p w14:paraId="4760C033" w14:textId="77777777" w:rsidR="0041079B" w:rsidRPr="008A28C7" w:rsidRDefault="0041079B" w:rsidP="00DC3319">
      <w:pPr>
        <w:pStyle w:val="ParaNumbering"/>
        <w:rPr>
          <w:w w:val="105"/>
          <w:szCs w:val="24"/>
        </w:rPr>
      </w:pPr>
      <w:r w:rsidRPr="005A1FC4">
        <w:rPr>
          <w:w w:val="105"/>
          <w:szCs w:val="24"/>
        </w:rPr>
        <w:t xml:space="preserve">This ground is as follows </w:t>
      </w:r>
      <w:r w:rsidRPr="005A1FC4">
        <w:rPr>
          <w:szCs w:val="24"/>
        </w:rPr>
        <w:t>(verbatim)</w:t>
      </w:r>
      <w:r w:rsidRPr="005A1FC4">
        <w:rPr>
          <w:w w:val="105"/>
          <w:szCs w:val="24"/>
        </w:rPr>
        <w:t>:</w:t>
      </w:r>
    </w:p>
    <w:p w14:paraId="65BA5238" w14:textId="77777777" w:rsidR="0041079B" w:rsidRPr="0086198C" w:rsidRDefault="0041079B" w:rsidP="0041079B">
      <w:pPr>
        <w:pStyle w:val="Quote1"/>
        <w:spacing w:after="360"/>
        <w:rPr>
          <w:w w:val="105"/>
          <w:lang w:eastAsia="en-AU"/>
        </w:rPr>
      </w:pPr>
      <w:r w:rsidRPr="0086198C">
        <w:rPr>
          <w:w w:val="105"/>
          <w:lang w:eastAsia="en-AU"/>
        </w:rPr>
        <w:t>The Tribunal failed to understand my circumstances and undermined my credibility based on the issue that I failed to mention my prospective spouse even though I did mention in my application CB p.7 that I applied to come to Australia under prospective spouse and my application was refused.</w:t>
      </w:r>
    </w:p>
    <w:p w14:paraId="37F12B8D" w14:textId="0F640837" w:rsidR="008740A7" w:rsidRPr="0086198C" w:rsidRDefault="00DC3319" w:rsidP="008740A7">
      <w:pPr>
        <w:pStyle w:val="ParaNumbering"/>
        <w:rPr>
          <w:w w:val="105"/>
          <w:szCs w:val="24"/>
        </w:rPr>
      </w:pPr>
      <w:r w:rsidRPr="0086198C">
        <w:rPr>
          <w:w w:val="105"/>
          <w:szCs w:val="24"/>
        </w:rPr>
        <w:t>The Minister submits</w:t>
      </w:r>
      <w:r w:rsidR="008740A7" w:rsidRPr="0086198C">
        <w:rPr>
          <w:w w:val="105"/>
          <w:szCs w:val="24"/>
        </w:rPr>
        <w:t xml:space="preserve"> that this ground of appeal </w:t>
      </w:r>
      <w:r w:rsidR="0041079B" w:rsidRPr="0086198C">
        <w:rPr>
          <w:w w:val="105"/>
          <w:szCs w:val="24"/>
        </w:rPr>
        <w:t>is not within the same ambit as any ground agitated before the primary judge</w:t>
      </w:r>
      <w:r w:rsidR="008740A7" w:rsidRPr="0086198C">
        <w:rPr>
          <w:w w:val="105"/>
          <w:szCs w:val="24"/>
        </w:rPr>
        <w:t>.  That submission must be accepted, as the above consideration of the primary judge</w:t>
      </w:r>
      <w:r w:rsidR="00BF5075" w:rsidRPr="0086198C">
        <w:rPr>
          <w:w w:val="105"/>
          <w:szCs w:val="24"/>
        </w:rPr>
        <w:t>’</w:t>
      </w:r>
      <w:r w:rsidR="008740A7" w:rsidRPr="0086198C">
        <w:rPr>
          <w:w w:val="105"/>
          <w:szCs w:val="24"/>
        </w:rPr>
        <w:t>s reasons demonstrate</w:t>
      </w:r>
      <w:r w:rsidR="00347147">
        <w:rPr>
          <w:w w:val="105"/>
          <w:szCs w:val="24"/>
        </w:rPr>
        <w:t>s</w:t>
      </w:r>
      <w:r w:rsidR="008740A7" w:rsidRPr="0086198C">
        <w:rPr>
          <w:w w:val="105"/>
          <w:szCs w:val="24"/>
        </w:rPr>
        <w:t>.</w:t>
      </w:r>
    </w:p>
    <w:p w14:paraId="3A2087B4" w14:textId="7BC7CEF0" w:rsidR="008740A7" w:rsidRPr="00631BBD" w:rsidRDefault="008740A7" w:rsidP="00931239">
      <w:pPr>
        <w:pStyle w:val="ParaNumbering"/>
        <w:rPr>
          <w:w w:val="105"/>
          <w:szCs w:val="24"/>
        </w:rPr>
      </w:pPr>
      <w:r w:rsidRPr="00631BBD">
        <w:rPr>
          <w:w w:val="105"/>
          <w:szCs w:val="24"/>
        </w:rPr>
        <w:t>The Minister further submits that this ground of appeal misconstrues the Tribunal</w:t>
      </w:r>
      <w:r w:rsidR="00BF5075" w:rsidRPr="00631BBD">
        <w:rPr>
          <w:w w:val="105"/>
          <w:szCs w:val="24"/>
        </w:rPr>
        <w:t>’</w:t>
      </w:r>
      <w:r w:rsidRPr="00631BBD">
        <w:rPr>
          <w:w w:val="105"/>
          <w:szCs w:val="24"/>
        </w:rPr>
        <w:t>s reasons and is without merit</w:t>
      </w:r>
      <w:r w:rsidRPr="0039544B">
        <w:rPr>
          <w:w w:val="105"/>
          <w:szCs w:val="24"/>
        </w:rPr>
        <w:t xml:space="preserve">.  That is because the Tribunal did not make an adverse credibility finding based upon any failure </w:t>
      </w:r>
      <w:r w:rsidR="00E10709">
        <w:rPr>
          <w:w w:val="105"/>
          <w:szCs w:val="24"/>
        </w:rPr>
        <w:t xml:space="preserve">by the appellant </w:t>
      </w:r>
      <w:r w:rsidRPr="0039544B">
        <w:rPr>
          <w:w w:val="105"/>
          <w:szCs w:val="24"/>
        </w:rPr>
        <w:t xml:space="preserve">to mention her prospective spouse visa.  </w:t>
      </w:r>
      <w:r w:rsidRPr="00631BBD">
        <w:rPr>
          <w:w w:val="105"/>
          <w:szCs w:val="24"/>
        </w:rPr>
        <w:t>Rather, the Tribunal noted that she had recorded the refusal of that visa in her protection visa application and made an overall adverse credibility finding based on a number of factor</w:t>
      </w:r>
      <w:r w:rsidR="002F4A72" w:rsidRPr="00631BBD">
        <w:rPr>
          <w:w w:val="105"/>
          <w:szCs w:val="24"/>
        </w:rPr>
        <w:t>s</w:t>
      </w:r>
      <w:r w:rsidR="00347147">
        <w:rPr>
          <w:w w:val="105"/>
          <w:szCs w:val="24"/>
        </w:rPr>
        <w:t>,</w:t>
      </w:r>
      <w:r w:rsidRPr="00631BBD">
        <w:rPr>
          <w:w w:val="105"/>
          <w:szCs w:val="24"/>
        </w:rPr>
        <w:t xml:space="preserve"> as summarised by the Minister and reproduced above at </w:t>
      </w:r>
      <w:r w:rsidR="002F4A72" w:rsidRPr="00631BBD">
        <w:rPr>
          <w:w w:val="105"/>
          <w:szCs w:val="24"/>
        </w:rPr>
        <w:t>[3]</w:t>
      </w:r>
      <w:r w:rsidRPr="00631BBD">
        <w:rPr>
          <w:w w:val="105"/>
          <w:szCs w:val="24"/>
        </w:rPr>
        <w:t xml:space="preserve">.  </w:t>
      </w:r>
      <w:r w:rsidR="00AE2E82" w:rsidRPr="00631BBD">
        <w:rPr>
          <w:w w:val="105"/>
          <w:szCs w:val="24"/>
        </w:rPr>
        <w:t>T</w:t>
      </w:r>
      <w:r w:rsidRPr="00631BBD">
        <w:rPr>
          <w:w w:val="105"/>
          <w:szCs w:val="24"/>
        </w:rPr>
        <w:t xml:space="preserve">hat included a finding that she gave inconsistent evidence about her previous relationship, repeatedly denying </w:t>
      </w:r>
      <w:r w:rsidR="002F4A72" w:rsidRPr="0039544B">
        <w:rPr>
          <w:w w:val="105"/>
          <w:szCs w:val="24"/>
        </w:rPr>
        <w:t xml:space="preserve">that </w:t>
      </w:r>
      <w:r w:rsidRPr="00631BBD">
        <w:rPr>
          <w:w w:val="105"/>
          <w:szCs w:val="24"/>
        </w:rPr>
        <w:t>she had been in a relationship since her divorce, which was inconsistent with her protection visa application</w:t>
      </w:r>
      <w:r w:rsidR="00347147">
        <w:rPr>
          <w:w w:val="105"/>
          <w:szCs w:val="24"/>
        </w:rPr>
        <w:t>,</w:t>
      </w:r>
      <w:r w:rsidRPr="00631BBD">
        <w:rPr>
          <w:w w:val="105"/>
          <w:szCs w:val="24"/>
        </w:rPr>
        <w:t xml:space="preserve"> in which </w:t>
      </w:r>
      <w:r w:rsidR="00AE2E82" w:rsidRPr="00631BBD">
        <w:rPr>
          <w:w w:val="105"/>
          <w:szCs w:val="24"/>
        </w:rPr>
        <w:t>it was noted that she had been refused a prospective spouse visa.  Further</w:t>
      </w:r>
      <w:r w:rsidR="002F4A72" w:rsidRPr="00631BBD">
        <w:rPr>
          <w:w w:val="105"/>
          <w:szCs w:val="24"/>
        </w:rPr>
        <w:t>,</w:t>
      </w:r>
      <w:r w:rsidR="00AE2E82" w:rsidRPr="00631BBD">
        <w:rPr>
          <w:w w:val="105"/>
          <w:szCs w:val="24"/>
        </w:rPr>
        <w:t xml:space="preserve"> evidence that the appellant gave at an interview </w:t>
      </w:r>
      <w:r w:rsidR="00AE2E82" w:rsidRPr="00631BBD">
        <w:rPr>
          <w:w w:val="105"/>
          <w:szCs w:val="24"/>
        </w:rPr>
        <w:lastRenderedPageBreak/>
        <w:t>in November 2012 in support of her prospective spouse visa application was deficient and contradictory to the evidence given by her visa sponsor.  Those submissions must also be accepted as a correct characterisation of what transpired before the Tribunal.</w:t>
      </w:r>
    </w:p>
    <w:p w14:paraId="0D02E92C" w14:textId="0F300A92" w:rsidR="001C71AC" w:rsidRPr="0086198C" w:rsidRDefault="008740A7" w:rsidP="008612E9">
      <w:pPr>
        <w:pStyle w:val="ParaNumbering"/>
        <w:rPr>
          <w:w w:val="105"/>
          <w:szCs w:val="24"/>
        </w:rPr>
      </w:pPr>
      <w:r w:rsidRPr="0086198C">
        <w:rPr>
          <w:w w:val="105"/>
          <w:szCs w:val="24"/>
        </w:rPr>
        <w:t xml:space="preserve">The Minister </w:t>
      </w:r>
      <w:r w:rsidR="008612E9" w:rsidRPr="0086198C">
        <w:rPr>
          <w:w w:val="105"/>
          <w:szCs w:val="24"/>
        </w:rPr>
        <w:t>submits that leave should not be granted to rely upon a new ground for the first time on appeal, having regard to the lack of merit and the fact that the appellant had legal assistance in formulating a proposed amended application in the Court below</w:t>
      </w:r>
      <w:r w:rsidR="004B66FA" w:rsidRPr="0086198C">
        <w:rPr>
          <w:w w:val="105"/>
          <w:szCs w:val="24"/>
        </w:rPr>
        <w:t xml:space="preserve"> (see ground 2 below)</w:t>
      </w:r>
      <w:r w:rsidR="008612E9" w:rsidRPr="0086198C">
        <w:rPr>
          <w:w w:val="105"/>
          <w:szCs w:val="24"/>
        </w:rPr>
        <w:t xml:space="preserve">.  </w:t>
      </w:r>
      <w:r w:rsidR="002F4A72" w:rsidRPr="0086198C">
        <w:rPr>
          <w:w w:val="105"/>
          <w:szCs w:val="24"/>
        </w:rPr>
        <w:t xml:space="preserve">The Minister </w:t>
      </w:r>
      <w:r w:rsidR="008612E9" w:rsidRPr="0086198C">
        <w:rPr>
          <w:w w:val="105"/>
          <w:szCs w:val="24"/>
        </w:rPr>
        <w:t xml:space="preserve">relies upon </w:t>
      </w:r>
      <w:r w:rsidR="0041079B" w:rsidRPr="0086198C">
        <w:rPr>
          <w:i/>
          <w:w w:val="105"/>
          <w:szCs w:val="24"/>
        </w:rPr>
        <w:t>VUAX v Minister for Immigration and Multicultural and Indigenous Affairs</w:t>
      </w:r>
      <w:r w:rsidR="008612E9" w:rsidRPr="0086198C">
        <w:rPr>
          <w:w w:val="105"/>
          <w:szCs w:val="24"/>
        </w:rPr>
        <w:t xml:space="preserve"> [2004] FCAFC 158; </w:t>
      </w:r>
      <w:r w:rsidR="0041079B" w:rsidRPr="0086198C">
        <w:rPr>
          <w:w w:val="105"/>
          <w:szCs w:val="24"/>
        </w:rPr>
        <w:t>238 FCR 588</w:t>
      </w:r>
      <w:r w:rsidR="008612E9" w:rsidRPr="0086198C">
        <w:rPr>
          <w:w w:val="105"/>
          <w:szCs w:val="24"/>
        </w:rPr>
        <w:t xml:space="preserve"> at [46], in which it was said that </w:t>
      </w:r>
      <w:r w:rsidR="008612E9" w:rsidRPr="0086198C">
        <w:rPr>
          <w:szCs w:val="24"/>
          <w:lang w:eastAsia="en-AU"/>
        </w:rPr>
        <w:t xml:space="preserve">leave to argue a </w:t>
      </w:r>
      <w:r w:rsidR="008612E9" w:rsidRPr="0086198C">
        <w:rPr>
          <w:w w:val="105"/>
          <w:szCs w:val="24"/>
        </w:rPr>
        <w:t>ground</w:t>
      </w:r>
      <w:r w:rsidR="008612E9" w:rsidRPr="0086198C">
        <w:rPr>
          <w:szCs w:val="24"/>
          <w:lang w:eastAsia="en-AU"/>
        </w:rPr>
        <w:t xml:space="preserve"> of appeal not raised before a primary judge should only be granted if it is </w:t>
      </w:r>
      <w:r w:rsidR="00BF5075" w:rsidRPr="0086198C">
        <w:rPr>
          <w:szCs w:val="24"/>
          <w:lang w:eastAsia="en-AU"/>
        </w:rPr>
        <w:t>“</w:t>
      </w:r>
      <w:r w:rsidR="008612E9" w:rsidRPr="0086198C">
        <w:rPr>
          <w:i/>
          <w:szCs w:val="24"/>
          <w:lang w:eastAsia="en-AU"/>
        </w:rPr>
        <w:t>expedient in the interests of justice to do so</w:t>
      </w:r>
      <w:r w:rsidR="00BF5075" w:rsidRPr="0086198C">
        <w:rPr>
          <w:szCs w:val="24"/>
          <w:lang w:eastAsia="en-AU"/>
        </w:rPr>
        <w:t>”</w:t>
      </w:r>
      <w:r w:rsidR="008612E9" w:rsidRPr="0086198C">
        <w:rPr>
          <w:szCs w:val="24"/>
          <w:lang w:eastAsia="en-AU"/>
        </w:rPr>
        <w:t xml:space="preserve">, in turn citing </w:t>
      </w:r>
      <w:r w:rsidR="008612E9" w:rsidRPr="0086198C">
        <w:rPr>
          <w:i/>
          <w:iCs/>
          <w:szCs w:val="24"/>
          <w:lang w:eastAsia="en-AU"/>
        </w:rPr>
        <w:t>O</w:t>
      </w:r>
      <w:r w:rsidR="00BF5075" w:rsidRPr="0086198C">
        <w:rPr>
          <w:i/>
          <w:iCs/>
          <w:szCs w:val="24"/>
          <w:lang w:eastAsia="en-AU"/>
        </w:rPr>
        <w:t>’</w:t>
      </w:r>
      <w:r w:rsidR="008612E9" w:rsidRPr="0086198C">
        <w:rPr>
          <w:i/>
          <w:iCs/>
          <w:szCs w:val="24"/>
          <w:lang w:eastAsia="en-AU"/>
        </w:rPr>
        <w:t xml:space="preserve">Brien v </w:t>
      </w:r>
      <w:proofErr w:type="spellStart"/>
      <w:r w:rsidR="008612E9" w:rsidRPr="0086198C">
        <w:rPr>
          <w:i/>
          <w:iCs/>
          <w:szCs w:val="24"/>
          <w:lang w:eastAsia="en-AU"/>
        </w:rPr>
        <w:t>Komesaroff</w:t>
      </w:r>
      <w:proofErr w:type="spellEnd"/>
      <w:r w:rsidR="008612E9" w:rsidRPr="0086198C">
        <w:rPr>
          <w:i/>
          <w:iCs/>
          <w:szCs w:val="24"/>
          <w:lang w:eastAsia="en-AU"/>
        </w:rPr>
        <w:t xml:space="preserve"> </w:t>
      </w:r>
      <w:r w:rsidR="008612E9" w:rsidRPr="0086198C">
        <w:rPr>
          <w:szCs w:val="24"/>
          <w:lang w:eastAsia="en-AU"/>
        </w:rPr>
        <w:t xml:space="preserve">(1982) 150 CLR 310, </w:t>
      </w:r>
      <w:r w:rsidR="008612E9" w:rsidRPr="0086198C">
        <w:rPr>
          <w:b/>
          <w:i/>
          <w:iCs/>
          <w:szCs w:val="24"/>
          <w:lang w:eastAsia="en-AU"/>
        </w:rPr>
        <w:t>H v Minister</w:t>
      </w:r>
      <w:r w:rsidR="008612E9" w:rsidRPr="0086198C">
        <w:rPr>
          <w:i/>
          <w:iCs/>
          <w:szCs w:val="24"/>
          <w:lang w:eastAsia="en-AU"/>
        </w:rPr>
        <w:t xml:space="preserve"> for Immigration and Multicultural Affairs </w:t>
      </w:r>
      <w:r w:rsidR="008612E9" w:rsidRPr="0086198C">
        <w:rPr>
          <w:szCs w:val="24"/>
          <w:lang w:eastAsia="en-AU"/>
        </w:rPr>
        <w:t xml:space="preserve">[2000] FCA </w:t>
      </w:r>
      <w:r w:rsidR="00D750F8" w:rsidRPr="0086198C">
        <w:rPr>
          <w:szCs w:val="24"/>
          <w:lang w:eastAsia="en-AU"/>
        </w:rPr>
        <w:t>1348</w:t>
      </w:r>
      <w:r w:rsidR="00414267">
        <w:rPr>
          <w:szCs w:val="24"/>
          <w:lang w:eastAsia="en-AU"/>
        </w:rPr>
        <w:t xml:space="preserve"> (Full Court)</w:t>
      </w:r>
      <w:r w:rsidR="008612E9" w:rsidRPr="0086198C">
        <w:rPr>
          <w:szCs w:val="24"/>
          <w:lang w:eastAsia="en-AU"/>
        </w:rPr>
        <w:t>; 63 ALD 43</w:t>
      </w:r>
      <w:r w:rsidR="00414267">
        <w:rPr>
          <w:szCs w:val="24"/>
          <w:lang w:eastAsia="en-AU"/>
        </w:rPr>
        <w:t xml:space="preserve"> </w:t>
      </w:r>
      <w:r w:rsidR="008612E9" w:rsidRPr="0086198C">
        <w:rPr>
          <w:szCs w:val="24"/>
          <w:lang w:eastAsia="en-AU"/>
        </w:rPr>
        <w:t xml:space="preserve">(endorsed in </w:t>
      </w:r>
      <w:r w:rsidR="001C71AC" w:rsidRPr="0086198C">
        <w:rPr>
          <w:i/>
          <w:iCs/>
          <w:szCs w:val="24"/>
          <w:lang w:eastAsia="en-AU"/>
        </w:rPr>
        <w:t xml:space="preserve">VAAC v Minister for Immigration and Multicultural and Indigenous Affairs </w:t>
      </w:r>
      <w:r w:rsidR="001C71AC" w:rsidRPr="0086198C">
        <w:rPr>
          <w:szCs w:val="24"/>
          <w:lang w:eastAsia="en-AU"/>
        </w:rPr>
        <w:t xml:space="preserve">[2003] </w:t>
      </w:r>
      <w:r w:rsidR="00D750F8" w:rsidRPr="0086198C">
        <w:rPr>
          <w:szCs w:val="24"/>
          <w:lang w:eastAsia="en-AU"/>
        </w:rPr>
        <w:t>FCAFC 74</w:t>
      </w:r>
      <w:r w:rsidR="001C71AC" w:rsidRPr="0086198C">
        <w:rPr>
          <w:szCs w:val="24"/>
          <w:lang w:eastAsia="en-AU"/>
        </w:rPr>
        <w:t xml:space="preserve">; 129 FCR 168 at </w:t>
      </w:r>
      <w:r w:rsidR="00D750F8" w:rsidRPr="0086198C">
        <w:rPr>
          <w:szCs w:val="24"/>
          <w:lang w:eastAsia="en-AU"/>
        </w:rPr>
        <w:t>[24]</w:t>
      </w:r>
      <w:r w:rsidR="001C71AC" w:rsidRPr="0086198C">
        <w:rPr>
          <w:szCs w:val="24"/>
          <w:lang w:eastAsia="en-AU"/>
        </w:rPr>
        <w:t>)</w:t>
      </w:r>
      <w:r w:rsidR="008612E9" w:rsidRPr="0086198C">
        <w:rPr>
          <w:szCs w:val="24"/>
          <w:lang w:eastAsia="en-AU"/>
        </w:rPr>
        <w:t xml:space="preserve">; and </w:t>
      </w:r>
      <w:proofErr w:type="spellStart"/>
      <w:r w:rsidR="008612E9" w:rsidRPr="0086198C">
        <w:rPr>
          <w:i/>
          <w:iCs/>
          <w:szCs w:val="24"/>
          <w:lang w:eastAsia="en-AU"/>
        </w:rPr>
        <w:t>Branir</w:t>
      </w:r>
      <w:proofErr w:type="spellEnd"/>
      <w:r w:rsidR="008612E9" w:rsidRPr="0086198C">
        <w:rPr>
          <w:i/>
          <w:iCs/>
          <w:szCs w:val="24"/>
          <w:lang w:eastAsia="en-AU"/>
        </w:rPr>
        <w:t xml:space="preserve"> Pty Ltd v </w:t>
      </w:r>
      <w:proofErr w:type="spellStart"/>
      <w:r w:rsidR="008612E9" w:rsidRPr="0086198C">
        <w:rPr>
          <w:i/>
          <w:iCs/>
          <w:szCs w:val="24"/>
          <w:lang w:eastAsia="en-AU"/>
        </w:rPr>
        <w:t>Owston</w:t>
      </w:r>
      <w:proofErr w:type="spellEnd"/>
      <w:r w:rsidR="008612E9" w:rsidRPr="0086198C">
        <w:rPr>
          <w:i/>
          <w:iCs/>
          <w:szCs w:val="24"/>
          <w:lang w:eastAsia="en-AU"/>
        </w:rPr>
        <w:t xml:space="preserve"> Nominees (No 2) Pty Ltd</w:t>
      </w:r>
      <w:r w:rsidR="00483B13" w:rsidRPr="0086198C">
        <w:rPr>
          <w:iCs/>
          <w:szCs w:val="24"/>
          <w:lang w:eastAsia="en-AU"/>
        </w:rPr>
        <w:t xml:space="preserve"> [2001] FCA 1833</w:t>
      </w:r>
      <w:r w:rsidR="00414267">
        <w:rPr>
          <w:iCs/>
          <w:szCs w:val="24"/>
          <w:lang w:eastAsia="en-AU"/>
        </w:rPr>
        <w:t xml:space="preserve"> </w:t>
      </w:r>
      <w:r w:rsidR="00414267">
        <w:rPr>
          <w:szCs w:val="24"/>
          <w:lang w:eastAsia="en-AU"/>
        </w:rPr>
        <w:t>(Full Court)</w:t>
      </w:r>
      <w:r w:rsidR="00483B13" w:rsidRPr="0086198C">
        <w:rPr>
          <w:iCs/>
          <w:szCs w:val="24"/>
          <w:lang w:eastAsia="en-AU"/>
        </w:rPr>
        <w:t>;</w:t>
      </w:r>
      <w:r w:rsidR="008612E9" w:rsidRPr="0086198C">
        <w:rPr>
          <w:szCs w:val="24"/>
          <w:lang w:eastAsia="en-AU"/>
        </w:rPr>
        <w:t xml:space="preserve"> 117 FCR 424 at [20]-[24] and [38]</w:t>
      </w:r>
      <w:r w:rsidR="001C71AC" w:rsidRPr="0086198C">
        <w:rPr>
          <w:szCs w:val="24"/>
          <w:lang w:eastAsia="en-AU"/>
        </w:rPr>
        <w:t xml:space="preserve">.  </w:t>
      </w:r>
    </w:p>
    <w:p w14:paraId="43B7FC39" w14:textId="08CED93C" w:rsidR="001C71AC" w:rsidRPr="0086198C" w:rsidRDefault="001C71AC" w:rsidP="001C71AC">
      <w:pPr>
        <w:pStyle w:val="ParaNumbering"/>
        <w:rPr>
          <w:w w:val="105"/>
          <w:szCs w:val="24"/>
        </w:rPr>
      </w:pPr>
      <w:r w:rsidRPr="0086198C">
        <w:rPr>
          <w:w w:val="105"/>
          <w:szCs w:val="24"/>
        </w:rPr>
        <w:t xml:space="preserve">The key passages in </w:t>
      </w:r>
      <w:r w:rsidRPr="0086198C">
        <w:rPr>
          <w:i/>
          <w:iCs/>
          <w:szCs w:val="24"/>
          <w:lang w:eastAsia="en-AU"/>
        </w:rPr>
        <w:t xml:space="preserve">H v Minister </w:t>
      </w:r>
      <w:r w:rsidRPr="0086198C">
        <w:rPr>
          <w:iCs/>
          <w:szCs w:val="24"/>
          <w:lang w:eastAsia="en-AU"/>
        </w:rPr>
        <w:t>(</w:t>
      </w:r>
      <w:r w:rsidRPr="0086198C">
        <w:rPr>
          <w:szCs w:val="24"/>
          <w:lang w:eastAsia="en-AU"/>
        </w:rPr>
        <w:t>at [7]-[8]</w:t>
      </w:r>
      <w:r w:rsidRPr="0086198C">
        <w:rPr>
          <w:iCs/>
          <w:szCs w:val="24"/>
          <w:lang w:eastAsia="en-AU"/>
        </w:rPr>
        <w:t>) bear repeating:</w:t>
      </w:r>
    </w:p>
    <w:p w14:paraId="0453FC3D" w14:textId="77777777" w:rsidR="001C71AC" w:rsidRPr="0086198C" w:rsidRDefault="001C71AC" w:rsidP="001C71AC">
      <w:pPr>
        <w:pStyle w:val="Quote1"/>
      </w:pPr>
      <w:r w:rsidRPr="0086198C">
        <w:t xml:space="preserve">As Gibbs CJ, Wilson, Brennan and Dawson JJ observed in </w:t>
      </w:r>
      <w:proofErr w:type="spellStart"/>
      <w:r w:rsidRPr="0086198C">
        <w:rPr>
          <w:i/>
          <w:iCs/>
        </w:rPr>
        <w:t>Coulton</w:t>
      </w:r>
      <w:proofErr w:type="spellEnd"/>
      <w:r w:rsidRPr="0086198C">
        <w:rPr>
          <w:i/>
          <w:iCs/>
        </w:rPr>
        <w:t xml:space="preserve"> v Holcombe </w:t>
      </w:r>
      <w:r w:rsidRPr="0086198C">
        <w:t>[</w:t>
      </w:r>
      <w:r w:rsidRPr="0086198C">
        <w:rPr>
          <w:szCs w:val="22"/>
          <w:lang w:eastAsia="en-AU"/>
        </w:rPr>
        <w:t>(1986) 162 CLR 1</w:t>
      </w:r>
      <w:r w:rsidRPr="0086198C">
        <w:t xml:space="preserve"> at 7]:</w:t>
      </w:r>
    </w:p>
    <w:p w14:paraId="2500685C" w14:textId="77777777" w:rsidR="001C71AC" w:rsidRPr="0086198C" w:rsidRDefault="001C71AC" w:rsidP="001C71AC">
      <w:pPr>
        <w:pStyle w:val="Quote1"/>
        <w:ind w:left="1440"/>
        <w:rPr>
          <w:sz w:val="18"/>
          <w:szCs w:val="18"/>
        </w:rPr>
      </w:pPr>
      <w:r w:rsidRPr="0086198C">
        <w:rPr>
          <w:sz w:val="18"/>
          <w:szCs w:val="18"/>
        </w:rPr>
        <w:t>It is fundamental to the due administration of justice that the substantial issues between the parties are ordinarily settled at the trial. If it were not so the main arena for the settlement of disputes would move from the court of first instance to the appellate court, tending to reduce the proceedings in the former court to little more than a preliminary skirmish.</w:t>
      </w:r>
    </w:p>
    <w:p w14:paraId="1BB04DBE" w14:textId="77777777" w:rsidR="001C71AC" w:rsidRPr="0086198C" w:rsidRDefault="001C71AC" w:rsidP="00AE2E82">
      <w:pPr>
        <w:pStyle w:val="Quote1"/>
        <w:spacing w:after="360"/>
      </w:pPr>
      <w:r w:rsidRPr="0086198C">
        <w:t>In</w:t>
      </w:r>
      <w:r w:rsidRPr="0086198C">
        <w:rPr>
          <w:spacing w:val="15"/>
        </w:rPr>
        <w:t xml:space="preserve"> </w:t>
      </w:r>
      <w:r w:rsidRPr="0086198C">
        <w:t>our</w:t>
      </w:r>
      <w:r w:rsidRPr="0086198C">
        <w:rPr>
          <w:spacing w:val="15"/>
        </w:rPr>
        <w:t xml:space="preserve"> </w:t>
      </w:r>
      <w:r w:rsidRPr="0086198C">
        <w:rPr>
          <w:spacing w:val="-3"/>
        </w:rPr>
        <w:t>view,</w:t>
      </w:r>
      <w:r w:rsidRPr="0086198C">
        <w:rPr>
          <w:spacing w:val="15"/>
        </w:rPr>
        <w:t xml:space="preserve"> </w:t>
      </w:r>
      <w:r w:rsidRPr="0086198C">
        <w:t>the</w:t>
      </w:r>
      <w:r w:rsidRPr="0086198C">
        <w:rPr>
          <w:spacing w:val="15"/>
        </w:rPr>
        <w:t xml:space="preserve"> </w:t>
      </w:r>
      <w:r w:rsidRPr="0086198C">
        <w:t>readiness</w:t>
      </w:r>
      <w:r w:rsidRPr="0086198C">
        <w:rPr>
          <w:spacing w:val="15"/>
        </w:rPr>
        <w:t xml:space="preserve"> </w:t>
      </w:r>
      <w:r w:rsidRPr="0086198C">
        <w:t>with</w:t>
      </w:r>
      <w:r w:rsidRPr="0086198C">
        <w:rPr>
          <w:spacing w:val="15"/>
        </w:rPr>
        <w:t xml:space="preserve"> </w:t>
      </w:r>
      <w:r w:rsidRPr="0086198C">
        <w:t>which</w:t>
      </w:r>
      <w:r w:rsidRPr="0086198C">
        <w:rPr>
          <w:spacing w:val="15"/>
        </w:rPr>
        <w:t xml:space="preserve"> </w:t>
      </w:r>
      <w:r w:rsidRPr="0086198C">
        <w:t>appeal</w:t>
      </w:r>
      <w:r w:rsidRPr="0086198C">
        <w:rPr>
          <w:spacing w:val="15"/>
        </w:rPr>
        <w:t xml:space="preserve"> </w:t>
      </w:r>
      <w:r w:rsidRPr="0086198C">
        <w:t>courts</w:t>
      </w:r>
      <w:r w:rsidRPr="0086198C">
        <w:rPr>
          <w:spacing w:val="15"/>
        </w:rPr>
        <w:t xml:space="preserve"> </w:t>
      </w:r>
      <w:r w:rsidRPr="0086198C">
        <w:t>have</w:t>
      </w:r>
      <w:r w:rsidRPr="0086198C">
        <w:rPr>
          <w:spacing w:val="15"/>
        </w:rPr>
        <w:t xml:space="preserve"> </w:t>
      </w:r>
      <w:r w:rsidRPr="0086198C">
        <w:t>in</w:t>
      </w:r>
      <w:r w:rsidRPr="0086198C">
        <w:rPr>
          <w:spacing w:val="15"/>
        </w:rPr>
        <w:t xml:space="preserve"> </w:t>
      </w:r>
      <w:r w:rsidRPr="0086198C">
        <w:t>the</w:t>
      </w:r>
      <w:r w:rsidRPr="0086198C">
        <w:rPr>
          <w:spacing w:val="15"/>
        </w:rPr>
        <w:t xml:space="preserve"> </w:t>
      </w:r>
      <w:r w:rsidRPr="0086198C">
        <w:t>past</w:t>
      </w:r>
      <w:r w:rsidRPr="0086198C">
        <w:rPr>
          <w:spacing w:val="15"/>
        </w:rPr>
        <w:t xml:space="preserve"> </w:t>
      </w:r>
      <w:r w:rsidRPr="0086198C">
        <w:t>been</w:t>
      </w:r>
      <w:r w:rsidRPr="0086198C">
        <w:rPr>
          <w:spacing w:val="-1"/>
        </w:rPr>
        <w:t xml:space="preserve"> </w:t>
      </w:r>
      <w:r w:rsidRPr="0086198C">
        <w:t>satisfied</w:t>
      </w:r>
      <w:r w:rsidRPr="0086198C">
        <w:rPr>
          <w:spacing w:val="5"/>
        </w:rPr>
        <w:t xml:space="preserve"> </w:t>
      </w:r>
      <w:r w:rsidRPr="0086198C">
        <w:t>that</w:t>
      </w:r>
      <w:r w:rsidRPr="0086198C">
        <w:rPr>
          <w:spacing w:val="5"/>
        </w:rPr>
        <w:t xml:space="preserve"> </w:t>
      </w:r>
      <w:r w:rsidRPr="0086198C">
        <w:t>it</w:t>
      </w:r>
      <w:r w:rsidRPr="0086198C">
        <w:rPr>
          <w:spacing w:val="5"/>
        </w:rPr>
        <w:t xml:space="preserve"> </w:t>
      </w:r>
      <w:r w:rsidRPr="0086198C">
        <w:t>is</w:t>
      </w:r>
      <w:r w:rsidRPr="0086198C">
        <w:rPr>
          <w:spacing w:val="5"/>
        </w:rPr>
        <w:t xml:space="preserve"> </w:t>
      </w:r>
      <w:r w:rsidRPr="0086198C">
        <w:t>expedient</w:t>
      </w:r>
      <w:r w:rsidRPr="0086198C">
        <w:rPr>
          <w:spacing w:val="5"/>
        </w:rPr>
        <w:t xml:space="preserve"> </w:t>
      </w:r>
      <w:r w:rsidRPr="0086198C">
        <w:t>in</w:t>
      </w:r>
      <w:r w:rsidRPr="0086198C">
        <w:rPr>
          <w:spacing w:val="5"/>
        </w:rPr>
        <w:t xml:space="preserve"> </w:t>
      </w:r>
      <w:r w:rsidRPr="0086198C">
        <w:t>the</w:t>
      </w:r>
      <w:r w:rsidRPr="0086198C">
        <w:rPr>
          <w:spacing w:val="5"/>
        </w:rPr>
        <w:t xml:space="preserve"> </w:t>
      </w:r>
      <w:r w:rsidRPr="0086198C">
        <w:t>interests</w:t>
      </w:r>
      <w:r w:rsidRPr="0086198C">
        <w:rPr>
          <w:spacing w:val="5"/>
        </w:rPr>
        <w:t xml:space="preserve"> </w:t>
      </w:r>
      <w:r w:rsidRPr="0086198C">
        <w:t>of</w:t>
      </w:r>
      <w:r w:rsidRPr="0086198C">
        <w:rPr>
          <w:spacing w:val="5"/>
        </w:rPr>
        <w:t xml:space="preserve"> </w:t>
      </w:r>
      <w:r w:rsidRPr="0086198C">
        <w:t>justice</w:t>
      </w:r>
      <w:r w:rsidRPr="0086198C">
        <w:rPr>
          <w:spacing w:val="5"/>
        </w:rPr>
        <w:t xml:space="preserve"> </w:t>
      </w:r>
      <w:r w:rsidRPr="0086198C">
        <w:t>to</w:t>
      </w:r>
      <w:r w:rsidRPr="0086198C">
        <w:rPr>
          <w:spacing w:val="5"/>
        </w:rPr>
        <w:t xml:space="preserve"> </w:t>
      </w:r>
      <w:r w:rsidRPr="0086198C">
        <w:t>allow</w:t>
      </w:r>
      <w:r w:rsidRPr="0086198C">
        <w:rPr>
          <w:spacing w:val="5"/>
        </w:rPr>
        <w:t xml:space="preserve"> </w:t>
      </w:r>
      <w:r w:rsidRPr="0086198C">
        <w:t>a</w:t>
      </w:r>
      <w:r w:rsidRPr="0086198C">
        <w:rPr>
          <w:spacing w:val="5"/>
        </w:rPr>
        <w:t xml:space="preserve"> </w:t>
      </w:r>
      <w:r w:rsidRPr="0086198C">
        <w:t>fresh</w:t>
      </w:r>
      <w:r w:rsidRPr="0086198C">
        <w:rPr>
          <w:spacing w:val="5"/>
        </w:rPr>
        <w:t xml:space="preserve"> </w:t>
      </w:r>
      <w:r w:rsidRPr="0086198C">
        <w:t>point</w:t>
      </w:r>
      <w:r w:rsidRPr="0086198C">
        <w:rPr>
          <w:spacing w:val="5"/>
        </w:rPr>
        <w:t xml:space="preserve"> </w:t>
      </w:r>
      <w:r w:rsidRPr="0086198C">
        <w:t>to</w:t>
      </w:r>
      <w:r w:rsidRPr="0086198C">
        <w:rPr>
          <w:spacing w:val="5"/>
        </w:rPr>
        <w:t xml:space="preserve"> </w:t>
      </w:r>
      <w:r w:rsidRPr="0086198C">
        <w:t>be</w:t>
      </w:r>
      <w:r w:rsidRPr="0086198C">
        <w:rPr>
          <w:spacing w:val="-1"/>
        </w:rPr>
        <w:t xml:space="preserve"> </w:t>
      </w:r>
      <w:r w:rsidRPr="0086198C">
        <w:t>argued</w:t>
      </w:r>
      <w:r w:rsidRPr="0086198C">
        <w:rPr>
          <w:spacing w:val="31"/>
        </w:rPr>
        <w:t xml:space="preserve"> </w:t>
      </w:r>
      <w:r w:rsidRPr="0086198C">
        <w:t>and</w:t>
      </w:r>
      <w:r w:rsidRPr="0086198C">
        <w:rPr>
          <w:spacing w:val="31"/>
        </w:rPr>
        <w:t xml:space="preserve"> </w:t>
      </w:r>
      <w:r w:rsidRPr="0086198C">
        <w:t>determined</w:t>
      </w:r>
      <w:r w:rsidRPr="0086198C">
        <w:rPr>
          <w:spacing w:val="31"/>
        </w:rPr>
        <w:t xml:space="preserve"> </w:t>
      </w:r>
      <w:r w:rsidRPr="0086198C">
        <w:t>on</w:t>
      </w:r>
      <w:r w:rsidRPr="0086198C">
        <w:rPr>
          <w:spacing w:val="31"/>
        </w:rPr>
        <w:t xml:space="preserve"> </w:t>
      </w:r>
      <w:r w:rsidRPr="0086198C">
        <w:t>appeal</w:t>
      </w:r>
      <w:r w:rsidRPr="0086198C">
        <w:rPr>
          <w:spacing w:val="31"/>
        </w:rPr>
        <w:t xml:space="preserve"> </w:t>
      </w:r>
      <w:r w:rsidRPr="0086198C">
        <w:t>is</w:t>
      </w:r>
      <w:r w:rsidRPr="0086198C">
        <w:rPr>
          <w:spacing w:val="31"/>
        </w:rPr>
        <w:t xml:space="preserve"> </w:t>
      </w:r>
      <w:r w:rsidRPr="0086198C">
        <w:t>unlikely</w:t>
      </w:r>
      <w:r w:rsidRPr="0086198C">
        <w:rPr>
          <w:spacing w:val="31"/>
        </w:rPr>
        <w:t xml:space="preserve"> </w:t>
      </w:r>
      <w:r w:rsidRPr="0086198C">
        <w:t>to</w:t>
      </w:r>
      <w:r w:rsidRPr="0086198C">
        <w:rPr>
          <w:spacing w:val="31"/>
        </w:rPr>
        <w:t xml:space="preserve"> </w:t>
      </w:r>
      <w:r w:rsidRPr="0086198C">
        <w:t>continue</w:t>
      </w:r>
      <w:r w:rsidRPr="0086198C">
        <w:rPr>
          <w:spacing w:val="31"/>
        </w:rPr>
        <w:t xml:space="preserve"> </w:t>
      </w:r>
      <w:r w:rsidRPr="0086198C">
        <w:t>into</w:t>
      </w:r>
      <w:r w:rsidRPr="0086198C">
        <w:rPr>
          <w:spacing w:val="31"/>
        </w:rPr>
        <w:t xml:space="preserve"> </w:t>
      </w:r>
      <w:r w:rsidRPr="0086198C">
        <w:t>the</w:t>
      </w:r>
      <w:r w:rsidRPr="0086198C">
        <w:rPr>
          <w:spacing w:val="31"/>
        </w:rPr>
        <w:t xml:space="preserve"> </w:t>
      </w:r>
      <w:r w:rsidRPr="0086198C">
        <w:t>future.</w:t>
      </w:r>
      <w:r w:rsidRPr="0086198C">
        <w:rPr>
          <w:spacing w:val="28"/>
        </w:rPr>
        <w:t xml:space="preserve">  </w:t>
      </w:r>
      <w:r w:rsidRPr="0086198C">
        <w:t>The</w:t>
      </w:r>
      <w:r w:rsidRPr="0086198C">
        <w:rPr>
          <w:spacing w:val="-1"/>
        </w:rPr>
        <w:t xml:space="preserve"> </w:t>
      </w:r>
      <w:r w:rsidRPr="0086198C">
        <w:t>volume</w:t>
      </w:r>
      <w:r w:rsidRPr="0086198C">
        <w:rPr>
          <w:spacing w:val="23"/>
        </w:rPr>
        <w:t xml:space="preserve"> </w:t>
      </w:r>
      <w:r w:rsidRPr="0086198C">
        <w:t>and</w:t>
      </w:r>
      <w:r w:rsidRPr="0086198C">
        <w:rPr>
          <w:spacing w:val="23"/>
        </w:rPr>
        <w:t xml:space="preserve"> </w:t>
      </w:r>
      <w:r w:rsidRPr="0086198C">
        <w:t>complexity</w:t>
      </w:r>
      <w:r w:rsidRPr="0086198C">
        <w:rPr>
          <w:spacing w:val="23"/>
        </w:rPr>
        <w:t xml:space="preserve"> </w:t>
      </w:r>
      <w:r w:rsidRPr="0086198C">
        <w:t>of</w:t>
      </w:r>
      <w:r w:rsidRPr="0086198C">
        <w:rPr>
          <w:spacing w:val="23"/>
        </w:rPr>
        <w:t xml:space="preserve"> </w:t>
      </w:r>
      <w:r w:rsidRPr="0086198C">
        <w:t>the</w:t>
      </w:r>
      <w:r w:rsidRPr="0086198C">
        <w:rPr>
          <w:spacing w:val="23"/>
        </w:rPr>
        <w:t xml:space="preserve"> </w:t>
      </w:r>
      <w:r w:rsidRPr="0086198C">
        <w:t>cases</w:t>
      </w:r>
      <w:r w:rsidRPr="0086198C">
        <w:rPr>
          <w:spacing w:val="23"/>
        </w:rPr>
        <w:t xml:space="preserve"> </w:t>
      </w:r>
      <w:r w:rsidRPr="0086198C">
        <w:t>presently</w:t>
      </w:r>
      <w:r w:rsidRPr="0086198C">
        <w:rPr>
          <w:spacing w:val="23"/>
        </w:rPr>
        <w:t xml:space="preserve"> </w:t>
      </w:r>
      <w:r w:rsidRPr="0086198C">
        <w:t>required</w:t>
      </w:r>
      <w:r w:rsidRPr="0086198C">
        <w:rPr>
          <w:spacing w:val="23"/>
        </w:rPr>
        <w:t xml:space="preserve"> </w:t>
      </w:r>
      <w:r w:rsidRPr="0086198C">
        <w:t>to</w:t>
      </w:r>
      <w:r w:rsidRPr="0086198C">
        <w:rPr>
          <w:spacing w:val="23"/>
        </w:rPr>
        <w:t xml:space="preserve"> </w:t>
      </w:r>
      <w:r w:rsidRPr="0086198C">
        <w:t>be</w:t>
      </w:r>
      <w:r w:rsidRPr="0086198C">
        <w:rPr>
          <w:spacing w:val="23"/>
        </w:rPr>
        <w:t xml:space="preserve"> </w:t>
      </w:r>
      <w:r w:rsidRPr="0086198C">
        <w:t>heard</w:t>
      </w:r>
      <w:r w:rsidRPr="0086198C">
        <w:rPr>
          <w:spacing w:val="23"/>
        </w:rPr>
        <w:t xml:space="preserve"> </w:t>
      </w:r>
      <w:r w:rsidRPr="0086198C">
        <w:t>and</w:t>
      </w:r>
      <w:r w:rsidRPr="0086198C">
        <w:rPr>
          <w:spacing w:val="-1"/>
        </w:rPr>
        <w:t xml:space="preserve"> </w:t>
      </w:r>
      <w:r w:rsidRPr="0086198C">
        <w:t>determined</w:t>
      </w:r>
      <w:r w:rsidRPr="0086198C">
        <w:rPr>
          <w:spacing w:val="31"/>
        </w:rPr>
        <w:t xml:space="preserve"> </w:t>
      </w:r>
      <w:r w:rsidRPr="0086198C">
        <w:t>by</w:t>
      </w:r>
      <w:r w:rsidRPr="0086198C">
        <w:rPr>
          <w:spacing w:val="31"/>
        </w:rPr>
        <w:t xml:space="preserve"> </w:t>
      </w:r>
      <w:r w:rsidRPr="0086198C">
        <w:t>the</w:t>
      </w:r>
      <w:r w:rsidRPr="0086198C">
        <w:rPr>
          <w:spacing w:val="31"/>
        </w:rPr>
        <w:t xml:space="preserve"> </w:t>
      </w:r>
      <w:r w:rsidRPr="0086198C">
        <w:t>intermediate</w:t>
      </w:r>
      <w:r w:rsidRPr="0086198C">
        <w:rPr>
          <w:spacing w:val="31"/>
        </w:rPr>
        <w:t xml:space="preserve"> </w:t>
      </w:r>
      <w:r w:rsidRPr="0086198C">
        <w:t>appellate</w:t>
      </w:r>
      <w:r w:rsidRPr="0086198C">
        <w:rPr>
          <w:spacing w:val="31"/>
        </w:rPr>
        <w:t xml:space="preserve"> </w:t>
      </w:r>
      <w:r w:rsidRPr="0086198C">
        <w:t>courts</w:t>
      </w:r>
      <w:r w:rsidRPr="0086198C">
        <w:rPr>
          <w:spacing w:val="31"/>
        </w:rPr>
        <w:t xml:space="preserve"> </w:t>
      </w:r>
      <w:r w:rsidRPr="0086198C">
        <w:t>of</w:t>
      </w:r>
      <w:r w:rsidRPr="0086198C">
        <w:rPr>
          <w:spacing w:val="20"/>
        </w:rPr>
        <w:t xml:space="preserve"> </w:t>
      </w:r>
      <w:r w:rsidRPr="0086198C">
        <w:t>Australia</w:t>
      </w:r>
      <w:r w:rsidRPr="0086198C">
        <w:rPr>
          <w:spacing w:val="31"/>
        </w:rPr>
        <w:t xml:space="preserve"> </w:t>
      </w:r>
      <w:r w:rsidRPr="0086198C">
        <w:t>is</w:t>
      </w:r>
      <w:r w:rsidRPr="0086198C">
        <w:rPr>
          <w:spacing w:val="31"/>
        </w:rPr>
        <w:t xml:space="preserve"> </w:t>
      </w:r>
      <w:r w:rsidRPr="0086198C">
        <w:t>such</w:t>
      </w:r>
      <w:r w:rsidRPr="0086198C">
        <w:rPr>
          <w:spacing w:val="31"/>
        </w:rPr>
        <w:t xml:space="preserve"> </w:t>
      </w:r>
      <w:r w:rsidRPr="0086198C">
        <w:t>that</w:t>
      </w:r>
      <w:r w:rsidRPr="0086198C">
        <w:rPr>
          <w:spacing w:val="31"/>
        </w:rPr>
        <w:t xml:space="preserve"> </w:t>
      </w:r>
      <w:r w:rsidRPr="0086198C">
        <w:t>it</w:t>
      </w:r>
      <w:r w:rsidRPr="0086198C">
        <w:rPr>
          <w:spacing w:val="31"/>
        </w:rPr>
        <w:t xml:space="preserve"> </w:t>
      </w:r>
      <w:r w:rsidRPr="0086198C">
        <w:t>is</w:t>
      </w:r>
      <w:r w:rsidRPr="0086198C">
        <w:rPr>
          <w:spacing w:val="-1"/>
        </w:rPr>
        <w:t xml:space="preserve"> </w:t>
      </w:r>
      <w:r w:rsidRPr="0086198C">
        <w:t>increasingly</w:t>
      </w:r>
      <w:r w:rsidRPr="0086198C">
        <w:rPr>
          <w:spacing w:val="46"/>
        </w:rPr>
        <w:t xml:space="preserve"> </w:t>
      </w:r>
      <w:r w:rsidRPr="0086198C">
        <w:t>important</w:t>
      </w:r>
      <w:r w:rsidRPr="0086198C">
        <w:rPr>
          <w:spacing w:val="46"/>
        </w:rPr>
        <w:t xml:space="preserve"> </w:t>
      </w:r>
      <w:r w:rsidRPr="0086198C">
        <w:t>that</w:t>
      </w:r>
      <w:r w:rsidRPr="0086198C">
        <w:rPr>
          <w:spacing w:val="46"/>
        </w:rPr>
        <w:t xml:space="preserve"> </w:t>
      </w:r>
      <w:r w:rsidRPr="0086198C">
        <w:t>such</w:t>
      </w:r>
      <w:r w:rsidRPr="0086198C">
        <w:rPr>
          <w:spacing w:val="46"/>
        </w:rPr>
        <w:t xml:space="preserve"> </w:t>
      </w:r>
      <w:r w:rsidRPr="0086198C">
        <w:t>courts</w:t>
      </w:r>
      <w:r w:rsidRPr="0086198C">
        <w:rPr>
          <w:spacing w:val="46"/>
        </w:rPr>
        <w:t xml:space="preserve"> </w:t>
      </w:r>
      <w:r w:rsidRPr="0086198C">
        <w:t>are</w:t>
      </w:r>
      <w:r w:rsidRPr="0086198C">
        <w:rPr>
          <w:spacing w:val="46"/>
        </w:rPr>
        <w:t xml:space="preserve"> </w:t>
      </w:r>
      <w:r w:rsidRPr="0086198C">
        <w:t>able</w:t>
      </w:r>
      <w:r w:rsidRPr="0086198C">
        <w:rPr>
          <w:spacing w:val="46"/>
        </w:rPr>
        <w:t xml:space="preserve"> </w:t>
      </w:r>
      <w:r w:rsidRPr="0086198C">
        <w:t>to</w:t>
      </w:r>
      <w:r w:rsidRPr="0086198C">
        <w:rPr>
          <w:spacing w:val="46"/>
        </w:rPr>
        <w:t xml:space="preserve"> </w:t>
      </w:r>
      <w:r w:rsidRPr="0086198C">
        <w:t>devote</w:t>
      </w:r>
      <w:r w:rsidRPr="0086198C">
        <w:rPr>
          <w:spacing w:val="46"/>
        </w:rPr>
        <w:t xml:space="preserve"> </w:t>
      </w:r>
      <w:r w:rsidRPr="0086198C">
        <w:t>their</w:t>
      </w:r>
      <w:r w:rsidRPr="0086198C">
        <w:rPr>
          <w:spacing w:val="46"/>
        </w:rPr>
        <w:t xml:space="preserve"> </w:t>
      </w:r>
      <w:r w:rsidRPr="0086198C">
        <w:t>time</w:t>
      </w:r>
      <w:r w:rsidRPr="0086198C">
        <w:rPr>
          <w:spacing w:val="46"/>
        </w:rPr>
        <w:t xml:space="preserve"> </w:t>
      </w:r>
      <w:r w:rsidRPr="0086198C">
        <w:t>to</w:t>
      </w:r>
      <w:r w:rsidRPr="0086198C">
        <w:rPr>
          <w:spacing w:val="46"/>
        </w:rPr>
        <w:t xml:space="preserve"> </w:t>
      </w:r>
      <w:r w:rsidRPr="0086198C">
        <w:t>the</w:t>
      </w:r>
      <w:r w:rsidRPr="0086198C">
        <w:rPr>
          <w:spacing w:val="-1"/>
        </w:rPr>
        <w:t xml:space="preserve"> </w:t>
      </w:r>
      <w:r w:rsidRPr="0086198C">
        <w:t>genuine</w:t>
      </w:r>
      <w:r w:rsidRPr="0086198C">
        <w:rPr>
          <w:spacing w:val="-3"/>
        </w:rPr>
        <w:t xml:space="preserve"> </w:t>
      </w:r>
      <w:r w:rsidRPr="0086198C">
        <w:t>review</w:t>
      </w:r>
      <w:r w:rsidRPr="0086198C">
        <w:rPr>
          <w:spacing w:val="-3"/>
        </w:rPr>
        <w:t xml:space="preserve"> </w:t>
      </w:r>
      <w:r w:rsidRPr="0086198C">
        <w:t>of</w:t>
      </w:r>
      <w:r w:rsidRPr="0086198C">
        <w:rPr>
          <w:spacing w:val="-3"/>
        </w:rPr>
        <w:t xml:space="preserve"> </w:t>
      </w:r>
      <w:r w:rsidRPr="0086198C">
        <w:t>first</w:t>
      </w:r>
      <w:r w:rsidRPr="0086198C">
        <w:rPr>
          <w:spacing w:val="-3"/>
        </w:rPr>
        <w:t xml:space="preserve"> </w:t>
      </w:r>
      <w:r w:rsidRPr="0086198C">
        <w:t>instance</w:t>
      </w:r>
      <w:r w:rsidRPr="0086198C">
        <w:rPr>
          <w:spacing w:val="-3"/>
        </w:rPr>
        <w:t xml:space="preserve"> </w:t>
      </w:r>
      <w:r w:rsidRPr="0086198C">
        <w:t>decisions.</w:t>
      </w:r>
      <w:r w:rsidRPr="0086198C">
        <w:rPr>
          <w:spacing w:val="-3"/>
        </w:rPr>
        <w:t xml:space="preserve">  </w:t>
      </w:r>
      <w:r w:rsidRPr="0086198C">
        <w:t>It</w:t>
      </w:r>
      <w:r w:rsidRPr="0086198C">
        <w:rPr>
          <w:spacing w:val="-3"/>
        </w:rPr>
        <w:t xml:space="preserve"> </w:t>
      </w:r>
      <w:r w:rsidRPr="0086198C">
        <w:t>is</w:t>
      </w:r>
      <w:r w:rsidRPr="0086198C">
        <w:rPr>
          <w:spacing w:val="-3"/>
        </w:rPr>
        <w:t xml:space="preserve"> </w:t>
      </w:r>
      <w:r w:rsidRPr="0086198C">
        <w:t>becoming</w:t>
      </w:r>
      <w:r w:rsidRPr="0086198C">
        <w:rPr>
          <w:spacing w:val="-3"/>
        </w:rPr>
        <w:t xml:space="preserve"> </w:t>
      </w:r>
      <w:r w:rsidRPr="0086198C">
        <w:t>increasingly</w:t>
      </w:r>
      <w:r w:rsidRPr="0086198C">
        <w:rPr>
          <w:spacing w:val="-3"/>
        </w:rPr>
        <w:t xml:space="preserve"> difficult, </w:t>
      </w:r>
      <w:r w:rsidRPr="0086198C">
        <w:t>in</w:t>
      </w:r>
      <w:r w:rsidRPr="0086198C">
        <w:rPr>
          <w:spacing w:val="-1"/>
        </w:rPr>
        <w:t xml:space="preserve"> </w:t>
      </w:r>
      <w:r w:rsidRPr="0086198C">
        <w:t>our</w:t>
      </w:r>
      <w:r w:rsidRPr="0086198C">
        <w:rPr>
          <w:spacing w:val="11"/>
        </w:rPr>
        <w:t xml:space="preserve"> </w:t>
      </w:r>
      <w:r w:rsidRPr="0086198C">
        <w:rPr>
          <w:spacing w:val="-3"/>
        </w:rPr>
        <w:t>view,</w:t>
      </w:r>
      <w:r w:rsidRPr="0086198C">
        <w:rPr>
          <w:spacing w:val="11"/>
        </w:rPr>
        <w:t xml:space="preserve"> </w:t>
      </w:r>
      <w:r w:rsidRPr="0086198C">
        <w:t>to</w:t>
      </w:r>
      <w:r w:rsidRPr="0086198C">
        <w:rPr>
          <w:spacing w:val="11"/>
        </w:rPr>
        <w:t xml:space="preserve"> </w:t>
      </w:r>
      <w:r w:rsidRPr="0086198C">
        <w:t>establish</w:t>
      </w:r>
      <w:r w:rsidRPr="0086198C">
        <w:rPr>
          <w:spacing w:val="11"/>
        </w:rPr>
        <w:t xml:space="preserve"> </w:t>
      </w:r>
      <w:r w:rsidRPr="0086198C">
        <w:t>that</w:t>
      </w:r>
      <w:r w:rsidRPr="0086198C">
        <w:rPr>
          <w:spacing w:val="11"/>
        </w:rPr>
        <w:t xml:space="preserve"> </w:t>
      </w:r>
      <w:r w:rsidRPr="0086198C">
        <w:t>it</w:t>
      </w:r>
      <w:r w:rsidRPr="0086198C">
        <w:rPr>
          <w:spacing w:val="11"/>
        </w:rPr>
        <w:t xml:space="preserve"> </w:t>
      </w:r>
      <w:r w:rsidRPr="0086198C">
        <w:t>is</w:t>
      </w:r>
      <w:r w:rsidRPr="0086198C">
        <w:rPr>
          <w:spacing w:val="11"/>
        </w:rPr>
        <w:t xml:space="preserve"> </w:t>
      </w:r>
      <w:r w:rsidRPr="0086198C">
        <w:t>expedient</w:t>
      </w:r>
      <w:r w:rsidRPr="0086198C">
        <w:rPr>
          <w:spacing w:val="11"/>
        </w:rPr>
        <w:t xml:space="preserve"> </w:t>
      </w:r>
      <w:r w:rsidRPr="0086198C">
        <w:t>in</w:t>
      </w:r>
      <w:r w:rsidRPr="0086198C">
        <w:rPr>
          <w:spacing w:val="11"/>
        </w:rPr>
        <w:t xml:space="preserve"> </w:t>
      </w:r>
      <w:r w:rsidRPr="0086198C">
        <w:t>the</w:t>
      </w:r>
      <w:r w:rsidRPr="0086198C">
        <w:rPr>
          <w:spacing w:val="11"/>
        </w:rPr>
        <w:t xml:space="preserve"> </w:t>
      </w:r>
      <w:r w:rsidRPr="0086198C">
        <w:t>interests</w:t>
      </w:r>
      <w:r w:rsidRPr="0086198C">
        <w:rPr>
          <w:spacing w:val="11"/>
        </w:rPr>
        <w:t xml:space="preserve"> </w:t>
      </w:r>
      <w:r w:rsidRPr="0086198C">
        <w:t>of</w:t>
      </w:r>
      <w:r w:rsidRPr="0086198C">
        <w:rPr>
          <w:spacing w:val="11"/>
        </w:rPr>
        <w:t xml:space="preserve"> </w:t>
      </w:r>
      <w:r w:rsidRPr="0086198C">
        <w:t>justice</w:t>
      </w:r>
      <w:r w:rsidRPr="0086198C">
        <w:rPr>
          <w:spacing w:val="11"/>
        </w:rPr>
        <w:t xml:space="preserve"> </w:t>
      </w:r>
      <w:r w:rsidRPr="0086198C">
        <w:t>that</w:t>
      </w:r>
      <w:r w:rsidRPr="0086198C">
        <w:rPr>
          <w:spacing w:val="11"/>
        </w:rPr>
        <w:t xml:space="preserve"> </w:t>
      </w:r>
      <w:r w:rsidRPr="0086198C">
        <w:t>the</w:t>
      </w:r>
      <w:r w:rsidRPr="0086198C">
        <w:rPr>
          <w:spacing w:val="11"/>
        </w:rPr>
        <w:t xml:space="preserve"> </w:t>
      </w:r>
      <w:r w:rsidRPr="0086198C">
        <w:t>time</w:t>
      </w:r>
      <w:r w:rsidRPr="0086198C">
        <w:rPr>
          <w:spacing w:val="-1"/>
        </w:rPr>
        <w:t xml:space="preserve"> </w:t>
      </w:r>
      <w:r w:rsidRPr="0086198C">
        <w:t>of</w:t>
      </w:r>
      <w:r w:rsidRPr="0086198C">
        <w:rPr>
          <w:spacing w:val="16"/>
        </w:rPr>
        <w:t xml:space="preserve"> </w:t>
      </w:r>
      <w:r w:rsidRPr="0086198C">
        <w:t>three</w:t>
      </w:r>
      <w:r w:rsidRPr="0086198C">
        <w:rPr>
          <w:spacing w:val="16"/>
        </w:rPr>
        <w:t xml:space="preserve"> </w:t>
      </w:r>
      <w:r w:rsidRPr="0086198C">
        <w:t>or</w:t>
      </w:r>
      <w:r w:rsidRPr="0086198C">
        <w:rPr>
          <w:spacing w:val="16"/>
        </w:rPr>
        <w:t xml:space="preserve"> </w:t>
      </w:r>
      <w:r w:rsidRPr="0086198C">
        <w:t>more</w:t>
      </w:r>
      <w:r w:rsidRPr="0086198C">
        <w:rPr>
          <w:spacing w:val="16"/>
        </w:rPr>
        <w:t xml:space="preserve"> </w:t>
      </w:r>
      <w:r w:rsidRPr="0086198C">
        <w:t>judges</w:t>
      </w:r>
      <w:r w:rsidRPr="0086198C">
        <w:rPr>
          <w:spacing w:val="16"/>
        </w:rPr>
        <w:t xml:space="preserve"> </w:t>
      </w:r>
      <w:r w:rsidRPr="0086198C">
        <w:t>should</w:t>
      </w:r>
      <w:r w:rsidRPr="0086198C">
        <w:rPr>
          <w:spacing w:val="16"/>
        </w:rPr>
        <w:t xml:space="preserve"> </w:t>
      </w:r>
      <w:r w:rsidRPr="0086198C">
        <w:t>be</w:t>
      </w:r>
      <w:r w:rsidRPr="0086198C">
        <w:rPr>
          <w:spacing w:val="16"/>
        </w:rPr>
        <w:t xml:space="preserve"> </w:t>
      </w:r>
      <w:r w:rsidRPr="0086198C">
        <w:t>spent</w:t>
      </w:r>
      <w:r w:rsidRPr="0086198C">
        <w:rPr>
          <w:spacing w:val="16"/>
        </w:rPr>
        <w:t xml:space="preserve"> </w:t>
      </w:r>
      <w:r w:rsidRPr="0086198C">
        <w:t>giving</w:t>
      </w:r>
      <w:r w:rsidRPr="0086198C">
        <w:rPr>
          <w:spacing w:val="16"/>
        </w:rPr>
        <w:t xml:space="preserve"> </w:t>
      </w:r>
      <w:r w:rsidRPr="0086198C">
        <w:t>original</w:t>
      </w:r>
      <w:r w:rsidRPr="0086198C">
        <w:rPr>
          <w:spacing w:val="16"/>
        </w:rPr>
        <w:t xml:space="preserve"> </w:t>
      </w:r>
      <w:r w:rsidRPr="0086198C">
        <w:t>consideration</w:t>
      </w:r>
      <w:r w:rsidRPr="0086198C">
        <w:rPr>
          <w:spacing w:val="16"/>
        </w:rPr>
        <w:t xml:space="preserve"> </w:t>
      </w:r>
      <w:r w:rsidRPr="0086198C">
        <w:t>to</w:t>
      </w:r>
      <w:r w:rsidRPr="0086198C">
        <w:rPr>
          <w:spacing w:val="16"/>
        </w:rPr>
        <w:t xml:space="preserve"> </w:t>
      </w:r>
      <w:r w:rsidRPr="0086198C">
        <w:t>issues</w:t>
      </w:r>
      <w:r w:rsidRPr="0086198C">
        <w:rPr>
          <w:spacing w:val="-1"/>
        </w:rPr>
        <w:t xml:space="preserve"> </w:t>
      </w:r>
      <w:r w:rsidRPr="0086198C">
        <w:t>that</w:t>
      </w:r>
      <w:r w:rsidRPr="0086198C">
        <w:rPr>
          <w:spacing w:val="8"/>
        </w:rPr>
        <w:t xml:space="preserve"> </w:t>
      </w:r>
      <w:r w:rsidRPr="0086198C">
        <w:t>ought</w:t>
      </w:r>
      <w:r w:rsidRPr="0086198C">
        <w:rPr>
          <w:spacing w:val="8"/>
        </w:rPr>
        <w:t xml:space="preserve"> </w:t>
      </w:r>
      <w:r w:rsidRPr="0086198C">
        <w:t>to</w:t>
      </w:r>
      <w:r w:rsidRPr="0086198C">
        <w:rPr>
          <w:spacing w:val="8"/>
        </w:rPr>
        <w:t xml:space="preserve"> </w:t>
      </w:r>
      <w:r w:rsidRPr="0086198C">
        <w:t>have</w:t>
      </w:r>
      <w:r w:rsidRPr="0086198C">
        <w:rPr>
          <w:spacing w:val="8"/>
        </w:rPr>
        <w:t xml:space="preserve"> </w:t>
      </w:r>
      <w:r w:rsidRPr="0086198C">
        <w:t>been</w:t>
      </w:r>
      <w:r w:rsidRPr="0086198C">
        <w:rPr>
          <w:spacing w:val="8"/>
        </w:rPr>
        <w:t xml:space="preserve"> </w:t>
      </w:r>
      <w:r w:rsidRPr="0086198C">
        <w:t>raised</w:t>
      </w:r>
      <w:r w:rsidRPr="0086198C">
        <w:rPr>
          <w:spacing w:val="8"/>
        </w:rPr>
        <w:t xml:space="preserve"> </w:t>
      </w:r>
      <w:r w:rsidRPr="0086198C">
        <w:t>before</w:t>
      </w:r>
      <w:r w:rsidRPr="0086198C">
        <w:rPr>
          <w:spacing w:val="8"/>
        </w:rPr>
        <w:t xml:space="preserve"> </w:t>
      </w:r>
      <w:r w:rsidRPr="0086198C">
        <w:t>the</w:t>
      </w:r>
      <w:r w:rsidRPr="0086198C">
        <w:rPr>
          <w:spacing w:val="8"/>
        </w:rPr>
        <w:t xml:space="preserve"> </w:t>
      </w:r>
      <w:r w:rsidRPr="0086198C">
        <w:t>primary</w:t>
      </w:r>
      <w:r w:rsidRPr="0086198C">
        <w:rPr>
          <w:spacing w:val="8"/>
        </w:rPr>
        <w:t xml:space="preserve"> </w:t>
      </w:r>
      <w:r w:rsidRPr="0086198C">
        <w:t>judge.</w:t>
      </w:r>
      <w:r w:rsidRPr="0086198C">
        <w:rPr>
          <w:spacing w:val="5"/>
        </w:rPr>
        <w:t xml:space="preserve"> </w:t>
      </w:r>
      <w:r w:rsidR="008740A7" w:rsidRPr="0086198C">
        <w:rPr>
          <w:spacing w:val="5"/>
        </w:rPr>
        <w:t xml:space="preserve"> </w:t>
      </w:r>
      <w:r w:rsidRPr="0086198C">
        <w:t>The</w:t>
      </w:r>
      <w:r w:rsidRPr="0086198C">
        <w:rPr>
          <w:spacing w:val="8"/>
        </w:rPr>
        <w:t xml:space="preserve"> </w:t>
      </w:r>
      <w:r w:rsidRPr="0086198C">
        <w:t>interests</w:t>
      </w:r>
      <w:r w:rsidRPr="0086198C">
        <w:rPr>
          <w:spacing w:val="8"/>
        </w:rPr>
        <w:t xml:space="preserve"> </w:t>
      </w:r>
      <w:r w:rsidRPr="0086198C">
        <w:t>of</w:t>
      </w:r>
      <w:r w:rsidRPr="0086198C">
        <w:rPr>
          <w:spacing w:val="8"/>
        </w:rPr>
        <w:t xml:space="preserve"> </w:t>
      </w:r>
      <w:r w:rsidRPr="0086198C">
        <w:t>justice</w:t>
      </w:r>
      <w:r w:rsidRPr="0086198C">
        <w:rPr>
          <w:spacing w:val="-1"/>
        </w:rPr>
        <w:t xml:space="preserve"> </w:t>
      </w:r>
      <w:r w:rsidRPr="0086198C">
        <w:t>in</w:t>
      </w:r>
      <w:r w:rsidRPr="0086198C">
        <w:rPr>
          <w:spacing w:val="-3"/>
        </w:rPr>
        <w:t xml:space="preserve"> </w:t>
      </w:r>
      <w:r w:rsidRPr="0086198C">
        <w:t>this</w:t>
      </w:r>
      <w:r w:rsidRPr="0086198C">
        <w:rPr>
          <w:spacing w:val="-3"/>
        </w:rPr>
        <w:t xml:space="preserve"> </w:t>
      </w:r>
      <w:r w:rsidRPr="0086198C">
        <w:t>sense</w:t>
      </w:r>
      <w:r w:rsidRPr="0086198C">
        <w:rPr>
          <w:spacing w:val="-3"/>
        </w:rPr>
        <w:t xml:space="preserve"> </w:t>
      </w:r>
      <w:r w:rsidRPr="0086198C">
        <w:t>extend</w:t>
      </w:r>
      <w:r w:rsidRPr="0086198C">
        <w:rPr>
          <w:spacing w:val="-3"/>
        </w:rPr>
        <w:t xml:space="preserve"> </w:t>
      </w:r>
      <w:r w:rsidRPr="0086198C">
        <w:t>beyond</w:t>
      </w:r>
      <w:r w:rsidRPr="0086198C">
        <w:rPr>
          <w:spacing w:val="-3"/>
        </w:rPr>
        <w:t xml:space="preserve"> </w:t>
      </w:r>
      <w:r w:rsidRPr="0086198C">
        <w:t>the</w:t>
      </w:r>
      <w:r w:rsidRPr="0086198C">
        <w:rPr>
          <w:spacing w:val="-3"/>
        </w:rPr>
        <w:t xml:space="preserve"> </w:t>
      </w:r>
      <w:r w:rsidRPr="0086198C">
        <w:t>interests</w:t>
      </w:r>
      <w:r w:rsidRPr="0086198C">
        <w:rPr>
          <w:spacing w:val="-3"/>
        </w:rPr>
        <w:t xml:space="preserve"> </w:t>
      </w:r>
      <w:r w:rsidRPr="0086198C">
        <w:t>of</w:t>
      </w:r>
      <w:r w:rsidRPr="0086198C">
        <w:rPr>
          <w:spacing w:val="-3"/>
        </w:rPr>
        <w:t xml:space="preserve"> </w:t>
      </w:r>
      <w:r w:rsidRPr="0086198C">
        <w:t>the</w:t>
      </w:r>
      <w:r w:rsidRPr="0086198C">
        <w:rPr>
          <w:spacing w:val="-3"/>
        </w:rPr>
        <w:t xml:space="preserve"> </w:t>
      </w:r>
      <w:r w:rsidRPr="0086198C">
        <w:t>parties</w:t>
      </w:r>
      <w:r w:rsidRPr="0086198C">
        <w:rPr>
          <w:spacing w:val="-3"/>
        </w:rPr>
        <w:t xml:space="preserve"> </w:t>
      </w:r>
      <w:r w:rsidRPr="0086198C">
        <w:t>to</w:t>
      </w:r>
      <w:r w:rsidRPr="0086198C">
        <w:rPr>
          <w:spacing w:val="-3"/>
        </w:rPr>
        <w:t xml:space="preserve"> </w:t>
      </w:r>
      <w:r w:rsidRPr="0086198C">
        <w:t>the</w:t>
      </w:r>
      <w:r w:rsidRPr="0086198C">
        <w:rPr>
          <w:spacing w:val="-3"/>
        </w:rPr>
        <w:t xml:space="preserve"> </w:t>
      </w:r>
      <w:r w:rsidRPr="0086198C">
        <w:t>appeal</w:t>
      </w:r>
      <w:r w:rsidRPr="0086198C">
        <w:rPr>
          <w:spacing w:val="-3"/>
        </w:rPr>
        <w:t xml:space="preserve"> </w:t>
      </w:r>
      <w:r w:rsidRPr="0086198C">
        <w:t>to</w:t>
      </w:r>
      <w:r w:rsidRPr="0086198C">
        <w:rPr>
          <w:spacing w:val="-3"/>
        </w:rPr>
        <w:t xml:space="preserve"> </w:t>
      </w:r>
      <w:r w:rsidRPr="0086198C">
        <w:t>encompass</w:t>
      </w:r>
      <w:r w:rsidRPr="0086198C">
        <w:rPr>
          <w:spacing w:val="-1"/>
        </w:rPr>
        <w:t xml:space="preserve"> </w:t>
      </w:r>
      <w:r w:rsidRPr="0086198C">
        <w:t>the</w:t>
      </w:r>
      <w:r w:rsidRPr="0086198C">
        <w:rPr>
          <w:spacing w:val="10"/>
        </w:rPr>
        <w:t xml:space="preserve"> </w:t>
      </w:r>
      <w:r w:rsidRPr="0086198C">
        <w:t>interests</w:t>
      </w:r>
      <w:r w:rsidRPr="0086198C">
        <w:rPr>
          <w:spacing w:val="10"/>
        </w:rPr>
        <w:t xml:space="preserve"> </w:t>
      </w:r>
      <w:r w:rsidRPr="0086198C">
        <w:t>of</w:t>
      </w:r>
      <w:r w:rsidRPr="0086198C">
        <w:rPr>
          <w:spacing w:val="10"/>
        </w:rPr>
        <w:t xml:space="preserve"> </w:t>
      </w:r>
      <w:r w:rsidRPr="0086198C">
        <w:t>other</w:t>
      </w:r>
      <w:r w:rsidRPr="0086198C">
        <w:rPr>
          <w:spacing w:val="10"/>
        </w:rPr>
        <w:t xml:space="preserve"> </w:t>
      </w:r>
      <w:r w:rsidRPr="0086198C">
        <w:t>litigants</w:t>
      </w:r>
      <w:r w:rsidRPr="0086198C">
        <w:rPr>
          <w:spacing w:val="10"/>
        </w:rPr>
        <w:t xml:space="preserve"> </w:t>
      </w:r>
      <w:r w:rsidRPr="0086198C">
        <w:t>whose</w:t>
      </w:r>
      <w:r w:rsidRPr="0086198C">
        <w:rPr>
          <w:spacing w:val="10"/>
        </w:rPr>
        <w:t xml:space="preserve"> </w:t>
      </w:r>
      <w:r w:rsidRPr="0086198C">
        <w:t>appeals</w:t>
      </w:r>
      <w:r w:rsidRPr="0086198C">
        <w:rPr>
          <w:spacing w:val="10"/>
        </w:rPr>
        <w:t xml:space="preserve"> </w:t>
      </w:r>
      <w:r w:rsidRPr="0086198C">
        <w:t>require</w:t>
      </w:r>
      <w:r w:rsidRPr="0086198C">
        <w:rPr>
          <w:spacing w:val="10"/>
        </w:rPr>
        <w:t xml:space="preserve"> </w:t>
      </w:r>
      <w:r w:rsidRPr="0086198C">
        <w:t>hearing</w:t>
      </w:r>
      <w:r w:rsidRPr="0086198C">
        <w:rPr>
          <w:spacing w:val="10"/>
        </w:rPr>
        <w:t xml:space="preserve"> </w:t>
      </w:r>
      <w:r w:rsidRPr="0086198C">
        <w:t>and</w:t>
      </w:r>
      <w:r w:rsidRPr="0086198C">
        <w:rPr>
          <w:spacing w:val="10"/>
        </w:rPr>
        <w:t xml:space="preserve"> </w:t>
      </w:r>
      <w:r w:rsidRPr="0086198C">
        <w:t>determination, and the broad public interest in efficient judicial administration.</w:t>
      </w:r>
    </w:p>
    <w:p w14:paraId="55A32DF7" w14:textId="77777777" w:rsidR="001C71AC" w:rsidRPr="0086198C" w:rsidRDefault="00AE2E82" w:rsidP="00AE2E82">
      <w:pPr>
        <w:pStyle w:val="ParaNumbering"/>
        <w:rPr>
          <w:w w:val="105"/>
          <w:szCs w:val="24"/>
        </w:rPr>
      </w:pPr>
      <w:r w:rsidRPr="0086198C">
        <w:rPr>
          <w:w w:val="105"/>
          <w:szCs w:val="24"/>
        </w:rPr>
        <w:t>There is no proper basis for the subject matter of this ground of appeal to be entertained for the first time in this Court, not having been raised in the Court below</w:t>
      </w:r>
      <w:r w:rsidR="004B66FA" w:rsidRPr="0086198C">
        <w:rPr>
          <w:w w:val="105"/>
          <w:szCs w:val="24"/>
        </w:rPr>
        <w:t xml:space="preserve">, especially, but </w:t>
      </w:r>
      <w:r w:rsidR="004B66FA" w:rsidRPr="0086198C">
        <w:rPr>
          <w:w w:val="105"/>
          <w:szCs w:val="24"/>
        </w:rPr>
        <w:lastRenderedPageBreak/>
        <w:t>not only, because it is devoid of merit</w:t>
      </w:r>
      <w:r w:rsidRPr="0086198C">
        <w:rPr>
          <w:w w:val="105"/>
          <w:szCs w:val="24"/>
        </w:rPr>
        <w:t>.  Leave to rely upon this ground should therefore be refused.</w:t>
      </w:r>
    </w:p>
    <w:p w14:paraId="7027428E" w14:textId="77777777" w:rsidR="0041079B" w:rsidRPr="0086198C" w:rsidRDefault="0041079B" w:rsidP="0041079B">
      <w:pPr>
        <w:pStyle w:val="Heading2"/>
        <w:rPr>
          <w:w w:val="105"/>
        </w:rPr>
      </w:pPr>
      <w:r w:rsidRPr="0086198C">
        <w:rPr>
          <w:w w:val="105"/>
        </w:rPr>
        <w:t>Ground 2</w:t>
      </w:r>
    </w:p>
    <w:p w14:paraId="2D313C05" w14:textId="77777777" w:rsidR="0041079B" w:rsidRPr="0086198C" w:rsidRDefault="0041079B" w:rsidP="0041079B">
      <w:pPr>
        <w:pStyle w:val="ParaNumbering"/>
        <w:rPr>
          <w:w w:val="105"/>
          <w:szCs w:val="24"/>
        </w:rPr>
      </w:pPr>
      <w:r w:rsidRPr="0086198C">
        <w:rPr>
          <w:w w:val="105"/>
          <w:szCs w:val="24"/>
        </w:rPr>
        <w:t xml:space="preserve">This ground is as follows </w:t>
      </w:r>
      <w:r w:rsidRPr="0086198C">
        <w:rPr>
          <w:szCs w:val="24"/>
        </w:rPr>
        <w:t>(verbatim)</w:t>
      </w:r>
      <w:r w:rsidRPr="0086198C">
        <w:rPr>
          <w:w w:val="105"/>
          <w:szCs w:val="24"/>
        </w:rPr>
        <w:t>:</w:t>
      </w:r>
    </w:p>
    <w:p w14:paraId="54D85E29" w14:textId="77777777" w:rsidR="0041079B" w:rsidRPr="0086198C" w:rsidRDefault="0041079B" w:rsidP="0041079B">
      <w:pPr>
        <w:pStyle w:val="Quote1"/>
        <w:spacing w:after="360"/>
        <w:rPr>
          <w:w w:val="105"/>
          <w:lang w:eastAsia="en-AU"/>
        </w:rPr>
      </w:pPr>
      <w:r w:rsidRPr="0086198C">
        <w:rPr>
          <w:w w:val="105"/>
          <w:lang w:eastAsia="en-AU"/>
        </w:rPr>
        <w:t xml:space="preserve">His Honour failed to consider the submission by </w:t>
      </w:r>
      <w:proofErr w:type="spellStart"/>
      <w:proofErr w:type="gramStart"/>
      <w:r w:rsidRPr="0086198C">
        <w:rPr>
          <w:w w:val="105"/>
          <w:lang w:eastAsia="en-AU"/>
        </w:rPr>
        <w:t>mr</w:t>
      </w:r>
      <w:proofErr w:type="spellEnd"/>
      <w:proofErr w:type="gramEnd"/>
      <w:r w:rsidRPr="0086198C">
        <w:rPr>
          <w:w w:val="105"/>
          <w:lang w:eastAsia="en-AU"/>
        </w:rPr>
        <w:t xml:space="preserve"> David Godwin because it was lodged late. It was my mistake and my financial hardship that made me fail to engage the services of legal representative earlier.</w:t>
      </w:r>
    </w:p>
    <w:p w14:paraId="0BA13CA4" w14:textId="0C36E97C" w:rsidR="007B4ECE" w:rsidRPr="0086198C" w:rsidRDefault="0041079B" w:rsidP="00AE2E82">
      <w:pPr>
        <w:pStyle w:val="ParaNumbering"/>
        <w:rPr>
          <w:w w:val="105"/>
          <w:szCs w:val="24"/>
        </w:rPr>
      </w:pPr>
      <w:r w:rsidRPr="0086198C">
        <w:rPr>
          <w:w w:val="105"/>
          <w:szCs w:val="24"/>
        </w:rPr>
        <w:t xml:space="preserve">The Minister submits </w:t>
      </w:r>
      <w:r w:rsidR="00AE2E82" w:rsidRPr="0086198C">
        <w:rPr>
          <w:w w:val="105"/>
          <w:szCs w:val="24"/>
        </w:rPr>
        <w:t xml:space="preserve">that this ground of appeal is </w:t>
      </w:r>
      <w:bookmarkStart w:id="19" w:name="Consideration"/>
      <w:bookmarkStart w:id="20" w:name="Ground_I"/>
      <w:bookmarkStart w:id="21" w:name="Ground_2"/>
      <w:bookmarkEnd w:id="19"/>
      <w:bookmarkEnd w:id="20"/>
      <w:bookmarkEnd w:id="21"/>
      <w:r w:rsidR="00AE2E82" w:rsidRPr="0086198C">
        <w:rPr>
          <w:w w:val="105"/>
          <w:szCs w:val="24"/>
        </w:rPr>
        <w:t xml:space="preserve">also misconceived and does not reveal any error on the part of the </w:t>
      </w:r>
      <w:r w:rsidR="00AE2E82" w:rsidRPr="00631BBD">
        <w:rPr>
          <w:w w:val="105"/>
          <w:szCs w:val="24"/>
        </w:rPr>
        <w:t>primary judge.  The Minister points out that, contrary to the ass</w:t>
      </w:r>
      <w:r w:rsidR="00AE2E82" w:rsidRPr="0039544B">
        <w:rPr>
          <w:w w:val="105"/>
          <w:szCs w:val="24"/>
        </w:rPr>
        <w:t>ertion</w:t>
      </w:r>
      <w:r w:rsidR="007B4ECE" w:rsidRPr="0086198C">
        <w:rPr>
          <w:w w:val="105"/>
          <w:szCs w:val="24"/>
        </w:rPr>
        <w:t xml:space="preserve"> made in this ground, his Honour </w:t>
      </w:r>
      <w:r w:rsidR="00AE2E82" w:rsidRPr="0086198C">
        <w:rPr>
          <w:w w:val="105"/>
          <w:szCs w:val="24"/>
        </w:rPr>
        <w:t xml:space="preserve">did not fail to consider the submissions prepared by </w:t>
      </w:r>
      <w:r w:rsidR="007B4ECE" w:rsidRPr="0086198C">
        <w:rPr>
          <w:w w:val="105"/>
          <w:szCs w:val="24"/>
        </w:rPr>
        <w:t>her then c</w:t>
      </w:r>
      <w:r w:rsidR="00AE2E82" w:rsidRPr="0086198C">
        <w:rPr>
          <w:w w:val="105"/>
          <w:szCs w:val="24"/>
        </w:rPr>
        <w:t>ounsel</w:t>
      </w:r>
      <w:r w:rsidR="007B4ECE" w:rsidRPr="0086198C">
        <w:rPr>
          <w:w w:val="105"/>
          <w:szCs w:val="24"/>
        </w:rPr>
        <w:t>.  His Honour said the following (at [5]-[6]):</w:t>
      </w:r>
    </w:p>
    <w:p w14:paraId="43A008B7" w14:textId="053B6E97" w:rsidR="007B4ECE" w:rsidRPr="0086198C" w:rsidRDefault="007B4ECE" w:rsidP="007B4ECE">
      <w:pPr>
        <w:pStyle w:val="Quote1"/>
      </w:pPr>
      <w:r w:rsidRPr="0086198C">
        <w:t>On 7</w:t>
      </w:r>
      <w:r w:rsidRPr="0086198C">
        <w:rPr>
          <w:spacing w:val="51"/>
        </w:rPr>
        <w:t xml:space="preserve"> </w:t>
      </w:r>
      <w:r w:rsidRPr="0086198C">
        <w:t>March</w:t>
      </w:r>
      <w:r w:rsidRPr="0086198C">
        <w:rPr>
          <w:spacing w:val="51"/>
        </w:rPr>
        <w:t xml:space="preserve"> </w:t>
      </w:r>
      <w:r w:rsidRPr="0086198C">
        <w:t>2018,</w:t>
      </w:r>
      <w:r w:rsidRPr="0086198C">
        <w:rPr>
          <w:spacing w:val="50"/>
        </w:rPr>
        <w:t xml:space="preserve"> </w:t>
      </w:r>
      <w:r w:rsidRPr="0086198C">
        <w:t>less than</w:t>
      </w:r>
      <w:r w:rsidRPr="0086198C">
        <w:rPr>
          <w:spacing w:val="50"/>
        </w:rPr>
        <w:t xml:space="preserve"> </w:t>
      </w:r>
      <w:r w:rsidRPr="0086198C">
        <w:t>14</w:t>
      </w:r>
      <w:r w:rsidRPr="0086198C">
        <w:rPr>
          <w:spacing w:val="50"/>
        </w:rPr>
        <w:t xml:space="preserve"> </w:t>
      </w:r>
      <w:r w:rsidRPr="0086198C">
        <w:t>days</w:t>
      </w:r>
      <w:r w:rsidRPr="0086198C">
        <w:rPr>
          <w:spacing w:val="50"/>
        </w:rPr>
        <w:t xml:space="preserve"> </w:t>
      </w:r>
      <w:r w:rsidRPr="0086198C">
        <w:t>prior</w:t>
      </w:r>
      <w:r w:rsidRPr="0086198C">
        <w:rPr>
          <w:spacing w:val="51"/>
        </w:rPr>
        <w:t xml:space="preserve"> </w:t>
      </w:r>
      <w:r w:rsidRPr="0086198C">
        <w:t>to the final hearing,</w:t>
      </w:r>
      <w:r w:rsidRPr="0086198C">
        <w:rPr>
          <w:spacing w:val="51"/>
        </w:rPr>
        <w:t xml:space="preserve"> </w:t>
      </w:r>
      <w:r w:rsidRPr="0086198C">
        <w:t xml:space="preserve">the applicant filed written submissions. </w:t>
      </w:r>
      <w:r w:rsidR="00E44D1C" w:rsidRPr="0086198C">
        <w:t xml:space="preserve"> </w:t>
      </w:r>
      <w:r w:rsidRPr="0086198C">
        <w:t>The written submissions were filed by counsel on the applicant</w:t>
      </w:r>
      <w:r w:rsidR="00BF5075" w:rsidRPr="0086198C">
        <w:t>’</w:t>
      </w:r>
      <w:r w:rsidRPr="0086198C">
        <w:t>s behalf.  They attached an amended application for which the applicant</w:t>
      </w:r>
      <w:r w:rsidR="00BF5075" w:rsidRPr="0086198C">
        <w:t>’</w:t>
      </w:r>
      <w:r w:rsidRPr="0086198C">
        <w:t>s counsel indicated he would seek leave on which to rely (at the final hearing).  …</w:t>
      </w:r>
    </w:p>
    <w:p w14:paraId="6D7B239A" w14:textId="77777777" w:rsidR="007B4ECE" w:rsidRPr="0086198C" w:rsidRDefault="007B4ECE" w:rsidP="007B4ECE">
      <w:pPr>
        <w:pStyle w:val="Quote1"/>
        <w:spacing w:after="360"/>
      </w:pPr>
      <w:r w:rsidRPr="0086198C">
        <w:t>On 19 March 2018, at the final hearing, counsel who had filed written submissions on behalf of the applicant did not attend. Enquiries were made, and it was confirmed that counsel was no longer retained in the matter.  The hearing was adjourned to ensure that the applicant, who was now appearing in person, had the assistance of an interpreter.</w:t>
      </w:r>
    </w:p>
    <w:p w14:paraId="2811C3F5" w14:textId="6F0175C6" w:rsidR="007B4ECE" w:rsidRPr="00631BBD" w:rsidRDefault="007B4ECE" w:rsidP="007B4ECE">
      <w:pPr>
        <w:pStyle w:val="ParaNumbering"/>
        <w:rPr>
          <w:w w:val="105"/>
          <w:szCs w:val="24"/>
        </w:rPr>
      </w:pPr>
      <w:r w:rsidRPr="00631BBD">
        <w:rPr>
          <w:w w:val="105"/>
          <w:szCs w:val="24"/>
        </w:rPr>
        <w:t xml:space="preserve">Further, as noted above at </w:t>
      </w:r>
      <w:r w:rsidR="00BF5075" w:rsidRPr="00631BBD">
        <w:rPr>
          <w:w w:val="105"/>
          <w:szCs w:val="24"/>
        </w:rPr>
        <w:t>[5]</w:t>
      </w:r>
      <w:r w:rsidRPr="00631BBD">
        <w:rPr>
          <w:w w:val="105"/>
          <w:szCs w:val="24"/>
        </w:rPr>
        <w:t xml:space="preserve">, the primary judge reproduced the proposed ground of </w:t>
      </w:r>
      <w:r w:rsidRPr="0039544B">
        <w:rPr>
          <w:w w:val="105"/>
          <w:szCs w:val="24"/>
        </w:rPr>
        <w:t>review that was attached to counsel</w:t>
      </w:r>
      <w:r w:rsidR="00BF5075" w:rsidRPr="00631BBD">
        <w:rPr>
          <w:w w:val="105"/>
          <w:szCs w:val="24"/>
        </w:rPr>
        <w:t>’</w:t>
      </w:r>
      <w:r w:rsidRPr="00631BBD">
        <w:rPr>
          <w:w w:val="105"/>
          <w:szCs w:val="24"/>
        </w:rPr>
        <w:t>s submissions</w:t>
      </w:r>
      <w:r w:rsidR="007E28CE">
        <w:rPr>
          <w:w w:val="105"/>
          <w:szCs w:val="24"/>
        </w:rPr>
        <w:t xml:space="preserve">.  I therefore infer that his Honour </w:t>
      </w:r>
      <w:r w:rsidRPr="00631BBD">
        <w:rPr>
          <w:w w:val="105"/>
          <w:szCs w:val="24"/>
        </w:rPr>
        <w:t>considered that ground</w:t>
      </w:r>
      <w:r w:rsidR="007E28CE">
        <w:rPr>
          <w:w w:val="105"/>
          <w:szCs w:val="24"/>
        </w:rPr>
        <w:t xml:space="preserve"> in the context of those submissions, but </w:t>
      </w:r>
      <w:r w:rsidRPr="00631BBD">
        <w:rPr>
          <w:w w:val="105"/>
          <w:szCs w:val="24"/>
        </w:rPr>
        <w:t xml:space="preserve">decided that </w:t>
      </w:r>
      <w:r w:rsidR="007E28CE">
        <w:rPr>
          <w:w w:val="105"/>
          <w:szCs w:val="24"/>
        </w:rPr>
        <w:t>it</w:t>
      </w:r>
      <w:r w:rsidR="007E28CE" w:rsidRPr="00631BBD">
        <w:rPr>
          <w:w w:val="105"/>
          <w:szCs w:val="24"/>
        </w:rPr>
        <w:t xml:space="preserve"> </w:t>
      </w:r>
      <w:r w:rsidRPr="00631BBD">
        <w:rPr>
          <w:w w:val="105"/>
          <w:szCs w:val="24"/>
        </w:rPr>
        <w:t>lacked sufficient merit for leave to be granted to allow it to be relied upon.</w:t>
      </w:r>
    </w:p>
    <w:p w14:paraId="4C974EF7" w14:textId="2CB90F25" w:rsidR="005F48FB" w:rsidRPr="00631BBD" w:rsidRDefault="007B4ECE" w:rsidP="005F48FB">
      <w:pPr>
        <w:pStyle w:val="ParaNumbering"/>
        <w:rPr>
          <w:w w:val="105"/>
          <w:szCs w:val="24"/>
        </w:rPr>
      </w:pPr>
      <w:r w:rsidRPr="00631BBD">
        <w:rPr>
          <w:w w:val="105"/>
          <w:szCs w:val="24"/>
        </w:rPr>
        <w:t xml:space="preserve">The Minister submits that </w:t>
      </w:r>
      <w:r w:rsidR="00AE2E82" w:rsidRPr="00631BBD">
        <w:rPr>
          <w:w w:val="105"/>
          <w:szCs w:val="24"/>
        </w:rPr>
        <w:t xml:space="preserve">the primary judge correctly addressed the question of whether leave </w:t>
      </w:r>
      <w:r w:rsidR="00E44D1C" w:rsidRPr="00631BBD">
        <w:rPr>
          <w:w w:val="105"/>
          <w:szCs w:val="24"/>
        </w:rPr>
        <w:t>should</w:t>
      </w:r>
      <w:r w:rsidR="00AE2E82" w:rsidRPr="00631BBD">
        <w:rPr>
          <w:w w:val="105"/>
          <w:szCs w:val="24"/>
        </w:rPr>
        <w:t xml:space="preserve"> be granted to rely on the proposed new ground</w:t>
      </w:r>
      <w:r w:rsidR="005F48FB" w:rsidRPr="00631BBD">
        <w:rPr>
          <w:w w:val="105"/>
          <w:szCs w:val="24"/>
        </w:rPr>
        <w:t xml:space="preserve"> by reference to the well</w:t>
      </w:r>
      <w:r w:rsidR="007E28CE">
        <w:rPr>
          <w:w w:val="105"/>
          <w:szCs w:val="24"/>
        </w:rPr>
        <w:noBreakHyphen/>
      </w:r>
      <w:r w:rsidR="005F48FB" w:rsidRPr="00631BBD">
        <w:rPr>
          <w:w w:val="105"/>
          <w:szCs w:val="24"/>
        </w:rPr>
        <w:t xml:space="preserve">established </w:t>
      </w:r>
      <w:r w:rsidR="007E28CE">
        <w:rPr>
          <w:w w:val="105"/>
          <w:szCs w:val="24"/>
        </w:rPr>
        <w:t xml:space="preserve">factors of </w:t>
      </w:r>
      <w:r w:rsidR="006B688B">
        <w:rPr>
          <w:w w:val="105"/>
          <w:szCs w:val="24"/>
        </w:rPr>
        <w:t>assessing the merit of the proposed ground</w:t>
      </w:r>
      <w:r w:rsidR="005F48FB" w:rsidRPr="00631BBD">
        <w:rPr>
          <w:w w:val="105"/>
          <w:szCs w:val="24"/>
        </w:rPr>
        <w:t xml:space="preserve">, </w:t>
      </w:r>
      <w:r w:rsidR="00AE2E82" w:rsidRPr="00631BBD">
        <w:rPr>
          <w:w w:val="105"/>
          <w:szCs w:val="24"/>
        </w:rPr>
        <w:t xml:space="preserve">length of the delay and any explanation for the delay. </w:t>
      </w:r>
      <w:r w:rsidR="005F48FB" w:rsidRPr="00631BBD">
        <w:rPr>
          <w:w w:val="105"/>
          <w:szCs w:val="24"/>
        </w:rPr>
        <w:t xml:space="preserve"> The Minister submits that his Honour was correct to find that the proposed new ground had no merit.  </w:t>
      </w:r>
      <w:r w:rsidR="00E44D1C" w:rsidRPr="00631BBD">
        <w:rPr>
          <w:w w:val="105"/>
          <w:szCs w:val="24"/>
        </w:rPr>
        <w:t xml:space="preserve">As noted above at </w:t>
      </w:r>
      <w:r w:rsidR="00BF5075" w:rsidRPr="00631BBD">
        <w:rPr>
          <w:w w:val="105"/>
          <w:szCs w:val="24"/>
        </w:rPr>
        <w:t>[8]</w:t>
      </w:r>
      <w:r w:rsidR="00E44D1C" w:rsidRPr="00631BBD">
        <w:rPr>
          <w:w w:val="105"/>
          <w:szCs w:val="24"/>
        </w:rPr>
        <w:t xml:space="preserve">, the substance </w:t>
      </w:r>
      <w:r w:rsidR="00AE2E82" w:rsidRPr="00631BBD">
        <w:rPr>
          <w:w w:val="105"/>
          <w:szCs w:val="24"/>
        </w:rPr>
        <w:t xml:space="preserve">of the proposed new ground </w:t>
      </w:r>
      <w:r w:rsidR="00E10709">
        <w:rPr>
          <w:w w:val="105"/>
          <w:szCs w:val="24"/>
        </w:rPr>
        <w:t xml:space="preserve">before his Honour </w:t>
      </w:r>
      <w:r w:rsidR="00AE2E82" w:rsidRPr="00631BBD">
        <w:rPr>
          <w:w w:val="105"/>
          <w:szCs w:val="24"/>
        </w:rPr>
        <w:t>was that the Tribunal had b</w:t>
      </w:r>
      <w:r w:rsidR="00BF5075" w:rsidRPr="0039544B">
        <w:rPr>
          <w:w w:val="105"/>
          <w:szCs w:val="24"/>
        </w:rPr>
        <w:t>reached its obligations under s </w:t>
      </w:r>
      <w:r w:rsidR="00AE2E82" w:rsidRPr="00631BBD">
        <w:rPr>
          <w:w w:val="105"/>
          <w:szCs w:val="24"/>
        </w:rPr>
        <w:t xml:space="preserve">424A of the </w:t>
      </w:r>
      <w:r w:rsidR="005F48FB" w:rsidRPr="00631BBD">
        <w:rPr>
          <w:i/>
          <w:w w:val="105"/>
          <w:szCs w:val="24"/>
        </w:rPr>
        <w:t>Migration Act</w:t>
      </w:r>
      <w:r w:rsidR="005F48FB" w:rsidRPr="00631BBD">
        <w:rPr>
          <w:w w:val="105"/>
          <w:szCs w:val="24"/>
        </w:rPr>
        <w:t xml:space="preserve"> </w:t>
      </w:r>
      <w:r w:rsidR="00AE2E82" w:rsidRPr="00631BBD">
        <w:rPr>
          <w:w w:val="105"/>
          <w:szCs w:val="24"/>
        </w:rPr>
        <w:t xml:space="preserve">by not putting to the </w:t>
      </w:r>
      <w:r w:rsidR="005F48FB" w:rsidRPr="00631BBD">
        <w:rPr>
          <w:w w:val="105"/>
          <w:szCs w:val="24"/>
        </w:rPr>
        <w:t>a</w:t>
      </w:r>
      <w:r w:rsidR="00AE2E82" w:rsidRPr="00631BBD">
        <w:rPr>
          <w:w w:val="105"/>
          <w:szCs w:val="24"/>
        </w:rPr>
        <w:t>ppellant</w:t>
      </w:r>
      <w:r w:rsidR="006F4F5C" w:rsidRPr="00631BBD">
        <w:rPr>
          <w:w w:val="105"/>
          <w:szCs w:val="24"/>
        </w:rPr>
        <w:t>,</w:t>
      </w:r>
      <w:r w:rsidR="00AE2E82" w:rsidRPr="00631BBD">
        <w:rPr>
          <w:w w:val="105"/>
          <w:szCs w:val="24"/>
        </w:rPr>
        <w:t xml:space="preserve"> and inviting comment on the fact</w:t>
      </w:r>
      <w:r w:rsidR="006F4F5C" w:rsidRPr="00631BBD">
        <w:rPr>
          <w:w w:val="105"/>
          <w:szCs w:val="24"/>
        </w:rPr>
        <w:t>,</w:t>
      </w:r>
      <w:r w:rsidR="00AE2E82" w:rsidRPr="00631BBD">
        <w:rPr>
          <w:w w:val="105"/>
          <w:szCs w:val="24"/>
        </w:rPr>
        <w:t xml:space="preserve"> that she had made a prospective spouse visa application. </w:t>
      </w:r>
      <w:r w:rsidR="005F48FB" w:rsidRPr="00631BBD">
        <w:rPr>
          <w:w w:val="105"/>
          <w:szCs w:val="24"/>
        </w:rPr>
        <w:t xml:space="preserve"> </w:t>
      </w:r>
      <w:r w:rsidR="00AE2E82" w:rsidRPr="00631BBD">
        <w:rPr>
          <w:w w:val="105"/>
          <w:szCs w:val="24"/>
        </w:rPr>
        <w:t xml:space="preserve">However, as </w:t>
      </w:r>
      <w:r w:rsidR="005F48FB" w:rsidRPr="00631BBD">
        <w:rPr>
          <w:w w:val="105"/>
          <w:szCs w:val="24"/>
        </w:rPr>
        <w:t xml:space="preserve">his Honour explained at some length (at </w:t>
      </w:r>
      <w:r w:rsidR="00AE2E82" w:rsidRPr="00631BBD">
        <w:rPr>
          <w:w w:val="105"/>
          <w:szCs w:val="24"/>
        </w:rPr>
        <w:t>[26]-[35]), th</w:t>
      </w:r>
      <w:r w:rsidR="005F48FB" w:rsidRPr="00631BBD">
        <w:rPr>
          <w:w w:val="105"/>
          <w:szCs w:val="24"/>
        </w:rPr>
        <w:t xml:space="preserve">e </w:t>
      </w:r>
      <w:r w:rsidR="00BF5075" w:rsidRPr="00631BBD">
        <w:rPr>
          <w:w w:val="105"/>
          <w:szCs w:val="24"/>
        </w:rPr>
        <w:t>“</w:t>
      </w:r>
      <w:r w:rsidR="00AE2E82" w:rsidRPr="00631BBD">
        <w:rPr>
          <w:i/>
          <w:w w:val="105"/>
          <w:szCs w:val="24"/>
        </w:rPr>
        <w:t>information</w:t>
      </w:r>
      <w:r w:rsidR="00BF5075" w:rsidRPr="00631BBD">
        <w:rPr>
          <w:w w:val="105"/>
          <w:szCs w:val="24"/>
        </w:rPr>
        <w:t>”</w:t>
      </w:r>
      <w:r w:rsidR="005F48FB" w:rsidRPr="00631BBD">
        <w:rPr>
          <w:w w:val="105"/>
          <w:szCs w:val="24"/>
        </w:rPr>
        <w:t xml:space="preserve"> in question </w:t>
      </w:r>
      <w:r w:rsidR="00AE2E82" w:rsidRPr="00631BBD">
        <w:rPr>
          <w:w w:val="105"/>
          <w:szCs w:val="24"/>
        </w:rPr>
        <w:t xml:space="preserve">was given by the </w:t>
      </w:r>
      <w:r w:rsidR="005F48FB" w:rsidRPr="00631BBD">
        <w:rPr>
          <w:w w:val="105"/>
          <w:szCs w:val="24"/>
        </w:rPr>
        <w:t>a</w:t>
      </w:r>
      <w:r w:rsidR="00AE2E82" w:rsidRPr="00631BBD">
        <w:rPr>
          <w:w w:val="105"/>
          <w:szCs w:val="24"/>
        </w:rPr>
        <w:t xml:space="preserve">ppellant during the process that led to the Tribunal decision for the purposes </w:t>
      </w:r>
      <w:r w:rsidR="00AE2E82" w:rsidRPr="00631BBD">
        <w:rPr>
          <w:w w:val="105"/>
          <w:szCs w:val="24"/>
        </w:rPr>
        <w:lastRenderedPageBreak/>
        <w:t xml:space="preserve">of the review, </w:t>
      </w:r>
      <w:r w:rsidR="007E28CE">
        <w:rPr>
          <w:w w:val="105"/>
          <w:szCs w:val="24"/>
        </w:rPr>
        <w:t>and as such</w:t>
      </w:r>
      <w:r w:rsidR="007E28CE" w:rsidRPr="00631BBD">
        <w:rPr>
          <w:w w:val="105"/>
          <w:szCs w:val="24"/>
        </w:rPr>
        <w:t xml:space="preserve"> </w:t>
      </w:r>
      <w:r w:rsidR="00AE2E82" w:rsidRPr="00631BBD">
        <w:rPr>
          <w:w w:val="105"/>
          <w:szCs w:val="24"/>
        </w:rPr>
        <w:t xml:space="preserve">was exempt </w:t>
      </w:r>
      <w:r w:rsidR="00BF5075" w:rsidRPr="00631BBD">
        <w:rPr>
          <w:szCs w:val="24"/>
        </w:rPr>
        <w:t>pursuant to s </w:t>
      </w:r>
      <w:r w:rsidR="00AE2E82" w:rsidRPr="00631BBD">
        <w:rPr>
          <w:szCs w:val="24"/>
        </w:rPr>
        <w:t>424A(3)(</w:t>
      </w:r>
      <w:proofErr w:type="spellStart"/>
      <w:r w:rsidR="00AE2E82" w:rsidRPr="00631BBD">
        <w:rPr>
          <w:szCs w:val="24"/>
        </w:rPr>
        <w:t>ba</w:t>
      </w:r>
      <w:proofErr w:type="spellEnd"/>
      <w:r w:rsidR="00AE2E82" w:rsidRPr="00631BBD">
        <w:rPr>
          <w:szCs w:val="24"/>
        </w:rPr>
        <w:t>) and (b)</w:t>
      </w:r>
      <w:r w:rsidR="005F48FB" w:rsidRPr="00631BBD">
        <w:rPr>
          <w:szCs w:val="24"/>
        </w:rPr>
        <w:t xml:space="preserve">.  Thus the </w:t>
      </w:r>
      <w:r w:rsidR="00AE2E82" w:rsidRPr="00631BBD">
        <w:rPr>
          <w:szCs w:val="24"/>
        </w:rPr>
        <w:t>s</w:t>
      </w:r>
      <w:r w:rsidR="005F48FB" w:rsidRPr="00631BBD">
        <w:rPr>
          <w:szCs w:val="24"/>
        </w:rPr>
        <w:t> </w:t>
      </w:r>
      <w:proofErr w:type="gramStart"/>
      <w:r w:rsidR="00AE2E82" w:rsidRPr="00631BBD">
        <w:rPr>
          <w:szCs w:val="24"/>
        </w:rPr>
        <w:t>424A(</w:t>
      </w:r>
      <w:proofErr w:type="gramEnd"/>
      <w:r w:rsidR="00AE2E82" w:rsidRPr="00631BBD">
        <w:rPr>
          <w:szCs w:val="24"/>
        </w:rPr>
        <w:t xml:space="preserve">l) obligations </w:t>
      </w:r>
      <w:r w:rsidR="005F48FB" w:rsidRPr="00631BBD">
        <w:rPr>
          <w:szCs w:val="24"/>
        </w:rPr>
        <w:t>were not engaged.</w:t>
      </w:r>
    </w:p>
    <w:p w14:paraId="63BD4613" w14:textId="509E11A8" w:rsidR="005F48FB" w:rsidRPr="0086198C" w:rsidRDefault="005F48FB" w:rsidP="005F48FB">
      <w:pPr>
        <w:pStyle w:val="ParaNumbering"/>
        <w:rPr>
          <w:w w:val="105"/>
          <w:szCs w:val="24"/>
        </w:rPr>
      </w:pPr>
      <w:r w:rsidRPr="0086198C">
        <w:rPr>
          <w:szCs w:val="24"/>
        </w:rPr>
        <w:t xml:space="preserve">The Minister submits that the primary judge was correct to conclude (at [35]) that the </w:t>
      </w:r>
      <w:r w:rsidR="00AE2E82" w:rsidRPr="0086198C">
        <w:rPr>
          <w:w w:val="105"/>
          <w:szCs w:val="24"/>
        </w:rPr>
        <w:t>delay in raisi</w:t>
      </w:r>
      <w:r w:rsidRPr="0086198C">
        <w:rPr>
          <w:w w:val="105"/>
          <w:szCs w:val="24"/>
        </w:rPr>
        <w:t xml:space="preserve">ng the proposed new ground was </w:t>
      </w:r>
      <w:r w:rsidR="00BF5075" w:rsidRPr="0086198C">
        <w:rPr>
          <w:w w:val="105"/>
          <w:szCs w:val="24"/>
        </w:rPr>
        <w:t>“</w:t>
      </w:r>
      <w:r w:rsidR="00AE2E82" w:rsidRPr="0086198C">
        <w:rPr>
          <w:i/>
          <w:w w:val="105"/>
          <w:szCs w:val="24"/>
        </w:rPr>
        <w:t>significant</w:t>
      </w:r>
      <w:r w:rsidR="00BF5075" w:rsidRPr="0086198C">
        <w:rPr>
          <w:w w:val="105"/>
          <w:szCs w:val="24"/>
        </w:rPr>
        <w:t>”</w:t>
      </w:r>
      <w:r w:rsidR="00720828" w:rsidRPr="0086198C">
        <w:rPr>
          <w:w w:val="105"/>
          <w:szCs w:val="24"/>
        </w:rPr>
        <w:t>.</w:t>
      </w:r>
      <w:r w:rsidRPr="0086198C">
        <w:rPr>
          <w:w w:val="105"/>
          <w:szCs w:val="24"/>
        </w:rPr>
        <w:t xml:space="preserve">  </w:t>
      </w:r>
      <w:r w:rsidR="00720828" w:rsidRPr="0086198C">
        <w:rPr>
          <w:w w:val="105"/>
          <w:szCs w:val="24"/>
        </w:rPr>
        <w:t>T</w:t>
      </w:r>
      <w:r w:rsidR="00AE2E82" w:rsidRPr="0086198C">
        <w:rPr>
          <w:w w:val="105"/>
          <w:szCs w:val="24"/>
        </w:rPr>
        <w:t xml:space="preserve">he </w:t>
      </w:r>
      <w:r w:rsidRPr="0086198C">
        <w:rPr>
          <w:w w:val="105"/>
          <w:szCs w:val="24"/>
        </w:rPr>
        <w:t xml:space="preserve">original </w:t>
      </w:r>
      <w:r w:rsidR="00AE2E82" w:rsidRPr="0086198C">
        <w:rPr>
          <w:w w:val="105"/>
          <w:szCs w:val="24"/>
        </w:rPr>
        <w:t xml:space="preserve">application was </w:t>
      </w:r>
      <w:r w:rsidR="00720828" w:rsidRPr="0086198C">
        <w:rPr>
          <w:w w:val="105"/>
          <w:szCs w:val="24"/>
        </w:rPr>
        <w:t xml:space="preserve">filed </w:t>
      </w:r>
      <w:r w:rsidR="00AE2E82" w:rsidRPr="0086198C">
        <w:rPr>
          <w:w w:val="105"/>
          <w:szCs w:val="24"/>
        </w:rPr>
        <w:t>on 23 March 2016, orders were made for the conduct of the hearin</w:t>
      </w:r>
      <w:r w:rsidRPr="0086198C">
        <w:rPr>
          <w:w w:val="105"/>
          <w:szCs w:val="24"/>
        </w:rPr>
        <w:t>g</w:t>
      </w:r>
      <w:r w:rsidR="00720828" w:rsidRPr="0086198C">
        <w:rPr>
          <w:w w:val="105"/>
          <w:szCs w:val="24"/>
        </w:rPr>
        <w:t xml:space="preserve"> on 5 May 2016,</w:t>
      </w:r>
      <w:r w:rsidRPr="0086198C">
        <w:rPr>
          <w:w w:val="105"/>
          <w:szCs w:val="24"/>
        </w:rPr>
        <w:t xml:space="preserve"> </w:t>
      </w:r>
      <w:r w:rsidR="00E864DD" w:rsidRPr="0086198C">
        <w:rPr>
          <w:w w:val="105"/>
          <w:szCs w:val="24"/>
        </w:rPr>
        <w:t xml:space="preserve">and </w:t>
      </w:r>
      <w:r w:rsidR="00720828" w:rsidRPr="0086198C">
        <w:rPr>
          <w:w w:val="105"/>
          <w:szCs w:val="24"/>
        </w:rPr>
        <w:t xml:space="preserve">further orders were made </w:t>
      </w:r>
      <w:r w:rsidR="00AE2E82" w:rsidRPr="0086198C">
        <w:rPr>
          <w:w w:val="105"/>
          <w:szCs w:val="24"/>
        </w:rPr>
        <w:t xml:space="preserve">on 6 October 2016 </w:t>
      </w:r>
      <w:r w:rsidR="00720828" w:rsidRPr="0086198C">
        <w:rPr>
          <w:w w:val="105"/>
          <w:szCs w:val="24"/>
        </w:rPr>
        <w:t xml:space="preserve">for the </w:t>
      </w:r>
      <w:r w:rsidR="00AE2E82" w:rsidRPr="0086198C">
        <w:rPr>
          <w:w w:val="105"/>
          <w:szCs w:val="24"/>
        </w:rPr>
        <w:t xml:space="preserve">matter </w:t>
      </w:r>
      <w:r w:rsidR="00720828" w:rsidRPr="0086198C">
        <w:rPr>
          <w:w w:val="105"/>
          <w:szCs w:val="24"/>
        </w:rPr>
        <w:t xml:space="preserve">to be </w:t>
      </w:r>
      <w:r w:rsidR="00AE2E82" w:rsidRPr="0086198C">
        <w:rPr>
          <w:w w:val="105"/>
          <w:szCs w:val="24"/>
        </w:rPr>
        <w:t>set down for a final hearing on 19 March 2018</w:t>
      </w:r>
      <w:r w:rsidR="00E864DD" w:rsidRPr="0086198C">
        <w:rPr>
          <w:w w:val="105"/>
          <w:szCs w:val="24"/>
        </w:rPr>
        <w:t>.</w:t>
      </w:r>
      <w:r w:rsidR="00AE2E82" w:rsidRPr="0086198C">
        <w:rPr>
          <w:w w:val="105"/>
          <w:szCs w:val="24"/>
        </w:rPr>
        <w:t xml:space="preserve"> </w:t>
      </w:r>
      <w:r w:rsidR="00E864DD" w:rsidRPr="0086198C">
        <w:rPr>
          <w:w w:val="105"/>
          <w:szCs w:val="24"/>
        </w:rPr>
        <w:t>T</w:t>
      </w:r>
      <w:r w:rsidR="00AE2E82" w:rsidRPr="0086198C">
        <w:rPr>
          <w:w w:val="105"/>
          <w:szCs w:val="24"/>
        </w:rPr>
        <w:t xml:space="preserve">he </w:t>
      </w:r>
      <w:r w:rsidRPr="0086198C">
        <w:rPr>
          <w:w w:val="105"/>
          <w:szCs w:val="24"/>
        </w:rPr>
        <w:t>a</w:t>
      </w:r>
      <w:r w:rsidR="00AE2E82" w:rsidRPr="0086198C">
        <w:rPr>
          <w:w w:val="105"/>
          <w:szCs w:val="24"/>
        </w:rPr>
        <w:t xml:space="preserve">ppellant </w:t>
      </w:r>
      <w:r w:rsidRPr="0086198C">
        <w:rPr>
          <w:w w:val="105"/>
          <w:szCs w:val="24"/>
        </w:rPr>
        <w:t>had</w:t>
      </w:r>
      <w:r w:rsidR="00E864DD" w:rsidRPr="0086198C">
        <w:rPr>
          <w:w w:val="105"/>
          <w:szCs w:val="24"/>
        </w:rPr>
        <w:t xml:space="preserve"> therefore</w:t>
      </w:r>
      <w:r w:rsidRPr="0086198C">
        <w:rPr>
          <w:w w:val="105"/>
          <w:szCs w:val="24"/>
        </w:rPr>
        <w:t xml:space="preserve"> been </w:t>
      </w:r>
      <w:r w:rsidR="00AE2E82" w:rsidRPr="0086198C">
        <w:rPr>
          <w:w w:val="105"/>
          <w:szCs w:val="24"/>
        </w:rPr>
        <w:t>on notice of the final hearing for over 17 months</w:t>
      </w:r>
      <w:r w:rsidRPr="0086198C">
        <w:rPr>
          <w:w w:val="105"/>
          <w:szCs w:val="24"/>
        </w:rPr>
        <w:t>.  Moreover, as his Honour observed (at [35]-[36]), the appellant did not provide any evidence to explain the delay.</w:t>
      </w:r>
    </w:p>
    <w:p w14:paraId="6F3639C4" w14:textId="54DAC592" w:rsidR="00AE2E82" w:rsidRPr="0086198C" w:rsidRDefault="005F48FB" w:rsidP="005F48FB">
      <w:pPr>
        <w:pStyle w:val="ParaNumbering"/>
        <w:rPr>
          <w:w w:val="105"/>
          <w:szCs w:val="24"/>
        </w:rPr>
      </w:pPr>
      <w:r w:rsidRPr="0086198C">
        <w:rPr>
          <w:szCs w:val="24"/>
        </w:rPr>
        <w:t>In the text of this ground of appeal, t</w:t>
      </w:r>
      <w:r w:rsidR="00AE2E82" w:rsidRPr="0086198C">
        <w:rPr>
          <w:szCs w:val="24"/>
        </w:rPr>
        <w:t xml:space="preserve">he </w:t>
      </w:r>
      <w:r w:rsidRPr="0086198C">
        <w:rPr>
          <w:szCs w:val="24"/>
        </w:rPr>
        <w:t>a</w:t>
      </w:r>
      <w:r w:rsidR="00AE2E82" w:rsidRPr="0086198C">
        <w:rPr>
          <w:szCs w:val="24"/>
        </w:rPr>
        <w:t>ppellant seeks to explain the significant delay</w:t>
      </w:r>
      <w:r w:rsidRPr="0086198C">
        <w:rPr>
          <w:szCs w:val="24"/>
        </w:rPr>
        <w:t xml:space="preserve"> b</w:t>
      </w:r>
      <w:r w:rsidR="007E28CE">
        <w:rPr>
          <w:szCs w:val="24"/>
        </w:rPr>
        <w:t>y</w:t>
      </w:r>
      <w:r w:rsidRPr="0086198C">
        <w:rPr>
          <w:szCs w:val="24"/>
        </w:rPr>
        <w:t xml:space="preserve"> reference to a mistake on her part, and financial hardship </w:t>
      </w:r>
      <w:r w:rsidR="007E28CE">
        <w:rPr>
          <w:szCs w:val="24"/>
        </w:rPr>
        <w:t>that precluded her from</w:t>
      </w:r>
      <w:r w:rsidRPr="0086198C">
        <w:rPr>
          <w:szCs w:val="24"/>
        </w:rPr>
        <w:t xml:space="preserve"> obtaining legal advice.  </w:t>
      </w:r>
      <w:r w:rsidR="00AE2E82" w:rsidRPr="0086198C">
        <w:rPr>
          <w:szCs w:val="24"/>
        </w:rPr>
        <w:t xml:space="preserve">However, </w:t>
      </w:r>
      <w:r w:rsidR="00E44D1C" w:rsidRPr="0086198C">
        <w:rPr>
          <w:szCs w:val="24"/>
        </w:rPr>
        <w:t xml:space="preserve">it is reasonably clear </w:t>
      </w:r>
      <w:r w:rsidR="00AE2E82" w:rsidRPr="0086198C">
        <w:rPr>
          <w:szCs w:val="24"/>
        </w:rPr>
        <w:t>that</w:t>
      </w:r>
      <w:r w:rsidR="00E864DD" w:rsidRPr="0086198C">
        <w:rPr>
          <w:szCs w:val="24"/>
        </w:rPr>
        <w:t xml:space="preserve"> this</w:t>
      </w:r>
      <w:r w:rsidR="00AE2E82" w:rsidRPr="0086198C">
        <w:rPr>
          <w:szCs w:val="24"/>
        </w:rPr>
        <w:t xml:space="preserve"> explanation was not put to the primary judge, </w:t>
      </w:r>
      <w:r w:rsidR="00E864DD" w:rsidRPr="0086198C">
        <w:rPr>
          <w:szCs w:val="24"/>
        </w:rPr>
        <w:t>and therefore</w:t>
      </w:r>
      <w:r w:rsidR="00AE2E82" w:rsidRPr="0086198C">
        <w:rPr>
          <w:szCs w:val="24"/>
        </w:rPr>
        <w:t xml:space="preserve"> cannot be said to </w:t>
      </w:r>
      <w:r w:rsidR="007E28CE">
        <w:rPr>
          <w:szCs w:val="24"/>
        </w:rPr>
        <w:t xml:space="preserve">have </w:t>
      </w:r>
      <w:r w:rsidR="00AE2E82" w:rsidRPr="0086198C">
        <w:rPr>
          <w:szCs w:val="24"/>
        </w:rPr>
        <w:t>affect</w:t>
      </w:r>
      <w:r w:rsidR="007E28CE">
        <w:rPr>
          <w:szCs w:val="24"/>
        </w:rPr>
        <w:t>ed</w:t>
      </w:r>
      <w:r w:rsidR="00AE2E82" w:rsidRPr="0086198C">
        <w:rPr>
          <w:szCs w:val="24"/>
        </w:rPr>
        <w:t xml:space="preserve"> his consideration. </w:t>
      </w:r>
      <w:r w:rsidR="00E44D1C" w:rsidRPr="0086198C">
        <w:rPr>
          <w:szCs w:val="24"/>
        </w:rPr>
        <w:t xml:space="preserve"> </w:t>
      </w:r>
      <w:r w:rsidRPr="0086198C">
        <w:rPr>
          <w:szCs w:val="24"/>
        </w:rPr>
        <w:t>The Minister submits that even if that had been put</w:t>
      </w:r>
      <w:r w:rsidR="006B688B">
        <w:rPr>
          <w:szCs w:val="24"/>
        </w:rPr>
        <w:t xml:space="preserve"> to the primary judge</w:t>
      </w:r>
      <w:r w:rsidRPr="0086198C">
        <w:rPr>
          <w:szCs w:val="24"/>
        </w:rPr>
        <w:t xml:space="preserve">, </w:t>
      </w:r>
      <w:r w:rsidR="00AE2E82" w:rsidRPr="0086198C">
        <w:rPr>
          <w:szCs w:val="24"/>
        </w:rPr>
        <w:t xml:space="preserve">it would have made no difference, as the decisive factor for </w:t>
      </w:r>
      <w:r w:rsidR="006B688B">
        <w:rPr>
          <w:szCs w:val="24"/>
        </w:rPr>
        <w:t>his Honour</w:t>
      </w:r>
      <w:r w:rsidR="00AE2E82" w:rsidRPr="0086198C">
        <w:rPr>
          <w:szCs w:val="24"/>
        </w:rPr>
        <w:t xml:space="preserve"> in refusing to grant leave to rely on the proposed new ground was </w:t>
      </w:r>
      <w:r w:rsidRPr="0086198C">
        <w:rPr>
          <w:szCs w:val="24"/>
        </w:rPr>
        <w:t>a</w:t>
      </w:r>
      <w:r w:rsidR="00AE2E82" w:rsidRPr="0086198C">
        <w:rPr>
          <w:szCs w:val="24"/>
        </w:rPr>
        <w:t xml:space="preserve"> complete lack of merit.</w:t>
      </w:r>
    </w:p>
    <w:p w14:paraId="0E52FF81" w14:textId="68FC0DEC" w:rsidR="005F48FB" w:rsidRPr="0086198C" w:rsidRDefault="005F48FB" w:rsidP="005F48FB">
      <w:pPr>
        <w:pStyle w:val="ParaNumbering"/>
        <w:rPr>
          <w:w w:val="105"/>
          <w:szCs w:val="24"/>
        </w:rPr>
      </w:pPr>
      <w:r w:rsidRPr="0086198C">
        <w:rPr>
          <w:szCs w:val="24"/>
        </w:rPr>
        <w:t xml:space="preserve">Each of the submissions by the Minister must be accepted.  </w:t>
      </w:r>
      <w:r w:rsidR="00E44D1C" w:rsidRPr="0086198C">
        <w:rPr>
          <w:szCs w:val="24"/>
        </w:rPr>
        <w:t>There was no failure on the part of the primary judge to consider the written submissions prepared by the appellant</w:t>
      </w:r>
      <w:r w:rsidR="00BF5075" w:rsidRPr="0086198C">
        <w:rPr>
          <w:szCs w:val="24"/>
        </w:rPr>
        <w:t>’</w:t>
      </w:r>
      <w:r w:rsidR="00E44D1C" w:rsidRPr="0086198C">
        <w:rPr>
          <w:szCs w:val="24"/>
        </w:rPr>
        <w:t xml:space="preserve">s counsel.  </w:t>
      </w:r>
      <w:r w:rsidRPr="0086198C">
        <w:rPr>
          <w:szCs w:val="24"/>
        </w:rPr>
        <w:t>This ground of appeal must therefore fail.</w:t>
      </w:r>
    </w:p>
    <w:p w14:paraId="2120AF8A" w14:textId="77777777" w:rsidR="0041079B" w:rsidRPr="0086198C" w:rsidRDefault="0041079B" w:rsidP="0041079B">
      <w:pPr>
        <w:pStyle w:val="Heading2"/>
      </w:pPr>
      <w:r w:rsidRPr="0086198C">
        <w:t xml:space="preserve">Conclusion </w:t>
      </w:r>
    </w:p>
    <w:p w14:paraId="7DFAF308" w14:textId="60186678" w:rsidR="00B35CDC" w:rsidRPr="0086198C" w:rsidRDefault="0041079B" w:rsidP="00931239">
      <w:pPr>
        <w:pStyle w:val="ParaNumbering"/>
        <w:rPr>
          <w:szCs w:val="24"/>
        </w:rPr>
      </w:pPr>
      <w:r w:rsidRPr="0086198C">
        <w:rPr>
          <w:iCs/>
          <w:szCs w:val="24"/>
        </w:rPr>
        <w:t>T</w:t>
      </w:r>
      <w:r w:rsidR="00ED669C" w:rsidRPr="0086198C">
        <w:rPr>
          <w:iCs/>
          <w:szCs w:val="24"/>
        </w:rPr>
        <w:t>he appeal must be dismissed.  There is no reason why costs should not follow the event.  The appellant must pay the Minister</w:t>
      </w:r>
      <w:r w:rsidR="00BF5075" w:rsidRPr="0086198C">
        <w:rPr>
          <w:iCs/>
          <w:szCs w:val="24"/>
        </w:rPr>
        <w:t>’</w:t>
      </w:r>
      <w:r w:rsidR="00ED669C" w:rsidRPr="0086198C">
        <w:rPr>
          <w:iCs/>
          <w:szCs w:val="24"/>
        </w:rPr>
        <w:t>s costs</w:t>
      </w:r>
      <w:r w:rsidRPr="0086198C">
        <w:rPr>
          <w:iCs/>
          <w:szCs w:val="24"/>
        </w:rPr>
        <w:t xml:space="preserve">.  </w:t>
      </w:r>
    </w:p>
    <w:p w14:paraId="1F4A7910" w14:textId="11FA8A82" w:rsidR="00ED669C" w:rsidRPr="00631BBD" w:rsidRDefault="0041079B" w:rsidP="00931239">
      <w:pPr>
        <w:pStyle w:val="ParaNumbering"/>
        <w:rPr>
          <w:szCs w:val="24"/>
        </w:rPr>
      </w:pPr>
      <w:r w:rsidRPr="0086198C">
        <w:rPr>
          <w:iCs/>
          <w:szCs w:val="24"/>
        </w:rPr>
        <w:t>The Minister sought a fixed sum costs order, relying upon an affidavit of</w:t>
      </w:r>
      <w:r w:rsidR="00ED669C" w:rsidRPr="0086198C">
        <w:rPr>
          <w:iCs/>
          <w:szCs w:val="24"/>
        </w:rPr>
        <w:t xml:space="preserve"> </w:t>
      </w:r>
      <w:r w:rsidR="00E44D1C" w:rsidRPr="0086198C">
        <w:rPr>
          <w:iCs/>
          <w:szCs w:val="24"/>
        </w:rPr>
        <w:t>an employed solicitor</w:t>
      </w:r>
      <w:r w:rsidR="00E864DD" w:rsidRPr="0086198C">
        <w:rPr>
          <w:iCs/>
          <w:szCs w:val="24"/>
        </w:rPr>
        <w:t xml:space="preserve"> of his legal representative</w:t>
      </w:r>
      <w:r w:rsidR="00E44D1C" w:rsidRPr="0086198C">
        <w:rPr>
          <w:iCs/>
          <w:szCs w:val="24"/>
        </w:rPr>
        <w:t>.  The sum sought was in a recoverable range of 65% to 75% of the costs incurred, being between about $3,326 and $3,</w:t>
      </w:r>
      <w:r w:rsidR="00E864DD" w:rsidRPr="0086198C">
        <w:rPr>
          <w:iCs/>
          <w:szCs w:val="24"/>
        </w:rPr>
        <w:t>838</w:t>
      </w:r>
      <w:r w:rsidR="00E44D1C" w:rsidRPr="0086198C">
        <w:rPr>
          <w:iCs/>
          <w:szCs w:val="24"/>
        </w:rPr>
        <w:t>, with the midpoint being $3,580.  I am satisfied that this is</w:t>
      </w:r>
      <w:r w:rsidR="00E864DD" w:rsidRPr="0086198C">
        <w:rPr>
          <w:iCs/>
          <w:szCs w:val="24"/>
        </w:rPr>
        <w:t xml:space="preserve"> a</w:t>
      </w:r>
      <w:r w:rsidR="00E44D1C" w:rsidRPr="0086198C">
        <w:rPr>
          <w:iCs/>
          <w:szCs w:val="24"/>
        </w:rPr>
        <w:t xml:space="preserve"> reasonable approach to take</w:t>
      </w:r>
      <w:r w:rsidR="00B35CDC" w:rsidRPr="0086198C">
        <w:rPr>
          <w:iCs/>
          <w:szCs w:val="24"/>
        </w:rPr>
        <w:t xml:space="preserve">, that the costs incurred are reasonable, and that the range of costs sought and the midpoint referred to is appropriate.  Accordingly, </w:t>
      </w:r>
      <w:r w:rsidR="00E44D1C" w:rsidRPr="0086198C">
        <w:rPr>
          <w:iCs/>
          <w:szCs w:val="24"/>
        </w:rPr>
        <w:t>the appellant should be ordered to pay the Minister</w:t>
      </w:r>
      <w:r w:rsidR="00BF5075" w:rsidRPr="0086198C">
        <w:rPr>
          <w:iCs/>
          <w:szCs w:val="24"/>
        </w:rPr>
        <w:t>’</w:t>
      </w:r>
      <w:r w:rsidR="00E44D1C" w:rsidRPr="0086198C">
        <w:rPr>
          <w:iCs/>
          <w:szCs w:val="24"/>
        </w:rPr>
        <w:t>s costs in the rounded down sum of $3,500.</w:t>
      </w:r>
    </w:p>
    <w:p w14:paraId="683BC05C" w14:textId="7730BD69" w:rsidR="00631BBD" w:rsidRDefault="00631BBD" w:rsidP="00631BBD">
      <w:pPr>
        <w:pStyle w:val="NoNum"/>
      </w:pPr>
    </w:p>
    <w:p w14:paraId="588D04A6" w14:textId="77777777" w:rsidR="00631BBD" w:rsidRDefault="00631BBD" w:rsidP="00931239">
      <w:pPr>
        <w:pStyle w:val="BodyText"/>
      </w:pPr>
      <w:bookmarkStart w:id="22" w:name="Certification"/>
    </w:p>
    <w:tbl>
      <w:tblPr>
        <w:tblW w:w="0" w:type="auto"/>
        <w:tblLook w:val="04A0" w:firstRow="1" w:lastRow="0" w:firstColumn="1" w:lastColumn="0" w:noHBand="0" w:noVBand="1"/>
      </w:tblPr>
      <w:tblGrid>
        <w:gridCol w:w="3794"/>
      </w:tblGrid>
      <w:tr w:rsidR="00631BBD" w:rsidRPr="00631BBD" w14:paraId="31D25ECF" w14:textId="77777777">
        <w:tc>
          <w:tcPr>
            <w:tcW w:w="3794" w:type="dxa"/>
            <w:shd w:val="clear" w:color="auto" w:fill="auto"/>
          </w:tcPr>
          <w:p w14:paraId="34F839E9" w14:textId="063DBC23" w:rsidR="00631BBD" w:rsidRPr="00631BBD" w:rsidRDefault="00631BBD" w:rsidP="00631BBD">
            <w:r w:rsidRPr="00631BBD">
              <w:lastRenderedPageBreak/>
              <w:t xml:space="preserve">I certify that the preceding </w:t>
            </w:r>
            <w:bookmarkStart w:id="23" w:name="NumberWord"/>
            <w:r>
              <w:t>twenty-nine</w:t>
            </w:r>
            <w:bookmarkEnd w:id="23"/>
            <w:r w:rsidRPr="00631BBD">
              <w:t xml:space="preserve"> (</w:t>
            </w:r>
            <w:bookmarkStart w:id="24" w:name="NumberNumeral"/>
            <w:r>
              <w:t>29</w:t>
            </w:r>
            <w:bookmarkEnd w:id="24"/>
            <w:r w:rsidRPr="00631BBD">
              <w:t xml:space="preserve">) numbered </w:t>
            </w:r>
            <w:bookmarkStart w:id="25" w:name="CertPara"/>
            <w:r>
              <w:t>paragraphs are</w:t>
            </w:r>
            <w:bookmarkEnd w:id="25"/>
            <w:r w:rsidRPr="00631BBD">
              <w:t xml:space="preserve"> a true copy of the Reasons for Judgment herein of the Honourable </w:t>
            </w:r>
            <w:bookmarkStart w:id="26" w:name="Justice"/>
            <w:r>
              <w:t>Justice Bromwich</w:t>
            </w:r>
            <w:bookmarkEnd w:id="26"/>
            <w:r w:rsidRPr="00631BBD">
              <w:t>.</w:t>
            </w:r>
          </w:p>
        </w:tc>
      </w:tr>
    </w:tbl>
    <w:p w14:paraId="6E8C09C2" w14:textId="77777777" w:rsidR="00631BBD" w:rsidRDefault="00631BBD" w:rsidP="00931239">
      <w:pPr>
        <w:pStyle w:val="BodyText"/>
      </w:pPr>
    </w:p>
    <w:p w14:paraId="0D5F3A29" w14:textId="77777777" w:rsidR="00631BBD" w:rsidRDefault="00631BBD" w:rsidP="00931239">
      <w:pPr>
        <w:pStyle w:val="BodyText"/>
      </w:pPr>
    </w:p>
    <w:p w14:paraId="1946F2EA" w14:textId="77777777" w:rsidR="00631BBD" w:rsidRDefault="00631BBD" w:rsidP="00931239">
      <w:pPr>
        <w:pStyle w:val="BodyText"/>
      </w:pPr>
    </w:p>
    <w:p w14:paraId="51E1C171" w14:textId="6A01173F" w:rsidR="00631BBD" w:rsidRDefault="00631BBD" w:rsidP="00931239">
      <w:pPr>
        <w:pStyle w:val="BodyText"/>
      </w:pPr>
      <w:r>
        <w:t>Associate:</w:t>
      </w:r>
      <w:r w:rsidR="00FE56C4">
        <w:t xml:space="preserve"> </w:t>
      </w:r>
      <w:bookmarkStart w:id="27" w:name="_GoBack"/>
      <w:bookmarkEnd w:id="27"/>
    </w:p>
    <w:p w14:paraId="5CC6DBFF" w14:textId="77777777" w:rsidR="00631BBD" w:rsidRDefault="00631BBD" w:rsidP="00931239">
      <w:pPr>
        <w:pStyle w:val="BodyText"/>
      </w:pPr>
    </w:p>
    <w:p w14:paraId="53F2BE92" w14:textId="08148FB6" w:rsidR="00631BBD" w:rsidRDefault="00631BBD" w:rsidP="00931239">
      <w:pPr>
        <w:pStyle w:val="BodyText"/>
        <w:tabs>
          <w:tab w:val="left" w:pos="1134"/>
        </w:tabs>
      </w:pPr>
      <w:r>
        <w:t>Dated:</w:t>
      </w:r>
      <w:r>
        <w:tab/>
      </w:r>
      <w:bookmarkStart w:id="28" w:name="CertifyDated"/>
      <w:r>
        <w:t>30 November 2018</w:t>
      </w:r>
      <w:bookmarkEnd w:id="28"/>
    </w:p>
    <w:p w14:paraId="2285C753" w14:textId="77777777" w:rsidR="00631BBD" w:rsidRDefault="00631BBD" w:rsidP="00931239">
      <w:pPr>
        <w:pStyle w:val="BodyText"/>
      </w:pPr>
    </w:p>
    <w:bookmarkEnd w:id="22"/>
    <w:p w14:paraId="23DF680C" w14:textId="77777777" w:rsidR="00631BBD" w:rsidRPr="0086198C" w:rsidRDefault="00631BBD" w:rsidP="00631BBD">
      <w:pPr>
        <w:pStyle w:val="BodyText"/>
      </w:pPr>
    </w:p>
    <w:sectPr w:rsidR="00631BBD" w:rsidRPr="0086198C">
      <w:headerReference w:type="even" r:id="rId16"/>
      <w:headerReference w:type="default" r:id="rId17"/>
      <w:footerReference w:type="default" r:id="rId18"/>
      <w:headerReference w:type="first" r:id="rId19"/>
      <w:footerReference w:type="first" r:id="rId2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28F57" w14:textId="77777777" w:rsidR="00931239" w:rsidRDefault="00931239">
      <w:pPr>
        <w:spacing w:line="20" w:lineRule="exact"/>
      </w:pPr>
    </w:p>
    <w:p w14:paraId="6B21ACC8" w14:textId="77777777" w:rsidR="00931239" w:rsidRDefault="00931239"/>
    <w:p w14:paraId="05EE6CFF" w14:textId="77777777" w:rsidR="00931239" w:rsidRDefault="00931239"/>
  </w:endnote>
  <w:endnote w:type="continuationSeparator" w:id="0">
    <w:p w14:paraId="4B9D0AD4" w14:textId="77777777" w:rsidR="00931239" w:rsidRDefault="00931239">
      <w:r>
        <w:t xml:space="preserve"> </w:t>
      </w:r>
    </w:p>
    <w:p w14:paraId="62B55263" w14:textId="77777777" w:rsidR="00931239" w:rsidRDefault="00931239"/>
    <w:p w14:paraId="612684F7" w14:textId="77777777" w:rsidR="00931239" w:rsidRDefault="00931239"/>
  </w:endnote>
  <w:endnote w:type="continuationNotice" w:id="1">
    <w:p w14:paraId="1AA4E754" w14:textId="77777777" w:rsidR="00931239" w:rsidRDefault="00931239">
      <w:r>
        <w:t xml:space="preserve"> </w:t>
      </w:r>
    </w:p>
    <w:p w14:paraId="434B3AD6" w14:textId="77777777" w:rsidR="00931239" w:rsidRDefault="00931239"/>
    <w:p w14:paraId="381CFBDC" w14:textId="77777777" w:rsidR="00931239" w:rsidRDefault="00931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7189F" w14:textId="77777777" w:rsidR="00E10709" w:rsidRDefault="00E10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E60B3" w14:textId="77777777" w:rsidR="00E10709" w:rsidRDefault="00E10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62460" w14:textId="45CE59E5" w:rsidR="00931239" w:rsidRDefault="00931239">
    <w:pPr>
      <w:pStyle w:val="Footer"/>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99706" w14:textId="5798B3EA" w:rsidR="00931239" w:rsidRPr="00624520" w:rsidRDefault="00931239" w:rsidP="00624520">
    <w:pPr>
      <w:pStyle w:val="Footer"/>
      <w:jc w:val="center"/>
      <w:rPr>
        <w:sz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1EF63" w14:textId="4723FF20" w:rsidR="00931239" w:rsidRDefault="0093123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3A4D9" w14:textId="77777777" w:rsidR="00931239" w:rsidRDefault="00931239"/>
    <w:p w14:paraId="3D97C484" w14:textId="77777777" w:rsidR="00931239" w:rsidRDefault="00931239"/>
    <w:p w14:paraId="025AD1D3" w14:textId="77777777" w:rsidR="00931239" w:rsidRDefault="00931239"/>
  </w:footnote>
  <w:footnote w:type="continuationSeparator" w:id="0">
    <w:p w14:paraId="63DE5C0E" w14:textId="77777777" w:rsidR="00931239" w:rsidRDefault="00931239">
      <w:r>
        <w:continuationSeparator/>
      </w:r>
    </w:p>
    <w:p w14:paraId="647E7CE5" w14:textId="77777777" w:rsidR="00931239" w:rsidRDefault="00931239"/>
    <w:p w14:paraId="638A480A" w14:textId="77777777" w:rsidR="00931239" w:rsidRDefault="009312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683A3" w14:textId="77777777" w:rsidR="00E10709" w:rsidRDefault="00E10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FADD7" w14:textId="77777777" w:rsidR="00E10709" w:rsidRDefault="00E10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52ECB" w14:textId="77777777" w:rsidR="00E10709" w:rsidRDefault="00E107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2EEED" w14:textId="77777777" w:rsidR="00931239" w:rsidRDefault="00931239">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30223" w14:textId="77777777" w:rsidR="00931239" w:rsidRDefault="00931239">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12927" w14:textId="77777777" w:rsidR="00931239" w:rsidRDefault="00931239"/>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B7CF6" w14:textId="3C6A8E03" w:rsidR="00931239" w:rsidRDefault="00931239">
    <w:pPr>
      <w:tabs>
        <w:tab w:val="center" w:pos="4512"/>
      </w:tabs>
      <w:suppressAutoHyphens/>
    </w:pPr>
    <w:r>
      <w:tab/>
      <w:t xml:space="preserve">- </w:t>
    </w:r>
    <w:r>
      <w:fldChar w:fldCharType="begin"/>
    </w:r>
    <w:r>
      <w:instrText>page \* arabic</w:instrText>
    </w:r>
    <w:r>
      <w:fldChar w:fldCharType="separate"/>
    </w:r>
    <w:r w:rsidR="00D31B48">
      <w:rPr>
        <w:noProof/>
      </w:rPr>
      <w:t>9</w:t>
    </w:r>
    <w:r>
      <w:fldChar w:fldCharType="end"/>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2E83" w14:textId="77777777" w:rsidR="00931239" w:rsidRDefault="00931239">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7"/>
      <w:numFmt w:val="decimal"/>
      <w:lvlText w:val="[%1]"/>
      <w:lvlJc w:val="left"/>
      <w:pPr>
        <w:ind w:left="860" w:hanging="433"/>
      </w:pPr>
      <w:rPr>
        <w:rFonts w:ascii="Times New Roman" w:hAnsi="Times New Roman" w:cs="Times New Roman"/>
        <w:b/>
        <w:bCs/>
        <w:color w:val="231F20"/>
        <w:w w:val="99"/>
        <w:sz w:val="20"/>
        <w:szCs w:val="20"/>
      </w:rPr>
    </w:lvl>
    <w:lvl w:ilvl="1">
      <w:numFmt w:val="bullet"/>
      <w:lvlText w:val="•"/>
      <w:lvlJc w:val="left"/>
      <w:pPr>
        <w:ind w:left="1577" w:hanging="433"/>
      </w:pPr>
    </w:lvl>
    <w:lvl w:ilvl="2">
      <w:numFmt w:val="bullet"/>
      <w:lvlText w:val="•"/>
      <w:lvlJc w:val="left"/>
      <w:pPr>
        <w:ind w:left="2294" w:hanging="433"/>
      </w:pPr>
    </w:lvl>
    <w:lvl w:ilvl="3">
      <w:numFmt w:val="bullet"/>
      <w:lvlText w:val="•"/>
      <w:lvlJc w:val="left"/>
      <w:pPr>
        <w:ind w:left="3012" w:hanging="433"/>
      </w:pPr>
    </w:lvl>
    <w:lvl w:ilvl="4">
      <w:numFmt w:val="bullet"/>
      <w:lvlText w:val="•"/>
      <w:lvlJc w:val="left"/>
      <w:pPr>
        <w:ind w:left="3729" w:hanging="433"/>
      </w:pPr>
    </w:lvl>
    <w:lvl w:ilvl="5">
      <w:numFmt w:val="bullet"/>
      <w:lvlText w:val="•"/>
      <w:lvlJc w:val="left"/>
      <w:pPr>
        <w:ind w:left="4447" w:hanging="433"/>
      </w:pPr>
    </w:lvl>
    <w:lvl w:ilvl="6">
      <w:numFmt w:val="bullet"/>
      <w:lvlText w:val="•"/>
      <w:lvlJc w:val="left"/>
      <w:pPr>
        <w:ind w:left="5164" w:hanging="433"/>
      </w:pPr>
    </w:lvl>
    <w:lvl w:ilvl="7">
      <w:numFmt w:val="bullet"/>
      <w:lvlText w:val="•"/>
      <w:lvlJc w:val="left"/>
      <w:pPr>
        <w:ind w:left="5882" w:hanging="433"/>
      </w:pPr>
    </w:lvl>
    <w:lvl w:ilvl="8">
      <w:numFmt w:val="bullet"/>
      <w:lvlText w:val="•"/>
      <w:lvlJc w:val="left"/>
      <w:pPr>
        <w:ind w:left="6599" w:hanging="433"/>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6748BA2A"/>
    <w:lvl w:ilvl="0">
      <w:start w:val="1"/>
      <w:numFmt w:val="decimal"/>
      <w:lvlRestart w:val="0"/>
      <w:pStyle w:val="ParaNumbering"/>
      <w:lvlText w:val="%1"/>
      <w:lvlJc w:val="left"/>
      <w:pPr>
        <w:tabs>
          <w:tab w:val="num" w:pos="720"/>
        </w:tabs>
        <w:ind w:left="0" w:hanging="720"/>
      </w:pPr>
      <w:rPr>
        <w:rFonts w:hint="default"/>
        <w:i w:val="0"/>
        <w:sz w:val="20"/>
      </w:rPr>
    </w:lvl>
  </w:abstractNum>
  <w:abstractNum w:abstractNumId="15"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15:restartNumberingAfterBreak="0">
    <w:nsid w:val="494817A7"/>
    <w:multiLevelType w:val="multilevel"/>
    <w:tmpl w:val="0F0EC90E"/>
    <w:numStyleLink w:val="FCListNo"/>
  </w:abstractNum>
  <w:abstractNum w:abstractNumId="1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A260354"/>
    <w:multiLevelType w:val="hybridMultilevel"/>
    <w:tmpl w:val="9BC0A734"/>
    <w:lvl w:ilvl="0" w:tplc="A49A16D2">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3"/>
  </w:num>
  <w:num w:numId="17">
    <w:abstractNumId w:val="13"/>
  </w:num>
  <w:num w:numId="18">
    <w:abstractNumId w:val="22"/>
  </w:num>
  <w:num w:numId="19">
    <w:abstractNumId w:val="11"/>
  </w:num>
  <w:num w:numId="20">
    <w:abstractNumId w:val="16"/>
  </w:num>
  <w:num w:numId="21">
    <w:abstractNumId w:val="17"/>
  </w:num>
  <w:num w:numId="22">
    <w:abstractNumId w:val="15"/>
  </w:num>
  <w:num w:numId="23">
    <w:abstractNumId w:val="15"/>
  </w:num>
  <w:num w:numId="24">
    <w:abstractNumId w:val="21"/>
  </w:num>
  <w:num w:numId="25">
    <w:abstractNumId w:val="14"/>
  </w:num>
  <w:num w:numId="26">
    <w:abstractNumId w:val="14"/>
  </w:num>
  <w:num w:numId="27">
    <w:abstractNumId w:val="14"/>
  </w:num>
  <w:num w:numId="28">
    <w:abstractNumId w:val="10"/>
  </w:num>
  <w:num w:numId="2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DTS16"/>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1280/2018"/>
    <w:docVar w:name="Initiators" w:val="(and another named in the Schedule)"/>
    <w:docVar w:name="Judgdate" w:val="30 November 2018"/>
    <w:docVar w:name="Judge" w:val="Bromwich"/>
    <w:docVar w:name="Justices" w:val="Justice"/>
    <w:docVar w:name="lstEntryList" w:val="-1"/>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B35790"/>
    <w:rsid w:val="0001469E"/>
    <w:rsid w:val="00015993"/>
    <w:rsid w:val="00022289"/>
    <w:rsid w:val="00032F9F"/>
    <w:rsid w:val="00041C07"/>
    <w:rsid w:val="00045BB7"/>
    <w:rsid w:val="00055719"/>
    <w:rsid w:val="0005641B"/>
    <w:rsid w:val="00070904"/>
    <w:rsid w:val="00081497"/>
    <w:rsid w:val="000A2E76"/>
    <w:rsid w:val="000A4807"/>
    <w:rsid w:val="000A4BE4"/>
    <w:rsid w:val="000C023E"/>
    <w:rsid w:val="000C5195"/>
    <w:rsid w:val="000C62EF"/>
    <w:rsid w:val="000D2137"/>
    <w:rsid w:val="000D3FD2"/>
    <w:rsid w:val="000E1544"/>
    <w:rsid w:val="000E3FC8"/>
    <w:rsid w:val="000E7BAE"/>
    <w:rsid w:val="000F133D"/>
    <w:rsid w:val="000F37A2"/>
    <w:rsid w:val="000F69CC"/>
    <w:rsid w:val="001050DB"/>
    <w:rsid w:val="0010536B"/>
    <w:rsid w:val="0011145C"/>
    <w:rsid w:val="001128BD"/>
    <w:rsid w:val="0011419D"/>
    <w:rsid w:val="00126B43"/>
    <w:rsid w:val="00132054"/>
    <w:rsid w:val="00137DF8"/>
    <w:rsid w:val="001446C1"/>
    <w:rsid w:val="001572C6"/>
    <w:rsid w:val="001727A4"/>
    <w:rsid w:val="0017376C"/>
    <w:rsid w:val="001738AB"/>
    <w:rsid w:val="001765E0"/>
    <w:rsid w:val="00177759"/>
    <w:rsid w:val="00185E6B"/>
    <w:rsid w:val="00187BBC"/>
    <w:rsid w:val="001932F3"/>
    <w:rsid w:val="001A4309"/>
    <w:rsid w:val="001B1053"/>
    <w:rsid w:val="001B14AC"/>
    <w:rsid w:val="001B7940"/>
    <w:rsid w:val="001C37CA"/>
    <w:rsid w:val="001C6A92"/>
    <w:rsid w:val="001C71AC"/>
    <w:rsid w:val="001D4303"/>
    <w:rsid w:val="001D6746"/>
    <w:rsid w:val="001E3B49"/>
    <w:rsid w:val="001E7388"/>
    <w:rsid w:val="001F13DD"/>
    <w:rsid w:val="001F2DBC"/>
    <w:rsid w:val="001F4CC6"/>
    <w:rsid w:val="001F73E8"/>
    <w:rsid w:val="0020262C"/>
    <w:rsid w:val="00224537"/>
    <w:rsid w:val="00235956"/>
    <w:rsid w:val="00247C9A"/>
    <w:rsid w:val="0025160C"/>
    <w:rsid w:val="002535D0"/>
    <w:rsid w:val="002539B3"/>
    <w:rsid w:val="00257C3E"/>
    <w:rsid w:val="00257DCE"/>
    <w:rsid w:val="002602C2"/>
    <w:rsid w:val="002666C9"/>
    <w:rsid w:val="00270136"/>
    <w:rsid w:val="00274F5B"/>
    <w:rsid w:val="00280836"/>
    <w:rsid w:val="00282E1A"/>
    <w:rsid w:val="00285E05"/>
    <w:rsid w:val="0029113B"/>
    <w:rsid w:val="002934C0"/>
    <w:rsid w:val="002A1B50"/>
    <w:rsid w:val="002A453B"/>
    <w:rsid w:val="002B0E91"/>
    <w:rsid w:val="002B6779"/>
    <w:rsid w:val="002B71C0"/>
    <w:rsid w:val="002B7A34"/>
    <w:rsid w:val="002C31AD"/>
    <w:rsid w:val="002C7385"/>
    <w:rsid w:val="002D2DBB"/>
    <w:rsid w:val="002D4B3B"/>
    <w:rsid w:val="002D54A6"/>
    <w:rsid w:val="002E6A7A"/>
    <w:rsid w:val="002F1E49"/>
    <w:rsid w:val="002F4A72"/>
    <w:rsid w:val="002F4E9C"/>
    <w:rsid w:val="0031256C"/>
    <w:rsid w:val="00314D6C"/>
    <w:rsid w:val="00316D2A"/>
    <w:rsid w:val="00322A7C"/>
    <w:rsid w:val="00326AAE"/>
    <w:rsid w:val="003402D3"/>
    <w:rsid w:val="00343ABC"/>
    <w:rsid w:val="003463FE"/>
    <w:rsid w:val="00347147"/>
    <w:rsid w:val="003554B3"/>
    <w:rsid w:val="00356632"/>
    <w:rsid w:val="003845A9"/>
    <w:rsid w:val="00390883"/>
    <w:rsid w:val="003922F8"/>
    <w:rsid w:val="0039544B"/>
    <w:rsid w:val="00395B24"/>
    <w:rsid w:val="003A2D38"/>
    <w:rsid w:val="003A7ECC"/>
    <w:rsid w:val="003B2C72"/>
    <w:rsid w:val="003C1333"/>
    <w:rsid w:val="003C20FF"/>
    <w:rsid w:val="003D2650"/>
    <w:rsid w:val="003D560C"/>
    <w:rsid w:val="003E0B6C"/>
    <w:rsid w:val="003E5874"/>
    <w:rsid w:val="003F193E"/>
    <w:rsid w:val="003F34F1"/>
    <w:rsid w:val="0041079B"/>
    <w:rsid w:val="00411AE8"/>
    <w:rsid w:val="00413B74"/>
    <w:rsid w:val="00414267"/>
    <w:rsid w:val="00416C6A"/>
    <w:rsid w:val="00435C5F"/>
    <w:rsid w:val="00441E98"/>
    <w:rsid w:val="0044653A"/>
    <w:rsid w:val="00446B7A"/>
    <w:rsid w:val="004532F7"/>
    <w:rsid w:val="00470E8E"/>
    <w:rsid w:val="00472027"/>
    <w:rsid w:val="004804CF"/>
    <w:rsid w:val="00483B13"/>
    <w:rsid w:val="00484962"/>
    <w:rsid w:val="00484F6D"/>
    <w:rsid w:val="0049338A"/>
    <w:rsid w:val="0049417F"/>
    <w:rsid w:val="004A58AC"/>
    <w:rsid w:val="004B3EFA"/>
    <w:rsid w:val="004B66FA"/>
    <w:rsid w:val="004C2A87"/>
    <w:rsid w:val="004C4D7B"/>
    <w:rsid w:val="004C4ED3"/>
    <w:rsid w:val="004D2EA5"/>
    <w:rsid w:val="004D32A6"/>
    <w:rsid w:val="004D53E5"/>
    <w:rsid w:val="004E66AE"/>
    <w:rsid w:val="00501A12"/>
    <w:rsid w:val="0051346D"/>
    <w:rsid w:val="00513EAE"/>
    <w:rsid w:val="00516806"/>
    <w:rsid w:val="00525A49"/>
    <w:rsid w:val="00535613"/>
    <w:rsid w:val="005359EB"/>
    <w:rsid w:val="0054254A"/>
    <w:rsid w:val="005466B5"/>
    <w:rsid w:val="00554314"/>
    <w:rsid w:val="005629B3"/>
    <w:rsid w:val="00563B3E"/>
    <w:rsid w:val="00573AC4"/>
    <w:rsid w:val="005801FC"/>
    <w:rsid w:val="00595016"/>
    <w:rsid w:val="00597AAE"/>
    <w:rsid w:val="005A1FC4"/>
    <w:rsid w:val="005A222C"/>
    <w:rsid w:val="005A4DF8"/>
    <w:rsid w:val="005B1426"/>
    <w:rsid w:val="005C0A8E"/>
    <w:rsid w:val="005C1767"/>
    <w:rsid w:val="005C42EF"/>
    <w:rsid w:val="005E02F5"/>
    <w:rsid w:val="005E0510"/>
    <w:rsid w:val="005E176E"/>
    <w:rsid w:val="005E218E"/>
    <w:rsid w:val="005E35A0"/>
    <w:rsid w:val="005F0D1B"/>
    <w:rsid w:val="005F1865"/>
    <w:rsid w:val="005F3D69"/>
    <w:rsid w:val="005F48FB"/>
    <w:rsid w:val="006007BD"/>
    <w:rsid w:val="006013C8"/>
    <w:rsid w:val="0060270D"/>
    <w:rsid w:val="00604611"/>
    <w:rsid w:val="00611586"/>
    <w:rsid w:val="00621887"/>
    <w:rsid w:val="00624520"/>
    <w:rsid w:val="00631771"/>
    <w:rsid w:val="00631BBD"/>
    <w:rsid w:val="00632300"/>
    <w:rsid w:val="00632BB7"/>
    <w:rsid w:val="00635B36"/>
    <w:rsid w:val="00636871"/>
    <w:rsid w:val="00640A72"/>
    <w:rsid w:val="00640F4E"/>
    <w:rsid w:val="00643DE0"/>
    <w:rsid w:val="00644E85"/>
    <w:rsid w:val="0066063F"/>
    <w:rsid w:val="00662BB0"/>
    <w:rsid w:val="00663878"/>
    <w:rsid w:val="00667773"/>
    <w:rsid w:val="00670743"/>
    <w:rsid w:val="00670765"/>
    <w:rsid w:val="00690EE2"/>
    <w:rsid w:val="006A0E20"/>
    <w:rsid w:val="006A5695"/>
    <w:rsid w:val="006B3904"/>
    <w:rsid w:val="006B5B7D"/>
    <w:rsid w:val="006B688B"/>
    <w:rsid w:val="006C05C9"/>
    <w:rsid w:val="006D0ECF"/>
    <w:rsid w:val="006D4C92"/>
    <w:rsid w:val="006D4EB6"/>
    <w:rsid w:val="006E35BF"/>
    <w:rsid w:val="006E5DA5"/>
    <w:rsid w:val="006E6FAA"/>
    <w:rsid w:val="006E7850"/>
    <w:rsid w:val="006F0140"/>
    <w:rsid w:val="006F337D"/>
    <w:rsid w:val="006F4F5C"/>
    <w:rsid w:val="007028D9"/>
    <w:rsid w:val="00707218"/>
    <w:rsid w:val="00712B1D"/>
    <w:rsid w:val="007156D3"/>
    <w:rsid w:val="00720828"/>
    <w:rsid w:val="007325D9"/>
    <w:rsid w:val="007360CA"/>
    <w:rsid w:val="00746557"/>
    <w:rsid w:val="00746C1F"/>
    <w:rsid w:val="00760EC0"/>
    <w:rsid w:val="0078003A"/>
    <w:rsid w:val="00780771"/>
    <w:rsid w:val="007929CF"/>
    <w:rsid w:val="007A4DE2"/>
    <w:rsid w:val="007A6F28"/>
    <w:rsid w:val="007B03C6"/>
    <w:rsid w:val="007B0DB1"/>
    <w:rsid w:val="007B4ECE"/>
    <w:rsid w:val="007C3BF6"/>
    <w:rsid w:val="007D0FD2"/>
    <w:rsid w:val="007D2EF8"/>
    <w:rsid w:val="007D561F"/>
    <w:rsid w:val="007D7FD2"/>
    <w:rsid w:val="007E13D9"/>
    <w:rsid w:val="007E28CE"/>
    <w:rsid w:val="007E41BE"/>
    <w:rsid w:val="007E4DB6"/>
    <w:rsid w:val="007E611B"/>
    <w:rsid w:val="007E7CD4"/>
    <w:rsid w:val="007F12AC"/>
    <w:rsid w:val="00801800"/>
    <w:rsid w:val="00801B5B"/>
    <w:rsid w:val="008276B4"/>
    <w:rsid w:val="00831927"/>
    <w:rsid w:val="00841BD3"/>
    <w:rsid w:val="0084273D"/>
    <w:rsid w:val="00844E3F"/>
    <w:rsid w:val="00845A83"/>
    <w:rsid w:val="008612E9"/>
    <w:rsid w:val="0086198C"/>
    <w:rsid w:val="008712BB"/>
    <w:rsid w:val="008740A7"/>
    <w:rsid w:val="0088341D"/>
    <w:rsid w:val="0089088A"/>
    <w:rsid w:val="008A2484"/>
    <w:rsid w:val="008A28C7"/>
    <w:rsid w:val="008B4C1E"/>
    <w:rsid w:val="008C0A06"/>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31239"/>
    <w:rsid w:val="0093179C"/>
    <w:rsid w:val="009365E0"/>
    <w:rsid w:val="00942BA2"/>
    <w:rsid w:val="00944C86"/>
    <w:rsid w:val="0095618C"/>
    <w:rsid w:val="00957DE8"/>
    <w:rsid w:val="00960ECB"/>
    <w:rsid w:val="009615D6"/>
    <w:rsid w:val="00967855"/>
    <w:rsid w:val="009738E2"/>
    <w:rsid w:val="00980736"/>
    <w:rsid w:val="00980DCD"/>
    <w:rsid w:val="00981A39"/>
    <w:rsid w:val="00987097"/>
    <w:rsid w:val="009A3A9C"/>
    <w:rsid w:val="009A450C"/>
    <w:rsid w:val="009B046C"/>
    <w:rsid w:val="009B13FA"/>
    <w:rsid w:val="009B1E2D"/>
    <w:rsid w:val="009C59FB"/>
    <w:rsid w:val="009C6F3B"/>
    <w:rsid w:val="009D1467"/>
    <w:rsid w:val="009E154B"/>
    <w:rsid w:val="009E4FA6"/>
    <w:rsid w:val="009E7D93"/>
    <w:rsid w:val="009F5C33"/>
    <w:rsid w:val="00A03EAC"/>
    <w:rsid w:val="00A11CA6"/>
    <w:rsid w:val="00A20C49"/>
    <w:rsid w:val="00A269CA"/>
    <w:rsid w:val="00A31672"/>
    <w:rsid w:val="00A336EE"/>
    <w:rsid w:val="00A359AC"/>
    <w:rsid w:val="00A41413"/>
    <w:rsid w:val="00A45FB1"/>
    <w:rsid w:val="00A46CCC"/>
    <w:rsid w:val="00A51CFE"/>
    <w:rsid w:val="00A6002A"/>
    <w:rsid w:val="00A76C13"/>
    <w:rsid w:val="00A92E79"/>
    <w:rsid w:val="00A950B6"/>
    <w:rsid w:val="00AB41C1"/>
    <w:rsid w:val="00AD12A8"/>
    <w:rsid w:val="00AE023F"/>
    <w:rsid w:val="00AE2E82"/>
    <w:rsid w:val="00AF3577"/>
    <w:rsid w:val="00AF35F9"/>
    <w:rsid w:val="00B05C7D"/>
    <w:rsid w:val="00B346C3"/>
    <w:rsid w:val="00B35790"/>
    <w:rsid w:val="00B35CDC"/>
    <w:rsid w:val="00B4471C"/>
    <w:rsid w:val="00B451A6"/>
    <w:rsid w:val="00B722DE"/>
    <w:rsid w:val="00B76C44"/>
    <w:rsid w:val="00B81AE3"/>
    <w:rsid w:val="00B83F87"/>
    <w:rsid w:val="00BA2EFA"/>
    <w:rsid w:val="00BA3DBC"/>
    <w:rsid w:val="00BB2DA2"/>
    <w:rsid w:val="00BB56DC"/>
    <w:rsid w:val="00BE183D"/>
    <w:rsid w:val="00BF5075"/>
    <w:rsid w:val="00BF5D7A"/>
    <w:rsid w:val="00C02D33"/>
    <w:rsid w:val="00C1232C"/>
    <w:rsid w:val="00C36442"/>
    <w:rsid w:val="00C400CE"/>
    <w:rsid w:val="00C410FD"/>
    <w:rsid w:val="00C539FB"/>
    <w:rsid w:val="00CA246D"/>
    <w:rsid w:val="00CA50D9"/>
    <w:rsid w:val="00CB5636"/>
    <w:rsid w:val="00D10F21"/>
    <w:rsid w:val="00D13511"/>
    <w:rsid w:val="00D24806"/>
    <w:rsid w:val="00D31B48"/>
    <w:rsid w:val="00D34040"/>
    <w:rsid w:val="00D34E69"/>
    <w:rsid w:val="00D375EE"/>
    <w:rsid w:val="00D42DE9"/>
    <w:rsid w:val="00D54595"/>
    <w:rsid w:val="00D62699"/>
    <w:rsid w:val="00D750F8"/>
    <w:rsid w:val="00D82620"/>
    <w:rsid w:val="00D9725F"/>
    <w:rsid w:val="00DA01B1"/>
    <w:rsid w:val="00DA11A2"/>
    <w:rsid w:val="00DA14ED"/>
    <w:rsid w:val="00DA4572"/>
    <w:rsid w:val="00DA5C49"/>
    <w:rsid w:val="00DB2EF1"/>
    <w:rsid w:val="00DB3DE1"/>
    <w:rsid w:val="00DB5DA0"/>
    <w:rsid w:val="00DB716C"/>
    <w:rsid w:val="00DC01E3"/>
    <w:rsid w:val="00DC3319"/>
    <w:rsid w:val="00DC5C85"/>
    <w:rsid w:val="00DD4236"/>
    <w:rsid w:val="00DD44F1"/>
    <w:rsid w:val="00DE3067"/>
    <w:rsid w:val="00DE3907"/>
    <w:rsid w:val="00E027BC"/>
    <w:rsid w:val="00E10709"/>
    <w:rsid w:val="00E1224B"/>
    <w:rsid w:val="00E134CA"/>
    <w:rsid w:val="00E14EA5"/>
    <w:rsid w:val="00E21133"/>
    <w:rsid w:val="00E2327E"/>
    <w:rsid w:val="00E266EF"/>
    <w:rsid w:val="00E44D1C"/>
    <w:rsid w:val="00E47428"/>
    <w:rsid w:val="00E66B9F"/>
    <w:rsid w:val="00E710D6"/>
    <w:rsid w:val="00E76E45"/>
    <w:rsid w:val="00E777C9"/>
    <w:rsid w:val="00E81DA6"/>
    <w:rsid w:val="00E8340E"/>
    <w:rsid w:val="00E84212"/>
    <w:rsid w:val="00E864DD"/>
    <w:rsid w:val="00E9086C"/>
    <w:rsid w:val="00E91A0F"/>
    <w:rsid w:val="00E94A71"/>
    <w:rsid w:val="00EA03CE"/>
    <w:rsid w:val="00EA23E5"/>
    <w:rsid w:val="00EA4E2E"/>
    <w:rsid w:val="00EB2CCB"/>
    <w:rsid w:val="00EC4738"/>
    <w:rsid w:val="00EC57A7"/>
    <w:rsid w:val="00ED0817"/>
    <w:rsid w:val="00ED669C"/>
    <w:rsid w:val="00ED7DD9"/>
    <w:rsid w:val="00EF3113"/>
    <w:rsid w:val="00EF3F84"/>
    <w:rsid w:val="00F043F1"/>
    <w:rsid w:val="00F176AC"/>
    <w:rsid w:val="00F17A09"/>
    <w:rsid w:val="00F27714"/>
    <w:rsid w:val="00F3276E"/>
    <w:rsid w:val="00F32E02"/>
    <w:rsid w:val="00F33D3C"/>
    <w:rsid w:val="00F36033"/>
    <w:rsid w:val="00F37A91"/>
    <w:rsid w:val="00F45CF5"/>
    <w:rsid w:val="00F47DB0"/>
    <w:rsid w:val="00F50E34"/>
    <w:rsid w:val="00F53EF7"/>
    <w:rsid w:val="00F54BF2"/>
    <w:rsid w:val="00F566B1"/>
    <w:rsid w:val="00F92355"/>
    <w:rsid w:val="00F93963"/>
    <w:rsid w:val="00F94291"/>
    <w:rsid w:val="00FB1242"/>
    <w:rsid w:val="00FB7982"/>
    <w:rsid w:val="00FC0734"/>
    <w:rsid w:val="00FC0FC5"/>
    <w:rsid w:val="00FC588F"/>
    <w:rsid w:val="00FD46EE"/>
    <w:rsid w:val="00FE1B30"/>
    <w:rsid w:val="00FE56C4"/>
    <w:rsid w:val="00FE7B44"/>
    <w:rsid w:val="00FF36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6BD43A3"/>
  <w15:docId w15:val="{FEDADFAB-1EAA-4868-92B3-FE7F642E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1"/>
    <w:qFormat/>
    <w:rsid w:val="00EC4738"/>
    <w:pPr>
      <w:ind w:left="720"/>
      <w:contextualSpacing/>
    </w:pPr>
  </w:style>
  <w:style w:type="paragraph" w:customStyle="1" w:styleId="Default">
    <w:name w:val="Default"/>
    <w:rsid w:val="00D54595"/>
    <w:pPr>
      <w:autoSpaceDE w:val="0"/>
      <w:autoSpaceDN w:val="0"/>
      <w:adjustRightInd w:val="0"/>
    </w:pPr>
    <w:rPr>
      <w:rFonts w:ascii="Garamond" w:hAnsi="Garamond" w:cs="Garamond"/>
      <w:color w:val="000000"/>
      <w:sz w:val="24"/>
      <w:szCs w:val="24"/>
    </w:rPr>
  </w:style>
  <w:style w:type="paragraph" w:customStyle="1" w:styleId="ssdocumentinfo">
    <w:name w:val="ss_documentinfo"/>
    <w:basedOn w:val="Normal"/>
    <w:rsid w:val="0041079B"/>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1C2C5-6F9E-4C1A-B461-30422355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13</Pages>
  <Words>4673</Words>
  <Characters>23488</Characters>
  <Application>Microsoft Office Word</Application>
  <DocSecurity>0</DocSecurity>
  <Lines>479</Lines>
  <Paragraphs>160</Paragraphs>
  <ScaleCrop>false</ScaleCrop>
  <HeadingPairs>
    <vt:vector size="2" baseType="variant">
      <vt:variant>
        <vt:lpstr>Title</vt:lpstr>
      </vt:variant>
      <vt:variant>
        <vt:i4>1</vt:i4>
      </vt:variant>
    </vt:vector>
  </HeadingPairs>
  <TitlesOfParts>
    <vt:vector size="1" baseType="lpstr">
      <vt:lpstr>AQP16 v Minister for Immigration and Border Protection [2018] FCA 1880 </vt:lpstr>
    </vt:vector>
  </TitlesOfParts>
  <Company>Federal Court of Australia</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AQP16 v Minister for Immigration and Border Protection [2018] FCA 1880</dc:title>
  <dc:creator>Jeremy Leith</dc:creator>
  <cp:lastModifiedBy>Sona Muradyan</cp:lastModifiedBy>
  <cp:revision>3</cp:revision>
  <cp:lastPrinted>2018-11-27T00:13:00Z</cp:lastPrinted>
  <dcterms:created xsi:type="dcterms:W3CDTF">2018-11-30T00:17:00Z</dcterms:created>
  <dcterms:modified xsi:type="dcterms:W3CDTF">2018-11-30T00:18:00Z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BROMWICH J</vt:lpwstr>
  </property>
  <property fmtid="{D5CDD505-2E9C-101B-9397-08002B2CF9AE}" pid="4" name="Judgment_dated" linkTarget="Judgment_dated">
    <vt:lpwstr>30 NOVEMBER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