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D3C48">
      <w:pPr>
        <w:pStyle w:val="MediaNeutralStyle"/>
      </w:pPr>
      <w:bookmarkStart w:id="0" w:name="MNC"/>
      <w:r w:rsidRPr="00AD3C48">
        <w:t>Dalby Bio-Refinery Ltd</w:t>
      </w:r>
      <w:r>
        <w:t xml:space="preserve"> v </w:t>
      </w:r>
      <w:r w:rsidRPr="00AD3C48">
        <w:t>Allianz</w:t>
      </w:r>
      <w:r>
        <w:t xml:space="preserve"> </w:t>
      </w:r>
      <w:r w:rsidRPr="00AD3C48">
        <w:t xml:space="preserve">Australia Insurance </w:t>
      </w:r>
      <w:proofErr w:type="gramStart"/>
      <w:r w:rsidRPr="00AD3C48">
        <w:t>Limited</w:t>
      </w:r>
      <w:proofErr w:type="gramEnd"/>
      <w:r>
        <w:t xml:space="preserve"> [2018] FCA </w:t>
      </w:r>
      <w:r w:rsidR="00A9396E">
        <w:t>1806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C6A90">
        <w:tc>
          <w:tcPr>
            <w:tcW w:w="3085" w:type="dxa"/>
            <w:shd w:val="clear" w:color="auto" w:fill="auto"/>
          </w:tcPr>
          <w:p w:rsidR="00395B24" w:rsidRDefault="002C7385" w:rsidP="006A3698">
            <w:pPr>
              <w:pStyle w:val="Normal1linespace"/>
              <w:widowControl w:val="0"/>
              <w:jc w:val="left"/>
            </w:pPr>
            <w:r>
              <w:t>File number:</w:t>
            </w:r>
          </w:p>
        </w:tc>
        <w:tc>
          <w:tcPr>
            <w:tcW w:w="5989" w:type="dxa"/>
            <w:shd w:val="clear" w:color="auto" w:fill="auto"/>
          </w:tcPr>
          <w:p w:rsidR="00395B24" w:rsidRPr="00AD3C48" w:rsidRDefault="00CF2515" w:rsidP="00AD3C48">
            <w:pPr>
              <w:pStyle w:val="Normal1linespace"/>
              <w:jc w:val="left"/>
            </w:pPr>
            <w:r>
              <w:fldChar w:fldCharType="begin" w:fldLock="1"/>
            </w:r>
            <w:r>
              <w:instrText xml:space="preserve"> REF  FileNo  \* MERGEFORMAT </w:instrText>
            </w:r>
            <w:r>
              <w:fldChar w:fldCharType="separate"/>
            </w:r>
            <w:r w:rsidR="00AD3C48" w:rsidRPr="00AD3C48">
              <w:t>VID 1170 of 2017</w:t>
            </w:r>
            <w:r>
              <w:fldChar w:fldCharType="end"/>
            </w:r>
          </w:p>
        </w:tc>
      </w:tr>
      <w:tr w:rsidR="00395B24" w:rsidTr="00EC6A9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A90">
        <w:tc>
          <w:tcPr>
            <w:tcW w:w="3085" w:type="dxa"/>
            <w:shd w:val="clear" w:color="auto" w:fill="auto"/>
          </w:tcPr>
          <w:p w:rsidR="00395B24" w:rsidRDefault="006A3698"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D3C48">
              <w:rPr>
                <w:b/>
              </w:rPr>
              <w:fldChar w:fldCharType="begin" w:fldLock="1"/>
            </w:r>
            <w:r w:rsidRPr="00AD3C48">
              <w:rPr>
                <w:b/>
              </w:rPr>
              <w:instrText xml:space="preserve"> REF  Judge  \* MERGEFORMAT </w:instrText>
            </w:r>
            <w:r w:rsidRPr="00AD3C48">
              <w:rPr>
                <w:b/>
              </w:rPr>
              <w:fldChar w:fldCharType="separate"/>
            </w:r>
            <w:r w:rsidR="00AD3C48" w:rsidRPr="00AD3C48">
              <w:rPr>
                <w:b/>
                <w:caps/>
                <w:szCs w:val="24"/>
              </w:rPr>
              <w:t>LEE J</w:t>
            </w:r>
            <w:r w:rsidRPr="00AD3C48">
              <w:rPr>
                <w:b/>
              </w:rPr>
              <w:fldChar w:fldCharType="end"/>
            </w:r>
          </w:p>
        </w:tc>
      </w:tr>
      <w:tr w:rsidR="00395B24" w:rsidTr="00EC6A9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A9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D3C48" w:rsidP="00663878">
            <w:pPr>
              <w:pStyle w:val="Normal1linespace"/>
              <w:widowControl w:val="0"/>
              <w:jc w:val="left"/>
            </w:pPr>
            <w:bookmarkStart w:id="1" w:name="JudgmentDate"/>
            <w:r>
              <w:t>31 October 2018</w:t>
            </w:r>
            <w:bookmarkEnd w:id="1"/>
          </w:p>
        </w:tc>
      </w:tr>
      <w:tr w:rsidR="00395B24" w:rsidTr="00EC6A9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A90">
        <w:tc>
          <w:tcPr>
            <w:tcW w:w="3085" w:type="dxa"/>
            <w:shd w:val="clear" w:color="auto" w:fill="auto"/>
          </w:tcPr>
          <w:p w:rsidR="00395B24" w:rsidRPr="00557A84" w:rsidRDefault="002C7385" w:rsidP="00663878">
            <w:pPr>
              <w:pStyle w:val="Normal1linespace"/>
              <w:widowControl w:val="0"/>
              <w:jc w:val="left"/>
            </w:pPr>
            <w:r w:rsidRPr="00557A84">
              <w:t>Catchwords:</w:t>
            </w:r>
          </w:p>
        </w:tc>
        <w:tc>
          <w:tcPr>
            <w:tcW w:w="5989" w:type="dxa"/>
            <w:shd w:val="clear" w:color="auto" w:fill="auto"/>
          </w:tcPr>
          <w:p w:rsidR="00395B24" w:rsidRPr="00557A84" w:rsidRDefault="00557A84" w:rsidP="004C4821">
            <w:pPr>
              <w:pStyle w:val="Normal1linespace"/>
              <w:widowControl w:val="0"/>
              <w:jc w:val="left"/>
              <w:rPr>
                <w:b/>
              </w:rPr>
            </w:pPr>
            <w:bookmarkStart w:id="2" w:name="Catchwords"/>
            <w:r w:rsidRPr="00557A84">
              <w:rPr>
                <w:b/>
              </w:rPr>
              <w:t>INSURANCE –</w:t>
            </w:r>
            <w:r>
              <w:rPr>
                <w:b/>
              </w:rPr>
              <w:t xml:space="preserve"> </w:t>
            </w:r>
            <w:r>
              <w:t>industrial special risks insurance policy – referee report</w:t>
            </w:r>
            <w:r w:rsidR="00650408">
              <w:t>s adopted by consent</w:t>
            </w:r>
            <w:r>
              <w:t xml:space="preserve"> – </w:t>
            </w:r>
            <w:r w:rsidR="004C4821">
              <w:t>construction</w:t>
            </w:r>
            <w:r w:rsidR="000D5446">
              <w:t xml:space="preserve"> of exclusion clause –</w:t>
            </w:r>
            <w:r w:rsidR="004C4821">
              <w:t xml:space="preserve"> </w:t>
            </w:r>
            <w:r w:rsidR="004C4821">
              <w:rPr>
                <w:i/>
              </w:rPr>
              <w:t xml:space="preserve">Wayne Tank </w:t>
            </w:r>
            <w:r w:rsidR="000D5446">
              <w:t>principle</w:t>
            </w:r>
            <w:r w:rsidR="004C4821">
              <w:t xml:space="preserve"> – meaning of spontaneous combustion – </w:t>
            </w:r>
            <w:r>
              <w:t>proximate cause of loss</w:t>
            </w:r>
            <w:r w:rsidR="00650408">
              <w:t xml:space="preserve"> – </w:t>
            </w:r>
            <w:r w:rsidR="00877072">
              <w:t xml:space="preserve">irrelevance of </w:t>
            </w:r>
            <w:r w:rsidR="00650408">
              <w:t>possible antecedent causes</w:t>
            </w:r>
            <w:r>
              <w:t xml:space="preserve"> </w:t>
            </w:r>
            <w:r w:rsidR="001B45C7">
              <w:t>– application dismissed</w:t>
            </w:r>
            <w:r w:rsidR="002C7385" w:rsidRPr="00557A84">
              <w:rPr>
                <w:b/>
              </w:rPr>
              <w:t xml:space="preserve"> </w:t>
            </w:r>
            <w:bookmarkEnd w:id="2"/>
          </w:p>
        </w:tc>
      </w:tr>
      <w:tr w:rsidR="00395B24" w:rsidTr="00EC6A9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A9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D6662" w:rsidRDefault="000D6662" w:rsidP="000D6662">
            <w:bookmarkStart w:id="3" w:name="Legislation"/>
            <w:r w:rsidRPr="00EC6A90">
              <w:rPr>
                <w:i/>
              </w:rPr>
              <w:t>Federal Court of Australia Act 1976</w:t>
            </w:r>
            <w:r>
              <w:t xml:space="preserve"> (</w:t>
            </w:r>
            <w:proofErr w:type="spellStart"/>
            <w:r>
              <w:t>Cth</w:t>
            </w:r>
            <w:proofErr w:type="spellEnd"/>
            <w:r>
              <w:t>)</w:t>
            </w:r>
            <w:r w:rsidR="00001D50">
              <w:t xml:space="preserve"> s 43</w:t>
            </w:r>
          </w:p>
          <w:p w:rsidR="00395B24" w:rsidRDefault="000D6662" w:rsidP="00001D50">
            <w:r w:rsidRPr="00001D50">
              <w:rPr>
                <w:i/>
              </w:rPr>
              <w:t>F</w:t>
            </w:r>
            <w:r w:rsidR="00001D50" w:rsidRPr="00001D50">
              <w:rPr>
                <w:i/>
              </w:rPr>
              <w:t xml:space="preserve">ederal </w:t>
            </w:r>
            <w:r w:rsidRPr="00001D50">
              <w:rPr>
                <w:i/>
              </w:rPr>
              <w:t>C</w:t>
            </w:r>
            <w:r w:rsidR="00001D50" w:rsidRPr="00001D50">
              <w:rPr>
                <w:i/>
              </w:rPr>
              <w:t xml:space="preserve">ourt </w:t>
            </w:r>
            <w:r w:rsidRPr="00001D50">
              <w:rPr>
                <w:i/>
              </w:rPr>
              <w:t>R</w:t>
            </w:r>
            <w:r w:rsidR="00001D50" w:rsidRPr="00001D50">
              <w:rPr>
                <w:i/>
              </w:rPr>
              <w:t>ules 2011</w:t>
            </w:r>
            <w:r>
              <w:t xml:space="preserve"> 28.67(1)(b)</w:t>
            </w:r>
            <w:r w:rsidR="002C7385">
              <w:t xml:space="preserve"> </w:t>
            </w:r>
            <w:bookmarkEnd w:id="3"/>
          </w:p>
        </w:tc>
      </w:tr>
      <w:tr w:rsidR="00395B24" w:rsidTr="00EC6A9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6A9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D6662" w:rsidRDefault="000D6662" w:rsidP="000D6662">
            <w:pPr>
              <w:pStyle w:val="CasesLegislationAppealFrom"/>
            </w:pPr>
            <w:bookmarkStart w:id="4" w:name="Cases_Cited"/>
            <w:proofErr w:type="spellStart"/>
            <w:r w:rsidRPr="000D6662">
              <w:rPr>
                <w:i/>
              </w:rPr>
              <w:t>Baulderstone</w:t>
            </w:r>
            <w:proofErr w:type="spellEnd"/>
            <w:r w:rsidRPr="000D6662">
              <w:rPr>
                <w:i/>
              </w:rPr>
              <w:t xml:space="preserve"> </w:t>
            </w:r>
            <w:proofErr w:type="spellStart"/>
            <w:r w:rsidRPr="000D6662">
              <w:rPr>
                <w:i/>
              </w:rPr>
              <w:t>Hornibrook</w:t>
            </w:r>
            <w:proofErr w:type="spellEnd"/>
            <w:r w:rsidRPr="000D6662">
              <w:rPr>
                <w:i/>
              </w:rPr>
              <w:t xml:space="preserve"> Engineering Pty Ltd v Gordian Runoff Ltd </w:t>
            </w:r>
            <w:r>
              <w:t xml:space="preserve">[2008] NSWCA 243; </w:t>
            </w:r>
            <w:r w:rsidRPr="00923E1D">
              <w:t>(2008) 15 ANZ Insurance Cases 61-780</w:t>
            </w:r>
          </w:p>
          <w:p w:rsidR="00BE3E8E" w:rsidRDefault="00BE3E8E" w:rsidP="000D6662">
            <w:pPr>
              <w:pStyle w:val="CasesLegislationAppealFrom"/>
            </w:pPr>
            <w:proofErr w:type="spellStart"/>
            <w:r>
              <w:rPr>
                <w:i/>
              </w:rPr>
              <w:t>Calderbank</w:t>
            </w:r>
            <w:proofErr w:type="spellEnd"/>
            <w:r>
              <w:rPr>
                <w:i/>
              </w:rPr>
              <w:t xml:space="preserve"> v</w:t>
            </w:r>
            <w:r w:rsidRPr="00753F0C">
              <w:rPr>
                <w:i/>
              </w:rPr>
              <w:t xml:space="preserve"> </w:t>
            </w:r>
            <w:proofErr w:type="spellStart"/>
            <w:r w:rsidRPr="00753F0C">
              <w:rPr>
                <w:i/>
              </w:rPr>
              <w:t>Calder</w:t>
            </w:r>
            <w:r w:rsidRPr="00BE3E8E">
              <w:rPr>
                <w:i/>
              </w:rPr>
              <w:t>bank</w:t>
            </w:r>
            <w:proofErr w:type="spellEnd"/>
            <w:r w:rsidRPr="00BE3E8E">
              <w:t xml:space="preserve"> [1976]</w:t>
            </w:r>
            <w:r>
              <w:t xml:space="preserve"> Fam 93</w:t>
            </w:r>
          </w:p>
          <w:p w:rsidR="000D6662" w:rsidRDefault="000D6662" w:rsidP="000D6662">
            <w:pPr>
              <w:pStyle w:val="CasesLegislationAppealFrom"/>
            </w:pPr>
            <w:r w:rsidRPr="000D6662">
              <w:rPr>
                <w:i/>
              </w:rPr>
              <w:t xml:space="preserve">Darlington Futures Limited v Delco Australia Proprietary Limited </w:t>
            </w:r>
            <w:r>
              <w:t>(1986) 161 CLR 500</w:t>
            </w:r>
          </w:p>
          <w:p w:rsidR="000D6662" w:rsidRDefault="000D6662" w:rsidP="000D6662">
            <w:pPr>
              <w:pStyle w:val="CasesLegislationAppealFrom"/>
            </w:pPr>
            <w:r w:rsidRPr="000D6662">
              <w:rPr>
                <w:i/>
              </w:rPr>
              <w:t xml:space="preserve">Fitzpatrick v Job t/as Jobs Engineering </w:t>
            </w:r>
            <w:r>
              <w:t>[2007] WASCA 63;</w:t>
            </w:r>
            <w:r w:rsidRPr="00C47CD2">
              <w:t xml:space="preserve"> (2007) 14 ANZ Insurance Cases 61-731</w:t>
            </w:r>
          </w:p>
          <w:p w:rsidR="000D6662" w:rsidRDefault="000D6662" w:rsidP="000D6662">
            <w:pPr>
              <w:pStyle w:val="CasesLegislationAppealFrom"/>
            </w:pPr>
            <w:proofErr w:type="spellStart"/>
            <w:r w:rsidRPr="000D6662">
              <w:rPr>
                <w:i/>
              </w:rPr>
              <w:t>Gunns</w:t>
            </w:r>
            <w:proofErr w:type="spellEnd"/>
            <w:r w:rsidRPr="000D6662">
              <w:rPr>
                <w:i/>
              </w:rPr>
              <w:t xml:space="preserve"> Forest Products Ltd v North Insurances Pty Ltd </w:t>
            </w:r>
            <w:r>
              <w:t>[2006] VSCA 105;</w:t>
            </w:r>
            <w:r w:rsidRPr="00753F0C">
              <w:t xml:space="preserve"> (2006</w:t>
            </w:r>
            <w:r>
              <w:t>) 14 ANZ Insurance Cases 61-691</w:t>
            </w:r>
          </w:p>
          <w:p w:rsidR="000D6662" w:rsidRDefault="000D6662" w:rsidP="000D6662">
            <w:pPr>
              <w:pStyle w:val="CasesLegislationAppealFrom"/>
            </w:pPr>
            <w:r w:rsidRPr="000D6662">
              <w:rPr>
                <w:i/>
              </w:rPr>
              <w:t>McCann v Switzerland Insurance Australia Limited</w:t>
            </w:r>
            <w:r>
              <w:t xml:space="preserve"> [2000] HCA 65;</w:t>
            </w:r>
            <w:r w:rsidRPr="00084F03">
              <w:t xml:space="preserve"> </w:t>
            </w:r>
            <w:r>
              <w:t>(2000) 203 CLR 579</w:t>
            </w:r>
          </w:p>
          <w:p w:rsidR="000D6662" w:rsidRDefault="000D6662" w:rsidP="000D6662">
            <w:pPr>
              <w:pStyle w:val="CasesLegislationAppealFrom"/>
            </w:pPr>
            <w:r w:rsidRPr="000D6662">
              <w:rPr>
                <w:i/>
              </w:rPr>
              <w:t>McCarthy v St Paul International Insurance Co Ltd</w:t>
            </w:r>
            <w:r>
              <w:t xml:space="preserve"> [2007] FCAFC 28; </w:t>
            </w:r>
            <w:r w:rsidRPr="00753F0C">
              <w:t>(2007) 157 FCR 402</w:t>
            </w:r>
          </w:p>
          <w:p w:rsidR="000D6662" w:rsidRDefault="00FB3833" w:rsidP="000D6662">
            <w:pPr>
              <w:pStyle w:val="CasesLegislationAppealFrom"/>
            </w:pPr>
            <w:r w:rsidRPr="00C47CD2">
              <w:rPr>
                <w:i/>
              </w:rPr>
              <w:t>Selected Seeds Pty L</w:t>
            </w:r>
            <w:r>
              <w:rPr>
                <w:i/>
              </w:rPr>
              <w:t xml:space="preserve">td </w:t>
            </w:r>
            <w:r w:rsidRPr="00C47CD2">
              <w:rPr>
                <w:i/>
              </w:rPr>
              <w:t xml:space="preserve">v QBEMM Pty </w:t>
            </w:r>
            <w:r>
              <w:rPr>
                <w:i/>
              </w:rPr>
              <w:t>Ltd</w:t>
            </w:r>
            <w:r>
              <w:t xml:space="preserve"> </w:t>
            </w:r>
            <w:r w:rsidR="000D6662">
              <w:t>[2010] HCA 37; (2010) 242 CLR 336</w:t>
            </w:r>
          </w:p>
          <w:p w:rsidR="00395B24" w:rsidRDefault="000D6662" w:rsidP="000D6662">
            <w:pPr>
              <w:pStyle w:val="CasesLegislationAppealFrom"/>
            </w:pPr>
            <w:r w:rsidRPr="000D6662">
              <w:rPr>
                <w:i/>
              </w:rPr>
              <w:t>Wayne Tank &amp; Pump Co Ltd v Employers Liability Assurance Corporation Ltd</w:t>
            </w:r>
            <w:r w:rsidRPr="000B40F8">
              <w:t xml:space="preserve"> </w:t>
            </w:r>
            <w:r>
              <w:t>[1974] QB 57</w:t>
            </w:r>
            <w:r w:rsidR="002C7385">
              <w:t xml:space="preserve"> </w:t>
            </w:r>
            <w:bookmarkEnd w:id="4"/>
          </w:p>
        </w:tc>
      </w:tr>
      <w:tr w:rsidR="00EC6A90" w:rsidRPr="00EC6A90" w:rsidTr="00EC6A90">
        <w:tc>
          <w:tcPr>
            <w:tcW w:w="3085" w:type="dxa"/>
            <w:shd w:val="clear" w:color="auto" w:fill="auto"/>
          </w:tcPr>
          <w:p w:rsidR="00EC6A90" w:rsidRPr="00EC6A90" w:rsidRDefault="00EC6A90" w:rsidP="00EC6A90">
            <w:pPr>
              <w:pStyle w:val="Normal1linespace"/>
              <w:jc w:val="left"/>
            </w:pPr>
          </w:p>
        </w:tc>
        <w:tc>
          <w:tcPr>
            <w:tcW w:w="5989" w:type="dxa"/>
            <w:shd w:val="clear" w:color="auto" w:fill="auto"/>
          </w:tcPr>
          <w:p w:rsidR="00EC6A90" w:rsidRPr="00EC6A90" w:rsidRDefault="00EC6A90" w:rsidP="00EC6A90">
            <w:pPr>
              <w:pStyle w:val="Normal1linespace"/>
              <w:jc w:val="left"/>
            </w:pPr>
          </w:p>
        </w:tc>
      </w:tr>
      <w:tr w:rsidR="00EC6A90" w:rsidRPr="00EC6A90" w:rsidTr="00EC6A90">
        <w:tc>
          <w:tcPr>
            <w:tcW w:w="3085" w:type="dxa"/>
            <w:shd w:val="clear" w:color="auto" w:fill="auto"/>
          </w:tcPr>
          <w:p w:rsidR="00EC6A90" w:rsidRPr="00EC6A90" w:rsidRDefault="00EC6A90" w:rsidP="00EC6A90">
            <w:pPr>
              <w:pStyle w:val="Normal1linespace"/>
              <w:jc w:val="left"/>
            </w:pPr>
            <w:bookmarkStart w:id="5" w:name="CounselDate" w:colFirst="0" w:colLast="2"/>
            <w:r w:rsidRPr="00EC6A90">
              <w:t>Date of hearing:</w:t>
            </w:r>
          </w:p>
        </w:tc>
        <w:tc>
          <w:tcPr>
            <w:tcW w:w="5989" w:type="dxa"/>
            <w:shd w:val="clear" w:color="auto" w:fill="auto"/>
          </w:tcPr>
          <w:p w:rsidR="00EC6A90" w:rsidRPr="00EC6A90" w:rsidRDefault="00EC6A90" w:rsidP="00EC6A90">
            <w:pPr>
              <w:pStyle w:val="Normal1linespace"/>
              <w:jc w:val="left"/>
            </w:pPr>
            <w:bookmarkStart w:id="6" w:name="HearingDate"/>
            <w:r>
              <w:t>31 October 2018</w:t>
            </w:r>
            <w:bookmarkEnd w:id="6"/>
          </w:p>
        </w:tc>
      </w:tr>
      <w:bookmarkEnd w:id="5"/>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Default="00EC6A90" w:rsidP="00EC6A90">
            <w:pPr>
              <w:pStyle w:val="Normal1linespace"/>
              <w:widowControl w:val="0"/>
              <w:jc w:val="left"/>
            </w:pPr>
          </w:p>
        </w:tc>
      </w:tr>
      <w:tr w:rsidR="00EC6A90" w:rsidTr="00EC6A90">
        <w:tc>
          <w:tcPr>
            <w:tcW w:w="3085" w:type="dxa"/>
            <w:shd w:val="clear" w:color="auto" w:fill="auto"/>
          </w:tcPr>
          <w:p w:rsidR="00EC6A90" w:rsidRDefault="00EC6A90" w:rsidP="00EC6A90">
            <w:pPr>
              <w:pStyle w:val="Normal1linespace"/>
              <w:widowControl w:val="0"/>
              <w:jc w:val="left"/>
            </w:pPr>
            <w:r>
              <w:t>Registry:</w:t>
            </w:r>
          </w:p>
        </w:tc>
        <w:tc>
          <w:tcPr>
            <w:tcW w:w="5989" w:type="dxa"/>
            <w:shd w:val="clear" w:color="auto" w:fill="auto"/>
          </w:tcPr>
          <w:p w:rsidR="00EC6A90" w:rsidRPr="00F17599" w:rsidRDefault="00CF2515" w:rsidP="00EC6A90">
            <w:pPr>
              <w:pStyle w:val="Normal1linespace"/>
              <w:widowControl w:val="0"/>
              <w:jc w:val="left"/>
            </w:pPr>
            <w:r>
              <w:fldChar w:fldCharType="begin"/>
            </w:r>
            <w:r>
              <w:instrText xml:space="preserve"> DOCPROPERTY  Registry </w:instrText>
            </w:r>
            <w:r>
              <w:fldChar w:fldCharType="separate"/>
            </w:r>
            <w:r w:rsidR="00EC6A90">
              <w:t>New South Wales</w:t>
            </w:r>
            <w:r>
              <w:fldChar w:fldCharType="end"/>
            </w:r>
          </w:p>
        </w:tc>
      </w:tr>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Default="00EC6A90" w:rsidP="00EC6A90">
            <w:pPr>
              <w:pStyle w:val="Normal1linespace"/>
              <w:widowControl w:val="0"/>
              <w:jc w:val="left"/>
            </w:pPr>
          </w:p>
        </w:tc>
      </w:tr>
      <w:tr w:rsidR="00EC6A90" w:rsidTr="00EC6A90">
        <w:tc>
          <w:tcPr>
            <w:tcW w:w="3085" w:type="dxa"/>
            <w:shd w:val="clear" w:color="auto" w:fill="auto"/>
          </w:tcPr>
          <w:p w:rsidR="00EC6A90" w:rsidRDefault="00EC6A90" w:rsidP="00EC6A90">
            <w:pPr>
              <w:pStyle w:val="Normal1linespace"/>
              <w:widowControl w:val="0"/>
              <w:jc w:val="left"/>
            </w:pPr>
            <w:r>
              <w:t>Division:</w:t>
            </w:r>
          </w:p>
        </w:tc>
        <w:tc>
          <w:tcPr>
            <w:tcW w:w="5989" w:type="dxa"/>
            <w:shd w:val="clear" w:color="auto" w:fill="auto"/>
          </w:tcPr>
          <w:p w:rsidR="00EC6A90" w:rsidRPr="00F17599" w:rsidRDefault="00CF2515" w:rsidP="00EC6A90">
            <w:pPr>
              <w:pStyle w:val="Normal1linespace"/>
              <w:widowControl w:val="0"/>
              <w:jc w:val="left"/>
            </w:pPr>
            <w:r>
              <w:fldChar w:fldCharType="begin"/>
            </w:r>
            <w:r>
              <w:instrText xml:space="preserve"> DOCPROPERTY  Division </w:instrText>
            </w:r>
            <w:r>
              <w:fldChar w:fldCharType="separate"/>
            </w:r>
            <w:r w:rsidR="00EC6A90">
              <w:t>General Division</w:t>
            </w:r>
            <w:r>
              <w:fldChar w:fldCharType="end"/>
            </w:r>
          </w:p>
        </w:tc>
      </w:tr>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Pr="00F17599" w:rsidRDefault="00EC6A90" w:rsidP="00EC6A90">
            <w:pPr>
              <w:pStyle w:val="Normal1linespace"/>
              <w:widowControl w:val="0"/>
              <w:jc w:val="left"/>
              <w:rPr>
                <w:b/>
              </w:rPr>
            </w:pPr>
          </w:p>
        </w:tc>
      </w:tr>
      <w:tr w:rsidR="00EC6A90" w:rsidTr="00EC6A90">
        <w:tc>
          <w:tcPr>
            <w:tcW w:w="3085" w:type="dxa"/>
            <w:shd w:val="clear" w:color="auto" w:fill="auto"/>
          </w:tcPr>
          <w:p w:rsidR="00EC6A90" w:rsidRDefault="00EC6A90" w:rsidP="00EC6A90">
            <w:pPr>
              <w:pStyle w:val="Normal1linespace"/>
              <w:widowControl w:val="0"/>
              <w:jc w:val="left"/>
            </w:pPr>
            <w:r>
              <w:t>National Practice Area:</w:t>
            </w:r>
          </w:p>
        </w:tc>
        <w:tc>
          <w:tcPr>
            <w:tcW w:w="5989" w:type="dxa"/>
            <w:shd w:val="clear" w:color="auto" w:fill="auto"/>
          </w:tcPr>
          <w:p w:rsidR="00EC6A90" w:rsidRPr="00F17599" w:rsidRDefault="00CF2515" w:rsidP="00EC6A90">
            <w:pPr>
              <w:pStyle w:val="Normal1linespace"/>
              <w:widowControl w:val="0"/>
              <w:jc w:val="left"/>
              <w:rPr>
                <w:b/>
              </w:rPr>
            </w:pPr>
            <w:r>
              <w:fldChar w:fldCharType="begin"/>
            </w:r>
            <w:r>
              <w:instrText xml:space="preserve"> DOCPROPERTY  "Practice Area"  \* MERGEFORMAT </w:instrText>
            </w:r>
            <w:r>
              <w:fldChar w:fldCharType="separate"/>
            </w:r>
            <w:r w:rsidR="00EC6A90">
              <w:t>Commercial and Corporations</w:t>
            </w:r>
            <w:r>
              <w:fldChar w:fldCharType="end"/>
            </w:r>
          </w:p>
        </w:tc>
      </w:tr>
      <w:tr w:rsidR="00EC6A90" w:rsidTr="00EC6A90">
        <w:tc>
          <w:tcPr>
            <w:tcW w:w="3085" w:type="dxa"/>
            <w:shd w:val="clear" w:color="auto" w:fill="auto"/>
          </w:tcPr>
          <w:p w:rsidR="00EC6A90" w:rsidRPr="00F44E53" w:rsidRDefault="00EC6A90" w:rsidP="00EC6A90">
            <w:pPr>
              <w:pStyle w:val="Normal1linespace"/>
              <w:widowControl w:val="0"/>
              <w:jc w:val="left"/>
            </w:pPr>
          </w:p>
        </w:tc>
        <w:tc>
          <w:tcPr>
            <w:tcW w:w="5989" w:type="dxa"/>
            <w:shd w:val="clear" w:color="auto" w:fill="auto"/>
          </w:tcPr>
          <w:p w:rsidR="00EC6A90" w:rsidRPr="00F44E53" w:rsidRDefault="00EC6A90" w:rsidP="00EC6A90">
            <w:pPr>
              <w:pStyle w:val="Normal1linespace"/>
              <w:widowControl w:val="0"/>
              <w:jc w:val="left"/>
            </w:pPr>
          </w:p>
        </w:tc>
      </w:tr>
      <w:tr w:rsidR="00EC6A90" w:rsidRPr="00EC6A90" w:rsidTr="00EC6A90">
        <w:tc>
          <w:tcPr>
            <w:tcW w:w="3085" w:type="dxa"/>
            <w:shd w:val="clear" w:color="auto" w:fill="auto"/>
          </w:tcPr>
          <w:p w:rsidR="00EC6A90" w:rsidRPr="00F44E53" w:rsidRDefault="00EC6A90" w:rsidP="00EC6A90">
            <w:pPr>
              <w:pStyle w:val="Normal1linespace"/>
              <w:widowControl w:val="0"/>
              <w:jc w:val="left"/>
            </w:pPr>
            <w:r w:rsidRPr="00F44E53">
              <w:t>Sub-area:</w:t>
            </w:r>
          </w:p>
        </w:tc>
        <w:tc>
          <w:tcPr>
            <w:tcW w:w="5989" w:type="dxa"/>
            <w:shd w:val="clear" w:color="auto" w:fill="auto"/>
          </w:tcPr>
          <w:p w:rsidR="00EC6A90" w:rsidRPr="00F44E53" w:rsidRDefault="00F44E53" w:rsidP="00EC6A90">
            <w:pPr>
              <w:pStyle w:val="Normal1linespace"/>
              <w:widowControl w:val="0"/>
              <w:jc w:val="left"/>
            </w:pPr>
            <w:r w:rsidRPr="00F44E53">
              <w:t>Commercial Contracts, Banking, Finance and Insurance</w:t>
            </w:r>
          </w:p>
        </w:tc>
      </w:tr>
      <w:tr w:rsidR="00EC6A90" w:rsidTr="00EC6A90">
        <w:tc>
          <w:tcPr>
            <w:tcW w:w="3085" w:type="dxa"/>
            <w:shd w:val="clear" w:color="auto" w:fill="auto"/>
          </w:tcPr>
          <w:p w:rsidR="00EC6A90" w:rsidRPr="00F44E53" w:rsidRDefault="00EC6A90" w:rsidP="00EC6A90">
            <w:pPr>
              <w:pStyle w:val="Normal1linespace"/>
              <w:widowControl w:val="0"/>
              <w:jc w:val="left"/>
            </w:pPr>
          </w:p>
        </w:tc>
        <w:tc>
          <w:tcPr>
            <w:tcW w:w="5989" w:type="dxa"/>
            <w:shd w:val="clear" w:color="auto" w:fill="auto"/>
          </w:tcPr>
          <w:p w:rsidR="00EC6A90" w:rsidRPr="00F44E53" w:rsidRDefault="00EC6A90" w:rsidP="00EC6A90">
            <w:pPr>
              <w:pStyle w:val="Normal1linespace"/>
              <w:widowControl w:val="0"/>
              <w:jc w:val="left"/>
              <w:rPr>
                <w:b/>
              </w:rPr>
            </w:pPr>
          </w:p>
        </w:tc>
      </w:tr>
      <w:tr w:rsidR="00EC6A90" w:rsidTr="00EC6A90">
        <w:tc>
          <w:tcPr>
            <w:tcW w:w="3085" w:type="dxa"/>
            <w:shd w:val="clear" w:color="auto" w:fill="auto"/>
          </w:tcPr>
          <w:p w:rsidR="00EC6A90" w:rsidRPr="00F44E53" w:rsidRDefault="00EC6A90" w:rsidP="00EC6A90">
            <w:pPr>
              <w:pStyle w:val="Normal1linespace"/>
              <w:widowControl w:val="0"/>
              <w:jc w:val="left"/>
            </w:pPr>
            <w:r w:rsidRPr="00F44E53">
              <w:t>Category:</w:t>
            </w:r>
          </w:p>
        </w:tc>
        <w:tc>
          <w:tcPr>
            <w:tcW w:w="5989" w:type="dxa"/>
            <w:shd w:val="clear" w:color="auto" w:fill="auto"/>
          </w:tcPr>
          <w:p w:rsidR="00EC6A90" w:rsidRPr="00F44E53" w:rsidRDefault="00EC6A90" w:rsidP="00F44E53">
            <w:pPr>
              <w:pStyle w:val="Normal1linespace"/>
              <w:widowControl w:val="0"/>
              <w:jc w:val="left"/>
            </w:pPr>
            <w:r w:rsidRPr="00F44E53">
              <w:t>C</w:t>
            </w:r>
            <w:r w:rsidR="00F44E53" w:rsidRPr="00F44E53">
              <w:t>atchwords</w:t>
            </w:r>
          </w:p>
        </w:tc>
      </w:tr>
      <w:tr w:rsidR="00EC6A90" w:rsidTr="00EC6A90">
        <w:tc>
          <w:tcPr>
            <w:tcW w:w="3085" w:type="dxa"/>
            <w:shd w:val="clear" w:color="auto" w:fill="auto"/>
          </w:tcPr>
          <w:p w:rsidR="00EC6A90" w:rsidRPr="008E538B" w:rsidRDefault="00EC6A90" w:rsidP="00EC6A90">
            <w:pPr>
              <w:pStyle w:val="Normal1linespace"/>
              <w:widowControl w:val="0"/>
              <w:jc w:val="left"/>
            </w:pPr>
          </w:p>
        </w:tc>
        <w:tc>
          <w:tcPr>
            <w:tcW w:w="5989" w:type="dxa"/>
            <w:shd w:val="clear" w:color="auto" w:fill="auto"/>
          </w:tcPr>
          <w:p w:rsidR="00EC6A90" w:rsidRPr="008E538B" w:rsidRDefault="00EC6A90" w:rsidP="00EC6A90">
            <w:pPr>
              <w:pStyle w:val="Normal1linespace"/>
              <w:widowControl w:val="0"/>
              <w:jc w:val="left"/>
            </w:pPr>
          </w:p>
        </w:tc>
      </w:tr>
      <w:tr w:rsidR="00EC6A90" w:rsidTr="00EC6A90">
        <w:tc>
          <w:tcPr>
            <w:tcW w:w="3085" w:type="dxa"/>
            <w:shd w:val="clear" w:color="auto" w:fill="auto"/>
          </w:tcPr>
          <w:p w:rsidR="00EC6A90" w:rsidRPr="008E538B" w:rsidRDefault="00EC6A90" w:rsidP="00EC6A90">
            <w:pPr>
              <w:pStyle w:val="Normal1linespace"/>
              <w:widowControl w:val="0"/>
              <w:jc w:val="left"/>
            </w:pPr>
            <w:r w:rsidRPr="008E538B">
              <w:t>Number of paragraphs:</w:t>
            </w:r>
          </w:p>
        </w:tc>
        <w:tc>
          <w:tcPr>
            <w:tcW w:w="5989" w:type="dxa"/>
            <w:shd w:val="clear" w:color="auto" w:fill="auto"/>
          </w:tcPr>
          <w:p w:rsidR="00EC6A90" w:rsidRPr="008E538B" w:rsidRDefault="00B75B41" w:rsidP="00B75B41">
            <w:pPr>
              <w:pStyle w:val="Normal1linespace"/>
              <w:widowControl w:val="0"/>
              <w:jc w:val="left"/>
            </w:pPr>
            <w:bookmarkStart w:id="7" w:name="PlaceCategoryParagraphs"/>
            <w:r>
              <w:t>58</w:t>
            </w:r>
            <w:bookmarkEnd w:id="7"/>
          </w:p>
        </w:tc>
      </w:tr>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Default="00EC6A90" w:rsidP="00EC6A90">
            <w:pPr>
              <w:pStyle w:val="Normal1linespace"/>
              <w:widowControl w:val="0"/>
              <w:jc w:val="left"/>
            </w:pPr>
          </w:p>
        </w:tc>
      </w:tr>
      <w:tr w:rsidR="00EC6A90" w:rsidTr="00EC6A90">
        <w:tc>
          <w:tcPr>
            <w:tcW w:w="3085" w:type="dxa"/>
            <w:shd w:val="clear" w:color="auto" w:fill="auto"/>
          </w:tcPr>
          <w:p w:rsidR="00EC6A90" w:rsidRDefault="00EC6A90" w:rsidP="00EC6A90">
            <w:pPr>
              <w:pStyle w:val="Normal1linespace"/>
              <w:widowControl w:val="0"/>
              <w:jc w:val="left"/>
            </w:pPr>
            <w:bookmarkStart w:id="8" w:name="Counsel" w:colFirst="0" w:colLast="2"/>
            <w:r>
              <w:t>Counsel for the Applicant:</w:t>
            </w:r>
          </w:p>
        </w:tc>
        <w:tc>
          <w:tcPr>
            <w:tcW w:w="5989" w:type="dxa"/>
            <w:shd w:val="clear" w:color="auto" w:fill="auto"/>
          </w:tcPr>
          <w:p w:rsidR="00EC6A90" w:rsidRDefault="00EC6A90" w:rsidP="00EC6A90">
            <w:pPr>
              <w:pStyle w:val="Normal1linespace"/>
              <w:widowControl w:val="0"/>
              <w:jc w:val="left"/>
            </w:pPr>
            <w:bookmarkStart w:id="9" w:name="AppCounsel"/>
            <w:bookmarkEnd w:id="9"/>
            <w:r>
              <w:t>Mr S R Horgan QC with Mr B J Murphy</w:t>
            </w:r>
          </w:p>
        </w:tc>
      </w:tr>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Default="00EC6A90" w:rsidP="00EC6A90">
            <w:pPr>
              <w:pStyle w:val="Normal1linespace"/>
              <w:widowControl w:val="0"/>
              <w:jc w:val="left"/>
            </w:pPr>
          </w:p>
        </w:tc>
      </w:tr>
      <w:tr w:rsidR="00EC6A90" w:rsidTr="00EC6A90">
        <w:tc>
          <w:tcPr>
            <w:tcW w:w="3085" w:type="dxa"/>
            <w:shd w:val="clear" w:color="auto" w:fill="auto"/>
          </w:tcPr>
          <w:p w:rsidR="00EC6A90" w:rsidRDefault="00EC6A90" w:rsidP="00EC6A90">
            <w:pPr>
              <w:pStyle w:val="Normal1linespace"/>
              <w:widowControl w:val="0"/>
              <w:jc w:val="left"/>
            </w:pPr>
            <w:r>
              <w:t>Solicitor for the Applicant:</w:t>
            </w:r>
          </w:p>
        </w:tc>
        <w:tc>
          <w:tcPr>
            <w:tcW w:w="5989" w:type="dxa"/>
            <w:shd w:val="clear" w:color="auto" w:fill="auto"/>
          </w:tcPr>
          <w:p w:rsidR="00EC6A90" w:rsidRDefault="00EC6A90" w:rsidP="00EC6A90">
            <w:pPr>
              <w:pStyle w:val="Normal1linespace"/>
              <w:widowControl w:val="0"/>
              <w:jc w:val="left"/>
            </w:pPr>
            <w:r>
              <w:t>McCullough Robertson Lawyers</w:t>
            </w:r>
          </w:p>
        </w:tc>
      </w:tr>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Default="00EC6A90" w:rsidP="00EC6A90">
            <w:pPr>
              <w:pStyle w:val="Normal1linespace"/>
              <w:widowControl w:val="0"/>
              <w:jc w:val="left"/>
            </w:pPr>
          </w:p>
        </w:tc>
      </w:tr>
      <w:tr w:rsidR="00EC6A90" w:rsidTr="00EC6A90">
        <w:tc>
          <w:tcPr>
            <w:tcW w:w="3085" w:type="dxa"/>
            <w:shd w:val="clear" w:color="auto" w:fill="auto"/>
          </w:tcPr>
          <w:p w:rsidR="00EC6A90" w:rsidRDefault="00EC6A90" w:rsidP="00EC6A90">
            <w:pPr>
              <w:pStyle w:val="Normal1linespace"/>
              <w:widowControl w:val="0"/>
              <w:jc w:val="left"/>
            </w:pPr>
            <w:r>
              <w:t>Counsel for the Respondents:</w:t>
            </w:r>
          </w:p>
        </w:tc>
        <w:tc>
          <w:tcPr>
            <w:tcW w:w="5989" w:type="dxa"/>
            <w:shd w:val="clear" w:color="auto" w:fill="auto"/>
          </w:tcPr>
          <w:p w:rsidR="00EC6A90" w:rsidRDefault="00EC6A90" w:rsidP="00EC6A90">
            <w:pPr>
              <w:pStyle w:val="Normal1linespace"/>
              <w:widowControl w:val="0"/>
              <w:jc w:val="left"/>
            </w:pPr>
            <w:r>
              <w:t>Mr G McArthur QC</w:t>
            </w:r>
          </w:p>
        </w:tc>
      </w:tr>
      <w:tr w:rsidR="00EC6A90" w:rsidTr="00EC6A90">
        <w:tc>
          <w:tcPr>
            <w:tcW w:w="3085" w:type="dxa"/>
            <w:shd w:val="clear" w:color="auto" w:fill="auto"/>
          </w:tcPr>
          <w:p w:rsidR="00EC6A90" w:rsidRDefault="00EC6A90" w:rsidP="00EC6A90">
            <w:pPr>
              <w:pStyle w:val="Normal1linespace"/>
              <w:widowControl w:val="0"/>
              <w:jc w:val="left"/>
            </w:pPr>
          </w:p>
        </w:tc>
        <w:tc>
          <w:tcPr>
            <w:tcW w:w="5989" w:type="dxa"/>
            <w:shd w:val="clear" w:color="auto" w:fill="auto"/>
          </w:tcPr>
          <w:p w:rsidR="00EC6A90" w:rsidRDefault="00EC6A90" w:rsidP="00EC6A90">
            <w:pPr>
              <w:pStyle w:val="Normal1linespace"/>
              <w:widowControl w:val="0"/>
              <w:jc w:val="left"/>
            </w:pPr>
          </w:p>
        </w:tc>
      </w:tr>
      <w:tr w:rsidR="00EC6A90" w:rsidTr="00EC6A90">
        <w:tc>
          <w:tcPr>
            <w:tcW w:w="3085" w:type="dxa"/>
            <w:shd w:val="clear" w:color="auto" w:fill="auto"/>
          </w:tcPr>
          <w:p w:rsidR="00EC6A90" w:rsidRDefault="00EC6A90" w:rsidP="00EC6A90">
            <w:pPr>
              <w:pStyle w:val="Normal1linespace"/>
              <w:widowControl w:val="0"/>
              <w:jc w:val="left"/>
            </w:pPr>
            <w:r>
              <w:t>Solicitor for the Respondents:</w:t>
            </w:r>
          </w:p>
        </w:tc>
        <w:tc>
          <w:tcPr>
            <w:tcW w:w="5989" w:type="dxa"/>
            <w:shd w:val="clear" w:color="auto" w:fill="auto"/>
          </w:tcPr>
          <w:p w:rsidR="00EC6A90" w:rsidRDefault="00EC6A90" w:rsidP="00EC6A90">
            <w:pPr>
              <w:pStyle w:val="Normal1linespace"/>
              <w:widowControl w:val="0"/>
              <w:jc w:val="left"/>
            </w:pPr>
            <w:r>
              <w:t>Lander and Rogers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D3C48" w:rsidP="00F92355">
            <w:pPr>
              <w:pStyle w:val="NormalHeadings"/>
              <w:jc w:val="right"/>
            </w:pPr>
            <w:bookmarkStart w:id="10" w:name="FileNo"/>
            <w:r>
              <w:t>VID 1170 of 2017</w:t>
            </w:r>
            <w:bookmarkEnd w:id="10"/>
          </w:p>
        </w:tc>
      </w:tr>
      <w:tr w:rsidR="00A76C13" w:rsidTr="00506ED7">
        <w:tc>
          <w:tcPr>
            <w:tcW w:w="9242" w:type="dxa"/>
            <w:gridSpan w:val="3"/>
          </w:tcPr>
          <w:p w:rsidR="00A76C13" w:rsidRPr="00A76C13" w:rsidRDefault="00AD3C48" w:rsidP="00AD3C48">
            <w:pPr>
              <w:pStyle w:val="NormalHeadings"/>
              <w:jc w:val="left"/>
            </w:pPr>
            <w:bookmarkStart w:id="11" w:name="InTheMatterOf"/>
            <w:r>
              <w:t xml:space="preserve"> </w:t>
            </w:r>
            <w:bookmarkEnd w:id="11"/>
          </w:p>
        </w:tc>
      </w:tr>
      <w:tr w:rsidR="00A46CCC" w:rsidTr="00506ED7">
        <w:trPr>
          <w:trHeight w:val="386"/>
        </w:trPr>
        <w:tc>
          <w:tcPr>
            <w:tcW w:w="2376" w:type="dxa"/>
          </w:tcPr>
          <w:p w:rsidR="00A46CCC" w:rsidRDefault="00A46CCC" w:rsidP="00506ED7">
            <w:pPr>
              <w:pStyle w:val="NormalHeadings"/>
              <w:jc w:val="left"/>
              <w:rPr>
                <w:caps/>
                <w:szCs w:val="24"/>
              </w:rPr>
            </w:pPr>
            <w:bookmarkStart w:id="12" w:name="Parties"/>
            <w:r>
              <w:rPr>
                <w:caps/>
                <w:szCs w:val="24"/>
              </w:rPr>
              <w:t>BETWEEN:</w:t>
            </w:r>
          </w:p>
        </w:tc>
        <w:tc>
          <w:tcPr>
            <w:tcW w:w="6866" w:type="dxa"/>
            <w:gridSpan w:val="2"/>
          </w:tcPr>
          <w:p w:rsidR="00AD3C48" w:rsidRDefault="00AD3C48" w:rsidP="00AD3C48">
            <w:pPr>
              <w:pStyle w:val="NormalHeadings"/>
              <w:jc w:val="left"/>
            </w:pPr>
            <w:bookmarkStart w:id="13" w:name="Applicant"/>
            <w:r>
              <w:t>DALBY BIO-REFINERY LTD</w:t>
            </w:r>
          </w:p>
          <w:p w:rsidR="00AD3C48" w:rsidRDefault="00AD3C48" w:rsidP="00AD3C48">
            <w:pPr>
              <w:pStyle w:val="PartyType"/>
            </w:pPr>
            <w:r>
              <w:t>Applicant</w:t>
            </w:r>
          </w:p>
          <w:bookmarkEnd w:id="13"/>
          <w:p w:rsidR="00A46CCC" w:rsidRPr="006555B4" w:rsidRDefault="00A46CCC" w:rsidP="00506ED7">
            <w:pPr>
              <w:pStyle w:val="NormalHeadings"/>
              <w:jc w:val="left"/>
            </w:pPr>
          </w:p>
        </w:tc>
      </w:tr>
      <w:tr w:rsidR="00A46CCC" w:rsidTr="00506ED7">
        <w:trPr>
          <w:trHeight w:val="386"/>
        </w:trPr>
        <w:tc>
          <w:tcPr>
            <w:tcW w:w="2376" w:type="dxa"/>
          </w:tcPr>
          <w:p w:rsidR="00A46CCC" w:rsidRDefault="00A46CCC" w:rsidP="00506ED7">
            <w:pPr>
              <w:pStyle w:val="NormalHeadings"/>
              <w:jc w:val="left"/>
              <w:rPr>
                <w:caps/>
                <w:szCs w:val="24"/>
              </w:rPr>
            </w:pPr>
            <w:r>
              <w:rPr>
                <w:caps/>
                <w:szCs w:val="24"/>
              </w:rPr>
              <w:t>AND:</w:t>
            </w:r>
          </w:p>
        </w:tc>
        <w:tc>
          <w:tcPr>
            <w:tcW w:w="6866" w:type="dxa"/>
            <w:gridSpan w:val="2"/>
          </w:tcPr>
          <w:p w:rsidR="00AD3C48" w:rsidRDefault="00AD3C48" w:rsidP="00AD3C48">
            <w:pPr>
              <w:pStyle w:val="NormalHeadings"/>
              <w:jc w:val="left"/>
            </w:pPr>
            <w:bookmarkStart w:id="14" w:name="Respondent"/>
            <w:r>
              <w:t>ALLIANZ AUSTRALIA INSURANCE LIMITED</w:t>
            </w:r>
          </w:p>
          <w:p w:rsidR="00AD3C48" w:rsidRDefault="00AD3C48" w:rsidP="00AD3C48">
            <w:pPr>
              <w:pStyle w:val="PartyType"/>
            </w:pPr>
            <w:r>
              <w:t>First Respondent</w:t>
            </w:r>
          </w:p>
          <w:p w:rsidR="00AD3C48" w:rsidRDefault="00AD3C48" w:rsidP="00506ED7">
            <w:pPr>
              <w:pStyle w:val="NormalHeadings"/>
              <w:jc w:val="left"/>
              <w:rPr>
                <w:szCs w:val="24"/>
              </w:rPr>
            </w:pPr>
          </w:p>
          <w:p w:rsidR="00AD3C48" w:rsidRDefault="00AD3C48" w:rsidP="00AD3C48">
            <w:pPr>
              <w:pStyle w:val="NormalHeadings"/>
              <w:jc w:val="left"/>
            </w:pPr>
            <w:r>
              <w:t>CHUBB INSURANCE AUSTRALIA LIMITED</w:t>
            </w:r>
          </w:p>
          <w:p w:rsidR="00AD3C48" w:rsidRDefault="00AD3C48" w:rsidP="00AD3C48">
            <w:pPr>
              <w:pStyle w:val="PartyType"/>
            </w:pPr>
            <w:r>
              <w:t>Second Respondent</w:t>
            </w:r>
          </w:p>
          <w:p w:rsidR="00AD3C48" w:rsidRDefault="00AD3C48" w:rsidP="00506ED7">
            <w:pPr>
              <w:pStyle w:val="NormalHeadings"/>
              <w:jc w:val="left"/>
              <w:rPr>
                <w:szCs w:val="24"/>
              </w:rPr>
            </w:pPr>
          </w:p>
          <w:p w:rsidR="00AD3C48" w:rsidRDefault="00AD3C48" w:rsidP="00AD3C48">
            <w:pPr>
              <w:pStyle w:val="NormalHeadings"/>
              <w:jc w:val="left"/>
            </w:pPr>
            <w:r>
              <w:t>ZURICH AUSTRALIAN INSURANCE LIMITED</w:t>
            </w:r>
          </w:p>
          <w:p w:rsidR="00AD3C48" w:rsidRDefault="00AD3C48" w:rsidP="00AD3C48">
            <w:pPr>
              <w:pStyle w:val="PartyType"/>
            </w:pPr>
            <w:r>
              <w:t>Third Respondent</w:t>
            </w:r>
          </w:p>
          <w:bookmarkEnd w:id="14"/>
          <w:p w:rsidR="00A46CCC" w:rsidRPr="006555B4" w:rsidRDefault="00A46CCC" w:rsidP="00506ED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D3C48">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AD3C48">
            <w:pPr>
              <w:pStyle w:val="NormalHeadings"/>
              <w:jc w:val="left"/>
              <w:rPr>
                <w:caps/>
                <w:szCs w:val="24"/>
              </w:rPr>
            </w:pPr>
            <w:bookmarkStart w:id="17" w:name="Judge"/>
            <w:r>
              <w:rPr>
                <w:caps/>
                <w:szCs w:val="24"/>
              </w:rPr>
              <w:t>LEE J</w:t>
            </w:r>
            <w:bookmarkEnd w:id="17"/>
          </w:p>
          <w:p w:rsidR="00AD3C48" w:rsidRDefault="00AD3C48">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D3C48">
            <w:pPr>
              <w:pStyle w:val="NormalHeadings"/>
              <w:jc w:val="left"/>
              <w:rPr>
                <w:caps/>
                <w:szCs w:val="24"/>
              </w:rPr>
            </w:pPr>
            <w:bookmarkStart w:id="18" w:name="Judgment_Dated"/>
            <w:r>
              <w:rPr>
                <w:caps/>
                <w:szCs w:val="24"/>
              </w:rPr>
              <w:t>31 OCTOBER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44E53" w:rsidP="00274F5B">
      <w:pPr>
        <w:pStyle w:val="Order1"/>
      </w:pPr>
      <w:bookmarkStart w:id="19" w:name="Order_Start_Text"/>
      <w:bookmarkEnd w:id="19"/>
      <w:r>
        <w:t>The originating application dated 25 October 2017 be dismissed with costs.</w:t>
      </w:r>
    </w:p>
    <w:p w:rsidR="00F44E53" w:rsidRDefault="00F44E53" w:rsidP="00274F5B">
      <w:pPr>
        <w:pStyle w:val="Order1"/>
      </w:pPr>
      <w:r>
        <w:t xml:space="preserve">The date by which a notice of appeal must be filed pursuant to FCR 36.03(b) is fixed as 14 days after the date on which reasons </w:t>
      </w:r>
      <w:r w:rsidR="00650408">
        <w:t xml:space="preserve">revised from the transcript </w:t>
      </w:r>
      <w:r>
        <w:t>are published.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814673" w:rsidRPr="00045BB7" w:rsidRDefault="00814673" w:rsidP="00814673">
      <w:pPr>
        <w:pStyle w:val="NormalHeadings"/>
        <w:spacing w:line="480" w:lineRule="auto"/>
        <w:jc w:val="center"/>
        <w:rPr>
          <w:sz w:val="28"/>
          <w:szCs w:val="28"/>
        </w:rPr>
      </w:pPr>
      <w:r w:rsidRPr="003966E9">
        <w:rPr>
          <w:sz w:val="28"/>
          <w:szCs w:val="28"/>
        </w:rPr>
        <w:t>Revised from the transcript</w:t>
      </w:r>
    </w:p>
    <w:p w:rsidR="00395B24" w:rsidRDefault="00AD3C48" w:rsidP="005E0510">
      <w:pPr>
        <w:pStyle w:val="NormalHeadings"/>
        <w:spacing w:line="360" w:lineRule="auto"/>
        <w:jc w:val="left"/>
        <w:rPr>
          <w:sz w:val="26"/>
          <w:szCs w:val="26"/>
        </w:rPr>
      </w:pPr>
      <w:r>
        <w:rPr>
          <w:sz w:val="26"/>
          <w:szCs w:val="26"/>
        </w:rPr>
        <w:t>LEE J</w:t>
      </w:r>
      <w:r w:rsidR="00484F6D" w:rsidRPr="00EA03CE">
        <w:rPr>
          <w:sz w:val="26"/>
          <w:szCs w:val="26"/>
        </w:rPr>
        <w:t>:</w:t>
      </w:r>
    </w:p>
    <w:p w:rsidR="00C15B96" w:rsidRPr="00EA03CE" w:rsidRDefault="00C15B96" w:rsidP="00C15B96">
      <w:pPr>
        <w:pStyle w:val="Heading1"/>
      </w:pPr>
      <w:r>
        <w:t>a</w:t>
      </w:r>
      <w:r>
        <w:tab/>
        <w:t>introduction</w:t>
      </w:r>
    </w:p>
    <w:p w:rsidR="00AD3C48" w:rsidRPr="00044AD7" w:rsidRDefault="00C3477D" w:rsidP="00A461F0">
      <w:pPr>
        <w:pStyle w:val="ParaNumbering"/>
      </w:pPr>
      <w:r>
        <w:t>Since July 2015, t</w:t>
      </w:r>
      <w:r w:rsidR="00AD3C48">
        <w:t>he respondents (</w:t>
      </w:r>
      <w:r w:rsidR="00AD3C48" w:rsidRPr="00AD3C48">
        <w:rPr>
          <w:b/>
        </w:rPr>
        <w:t>Insurers</w:t>
      </w:r>
      <w:r w:rsidR="00AD3C48">
        <w:t>)</w:t>
      </w:r>
      <w:r>
        <w:t xml:space="preserve"> </w:t>
      </w:r>
      <w:r w:rsidR="00650408">
        <w:t xml:space="preserve">have </w:t>
      </w:r>
      <w:r w:rsidR="00AD3C48">
        <w:t>insured the applicant (</w:t>
      </w:r>
      <w:r w:rsidR="00AD3C48" w:rsidRPr="00AD3C48">
        <w:rPr>
          <w:b/>
        </w:rPr>
        <w:t>Dalby</w:t>
      </w:r>
      <w:r w:rsidR="00AD3C48">
        <w:t>) pursuant to an industrial special risk</w:t>
      </w:r>
      <w:r w:rsidR="00601174">
        <w:t>s</w:t>
      </w:r>
      <w:r w:rsidR="00AD3C48">
        <w:t xml:space="preserve"> insurance policy (</w:t>
      </w:r>
      <w:r w:rsidR="00AD3C48" w:rsidRPr="00AD3C48">
        <w:rPr>
          <w:b/>
        </w:rPr>
        <w:t>Policy</w:t>
      </w:r>
      <w:r w:rsidR="00AD3C48">
        <w:t>).  Th</w:t>
      </w:r>
      <w:r w:rsidR="00650408">
        <w:t>e P</w:t>
      </w:r>
      <w:r w:rsidR="00AD3C48">
        <w:t>olicy provide</w:t>
      </w:r>
      <w:r>
        <w:t>d</w:t>
      </w:r>
      <w:r w:rsidR="00DF052E">
        <w:t xml:space="preserve"> </w:t>
      </w:r>
      <w:r w:rsidR="00AD3C48">
        <w:t xml:space="preserve">indemnity to Dalby in respect of </w:t>
      </w:r>
      <w:r w:rsidR="00DA50D5">
        <w:t xml:space="preserve">any loss or damage </w:t>
      </w:r>
      <w:r w:rsidR="00DA50D5" w:rsidRPr="00044AD7">
        <w:t xml:space="preserve">at the Dalby </w:t>
      </w:r>
      <w:r w:rsidR="00650408">
        <w:t xml:space="preserve">commercial </w:t>
      </w:r>
      <w:r w:rsidR="00DA50D5" w:rsidRPr="00044AD7">
        <w:t>premises</w:t>
      </w:r>
      <w:r w:rsidR="003F77AB">
        <w:t>, including consequential loss.</w:t>
      </w:r>
      <w:r w:rsidR="00353185">
        <w:t xml:space="preserve"> </w:t>
      </w:r>
      <w:r w:rsidR="00A461F0">
        <w:t>Central to this case, however, is the fact that the indemnity was subject to a number of exceptions.</w:t>
      </w:r>
    </w:p>
    <w:p w:rsidR="00AD3C48" w:rsidRDefault="00AD3C48" w:rsidP="00AD3C48">
      <w:pPr>
        <w:pStyle w:val="ParaNumbering"/>
      </w:pPr>
      <w:r w:rsidRPr="00044AD7">
        <w:t xml:space="preserve">During the currency of the Policy, damage was occasioned to Dalby’s stockpile of dry distillers’ grain and </w:t>
      </w:r>
      <w:proofErr w:type="spellStart"/>
      <w:r w:rsidRPr="00044AD7">
        <w:t>solubles</w:t>
      </w:r>
      <w:proofErr w:type="spellEnd"/>
      <w:r w:rsidRPr="00044AD7">
        <w:t xml:space="preserve"> (</w:t>
      </w:r>
      <w:r w:rsidRPr="00044AD7">
        <w:rPr>
          <w:b/>
        </w:rPr>
        <w:t>Produ</w:t>
      </w:r>
      <w:r w:rsidRPr="00AD3C48">
        <w:rPr>
          <w:b/>
        </w:rPr>
        <w:t>ct</w:t>
      </w:r>
      <w:r>
        <w:t xml:space="preserve">), </w:t>
      </w:r>
      <w:r w:rsidR="00B378A1">
        <w:t xml:space="preserve">which was </w:t>
      </w:r>
      <w:r>
        <w:t>stored at the Dalby Bio-Refinery in four bays</w:t>
      </w:r>
      <w:r w:rsidR="00650408">
        <w:t>:</w:t>
      </w:r>
      <w:r>
        <w:t xml:space="preserve"> </w:t>
      </w:r>
      <w:r w:rsidR="00650408">
        <w:t>known as</w:t>
      </w:r>
      <w:r>
        <w:t xml:space="preserve"> Bay 1, Bay 2, Bay 3 and Bay 4.</w:t>
      </w:r>
    </w:p>
    <w:p w:rsidR="00AD3C48" w:rsidRDefault="00AD3C48" w:rsidP="00D649ED">
      <w:pPr>
        <w:pStyle w:val="ParaNumbering"/>
      </w:pPr>
      <w:r>
        <w:t>At approximately 6.30 am on 2 March 2016</w:t>
      </w:r>
      <w:r w:rsidR="00650408">
        <w:t>,</w:t>
      </w:r>
      <w:r>
        <w:t xml:space="preserve"> smoke was detected in Bay 2.  Queensland Fire and Emergency Services attended the site and conducted tests on small samples which indicated that the Product was unlikely to develop into </w:t>
      </w:r>
      <w:r w:rsidR="00D649ED">
        <w:t>large scale flaming combustion.</w:t>
      </w:r>
      <w:r>
        <w:t xml:space="preserve"> When the stockpile of Product </w:t>
      </w:r>
      <w:r w:rsidR="00B378A1">
        <w:t xml:space="preserve">in Bay 2 </w:t>
      </w:r>
      <w:r>
        <w:t>was opened, there was significant discolouration below the surface</w:t>
      </w:r>
      <w:r w:rsidR="00650408">
        <w:t>,</w:t>
      </w:r>
      <w:r>
        <w:t xml:space="preserve"> while Product near the surface remained pale.  The Product had a “burnt smell” and, as a result, the entire stockpile of the Product in Bay 2 was </w:t>
      </w:r>
      <w:r w:rsidR="00B378A1">
        <w:t>discarded</w:t>
      </w:r>
      <w:r>
        <w:t>.  Subsequent inspection of the Product in Bay</w:t>
      </w:r>
      <w:r w:rsidR="00A461F0">
        <w:t>s</w:t>
      </w:r>
      <w:r w:rsidR="00D649ED">
        <w:t xml:space="preserve"> 1 and 3 uncovered </w:t>
      </w:r>
      <w:r>
        <w:t xml:space="preserve">significant damage and the stockpiles were also </w:t>
      </w:r>
      <w:r w:rsidR="00B378A1">
        <w:t>discarded.</w:t>
      </w:r>
      <w:r>
        <w:t xml:space="preserve">  Bay 4 was in a separate part of the storage shed, was only partially filled</w:t>
      </w:r>
      <w:r w:rsidR="00B378A1">
        <w:t xml:space="preserve"> at the time</w:t>
      </w:r>
      <w:r>
        <w:t xml:space="preserve">, and the Product showed no sign of damage.  </w:t>
      </w:r>
    </w:p>
    <w:p w:rsidR="00AD3C48" w:rsidRDefault="00AD3C48" w:rsidP="00AD3C48">
      <w:pPr>
        <w:pStyle w:val="ParaNumbering"/>
      </w:pPr>
      <w:r>
        <w:t xml:space="preserve">It is common ground </w:t>
      </w:r>
      <w:r w:rsidR="00A461F0">
        <w:t xml:space="preserve">that the Policy responds to </w:t>
      </w:r>
      <w:r>
        <w:t xml:space="preserve">damage occasioned by the </w:t>
      </w:r>
      <w:r w:rsidR="00E068F2">
        <w:t>disposal</w:t>
      </w:r>
      <w:r>
        <w:t xml:space="preserve"> of the Product.  Both parties agreed during the course of the </w:t>
      </w:r>
      <w:r w:rsidR="009D2B5B">
        <w:t xml:space="preserve">final </w:t>
      </w:r>
      <w:r>
        <w:t>hearing this morning that it was appropriate that all issues of liability be determined separately and before issues relating to quantum</w:t>
      </w:r>
      <w:r w:rsidR="009D2B5B">
        <w:t xml:space="preserve"> on a final basis</w:t>
      </w:r>
      <w:r w:rsidR="00A461F0">
        <w:t>,</w:t>
      </w:r>
      <w:r>
        <w:t xml:space="preserve"> as it will be unnecessary to deal with any quantum issues in the event that the exclusion applies.  Accordingly, the sole issue for determination </w:t>
      </w:r>
      <w:r w:rsidR="009D2B5B">
        <w:t xml:space="preserve">presently </w:t>
      </w:r>
      <w:r>
        <w:t>is whether</w:t>
      </w:r>
      <w:r w:rsidR="004A0DB7">
        <w:t xml:space="preserve"> the</w:t>
      </w:r>
      <w:r>
        <w:t xml:space="preserve"> exclusion relied upon by the Insurers is engaged.  That exclusion is in the following terms:  </w:t>
      </w:r>
    </w:p>
    <w:p w:rsidR="00AD3C48" w:rsidRPr="00AD3C48" w:rsidRDefault="00AD3C48" w:rsidP="00AD3C48">
      <w:pPr>
        <w:pStyle w:val="Quote1"/>
        <w:rPr>
          <w:b/>
        </w:rPr>
      </w:pPr>
      <w:r w:rsidRPr="00AD3C48">
        <w:rPr>
          <w:b/>
        </w:rPr>
        <w:t>Perils Exclusions:</w:t>
      </w:r>
    </w:p>
    <w:p w:rsidR="00AD3C48" w:rsidRDefault="00AD3C48" w:rsidP="00AD3C48">
      <w:pPr>
        <w:pStyle w:val="Quote1"/>
      </w:pPr>
      <w:r>
        <w:t>The Insurer(s) shall not be liable … in respect of:-</w:t>
      </w:r>
    </w:p>
    <w:p w:rsidR="00AD3C48" w:rsidRDefault="00307EE2" w:rsidP="00AD3C48">
      <w:pPr>
        <w:pStyle w:val="Quote1"/>
      </w:pPr>
      <w:r>
        <w:t>…</w:t>
      </w:r>
    </w:p>
    <w:p w:rsidR="00AD3C48" w:rsidRDefault="00AD3C48" w:rsidP="00AD3C48">
      <w:pPr>
        <w:pStyle w:val="Quote1"/>
      </w:pPr>
      <w:r>
        <w:lastRenderedPageBreak/>
        <w:t xml:space="preserve">6. </w:t>
      </w:r>
      <w:proofErr w:type="gramStart"/>
      <w:r>
        <w:t>physical</w:t>
      </w:r>
      <w:proofErr w:type="gramEnd"/>
      <w:r>
        <w:t xml:space="preserve"> loss, destruction or damage occasioned by or happening through:-</w:t>
      </w:r>
    </w:p>
    <w:p w:rsidR="00AD3C48" w:rsidRDefault="001A6AEF" w:rsidP="00AD3C48">
      <w:pPr>
        <w:pStyle w:val="Quote1"/>
      </w:pPr>
      <w:r>
        <w:t>…</w:t>
      </w:r>
    </w:p>
    <w:p w:rsidR="00AD3C48" w:rsidRDefault="00AD3C48" w:rsidP="00CD4915">
      <w:pPr>
        <w:pStyle w:val="Quote1"/>
      </w:pPr>
      <w:r>
        <w:t xml:space="preserve">(c) </w:t>
      </w:r>
      <w:r w:rsidR="00CD4915">
        <w:tab/>
      </w:r>
      <w:r>
        <w:t>(</w:t>
      </w:r>
      <w:proofErr w:type="spellStart"/>
      <w:proofErr w:type="gramStart"/>
      <w:r>
        <w:t>i</w:t>
      </w:r>
      <w:proofErr w:type="spellEnd"/>
      <w:proofErr w:type="gramEnd"/>
      <w:r>
        <w:t>) spontaneous combustion</w:t>
      </w:r>
    </w:p>
    <w:p w:rsidR="00AD3C48" w:rsidRDefault="00AD3C48" w:rsidP="001A6AEF">
      <w:pPr>
        <w:pStyle w:val="Quote2"/>
      </w:pPr>
      <w:r>
        <w:t xml:space="preserve">(ii) </w:t>
      </w:r>
      <w:proofErr w:type="gramStart"/>
      <w:r>
        <w:t>spontaneous</w:t>
      </w:r>
      <w:proofErr w:type="gramEnd"/>
      <w:r>
        <w:t xml:space="preserve"> fermentation or heating or any process involving the direct application of heat</w:t>
      </w:r>
    </w:p>
    <w:p w:rsidR="00AD3C48" w:rsidRDefault="00AD3C48" w:rsidP="00AD3C48">
      <w:pPr>
        <w:pStyle w:val="Quote1"/>
      </w:pPr>
      <w:r>
        <w:t>Provided that Perils Exclusions 6(c</w:t>
      </w:r>
      <w:proofErr w:type="gramStart"/>
      <w:r>
        <w:t>)(</w:t>
      </w:r>
      <w:proofErr w:type="spellStart"/>
      <w:proofErr w:type="gramEnd"/>
      <w:r>
        <w:t>i</w:t>
      </w:r>
      <w:proofErr w:type="spellEnd"/>
      <w:r>
        <w:t>) and 6(c)(ii) shall be limited to the item or items immediately affected and shall not extend to other property damaged as a result of such spontaneous combustion, fermentation or heating or process involving the direct application of heat.</w:t>
      </w:r>
    </w:p>
    <w:p w:rsidR="00AD3C48" w:rsidRDefault="00C15B96" w:rsidP="00AD3C48">
      <w:pPr>
        <w:pStyle w:val="Heading1"/>
      </w:pPr>
      <w:r>
        <w:t>B</w:t>
      </w:r>
      <w:r>
        <w:tab/>
      </w:r>
      <w:r w:rsidR="00AD3C48">
        <w:t>Procedural History</w:t>
      </w:r>
    </w:p>
    <w:p w:rsidR="00AD3C48" w:rsidRDefault="00AD3C48" w:rsidP="00AD3C48">
      <w:pPr>
        <w:pStyle w:val="ParaNumbering"/>
      </w:pPr>
      <w:r>
        <w:t>Th</w:t>
      </w:r>
      <w:r w:rsidR="004A0DB7">
        <w:t>is</w:t>
      </w:r>
      <w:r>
        <w:t xml:space="preserve"> matter first came before the Court on 29 November 2017 when, after hearing from the parties as to the limited nature of the dispute, the Chief Justice </w:t>
      </w:r>
      <w:r w:rsidR="00531C33">
        <w:t>asked the parties to consider</w:t>
      </w:r>
      <w:r>
        <w:t xml:space="preserve"> whether or not the Court would be better assisted by the appointment of a referee to </w:t>
      </w:r>
      <w:r w:rsidR="00DF052E">
        <w:t xml:space="preserve">report upon </w:t>
      </w:r>
      <w:r>
        <w:t xml:space="preserve">the circumstances that gave rise to the damage </w:t>
      </w:r>
      <w:r w:rsidR="00DF052E">
        <w:t>(</w:t>
      </w:r>
      <w:r>
        <w:t xml:space="preserve">rather than </w:t>
      </w:r>
      <w:r w:rsidR="00650408">
        <w:t xml:space="preserve">following an interlocutory regime which contemplated </w:t>
      </w:r>
      <w:r>
        <w:t>a stately progression of expert evidence</w:t>
      </w:r>
      <w:r w:rsidR="00DF052E">
        <w:t>)</w:t>
      </w:r>
      <w:r>
        <w:t>.</w:t>
      </w:r>
    </w:p>
    <w:p w:rsidR="00AD3C48" w:rsidRDefault="00AD3C48" w:rsidP="00AD3C48">
      <w:pPr>
        <w:pStyle w:val="ParaNumbering"/>
      </w:pPr>
      <w:r>
        <w:t>Notwithstanding</w:t>
      </w:r>
      <w:r w:rsidR="00531C33">
        <w:t xml:space="preserve"> this,</w:t>
      </w:r>
      <w:r>
        <w:t xml:space="preserve"> the parties proceeded to obt</w:t>
      </w:r>
      <w:r w:rsidR="00204FBA">
        <w:t>ain a volume of expert material. T</w:t>
      </w:r>
      <w:r>
        <w:t xml:space="preserve">he cost of </w:t>
      </w:r>
      <w:r w:rsidR="00204FBA">
        <w:t>this exercise</w:t>
      </w:r>
      <w:r>
        <w:t xml:space="preserve"> would largely have been avoided in the event that earlier attention had been given by the parties </w:t>
      </w:r>
      <w:r w:rsidR="00AF221F">
        <w:t xml:space="preserve">to </w:t>
      </w:r>
      <w:r w:rsidR="004A0DB7">
        <w:t>the p</w:t>
      </w:r>
      <w:r w:rsidR="00AF221F">
        <w:t>ossibility</w:t>
      </w:r>
      <w:r w:rsidR="004A0DB7">
        <w:t xml:space="preserve"> of retaining a</w:t>
      </w:r>
      <w:r>
        <w:t xml:space="preserve"> joint expert or asking</w:t>
      </w:r>
      <w:r w:rsidR="00204FBA">
        <w:t xml:space="preserve"> the Court to appoint a referee</w:t>
      </w:r>
      <w:r>
        <w:t xml:space="preserve">.  </w:t>
      </w:r>
      <w:r w:rsidR="00204FBA">
        <w:t xml:space="preserve">In any event, </w:t>
      </w:r>
      <w:r w:rsidR="00650408">
        <w:t xml:space="preserve">belatedly, </w:t>
      </w:r>
      <w:r w:rsidR="00204FBA">
        <w:t>o</w:t>
      </w:r>
      <w:r>
        <w:t>n 31 May 2018</w:t>
      </w:r>
      <w:r w:rsidR="00650408">
        <w:t>,</w:t>
      </w:r>
      <w:r>
        <w:t xml:space="preserve"> the </w:t>
      </w:r>
      <w:r w:rsidR="002920E7">
        <w:t>I</w:t>
      </w:r>
      <w:r>
        <w:t xml:space="preserve">nsurers applied for the appointment of a referee.  After two </w:t>
      </w:r>
      <w:r w:rsidR="00DF052E">
        <w:t xml:space="preserve">case management </w:t>
      </w:r>
      <w:r>
        <w:t>hearings (the second of which dealt with a contested question as to the identity of the proposed referee), orders were made on 27 July 2018 referring two questions to a referee who had been proposed by Dalby</w:t>
      </w:r>
      <w:r w:rsidR="00E73227">
        <w:t>,</w:t>
      </w:r>
      <w:r>
        <w:t xml:space="preserve"> being Dr Rodney Weber. </w:t>
      </w:r>
    </w:p>
    <w:p w:rsidR="00AD3C48" w:rsidRDefault="00AD3C48" w:rsidP="00AD3C48">
      <w:pPr>
        <w:pStyle w:val="ParaNumbering"/>
      </w:pPr>
      <w:r>
        <w:t xml:space="preserve">On 31 August 2018, Dr Weber issued a report which was adopted by the Court </w:t>
      </w:r>
      <w:r w:rsidR="00AF221F">
        <w:t xml:space="preserve">by consent </w:t>
      </w:r>
      <w:r>
        <w:t>on 24 September 2018</w:t>
      </w:r>
      <w:r w:rsidR="00AF221F">
        <w:t xml:space="preserve"> (</w:t>
      </w:r>
      <w:r w:rsidR="00AF221F">
        <w:rPr>
          <w:b/>
        </w:rPr>
        <w:t>Referee Report</w:t>
      </w:r>
      <w:r w:rsidR="00AF221F">
        <w:t>)</w:t>
      </w:r>
      <w:r>
        <w:t xml:space="preserve">.  </w:t>
      </w:r>
      <w:r w:rsidR="000D5446">
        <w:t>A</w:t>
      </w:r>
      <w:r w:rsidRPr="00353185">
        <w:t>t th</w:t>
      </w:r>
      <w:r w:rsidR="00E73227">
        <w:t>at same hearing</w:t>
      </w:r>
      <w:r w:rsidR="000D5446">
        <w:t>,</w:t>
      </w:r>
      <w:r w:rsidRPr="00353185">
        <w:t xml:space="preserve"> an order was made for</w:t>
      </w:r>
      <w:r>
        <w:t xml:space="preserve"> the provision of a supplementary report</w:t>
      </w:r>
      <w:r w:rsidR="00AF221F">
        <w:t xml:space="preserve"> (</w:t>
      </w:r>
      <w:r w:rsidR="00AF221F">
        <w:rPr>
          <w:b/>
        </w:rPr>
        <w:t>Supplementary Report</w:t>
      </w:r>
      <w:r w:rsidR="00AF221F">
        <w:t xml:space="preserve">). The purpose of </w:t>
      </w:r>
      <w:r w:rsidR="00AF221F" w:rsidRPr="00650408">
        <w:t xml:space="preserve">this </w:t>
      </w:r>
      <w:r w:rsidR="00650408" w:rsidRPr="00650408">
        <w:t>Supplementary Report</w:t>
      </w:r>
      <w:r w:rsidR="00AF221F" w:rsidRPr="00650408">
        <w:t xml:space="preserve"> was</w:t>
      </w:r>
      <w:r w:rsidR="00AF221F">
        <w:t xml:space="preserve"> to clarify an issue raised by the Referee Report that remained in contention between the parties.  The</w:t>
      </w:r>
      <w:r>
        <w:t xml:space="preserve"> </w:t>
      </w:r>
      <w:r w:rsidR="00AF221F">
        <w:t>S</w:t>
      </w:r>
      <w:r>
        <w:t xml:space="preserve">upplementary </w:t>
      </w:r>
      <w:r w:rsidR="00AF221F">
        <w:t>R</w:t>
      </w:r>
      <w:r>
        <w:t>eport was provided to the Court on 17 October 2018 and the parties</w:t>
      </w:r>
      <w:r w:rsidR="00DF052E">
        <w:t xml:space="preserve"> thereafter</w:t>
      </w:r>
      <w:r>
        <w:t xml:space="preserve"> provided </w:t>
      </w:r>
      <w:r w:rsidR="00DF052E">
        <w:t xml:space="preserve">written and oral </w:t>
      </w:r>
      <w:r>
        <w:t>submissions as to whether</w:t>
      </w:r>
      <w:r w:rsidR="00DF052E">
        <w:t>: (a)</w:t>
      </w:r>
      <w:r>
        <w:t xml:space="preserve"> th</w:t>
      </w:r>
      <w:r w:rsidR="00AF221F">
        <w:t>e</w:t>
      </w:r>
      <w:r>
        <w:t xml:space="preserve"> </w:t>
      </w:r>
      <w:r w:rsidR="00AF221F">
        <w:t>S</w:t>
      </w:r>
      <w:r>
        <w:t xml:space="preserve">upplementary </w:t>
      </w:r>
      <w:r w:rsidR="00AF221F">
        <w:t>R</w:t>
      </w:r>
      <w:r>
        <w:t>eport should be adopted</w:t>
      </w:r>
      <w:r w:rsidR="00DF052E">
        <w:t xml:space="preserve">; and (b) </w:t>
      </w:r>
      <w:r w:rsidR="00AF221F">
        <w:t xml:space="preserve">the determinative issue of </w:t>
      </w:r>
      <w:r>
        <w:t>liability</w:t>
      </w:r>
      <w:r w:rsidR="00AF221F">
        <w:t xml:space="preserve">, being </w:t>
      </w:r>
      <w:r>
        <w:t xml:space="preserve">whether the exception was engaged. </w:t>
      </w:r>
    </w:p>
    <w:p w:rsidR="00AD3C48" w:rsidRDefault="00AD3C48" w:rsidP="00AD3C48">
      <w:pPr>
        <w:pStyle w:val="ParaNumbering"/>
      </w:pPr>
      <w:r>
        <w:t xml:space="preserve">At the hearing today, again by consent between the parties, the </w:t>
      </w:r>
      <w:r w:rsidR="00044AD7">
        <w:t>S</w:t>
      </w:r>
      <w:r>
        <w:t xml:space="preserve">upplementary </w:t>
      </w:r>
      <w:r w:rsidR="00044AD7">
        <w:t>R</w:t>
      </w:r>
      <w:r>
        <w:t>eport was adopted.  At the hearing</w:t>
      </w:r>
      <w:r w:rsidR="00044AD7">
        <w:t>,</w:t>
      </w:r>
      <w:r>
        <w:t xml:space="preserve"> </w:t>
      </w:r>
      <w:r w:rsidR="00AF221F">
        <w:t>the Referee Report and the Supplementary Report</w:t>
      </w:r>
      <w:r>
        <w:t xml:space="preserve"> </w:t>
      </w:r>
      <w:r w:rsidR="00E73227">
        <w:t xml:space="preserve">(together, the </w:t>
      </w:r>
      <w:r w:rsidR="00963BC2" w:rsidRPr="00963BC2">
        <w:rPr>
          <w:b/>
        </w:rPr>
        <w:lastRenderedPageBreak/>
        <w:t>Reports</w:t>
      </w:r>
      <w:r w:rsidR="00963BC2">
        <w:t xml:space="preserve">) </w:t>
      </w:r>
      <w:r>
        <w:t xml:space="preserve">were </w:t>
      </w:r>
      <w:r w:rsidR="00AF221F">
        <w:t xml:space="preserve">both </w:t>
      </w:r>
      <w:r w:rsidR="00DF052E">
        <w:t xml:space="preserve">before the Court (as having been adopted) and the </w:t>
      </w:r>
      <w:r w:rsidR="000D5446">
        <w:t>Policy</w:t>
      </w:r>
      <w:r w:rsidR="00DF052E">
        <w:t xml:space="preserve"> was tendered</w:t>
      </w:r>
      <w:r w:rsidR="000D5446">
        <w:t xml:space="preserve">. </w:t>
      </w:r>
      <w:r>
        <w:t xml:space="preserve">This </w:t>
      </w:r>
      <w:r w:rsidR="00AF221F">
        <w:t>constituted</w:t>
      </w:r>
      <w:r>
        <w:t xml:space="preserve"> the entirety of the evidence on the hearing.  </w:t>
      </w:r>
    </w:p>
    <w:p w:rsidR="00AD3C48" w:rsidRDefault="00C15B96" w:rsidP="00AD3C48">
      <w:pPr>
        <w:pStyle w:val="Heading1"/>
      </w:pPr>
      <w:r>
        <w:t>C</w:t>
      </w:r>
      <w:r>
        <w:tab/>
      </w:r>
      <w:r w:rsidR="00AD3C48">
        <w:t xml:space="preserve">Findings </w:t>
      </w:r>
      <w:r w:rsidR="00B22ACC">
        <w:t>a</w:t>
      </w:r>
      <w:r w:rsidR="00AD3C48">
        <w:t xml:space="preserve">rising from the </w:t>
      </w:r>
      <w:r w:rsidR="00B22ACC">
        <w:t>r</w:t>
      </w:r>
      <w:r w:rsidR="00AD3C48">
        <w:t>eports</w:t>
      </w:r>
    </w:p>
    <w:p w:rsidR="00AD3C48" w:rsidRDefault="00AD3C48" w:rsidP="00AD3C48">
      <w:pPr>
        <w:pStyle w:val="ParaNumbering"/>
      </w:pPr>
      <w:r>
        <w:t xml:space="preserve">On 27 July 2018 the referee was asked to address two questions.  They are worth setting out in full: </w:t>
      </w:r>
    </w:p>
    <w:p w:rsidR="00B22ACC" w:rsidRDefault="00963BC2" w:rsidP="00963BC2">
      <w:pPr>
        <w:pStyle w:val="Quote1"/>
        <w:ind w:left="1440" w:hanging="703"/>
      </w:pPr>
      <w:r>
        <w:t>1</w:t>
      </w:r>
      <w:r w:rsidR="00B22ACC">
        <w:tab/>
        <w:t>Whether, in the opinion of the referee, it is more likely than not</w:t>
      </w:r>
      <w:r w:rsidR="00044AD7">
        <w:t>,</w:t>
      </w:r>
      <w:r w:rsidR="00B22ACC">
        <w:t xml:space="preserve"> that the damage to the Applicant’s product (stockpiles of dry </w:t>
      </w:r>
      <w:proofErr w:type="gramStart"/>
      <w:r w:rsidR="00B22ACC">
        <w:t>distillers</w:t>
      </w:r>
      <w:proofErr w:type="gramEnd"/>
      <w:r w:rsidR="00B22ACC">
        <w:t xml:space="preserve"> grain and </w:t>
      </w:r>
      <w:proofErr w:type="spellStart"/>
      <w:r w:rsidR="00B22ACC">
        <w:t>solubles</w:t>
      </w:r>
      <w:proofErr w:type="spellEnd"/>
      <w:r w:rsidR="00B22ACC">
        <w:t>) was occasioned by or happened through: (</w:t>
      </w:r>
      <w:proofErr w:type="spellStart"/>
      <w:r w:rsidR="00B22ACC">
        <w:t>i</w:t>
      </w:r>
      <w:proofErr w:type="spellEnd"/>
      <w:r w:rsidR="00B22ACC">
        <w:t>) spontaneous combustion of the product; (ii) or spontaneous fermentation; (iii) or heating; (iv) or any process involving the direct application of heat.</w:t>
      </w:r>
    </w:p>
    <w:p w:rsidR="00AD3C48" w:rsidRDefault="00963BC2" w:rsidP="00963BC2">
      <w:pPr>
        <w:pStyle w:val="Quote1"/>
        <w:ind w:left="1440" w:hanging="703"/>
      </w:pPr>
      <w:r>
        <w:t>2</w:t>
      </w:r>
      <w:r w:rsidR="00B22ACC">
        <w:tab/>
        <w:t xml:space="preserve">Whether, in the opinion of the referee, it </w:t>
      </w:r>
      <w:proofErr w:type="spellStart"/>
      <w:r w:rsidR="00B22ACC">
        <w:t>it</w:t>
      </w:r>
      <w:proofErr w:type="spellEnd"/>
      <w:r w:rsidR="00B22ACC">
        <w:t xml:space="preserve"> is more likely than not</w:t>
      </w:r>
      <w:r w:rsidR="00044AD7">
        <w:t>,</w:t>
      </w:r>
      <w:r w:rsidR="00B22ACC">
        <w:t xml:space="preserve"> that the damage to the Applicant’s product was occasioned by or happened through some other process and, if so, what caused the damage.</w:t>
      </w:r>
    </w:p>
    <w:p w:rsidR="00F818FA" w:rsidRDefault="00F818FA" w:rsidP="00F818FA">
      <w:pPr>
        <w:pStyle w:val="ParaNumbering"/>
      </w:pPr>
      <w:r>
        <w:t xml:space="preserve">Following the filing </w:t>
      </w:r>
      <w:r w:rsidR="000D5446">
        <w:t xml:space="preserve">(but prior to </w:t>
      </w:r>
      <w:r w:rsidR="00F07D69">
        <w:t xml:space="preserve">the </w:t>
      </w:r>
      <w:r w:rsidR="000D5446">
        <w:t xml:space="preserve">adoption) </w:t>
      </w:r>
      <w:r>
        <w:t xml:space="preserve">of the Referee Report, Dalby submitted that the report was not pellucid in that it referred to the term “self-heating”.  Reference was made to earlier expert reports </w:t>
      </w:r>
      <w:r w:rsidR="009D2B5B">
        <w:t>(</w:t>
      </w:r>
      <w:r>
        <w:t>not in evidence</w:t>
      </w:r>
      <w:r w:rsidR="009D2B5B">
        <w:t xml:space="preserve"> on the final hearing)</w:t>
      </w:r>
      <w:r>
        <w:t xml:space="preserve"> to suggest that there was an important scientific distinction between </w:t>
      </w:r>
      <w:r w:rsidR="000D5446">
        <w:t>“</w:t>
      </w:r>
      <w:r>
        <w:t>self-heating</w:t>
      </w:r>
      <w:r w:rsidR="000D5446">
        <w:t>”</w:t>
      </w:r>
      <w:r>
        <w:t xml:space="preserve"> and </w:t>
      </w:r>
      <w:r w:rsidR="000D5446">
        <w:t>“</w:t>
      </w:r>
      <w:r>
        <w:t>spontaneous combustion</w:t>
      </w:r>
      <w:r w:rsidR="000D5446">
        <w:t>”</w:t>
      </w:r>
      <w:r>
        <w:t xml:space="preserve">, and that the Referee Report did not explain what led to the combustion and damage to the Product.  It was in these circumstances that an application was made for the referee to answer further questions aimed at clarifying this issue.  This occurred by direction being made pursuant to FCR 28.67(1)(b) that the referee explain by further report: </w:t>
      </w:r>
    </w:p>
    <w:p w:rsidR="00F818FA" w:rsidRDefault="005707C6" w:rsidP="005707C6">
      <w:pPr>
        <w:pStyle w:val="Quote1"/>
        <w:ind w:left="1440" w:hanging="703"/>
      </w:pPr>
      <w:r>
        <w:t>(a)</w:t>
      </w:r>
      <w:r>
        <w:tab/>
      </w:r>
      <w:r w:rsidR="00F818FA">
        <w:t>whether his conclusions that the damage to the Applicant’s product was occasioned by or happened through self-heating means that damage was occasioned by or happened through spontaneous heating;</w:t>
      </w:r>
    </w:p>
    <w:p w:rsidR="00F818FA" w:rsidRDefault="005707C6" w:rsidP="005707C6">
      <w:pPr>
        <w:pStyle w:val="Quote1"/>
      </w:pPr>
      <w:r>
        <w:t>(b)</w:t>
      </w:r>
      <w:r>
        <w:tab/>
      </w:r>
      <w:proofErr w:type="gramStart"/>
      <w:r w:rsidR="00F818FA">
        <w:t>if</w:t>
      </w:r>
      <w:proofErr w:type="gramEnd"/>
      <w:r w:rsidR="00F818FA">
        <w:t xml:space="preserve"> the answer to question (a) is either yes or no, please explain; and</w:t>
      </w:r>
    </w:p>
    <w:p w:rsidR="00F818FA" w:rsidRDefault="005707C6" w:rsidP="005707C6">
      <w:pPr>
        <w:pStyle w:val="Quote1"/>
      </w:pPr>
      <w:r>
        <w:t>(c)</w:t>
      </w:r>
      <w:r>
        <w:tab/>
      </w:r>
      <w:proofErr w:type="gramStart"/>
      <w:r w:rsidR="00F818FA">
        <w:t>if</w:t>
      </w:r>
      <w:proofErr w:type="gramEnd"/>
      <w:r w:rsidR="00F818FA">
        <w:t xml:space="preserve"> the answer to question (a) is not necessarily, please explain.</w:t>
      </w:r>
    </w:p>
    <w:p w:rsidR="00AD3C48" w:rsidRDefault="00AD3C48" w:rsidP="00AD3C48">
      <w:pPr>
        <w:pStyle w:val="ParaNumbering"/>
      </w:pPr>
      <w:r>
        <w:t xml:space="preserve">During the course of oral </w:t>
      </w:r>
      <w:r w:rsidR="00044AD7">
        <w:t>submissions</w:t>
      </w:r>
      <w:r>
        <w:t xml:space="preserve"> today</w:t>
      </w:r>
      <w:r w:rsidR="000D5446">
        <w:t>,</w:t>
      </w:r>
      <w:r>
        <w:t xml:space="preserve"> it was accepted by Mr Horgan QC </w:t>
      </w:r>
      <w:r w:rsidR="009D2B5B">
        <w:t>(</w:t>
      </w:r>
      <w:r>
        <w:t>who appeared with Mr Murphy on behalf of Dalby</w:t>
      </w:r>
      <w:r w:rsidR="009D2B5B">
        <w:t>)</w:t>
      </w:r>
      <w:r>
        <w:t xml:space="preserve"> that the referee</w:t>
      </w:r>
      <w:r w:rsidR="00963BC2">
        <w:t>’s</w:t>
      </w:r>
      <w:r>
        <w:t xml:space="preserve"> opinion</w:t>
      </w:r>
      <w:r w:rsidR="00963BC2">
        <w:t>, as demonstrated by the Reports, was that it was</w:t>
      </w:r>
      <w:r>
        <w:t xml:space="preserve"> more likely than not that the damage to the Product was occasioned by or happened through </w:t>
      </w:r>
      <w:r w:rsidR="009D2B5B">
        <w:t xml:space="preserve">the process of </w:t>
      </w:r>
      <w:r>
        <w:t xml:space="preserve">self-heating.  This was plainly correct.  If one looks at the </w:t>
      </w:r>
      <w:r w:rsidR="00963BC2">
        <w:t>Referee Report</w:t>
      </w:r>
      <w:r w:rsidR="009D2B5B">
        <w:t>,</w:t>
      </w:r>
      <w:r w:rsidR="00963BC2">
        <w:t xml:space="preserve"> </w:t>
      </w:r>
      <w:r>
        <w:t xml:space="preserve">this conclusion is expressed on five separate occasions with the referee noting:  </w:t>
      </w:r>
    </w:p>
    <w:p w:rsidR="00AD3C48" w:rsidRDefault="00AD3C48" w:rsidP="00963BC2">
      <w:pPr>
        <w:pStyle w:val="Quote1"/>
        <w:ind w:left="1440" w:hanging="703"/>
      </w:pPr>
      <w:r>
        <w:t>(</w:t>
      </w:r>
      <w:proofErr w:type="spellStart"/>
      <w:r>
        <w:t>i</w:t>
      </w:r>
      <w:proofErr w:type="spellEnd"/>
      <w:r>
        <w:t>)</w:t>
      </w:r>
      <w:r>
        <w:tab/>
        <w:t>In my opinion the damage to the [Product] was most likely occasioned by or happen</w:t>
      </w:r>
      <w:r w:rsidR="004D444D">
        <w:t>ed</w:t>
      </w:r>
      <w:r w:rsidR="00D706FC">
        <w:t xml:space="preserve"> through self-</w:t>
      </w:r>
      <w:r w:rsidR="00963BC2">
        <w:t>heatin</w:t>
      </w:r>
      <w:r w:rsidR="00963BC2" w:rsidRPr="00CB708E">
        <w:t>g.</w:t>
      </w:r>
    </w:p>
    <w:p w:rsidR="00AD3C48" w:rsidRDefault="00AD3C48" w:rsidP="00963BC2">
      <w:pPr>
        <w:pStyle w:val="Quote1"/>
      </w:pPr>
      <w:r>
        <w:t>(</w:t>
      </w:r>
      <w:proofErr w:type="gramStart"/>
      <w:r>
        <w:t>ii</w:t>
      </w:r>
      <w:proofErr w:type="gramEnd"/>
      <w:r>
        <w:t>)</w:t>
      </w:r>
      <w:r>
        <w:tab/>
        <w:t xml:space="preserve">The most probable cause </w:t>
      </w:r>
      <w:r w:rsidR="004D444D">
        <w:t>of</w:t>
      </w:r>
      <w:r w:rsidR="00CB708E">
        <w:t xml:space="preserve"> the</w:t>
      </w:r>
      <w:r w:rsidR="004D444D">
        <w:t xml:space="preserve"> </w:t>
      </w:r>
      <w:r>
        <w:t xml:space="preserve">damage </w:t>
      </w:r>
      <w:r w:rsidR="009F518C">
        <w:t>to the [</w:t>
      </w:r>
      <w:r w:rsidR="00D706FC">
        <w:t>Product] is self-</w:t>
      </w:r>
      <w:r>
        <w:t>heating</w:t>
      </w:r>
      <w:r w:rsidR="00CB708E">
        <w:t>.</w:t>
      </w:r>
    </w:p>
    <w:p w:rsidR="00AD3C48" w:rsidRDefault="004D444D" w:rsidP="00963BC2">
      <w:pPr>
        <w:pStyle w:val="Quote1"/>
      </w:pPr>
      <w:r>
        <w:t>(iii)</w:t>
      </w:r>
      <w:r>
        <w:tab/>
        <w:t xml:space="preserve">The observations that: </w:t>
      </w:r>
    </w:p>
    <w:p w:rsidR="00963BC2" w:rsidRDefault="004D444D" w:rsidP="00963BC2">
      <w:pPr>
        <w:pStyle w:val="Quote2Bullet"/>
      </w:pPr>
      <w:r>
        <w:lastRenderedPageBreak/>
        <w:t xml:space="preserve">product in the first Bay to be filled; namely Bay 2, which was where the smoke and localised flaming was first noticed, had reached a temperature in excess of 65 degrees Celsius, had a burnt smell and was found to </w:t>
      </w:r>
      <w:r w:rsidR="00963BC2">
        <w:t>be damaged within the stockpile;</w:t>
      </w:r>
    </w:p>
    <w:p w:rsidR="00963BC2" w:rsidRDefault="004D444D" w:rsidP="00963BC2">
      <w:pPr>
        <w:pStyle w:val="Quote2Bullet"/>
      </w:pPr>
      <w:r>
        <w:t>product in the next Bay to be filled; namely Bay 1, had also reached a temperature of 65 degrees Celsius and was found to have simi</w:t>
      </w:r>
      <w:r w:rsidR="00963BC2">
        <w:t>lar damage within the stockpile; and</w:t>
      </w:r>
    </w:p>
    <w:p w:rsidR="004D444D" w:rsidRDefault="004D444D" w:rsidP="00963BC2">
      <w:pPr>
        <w:pStyle w:val="Quote2Bullet"/>
      </w:pPr>
      <w:r>
        <w:t>the last Bay to</w:t>
      </w:r>
      <w:r w:rsidR="00CB708E">
        <w:t xml:space="preserve"> [be]</w:t>
      </w:r>
      <w:r>
        <w:t xml:space="preserve"> filled; namely Bay 3, was also found to have product damage (no temperature measurements given) b</w:t>
      </w:r>
      <w:r w:rsidR="00963BC2">
        <w:t>ut deeper within the stockpile</w:t>
      </w:r>
      <w:r w:rsidR="00CB708E">
        <w:t>;</w:t>
      </w:r>
    </w:p>
    <w:p w:rsidR="004D444D" w:rsidRDefault="004D444D" w:rsidP="00963BC2">
      <w:pPr>
        <w:pStyle w:val="Quote1"/>
        <w:ind w:left="1440"/>
      </w:pPr>
      <w:proofErr w:type="gramStart"/>
      <w:r>
        <w:t>lead</w:t>
      </w:r>
      <w:proofErr w:type="gramEnd"/>
      <w:r>
        <w:t xml:space="preserve"> me to conclude that the most probable cause of the damage to the </w:t>
      </w:r>
      <w:r w:rsidR="00D706FC">
        <w:t>[Product] was self-</w:t>
      </w:r>
      <w:r w:rsidR="00963BC2">
        <w:t>heating</w:t>
      </w:r>
      <w:r w:rsidR="00CB708E">
        <w:t>.</w:t>
      </w:r>
    </w:p>
    <w:p w:rsidR="00D124D3" w:rsidRDefault="00D124D3" w:rsidP="00963BC2">
      <w:pPr>
        <w:pStyle w:val="Quote1"/>
        <w:ind w:left="1440" w:hanging="703"/>
      </w:pPr>
      <w:r>
        <w:t>(</w:t>
      </w:r>
      <w:proofErr w:type="gramStart"/>
      <w:r>
        <w:t>iv</w:t>
      </w:r>
      <w:proofErr w:type="gramEnd"/>
      <w:r>
        <w:t>)</w:t>
      </w:r>
      <w:r>
        <w:tab/>
        <w:t>The most probable cause of the bulk of the d</w:t>
      </w:r>
      <w:r w:rsidR="00D706FC">
        <w:t>amage to the [Product] is self-</w:t>
      </w:r>
      <w:r w:rsidR="00963BC2">
        <w:t>heating</w:t>
      </w:r>
      <w:r w:rsidR="00CB708E">
        <w:t>.</w:t>
      </w:r>
    </w:p>
    <w:p w:rsidR="00AD3C48" w:rsidRPr="00963BC2" w:rsidRDefault="00D124D3" w:rsidP="00963BC2">
      <w:pPr>
        <w:pStyle w:val="Quote1"/>
        <w:ind w:left="1440" w:hanging="703"/>
      </w:pPr>
      <w:r w:rsidRPr="00963BC2">
        <w:t>(</w:t>
      </w:r>
      <w:r w:rsidR="00AD3C48" w:rsidRPr="00963BC2">
        <w:t>v)</w:t>
      </w:r>
      <w:r w:rsidR="00AD3C48" w:rsidRPr="00963BC2">
        <w:tab/>
        <w:t xml:space="preserve">One cannot be absolutely certain </w:t>
      </w:r>
      <w:r w:rsidR="004D444D" w:rsidRPr="00963BC2">
        <w:t xml:space="preserve">of </w:t>
      </w:r>
      <w:r w:rsidR="00AD3C48" w:rsidRPr="00963BC2">
        <w:t>the most probable ca</w:t>
      </w:r>
      <w:r w:rsidR="00963BC2">
        <w:t xml:space="preserve">use of damage to the [Product]. </w:t>
      </w:r>
      <w:r w:rsidR="00AD3C48">
        <w:t>Unfortunately, based upon the information and materials available, it is not possible to identi</w:t>
      </w:r>
      <w:r w:rsidR="009F518C">
        <w:t>fy a single cause for the sel</w:t>
      </w:r>
      <w:r w:rsidR="00D706FC">
        <w:t>f-</w:t>
      </w:r>
      <w:r w:rsidR="00AD3C48">
        <w:t>heating which probably led to combustion and damage of the [Product].  It may well be that all of the factors identified above acted together to cause the damag</w:t>
      </w:r>
      <w:r w:rsidR="009F518C">
        <w:t>e, but without conducting large scale tests, it is likely that</w:t>
      </w:r>
      <w:r w:rsidR="00AD3C48">
        <w:t xml:space="preserve"> detailed causal re</w:t>
      </w:r>
      <w:r w:rsidR="00CB708E">
        <w:t>lationships will remain unknown.</w:t>
      </w:r>
    </w:p>
    <w:p w:rsidR="00AD3C48" w:rsidRDefault="00AD3C48" w:rsidP="00AD3C48">
      <w:pPr>
        <w:pStyle w:val="ParaNumbering"/>
      </w:pPr>
      <w:r>
        <w:t xml:space="preserve">Further, in the </w:t>
      </w:r>
      <w:r w:rsidR="00963BC2">
        <w:t>S</w:t>
      </w:r>
      <w:r>
        <w:t xml:space="preserve">upplementary </w:t>
      </w:r>
      <w:r w:rsidR="00963BC2">
        <w:t>R</w:t>
      </w:r>
      <w:r>
        <w:t xml:space="preserve">eport, the referee noted: </w:t>
      </w:r>
    </w:p>
    <w:p w:rsidR="00D90A45" w:rsidRDefault="00AD3C48" w:rsidP="00963BC2">
      <w:pPr>
        <w:pStyle w:val="Quote1"/>
      </w:pPr>
      <w:r>
        <w:t>Unfortunately, it is not possible to be certain of all the factors that contributed to the product damage in the current case.  In particular, the cause of the observed flaming combustion on 2 March 2016 cannot</w:t>
      </w:r>
      <w:r w:rsidR="00D90A45">
        <w:t xml:space="preserve"> be determined with certainty; </w:t>
      </w:r>
      <w:r>
        <w:t xml:space="preserve">it may have been self-heating reaching criticality, but it may have been the result of </w:t>
      </w:r>
      <w:r w:rsidR="00D90A45">
        <w:t xml:space="preserve">a more complex mix of factors. </w:t>
      </w:r>
    </w:p>
    <w:p w:rsidR="00AD3C48" w:rsidRDefault="00AD3C48" w:rsidP="00963BC2">
      <w:pPr>
        <w:pStyle w:val="Quote1"/>
      </w:pPr>
      <w:r>
        <w:t xml:space="preserve">In my opinion the most probable cause of damage to </w:t>
      </w:r>
      <w:r w:rsidR="00D90A45">
        <w:t>the [Product] was self-heating a</w:t>
      </w:r>
      <w:r>
        <w:t>n</w:t>
      </w:r>
      <w:r w:rsidR="00D90A45">
        <w:t>d</w:t>
      </w:r>
      <w:r>
        <w:t xml:space="preserve"> the observations on</w:t>
      </w:r>
      <w:r w:rsidR="00D90A45">
        <w:t xml:space="preserve"> the</w:t>
      </w:r>
      <w:r>
        <w:t xml:space="preserve"> 2</w:t>
      </w:r>
      <w:r w:rsidR="00D90A45">
        <w:t>nd</w:t>
      </w:r>
      <w:r>
        <w:t xml:space="preserve"> March 2016 were </w:t>
      </w:r>
      <w:r w:rsidR="00D90A45">
        <w:t xml:space="preserve">an </w:t>
      </w:r>
      <w:r>
        <w:t>alert that product d</w:t>
      </w:r>
      <w:r w:rsidR="00D90A45">
        <w:t>amage had occurred.</w:t>
      </w:r>
    </w:p>
    <w:p w:rsidR="00D37AC9" w:rsidRPr="009D2B5B" w:rsidRDefault="00AD3C48" w:rsidP="00DE3F6A">
      <w:pPr>
        <w:pStyle w:val="ParaNumbering"/>
      </w:pPr>
      <w:r>
        <w:t xml:space="preserve">The question </w:t>
      </w:r>
      <w:r w:rsidR="00F6744D">
        <w:t>posed</w:t>
      </w:r>
      <w:r>
        <w:t xml:space="preserve"> to the referee was framed deliberately in terms of probabilities.  That is, whether it was </w:t>
      </w:r>
      <w:r w:rsidR="00D90A45">
        <w:t>“</w:t>
      </w:r>
      <w:r>
        <w:t>more likely than not</w:t>
      </w:r>
      <w:r w:rsidR="00D90A45">
        <w:t>”</w:t>
      </w:r>
      <w:r>
        <w:t xml:space="preserve"> that damage to the Product </w:t>
      </w:r>
      <w:r w:rsidR="00D90A45">
        <w:t>“</w:t>
      </w:r>
      <w:r>
        <w:t>was occasioned by or happened through</w:t>
      </w:r>
      <w:r w:rsidR="00D90A45">
        <w:t>”</w:t>
      </w:r>
      <w:r>
        <w:t xml:space="preserve"> one or other of the matters specified in the perils exclusion clause.  The question for the Court after construing the terms of the exclusion </w:t>
      </w:r>
      <w:r w:rsidR="00F818FA">
        <w:t>is</w:t>
      </w:r>
      <w:r w:rsidR="008C6919">
        <w:t xml:space="preserve"> </w:t>
      </w:r>
      <w:r>
        <w:t>whether a cause, being a relevant proximate cause</w:t>
      </w:r>
      <w:r w:rsidR="008C6919">
        <w:t>,</w:t>
      </w:r>
      <w:r>
        <w:t xml:space="preserve"> </w:t>
      </w:r>
      <w:r w:rsidRPr="009D2B5B">
        <w:t>was one which was encompassed by the contractual exclusi</w:t>
      </w:r>
      <w:r w:rsidR="008C43A3" w:rsidRPr="009D2B5B">
        <w:t xml:space="preserve">on agreed between the parties: </w:t>
      </w:r>
      <w:r w:rsidRPr="009D2B5B">
        <w:t>see</w:t>
      </w:r>
      <w:r>
        <w:t xml:space="preserve"> </w:t>
      </w:r>
      <w:proofErr w:type="spellStart"/>
      <w:r w:rsidR="008C43A3" w:rsidRPr="008C43A3">
        <w:rPr>
          <w:i/>
        </w:rPr>
        <w:t>Baulderstone</w:t>
      </w:r>
      <w:proofErr w:type="spellEnd"/>
      <w:r w:rsidR="008C43A3" w:rsidRPr="008C43A3">
        <w:rPr>
          <w:i/>
        </w:rPr>
        <w:t xml:space="preserve"> </w:t>
      </w:r>
      <w:proofErr w:type="spellStart"/>
      <w:r w:rsidR="008C43A3" w:rsidRPr="008C43A3">
        <w:rPr>
          <w:i/>
        </w:rPr>
        <w:t>Hornibrook</w:t>
      </w:r>
      <w:proofErr w:type="spellEnd"/>
      <w:r w:rsidR="008C43A3" w:rsidRPr="008C43A3">
        <w:rPr>
          <w:i/>
        </w:rPr>
        <w:t xml:space="preserve"> Engineering Pty Ltd v Gordian Runoff Ltd</w:t>
      </w:r>
      <w:r>
        <w:t xml:space="preserve"> [2008] NSWCA</w:t>
      </w:r>
      <w:r w:rsidR="008C43A3">
        <w:t xml:space="preserve"> </w:t>
      </w:r>
      <w:r>
        <w:t>243</w:t>
      </w:r>
      <w:r w:rsidR="00084F03">
        <w:t xml:space="preserve">; </w:t>
      </w:r>
      <w:r w:rsidR="00084F03" w:rsidRPr="00923E1D">
        <w:t>(2008) 15 ANZ Insurance Cases 61-780</w:t>
      </w:r>
      <w:r>
        <w:t xml:space="preserve"> at </w:t>
      </w:r>
      <w:r w:rsidR="001C23AC">
        <w:t xml:space="preserve">77,008-77,009 </w:t>
      </w:r>
      <w:r>
        <w:t>[263]</w:t>
      </w:r>
      <w:r w:rsidR="008C43A3">
        <w:t>-[</w:t>
      </w:r>
      <w:r>
        <w:t xml:space="preserve">264].  Subject to an additional argument of Dalby </w:t>
      </w:r>
      <w:r w:rsidR="00BA2BC4">
        <w:t xml:space="preserve">with </w:t>
      </w:r>
      <w:r>
        <w:t>which I will deal separately</w:t>
      </w:r>
      <w:r w:rsidR="00BA2BC4">
        <w:t xml:space="preserve"> below</w:t>
      </w:r>
      <w:r>
        <w:t xml:space="preserve">, ultimately what </w:t>
      </w:r>
      <w:r w:rsidR="00BA2BC4">
        <w:t>the resolution of this proceeding turns on, is the</w:t>
      </w:r>
      <w:r>
        <w:t xml:space="preserve"> </w:t>
      </w:r>
      <w:r w:rsidR="00BA2BC4">
        <w:t xml:space="preserve">correct </w:t>
      </w:r>
      <w:r>
        <w:t xml:space="preserve">construction of the </w:t>
      </w:r>
      <w:r w:rsidR="00DF052E">
        <w:t>P</w:t>
      </w:r>
      <w:r w:rsidRPr="009D2B5B">
        <w:t xml:space="preserve">olicy. </w:t>
      </w:r>
    </w:p>
    <w:p w:rsidR="00D37AC9" w:rsidRDefault="00D37AC9" w:rsidP="00D37AC9">
      <w:pPr>
        <w:pStyle w:val="Heading1"/>
      </w:pPr>
      <w:r>
        <w:lastRenderedPageBreak/>
        <w:t>D</w:t>
      </w:r>
      <w:r>
        <w:tab/>
        <w:t>Submissions</w:t>
      </w:r>
    </w:p>
    <w:p w:rsidR="00AD3C48" w:rsidRDefault="00D02F3C" w:rsidP="00042610">
      <w:pPr>
        <w:pStyle w:val="ParaNumbering"/>
      </w:pPr>
      <w:r>
        <w:t xml:space="preserve">Following </w:t>
      </w:r>
      <w:r w:rsidR="00AD3C48">
        <w:t xml:space="preserve">receipt of the </w:t>
      </w:r>
      <w:r>
        <w:t>S</w:t>
      </w:r>
      <w:r w:rsidR="00AD3C48">
        <w:t xml:space="preserve">upplementary </w:t>
      </w:r>
      <w:r>
        <w:t>R</w:t>
      </w:r>
      <w:r w:rsidR="00AD3C48">
        <w:t>eport</w:t>
      </w:r>
      <w:r>
        <w:t>, both parties filed further written submissions.</w:t>
      </w:r>
      <w:r w:rsidR="00AD3C48">
        <w:t xml:space="preserve"> </w:t>
      </w:r>
      <w:r>
        <w:t>T</w:t>
      </w:r>
      <w:r w:rsidR="00AD3C48">
        <w:t xml:space="preserve">he position of Dalby </w:t>
      </w:r>
      <w:r w:rsidR="009D2B5B">
        <w:t xml:space="preserve">at the hearing </w:t>
      </w:r>
      <w:r w:rsidR="00AD3C48">
        <w:t>was</w:t>
      </w:r>
      <w:r w:rsidR="009D2B5B">
        <w:t>:</w:t>
      </w:r>
      <w:r w:rsidR="00AD3C48">
        <w:t xml:space="preserve"> </w:t>
      </w:r>
      <w:r w:rsidRPr="00D02F3C">
        <w:rPr>
          <w:i/>
        </w:rPr>
        <w:t>first</w:t>
      </w:r>
      <w:r>
        <w:t>,</w:t>
      </w:r>
      <w:r w:rsidR="00AD3C48">
        <w:t xml:space="preserve"> </w:t>
      </w:r>
      <w:r w:rsidR="004213CA">
        <w:t xml:space="preserve">the </w:t>
      </w:r>
      <w:r w:rsidR="002920E7">
        <w:t>I</w:t>
      </w:r>
      <w:r w:rsidR="00AD3C48">
        <w:t xml:space="preserve">nsurers had failed to discharge their burden </w:t>
      </w:r>
      <w:r w:rsidR="004213CA">
        <w:t>of proving</w:t>
      </w:r>
      <w:r w:rsidR="00D7568F">
        <w:t xml:space="preserve"> </w:t>
      </w:r>
      <w:r w:rsidR="00804F3C">
        <w:t xml:space="preserve">that perils exclusions </w:t>
      </w:r>
      <w:r w:rsidR="00AD3C48">
        <w:t>6(c)(</w:t>
      </w:r>
      <w:proofErr w:type="spellStart"/>
      <w:r w:rsidR="00AD3C48">
        <w:t>i</w:t>
      </w:r>
      <w:proofErr w:type="spellEnd"/>
      <w:r w:rsidR="00AD3C48">
        <w:t>) or (ii) of the Policy applies</w:t>
      </w:r>
      <w:r w:rsidR="008C43A3">
        <w:t>;</w:t>
      </w:r>
      <w:r w:rsidR="00AD3C48">
        <w:t xml:space="preserve"> and</w:t>
      </w:r>
      <w:r>
        <w:t xml:space="preserve"> </w:t>
      </w:r>
      <w:r w:rsidRPr="00D02F3C">
        <w:rPr>
          <w:i/>
        </w:rPr>
        <w:t>second</w:t>
      </w:r>
      <w:r w:rsidR="009D2B5B">
        <w:rPr>
          <w:i/>
        </w:rPr>
        <w:t>ly</w:t>
      </w:r>
      <w:r w:rsidR="009D2B5B">
        <w:t>,</w:t>
      </w:r>
      <w:r>
        <w:t xml:space="preserve"> </w:t>
      </w:r>
      <w:r w:rsidR="00AD3C48">
        <w:t>the Court should enter judgment against the respondents in an amount to be later determined.</w:t>
      </w:r>
    </w:p>
    <w:p w:rsidR="00AD3C48" w:rsidRDefault="009D2B5B" w:rsidP="00AD3C48">
      <w:pPr>
        <w:pStyle w:val="ParaNumbering"/>
      </w:pPr>
      <w:r>
        <w:t xml:space="preserve">Dalby’s principal </w:t>
      </w:r>
      <w:r w:rsidR="00D02F3C">
        <w:t>arguments</w:t>
      </w:r>
      <w:r>
        <w:t xml:space="preserve"> can be summarised in</w:t>
      </w:r>
      <w:r w:rsidR="000D5446">
        <w:t>to</w:t>
      </w:r>
      <w:r>
        <w:t xml:space="preserve"> a number of propositions</w:t>
      </w:r>
      <w:r w:rsidR="00D02F3C">
        <w:t>:</w:t>
      </w:r>
    </w:p>
    <w:p w:rsidR="00AD3C48" w:rsidRDefault="00AD3C48" w:rsidP="00B610F0">
      <w:pPr>
        <w:pStyle w:val="ListNo2"/>
        <w:numPr>
          <w:ilvl w:val="1"/>
          <w:numId w:val="24"/>
        </w:numPr>
      </w:pPr>
      <w:r>
        <w:t>the referee has been unable to determine the proximate cause of damage;</w:t>
      </w:r>
    </w:p>
    <w:p w:rsidR="00AD3C48" w:rsidRDefault="00AD3C48" w:rsidP="004213CA">
      <w:pPr>
        <w:pStyle w:val="ListNo2"/>
      </w:pPr>
      <w:r>
        <w:t>“self-heating is not within the relevant Perils exclusion”</w:t>
      </w:r>
      <w:r w:rsidR="0065051A">
        <w:t xml:space="preserve"> since the exclusion clause should be interpreted to mean “spontaneous heating”</w:t>
      </w:r>
      <w:r>
        <w:t>;</w:t>
      </w:r>
    </w:p>
    <w:p w:rsidR="00AD3C48" w:rsidRDefault="00AD3C48" w:rsidP="004213CA">
      <w:pPr>
        <w:pStyle w:val="ListNo2"/>
      </w:pPr>
      <w:r>
        <w:t>the conclusion that “self-heating” had occurred is not to identify a cause, proximate or otherwise</w:t>
      </w:r>
      <w:r w:rsidR="0065051A">
        <w:t>,</w:t>
      </w:r>
      <w:r>
        <w:t xml:space="preserve"> and the referee was unable to determine the cause of the self-heating;</w:t>
      </w:r>
      <w:r w:rsidR="00D02F3C">
        <w:t xml:space="preserve"> and</w:t>
      </w:r>
    </w:p>
    <w:p w:rsidR="00AD3C48" w:rsidRDefault="00AD3C48" w:rsidP="004213CA">
      <w:pPr>
        <w:pStyle w:val="ListNo2"/>
      </w:pPr>
      <w:proofErr w:type="gramStart"/>
      <w:r>
        <w:t>the</w:t>
      </w:r>
      <w:proofErr w:type="gramEnd"/>
      <w:r>
        <w:t xml:space="preserve"> respondent’s case </w:t>
      </w:r>
      <w:r w:rsidR="0065051A">
        <w:t>was limited</w:t>
      </w:r>
      <w:r>
        <w:t xml:space="preserve"> by its concise statement in response dated 13 </w:t>
      </w:r>
      <w:r w:rsidR="0065051A">
        <w:t xml:space="preserve">December 2017, </w:t>
      </w:r>
      <w:r w:rsidR="00901E6C">
        <w:t xml:space="preserve">which stated that the relevant proximate cause was </w:t>
      </w:r>
      <w:r>
        <w:t>“spontaneous combustion and/or spontaneous heating”.</w:t>
      </w:r>
    </w:p>
    <w:p w:rsidR="00AD3C48" w:rsidRDefault="00AD3C48" w:rsidP="00AD3C48">
      <w:pPr>
        <w:pStyle w:val="ParaNumbering"/>
      </w:pPr>
      <w:r>
        <w:t xml:space="preserve">These </w:t>
      </w:r>
      <w:r w:rsidR="00305E8F">
        <w:t>contentions</w:t>
      </w:r>
      <w:r>
        <w:t xml:space="preserve"> are in some respects overlapping and interconnected, </w:t>
      </w:r>
      <w:r w:rsidR="00305E8F">
        <w:t>and</w:t>
      </w:r>
      <w:r>
        <w:t xml:space="preserve"> I will deal with them </w:t>
      </w:r>
      <w:r w:rsidR="00892A67">
        <w:t xml:space="preserve">below </w:t>
      </w:r>
      <w:r w:rsidR="003305BF">
        <w:t>in three categories: construction; spontaneity; and proximate cause.</w:t>
      </w:r>
      <w:r w:rsidR="00DF052E">
        <w:t xml:space="preserve">  This leaves the last point which can be dealt with very briefly: the concise statement was not a pleading</w:t>
      </w:r>
      <w:r w:rsidR="00F7707D">
        <w:t xml:space="preserve">, the statement relied upon does not constitute an admission </w:t>
      </w:r>
      <w:r w:rsidR="00931B92">
        <w:t xml:space="preserve">that </w:t>
      </w:r>
      <w:r w:rsidR="00F7707D">
        <w:t>the Insurer</w:t>
      </w:r>
      <w:r w:rsidR="00543392">
        <w:t>s</w:t>
      </w:r>
      <w:r w:rsidR="00F7707D">
        <w:t xml:space="preserve"> </w:t>
      </w:r>
      <w:r w:rsidR="00F7337E">
        <w:t>ne</w:t>
      </w:r>
      <w:r w:rsidR="00543392">
        <w:t>ed</w:t>
      </w:r>
      <w:r w:rsidR="00F7707D">
        <w:t xml:space="preserve"> leave to withdraw,</w:t>
      </w:r>
      <w:r w:rsidR="00DF052E">
        <w:t xml:space="preserve"> and there was no want of procedural fairness in the way the Insurer</w:t>
      </w:r>
      <w:r w:rsidR="00543392">
        <w:t>s</w:t>
      </w:r>
      <w:r w:rsidR="00DF052E">
        <w:t xml:space="preserve"> ran </w:t>
      </w:r>
      <w:r w:rsidR="00543392">
        <w:t>their</w:t>
      </w:r>
      <w:r w:rsidR="00DF052E">
        <w:t xml:space="preserve"> case. </w:t>
      </w:r>
    </w:p>
    <w:p w:rsidR="00AD3C48" w:rsidRDefault="00AD3C48" w:rsidP="003305BF">
      <w:pPr>
        <w:pStyle w:val="ParaNumbering"/>
      </w:pPr>
      <w:r>
        <w:t xml:space="preserve">The case of the </w:t>
      </w:r>
      <w:r w:rsidR="002920E7">
        <w:t>I</w:t>
      </w:r>
      <w:r>
        <w:t>nsurer</w:t>
      </w:r>
      <w:r w:rsidR="002920E7">
        <w:t>s</w:t>
      </w:r>
      <w:r>
        <w:t xml:space="preserve"> is relatively straightforward. </w:t>
      </w:r>
      <w:r w:rsidR="00EE2402">
        <w:t>I</w:t>
      </w:r>
      <w:r>
        <w:t xml:space="preserve">t is submitted by Mr McArthur QC that in short, the terms of the exclusion are tolerably plain.  It is said that the damage claimed falls squarely within the exclusion for damage occasioned by or happening through “heating” in </w:t>
      </w:r>
      <w:r w:rsidR="00EE2402">
        <w:t xml:space="preserve">the </w:t>
      </w:r>
      <w:r>
        <w:t>perils exclusion</w:t>
      </w:r>
      <w:r w:rsidR="00EE2402">
        <w:t xml:space="preserve"> </w:t>
      </w:r>
      <w:r>
        <w:t>6(c</w:t>
      </w:r>
      <w:proofErr w:type="gramStart"/>
      <w:r>
        <w:t>)(</w:t>
      </w:r>
      <w:proofErr w:type="gramEnd"/>
      <w:r>
        <w:t xml:space="preserve">ii). </w:t>
      </w:r>
      <w:r w:rsidR="003305BF">
        <w:t>It is submitted that contrary to Dalby’s interpretation, the clause is not limited to “spontaneous heating”. Even if this is not the case, it is said that “self-heating”, which has clearly been identified as a proximate cause by the referee, falls within the definition of “spontaneous heating”, and</w:t>
      </w:r>
      <w:r>
        <w:t xml:space="preserve"> further, to the extent that this process </w:t>
      </w:r>
      <w:r w:rsidR="003305BF">
        <w:t xml:space="preserve">then </w:t>
      </w:r>
      <w:r>
        <w:t>led to spontaneous combustion</w:t>
      </w:r>
      <w:r w:rsidR="00305E8F">
        <w:t>,</w:t>
      </w:r>
      <w:r>
        <w:t xml:space="preserve"> then </w:t>
      </w:r>
      <w:r w:rsidR="00AD2A82">
        <w:t>the damage</w:t>
      </w:r>
      <w:r>
        <w:t xml:space="preserve"> </w:t>
      </w:r>
      <w:r w:rsidR="00381DC4">
        <w:t xml:space="preserve">which </w:t>
      </w:r>
      <w:r>
        <w:t>was caused by fire when the heating progressed to combustion</w:t>
      </w:r>
      <w:r w:rsidR="00381DC4">
        <w:t>,</w:t>
      </w:r>
      <w:r>
        <w:t xml:space="preserve"> was </w:t>
      </w:r>
      <w:r w:rsidR="00AD2A82">
        <w:t xml:space="preserve">caused by </w:t>
      </w:r>
      <w:r w:rsidR="00381DC4">
        <w:t>“</w:t>
      </w:r>
      <w:r>
        <w:t>spontaneous combustion</w:t>
      </w:r>
      <w:r w:rsidR="00381DC4">
        <w:t>”</w:t>
      </w:r>
      <w:r>
        <w:t xml:space="preserve"> within </w:t>
      </w:r>
      <w:r w:rsidR="00AD2A82">
        <w:t xml:space="preserve">the </w:t>
      </w:r>
      <w:r w:rsidR="00381DC4">
        <w:t xml:space="preserve">meaning of the </w:t>
      </w:r>
      <w:r>
        <w:t>perils exclusion 6(c</w:t>
      </w:r>
      <w:proofErr w:type="gramStart"/>
      <w:r>
        <w:t>)(</w:t>
      </w:r>
      <w:proofErr w:type="spellStart"/>
      <w:proofErr w:type="gramEnd"/>
      <w:r>
        <w:t>i</w:t>
      </w:r>
      <w:proofErr w:type="spellEnd"/>
      <w:r>
        <w:t>).</w:t>
      </w:r>
    </w:p>
    <w:p w:rsidR="00AD3C48" w:rsidRDefault="003305BF" w:rsidP="00C47CD2">
      <w:pPr>
        <w:pStyle w:val="Heading1"/>
      </w:pPr>
      <w:r>
        <w:lastRenderedPageBreak/>
        <w:t>E</w:t>
      </w:r>
      <w:r w:rsidR="00C15B96">
        <w:tab/>
      </w:r>
      <w:r w:rsidR="00AD3C48">
        <w:t>Consideration</w:t>
      </w:r>
    </w:p>
    <w:p w:rsidR="00AD3C48" w:rsidRDefault="003305BF" w:rsidP="003037CD">
      <w:pPr>
        <w:pStyle w:val="Heading2"/>
      </w:pPr>
      <w:r>
        <w:t>E</w:t>
      </w:r>
      <w:r w:rsidR="003037CD" w:rsidRPr="003037CD">
        <w:t>.1</w:t>
      </w:r>
      <w:r w:rsidR="003037CD" w:rsidRPr="003037CD">
        <w:tab/>
        <w:t>C</w:t>
      </w:r>
      <w:r w:rsidR="00AD3C48" w:rsidRPr="003037CD">
        <w:t xml:space="preserve">onstruction </w:t>
      </w:r>
      <w:r w:rsidR="002177B3">
        <w:t>of the Exclusion Clause</w:t>
      </w:r>
    </w:p>
    <w:p w:rsidR="008E45FE" w:rsidRPr="008E45FE" w:rsidRDefault="008E45FE" w:rsidP="008E45FE">
      <w:pPr>
        <w:pStyle w:val="Heading3"/>
      </w:pPr>
      <w:r>
        <w:t>Applicable Principles</w:t>
      </w:r>
    </w:p>
    <w:p w:rsidR="00F857A1" w:rsidRDefault="0057315A" w:rsidP="00AD3C48">
      <w:pPr>
        <w:pStyle w:val="ParaNumbering"/>
      </w:pPr>
      <w:r>
        <w:t xml:space="preserve">It seems to me appropriate that I deal </w:t>
      </w:r>
      <w:r w:rsidR="00A42D99">
        <w:t>first</w:t>
      </w:r>
      <w:r w:rsidR="000D5446">
        <w:t xml:space="preserve"> </w:t>
      </w:r>
      <w:r>
        <w:t>with the competing</w:t>
      </w:r>
      <w:r w:rsidR="000D5446">
        <w:t xml:space="preserve"> arguments of construction</w:t>
      </w:r>
      <w:r w:rsidR="00F857A1">
        <w:t xml:space="preserve">. </w:t>
      </w:r>
    </w:p>
    <w:p w:rsidR="00D4120F" w:rsidRDefault="003037CD" w:rsidP="00AD3C48">
      <w:pPr>
        <w:pStyle w:val="ParaNumbering"/>
      </w:pPr>
      <w:r>
        <w:t xml:space="preserve">The relevant principles </w:t>
      </w:r>
      <w:r w:rsidR="00AD3C48">
        <w:t>are not the subject of any dispute between the parties. The overarching principle relevant to the interpretation of commercial contracts, including insurance contracts, is that such contracts should be given a business-like interpretation and attention</w:t>
      </w:r>
      <w:r>
        <w:t xml:space="preserve"> should</w:t>
      </w:r>
      <w:r w:rsidR="00AD3C48">
        <w:t xml:space="preserve"> be given not only to the language used by the parties but also the commercial circumstances </w:t>
      </w:r>
      <w:r>
        <w:t>addressed by the document and the objects which it intends</w:t>
      </w:r>
      <w:r w:rsidR="000D5446">
        <w:t xml:space="preserve"> to secure: </w:t>
      </w:r>
      <w:r w:rsidR="00AD3C48">
        <w:t>see</w:t>
      </w:r>
      <w:r w:rsidR="00AD3C48" w:rsidRPr="00084F03">
        <w:rPr>
          <w:i/>
        </w:rPr>
        <w:t xml:space="preserve"> McCann v Switzerland Insurance Australia Limited</w:t>
      </w:r>
      <w:r w:rsidR="00084F03">
        <w:rPr>
          <w:i/>
        </w:rPr>
        <w:t xml:space="preserve"> </w:t>
      </w:r>
      <w:r w:rsidR="00084F03">
        <w:t>[2000] HCA 65;</w:t>
      </w:r>
      <w:r w:rsidR="00AD3C48" w:rsidRPr="00084F03">
        <w:rPr>
          <w:i/>
        </w:rPr>
        <w:t xml:space="preserve"> </w:t>
      </w:r>
      <w:r w:rsidR="00084F03">
        <w:t>(2000) 20</w:t>
      </w:r>
      <w:r w:rsidR="00AD3C48">
        <w:t>3 CLR</w:t>
      </w:r>
      <w:r w:rsidR="00084F03">
        <w:t xml:space="preserve"> 579</w:t>
      </w:r>
      <w:r w:rsidR="00AD3C48">
        <w:t xml:space="preserve"> at 589 </w:t>
      </w:r>
      <w:r w:rsidR="00923B58">
        <w:t xml:space="preserve">[22] </w:t>
      </w:r>
      <w:r w:rsidR="00AD3C48">
        <w:t xml:space="preserve">per Gleeson CJ.  More specifically, in construing an exclusion clause, the principles explained by the High Court in </w:t>
      </w:r>
      <w:r w:rsidR="00AD3C48" w:rsidRPr="00084F03">
        <w:rPr>
          <w:i/>
        </w:rPr>
        <w:t>Darlington Futures Limited v Delco Australia Proprietary Limited</w:t>
      </w:r>
      <w:r w:rsidR="00AD3C48">
        <w:t xml:space="preserve"> (1986) 161 </w:t>
      </w:r>
      <w:r w:rsidR="00084F03">
        <w:t>CLR 500 at 510-</w:t>
      </w:r>
      <w:r w:rsidR="00AD3C48">
        <w:t>511 are applicable</w:t>
      </w:r>
      <w:r w:rsidR="00D4120F">
        <w:t>:</w:t>
      </w:r>
    </w:p>
    <w:p w:rsidR="00D4120F" w:rsidRDefault="00D4120F" w:rsidP="00D4120F">
      <w:pPr>
        <w:pStyle w:val="Quote1"/>
      </w:pPr>
      <w:r>
        <w:t xml:space="preserve">… </w:t>
      </w:r>
      <w:r w:rsidRPr="00D4120F">
        <w:t>the interpretation of an</w:t>
      </w:r>
      <w:r>
        <w:t xml:space="preserve"> </w:t>
      </w:r>
      <w:r w:rsidRPr="00D4120F">
        <w:t xml:space="preserve">exclusion clause is to be determined by </w:t>
      </w:r>
      <w:r>
        <w:t xml:space="preserve">construing the clause </w:t>
      </w:r>
      <w:r w:rsidRPr="00D4120F">
        <w:t>according to its natural and ordinar</w:t>
      </w:r>
      <w:r>
        <w:t xml:space="preserve">y meaning, read in the light of </w:t>
      </w:r>
      <w:r w:rsidRPr="00D4120F">
        <w:t>the contract as a whole, thereby givi</w:t>
      </w:r>
      <w:r>
        <w:t xml:space="preserve">ng due weight to the context in </w:t>
      </w:r>
      <w:r w:rsidRPr="00D4120F">
        <w:t>which the clause appears includi</w:t>
      </w:r>
      <w:r>
        <w:t xml:space="preserve">ng the nature and object of the </w:t>
      </w:r>
      <w:r w:rsidRPr="00D4120F">
        <w:t>contract, and, where appropriat</w:t>
      </w:r>
      <w:r>
        <w:t xml:space="preserve">e, construing the clause contra </w:t>
      </w:r>
      <w:proofErr w:type="spellStart"/>
      <w:r w:rsidRPr="00D4120F">
        <w:t>proferentem</w:t>
      </w:r>
      <w:proofErr w:type="spellEnd"/>
      <w:r w:rsidRPr="00D4120F">
        <w:t xml:space="preserve"> in case of ambiguity. </w:t>
      </w:r>
      <w:r>
        <w:t xml:space="preserve">Notwithstanding the comments of </w:t>
      </w:r>
      <w:r w:rsidRPr="00D4120F">
        <w:t xml:space="preserve">Lord Fraser in </w:t>
      </w:r>
      <w:r w:rsidR="00566E83">
        <w:rPr>
          <w:i/>
          <w:iCs/>
        </w:rPr>
        <w:t>Ailsa Craig</w:t>
      </w:r>
      <w:r w:rsidRPr="00D4120F">
        <w:rPr>
          <w:i/>
          <w:iCs/>
        </w:rPr>
        <w:t xml:space="preserve">, </w:t>
      </w:r>
      <w:r w:rsidRPr="00D4120F">
        <w:t>th</w:t>
      </w:r>
      <w:r>
        <w:t xml:space="preserve">e same principle applies to the </w:t>
      </w:r>
      <w:r w:rsidRPr="00D4120F">
        <w:t xml:space="preserve">construction of limitation clauses. As </w:t>
      </w:r>
      <w:r>
        <w:t xml:space="preserve">King C.J. noted in his </w:t>
      </w:r>
      <w:r w:rsidRPr="00D4120F">
        <w:t xml:space="preserve">judgment in the Supreme Court, a limitation clause may be </w:t>
      </w:r>
      <w:proofErr w:type="gramStart"/>
      <w:r>
        <w:t>so</w:t>
      </w:r>
      <w:proofErr w:type="gramEnd"/>
      <w:r>
        <w:t xml:space="preserve"> severe </w:t>
      </w:r>
      <w:r w:rsidRPr="00D4120F">
        <w:t>in its operation as to make its effect v</w:t>
      </w:r>
      <w:r>
        <w:t xml:space="preserve">irtually indistinguishable from </w:t>
      </w:r>
      <w:r w:rsidRPr="00D4120F">
        <w:t xml:space="preserve">that of an exclusion clause. And the </w:t>
      </w:r>
      <w:r>
        <w:t xml:space="preserve">principle, in the form in which </w:t>
      </w:r>
      <w:r w:rsidRPr="00D4120F">
        <w:t>we have expressed it, does n</w:t>
      </w:r>
      <w:r>
        <w:t xml:space="preserve">o more than express the general </w:t>
      </w:r>
      <w:r w:rsidRPr="00D4120F">
        <w:t>approach to the interpretation of co</w:t>
      </w:r>
      <w:r>
        <w:t xml:space="preserve">ntracts and it is of sufficient </w:t>
      </w:r>
      <w:r w:rsidRPr="00D4120F">
        <w:t>generality to accommodate the di</w:t>
      </w:r>
      <w:r>
        <w:t xml:space="preserve">fferent considerations that may </w:t>
      </w:r>
      <w:r w:rsidRPr="00D4120F">
        <w:t>arise in the interpretation of a wide variety of exclusion and</w:t>
      </w:r>
      <w:r>
        <w:t xml:space="preserve"> </w:t>
      </w:r>
      <w:r w:rsidRPr="00D4120F">
        <w:t>limitation clauses in formal commercial contracts between business</w:t>
      </w:r>
      <w:r>
        <w:t xml:space="preserve"> </w:t>
      </w:r>
      <w:r w:rsidRPr="00D4120F">
        <w:t>people where no question of the re</w:t>
      </w:r>
      <w:r>
        <w:t xml:space="preserve">asonableness or fairness of the </w:t>
      </w:r>
      <w:r w:rsidRPr="00D4120F">
        <w:t>clause arises.</w:t>
      </w:r>
    </w:p>
    <w:p w:rsidR="00566E83" w:rsidRDefault="00566E83" w:rsidP="00D4120F">
      <w:pPr>
        <w:pStyle w:val="Quote1"/>
      </w:pPr>
      <w:r>
        <w:t>(</w:t>
      </w:r>
      <w:proofErr w:type="gramStart"/>
      <w:r>
        <w:t>citation</w:t>
      </w:r>
      <w:proofErr w:type="gramEnd"/>
      <w:r>
        <w:t xml:space="preserve"> omitted)</w:t>
      </w:r>
    </w:p>
    <w:p w:rsidR="00AD3C48" w:rsidRDefault="00AD3C48" w:rsidP="00AD3C48">
      <w:pPr>
        <w:pStyle w:val="ParaNumbering"/>
      </w:pPr>
      <w:r>
        <w:t xml:space="preserve">Further, </w:t>
      </w:r>
      <w:r w:rsidR="003037CD">
        <w:t xml:space="preserve">and </w:t>
      </w:r>
      <w:r>
        <w:t xml:space="preserve">consistently with the above, </w:t>
      </w:r>
      <w:r w:rsidR="003037CD">
        <w:t xml:space="preserve">in </w:t>
      </w:r>
      <w:r w:rsidRPr="00C47CD2">
        <w:rPr>
          <w:i/>
        </w:rPr>
        <w:t>Selected Seeds Pty L</w:t>
      </w:r>
      <w:r w:rsidR="00C47CD2">
        <w:rPr>
          <w:i/>
        </w:rPr>
        <w:t xml:space="preserve">td </w:t>
      </w:r>
      <w:r w:rsidRPr="00C47CD2">
        <w:rPr>
          <w:i/>
        </w:rPr>
        <w:t xml:space="preserve">v QBEMM Pty </w:t>
      </w:r>
      <w:r w:rsidR="00566E83">
        <w:rPr>
          <w:i/>
        </w:rPr>
        <w:t>Ltd</w:t>
      </w:r>
      <w:r>
        <w:t xml:space="preserve"> </w:t>
      </w:r>
      <w:r w:rsidR="00084F03">
        <w:t xml:space="preserve">[2010] HCA 37; </w:t>
      </w:r>
      <w:r>
        <w:t>(2010) 242 CLR 336 at 344</w:t>
      </w:r>
      <w:r w:rsidR="00566E83">
        <w:t xml:space="preserve"> [29]</w:t>
      </w:r>
      <w:r>
        <w:t xml:space="preserve"> the High Court stated:</w:t>
      </w:r>
    </w:p>
    <w:p w:rsidR="00C47CD2" w:rsidRDefault="00C47CD2" w:rsidP="00C47CD2">
      <w:pPr>
        <w:pStyle w:val="Quote1"/>
      </w:pPr>
      <w:r>
        <w:t>According to general rules of construction, whilst regard must be had to the language used in an exclusion clause, such a clause must be read in light of the contract of insurance as a whole, “thereby giving due weight to the context in which the clause appears”.</w:t>
      </w:r>
    </w:p>
    <w:p w:rsidR="00C47CD2" w:rsidRDefault="00084F03" w:rsidP="00C47CD2">
      <w:pPr>
        <w:pStyle w:val="Quote1"/>
      </w:pPr>
      <w:r>
        <w:t>(</w:t>
      </w:r>
      <w:proofErr w:type="gramStart"/>
      <w:r w:rsidR="00C47CD2">
        <w:t>citation</w:t>
      </w:r>
      <w:proofErr w:type="gramEnd"/>
      <w:r w:rsidR="00C47CD2">
        <w:t xml:space="preserve"> omitted)</w:t>
      </w:r>
    </w:p>
    <w:p w:rsidR="00AD3C48" w:rsidRDefault="00AD3C48" w:rsidP="00AD3C48">
      <w:pPr>
        <w:pStyle w:val="ParaNumbering"/>
      </w:pPr>
      <w:r>
        <w:t xml:space="preserve">In applying these principles one must, of course, identify the risk covered by the policy and therefore the purpose of the policy.  </w:t>
      </w:r>
    </w:p>
    <w:p w:rsidR="008E45FE" w:rsidRPr="00305E8F" w:rsidRDefault="00FB3833" w:rsidP="00C47CD2">
      <w:pPr>
        <w:pStyle w:val="ParaNumbering"/>
      </w:pPr>
      <w:r>
        <w:lastRenderedPageBreak/>
        <w:t>C</w:t>
      </w:r>
      <w:r w:rsidR="003037CD">
        <w:t>onsistent</w:t>
      </w:r>
      <w:r w:rsidR="00AD3C48">
        <w:t xml:space="preserve"> with the notion that the onus of proof in relation to the applicability of an exclusion clause rests upon an insurer</w:t>
      </w:r>
      <w:r w:rsidR="003037CD">
        <w:t>,</w:t>
      </w:r>
      <w:r w:rsidR="00AD3C48">
        <w:t xml:space="preserve"> if an exclusion clause is open to two interpretations</w:t>
      </w:r>
      <w:r w:rsidR="003037CD">
        <w:t>,</w:t>
      </w:r>
      <w:r w:rsidR="00AD3C48">
        <w:t xml:space="preserve"> one of which would inappropriately circumscribe the cover provided by the insuring clause and one which would not, </w:t>
      </w:r>
      <w:r w:rsidR="00C47CD2">
        <w:t xml:space="preserve">the latter is to be preferred: </w:t>
      </w:r>
      <w:r w:rsidR="00AD3C48">
        <w:t xml:space="preserve">see </w:t>
      </w:r>
      <w:r w:rsidR="00C47CD2" w:rsidRPr="00C47CD2">
        <w:rPr>
          <w:i/>
        </w:rPr>
        <w:t xml:space="preserve">Fitzpatrick v Job </w:t>
      </w:r>
      <w:r w:rsidR="004A6127">
        <w:rPr>
          <w:i/>
        </w:rPr>
        <w:t xml:space="preserve">and Job </w:t>
      </w:r>
      <w:r w:rsidR="00C47CD2" w:rsidRPr="00C47CD2">
        <w:rPr>
          <w:i/>
        </w:rPr>
        <w:t>t/</w:t>
      </w:r>
      <w:r w:rsidR="00C47CD2" w:rsidRPr="00305E8F">
        <w:rPr>
          <w:i/>
        </w:rPr>
        <w:t>as Jobs Engineering</w:t>
      </w:r>
      <w:r w:rsidR="00C47CD2" w:rsidRPr="00305E8F">
        <w:t xml:space="preserve"> </w:t>
      </w:r>
      <w:r w:rsidR="00084F03" w:rsidRPr="00305E8F">
        <w:t>[2007] WASCA 63;</w:t>
      </w:r>
      <w:r w:rsidR="00C47CD2" w:rsidRPr="00305E8F">
        <w:t xml:space="preserve"> (2007) 14 ANZ Insurance Cases 61-731</w:t>
      </w:r>
      <w:r w:rsidR="004A6127" w:rsidRPr="00305E8F">
        <w:t xml:space="preserve"> </w:t>
      </w:r>
      <w:r w:rsidR="008E45FE" w:rsidRPr="00305E8F">
        <w:t>at</w:t>
      </w:r>
      <w:r w:rsidR="004A6127" w:rsidRPr="00305E8F">
        <w:t xml:space="preserve"> </w:t>
      </w:r>
      <w:r w:rsidR="002C6B6C" w:rsidRPr="00305E8F">
        <w:t xml:space="preserve">76,076-76,077 </w:t>
      </w:r>
      <w:r w:rsidR="004A6127" w:rsidRPr="00305E8F">
        <w:t>[268]</w:t>
      </w:r>
      <w:r w:rsidR="00AD3C48" w:rsidRPr="00305E8F">
        <w:t xml:space="preserve">. </w:t>
      </w:r>
    </w:p>
    <w:p w:rsidR="008E45FE" w:rsidRDefault="00305E8F" w:rsidP="008E45FE">
      <w:pPr>
        <w:pStyle w:val="Heading3"/>
      </w:pPr>
      <w:r>
        <w:t>Purpose</w:t>
      </w:r>
      <w:r w:rsidR="007D34A2">
        <w:t>, Context and Text</w:t>
      </w:r>
    </w:p>
    <w:p w:rsidR="00AD3C48" w:rsidRDefault="00AD3C48" w:rsidP="00305E8F">
      <w:pPr>
        <w:pStyle w:val="ParaNumbering"/>
        <w:tabs>
          <w:tab w:val="clear" w:pos="720"/>
        </w:tabs>
      </w:pPr>
      <w:r>
        <w:t xml:space="preserve">Before coming to </w:t>
      </w:r>
      <w:r w:rsidR="003037CD">
        <w:t xml:space="preserve">the </w:t>
      </w:r>
      <w:r>
        <w:t>text</w:t>
      </w:r>
      <w:r w:rsidR="003037CD">
        <w:t xml:space="preserve"> of the </w:t>
      </w:r>
      <w:r w:rsidR="007D34A2">
        <w:t>exclusion</w:t>
      </w:r>
      <w:r w:rsidR="003037CD">
        <w:t xml:space="preserve"> in question, </w:t>
      </w:r>
      <w:r w:rsidR="00305E8F">
        <w:t>reference should be made to the commercial context and purpose of the Policy</w:t>
      </w:r>
      <w:r w:rsidR="007D34A2">
        <w:t xml:space="preserve">. The Policy </w:t>
      </w:r>
      <w:r>
        <w:t xml:space="preserve">is an industrial special risks </w:t>
      </w:r>
      <w:r w:rsidR="007D34A2">
        <w:t xml:space="preserve">insurance </w:t>
      </w:r>
      <w:r>
        <w:t>policy.</w:t>
      </w:r>
      <w:r w:rsidR="003843CF">
        <w:t xml:space="preserve"> </w:t>
      </w:r>
      <w:r w:rsidR="003037CD">
        <w:t>Dalby is a manufacturer and distributor</w:t>
      </w:r>
      <w:r>
        <w:t xml:space="preserve"> of ethanol </w:t>
      </w:r>
      <w:r w:rsidR="003037CD">
        <w:t>as well as the property owner</w:t>
      </w:r>
      <w:r>
        <w:t xml:space="preserve"> and occupier of a bio</w:t>
      </w:r>
      <w:r w:rsidR="003037CD">
        <w:t>-</w:t>
      </w:r>
      <w:r>
        <w:t xml:space="preserve">refinery and </w:t>
      </w:r>
      <w:r w:rsidR="003037CD">
        <w:t>tak</w:t>
      </w:r>
      <w:r w:rsidR="003037CD" w:rsidRPr="002C6B6C">
        <w:t xml:space="preserve">es part in </w:t>
      </w:r>
      <w:r w:rsidRPr="002C6B6C">
        <w:t xml:space="preserve">other </w:t>
      </w:r>
      <w:r w:rsidR="003037CD" w:rsidRPr="002C6B6C">
        <w:t xml:space="preserve">related </w:t>
      </w:r>
      <w:r w:rsidRPr="002C6B6C">
        <w:t>activit</w:t>
      </w:r>
      <w:r w:rsidR="003037CD" w:rsidRPr="002C6B6C">
        <w:t>ies. Dalby</w:t>
      </w:r>
      <w:r w:rsidRPr="002C6B6C">
        <w:t xml:space="preserve"> sought </w:t>
      </w:r>
      <w:r w:rsidR="007D34A2">
        <w:t xml:space="preserve">and obtained by the Policy </w:t>
      </w:r>
      <w:r w:rsidRPr="002C6B6C">
        <w:t xml:space="preserve">insurance for </w:t>
      </w:r>
      <w:r w:rsidR="00CD1CCB" w:rsidRPr="002C6B6C">
        <w:t xml:space="preserve">loss, </w:t>
      </w:r>
      <w:r w:rsidRPr="002C6B6C">
        <w:t>d</w:t>
      </w:r>
      <w:r w:rsidR="00CD1CCB" w:rsidRPr="002C6B6C">
        <w:t>estruction</w:t>
      </w:r>
      <w:r w:rsidRPr="002C6B6C">
        <w:t xml:space="preserve"> or damage</w:t>
      </w:r>
      <w:r w:rsidR="00F63A55" w:rsidRPr="002C6B6C">
        <w:t xml:space="preserve"> of physical assets</w:t>
      </w:r>
      <w:r w:rsidR="003037CD" w:rsidRPr="002C6B6C">
        <w:t>,</w:t>
      </w:r>
      <w:r w:rsidRPr="002C6B6C">
        <w:t xml:space="preserve"> and also obtained cover for consequential loss.  The material loss or damage clause in </w:t>
      </w:r>
      <w:r w:rsidR="002C6B6C" w:rsidRPr="002C6B6C">
        <w:t>S</w:t>
      </w:r>
      <w:r w:rsidRPr="002C6B6C">
        <w:t>ection 1</w:t>
      </w:r>
      <w:r w:rsidR="002C6B6C" w:rsidRPr="002C6B6C">
        <w:t xml:space="preserve"> of the </w:t>
      </w:r>
      <w:r w:rsidR="00F7707D">
        <w:t>Policy</w:t>
      </w:r>
      <w:r w:rsidRPr="002C6B6C">
        <w:t xml:space="preserve"> provided an indemnity in relation to any physical loss, destruction or damage n</w:t>
      </w:r>
      <w:r w:rsidR="002C6B6C" w:rsidRPr="002C6B6C">
        <w:t xml:space="preserve">ot otherwise excluded. </w:t>
      </w:r>
      <w:r w:rsidRPr="002C6B6C">
        <w:t>Similarly</w:t>
      </w:r>
      <w:r w:rsidR="002C6B6C" w:rsidRPr="002C6B6C">
        <w:t>,</w:t>
      </w:r>
      <w:r w:rsidRPr="002C6B6C">
        <w:t xml:space="preserve"> the consequential loss indemnity in </w:t>
      </w:r>
      <w:r w:rsidR="002C6B6C" w:rsidRPr="002C6B6C">
        <w:t>S</w:t>
      </w:r>
      <w:r w:rsidRPr="002C6B6C">
        <w:t>ection 2 pro</w:t>
      </w:r>
      <w:r>
        <w:t>vided for indemnity in relation to such loss in the event of damage causing interruption or interference with the business of Dalby.</w:t>
      </w:r>
    </w:p>
    <w:p w:rsidR="00CD4915" w:rsidRDefault="00AD3C48" w:rsidP="00CD4915">
      <w:pPr>
        <w:pStyle w:val="ParaNumbering"/>
      </w:pPr>
      <w:r>
        <w:t xml:space="preserve">The exceptions </w:t>
      </w:r>
      <w:r w:rsidR="007D34A2">
        <w:t>relevant to the cover provided under</w:t>
      </w:r>
      <w:r>
        <w:t xml:space="preserve"> </w:t>
      </w:r>
      <w:r w:rsidR="006518F7">
        <w:t>S</w:t>
      </w:r>
      <w:r>
        <w:t xml:space="preserve">ections 1 or 2 </w:t>
      </w:r>
      <w:r w:rsidR="007D34A2">
        <w:t xml:space="preserve">are provided by </w:t>
      </w:r>
      <w:r w:rsidR="00CD1CCB">
        <w:t xml:space="preserve">the </w:t>
      </w:r>
      <w:r w:rsidR="00F63A55">
        <w:t xml:space="preserve">nine </w:t>
      </w:r>
      <w:r w:rsidR="00CD1CCB">
        <w:t>perils exclusion clauses</w:t>
      </w:r>
      <w:r>
        <w:t xml:space="preserve">.  As noted above, it is perils exclusion </w:t>
      </w:r>
      <w:r w:rsidR="00CD4915">
        <w:t xml:space="preserve">6 with which we are concerned. It is useful to set out the </w:t>
      </w:r>
      <w:r w:rsidR="007D34A2">
        <w:t xml:space="preserve">relevant </w:t>
      </w:r>
      <w:r w:rsidR="00CD4915">
        <w:t>exclusion clause again:</w:t>
      </w:r>
    </w:p>
    <w:p w:rsidR="00CD4915" w:rsidRPr="00AD3C48" w:rsidRDefault="00CD4915" w:rsidP="00CD4915">
      <w:pPr>
        <w:pStyle w:val="Quote1"/>
      </w:pPr>
      <w:r w:rsidRPr="00AD3C48">
        <w:t>Perils Exclusions:</w:t>
      </w:r>
    </w:p>
    <w:p w:rsidR="00CD4915" w:rsidRDefault="00CD4915" w:rsidP="00CD4915">
      <w:pPr>
        <w:pStyle w:val="Quote1"/>
      </w:pPr>
      <w:r>
        <w:t>The Insurer(s) shall not be liable … in respect of:-</w:t>
      </w:r>
    </w:p>
    <w:p w:rsidR="00CD4915" w:rsidRDefault="00CD4915" w:rsidP="00CD4915">
      <w:pPr>
        <w:pStyle w:val="Quote1"/>
      </w:pPr>
      <w:r>
        <w:t>…</w:t>
      </w:r>
    </w:p>
    <w:p w:rsidR="00CD4915" w:rsidRDefault="00CD4915" w:rsidP="00CD4915">
      <w:pPr>
        <w:pStyle w:val="Quote1"/>
      </w:pPr>
      <w:r>
        <w:t xml:space="preserve">6. </w:t>
      </w:r>
      <w:proofErr w:type="gramStart"/>
      <w:r>
        <w:t>physical</w:t>
      </w:r>
      <w:proofErr w:type="gramEnd"/>
      <w:r>
        <w:t xml:space="preserve"> loss, destruction or damage occasioned by or happening through:-</w:t>
      </w:r>
    </w:p>
    <w:p w:rsidR="00CD4915" w:rsidRDefault="00CD4915" w:rsidP="00CD4915">
      <w:pPr>
        <w:pStyle w:val="Quote1"/>
      </w:pPr>
      <w:r>
        <w:t>…</w:t>
      </w:r>
    </w:p>
    <w:p w:rsidR="00CD4915" w:rsidRDefault="00CD4915" w:rsidP="00CD4915">
      <w:pPr>
        <w:pStyle w:val="Quote1"/>
      </w:pPr>
      <w:r>
        <w:t xml:space="preserve">(c) </w:t>
      </w:r>
      <w:r>
        <w:tab/>
        <w:t>(</w:t>
      </w:r>
      <w:proofErr w:type="spellStart"/>
      <w:proofErr w:type="gramStart"/>
      <w:r>
        <w:t>i</w:t>
      </w:r>
      <w:proofErr w:type="spellEnd"/>
      <w:proofErr w:type="gramEnd"/>
      <w:r>
        <w:t>) spontaneous combustion</w:t>
      </w:r>
    </w:p>
    <w:p w:rsidR="00CD4915" w:rsidRDefault="00CD4915" w:rsidP="00CD4915">
      <w:pPr>
        <w:pStyle w:val="Quote1"/>
        <w:ind w:left="1440"/>
      </w:pPr>
      <w:r>
        <w:t xml:space="preserve">(ii) </w:t>
      </w:r>
      <w:proofErr w:type="gramStart"/>
      <w:r>
        <w:t>spontaneous</w:t>
      </w:r>
      <w:proofErr w:type="gramEnd"/>
      <w:r>
        <w:t xml:space="preserve"> fermentation or heating or any process involving the direct application of heat</w:t>
      </w:r>
    </w:p>
    <w:p w:rsidR="00CD4915" w:rsidRDefault="00CD4915" w:rsidP="00CD4915">
      <w:pPr>
        <w:pStyle w:val="Quote1"/>
      </w:pPr>
      <w:r>
        <w:t>Provided that Perils Exclusions 6(c</w:t>
      </w:r>
      <w:proofErr w:type="gramStart"/>
      <w:r>
        <w:t>)(</w:t>
      </w:r>
      <w:proofErr w:type="spellStart"/>
      <w:proofErr w:type="gramEnd"/>
      <w:r>
        <w:t>i</w:t>
      </w:r>
      <w:proofErr w:type="spellEnd"/>
      <w:r>
        <w:t>) and 6(c)(ii) shall be limited to the item or items immediately affected and shall not extend to other property damaged as a result of such spontaneous combustion, fermentation or heating or process involving the direct application of heat.</w:t>
      </w:r>
    </w:p>
    <w:p w:rsidR="00CD4915" w:rsidRPr="008E45FE" w:rsidRDefault="008E45FE" w:rsidP="008E45FE">
      <w:pPr>
        <w:pStyle w:val="Heading3"/>
      </w:pPr>
      <w:r>
        <w:lastRenderedPageBreak/>
        <w:t>Dalby’s Submissions</w:t>
      </w:r>
    </w:p>
    <w:p w:rsidR="00AA3AF4" w:rsidRDefault="00CD4915" w:rsidP="00FE264D">
      <w:pPr>
        <w:pStyle w:val="ParaNumbering"/>
      </w:pPr>
      <w:r>
        <w:t xml:space="preserve">The applicant’s </w:t>
      </w:r>
      <w:r w:rsidR="00AD5290">
        <w:t xml:space="preserve">position is that </w:t>
      </w:r>
      <w:r w:rsidR="007D34A2">
        <w:t xml:space="preserve">the noun “heating” is modified </w:t>
      </w:r>
      <w:r w:rsidR="00AD5290">
        <w:t xml:space="preserve">by the </w:t>
      </w:r>
      <w:r w:rsidR="007D34A2">
        <w:t>adjective</w:t>
      </w:r>
      <w:r w:rsidR="00AD5290">
        <w:t xml:space="preserve"> “spontaneous”</w:t>
      </w:r>
      <w:r w:rsidR="00F744B7">
        <w:t xml:space="preserve"> in </w:t>
      </w:r>
      <w:r w:rsidR="006A2053">
        <w:t>cl</w:t>
      </w:r>
      <w:r w:rsidR="007D34A2">
        <w:t xml:space="preserve"> </w:t>
      </w:r>
      <w:r w:rsidR="00F744B7">
        <w:t>6(c</w:t>
      </w:r>
      <w:proofErr w:type="gramStart"/>
      <w:r w:rsidR="00F744B7">
        <w:t>)(</w:t>
      </w:r>
      <w:proofErr w:type="gramEnd"/>
      <w:r w:rsidR="00F744B7">
        <w:t xml:space="preserve">ii). </w:t>
      </w:r>
      <w:r w:rsidR="00AD5290">
        <w:t xml:space="preserve">This is said to be the case for a number of reasons. </w:t>
      </w:r>
      <w:r w:rsidR="00FE264D">
        <w:t xml:space="preserve">The requirement </w:t>
      </w:r>
      <w:r w:rsidR="007D34A2">
        <w:t>to establish</w:t>
      </w:r>
      <w:r w:rsidR="00FE264D">
        <w:t xml:space="preserve"> </w:t>
      </w:r>
      <w:r w:rsidR="00FE264D" w:rsidRPr="007D34A2">
        <w:rPr>
          <w:i/>
        </w:rPr>
        <w:t>spontaneous heating</w:t>
      </w:r>
      <w:r w:rsidR="00FE264D">
        <w:t xml:space="preserve"> is said to be consistent with the requirements </w:t>
      </w:r>
      <w:r w:rsidR="007D34A2">
        <w:t>to establish</w:t>
      </w:r>
      <w:r w:rsidR="00FE264D">
        <w:t xml:space="preserve"> </w:t>
      </w:r>
      <w:r w:rsidR="00FE264D" w:rsidRPr="007D34A2">
        <w:rPr>
          <w:i/>
        </w:rPr>
        <w:t>spontaneous combustion</w:t>
      </w:r>
      <w:r w:rsidR="00FE264D">
        <w:t xml:space="preserve"> in </w:t>
      </w:r>
      <w:r w:rsidR="006A2053">
        <w:t>cl</w:t>
      </w:r>
      <w:r w:rsidR="007D34A2">
        <w:t xml:space="preserve"> </w:t>
      </w:r>
      <w:r w:rsidR="00FE264D">
        <w:t>6(c</w:t>
      </w:r>
      <w:proofErr w:type="gramStart"/>
      <w:r w:rsidR="00FE264D">
        <w:t>)(</w:t>
      </w:r>
      <w:proofErr w:type="spellStart"/>
      <w:proofErr w:type="gramEnd"/>
      <w:r w:rsidR="00FE264D">
        <w:t>i</w:t>
      </w:r>
      <w:proofErr w:type="spellEnd"/>
      <w:r w:rsidR="00FE264D">
        <w:t xml:space="preserve">) and </w:t>
      </w:r>
      <w:r w:rsidR="00FE264D" w:rsidRPr="007D34A2">
        <w:rPr>
          <w:i/>
        </w:rPr>
        <w:t>spontaneous fermentation</w:t>
      </w:r>
      <w:r w:rsidR="00FE264D">
        <w:t xml:space="preserve"> in </w:t>
      </w:r>
      <w:r w:rsidR="006A2053">
        <w:t>cl</w:t>
      </w:r>
      <w:r w:rsidR="007D34A2">
        <w:t xml:space="preserve"> </w:t>
      </w:r>
      <w:r w:rsidR="00FE264D">
        <w:t xml:space="preserve">6(c)(ii). </w:t>
      </w:r>
      <w:r w:rsidR="00AA3AF4">
        <w:t>In particula</w:t>
      </w:r>
      <w:r w:rsidR="00D649ED">
        <w:t xml:space="preserve">r, it is said that </w:t>
      </w:r>
      <w:r w:rsidR="006A2053">
        <w:t>cl</w:t>
      </w:r>
      <w:r w:rsidR="000D5446">
        <w:t xml:space="preserve"> 6(c</w:t>
      </w:r>
      <w:proofErr w:type="gramStart"/>
      <w:r w:rsidR="000D5446">
        <w:t>)(</w:t>
      </w:r>
      <w:proofErr w:type="spellStart"/>
      <w:proofErr w:type="gramEnd"/>
      <w:r w:rsidR="000D5446">
        <w:t>i</w:t>
      </w:r>
      <w:proofErr w:type="spellEnd"/>
      <w:r w:rsidR="000D5446">
        <w:t>) includes spontaneous combustion</w:t>
      </w:r>
      <w:r w:rsidR="00FE264D">
        <w:t xml:space="preserve"> to the exclusion of all other kinds of combustion, meaning th</w:t>
      </w:r>
      <w:r w:rsidR="00FE264D" w:rsidRPr="00CD4915">
        <w:t>at any</w:t>
      </w:r>
      <w:r w:rsidR="00FE264D" w:rsidRPr="00CD4915">
        <w:rPr>
          <w:i/>
        </w:rPr>
        <w:t xml:space="preserve"> </w:t>
      </w:r>
      <w:r w:rsidR="00FE264D">
        <w:t>non-spontaneous combustion cannot fall within the exclusion. Combustion or burning is not sufficient it is submitted, even though combustion</w:t>
      </w:r>
      <w:r w:rsidR="00462080">
        <w:t xml:space="preserve"> or</w:t>
      </w:r>
      <w:r w:rsidR="00FE264D">
        <w:t xml:space="preserve"> burning is </w:t>
      </w:r>
      <w:r w:rsidR="00462080">
        <w:t xml:space="preserve">each </w:t>
      </w:r>
      <w:r w:rsidR="000D5446">
        <w:t>a form of heating</w:t>
      </w:r>
      <w:r w:rsidR="00FE264D">
        <w:t xml:space="preserve">.  If any combustion was enough to engage the exclusion then there would be no need for </w:t>
      </w:r>
      <w:r w:rsidR="00D579DA">
        <w:t>the word “spontaneous”, which</w:t>
      </w:r>
      <w:r w:rsidR="00FE264D">
        <w:t xml:space="preserve"> was said to be a limiting word in this context. </w:t>
      </w:r>
    </w:p>
    <w:p w:rsidR="00AD3C48" w:rsidRDefault="00462080" w:rsidP="00935E17">
      <w:pPr>
        <w:pStyle w:val="ParaNumbering"/>
      </w:pPr>
      <w:r>
        <w:t>Dalby recognised that a</w:t>
      </w:r>
      <w:r w:rsidR="00AA3AF4">
        <w:t xml:space="preserve"> counter-argument</w:t>
      </w:r>
      <w:r w:rsidR="008E45FE">
        <w:t xml:space="preserve"> </w:t>
      </w:r>
      <w:r w:rsidR="00C6275F">
        <w:t xml:space="preserve">to this </w:t>
      </w:r>
      <w:r>
        <w:t xml:space="preserve">construction </w:t>
      </w:r>
      <w:r w:rsidR="00AA3AF4">
        <w:t xml:space="preserve">is that the word “heating” has been included in </w:t>
      </w:r>
      <w:r w:rsidR="00D649ED">
        <w:t xml:space="preserve">cl </w:t>
      </w:r>
      <w:r w:rsidR="00AA3AF4">
        <w:t>6(c</w:t>
      </w:r>
      <w:proofErr w:type="gramStart"/>
      <w:r w:rsidR="00AA3AF4">
        <w:t>)(</w:t>
      </w:r>
      <w:proofErr w:type="gramEnd"/>
      <w:r w:rsidR="00AA3AF4">
        <w:t xml:space="preserve">ii) because it is seeking to do some work </w:t>
      </w:r>
      <w:r>
        <w:t>over and above a spontaneous event</w:t>
      </w:r>
      <w:r w:rsidR="00AA3AF4">
        <w:t>. Mr Horgan</w:t>
      </w:r>
      <w:r w:rsidR="000173C2">
        <w:t xml:space="preserve"> QC </w:t>
      </w:r>
      <w:r w:rsidR="00AA3AF4">
        <w:t xml:space="preserve">insisted that Dalby’s interpretation was put beyond doubt by the inclusion of the proviso which uses </w:t>
      </w:r>
      <w:r w:rsidR="007D192D">
        <w:t xml:space="preserve">the modifier </w:t>
      </w:r>
      <w:r w:rsidR="00AA3AF4">
        <w:t>“spontaneous” to qualify each of combustion, heating and fermentation. T</w:t>
      </w:r>
      <w:r w:rsidR="00AD3C48">
        <w:t xml:space="preserve">he grouping of words in the proviso </w:t>
      </w:r>
      <w:r w:rsidR="00AA3AF4">
        <w:t xml:space="preserve">is said to </w:t>
      </w:r>
      <w:r w:rsidR="00AD3C48">
        <w:t xml:space="preserve">indicate that for combustion, fermentation or heating, the exclusion only operates where the condition </w:t>
      </w:r>
      <w:r w:rsidR="00C6275F">
        <w:t>is</w:t>
      </w:r>
      <w:r w:rsidR="00AD3C48">
        <w:t xml:space="preserve"> spontaneous, that is, from rapid oxidation, fermentation or heating of its own constituents, without heat or </w:t>
      </w:r>
      <w:r w:rsidR="00D649ED">
        <w:t xml:space="preserve">any </w:t>
      </w:r>
      <w:r w:rsidR="00AD3C48">
        <w:t xml:space="preserve">fermenting agent from any external source.  These are said to be exclusions not involving what </w:t>
      </w:r>
      <w:r>
        <w:t>we</w:t>
      </w:r>
      <w:r w:rsidR="00AD3C48">
        <w:t xml:space="preserve">re described as “externalities”. </w:t>
      </w:r>
      <w:r w:rsidR="00130A41">
        <w:t>To read the clause in such a way</w:t>
      </w:r>
      <w:r>
        <w:t>, it was submitted,</w:t>
      </w:r>
      <w:r w:rsidR="00130A41">
        <w:t xml:space="preserve"> would be consistent with the context of the </w:t>
      </w:r>
      <w:r>
        <w:t xml:space="preserve">Policy </w:t>
      </w:r>
      <w:r w:rsidR="007D192D">
        <w:t>being an all risks</w:t>
      </w:r>
      <w:r w:rsidR="00130A41">
        <w:t xml:space="preserve"> insurance policy</w:t>
      </w:r>
      <w:r w:rsidR="003843CF">
        <w:t xml:space="preserve">, such that all risks are covered save for </w:t>
      </w:r>
      <w:r w:rsidR="00935E17">
        <w:t>unexpected</w:t>
      </w:r>
      <w:r w:rsidR="003843CF">
        <w:t xml:space="preserve"> internalities</w:t>
      </w:r>
      <w:r w:rsidR="00130A41">
        <w:t xml:space="preserve">. </w:t>
      </w:r>
      <w:r w:rsidR="00AD3C48">
        <w:t xml:space="preserve"> The exclusion in </w:t>
      </w:r>
      <w:r>
        <w:t xml:space="preserve">cl </w:t>
      </w:r>
      <w:r w:rsidR="00AD3C48">
        <w:t>6(c</w:t>
      </w:r>
      <w:proofErr w:type="gramStart"/>
      <w:r w:rsidR="00AD3C48">
        <w:t>)(</w:t>
      </w:r>
      <w:proofErr w:type="gramEnd"/>
      <w:r w:rsidR="00AD3C48">
        <w:t>ii) of a “process involving the direct application of heat” is an external cause, to be considered separately.  It follows, the applicants contend,</w:t>
      </w:r>
      <w:r w:rsidR="00D37AC9">
        <w:t xml:space="preserve"> that</w:t>
      </w:r>
      <w:r w:rsidR="00AD3C48">
        <w:t xml:space="preserve"> the respondents have accepted the risk for damage arising other than by spontaneous reactions (combustion, heating or fermentation) or by any process involving the direct application of heat.  </w:t>
      </w:r>
    </w:p>
    <w:p w:rsidR="00AD3C48" w:rsidRDefault="00AD3C48" w:rsidP="00AD3C48">
      <w:pPr>
        <w:pStyle w:val="ParaNumbering"/>
      </w:pPr>
      <w:r>
        <w:t xml:space="preserve">Even if these contentions were </w:t>
      </w:r>
      <w:r w:rsidR="00462080">
        <w:t>not self-evidently correct,</w:t>
      </w:r>
      <w:r>
        <w:t xml:space="preserve"> it </w:t>
      </w:r>
      <w:r w:rsidR="00462080">
        <w:t>was asserted, in the alternative,</w:t>
      </w:r>
      <w:r>
        <w:t xml:space="preserve"> that there is sufficient ambiguity which requires that the construction argument be resolved in favour of </w:t>
      </w:r>
      <w:r w:rsidR="00462080">
        <w:t>Dalby</w:t>
      </w:r>
      <w:r w:rsidR="00CD4915">
        <w:t xml:space="preserve"> by </w:t>
      </w:r>
      <w:r w:rsidR="00462080">
        <w:t xml:space="preserve">the Court </w:t>
      </w:r>
      <w:r w:rsidR="00CD4915">
        <w:t>adopting</w:t>
      </w:r>
      <w:r w:rsidR="00462080">
        <w:t>, in accordance with principle,</w:t>
      </w:r>
      <w:r w:rsidR="00CD4915">
        <w:t xml:space="preserve"> the </w:t>
      </w:r>
      <w:r w:rsidR="00CD4915">
        <w:rPr>
          <w:i/>
        </w:rPr>
        <w:t xml:space="preserve">contra </w:t>
      </w:r>
      <w:proofErr w:type="spellStart"/>
      <w:r w:rsidR="00CD4915">
        <w:rPr>
          <w:i/>
        </w:rPr>
        <w:t>proferendem</w:t>
      </w:r>
      <w:proofErr w:type="spellEnd"/>
      <w:r w:rsidR="00CD4915">
        <w:rPr>
          <w:i/>
        </w:rPr>
        <w:t xml:space="preserve"> </w:t>
      </w:r>
      <w:r w:rsidR="00CD4915">
        <w:t>rule</w:t>
      </w:r>
      <w:r w:rsidR="00462080">
        <w:t xml:space="preserve"> relating to construction</w:t>
      </w:r>
      <w:r>
        <w:t>.</w:t>
      </w:r>
    </w:p>
    <w:p w:rsidR="008E45FE" w:rsidRPr="008E45FE" w:rsidRDefault="008E45FE" w:rsidP="008E45FE">
      <w:pPr>
        <w:pStyle w:val="Heading3"/>
      </w:pPr>
      <w:r>
        <w:t>Insurers’ Submissions</w:t>
      </w:r>
    </w:p>
    <w:p w:rsidR="00B17C27" w:rsidRPr="00B17C27" w:rsidRDefault="00462080" w:rsidP="00462080">
      <w:pPr>
        <w:pStyle w:val="ParaNumbering"/>
        <w:tabs>
          <w:tab w:val="clear" w:pos="720"/>
        </w:tabs>
      </w:pPr>
      <w:r>
        <w:t>Unsurprisingly, t</w:t>
      </w:r>
      <w:r w:rsidR="00D37AC9">
        <w:t xml:space="preserve">he </w:t>
      </w:r>
      <w:r w:rsidR="002920E7">
        <w:t>I</w:t>
      </w:r>
      <w:r w:rsidR="00D37AC9">
        <w:t>nsurer</w:t>
      </w:r>
      <w:r w:rsidR="002920E7">
        <w:t>s</w:t>
      </w:r>
      <w:r w:rsidR="00130A41">
        <w:t xml:space="preserve"> </w:t>
      </w:r>
      <w:r w:rsidR="002920E7">
        <w:t>submit</w:t>
      </w:r>
      <w:r>
        <w:t xml:space="preserve"> </w:t>
      </w:r>
      <w:r w:rsidR="00D37AC9">
        <w:t>there is</w:t>
      </w:r>
      <w:r w:rsidR="00AD3C48">
        <w:t xml:space="preserve"> no basis for construing “heating” as spontaneous heating only.  </w:t>
      </w:r>
      <w:r>
        <w:t xml:space="preserve">The clause operates so as to exclude damage </w:t>
      </w:r>
      <w:r w:rsidR="00AD3C48">
        <w:t>occasioned by or happening th</w:t>
      </w:r>
      <w:r w:rsidR="007D192D">
        <w:t xml:space="preserve">rough </w:t>
      </w:r>
      <w:r w:rsidR="007D192D">
        <w:lastRenderedPageBreak/>
        <w:t>heating</w:t>
      </w:r>
      <w:r w:rsidR="00130A41">
        <w:t>,</w:t>
      </w:r>
      <w:r w:rsidR="007D192D">
        <w:t xml:space="preserve"> and spontaneity</w:t>
      </w:r>
      <w:r w:rsidR="00AD3C48">
        <w:t xml:space="preserve"> is not the basis for</w:t>
      </w:r>
      <w:r w:rsidR="00D37AC9">
        <w:t xml:space="preserve"> the</w:t>
      </w:r>
      <w:r w:rsidR="007D192D">
        <w:t xml:space="preserve"> exclusions that are not specifically so prefaced</w:t>
      </w:r>
      <w:r w:rsidR="00AD3C48">
        <w:t xml:space="preserve">.  </w:t>
      </w:r>
      <w:r w:rsidR="00B17C27" w:rsidRPr="00B17C27">
        <w:t xml:space="preserve">The </w:t>
      </w:r>
      <w:r w:rsidR="0079781F">
        <w:t>Insurer</w:t>
      </w:r>
      <w:r w:rsidR="00B610F0">
        <w:t xml:space="preserve">s frame the relevant question as whether, as contended for by Dalby, </w:t>
      </w:r>
      <w:r w:rsidR="00B17C27" w:rsidRPr="00B17C27">
        <w:t>the word “spontaneous”</w:t>
      </w:r>
      <w:r w:rsidR="00B610F0">
        <w:t>,</w:t>
      </w:r>
      <w:r>
        <w:t xml:space="preserve"> </w:t>
      </w:r>
      <w:r w:rsidR="00B610F0">
        <w:t xml:space="preserve">used at the beginning of </w:t>
      </w:r>
      <w:r w:rsidR="006A2053">
        <w:t>cl 6(c)(ii)</w:t>
      </w:r>
      <w:r w:rsidR="00B610F0">
        <w:t xml:space="preserve">, </w:t>
      </w:r>
      <w:r w:rsidR="00B17C27" w:rsidRPr="00B17C27">
        <w:t xml:space="preserve">carries over </w:t>
      </w:r>
      <w:r>
        <w:t xml:space="preserve">so as to modify </w:t>
      </w:r>
      <w:r w:rsidR="00B17C27" w:rsidRPr="00B17C27">
        <w:t>not just “fermentation”</w:t>
      </w:r>
      <w:r w:rsidR="00B610F0">
        <w:t>,</w:t>
      </w:r>
      <w:r w:rsidR="00B17C27" w:rsidRPr="00B17C27">
        <w:t xml:space="preserve"> but also the mean</w:t>
      </w:r>
      <w:r w:rsidR="00B610F0">
        <w:t>ing of “heating”?</w:t>
      </w:r>
    </w:p>
    <w:p w:rsidR="00FC55D8" w:rsidRDefault="00002D13" w:rsidP="00002D13">
      <w:pPr>
        <w:pStyle w:val="ParaNumbering"/>
      </w:pPr>
      <w:r>
        <w:t xml:space="preserve">The </w:t>
      </w:r>
      <w:r w:rsidR="002920E7">
        <w:t>I</w:t>
      </w:r>
      <w:r>
        <w:t>nsurer</w:t>
      </w:r>
      <w:r w:rsidR="002920E7">
        <w:t>s submit</w:t>
      </w:r>
      <w:r w:rsidR="001E0664">
        <w:t xml:space="preserve"> this is not the case and rely</w:t>
      </w:r>
      <w:r>
        <w:t xml:space="preserve"> on the text of the exclusion clause and th</w:t>
      </w:r>
      <w:r w:rsidR="00B610F0">
        <w:t>e ordinary meaning of the words</w:t>
      </w:r>
      <w:r>
        <w:t xml:space="preserve">. </w:t>
      </w:r>
      <w:r>
        <w:rPr>
          <w:i/>
        </w:rPr>
        <w:t>First</w:t>
      </w:r>
      <w:r>
        <w:t xml:space="preserve">, the </w:t>
      </w:r>
      <w:r w:rsidR="00B610F0">
        <w:t xml:space="preserve">disjunctive </w:t>
      </w:r>
      <w:r>
        <w:t xml:space="preserve">“or” in </w:t>
      </w:r>
      <w:r w:rsidR="006A2053">
        <w:t>cl</w:t>
      </w:r>
      <w:r w:rsidR="00B610F0">
        <w:t xml:space="preserve"> </w:t>
      </w:r>
      <w:r>
        <w:t>6(c)(ii)</w:t>
      </w:r>
      <w:r w:rsidR="00B610F0">
        <w:t>,</w:t>
      </w:r>
      <w:r>
        <w:t xml:space="preserve"> between </w:t>
      </w:r>
      <w:r w:rsidR="00B610F0">
        <w:t>“</w:t>
      </w:r>
      <w:r>
        <w:t>spontaneous fermentation</w:t>
      </w:r>
      <w:r w:rsidR="00B610F0">
        <w:t>”</w:t>
      </w:r>
      <w:r>
        <w:t xml:space="preserve"> and </w:t>
      </w:r>
      <w:r w:rsidR="00B610F0">
        <w:t>“</w:t>
      </w:r>
      <w:r>
        <w:t>heating</w:t>
      </w:r>
      <w:r w:rsidR="00B610F0">
        <w:t>”,</w:t>
      </w:r>
      <w:r>
        <w:t xml:space="preserve"> is said to separate the terms such that any qualification would need to be repeated in order to attach to “heating”. </w:t>
      </w:r>
      <w:r>
        <w:rPr>
          <w:i/>
        </w:rPr>
        <w:t>Second</w:t>
      </w:r>
      <w:r w:rsidR="00935E17">
        <w:rPr>
          <w:i/>
        </w:rPr>
        <w:t>ly</w:t>
      </w:r>
      <w:r>
        <w:t xml:space="preserve">, it would be illogical to read spontaneous as qualifying </w:t>
      </w:r>
      <w:r w:rsidR="00B610F0">
        <w:t xml:space="preserve">or modifying </w:t>
      </w:r>
      <w:r>
        <w:t xml:space="preserve">all </w:t>
      </w:r>
      <w:r w:rsidR="00B610F0">
        <w:t>concepts referred to</w:t>
      </w:r>
      <w:r>
        <w:t xml:space="preserve"> </w:t>
      </w:r>
      <w:r w:rsidR="003C2965">
        <w:t xml:space="preserve">in </w:t>
      </w:r>
      <w:r w:rsidR="006A2053">
        <w:t xml:space="preserve">cl </w:t>
      </w:r>
      <w:r>
        <w:t>6(c</w:t>
      </w:r>
      <w:proofErr w:type="gramStart"/>
      <w:r>
        <w:t>)(</w:t>
      </w:r>
      <w:proofErr w:type="gramEnd"/>
      <w:r>
        <w:t>ii). There</w:t>
      </w:r>
      <w:r w:rsidR="00AD3C48">
        <w:t xml:space="preserve"> </w:t>
      </w:r>
      <w:r w:rsidR="00D37AC9">
        <w:t>is</w:t>
      </w:r>
      <w:r w:rsidR="00AD3C48">
        <w:t xml:space="preserve"> nothing about</w:t>
      </w:r>
      <w:r w:rsidR="00D37AC9">
        <w:t xml:space="preserve"> t</w:t>
      </w:r>
      <w:r w:rsidR="00B17C27">
        <w:t>he</w:t>
      </w:r>
      <w:r w:rsidR="00D37AC9">
        <w:t xml:space="preserve"> </w:t>
      </w:r>
      <w:r w:rsidR="006A2053">
        <w:t>sub-</w:t>
      </w:r>
      <w:r w:rsidR="00D37AC9">
        <w:t>clause</w:t>
      </w:r>
      <w:r w:rsidR="00B17C27">
        <w:t xml:space="preserve"> which </w:t>
      </w:r>
      <w:r>
        <w:t>suggests</w:t>
      </w:r>
      <w:r w:rsidR="00B17C27">
        <w:t xml:space="preserve"> that the third listed cause</w:t>
      </w:r>
      <w:r w:rsidR="00AD3C48">
        <w:t xml:space="preserve"> </w:t>
      </w:r>
      <w:r>
        <w:t xml:space="preserve">(“any process involving the direct application of heat”) is to </w:t>
      </w:r>
      <w:r w:rsidR="00AD3C48">
        <w:t>be</w:t>
      </w:r>
      <w:r>
        <w:t xml:space="preserve"> limited </w:t>
      </w:r>
      <w:r w:rsidR="00C06293">
        <w:t>by</w:t>
      </w:r>
      <w:r>
        <w:t xml:space="preserve"> any spontaneity</w:t>
      </w:r>
      <w:r w:rsidR="00C47CD2">
        <w:t xml:space="preserve">; </w:t>
      </w:r>
      <w:r w:rsidR="00AD3C48">
        <w:t xml:space="preserve">indeed, such a limitation, it is submitted, would be contrary to the use of the word “any” and the ordinary meaning of </w:t>
      </w:r>
      <w:r w:rsidR="00B610F0">
        <w:t>“</w:t>
      </w:r>
      <w:r w:rsidR="00AD3C48">
        <w:t>spontaneous</w:t>
      </w:r>
      <w:r w:rsidR="00B610F0">
        <w:t>”</w:t>
      </w:r>
      <w:r>
        <w:t>, which generally refers to internal processes</w:t>
      </w:r>
      <w:r w:rsidR="00AD3C48">
        <w:t xml:space="preserve">. </w:t>
      </w:r>
      <w:r w:rsidR="006C4740">
        <w:rPr>
          <w:i/>
        </w:rPr>
        <w:t>Thirdly</w:t>
      </w:r>
      <w:r w:rsidR="006C4740">
        <w:t xml:space="preserve">, contrary to </w:t>
      </w:r>
      <w:r w:rsidR="000F7BE1">
        <w:t>Dalby’s</w:t>
      </w:r>
      <w:r w:rsidR="00FC55D8">
        <w:t xml:space="preserve"> submission, the </w:t>
      </w:r>
      <w:r w:rsidR="002920E7">
        <w:t>I</w:t>
      </w:r>
      <w:r w:rsidR="00FC55D8">
        <w:t>nsurer</w:t>
      </w:r>
      <w:r w:rsidR="002920E7">
        <w:t>s submit</w:t>
      </w:r>
      <w:r w:rsidR="00FC55D8">
        <w:t xml:space="preserve"> that the proviso demonstrates that heating is</w:t>
      </w:r>
      <w:r w:rsidR="00FC55D8" w:rsidRPr="00CA4653">
        <w:rPr>
          <w:i/>
        </w:rPr>
        <w:t xml:space="preserve"> not</w:t>
      </w:r>
      <w:r w:rsidR="00FC55D8">
        <w:t xml:space="preserve"> intended to be qualified in any way. Again, the use of “or” before “heating” </w:t>
      </w:r>
      <w:r w:rsidR="00B610F0">
        <w:t>(in contra</w:t>
      </w:r>
      <w:r w:rsidR="00FC55D8">
        <w:t xml:space="preserve">distinction to the comma between </w:t>
      </w:r>
      <w:r w:rsidR="00DF01E2">
        <w:t>“</w:t>
      </w:r>
      <w:r w:rsidR="00FC55D8">
        <w:t>combustion</w:t>
      </w:r>
      <w:r w:rsidR="00DF01E2">
        <w:t>”</w:t>
      </w:r>
      <w:r w:rsidR="00FC55D8">
        <w:t xml:space="preserve"> and </w:t>
      </w:r>
      <w:r w:rsidR="00DF01E2">
        <w:t>“</w:t>
      </w:r>
      <w:r w:rsidR="00FC55D8">
        <w:t>fermentation</w:t>
      </w:r>
      <w:r w:rsidR="00DF01E2">
        <w:t>”</w:t>
      </w:r>
      <w:r w:rsidR="00B610F0">
        <w:t>)</w:t>
      </w:r>
      <w:r w:rsidR="00FC55D8">
        <w:t xml:space="preserve"> demonstrates that </w:t>
      </w:r>
      <w:r w:rsidR="00DF01E2">
        <w:t>“</w:t>
      </w:r>
      <w:r w:rsidR="00FC55D8">
        <w:t>heating</w:t>
      </w:r>
      <w:r w:rsidR="00DF01E2">
        <w:t>”</w:t>
      </w:r>
      <w:r w:rsidR="00FC55D8">
        <w:t xml:space="preserve"> </w:t>
      </w:r>
      <w:r w:rsidR="0003615E">
        <w:t xml:space="preserve">should </w:t>
      </w:r>
      <w:r w:rsidR="00FC55D8">
        <w:t xml:space="preserve">be read </w:t>
      </w:r>
      <w:r w:rsidR="00DF01E2">
        <w:t>as referring</w:t>
      </w:r>
      <w:r w:rsidR="00416D60">
        <w:t xml:space="preserve"> to a separate and unmodified process</w:t>
      </w:r>
      <w:r w:rsidR="00FC55D8">
        <w:t>.</w:t>
      </w:r>
    </w:p>
    <w:p w:rsidR="00AD3C48" w:rsidRDefault="00B17C27" w:rsidP="00002D13">
      <w:pPr>
        <w:pStyle w:val="ParaNumbering"/>
      </w:pPr>
      <w:r>
        <w:t>The</w:t>
      </w:r>
      <w:r w:rsidR="006C4740">
        <w:t xml:space="preserve"> short point is that there is</w:t>
      </w:r>
      <w:r>
        <w:t xml:space="preserve"> no textual toehold from which a reading down of the word “heating” </w:t>
      </w:r>
      <w:r w:rsidR="00DF01E2">
        <w:t>is</w:t>
      </w:r>
      <w:r>
        <w:t xml:space="preserve"> justified</w:t>
      </w:r>
      <w:r w:rsidR="00353185">
        <w:t>,</w:t>
      </w:r>
      <w:r w:rsidR="00982EAA">
        <w:t xml:space="preserve"> and</w:t>
      </w:r>
      <w:r w:rsidR="00353185">
        <w:t xml:space="preserve"> t</w:t>
      </w:r>
      <w:r w:rsidR="00CA4653">
        <w:t xml:space="preserve">here is no warrant for reading “heating” as </w:t>
      </w:r>
      <w:r w:rsidR="00DF01E2">
        <w:t>being modified to connote a particular type of process of heating</w:t>
      </w:r>
      <w:r w:rsidR="00CA4653">
        <w:t xml:space="preserve">. </w:t>
      </w:r>
      <w:r w:rsidR="006C4740">
        <w:t xml:space="preserve">Further to this, the </w:t>
      </w:r>
      <w:r w:rsidR="002920E7">
        <w:t>I</w:t>
      </w:r>
      <w:r w:rsidR="006C4740">
        <w:t>nsurer</w:t>
      </w:r>
      <w:r w:rsidR="002920E7">
        <w:t>s argue</w:t>
      </w:r>
      <w:r w:rsidR="006C4740">
        <w:t xml:space="preserve"> that heating is to be construed without limitation, such </w:t>
      </w:r>
      <w:r w:rsidR="00002D13">
        <w:t>that the exclusion e</w:t>
      </w:r>
      <w:r w:rsidR="00DF01E2">
        <w:t xml:space="preserve">mbraces heating from any source which, in the present case, means a process </w:t>
      </w:r>
      <w:r w:rsidR="00002D13">
        <w:t xml:space="preserve">internal to the stockpile </w:t>
      </w:r>
      <w:r w:rsidR="00DF01E2">
        <w:t xml:space="preserve">of Product </w:t>
      </w:r>
      <w:r w:rsidR="00002D13">
        <w:t>or external. This is because the first menti</w:t>
      </w:r>
      <w:r w:rsidR="00C03F73">
        <w:t>oned cause in</w:t>
      </w:r>
      <w:r w:rsidR="00002D13">
        <w:t xml:space="preserve"> the sub-clause (</w:t>
      </w:r>
      <w:r w:rsidR="005E1AED">
        <w:t>“</w:t>
      </w:r>
      <w:r w:rsidR="00002D13">
        <w:t>spontaneous fermentation</w:t>
      </w:r>
      <w:r w:rsidR="005E1AED">
        <w:t>”</w:t>
      </w:r>
      <w:r w:rsidR="00002D13">
        <w:t>) is internal and the last mentioned cause (</w:t>
      </w:r>
      <w:r w:rsidR="005E1AED">
        <w:t>“</w:t>
      </w:r>
      <w:r w:rsidR="00002D13">
        <w:t>any process involving the direct application of heat</w:t>
      </w:r>
      <w:r w:rsidR="005E1AED">
        <w:t>”</w:t>
      </w:r>
      <w:r w:rsidR="00002D13">
        <w:t>) is external.</w:t>
      </w:r>
      <w:r w:rsidR="00CD1CCB">
        <w:t xml:space="preserve"> </w:t>
      </w:r>
    </w:p>
    <w:p w:rsidR="00AD3C48" w:rsidRDefault="00AD3C48" w:rsidP="00AD3C48">
      <w:pPr>
        <w:pStyle w:val="ParaNumbering"/>
      </w:pPr>
      <w:r>
        <w:t>Dealing with the applicant’s submission that read as a whole</w:t>
      </w:r>
      <w:r w:rsidR="00B41DBF">
        <w:t>,</w:t>
      </w:r>
      <w:r>
        <w:t xml:space="preserve"> the exclusions operate for a “condition that is unable to be anticipated or controlled</w:t>
      </w:r>
      <w:r w:rsidR="00B41DBF">
        <w:t>”</w:t>
      </w:r>
      <w:r>
        <w:t xml:space="preserve">, the </w:t>
      </w:r>
      <w:r w:rsidR="002920E7">
        <w:t>I</w:t>
      </w:r>
      <w:r>
        <w:t>nsurer</w:t>
      </w:r>
      <w:r w:rsidR="002920E7">
        <w:t>s point</w:t>
      </w:r>
      <w:r>
        <w:t xml:space="preserve"> to </w:t>
      </w:r>
      <w:r w:rsidR="00361D8B">
        <w:t xml:space="preserve">perils </w:t>
      </w:r>
      <w:r>
        <w:t>exclusion 4(c)(iv)</w:t>
      </w:r>
      <w:r w:rsidR="00361D8B">
        <w:t xml:space="preserve"> </w:t>
      </w:r>
      <w:r>
        <w:t xml:space="preserve">“error or omission in design” and </w:t>
      </w:r>
      <w:r w:rsidR="00804F3C">
        <w:t xml:space="preserve">perils </w:t>
      </w:r>
      <w:r>
        <w:t>exclusion 5(a)</w:t>
      </w:r>
      <w:r w:rsidR="00361D8B">
        <w:t>(ii)</w:t>
      </w:r>
      <w:r>
        <w:t xml:space="preserve"> “faulty workmanship” as being perils unable to be anticipated and controlled.  It is further con</w:t>
      </w:r>
      <w:r w:rsidR="00DF01E2">
        <w:t>tended that the wording in the P</w:t>
      </w:r>
      <w:r>
        <w:t>olicy is to be interpreted as it would be understood by reference to its natural and ordinary meaning and</w:t>
      </w:r>
      <w:r w:rsidR="0082358C">
        <w:t xml:space="preserve"> </w:t>
      </w:r>
      <w:r w:rsidR="001A0C82">
        <w:t xml:space="preserve">that </w:t>
      </w:r>
      <w:r w:rsidR="0082358C">
        <w:t>by</w:t>
      </w:r>
      <w:r>
        <w:t xml:space="preserve"> </w:t>
      </w:r>
      <w:r w:rsidR="00B41DBF">
        <w:t>adopting such an interpretation,</w:t>
      </w:r>
      <w:r>
        <w:t xml:space="preserve"> the word “heating” embraces the type of self-heating referred to by the refe</w:t>
      </w:r>
      <w:r w:rsidR="0082358C">
        <w:t>ree which, as</w:t>
      </w:r>
      <w:r w:rsidR="00DF01E2">
        <w:t xml:space="preserve"> described in the Referee Report, is</w:t>
      </w:r>
      <w:r>
        <w:t xml:space="preserve"> an “increase in temperatures due to internal exothermic reactions”.  </w:t>
      </w:r>
    </w:p>
    <w:p w:rsidR="008E45FE" w:rsidRPr="008E45FE" w:rsidRDefault="008E45FE" w:rsidP="008E45FE">
      <w:pPr>
        <w:pStyle w:val="Heading3"/>
      </w:pPr>
      <w:r>
        <w:lastRenderedPageBreak/>
        <w:t>Conclusions</w:t>
      </w:r>
    </w:p>
    <w:p w:rsidR="005970A0" w:rsidRDefault="00AD3C48" w:rsidP="00AD3C48">
      <w:pPr>
        <w:pStyle w:val="ParaNumbering"/>
      </w:pPr>
      <w:r>
        <w:t>It seems to me it is tolerably plain</w:t>
      </w:r>
      <w:r w:rsidR="00DF01E2">
        <w:t>,</w:t>
      </w:r>
      <w:r>
        <w:t xml:space="preserve"> </w:t>
      </w:r>
      <w:r w:rsidR="00DF01E2">
        <w:t xml:space="preserve">from </w:t>
      </w:r>
      <w:r>
        <w:t xml:space="preserve">both the text of the exclusion and having regard to the relevant </w:t>
      </w:r>
      <w:proofErr w:type="gramStart"/>
      <w:r>
        <w:t>context</w:t>
      </w:r>
      <w:r w:rsidR="00DF01E2">
        <w:t xml:space="preserve">, </w:t>
      </w:r>
      <w:r>
        <w:t>that</w:t>
      </w:r>
      <w:proofErr w:type="gramEnd"/>
      <w:r>
        <w:t xml:space="preserve"> the </w:t>
      </w:r>
      <w:r w:rsidR="002920E7">
        <w:t>I</w:t>
      </w:r>
      <w:r>
        <w:t xml:space="preserve">nsurers </w:t>
      </w:r>
      <w:r w:rsidR="00B41DBF">
        <w:t>were</w:t>
      </w:r>
      <w:r>
        <w:t xml:space="preserve"> </w:t>
      </w:r>
      <w:r w:rsidR="00DF01E2">
        <w:t>not</w:t>
      </w:r>
      <w:r>
        <w:t xml:space="preserve"> prepared to accept a risk </w:t>
      </w:r>
      <w:r w:rsidR="00F7707D">
        <w:t xml:space="preserve">of damage to the Product </w:t>
      </w:r>
      <w:r>
        <w:t>occasioned by or happening through heating of any typ</w:t>
      </w:r>
      <w:r w:rsidR="00B41DBF">
        <w:t xml:space="preserve">e.  </w:t>
      </w:r>
      <w:r w:rsidR="00DF01E2">
        <w:t>I accept the submissions of the Insurers that t</w:t>
      </w:r>
      <w:r w:rsidR="00B41DBF">
        <w:t>here are a number of textu</w:t>
      </w:r>
      <w:r>
        <w:t xml:space="preserve">al matters pointing against the constructions agitated by Dalby.  </w:t>
      </w:r>
    </w:p>
    <w:p w:rsidR="00AD3C48" w:rsidRDefault="00AD3C48" w:rsidP="00AD3C48">
      <w:pPr>
        <w:pStyle w:val="ParaNumbering"/>
      </w:pPr>
      <w:r>
        <w:t xml:space="preserve">The </w:t>
      </w:r>
      <w:r w:rsidRPr="00DF01E2">
        <w:rPr>
          <w:i/>
        </w:rPr>
        <w:t>first</w:t>
      </w:r>
      <w:r>
        <w:t xml:space="preserve"> and most obvious is that the word heating is not qualified </w:t>
      </w:r>
      <w:r w:rsidR="00DF01E2">
        <w:t xml:space="preserve">or modified </w:t>
      </w:r>
      <w:r>
        <w:t xml:space="preserve">by the word </w:t>
      </w:r>
      <w:r w:rsidR="00DF01E2">
        <w:t>“</w:t>
      </w:r>
      <w:r>
        <w:t>spontaneous</w:t>
      </w:r>
      <w:r w:rsidR="00DF01E2">
        <w:t>”</w:t>
      </w:r>
      <w:r>
        <w:t xml:space="preserve"> as is the case with “combustion” or “fermentation”. </w:t>
      </w:r>
      <w:r w:rsidR="000B40F8">
        <w:t xml:space="preserve"> </w:t>
      </w:r>
      <w:r>
        <w:t xml:space="preserve">The notion that spontaneity qualifies all of </w:t>
      </w:r>
      <w:r w:rsidR="00282845">
        <w:t xml:space="preserve">the </w:t>
      </w:r>
      <w:r>
        <w:t xml:space="preserve">perils </w:t>
      </w:r>
      <w:r w:rsidR="00DF01E2">
        <w:t xml:space="preserve">in </w:t>
      </w:r>
      <w:r w:rsidR="006A2053">
        <w:t>cl</w:t>
      </w:r>
      <w:r>
        <w:t xml:space="preserve"> 6(c</w:t>
      </w:r>
      <w:proofErr w:type="gramStart"/>
      <w:r>
        <w:t>)(</w:t>
      </w:r>
      <w:proofErr w:type="gramEnd"/>
      <w:r>
        <w:t>ii) cannot be sustained in circumstances where one of the</w:t>
      </w:r>
      <w:r w:rsidR="00804F3C">
        <w:t xml:space="preserve"> matters referred to in that </w:t>
      </w:r>
      <w:r>
        <w:t xml:space="preserve">clause involves what is clearly an external process </w:t>
      </w:r>
      <w:r w:rsidR="00DF01E2">
        <w:t>(</w:t>
      </w:r>
      <w:r>
        <w:t>being the application of heat</w:t>
      </w:r>
      <w:r w:rsidR="00B41DBF">
        <w:t>, and is itself qualified by the word “any”</w:t>
      </w:r>
      <w:r w:rsidR="00DF01E2">
        <w:t>)</w:t>
      </w:r>
      <w:r>
        <w:t>.</w:t>
      </w:r>
    </w:p>
    <w:p w:rsidR="005970A0" w:rsidRDefault="00AD3C48" w:rsidP="00AD3C48">
      <w:pPr>
        <w:pStyle w:val="ParaNumbering"/>
      </w:pPr>
      <w:r w:rsidRPr="00DF01E2">
        <w:rPr>
          <w:i/>
        </w:rPr>
        <w:t>Secondly</w:t>
      </w:r>
      <w:r w:rsidR="00B41DBF" w:rsidRPr="00DF01E2">
        <w:t>,</w:t>
      </w:r>
      <w:r w:rsidRPr="00DF01E2">
        <w:t xml:space="preserve"> there is a difference between damage occasioned by spontaneous combustion and damage that would be occasioned by any form of heating </w:t>
      </w:r>
      <w:r w:rsidR="00DF01E2">
        <w:t>(</w:t>
      </w:r>
      <w:r w:rsidRPr="00DF01E2">
        <w:t>including self-heating</w:t>
      </w:r>
      <w:r w:rsidR="00DF01E2">
        <w:t>); it follows that</w:t>
      </w:r>
      <w:r w:rsidR="00DF01E2" w:rsidRPr="00DF01E2">
        <w:t xml:space="preserve"> </w:t>
      </w:r>
      <w:r w:rsidR="00353185" w:rsidRPr="00DF01E2">
        <w:t>“heating” has wor</w:t>
      </w:r>
      <w:r w:rsidR="00DF01E2" w:rsidRPr="00DF01E2">
        <w:t xml:space="preserve">k to do in the exclusion clause properly construed. </w:t>
      </w:r>
      <w:r w:rsidRPr="00DF01E2">
        <w:t xml:space="preserve"> Indeed the circumstances of this case make it clear tha</w:t>
      </w:r>
      <w:r w:rsidR="00DF01E2">
        <w:t>t there could be damage to the P</w:t>
      </w:r>
      <w:r w:rsidRPr="00DF01E2">
        <w:t xml:space="preserve">roduct occasioned </w:t>
      </w:r>
      <w:r>
        <w:t>by heating which fell short of any combustion and it seems to me that this is precisely the sort of eventuality to which perils exclusion 6(c</w:t>
      </w:r>
      <w:proofErr w:type="gramStart"/>
      <w:r>
        <w:t>)(</w:t>
      </w:r>
      <w:proofErr w:type="gramEnd"/>
      <w:r>
        <w:t xml:space="preserve">ii) </w:t>
      </w:r>
      <w:r w:rsidR="005970A0">
        <w:t>is directed</w:t>
      </w:r>
      <w:r>
        <w:t xml:space="preserve">.  </w:t>
      </w:r>
    </w:p>
    <w:p w:rsidR="00AD3C48" w:rsidRDefault="00AD3C48" w:rsidP="00AD3C48">
      <w:pPr>
        <w:pStyle w:val="ParaNumbering"/>
      </w:pPr>
      <w:r w:rsidRPr="005970A0">
        <w:rPr>
          <w:i/>
        </w:rPr>
        <w:t>Thirdly</w:t>
      </w:r>
      <w:r>
        <w:t>, contrary to the submissions of Dalby, I do not believe that the proviso assists.  The proviso refers to “property damage as a result of such spontaneous combustion, fermentation or heating or process involving the direct application of heat</w:t>
      </w:r>
      <w:r w:rsidR="002B3F37">
        <w:t>”</w:t>
      </w:r>
      <w:r>
        <w:t xml:space="preserve">.  </w:t>
      </w:r>
    </w:p>
    <w:p w:rsidR="005970A0" w:rsidRDefault="00AD3C48" w:rsidP="00AD3C48">
      <w:pPr>
        <w:pStyle w:val="ParaNumbering"/>
      </w:pPr>
      <w:r>
        <w:t>Plainly</w:t>
      </w:r>
      <w:r w:rsidR="005970A0">
        <w:t>,</w:t>
      </w:r>
      <w:r>
        <w:t xml:space="preserve"> given the comma between </w:t>
      </w:r>
      <w:r w:rsidR="005970A0">
        <w:t>“</w:t>
      </w:r>
      <w:r>
        <w:t>combustion</w:t>
      </w:r>
      <w:r w:rsidR="005970A0">
        <w:t>”</w:t>
      </w:r>
      <w:r>
        <w:t xml:space="preserve"> and </w:t>
      </w:r>
      <w:r w:rsidR="005970A0">
        <w:t>“</w:t>
      </w:r>
      <w:r>
        <w:t>fermentation</w:t>
      </w:r>
      <w:r w:rsidR="005970A0">
        <w:t>”</w:t>
      </w:r>
      <w:r>
        <w:t xml:space="preserve"> prior to the disjunctive appearing before the word </w:t>
      </w:r>
      <w:r w:rsidR="005970A0">
        <w:t>“</w:t>
      </w:r>
      <w:r>
        <w:t>heating</w:t>
      </w:r>
      <w:r w:rsidR="005970A0">
        <w:t>”</w:t>
      </w:r>
      <w:r>
        <w:t xml:space="preserve">, </w:t>
      </w:r>
      <w:r w:rsidR="005970A0">
        <w:t>“</w:t>
      </w:r>
      <w:r>
        <w:t>spontaneous</w:t>
      </w:r>
      <w:r w:rsidR="005970A0">
        <w:t>”</w:t>
      </w:r>
      <w:r>
        <w:t xml:space="preserve"> is qualifying </w:t>
      </w:r>
      <w:r w:rsidR="005970A0">
        <w:t>“</w:t>
      </w:r>
      <w:r>
        <w:t>combustion</w:t>
      </w:r>
      <w:r w:rsidR="005970A0">
        <w:t>”</w:t>
      </w:r>
      <w:r w:rsidR="001A0C82">
        <w:t xml:space="preserve"> and</w:t>
      </w:r>
      <w:r>
        <w:t xml:space="preserve"> </w:t>
      </w:r>
      <w:r w:rsidR="005970A0">
        <w:t>“</w:t>
      </w:r>
      <w:r>
        <w:t>fermentation</w:t>
      </w:r>
      <w:r w:rsidR="005970A0">
        <w:t xml:space="preserve">”.  What is also evident is that </w:t>
      </w:r>
      <w:r>
        <w:t xml:space="preserve">the insertion of the disjunctive before </w:t>
      </w:r>
      <w:r w:rsidR="002B3F37">
        <w:t>“</w:t>
      </w:r>
      <w:r>
        <w:t>heating</w:t>
      </w:r>
      <w:r w:rsidR="002B3F37">
        <w:t>”</w:t>
      </w:r>
      <w:r>
        <w:t xml:space="preserve"> points to the fact that </w:t>
      </w:r>
      <w:r w:rsidR="005970A0">
        <w:t>“</w:t>
      </w:r>
      <w:r>
        <w:t>heating</w:t>
      </w:r>
      <w:r w:rsidR="005970A0">
        <w:t>”</w:t>
      </w:r>
      <w:r>
        <w:t xml:space="preserve"> is embracing a broader </w:t>
      </w:r>
      <w:r w:rsidR="005970A0">
        <w:t xml:space="preserve">causal </w:t>
      </w:r>
      <w:r>
        <w:t xml:space="preserve">concept as is </w:t>
      </w:r>
      <w:r w:rsidR="002B3F37">
        <w:t>“</w:t>
      </w:r>
      <w:r>
        <w:t>any other process involving the direct application of heat</w:t>
      </w:r>
      <w:r w:rsidR="002B3F37">
        <w:t>”</w:t>
      </w:r>
      <w:r>
        <w:t>.  For these reasons</w:t>
      </w:r>
      <w:r w:rsidR="005970A0">
        <w:t>,</w:t>
      </w:r>
      <w:r>
        <w:t xml:space="preserve"> </w:t>
      </w:r>
      <w:r w:rsidR="005970A0">
        <w:t xml:space="preserve">I do not consider there to be any ambiguity and </w:t>
      </w:r>
      <w:r>
        <w:t xml:space="preserve">the </w:t>
      </w:r>
      <w:r w:rsidR="002920E7">
        <w:t>I</w:t>
      </w:r>
      <w:r>
        <w:t>nsurer</w:t>
      </w:r>
      <w:r w:rsidR="002920E7">
        <w:t>s’</w:t>
      </w:r>
      <w:r>
        <w:t xml:space="preserve"> submissions as to the proper construction of the perils exclusion are to be preferred.</w:t>
      </w:r>
      <w:r w:rsidR="005970A0">
        <w:t xml:space="preserve"> </w:t>
      </w:r>
    </w:p>
    <w:p w:rsidR="005970A0" w:rsidRPr="005970A0" w:rsidRDefault="005970A0" w:rsidP="005970A0">
      <w:pPr>
        <w:pStyle w:val="ParaNumbering"/>
      </w:pPr>
      <w:r>
        <w:t xml:space="preserve">It </w:t>
      </w:r>
      <w:r w:rsidRPr="005970A0">
        <w:t>also follows that the argument of Dalby based on the application of the</w:t>
      </w:r>
      <w:r w:rsidR="00E3040C" w:rsidRPr="005970A0">
        <w:t xml:space="preserve"> </w:t>
      </w:r>
      <w:r w:rsidR="00E3040C" w:rsidRPr="005970A0">
        <w:rPr>
          <w:i/>
        </w:rPr>
        <w:t xml:space="preserve">contra </w:t>
      </w:r>
      <w:proofErr w:type="spellStart"/>
      <w:r w:rsidR="00E3040C" w:rsidRPr="005970A0">
        <w:rPr>
          <w:i/>
        </w:rPr>
        <w:t>pr</w:t>
      </w:r>
      <w:r>
        <w:rPr>
          <w:i/>
        </w:rPr>
        <w:t>oferendum</w:t>
      </w:r>
      <w:proofErr w:type="spellEnd"/>
      <w:r w:rsidR="00374BD3" w:rsidRPr="005970A0">
        <w:rPr>
          <w:i/>
        </w:rPr>
        <w:t xml:space="preserve"> </w:t>
      </w:r>
      <w:r w:rsidR="00F7707D">
        <w:t>rule</w:t>
      </w:r>
      <w:r w:rsidRPr="005970A0">
        <w:t>, such as it is, must be rejected.</w:t>
      </w:r>
    </w:p>
    <w:p w:rsidR="002177B3" w:rsidRDefault="003305BF" w:rsidP="002177B3">
      <w:pPr>
        <w:pStyle w:val="Heading2"/>
      </w:pPr>
      <w:r>
        <w:lastRenderedPageBreak/>
        <w:t>E</w:t>
      </w:r>
      <w:r w:rsidR="002177B3">
        <w:t>.2</w:t>
      </w:r>
      <w:r w:rsidR="002177B3">
        <w:tab/>
        <w:t xml:space="preserve">Meaning of Spontaneous Combustion </w:t>
      </w:r>
    </w:p>
    <w:p w:rsidR="002177B3" w:rsidRDefault="00AD3C48" w:rsidP="002177B3">
      <w:pPr>
        <w:pStyle w:val="ParaNumbering"/>
      </w:pPr>
      <w:r>
        <w:t>In any event</w:t>
      </w:r>
      <w:r w:rsidR="002B3F37">
        <w:t>, even</w:t>
      </w:r>
      <w:r>
        <w:t xml:space="preserve"> if I </w:t>
      </w:r>
      <w:r w:rsidR="002B3F37">
        <w:t>am wrong</w:t>
      </w:r>
      <w:r w:rsidR="002177B3">
        <w:t xml:space="preserve"> in relation to the above</w:t>
      </w:r>
      <w:r>
        <w:t xml:space="preserve"> issue of construction</w:t>
      </w:r>
      <w:r w:rsidR="005970A0">
        <w:t>,</w:t>
      </w:r>
      <w:r>
        <w:t xml:space="preserve"> it seems to me </w:t>
      </w:r>
      <w:r w:rsidR="00F7707D">
        <w:t>clear that the self-heating</w:t>
      </w:r>
      <w:r>
        <w:t xml:space="preserve"> referred to by the referee would</w:t>
      </w:r>
      <w:r w:rsidR="00F7707D">
        <w:t>, in any event,</w:t>
      </w:r>
      <w:r>
        <w:t xml:space="preserve"> b</w:t>
      </w:r>
      <w:r w:rsidR="002177B3">
        <w:t xml:space="preserve">e a form of </w:t>
      </w:r>
      <w:r w:rsidR="00F7707D">
        <w:t>“</w:t>
      </w:r>
      <w:r w:rsidR="002177B3">
        <w:t>spontaneous heating</w:t>
      </w:r>
      <w:r w:rsidR="00F7707D">
        <w:t>”</w:t>
      </w:r>
      <w:r w:rsidR="005970A0">
        <w:t xml:space="preserve"> and hence fall within the exclusion </w:t>
      </w:r>
      <w:r w:rsidR="006A2053">
        <w:t xml:space="preserve">as </w:t>
      </w:r>
      <w:r w:rsidR="005970A0">
        <w:t>construed by Dalby</w:t>
      </w:r>
      <w:r w:rsidR="002177B3">
        <w:t xml:space="preserve">. </w:t>
      </w:r>
    </w:p>
    <w:p w:rsidR="000B40F8" w:rsidRDefault="002177B3" w:rsidP="002177B3">
      <w:pPr>
        <w:pStyle w:val="ParaNumbering"/>
      </w:pPr>
      <w:r>
        <w:t xml:space="preserve">In determining this issue, </w:t>
      </w:r>
      <w:r w:rsidR="00AD3C48">
        <w:t>I was referred by the parties to various dictionary definitions.  The Macquarie Concise Dictionary</w:t>
      </w:r>
      <w:r w:rsidR="00361D8B">
        <w:t xml:space="preserve">, 5th </w:t>
      </w:r>
      <w:proofErr w:type="spellStart"/>
      <w:r w:rsidR="00361D8B">
        <w:t>ed</w:t>
      </w:r>
      <w:proofErr w:type="spellEnd"/>
      <w:r w:rsidR="00361D8B">
        <w:t>,</w:t>
      </w:r>
      <w:r w:rsidR="00AD3C48">
        <w:t xml:space="preserve"> provides a definition of </w:t>
      </w:r>
      <w:r w:rsidR="000B40F8">
        <w:t>“</w:t>
      </w:r>
      <w:r w:rsidR="00AD3C48">
        <w:t>spontaneous</w:t>
      </w:r>
      <w:r w:rsidR="000B40F8">
        <w:t>”</w:t>
      </w:r>
      <w:r w:rsidR="00AD3C48">
        <w:t xml:space="preserve"> and a definition of </w:t>
      </w:r>
      <w:r w:rsidR="000B40F8">
        <w:t>“</w:t>
      </w:r>
      <w:r w:rsidR="00AD3C48">
        <w:t>spontaneous combustion</w:t>
      </w:r>
      <w:r w:rsidR="000B40F8">
        <w:t>”</w:t>
      </w:r>
      <w:r w:rsidR="00AD3C48">
        <w:t xml:space="preserve"> in the following terms</w:t>
      </w:r>
      <w:r w:rsidR="000B40F8">
        <w:t>:</w:t>
      </w:r>
    </w:p>
    <w:p w:rsidR="000B40F8" w:rsidRDefault="00361D8B" w:rsidP="00361D8B">
      <w:pPr>
        <w:pStyle w:val="Quote1"/>
      </w:pPr>
      <w:proofErr w:type="gramStart"/>
      <w:r>
        <w:rPr>
          <w:b/>
        </w:rPr>
        <w:t>s</w:t>
      </w:r>
      <w:r w:rsidR="000B40F8" w:rsidRPr="005D7F05">
        <w:rPr>
          <w:b/>
        </w:rPr>
        <w:t>pontaneous</w:t>
      </w:r>
      <w:proofErr w:type="gramEnd"/>
      <w:r>
        <w:rPr>
          <w:b/>
          <w:i/>
        </w:rPr>
        <w:t xml:space="preserve"> / </w:t>
      </w:r>
      <w:r w:rsidR="000B40F8" w:rsidRPr="00494169">
        <w:rPr>
          <w:i/>
        </w:rPr>
        <w:t>adj</w:t>
      </w:r>
      <w:r>
        <w:rPr>
          <w:i/>
        </w:rPr>
        <w:t xml:space="preserve">. </w:t>
      </w:r>
      <w:r>
        <w:t xml:space="preserve">1. Proceeding from a natural personal impulse, without effort or premeditation; natural and unconstrained; </w:t>
      </w:r>
      <w:r>
        <w:rPr>
          <w:i/>
        </w:rPr>
        <w:t>a spontaneous action; a spontaneous remark</w:t>
      </w:r>
      <w:r>
        <w:t>. 2. (</w:t>
      </w:r>
      <w:proofErr w:type="gramStart"/>
      <w:r w:rsidR="000B40F8" w:rsidRPr="00494169">
        <w:t>of</w:t>
      </w:r>
      <w:proofErr w:type="gramEnd"/>
      <w:r w:rsidR="000B40F8" w:rsidRPr="00494169">
        <w:t xml:space="preserve"> impulses, motion, activity, natural processes, etc.) arising from internal forces or causes, or independent of external agencies.</w:t>
      </w:r>
      <w:r>
        <w:t xml:space="preserve"> 3. </w:t>
      </w:r>
      <w:proofErr w:type="gramStart"/>
      <w:r>
        <w:t>g</w:t>
      </w:r>
      <w:r w:rsidR="000B40F8" w:rsidRPr="00494169">
        <w:t>rowing</w:t>
      </w:r>
      <w:proofErr w:type="gramEnd"/>
      <w:r w:rsidR="000B40F8" w:rsidRPr="00494169">
        <w:t xml:space="preserve"> naturally or without cultivation, as plants, fruits, etc.</w:t>
      </w:r>
      <w:r>
        <w:t xml:space="preserve"> 4. </w:t>
      </w:r>
      <w:proofErr w:type="gramStart"/>
      <w:r w:rsidR="000B40F8" w:rsidRPr="00494169">
        <w:t>produced</w:t>
      </w:r>
      <w:proofErr w:type="gramEnd"/>
      <w:r w:rsidR="000B40F8" w:rsidRPr="00494169">
        <w:t xml:space="preserve"> by natural process.</w:t>
      </w:r>
    </w:p>
    <w:p w:rsidR="000B40F8" w:rsidRPr="00361D8B" w:rsidRDefault="000B40F8" w:rsidP="00361D8B">
      <w:pPr>
        <w:pStyle w:val="Quote1"/>
        <w:rPr>
          <w:b/>
        </w:rPr>
      </w:pPr>
      <w:proofErr w:type="gramStart"/>
      <w:r w:rsidRPr="000B40F8">
        <w:rPr>
          <w:b/>
        </w:rPr>
        <w:t>spontaneous</w:t>
      </w:r>
      <w:proofErr w:type="gramEnd"/>
      <w:r w:rsidRPr="000B40F8">
        <w:rPr>
          <w:b/>
        </w:rPr>
        <w:t xml:space="preserve"> combustion</w:t>
      </w:r>
      <w:r w:rsidR="00361D8B">
        <w:rPr>
          <w:b/>
        </w:rPr>
        <w:t xml:space="preserve"> / </w:t>
      </w:r>
      <w:r w:rsidR="00361D8B">
        <w:rPr>
          <w:i/>
        </w:rPr>
        <w:t>n.</w:t>
      </w:r>
      <w:r w:rsidRPr="000B40F8">
        <w:t xml:space="preserve"> the ignition of a substance or body from the rapid oxidation of its own constituents, without heat from any external source.</w:t>
      </w:r>
    </w:p>
    <w:p w:rsidR="000B40F8" w:rsidRDefault="000B40F8" w:rsidP="000B40F8">
      <w:pPr>
        <w:pStyle w:val="ParaNumbering"/>
      </w:pPr>
      <w:r>
        <w:t>The Oxford Encyclopaedic English Dictionary sets out definitions of the same terms as follows:</w:t>
      </w:r>
    </w:p>
    <w:p w:rsidR="006F62FB" w:rsidRPr="006F62FB" w:rsidRDefault="00361D8B" w:rsidP="006F62FB">
      <w:pPr>
        <w:pStyle w:val="Quote1"/>
        <w:rPr>
          <w:b/>
        </w:rPr>
      </w:pPr>
      <w:proofErr w:type="gramStart"/>
      <w:r>
        <w:rPr>
          <w:b/>
        </w:rPr>
        <w:t>s</w:t>
      </w:r>
      <w:r w:rsidR="000B40F8" w:rsidRPr="000B40F8">
        <w:rPr>
          <w:b/>
        </w:rPr>
        <w:t>pontaneous</w:t>
      </w:r>
      <w:proofErr w:type="gramEnd"/>
      <w:r>
        <w:rPr>
          <w:b/>
        </w:rPr>
        <w:t xml:space="preserve"> / </w:t>
      </w:r>
      <w:r w:rsidR="000B40F8" w:rsidRPr="00494169">
        <w:rPr>
          <w:i/>
        </w:rPr>
        <w:t xml:space="preserve">adj. </w:t>
      </w:r>
      <w:r w:rsidR="000B40F8" w:rsidRPr="00494169">
        <w:rPr>
          <w:b/>
        </w:rPr>
        <w:t>1</w:t>
      </w:r>
      <w:r w:rsidR="000B40F8" w:rsidRPr="00494169">
        <w:t xml:space="preserve"> </w:t>
      </w:r>
      <w:r w:rsidR="006F62FB">
        <w:t xml:space="preserve">acting or done or occurring without external cause. </w:t>
      </w:r>
      <w:r w:rsidR="006F62FB" w:rsidRPr="006F62FB">
        <w:rPr>
          <w:b/>
        </w:rPr>
        <w:t>2</w:t>
      </w:r>
      <w:r w:rsidR="006F62FB">
        <w:t xml:space="preserve"> voluntary, without external incitement (</w:t>
      </w:r>
      <w:r w:rsidR="006F62FB">
        <w:rPr>
          <w:i/>
        </w:rPr>
        <w:t xml:space="preserve">made a spontaneous offer of his services). </w:t>
      </w:r>
      <w:r w:rsidR="006F62FB" w:rsidRPr="006F62FB">
        <w:rPr>
          <w:b/>
        </w:rPr>
        <w:t>3</w:t>
      </w:r>
      <w:r w:rsidR="006F62FB">
        <w:rPr>
          <w:b/>
          <w:i/>
        </w:rPr>
        <w:t xml:space="preserve"> </w:t>
      </w:r>
      <w:r w:rsidR="006F62FB" w:rsidRPr="006F62FB">
        <w:rPr>
          <w:i/>
        </w:rPr>
        <w:t>Biol.</w:t>
      </w:r>
      <w:r w:rsidR="006F62FB">
        <w:rPr>
          <w:i/>
        </w:rPr>
        <w:t xml:space="preserve"> </w:t>
      </w:r>
      <w:r w:rsidR="006F62FB" w:rsidRPr="006F62FB">
        <w:t xml:space="preserve">(of structural changes in plants and </w:t>
      </w:r>
      <w:r w:rsidR="006F62FB">
        <w:t xml:space="preserve">muscular activity esp. in young animals) </w:t>
      </w:r>
      <w:proofErr w:type="spellStart"/>
      <w:r w:rsidR="006F62FB">
        <w:t>instrinctive</w:t>
      </w:r>
      <w:proofErr w:type="spellEnd"/>
      <w:r w:rsidR="006F62FB">
        <w:t xml:space="preserve">, automatic, prompted by no </w:t>
      </w:r>
      <w:proofErr w:type="spellStart"/>
      <w:r w:rsidR="006F62FB">
        <w:t>motice</w:t>
      </w:r>
      <w:proofErr w:type="spellEnd"/>
      <w:r w:rsidR="006F62FB">
        <w:t xml:space="preserve">. </w:t>
      </w:r>
      <w:r w:rsidR="006F62FB">
        <w:rPr>
          <w:b/>
        </w:rPr>
        <w:t xml:space="preserve">4 </w:t>
      </w:r>
      <w:r w:rsidR="006F62FB">
        <w:t xml:space="preserve">(of bodily movement, literary style, etc.) gracefully natural and unconstrained. </w:t>
      </w:r>
      <w:r w:rsidR="006F62FB">
        <w:rPr>
          <w:b/>
        </w:rPr>
        <w:t>5</w:t>
      </w:r>
      <w:r w:rsidR="006F62FB">
        <w:t xml:space="preserve"> (of sudden movement etc.) involuntary, not due to conscious volition. </w:t>
      </w:r>
      <w:r w:rsidR="006F62FB">
        <w:rPr>
          <w:b/>
        </w:rPr>
        <w:t xml:space="preserve">6 </w:t>
      </w:r>
      <w:r w:rsidR="006F62FB">
        <w:t>growing naturally without cultivation.</w:t>
      </w:r>
    </w:p>
    <w:p w:rsidR="000B40F8" w:rsidRDefault="000B40F8" w:rsidP="006F62FB">
      <w:pPr>
        <w:pStyle w:val="Quote1"/>
      </w:pPr>
      <w:proofErr w:type="gramStart"/>
      <w:r w:rsidRPr="000B40F8">
        <w:rPr>
          <w:b/>
        </w:rPr>
        <w:t>spontaneous</w:t>
      </w:r>
      <w:proofErr w:type="gramEnd"/>
      <w:r w:rsidRPr="000B40F8">
        <w:rPr>
          <w:b/>
        </w:rPr>
        <w:t xml:space="preserve"> combustion</w:t>
      </w:r>
      <w:r w:rsidR="006F62FB">
        <w:rPr>
          <w:b/>
        </w:rPr>
        <w:t xml:space="preserve"> </w:t>
      </w:r>
      <w:r w:rsidR="006F62FB">
        <w:t>the ignition of a mineral or vegetable substance (e.g. a heap of rags soaked with oil, a mass of wet coal) from heat engendered within itself, usu. By rapid oxidation.</w:t>
      </w:r>
    </w:p>
    <w:p w:rsidR="005C0CBF" w:rsidRDefault="005970A0" w:rsidP="005C0CBF">
      <w:pPr>
        <w:pStyle w:val="ParaNumbering"/>
      </w:pPr>
      <w:r>
        <w:t>The Supplementary R</w:t>
      </w:r>
      <w:r w:rsidR="000B40F8">
        <w:t xml:space="preserve">eport </w:t>
      </w:r>
      <w:r>
        <w:t>provides the referee’s</w:t>
      </w:r>
      <w:r w:rsidR="000B40F8">
        <w:t xml:space="preserve"> reasoning process for drawing some </w:t>
      </w:r>
      <w:r>
        <w:t xml:space="preserve">meaningful </w:t>
      </w:r>
      <w:r w:rsidR="000B40F8">
        <w:t>distinction between the concept of “self-heating” and “spontaneous heating”</w:t>
      </w:r>
      <w:r>
        <w:t xml:space="preserve">.  The referee expresses his view that </w:t>
      </w:r>
      <w:r w:rsidR="000B40F8">
        <w:t xml:space="preserve">they are “not quite synonymous terms”.  </w:t>
      </w:r>
      <w:r w:rsidR="00AD3C48">
        <w:t>This is because, according to the referee, spontaneous suggests “an event or a suddenness” and self-heating can be a “very slow process” which can take months to reach “criticality”.  It is for this reason that the referee described the process as self-heating rather than spontaneous heating.  Both parties agree</w:t>
      </w:r>
      <w:r w:rsidR="006F62FB">
        <w:t>d</w:t>
      </w:r>
      <w:r w:rsidR="00AD3C48">
        <w:t xml:space="preserve"> that it </w:t>
      </w:r>
      <w:r w:rsidR="006F62FB">
        <w:t>was</w:t>
      </w:r>
      <w:r>
        <w:t xml:space="preserve"> for the C</w:t>
      </w:r>
      <w:r w:rsidR="00AD3C48">
        <w:t>ourt to determine the content to be given to the wor</w:t>
      </w:r>
      <w:r>
        <w:t>d “spontaneous” as used in the P</w:t>
      </w:r>
      <w:r w:rsidR="00AD3C48">
        <w:t>olicy to the extent that it was relevant.  It seems to me that the ordinary</w:t>
      </w:r>
      <w:r w:rsidR="0036400B">
        <w:t>,</w:t>
      </w:r>
      <w:r w:rsidR="00AD3C48">
        <w:t xml:space="preserve"> usual </w:t>
      </w:r>
      <w:r w:rsidR="005C0CBF">
        <w:t xml:space="preserve">and relevant </w:t>
      </w:r>
      <w:r w:rsidR="00AD3C48">
        <w:t>meaning of the word “spontaneous”</w:t>
      </w:r>
      <w:r w:rsidR="005C0CBF">
        <w:t>,</w:t>
      </w:r>
      <w:r w:rsidR="00AD3C48">
        <w:t xml:space="preserve"> is that it </w:t>
      </w:r>
      <w:r w:rsidR="005D7F05">
        <w:t>describes</w:t>
      </w:r>
      <w:r w:rsidR="00AD3C48">
        <w:t xml:space="preserve"> </w:t>
      </w:r>
      <w:r w:rsidR="005D7F05">
        <w:t>the occurrence of something</w:t>
      </w:r>
      <w:r w:rsidR="00AD3C48">
        <w:t xml:space="preserve"> </w:t>
      </w:r>
      <w:r w:rsidR="00AD3C48" w:rsidRPr="005C0CBF">
        <w:rPr>
          <w:i/>
        </w:rPr>
        <w:t>without external cause</w:t>
      </w:r>
      <w:r w:rsidR="00AD3C48">
        <w:t>.  Although spontaneous combustion is usually related to something that occurs with some rapidity, when talking about spontane</w:t>
      </w:r>
      <w:r w:rsidR="005C0CBF">
        <w:t xml:space="preserve">ous in the sense of qualifying the </w:t>
      </w:r>
      <w:r w:rsidR="006A435D">
        <w:t>causal</w:t>
      </w:r>
      <w:r w:rsidR="00AD3C48">
        <w:t xml:space="preserve"> concept of heating, it simply mean</w:t>
      </w:r>
      <w:r w:rsidR="00F7707D">
        <w:t>s</w:t>
      </w:r>
      <w:r w:rsidR="00AD3C48">
        <w:t xml:space="preserve"> that it occurs without external incitement or factors, rather </w:t>
      </w:r>
      <w:r w:rsidR="00F7707D">
        <w:t xml:space="preserve">it </w:t>
      </w:r>
      <w:r w:rsidR="00AD3C48">
        <w:t>is something which occurs by reason of internal processes.</w:t>
      </w:r>
      <w:r w:rsidR="00982EAA">
        <w:t xml:space="preserve"> </w:t>
      </w:r>
    </w:p>
    <w:p w:rsidR="00F37C81" w:rsidRPr="00F37C81" w:rsidRDefault="003305BF" w:rsidP="00F37C81">
      <w:pPr>
        <w:pStyle w:val="Heading1"/>
      </w:pPr>
      <w:r w:rsidRPr="00F37C81">
        <w:lastRenderedPageBreak/>
        <w:t>F</w:t>
      </w:r>
      <w:r w:rsidR="00C15B96" w:rsidRPr="00F37C81">
        <w:tab/>
      </w:r>
      <w:r w:rsidR="00AD3C48" w:rsidRPr="00F37C81">
        <w:t>Proximate Cause</w:t>
      </w:r>
    </w:p>
    <w:p w:rsidR="000B40F8" w:rsidRDefault="00AD3C48" w:rsidP="00AD3C48">
      <w:pPr>
        <w:pStyle w:val="ParaNumbering"/>
      </w:pPr>
      <w:r>
        <w:t xml:space="preserve">The above is not sufficient to determine the case because </w:t>
      </w:r>
      <w:r w:rsidR="002177B3">
        <w:t xml:space="preserve">Dalby argues that the </w:t>
      </w:r>
      <w:r w:rsidR="002920E7">
        <w:t>I</w:t>
      </w:r>
      <w:r>
        <w:t>nsurer</w:t>
      </w:r>
      <w:r w:rsidR="002920E7">
        <w:t>s</w:t>
      </w:r>
      <w:r>
        <w:t xml:space="preserve"> ha</w:t>
      </w:r>
      <w:r w:rsidR="002920E7">
        <w:t>ve</w:t>
      </w:r>
      <w:r>
        <w:t xml:space="preserve"> </w:t>
      </w:r>
      <w:r w:rsidR="002177B3">
        <w:t xml:space="preserve">failed to </w:t>
      </w:r>
      <w:r>
        <w:t xml:space="preserve">discharge </w:t>
      </w:r>
      <w:r w:rsidR="002920E7">
        <w:t>their</w:t>
      </w:r>
      <w:r>
        <w:t xml:space="preserve"> evidentiary and persuasive burden of identifying that heating (or more </w:t>
      </w:r>
      <w:r w:rsidR="00DC6F90">
        <w:t>precisely,</w:t>
      </w:r>
      <w:r>
        <w:t xml:space="preserve"> self-heating) is the proximate cause of the damage.  Reliance is placed by Dalby on the cautions</w:t>
      </w:r>
      <w:r w:rsidR="0008626B">
        <w:t>,</w:t>
      </w:r>
      <w:r>
        <w:t xml:space="preserve"> or </w:t>
      </w:r>
      <w:r w:rsidR="002177B3">
        <w:t xml:space="preserve">more specifically, the </w:t>
      </w:r>
      <w:r w:rsidR="005C0CBF">
        <w:t>“caveat” expressed by the r</w:t>
      </w:r>
      <w:r>
        <w:t xml:space="preserve">eferee.  In the </w:t>
      </w:r>
      <w:r w:rsidR="002177B3">
        <w:t>Referee</w:t>
      </w:r>
      <w:r>
        <w:t xml:space="preserve"> </w:t>
      </w:r>
      <w:r w:rsidR="002177B3">
        <w:t>R</w:t>
      </w:r>
      <w:r>
        <w:t xml:space="preserve">eport, under the heading “Overall Caveat”, the following appears: </w:t>
      </w:r>
    </w:p>
    <w:p w:rsidR="00A3413F" w:rsidRDefault="00A3413F" w:rsidP="00A3413F">
      <w:pPr>
        <w:pStyle w:val="Quote1"/>
      </w:pPr>
      <w:r>
        <w:t>Without detailed records of the manner in which Bays 2, 1 and 3 were stacked with product (DDGS); including the quantities delivered, the dates of delivery, the temperature of each delivery and the ambient temperature and relative humidity at each delivery, and without further information of the physical properties of the product (DDGS), one cannot be absolutely certain of the most probable cause of damage to the Applicant’s product.  Unfortunately, based upon the information and materials available, it is not possible to ident</w:t>
      </w:r>
      <w:r w:rsidR="00D706FC">
        <w:t>ify a single cause for the self-</w:t>
      </w:r>
      <w:r>
        <w:t>heating which probably led to combustion and damage of the Applicant’s product. It may well be that all of the factors identified above acted together to cause the damage, but without conducting large scale tests, it is likely that detailed causal relationships will remain unknown.</w:t>
      </w:r>
    </w:p>
    <w:p w:rsidR="00AD3C48" w:rsidRDefault="00AD3C48" w:rsidP="00AD3C48">
      <w:pPr>
        <w:pStyle w:val="ParaNumbering"/>
      </w:pPr>
      <w:r>
        <w:t>A similar comment is made in the</w:t>
      </w:r>
      <w:r w:rsidR="002177B3">
        <w:t xml:space="preserve"> section quoted above from the Supplementary R</w:t>
      </w:r>
      <w:r>
        <w:t xml:space="preserve">eport.  </w:t>
      </w:r>
    </w:p>
    <w:p w:rsidR="00AD3C48" w:rsidRDefault="00AD3C48" w:rsidP="00AD3C48">
      <w:pPr>
        <w:pStyle w:val="ParaNumbering"/>
      </w:pPr>
      <w:r>
        <w:t xml:space="preserve">What the referee was </w:t>
      </w:r>
      <w:r w:rsidR="00697DC4">
        <w:t xml:space="preserve">relevantly reporting </w:t>
      </w:r>
      <w:r w:rsidR="00E75185">
        <w:t>up</w:t>
      </w:r>
      <w:r w:rsidR="00697DC4">
        <w:t xml:space="preserve">on </w:t>
      </w:r>
      <w:r>
        <w:t xml:space="preserve">was his opinion as to what </w:t>
      </w:r>
      <w:r w:rsidR="00E75185">
        <w:t xml:space="preserve">was </w:t>
      </w:r>
      <w:r>
        <w:t>the</w:t>
      </w:r>
      <w:r w:rsidR="00697DC4">
        <w:t xml:space="preserve"> likely cause of damage to the P</w:t>
      </w:r>
      <w:r>
        <w:t xml:space="preserve">roduct.  As both parties accepted on the application for adoption of </w:t>
      </w:r>
      <w:r w:rsidR="00697DC4">
        <w:t>the Referee’s R</w:t>
      </w:r>
      <w:r>
        <w:t xml:space="preserve">eport, the referee properly attended to his task and his process of reasoning set out in the </w:t>
      </w:r>
      <w:r w:rsidR="00697DC4">
        <w:t xml:space="preserve">Referee’s Report </w:t>
      </w:r>
      <w:r>
        <w:t>i</w:t>
      </w:r>
      <w:r w:rsidR="0054265E">
        <w:t>s relatively clear.  He starts by</w:t>
      </w:r>
      <w:r>
        <w:t xml:space="preserve"> iden</w:t>
      </w:r>
      <w:r w:rsidR="00697DC4">
        <w:t>tifying that the damage to the P</w:t>
      </w:r>
      <w:r>
        <w:t>roduct “was most likely occasioned by or happened through self-heating”.  He then proceeds to note that “as there is more than on</w:t>
      </w:r>
      <w:r w:rsidR="00EC6A90">
        <w:t>e mechanism that can cause self-</w:t>
      </w:r>
      <w:r>
        <w:t xml:space="preserve">heating, each of these mechanisms need to be considered in turn”.  The reference to </w:t>
      </w:r>
      <w:r w:rsidR="00E75185">
        <w:t>“</w:t>
      </w:r>
      <w:r>
        <w:t>cause</w:t>
      </w:r>
      <w:r w:rsidR="00E75185">
        <w:t>”</w:t>
      </w:r>
      <w:r>
        <w:t xml:space="preserve"> in this </w:t>
      </w:r>
      <w:r w:rsidR="00E75185">
        <w:t>context</w:t>
      </w:r>
      <w:r>
        <w:t xml:space="preserve"> needs to be examined more closely.  </w:t>
      </w:r>
      <w:r w:rsidR="00E75185">
        <w:t xml:space="preserve">Although the referee was expressing a view </w:t>
      </w:r>
      <w:r>
        <w:t>that</w:t>
      </w:r>
      <w:r w:rsidR="00EC6A90">
        <w:t xml:space="preserve"> damage was caused through self-</w:t>
      </w:r>
      <w:r>
        <w:t xml:space="preserve">heating, </w:t>
      </w:r>
      <w:r w:rsidR="00C26E70">
        <w:t>the</w:t>
      </w:r>
      <w:r>
        <w:t xml:space="preserve"> referee was</w:t>
      </w:r>
      <w:r w:rsidR="00C26E70">
        <w:t xml:space="preserve"> also</w:t>
      </w:r>
      <w:r>
        <w:t xml:space="preserve"> directing himself to </w:t>
      </w:r>
      <w:r w:rsidR="00E75185">
        <w:t>the anterior issue</w:t>
      </w:r>
      <w:r>
        <w:t xml:space="preserve"> a</w:t>
      </w:r>
      <w:r w:rsidR="00EC6A90">
        <w:t xml:space="preserve">s to </w:t>
      </w:r>
      <w:r w:rsidR="00E75185">
        <w:t xml:space="preserve">the mechanism which itself </w:t>
      </w:r>
      <w:r w:rsidR="00EC6A90">
        <w:t>cause</w:t>
      </w:r>
      <w:r w:rsidR="00C26E70">
        <w:t>d</w:t>
      </w:r>
      <w:r w:rsidR="00EC6A90">
        <w:t xml:space="preserve"> </w:t>
      </w:r>
      <w:r w:rsidR="00C26E70">
        <w:t xml:space="preserve">the </w:t>
      </w:r>
      <w:r w:rsidR="00EC6A90">
        <w:t>self-</w:t>
      </w:r>
      <w:r>
        <w:t>heating.</w:t>
      </w:r>
    </w:p>
    <w:p w:rsidR="00AD3C48" w:rsidRDefault="00C26E70" w:rsidP="00AD3C48">
      <w:pPr>
        <w:pStyle w:val="ParaNumbering"/>
      </w:pPr>
      <w:r>
        <w:t>The</w:t>
      </w:r>
      <w:r w:rsidR="00AD3C48">
        <w:t xml:space="preserve"> referee then considers various “mechanisms” which could cause s</w:t>
      </w:r>
      <w:r w:rsidR="00EC6A90">
        <w:t>elf-</w:t>
      </w:r>
      <w:r w:rsidR="00AD3C48">
        <w:t>heating</w:t>
      </w:r>
      <w:r>
        <w:t>,</w:t>
      </w:r>
      <w:r w:rsidR="00AD3C48">
        <w:t xml:space="preserve"> being:  ambient temperature and stockpile size, initial temperature and stockpile size, wetting</w:t>
      </w:r>
      <w:r>
        <w:t>,</w:t>
      </w:r>
      <w:r w:rsidR="00AD3C48">
        <w:t xml:space="preserve"> and spontaneous fermentation.  Dealing with each of these in turn, the referee notes that the ambient temperature and stockpile size could only have</w:t>
      </w:r>
      <w:r w:rsidR="00EC6A90">
        <w:t xml:space="preserve"> caused self-</w:t>
      </w:r>
      <w:r w:rsidR="00AD3C48">
        <w:t>heating leading to spontaneous combustion if the stockpile size was significantly larger than the stockpile size that had been referred to i</w:t>
      </w:r>
      <w:r w:rsidR="00E75185">
        <w:t xml:space="preserve">n the reports provided to him. </w:t>
      </w:r>
      <w:r w:rsidR="00AD3C48">
        <w:t xml:space="preserve">As to initial temperature and stockpile size, the referee considered it was difficult to estimate its contribution as there was, apparently, insufficient material available to make an estimate of the critical stockpiling </w:t>
      </w:r>
      <w:r w:rsidR="00232BBC">
        <w:t>size</w:t>
      </w:r>
      <w:r w:rsidR="001A1633">
        <w:t>s</w:t>
      </w:r>
      <w:r w:rsidR="00232BBC">
        <w:t xml:space="preserve"> </w:t>
      </w:r>
      <w:r>
        <w:t>or stacking temperature</w:t>
      </w:r>
      <w:r w:rsidR="001A1633">
        <w:t>s</w:t>
      </w:r>
      <w:r>
        <w:t xml:space="preserve"> at </w:t>
      </w:r>
      <w:r w:rsidR="00AD3C48">
        <w:t xml:space="preserve">the relevant times.  </w:t>
      </w:r>
    </w:p>
    <w:p w:rsidR="00AD3C48" w:rsidRDefault="00AD3C48" w:rsidP="00AD3C48">
      <w:pPr>
        <w:pStyle w:val="ParaNumbering"/>
      </w:pPr>
      <w:r>
        <w:lastRenderedPageBreak/>
        <w:t xml:space="preserve">As to wetting, </w:t>
      </w:r>
      <w:r w:rsidR="00055C36">
        <w:t xml:space="preserve">while </w:t>
      </w:r>
      <w:r>
        <w:t xml:space="preserve">there </w:t>
      </w:r>
      <w:r w:rsidR="00055C36">
        <w:t>was</w:t>
      </w:r>
      <w:r>
        <w:t xml:space="preserve"> evidence t</w:t>
      </w:r>
      <w:r w:rsidR="00697DC4">
        <w:t xml:space="preserve">hat </w:t>
      </w:r>
      <w:r w:rsidR="00055C36">
        <w:t>ingress of water caused</w:t>
      </w:r>
      <w:r>
        <w:t xml:space="preserve"> localised wetting</w:t>
      </w:r>
      <w:r w:rsidR="00055C36">
        <w:t xml:space="preserve">, the referee considered the amount of water </w:t>
      </w:r>
      <w:r>
        <w:t>appear</w:t>
      </w:r>
      <w:r w:rsidR="00055C36">
        <w:t>ed</w:t>
      </w:r>
      <w:r>
        <w:t xml:space="preserve"> to be quite small in comparison to the overall size of the stockpile</w:t>
      </w:r>
      <w:r w:rsidR="00055C36">
        <w:t xml:space="preserve">. This factor, </w:t>
      </w:r>
      <w:r>
        <w:t>and other indications</w:t>
      </w:r>
      <w:r w:rsidR="00055C36">
        <w:t>,</w:t>
      </w:r>
      <w:r>
        <w:t xml:space="preserve"> suggest</w:t>
      </w:r>
      <w:r w:rsidR="00055C36">
        <w:t xml:space="preserve"> that wetting </w:t>
      </w:r>
      <w:r w:rsidR="00484400">
        <w:t>would have</w:t>
      </w:r>
      <w:r w:rsidR="00055C36">
        <w:t xml:space="preserve"> had </w:t>
      </w:r>
      <w:r>
        <w:t>little effect on heating, although it could not be conclusively ruled out.  The conclusion was formed t</w:t>
      </w:r>
      <w:r w:rsidR="00055C36">
        <w:t xml:space="preserve">hat it seemed unlikely to be </w:t>
      </w:r>
      <w:r>
        <w:t xml:space="preserve">a </w:t>
      </w:r>
      <w:r w:rsidR="00E234EB">
        <w:t>singular</w:t>
      </w:r>
      <w:r>
        <w:t xml:space="preserve"> cause of the self-heating.  </w:t>
      </w:r>
    </w:p>
    <w:p w:rsidR="00AD3C48" w:rsidRDefault="00AD3C48" w:rsidP="00AD3C48">
      <w:pPr>
        <w:pStyle w:val="ParaNumbering"/>
      </w:pPr>
      <w:r>
        <w:t>Finally, the referee ruled out spontaneous fermentation as all investigators had concluded that there were insufficient quantities or sources of yeast within the stockpile.</w:t>
      </w:r>
    </w:p>
    <w:p w:rsidR="00697DC4" w:rsidRDefault="00AD3C48" w:rsidP="00753F0C">
      <w:pPr>
        <w:pStyle w:val="ParaNumbering"/>
      </w:pPr>
      <w:r>
        <w:t xml:space="preserve">In this </w:t>
      </w:r>
      <w:r w:rsidR="00697DC4">
        <w:t>way,</w:t>
      </w:r>
      <w:r>
        <w:t xml:space="preserve"> what can be </w:t>
      </w:r>
      <w:r w:rsidR="00697DC4">
        <w:t>observed</w:t>
      </w:r>
      <w:r>
        <w:t xml:space="preserve"> is that the referee was carefully going through the various factors which either individually or tog</w:t>
      </w:r>
      <w:r w:rsidR="00EC6A90">
        <w:t>ether m</w:t>
      </w:r>
      <w:r w:rsidR="008944F1">
        <w:t>ight</w:t>
      </w:r>
      <w:r w:rsidR="00EC6A90">
        <w:t xml:space="preserve"> </w:t>
      </w:r>
      <w:r w:rsidR="008944F1">
        <w:t xml:space="preserve">have </w:t>
      </w:r>
      <w:r w:rsidR="00EC6A90">
        <w:t>be</w:t>
      </w:r>
      <w:r w:rsidR="008944F1">
        <w:t>en</w:t>
      </w:r>
      <w:r w:rsidR="00EC6A90">
        <w:t xml:space="preserve"> the </w:t>
      </w:r>
      <w:r w:rsidR="00EC6A90" w:rsidRPr="00697DC4">
        <w:rPr>
          <w:i/>
        </w:rPr>
        <w:t xml:space="preserve">basis </w:t>
      </w:r>
      <w:r w:rsidR="00EC6A90">
        <w:t>for self-</w:t>
      </w:r>
      <w:r>
        <w:t>heating to occur.  The way in which Dalby puts it</w:t>
      </w:r>
      <w:r w:rsidR="00697DC4">
        <w:t>,</w:t>
      </w:r>
      <w:r>
        <w:t xml:space="preserve"> is that it could no</w:t>
      </w:r>
      <w:r w:rsidR="00EC6A90">
        <w:t>t sensibly be said that self-</w:t>
      </w:r>
      <w:r>
        <w:t xml:space="preserve">heating was the real and proximate cause of the damage, but rather there needs to be recognition of the fact that the referee could not identify what, in fact, caused the loss and damage to the </w:t>
      </w:r>
      <w:r w:rsidR="00F55339">
        <w:t>P</w:t>
      </w:r>
      <w:r>
        <w:t xml:space="preserve">roduct.  </w:t>
      </w:r>
    </w:p>
    <w:p w:rsidR="00AD3C48" w:rsidRDefault="00AD3C48" w:rsidP="00753F0C">
      <w:pPr>
        <w:pStyle w:val="ParaNumbering"/>
      </w:pPr>
      <w:r>
        <w:t xml:space="preserve">This </w:t>
      </w:r>
      <w:r w:rsidR="00697DC4">
        <w:t>submission require</w:t>
      </w:r>
      <w:r w:rsidR="00563E72">
        <w:t>s</w:t>
      </w:r>
      <w:r w:rsidR="00697DC4">
        <w:t xml:space="preserve"> </w:t>
      </w:r>
      <w:r>
        <w:t xml:space="preserve">consideration </w:t>
      </w:r>
      <w:r w:rsidR="00697DC4">
        <w:t xml:space="preserve">of </w:t>
      </w:r>
      <w:r>
        <w:t xml:space="preserve">an issue somewhat different to the </w:t>
      </w:r>
      <w:r w:rsidR="00697DC4">
        <w:t xml:space="preserve">well-known </w:t>
      </w:r>
      <w:r w:rsidR="00A37CBF">
        <w:t>circumstance</w:t>
      </w:r>
      <w:r>
        <w:t xml:space="preserve"> </w:t>
      </w:r>
      <w:r w:rsidR="00697DC4">
        <w:t xml:space="preserve">commonly arising </w:t>
      </w:r>
      <w:r>
        <w:t xml:space="preserve">where there are two or more causes, only one of which falls within an exclusion.  As is well known, in these circumstances the policy will </w:t>
      </w:r>
      <w:r w:rsidR="00697DC4">
        <w:t xml:space="preserve">generally </w:t>
      </w:r>
      <w:r>
        <w:t xml:space="preserve">not respond:  see </w:t>
      </w:r>
      <w:r w:rsidR="000B40F8" w:rsidRPr="000B40F8">
        <w:rPr>
          <w:i/>
        </w:rPr>
        <w:t xml:space="preserve">Wayne Tank &amp; Pump Co Ltd v Employers Liability Assurance Corporation </w:t>
      </w:r>
      <w:r w:rsidR="000B40F8" w:rsidRPr="00697DC4">
        <w:rPr>
          <w:i/>
        </w:rPr>
        <w:t xml:space="preserve">Ltd </w:t>
      </w:r>
      <w:r w:rsidR="000B40F8" w:rsidRPr="00697DC4">
        <w:t>[1974] QB 57</w:t>
      </w:r>
      <w:r w:rsidR="00484400" w:rsidRPr="00697DC4">
        <w:t>;</w:t>
      </w:r>
      <w:r>
        <w:t xml:space="preserve"> </w:t>
      </w:r>
      <w:r w:rsidR="00E75185">
        <w:t xml:space="preserve">see also </w:t>
      </w:r>
      <w:r w:rsidR="000B40F8" w:rsidRPr="00753F0C">
        <w:rPr>
          <w:i/>
        </w:rPr>
        <w:t>McCarthy v St Paul International Insurance Co Ltd</w:t>
      </w:r>
      <w:r w:rsidR="000B40F8">
        <w:t xml:space="preserve"> </w:t>
      </w:r>
      <w:r w:rsidR="00084F03">
        <w:t>[2007] FCAFC 28</w:t>
      </w:r>
      <w:r w:rsidR="000D6662">
        <w:t>;</w:t>
      </w:r>
      <w:r w:rsidR="00084F03">
        <w:t xml:space="preserve"> </w:t>
      </w:r>
      <w:r w:rsidR="00753F0C" w:rsidRPr="00753F0C">
        <w:t>(2007) 157 FCR 402</w:t>
      </w:r>
      <w:r w:rsidR="00753F0C">
        <w:t xml:space="preserve"> </w:t>
      </w:r>
      <w:r>
        <w:t>at 429-438</w:t>
      </w:r>
      <w:r w:rsidR="00C3558E">
        <w:t xml:space="preserve"> [88]-[115]</w:t>
      </w:r>
      <w:r>
        <w:t xml:space="preserve"> for an examination in detail of the content of operation of the so-called “</w:t>
      </w:r>
      <w:r w:rsidRPr="00557A84">
        <w:rPr>
          <w:i/>
        </w:rPr>
        <w:t>Wayne Tank</w:t>
      </w:r>
      <w:r>
        <w:t xml:space="preserve"> </w:t>
      </w:r>
      <w:r w:rsidR="00557A84">
        <w:t>principle</w:t>
      </w:r>
      <w:r>
        <w:t>”.</w:t>
      </w:r>
    </w:p>
    <w:p w:rsidR="00AD3C48" w:rsidRDefault="00AD3C48" w:rsidP="00753F0C">
      <w:pPr>
        <w:pStyle w:val="ParaNumbering"/>
      </w:pPr>
      <w:r>
        <w:t xml:space="preserve">The point here is the distinction between a </w:t>
      </w:r>
      <w:r w:rsidRPr="00697DC4">
        <w:t>cause</w:t>
      </w:r>
      <w:r>
        <w:t xml:space="preserve"> in the sense that physical loss, destruction or damage was occasioned by or happened through the existence of a phenomenon</w:t>
      </w:r>
      <w:r w:rsidR="00697DC4">
        <w:t>,</w:t>
      </w:r>
      <w:r>
        <w:t xml:space="preserve"> and the question of what was the reason for the existence of the phenomenon.  This distinction can be seen </w:t>
      </w:r>
      <w:r w:rsidR="00A37CBF">
        <w:t>in an analogous context in</w:t>
      </w:r>
      <w:r>
        <w:t xml:space="preserve"> the decision of the Victorian Court of Appeal in </w:t>
      </w:r>
      <w:proofErr w:type="spellStart"/>
      <w:r w:rsidR="00753F0C" w:rsidRPr="00753F0C">
        <w:rPr>
          <w:i/>
        </w:rPr>
        <w:t>Gunns</w:t>
      </w:r>
      <w:proofErr w:type="spellEnd"/>
      <w:r w:rsidR="00753F0C" w:rsidRPr="00753F0C">
        <w:rPr>
          <w:i/>
        </w:rPr>
        <w:t xml:space="preserve"> Forest Products Ltd v North Insurances Pty Ltd</w:t>
      </w:r>
      <w:r w:rsidR="00753F0C">
        <w:t xml:space="preserve"> </w:t>
      </w:r>
      <w:r w:rsidR="000D6662">
        <w:t>[2006] VSCA 105;</w:t>
      </w:r>
      <w:r w:rsidR="00753F0C" w:rsidRPr="00753F0C">
        <w:t xml:space="preserve"> (2006</w:t>
      </w:r>
      <w:r w:rsidR="000D6662">
        <w:t>) 14 ANZ Insurance Cases 61-691</w:t>
      </w:r>
      <w:r>
        <w:t>.</w:t>
      </w:r>
    </w:p>
    <w:p w:rsidR="00AD3C48" w:rsidRDefault="00AD3C48" w:rsidP="00AD3C48">
      <w:pPr>
        <w:pStyle w:val="ParaNumbering"/>
      </w:pPr>
      <w:r>
        <w:t xml:space="preserve">In that case, </w:t>
      </w:r>
      <w:proofErr w:type="spellStart"/>
      <w:r>
        <w:t>Gunns</w:t>
      </w:r>
      <w:proofErr w:type="spellEnd"/>
      <w:r>
        <w:t xml:space="preserve"> Forrest Products </w:t>
      </w:r>
      <w:r w:rsidR="00753F0C">
        <w:t xml:space="preserve">Ltd </w:t>
      </w:r>
      <w:r w:rsidR="00211BD0">
        <w:t>(</w:t>
      </w:r>
      <w:proofErr w:type="spellStart"/>
      <w:r w:rsidR="00211BD0" w:rsidRPr="00211BD0">
        <w:rPr>
          <w:b/>
        </w:rPr>
        <w:t>Gunns</w:t>
      </w:r>
      <w:proofErr w:type="spellEnd"/>
      <w:r w:rsidR="00211BD0">
        <w:t xml:space="preserve">) </w:t>
      </w:r>
      <w:r>
        <w:t xml:space="preserve">owned and operated a woodchip manufacturing mill in Tasmania.  Flakes of rubber were found in woodchip stockpiles awaiting export and in stockpiles at its mill. </w:t>
      </w:r>
      <w:r w:rsidR="00111191">
        <w:t xml:space="preserve">The presence of the rubber rendered the woodchips </w:t>
      </w:r>
      <w:r w:rsidR="00B63821">
        <w:t>“</w:t>
      </w:r>
      <w:proofErr w:type="spellStart"/>
      <w:r w:rsidR="00111191">
        <w:t>unmerchantable</w:t>
      </w:r>
      <w:proofErr w:type="spellEnd"/>
      <w:r w:rsidR="00B63821">
        <w:t>”</w:t>
      </w:r>
      <w:r w:rsidR="00111191">
        <w:t>.</w:t>
      </w:r>
      <w:r>
        <w:t xml:space="preserve"> The source of the rubber pieces was identified as a damaged part of the conveyor </w:t>
      </w:r>
      <w:r w:rsidR="00B63821">
        <w:t xml:space="preserve">belt </w:t>
      </w:r>
      <w:r>
        <w:t xml:space="preserve">taking </w:t>
      </w:r>
      <w:r w:rsidR="00211BD0">
        <w:t xml:space="preserve">milled </w:t>
      </w:r>
      <w:r w:rsidR="00697DC4">
        <w:t>woodchips to a</w:t>
      </w:r>
      <w:r w:rsidR="00E75185">
        <w:t xml:space="preserve"> </w:t>
      </w:r>
      <w:proofErr w:type="spellStart"/>
      <w:r w:rsidR="00E75185">
        <w:t>screenhouse</w:t>
      </w:r>
      <w:proofErr w:type="spellEnd"/>
      <w:r w:rsidR="00E75185">
        <w:t xml:space="preserve">.  </w:t>
      </w:r>
      <w:proofErr w:type="spellStart"/>
      <w:r>
        <w:t>Gunns</w:t>
      </w:r>
      <w:proofErr w:type="spellEnd"/>
      <w:r>
        <w:t xml:space="preserve"> was insured under an industrial special risk policy and made a claim in respect of </w:t>
      </w:r>
      <w:r w:rsidR="00B63821">
        <w:t>“</w:t>
      </w:r>
      <w:r>
        <w:t>loss and damage</w:t>
      </w:r>
      <w:r w:rsidR="00B63821">
        <w:t>”</w:t>
      </w:r>
      <w:r>
        <w:t xml:space="preserve"> to </w:t>
      </w:r>
      <w:r w:rsidR="00B63821">
        <w:t xml:space="preserve">the </w:t>
      </w:r>
      <w:r>
        <w:lastRenderedPageBreak/>
        <w:t>woodchips.  In that case the only issue was the applicability of the perils exclusion in the policy</w:t>
      </w:r>
      <w:r w:rsidR="00697DC4">
        <w:t>,</w:t>
      </w:r>
      <w:r w:rsidR="00445081">
        <w:t xml:space="preserve"> and the dispute was referred to arbitration.</w:t>
      </w:r>
      <w:r w:rsidR="00B63821">
        <w:t xml:space="preserve"> </w:t>
      </w:r>
      <w:r w:rsidR="001943E3">
        <w:t>The exclusion provided for loss or damage “occasioned by or happening through … contamination”.</w:t>
      </w:r>
    </w:p>
    <w:p w:rsidR="00AD3C48" w:rsidRDefault="00AD3C48" w:rsidP="00AD3C48">
      <w:pPr>
        <w:pStyle w:val="ParaNumbering"/>
      </w:pPr>
      <w:r>
        <w:t>T</w:t>
      </w:r>
      <w:r w:rsidR="00B63821">
        <w:t>he</w:t>
      </w:r>
      <w:r>
        <w:t xml:space="preserve"> arbitrator </w:t>
      </w:r>
      <w:r w:rsidR="00B63821">
        <w:t>found</w:t>
      </w:r>
      <w:r>
        <w:t xml:space="preserve"> that the damage to the woodchips was occasioned by their contamination. </w:t>
      </w:r>
      <w:r w:rsidR="001943E3">
        <w:t xml:space="preserve">The award was then the subject of an unsuccessful appeal. </w:t>
      </w:r>
      <w:proofErr w:type="spellStart"/>
      <w:r w:rsidR="001943E3">
        <w:t>Gunns</w:t>
      </w:r>
      <w:proofErr w:type="spellEnd"/>
      <w:r w:rsidR="001943E3">
        <w:t xml:space="preserve"> then soug</w:t>
      </w:r>
      <w:r w:rsidR="00E75185">
        <w:t xml:space="preserve">ht leave to appeal in the </w:t>
      </w:r>
      <w:r w:rsidR="001943E3">
        <w:t xml:space="preserve">Court of Appeal where </w:t>
      </w:r>
      <w:proofErr w:type="spellStart"/>
      <w:r>
        <w:t>Gunns</w:t>
      </w:r>
      <w:proofErr w:type="spellEnd"/>
      <w:r>
        <w:t xml:space="preserve"> </w:t>
      </w:r>
      <w:r w:rsidR="00445081">
        <w:t xml:space="preserve">submitted that </w:t>
      </w:r>
      <w:r w:rsidR="00B63821">
        <w:t>the contamination itself should have been considered as the damage, and t</w:t>
      </w:r>
      <w:r w:rsidR="00445081">
        <w:t>he</w:t>
      </w:r>
      <w:r>
        <w:t xml:space="preserve"> arbitrator had manifestly erred by failing to </w:t>
      </w:r>
      <w:r w:rsidR="00B63821">
        <w:t xml:space="preserve">examine the cause of </w:t>
      </w:r>
      <w:r w:rsidR="00697DC4">
        <w:t xml:space="preserve">(or reason for) </w:t>
      </w:r>
      <w:r w:rsidR="00B63821">
        <w:t xml:space="preserve">that damage, being the </w:t>
      </w:r>
      <w:r>
        <w:t xml:space="preserve">various causes of the antecedent damage to the conveyor belt.  </w:t>
      </w:r>
      <w:proofErr w:type="spellStart"/>
      <w:r>
        <w:t>Gunns</w:t>
      </w:r>
      <w:proofErr w:type="spellEnd"/>
      <w:r>
        <w:t xml:space="preserve"> contended the arbitrator failed to distinguish what </w:t>
      </w:r>
      <w:r w:rsidR="00B63821">
        <w:t>“</w:t>
      </w:r>
      <w:r>
        <w:t>constituted</w:t>
      </w:r>
      <w:r w:rsidR="00B63821">
        <w:t>”</w:t>
      </w:r>
      <w:r>
        <w:t xml:space="preserve"> the damage to the woodchips from what </w:t>
      </w:r>
      <w:r w:rsidR="00697DC4">
        <w:t xml:space="preserve">had </w:t>
      </w:r>
      <w:r w:rsidR="00B63821">
        <w:t>“</w:t>
      </w:r>
      <w:r>
        <w:t>caused</w:t>
      </w:r>
      <w:r w:rsidR="00B63821">
        <w:t>”</w:t>
      </w:r>
      <w:r>
        <w:t xml:space="preserve"> the damage to the woodchips.</w:t>
      </w:r>
    </w:p>
    <w:p w:rsidR="00AD3C48" w:rsidRPr="00F37C81" w:rsidRDefault="00AD3C48" w:rsidP="00AD3C48">
      <w:pPr>
        <w:pStyle w:val="ParaNumbering"/>
      </w:pPr>
      <w:r>
        <w:t xml:space="preserve">The application for leave to appeal was dismissed.  In doing so, </w:t>
      </w:r>
      <w:proofErr w:type="spellStart"/>
      <w:r>
        <w:t>Chernov</w:t>
      </w:r>
      <w:proofErr w:type="spellEnd"/>
      <w:r>
        <w:t xml:space="preserve"> JA noted that the proximate cause of the damage was the contamination</w:t>
      </w:r>
      <w:r w:rsidR="00E75185">
        <w:t>,</w:t>
      </w:r>
      <w:r>
        <w:t xml:space="preserve"> and it </w:t>
      </w:r>
      <w:r w:rsidR="00BF7645">
        <w:t>would be</w:t>
      </w:r>
      <w:r>
        <w:t xml:space="preserve"> inaccurate to say that the real and proximate cause of the damage was the problem with the machinery.  </w:t>
      </w:r>
      <w:proofErr w:type="spellStart"/>
      <w:r>
        <w:t>Mandie</w:t>
      </w:r>
      <w:proofErr w:type="spellEnd"/>
      <w:r>
        <w:t xml:space="preserve"> AJA (with whom </w:t>
      </w:r>
      <w:proofErr w:type="spellStart"/>
      <w:r>
        <w:t>Chernov</w:t>
      </w:r>
      <w:proofErr w:type="spellEnd"/>
      <w:r>
        <w:t xml:space="preserve"> and Redlich JJA agreed) noted that contamination may be a condition or it may be a process. </w:t>
      </w:r>
      <w:r w:rsidR="00EE6FAC">
        <w:t xml:space="preserve">The mere fact that the damage can be described as contamination does not preclude contamination also being the </w:t>
      </w:r>
      <w:r w:rsidR="00EE6FAC" w:rsidRPr="00697DC4">
        <w:rPr>
          <w:i/>
        </w:rPr>
        <w:t>process</w:t>
      </w:r>
      <w:r w:rsidR="00EE6FAC">
        <w:t xml:space="preserve"> by which the damage was caused.  </w:t>
      </w:r>
      <w:r>
        <w:t xml:space="preserve"> The relevant exclusion was concerned with</w:t>
      </w:r>
      <w:r w:rsidR="00EE6FAC">
        <w:t xml:space="preserve"> the</w:t>
      </w:r>
      <w:r>
        <w:t xml:space="preserve"> events or perils</w:t>
      </w:r>
      <w:r w:rsidR="00D87626">
        <w:t xml:space="preserve"> described</w:t>
      </w:r>
      <w:r w:rsidR="00EE6FAC">
        <w:t xml:space="preserve"> in the clause,</w:t>
      </w:r>
      <w:r w:rsidR="00D87626">
        <w:t xml:space="preserve"> that</w:t>
      </w:r>
      <w:r>
        <w:t xml:space="preserve"> originated</w:t>
      </w:r>
      <w:r w:rsidR="00EE6FAC">
        <w:t xml:space="preserve"> from</w:t>
      </w:r>
      <w:r>
        <w:t xml:space="preserve"> within the pr</w:t>
      </w:r>
      <w:r w:rsidR="00D87626">
        <w:t>emises of the insured. I</w:t>
      </w:r>
      <w:r>
        <w:t xml:space="preserve">t was </w:t>
      </w:r>
      <w:r w:rsidR="00EE6FAC">
        <w:t xml:space="preserve">therefore </w:t>
      </w:r>
      <w:r>
        <w:t xml:space="preserve">highly probable that </w:t>
      </w:r>
      <w:r w:rsidR="00EE6FAC">
        <w:t>any eventuation</w:t>
      </w:r>
      <w:r>
        <w:t xml:space="preserve"> of the specified events or perils would result from </w:t>
      </w:r>
      <w:r w:rsidR="00EE6FAC">
        <w:t>a cause,</w:t>
      </w:r>
      <w:r>
        <w:t xml:space="preserve"> or a combination of causes</w:t>
      </w:r>
      <w:r w:rsidR="00EE6FAC">
        <w:t>,</w:t>
      </w:r>
      <w:r>
        <w:t xml:space="preserve"> originating </w:t>
      </w:r>
      <w:r w:rsidR="00F42216">
        <w:t xml:space="preserve">from </w:t>
      </w:r>
      <w:r>
        <w:t>within those premises</w:t>
      </w:r>
      <w:r w:rsidR="00F42216">
        <w:t xml:space="preserve"> which do not fall within the exclusion clause</w:t>
      </w:r>
      <w:r>
        <w:t xml:space="preserve">.  It </w:t>
      </w:r>
      <w:r w:rsidR="00F42216">
        <w:t>would</w:t>
      </w:r>
      <w:r>
        <w:t xml:space="preserve"> always </w:t>
      </w:r>
      <w:r w:rsidR="00F42216">
        <w:t xml:space="preserve">be </w:t>
      </w:r>
      <w:r>
        <w:t>possible by examining antecedent events to identify such an anterior cause o</w:t>
      </w:r>
      <w:r w:rsidR="00F42216">
        <w:t xml:space="preserve">r </w:t>
      </w:r>
      <w:r>
        <w:t xml:space="preserve">combination of </w:t>
      </w:r>
      <w:r w:rsidRPr="00F37C81">
        <w:t xml:space="preserve">causes.  </w:t>
      </w:r>
    </w:p>
    <w:p w:rsidR="00365AE4" w:rsidRPr="00365AE4" w:rsidRDefault="00365AE4" w:rsidP="00365AE4">
      <w:pPr>
        <w:pStyle w:val="ParaNumbering"/>
        <w:numPr>
          <w:ilvl w:val="0"/>
          <w:numId w:val="0"/>
        </w:numPr>
        <w:rPr>
          <w:b/>
        </w:rPr>
      </w:pPr>
      <w:r w:rsidRPr="00365AE4">
        <w:rPr>
          <w:b/>
        </w:rPr>
        <w:t>G</w:t>
      </w:r>
      <w:r w:rsidRPr="00365AE4">
        <w:rPr>
          <w:b/>
        </w:rPr>
        <w:tab/>
        <w:t>CONCLUSION</w:t>
      </w:r>
    </w:p>
    <w:p w:rsidR="00697DC4" w:rsidRDefault="00697DC4" w:rsidP="00AD3C48">
      <w:pPr>
        <w:pStyle w:val="ParaNumbering"/>
      </w:pPr>
      <w:r>
        <w:t>As</w:t>
      </w:r>
      <w:r w:rsidR="00424D93">
        <w:t xml:space="preserve"> w</w:t>
      </w:r>
      <w:r w:rsidR="00365AE4">
        <w:t>as noted</w:t>
      </w:r>
      <w:r w:rsidR="00365AE4" w:rsidRPr="00F37C81">
        <w:t xml:space="preserve"> in </w:t>
      </w:r>
      <w:proofErr w:type="spellStart"/>
      <w:r w:rsidR="00365AE4" w:rsidRPr="00F37C81">
        <w:rPr>
          <w:i/>
        </w:rPr>
        <w:t>Baulderstone</w:t>
      </w:r>
      <w:proofErr w:type="spellEnd"/>
      <w:r w:rsidR="00365AE4" w:rsidRPr="00F37C81">
        <w:rPr>
          <w:i/>
        </w:rPr>
        <w:t xml:space="preserve"> </w:t>
      </w:r>
      <w:proofErr w:type="spellStart"/>
      <w:r w:rsidR="00365AE4" w:rsidRPr="00F37C81">
        <w:rPr>
          <w:i/>
        </w:rPr>
        <w:t>Hornibrook</w:t>
      </w:r>
      <w:proofErr w:type="spellEnd"/>
      <w:r w:rsidR="00365AE4" w:rsidRPr="00F37C81">
        <w:t xml:space="preserve"> at 77,008-77,009 </w:t>
      </w:r>
      <w:r w:rsidR="00365AE4">
        <w:t xml:space="preserve">[263], </w:t>
      </w:r>
      <w:r>
        <w:t>u</w:t>
      </w:r>
      <w:r w:rsidR="00AD3C48">
        <w:t>ltimat</w:t>
      </w:r>
      <w:r w:rsidR="00AD3C48" w:rsidRPr="00F37C81">
        <w:t>ely the matter with</w:t>
      </w:r>
      <w:r w:rsidR="005A3FAF" w:rsidRPr="00F37C81">
        <w:t xml:space="preserve"> which</w:t>
      </w:r>
      <w:r w:rsidR="00AD3C48" w:rsidRPr="00F37C81">
        <w:t xml:space="preserve"> I am concerned is a</w:t>
      </w:r>
      <w:r w:rsidRPr="00F37C81">
        <w:t xml:space="preserve"> matter of construction of the P</w:t>
      </w:r>
      <w:r w:rsidR="00AD3C48" w:rsidRPr="00F37C81">
        <w:t>olicy</w:t>
      </w:r>
      <w:r w:rsidRPr="00F37C81">
        <w:t xml:space="preserve"> and the </w:t>
      </w:r>
      <w:r w:rsidR="00C15B96" w:rsidRPr="00F37C81">
        <w:t>relevant question</w:t>
      </w:r>
      <w:r w:rsidR="00AD3C48" w:rsidRPr="00F37C81">
        <w:t xml:space="preserve"> is wh</w:t>
      </w:r>
      <w:r w:rsidRPr="00F37C81">
        <w:t>ether the parties intended the P</w:t>
      </w:r>
      <w:r w:rsidR="00AD3C48" w:rsidRPr="00F37C81">
        <w:t xml:space="preserve">olicy to respond in circumstances </w:t>
      </w:r>
      <w:r w:rsidR="00424D93">
        <w:t xml:space="preserve">where </w:t>
      </w:r>
      <w:r w:rsidR="00AD3C48" w:rsidRPr="00F37C81">
        <w:t>phys</w:t>
      </w:r>
      <w:r w:rsidR="00AD3C48">
        <w:t xml:space="preserve">ical loss, destruction or damage </w:t>
      </w:r>
      <w:r w:rsidR="00424D93">
        <w:t xml:space="preserve">was </w:t>
      </w:r>
      <w:r w:rsidR="00AD3C48">
        <w:t xml:space="preserve">occasioned </w:t>
      </w:r>
      <w:r w:rsidR="00424D93">
        <w:t xml:space="preserve">by </w:t>
      </w:r>
      <w:r w:rsidR="00AD3C48">
        <w:t>or happen</w:t>
      </w:r>
      <w:r w:rsidR="00424D93">
        <w:t>ed</w:t>
      </w:r>
      <w:r w:rsidR="00AD3C48">
        <w:t xml:space="preserve"> through heating.  For reasons I have already explained in the context of the construction argument, there is no reason in the context of the exclusion, or the Policy as a whole, to search for antecedent events in order to identify anterior causes of the heating.  There is no reason to think that the exclusion was not intended to cover what could be reasonably characterised as damage occasioned by or happening through heating.  </w:t>
      </w:r>
    </w:p>
    <w:p w:rsidR="00AD3C48" w:rsidRDefault="00AD3C48" w:rsidP="00AD3C48">
      <w:pPr>
        <w:pStyle w:val="ParaNumbering"/>
      </w:pPr>
      <w:r>
        <w:lastRenderedPageBreak/>
        <w:t>In these circumstances, the application must be dismissed.</w:t>
      </w:r>
    </w:p>
    <w:p w:rsidR="00697DC4" w:rsidRPr="00F37C81" w:rsidRDefault="00697DC4" w:rsidP="00F37C81">
      <w:pPr>
        <w:pStyle w:val="Heading1"/>
      </w:pPr>
      <w:r w:rsidRPr="00F37C81">
        <w:t>H</w:t>
      </w:r>
      <w:r w:rsidRPr="00F37C81">
        <w:tab/>
        <w:t xml:space="preserve">COSTS </w:t>
      </w:r>
    </w:p>
    <w:p w:rsidR="00AD3C48" w:rsidRDefault="00AD3C48" w:rsidP="00753F0C">
      <w:pPr>
        <w:pStyle w:val="ParaNumbering"/>
      </w:pPr>
      <w:r>
        <w:t xml:space="preserve">The </w:t>
      </w:r>
      <w:r w:rsidR="002920E7">
        <w:t>I</w:t>
      </w:r>
      <w:r>
        <w:t xml:space="preserve">nsurers seek a special costs order.  On 7 September 2018, after the delivery of the </w:t>
      </w:r>
      <w:r w:rsidR="0068247B">
        <w:t>Referee R</w:t>
      </w:r>
      <w:r>
        <w:t xml:space="preserve">eport, an offer was made which was said to be an offer in accordance with the principles explained in </w:t>
      </w:r>
      <w:proofErr w:type="spellStart"/>
      <w:r w:rsidR="000D6662">
        <w:rPr>
          <w:i/>
        </w:rPr>
        <w:t>Calderbank</w:t>
      </w:r>
      <w:proofErr w:type="spellEnd"/>
      <w:r w:rsidR="000D6662">
        <w:rPr>
          <w:i/>
        </w:rPr>
        <w:t xml:space="preserve"> v</w:t>
      </w:r>
      <w:r w:rsidRPr="00753F0C">
        <w:rPr>
          <w:i/>
        </w:rPr>
        <w:t xml:space="preserve"> </w:t>
      </w:r>
      <w:proofErr w:type="spellStart"/>
      <w:r w:rsidRPr="00753F0C">
        <w:rPr>
          <w:i/>
        </w:rPr>
        <w:t>Calder</w:t>
      </w:r>
      <w:r w:rsidRPr="00BE3E8E">
        <w:rPr>
          <w:i/>
        </w:rPr>
        <w:t>bank</w:t>
      </w:r>
      <w:proofErr w:type="spellEnd"/>
      <w:r w:rsidRPr="00BE3E8E">
        <w:t xml:space="preserve"> </w:t>
      </w:r>
      <w:r w:rsidR="00753F0C" w:rsidRPr="00BE3E8E">
        <w:t>[197</w:t>
      </w:r>
      <w:r w:rsidR="00BE3E8E" w:rsidRPr="00BE3E8E">
        <w:t>6]</w:t>
      </w:r>
      <w:r w:rsidR="00BE3E8E">
        <w:t xml:space="preserve"> Fam 93</w:t>
      </w:r>
      <w:r w:rsidR="00F37C81">
        <w:t>. T</w:t>
      </w:r>
      <w:r>
        <w:t xml:space="preserve">he </w:t>
      </w:r>
      <w:r w:rsidR="002920E7">
        <w:t>I</w:t>
      </w:r>
      <w:r>
        <w:t xml:space="preserve">nsurers </w:t>
      </w:r>
      <w:r w:rsidR="00F37C81">
        <w:t xml:space="preserve">offered to resolve the </w:t>
      </w:r>
      <w:r>
        <w:t>proceedings by an order dismissing the proceedings and that there be no order for costs and each party bear their own costs, including any reserve</w:t>
      </w:r>
      <w:r w:rsidR="00697DC4">
        <w:t>d</w:t>
      </w:r>
      <w:r>
        <w:t xml:space="preserve"> costs.</w:t>
      </w:r>
    </w:p>
    <w:p w:rsidR="00AD3C48" w:rsidRDefault="00AD3C48" w:rsidP="00AD3C48">
      <w:pPr>
        <w:pStyle w:val="ParaNumbering"/>
      </w:pPr>
      <w:r>
        <w:t xml:space="preserve">The discretion provided to me under s 43 of the </w:t>
      </w:r>
      <w:r w:rsidRPr="00EC6A90">
        <w:rPr>
          <w:i/>
        </w:rPr>
        <w:t>Federal Court of Australia Act 1976</w:t>
      </w:r>
      <w:r>
        <w:t xml:space="preserve"> (</w:t>
      </w:r>
      <w:proofErr w:type="spellStart"/>
      <w:r>
        <w:t>Cth</w:t>
      </w:r>
      <w:proofErr w:type="spellEnd"/>
      <w:r>
        <w:t xml:space="preserve">) is a broad one. </w:t>
      </w:r>
      <w:r w:rsidR="00772453">
        <w:t>Although the Referee Report was sufficient, in my view, to establish that the damage was caused by heating, a</w:t>
      </w:r>
      <w:r>
        <w:t>s was evident f</w:t>
      </w:r>
      <w:r w:rsidR="00772453">
        <w:t>rom the order I made seeking further</w:t>
      </w:r>
      <w:r>
        <w:t xml:space="preserve"> assis</w:t>
      </w:r>
      <w:r w:rsidR="00772453">
        <w:t>tance from the referee in the form of a</w:t>
      </w:r>
      <w:r>
        <w:t xml:space="preserve"> </w:t>
      </w:r>
      <w:r w:rsidR="00772453">
        <w:t>further r</w:t>
      </w:r>
      <w:r>
        <w:t xml:space="preserve">eport, there was a not insignificant argument that was able to be </w:t>
      </w:r>
      <w:r w:rsidR="00D711E9">
        <w:t>advanced</w:t>
      </w:r>
      <w:r>
        <w:t xml:space="preserve"> in relation to </w:t>
      </w:r>
      <w:r w:rsidR="00D711E9">
        <w:t>the proper construction of the P</w:t>
      </w:r>
      <w:r>
        <w:t xml:space="preserve">olicy and there was sufficient ambiguity in the </w:t>
      </w:r>
      <w:r w:rsidR="00D711E9">
        <w:t>Referee R</w:t>
      </w:r>
      <w:r>
        <w:t>eport to r</w:t>
      </w:r>
      <w:r w:rsidR="004816DC">
        <w:t>equire me to seek clarification.</w:t>
      </w:r>
      <w:r>
        <w:t xml:space="preserve">  </w:t>
      </w:r>
    </w:p>
    <w:p w:rsidR="00EC6A90" w:rsidRDefault="00AD3C48" w:rsidP="00EC6A90">
      <w:pPr>
        <w:pStyle w:val="ParaNumbering"/>
      </w:pPr>
      <w:r>
        <w:t xml:space="preserve">In all the circumstances, doing the best I can to do justice between the parties, I think the appropriate order is that costs follow the event and </w:t>
      </w:r>
      <w:r w:rsidR="00D711E9">
        <w:t xml:space="preserve">those costs </w:t>
      </w:r>
      <w:r>
        <w:t>be pa</w:t>
      </w:r>
      <w:r w:rsidR="00C15B96">
        <w:t>yable on the ordinary basis.</w:t>
      </w:r>
    </w:p>
    <w:p w:rsidR="00F37C81" w:rsidRDefault="00F37C81" w:rsidP="00815065">
      <w:pPr>
        <w:pStyle w:val="BodyText"/>
      </w:pPr>
      <w:bookmarkStart w:id="21" w:name="Certification"/>
    </w:p>
    <w:tbl>
      <w:tblPr>
        <w:tblW w:w="0" w:type="auto"/>
        <w:tblLook w:val="04A0" w:firstRow="1" w:lastRow="0" w:firstColumn="1" w:lastColumn="0" w:noHBand="0" w:noVBand="1"/>
      </w:tblPr>
      <w:tblGrid>
        <w:gridCol w:w="3794"/>
      </w:tblGrid>
      <w:tr w:rsidR="00F37C81" w:rsidRPr="00F37C81">
        <w:tc>
          <w:tcPr>
            <w:tcW w:w="3794" w:type="dxa"/>
            <w:shd w:val="clear" w:color="auto" w:fill="auto"/>
          </w:tcPr>
          <w:p w:rsidR="00F37C81" w:rsidRPr="00F37C81" w:rsidRDefault="00F37C81" w:rsidP="00B75B41">
            <w:pPr>
              <w:pStyle w:val="Normal1linespace"/>
            </w:pPr>
            <w:r w:rsidRPr="00F37C81">
              <w:t xml:space="preserve">I certify that the preceding </w:t>
            </w:r>
            <w:bookmarkStart w:id="22" w:name="NumberWord"/>
            <w:r>
              <w:t>fifty</w:t>
            </w:r>
            <w:r w:rsidR="00B75B41">
              <w:t>-eight</w:t>
            </w:r>
            <w:bookmarkEnd w:id="22"/>
            <w:r w:rsidRPr="00F37C81">
              <w:t xml:space="preserve"> (</w:t>
            </w:r>
            <w:bookmarkStart w:id="23" w:name="NumberNumeral"/>
            <w:r>
              <w:t>5</w:t>
            </w:r>
            <w:bookmarkEnd w:id="23"/>
            <w:r w:rsidR="00B75B41">
              <w:t>8</w:t>
            </w:r>
            <w:r w:rsidRPr="00F37C81">
              <w:t xml:space="preserve">) numbered </w:t>
            </w:r>
            <w:bookmarkStart w:id="24" w:name="CertPara"/>
            <w:r>
              <w:t>paragraphs are</w:t>
            </w:r>
            <w:bookmarkEnd w:id="24"/>
            <w:r w:rsidRPr="00F37C81">
              <w:t xml:space="preserve"> a true copy of the Reasons for Judgment herein of the Honourable </w:t>
            </w:r>
            <w:bookmarkStart w:id="25" w:name="Justice"/>
            <w:r>
              <w:t>Justice Lee</w:t>
            </w:r>
            <w:bookmarkEnd w:id="25"/>
            <w:r w:rsidRPr="00F37C81">
              <w:t>.</w:t>
            </w:r>
          </w:p>
        </w:tc>
      </w:tr>
    </w:tbl>
    <w:p w:rsidR="00F37C81" w:rsidRDefault="00F37C81" w:rsidP="00815065">
      <w:pPr>
        <w:pStyle w:val="BodyText"/>
      </w:pPr>
    </w:p>
    <w:p w:rsidR="00F37C81" w:rsidRDefault="00F37C81" w:rsidP="00815065">
      <w:pPr>
        <w:pStyle w:val="BodyText"/>
      </w:pPr>
    </w:p>
    <w:p w:rsidR="00F37C81" w:rsidRDefault="00F37C81" w:rsidP="00815065">
      <w:pPr>
        <w:pStyle w:val="BodyText"/>
      </w:pPr>
    </w:p>
    <w:p w:rsidR="00F37C81" w:rsidRDefault="00F37C81" w:rsidP="00815065">
      <w:pPr>
        <w:pStyle w:val="BodyText"/>
      </w:pPr>
      <w:r>
        <w:t>Associate:</w:t>
      </w:r>
      <w:r w:rsidR="00797D2F">
        <w:t xml:space="preserve"> </w:t>
      </w:r>
    </w:p>
    <w:p w:rsidR="00F37C81" w:rsidRDefault="00F37C81" w:rsidP="00815065">
      <w:pPr>
        <w:pStyle w:val="BodyText"/>
      </w:pPr>
      <w:bookmarkStart w:id="26" w:name="_GoBack"/>
      <w:bookmarkEnd w:id="26"/>
    </w:p>
    <w:p w:rsidR="00F37C81" w:rsidRDefault="00F37C81" w:rsidP="00815065">
      <w:pPr>
        <w:pStyle w:val="BodyText"/>
        <w:tabs>
          <w:tab w:val="left" w:pos="1134"/>
        </w:tabs>
      </w:pPr>
      <w:r>
        <w:t>Dated:</w:t>
      </w:r>
      <w:r>
        <w:tab/>
      </w:r>
      <w:bookmarkStart w:id="27" w:name="CertifyDated"/>
      <w:r w:rsidR="00DF0B6F">
        <w:t>28</w:t>
      </w:r>
      <w:r>
        <w:t xml:space="preserve"> November 2018</w:t>
      </w:r>
      <w:bookmarkEnd w:id="27"/>
    </w:p>
    <w:p w:rsidR="00F37C81" w:rsidRDefault="00F37C81" w:rsidP="00815065">
      <w:pPr>
        <w:pStyle w:val="BodyText"/>
      </w:pPr>
    </w:p>
    <w:bookmarkEnd w:id="21"/>
    <w:p w:rsidR="00F37C81" w:rsidRDefault="00F37C81" w:rsidP="00F37C81">
      <w:pPr>
        <w:pStyle w:val="BodyText"/>
      </w:pPr>
    </w:p>
    <w:sectPr w:rsidR="00F37C8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BF" w:rsidRDefault="005C0CBF">
      <w:pPr>
        <w:spacing w:line="20" w:lineRule="exact"/>
      </w:pPr>
    </w:p>
    <w:p w:rsidR="005C0CBF" w:rsidRDefault="005C0CBF"/>
    <w:p w:rsidR="005C0CBF" w:rsidRDefault="005C0CBF"/>
  </w:endnote>
  <w:endnote w:type="continuationSeparator" w:id="0">
    <w:p w:rsidR="005C0CBF" w:rsidRDefault="005C0CBF">
      <w:r>
        <w:t xml:space="preserve"> </w:t>
      </w:r>
    </w:p>
    <w:p w:rsidR="005C0CBF" w:rsidRDefault="005C0CBF"/>
    <w:p w:rsidR="005C0CBF" w:rsidRDefault="005C0CBF"/>
  </w:endnote>
  <w:endnote w:type="continuationNotice" w:id="1">
    <w:p w:rsidR="005C0CBF" w:rsidRDefault="005C0CBF">
      <w:r>
        <w:t xml:space="preserve"> </w:t>
      </w:r>
    </w:p>
    <w:p w:rsidR="005C0CBF" w:rsidRDefault="005C0CBF"/>
    <w:p w:rsidR="005C0CBF" w:rsidRDefault="005C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Pr="00B75B41" w:rsidRDefault="005C0CBF" w:rsidP="00B75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BF" w:rsidRDefault="005C0CBF"/>
    <w:p w:rsidR="005C0CBF" w:rsidRDefault="005C0CBF"/>
    <w:p w:rsidR="005C0CBF" w:rsidRDefault="005C0CBF"/>
  </w:footnote>
  <w:footnote w:type="continuationSeparator" w:id="0">
    <w:p w:rsidR="005C0CBF" w:rsidRDefault="005C0CBF">
      <w:r>
        <w:continuationSeparator/>
      </w:r>
    </w:p>
    <w:p w:rsidR="005C0CBF" w:rsidRDefault="005C0CBF"/>
    <w:p w:rsidR="005C0CBF" w:rsidRDefault="005C0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pPr>
      <w:tabs>
        <w:tab w:val="center" w:pos="4512"/>
      </w:tabs>
      <w:suppressAutoHyphens/>
    </w:pPr>
    <w:r>
      <w:tab/>
      <w:t xml:space="preserve">- </w:t>
    </w:r>
    <w:r>
      <w:fldChar w:fldCharType="begin"/>
    </w:r>
    <w:r>
      <w:instrText>page \* arabic</w:instrText>
    </w:r>
    <w:r>
      <w:fldChar w:fldCharType="separate"/>
    </w:r>
    <w:r w:rsidR="00CF2515">
      <w:rPr>
        <w:noProof/>
      </w:rPr>
      <w:t>15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BF" w:rsidRDefault="005C0CB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alby Bio-Refinery Pty Ltd"/>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170 of 2017 "/>
    <w:docVar w:name="HearingDate" w:val="31 October 2018"/>
    <w:docVar w:name="Initiators" w:val="(and another named in the Schedule)"/>
    <w:docVar w:name="Judgdate" w:val="23 November 2018"/>
    <w:docVar w:name="Judge" w:val="Lee"/>
    <w:docVar w:name="Justices" w:val="Justice"/>
    <w:docVar w:name="lstEntryList" w:val="-1"/>
    <w:docVar w:name="myEntryList" w:val="Counsel for the Applicant=Mr S R Horgan QC with Mr B J Murphy|Solicitor for the Applicant=McCullough Robertson Lawyers|Counsel for the Respondents=Mr G McArthur QC|Solicitor for the Respondents=Lander and Rogers Lawyers"/>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Allianz Australia Insurance Limited|Chubb Insurance Australia Limited|Zurich Australian Insurance Limited"/>
    <w:docVar w:name="ResState" w:val="New South Wales"/>
    <w:docVar w:name="SubArea" w:val="[none]"/>
  </w:docVars>
  <w:rsids>
    <w:rsidRoot w:val="00AD3C48"/>
    <w:rsid w:val="00001D50"/>
    <w:rsid w:val="00002D13"/>
    <w:rsid w:val="0001469E"/>
    <w:rsid w:val="00015993"/>
    <w:rsid w:val="000173C2"/>
    <w:rsid w:val="00022289"/>
    <w:rsid w:val="00023307"/>
    <w:rsid w:val="00032F9F"/>
    <w:rsid w:val="0003615E"/>
    <w:rsid w:val="00041C07"/>
    <w:rsid w:val="00042610"/>
    <w:rsid w:val="00044AD7"/>
    <w:rsid w:val="00045BB7"/>
    <w:rsid w:val="00055719"/>
    <w:rsid w:val="00055C36"/>
    <w:rsid w:val="0005641B"/>
    <w:rsid w:val="00081497"/>
    <w:rsid w:val="00084F03"/>
    <w:rsid w:val="0008626B"/>
    <w:rsid w:val="000A2E76"/>
    <w:rsid w:val="000A4807"/>
    <w:rsid w:val="000A4BE4"/>
    <w:rsid w:val="000B40F8"/>
    <w:rsid w:val="000C023E"/>
    <w:rsid w:val="000C5195"/>
    <w:rsid w:val="000C62EF"/>
    <w:rsid w:val="000D2137"/>
    <w:rsid w:val="000D3FD2"/>
    <w:rsid w:val="000D5446"/>
    <w:rsid w:val="000D6662"/>
    <w:rsid w:val="000E3FC8"/>
    <w:rsid w:val="000E7BAE"/>
    <w:rsid w:val="000F133D"/>
    <w:rsid w:val="000F7BE1"/>
    <w:rsid w:val="0010536B"/>
    <w:rsid w:val="00111191"/>
    <w:rsid w:val="0011145C"/>
    <w:rsid w:val="001128BD"/>
    <w:rsid w:val="0011419D"/>
    <w:rsid w:val="00130A41"/>
    <w:rsid w:val="00132054"/>
    <w:rsid w:val="001727A4"/>
    <w:rsid w:val="0017376C"/>
    <w:rsid w:val="001738AB"/>
    <w:rsid w:val="001765E0"/>
    <w:rsid w:val="00177759"/>
    <w:rsid w:val="00185E6B"/>
    <w:rsid w:val="00187BBC"/>
    <w:rsid w:val="001932F3"/>
    <w:rsid w:val="001943E3"/>
    <w:rsid w:val="001A0C82"/>
    <w:rsid w:val="001A1633"/>
    <w:rsid w:val="001A4309"/>
    <w:rsid w:val="001A6AEF"/>
    <w:rsid w:val="001B1053"/>
    <w:rsid w:val="001B14AC"/>
    <w:rsid w:val="001B1C89"/>
    <w:rsid w:val="001B45C7"/>
    <w:rsid w:val="001B7940"/>
    <w:rsid w:val="001C23AC"/>
    <w:rsid w:val="001C37CA"/>
    <w:rsid w:val="001D4303"/>
    <w:rsid w:val="001D6746"/>
    <w:rsid w:val="001E0664"/>
    <w:rsid w:val="001E3B49"/>
    <w:rsid w:val="001E7388"/>
    <w:rsid w:val="001F13DD"/>
    <w:rsid w:val="001F1BD5"/>
    <w:rsid w:val="001F2DBC"/>
    <w:rsid w:val="001F73E8"/>
    <w:rsid w:val="0020262C"/>
    <w:rsid w:val="00204FBA"/>
    <w:rsid w:val="00211BD0"/>
    <w:rsid w:val="002177B3"/>
    <w:rsid w:val="00224537"/>
    <w:rsid w:val="00232BBC"/>
    <w:rsid w:val="00235956"/>
    <w:rsid w:val="00247C9A"/>
    <w:rsid w:val="0025160C"/>
    <w:rsid w:val="002535D0"/>
    <w:rsid w:val="002539B3"/>
    <w:rsid w:val="00257C3E"/>
    <w:rsid w:val="002602C2"/>
    <w:rsid w:val="002666C9"/>
    <w:rsid w:val="00266C88"/>
    <w:rsid w:val="00270136"/>
    <w:rsid w:val="00274F5B"/>
    <w:rsid w:val="00280836"/>
    <w:rsid w:val="00282845"/>
    <w:rsid w:val="00282E1A"/>
    <w:rsid w:val="0029113B"/>
    <w:rsid w:val="002920E7"/>
    <w:rsid w:val="002934C0"/>
    <w:rsid w:val="002A1B50"/>
    <w:rsid w:val="002B0E91"/>
    <w:rsid w:val="002B3F37"/>
    <w:rsid w:val="002B6779"/>
    <w:rsid w:val="002B71C0"/>
    <w:rsid w:val="002B7A34"/>
    <w:rsid w:val="002C31AD"/>
    <w:rsid w:val="002C6B6C"/>
    <w:rsid w:val="002C7385"/>
    <w:rsid w:val="002D2DBB"/>
    <w:rsid w:val="002D54A6"/>
    <w:rsid w:val="002E6A7A"/>
    <w:rsid w:val="002F1E49"/>
    <w:rsid w:val="002F4E9C"/>
    <w:rsid w:val="003037CD"/>
    <w:rsid w:val="00305E8F"/>
    <w:rsid w:val="00307EE2"/>
    <w:rsid w:val="0031256C"/>
    <w:rsid w:val="00314D6C"/>
    <w:rsid w:val="00316D2A"/>
    <w:rsid w:val="00320684"/>
    <w:rsid w:val="00320AEB"/>
    <w:rsid w:val="00322A7C"/>
    <w:rsid w:val="003305BF"/>
    <w:rsid w:val="003402D3"/>
    <w:rsid w:val="00343ABC"/>
    <w:rsid w:val="003463FE"/>
    <w:rsid w:val="00353185"/>
    <w:rsid w:val="003554B3"/>
    <w:rsid w:val="00356632"/>
    <w:rsid w:val="00361D8B"/>
    <w:rsid w:val="0036400B"/>
    <w:rsid w:val="00365AE4"/>
    <w:rsid w:val="0037336C"/>
    <w:rsid w:val="00374BD3"/>
    <w:rsid w:val="00381DC4"/>
    <w:rsid w:val="003843CF"/>
    <w:rsid w:val="003845A9"/>
    <w:rsid w:val="00390883"/>
    <w:rsid w:val="0039161C"/>
    <w:rsid w:val="003922F8"/>
    <w:rsid w:val="00395B24"/>
    <w:rsid w:val="003A2D38"/>
    <w:rsid w:val="003A7ECC"/>
    <w:rsid w:val="003B2C72"/>
    <w:rsid w:val="003C1333"/>
    <w:rsid w:val="003C20FF"/>
    <w:rsid w:val="003C2965"/>
    <w:rsid w:val="003D2650"/>
    <w:rsid w:val="003D28C4"/>
    <w:rsid w:val="003D560C"/>
    <w:rsid w:val="003E0AD7"/>
    <w:rsid w:val="003E5874"/>
    <w:rsid w:val="003F193E"/>
    <w:rsid w:val="003F34F1"/>
    <w:rsid w:val="003F70D5"/>
    <w:rsid w:val="003F77AB"/>
    <w:rsid w:val="00411AE8"/>
    <w:rsid w:val="00413B74"/>
    <w:rsid w:val="00416D60"/>
    <w:rsid w:val="004213CA"/>
    <w:rsid w:val="00424D93"/>
    <w:rsid w:val="00435C5F"/>
    <w:rsid w:val="00441E98"/>
    <w:rsid w:val="00445081"/>
    <w:rsid w:val="004532F7"/>
    <w:rsid w:val="00462080"/>
    <w:rsid w:val="00472027"/>
    <w:rsid w:val="004804CF"/>
    <w:rsid w:val="004816DC"/>
    <w:rsid w:val="00484400"/>
    <w:rsid w:val="00484962"/>
    <w:rsid w:val="00484F6D"/>
    <w:rsid w:val="00486622"/>
    <w:rsid w:val="0049338A"/>
    <w:rsid w:val="0049417F"/>
    <w:rsid w:val="004A0DB7"/>
    <w:rsid w:val="004A6127"/>
    <w:rsid w:val="004B3EFA"/>
    <w:rsid w:val="004C2A87"/>
    <w:rsid w:val="004C4821"/>
    <w:rsid w:val="004C4D7B"/>
    <w:rsid w:val="004C4ED3"/>
    <w:rsid w:val="004D2EA5"/>
    <w:rsid w:val="004D32A6"/>
    <w:rsid w:val="004D444D"/>
    <w:rsid w:val="004D53E5"/>
    <w:rsid w:val="00501A12"/>
    <w:rsid w:val="00506ED7"/>
    <w:rsid w:val="0051346D"/>
    <w:rsid w:val="00513EAE"/>
    <w:rsid w:val="00516806"/>
    <w:rsid w:val="00525A49"/>
    <w:rsid w:val="00531C33"/>
    <w:rsid w:val="00535613"/>
    <w:rsid w:val="005359EB"/>
    <w:rsid w:val="00541D4F"/>
    <w:rsid w:val="0054254A"/>
    <w:rsid w:val="0054265E"/>
    <w:rsid w:val="00543392"/>
    <w:rsid w:val="005466B5"/>
    <w:rsid w:val="00554314"/>
    <w:rsid w:val="00557A0C"/>
    <w:rsid w:val="00557A84"/>
    <w:rsid w:val="005629B3"/>
    <w:rsid w:val="00563E72"/>
    <w:rsid w:val="00566E83"/>
    <w:rsid w:val="005707C6"/>
    <w:rsid w:val="0057315A"/>
    <w:rsid w:val="00573AC4"/>
    <w:rsid w:val="005801FC"/>
    <w:rsid w:val="00595016"/>
    <w:rsid w:val="005970A0"/>
    <w:rsid w:val="00597AAE"/>
    <w:rsid w:val="005A222C"/>
    <w:rsid w:val="005A3FAF"/>
    <w:rsid w:val="005A4DF8"/>
    <w:rsid w:val="005B1426"/>
    <w:rsid w:val="005C0A8E"/>
    <w:rsid w:val="005C0CBF"/>
    <w:rsid w:val="005C1767"/>
    <w:rsid w:val="005C1FB4"/>
    <w:rsid w:val="005C42EF"/>
    <w:rsid w:val="005D7F05"/>
    <w:rsid w:val="005E02F5"/>
    <w:rsid w:val="005E0510"/>
    <w:rsid w:val="005E176E"/>
    <w:rsid w:val="005E1AED"/>
    <w:rsid w:val="005E218E"/>
    <w:rsid w:val="005E35A0"/>
    <w:rsid w:val="005F0D1B"/>
    <w:rsid w:val="005F1865"/>
    <w:rsid w:val="006007BD"/>
    <w:rsid w:val="00601174"/>
    <w:rsid w:val="006013C8"/>
    <w:rsid w:val="0060270D"/>
    <w:rsid w:val="00604611"/>
    <w:rsid w:val="00611586"/>
    <w:rsid w:val="00621887"/>
    <w:rsid w:val="00624520"/>
    <w:rsid w:val="00632300"/>
    <w:rsid w:val="00632BB7"/>
    <w:rsid w:val="00635B36"/>
    <w:rsid w:val="00636871"/>
    <w:rsid w:val="00640F4E"/>
    <w:rsid w:val="0064322C"/>
    <w:rsid w:val="00643DE0"/>
    <w:rsid w:val="00644E85"/>
    <w:rsid w:val="00650408"/>
    <w:rsid w:val="0065051A"/>
    <w:rsid w:val="006518F7"/>
    <w:rsid w:val="0066063F"/>
    <w:rsid w:val="00662BB0"/>
    <w:rsid w:val="00663878"/>
    <w:rsid w:val="00667773"/>
    <w:rsid w:val="00670743"/>
    <w:rsid w:val="0068247B"/>
    <w:rsid w:val="00690EE2"/>
    <w:rsid w:val="00697DC4"/>
    <w:rsid w:val="006A0E20"/>
    <w:rsid w:val="006A2053"/>
    <w:rsid w:val="006A3698"/>
    <w:rsid w:val="006A435D"/>
    <w:rsid w:val="006A5695"/>
    <w:rsid w:val="006B3904"/>
    <w:rsid w:val="006B5B7D"/>
    <w:rsid w:val="006C0D19"/>
    <w:rsid w:val="006C4740"/>
    <w:rsid w:val="006C7BC3"/>
    <w:rsid w:val="006D0ECF"/>
    <w:rsid w:val="006D4C92"/>
    <w:rsid w:val="006D4EB6"/>
    <w:rsid w:val="006E35BF"/>
    <w:rsid w:val="006E7850"/>
    <w:rsid w:val="006F62FB"/>
    <w:rsid w:val="00701CFC"/>
    <w:rsid w:val="007028D9"/>
    <w:rsid w:val="00707218"/>
    <w:rsid w:val="00712B1D"/>
    <w:rsid w:val="00720F84"/>
    <w:rsid w:val="007325D9"/>
    <w:rsid w:val="007360CA"/>
    <w:rsid w:val="007370A6"/>
    <w:rsid w:val="00753F0C"/>
    <w:rsid w:val="00760EC0"/>
    <w:rsid w:val="00772453"/>
    <w:rsid w:val="0078003A"/>
    <w:rsid w:val="00780771"/>
    <w:rsid w:val="007929CF"/>
    <w:rsid w:val="0079781F"/>
    <w:rsid w:val="00797D2F"/>
    <w:rsid w:val="007A6F28"/>
    <w:rsid w:val="007B03C6"/>
    <w:rsid w:val="007B0DB1"/>
    <w:rsid w:val="007B29AD"/>
    <w:rsid w:val="007C3BF6"/>
    <w:rsid w:val="007D0FD2"/>
    <w:rsid w:val="007D192D"/>
    <w:rsid w:val="007D2EF8"/>
    <w:rsid w:val="007D34A2"/>
    <w:rsid w:val="007D561F"/>
    <w:rsid w:val="007D7FD2"/>
    <w:rsid w:val="007E13D9"/>
    <w:rsid w:val="007E41BE"/>
    <w:rsid w:val="007E4DB6"/>
    <w:rsid w:val="007E7CD4"/>
    <w:rsid w:val="007F12AC"/>
    <w:rsid w:val="00801800"/>
    <w:rsid w:val="00801B5B"/>
    <w:rsid w:val="00804F3C"/>
    <w:rsid w:val="00814673"/>
    <w:rsid w:val="0082358C"/>
    <w:rsid w:val="008276B4"/>
    <w:rsid w:val="00831927"/>
    <w:rsid w:val="00841BD3"/>
    <w:rsid w:val="0084273D"/>
    <w:rsid w:val="00844E3F"/>
    <w:rsid w:val="00845A83"/>
    <w:rsid w:val="008712BB"/>
    <w:rsid w:val="00877072"/>
    <w:rsid w:val="00892A67"/>
    <w:rsid w:val="008944F1"/>
    <w:rsid w:val="008A2484"/>
    <w:rsid w:val="008C26D9"/>
    <w:rsid w:val="008C43A3"/>
    <w:rsid w:val="008C6919"/>
    <w:rsid w:val="008C6D50"/>
    <w:rsid w:val="008C7167"/>
    <w:rsid w:val="008C7503"/>
    <w:rsid w:val="008D1617"/>
    <w:rsid w:val="008E45FE"/>
    <w:rsid w:val="008E538B"/>
    <w:rsid w:val="008E6315"/>
    <w:rsid w:val="008F11E0"/>
    <w:rsid w:val="008F78BC"/>
    <w:rsid w:val="008F7B63"/>
    <w:rsid w:val="008F7D6A"/>
    <w:rsid w:val="00901E6C"/>
    <w:rsid w:val="009054CB"/>
    <w:rsid w:val="00912F94"/>
    <w:rsid w:val="00923B58"/>
    <w:rsid w:val="0092590B"/>
    <w:rsid w:val="00925E60"/>
    <w:rsid w:val="009264B3"/>
    <w:rsid w:val="00931B92"/>
    <w:rsid w:val="00935E17"/>
    <w:rsid w:val="009365E0"/>
    <w:rsid w:val="00942BA2"/>
    <w:rsid w:val="00944C86"/>
    <w:rsid w:val="00957DE8"/>
    <w:rsid w:val="00960ECB"/>
    <w:rsid w:val="009615D6"/>
    <w:rsid w:val="00963BC2"/>
    <w:rsid w:val="00967855"/>
    <w:rsid w:val="00980736"/>
    <w:rsid w:val="00981A39"/>
    <w:rsid w:val="00981B3B"/>
    <w:rsid w:val="00982EAA"/>
    <w:rsid w:val="00987097"/>
    <w:rsid w:val="009A0D50"/>
    <w:rsid w:val="009A3A9C"/>
    <w:rsid w:val="009B046C"/>
    <w:rsid w:val="009B13FA"/>
    <w:rsid w:val="009B1E2D"/>
    <w:rsid w:val="009C091B"/>
    <w:rsid w:val="009C59FB"/>
    <w:rsid w:val="009C6F3B"/>
    <w:rsid w:val="009D1467"/>
    <w:rsid w:val="009D2B5B"/>
    <w:rsid w:val="009E4FA6"/>
    <w:rsid w:val="009E5E82"/>
    <w:rsid w:val="009E7D93"/>
    <w:rsid w:val="009F518C"/>
    <w:rsid w:val="009F5C33"/>
    <w:rsid w:val="00A03EAC"/>
    <w:rsid w:val="00A11CA6"/>
    <w:rsid w:val="00A20C49"/>
    <w:rsid w:val="00A269CA"/>
    <w:rsid w:val="00A336EE"/>
    <w:rsid w:val="00A3413F"/>
    <w:rsid w:val="00A359AC"/>
    <w:rsid w:val="00A37CBF"/>
    <w:rsid w:val="00A41413"/>
    <w:rsid w:val="00A41DB4"/>
    <w:rsid w:val="00A42D99"/>
    <w:rsid w:val="00A43067"/>
    <w:rsid w:val="00A45FB1"/>
    <w:rsid w:val="00A461F0"/>
    <w:rsid w:val="00A46CCC"/>
    <w:rsid w:val="00A505DE"/>
    <w:rsid w:val="00A51CFE"/>
    <w:rsid w:val="00A60E75"/>
    <w:rsid w:val="00A76C13"/>
    <w:rsid w:val="00A92E79"/>
    <w:rsid w:val="00A9396E"/>
    <w:rsid w:val="00A950B6"/>
    <w:rsid w:val="00AA3AF4"/>
    <w:rsid w:val="00AB41C1"/>
    <w:rsid w:val="00AD12A8"/>
    <w:rsid w:val="00AD2A82"/>
    <w:rsid w:val="00AD3C48"/>
    <w:rsid w:val="00AD5290"/>
    <w:rsid w:val="00AE023F"/>
    <w:rsid w:val="00AF221F"/>
    <w:rsid w:val="00AF3577"/>
    <w:rsid w:val="00AF35F9"/>
    <w:rsid w:val="00B05C7D"/>
    <w:rsid w:val="00B17C27"/>
    <w:rsid w:val="00B22ACC"/>
    <w:rsid w:val="00B3041F"/>
    <w:rsid w:val="00B346C3"/>
    <w:rsid w:val="00B378A1"/>
    <w:rsid w:val="00B41DBF"/>
    <w:rsid w:val="00B4471C"/>
    <w:rsid w:val="00B451A6"/>
    <w:rsid w:val="00B610F0"/>
    <w:rsid w:val="00B63821"/>
    <w:rsid w:val="00B722DE"/>
    <w:rsid w:val="00B75B41"/>
    <w:rsid w:val="00B76C44"/>
    <w:rsid w:val="00B83F87"/>
    <w:rsid w:val="00BA2BC4"/>
    <w:rsid w:val="00BA2EFA"/>
    <w:rsid w:val="00BA3DBC"/>
    <w:rsid w:val="00BB1FAA"/>
    <w:rsid w:val="00BB2DA2"/>
    <w:rsid w:val="00BB56DC"/>
    <w:rsid w:val="00BE183D"/>
    <w:rsid w:val="00BE3E8E"/>
    <w:rsid w:val="00BF5D7A"/>
    <w:rsid w:val="00BF7645"/>
    <w:rsid w:val="00C02D33"/>
    <w:rsid w:val="00C03F73"/>
    <w:rsid w:val="00C06293"/>
    <w:rsid w:val="00C1232C"/>
    <w:rsid w:val="00C1586A"/>
    <w:rsid w:val="00C15B96"/>
    <w:rsid w:val="00C26E70"/>
    <w:rsid w:val="00C338B0"/>
    <w:rsid w:val="00C3477D"/>
    <w:rsid w:val="00C3558E"/>
    <w:rsid w:val="00C36442"/>
    <w:rsid w:val="00C400CE"/>
    <w:rsid w:val="00C401D2"/>
    <w:rsid w:val="00C410FD"/>
    <w:rsid w:val="00C47CD2"/>
    <w:rsid w:val="00C539FB"/>
    <w:rsid w:val="00C607E4"/>
    <w:rsid w:val="00C6275F"/>
    <w:rsid w:val="00CA246D"/>
    <w:rsid w:val="00CA4653"/>
    <w:rsid w:val="00CA50D9"/>
    <w:rsid w:val="00CB5636"/>
    <w:rsid w:val="00CB708E"/>
    <w:rsid w:val="00CD1CCB"/>
    <w:rsid w:val="00CD4915"/>
    <w:rsid w:val="00CF2515"/>
    <w:rsid w:val="00D02F3C"/>
    <w:rsid w:val="00D07D5F"/>
    <w:rsid w:val="00D10F21"/>
    <w:rsid w:val="00D124D3"/>
    <w:rsid w:val="00D24806"/>
    <w:rsid w:val="00D34040"/>
    <w:rsid w:val="00D34E69"/>
    <w:rsid w:val="00D375EE"/>
    <w:rsid w:val="00D37AC9"/>
    <w:rsid w:val="00D4120F"/>
    <w:rsid w:val="00D579DA"/>
    <w:rsid w:val="00D60FEB"/>
    <w:rsid w:val="00D62699"/>
    <w:rsid w:val="00D649ED"/>
    <w:rsid w:val="00D706FC"/>
    <w:rsid w:val="00D711E9"/>
    <w:rsid w:val="00D7568F"/>
    <w:rsid w:val="00D82620"/>
    <w:rsid w:val="00D87626"/>
    <w:rsid w:val="00D90A45"/>
    <w:rsid w:val="00D9725F"/>
    <w:rsid w:val="00DA01B1"/>
    <w:rsid w:val="00DA11A2"/>
    <w:rsid w:val="00DA14ED"/>
    <w:rsid w:val="00DA50D5"/>
    <w:rsid w:val="00DA6EEC"/>
    <w:rsid w:val="00DB2EF1"/>
    <w:rsid w:val="00DB3DE1"/>
    <w:rsid w:val="00DB5DA0"/>
    <w:rsid w:val="00DB716C"/>
    <w:rsid w:val="00DC5C85"/>
    <w:rsid w:val="00DC6F90"/>
    <w:rsid w:val="00DD04AA"/>
    <w:rsid w:val="00DD4236"/>
    <w:rsid w:val="00DD44F1"/>
    <w:rsid w:val="00DE3067"/>
    <w:rsid w:val="00DE3F6A"/>
    <w:rsid w:val="00DF01E2"/>
    <w:rsid w:val="00DF052E"/>
    <w:rsid w:val="00DF0B6F"/>
    <w:rsid w:val="00E027BC"/>
    <w:rsid w:val="00E068F2"/>
    <w:rsid w:val="00E14EA5"/>
    <w:rsid w:val="00E16F8B"/>
    <w:rsid w:val="00E21133"/>
    <w:rsid w:val="00E2327E"/>
    <w:rsid w:val="00E234EB"/>
    <w:rsid w:val="00E266EF"/>
    <w:rsid w:val="00E3040C"/>
    <w:rsid w:val="00E47428"/>
    <w:rsid w:val="00E66B9F"/>
    <w:rsid w:val="00E710D6"/>
    <w:rsid w:val="00E73227"/>
    <w:rsid w:val="00E75185"/>
    <w:rsid w:val="00E76E45"/>
    <w:rsid w:val="00E777C9"/>
    <w:rsid w:val="00E81D6E"/>
    <w:rsid w:val="00E81DA6"/>
    <w:rsid w:val="00E84212"/>
    <w:rsid w:val="00E9086C"/>
    <w:rsid w:val="00E91A0F"/>
    <w:rsid w:val="00E94A71"/>
    <w:rsid w:val="00EA03CE"/>
    <w:rsid w:val="00EA23E5"/>
    <w:rsid w:val="00EA4E2E"/>
    <w:rsid w:val="00EB17A4"/>
    <w:rsid w:val="00EB2CCB"/>
    <w:rsid w:val="00EC57A7"/>
    <w:rsid w:val="00EC6A90"/>
    <w:rsid w:val="00ED0817"/>
    <w:rsid w:val="00ED7DD9"/>
    <w:rsid w:val="00EE2402"/>
    <w:rsid w:val="00EE6FAC"/>
    <w:rsid w:val="00EF3113"/>
    <w:rsid w:val="00EF3F84"/>
    <w:rsid w:val="00F07D69"/>
    <w:rsid w:val="00F176AC"/>
    <w:rsid w:val="00F20855"/>
    <w:rsid w:val="00F27714"/>
    <w:rsid w:val="00F3276E"/>
    <w:rsid w:val="00F33D3C"/>
    <w:rsid w:val="00F37A91"/>
    <w:rsid w:val="00F37C81"/>
    <w:rsid w:val="00F42216"/>
    <w:rsid w:val="00F44E53"/>
    <w:rsid w:val="00F45CF5"/>
    <w:rsid w:val="00F47DB0"/>
    <w:rsid w:val="00F50E34"/>
    <w:rsid w:val="00F53EF7"/>
    <w:rsid w:val="00F54BF2"/>
    <w:rsid w:val="00F55339"/>
    <w:rsid w:val="00F63A55"/>
    <w:rsid w:val="00F6744D"/>
    <w:rsid w:val="00F7337E"/>
    <w:rsid w:val="00F73A6B"/>
    <w:rsid w:val="00F744B7"/>
    <w:rsid w:val="00F7659E"/>
    <w:rsid w:val="00F7707D"/>
    <w:rsid w:val="00F818FA"/>
    <w:rsid w:val="00F857A1"/>
    <w:rsid w:val="00F92355"/>
    <w:rsid w:val="00F92888"/>
    <w:rsid w:val="00F93963"/>
    <w:rsid w:val="00F94291"/>
    <w:rsid w:val="00FB3833"/>
    <w:rsid w:val="00FB7982"/>
    <w:rsid w:val="00FC0734"/>
    <w:rsid w:val="00FC0FC5"/>
    <w:rsid w:val="00FC2E9A"/>
    <w:rsid w:val="00FC55D8"/>
    <w:rsid w:val="00FC5602"/>
    <w:rsid w:val="00FC588F"/>
    <w:rsid w:val="00FD655A"/>
    <w:rsid w:val="00FE1B30"/>
    <w:rsid w:val="00FE264D"/>
    <w:rsid w:val="00FE7B44"/>
    <w:rsid w:val="00FF0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55D25797-8E6F-4C6A-9394-A09F2F2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7276-77AE-4173-9D33-B6EC5173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18</Pages>
  <Words>6559</Words>
  <Characters>34126</Characters>
  <Application>Microsoft Office Word</Application>
  <DocSecurity>0</DocSecurity>
  <Lines>631</Lines>
  <Paragraphs>226</Paragraphs>
  <ScaleCrop>false</ScaleCrop>
  <HeadingPairs>
    <vt:vector size="2" baseType="variant">
      <vt:variant>
        <vt:lpstr>Title</vt:lpstr>
      </vt:variant>
      <vt:variant>
        <vt:i4>1</vt:i4>
      </vt:variant>
    </vt:vector>
  </HeadingPairs>
  <TitlesOfParts>
    <vt:vector size="1" baseType="lpstr">
      <vt:lpstr>Dalby Bio-Refinery Ltd v Allianz Australia Insurance Limited [2018] FCA 1806 </vt:lpstr>
    </vt:vector>
  </TitlesOfParts>
  <Company>Federal Court of Australia</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Dalby Bio-Refinery Ltd v Allianz Australia Insurance Limited [2018] FCA 1806</dc:title>
  <dc:subject/>
  <dc:creator>Lynn-Maree Nielsen</dc:creator>
  <cp:keywords/>
  <dc:description/>
  <cp:lastModifiedBy>Sona Muradyan</cp:lastModifiedBy>
  <cp:revision>3</cp:revision>
  <cp:lastPrinted>2018-11-28T07:09:00Z</cp:lastPrinted>
  <dcterms:created xsi:type="dcterms:W3CDTF">2018-11-28T23:31:00Z</dcterms:created>
  <dcterms:modified xsi:type="dcterms:W3CDTF">2018-11-28T23:34:00Z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LEE J</vt:lpwstr>
  </property>
  <property fmtid="{D5CDD505-2E9C-101B-9397-08002B2CF9AE}" pid="4" name="Judgment_dated" linkTarget="Judgment_dated">
    <vt:lpwstr>31 OCTOBER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