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4BFB3" w14:textId="77777777" w:rsidR="00395B24" w:rsidRDefault="002C7385">
      <w:pPr>
        <w:pStyle w:val="NormalHeadings"/>
        <w:jc w:val="center"/>
        <w:rPr>
          <w:sz w:val="32"/>
        </w:rPr>
      </w:pPr>
      <w:r>
        <w:rPr>
          <w:sz w:val="32"/>
        </w:rPr>
        <w:t>FEDERAL COURT OF AUSTRALIA</w:t>
      </w:r>
    </w:p>
    <w:p w14:paraId="2A6B08E6" w14:textId="77777777" w:rsidR="00395B24" w:rsidRDefault="00395B24">
      <w:pPr>
        <w:pStyle w:val="NormalHeadings"/>
        <w:jc w:val="center"/>
        <w:rPr>
          <w:sz w:val="32"/>
        </w:rPr>
      </w:pPr>
    </w:p>
    <w:p w14:paraId="67413558" w14:textId="467C46B2" w:rsidR="00395B24" w:rsidRDefault="00F66A5B">
      <w:pPr>
        <w:pStyle w:val="MediaNeutralStyle"/>
      </w:pPr>
      <w:bookmarkStart w:id="0" w:name="MNC"/>
      <w:r>
        <w:t xml:space="preserve">Onley v Catlin Syndicate Ltd as the Underwriting Member of Lloyd’s Syndicate </w:t>
      </w:r>
      <w:r w:rsidR="001B1083">
        <w:t>2003 [2018] FCAFC</w:t>
      </w:r>
      <w:r w:rsidR="00D63AF2">
        <w:t xml:space="preserve"> 119</w:t>
      </w:r>
      <w:bookmarkEnd w:id="0"/>
    </w:p>
    <w:p w14:paraId="4BA87059"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3CF82690" w14:textId="77777777" w:rsidTr="000B5AD5">
        <w:tc>
          <w:tcPr>
            <w:tcW w:w="3085" w:type="dxa"/>
            <w:shd w:val="clear" w:color="auto" w:fill="auto"/>
          </w:tcPr>
          <w:p w14:paraId="17EAD815" w14:textId="7C676CAA" w:rsidR="00395B24" w:rsidRDefault="001B1083" w:rsidP="00663878">
            <w:pPr>
              <w:pStyle w:val="Normal1linespace"/>
              <w:widowControl w:val="0"/>
              <w:jc w:val="left"/>
            </w:pPr>
            <w:r>
              <w:t>File numbers</w:t>
            </w:r>
            <w:r w:rsidR="002C7385">
              <w:t>:</w:t>
            </w:r>
          </w:p>
        </w:tc>
        <w:tc>
          <w:tcPr>
            <w:tcW w:w="5989" w:type="dxa"/>
            <w:shd w:val="clear" w:color="auto" w:fill="auto"/>
          </w:tcPr>
          <w:p w14:paraId="52AC078E" w14:textId="77777777" w:rsidR="00CE0857" w:rsidRPr="00CE0857" w:rsidRDefault="001F73E8" w:rsidP="00CE0857">
            <w:pPr>
              <w:pStyle w:val="Normal1linespace"/>
              <w:jc w:val="left"/>
            </w:pPr>
            <w:r w:rsidRPr="00CE0857">
              <w:fldChar w:fldCharType="begin" w:fldLock="1"/>
            </w:r>
            <w:r w:rsidRPr="00CE0857">
              <w:instrText xml:space="preserve"> REF  FileNo  \* MERGEFORMAT </w:instrText>
            </w:r>
            <w:r w:rsidRPr="00CE0857">
              <w:fldChar w:fldCharType="separate"/>
            </w:r>
            <w:r w:rsidR="00CE0857" w:rsidRPr="00CE0857">
              <w:t>NSD 63 of 2018</w:t>
            </w:r>
          </w:p>
          <w:p w14:paraId="1BDE5F3B" w14:textId="0C22ACF4" w:rsidR="00395B24" w:rsidRPr="001B1053" w:rsidRDefault="001F73E8" w:rsidP="00CE0857">
            <w:pPr>
              <w:pStyle w:val="Normal1linespace"/>
              <w:jc w:val="left"/>
            </w:pPr>
            <w:r w:rsidRPr="00CE0857">
              <w:fldChar w:fldCharType="end"/>
            </w:r>
            <w:r w:rsidR="00261351">
              <w:t>NSD 448 of 2018</w:t>
            </w:r>
          </w:p>
        </w:tc>
      </w:tr>
      <w:tr w:rsidR="00395B24" w14:paraId="72019BDC" w14:textId="77777777" w:rsidTr="000B5AD5">
        <w:tc>
          <w:tcPr>
            <w:tcW w:w="3085" w:type="dxa"/>
            <w:shd w:val="clear" w:color="auto" w:fill="auto"/>
          </w:tcPr>
          <w:p w14:paraId="16EC2AC5" w14:textId="77777777" w:rsidR="00395B24" w:rsidRDefault="00395B24" w:rsidP="00663878">
            <w:pPr>
              <w:pStyle w:val="Normal1linespace"/>
              <w:widowControl w:val="0"/>
              <w:jc w:val="left"/>
            </w:pPr>
          </w:p>
        </w:tc>
        <w:tc>
          <w:tcPr>
            <w:tcW w:w="5989" w:type="dxa"/>
            <w:shd w:val="clear" w:color="auto" w:fill="auto"/>
          </w:tcPr>
          <w:p w14:paraId="7D3193D7" w14:textId="77777777" w:rsidR="00395B24" w:rsidRDefault="00395B24" w:rsidP="00663878">
            <w:pPr>
              <w:pStyle w:val="Normal1linespace"/>
              <w:widowControl w:val="0"/>
              <w:jc w:val="left"/>
            </w:pPr>
          </w:p>
        </w:tc>
      </w:tr>
      <w:tr w:rsidR="00395B24" w14:paraId="2D5AF094" w14:textId="77777777" w:rsidTr="000B5AD5">
        <w:tc>
          <w:tcPr>
            <w:tcW w:w="3085" w:type="dxa"/>
            <w:shd w:val="clear" w:color="auto" w:fill="auto"/>
          </w:tcPr>
          <w:p w14:paraId="42C53165" w14:textId="37A6B280" w:rsidR="00395B24" w:rsidRDefault="001B1083" w:rsidP="00663878">
            <w:pPr>
              <w:pStyle w:val="Normal1linespace"/>
              <w:widowControl w:val="0"/>
              <w:jc w:val="left"/>
            </w:pPr>
            <w:r>
              <w:t>Judges</w:t>
            </w:r>
            <w:r w:rsidR="002C7385">
              <w:t>:</w:t>
            </w:r>
          </w:p>
        </w:tc>
        <w:tc>
          <w:tcPr>
            <w:tcW w:w="5989" w:type="dxa"/>
            <w:shd w:val="clear" w:color="auto" w:fill="auto"/>
          </w:tcPr>
          <w:p w14:paraId="2204CDE1" w14:textId="7A298805" w:rsidR="00395B24" w:rsidRDefault="002C7385" w:rsidP="00663878">
            <w:pPr>
              <w:pStyle w:val="Normal1linespace"/>
              <w:widowControl w:val="0"/>
              <w:jc w:val="left"/>
              <w:rPr>
                <w:b/>
              </w:rPr>
            </w:pPr>
            <w:r w:rsidRPr="00CE0857">
              <w:rPr>
                <w:b/>
              </w:rPr>
              <w:fldChar w:fldCharType="begin" w:fldLock="1"/>
            </w:r>
            <w:r w:rsidRPr="00CE0857">
              <w:rPr>
                <w:b/>
              </w:rPr>
              <w:instrText xml:space="preserve"> REF  Judge  \* MERGEFORMAT </w:instrText>
            </w:r>
            <w:r w:rsidRPr="00CE0857">
              <w:rPr>
                <w:b/>
              </w:rPr>
              <w:fldChar w:fldCharType="separate"/>
            </w:r>
            <w:r w:rsidR="00CE0857" w:rsidRPr="00CE0857">
              <w:rPr>
                <w:b/>
                <w:caps/>
                <w:szCs w:val="24"/>
              </w:rPr>
              <w:t>ALLSOP CJ, LEE AND DERRINGTON JJ</w:t>
            </w:r>
            <w:r w:rsidRPr="00CE0857">
              <w:rPr>
                <w:b/>
              </w:rPr>
              <w:fldChar w:fldCharType="end"/>
            </w:r>
          </w:p>
        </w:tc>
      </w:tr>
      <w:tr w:rsidR="00395B24" w14:paraId="08C35A22" w14:textId="77777777" w:rsidTr="000B5AD5">
        <w:tc>
          <w:tcPr>
            <w:tcW w:w="3085" w:type="dxa"/>
            <w:shd w:val="clear" w:color="auto" w:fill="auto"/>
          </w:tcPr>
          <w:p w14:paraId="14CC2E51" w14:textId="77777777" w:rsidR="00395B24" w:rsidRDefault="00395B24" w:rsidP="00663878">
            <w:pPr>
              <w:pStyle w:val="Normal1linespace"/>
              <w:widowControl w:val="0"/>
              <w:jc w:val="left"/>
            </w:pPr>
          </w:p>
        </w:tc>
        <w:tc>
          <w:tcPr>
            <w:tcW w:w="5989" w:type="dxa"/>
            <w:shd w:val="clear" w:color="auto" w:fill="auto"/>
          </w:tcPr>
          <w:p w14:paraId="78199704" w14:textId="77777777" w:rsidR="00395B24" w:rsidRDefault="00395B24" w:rsidP="00663878">
            <w:pPr>
              <w:pStyle w:val="Normal1linespace"/>
              <w:widowControl w:val="0"/>
              <w:jc w:val="left"/>
            </w:pPr>
          </w:p>
        </w:tc>
      </w:tr>
      <w:tr w:rsidR="00395B24" w14:paraId="1A5944FF" w14:textId="77777777" w:rsidTr="000B5AD5">
        <w:tc>
          <w:tcPr>
            <w:tcW w:w="3085" w:type="dxa"/>
            <w:shd w:val="clear" w:color="auto" w:fill="auto"/>
          </w:tcPr>
          <w:p w14:paraId="4965908F" w14:textId="77777777" w:rsidR="00395B24" w:rsidRDefault="002C7385" w:rsidP="00663878">
            <w:pPr>
              <w:pStyle w:val="Normal1linespace"/>
              <w:widowControl w:val="0"/>
              <w:jc w:val="left"/>
            </w:pPr>
            <w:r>
              <w:t>Date of judgment:</w:t>
            </w:r>
          </w:p>
        </w:tc>
        <w:tc>
          <w:tcPr>
            <w:tcW w:w="5989" w:type="dxa"/>
            <w:shd w:val="clear" w:color="auto" w:fill="auto"/>
          </w:tcPr>
          <w:p w14:paraId="58679F5B" w14:textId="12CC7C08" w:rsidR="00395B24" w:rsidRDefault="00CE0857" w:rsidP="00663878">
            <w:pPr>
              <w:pStyle w:val="Normal1linespace"/>
              <w:widowControl w:val="0"/>
              <w:jc w:val="left"/>
            </w:pPr>
            <w:bookmarkStart w:id="1" w:name="JudgmentDate"/>
            <w:r>
              <w:t>3 August 2018</w:t>
            </w:r>
            <w:bookmarkEnd w:id="1"/>
          </w:p>
        </w:tc>
      </w:tr>
      <w:tr w:rsidR="00395B24" w14:paraId="66AE78F4" w14:textId="77777777" w:rsidTr="000B5AD5">
        <w:tc>
          <w:tcPr>
            <w:tcW w:w="3085" w:type="dxa"/>
            <w:shd w:val="clear" w:color="auto" w:fill="auto"/>
          </w:tcPr>
          <w:p w14:paraId="6DB8A36E" w14:textId="77777777" w:rsidR="00395B24" w:rsidRDefault="00395B24" w:rsidP="00663878">
            <w:pPr>
              <w:pStyle w:val="Normal1linespace"/>
              <w:widowControl w:val="0"/>
              <w:jc w:val="left"/>
            </w:pPr>
          </w:p>
        </w:tc>
        <w:tc>
          <w:tcPr>
            <w:tcW w:w="5989" w:type="dxa"/>
            <w:shd w:val="clear" w:color="auto" w:fill="auto"/>
          </w:tcPr>
          <w:p w14:paraId="5F62A706" w14:textId="77777777" w:rsidR="00395B24" w:rsidRDefault="00395B24" w:rsidP="00663878">
            <w:pPr>
              <w:pStyle w:val="Normal1linespace"/>
              <w:widowControl w:val="0"/>
              <w:jc w:val="left"/>
            </w:pPr>
          </w:p>
        </w:tc>
      </w:tr>
      <w:tr w:rsidR="00395B24" w14:paraId="201F514F" w14:textId="77777777" w:rsidTr="000B5AD5">
        <w:tc>
          <w:tcPr>
            <w:tcW w:w="3085" w:type="dxa"/>
            <w:shd w:val="clear" w:color="auto" w:fill="auto"/>
          </w:tcPr>
          <w:p w14:paraId="4E63186F" w14:textId="77777777" w:rsidR="00395B24" w:rsidRDefault="002C7385" w:rsidP="00663878">
            <w:pPr>
              <w:pStyle w:val="Normal1linespace"/>
              <w:widowControl w:val="0"/>
              <w:jc w:val="left"/>
            </w:pPr>
            <w:r>
              <w:t>Catchwords:</w:t>
            </w:r>
          </w:p>
        </w:tc>
        <w:tc>
          <w:tcPr>
            <w:tcW w:w="5989" w:type="dxa"/>
            <w:shd w:val="clear" w:color="auto" w:fill="auto"/>
          </w:tcPr>
          <w:p w14:paraId="4AAD3476" w14:textId="77777777" w:rsidR="009671C3" w:rsidRDefault="009671C3" w:rsidP="00663878">
            <w:pPr>
              <w:pStyle w:val="Normal1linespace"/>
              <w:widowControl w:val="0"/>
              <w:jc w:val="left"/>
            </w:pPr>
            <w:bookmarkStart w:id="2" w:name="Catchwords"/>
            <w:r>
              <w:rPr>
                <w:b/>
              </w:rPr>
              <w:t>INSURANCE</w:t>
            </w:r>
            <w:r>
              <w:t xml:space="preserve"> –</w:t>
            </w:r>
            <w:r w:rsidR="00AD2544">
              <w:t xml:space="preserve"> Defence C</w:t>
            </w:r>
            <w:r>
              <w:t>osts extension – payable until wrongful act determined by judgment, adjudication or admission – whether implication that insurer prevented from relying on rights consequent upon insured’s fraudulent non-disclosure</w:t>
            </w:r>
            <w:r w:rsidR="00AD2544">
              <w:t xml:space="preserve"> pending judgment, adjudication or admission of wrongful act</w:t>
            </w:r>
          </w:p>
          <w:p w14:paraId="71C28069" w14:textId="77777777" w:rsidR="009671C3" w:rsidRDefault="009671C3" w:rsidP="00663878">
            <w:pPr>
              <w:pStyle w:val="Normal1linespace"/>
              <w:widowControl w:val="0"/>
              <w:jc w:val="left"/>
            </w:pPr>
          </w:p>
          <w:p w14:paraId="4DC52B6A" w14:textId="77777777" w:rsidR="00395B24" w:rsidRDefault="009671C3" w:rsidP="00663878">
            <w:pPr>
              <w:pStyle w:val="Normal1linespace"/>
              <w:widowControl w:val="0"/>
              <w:jc w:val="left"/>
            </w:pPr>
            <w:r>
              <w:rPr>
                <w:b/>
              </w:rPr>
              <w:t>CONTRACT</w:t>
            </w:r>
            <w:r>
              <w:t xml:space="preserve"> – Insurance policy – agreement to pay defence costs until alleged wrongful acts not covered by policy are determined by judgment adjudication or admission – whether insurer prevented from avoiding policy for fraudulent non-disclosure – whether party able to contract out of the consequences of their own fraud</w:t>
            </w:r>
            <w:r w:rsidR="002C7385">
              <w:t xml:space="preserve"> </w:t>
            </w:r>
            <w:bookmarkEnd w:id="2"/>
          </w:p>
        </w:tc>
      </w:tr>
      <w:tr w:rsidR="00395B24" w14:paraId="3290913E" w14:textId="77777777" w:rsidTr="000B5AD5">
        <w:tc>
          <w:tcPr>
            <w:tcW w:w="3085" w:type="dxa"/>
            <w:shd w:val="clear" w:color="auto" w:fill="auto"/>
          </w:tcPr>
          <w:p w14:paraId="6C7F0855" w14:textId="77777777" w:rsidR="00395B24" w:rsidRDefault="00395B24" w:rsidP="00663878">
            <w:pPr>
              <w:pStyle w:val="Normal1linespace"/>
              <w:widowControl w:val="0"/>
              <w:jc w:val="left"/>
            </w:pPr>
          </w:p>
        </w:tc>
        <w:tc>
          <w:tcPr>
            <w:tcW w:w="5989" w:type="dxa"/>
            <w:shd w:val="clear" w:color="auto" w:fill="auto"/>
          </w:tcPr>
          <w:p w14:paraId="606F8D67" w14:textId="77777777" w:rsidR="00395B24" w:rsidRDefault="00395B24" w:rsidP="00663878">
            <w:pPr>
              <w:pStyle w:val="Normal1linespace"/>
              <w:widowControl w:val="0"/>
              <w:jc w:val="left"/>
            </w:pPr>
          </w:p>
        </w:tc>
      </w:tr>
      <w:tr w:rsidR="00395B24" w14:paraId="75DD2ACE" w14:textId="77777777" w:rsidTr="000B5AD5">
        <w:tc>
          <w:tcPr>
            <w:tcW w:w="3085" w:type="dxa"/>
            <w:shd w:val="clear" w:color="auto" w:fill="auto"/>
          </w:tcPr>
          <w:p w14:paraId="6F20D5C8" w14:textId="77777777" w:rsidR="00395B24" w:rsidRDefault="002C7385" w:rsidP="00663878">
            <w:pPr>
              <w:pStyle w:val="Normal1linespace"/>
              <w:widowControl w:val="0"/>
              <w:jc w:val="left"/>
            </w:pPr>
            <w:r>
              <w:t>Legislation:</w:t>
            </w:r>
          </w:p>
        </w:tc>
        <w:tc>
          <w:tcPr>
            <w:tcW w:w="5989" w:type="dxa"/>
            <w:shd w:val="clear" w:color="auto" w:fill="auto"/>
          </w:tcPr>
          <w:p w14:paraId="59B646D3" w14:textId="124F0330" w:rsidR="002A30BE" w:rsidRPr="002A30BE" w:rsidRDefault="002A30BE" w:rsidP="00D82620">
            <w:pPr>
              <w:pStyle w:val="CasesLegislationAppealFrom"/>
              <w:spacing w:after="60"/>
            </w:pPr>
            <w:bookmarkStart w:id="3" w:name="Legislation"/>
            <w:r w:rsidRPr="002A30BE">
              <w:rPr>
                <w:i/>
              </w:rPr>
              <w:t xml:space="preserve">Criminal Code Act </w:t>
            </w:r>
            <w:r w:rsidR="0089010C">
              <w:rPr>
                <w:i/>
              </w:rPr>
              <w:t>1995</w:t>
            </w:r>
            <w:r w:rsidRPr="002A30BE">
              <w:rPr>
                <w:i/>
              </w:rPr>
              <w:t xml:space="preserve"> </w:t>
            </w:r>
            <w:r w:rsidRPr="002A30BE">
              <w:t>(Cth)</w:t>
            </w:r>
          </w:p>
          <w:p w14:paraId="53A25640" w14:textId="77777777" w:rsidR="0077611A" w:rsidRDefault="002A30BE" w:rsidP="0077611A">
            <w:pPr>
              <w:pStyle w:val="CasesLegislationAppealFrom"/>
              <w:spacing w:after="60"/>
            </w:pPr>
            <w:r w:rsidRPr="002A30BE">
              <w:rPr>
                <w:i/>
              </w:rPr>
              <w:t>Federal Court Rules 2011</w:t>
            </w:r>
            <w:r w:rsidRPr="002A30BE">
              <w:t xml:space="preserve"> (Cth</w:t>
            </w:r>
            <w:r w:rsidR="0077611A">
              <w:t>)</w:t>
            </w:r>
          </w:p>
          <w:p w14:paraId="15D3B34A" w14:textId="77777777" w:rsidR="0077611A" w:rsidRDefault="0077611A" w:rsidP="0077611A">
            <w:pPr>
              <w:pStyle w:val="CasesLegislationAppealFrom"/>
              <w:spacing w:after="60"/>
              <w:rPr>
                <w:i/>
              </w:rPr>
            </w:pPr>
            <w:r w:rsidRPr="002A30BE">
              <w:rPr>
                <w:i/>
              </w:rPr>
              <w:t>Insurance Contracts Act 1984</w:t>
            </w:r>
            <w:r w:rsidRPr="002A30BE">
              <w:t xml:space="preserve"> (Cth)</w:t>
            </w:r>
          </w:p>
          <w:p w14:paraId="58E5CA75" w14:textId="32DADDE2" w:rsidR="00157520" w:rsidRDefault="0077611A" w:rsidP="0077611A">
            <w:pPr>
              <w:pStyle w:val="CasesLegislationAppealFrom"/>
              <w:spacing w:after="60"/>
            </w:pPr>
            <w:r w:rsidRPr="002A30BE">
              <w:rPr>
                <w:i/>
              </w:rPr>
              <w:t xml:space="preserve">Proceeds of Crimes Act 2002 </w:t>
            </w:r>
            <w:r w:rsidRPr="002A30BE">
              <w:t>(Cth</w:t>
            </w:r>
            <w:r w:rsidR="00157520">
              <w:t>)</w:t>
            </w:r>
          </w:p>
          <w:p w14:paraId="7591CFC8" w14:textId="0D2E4790" w:rsidR="002A30BE" w:rsidRPr="002A30BE" w:rsidRDefault="00157520" w:rsidP="00157520">
            <w:pPr>
              <w:pStyle w:val="CasesLegislationAppealFrom"/>
              <w:spacing w:after="60"/>
            </w:pPr>
            <w:r w:rsidRPr="00157520">
              <w:rPr>
                <w:i/>
              </w:rPr>
              <w:t>Evidence Act 1995</w:t>
            </w:r>
            <w:r w:rsidRPr="00157520">
              <w:t xml:space="preserve"> (NSW</w:t>
            </w:r>
            <w:r w:rsidR="002A30BE" w:rsidRPr="002A30BE">
              <w:t>)</w:t>
            </w:r>
            <w:bookmarkEnd w:id="3"/>
          </w:p>
        </w:tc>
      </w:tr>
      <w:tr w:rsidR="00395B24" w14:paraId="2433DDD2" w14:textId="77777777" w:rsidTr="000B5AD5">
        <w:tc>
          <w:tcPr>
            <w:tcW w:w="3085" w:type="dxa"/>
            <w:shd w:val="clear" w:color="auto" w:fill="auto"/>
          </w:tcPr>
          <w:p w14:paraId="40C02A7B" w14:textId="77777777" w:rsidR="00395B24" w:rsidRDefault="00395B24" w:rsidP="00663878">
            <w:pPr>
              <w:pStyle w:val="Normal1linespace"/>
              <w:widowControl w:val="0"/>
              <w:jc w:val="left"/>
            </w:pPr>
          </w:p>
        </w:tc>
        <w:tc>
          <w:tcPr>
            <w:tcW w:w="5989" w:type="dxa"/>
            <w:shd w:val="clear" w:color="auto" w:fill="auto"/>
          </w:tcPr>
          <w:p w14:paraId="272A7E16" w14:textId="77777777" w:rsidR="00395B24" w:rsidRDefault="00395B24" w:rsidP="00663878">
            <w:pPr>
              <w:pStyle w:val="Normal1linespace"/>
              <w:widowControl w:val="0"/>
              <w:jc w:val="left"/>
            </w:pPr>
          </w:p>
        </w:tc>
      </w:tr>
      <w:tr w:rsidR="00395B24" w14:paraId="34BD5936" w14:textId="77777777" w:rsidTr="000B5AD5">
        <w:tc>
          <w:tcPr>
            <w:tcW w:w="3085" w:type="dxa"/>
            <w:shd w:val="clear" w:color="auto" w:fill="auto"/>
          </w:tcPr>
          <w:p w14:paraId="74D1943B" w14:textId="77777777" w:rsidR="00395B24" w:rsidRDefault="002C7385" w:rsidP="00663878">
            <w:pPr>
              <w:pStyle w:val="Normal1linespace"/>
              <w:widowControl w:val="0"/>
              <w:jc w:val="left"/>
            </w:pPr>
            <w:r>
              <w:t>Cases cited:</w:t>
            </w:r>
          </w:p>
        </w:tc>
        <w:tc>
          <w:tcPr>
            <w:tcW w:w="5989" w:type="dxa"/>
            <w:shd w:val="clear" w:color="auto" w:fill="auto"/>
          </w:tcPr>
          <w:p w14:paraId="27309E8F" w14:textId="77777777" w:rsidR="002A30BE" w:rsidRPr="002A30BE" w:rsidRDefault="002A30BE" w:rsidP="00D82620">
            <w:pPr>
              <w:pStyle w:val="CasesLegislationAppealFrom"/>
              <w:spacing w:after="60"/>
            </w:pPr>
            <w:bookmarkStart w:id="4" w:name="Cases_Cited"/>
            <w:r w:rsidRPr="002A30BE">
              <w:rPr>
                <w:i/>
              </w:rPr>
              <w:t>Advance (NSW) Insurance Agencies Pty Ltd v Matthews</w:t>
            </w:r>
            <w:r w:rsidRPr="002A30BE">
              <w:t xml:space="preserve"> (1989) 166 CLR 606</w:t>
            </w:r>
          </w:p>
          <w:p w14:paraId="0F3FA8FF" w14:textId="77777777" w:rsidR="002A30BE" w:rsidRPr="002A30BE" w:rsidRDefault="002A30BE" w:rsidP="00D82620">
            <w:pPr>
              <w:pStyle w:val="CasesLegislationAppealFrom"/>
              <w:spacing w:after="60"/>
            </w:pPr>
            <w:r w:rsidRPr="002A30BE">
              <w:rPr>
                <w:i/>
              </w:rPr>
              <w:t xml:space="preserve">Alexander </w:t>
            </w:r>
            <w:proofErr w:type="spellStart"/>
            <w:r w:rsidRPr="002A30BE">
              <w:rPr>
                <w:i/>
              </w:rPr>
              <w:t>Stenhouse</w:t>
            </w:r>
            <w:proofErr w:type="spellEnd"/>
            <w:r w:rsidRPr="002A30BE">
              <w:rPr>
                <w:i/>
              </w:rPr>
              <w:t xml:space="preserve"> Ltd v </w:t>
            </w:r>
            <w:proofErr w:type="spellStart"/>
            <w:r w:rsidRPr="002A30BE">
              <w:rPr>
                <w:i/>
              </w:rPr>
              <w:t>Austcam</w:t>
            </w:r>
            <w:proofErr w:type="spellEnd"/>
            <w:r w:rsidRPr="002A30BE">
              <w:rPr>
                <w:i/>
              </w:rPr>
              <w:t xml:space="preserve"> Investments Pty Ltd </w:t>
            </w:r>
            <w:r w:rsidRPr="002A30BE">
              <w:t>(1993) 67 ALJR 421</w:t>
            </w:r>
          </w:p>
          <w:p w14:paraId="1842F856" w14:textId="77777777" w:rsidR="002A30BE" w:rsidRPr="002A30BE" w:rsidRDefault="002A30BE" w:rsidP="00D82620">
            <w:pPr>
              <w:pStyle w:val="CasesLegislationAppealFrom"/>
              <w:spacing w:after="60"/>
            </w:pPr>
            <w:r w:rsidRPr="002A30BE">
              <w:rPr>
                <w:i/>
              </w:rPr>
              <w:t xml:space="preserve">Carter v Boehm </w:t>
            </w:r>
            <w:r w:rsidRPr="002A30BE">
              <w:t>(1776) 3 Burr 1905</w:t>
            </w:r>
            <w:r>
              <w:t xml:space="preserve">; </w:t>
            </w:r>
            <w:r w:rsidRPr="002A30BE">
              <w:t>97 ER 1162</w:t>
            </w:r>
          </w:p>
          <w:p w14:paraId="5C3DA979" w14:textId="77777777" w:rsidR="002A30BE" w:rsidRPr="002A30BE" w:rsidRDefault="002A30BE" w:rsidP="00D82620">
            <w:pPr>
              <w:pStyle w:val="CasesLegislationAppealFrom"/>
              <w:spacing w:after="60"/>
            </w:pPr>
            <w:r w:rsidRPr="002A30BE">
              <w:rPr>
                <w:i/>
              </w:rPr>
              <w:t>CGU Insurance Ltd v AMP Financial Planning Pty Ltd</w:t>
            </w:r>
            <w:r w:rsidRPr="002A30BE">
              <w:t xml:space="preserve"> (2007) 235 CLR 1</w:t>
            </w:r>
          </w:p>
          <w:p w14:paraId="449B6392" w14:textId="77777777" w:rsidR="002A30BE" w:rsidRPr="002A30BE" w:rsidRDefault="002A30BE" w:rsidP="00D82620">
            <w:pPr>
              <w:pStyle w:val="CasesLegislationAppealFrom"/>
              <w:spacing w:after="60"/>
            </w:pPr>
            <w:r w:rsidRPr="002A30BE">
              <w:rPr>
                <w:i/>
              </w:rPr>
              <w:t>Chardon v Bradley</w:t>
            </w:r>
            <w:r w:rsidRPr="002A30BE">
              <w:t xml:space="preserve"> [2017] QCA 314</w:t>
            </w:r>
          </w:p>
          <w:p w14:paraId="18479F00" w14:textId="77777777" w:rsidR="002A30BE" w:rsidRPr="002A30BE" w:rsidRDefault="002A30BE" w:rsidP="00D82620">
            <w:pPr>
              <w:pStyle w:val="CasesLegislationAppealFrom"/>
              <w:spacing w:after="60"/>
            </w:pPr>
            <w:proofErr w:type="spellStart"/>
            <w:r w:rsidRPr="002A30BE">
              <w:rPr>
                <w:i/>
              </w:rPr>
              <w:t>Duncombe</w:t>
            </w:r>
            <w:proofErr w:type="spellEnd"/>
            <w:r w:rsidRPr="002A30BE">
              <w:rPr>
                <w:i/>
              </w:rPr>
              <w:t xml:space="preserve"> v Porter</w:t>
            </w:r>
            <w:r w:rsidRPr="002A30BE">
              <w:t xml:space="preserve"> (1953) 90 CLR 295</w:t>
            </w:r>
          </w:p>
          <w:p w14:paraId="0EAB7701" w14:textId="77777777" w:rsidR="002A30BE" w:rsidRPr="002A30BE" w:rsidRDefault="002A30BE" w:rsidP="00D82620">
            <w:pPr>
              <w:pStyle w:val="CasesLegislationAppealFrom"/>
              <w:spacing w:after="60"/>
            </w:pPr>
            <w:proofErr w:type="spellStart"/>
            <w:r w:rsidRPr="002A30BE">
              <w:rPr>
                <w:i/>
              </w:rPr>
              <w:t>Ecosse</w:t>
            </w:r>
            <w:proofErr w:type="spellEnd"/>
            <w:r w:rsidRPr="002A30BE">
              <w:rPr>
                <w:i/>
              </w:rPr>
              <w:t xml:space="preserve"> Property Holdings Pty Ltd v Gee Dee Nominees Pty Ltd</w:t>
            </w:r>
            <w:r w:rsidRPr="002A30BE">
              <w:t xml:space="preserve"> (2017) 343 ALR 58</w:t>
            </w:r>
          </w:p>
          <w:p w14:paraId="63011716" w14:textId="77777777" w:rsidR="002A30BE" w:rsidRDefault="002A30BE" w:rsidP="00D82620">
            <w:pPr>
              <w:pStyle w:val="CasesLegislationAppealFrom"/>
              <w:spacing w:after="60"/>
            </w:pPr>
            <w:r w:rsidRPr="002A30BE">
              <w:rPr>
                <w:i/>
              </w:rPr>
              <w:t>Electricity Generation Corporation t/as Verve Energy v Woodside Energy Ltd</w:t>
            </w:r>
            <w:r w:rsidRPr="002A30BE">
              <w:t xml:space="preserve"> (2014) 251 CLR 640</w:t>
            </w:r>
          </w:p>
          <w:p w14:paraId="3BDF89E6" w14:textId="77777777" w:rsidR="00E54202" w:rsidRPr="002A30BE" w:rsidRDefault="00E54202" w:rsidP="00D82620">
            <w:pPr>
              <w:pStyle w:val="CasesLegislationAppealFrom"/>
              <w:spacing w:after="60"/>
            </w:pPr>
            <w:r w:rsidRPr="00E52FED">
              <w:rPr>
                <w:i/>
              </w:rPr>
              <w:lastRenderedPageBreak/>
              <w:t xml:space="preserve">Environment Protection Authority v Caltex Refining Co Pty Ltd </w:t>
            </w:r>
            <w:r w:rsidRPr="00E52FED">
              <w:t>(1993) 178 CLR 477</w:t>
            </w:r>
          </w:p>
          <w:p w14:paraId="09BA0D68" w14:textId="77777777" w:rsidR="002A30BE" w:rsidRPr="002A30BE" w:rsidRDefault="002A30BE" w:rsidP="00D82620">
            <w:pPr>
              <w:pStyle w:val="CasesLegislationAppealFrom"/>
              <w:spacing w:after="60"/>
            </w:pPr>
            <w:r w:rsidRPr="002A30BE">
              <w:rPr>
                <w:i/>
              </w:rPr>
              <w:t>Franklins Pty Ltd v Metcash Ltd</w:t>
            </w:r>
            <w:r w:rsidRPr="002A30BE">
              <w:t xml:space="preserve"> [2009] 76 NSWLR 603</w:t>
            </w:r>
          </w:p>
          <w:p w14:paraId="41A101E2" w14:textId="77777777" w:rsidR="002A30BE" w:rsidRPr="002A30BE" w:rsidRDefault="002A30BE" w:rsidP="00D82620">
            <w:pPr>
              <w:pStyle w:val="CasesLegislationAppealFrom"/>
              <w:spacing w:after="60"/>
            </w:pPr>
            <w:r w:rsidRPr="002A30BE">
              <w:rPr>
                <w:i/>
              </w:rPr>
              <w:t xml:space="preserve">HIH Casualty and General Insurance Ltd v Chase Manhattan Bank </w:t>
            </w:r>
            <w:r w:rsidRPr="002A30BE">
              <w:t>[2003] 2 Lloyd’s Rep 61</w:t>
            </w:r>
          </w:p>
          <w:p w14:paraId="58D2104B" w14:textId="77777777" w:rsidR="002A30BE" w:rsidRPr="002A30BE" w:rsidRDefault="002A30BE" w:rsidP="00D82620">
            <w:pPr>
              <w:pStyle w:val="CasesLegislationAppealFrom"/>
              <w:spacing w:after="60"/>
            </w:pPr>
            <w:r w:rsidRPr="002A30BE">
              <w:rPr>
                <w:i/>
              </w:rPr>
              <w:t xml:space="preserve">Jones v Provincial Insurance Co </w:t>
            </w:r>
            <w:r w:rsidRPr="002A30BE">
              <w:t>(1857) 3 CBNS 65</w:t>
            </w:r>
            <w:r>
              <w:t xml:space="preserve">; </w:t>
            </w:r>
            <w:r w:rsidRPr="002A30BE">
              <w:t>140 ER 662</w:t>
            </w:r>
          </w:p>
          <w:p w14:paraId="0DC7FB3F" w14:textId="77777777" w:rsidR="002A30BE" w:rsidRPr="002A30BE" w:rsidRDefault="002A30BE" w:rsidP="00D82620">
            <w:pPr>
              <w:pStyle w:val="CasesLegislationAppealFrom"/>
              <w:spacing w:after="60"/>
            </w:pPr>
            <w:r w:rsidRPr="002A30BE">
              <w:rPr>
                <w:i/>
              </w:rPr>
              <w:t xml:space="preserve">McCann v Switzerland Insurance Australia Ltd </w:t>
            </w:r>
            <w:r w:rsidRPr="002A30BE">
              <w:t>(2000) 203 CLR 579</w:t>
            </w:r>
          </w:p>
          <w:p w14:paraId="4BFE45E0" w14:textId="77777777" w:rsidR="002A30BE" w:rsidRPr="002A30BE" w:rsidRDefault="002A30BE" w:rsidP="00D82620">
            <w:pPr>
              <w:pStyle w:val="CasesLegislationAppealFrom"/>
              <w:spacing w:after="60"/>
            </w:pPr>
            <w:r w:rsidRPr="002A30BE">
              <w:rPr>
                <w:i/>
              </w:rPr>
              <w:t xml:space="preserve">Mount Bruce Mining Pty Ltd v Wright Prospecting Pty Ltd </w:t>
            </w:r>
            <w:r w:rsidRPr="002A30BE">
              <w:t>(2015) 256 CLR 104</w:t>
            </w:r>
          </w:p>
          <w:p w14:paraId="74CB7FBC" w14:textId="77777777" w:rsidR="002A30BE" w:rsidRPr="002A30BE" w:rsidRDefault="002A30BE" w:rsidP="00D82620">
            <w:pPr>
              <w:pStyle w:val="CasesLegislationAppealFrom"/>
              <w:spacing w:after="60"/>
            </w:pPr>
            <w:r w:rsidRPr="002A30BE">
              <w:rPr>
                <w:i/>
              </w:rPr>
              <w:t xml:space="preserve">National General Insurance Co Ltd v Chick </w:t>
            </w:r>
            <w:r w:rsidRPr="002A30BE">
              <w:t xml:space="preserve">(1984) 3 ANZ Ins </w:t>
            </w:r>
            <w:proofErr w:type="spellStart"/>
            <w:r w:rsidRPr="002A30BE">
              <w:t>Cas</w:t>
            </w:r>
            <w:proofErr w:type="spellEnd"/>
            <w:r w:rsidRPr="002A30BE">
              <w:t xml:space="preserve"> 60-579</w:t>
            </w:r>
          </w:p>
          <w:p w14:paraId="3DF03593" w14:textId="77777777" w:rsidR="002A30BE" w:rsidRPr="002A30BE" w:rsidRDefault="002A30BE" w:rsidP="00D82620">
            <w:pPr>
              <w:pStyle w:val="CasesLegislationAppealFrom"/>
              <w:spacing w:after="60"/>
            </w:pPr>
            <w:r w:rsidRPr="002A30BE">
              <w:rPr>
                <w:i/>
              </w:rPr>
              <w:t xml:space="preserve">Permanent Trustee Australia Limited v FAI General Insurance Company Limited (in liq) </w:t>
            </w:r>
            <w:r w:rsidRPr="002A30BE">
              <w:t>(2003) 214 CLR 514</w:t>
            </w:r>
          </w:p>
          <w:p w14:paraId="43441FFE" w14:textId="77777777" w:rsidR="002A30BE" w:rsidRPr="002A30BE" w:rsidRDefault="002A30BE" w:rsidP="00D82620">
            <w:pPr>
              <w:pStyle w:val="CasesLegislationAppealFrom"/>
              <w:spacing w:after="60"/>
            </w:pPr>
            <w:proofErr w:type="spellStart"/>
            <w:r w:rsidRPr="002A30BE">
              <w:rPr>
                <w:i/>
              </w:rPr>
              <w:t>Simic</w:t>
            </w:r>
            <w:proofErr w:type="spellEnd"/>
            <w:r w:rsidRPr="002A30BE">
              <w:rPr>
                <w:i/>
              </w:rPr>
              <w:t xml:space="preserve"> v New South Wales Land and Housing Corp</w:t>
            </w:r>
            <w:r w:rsidRPr="002A30BE">
              <w:t xml:space="preserve"> (2016) 260 CLR 85</w:t>
            </w:r>
          </w:p>
          <w:p w14:paraId="278C3A14" w14:textId="7B84E764" w:rsidR="002A30BE" w:rsidRDefault="002A30BE" w:rsidP="00D82620">
            <w:pPr>
              <w:pStyle w:val="CasesLegislationAppealFrom"/>
              <w:spacing w:after="60"/>
            </w:pPr>
            <w:r w:rsidRPr="002A30BE">
              <w:rPr>
                <w:i/>
              </w:rPr>
              <w:t>Southern Cross Assurance Co Ltd v Australian Provincial Assurance Assn Ltd</w:t>
            </w:r>
            <w:r w:rsidRPr="002A30BE">
              <w:t xml:space="preserve"> (1939) 39 SR (NSW) 174</w:t>
            </w:r>
            <w:r>
              <w:t xml:space="preserve">; </w:t>
            </w:r>
            <w:r w:rsidRPr="002A30BE">
              <w:t>56 WN (NSW) 77</w:t>
            </w:r>
          </w:p>
          <w:p w14:paraId="34ADCEE1" w14:textId="3C4DB1A5" w:rsidR="008072A5" w:rsidRPr="002A30BE" w:rsidRDefault="008072A5" w:rsidP="00D82620">
            <w:pPr>
              <w:pStyle w:val="CasesLegislationAppealFrom"/>
              <w:spacing w:after="60"/>
            </w:pPr>
            <w:r w:rsidRPr="008072A5">
              <w:rPr>
                <w:i/>
              </w:rPr>
              <w:t xml:space="preserve">Todd v </w:t>
            </w:r>
            <w:proofErr w:type="spellStart"/>
            <w:r w:rsidRPr="008072A5">
              <w:rPr>
                <w:i/>
              </w:rPr>
              <w:t>Alterra</w:t>
            </w:r>
            <w:proofErr w:type="spellEnd"/>
            <w:r w:rsidRPr="008072A5">
              <w:rPr>
                <w:i/>
              </w:rPr>
              <w:t xml:space="preserve"> at Lloyd’s Ltd </w:t>
            </w:r>
            <w:r w:rsidRPr="008072A5">
              <w:t>(2016) 239 FCR 12</w:t>
            </w:r>
          </w:p>
          <w:p w14:paraId="499CCCD5" w14:textId="77777777" w:rsidR="002A30BE" w:rsidRPr="002A30BE" w:rsidRDefault="002A30BE" w:rsidP="00D82620">
            <w:pPr>
              <w:pStyle w:val="CasesLegislationAppealFrom"/>
              <w:spacing w:after="60"/>
            </w:pPr>
            <w:r w:rsidRPr="002A30BE">
              <w:rPr>
                <w:i/>
              </w:rPr>
              <w:t xml:space="preserve">Toll (FGCT) Pty Ltd v Alphapharm Pty Ltd </w:t>
            </w:r>
            <w:r w:rsidRPr="002A30BE">
              <w:t>(2004) 219 CLR 165</w:t>
            </w:r>
          </w:p>
          <w:p w14:paraId="1F6AF0BB" w14:textId="77777777" w:rsidR="002A30BE" w:rsidRPr="002A30BE" w:rsidRDefault="002A30BE" w:rsidP="00D82620">
            <w:pPr>
              <w:pStyle w:val="CasesLegislationAppealFrom"/>
              <w:spacing w:after="60"/>
            </w:pPr>
            <w:r w:rsidRPr="002A30BE">
              <w:rPr>
                <w:i/>
              </w:rPr>
              <w:t xml:space="preserve">Weir Services Australia Pty Ltd v AXA Corporate Solutions Assurance </w:t>
            </w:r>
            <w:r w:rsidRPr="002A30BE">
              <w:t>[2018] NSWCA 100</w:t>
            </w:r>
          </w:p>
          <w:p w14:paraId="42CC9489" w14:textId="77777777" w:rsidR="002A30BE" w:rsidRDefault="002A30BE" w:rsidP="00D82620">
            <w:pPr>
              <w:pStyle w:val="CasesLegislationAppealFrom"/>
              <w:spacing w:after="60"/>
            </w:pPr>
            <w:proofErr w:type="spellStart"/>
            <w:r w:rsidRPr="002A30BE">
              <w:rPr>
                <w:i/>
              </w:rPr>
              <w:t>Wilkie</w:t>
            </w:r>
            <w:proofErr w:type="spellEnd"/>
            <w:r w:rsidRPr="002A30BE">
              <w:rPr>
                <w:i/>
              </w:rPr>
              <w:t xml:space="preserve"> v Gordian Runoff Limited</w:t>
            </w:r>
            <w:r w:rsidRPr="002A30BE">
              <w:t xml:space="preserve"> (2005) 221 CLR 522</w:t>
            </w:r>
            <w:bookmarkEnd w:id="4"/>
          </w:p>
          <w:p w14:paraId="58DEE5B2" w14:textId="77777777" w:rsidR="0089010C" w:rsidRDefault="0089010C" w:rsidP="00D82620">
            <w:pPr>
              <w:pStyle w:val="CasesLegislationAppealFrom"/>
              <w:spacing w:after="60"/>
            </w:pPr>
          </w:p>
          <w:p w14:paraId="64A1F83E" w14:textId="0029614C" w:rsidR="0089010C" w:rsidRPr="0089010C" w:rsidRDefault="0089010C" w:rsidP="00D82620">
            <w:pPr>
              <w:pStyle w:val="CasesLegislationAppealFrom"/>
              <w:spacing w:after="60"/>
            </w:pPr>
            <w:r>
              <w:t xml:space="preserve">Derrington D and Ashton R, </w:t>
            </w:r>
            <w:r>
              <w:rPr>
                <w:i/>
              </w:rPr>
              <w:t xml:space="preserve">The Law of Liability Insurance </w:t>
            </w:r>
            <w:r>
              <w:t>(3rd ed, LexisNexis, 2013)</w:t>
            </w:r>
          </w:p>
        </w:tc>
      </w:tr>
      <w:tr w:rsidR="000B5AD5" w:rsidRPr="000B5AD5" w14:paraId="4773AF7B" w14:textId="77777777" w:rsidTr="000B5AD5">
        <w:tc>
          <w:tcPr>
            <w:tcW w:w="3085" w:type="dxa"/>
            <w:shd w:val="clear" w:color="auto" w:fill="auto"/>
          </w:tcPr>
          <w:p w14:paraId="5F143BAA" w14:textId="77777777" w:rsidR="000B5AD5" w:rsidRPr="000B5AD5" w:rsidRDefault="000B5AD5" w:rsidP="000B5AD5">
            <w:pPr>
              <w:pStyle w:val="Normal1linespace"/>
              <w:jc w:val="left"/>
            </w:pPr>
          </w:p>
        </w:tc>
        <w:tc>
          <w:tcPr>
            <w:tcW w:w="5989" w:type="dxa"/>
            <w:shd w:val="clear" w:color="auto" w:fill="auto"/>
          </w:tcPr>
          <w:p w14:paraId="2641DACD" w14:textId="77777777" w:rsidR="000B5AD5" w:rsidRPr="000B5AD5" w:rsidRDefault="000B5AD5" w:rsidP="000B5AD5">
            <w:pPr>
              <w:pStyle w:val="Normal1linespace"/>
              <w:jc w:val="left"/>
            </w:pPr>
          </w:p>
        </w:tc>
      </w:tr>
      <w:tr w:rsidR="000B5AD5" w:rsidRPr="000B5AD5" w14:paraId="25DF78CC" w14:textId="77777777" w:rsidTr="000B5AD5">
        <w:tc>
          <w:tcPr>
            <w:tcW w:w="3085" w:type="dxa"/>
            <w:shd w:val="clear" w:color="auto" w:fill="auto"/>
          </w:tcPr>
          <w:p w14:paraId="3C1FE6B0" w14:textId="77777777" w:rsidR="000B5AD5" w:rsidRPr="000B5AD5" w:rsidRDefault="000B5AD5" w:rsidP="000B5AD5">
            <w:pPr>
              <w:pStyle w:val="Normal1linespace"/>
              <w:jc w:val="left"/>
            </w:pPr>
            <w:bookmarkStart w:id="5" w:name="CounselDate" w:colFirst="0" w:colLast="2"/>
            <w:r w:rsidRPr="000B5AD5">
              <w:t>Date of hearing:</w:t>
            </w:r>
          </w:p>
        </w:tc>
        <w:tc>
          <w:tcPr>
            <w:tcW w:w="5989" w:type="dxa"/>
            <w:shd w:val="clear" w:color="auto" w:fill="auto"/>
          </w:tcPr>
          <w:p w14:paraId="2EE1C215" w14:textId="77777777" w:rsidR="000B5AD5" w:rsidRPr="000B5AD5" w:rsidRDefault="00142FD0" w:rsidP="000B5AD5">
            <w:pPr>
              <w:pStyle w:val="Normal1linespace"/>
              <w:jc w:val="left"/>
            </w:pPr>
            <w:bookmarkStart w:id="6" w:name="HearingDate"/>
            <w:r>
              <w:t>20 June 2018</w:t>
            </w:r>
            <w:bookmarkEnd w:id="6"/>
          </w:p>
        </w:tc>
      </w:tr>
      <w:bookmarkEnd w:id="5"/>
      <w:tr w:rsidR="000B5AD5" w14:paraId="4AA9891E" w14:textId="77777777" w:rsidTr="000B5AD5">
        <w:tc>
          <w:tcPr>
            <w:tcW w:w="3085" w:type="dxa"/>
            <w:shd w:val="clear" w:color="auto" w:fill="auto"/>
          </w:tcPr>
          <w:p w14:paraId="0929E36F" w14:textId="77777777" w:rsidR="000B5AD5" w:rsidRDefault="000B5AD5" w:rsidP="000B5AD5">
            <w:pPr>
              <w:pStyle w:val="Normal1linespace"/>
              <w:widowControl w:val="0"/>
              <w:jc w:val="left"/>
            </w:pPr>
          </w:p>
        </w:tc>
        <w:tc>
          <w:tcPr>
            <w:tcW w:w="5989" w:type="dxa"/>
            <w:shd w:val="clear" w:color="auto" w:fill="auto"/>
          </w:tcPr>
          <w:p w14:paraId="2706CB14" w14:textId="77777777" w:rsidR="000B5AD5" w:rsidRDefault="000B5AD5" w:rsidP="000B5AD5">
            <w:pPr>
              <w:pStyle w:val="Normal1linespace"/>
              <w:widowControl w:val="0"/>
              <w:jc w:val="left"/>
            </w:pPr>
          </w:p>
        </w:tc>
      </w:tr>
      <w:tr w:rsidR="000B5AD5" w14:paraId="58F4A393" w14:textId="77777777" w:rsidTr="000B5AD5">
        <w:tc>
          <w:tcPr>
            <w:tcW w:w="3085" w:type="dxa"/>
            <w:shd w:val="clear" w:color="auto" w:fill="auto"/>
          </w:tcPr>
          <w:p w14:paraId="64FE2F58" w14:textId="77777777" w:rsidR="000B5AD5" w:rsidRDefault="000B5AD5" w:rsidP="000B5AD5">
            <w:pPr>
              <w:pStyle w:val="Normal1linespace"/>
              <w:widowControl w:val="0"/>
              <w:jc w:val="left"/>
            </w:pPr>
            <w:r>
              <w:t>Registry:</w:t>
            </w:r>
          </w:p>
        </w:tc>
        <w:tc>
          <w:tcPr>
            <w:tcW w:w="5989" w:type="dxa"/>
            <w:shd w:val="clear" w:color="auto" w:fill="auto"/>
          </w:tcPr>
          <w:p w14:paraId="066B2EF2" w14:textId="01E423C8" w:rsidR="000B5AD5" w:rsidRPr="00F17599" w:rsidRDefault="00D36480" w:rsidP="000B5AD5">
            <w:pPr>
              <w:pStyle w:val="Normal1linespace"/>
              <w:widowControl w:val="0"/>
              <w:jc w:val="left"/>
            </w:pPr>
            <w:r>
              <w:fldChar w:fldCharType="begin"/>
            </w:r>
            <w:r>
              <w:instrText xml:space="preserve"> DOCPROPERTY  Registry </w:instrText>
            </w:r>
            <w:r>
              <w:fldChar w:fldCharType="separate"/>
            </w:r>
            <w:r w:rsidR="00CE0857">
              <w:t>New South Wales</w:t>
            </w:r>
            <w:r>
              <w:fldChar w:fldCharType="end"/>
            </w:r>
          </w:p>
        </w:tc>
      </w:tr>
      <w:tr w:rsidR="000B5AD5" w14:paraId="23C9B3FE" w14:textId="77777777" w:rsidTr="000B5AD5">
        <w:tc>
          <w:tcPr>
            <w:tcW w:w="3085" w:type="dxa"/>
            <w:shd w:val="clear" w:color="auto" w:fill="auto"/>
          </w:tcPr>
          <w:p w14:paraId="3C3417F1" w14:textId="77777777" w:rsidR="000B5AD5" w:rsidRDefault="000B5AD5" w:rsidP="000B5AD5">
            <w:pPr>
              <w:pStyle w:val="Normal1linespace"/>
              <w:widowControl w:val="0"/>
              <w:jc w:val="left"/>
            </w:pPr>
          </w:p>
        </w:tc>
        <w:tc>
          <w:tcPr>
            <w:tcW w:w="5989" w:type="dxa"/>
            <w:shd w:val="clear" w:color="auto" w:fill="auto"/>
          </w:tcPr>
          <w:p w14:paraId="358754B7" w14:textId="77777777" w:rsidR="000B5AD5" w:rsidRDefault="000B5AD5" w:rsidP="000B5AD5">
            <w:pPr>
              <w:pStyle w:val="Normal1linespace"/>
              <w:widowControl w:val="0"/>
              <w:jc w:val="left"/>
            </w:pPr>
          </w:p>
        </w:tc>
      </w:tr>
      <w:tr w:rsidR="000B5AD5" w14:paraId="71EEE2C6" w14:textId="77777777" w:rsidTr="000B5AD5">
        <w:tc>
          <w:tcPr>
            <w:tcW w:w="3085" w:type="dxa"/>
            <w:shd w:val="clear" w:color="auto" w:fill="auto"/>
          </w:tcPr>
          <w:p w14:paraId="0C0AE401" w14:textId="77777777" w:rsidR="000B5AD5" w:rsidRDefault="000B5AD5" w:rsidP="000B5AD5">
            <w:pPr>
              <w:pStyle w:val="Normal1linespace"/>
              <w:widowControl w:val="0"/>
              <w:jc w:val="left"/>
            </w:pPr>
            <w:r>
              <w:t>Division:</w:t>
            </w:r>
          </w:p>
        </w:tc>
        <w:tc>
          <w:tcPr>
            <w:tcW w:w="5989" w:type="dxa"/>
            <w:shd w:val="clear" w:color="auto" w:fill="auto"/>
          </w:tcPr>
          <w:p w14:paraId="18D9ADD7" w14:textId="56BA7965" w:rsidR="000B5AD5" w:rsidRPr="00F17599" w:rsidRDefault="00D36480" w:rsidP="000B5AD5">
            <w:pPr>
              <w:pStyle w:val="Normal1linespace"/>
              <w:widowControl w:val="0"/>
              <w:jc w:val="left"/>
            </w:pPr>
            <w:r>
              <w:fldChar w:fldCharType="begin"/>
            </w:r>
            <w:r>
              <w:instrText xml:space="preserve"> DOCPROPERTY  Division </w:instrText>
            </w:r>
            <w:r>
              <w:fldChar w:fldCharType="separate"/>
            </w:r>
            <w:r w:rsidR="00CE0857">
              <w:t>General Division</w:t>
            </w:r>
            <w:r>
              <w:fldChar w:fldCharType="end"/>
            </w:r>
          </w:p>
        </w:tc>
      </w:tr>
      <w:tr w:rsidR="000B5AD5" w14:paraId="4D5F9C2C" w14:textId="77777777" w:rsidTr="000B5AD5">
        <w:tc>
          <w:tcPr>
            <w:tcW w:w="3085" w:type="dxa"/>
            <w:shd w:val="clear" w:color="auto" w:fill="auto"/>
          </w:tcPr>
          <w:p w14:paraId="747EC5AE" w14:textId="77777777" w:rsidR="000B5AD5" w:rsidRDefault="000B5AD5" w:rsidP="000B5AD5">
            <w:pPr>
              <w:pStyle w:val="Normal1linespace"/>
              <w:widowControl w:val="0"/>
              <w:jc w:val="left"/>
            </w:pPr>
          </w:p>
        </w:tc>
        <w:tc>
          <w:tcPr>
            <w:tcW w:w="5989" w:type="dxa"/>
            <w:shd w:val="clear" w:color="auto" w:fill="auto"/>
          </w:tcPr>
          <w:p w14:paraId="3E7298E0" w14:textId="77777777" w:rsidR="000B5AD5" w:rsidRPr="00F17599" w:rsidRDefault="000B5AD5" w:rsidP="000B5AD5">
            <w:pPr>
              <w:pStyle w:val="Normal1linespace"/>
              <w:widowControl w:val="0"/>
              <w:jc w:val="left"/>
              <w:rPr>
                <w:b/>
              </w:rPr>
            </w:pPr>
          </w:p>
        </w:tc>
      </w:tr>
      <w:tr w:rsidR="000B5AD5" w14:paraId="74DDF09D" w14:textId="77777777" w:rsidTr="000B5AD5">
        <w:tc>
          <w:tcPr>
            <w:tcW w:w="3085" w:type="dxa"/>
            <w:shd w:val="clear" w:color="auto" w:fill="auto"/>
          </w:tcPr>
          <w:p w14:paraId="67F712CF" w14:textId="77777777" w:rsidR="000B5AD5" w:rsidRDefault="000B5AD5" w:rsidP="000B5AD5">
            <w:pPr>
              <w:pStyle w:val="Normal1linespace"/>
              <w:widowControl w:val="0"/>
              <w:jc w:val="left"/>
            </w:pPr>
            <w:r>
              <w:t>National Practice Area:</w:t>
            </w:r>
          </w:p>
        </w:tc>
        <w:tc>
          <w:tcPr>
            <w:tcW w:w="5989" w:type="dxa"/>
            <w:shd w:val="clear" w:color="auto" w:fill="auto"/>
          </w:tcPr>
          <w:p w14:paraId="0C996C57" w14:textId="27E1AF87" w:rsidR="000B5AD5" w:rsidRPr="00F17599" w:rsidRDefault="00D36480" w:rsidP="000B5AD5">
            <w:pPr>
              <w:pStyle w:val="Normal1linespace"/>
              <w:widowControl w:val="0"/>
              <w:jc w:val="left"/>
              <w:rPr>
                <w:b/>
              </w:rPr>
            </w:pPr>
            <w:r>
              <w:fldChar w:fldCharType="begin"/>
            </w:r>
            <w:r>
              <w:instrText xml:space="preserve"> DOCPROPERTY  "Practice Area"  \* MERGEFORMAT </w:instrText>
            </w:r>
            <w:r>
              <w:fldChar w:fldCharType="separate"/>
            </w:r>
            <w:r w:rsidR="00CE0857">
              <w:t>Commercial and Corporations</w:t>
            </w:r>
            <w:r>
              <w:fldChar w:fldCharType="end"/>
            </w:r>
          </w:p>
        </w:tc>
      </w:tr>
      <w:tr w:rsidR="000B5AD5" w14:paraId="5CBDF9F8" w14:textId="77777777" w:rsidTr="000B5AD5">
        <w:tc>
          <w:tcPr>
            <w:tcW w:w="3085" w:type="dxa"/>
            <w:shd w:val="clear" w:color="auto" w:fill="auto"/>
          </w:tcPr>
          <w:p w14:paraId="01649AEB" w14:textId="77777777" w:rsidR="000B5AD5" w:rsidRDefault="000B5AD5" w:rsidP="000B5AD5">
            <w:pPr>
              <w:pStyle w:val="Normal1linespace"/>
              <w:widowControl w:val="0"/>
              <w:jc w:val="left"/>
            </w:pPr>
          </w:p>
        </w:tc>
        <w:tc>
          <w:tcPr>
            <w:tcW w:w="5989" w:type="dxa"/>
            <w:shd w:val="clear" w:color="auto" w:fill="auto"/>
          </w:tcPr>
          <w:p w14:paraId="0B97E1CC" w14:textId="77777777" w:rsidR="000B5AD5" w:rsidRDefault="000B5AD5" w:rsidP="000B5AD5">
            <w:pPr>
              <w:pStyle w:val="Normal1linespace"/>
              <w:widowControl w:val="0"/>
              <w:jc w:val="left"/>
            </w:pPr>
          </w:p>
        </w:tc>
      </w:tr>
      <w:tr w:rsidR="000B5AD5" w14:paraId="657C5F83" w14:textId="77777777" w:rsidTr="000B5AD5">
        <w:tc>
          <w:tcPr>
            <w:tcW w:w="3085" w:type="dxa"/>
            <w:shd w:val="clear" w:color="auto" w:fill="auto"/>
          </w:tcPr>
          <w:p w14:paraId="7F2B8089" w14:textId="77777777" w:rsidR="000B5AD5" w:rsidRDefault="000B5AD5" w:rsidP="000B5AD5">
            <w:pPr>
              <w:pStyle w:val="Normal1linespace"/>
              <w:widowControl w:val="0"/>
              <w:jc w:val="left"/>
            </w:pPr>
            <w:r>
              <w:t>Sub-area:</w:t>
            </w:r>
          </w:p>
        </w:tc>
        <w:tc>
          <w:tcPr>
            <w:tcW w:w="5989" w:type="dxa"/>
            <w:shd w:val="clear" w:color="auto" w:fill="auto"/>
          </w:tcPr>
          <w:p w14:paraId="7E134070" w14:textId="5A2F4D36" w:rsidR="000B5AD5" w:rsidRDefault="000C3734" w:rsidP="000B5AD5">
            <w:pPr>
              <w:pStyle w:val="Normal1linespace"/>
              <w:widowControl w:val="0"/>
              <w:jc w:val="left"/>
            </w:pPr>
            <w:r>
              <w:rPr>
                <w:bCs/>
                <w:lang w:val="en-US"/>
              </w:rPr>
              <w:fldChar w:fldCharType="begin"/>
            </w:r>
            <w:r>
              <w:rPr>
                <w:bCs/>
                <w:lang w:val="en-US"/>
              </w:rPr>
              <w:instrText xml:space="preserve"> DOCPROPERTY  "Sub Area"  \* MERGEFORMAT </w:instrText>
            </w:r>
            <w:r>
              <w:rPr>
                <w:bCs/>
                <w:lang w:val="en-US"/>
              </w:rPr>
              <w:fldChar w:fldCharType="separate"/>
            </w:r>
            <w:r w:rsidR="00CE0857">
              <w:rPr>
                <w:bCs/>
                <w:lang w:val="en-US"/>
              </w:rPr>
              <w:t xml:space="preserve">Commercial Contracts, </w:t>
            </w:r>
            <w:r w:rsidR="00CE0857" w:rsidRPr="00CE0857">
              <w:t>Banking, Finance and Insurance</w:t>
            </w:r>
            <w:r>
              <w:fldChar w:fldCharType="end"/>
            </w:r>
          </w:p>
          <w:p w14:paraId="42EEFD68" w14:textId="714DBE6C" w:rsidR="00504550" w:rsidRPr="00435936" w:rsidRDefault="00504550" w:rsidP="000B5AD5">
            <w:pPr>
              <w:pStyle w:val="Normal1linespace"/>
              <w:widowControl w:val="0"/>
              <w:jc w:val="left"/>
            </w:pPr>
            <w:r>
              <w:t>Insurance List</w:t>
            </w:r>
          </w:p>
        </w:tc>
      </w:tr>
      <w:tr w:rsidR="000B5AD5" w14:paraId="25510170" w14:textId="77777777" w:rsidTr="000B5AD5">
        <w:tc>
          <w:tcPr>
            <w:tcW w:w="3085" w:type="dxa"/>
            <w:shd w:val="clear" w:color="auto" w:fill="auto"/>
          </w:tcPr>
          <w:p w14:paraId="6F691188" w14:textId="77777777" w:rsidR="000B5AD5" w:rsidRDefault="000B5AD5" w:rsidP="000B5AD5">
            <w:pPr>
              <w:pStyle w:val="Normal1linespace"/>
              <w:widowControl w:val="0"/>
              <w:jc w:val="left"/>
            </w:pPr>
          </w:p>
        </w:tc>
        <w:tc>
          <w:tcPr>
            <w:tcW w:w="5989" w:type="dxa"/>
            <w:shd w:val="clear" w:color="auto" w:fill="auto"/>
          </w:tcPr>
          <w:p w14:paraId="2CD292A8" w14:textId="77777777" w:rsidR="000B5AD5" w:rsidRDefault="000B5AD5" w:rsidP="000B5AD5">
            <w:pPr>
              <w:pStyle w:val="Normal1linespace"/>
              <w:widowControl w:val="0"/>
              <w:jc w:val="left"/>
              <w:rPr>
                <w:b/>
              </w:rPr>
            </w:pPr>
          </w:p>
        </w:tc>
      </w:tr>
      <w:tr w:rsidR="000B5AD5" w14:paraId="1A553E30" w14:textId="77777777" w:rsidTr="000B5AD5">
        <w:tc>
          <w:tcPr>
            <w:tcW w:w="3085" w:type="dxa"/>
            <w:shd w:val="clear" w:color="auto" w:fill="auto"/>
          </w:tcPr>
          <w:p w14:paraId="2FB0E753" w14:textId="77777777" w:rsidR="000B5AD5" w:rsidRDefault="000B5AD5" w:rsidP="000B5AD5">
            <w:pPr>
              <w:pStyle w:val="Normal1linespace"/>
              <w:widowControl w:val="0"/>
              <w:jc w:val="left"/>
            </w:pPr>
            <w:r>
              <w:t>Category:</w:t>
            </w:r>
          </w:p>
        </w:tc>
        <w:tc>
          <w:tcPr>
            <w:tcW w:w="5989" w:type="dxa"/>
            <w:shd w:val="clear" w:color="auto" w:fill="auto"/>
          </w:tcPr>
          <w:p w14:paraId="30A7397D" w14:textId="77777777" w:rsidR="000B5AD5" w:rsidRDefault="000B5AD5" w:rsidP="000B5AD5">
            <w:pPr>
              <w:pStyle w:val="Normal1linespace"/>
              <w:widowControl w:val="0"/>
              <w:jc w:val="left"/>
            </w:pPr>
            <w:r w:rsidRPr="000B5AD5">
              <w:t>Catchwords</w:t>
            </w:r>
          </w:p>
        </w:tc>
      </w:tr>
      <w:tr w:rsidR="000B5AD5" w14:paraId="1B9B3E35" w14:textId="77777777" w:rsidTr="000B5AD5">
        <w:tc>
          <w:tcPr>
            <w:tcW w:w="3085" w:type="dxa"/>
            <w:shd w:val="clear" w:color="auto" w:fill="auto"/>
          </w:tcPr>
          <w:p w14:paraId="533F7FBE" w14:textId="77777777" w:rsidR="000B5AD5" w:rsidRDefault="000B5AD5" w:rsidP="000B5AD5">
            <w:pPr>
              <w:pStyle w:val="Normal1linespace"/>
              <w:widowControl w:val="0"/>
              <w:jc w:val="left"/>
            </w:pPr>
          </w:p>
        </w:tc>
        <w:tc>
          <w:tcPr>
            <w:tcW w:w="5989" w:type="dxa"/>
            <w:shd w:val="clear" w:color="auto" w:fill="auto"/>
          </w:tcPr>
          <w:p w14:paraId="461480BA" w14:textId="77777777" w:rsidR="000B5AD5" w:rsidRPr="000B5AD5" w:rsidRDefault="000B5AD5" w:rsidP="000B5AD5">
            <w:pPr>
              <w:pStyle w:val="Normal1linespace"/>
              <w:widowControl w:val="0"/>
              <w:jc w:val="left"/>
              <w:rPr>
                <w:highlight w:val="green"/>
              </w:rPr>
            </w:pPr>
          </w:p>
        </w:tc>
      </w:tr>
      <w:tr w:rsidR="000B5AD5" w14:paraId="35AE6FA1" w14:textId="77777777" w:rsidTr="000B5AD5">
        <w:tc>
          <w:tcPr>
            <w:tcW w:w="3085" w:type="dxa"/>
            <w:shd w:val="clear" w:color="auto" w:fill="auto"/>
          </w:tcPr>
          <w:p w14:paraId="2DAE3A8A" w14:textId="77777777" w:rsidR="000B5AD5" w:rsidRDefault="000B5AD5" w:rsidP="000B5AD5">
            <w:pPr>
              <w:pStyle w:val="Normal1linespace"/>
              <w:widowControl w:val="0"/>
              <w:jc w:val="left"/>
            </w:pPr>
            <w:r>
              <w:t>Number of paragraphs:</w:t>
            </w:r>
          </w:p>
        </w:tc>
        <w:tc>
          <w:tcPr>
            <w:tcW w:w="5989" w:type="dxa"/>
            <w:shd w:val="clear" w:color="auto" w:fill="auto"/>
          </w:tcPr>
          <w:p w14:paraId="10089E52" w14:textId="578C5C35" w:rsidR="000B5AD5" w:rsidRDefault="00095CB4" w:rsidP="000B5AD5">
            <w:pPr>
              <w:pStyle w:val="Normal1linespace"/>
              <w:widowControl w:val="0"/>
              <w:jc w:val="left"/>
            </w:pPr>
            <w:bookmarkStart w:id="7" w:name="PlaceCategoryParagraphs"/>
            <w:r>
              <w:t>83</w:t>
            </w:r>
            <w:bookmarkEnd w:id="7"/>
          </w:p>
        </w:tc>
      </w:tr>
      <w:tr w:rsidR="000B5AD5" w14:paraId="415DFD89" w14:textId="77777777" w:rsidTr="000B5AD5">
        <w:tc>
          <w:tcPr>
            <w:tcW w:w="3085" w:type="dxa"/>
            <w:shd w:val="clear" w:color="auto" w:fill="auto"/>
          </w:tcPr>
          <w:p w14:paraId="7FFD4408" w14:textId="77777777" w:rsidR="000B5AD5" w:rsidRDefault="000B5AD5" w:rsidP="000B5AD5">
            <w:pPr>
              <w:pStyle w:val="Normal1linespace"/>
              <w:widowControl w:val="0"/>
              <w:jc w:val="left"/>
            </w:pPr>
          </w:p>
        </w:tc>
        <w:tc>
          <w:tcPr>
            <w:tcW w:w="5989" w:type="dxa"/>
            <w:shd w:val="clear" w:color="auto" w:fill="auto"/>
          </w:tcPr>
          <w:p w14:paraId="3227F13A" w14:textId="77777777" w:rsidR="000B5AD5" w:rsidRDefault="000B5AD5" w:rsidP="000B5AD5">
            <w:pPr>
              <w:pStyle w:val="Normal1linespace"/>
              <w:widowControl w:val="0"/>
              <w:jc w:val="left"/>
            </w:pPr>
          </w:p>
        </w:tc>
      </w:tr>
      <w:tr w:rsidR="00142FD0" w14:paraId="5CF577A1" w14:textId="77777777" w:rsidTr="00142FD0">
        <w:tc>
          <w:tcPr>
            <w:tcW w:w="3085" w:type="dxa"/>
            <w:shd w:val="clear" w:color="auto" w:fill="auto"/>
          </w:tcPr>
          <w:p w14:paraId="063C710A" w14:textId="77736C85" w:rsidR="00142FD0" w:rsidRDefault="00142FD0" w:rsidP="00142FD0">
            <w:pPr>
              <w:pStyle w:val="Normal1linespace"/>
              <w:widowControl w:val="0"/>
              <w:jc w:val="left"/>
            </w:pPr>
            <w:bookmarkStart w:id="8" w:name="Counsel" w:colFirst="0" w:colLast="2"/>
            <w:r>
              <w:t>Counsel for the Applicant</w:t>
            </w:r>
            <w:r w:rsidR="00C73431">
              <w:t xml:space="preserve"> in NSD 63 of 2018</w:t>
            </w:r>
            <w:r>
              <w:t>:</w:t>
            </w:r>
          </w:p>
        </w:tc>
        <w:tc>
          <w:tcPr>
            <w:tcW w:w="5989" w:type="dxa"/>
            <w:shd w:val="clear" w:color="auto" w:fill="auto"/>
          </w:tcPr>
          <w:p w14:paraId="57C934A5" w14:textId="00108918" w:rsidR="00142FD0" w:rsidRDefault="00AD2544" w:rsidP="00C73431">
            <w:pPr>
              <w:pStyle w:val="Normal1linespace"/>
              <w:widowControl w:val="0"/>
              <w:jc w:val="left"/>
            </w:pPr>
            <w:bookmarkStart w:id="9" w:name="AppCounsel"/>
            <w:bookmarkEnd w:id="9"/>
            <w:r>
              <w:t xml:space="preserve">Ms R </w:t>
            </w:r>
            <w:proofErr w:type="spellStart"/>
            <w:r>
              <w:t>Seiden</w:t>
            </w:r>
            <w:proofErr w:type="spellEnd"/>
            <w:r>
              <w:t xml:space="preserve"> SC with Mr</w:t>
            </w:r>
            <w:r w:rsidR="0089010C">
              <w:t xml:space="preserve"> R Johnson and Mr</w:t>
            </w:r>
            <w:r w:rsidR="00C73431">
              <w:t xml:space="preserve"> P Mann</w:t>
            </w:r>
          </w:p>
        </w:tc>
      </w:tr>
      <w:bookmarkEnd w:id="8"/>
      <w:tr w:rsidR="00142FD0" w14:paraId="7FCC3219" w14:textId="77777777" w:rsidTr="000B5AD5">
        <w:tc>
          <w:tcPr>
            <w:tcW w:w="3085" w:type="dxa"/>
            <w:shd w:val="clear" w:color="auto" w:fill="auto"/>
          </w:tcPr>
          <w:p w14:paraId="4FFB4596" w14:textId="77777777" w:rsidR="00142FD0" w:rsidRDefault="00142FD0" w:rsidP="000B5AD5">
            <w:pPr>
              <w:pStyle w:val="Normal1linespace"/>
              <w:widowControl w:val="0"/>
              <w:jc w:val="left"/>
            </w:pPr>
          </w:p>
        </w:tc>
        <w:tc>
          <w:tcPr>
            <w:tcW w:w="5989" w:type="dxa"/>
            <w:shd w:val="clear" w:color="auto" w:fill="auto"/>
          </w:tcPr>
          <w:p w14:paraId="75A96D1F" w14:textId="77777777" w:rsidR="00142FD0" w:rsidRDefault="00142FD0" w:rsidP="000B5AD5">
            <w:pPr>
              <w:pStyle w:val="Normal1linespace"/>
              <w:widowControl w:val="0"/>
              <w:jc w:val="left"/>
            </w:pPr>
          </w:p>
        </w:tc>
      </w:tr>
      <w:tr w:rsidR="00142FD0" w14:paraId="326C6E1F" w14:textId="77777777" w:rsidTr="000B5AD5">
        <w:tc>
          <w:tcPr>
            <w:tcW w:w="3085" w:type="dxa"/>
            <w:shd w:val="clear" w:color="auto" w:fill="auto"/>
          </w:tcPr>
          <w:p w14:paraId="57AAE264" w14:textId="7F8A10BD" w:rsidR="00142FD0" w:rsidRDefault="00142FD0" w:rsidP="000B5AD5">
            <w:pPr>
              <w:pStyle w:val="Normal1linespace"/>
              <w:widowControl w:val="0"/>
              <w:jc w:val="left"/>
            </w:pPr>
            <w:r>
              <w:t>Solicitor for the Applicant</w:t>
            </w:r>
            <w:r w:rsidR="00C73431">
              <w:t xml:space="preserve"> in NSD 63 of 2018</w:t>
            </w:r>
            <w:r>
              <w:t>:</w:t>
            </w:r>
          </w:p>
        </w:tc>
        <w:tc>
          <w:tcPr>
            <w:tcW w:w="5989" w:type="dxa"/>
            <w:shd w:val="clear" w:color="auto" w:fill="auto"/>
          </w:tcPr>
          <w:p w14:paraId="51BBF32A" w14:textId="7BB9E4D2" w:rsidR="00142FD0" w:rsidRDefault="00142FD0" w:rsidP="00C73431">
            <w:pPr>
              <w:pStyle w:val="Normal1linespace"/>
              <w:widowControl w:val="0"/>
              <w:jc w:val="left"/>
            </w:pPr>
            <w:r>
              <w:t xml:space="preserve">Pure Legal </w:t>
            </w:r>
          </w:p>
        </w:tc>
      </w:tr>
      <w:tr w:rsidR="00AD2544" w14:paraId="24665591" w14:textId="77777777" w:rsidTr="000B5AD5">
        <w:tc>
          <w:tcPr>
            <w:tcW w:w="3085" w:type="dxa"/>
            <w:shd w:val="clear" w:color="auto" w:fill="auto"/>
          </w:tcPr>
          <w:p w14:paraId="04C96944" w14:textId="77777777" w:rsidR="00AD2544" w:rsidRDefault="00AD2544" w:rsidP="000B5AD5">
            <w:pPr>
              <w:pStyle w:val="Normal1linespace"/>
              <w:widowControl w:val="0"/>
              <w:jc w:val="left"/>
            </w:pPr>
          </w:p>
        </w:tc>
        <w:tc>
          <w:tcPr>
            <w:tcW w:w="5989" w:type="dxa"/>
            <w:shd w:val="clear" w:color="auto" w:fill="auto"/>
          </w:tcPr>
          <w:p w14:paraId="3DD80C8D" w14:textId="77777777" w:rsidR="00AD2544" w:rsidRDefault="00AD2544" w:rsidP="000B5AD5">
            <w:pPr>
              <w:pStyle w:val="Normal1linespace"/>
              <w:widowControl w:val="0"/>
              <w:jc w:val="left"/>
            </w:pPr>
          </w:p>
        </w:tc>
      </w:tr>
      <w:tr w:rsidR="00AD2544" w14:paraId="406B2ADC" w14:textId="77777777" w:rsidTr="000B5AD5">
        <w:tc>
          <w:tcPr>
            <w:tcW w:w="3085" w:type="dxa"/>
            <w:shd w:val="clear" w:color="auto" w:fill="auto"/>
          </w:tcPr>
          <w:p w14:paraId="04ED5513" w14:textId="7E29F9AC" w:rsidR="00AD2544" w:rsidRDefault="00AD2544" w:rsidP="000B5AD5">
            <w:pPr>
              <w:pStyle w:val="Normal1linespace"/>
              <w:widowControl w:val="0"/>
              <w:jc w:val="left"/>
            </w:pPr>
            <w:r>
              <w:t>Solicitor for the Applicant</w:t>
            </w:r>
            <w:r w:rsidR="00C73431">
              <w:t xml:space="preserve"> in NSD 448 of 2018</w:t>
            </w:r>
            <w:r>
              <w:t>:</w:t>
            </w:r>
          </w:p>
        </w:tc>
        <w:tc>
          <w:tcPr>
            <w:tcW w:w="5989" w:type="dxa"/>
            <w:shd w:val="clear" w:color="auto" w:fill="auto"/>
          </w:tcPr>
          <w:p w14:paraId="1FE572A0" w14:textId="0F5AD642" w:rsidR="00AD2544" w:rsidRDefault="00AD2544" w:rsidP="00C73431">
            <w:pPr>
              <w:pStyle w:val="Normal1linespace"/>
              <w:widowControl w:val="0"/>
              <w:jc w:val="left"/>
            </w:pPr>
            <w:r>
              <w:t>Ms A Coombs</w:t>
            </w:r>
          </w:p>
        </w:tc>
      </w:tr>
      <w:tr w:rsidR="00142FD0" w14:paraId="3E3F85B8" w14:textId="77777777" w:rsidTr="000B5AD5">
        <w:tc>
          <w:tcPr>
            <w:tcW w:w="3085" w:type="dxa"/>
            <w:shd w:val="clear" w:color="auto" w:fill="auto"/>
          </w:tcPr>
          <w:p w14:paraId="6A57FF61" w14:textId="77777777" w:rsidR="00142FD0" w:rsidRDefault="00142FD0" w:rsidP="000B5AD5">
            <w:pPr>
              <w:pStyle w:val="Normal1linespace"/>
              <w:widowControl w:val="0"/>
              <w:jc w:val="left"/>
            </w:pPr>
          </w:p>
        </w:tc>
        <w:tc>
          <w:tcPr>
            <w:tcW w:w="5989" w:type="dxa"/>
            <w:shd w:val="clear" w:color="auto" w:fill="auto"/>
          </w:tcPr>
          <w:p w14:paraId="4CED14B0" w14:textId="77777777" w:rsidR="00142FD0" w:rsidRDefault="00142FD0" w:rsidP="000B5AD5">
            <w:pPr>
              <w:pStyle w:val="Normal1linespace"/>
              <w:widowControl w:val="0"/>
              <w:jc w:val="left"/>
            </w:pPr>
          </w:p>
        </w:tc>
      </w:tr>
      <w:tr w:rsidR="00142FD0" w14:paraId="044C5DFC" w14:textId="77777777" w:rsidTr="000B5AD5">
        <w:tc>
          <w:tcPr>
            <w:tcW w:w="3085" w:type="dxa"/>
            <w:shd w:val="clear" w:color="auto" w:fill="auto"/>
          </w:tcPr>
          <w:p w14:paraId="25F9BF42" w14:textId="4DEDCC0B" w:rsidR="00142FD0" w:rsidRDefault="00142FD0" w:rsidP="000B5AD5">
            <w:pPr>
              <w:pStyle w:val="Normal1linespace"/>
              <w:widowControl w:val="0"/>
              <w:jc w:val="left"/>
            </w:pPr>
            <w:r>
              <w:t>Counsel for the Respondent</w:t>
            </w:r>
            <w:r w:rsidR="00C73431">
              <w:t xml:space="preserve"> in NSD 63 of 2018 and NSD 448 of 2018</w:t>
            </w:r>
            <w:r>
              <w:t>:</w:t>
            </w:r>
          </w:p>
        </w:tc>
        <w:tc>
          <w:tcPr>
            <w:tcW w:w="5989" w:type="dxa"/>
            <w:shd w:val="clear" w:color="auto" w:fill="auto"/>
          </w:tcPr>
          <w:p w14:paraId="792B1187" w14:textId="27CE2429" w:rsidR="00142FD0" w:rsidRDefault="00142FD0" w:rsidP="00C73431">
            <w:pPr>
              <w:pStyle w:val="Normal1linespace"/>
              <w:widowControl w:val="0"/>
              <w:jc w:val="left"/>
            </w:pPr>
            <w:r>
              <w:t xml:space="preserve">Mr S Donaldson SC with Mr M Newton </w:t>
            </w:r>
          </w:p>
        </w:tc>
      </w:tr>
      <w:tr w:rsidR="00142FD0" w14:paraId="15BF64D6" w14:textId="77777777" w:rsidTr="000B5AD5">
        <w:tc>
          <w:tcPr>
            <w:tcW w:w="3085" w:type="dxa"/>
            <w:shd w:val="clear" w:color="auto" w:fill="auto"/>
          </w:tcPr>
          <w:p w14:paraId="00BE3C6E" w14:textId="77777777" w:rsidR="00142FD0" w:rsidRDefault="00142FD0" w:rsidP="000B5AD5">
            <w:pPr>
              <w:pStyle w:val="Normal1linespace"/>
              <w:widowControl w:val="0"/>
              <w:jc w:val="left"/>
            </w:pPr>
          </w:p>
        </w:tc>
        <w:tc>
          <w:tcPr>
            <w:tcW w:w="5989" w:type="dxa"/>
            <w:shd w:val="clear" w:color="auto" w:fill="auto"/>
          </w:tcPr>
          <w:p w14:paraId="1D20FE10" w14:textId="77777777" w:rsidR="00142FD0" w:rsidRDefault="00142FD0" w:rsidP="000B5AD5">
            <w:pPr>
              <w:pStyle w:val="Normal1linespace"/>
              <w:widowControl w:val="0"/>
              <w:jc w:val="left"/>
            </w:pPr>
          </w:p>
        </w:tc>
      </w:tr>
      <w:tr w:rsidR="00142FD0" w14:paraId="5AA1954E" w14:textId="77777777" w:rsidTr="000B5AD5">
        <w:tc>
          <w:tcPr>
            <w:tcW w:w="3085" w:type="dxa"/>
            <w:shd w:val="clear" w:color="auto" w:fill="auto"/>
          </w:tcPr>
          <w:p w14:paraId="6A8C2D7C" w14:textId="6654B2D8" w:rsidR="00142FD0" w:rsidRDefault="00142FD0" w:rsidP="000B5AD5">
            <w:pPr>
              <w:pStyle w:val="Normal1linespace"/>
              <w:widowControl w:val="0"/>
              <w:jc w:val="left"/>
            </w:pPr>
            <w:r>
              <w:t>Solicitor for the Respondent</w:t>
            </w:r>
            <w:r w:rsidR="00C73431">
              <w:t xml:space="preserve"> in NSD 63 of 2018 and NSD 448 of 2018</w:t>
            </w:r>
            <w:r>
              <w:t>:</w:t>
            </w:r>
          </w:p>
        </w:tc>
        <w:tc>
          <w:tcPr>
            <w:tcW w:w="5989" w:type="dxa"/>
            <w:shd w:val="clear" w:color="auto" w:fill="auto"/>
          </w:tcPr>
          <w:p w14:paraId="1EB9D809" w14:textId="77777777" w:rsidR="00142FD0" w:rsidRDefault="00142FD0" w:rsidP="000B5AD5">
            <w:pPr>
              <w:pStyle w:val="Normal1linespace"/>
              <w:widowControl w:val="0"/>
              <w:jc w:val="left"/>
            </w:pPr>
            <w:r>
              <w:t>Norton Rose Fulbright</w:t>
            </w:r>
          </w:p>
        </w:tc>
      </w:tr>
      <w:tr w:rsidR="00142FD0" w14:paraId="01584825" w14:textId="77777777" w:rsidTr="000B5AD5">
        <w:tc>
          <w:tcPr>
            <w:tcW w:w="3085" w:type="dxa"/>
            <w:shd w:val="clear" w:color="auto" w:fill="auto"/>
          </w:tcPr>
          <w:p w14:paraId="03E9A87B" w14:textId="77777777" w:rsidR="00142FD0" w:rsidRDefault="00142FD0" w:rsidP="000B5AD5">
            <w:pPr>
              <w:pStyle w:val="Normal1linespace"/>
              <w:widowControl w:val="0"/>
              <w:jc w:val="left"/>
            </w:pPr>
          </w:p>
        </w:tc>
        <w:tc>
          <w:tcPr>
            <w:tcW w:w="5989" w:type="dxa"/>
            <w:shd w:val="clear" w:color="auto" w:fill="auto"/>
          </w:tcPr>
          <w:p w14:paraId="35F133AD" w14:textId="77777777" w:rsidR="00142FD0" w:rsidRDefault="00142FD0" w:rsidP="000B5AD5">
            <w:pPr>
              <w:pStyle w:val="Normal1linespace"/>
              <w:widowControl w:val="0"/>
              <w:jc w:val="left"/>
            </w:pPr>
          </w:p>
        </w:tc>
      </w:tr>
      <w:tr w:rsidR="00142FD0" w14:paraId="2D991C89" w14:textId="77777777" w:rsidTr="000B5AD5">
        <w:tc>
          <w:tcPr>
            <w:tcW w:w="3085" w:type="dxa"/>
            <w:shd w:val="clear" w:color="auto" w:fill="auto"/>
          </w:tcPr>
          <w:p w14:paraId="32D4742E" w14:textId="77777777" w:rsidR="00142FD0" w:rsidRDefault="00142FD0" w:rsidP="000B5AD5">
            <w:pPr>
              <w:pStyle w:val="Normal1linespace"/>
              <w:widowControl w:val="0"/>
              <w:jc w:val="left"/>
            </w:pPr>
            <w:r>
              <w:t>Counsel for the Intervener</w:t>
            </w:r>
            <w:r w:rsidR="00AD2544">
              <w:t>:</w:t>
            </w:r>
          </w:p>
        </w:tc>
        <w:tc>
          <w:tcPr>
            <w:tcW w:w="5989" w:type="dxa"/>
            <w:shd w:val="clear" w:color="auto" w:fill="auto"/>
          </w:tcPr>
          <w:p w14:paraId="1B79E028" w14:textId="77777777" w:rsidR="00142FD0" w:rsidRDefault="00142FD0" w:rsidP="000B5AD5">
            <w:pPr>
              <w:pStyle w:val="Normal1linespace"/>
              <w:widowControl w:val="0"/>
              <w:jc w:val="left"/>
            </w:pPr>
            <w:r>
              <w:t>Mr M Jones SC with Mr E Walker</w:t>
            </w:r>
          </w:p>
        </w:tc>
      </w:tr>
      <w:tr w:rsidR="00142FD0" w14:paraId="4F442A17" w14:textId="77777777" w:rsidTr="000B5AD5">
        <w:tc>
          <w:tcPr>
            <w:tcW w:w="3085" w:type="dxa"/>
            <w:shd w:val="clear" w:color="auto" w:fill="auto"/>
          </w:tcPr>
          <w:p w14:paraId="65E8863A" w14:textId="77777777" w:rsidR="00142FD0" w:rsidRDefault="00142FD0" w:rsidP="000B5AD5">
            <w:pPr>
              <w:pStyle w:val="Normal1linespace"/>
              <w:widowControl w:val="0"/>
              <w:jc w:val="left"/>
            </w:pPr>
          </w:p>
        </w:tc>
        <w:tc>
          <w:tcPr>
            <w:tcW w:w="5989" w:type="dxa"/>
            <w:shd w:val="clear" w:color="auto" w:fill="auto"/>
          </w:tcPr>
          <w:p w14:paraId="24724816" w14:textId="77777777" w:rsidR="00142FD0" w:rsidRDefault="00142FD0" w:rsidP="000B5AD5">
            <w:pPr>
              <w:pStyle w:val="Normal1linespace"/>
              <w:widowControl w:val="0"/>
              <w:jc w:val="left"/>
            </w:pPr>
          </w:p>
        </w:tc>
      </w:tr>
      <w:tr w:rsidR="00142FD0" w14:paraId="3CAEB80B" w14:textId="77777777" w:rsidTr="000B5AD5">
        <w:tc>
          <w:tcPr>
            <w:tcW w:w="3085" w:type="dxa"/>
            <w:shd w:val="clear" w:color="auto" w:fill="auto"/>
          </w:tcPr>
          <w:p w14:paraId="050F93BE" w14:textId="77777777" w:rsidR="00142FD0" w:rsidRDefault="00142FD0" w:rsidP="000B5AD5">
            <w:pPr>
              <w:pStyle w:val="Normal1linespace"/>
              <w:widowControl w:val="0"/>
              <w:jc w:val="left"/>
            </w:pPr>
            <w:r>
              <w:t>Solicitor for the Intervener</w:t>
            </w:r>
            <w:r w:rsidR="00AD2544">
              <w:t>:</w:t>
            </w:r>
          </w:p>
        </w:tc>
        <w:tc>
          <w:tcPr>
            <w:tcW w:w="5989" w:type="dxa"/>
            <w:shd w:val="clear" w:color="auto" w:fill="auto"/>
          </w:tcPr>
          <w:p w14:paraId="41A39C44" w14:textId="77777777" w:rsidR="00142FD0" w:rsidRDefault="00142FD0" w:rsidP="000B5AD5">
            <w:pPr>
              <w:pStyle w:val="Normal1linespace"/>
              <w:widowControl w:val="0"/>
              <w:jc w:val="left"/>
            </w:pPr>
            <w:proofErr w:type="spellStart"/>
            <w:r>
              <w:t>Rotstein</w:t>
            </w:r>
            <w:proofErr w:type="spellEnd"/>
            <w:r>
              <w:t xml:space="preserve"> Commercial Lawyers</w:t>
            </w:r>
          </w:p>
        </w:tc>
      </w:tr>
    </w:tbl>
    <w:p w14:paraId="15D74196" w14:textId="77777777" w:rsidR="00395B24" w:rsidRDefault="00395B24">
      <w:pPr>
        <w:pStyle w:val="Normal1linespace"/>
      </w:pPr>
    </w:p>
    <w:p w14:paraId="7DFBC4D2" w14:textId="77777777" w:rsidR="0092590B" w:rsidRDefault="0092590B">
      <w:pPr>
        <w:pStyle w:val="Normal1linespace"/>
      </w:pPr>
    </w:p>
    <w:p w14:paraId="3EBAA85F"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19DA169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3485CDCD" w14:textId="77777777" w:rsidTr="00E81DA6">
        <w:tc>
          <w:tcPr>
            <w:tcW w:w="6912" w:type="dxa"/>
            <w:gridSpan w:val="2"/>
          </w:tcPr>
          <w:p w14:paraId="5EA041D1" w14:textId="77777777" w:rsidR="00A46CCC" w:rsidRPr="001765E0" w:rsidRDefault="00A46CCC" w:rsidP="00525A49">
            <w:pPr>
              <w:pStyle w:val="NormalHeadings"/>
            </w:pPr>
          </w:p>
        </w:tc>
        <w:tc>
          <w:tcPr>
            <w:tcW w:w="2330" w:type="dxa"/>
          </w:tcPr>
          <w:p w14:paraId="11F00759" w14:textId="77777777" w:rsidR="00CE0857" w:rsidRDefault="00CE0857" w:rsidP="00F92355">
            <w:pPr>
              <w:pStyle w:val="NormalHeadings"/>
              <w:jc w:val="right"/>
            </w:pPr>
            <w:bookmarkStart w:id="10" w:name="FileNo"/>
            <w:r>
              <w:t>NSD 63 of 2018</w:t>
            </w:r>
          </w:p>
          <w:bookmarkEnd w:id="10"/>
          <w:p w14:paraId="24538E46" w14:textId="2CF36ED7" w:rsidR="00A46CCC" w:rsidRDefault="00A46CCC" w:rsidP="00F92355">
            <w:pPr>
              <w:pStyle w:val="NormalHeadings"/>
              <w:jc w:val="right"/>
            </w:pPr>
          </w:p>
        </w:tc>
      </w:tr>
      <w:tr w:rsidR="00A76C13" w14:paraId="671D0EF8" w14:textId="77777777" w:rsidTr="000E3149">
        <w:tc>
          <w:tcPr>
            <w:tcW w:w="9242" w:type="dxa"/>
            <w:gridSpan w:val="3"/>
          </w:tcPr>
          <w:p w14:paraId="0C34F80F" w14:textId="045801E5" w:rsidR="00A76C13" w:rsidRPr="00A76C13" w:rsidRDefault="00CE0857" w:rsidP="00CE0857">
            <w:pPr>
              <w:pStyle w:val="NormalHeadings"/>
              <w:jc w:val="left"/>
            </w:pPr>
            <w:bookmarkStart w:id="11" w:name="InTheMatterOf"/>
            <w:r>
              <w:t xml:space="preserve"> </w:t>
            </w:r>
            <w:bookmarkEnd w:id="11"/>
          </w:p>
        </w:tc>
      </w:tr>
      <w:tr w:rsidR="00A46CCC" w14:paraId="06ED3B5E" w14:textId="77777777" w:rsidTr="000E3149">
        <w:trPr>
          <w:trHeight w:val="386"/>
        </w:trPr>
        <w:tc>
          <w:tcPr>
            <w:tcW w:w="2376" w:type="dxa"/>
          </w:tcPr>
          <w:p w14:paraId="60D430C9" w14:textId="77777777" w:rsidR="00A46CCC" w:rsidRDefault="00A46CCC" w:rsidP="000E3149">
            <w:pPr>
              <w:pStyle w:val="NormalHeadings"/>
              <w:jc w:val="left"/>
              <w:rPr>
                <w:caps/>
                <w:szCs w:val="24"/>
              </w:rPr>
            </w:pPr>
            <w:bookmarkStart w:id="12" w:name="Parties"/>
            <w:r>
              <w:rPr>
                <w:caps/>
                <w:szCs w:val="24"/>
              </w:rPr>
              <w:t>BETWEEN:</w:t>
            </w:r>
          </w:p>
        </w:tc>
        <w:tc>
          <w:tcPr>
            <w:tcW w:w="6866" w:type="dxa"/>
            <w:gridSpan w:val="2"/>
          </w:tcPr>
          <w:p w14:paraId="193DD10D" w14:textId="77777777" w:rsidR="00CE0857" w:rsidRDefault="00CE0857" w:rsidP="00CE0857">
            <w:pPr>
              <w:pStyle w:val="NormalHeadings"/>
              <w:jc w:val="left"/>
            </w:pPr>
            <w:bookmarkStart w:id="13" w:name="Applicant"/>
            <w:r>
              <w:t>JASON ONLEY</w:t>
            </w:r>
          </w:p>
          <w:p w14:paraId="017ECA95" w14:textId="77777777" w:rsidR="00CE0857" w:rsidRDefault="00CE0857" w:rsidP="00CE0857">
            <w:pPr>
              <w:pStyle w:val="PartyType"/>
            </w:pPr>
            <w:r>
              <w:t>Applicant</w:t>
            </w:r>
          </w:p>
          <w:bookmarkEnd w:id="13"/>
          <w:p w14:paraId="707D031C" w14:textId="73899DFC" w:rsidR="00A46CCC" w:rsidRPr="006555B4" w:rsidRDefault="00A46CCC" w:rsidP="000E3149">
            <w:pPr>
              <w:pStyle w:val="NormalHeadings"/>
              <w:jc w:val="left"/>
            </w:pPr>
          </w:p>
        </w:tc>
      </w:tr>
      <w:tr w:rsidR="00A46CCC" w14:paraId="65788360" w14:textId="77777777" w:rsidTr="000E3149">
        <w:trPr>
          <w:trHeight w:val="386"/>
        </w:trPr>
        <w:tc>
          <w:tcPr>
            <w:tcW w:w="2376" w:type="dxa"/>
          </w:tcPr>
          <w:p w14:paraId="560B31BB" w14:textId="77777777" w:rsidR="00A46CCC" w:rsidRDefault="00A46CCC" w:rsidP="000E3149">
            <w:pPr>
              <w:pStyle w:val="NormalHeadings"/>
              <w:jc w:val="left"/>
              <w:rPr>
                <w:caps/>
                <w:szCs w:val="24"/>
              </w:rPr>
            </w:pPr>
            <w:r>
              <w:rPr>
                <w:caps/>
                <w:szCs w:val="24"/>
              </w:rPr>
              <w:t>AND:</w:t>
            </w:r>
          </w:p>
        </w:tc>
        <w:tc>
          <w:tcPr>
            <w:tcW w:w="6866" w:type="dxa"/>
            <w:gridSpan w:val="2"/>
          </w:tcPr>
          <w:p w14:paraId="24D8D08A" w14:textId="77777777" w:rsidR="00CE0857" w:rsidRDefault="00CE0857" w:rsidP="00CE0857">
            <w:pPr>
              <w:pStyle w:val="NormalHeadings"/>
              <w:jc w:val="left"/>
            </w:pPr>
            <w:bookmarkStart w:id="14" w:name="Respondent"/>
            <w:r>
              <w:t>CATLIN SYNDICATE LTD AS THE UNDERWRITING MEMBER OF LLOYD'S SYNDICATE 2003</w:t>
            </w:r>
          </w:p>
          <w:p w14:paraId="1D559E3D" w14:textId="77777777" w:rsidR="00CE0857" w:rsidRDefault="00CE0857" w:rsidP="00CE0857">
            <w:pPr>
              <w:pStyle w:val="PartyType"/>
            </w:pPr>
            <w:r>
              <w:t>Respondent</w:t>
            </w:r>
          </w:p>
          <w:bookmarkEnd w:id="14"/>
          <w:p w14:paraId="45158412" w14:textId="2CC504CB" w:rsidR="00A46CCC" w:rsidRPr="006555B4" w:rsidRDefault="00A46CCC" w:rsidP="000E3149">
            <w:pPr>
              <w:pStyle w:val="NormalHeadings"/>
              <w:jc w:val="left"/>
            </w:pPr>
          </w:p>
        </w:tc>
      </w:tr>
    </w:tbl>
    <w:p w14:paraId="5B54D5BC" w14:textId="2AC0656F"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0D373C" w14:paraId="53103618" w14:textId="77777777" w:rsidTr="00CC6931">
        <w:tc>
          <w:tcPr>
            <w:tcW w:w="6912" w:type="dxa"/>
            <w:gridSpan w:val="2"/>
          </w:tcPr>
          <w:p w14:paraId="3BDDA6C2" w14:textId="77777777" w:rsidR="000D373C" w:rsidRPr="001765E0" w:rsidRDefault="000D373C" w:rsidP="00CC6931">
            <w:pPr>
              <w:pStyle w:val="NormalHeadings"/>
            </w:pPr>
          </w:p>
        </w:tc>
        <w:tc>
          <w:tcPr>
            <w:tcW w:w="2330" w:type="dxa"/>
          </w:tcPr>
          <w:p w14:paraId="41533884" w14:textId="3FA2034C" w:rsidR="000D373C" w:rsidRDefault="000D373C" w:rsidP="00CC6931">
            <w:pPr>
              <w:pStyle w:val="NormalHeadings"/>
              <w:jc w:val="right"/>
            </w:pPr>
            <w:r>
              <w:t>NSD 448 of 2018</w:t>
            </w:r>
          </w:p>
          <w:p w14:paraId="30AC0A34" w14:textId="77777777" w:rsidR="000D373C" w:rsidRDefault="000D373C" w:rsidP="00CC6931">
            <w:pPr>
              <w:pStyle w:val="NormalHeadings"/>
              <w:jc w:val="right"/>
            </w:pPr>
          </w:p>
        </w:tc>
      </w:tr>
      <w:tr w:rsidR="000D373C" w14:paraId="5D4950F8" w14:textId="77777777" w:rsidTr="00CC6931">
        <w:tc>
          <w:tcPr>
            <w:tcW w:w="9242" w:type="dxa"/>
            <w:gridSpan w:val="3"/>
          </w:tcPr>
          <w:p w14:paraId="2FF82251" w14:textId="77777777" w:rsidR="000D373C" w:rsidRPr="00A76C13" w:rsidRDefault="000D373C" w:rsidP="00CC6931">
            <w:pPr>
              <w:pStyle w:val="NormalHeadings"/>
              <w:jc w:val="left"/>
            </w:pPr>
            <w:r>
              <w:t xml:space="preserve"> </w:t>
            </w:r>
          </w:p>
        </w:tc>
      </w:tr>
      <w:tr w:rsidR="000D373C" w14:paraId="6901BAE4" w14:textId="77777777" w:rsidTr="00CC6931">
        <w:trPr>
          <w:trHeight w:val="386"/>
        </w:trPr>
        <w:tc>
          <w:tcPr>
            <w:tcW w:w="2376" w:type="dxa"/>
          </w:tcPr>
          <w:p w14:paraId="60B4283D" w14:textId="77777777" w:rsidR="000D373C" w:rsidRDefault="000D373C" w:rsidP="00CC6931">
            <w:pPr>
              <w:pStyle w:val="NormalHeadings"/>
              <w:jc w:val="left"/>
              <w:rPr>
                <w:caps/>
                <w:szCs w:val="24"/>
              </w:rPr>
            </w:pPr>
            <w:r>
              <w:rPr>
                <w:caps/>
                <w:szCs w:val="24"/>
              </w:rPr>
              <w:t>BETWEEN:</w:t>
            </w:r>
          </w:p>
        </w:tc>
        <w:tc>
          <w:tcPr>
            <w:tcW w:w="6866" w:type="dxa"/>
            <w:gridSpan w:val="2"/>
          </w:tcPr>
          <w:p w14:paraId="7A788672" w14:textId="2BF1D492" w:rsidR="000D373C" w:rsidRDefault="000D373C" w:rsidP="00CC6931">
            <w:pPr>
              <w:pStyle w:val="NormalHeadings"/>
              <w:jc w:val="left"/>
            </w:pPr>
            <w:r>
              <w:t>ADAM CRANSTON</w:t>
            </w:r>
          </w:p>
          <w:p w14:paraId="7CCABEE4" w14:textId="77777777" w:rsidR="000D373C" w:rsidRDefault="000D373C" w:rsidP="00CC6931">
            <w:pPr>
              <w:pStyle w:val="PartyType"/>
            </w:pPr>
            <w:r>
              <w:t>Applicant</w:t>
            </w:r>
          </w:p>
          <w:p w14:paraId="090A3E39" w14:textId="77777777" w:rsidR="000D373C" w:rsidRPr="006555B4" w:rsidRDefault="000D373C" w:rsidP="00CC6931">
            <w:pPr>
              <w:pStyle w:val="NormalHeadings"/>
              <w:jc w:val="left"/>
            </w:pPr>
          </w:p>
        </w:tc>
      </w:tr>
      <w:tr w:rsidR="000D373C" w14:paraId="18F0084A" w14:textId="77777777" w:rsidTr="00CC6931">
        <w:trPr>
          <w:trHeight w:val="386"/>
        </w:trPr>
        <w:tc>
          <w:tcPr>
            <w:tcW w:w="2376" w:type="dxa"/>
          </w:tcPr>
          <w:p w14:paraId="026BA0C9" w14:textId="77777777" w:rsidR="000D373C" w:rsidRDefault="000D373C" w:rsidP="00CC6931">
            <w:pPr>
              <w:pStyle w:val="NormalHeadings"/>
              <w:jc w:val="left"/>
              <w:rPr>
                <w:caps/>
                <w:szCs w:val="24"/>
              </w:rPr>
            </w:pPr>
            <w:r>
              <w:rPr>
                <w:caps/>
                <w:szCs w:val="24"/>
              </w:rPr>
              <w:t>AND:</w:t>
            </w:r>
          </w:p>
        </w:tc>
        <w:tc>
          <w:tcPr>
            <w:tcW w:w="6866" w:type="dxa"/>
            <w:gridSpan w:val="2"/>
          </w:tcPr>
          <w:p w14:paraId="7603FE55" w14:textId="77777777" w:rsidR="000D373C" w:rsidRDefault="000D373C" w:rsidP="00CC6931">
            <w:pPr>
              <w:pStyle w:val="NormalHeadings"/>
              <w:jc w:val="left"/>
            </w:pPr>
            <w:r>
              <w:t>CATLIN SYNDICATE LTD AS THE UNDERWRITING MEMBER OF LLOYD'S SYNDICATE 2003</w:t>
            </w:r>
          </w:p>
          <w:p w14:paraId="1240EF61" w14:textId="77777777" w:rsidR="000D373C" w:rsidRDefault="000D373C" w:rsidP="00CC6931">
            <w:pPr>
              <w:pStyle w:val="PartyType"/>
            </w:pPr>
            <w:r>
              <w:t>Respondent</w:t>
            </w:r>
          </w:p>
          <w:p w14:paraId="602C2764" w14:textId="77777777" w:rsidR="000D373C" w:rsidRPr="006555B4" w:rsidRDefault="000D373C" w:rsidP="00CC6931">
            <w:pPr>
              <w:pStyle w:val="NormalHeadings"/>
              <w:jc w:val="left"/>
            </w:pPr>
          </w:p>
        </w:tc>
      </w:tr>
    </w:tbl>
    <w:p w14:paraId="32000B26" w14:textId="46B870A5" w:rsidR="000D373C" w:rsidRDefault="000D373C">
      <w:pPr>
        <w:pStyle w:val="NormalHeadings"/>
      </w:pPr>
    </w:p>
    <w:tbl>
      <w:tblPr>
        <w:tblW w:w="9242" w:type="dxa"/>
        <w:tblLayout w:type="fixed"/>
        <w:tblLook w:val="0000" w:firstRow="0" w:lastRow="0" w:firstColumn="0" w:lastColumn="0" w:noHBand="0" w:noVBand="0"/>
        <w:tblCaption w:val="Judge"/>
        <w:tblDescription w:val="Judge"/>
      </w:tblPr>
      <w:tblGrid>
        <w:gridCol w:w="2376"/>
        <w:gridCol w:w="6866"/>
      </w:tblGrid>
      <w:tr w:rsidR="00395B24" w14:paraId="511DCBA6" w14:textId="77777777" w:rsidTr="000D373C">
        <w:tc>
          <w:tcPr>
            <w:tcW w:w="2376" w:type="dxa"/>
          </w:tcPr>
          <w:p w14:paraId="609881A9" w14:textId="5AAC1604" w:rsidR="00395B24" w:rsidRDefault="00CE0857">
            <w:pPr>
              <w:pStyle w:val="NormalHeadings"/>
              <w:spacing w:after="120"/>
              <w:jc w:val="left"/>
              <w:rPr>
                <w:caps/>
                <w:szCs w:val="24"/>
              </w:rPr>
            </w:pPr>
            <w:bookmarkStart w:id="16" w:name="JudgeText"/>
            <w:r>
              <w:rPr>
                <w:caps/>
                <w:szCs w:val="24"/>
              </w:rPr>
              <w:t>JUDGES</w:t>
            </w:r>
            <w:bookmarkEnd w:id="16"/>
            <w:r w:rsidR="002C7385">
              <w:rPr>
                <w:caps/>
                <w:szCs w:val="24"/>
              </w:rPr>
              <w:t>:</w:t>
            </w:r>
          </w:p>
        </w:tc>
        <w:tc>
          <w:tcPr>
            <w:tcW w:w="6866" w:type="dxa"/>
          </w:tcPr>
          <w:p w14:paraId="55B30D9B" w14:textId="4AB66E51" w:rsidR="00395B24" w:rsidRDefault="00CE0857">
            <w:pPr>
              <w:pStyle w:val="NormalHeadings"/>
              <w:jc w:val="left"/>
              <w:rPr>
                <w:caps/>
                <w:szCs w:val="24"/>
              </w:rPr>
            </w:pPr>
            <w:bookmarkStart w:id="17" w:name="Judge"/>
            <w:r>
              <w:rPr>
                <w:caps/>
                <w:szCs w:val="24"/>
              </w:rPr>
              <w:t>ALLSOP CJ, LEE AND DERRINGTON JJ</w:t>
            </w:r>
            <w:bookmarkEnd w:id="17"/>
          </w:p>
        </w:tc>
      </w:tr>
      <w:tr w:rsidR="00395B24" w14:paraId="5063A95C" w14:textId="77777777" w:rsidTr="000D373C">
        <w:tc>
          <w:tcPr>
            <w:tcW w:w="2376" w:type="dxa"/>
          </w:tcPr>
          <w:p w14:paraId="7F1A7F0F" w14:textId="77777777" w:rsidR="00395B24" w:rsidRDefault="002C7385">
            <w:pPr>
              <w:pStyle w:val="NormalHeadings"/>
              <w:spacing w:after="120"/>
              <w:jc w:val="left"/>
              <w:rPr>
                <w:caps/>
                <w:szCs w:val="24"/>
              </w:rPr>
            </w:pPr>
            <w:r>
              <w:rPr>
                <w:caps/>
                <w:szCs w:val="24"/>
              </w:rPr>
              <w:t>DATE OF ORDER:</w:t>
            </w:r>
          </w:p>
        </w:tc>
        <w:tc>
          <w:tcPr>
            <w:tcW w:w="6866" w:type="dxa"/>
          </w:tcPr>
          <w:p w14:paraId="368967E6" w14:textId="3FBE303F" w:rsidR="00395B24" w:rsidRDefault="00CE0857">
            <w:pPr>
              <w:pStyle w:val="NormalHeadings"/>
              <w:jc w:val="left"/>
              <w:rPr>
                <w:caps/>
                <w:szCs w:val="24"/>
              </w:rPr>
            </w:pPr>
            <w:bookmarkStart w:id="18" w:name="Judgment_Dated"/>
            <w:r>
              <w:rPr>
                <w:caps/>
                <w:szCs w:val="24"/>
              </w:rPr>
              <w:t>3 AUGUST 2018</w:t>
            </w:r>
            <w:bookmarkEnd w:id="18"/>
          </w:p>
        </w:tc>
      </w:tr>
    </w:tbl>
    <w:p w14:paraId="1A652137" w14:textId="77777777" w:rsidR="00395B24" w:rsidRDefault="00395B24">
      <w:pPr>
        <w:pStyle w:val="NormalHeadings"/>
        <w:rPr>
          <w:b w:val="0"/>
        </w:rPr>
      </w:pPr>
    </w:p>
    <w:p w14:paraId="34B7F8F2" w14:textId="77777777" w:rsidR="008D1617" w:rsidRDefault="008D1617">
      <w:pPr>
        <w:pStyle w:val="NormalHeadings"/>
        <w:rPr>
          <w:b w:val="0"/>
        </w:rPr>
      </w:pPr>
    </w:p>
    <w:p w14:paraId="10D63E13" w14:textId="77777777" w:rsidR="00395B24" w:rsidRDefault="002C7385">
      <w:pPr>
        <w:pStyle w:val="NormalHeadings"/>
      </w:pPr>
      <w:r>
        <w:t>THE COURT ORDERS THAT:</w:t>
      </w:r>
    </w:p>
    <w:p w14:paraId="0618106F" w14:textId="77777777" w:rsidR="00395B24" w:rsidRDefault="00395B24">
      <w:pPr>
        <w:pStyle w:val="NormalHeadings"/>
      </w:pPr>
    </w:p>
    <w:p w14:paraId="643B2845" w14:textId="77777777" w:rsidR="009671C3" w:rsidRDefault="009671C3" w:rsidP="00274F5B">
      <w:pPr>
        <w:pStyle w:val="Order1"/>
      </w:pPr>
      <w:bookmarkStart w:id="19" w:name="Order_Start_Text"/>
      <w:bookmarkEnd w:id="19"/>
      <w:r>
        <w:t>Rush Corporation Pty Ltd have leave to intervene in these proceedings.</w:t>
      </w:r>
    </w:p>
    <w:p w14:paraId="4C84D6E0" w14:textId="77777777" w:rsidR="00395B24" w:rsidRDefault="004E60C9" w:rsidP="00274F5B">
      <w:pPr>
        <w:pStyle w:val="Order1"/>
      </w:pPr>
      <w:r>
        <w:t>The separate question posed to the Court which is:</w:t>
      </w:r>
    </w:p>
    <w:p w14:paraId="1F343A3A" w14:textId="77777777" w:rsidR="004E60C9" w:rsidRPr="000263F0" w:rsidRDefault="004E60C9" w:rsidP="004E60C9">
      <w:pPr>
        <w:pStyle w:val="Quote1"/>
        <w:ind w:left="1134"/>
      </w:pPr>
      <w:proofErr w:type="gramStart"/>
      <w:r>
        <w:t>w</w:t>
      </w:r>
      <w:r w:rsidRPr="000263F0">
        <w:t>hether</w:t>
      </w:r>
      <w:proofErr w:type="gramEnd"/>
      <w:r w:rsidRPr="000263F0">
        <w:t>, either:</w:t>
      </w:r>
    </w:p>
    <w:p w14:paraId="31AA774C" w14:textId="77777777" w:rsidR="004E60C9" w:rsidRPr="000263F0" w:rsidRDefault="004E60C9" w:rsidP="004E60C9">
      <w:pPr>
        <w:pStyle w:val="Quote2"/>
        <w:ind w:left="2160" w:hanging="720"/>
      </w:pPr>
      <w:r w:rsidRPr="000263F0">
        <w:t>(</w:t>
      </w:r>
      <w:proofErr w:type="spellStart"/>
      <w:r w:rsidRPr="000263F0">
        <w:t>i</w:t>
      </w:r>
      <w:proofErr w:type="spellEnd"/>
      <w:r w:rsidRPr="000263F0">
        <w:t xml:space="preserve">) </w:t>
      </w:r>
      <w:r>
        <w:tab/>
      </w:r>
      <w:r w:rsidRPr="000263F0">
        <w:t>On the true construction of the Labour Force Liability Insurance Policy number LCB171202453 (“Policy”); or</w:t>
      </w:r>
    </w:p>
    <w:p w14:paraId="73AF693C" w14:textId="77777777" w:rsidR="004E60C9" w:rsidRPr="000263F0" w:rsidRDefault="004E60C9" w:rsidP="004E60C9">
      <w:pPr>
        <w:pStyle w:val="Quote2"/>
        <w:ind w:left="2160" w:hanging="720"/>
      </w:pPr>
      <w:r w:rsidRPr="000263F0">
        <w:t xml:space="preserve">(ii) </w:t>
      </w:r>
      <w:r>
        <w:tab/>
      </w:r>
      <w:r w:rsidRPr="000263F0">
        <w:t xml:space="preserve">On application of the principles of waiver or estoppel, under the </w:t>
      </w:r>
      <w:r w:rsidRPr="002A30BE">
        <w:rPr>
          <w:i/>
        </w:rPr>
        <w:t>Insurance Contracts Act 1984</w:t>
      </w:r>
      <w:r w:rsidRPr="002A30BE">
        <w:t xml:space="preserve"> (Cth)</w:t>
      </w:r>
      <w:r w:rsidRPr="000263F0">
        <w:t xml:space="preserve"> (“the Act”) or otherwise; or</w:t>
      </w:r>
    </w:p>
    <w:p w14:paraId="2B651FB4" w14:textId="77777777" w:rsidR="004E60C9" w:rsidRPr="000263F0" w:rsidRDefault="004E60C9" w:rsidP="004E60C9">
      <w:pPr>
        <w:pStyle w:val="Quote2"/>
        <w:ind w:left="2160" w:hanging="720"/>
      </w:pPr>
      <w:r w:rsidRPr="000263F0">
        <w:t xml:space="preserve">(iii) </w:t>
      </w:r>
      <w:r>
        <w:tab/>
      </w:r>
      <w:r w:rsidRPr="000263F0">
        <w:t>Upon application of the duty of utmost good faith under s 13 of the Act,</w:t>
      </w:r>
    </w:p>
    <w:p w14:paraId="617E0E6F" w14:textId="77777777" w:rsidR="004E60C9" w:rsidRPr="000263F0" w:rsidRDefault="004E60C9" w:rsidP="004E60C9">
      <w:pPr>
        <w:pStyle w:val="Quote1"/>
        <w:ind w:left="1134"/>
      </w:pPr>
      <w:r w:rsidRPr="000263F0">
        <w:t>the Respondent has agreed not to exercise or is otherwise prevented from exercising rights or from relying on remedies under Part IV of the Act under circumstances where:</w:t>
      </w:r>
    </w:p>
    <w:p w14:paraId="3BFCB48E" w14:textId="77777777" w:rsidR="004E60C9" w:rsidRPr="000263F0" w:rsidRDefault="004E60C9" w:rsidP="004E60C9">
      <w:pPr>
        <w:pStyle w:val="Quote2"/>
        <w:ind w:left="2160" w:hanging="720"/>
      </w:pPr>
      <w:r w:rsidRPr="000263F0">
        <w:t xml:space="preserve">(a) </w:t>
      </w:r>
      <w:r>
        <w:tab/>
      </w:r>
      <w:r w:rsidRPr="000263F0">
        <w:t xml:space="preserve">Claims (as defined in the Policy) have been made against the Applicant alleging conduct of the Applicant of the kind stipulated in the Dishonest or Criminal Intent / Improper Conduct exclusion of the </w:t>
      </w:r>
      <w:r w:rsidRPr="000263F0">
        <w:lastRenderedPageBreak/>
        <w:t>Policy ("Conduct"); and</w:t>
      </w:r>
    </w:p>
    <w:p w14:paraId="68A78B91" w14:textId="77777777" w:rsidR="004E60C9" w:rsidRPr="000263F0" w:rsidRDefault="004E60C9" w:rsidP="004E60C9">
      <w:pPr>
        <w:pStyle w:val="Quote2"/>
        <w:ind w:left="2160" w:hanging="720"/>
      </w:pPr>
      <w:r w:rsidRPr="000263F0">
        <w:t xml:space="preserve">(b) </w:t>
      </w:r>
      <w:r>
        <w:tab/>
      </w:r>
      <w:proofErr w:type="gramStart"/>
      <w:r w:rsidRPr="000263F0">
        <w:t>the</w:t>
      </w:r>
      <w:proofErr w:type="gramEnd"/>
      <w:r w:rsidRPr="000263F0">
        <w:t xml:space="preserve"> Conduct has not been established by admission of the Applicant, judgment or adjudication (“Determination”); and</w:t>
      </w:r>
    </w:p>
    <w:p w14:paraId="7EA22DA9" w14:textId="77777777" w:rsidR="004E60C9" w:rsidRPr="000263F0" w:rsidRDefault="004E60C9" w:rsidP="004E60C9">
      <w:pPr>
        <w:pStyle w:val="Quote2"/>
        <w:ind w:left="2160" w:hanging="720"/>
      </w:pPr>
      <w:r w:rsidRPr="000263F0">
        <w:t xml:space="preserve">(c) </w:t>
      </w:r>
      <w:r>
        <w:tab/>
      </w:r>
      <w:r w:rsidRPr="000263F0">
        <w:t>the Respondent's exercise of rights or entitlement to remedies under Part IV of the Act is or would be based upon its conclusion, ahead of a Determination, that there has been a failure on the part of an insured to disclose that the Conduct had occurred or that it was intended or planned to occur.</w:t>
      </w:r>
    </w:p>
    <w:p w14:paraId="2EBEB37E" w14:textId="1E4F4681" w:rsidR="004E60C9" w:rsidRDefault="00E06541" w:rsidP="004E60C9">
      <w:pPr>
        <w:pStyle w:val="Order1"/>
        <w:numPr>
          <w:ilvl w:val="0"/>
          <w:numId w:val="0"/>
        </w:numPr>
        <w:ind w:left="720"/>
      </w:pPr>
      <w:proofErr w:type="gramStart"/>
      <w:r>
        <w:t>be</w:t>
      </w:r>
      <w:proofErr w:type="gramEnd"/>
      <w:r w:rsidR="009671C3">
        <w:t xml:space="preserve"> </w:t>
      </w:r>
      <w:r w:rsidR="004E60C9">
        <w:t xml:space="preserve">answered “No”. </w:t>
      </w:r>
    </w:p>
    <w:p w14:paraId="64F8AF6E" w14:textId="77777777" w:rsidR="004E60C9" w:rsidRDefault="004E60C9" w:rsidP="00274F5B">
      <w:pPr>
        <w:pStyle w:val="Order1"/>
      </w:pPr>
      <w:r>
        <w:t xml:space="preserve">The Applicants pay the </w:t>
      </w:r>
      <w:r w:rsidR="00C22CB5">
        <w:t>R</w:t>
      </w:r>
      <w:r>
        <w:t>espondent’s costs of the application.</w:t>
      </w:r>
    </w:p>
    <w:p w14:paraId="336EF3D1" w14:textId="77777777" w:rsidR="004E60C9" w:rsidRDefault="004E60C9" w:rsidP="004E60C9">
      <w:pPr>
        <w:pStyle w:val="Order1"/>
        <w:numPr>
          <w:ilvl w:val="0"/>
          <w:numId w:val="0"/>
        </w:numPr>
        <w:ind w:left="720"/>
      </w:pPr>
    </w:p>
    <w:p w14:paraId="428C5F22" w14:textId="77777777" w:rsidR="00636871" w:rsidRDefault="00636871" w:rsidP="002B0E91">
      <w:pPr>
        <w:pStyle w:val="BodyText"/>
      </w:pPr>
    </w:p>
    <w:p w14:paraId="1E2A7CC3" w14:textId="77777777" w:rsidR="00395B24" w:rsidRDefault="00395B24" w:rsidP="002B0E91">
      <w:pPr>
        <w:pStyle w:val="BodyText"/>
      </w:pPr>
    </w:p>
    <w:p w14:paraId="5F00FD69" w14:textId="77777777" w:rsidR="00395B24" w:rsidRDefault="002C7385" w:rsidP="004D53E5">
      <w:pPr>
        <w:pStyle w:val="SingleSpace"/>
      </w:pPr>
      <w:r>
        <w:t>Note:</w:t>
      </w:r>
      <w:r>
        <w:tab/>
        <w:t xml:space="preserve">Entry of orders is dealt with in Rule 39.32 of the </w:t>
      </w:r>
      <w:r>
        <w:rPr>
          <w:i/>
        </w:rPr>
        <w:t>Federal Court Rules 2011</w:t>
      </w:r>
      <w:r>
        <w:t>.</w:t>
      </w:r>
    </w:p>
    <w:p w14:paraId="4406844E" w14:textId="77777777" w:rsidR="00395B24" w:rsidRDefault="00395B24" w:rsidP="002B0E91">
      <w:pPr>
        <w:pStyle w:val="BodyText"/>
      </w:pPr>
    </w:p>
    <w:p w14:paraId="490E7209" w14:textId="77777777" w:rsidR="00395B24" w:rsidRDefault="00395B24" w:rsidP="001F2DBC">
      <w:pPr>
        <w:pStyle w:val="BodyText"/>
      </w:pPr>
    </w:p>
    <w:p w14:paraId="4A39AAF8" w14:textId="77777777" w:rsidR="0092590B" w:rsidRDefault="0092590B" w:rsidP="002B0E91">
      <w:pPr>
        <w:pStyle w:val="BodyText"/>
      </w:pPr>
    </w:p>
    <w:p w14:paraId="2160D4EC"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1AD519A2"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7C4522A8" w14:textId="77777777" w:rsidR="00395B24" w:rsidRPr="00EA03CE" w:rsidRDefault="001E3479" w:rsidP="005E0510">
      <w:pPr>
        <w:pStyle w:val="NormalHeadings"/>
        <w:spacing w:line="360" w:lineRule="auto"/>
        <w:jc w:val="left"/>
        <w:rPr>
          <w:sz w:val="26"/>
          <w:szCs w:val="26"/>
        </w:rPr>
      </w:pPr>
      <w:r>
        <w:rPr>
          <w:sz w:val="26"/>
          <w:szCs w:val="26"/>
        </w:rPr>
        <w:t>THE COURT</w:t>
      </w:r>
      <w:r w:rsidR="00484F6D" w:rsidRPr="00EA03CE">
        <w:rPr>
          <w:sz w:val="26"/>
          <w:szCs w:val="26"/>
        </w:rPr>
        <w:t>:</w:t>
      </w:r>
    </w:p>
    <w:p w14:paraId="034F79D3" w14:textId="77777777" w:rsidR="003A0E66" w:rsidRDefault="00F66A5B" w:rsidP="00CE0857">
      <w:pPr>
        <w:pStyle w:val="Heading2"/>
      </w:pPr>
      <w:r>
        <w:t>Introduction</w:t>
      </w:r>
      <w:r w:rsidR="00304B33">
        <w:t xml:space="preserve"> </w:t>
      </w:r>
    </w:p>
    <w:p w14:paraId="1B01519F" w14:textId="2840BD88" w:rsidR="00010080" w:rsidRDefault="006C7B45" w:rsidP="00F66A5B">
      <w:pPr>
        <w:pStyle w:val="ParaNumbering"/>
      </w:pPr>
      <w:r>
        <w:t xml:space="preserve">The Applicants, Mr Michael Onley and Mr Adam Cranston, seek orders that they are entitled to insurance cover in respect of the legal costs which they have </w:t>
      </w:r>
      <w:r w:rsidR="00993CB8">
        <w:t xml:space="preserve">incurred </w:t>
      </w:r>
      <w:r>
        <w:t xml:space="preserve">and are currently </w:t>
      </w:r>
      <w:r w:rsidR="00A535E0">
        <w:t>incurring in relation to</w:t>
      </w:r>
      <w:r w:rsidR="00EA2B62">
        <w:t xml:space="preserve"> two</w:t>
      </w:r>
      <w:r w:rsidR="00A535E0">
        <w:t xml:space="preserve"> legal proceedings </w:t>
      </w:r>
      <w:r w:rsidR="00EA2B62">
        <w:t xml:space="preserve">presently </w:t>
      </w:r>
      <w:r w:rsidR="00A535E0">
        <w:t>being pursued against them</w:t>
      </w:r>
      <w:r w:rsidR="00EA2B62">
        <w:t>.  In one, the</w:t>
      </w:r>
      <w:r w:rsidR="00993CB8">
        <w:t>y</w:t>
      </w:r>
      <w:r w:rsidR="00EA2B62">
        <w:t xml:space="preserve"> have been charged under the </w:t>
      </w:r>
      <w:r w:rsidR="00EA2B62" w:rsidRPr="002A30BE">
        <w:rPr>
          <w:i/>
        </w:rPr>
        <w:t>Criminal Code</w:t>
      </w:r>
      <w:r w:rsidR="004B5560" w:rsidRPr="002A30BE">
        <w:rPr>
          <w:i/>
        </w:rPr>
        <w:t xml:space="preserve"> Act</w:t>
      </w:r>
      <w:r w:rsidR="00EA2B62" w:rsidRPr="002A30BE">
        <w:rPr>
          <w:i/>
        </w:rPr>
        <w:t xml:space="preserve"> </w:t>
      </w:r>
      <w:r w:rsidR="0089010C">
        <w:rPr>
          <w:i/>
        </w:rPr>
        <w:t>1995</w:t>
      </w:r>
      <w:r w:rsidR="003A7E3A" w:rsidRPr="002A30BE">
        <w:rPr>
          <w:i/>
        </w:rPr>
        <w:t xml:space="preserve"> </w:t>
      </w:r>
      <w:r w:rsidR="003A7E3A" w:rsidRPr="002A30BE">
        <w:t>(Cth)</w:t>
      </w:r>
      <w:r w:rsidR="00EA2B62">
        <w:t xml:space="preserve"> </w:t>
      </w:r>
      <w:r w:rsidR="00993CB8">
        <w:t>with</w:t>
      </w:r>
      <w:r w:rsidR="00EA2B62">
        <w:t xml:space="preserve"> conspiring</w:t>
      </w:r>
      <w:r w:rsidR="0071512C">
        <w:t xml:space="preserve"> together</w:t>
      </w:r>
      <w:r w:rsidR="00EA2B62">
        <w:t xml:space="preserve"> with the intention of dishonestly causing loss to the Australian Taxation Office.  In the second </w:t>
      </w:r>
      <w:r w:rsidR="00A535E0">
        <w:t xml:space="preserve">the Commissioner of the Australian Federal Police </w:t>
      </w:r>
      <w:r w:rsidR="00EA2B62">
        <w:t xml:space="preserve">seeks </w:t>
      </w:r>
      <w:r w:rsidR="00993CB8">
        <w:t xml:space="preserve">recovery from </w:t>
      </w:r>
      <w:r w:rsidR="0071512C">
        <w:t>them</w:t>
      </w:r>
      <w:r w:rsidR="00EA2B62">
        <w:t xml:space="preserve"> under the </w:t>
      </w:r>
      <w:r w:rsidR="00EA2B62" w:rsidRPr="002A30BE">
        <w:rPr>
          <w:i/>
        </w:rPr>
        <w:t>Proceeds of Crimes Act</w:t>
      </w:r>
      <w:r w:rsidR="000B5AD5" w:rsidRPr="002A30BE">
        <w:rPr>
          <w:i/>
        </w:rPr>
        <w:t xml:space="preserve"> 2002</w:t>
      </w:r>
      <w:r w:rsidR="00EA2B62" w:rsidRPr="002A30BE">
        <w:rPr>
          <w:i/>
        </w:rPr>
        <w:t xml:space="preserve"> </w:t>
      </w:r>
      <w:r w:rsidR="00EA2B62" w:rsidRPr="002A30BE">
        <w:t>(Cth)</w:t>
      </w:r>
      <w:r w:rsidR="00EA2B62">
        <w:t>.  Each proceeding arises out of the</w:t>
      </w:r>
      <w:r w:rsidR="00993CB8">
        <w:t>ir</w:t>
      </w:r>
      <w:r w:rsidR="00EA2B62">
        <w:t xml:space="preserve"> </w:t>
      </w:r>
      <w:r w:rsidR="00AD2544">
        <w:t xml:space="preserve">previous </w:t>
      </w:r>
      <w:r w:rsidR="00EA2B62">
        <w:t xml:space="preserve">business activities </w:t>
      </w:r>
      <w:r w:rsidR="0071512C">
        <w:t xml:space="preserve">which they </w:t>
      </w:r>
      <w:r w:rsidR="00993CB8">
        <w:t xml:space="preserve">partially </w:t>
      </w:r>
      <w:r w:rsidR="0071512C">
        <w:t>conducted</w:t>
      </w:r>
      <w:r w:rsidR="00EA2B62">
        <w:t xml:space="preserve"> through a number of </w:t>
      </w:r>
      <w:r w:rsidR="00993CB8">
        <w:t>corporate entities</w:t>
      </w:r>
      <w:r w:rsidR="00EA2B62">
        <w:t xml:space="preserve">. </w:t>
      </w:r>
      <w:r w:rsidR="00010080">
        <w:t xml:space="preserve"> </w:t>
      </w:r>
    </w:p>
    <w:p w14:paraId="1CA4FC8F" w14:textId="77777777" w:rsidR="00993CB8" w:rsidRDefault="00010080" w:rsidP="00993CB8">
      <w:pPr>
        <w:pStyle w:val="ParaNumbering"/>
      </w:pPr>
      <w:r>
        <w:t xml:space="preserve">The </w:t>
      </w:r>
      <w:r w:rsidR="00EF344B">
        <w:t>R</w:t>
      </w:r>
      <w:r>
        <w:t>espondent underwriters</w:t>
      </w:r>
      <w:r w:rsidR="00993CB8">
        <w:t>,</w:t>
      </w:r>
      <w:r>
        <w:t xml:space="preserve"> </w:t>
      </w:r>
      <w:r w:rsidR="00993CB8" w:rsidRPr="00993CB8">
        <w:t xml:space="preserve">being certain Lloyd’s underwriters subscribing to Agreement Number B123016LAW1194 (“the insurer”), </w:t>
      </w:r>
      <w:r>
        <w:t xml:space="preserve">had issued a </w:t>
      </w:r>
      <w:proofErr w:type="spellStart"/>
      <w:r w:rsidR="001C3ED5">
        <w:t>b</w:t>
      </w:r>
      <w:r>
        <w:t>roadform</w:t>
      </w:r>
      <w:proofErr w:type="spellEnd"/>
      <w:r>
        <w:t xml:space="preserve"> </w:t>
      </w:r>
      <w:r w:rsidR="00993CB8">
        <w:t>L</w:t>
      </w:r>
      <w:r>
        <w:t xml:space="preserve">iability policy to various companies which included </w:t>
      </w:r>
      <w:r w:rsidR="0071512C">
        <w:t>a number</w:t>
      </w:r>
      <w:r>
        <w:t xml:space="preserve"> of which the Applicants were directors</w:t>
      </w:r>
      <w:r w:rsidR="001C3ED5">
        <w:t>.  Pursuant to that policy</w:t>
      </w:r>
      <w:r>
        <w:t xml:space="preserve"> </w:t>
      </w:r>
      <w:r w:rsidR="00993CB8">
        <w:t>L</w:t>
      </w:r>
      <w:r>
        <w:t>iability cover</w:t>
      </w:r>
      <w:r w:rsidR="00993CB8" w:rsidRPr="00993CB8">
        <w:t>, including the provision of defence costs, was extended to each director. When the relevant proceedings were</w:t>
      </w:r>
      <w:r>
        <w:t xml:space="preserve"> </w:t>
      </w:r>
      <w:r w:rsidR="0071512C">
        <w:t>commenced against them, the</w:t>
      </w:r>
      <w:r>
        <w:t xml:space="preserve"> Applicants sought indemnity in relation to the costs which they </w:t>
      </w:r>
      <w:r w:rsidR="00993CB8">
        <w:t>had incurred</w:t>
      </w:r>
      <w:r>
        <w:t xml:space="preserve"> and </w:t>
      </w:r>
      <w:r w:rsidR="009671C3">
        <w:t xml:space="preserve">would incur </w:t>
      </w:r>
      <w:r>
        <w:t xml:space="preserve">in </w:t>
      </w:r>
      <w:r w:rsidR="0071512C">
        <w:t>relation to the</w:t>
      </w:r>
      <w:r w:rsidR="00993CB8">
        <w:t>m</w:t>
      </w:r>
      <w:r>
        <w:t xml:space="preserve">.  </w:t>
      </w:r>
    </w:p>
    <w:p w14:paraId="0079C27C" w14:textId="77777777" w:rsidR="00010080" w:rsidRDefault="00993CB8" w:rsidP="00993CB8">
      <w:pPr>
        <w:pStyle w:val="ParaNumbering"/>
      </w:pPr>
      <w:r w:rsidRPr="00993CB8">
        <w:t>The insurer claim</w:t>
      </w:r>
      <w:r w:rsidR="00AD2544">
        <w:t>ed</w:t>
      </w:r>
      <w:r w:rsidRPr="00993CB8">
        <w:t xml:space="preserve"> that the conduct which is the foundation of both proceedings was dishonest conduct which had occurred, at least in part, prior to the </w:t>
      </w:r>
      <w:r w:rsidR="009671C3">
        <w:t xml:space="preserve">policy’s </w:t>
      </w:r>
      <w:proofErr w:type="gramStart"/>
      <w:r w:rsidRPr="00993CB8">
        <w:t>inception,</w:t>
      </w:r>
      <w:r w:rsidR="009671C3">
        <w:t xml:space="preserve"> </w:t>
      </w:r>
      <w:r w:rsidRPr="00993CB8">
        <w:t>that</w:t>
      </w:r>
      <w:proofErr w:type="gramEnd"/>
      <w:r w:rsidRPr="00993CB8">
        <w:t xml:space="preserve"> the Applicants were aware of it and of its materiality, and that they failed to disclose its existence</w:t>
      </w:r>
      <w:r w:rsidR="009671C3">
        <w:t xml:space="preserve">.  </w:t>
      </w:r>
      <w:r w:rsidR="00AD2544">
        <w:t>That being so</w:t>
      </w:r>
      <w:r w:rsidR="00010080">
        <w:t xml:space="preserve">, </w:t>
      </w:r>
      <w:r w:rsidR="0071512C">
        <w:t>it</w:t>
      </w:r>
      <w:r w:rsidR="00010080">
        <w:t xml:space="preserve"> has purported to avoid the policy</w:t>
      </w:r>
      <w:r w:rsidR="001C3ED5">
        <w:t xml:space="preserve"> on the ground of fraudulent non-disclosure or, alternatively, claims that it is entitled to </w:t>
      </w:r>
      <w:r w:rsidR="00010080">
        <w:t>reduce its liability to nil</w:t>
      </w:r>
      <w:r w:rsidR="00156DA5">
        <w:t xml:space="preserve"> if the non-disclosure not be fraudulent</w:t>
      </w:r>
      <w:r w:rsidR="00010080">
        <w:t>.</w:t>
      </w:r>
      <w:r w:rsidR="001C3ED5">
        <w:t xml:space="preserve"> </w:t>
      </w:r>
    </w:p>
    <w:p w14:paraId="5A26BBED" w14:textId="77777777" w:rsidR="001C3ED5" w:rsidRDefault="0071512C" w:rsidP="00993CB8">
      <w:pPr>
        <w:pStyle w:val="ParaNumbering"/>
      </w:pPr>
      <w:r>
        <w:t>For their part, t</w:t>
      </w:r>
      <w:r w:rsidR="001C3ED5">
        <w:t xml:space="preserve">he Applicants </w:t>
      </w:r>
      <w:r w:rsidR="00993CB8" w:rsidRPr="00993CB8">
        <w:t xml:space="preserve">claim that the language of </w:t>
      </w:r>
      <w:r w:rsidR="00AD2544">
        <w:t>the</w:t>
      </w:r>
      <w:r w:rsidR="003A0E66" w:rsidRPr="00993CB8">
        <w:t xml:space="preserve"> </w:t>
      </w:r>
      <w:r w:rsidR="00692D61">
        <w:t>E</w:t>
      </w:r>
      <w:r w:rsidR="00993CB8" w:rsidRPr="00993CB8">
        <w:t xml:space="preserve">xtension providing for the payment of Defence Costs requires the insurer to meet the cost of the proceedings unless and until the criminal or dishonest conduct is established by </w:t>
      </w:r>
      <w:r w:rsidR="009671C3">
        <w:t xml:space="preserve">judgment, </w:t>
      </w:r>
      <w:r w:rsidR="00993CB8" w:rsidRPr="00993CB8">
        <w:t xml:space="preserve">adjudication or is otherwise admitted by them, regardless of whether they had breached their obligation </w:t>
      </w:r>
      <w:r w:rsidR="009671C3">
        <w:t xml:space="preserve">to </w:t>
      </w:r>
      <w:r w:rsidR="00993CB8" w:rsidRPr="00993CB8">
        <w:t>disclos</w:t>
      </w:r>
      <w:r w:rsidR="009671C3">
        <w:t xml:space="preserve">e </w:t>
      </w:r>
      <w:r w:rsidR="00993CB8" w:rsidRPr="00993CB8">
        <w:t xml:space="preserve">their criminal or dishonest conduct or the facts underpinning it. They commenced </w:t>
      </w:r>
      <w:r w:rsidR="009671C3">
        <w:t xml:space="preserve">the present action </w:t>
      </w:r>
      <w:r w:rsidR="00993CB8" w:rsidRPr="00993CB8">
        <w:t>seeking declaratory relief that they are entitled to indemnity under the policy pending the determination of the various proceedings against them.</w:t>
      </w:r>
    </w:p>
    <w:p w14:paraId="1B046BBC" w14:textId="77777777" w:rsidR="001A7C9B" w:rsidRDefault="00993CB8" w:rsidP="006D757D">
      <w:pPr>
        <w:pStyle w:val="ParaNumbering"/>
      </w:pPr>
      <w:r w:rsidRPr="00993CB8">
        <w:lastRenderedPageBreak/>
        <w:t>On 12 April 2018, the Chief Justice ordered that this question be heard by a Full Court separately from other questions in the proceeding.</w:t>
      </w:r>
      <w:r w:rsidR="009671C3">
        <w:t xml:space="preserve">  On 10 May 2018, his Honour </w:t>
      </w:r>
      <w:r w:rsidR="00691A49">
        <w:t xml:space="preserve">made further orders permitting Rush Corporation Pty Ltd (“Rush”) to make an application at the hearing of the separate question to intervene in </w:t>
      </w:r>
      <w:r>
        <w:t>it</w:t>
      </w:r>
      <w:r w:rsidR="00691A49">
        <w:t xml:space="preserve">.  </w:t>
      </w:r>
      <w:r>
        <w:t>Rush</w:t>
      </w:r>
      <w:r w:rsidR="00691A49">
        <w:t xml:space="preserve"> claims to have </w:t>
      </w:r>
      <w:r w:rsidR="00940362">
        <w:t xml:space="preserve">an interest in the construction of the policy </w:t>
      </w:r>
      <w:r>
        <w:t>as</w:t>
      </w:r>
      <w:r w:rsidR="00691A49">
        <w:t xml:space="preserve"> it</w:t>
      </w:r>
      <w:r w:rsidR="00940362">
        <w:t xml:space="preserve"> also fall</w:t>
      </w:r>
      <w:r w:rsidR="00691A49">
        <w:t>s</w:t>
      </w:r>
      <w:r w:rsidR="00940362">
        <w:t xml:space="preserve"> within the description of an “insured”.  </w:t>
      </w:r>
      <w:r w:rsidR="00691A49">
        <w:t>I</w:t>
      </w:r>
      <w:r w:rsidR="00940362">
        <w:t xml:space="preserve">t has proceedings on foot in the Victorian Supreme Court </w:t>
      </w:r>
      <w:r w:rsidR="001A7C9B">
        <w:t xml:space="preserve">in which it </w:t>
      </w:r>
      <w:r w:rsidR="0071512C">
        <w:t xml:space="preserve">challenges the insurer’s purported avoidance of the policy in reliance upon the non-disclosure which is </w:t>
      </w:r>
      <w:r w:rsidR="001505E1">
        <w:t xml:space="preserve">at issue </w:t>
      </w:r>
      <w:r w:rsidR="0071512C">
        <w:t xml:space="preserve">in this Court.  There is no doubt that </w:t>
      </w:r>
      <w:r>
        <w:t>it</w:t>
      </w:r>
      <w:r w:rsidR="0071512C">
        <w:t xml:space="preserve"> has a real commercial interest in the outcome of these proceedings and </w:t>
      </w:r>
      <w:r>
        <w:t>it should be permitted to intervene.</w:t>
      </w:r>
      <w:r w:rsidR="00692D61">
        <w:t xml:space="preserve"> </w:t>
      </w:r>
    </w:p>
    <w:p w14:paraId="13A5DB2C" w14:textId="77777777" w:rsidR="00692D61" w:rsidRDefault="00692D61" w:rsidP="00692D61">
      <w:pPr>
        <w:pStyle w:val="ParaNumbering"/>
      </w:pPr>
      <w:r>
        <w:t xml:space="preserve">The arguments advanced by the Applicants and by Rush cannot succeed.  </w:t>
      </w:r>
      <w:r w:rsidR="005E448C">
        <w:t>First, a</w:t>
      </w:r>
      <w:r>
        <w:t>s a matter of construction the Defence Costs Extension does not diminish</w:t>
      </w:r>
      <w:r w:rsidR="00156DA5">
        <w:t xml:space="preserve"> or contractually qualify</w:t>
      </w:r>
      <w:r>
        <w:t xml:space="preserve"> the insurer’s right to rely upon its </w:t>
      </w:r>
      <w:r w:rsidR="009671C3">
        <w:t xml:space="preserve">remedies in </w:t>
      </w:r>
      <w:r>
        <w:t xml:space="preserve">Part IV of the </w:t>
      </w:r>
      <w:r w:rsidRPr="002A30BE">
        <w:rPr>
          <w:i/>
        </w:rPr>
        <w:t>Insurance Contracts Act</w:t>
      </w:r>
      <w:r w:rsidR="000B5AD5" w:rsidRPr="002A30BE">
        <w:rPr>
          <w:i/>
        </w:rPr>
        <w:t xml:space="preserve"> 1984</w:t>
      </w:r>
      <w:r w:rsidRPr="002A30BE">
        <w:t xml:space="preserve"> (Cth)</w:t>
      </w:r>
      <w:r w:rsidRPr="00692D61">
        <w:t xml:space="preserve"> (the “ICA”)</w:t>
      </w:r>
      <w:r>
        <w:t xml:space="preserve"> consequent upon the Applicants’ non-disclosure.  </w:t>
      </w:r>
      <w:r w:rsidR="009671C3">
        <w:t>In this respect this case is notable as t</w:t>
      </w:r>
      <w:r>
        <w:t xml:space="preserve">he Applicants’ contention relies upon the very provision which their non-disclosure prevented the insurer from excluding.  Secondly, </w:t>
      </w:r>
      <w:r w:rsidR="005E448C">
        <w:t>as a matter of public policy, Courts will not allow a party to contract out of the consequences of their own fraudulent conduct.  Here, the insurer relies on the Applicants’ alleged fraudulent non-disclosure and if that allegation proves to be correct, it will have validly avoided the policy.</w:t>
      </w:r>
      <w:r w:rsidR="00AD2544">
        <w:t xml:space="preserve">  The result would be the same even if there existed an express term purporting to relieve the insureds of the consequences of their own fraud.</w:t>
      </w:r>
      <w:r w:rsidR="005E448C">
        <w:t xml:space="preserve">  </w:t>
      </w:r>
    </w:p>
    <w:p w14:paraId="5CD5F296" w14:textId="77777777" w:rsidR="00BF7418" w:rsidRPr="00156DA5" w:rsidRDefault="00BF7418" w:rsidP="00BF7418">
      <w:pPr>
        <w:pStyle w:val="ParaNumbering"/>
      </w:pPr>
      <w:r w:rsidRPr="00156DA5">
        <w:t xml:space="preserve">Despite the outcome in this particular case, it ought to be observed that an insurer may not escape its obligation to advance defence costs </w:t>
      </w:r>
      <w:r w:rsidR="00AD2544" w:rsidRPr="00156DA5">
        <w:t xml:space="preserve">until relevant facts are established </w:t>
      </w:r>
      <w:r w:rsidRPr="00156DA5">
        <w:t>by a simple allegation of non-disclosure.  Consistent with its obligation of utmost good faith</w:t>
      </w:r>
      <w:r w:rsidR="004A0CD1" w:rsidRPr="00156DA5">
        <w:t xml:space="preserve"> under s 13(1) of the ICA</w:t>
      </w:r>
      <w:r w:rsidRPr="00156DA5">
        <w:t xml:space="preserve">, an insurer must have a </w:t>
      </w:r>
      <w:r w:rsidR="004A0CD1" w:rsidRPr="00156DA5">
        <w:t xml:space="preserve">real or </w:t>
      </w:r>
      <w:r w:rsidRPr="00156DA5">
        <w:t xml:space="preserve">substantial ground for alleging </w:t>
      </w:r>
      <w:r w:rsidR="004A0CD1" w:rsidRPr="00156DA5">
        <w:t>non-disclosure</w:t>
      </w:r>
      <w:r w:rsidRPr="00156DA5">
        <w:t xml:space="preserve">.  That does not mean </w:t>
      </w:r>
      <w:r w:rsidR="000E1425" w:rsidRPr="00156DA5">
        <w:t xml:space="preserve">the insurer must </w:t>
      </w:r>
      <w:r w:rsidRPr="00156DA5">
        <w:t xml:space="preserve">then </w:t>
      </w:r>
      <w:r w:rsidR="000E1425" w:rsidRPr="00156DA5">
        <w:t xml:space="preserve">have </w:t>
      </w:r>
      <w:r w:rsidR="004A0CD1" w:rsidRPr="00156DA5">
        <w:t xml:space="preserve">all necessary </w:t>
      </w:r>
      <w:r w:rsidRPr="00156DA5">
        <w:t xml:space="preserve">proof of the insured’s conduct to establish the ground for the exclusion.  </w:t>
      </w:r>
      <w:r w:rsidR="004A0CD1" w:rsidRPr="00156DA5">
        <w:t xml:space="preserve">However, </w:t>
      </w:r>
      <w:r w:rsidRPr="00156DA5">
        <w:t>sufficient grounds</w:t>
      </w:r>
      <w:r w:rsidR="004A0CD1" w:rsidRPr="00156DA5">
        <w:t xml:space="preserve"> must then exist</w:t>
      </w:r>
      <w:r w:rsidRPr="00156DA5">
        <w:t xml:space="preserve"> </w:t>
      </w:r>
      <w:r w:rsidR="000E1425" w:rsidRPr="00156DA5">
        <w:t xml:space="preserve">which can </w:t>
      </w:r>
      <w:r w:rsidR="004A0CD1" w:rsidRPr="00156DA5">
        <w:t xml:space="preserve">be relied upon consistently with the obligation </w:t>
      </w:r>
      <w:r w:rsidR="004A0CD1" w:rsidRPr="00156DA5">
        <w:rPr>
          <w:lang w:val="en"/>
        </w:rPr>
        <w:t>of utmost good faith</w:t>
      </w:r>
      <w:r w:rsidR="004A0CD1" w:rsidRPr="00156DA5">
        <w:t xml:space="preserve">. </w:t>
      </w:r>
      <w:r w:rsidRPr="00156DA5">
        <w:t>This is not an issue in this case, where there is no suggestion of disclosure</w:t>
      </w:r>
      <w:r w:rsidR="000E1425" w:rsidRPr="00156DA5">
        <w:t>,</w:t>
      </w:r>
      <w:r w:rsidRPr="00156DA5">
        <w:t xml:space="preserve"> </w:t>
      </w:r>
      <w:r w:rsidR="000E1425" w:rsidRPr="00156DA5">
        <w:t xml:space="preserve">and </w:t>
      </w:r>
      <w:r w:rsidRPr="00156DA5">
        <w:t>the relevant facts of the charges, if true, must have been known to the Applicants, and the merits of the charges are sufficient to support the commencement of a prosecution.</w:t>
      </w:r>
    </w:p>
    <w:p w14:paraId="16C848E6" w14:textId="77777777" w:rsidR="007E7FD7" w:rsidRDefault="007E7FD7" w:rsidP="007E7FD7">
      <w:pPr>
        <w:pStyle w:val="Heading2"/>
      </w:pPr>
      <w:r>
        <w:lastRenderedPageBreak/>
        <w:t>The facts</w:t>
      </w:r>
    </w:p>
    <w:p w14:paraId="1CA16251" w14:textId="77777777" w:rsidR="00102713" w:rsidRDefault="00102713" w:rsidP="00102713">
      <w:pPr>
        <w:pStyle w:val="Heading3"/>
      </w:pPr>
      <w:r>
        <w:t>Background to</w:t>
      </w:r>
      <w:r w:rsidR="00993CB8">
        <w:t xml:space="preserve"> the</w:t>
      </w:r>
      <w:r>
        <w:t xml:space="preserve"> policy</w:t>
      </w:r>
    </w:p>
    <w:p w14:paraId="76459131" w14:textId="77777777" w:rsidR="00475A7D" w:rsidRDefault="00993CB8" w:rsidP="00475A7D">
      <w:pPr>
        <w:pStyle w:val="ParaNumbering"/>
      </w:pPr>
      <w:r>
        <w:t>The Applicants</w:t>
      </w:r>
      <w:r w:rsidR="00475A7D">
        <w:t xml:space="preserve"> are directors of the company </w:t>
      </w:r>
      <w:proofErr w:type="spellStart"/>
      <w:r w:rsidR="00475A7D">
        <w:t>Synep</w:t>
      </w:r>
      <w:proofErr w:type="spellEnd"/>
      <w:r w:rsidR="00475A7D">
        <w:t xml:space="preserve"> Pty Ltd (</w:t>
      </w:r>
      <w:proofErr w:type="spellStart"/>
      <w:r w:rsidR="00475A7D">
        <w:t>Synep</w:t>
      </w:r>
      <w:proofErr w:type="spellEnd"/>
      <w:r w:rsidR="00475A7D">
        <w:t>)</w:t>
      </w:r>
      <w:r w:rsidR="004244BA">
        <w:t>.  On 1 June 2016, that company</w:t>
      </w:r>
      <w:r w:rsidR="00475A7D">
        <w:t xml:space="preserve"> </w:t>
      </w:r>
      <w:r w:rsidR="004244BA">
        <w:t xml:space="preserve">acquired </w:t>
      </w:r>
      <w:r w:rsidR="00475A7D">
        <w:t xml:space="preserve">100% of the shares of Plutus Payroll Australia Pty Ltd (Plutus).  </w:t>
      </w:r>
    </w:p>
    <w:p w14:paraId="65E007D9" w14:textId="77777777" w:rsidR="00475A7D" w:rsidRDefault="001505E1" w:rsidP="00475A7D">
      <w:pPr>
        <w:pStyle w:val="ParaNumbering"/>
      </w:pPr>
      <w:r>
        <w:t xml:space="preserve">The </w:t>
      </w:r>
      <w:r w:rsidR="00993CB8">
        <w:t>insurer carries</w:t>
      </w:r>
      <w:r w:rsidR="00475A7D">
        <w:t xml:space="preserve"> on the business of providing insurance</w:t>
      </w:r>
      <w:r w:rsidR="00993CB8">
        <w:t>,</w:t>
      </w:r>
      <w:r w:rsidR="00475A7D">
        <w:t xml:space="preserve"> including </w:t>
      </w:r>
      <w:r w:rsidR="00993CB8">
        <w:t>L</w:t>
      </w:r>
      <w:r w:rsidR="00475A7D">
        <w:t>iability insurance</w:t>
      </w:r>
      <w:r w:rsidR="00993CB8">
        <w:t>,</w:t>
      </w:r>
      <w:r w:rsidR="00475A7D">
        <w:t xml:space="preserve"> in Australia.  It is uncontentious that </w:t>
      </w:r>
      <w:r w:rsidR="00993CB8">
        <w:t>it</w:t>
      </w:r>
      <w:r w:rsidR="00D73120">
        <w:t>s</w:t>
      </w:r>
      <w:r w:rsidR="00475A7D">
        <w:t xml:space="preserve"> policy </w:t>
      </w:r>
      <w:r w:rsidR="00993CB8">
        <w:t xml:space="preserve">in this case </w:t>
      </w:r>
      <w:r w:rsidR="00475A7D">
        <w:t xml:space="preserve">is subject to the </w:t>
      </w:r>
      <w:r w:rsidR="00475A7D" w:rsidRPr="00475A7D">
        <w:rPr>
          <w:i/>
        </w:rPr>
        <w:t>Insurance Contracts Act</w:t>
      </w:r>
      <w:r w:rsidR="000B5AD5">
        <w:rPr>
          <w:i/>
        </w:rPr>
        <w:t xml:space="preserve"> 1984</w:t>
      </w:r>
      <w:r w:rsidR="00475A7D">
        <w:t xml:space="preserve"> (Cth)</w:t>
      </w:r>
      <w:r>
        <w:t xml:space="preserve"> (the “ICA”)</w:t>
      </w:r>
      <w:r w:rsidR="00475A7D">
        <w:t xml:space="preserve">.  </w:t>
      </w:r>
    </w:p>
    <w:p w14:paraId="5E9A0432" w14:textId="77777777" w:rsidR="00475A7D" w:rsidRDefault="00475A7D" w:rsidP="00475A7D">
      <w:pPr>
        <w:pStyle w:val="ParaNumbering"/>
      </w:pPr>
      <w:r>
        <w:t>On or about 1 July 2016</w:t>
      </w:r>
      <w:r w:rsidR="004244BA">
        <w:t xml:space="preserve">, </w:t>
      </w:r>
      <w:r w:rsidR="00993CB8">
        <w:t>it</w:t>
      </w:r>
      <w:r w:rsidR="004244BA">
        <w:t xml:space="preserve"> granted to</w:t>
      </w:r>
      <w:r>
        <w:t xml:space="preserve"> </w:t>
      </w:r>
      <w:proofErr w:type="spellStart"/>
      <w:r>
        <w:t>Synep</w:t>
      </w:r>
      <w:proofErr w:type="spellEnd"/>
      <w:r>
        <w:t xml:space="preserve"> a SURA Labour Force Liability Insurance policy</w:t>
      </w:r>
      <w:r w:rsidR="004244BA">
        <w:t>,</w:t>
      </w:r>
      <w:r>
        <w:t xml:space="preserve"> Number LCB171202453 (the policy)</w:t>
      </w:r>
      <w:r w:rsidR="004244BA">
        <w:t>,</w:t>
      </w:r>
      <w:r>
        <w:t xml:space="preserve"> </w:t>
      </w:r>
      <w:r w:rsidR="00993CB8">
        <w:t>for the</w:t>
      </w:r>
      <w:r>
        <w:t xml:space="preserve"> period from 1 July 2016 to 1 July 2017.  The policy was effected by SURA Labour Hire Pty Ltd</w:t>
      </w:r>
      <w:r w:rsidR="00993CB8">
        <w:t>, and</w:t>
      </w:r>
      <w:r>
        <w:t xml:space="preserve"> underwritten by </w:t>
      </w:r>
      <w:r w:rsidR="001505E1">
        <w:t>the insurer</w:t>
      </w:r>
      <w:r>
        <w:t>.</w:t>
      </w:r>
      <w:r w:rsidR="00EB4823" w:rsidRPr="00EB4823">
        <w:t xml:space="preserve"> </w:t>
      </w:r>
      <w:r w:rsidR="00EB4823">
        <w:t xml:space="preserve">Five named companies including </w:t>
      </w:r>
      <w:proofErr w:type="spellStart"/>
      <w:r w:rsidR="00EB4823">
        <w:t>Synep</w:t>
      </w:r>
      <w:proofErr w:type="spellEnd"/>
      <w:r w:rsidR="00EB4823">
        <w:t xml:space="preserve"> and Plutus (although the latter’s name is misspelt) </w:t>
      </w:r>
      <w:r w:rsidR="00993CB8">
        <w:t xml:space="preserve">were </w:t>
      </w:r>
      <w:r w:rsidR="00EB4823">
        <w:t xml:space="preserve">identified as the named insured.  </w:t>
      </w:r>
    </w:p>
    <w:p w14:paraId="559FCF60" w14:textId="77777777" w:rsidR="004244BA" w:rsidRPr="00475A7D" w:rsidRDefault="00475A7D" w:rsidP="004244BA">
      <w:pPr>
        <w:pStyle w:val="ParaNumbering"/>
      </w:pPr>
      <w:r>
        <w:t xml:space="preserve">The policy </w:t>
      </w:r>
      <w:r w:rsidR="004244BA">
        <w:t xml:space="preserve">is constituted by two documents being </w:t>
      </w:r>
      <w:r>
        <w:t>the SURA Labour Force Liability Insurance Policy Wording Edition SLHLFP V2 05-2016</w:t>
      </w:r>
      <w:r w:rsidR="00993CB8" w:rsidRPr="00993CB8">
        <w:t xml:space="preserve"> </w:t>
      </w:r>
      <w:r w:rsidR="00993CB8">
        <w:t>and the Schedule of Insurance</w:t>
      </w:r>
      <w:r>
        <w:t xml:space="preserve">.  </w:t>
      </w:r>
      <w:r w:rsidR="004244BA">
        <w:t>The type of insurance provided is characterised as “labour industry and host employer insurance”</w:t>
      </w:r>
      <w:r w:rsidR="00993CB8">
        <w:t>,</w:t>
      </w:r>
      <w:r w:rsidR="004244BA">
        <w:t xml:space="preserve"> and the business identified in the Schedule of Insurance is “personal recruitment and/or labour hire”.  </w:t>
      </w:r>
    </w:p>
    <w:p w14:paraId="6EE36E37" w14:textId="77777777" w:rsidR="00475A7D" w:rsidRDefault="00EB4823" w:rsidP="00475A7D">
      <w:pPr>
        <w:pStyle w:val="ParaNumbering"/>
      </w:pPr>
      <w:r>
        <w:t xml:space="preserve">In general terms, </w:t>
      </w:r>
      <w:r w:rsidR="000E1425">
        <w:t xml:space="preserve">the </w:t>
      </w:r>
      <w:r w:rsidR="00993CB8">
        <w:t>cover</w:t>
      </w:r>
      <w:r>
        <w:t xml:space="preserve"> is divided into two main sections. Section one contains </w:t>
      </w:r>
      <w:proofErr w:type="spellStart"/>
      <w:r>
        <w:t>Broadform</w:t>
      </w:r>
      <w:proofErr w:type="spellEnd"/>
      <w:r>
        <w:t xml:space="preserve"> Liability </w:t>
      </w:r>
      <w:r w:rsidR="00993CB8">
        <w:t>cover</w:t>
      </w:r>
      <w:r>
        <w:t xml:space="preserve"> and Section two provides cover in respect of “</w:t>
      </w:r>
      <w:r w:rsidR="00475A7D">
        <w:t>Management Liabi</w:t>
      </w:r>
      <w:r>
        <w:t>lity and Professional Indemnity”.  The Applicants have sought indemnity under the second section</w:t>
      </w:r>
      <w:r w:rsidR="00993CB8">
        <w:t>,</w:t>
      </w:r>
      <w:r>
        <w:t xml:space="preserve"> and for present purposes it is accepted that under this section, </w:t>
      </w:r>
      <w:r w:rsidR="00475A7D">
        <w:t xml:space="preserve">an </w:t>
      </w:r>
      <w:r>
        <w:t>“</w:t>
      </w:r>
      <w:r w:rsidR="00475A7D">
        <w:t>insured person</w:t>
      </w:r>
      <w:r>
        <w:t>”</w:t>
      </w:r>
      <w:r w:rsidR="00475A7D">
        <w:t xml:space="preserve"> means any natural person who was prior to the period of insurance or is during or after the period of insurance a director, officer or</w:t>
      </w:r>
      <w:r w:rsidR="004244BA">
        <w:t xml:space="preserve"> employee of an insured company.</w:t>
      </w:r>
      <w:r w:rsidR="00475A7D">
        <w:t xml:space="preserve"> </w:t>
      </w:r>
      <w:r>
        <w:t xml:space="preserve"> It is not in </w:t>
      </w:r>
      <w:r w:rsidR="00993CB8">
        <w:t>issue</w:t>
      </w:r>
      <w:r>
        <w:t xml:space="preserve"> that the A</w:t>
      </w:r>
      <w:r w:rsidR="00475A7D">
        <w:t xml:space="preserve">pplicants </w:t>
      </w:r>
      <w:r>
        <w:t>are each “an insured person” within the meaning of that definition</w:t>
      </w:r>
      <w:r w:rsidR="00475A7D">
        <w:t>.</w:t>
      </w:r>
    </w:p>
    <w:p w14:paraId="260813BE" w14:textId="77777777" w:rsidR="00F66A5B" w:rsidRDefault="00C97A38" w:rsidP="00102713">
      <w:pPr>
        <w:pStyle w:val="Heading3"/>
      </w:pPr>
      <w:r>
        <w:t>Policy terms and conditions</w:t>
      </w:r>
    </w:p>
    <w:p w14:paraId="1EEA18E5" w14:textId="77777777" w:rsidR="00102713" w:rsidRDefault="00EB4823" w:rsidP="00102713">
      <w:pPr>
        <w:pStyle w:val="ParaNumbering"/>
      </w:pPr>
      <w:r>
        <w:t>The</w:t>
      </w:r>
      <w:r w:rsidR="00102713">
        <w:t xml:space="preserve"> </w:t>
      </w:r>
      <w:r w:rsidR="00102713" w:rsidRPr="00C97A38">
        <w:t>Management Liability and Professional Indemnity</w:t>
      </w:r>
      <w:r>
        <w:t xml:space="preserve"> section contains a number of general insuring clauses.  In relation to</w:t>
      </w:r>
      <w:r w:rsidR="004244BA">
        <w:t xml:space="preserve"> </w:t>
      </w:r>
      <w:r w:rsidR="00102713">
        <w:t>Directors and Officers</w:t>
      </w:r>
      <w:r w:rsidR="004244BA">
        <w:t xml:space="preserve"> Liability, </w:t>
      </w:r>
      <w:r>
        <w:t>the general insuring clause provided</w:t>
      </w:r>
      <w:r w:rsidR="00102713">
        <w:t>:</w:t>
      </w:r>
    </w:p>
    <w:p w14:paraId="15C9DDDD" w14:textId="77777777" w:rsidR="00102713" w:rsidRDefault="00102713" w:rsidP="00D04EA3">
      <w:pPr>
        <w:pStyle w:val="Quote1"/>
        <w:ind w:right="522"/>
      </w:pPr>
      <w:r w:rsidRPr="00B02544">
        <w:t xml:space="preserve">We will pay, on </w:t>
      </w:r>
      <w:proofErr w:type="gramStart"/>
      <w:r w:rsidRPr="00B02544">
        <w:t>Your</w:t>
      </w:r>
      <w:proofErr w:type="gramEnd"/>
      <w:r w:rsidRPr="00B02544">
        <w:t xml:space="preserve"> behalf, Loss resulting from Claims first made against the Insured Persons and notified to Us during the Period of Insurance based on Management Wrongful Acts for which the Company has not agreed to provide indemnity.</w:t>
      </w:r>
    </w:p>
    <w:p w14:paraId="7C512480" w14:textId="77777777" w:rsidR="00102713" w:rsidRDefault="00102713" w:rsidP="00102713">
      <w:pPr>
        <w:pStyle w:val="ParaNumbering"/>
      </w:pPr>
      <w:r>
        <w:lastRenderedPageBreak/>
        <w:t xml:space="preserve">To understand </w:t>
      </w:r>
      <w:r w:rsidR="00993CB8">
        <w:t>its</w:t>
      </w:r>
      <w:r>
        <w:t xml:space="preserve"> operation </w:t>
      </w:r>
      <w:r w:rsidR="00993CB8">
        <w:t>it is necessary to refer</w:t>
      </w:r>
      <w:r>
        <w:t xml:space="preserve"> to certain policy definitions which are</w:t>
      </w:r>
      <w:r w:rsidR="00D04EA3">
        <w:t>,</w:t>
      </w:r>
      <w:r>
        <w:t xml:space="preserve"> relevantly:</w:t>
      </w:r>
    </w:p>
    <w:p w14:paraId="4FF22BB3" w14:textId="735C4E76" w:rsidR="00102713" w:rsidRPr="00D04EA3" w:rsidRDefault="00EA65CD" w:rsidP="00EA65CD">
      <w:pPr>
        <w:pStyle w:val="Quote1"/>
        <w:ind w:left="1440" w:hanging="703"/>
      </w:pPr>
      <w:r w:rsidRPr="00EA65CD">
        <w:t xml:space="preserve">(a) </w:t>
      </w:r>
      <w:r>
        <w:rPr>
          <w:b/>
        </w:rPr>
        <w:tab/>
      </w:r>
      <w:r w:rsidR="00102713" w:rsidRPr="00D04EA3">
        <w:rPr>
          <w:b/>
        </w:rPr>
        <w:t>We/Our/Us/Insurer</w:t>
      </w:r>
      <w:r w:rsidR="00102713" w:rsidRPr="00D04EA3">
        <w:t xml:space="preserve"> means </w:t>
      </w:r>
      <w:r w:rsidR="00D04EA3" w:rsidRPr="00D04EA3">
        <w:t>SURA Labour Hire Pty Ltd ABN 67 604 373 088, and certain Underwriters at Lloyds</w:t>
      </w:r>
      <w:r w:rsidR="00993CB8">
        <w:t>.</w:t>
      </w:r>
      <w:r w:rsidR="00D04EA3" w:rsidRPr="00D04EA3">
        <w:t xml:space="preserve"> [</w:t>
      </w:r>
      <w:r w:rsidR="00993CB8">
        <w:t>I</w:t>
      </w:r>
      <w:r w:rsidR="00D04EA3" w:rsidRPr="00D04EA3">
        <w:t xml:space="preserve">n this matter it can be taken as referred to </w:t>
      </w:r>
      <w:r w:rsidR="00AD2544">
        <w:t>“the insurer”</w:t>
      </w:r>
      <w:r w:rsidR="00102713" w:rsidRPr="00D04EA3">
        <w:t>].</w:t>
      </w:r>
    </w:p>
    <w:p w14:paraId="18834CC5" w14:textId="45A8B032" w:rsidR="00102713" w:rsidRPr="00D04EA3" w:rsidRDefault="00EA65CD" w:rsidP="00BF04E7">
      <w:pPr>
        <w:pStyle w:val="Quote1"/>
      </w:pPr>
      <w:r w:rsidRPr="00EA65CD">
        <w:t xml:space="preserve">(b) </w:t>
      </w:r>
      <w:r>
        <w:rPr>
          <w:b/>
        </w:rPr>
        <w:tab/>
      </w:r>
      <w:r w:rsidR="00102713" w:rsidRPr="00D04EA3">
        <w:rPr>
          <w:b/>
        </w:rPr>
        <w:t xml:space="preserve">You/Your/Insured </w:t>
      </w:r>
      <w:r w:rsidR="00102713" w:rsidRPr="00D04EA3">
        <w:t xml:space="preserve">means: </w:t>
      </w:r>
    </w:p>
    <w:p w14:paraId="0024D3C6" w14:textId="77777777" w:rsidR="004244BA" w:rsidRDefault="004244BA" w:rsidP="00EA65CD">
      <w:pPr>
        <w:pStyle w:val="Quote2"/>
      </w:pPr>
      <w:r>
        <w:t xml:space="preserve">a) </w:t>
      </w:r>
      <w:proofErr w:type="gramStart"/>
      <w:r>
        <w:t>the</w:t>
      </w:r>
      <w:proofErr w:type="gramEnd"/>
      <w:r>
        <w:t xml:space="preserve"> Company</w:t>
      </w:r>
      <w:r w:rsidR="006E4090">
        <w:t xml:space="preserve">; and </w:t>
      </w:r>
    </w:p>
    <w:p w14:paraId="1FDCFADE" w14:textId="77777777" w:rsidR="00102713" w:rsidRDefault="00102713" w:rsidP="00EA65CD">
      <w:pPr>
        <w:pStyle w:val="Quote2"/>
      </w:pPr>
      <w:r w:rsidRPr="00D04EA3">
        <w:t xml:space="preserve">b) </w:t>
      </w:r>
      <w:proofErr w:type="gramStart"/>
      <w:r w:rsidRPr="00D04EA3">
        <w:t>the</w:t>
      </w:r>
      <w:proofErr w:type="gramEnd"/>
      <w:r w:rsidRPr="00D04EA3">
        <w:t xml:space="preserve"> Insured Persons</w:t>
      </w:r>
      <w:r w:rsidR="006E4090">
        <w:t>;</w:t>
      </w:r>
    </w:p>
    <w:p w14:paraId="7B90E95E" w14:textId="77777777" w:rsidR="006E4090" w:rsidRPr="00D04EA3" w:rsidRDefault="006E4090" w:rsidP="00EA65CD">
      <w:pPr>
        <w:pStyle w:val="Quote2"/>
      </w:pPr>
      <w:r>
        <w:t>c) …</w:t>
      </w:r>
    </w:p>
    <w:p w14:paraId="0155B7C2" w14:textId="6EA80AEF" w:rsidR="00102713" w:rsidRPr="00D04EA3" w:rsidRDefault="00EA65CD" w:rsidP="00EA65CD">
      <w:pPr>
        <w:pStyle w:val="Quote1"/>
        <w:ind w:left="1440" w:hanging="703"/>
      </w:pPr>
      <w:r w:rsidRPr="00EA65CD">
        <w:t xml:space="preserve">(c) </w:t>
      </w:r>
      <w:r>
        <w:rPr>
          <w:b/>
        </w:rPr>
        <w:tab/>
      </w:r>
      <w:r w:rsidR="00102713" w:rsidRPr="00D04EA3">
        <w:rPr>
          <w:b/>
        </w:rPr>
        <w:t>Insured Person</w:t>
      </w:r>
      <w:r w:rsidR="00102713" w:rsidRPr="00D04EA3">
        <w:t xml:space="preserve"> means any natural person who was prior to the Period of Insurance, or is during or after the Period of Insurance a Director, officer or Employee of the Company.</w:t>
      </w:r>
    </w:p>
    <w:p w14:paraId="507743A6" w14:textId="6595A823" w:rsidR="00102713" w:rsidRPr="00D04EA3" w:rsidRDefault="00EA65CD" w:rsidP="00BF04E7">
      <w:pPr>
        <w:pStyle w:val="Quote1"/>
      </w:pPr>
      <w:r w:rsidRPr="00EA65CD">
        <w:t>(d)</w:t>
      </w:r>
      <w:r w:rsidRPr="00EA65CD">
        <w:tab/>
      </w:r>
      <w:r w:rsidR="00102713" w:rsidRPr="00D04EA3">
        <w:rPr>
          <w:b/>
        </w:rPr>
        <w:t>Company</w:t>
      </w:r>
      <w:r w:rsidR="00102713" w:rsidRPr="00D04EA3">
        <w:t xml:space="preserve"> means:</w:t>
      </w:r>
    </w:p>
    <w:p w14:paraId="0A6B1DA9" w14:textId="77777777" w:rsidR="00102713" w:rsidRPr="00D04EA3" w:rsidRDefault="00102713" w:rsidP="00EA65CD">
      <w:pPr>
        <w:pStyle w:val="Quote2"/>
      </w:pPr>
      <w:r w:rsidRPr="00D04EA3">
        <w:t>a)</w:t>
      </w:r>
      <w:r w:rsidRPr="00D04EA3">
        <w:tab/>
      </w:r>
      <w:proofErr w:type="gramStart"/>
      <w:r w:rsidRPr="00D04EA3">
        <w:t>the</w:t>
      </w:r>
      <w:proofErr w:type="gramEnd"/>
      <w:r w:rsidRPr="00D04EA3">
        <w:t xml:space="preserve"> Insured; and</w:t>
      </w:r>
    </w:p>
    <w:p w14:paraId="4A5D9FFB" w14:textId="77777777" w:rsidR="00102713" w:rsidRPr="00D04EA3" w:rsidRDefault="00102713" w:rsidP="00EA65CD">
      <w:pPr>
        <w:pStyle w:val="Quote2"/>
      </w:pPr>
      <w:r w:rsidRPr="00D04EA3">
        <w:t>b)</w:t>
      </w:r>
      <w:r w:rsidRPr="00D04EA3">
        <w:tab/>
        <w:t>Subsidiaries of the Insured prior to or as at the commencement of the Period of Insurance, but cover only applies in respect of Wrongful Acts or any dishonest or fraudulent act committed or alleged to have been committed subsequent to the acquisition or creation of such Subsidiary.</w:t>
      </w:r>
    </w:p>
    <w:p w14:paraId="04CF33E2" w14:textId="25650046" w:rsidR="00102713" w:rsidRPr="00D04EA3" w:rsidRDefault="00EA65CD" w:rsidP="00EA65CD">
      <w:pPr>
        <w:pStyle w:val="Quote1"/>
        <w:ind w:left="1440" w:hanging="703"/>
      </w:pPr>
      <w:r>
        <w:t xml:space="preserve">(e) </w:t>
      </w:r>
      <w:r>
        <w:tab/>
      </w:r>
      <w:r w:rsidR="00102713" w:rsidRPr="00D04EA3">
        <w:rPr>
          <w:b/>
        </w:rPr>
        <w:t>Director</w:t>
      </w:r>
      <w:r w:rsidR="00102713" w:rsidRPr="00D04EA3">
        <w:t xml:space="preserve"> means any natural person who was prior to the Period of Insurance, or is during or after the Period of Insurance a validly appointed director (as defined in the </w:t>
      </w:r>
      <w:r w:rsidR="00102713" w:rsidRPr="006E4090">
        <w:t>Corporations Act 2001</w:t>
      </w:r>
      <w:r w:rsidR="00102713" w:rsidRPr="00D04EA3">
        <w:t xml:space="preserve"> or any equivalent provision in the jurisdiction in which the Company is incorporated) of the Company.</w:t>
      </w:r>
    </w:p>
    <w:p w14:paraId="1C061475" w14:textId="05CD6090" w:rsidR="00102713" w:rsidRPr="00D04EA3" w:rsidRDefault="00EA65CD" w:rsidP="00BF04E7">
      <w:pPr>
        <w:pStyle w:val="Quote1"/>
      </w:pPr>
      <w:r w:rsidRPr="00EA65CD">
        <w:t>(f)</w:t>
      </w:r>
      <w:r>
        <w:rPr>
          <w:b/>
        </w:rPr>
        <w:tab/>
      </w:r>
      <w:r w:rsidR="00102713" w:rsidRPr="00D04EA3">
        <w:rPr>
          <w:b/>
        </w:rPr>
        <w:t>Loss</w:t>
      </w:r>
      <w:r w:rsidR="00102713" w:rsidRPr="00D04EA3">
        <w:t xml:space="preserve"> means:</w:t>
      </w:r>
    </w:p>
    <w:p w14:paraId="304B9E8D" w14:textId="77777777" w:rsidR="00102713" w:rsidRPr="00D04EA3" w:rsidRDefault="00102713" w:rsidP="00EA65CD">
      <w:pPr>
        <w:pStyle w:val="Quote2"/>
      </w:pPr>
      <w:r w:rsidRPr="00D04EA3">
        <w:t>a)</w:t>
      </w:r>
      <w:r w:rsidRPr="00D04EA3">
        <w:tab/>
        <w:t>the amount, whether determined by judgment, verdict or award for which You are legally liable to a third party for a Claim and includes damages, compensation orders, interest and claimant's costs and expenses; and</w:t>
      </w:r>
    </w:p>
    <w:p w14:paraId="600E5D17" w14:textId="77777777" w:rsidR="00102713" w:rsidRPr="00D04EA3" w:rsidRDefault="00102713" w:rsidP="00EA65CD">
      <w:pPr>
        <w:pStyle w:val="Quote2"/>
      </w:pPr>
      <w:r w:rsidRPr="00D04EA3">
        <w:t xml:space="preserve">b) </w:t>
      </w:r>
      <w:r w:rsidRPr="00D04EA3">
        <w:tab/>
      </w:r>
      <w:proofErr w:type="gramStart"/>
      <w:r w:rsidRPr="00D04EA3">
        <w:t>a</w:t>
      </w:r>
      <w:proofErr w:type="gramEnd"/>
      <w:r w:rsidRPr="00D04EA3">
        <w:t xml:space="preserve"> settlement of a Claim by a third party against an Insured Person, which complies with Settlement Claims Condition; and</w:t>
      </w:r>
    </w:p>
    <w:p w14:paraId="22161B57" w14:textId="77777777" w:rsidR="00102713" w:rsidRDefault="006E4090" w:rsidP="00EA65CD">
      <w:pPr>
        <w:pStyle w:val="Quote2"/>
      </w:pPr>
      <w:r>
        <w:t xml:space="preserve">c) </w:t>
      </w:r>
      <w:r>
        <w:tab/>
        <w:t>Defence Costs;</w:t>
      </w:r>
    </w:p>
    <w:p w14:paraId="4523A63B" w14:textId="77777777" w:rsidR="006E4090" w:rsidRPr="00D04EA3" w:rsidRDefault="006E4090" w:rsidP="00EA65CD">
      <w:pPr>
        <w:pStyle w:val="Quote2"/>
      </w:pPr>
      <w:r>
        <w:t>d)</w:t>
      </w:r>
      <w:r>
        <w:tab/>
        <w:t>…</w:t>
      </w:r>
    </w:p>
    <w:p w14:paraId="03AD062C" w14:textId="2F8D817D" w:rsidR="00102713" w:rsidRPr="00D04EA3" w:rsidRDefault="00EA65CD" w:rsidP="00EA65CD">
      <w:pPr>
        <w:pStyle w:val="Quote1"/>
        <w:ind w:left="1440" w:hanging="703"/>
      </w:pPr>
      <w:r>
        <w:t>(g)</w:t>
      </w:r>
      <w:r>
        <w:tab/>
      </w:r>
      <w:r w:rsidR="00102713" w:rsidRPr="00D04EA3">
        <w:rPr>
          <w:b/>
        </w:rPr>
        <w:t>Defence Costs</w:t>
      </w:r>
      <w:r w:rsidR="00102713" w:rsidRPr="00D04EA3">
        <w:t xml:space="preserve"> means Your share, according to the Allocation of Loss Claims Condition, of necessary and reasonable costs, charges, fees and expenses (other than regular or overtime wages, salaries, fees or Benefits of the Insured Persons or Trustees) incurred by You with Our prior written consent, in defending, investigating or settling covered Claims.</w:t>
      </w:r>
    </w:p>
    <w:p w14:paraId="1FD26635" w14:textId="6404E2A6" w:rsidR="00102713" w:rsidRPr="00D04EA3" w:rsidRDefault="00EA65CD" w:rsidP="00BF04E7">
      <w:pPr>
        <w:pStyle w:val="Quote1"/>
      </w:pPr>
      <w:r w:rsidRPr="00EA65CD">
        <w:t>(h)</w:t>
      </w:r>
      <w:r>
        <w:rPr>
          <w:b/>
        </w:rPr>
        <w:tab/>
      </w:r>
      <w:r w:rsidR="00102713" w:rsidRPr="00D04EA3">
        <w:rPr>
          <w:b/>
        </w:rPr>
        <w:t>Claim</w:t>
      </w:r>
      <w:r w:rsidR="00102713" w:rsidRPr="00D04EA3">
        <w:t xml:space="preserve"> means:</w:t>
      </w:r>
    </w:p>
    <w:p w14:paraId="65A7B6C6" w14:textId="77777777" w:rsidR="00102713" w:rsidRPr="00D04EA3" w:rsidRDefault="006E4090" w:rsidP="00EA65CD">
      <w:pPr>
        <w:pStyle w:val="Quote2"/>
      </w:pPr>
      <w:r>
        <w:t>a)</w:t>
      </w:r>
      <w:r>
        <w:tab/>
      </w:r>
      <w:r w:rsidR="00102713" w:rsidRPr="00D04EA3">
        <w:t>…</w:t>
      </w:r>
    </w:p>
    <w:p w14:paraId="6E1BBA9F" w14:textId="77777777" w:rsidR="00102713" w:rsidRPr="00D04EA3" w:rsidRDefault="00102713" w:rsidP="00EA65CD">
      <w:pPr>
        <w:pStyle w:val="Quote2"/>
      </w:pPr>
      <w:r w:rsidRPr="00D04EA3">
        <w:t xml:space="preserve">b) </w:t>
      </w:r>
      <w:r w:rsidRPr="00D04EA3">
        <w:tab/>
        <w:t xml:space="preserve">a civil proceeding commenced by the service of a written complaint, summons, statement of claim, writ or similar pleading or an arbitral process, </w:t>
      </w:r>
      <w:r w:rsidRPr="00D04EA3">
        <w:lastRenderedPageBreak/>
        <w:t>cross-claim or counter claim against You alleging an act, error, omission, conduct, facts or circumstances that may constitute a Wrongful Act; or</w:t>
      </w:r>
    </w:p>
    <w:p w14:paraId="38D346CB" w14:textId="77777777" w:rsidR="00102713" w:rsidRDefault="00102713" w:rsidP="00EA65CD">
      <w:pPr>
        <w:pStyle w:val="Quote2"/>
      </w:pPr>
      <w:r w:rsidRPr="00D04EA3">
        <w:t xml:space="preserve">c) </w:t>
      </w:r>
      <w:r w:rsidRPr="00D04EA3">
        <w:tab/>
      </w:r>
      <w:proofErr w:type="gramStart"/>
      <w:r w:rsidRPr="00D04EA3">
        <w:t>any</w:t>
      </w:r>
      <w:proofErr w:type="gramEnd"/>
      <w:r w:rsidRPr="00D04EA3">
        <w:t xml:space="preserve"> criminal proceeding commenced by a summons or charge of an Insured Person, Comp</w:t>
      </w:r>
      <w:r w:rsidR="006E4090">
        <w:t>any arising from a Wrongful Act; or</w:t>
      </w:r>
    </w:p>
    <w:p w14:paraId="1C4FBC48" w14:textId="77777777" w:rsidR="006E4090" w:rsidRPr="00D04EA3" w:rsidRDefault="006E4090" w:rsidP="00EA65CD">
      <w:pPr>
        <w:pStyle w:val="Quote2"/>
      </w:pPr>
      <w:r>
        <w:t>d)</w:t>
      </w:r>
      <w:r>
        <w:tab/>
        <w:t>…</w:t>
      </w:r>
    </w:p>
    <w:p w14:paraId="39F6C42A" w14:textId="38941A41" w:rsidR="00102713" w:rsidRPr="00D04EA3" w:rsidRDefault="00EA65CD" w:rsidP="00BF04E7">
      <w:pPr>
        <w:pStyle w:val="Quote1"/>
      </w:pPr>
      <w:r w:rsidRPr="00EA65CD">
        <w:t>(</w:t>
      </w:r>
      <w:proofErr w:type="spellStart"/>
      <w:r w:rsidRPr="00EA65CD">
        <w:t>i</w:t>
      </w:r>
      <w:proofErr w:type="spellEnd"/>
      <w:r w:rsidRPr="00EA65CD">
        <w:t>)</w:t>
      </w:r>
      <w:r>
        <w:rPr>
          <w:b/>
        </w:rPr>
        <w:tab/>
      </w:r>
      <w:r w:rsidR="00102713" w:rsidRPr="00D04EA3">
        <w:rPr>
          <w:b/>
        </w:rPr>
        <w:t>Wrongful Act</w:t>
      </w:r>
      <w:r w:rsidR="00102713" w:rsidRPr="00D04EA3">
        <w:rPr>
          <w:b/>
          <w:i/>
        </w:rPr>
        <w:t xml:space="preserve"> </w:t>
      </w:r>
      <w:r w:rsidR="00102713" w:rsidRPr="00D04EA3">
        <w:t>means:</w:t>
      </w:r>
    </w:p>
    <w:p w14:paraId="4AD046F7" w14:textId="77777777" w:rsidR="00102713" w:rsidRDefault="006E4090" w:rsidP="00EA65CD">
      <w:pPr>
        <w:pStyle w:val="Quote2"/>
      </w:pPr>
      <w:r>
        <w:t>a</w:t>
      </w:r>
      <w:r w:rsidR="00102713" w:rsidRPr="00D04EA3">
        <w:t xml:space="preserve">) </w:t>
      </w:r>
      <w:r w:rsidR="00102713" w:rsidRPr="00D04EA3">
        <w:tab/>
      </w:r>
      <w:proofErr w:type="gramStart"/>
      <w:r w:rsidR="00102713" w:rsidRPr="00D04EA3">
        <w:t>a</w:t>
      </w:r>
      <w:proofErr w:type="gramEnd"/>
      <w:r w:rsidR="00102713" w:rsidRPr="00D04EA3">
        <w:t xml:space="preserve"> Management Wrongful Act;</w:t>
      </w:r>
      <w:r>
        <w:t xml:space="preserve"> or</w:t>
      </w:r>
    </w:p>
    <w:p w14:paraId="333F450D" w14:textId="77777777" w:rsidR="006E4090" w:rsidRPr="00D04EA3" w:rsidRDefault="006E4090" w:rsidP="00EA65CD">
      <w:pPr>
        <w:pStyle w:val="Quote2"/>
      </w:pPr>
      <w:r>
        <w:t>b)</w:t>
      </w:r>
      <w:r>
        <w:tab/>
        <w:t>…</w:t>
      </w:r>
    </w:p>
    <w:p w14:paraId="1D48DCF7" w14:textId="6503915B" w:rsidR="00102713" w:rsidRPr="00D04EA3" w:rsidRDefault="00EA65CD" w:rsidP="00EA65CD">
      <w:pPr>
        <w:pStyle w:val="Quote1"/>
        <w:ind w:left="1440" w:hanging="703"/>
      </w:pPr>
      <w:r w:rsidRPr="00EA65CD">
        <w:t>(j)</w:t>
      </w:r>
      <w:r>
        <w:rPr>
          <w:b/>
        </w:rPr>
        <w:t xml:space="preserve"> </w:t>
      </w:r>
      <w:r>
        <w:rPr>
          <w:b/>
        </w:rPr>
        <w:tab/>
      </w:r>
      <w:r w:rsidR="00102713" w:rsidRPr="00D04EA3">
        <w:rPr>
          <w:b/>
        </w:rPr>
        <w:t>Management Wrongful Act</w:t>
      </w:r>
      <w:r w:rsidR="00102713" w:rsidRPr="00D04EA3">
        <w:t xml:space="preserve"> means any act, error, omission, conduct, misstatement, misleading statement, neglect or breach of duty; trust; contract; warranty of authority; statute or confidentiality, actually or allegedly committed by:</w:t>
      </w:r>
    </w:p>
    <w:p w14:paraId="0F51B006" w14:textId="77777777" w:rsidR="00102713" w:rsidRPr="00D04EA3" w:rsidRDefault="006E4090" w:rsidP="00EA65CD">
      <w:pPr>
        <w:pStyle w:val="Quote2"/>
      </w:pPr>
      <w:r>
        <w:t>a)</w:t>
      </w:r>
      <w:r>
        <w:tab/>
      </w:r>
      <w:r w:rsidR="00102713" w:rsidRPr="00D04EA3">
        <w:t>…</w:t>
      </w:r>
    </w:p>
    <w:p w14:paraId="4BDA83D0" w14:textId="77777777" w:rsidR="00102713" w:rsidRPr="00D04EA3" w:rsidRDefault="00102713" w:rsidP="00EA65CD">
      <w:pPr>
        <w:pStyle w:val="Quote2"/>
      </w:pPr>
      <w:r w:rsidRPr="00D04EA3">
        <w:t>b)</w:t>
      </w:r>
      <w:r w:rsidRPr="00D04EA3">
        <w:tab/>
      </w:r>
      <w:proofErr w:type="gramStart"/>
      <w:r w:rsidRPr="00D04EA3">
        <w:t>any</w:t>
      </w:r>
      <w:proofErr w:type="gramEnd"/>
      <w:r w:rsidRPr="00D04EA3">
        <w:t xml:space="preserve"> Insured Person in his or her capacity:</w:t>
      </w:r>
    </w:p>
    <w:p w14:paraId="18FF8DCB" w14:textId="77777777" w:rsidR="00102713" w:rsidRPr="00D04EA3" w:rsidRDefault="00102713" w:rsidP="00EA65CD">
      <w:pPr>
        <w:pStyle w:val="Quote3"/>
      </w:pPr>
      <w:proofErr w:type="spellStart"/>
      <w:r w:rsidRPr="00D04EA3">
        <w:t>i</w:t>
      </w:r>
      <w:proofErr w:type="spellEnd"/>
      <w:r w:rsidRPr="00D04EA3">
        <w:t>)</w:t>
      </w:r>
      <w:r w:rsidRPr="00D04EA3">
        <w:tab/>
      </w:r>
      <w:proofErr w:type="gramStart"/>
      <w:r w:rsidRPr="00D04EA3">
        <w:t>as</w:t>
      </w:r>
      <w:proofErr w:type="gramEnd"/>
      <w:r w:rsidRPr="00D04EA3">
        <w:t xml:space="preserve"> an Insured Person; or</w:t>
      </w:r>
    </w:p>
    <w:p w14:paraId="1EEF6650" w14:textId="77777777" w:rsidR="00102713" w:rsidRPr="00D04EA3" w:rsidRDefault="006E4090" w:rsidP="00EA65CD">
      <w:pPr>
        <w:pStyle w:val="Quote3"/>
      </w:pPr>
      <w:r>
        <w:t>ii)</w:t>
      </w:r>
      <w:r>
        <w:tab/>
      </w:r>
      <w:r w:rsidR="00102713" w:rsidRPr="00D04EA3">
        <w:t>…</w:t>
      </w:r>
    </w:p>
    <w:p w14:paraId="6134BC10" w14:textId="77777777" w:rsidR="000414BD" w:rsidRDefault="00102713" w:rsidP="00EA65CD">
      <w:pPr>
        <w:pStyle w:val="Quote2"/>
      </w:pPr>
      <w:proofErr w:type="gramStart"/>
      <w:r w:rsidRPr="00D04EA3">
        <w:t>or</w:t>
      </w:r>
      <w:proofErr w:type="gramEnd"/>
      <w:r w:rsidRPr="00D04EA3">
        <w:t xml:space="preserve"> any matter claimed against any Insured Person solely by reason of his or her serving in such capacities.</w:t>
      </w:r>
      <w:r w:rsidR="000414BD">
        <w:t xml:space="preserve"> </w:t>
      </w:r>
    </w:p>
    <w:p w14:paraId="3F1FAA13" w14:textId="77777777" w:rsidR="000414BD" w:rsidRDefault="000414BD" w:rsidP="00102713">
      <w:pPr>
        <w:pStyle w:val="ParaNumbering"/>
      </w:pPr>
      <w:r>
        <w:t>The policy schedule contained a Retroactive Date of 1 July 2016 save in relation to Rush, in which case the date was 30 June 2014.  The Retroactive Date clause provided:</w:t>
      </w:r>
    </w:p>
    <w:p w14:paraId="3CCC62D6" w14:textId="77777777" w:rsidR="000414BD" w:rsidRDefault="000414BD" w:rsidP="000414BD">
      <w:pPr>
        <w:pStyle w:val="Quote1"/>
        <w:ind w:right="522"/>
      </w:pPr>
      <w:r>
        <w:t>The policy shall only provide cover with respect to Wrongful Acts committed after the retroactive date specified in the schedule.</w:t>
      </w:r>
    </w:p>
    <w:p w14:paraId="07F86D9C" w14:textId="77777777" w:rsidR="004244BA" w:rsidRDefault="004244BA" w:rsidP="00102713">
      <w:pPr>
        <w:pStyle w:val="ParaNumbering"/>
      </w:pPr>
      <w:r>
        <w:t xml:space="preserve">The </w:t>
      </w:r>
      <w:r w:rsidR="002619D7">
        <w:t xml:space="preserve">scope of the </w:t>
      </w:r>
      <w:r>
        <w:t xml:space="preserve">general insuring clauses </w:t>
      </w:r>
      <w:r w:rsidR="002619D7">
        <w:t xml:space="preserve">of Section Two </w:t>
      </w:r>
      <w:r w:rsidR="00993CB8">
        <w:t>is</w:t>
      </w:r>
      <w:r>
        <w:t xml:space="preserve"> expanded by extension</w:t>
      </w:r>
      <w:r w:rsidR="003C6C4F">
        <w:t>s</w:t>
      </w:r>
      <w:r w:rsidR="00993CB8">
        <w:t xml:space="preserve"> which include</w:t>
      </w:r>
      <w:r w:rsidR="00AD2544">
        <w:t>s</w:t>
      </w:r>
      <w:r w:rsidR="00993CB8">
        <w:t xml:space="preserve"> </w:t>
      </w:r>
      <w:r>
        <w:t xml:space="preserve">the extension </w:t>
      </w:r>
      <w:r w:rsidR="00AD2544">
        <w:t xml:space="preserve">concerning </w:t>
      </w:r>
      <w:r>
        <w:t xml:space="preserve">Defence Costs and Representation Expenses.  Given the submissions </w:t>
      </w:r>
      <w:r w:rsidR="002D2670">
        <w:t>on</w:t>
      </w:r>
      <w:r>
        <w:t xml:space="preserve"> its construction it is necessary to set</w:t>
      </w:r>
      <w:r w:rsidR="002D2670">
        <w:t xml:space="preserve"> it out in its</w:t>
      </w:r>
      <w:r>
        <w:t xml:space="preserve"> entirety:</w:t>
      </w:r>
    </w:p>
    <w:p w14:paraId="6091A02F" w14:textId="77777777" w:rsidR="004244BA" w:rsidRPr="004244BA" w:rsidRDefault="004244BA" w:rsidP="00D04EA3">
      <w:pPr>
        <w:pStyle w:val="Quote1"/>
        <w:ind w:right="522"/>
        <w:rPr>
          <w:b/>
        </w:rPr>
      </w:pPr>
      <w:r>
        <w:rPr>
          <w:b/>
        </w:rPr>
        <w:t>Advancement of Defence Costs and Representation Expenses</w:t>
      </w:r>
    </w:p>
    <w:p w14:paraId="4DBB12D9" w14:textId="77777777" w:rsidR="004244BA" w:rsidRDefault="004244BA" w:rsidP="00D04EA3">
      <w:pPr>
        <w:pStyle w:val="Quote1"/>
        <w:ind w:right="522"/>
      </w:pPr>
      <w:r>
        <w:t>Insuring Clauses 1, 2, 3, 4, 5, and 9 and the Representation Expenses Extension, Occupational Health and Safety Expenses Extension and Pollution Expenses Extension are extended as follows:</w:t>
      </w:r>
    </w:p>
    <w:p w14:paraId="1CCEFEA1" w14:textId="77777777" w:rsidR="004244BA" w:rsidRDefault="004244BA" w:rsidP="004244BA">
      <w:pPr>
        <w:pStyle w:val="Quote1"/>
        <w:ind w:right="522"/>
      </w:pPr>
      <w:r>
        <w:t>We will advance Defence Costs and, under the Representation Expenses Extension Occupational Health and Safety Expenses Extension and Pollution Expenses Extension</w:t>
      </w:r>
      <w:r w:rsidR="000414BD">
        <w:t xml:space="preserve">, Representation Expenses.  However, if and to the extent that </w:t>
      </w:r>
      <w:proofErr w:type="gramStart"/>
      <w:r w:rsidR="000414BD">
        <w:t>You</w:t>
      </w:r>
      <w:proofErr w:type="gramEnd"/>
      <w:r w:rsidR="000414BD">
        <w:t xml:space="preserve"> are not entitled to cover for Loss under the terms of this Policy, then we will cease to advance Defence Costs and Representation Expenses and any amounts previously advanced shall be repaid to Us by You within thirty (30) days following a request by Us for such payment.</w:t>
      </w:r>
    </w:p>
    <w:p w14:paraId="4C0B1A43" w14:textId="77777777" w:rsidR="00102713" w:rsidRDefault="004244BA" w:rsidP="00D04EA3">
      <w:pPr>
        <w:pStyle w:val="Quote1"/>
        <w:ind w:right="522"/>
      </w:pPr>
      <w:r>
        <w:t>I</w:t>
      </w:r>
      <w:r w:rsidR="00D04EA3" w:rsidRPr="00D90D40">
        <w:t xml:space="preserve">f a Claim alleges a Wrongful Act or illegal or improper conduct as described in the Dishonest or Criminal Intent </w:t>
      </w:r>
      <w:r w:rsidR="00D04EA3">
        <w:t>/</w:t>
      </w:r>
      <w:r w:rsidR="00D04EA3" w:rsidRPr="00D90D40">
        <w:t xml:space="preserve"> Improper Conduct Exclusion, then We will advance Defence Costs and Representation Expenses in respect of such Claim until it is found </w:t>
      </w:r>
      <w:r w:rsidR="00D04EA3" w:rsidRPr="00D90D40">
        <w:lastRenderedPageBreak/>
        <w:t>by way of an admission by You, judgment or adjudication that such Insured did in</w:t>
      </w:r>
      <w:r w:rsidR="00D04EA3">
        <w:t xml:space="preserve"> </w:t>
      </w:r>
      <w:r w:rsidR="00D04EA3" w:rsidRPr="00D90D40">
        <w:t>fact commit such Wrongful Act or engage in such illegal or improper conduct and any amounts previously advanced shall be repaid to Us by You within thirty (30) days following a request by Us</w:t>
      </w:r>
      <w:r w:rsidR="00D04EA3">
        <w:t xml:space="preserve"> </w:t>
      </w:r>
      <w:r w:rsidR="00D04EA3" w:rsidRPr="00D90D40">
        <w:t>for such repayment.</w:t>
      </w:r>
      <w:r w:rsidR="00947CA7">
        <w:t xml:space="preserve">  </w:t>
      </w:r>
    </w:p>
    <w:p w14:paraId="60FB69E2" w14:textId="77777777" w:rsidR="00D71807" w:rsidRPr="00D63AF2" w:rsidRDefault="00D71807" w:rsidP="00D71807">
      <w:pPr>
        <w:pStyle w:val="ParaNumbering"/>
        <w:numPr>
          <w:ilvl w:val="0"/>
          <w:numId w:val="0"/>
        </w:numPr>
      </w:pPr>
      <w:r w:rsidRPr="00D63AF2">
        <w:t xml:space="preserve">In these reasons </w:t>
      </w:r>
      <w:r w:rsidR="002619D7" w:rsidRPr="00D63AF2">
        <w:t xml:space="preserve">this extension </w:t>
      </w:r>
      <w:r w:rsidRPr="00D63AF2">
        <w:t xml:space="preserve">will be referred to as </w:t>
      </w:r>
      <w:r w:rsidR="002619D7" w:rsidRPr="00D63AF2">
        <w:t>“</w:t>
      </w:r>
      <w:r w:rsidRPr="00D63AF2">
        <w:t>the Advancement Extension</w:t>
      </w:r>
      <w:r w:rsidR="002619D7" w:rsidRPr="00D63AF2">
        <w:t>”</w:t>
      </w:r>
      <w:r w:rsidRPr="00D63AF2">
        <w:t>.</w:t>
      </w:r>
    </w:p>
    <w:p w14:paraId="2819F25F" w14:textId="77777777" w:rsidR="00AD2544" w:rsidRDefault="00AD2544" w:rsidP="00102713">
      <w:pPr>
        <w:pStyle w:val="ParaNumbering"/>
      </w:pPr>
      <w:r w:rsidRPr="00C71399">
        <w:t>But for the issue of non-disclosure, in the present case this extension would apply to the defence costs in the extant proceedings, subject to reimbursement if it were to be ultimately found that the insureds had engaged in the alleged Wrongful Conduct</w:t>
      </w:r>
      <w:r>
        <w:t>.</w:t>
      </w:r>
    </w:p>
    <w:p w14:paraId="0673F63D" w14:textId="77777777" w:rsidR="000414BD" w:rsidRDefault="000414BD" w:rsidP="00102713">
      <w:pPr>
        <w:pStyle w:val="ParaNumbering"/>
      </w:pPr>
      <w:r>
        <w:t>The operation of the Extensions is explained by the</w:t>
      </w:r>
      <w:r w:rsidR="003C6C4F">
        <w:t xml:space="preserve"> following clause:</w:t>
      </w:r>
    </w:p>
    <w:p w14:paraId="29BA3FD4" w14:textId="77777777" w:rsidR="003C6C4F" w:rsidRPr="002619D7" w:rsidRDefault="003C6C4F" w:rsidP="002619D7">
      <w:pPr>
        <w:pStyle w:val="Quote1"/>
        <w:ind w:right="522"/>
        <w:rPr>
          <w:b/>
        </w:rPr>
      </w:pPr>
      <w:r w:rsidRPr="002619D7">
        <w:rPr>
          <w:b/>
        </w:rPr>
        <w:t>EXTENSIONS APPLICABLE TO SECTION TWO</w:t>
      </w:r>
    </w:p>
    <w:p w14:paraId="692F6E4C" w14:textId="77777777" w:rsidR="003C6C4F" w:rsidRPr="002619D7" w:rsidRDefault="002619D7" w:rsidP="002619D7">
      <w:pPr>
        <w:pStyle w:val="Quote1"/>
        <w:ind w:right="522"/>
      </w:pPr>
      <w:r w:rsidRPr="002619D7">
        <w:t>Unless otherwise stated, any payment made under each of these Extensions will be part of and not in addition to the Professional Indemnity Limit of Liability or the Management Liability Limit of Liability as applicable to the stated Insuring Clause in relation to which the payment is made pursuant to the Extension.  These Extensions only extend the stated Insuring Clauses.</w:t>
      </w:r>
    </w:p>
    <w:p w14:paraId="5BA741FC" w14:textId="77777777" w:rsidR="003A7E3A" w:rsidRDefault="003A7E3A" w:rsidP="00102713">
      <w:pPr>
        <w:pStyle w:val="ParaNumbering"/>
      </w:pPr>
      <w:r>
        <w:t xml:space="preserve">Section Two contains </w:t>
      </w:r>
      <w:r w:rsidR="00C71399">
        <w:t>the following relevant</w:t>
      </w:r>
      <w:r>
        <w:t xml:space="preserve"> exclusions:</w:t>
      </w:r>
    </w:p>
    <w:p w14:paraId="3A9B3B5C" w14:textId="77777777" w:rsidR="003A7E3A" w:rsidRPr="003A7E3A" w:rsidRDefault="003A7E3A" w:rsidP="003A7E3A">
      <w:pPr>
        <w:pStyle w:val="Quote1"/>
        <w:ind w:right="522"/>
        <w:rPr>
          <w:b/>
        </w:rPr>
      </w:pPr>
      <w:r w:rsidRPr="003A7E3A">
        <w:rPr>
          <w:b/>
        </w:rPr>
        <w:t>EXCLUSIONS APPLICABLE TO SECTION TWO</w:t>
      </w:r>
    </w:p>
    <w:p w14:paraId="704117F4" w14:textId="77777777" w:rsidR="003A7E3A" w:rsidRDefault="003A7E3A" w:rsidP="003A7E3A">
      <w:pPr>
        <w:pStyle w:val="Quote1"/>
        <w:ind w:right="522"/>
      </w:pPr>
      <w:r>
        <w:t>These Exclusions apply to all the terms of this Section of the Policy unless otherwise stated.  Where an Exclusion applies to a particular Insuring Clause then it also applie</w:t>
      </w:r>
      <w:r w:rsidR="006E4090">
        <w:t>d</w:t>
      </w:r>
      <w:r>
        <w:t xml:space="preserve"> </w:t>
      </w:r>
      <w:r w:rsidR="006E4090">
        <w:t xml:space="preserve">[sic] </w:t>
      </w:r>
      <w:r>
        <w:t>to the Extensions applicable to that Insuring Clause.</w:t>
      </w:r>
      <w:r w:rsidR="006E4090">
        <w:t xml:space="preserve"> </w:t>
      </w:r>
    </w:p>
    <w:p w14:paraId="0C40DC30" w14:textId="77777777" w:rsidR="00C71399" w:rsidRDefault="00C71399" w:rsidP="00102713">
      <w:pPr>
        <w:pStyle w:val="Quote1"/>
      </w:pPr>
      <w:r>
        <w:t>…</w:t>
      </w:r>
    </w:p>
    <w:p w14:paraId="2F4BCA52" w14:textId="77777777" w:rsidR="00102713" w:rsidRDefault="00102713" w:rsidP="00102713">
      <w:pPr>
        <w:pStyle w:val="Quote1"/>
      </w:pPr>
      <w:r w:rsidRPr="00D90D40">
        <w:t>We will not be liable for:</w:t>
      </w:r>
    </w:p>
    <w:p w14:paraId="099D7E10" w14:textId="77777777" w:rsidR="006E4090" w:rsidRDefault="006E4090" w:rsidP="00102713">
      <w:pPr>
        <w:pStyle w:val="Quote1"/>
      </w:pPr>
      <w:r>
        <w:t>…</w:t>
      </w:r>
    </w:p>
    <w:p w14:paraId="79F9F038" w14:textId="77777777" w:rsidR="00102713" w:rsidRPr="00C71399" w:rsidRDefault="00102713" w:rsidP="00102713">
      <w:pPr>
        <w:pStyle w:val="Quote1"/>
        <w:rPr>
          <w:b/>
        </w:rPr>
      </w:pPr>
      <w:r w:rsidRPr="00C71399">
        <w:rPr>
          <w:b/>
        </w:rPr>
        <w:t>Dishonest or Criminal Intent / Improper Conduct</w:t>
      </w:r>
    </w:p>
    <w:p w14:paraId="04818E55" w14:textId="77777777" w:rsidR="00102713" w:rsidRDefault="00102713" w:rsidP="00102713">
      <w:pPr>
        <w:pStyle w:val="Quote1"/>
      </w:pPr>
      <w:r w:rsidRPr="00D90D40">
        <w:t>Loss resulting from Claims against any Insured arising directly or indirectly from or in respect of</w:t>
      </w:r>
      <w:r>
        <w:t>:</w:t>
      </w:r>
    </w:p>
    <w:p w14:paraId="793DFB43" w14:textId="77777777" w:rsidR="00102713" w:rsidRDefault="00102713" w:rsidP="00102713">
      <w:pPr>
        <w:pStyle w:val="Quote2"/>
        <w:ind w:left="2160" w:hanging="720"/>
      </w:pPr>
      <w:r>
        <w:t>a)</w:t>
      </w:r>
      <w:r>
        <w:tab/>
      </w:r>
      <w:proofErr w:type="gramStart"/>
      <w:r>
        <w:t>any</w:t>
      </w:r>
      <w:proofErr w:type="gramEnd"/>
      <w:r>
        <w:t xml:space="preserve"> Wrongful Act committed by that Insured with wilful, reckless, dishonest, fraudulent, malicious or criminal intent; or</w:t>
      </w:r>
    </w:p>
    <w:p w14:paraId="59DD35DF" w14:textId="77777777" w:rsidR="00102713" w:rsidRDefault="00102713" w:rsidP="00102713">
      <w:pPr>
        <w:pStyle w:val="Quote2"/>
        <w:ind w:left="2160" w:hanging="720"/>
      </w:pPr>
      <w:r>
        <w:t>b)</w:t>
      </w:r>
      <w:r>
        <w:tab/>
      </w:r>
      <w:proofErr w:type="gramStart"/>
      <w:r>
        <w:t>that</w:t>
      </w:r>
      <w:proofErr w:type="gramEnd"/>
      <w:r>
        <w:t xml:space="preserve"> Insured improperly using their position to gain an advantage for that Insured or someone else or to cause a detriment to the Company; or</w:t>
      </w:r>
    </w:p>
    <w:p w14:paraId="166881A8" w14:textId="77777777" w:rsidR="00102713" w:rsidRDefault="00102713" w:rsidP="00102713">
      <w:pPr>
        <w:pStyle w:val="Quote2"/>
        <w:ind w:left="2160" w:hanging="720"/>
      </w:pPr>
      <w:r>
        <w:t>c)</w:t>
      </w:r>
      <w:r>
        <w:tab/>
      </w:r>
      <w:proofErr w:type="gramStart"/>
      <w:r>
        <w:t>that</w:t>
      </w:r>
      <w:proofErr w:type="gramEnd"/>
      <w:r>
        <w:t xml:space="preserve"> Insured improperly using information obtained as a result of their position to gain an advantage for that Insured or someone else or to cause a detriment to the Company,</w:t>
      </w:r>
    </w:p>
    <w:p w14:paraId="4242D51C" w14:textId="77777777" w:rsidR="00102713" w:rsidRDefault="00102713" w:rsidP="00102713">
      <w:pPr>
        <w:pStyle w:val="Quote1"/>
      </w:pPr>
      <w:proofErr w:type="gramStart"/>
      <w:r w:rsidRPr="00D90D40">
        <w:t>in</w:t>
      </w:r>
      <w:proofErr w:type="gramEnd"/>
      <w:r w:rsidRPr="00D90D40">
        <w:t xml:space="preserve"> each case only if established by any admission by the Insured, judgment, or other adjudication.</w:t>
      </w:r>
    </w:p>
    <w:p w14:paraId="18F66D2A" w14:textId="77777777" w:rsidR="00102713" w:rsidRDefault="00102713" w:rsidP="00102713">
      <w:pPr>
        <w:pStyle w:val="Quote1"/>
      </w:pPr>
      <w:r w:rsidRPr="00D90D40">
        <w:t xml:space="preserve">For the purpose of this Exclusion, the fact that one </w:t>
      </w:r>
      <w:proofErr w:type="gramStart"/>
      <w:r w:rsidRPr="00D90D40">
        <w:t>Insured</w:t>
      </w:r>
      <w:proofErr w:type="gramEnd"/>
      <w:r w:rsidRPr="00D90D40">
        <w:t xml:space="preserve"> has committed or is alleged</w:t>
      </w:r>
      <w:r>
        <w:t xml:space="preserve"> to have committed the conduct described in a), b) or c) above will not be </w:t>
      </w:r>
      <w:r>
        <w:lastRenderedPageBreak/>
        <w:t>imputed to any other Insured.</w:t>
      </w:r>
    </w:p>
    <w:p w14:paraId="40C69D81" w14:textId="77777777" w:rsidR="00C71399" w:rsidRDefault="00C71399" w:rsidP="0062521C">
      <w:pPr>
        <w:pStyle w:val="NoNum"/>
      </w:pPr>
      <w:r w:rsidRPr="00C71399">
        <w:t>(</w:t>
      </w:r>
      <w:r w:rsidR="007D6BC1">
        <w:t>I</w:t>
      </w:r>
      <w:r w:rsidRPr="00C71399">
        <w:t xml:space="preserve">n these reasons </w:t>
      </w:r>
      <w:r w:rsidR="007D6BC1">
        <w:t xml:space="preserve">this is referred to </w:t>
      </w:r>
      <w:r w:rsidRPr="00C71399">
        <w:t>as the “Wrongful Conduct Exclusion” and the conduct identified therein is referred to as “Wrongful Conduct”.)</w:t>
      </w:r>
    </w:p>
    <w:p w14:paraId="1E952F03" w14:textId="77777777" w:rsidR="00102713" w:rsidRDefault="0020410A" w:rsidP="00102713">
      <w:pPr>
        <w:pStyle w:val="Heading3"/>
      </w:pPr>
      <w:r>
        <w:t>The circumstances giving rise to the claim for indemnity under the Policy</w:t>
      </w:r>
    </w:p>
    <w:p w14:paraId="5C395510" w14:textId="77777777" w:rsidR="000263F0" w:rsidRDefault="00475A7D" w:rsidP="00AA46DC">
      <w:pPr>
        <w:pStyle w:val="ParaNumbering"/>
      </w:pPr>
      <w:r>
        <w:t>On 16 May 2017</w:t>
      </w:r>
      <w:r w:rsidR="0062521C">
        <w:t>,</w:t>
      </w:r>
      <w:r>
        <w:t xml:space="preserve"> the Commissioner of the Australian Federal Polic</w:t>
      </w:r>
      <w:r w:rsidR="00A535E0">
        <w:t>e</w:t>
      </w:r>
      <w:r>
        <w:t xml:space="preserve"> commenced proceedings in the Supreme Court of New South Wales seeking </w:t>
      </w:r>
      <w:r w:rsidR="003A7E3A">
        <w:t xml:space="preserve">a variety of </w:t>
      </w:r>
      <w:r>
        <w:t xml:space="preserve">orders under the </w:t>
      </w:r>
      <w:r w:rsidR="000B5AD5" w:rsidRPr="002A30BE">
        <w:rPr>
          <w:i/>
        </w:rPr>
        <w:t xml:space="preserve">Proceeds of Crimes Act 2002 </w:t>
      </w:r>
      <w:r w:rsidR="000B5AD5" w:rsidRPr="002A30BE">
        <w:t>(Cth)</w:t>
      </w:r>
      <w:r w:rsidR="00AA46DC" w:rsidRPr="00AA46DC">
        <w:t xml:space="preserve"> against the Applicants and numerous companies associated with them.</w:t>
      </w:r>
      <w:r>
        <w:t xml:space="preserve">  </w:t>
      </w:r>
      <w:r w:rsidR="003A7E3A">
        <w:t>The relief sought include</w:t>
      </w:r>
      <w:r w:rsidR="007D6BC1">
        <w:t>s</w:t>
      </w:r>
      <w:r w:rsidR="003A7E3A">
        <w:t xml:space="preserve"> orders restraining the</w:t>
      </w:r>
      <w:r>
        <w:t xml:space="preserve"> </w:t>
      </w:r>
      <w:r w:rsidR="003A7E3A">
        <w:t>A</w:t>
      </w:r>
      <w:r>
        <w:t>pplicants</w:t>
      </w:r>
      <w:r w:rsidR="003A7E3A">
        <w:t xml:space="preserve"> and others who held the property of the Applicants, from disposing of that property, </w:t>
      </w:r>
      <w:r w:rsidR="008F2341">
        <w:t xml:space="preserve">an </w:t>
      </w:r>
      <w:r w:rsidR="003A7E3A">
        <w:t>order vesting control of the</w:t>
      </w:r>
      <w:r w:rsidR="008F2341">
        <w:t>ir</w:t>
      </w:r>
      <w:r w:rsidR="003A7E3A">
        <w:t xml:space="preserve"> property in the Official Trustee in Bankruptcy</w:t>
      </w:r>
      <w:r w:rsidR="008F2341">
        <w:t>,</w:t>
      </w:r>
      <w:r w:rsidR="003A7E3A">
        <w:t xml:space="preserve"> </w:t>
      </w:r>
      <w:r w:rsidR="008F2341">
        <w:t>examination orders, and a</w:t>
      </w:r>
      <w:r w:rsidR="004B5560">
        <w:t xml:space="preserve"> number of ancillary orders.</w:t>
      </w:r>
      <w:r>
        <w:t xml:space="preserve">  It appears that on that same day the Commissioner </w:t>
      </w:r>
      <w:r w:rsidR="008F2341">
        <w:t xml:space="preserve">also </w:t>
      </w:r>
      <w:r>
        <w:t>secured</w:t>
      </w:r>
      <w:r w:rsidR="004B5560">
        <w:t xml:space="preserve"> a number of</w:t>
      </w:r>
      <w:r>
        <w:t xml:space="preserve"> </w:t>
      </w:r>
      <w:r w:rsidRPr="003A7E3A">
        <w:rPr>
          <w:i/>
        </w:rPr>
        <w:t>ex parte</w:t>
      </w:r>
      <w:r>
        <w:t xml:space="preserve"> orders pursuant to s 18 of </w:t>
      </w:r>
      <w:r w:rsidR="000E1425">
        <w:t>that Act</w:t>
      </w:r>
      <w:r w:rsidR="00AD107E">
        <w:t xml:space="preserve"> </w:t>
      </w:r>
      <w:r>
        <w:t xml:space="preserve">which restrained any person from disposing or otherwise dealing with certain specified property of the </w:t>
      </w:r>
      <w:r w:rsidR="008F2341">
        <w:t>A</w:t>
      </w:r>
      <w:r>
        <w:t>pplicants except as was provided for</w:t>
      </w:r>
      <w:r w:rsidR="008F2341">
        <w:t>, and</w:t>
      </w:r>
      <w:r>
        <w:t xml:space="preserve"> more general orders in relation to other properties.</w:t>
      </w:r>
    </w:p>
    <w:p w14:paraId="1E8131E3" w14:textId="56B3DD93" w:rsidR="00475A7D" w:rsidRDefault="00475A7D" w:rsidP="00F66A5B">
      <w:pPr>
        <w:pStyle w:val="ParaNumbering"/>
      </w:pPr>
      <w:r>
        <w:t>On 17 May 2017</w:t>
      </w:r>
      <w:r w:rsidR="004B5560">
        <w:t>,</w:t>
      </w:r>
      <w:r>
        <w:t xml:space="preserve"> the </w:t>
      </w:r>
      <w:r w:rsidR="00E10C56">
        <w:t>A</w:t>
      </w:r>
      <w:r>
        <w:t xml:space="preserve">pplicants were charged pursuant to s 135.4(3) of the Schedule 1 to the </w:t>
      </w:r>
      <w:r w:rsidR="000B5AD5" w:rsidRPr="002A30BE">
        <w:rPr>
          <w:i/>
        </w:rPr>
        <w:t xml:space="preserve">Criminal Code Act </w:t>
      </w:r>
      <w:r w:rsidR="0089010C">
        <w:rPr>
          <w:i/>
        </w:rPr>
        <w:t>1995</w:t>
      </w:r>
      <w:r w:rsidR="000B5AD5" w:rsidRPr="002A30BE">
        <w:rPr>
          <w:i/>
        </w:rPr>
        <w:t xml:space="preserve"> </w:t>
      </w:r>
      <w:r w:rsidR="000B5AD5" w:rsidRPr="002A30BE">
        <w:t>(Cth)</w:t>
      </w:r>
      <w:r>
        <w:rPr>
          <w:i/>
        </w:rPr>
        <w:t xml:space="preserve"> </w:t>
      </w:r>
      <w:r w:rsidR="00E10C56" w:rsidRPr="00E10C56">
        <w:t>that between 1 June 2016 and 17 May 2017 at Bondi Beach in the State of New South Wales they</w:t>
      </w:r>
      <w:r w:rsidR="00E10C56" w:rsidRPr="00EC5EE9">
        <w:t xml:space="preserve"> </w:t>
      </w:r>
      <w:r>
        <w:t>conspired with other persons, being each other, with the intention of dishonestly causing loss to the Australian Taxation Office</w:t>
      </w:r>
      <w:r w:rsidR="000E1425">
        <w:t xml:space="preserve">.  Attendance Notices commencing the criminal proceedings against </w:t>
      </w:r>
      <w:r w:rsidR="003A7170">
        <w:t xml:space="preserve">them </w:t>
      </w:r>
      <w:r w:rsidR="000E1425">
        <w:t>were issued on the date on which they were charged.</w:t>
      </w:r>
      <w:r>
        <w:t xml:space="preserve">  </w:t>
      </w:r>
    </w:p>
    <w:p w14:paraId="5D639A98" w14:textId="77777777" w:rsidR="00475A7D" w:rsidRDefault="00475A7D" w:rsidP="00F66A5B">
      <w:pPr>
        <w:pStyle w:val="ParaNumbering"/>
      </w:pPr>
      <w:r>
        <w:t xml:space="preserve">It is not in </w:t>
      </w:r>
      <w:r w:rsidR="00E10C56">
        <w:t>dispute</w:t>
      </w:r>
      <w:r>
        <w:t xml:space="preserve"> that both proceedings are </w:t>
      </w:r>
      <w:r w:rsidR="004B5560">
        <w:t>“</w:t>
      </w:r>
      <w:r>
        <w:t>proceedings</w:t>
      </w:r>
      <w:r w:rsidR="004B5560">
        <w:t>”</w:t>
      </w:r>
      <w:r>
        <w:t xml:space="preserve"> within the scope of the coverage of the policy</w:t>
      </w:r>
      <w:r w:rsidR="000E1425">
        <w:t xml:space="preserve"> or that </w:t>
      </w:r>
      <w:r>
        <w:t>the</w:t>
      </w:r>
      <w:r w:rsidR="00E10C56">
        <w:t xml:space="preserve"> alleged</w:t>
      </w:r>
      <w:r>
        <w:t xml:space="preserve"> conduct </w:t>
      </w:r>
      <w:r w:rsidR="00E10C56">
        <w:t>giving</w:t>
      </w:r>
      <w:r>
        <w:t xml:space="preserve"> rise to both is conduct which falls within the definition of </w:t>
      </w:r>
      <w:r w:rsidR="00E10C56">
        <w:t>“</w:t>
      </w:r>
      <w:r>
        <w:t>Management Wrongful Act</w:t>
      </w:r>
      <w:r w:rsidR="00E10C56">
        <w:t>”</w:t>
      </w:r>
      <w:r>
        <w:t>.</w:t>
      </w:r>
    </w:p>
    <w:p w14:paraId="512E9DD9" w14:textId="77777777" w:rsidR="00475A7D" w:rsidRDefault="00510015" w:rsidP="00F66A5B">
      <w:pPr>
        <w:pStyle w:val="ParaNumbering"/>
      </w:pPr>
      <w:r>
        <w:t>The parties agree</w:t>
      </w:r>
      <w:r w:rsidR="00475A7D">
        <w:t xml:space="preserve"> that in both proceedings, </w:t>
      </w:r>
      <w:r w:rsidR="004B5560">
        <w:t xml:space="preserve">neither </w:t>
      </w:r>
      <w:r>
        <w:t>Applicant has</w:t>
      </w:r>
      <w:r w:rsidR="00475A7D">
        <w:t xml:space="preserve"> admitted to the conduct alleged against </w:t>
      </w:r>
      <w:r>
        <w:t>him, nor have they</w:t>
      </w:r>
      <w:r w:rsidR="00475A7D">
        <w:t xml:space="preserve"> entered pleas in the criminal proceedings.  As at the date of the hearing</w:t>
      </w:r>
      <w:r w:rsidR="004B5560">
        <w:t xml:space="preserve"> of the </w:t>
      </w:r>
      <w:r>
        <w:t>instant matter</w:t>
      </w:r>
      <w:r w:rsidR="00475A7D">
        <w:t xml:space="preserve"> neither </w:t>
      </w:r>
      <w:r>
        <w:t>of the</w:t>
      </w:r>
      <w:r w:rsidR="00475A7D">
        <w:t xml:space="preserve"> proceedings ha</w:t>
      </w:r>
      <w:r>
        <w:t>s</w:t>
      </w:r>
      <w:r w:rsidR="00475A7D">
        <w:t xml:space="preserve"> proceeded to a final hearing.</w:t>
      </w:r>
    </w:p>
    <w:p w14:paraId="046A6581" w14:textId="56D73B60" w:rsidR="00475A7D" w:rsidRDefault="00475A7D" w:rsidP="00475A7D">
      <w:pPr>
        <w:pStyle w:val="Heading3"/>
      </w:pPr>
      <w:r>
        <w:t xml:space="preserve">The </w:t>
      </w:r>
      <w:r w:rsidR="000C3734">
        <w:t>A</w:t>
      </w:r>
      <w:r>
        <w:t xml:space="preserve">pplicants’ </w:t>
      </w:r>
      <w:r w:rsidR="00510015">
        <w:t>claim</w:t>
      </w:r>
      <w:r>
        <w:t xml:space="preserve"> for indemnity and </w:t>
      </w:r>
      <w:r w:rsidR="00510015">
        <w:t>the insurer</w:t>
      </w:r>
      <w:r w:rsidR="0089010C">
        <w:t>’</w:t>
      </w:r>
      <w:r w:rsidR="00510015">
        <w:t>s</w:t>
      </w:r>
      <w:r>
        <w:t xml:space="preserve"> purported avoidance of the policy</w:t>
      </w:r>
    </w:p>
    <w:p w14:paraId="00C4A6E9" w14:textId="77777777" w:rsidR="00475A7D" w:rsidRDefault="003722C2" w:rsidP="003722C2">
      <w:pPr>
        <w:pStyle w:val="ParaNumbering"/>
      </w:pPr>
      <w:r w:rsidRPr="003722C2">
        <w:t xml:space="preserve">On 16 June 2017, Mr Onley’s legal representatives wrote to the insurer’s representatives, making reference to the civil and criminal proceedings and requesting indemnity for him </w:t>
      </w:r>
      <w:r w:rsidRPr="003722C2">
        <w:lastRenderedPageBreak/>
        <w:t>under the policy. By a letter of 28 July 2017</w:t>
      </w:r>
      <w:r w:rsidR="003A7170">
        <w:t>,</w:t>
      </w:r>
      <w:r w:rsidRPr="003722C2">
        <w:t xml:space="preserve"> Mr Cranston’s legal representatives sought similar indemnity for him.</w:t>
      </w:r>
      <w:r w:rsidR="00475A7D">
        <w:t xml:space="preserve">  </w:t>
      </w:r>
    </w:p>
    <w:p w14:paraId="1343F018" w14:textId="202296F7" w:rsidR="00475A7D" w:rsidRDefault="00475A7D" w:rsidP="00475A7D">
      <w:pPr>
        <w:pStyle w:val="ParaNumbering"/>
      </w:pPr>
      <w:r>
        <w:t>Some two months later</w:t>
      </w:r>
      <w:r w:rsidR="003722C2">
        <w:t>,</w:t>
      </w:r>
      <w:r>
        <w:t xml:space="preserve"> on 25 September 2017</w:t>
      </w:r>
      <w:r w:rsidR="003722C2">
        <w:t>,</w:t>
      </w:r>
      <w:r>
        <w:t xml:space="preserve"> Norton Rose </w:t>
      </w:r>
      <w:r w:rsidR="0029429E">
        <w:t>Fulbright</w:t>
      </w:r>
      <w:r>
        <w:t xml:space="preserve"> for </w:t>
      </w:r>
      <w:r w:rsidR="003722C2">
        <w:t>the insurer</w:t>
      </w:r>
      <w:r>
        <w:t xml:space="preserve"> responded to the requests</w:t>
      </w:r>
      <w:r w:rsidR="003722C2">
        <w:t xml:space="preserve">, </w:t>
      </w:r>
      <w:r w:rsidR="000E1425">
        <w:t xml:space="preserve">and advised </w:t>
      </w:r>
      <w:r>
        <w:t xml:space="preserve">that </w:t>
      </w:r>
      <w:r w:rsidR="004B5560">
        <w:t>the insurer</w:t>
      </w:r>
      <w:r>
        <w:t xml:space="preserve"> declined to extend cover because, it</w:t>
      </w:r>
      <w:r w:rsidR="004B5560">
        <w:t xml:space="preserve"> was</w:t>
      </w:r>
      <w:r>
        <w:t xml:space="preserve"> alleged, </w:t>
      </w:r>
      <w:r w:rsidR="003722C2">
        <w:t>the Applicants had</w:t>
      </w:r>
      <w:r>
        <w:t xml:space="preserve"> breached their obligations under s 21 of the </w:t>
      </w:r>
      <w:r w:rsidR="003722C2" w:rsidRPr="003722C2">
        <w:t>ICA</w:t>
      </w:r>
      <w:r w:rsidR="003722C2">
        <w:rPr>
          <w:i/>
        </w:rPr>
        <w:t xml:space="preserve"> </w:t>
      </w:r>
      <w:r>
        <w:t xml:space="preserve">to disclose matters known to them to be relevant to the decision of </w:t>
      </w:r>
      <w:r w:rsidR="004B5560">
        <w:t>the insurer</w:t>
      </w:r>
      <w:r>
        <w:t xml:space="preserve"> whether to accept the risk proposed.  Specifically</w:t>
      </w:r>
      <w:r w:rsidR="004B5560">
        <w:t>,</w:t>
      </w:r>
      <w:r>
        <w:t xml:space="preserve"> it was alleged that the matters known to </w:t>
      </w:r>
      <w:r w:rsidR="003722C2">
        <w:t xml:space="preserve">the Applicants </w:t>
      </w:r>
      <w:r>
        <w:t xml:space="preserve">included </w:t>
      </w:r>
      <w:r w:rsidR="003722C2">
        <w:t xml:space="preserve">the facts </w:t>
      </w:r>
      <w:r>
        <w:t xml:space="preserve">that </w:t>
      </w:r>
      <w:proofErr w:type="spellStart"/>
      <w:r>
        <w:t>Synep</w:t>
      </w:r>
      <w:proofErr w:type="spellEnd"/>
      <w:r>
        <w:t xml:space="preserve"> and Plutus were engaged in a dishonest enterprise involving the misappropriation of funds</w:t>
      </w:r>
      <w:r w:rsidR="004B5560">
        <w:t xml:space="preserve"> which had been paid</w:t>
      </w:r>
      <w:r>
        <w:t xml:space="preserve"> to Plutus by its clients for the purposes of making</w:t>
      </w:r>
      <w:r w:rsidR="006B499C">
        <w:t xml:space="preserve"> pay as you go withholding (“</w:t>
      </w:r>
      <w:r>
        <w:t>PAYG</w:t>
      </w:r>
      <w:r w:rsidR="006B499C">
        <w:t>W”)</w:t>
      </w:r>
      <w:r>
        <w:t xml:space="preserve"> payments to the ATO</w:t>
      </w:r>
      <w:r w:rsidR="003722C2">
        <w:t>,</w:t>
      </w:r>
      <w:r>
        <w:t xml:space="preserve"> or that it was proposed that they be so engaged.  It</w:t>
      </w:r>
      <w:r w:rsidR="003722C2">
        <w:t xml:space="preserve"> was</w:t>
      </w:r>
      <w:r>
        <w:t xml:space="preserve"> also alleged that </w:t>
      </w:r>
      <w:r w:rsidR="003722C2">
        <w:t xml:space="preserve">the Applicants and </w:t>
      </w:r>
      <w:proofErr w:type="spellStart"/>
      <w:r>
        <w:t>Synep</w:t>
      </w:r>
      <w:proofErr w:type="spellEnd"/>
      <w:r>
        <w:t xml:space="preserve"> failed to disclose that Mr Onley had been knowingly receiving, from entities associated with a Mr Simon </w:t>
      </w:r>
      <w:proofErr w:type="spellStart"/>
      <w:r>
        <w:t>Anquetil</w:t>
      </w:r>
      <w:proofErr w:type="spellEnd"/>
      <w:r>
        <w:t>, funds dishonestly misappropriated from clients of Plutus</w:t>
      </w:r>
      <w:r w:rsidR="004B5560">
        <w:t xml:space="preserve"> for some time prior to the inception of the policy</w:t>
      </w:r>
      <w:r>
        <w:t xml:space="preserve">.  It </w:t>
      </w:r>
      <w:r w:rsidR="003722C2">
        <w:t>was</w:t>
      </w:r>
      <w:r>
        <w:t xml:space="preserve"> </w:t>
      </w:r>
      <w:r w:rsidR="003722C2">
        <w:t>further</w:t>
      </w:r>
      <w:r>
        <w:t xml:space="preserve"> alleged that the non-disclosure</w:t>
      </w:r>
      <w:r w:rsidR="004B5560">
        <w:t xml:space="preserve"> of these facts</w:t>
      </w:r>
      <w:r>
        <w:t xml:space="preserve"> was fraudulent in that the information was deliberately withheld knowing that it would be relevant</w:t>
      </w:r>
      <w:r w:rsidR="004B5560">
        <w:t xml:space="preserve"> to the insurer’s assessment of risk</w:t>
      </w:r>
      <w:r>
        <w:t>.  The insurer also asserted that</w:t>
      </w:r>
      <w:r w:rsidR="004B5560">
        <w:t>,</w:t>
      </w:r>
      <w:r>
        <w:t xml:space="preserve"> as </w:t>
      </w:r>
      <w:proofErr w:type="spellStart"/>
      <w:r>
        <w:t>Synep</w:t>
      </w:r>
      <w:proofErr w:type="spellEnd"/>
      <w:r>
        <w:t xml:space="preserve"> provided the proposal and </w:t>
      </w:r>
      <w:r w:rsidR="003722C2">
        <w:t>entered into the policy as agent</w:t>
      </w:r>
      <w:r>
        <w:t xml:space="preserve"> for all the insureds</w:t>
      </w:r>
      <w:r w:rsidR="004B5560">
        <w:t>,</w:t>
      </w:r>
      <w:r>
        <w:t xml:space="preserve"> the policy </w:t>
      </w:r>
      <w:r w:rsidR="0029429E">
        <w:t>was avoid</w:t>
      </w:r>
      <w:r w:rsidR="003722C2">
        <w:t>ed against all of them.  A</w:t>
      </w:r>
      <w:r w:rsidR="0029429E">
        <w:t>lternative</w:t>
      </w:r>
      <w:r w:rsidR="003722C2">
        <w:t>ly, the insurer claimed that if</w:t>
      </w:r>
      <w:r w:rsidR="0029429E">
        <w:t xml:space="preserve"> the non-disclosure had not been fraudulent, it was entitled to reduce its liability to nil.</w:t>
      </w:r>
      <w:r w:rsidR="003A7170">
        <w:t xml:space="preserve">  </w:t>
      </w:r>
      <w:r w:rsidR="0029429E">
        <w:t>Norton Rose Fulbright</w:t>
      </w:r>
      <w:r w:rsidR="00D0664C">
        <w:t>’s letter</w:t>
      </w:r>
      <w:r w:rsidR="0029429E">
        <w:t xml:space="preserve"> various facts relating to the acquisition of the Plutus business and what appears to be the allegations of knowledge of </w:t>
      </w:r>
      <w:r w:rsidR="003722C2">
        <w:t xml:space="preserve">the Applicants </w:t>
      </w:r>
      <w:r w:rsidR="0029429E">
        <w:t xml:space="preserve">are detailed.  </w:t>
      </w:r>
    </w:p>
    <w:p w14:paraId="305E8C15" w14:textId="77777777" w:rsidR="0029429E" w:rsidRDefault="0029429E" w:rsidP="00475A7D">
      <w:pPr>
        <w:pStyle w:val="ParaNumbering"/>
      </w:pPr>
      <w:r>
        <w:t xml:space="preserve">Subsequent correspondence </w:t>
      </w:r>
      <w:r w:rsidR="004B5560">
        <w:t xml:space="preserve">between the parties </w:t>
      </w:r>
      <w:r>
        <w:t>ensued</w:t>
      </w:r>
      <w:r w:rsidR="004B5560">
        <w:t>.  In it,</w:t>
      </w:r>
      <w:r>
        <w:t xml:space="preserve"> the </w:t>
      </w:r>
      <w:r w:rsidR="004B5560">
        <w:t>A</w:t>
      </w:r>
      <w:r>
        <w:t>pplicants</w:t>
      </w:r>
      <w:r w:rsidR="004B5560">
        <w:t>’ legal representatives asserted</w:t>
      </w:r>
      <w:r>
        <w:t xml:space="preserve"> that the </w:t>
      </w:r>
      <w:r w:rsidR="003722C2">
        <w:t xml:space="preserve">insurer’s </w:t>
      </w:r>
      <w:r>
        <w:t>refusal to indemnify and purported termination of the policy w</w:t>
      </w:r>
      <w:r w:rsidR="003722C2">
        <w:t>ere</w:t>
      </w:r>
      <w:r>
        <w:t xml:space="preserve"> wrongful.  It was alleged that the insurer had relied upon an affidavit used by the Australian Federal Police to obtain</w:t>
      </w:r>
      <w:r w:rsidR="004B5560">
        <w:t xml:space="preserve"> the</w:t>
      </w:r>
      <w:r>
        <w:t xml:space="preserve"> </w:t>
      </w:r>
      <w:r w:rsidRPr="004B5560">
        <w:rPr>
          <w:i/>
        </w:rPr>
        <w:t>ex parte</w:t>
      </w:r>
      <w:r>
        <w:t xml:space="preserve"> orders under the </w:t>
      </w:r>
      <w:r>
        <w:rPr>
          <w:i/>
        </w:rPr>
        <w:t>Proceeds of Crimes Act</w:t>
      </w:r>
      <w:r>
        <w:t xml:space="preserve"> </w:t>
      </w:r>
      <w:r w:rsidR="00D0664C">
        <w:t xml:space="preserve">in which </w:t>
      </w:r>
      <w:r>
        <w:t>the deponent had indicated that he held a “suspicion” of the commission of offences by, inter alia, Messrs Onley and Cranston and, further that there were reasonable grounds for that suspicion.  It was then said that where the subject matter of the</w:t>
      </w:r>
      <w:r w:rsidR="003722C2">
        <w:t xml:space="preserve"> alleged</w:t>
      </w:r>
      <w:r>
        <w:t xml:space="preserve"> non-disclosure was the same as that which underpinned the wrongful acts suspected or alleged in the various proceedings, the underwriters could not, in the absence of an admission in judgment or adjudication, avoid the policy on that basis.</w:t>
      </w:r>
    </w:p>
    <w:p w14:paraId="3630CBEC" w14:textId="77777777" w:rsidR="0029429E" w:rsidRDefault="0029429E" w:rsidP="00475A7D">
      <w:pPr>
        <w:pStyle w:val="ParaNumbering"/>
      </w:pPr>
      <w:r>
        <w:lastRenderedPageBreak/>
        <w:t xml:space="preserve">The evidence before the Court is that the </w:t>
      </w:r>
      <w:r w:rsidR="007A48B1">
        <w:t>A</w:t>
      </w:r>
      <w:r>
        <w:t>pplicants have expended</w:t>
      </w:r>
      <w:r w:rsidR="004B5560">
        <w:t xml:space="preserve"> sums</w:t>
      </w:r>
      <w:r>
        <w:t xml:space="preserve"> in excess of $300,000 on their defence </w:t>
      </w:r>
      <w:r w:rsidR="004B5560">
        <w:t>of the proceedings and continue to incur substantial costs.</w:t>
      </w:r>
    </w:p>
    <w:p w14:paraId="090BE71B" w14:textId="77777777" w:rsidR="0029429E" w:rsidRDefault="0029429E" w:rsidP="00475A7D">
      <w:pPr>
        <w:pStyle w:val="ParaNumbering"/>
      </w:pPr>
      <w:r>
        <w:t xml:space="preserve">In subsequent correspondence the insurer formally purported to avoid the policy.  </w:t>
      </w:r>
    </w:p>
    <w:p w14:paraId="28ADA1D2" w14:textId="77777777" w:rsidR="0029429E" w:rsidRPr="00475A7D" w:rsidRDefault="0029429E" w:rsidP="0029429E">
      <w:pPr>
        <w:pStyle w:val="Heading2"/>
      </w:pPr>
      <w:r>
        <w:t>Question for determination</w:t>
      </w:r>
    </w:p>
    <w:p w14:paraId="2825B2CF" w14:textId="77777777" w:rsidR="000263F0" w:rsidRDefault="0029429E" w:rsidP="00F66A5B">
      <w:pPr>
        <w:pStyle w:val="ParaNumbering"/>
      </w:pPr>
      <w:r>
        <w:t xml:space="preserve">Pursuant to </w:t>
      </w:r>
      <w:r w:rsidR="00E55EEA">
        <w:t xml:space="preserve">the </w:t>
      </w:r>
      <w:r>
        <w:t xml:space="preserve">orders made on </w:t>
      </w:r>
      <w:r w:rsidR="006E4090">
        <w:t>26 March</w:t>
      </w:r>
      <w:r>
        <w:t xml:space="preserve"> 2018 by the</w:t>
      </w:r>
      <w:r w:rsidR="00E55EEA">
        <w:t xml:space="preserve"> </w:t>
      </w:r>
      <w:r>
        <w:t>Chief Justice</w:t>
      </w:r>
      <w:r w:rsidR="007A48B1">
        <w:t>,</w:t>
      </w:r>
      <w:r>
        <w:t xml:space="preserve"> the following question</w:t>
      </w:r>
      <w:r w:rsidR="007A48B1">
        <w:t xml:space="preserve"> is to be determined </w:t>
      </w:r>
      <w:r>
        <w:t xml:space="preserve">pursuant to r 30.01 of the </w:t>
      </w:r>
      <w:r w:rsidRPr="002A30BE">
        <w:rPr>
          <w:i/>
        </w:rPr>
        <w:t>Federal Court Rules 2011</w:t>
      </w:r>
      <w:r w:rsidRPr="002A30BE">
        <w:t xml:space="preserve"> (Cth)</w:t>
      </w:r>
      <w:r w:rsidR="007A48B1">
        <w:t xml:space="preserve"> in respect of each Applicant</w:t>
      </w:r>
      <w:r>
        <w:t>:</w:t>
      </w:r>
    </w:p>
    <w:p w14:paraId="4949678C" w14:textId="77777777" w:rsidR="0020410A" w:rsidRPr="00671B00" w:rsidRDefault="000263F0" w:rsidP="00671B00">
      <w:pPr>
        <w:pStyle w:val="Quote1"/>
        <w:rPr>
          <w:b/>
        </w:rPr>
      </w:pPr>
      <w:r w:rsidRPr="00671B00">
        <w:rPr>
          <w:b/>
        </w:rPr>
        <w:t>The questions for determination</w:t>
      </w:r>
    </w:p>
    <w:p w14:paraId="2016301E" w14:textId="77777777" w:rsidR="000263F0" w:rsidRPr="000263F0" w:rsidRDefault="000263F0" w:rsidP="00671B00">
      <w:pPr>
        <w:pStyle w:val="Quote1"/>
      </w:pPr>
      <w:r w:rsidRPr="000263F0">
        <w:t>Whether, either:</w:t>
      </w:r>
    </w:p>
    <w:p w14:paraId="0E40A29A" w14:textId="77777777" w:rsidR="000263F0" w:rsidRPr="000263F0" w:rsidRDefault="000263F0" w:rsidP="00671B00">
      <w:pPr>
        <w:pStyle w:val="Quote2"/>
        <w:ind w:left="2160" w:hanging="720"/>
      </w:pPr>
      <w:r w:rsidRPr="000263F0">
        <w:t>(</w:t>
      </w:r>
      <w:proofErr w:type="spellStart"/>
      <w:r w:rsidRPr="000263F0">
        <w:t>i</w:t>
      </w:r>
      <w:proofErr w:type="spellEnd"/>
      <w:r w:rsidRPr="000263F0">
        <w:t xml:space="preserve">) </w:t>
      </w:r>
      <w:r>
        <w:tab/>
      </w:r>
      <w:r w:rsidRPr="000263F0">
        <w:t>On the true construction of the Labour Force Liability Insurance Policy number LCB171202453 (“Policy”); or</w:t>
      </w:r>
    </w:p>
    <w:p w14:paraId="60AAAE28" w14:textId="77777777" w:rsidR="000263F0" w:rsidRPr="000263F0" w:rsidRDefault="000263F0" w:rsidP="00671B00">
      <w:pPr>
        <w:pStyle w:val="Quote2"/>
        <w:ind w:left="2160" w:hanging="720"/>
      </w:pPr>
      <w:r w:rsidRPr="000263F0">
        <w:t xml:space="preserve">(ii) </w:t>
      </w:r>
      <w:r>
        <w:tab/>
      </w:r>
      <w:r w:rsidRPr="000263F0">
        <w:t xml:space="preserve">On application of the principles of waiver or estoppel, under the </w:t>
      </w:r>
      <w:r w:rsidRPr="000263F0">
        <w:rPr>
          <w:i/>
        </w:rPr>
        <w:t>Insurance Contracts Act 1984</w:t>
      </w:r>
      <w:r w:rsidRPr="000263F0">
        <w:t xml:space="preserve"> (Cth) (“the Act”) or otherwise; or</w:t>
      </w:r>
    </w:p>
    <w:p w14:paraId="0EE827ED" w14:textId="77777777" w:rsidR="000263F0" w:rsidRPr="000263F0" w:rsidRDefault="000263F0" w:rsidP="00671B00">
      <w:pPr>
        <w:pStyle w:val="Quote2"/>
        <w:ind w:left="2160" w:hanging="720"/>
      </w:pPr>
      <w:r w:rsidRPr="000263F0">
        <w:t xml:space="preserve">(iii) </w:t>
      </w:r>
      <w:r>
        <w:tab/>
      </w:r>
      <w:r w:rsidRPr="000263F0">
        <w:t>Upon application of the duty of utmost good faith under s 13 of the Act,</w:t>
      </w:r>
    </w:p>
    <w:p w14:paraId="7B505815" w14:textId="77777777" w:rsidR="000263F0" w:rsidRPr="000263F0" w:rsidRDefault="000263F0" w:rsidP="00671B00">
      <w:pPr>
        <w:pStyle w:val="Quote1"/>
      </w:pPr>
      <w:r w:rsidRPr="000263F0">
        <w:t>the Respondent has agreed not to exercise or is otherwise prevented from exercising rights or from relying on remedies under Part IV of the Act under circumstances where:</w:t>
      </w:r>
    </w:p>
    <w:p w14:paraId="5450052E" w14:textId="77777777" w:rsidR="000263F0" w:rsidRPr="000263F0" w:rsidRDefault="000263F0" w:rsidP="00671B00">
      <w:pPr>
        <w:pStyle w:val="Quote2"/>
        <w:ind w:left="2160" w:hanging="720"/>
      </w:pPr>
      <w:r w:rsidRPr="000263F0">
        <w:t xml:space="preserve">(a) </w:t>
      </w:r>
      <w:r>
        <w:tab/>
      </w:r>
      <w:r w:rsidRPr="000263F0">
        <w:t>Claims (as defined in the Policy) have been made against the Applicant alleging conduct of the Applicant of the kind stipulated in the Dishonest or Criminal Intent / Improper Conduct exclusion of the Policy ("Conduct"); and</w:t>
      </w:r>
    </w:p>
    <w:p w14:paraId="1CE390C0" w14:textId="77777777" w:rsidR="0020410A" w:rsidRPr="000263F0" w:rsidRDefault="000263F0" w:rsidP="00671B00">
      <w:pPr>
        <w:pStyle w:val="Quote2"/>
        <w:ind w:left="2160" w:hanging="720"/>
      </w:pPr>
      <w:r w:rsidRPr="000263F0">
        <w:t xml:space="preserve">(b) </w:t>
      </w:r>
      <w:r>
        <w:tab/>
      </w:r>
      <w:proofErr w:type="gramStart"/>
      <w:r w:rsidRPr="000263F0">
        <w:t>the</w:t>
      </w:r>
      <w:proofErr w:type="gramEnd"/>
      <w:r w:rsidRPr="000263F0">
        <w:t xml:space="preserve"> Conduct has not been established by admission of the Applicant, judgment or adjudication (“Determination”); and</w:t>
      </w:r>
    </w:p>
    <w:p w14:paraId="6134E3D3" w14:textId="77777777" w:rsidR="000263F0" w:rsidRPr="000263F0" w:rsidRDefault="000263F0" w:rsidP="00671B00">
      <w:pPr>
        <w:pStyle w:val="Quote2"/>
        <w:ind w:left="2160" w:hanging="720"/>
      </w:pPr>
      <w:r w:rsidRPr="000263F0">
        <w:t xml:space="preserve">(c) </w:t>
      </w:r>
      <w:r>
        <w:tab/>
      </w:r>
      <w:r w:rsidRPr="000263F0">
        <w:t>the Respondent's exercise of rights or entitlement to remedies under Part IV of the Act is or would be based upon its conclusion, ahead of a Determination, that there has been a failure on the part of an insured to disclose that the Conduct had occurred or that it was intended or planned to occur.</w:t>
      </w:r>
    </w:p>
    <w:p w14:paraId="4514F9D5" w14:textId="77777777" w:rsidR="000263F0" w:rsidRDefault="00941397" w:rsidP="0029429E">
      <w:pPr>
        <w:pStyle w:val="Heading2"/>
      </w:pPr>
      <w:r>
        <w:t>The insurer’s</w:t>
      </w:r>
      <w:r w:rsidR="0029429E">
        <w:t xml:space="preserve"> identification of matters not disclosed</w:t>
      </w:r>
      <w:r w:rsidR="00A21024">
        <w:t xml:space="preserve"> and claimed avoidance</w:t>
      </w:r>
    </w:p>
    <w:p w14:paraId="50C13499" w14:textId="782375F6" w:rsidR="0029429E" w:rsidRDefault="000E1425" w:rsidP="0029429E">
      <w:pPr>
        <w:pStyle w:val="ParaNumbering"/>
      </w:pPr>
      <w:r>
        <w:t xml:space="preserve">In compliance with </w:t>
      </w:r>
      <w:r w:rsidR="007A48B1" w:rsidRPr="007A48B1">
        <w:t xml:space="preserve">an order of this Court made on 16 February 2018, the insurer has set out with particularity its allegations of the undisclosed matters upon which its purported avoidance of the policy is founded. There is no need to set </w:t>
      </w:r>
      <w:r>
        <w:t xml:space="preserve">them </w:t>
      </w:r>
      <w:r w:rsidR="007A48B1" w:rsidRPr="007A48B1">
        <w:t>out in full. It is sufficient</w:t>
      </w:r>
      <w:r w:rsidR="007A48B1" w:rsidRPr="00EC5EE9">
        <w:t xml:space="preserve"> </w:t>
      </w:r>
      <w:r w:rsidR="0029429E">
        <w:t xml:space="preserve">to identify the </w:t>
      </w:r>
      <w:r>
        <w:t xml:space="preserve">general </w:t>
      </w:r>
      <w:r w:rsidR="0029429E">
        <w:t xml:space="preserve">nature </w:t>
      </w:r>
      <w:r>
        <w:t>and extent</w:t>
      </w:r>
      <w:r w:rsidR="0029429E">
        <w:t xml:space="preserve">.  At its highest level of generality </w:t>
      </w:r>
      <w:r w:rsidR="00495DD9">
        <w:t>the insurer claims</w:t>
      </w:r>
      <w:r w:rsidR="0029429E">
        <w:t xml:space="preserve"> that the insureds had failed to disclose that in the 14 months prior to June 2016</w:t>
      </w:r>
      <w:r w:rsidR="007A48B1">
        <w:t>,</w:t>
      </w:r>
      <w:r w:rsidR="0029429E">
        <w:t xml:space="preserve"> Plutus had conducted a dishonest enterprise </w:t>
      </w:r>
      <w:r w:rsidR="007A48B1">
        <w:t>in</w:t>
      </w:r>
      <w:r w:rsidR="00495DD9">
        <w:t xml:space="preserve"> misappropriat</w:t>
      </w:r>
      <w:r w:rsidR="007A48B1">
        <w:t>ing</w:t>
      </w:r>
      <w:r w:rsidR="00495DD9">
        <w:t xml:space="preserve"> </w:t>
      </w:r>
      <w:r w:rsidR="0029429E">
        <w:t>funds</w:t>
      </w:r>
      <w:r w:rsidR="00495DD9">
        <w:t xml:space="preserve"> which it had received</w:t>
      </w:r>
      <w:r w:rsidR="0029429E">
        <w:t xml:space="preserve"> from </w:t>
      </w:r>
      <w:r w:rsidR="0029429E">
        <w:lastRenderedPageBreak/>
        <w:t xml:space="preserve">entities for which </w:t>
      </w:r>
      <w:r w:rsidR="00495DD9">
        <w:t>it</w:t>
      </w:r>
      <w:r w:rsidR="0029429E">
        <w:t xml:space="preserve"> provided payroll services</w:t>
      </w:r>
      <w:r w:rsidR="007A48B1">
        <w:t xml:space="preserve">.  </w:t>
      </w:r>
      <w:r w:rsidR="00D0664C">
        <w:t xml:space="preserve">The further details provided by the insurer allege that Plutus </w:t>
      </w:r>
      <w:r w:rsidR="007A48B1">
        <w:t>had received the funds</w:t>
      </w:r>
      <w:r w:rsidR="0029429E">
        <w:t xml:space="preserve"> </w:t>
      </w:r>
      <w:r w:rsidR="00D0664C">
        <w:t xml:space="preserve">from clients </w:t>
      </w:r>
      <w:r w:rsidR="0029429E">
        <w:t xml:space="preserve">for the purpose of remitting them </w:t>
      </w:r>
      <w:r>
        <w:t xml:space="preserve">or some of them </w:t>
      </w:r>
      <w:r w:rsidR="0029429E">
        <w:t>to the Australian Taxation Office</w:t>
      </w:r>
      <w:r w:rsidR="00495DD9">
        <w:t>. The misappropriation had been orchestrated</w:t>
      </w:r>
      <w:r w:rsidR="0029429E">
        <w:t xml:space="preserve"> by </w:t>
      </w:r>
      <w:r w:rsidR="007A48B1">
        <w:t xml:space="preserve">Mr Onley and </w:t>
      </w:r>
      <w:r w:rsidR="0029429E">
        <w:t xml:space="preserve">Mr </w:t>
      </w:r>
      <w:proofErr w:type="spellStart"/>
      <w:r w:rsidR="0029429E">
        <w:t>Anquetil</w:t>
      </w:r>
      <w:proofErr w:type="spellEnd"/>
      <w:r w:rsidR="0029429E">
        <w:t xml:space="preserve"> pursuant to a</w:t>
      </w:r>
      <w:r w:rsidR="00495DD9">
        <w:t>n organised</w:t>
      </w:r>
      <w:r w:rsidR="0029429E">
        <w:t xml:space="preserve"> scheme</w:t>
      </w:r>
      <w:r w:rsidR="007A48B1">
        <w:t xml:space="preserve"> by</w:t>
      </w:r>
      <w:r w:rsidR="0029429E">
        <w:t xml:space="preserve"> which companies controlled by </w:t>
      </w:r>
      <w:r w:rsidR="007A48B1">
        <w:t>them</w:t>
      </w:r>
      <w:r w:rsidR="0029429E">
        <w:t xml:space="preserve"> “intercepted” PAYG</w:t>
      </w:r>
      <w:r w:rsidR="006B499C">
        <w:t>W</w:t>
      </w:r>
      <w:r w:rsidR="0029429E">
        <w:t xml:space="preserve"> payments from client companies and diverted them to their own associated companies.  Part of </w:t>
      </w:r>
      <w:r w:rsidR="007A48B1">
        <w:t>it</w:t>
      </w:r>
      <w:r w:rsidR="0029429E">
        <w:t xml:space="preserve"> </w:t>
      </w:r>
      <w:r w:rsidR="006558FC">
        <w:t xml:space="preserve">is said to </w:t>
      </w:r>
      <w:r w:rsidR="007A48B1">
        <w:t xml:space="preserve">have included </w:t>
      </w:r>
      <w:r w:rsidR="006558FC">
        <w:t>a</w:t>
      </w:r>
      <w:r w:rsidR="00495DD9">
        <w:t>n</w:t>
      </w:r>
      <w:r w:rsidR="007A48B1">
        <w:t xml:space="preserve"> under-</w:t>
      </w:r>
      <w:r w:rsidR="006558FC">
        <w:t>reporting of liability for PAYG</w:t>
      </w:r>
      <w:r w:rsidR="006B499C">
        <w:t>W</w:t>
      </w:r>
      <w:r w:rsidR="006558FC">
        <w:t xml:space="preserve"> amounts to the Australian Taxation Office.  It is said that the scheme </w:t>
      </w:r>
      <w:r w:rsidR="007A48B1">
        <w:t>was expanded by</w:t>
      </w:r>
      <w:r w:rsidR="006558FC">
        <w:t xml:space="preserve"> the incorporation of </w:t>
      </w:r>
      <w:proofErr w:type="spellStart"/>
      <w:r w:rsidR="006558FC">
        <w:t>Synep</w:t>
      </w:r>
      <w:proofErr w:type="spellEnd"/>
      <w:r w:rsidR="006558FC">
        <w:t xml:space="preserve"> on or about 1 June 2016</w:t>
      </w:r>
      <w:r w:rsidR="00A21024">
        <w:t xml:space="preserve"> from which point Mr Cranston </w:t>
      </w:r>
      <w:r>
        <w:t xml:space="preserve">was </w:t>
      </w:r>
      <w:r w:rsidR="00A21024">
        <w:t>involved</w:t>
      </w:r>
      <w:r w:rsidR="006558FC">
        <w:t xml:space="preserve">.  </w:t>
      </w:r>
      <w:r w:rsidR="00A21024">
        <w:t xml:space="preserve">Part </w:t>
      </w:r>
      <w:r>
        <w:t xml:space="preserve">of the scheme </w:t>
      </w:r>
      <w:r w:rsidR="00D0664C">
        <w:t xml:space="preserve">also </w:t>
      </w:r>
      <w:r w:rsidR="00A21024">
        <w:t>included the</w:t>
      </w:r>
      <w:r w:rsidR="006558FC">
        <w:t xml:space="preserve"> creation of various </w:t>
      </w:r>
      <w:r w:rsidR="007A48B1">
        <w:t xml:space="preserve">straw </w:t>
      </w:r>
      <w:r w:rsidR="006558FC">
        <w:t>companies which would be</w:t>
      </w:r>
      <w:r w:rsidR="00A21024">
        <w:t>come</w:t>
      </w:r>
      <w:r w:rsidR="006558FC">
        <w:t xml:space="preserve"> liable </w:t>
      </w:r>
      <w:r>
        <w:t xml:space="preserve">to meet </w:t>
      </w:r>
      <w:r w:rsidR="006558FC">
        <w:t>the PAYG</w:t>
      </w:r>
      <w:r w:rsidR="006B499C">
        <w:t>W</w:t>
      </w:r>
      <w:r w:rsidR="006558FC">
        <w:t xml:space="preserve"> tax </w:t>
      </w:r>
      <w:r>
        <w:t xml:space="preserve">obligations to the ATO, but </w:t>
      </w:r>
      <w:r w:rsidR="00D0664C">
        <w:t xml:space="preserve">it was intended that those obligations would </w:t>
      </w:r>
      <w:r>
        <w:t>remain unfulfilled.  T</w:t>
      </w:r>
      <w:r w:rsidR="00A21024">
        <w:t xml:space="preserve">hese </w:t>
      </w:r>
      <w:r>
        <w:t xml:space="preserve">companies </w:t>
      </w:r>
      <w:r w:rsidR="00A21024">
        <w:t xml:space="preserve">were controlled by </w:t>
      </w:r>
      <w:r w:rsidR="007A48B1">
        <w:t xml:space="preserve">the Applicants </w:t>
      </w:r>
      <w:r w:rsidR="00A21024">
        <w:t>though they were not formally appointed as directors of them</w:t>
      </w:r>
      <w:r w:rsidR="006558FC">
        <w:t>.</w:t>
      </w:r>
      <w:r w:rsidR="00DF4475">
        <w:t xml:space="preserve">  It appears that </w:t>
      </w:r>
      <w:r w:rsidR="007A48B1">
        <w:t xml:space="preserve">those </w:t>
      </w:r>
      <w:r w:rsidR="00DF4475">
        <w:t>appointed as directors were without means.</w:t>
      </w:r>
      <w:r w:rsidR="006558FC">
        <w:t xml:space="preserve">  </w:t>
      </w:r>
      <w:r w:rsidR="00495DD9">
        <w:t>It is alleged that the</w:t>
      </w:r>
      <w:r w:rsidR="006558FC">
        <w:t xml:space="preserve"> scheme involved </w:t>
      </w:r>
      <w:r w:rsidR="00156DA5" w:rsidRPr="00180E04">
        <w:t>substantial amounts of money</w:t>
      </w:r>
      <w:r w:rsidR="006558FC" w:rsidRPr="00180E04">
        <w:t>.</w:t>
      </w:r>
      <w:r w:rsidR="006558FC">
        <w:t xml:space="preserve">  </w:t>
      </w:r>
    </w:p>
    <w:p w14:paraId="1F0BB1B8" w14:textId="77777777" w:rsidR="007A48B1" w:rsidRDefault="00A21024" w:rsidP="000E3149">
      <w:pPr>
        <w:pStyle w:val="ParaNumbering"/>
      </w:pPr>
      <w:r>
        <w:t xml:space="preserve">The insurer </w:t>
      </w:r>
      <w:r w:rsidR="007A48B1">
        <w:t>alleges that the Applicants’ failure</w:t>
      </w:r>
      <w:r w:rsidR="006558FC">
        <w:t xml:space="preserve"> to disclose the substance of the scheme and</w:t>
      </w:r>
      <w:r w:rsidR="00011EE3">
        <w:t xml:space="preserve"> its unlawful characteristics</w:t>
      </w:r>
      <w:r w:rsidR="00B82580">
        <w:t>,</w:t>
      </w:r>
      <w:r w:rsidR="00011EE3">
        <w:t xml:space="preserve"> in </w:t>
      </w:r>
      <w:r w:rsidR="007A48B1">
        <w:t>breach</w:t>
      </w:r>
      <w:r w:rsidR="00011EE3">
        <w:t xml:space="preserve"> of their obligation s 21 of the</w:t>
      </w:r>
      <w:r w:rsidR="007A48B1">
        <w:t xml:space="preserve"> ICA</w:t>
      </w:r>
      <w:r w:rsidR="00B82580">
        <w:t>,</w:t>
      </w:r>
      <w:r w:rsidR="007A48B1">
        <w:t xml:space="preserve"> and its </w:t>
      </w:r>
      <w:r w:rsidR="006558FC">
        <w:t xml:space="preserve">fraudulent </w:t>
      </w:r>
      <w:r w:rsidR="007A48B1">
        <w:t xml:space="preserve">quality is what affords it </w:t>
      </w:r>
      <w:r w:rsidR="006558FC">
        <w:t xml:space="preserve">the right to terminate the policy or, in </w:t>
      </w:r>
      <w:r>
        <w:t xml:space="preserve">the </w:t>
      </w:r>
      <w:r w:rsidR="006558FC">
        <w:t>alternative</w:t>
      </w:r>
      <w:r w:rsidR="007A48B1">
        <w:t>,</w:t>
      </w:r>
      <w:r>
        <w:t xml:space="preserve"> if the non-disclosure was not fraudulent</w:t>
      </w:r>
      <w:r w:rsidR="006558FC">
        <w:t xml:space="preserve">, </w:t>
      </w:r>
      <w:r>
        <w:t>the right</w:t>
      </w:r>
      <w:r w:rsidR="006558FC">
        <w:t xml:space="preserve"> to reduce its liability to nil.</w:t>
      </w:r>
      <w:r w:rsidR="00947CA7">
        <w:t xml:space="preserve">  </w:t>
      </w:r>
    </w:p>
    <w:p w14:paraId="1EAD950C" w14:textId="77777777" w:rsidR="000263F0" w:rsidRDefault="007A48B1" w:rsidP="000E3149">
      <w:pPr>
        <w:pStyle w:val="ParaNumbering"/>
      </w:pPr>
      <w:r>
        <w:t xml:space="preserve">It </w:t>
      </w:r>
      <w:r w:rsidR="00947CA7">
        <w:t xml:space="preserve">founds its entitlement to decline indemnity upon either of the entitlements granted by s 28 of the </w:t>
      </w:r>
      <w:r w:rsidR="00A21024" w:rsidRPr="00A21024">
        <w:t>ICA</w:t>
      </w:r>
      <w:r w:rsidR="00A21024">
        <w:rPr>
          <w:i/>
        </w:rPr>
        <w:t xml:space="preserve"> </w:t>
      </w:r>
      <w:r w:rsidR="00947CA7">
        <w:t>which provides:</w:t>
      </w:r>
    </w:p>
    <w:p w14:paraId="043B9F7E" w14:textId="77777777" w:rsidR="00947CA7" w:rsidRPr="00671B00" w:rsidRDefault="00947CA7" w:rsidP="00671B00">
      <w:pPr>
        <w:pStyle w:val="Quote1"/>
        <w:rPr>
          <w:b/>
        </w:rPr>
      </w:pPr>
      <w:r w:rsidRPr="00671B00">
        <w:rPr>
          <w:b/>
        </w:rPr>
        <w:t xml:space="preserve">28 </w:t>
      </w:r>
      <w:r w:rsidRPr="00671B00">
        <w:rPr>
          <w:b/>
        </w:rPr>
        <w:tab/>
        <w:t>General insurance</w:t>
      </w:r>
    </w:p>
    <w:p w14:paraId="7E6245BD" w14:textId="77777777" w:rsidR="00947CA7" w:rsidRPr="00947CA7" w:rsidRDefault="00947CA7" w:rsidP="00671B00">
      <w:pPr>
        <w:pStyle w:val="Quote1"/>
        <w:ind w:left="1440" w:hanging="703"/>
      </w:pPr>
      <w:r w:rsidRPr="00947CA7">
        <w:t xml:space="preserve">(1) </w:t>
      </w:r>
      <w:r>
        <w:tab/>
      </w:r>
      <w:r w:rsidRPr="00947CA7">
        <w:t>This section applies where the person who became the insured under a contract of general insurance upon the contract being entered into:</w:t>
      </w:r>
    </w:p>
    <w:p w14:paraId="1B1A60DE" w14:textId="77777777" w:rsidR="00947CA7" w:rsidRPr="00947CA7" w:rsidRDefault="00947CA7" w:rsidP="00671B00">
      <w:pPr>
        <w:pStyle w:val="Quote2"/>
      </w:pPr>
      <w:r w:rsidRPr="00947CA7">
        <w:t xml:space="preserve">(a) </w:t>
      </w:r>
      <w:r>
        <w:tab/>
      </w:r>
      <w:proofErr w:type="gramStart"/>
      <w:r w:rsidRPr="00947CA7">
        <w:t>failed</w:t>
      </w:r>
      <w:proofErr w:type="gramEnd"/>
      <w:r w:rsidRPr="00947CA7">
        <w:t xml:space="preserve"> to comply with the duty of disclosure; or</w:t>
      </w:r>
    </w:p>
    <w:p w14:paraId="5E02EC34" w14:textId="77777777" w:rsidR="00947CA7" w:rsidRPr="00947CA7" w:rsidRDefault="00947CA7" w:rsidP="00671B00">
      <w:pPr>
        <w:pStyle w:val="Quote2"/>
        <w:ind w:left="2160" w:hanging="720"/>
      </w:pPr>
      <w:r w:rsidRPr="00947CA7">
        <w:t>(</w:t>
      </w:r>
      <w:proofErr w:type="gramStart"/>
      <w:r w:rsidRPr="00947CA7">
        <w:t>b</w:t>
      </w:r>
      <w:proofErr w:type="gramEnd"/>
      <w:r w:rsidRPr="00947CA7">
        <w:t xml:space="preserve">) </w:t>
      </w:r>
      <w:r>
        <w:tab/>
      </w:r>
      <w:r w:rsidRPr="00947CA7">
        <w:t>made a misrepresentation to the insurer before the contract was entered into;</w:t>
      </w:r>
    </w:p>
    <w:p w14:paraId="312C72A4" w14:textId="77777777" w:rsidR="00947CA7" w:rsidRPr="00947CA7" w:rsidRDefault="00947CA7" w:rsidP="00157520">
      <w:pPr>
        <w:pStyle w:val="Quote1"/>
        <w:ind w:left="1440"/>
      </w:pPr>
      <w:proofErr w:type="gramStart"/>
      <w:r w:rsidRPr="00947CA7">
        <w:t>but</w:t>
      </w:r>
      <w:proofErr w:type="gramEnd"/>
      <w:r w:rsidRPr="00947CA7">
        <w:t xml:space="preserve"> does not apply where the insurer would have entered into the contract, for the same premium and on the same terms and conditions, even if the insured had not failed to comply with the duty of disclosure or had not made the misrepresentation before the contract was entered into.</w:t>
      </w:r>
    </w:p>
    <w:p w14:paraId="1136B8B3" w14:textId="77777777" w:rsidR="00947CA7" w:rsidRPr="00947CA7" w:rsidRDefault="00947CA7" w:rsidP="00671B00">
      <w:pPr>
        <w:pStyle w:val="Quote1"/>
        <w:ind w:left="1440" w:hanging="703"/>
      </w:pPr>
      <w:r w:rsidRPr="00947CA7">
        <w:t xml:space="preserve">(2) </w:t>
      </w:r>
      <w:r>
        <w:tab/>
      </w:r>
      <w:r w:rsidRPr="00947CA7">
        <w:t>If the failure was fraudulent or the misrepresentation was made fraudulently, the insurer may avoid the contract.</w:t>
      </w:r>
    </w:p>
    <w:p w14:paraId="7B586A90" w14:textId="77777777" w:rsidR="00947CA7" w:rsidRDefault="00947CA7" w:rsidP="00671B00">
      <w:pPr>
        <w:pStyle w:val="Quote1"/>
        <w:ind w:left="1440" w:hanging="703"/>
      </w:pPr>
      <w:r w:rsidRPr="00947CA7">
        <w:t xml:space="preserve">(3) </w:t>
      </w:r>
      <w:r>
        <w:tab/>
      </w:r>
      <w:r w:rsidRPr="00947CA7">
        <w:t xml:space="preserve">If the insurer is not entitled to avoid the contract or, being entitled to avoid the contract (whether under subsection (2) or otherwise) has not done so, the liability of the insurer in respect of a claim is reduced to the amount that would place the insurer in a position in which the insurer would have been if </w:t>
      </w:r>
      <w:r w:rsidRPr="00947CA7">
        <w:lastRenderedPageBreak/>
        <w:t>the failure had not occurred or the misrepresentation had not been made.</w:t>
      </w:r>
    </w:p>
    <w:p w14:paraId="09FD17B8" w14:textId="77777777" w:rsidR="00115B35" w:rsidRDefault="00CC5AA3" w:rsidP="00947CA7">
      <w:pPr>
        <w:pStyle w:val="Heading2"/>
      </w:pPr>
      <w:r>
        <w:t>General principles of construction</w:t>
      </w:r>
    </w:p>
    <w:p w14:paraId="4D8395A1" w14:textId="4D484211" w:rsidR="00CC5AA3" w:rsidRPr="00C04EF9" w:rsidRDefault="00DF4475" w:rsidP="00C67FA0">
      <w:pPr>
        <w:pStyle w:val="ParaNumbering"/>
      </w:pPr>
      <w:r>
        <w:t xml:space="preserve">The Applicants’ arguments before this Court concern the interpretation of the Advancement Extension </w:t>
      </w:r>
      <w:r w:rsidR="00B426FB">
        <w:t xml:space="preserve">in the context of the policy </w:t>
      </w:r>
      <w:r>
        <w:t xml:space="preserve">and, to some degree, the existence of an implication </w:t>
      </w:r>
      <w:r w:rsidR="00C67FA0">
        <w:t>preventing the insurer</w:t>
      </w:r>
      <w:r>
        <w:t xml:space="preserve"> from exercising its entitlements under s 28.  Such </w:t>
      </w:r>
      <w:r w:rsidR="00B426FB">
        <w:t xml:space="preserve">arguments call for </w:t>
      </w:r>
      <w:r>
        <w:t xml:space="preserve">the application of the </w:t>
      </w:r>
      <w:r w:rsidR="00CC5AA3">
        <w:t xml:space="preserve">well-established principles concerning the construction of policies of insurance as commercial contracts.  Those principles </w:t>
      </w:r>
      <w:r w:rsidR="00B426FB">
        <w:t>were</w:t>
      </w:r>
      <w:r w:rsidR="00CC5AA3">
        <w:t xml:space="preserve"> not in dispute between the parties.  Necessarily, a policy of insurance is assumed to be a</w:t>
      </w:r>
      <w:r w:rsidR="00C67FA0">
        <w:t>n agreement</w:t>
      </w:r>
      <w:r w:rsidR="00CC5AA3">
        <w:t xml:space="preserve"> which the parties intend to produce a commercial result</w:t>
      </w:r>
      <w:r w:rsidR="000E1425">
        <w:t xml:space="preserve">:  </w:t>
      </w:r>
      <w:r w:rsidR="00CC5AA3" w:rsidRPr="002A30BE">
        <w:rPr>
          <w:i/>
        </w:rPr>
        <w:t>Electricity Generation Corporation</w:t>
      </w:r>
      <w:r w:rsidR="001A705E" w:rsidRPr="002A30BE">
        <w:rPr>
          <w:i/>
        </w:rPr>
        <w:t xml:space="preserve"> t/as Verve Energy</w:t>
      </w:r>
      <w:r w:rsidR="00CC5AA3" w:rsidRPr="002A30BE">
        <w:rPr>
          <w:i/>
        </w:rPr>
        <w:t xml:space="preserve"> v Woodside Energy Ltd</w:t>
      </w:r>
      <w:r w:rsidR="00CC5AA3" w:rsidRPr="002A30BE">
        <w:t xml:space="preserve"> (2014) 251 CLR 640</w:t>
      </w:r>
      <w:r w:rsidR="00CC5AA3">
        <w:t xml:space="preserve"> at [35]</w:t>
      </w:r>
      <w:r w:rsidR="00F3098A">
        <w:t xml:space="preserve">:  as such, </w:t>
      </w:r>
      <w:r w:rsidR="00D0664C">
        <w:t xml:space="preserve">it </w:t>
      </w:r>
      <w:r w:rsidR="00F3098A">
        <w:t xml:space="preserve">ought to be given a businesslike interpretation being the construction which a reasonable business person would give to it:  </w:t>
      </w:r>
      <w:proofErr w:type="spellStart"/>
      <w:r w:rsidR="00CC5AA3" w:rsidRPr="002A30BE">
        <w:rPr>
          <w:i/>
        </w:rPr>
        <w:t>Ecosse</w:t>
      </w:r>
      <w:proofErr w:type="spellEnd"/>
      <w:r w:rsidR="00CC5AA3" w:rsidRPr="002A30BE">
        <w:rPr>
          <w:i/>
        </w:rPr>
        <w:t xml:space="preserve"> Property Holdings Pty Ltd v Gee Dee Nominees Pty Ltd</w:t>
      </w:r>
      <w:r w:rsidR="00CC5AA3" w:rsidRPr="002A30BE">
        <w:t xml:space="preserve"> (2017) 343 ALR 58</w:t>
      </w:r>
      <w:r w:rsidR="00CC5AA3">
        <w:t xml:space="preserve"> at [17]; </w:t>
      </w:r>
      <w:proofErr w:type="spellStart"/>
      <w:r w:rsidR="00CC5AA3" w:rsidRPr="002A30BE">
        <w:rPr>
          <w:i/>
        </w:rPr>
        <w:t>Simic</w:t>
      </w:r>
      <w:proofErr w:type="spellEnd"/>
      <w:r w:rsidR="00CC5AA3" w:rsidRPr="002A30BE">
        <w:rPr>
          <w:i/>
        </w:rPr>
        <w:t xml:space="preserve"> v New South Wales Land and Housing Corp</w:t>
      </w:r>
      <w:r w:rsidR="00CC5AA3" w:rsidRPr="002A30BE">
        <w:t xml:space="preserve"> (2016) </w:t>
      </w:r>
      <w:r w:rsidR="001A705E" w:rsidRPr="002A30BE">
        <w:t>260 CLR 85</w:t>
      </w:r>
      <w:r w:rsidR="00CC5AA3">
        <w:t xml:space="preserve"> at [78];</w:t>
      </w:r>
      <w:r w:rsidR="00156DA5">
        <w:t xml:space="preserve"> </w:t>
      </w:r>
      <w:r w:rsidR="00156DA5" w:rsidRPr="00713F82">
        <w:rPr>
          <w:i/>
        </w:rPr>
        <w:t xml:space="preserve">Todd v </w:t>
      </w:r>
      <w:proofErr w:type="spellStart"/>
      <w:r w:rsidR="00156DA5" w:rsidRPr="00713F82">
        <w:rPr>
          <w:i/>
        </w:rPr>
        <w:t>Alterra</w:t>
      </w:r>
      <w:proofErr w:type="spellEnd"/>
      <w:r w:rsidR="00156DA5" w:rsidRPr="00713F82">
        <w:rPr>
          <w:i/>
        </w:rPr>
        <w:t xml:space="preserve"> at Lloyd’s Ltd </w:t>
      </w:r>
      <w:r w:rsidR="00156DA5" w:rsidRPr="00713F82">
        <w:t>(2016) 239 FCR 12</w:t>
      </w:r>
      <w:r w:rsidR="006B1BA5">
        <w:t xml:space="preserve"> at 22–</w:t>
      </w:r>
      <w:r w:rsidR="00156DA5">
        <w:t>23 [42];</w:t>
      </w:r>
      <w:r w:rsidR="00CC5AA3">
        <w:t xml:space="preserve"> </w:t>
      </w:r>
      <w:r w:rsidR="00CC5AA3" w:rsidRPr="002A30BE">
        <w:rPr>
          <w:i/>
        </w:rPr>
        <w:t xml:space="preserve">Weir Services Australia Pty Ltd v AXA Corporate Solutions Assurance </w:t>
      </w:r>
      <w:r w:rsidR="00CC5AA3" w:rsidRPr="002A30BE">
        <w:t>[2018] NSWCA 100</w:t>
      </w:r>
      <w:r w:rsidR="00CC5AA3">
        <w:t>, [52].  The contract is naturally enough interpreted</w:t>
      </w:r>
      <w:r w:rsidR="00B426FB">
        <w:t>,</w:t>
      </w:r>
      <w:r w:rsidR="00CC5AA3">
        <w:t xml:space="preserve"> in a temporal sense</w:t>
      </w:r>
      <w:r w:rsidR="00B426FB">
        <w:t>,</w:t>
      </w:r>
      <w:r w:rsidR="00CC5AA3">
        <w:t xml:space="preserve"> as at the date on which it was entered into:  </w:t>
      </w:r>
      <w:proofErr w:type="spellStart"/>
      <w:r w:rsidR="00CC5AA3" w:rsidRPr="00DF4475">
        <w:rPr>
          <w:i/>
        </w:rPr>
        <w:t>Ecosse</w:t>
      </w:r>
      <w:proofErr w:type="spellEnd"/>
      <w:r w:rsidR="00CC5AA3" w:rsidRPr="00DF4475">
        <w:rPr>
          <w:i/>
        </w:rPr>
        <w:t xml:space="preserve"> Property Holdings</w:t>
      </w:r>
      <w:r w:rsidR="00CC5AA3">
        <w:t xml:space="preserve"> at [16] per </w:t>
      </w:r>
      <w:proofErr w:type="spellStart"/>
      <w:r w:rsidR="00CC5AA3">
        <w:t>Kiefel</w:t>
      </w:r>
      <w:proofErr w:type="spellEnd"/>
      <w:r w:rsidR="00CC5AA3">
        <w:t xml:space="preserve">, Bell and Gordon JJ; </w:t>
      </w:r>
      <w:r w:rsidR="00CC5AA3" w:rsidRPr="002A30BE">
        <w:rPr>
          <w:i/>
        </w:rPr>
        <w:t>Mount Bruce Mining Pty Ltd v W</w:t>
      </w:r>
      <w:r w:rsidR="00242CC6" w:rsidRPr="002A30BE">
        <w:rPr>
          <w:i/>
        </w:rPr>
        <w:t>r</w:t>
      </w:r>
      <w:r w:rsidR="00CC5AA3" w:rsidRPr="002A30BE">
        <w:rPr>
          <w:i/>
        </w:rPr>
        <w:t xml:space="preserve">ight Prospecting Pty Ltd </w:t>
      </w:r>
      <w:r w:rsidR="00CC5AA3" w:rsidRPr="002A30BE">
        <w:t>(2015) 256 CLR 104</w:t>
      </w:r>
      <w:r w:rsidR="00CC5AA3" w:rsidRPr="00C04EF9">
        <w:t xml:space="preserve"> at 116 [47];</w:t>
      </w:r>
      <w:r w:rsidR="00CC5AA3" w:rsidRPr="00DF4475">
        <w:rPr>
          <w:i/>
        </w:rPr>
        <w:t xml:space="preserve"> </w:t>
      </w:r>
      <w:r w:rsidR="00CC5AA3" w:rsidRPr="002A30BE">
        <w:rPr>
          <w:i/>
        </w:rPr>
        <w:t xml:space="preserve">Toll (FGCT) Pty Ltd v Alphapharm Pty Ltd </w:t>
      </w:r>
      <w:r w:rsidR="00CC5AA3" w:rsidRPr="002A30BE">
        <w:t>(2004) 219 CLR 165</w:t>
      </w:r>
      <w:r w:rsidR="00CC5AA3" w:rsidRPr="00C04EF9">
        <w:t xml:space="preserve"> at [40]</w:t>
      </w:r>
      <w:r w:rsidR="00F3098A">
        <w:t xml:space="preserve">.  The Courts frequently have regard to the contextual framework in which a contract is formed, to the extent to which it is known by both parties, to assist in identifying its purpose and commercial objective:  </w:t>
      </w:r>
      <w:r w:rsidR="00CC5AA3" w:rsidRPr="002A30BE">
        <w:rPr>
          <w:i/>
        </w:rPr>
        <w:t xml:space="preserve">McCann v Switzerland Insurance Australia Ltd </w:t>
      </w:r>
      <w:r w:rsidR="00CC5AA3" w:rsidRPr="002A30BE">
        <w:t>(2000) 203 CLR 579</w:t>
      </w:r>
      <w:r w:rsidR="00CC5AA3">
        <w:t xml:space="preserve"> per Gleeson CJ at 589 [22]; </w:t>
      </w:r>
      <w:r w:rsidR="00CC5AA3" w:rsidRPr="00DF4475">
        <w:rPr>
          <w:i/>
        </w:rPr>
        <w:t>Mount Bruce Mining</w:t>
      </w:r>
      <w:r w:rsidR="00CC5AA3">
        <w:t xml:space="preserve"> at</w:t>
      </w:r>
      <w:r w:rsidR="00CC5AA3" w:rsidRPr="00DF4475">
        <w:rPr>
          <w:i/>
        </w:rPr>
        <w:t xml:space="preserve"> </w:t>
      </w:r>
      <w:r w:rsidR="00CC5AA3">
        <w:t xml:space="preserve">117; </w:t>
      </w:r>
      <w:r w:rsidR="00CC5AA3" w:rsidRPr="002A30BE">
        <w:rPr>
          <w:i/>
        </w:rPr>
        <w:t>Franklins Pty Ltd v Metcash Ltd</w:t>
      </w:r>
      <w:r w:rsidR="00CC5AA3" w:rsidRPr="002A30BE">
        <w:t xml:space="preserve"> [2009] 76 NSWLR 603</w:t>
      </w:r>
      <w:r w:rsidR="00CC5AA3">
        <w:t xml:space="preserve"> per Allsop P at 618 [19].  It goes without saying that a construction that avoids capricious, unreasonable, inconvenient or unjust consequences, is to be preferred where the words of the agreement permit. </w:t>
      </w:r>
    </w:p>
    <w:p w14:paraId="4C102CA3" w14:textId="77777777" w:rsidR="00CC5AA3" w:rsidRDefault="00C67FA0" w:rsidP="00C67FA0">
      <w:pPr>
        <w:pStyle w:val="ParaNumbering"/>
      </w:pPr>
      <w:r>
        <w:t>T</w:t>
      </w:r>
      <w:r w:rsidR="00B426FB">
        <w:t>he</w:t>
      </w:r>
      <w:r w:rsidR="00CC5AA3">
        <w:t xml:space="preserve"> </w:t>
      </w:r>
      <w:r w:rsidR="00B426FB">
        <w:t>Applicants contend</w:t>
      </w:r>
      <w:r w:rsidR="00CC5AA3">
        <w:t xml:space="preserve"> that</w:t>
      </w:r>
      <w:r>
        <w:t xml:space="preserve"> on</w:t>
      </w:r>
      <w:r w:rsidR="00CC5AA3">
        <w:t xml:space="preserve"> the above principles</w:t>
      </w:r>
      <w:r w:rsidR="00B426FB">
        <w:t>,</w:t>
      </w:r>
      <w:r w:rsidR="00CC5AA3">
        <w:t xml:space="preserve"> the Advancement Extension should be construed as excluding the right of the insurer to </w:t>
      </w:r>
      <w:r w:rsidR="00030A20">
        <w:t>rely upon the</w:t>
      </w:r>
      <w:r w:rsidR="00B426FB">
        <w:t xml:space="preserve">ir </w:t>
      </w:r>
      <w:r w:rsidR="00030A20">
        <w:t>non-disclosure of the</w:t>
      </w:r>
      <w:r w:rsidR="00CC5AA3">
        <w:t xml:space="preserve"> </w:t>
      </w:r>
      <w:r w:rsidR="00030A20">
        <w:t>Wrongful Conduct as a ground for</w:t>
      </w:r>
      <w:r>
        <w:t xml:space="preserve"> refusing</w:t>
      </w:r>
      <w:r w:rsidR="00030A20">
        <w:t xml:space="preserve"> </w:t>
      </w:r>
      <w:r w:rsidRPr="00C67FA0">
        <w:t xml:space="preserve">indemnity because the Extension requires it to pay the Defence Costs until the alleged Wrongful Conduct is adjudicated upon or admitted. More particularly, they argue, as the words of the Extension expressly and unequivocally promise to provide Defence Costs until the underlying allegations are adjudicated upon or </w:t>
      </w:r>
      <w:r w:rsidRPr="00C67FA0">
        <w:lastRenderedPageBreak/>
        <w:t xml:space="preserve">admitted, </w:t>
      </w:r>
      <w:r w:rsidR="00F3098A">
        <w:t xml:space="preserve">the insurer </w:t>
      </w:r>
      <w:r w:rsidRPr="00C67FA0">
        <w:t>cannot, contrary to the intent of the Extension, rely upon its statutory rights to avoid the policy or limit its liability unless and until the adjudication occurs.</w:t>
      </w:r>
    </w:p>
    <w:p w14:paraId="238D3951" w14:textId="77777777" w:rsidR="00030A20" w:rsidRDefault="00C67FA0" w:rsidP="00C67FA0">
      <w:pPr>
        <w:pStyle w:val="ParaNumbering"/>
      </w:pPr>
      <w:r w:rsidRPr="00C67FA0">
        <w:t>In answer, the insurer submits that the Extension operates only if there is an obligation under the policy</w:t>
      </w:r>
      <w:r w:rsidR="00F3098A">
        <w:t xml:space="preserve"> </w:t>
      </w:r>
      <w:r w:rsidRPr="00C67FA0">
        <w:t xml:space="preserve">and that obligation does not exist if the effect of the non-disclosure, which is a primary issue and fundamental, defeats the foundation of the Extension’s efficacy. Simply, a suggested implication from a provision cannot affect its rights under s 28 of the ICA </w:t>
      </w:r>
      <w:r w:rsidR="00F3098A">
        <w:t xml:space="preserve">of avoiding the contract and its provisions including the Extension </w:t>
      </w:r>
      <w:r w:rsidRPr="00C67FA0">
        <w:t>when the insured has failed to disclose material facts.</w:t>
      </w:r>
      <w:r w:rsidR="00030A20">
        <w:t xml:space="preserve"> </w:t>
      </w:r>
    </w:p>
    <w:p w14:paraId="7BDC9291" w14:textId="77777777" w:rsidR="00E57897" w:rsidRDefault="00E57897" w:rsidP="00E57897">
      <w:pPr>
        <w:pStyle w:val="Heading2"/>
      </w:pPr>
      <w:r>
        <w:t>The issues</w:t>
      </w:r>
    </w:p>
    <w:p w14:paraId="57EFC314" w14:textId="77777777" w:rsidR="00B83D80" w:rsidRDefault="00B83D80" w:rsidP="00B83D80">
      <w:pPr>
        <w:pStyle w:val="Heading3"/>
      </w:pPr>
      <w:r>
        <w:t>The uncontroversial operation of the Advancement Extension</w:t>
      </w:r>
    </w:p>
    <w:p w14:paraId="241BC097" w14:textId="77777777" w:rsidR="00B83D80" w:rsidRDefault="00B83D80" w:rsidP="00C67FA0">
      <w:pPr>
        <w:pStyle w:val="ParaNumbering"/>
      </w:pPr>
      <w:r>
        <w:t xml:space="preserve">It is </w:t>
      </w:r>
      <w:r w:rsidR="00C67FA0">
        <w:t>best</w:t>
      </w:r>
      <w:r>
        <w:t xml:space="preserve"> to commence with </w:t>
      </w:r>
      <w:r w:rsidR="00C67FA0" w:rsidRPr="00C67FA0">
        <w:t xml:space="preserve">an understanding of </w:t>
      </w:r>
      <w:r w:rsidR="00C67FA0">
        <w:t>t</w:t>
      </w:r>
      <w:r w:rsidR="00C67FA0" w:rsidRPr="00C67FA0">
        <w:t>he uncontroversial operation of the Advancement Extension.</w:t>
      </w:r>
      <w:r>
        <w:t xml:space="preserve">  In doing so it is apt to keep in mind that the policy does not provide </w:t>
      </w:r>
      <w:r w:rsidR="00C67FA0">
        <w:t>cover for</w:t>
      </w:r>
      <w:r>
        <w:t xml:space="preserve"> Wrongful Conduct.  However, </w:t>
      </w:r>
      <w:r w:rsidR="00C67FA0">
        <w:t>if</w:t>
      </w:r>
      <w:r w:rsidR="008B58EB">
        <w:t xml:space="preserve"> a</w:t>
      </w:r>
      <w:r>
        <w:t xml:space="preserve"> claim is founded upon </w:t>
      </w:r>
      <w:r w:rsidR="00C67FA0">
        <w:t>it</w:t>
      </w:r>
      <w:r>
        <w:t xml:space="preserve">, the Extension in issue </w:t>
      </w:r>
      <w:r w:rsidR="00C67FA0" w:rsidRPr="00C67FA0">
        <w:t>ensures that the insured’s costs for the time being are met by the insurer.</w:t>
      </w:r>
      <w:r>
        <w:t xml:space="preserve">  There is substantial value in </w:t>
      </w:r>
      <w:r w:rsidR="00C67FA0">
        <w:t>this</w:t>
      </w:r>
      <w:r>
        <w:t xml:space="preserve"> as it provides the insured </w:t>
      </w:r>
      <w:r w:rsidR="00C67FA0">
        <w:t>with</w:t>
      </w:r>
      <w:r>
        <w:t xml:space="preserve"> the cost of defending claims alle</w:t>
      </w:r>
      <w:r w:rsidR="00BE4D56">
        <w:t>g</w:t>
      </w:r>
      <w:r w:rsidR="00C67FA0">
        <w:t>ing</w:t>
      </w:r>
      <w:r>
        <w:t xml:space="preserve"> Wrongful Conduct which do not succeed.  And even </w:t>
      </w:r>
      <w:r w:rsidR="00C67FA0">
        <w:t>when the insured is, in fact, guilty of it</w:t>
      </w:r>
      <w:r w:rsidR="00BE4D56">
        <w:t>,</w:t>
      </w:r>
      <w:r>
        <w:t xml:space="preserve"> the </w:t>
      </w:r>
      <w:r w:rsidR="00C67FA0">
        <w:t>E</w:t>
      </w:r>
      <w:r>
        <w:t xml:space="preserve">xtension </w:t>
      </w:r>
      <w:r w:rsidR="00BE4D56">
        <w:t>will fund a defence to the claim</w:t>
      </w:r>
      <w:r w:rsidR="000D4B53">
        <w:t xml:space="preserve"> which provides the insured with the benefit of a chance of success, though </w:t>
      </w:r>
      <w:r w:rsidR="008B58EB">
        <w:t xml:space="preserve">the insured is </w:t>
      </w:r>
      <w:r w:rsidR="000D4B53">
        <w:t>required to repay the defence costs where guilt is established.</w:t>
      </w:r>
      <w:r>
        <w:t xml:space="preserve">  </w:t>
      </w:r>
    </w:p>
    <w:p w14:paraId="57B83107" w14:textId="77777777" w:rsidR="00B83D80" w:rsidRDefault="000D4B53" w:rsidP="000D4B53">
      <w:pPr>
        <w:pStyle w:val="ParaNumbering"/>
      </w:pPr>
      <w:r w:rsidRPr="000D4B53">
        <w:t xml:space="preserve">In this respect, the Extension is coherent with the Wrongful Conduct Exclusion, which operates only if the conduct is “established” in one of the prescribed methods. </w:t>
      </w:r>
      <w:r w:rsidR="00B83D80">
        <w:t xml:space="preserve">The effect of </w:t>
      </w:r>
      <w:r>
        <w:t>this</w:t>
      </w:r>
      <w:r w:rsidR="00B83D80">
        <w:t xml:space="preserve"> limit is that the insurer </w:t>
      </w:r>
      <w:r>
        <w:t>cannot</w:t>
      </w:r>
      <w:r w:rsidR="00B83D80">
        <w:t xml:space="preserve"> deny liability </w:t>
      </w:r>
      <w:r>
        <w:t xml:space="preserve">simply </w:t>
      </w:r>
      <w:r w:rsidR="00B83D80">
        <w:t xml:space="preserve">on the basis that a claim is founded upon Wrongful Conduct. </w:t>
      </w:r>
      <w:r w:rsidRPr="000D4B53">
        <w:t xml:space="preserve">It is only after the insured’s liability is established to be a result of the Wrongful Conduct that the insurer </w:t>
      </w:r>
      <w:r>
        <w:t xml:space="preserve">is </w:t>
      </w:r>
      <w:r w:rsidRPr="000D4B53">
        <w:t>entitled to deny indemnity on the basis that the claim falls outside of the scope of coverage and to recover reimbursement for</w:t>
      </w:r>
      <w:r>
        <w:t xml:space="preserve"> </w:t>
      </w:r>
      <w:r w:rsidRPr="000D4B53">
        <w:t xml:space="preserve">any costs advanced. </w:t>
      </w:r>
      <w:r w:rsidR="00B83D80">
        <w:t xml:space="preserve"> </w:t>
      </w:r>
    </w:p>
    <w:p w14:paraId="503DC105" w14:textId="77777777" w:rsidR="00B83D80" w:rsidRPr="00B83D80" w:rsidRDefault="000D4B53" w:rsidP="006969EA">
      <w:pPr>
        <w:pStyle w:val="ParaNumbering"/>
      </w:pPr>
      <w:r>
        <w:t>These clauses</w:t>
      </w:r>
      <w:r w:rsidR="00B83D80">
        <w:t xml:space="preserve"> will operate without much difficulty in relation to a claim which is founded on conduct which has occurred during the policy period </w:t>
      </w:r>
      <w:r>
        <w:t>so that there is</w:t>
      </w:r>
      <w:r w:rsidR="00B83D80">
        <w:t xml:space="preserve"> no question of non-disclosure.  </w:t>
      </w:r>
      <w:r w:rsidR="00D0664C">
        <w:t>However, a</w:t>
      </w:r>
      <w:r w:rsidRPr="000D4B53">
        <w:t xml:space="preserve"> more difficult question concerns the operation of the exclusion when, as here, the Wrongful Conduct of a material quality, or some of it, is alleged to have occurred prior to the formation of the contract of insurance and has not been disclosed in accordance with the usual obligations of utmost good faith.</w:t>
      </w:r>
      <w:r w:rsidR="006D757D">
        <w:t xml:space="preserve">  </w:t>
      </w:r>
      <w:r w:rsidR="00B83D80">
        <w:t xml:space="preserve">In ordinary circumstances that would </w:t>
      </w:r>
      <w:r>
        <w:t>entitle</w:t>
      </w:r>
      <w:r w:rsidR="00B83D80">
        <w:t xml:space="preserve"> </w:t>
      </w:r>
      <w:r w:rsidR="00B83D80">
        <w:lastRenderedPageBreak/>
        <w:t xml:space="preserve">the insurer to terminate the policy or reduce its liability. </w:t>
      </w:r>
      <w:r w:rsidRPr="000D4B53">
        <w:t>What, then, if any, is the effect of the Extension, with its qualification, on this?</w:t>
      </w:r>
      <w:r w:rsidRPr="00EC5EE9">
        <w:t xml:space="preserve"> </w:t>
      </w:r>
      <w:r w:rsidR="00B83D80">
        <w:t xml:space="preserve"> The Applicants </w:t>
      </w:r>
      <w:r>
        <w:t xml:space="preserve">argue that it amounts to an implied agreement not to rely upon any such </w:t>
      </w:r>
      <w:r w:rsidR="00B83D80">
        <w:t xml:space="preserve">rights </w:t>
      </w:r>
      <w:r w:rsidR="00D0664C">
        <w:t xml:space="preserve">based on </w:t>
      </w:r>
      <w:r>
        <w:t>circumstances touched by the Extension</w:t>
      </w:r>
      <w:r w:rsidR="00B83D80">
        <w:t xml:space="preserve">. The insurer </w:t>
      </w:r>
      <w:r>
        <w:t xml:space="preserve">responds that </w:t>
      </w:r>
      <w:r w:rsidR="00D0664C">
        <w:t xml:space="preserve">its </w:t>
      </w:r>
      <w:r>
        <w:t>rights operate outside the context of the terms of the policy and</w:t>
      </w:r>
      <w:r w:rsidR="00B83D80">
        <w:t xml:space="preserve"> no manner of construction can deny </w:t>
      </w:r>
      <w:r>
        <w:t>them</w:t>
      </w:r>
      <w:r w:rsidR="00B83D80">
        <w:t xml:space="preserve">. </w:t>
      </w:r>
    </w:p>
    <w:p w14:paraId="6C22B0BC" w14:textId="77777777" w:rsidR="00947CA7" w:rsidRDefault="00947CA7" w:rsidP="00947CA7">
      <w:pPr>
        <w:pStyle w:val="Heading3"/>
      </w:pPr>
      <w:r>
        <w:t>The Construction argument</w:t>
      </w:r>
      <w:r w:rsidR="00B83D80">
        <w:t>s</w:t>
      </w:r>
    </w:p>
    <w:p w14:paraId="09E306EC" w14:textId="77777777" w:rsidR="00073A95" w:rsidRDefault="00947CA7" w:rsidP="00775F91">
      <w:pPr>
        <w:pStyle w:val="ParaNumbering"/>
      </w:pPr>
      <w:r>
        <w:t xml:space="preserve">The </w:t>
      </w:r>
      <w:r w:rsidR="00900598">
        <w:t>A</w:t>
      </w:r>
      <w:r>
        <w:t xml:space="preserve">pplicants’ </w:t>
      </w:r>
      <w:r w:rsidR="003C6C4F">
        <w:t>primary</w:t>
      </w:r>
      <w:r w:rsidR="00D71807">
        <w:t xml:space="preserve"> submission, and one which underlies most of the arguments advanced</w:t>
      </w:r>
      <w:r w:rsidR="00073A95">
        <w:t>,</w:t>
      </w:r>
      <w:r w:rsidR="00D71807">
        <w:t xml:space="preserve"> is that</w:t>
      </w:r>
      <w:r w:rsidR="00073A95">
        <w:t>, when a claim of Wrongful Conduct is made against an insured in any proceedings,</w:t>
      </w:r>
      <w:r w:rsidR="00D71807">
        <w:t xml:space="preserve"> the effect of the Advancement Extension</w:t>
      </w:r>
      <w:r w:rsidR="002A6A0F">
        <w:t xml:space="preserve"> (either by itself or together with</w:t>
      </w:r>
      <w:r w:rsidR="00D71807">
        <w:t xml:space="preserve"> the Wrongful Conduct Exclusion</w:t>
      </w:r>
      <w:r w:rsidR="002A6A0F">
        <w:t>)</w:t>
      </w:r>
      <w:r w:rsidR="00D71807">
        <w:t xml:space="preserve"> is that the insurer is prevented </w:t>
      </w:r>
      <w:r w:rsidR="00073A95">
        <w:rPr>
          <w:i/>
        </w:rPr>
        <w:t xml:space="preserve">for any purpose </w:t>
      </w:r>
      <w:r w:rsidR="00D71807">
        <w:t xml:space="preserve">from </w:t>
      </w:r>
      <w:r w:rsidR="00775F91">
        <w:t xml:space="preserve">relying on </w:t>
      </w:r>
      <w:r w:rsidR="008B58EB">
        <w:t xml:space="preserve">the </w:t>
      </w:r>
      <w:r w:rsidR="00775F91">
        <w:t xml:space="preserve">nature of the allegations </w:t>
      </w:r>
      <w:r w:rsidR="00D71807">
        <w:t>and</w:t>
      </w:r>
      <w:r w:rsidR="00775F91">
        <w:t>,</w:t>
      </w:r>
      <w:r w:rsidR="00D71807">
        <w:t xml:space="preserve"> particularly whether or not</w:t>
      </w:r>
      <w:r w:rsidR="00775F91">
        <w:t xml:space="preserve"> </w:t>
      </w:r>
      <w:r w:rsidR="008B58EB">
        <w:t>they</w:t>
      </w:r>
      <w:r w:rsidR="00775F91">
        <w:t xml:space="preserve"> amount to Wrongful Conduct,</w:t>
      </w:r>
      <w:r w:rsidR="00D71807">
        <w:t xml:space="preserve"> until that question is answered by </w:t>
      </w:r>
      <w:r w:rsidR="00775F91">
        <w:t xml:space="preserve">admission, judgment or </w:t>
      </w:r>
      <w:r w:rsidR="00D71807">
        <w:t>adjudication.</w:t>
      </w:r>
      <w:r w:rsidR="00BF3017">
        <w:t xml:space="preserve"> </w:t>
      </w:r>
      <w:r w:rsidR="00073A95">
        <w:t xml:space="preserve"> The words</w:t>
      </w:r>
      <w:r w:rsidR="00775F91">
        <w:t>,</w:t>
      </w:r>
      <w:r w:rsidR="00073A95">
        <w:t xml:space="preserve"> “for any purpose”</w:t>
      </w:r>
      <w:r w:rsidR="00775F91">
        <w:t>,</w:t>
      </w:r>
      <w:r w:rsidR="00073A95">
        <w:t xml:space="preserve"> are important </w:t>
      </w:r>
      <w:r w:rsidR="00775F91">
        <w:t>to</w:t>
      </w:r>
      <w:r w:rsidR="00073A95">
        <w:t xml:space="preserve"> the submission </w:t>
      </w:r>
      <w:r w:rsidR="006D757D">
        <w:t xml:space="preserve">as the Applicants must argue </w:t>
      </w:r>
      <w:r w:rsidR="00073A95">
        <w:t xml:space="preserve">that the insurer is prevented from relying upon </w:t>
      </w:r>
      <w:r w:rsidR="00775F91">
        <w:t>the alleged existence</w:t>
      </w:r>
      <w:r w:rsidR="00073A95">
        <w:t xml:space="preserve"> of Wrongful Co</w:t>
      </w:r>
      <w:r w:rsidR="00775F91">
        <w:t>nduct, not only for the purpose</w:t>
      </w:r>
      <w:r w:rsidR="00073A95">
        <w:t xml:space="preserve"> of refusing to pay pursuant to the obligations contained in the policy, but also for the purposes of </w:t>
      </w:r>
      <w:r w:rsidR="00775F91">
        <w:t>relying on an alleged</w:t>
      </w:r>
      <w:r w:rsidR="00073A95">
        <w:t xml:space="preserve"> breac</w:t>
      </w:r>
      <w:r w:rsidR="00775F91">
        <w:t>h</w:t>
      </w:r>
      <w:r w:rsidR="00073A95">
        <w:t xml:space="preserve"> </w:t>
      </w:r>
      <w:r w:rsidR="008B58EB">
        <w:t xml:space="preserve">of </w:t>
      </w:r>
      <w:r w:rsidR="006D757D">
        <w:t xml:space="preserve">the </w:t>
      </w:r>
      <w:r w:rsidR="00073A95">
        <w:t>disclosure obligations.</w:t>
      </w:r>
      <w:r w:rsidR="00FD6185">
        <w:t xml:space="preserve">  </w:t>
      </w:r>
      <w:r w:rsidR="00154C18">
        <w:t xml:space="preserve">This construction </w:t>
      </w:r>
      <w:r w:rsidR="00775F91" w:rsidRPr="00775F91">
        <w:t xml:space="preserve">is said to follow from its </w:t>
      </w:r>
      <w:r w:rsidR="006E4090">
        <w:t xml:space="preserve">unqualified </w:t>
      </w:r>
      <w:r w:rsidR="00775F91" w:rsidRPr="00775F91">
        <w:t xml:space="preserve">agreement in the Extension that its obligation to advance Defence Costs was to continue until the existence of the Wrongful Conduct has been established in </w:t>
      </w:r>
      <w:r w:rsidR="006D757D">
        <w:t xml:space="preserve">the ways identified </w:t>
      </w:r>
      <w:r w:rsidR="00775F91" w:rsidRPr="00775F91">
        <w:t>and that the Wrongful Conduct Exclusion is operative only then.</w:t>
      </w:r>
      <w:r w:rsidR="00154C18">
        <w:t xml:space="preserve"> </w:t>
      </w:r>
      <w:r w:rsidR="006A5E70">
        <w:t xml:space="preserve"> It was emphasised </w:t>
      </w:r>
      <w:r w:rsidR="00775F91" w:rsidRPr="00775F91">
        <w:t xml:space="preserve">that </w:t>
      </w:r>
      <w:r w:rsidR="006E4090">
        <w:t xml:space="preserve">there </w:t>
      </w:r>
      <w:r w:rsidR="006D757D">
        <w:t xml:space="preserve">is no equivocation in </w:t>
      </w:r>
      <w:r w:rsidR="00775F91" w:rsidRPr="00775F91">
        <w:t xml:space="preserve">the terms of </w:t>
      </w:r>
      <w:r w:rsidR="006D757D">
        <w:t xml:space="preserve">the Extension or the Wrongful Conduct Exclusion </w:t>
      </w:r>
      <w:r w:rsidR="00775F91">
        <w:t xml:space="preserve">that </w:t>
      </w:r>
      <w:r w:rsidR="006A5E70">
        <w:t xml:space="preserve">would limit </w:t>
      </w:r>
      <w:r w:rsidR="007B0364">
        <w:t>the insurer’s identified obligations</w:t>
      </w:r>
      <w:r w:rsidR="006A5E70">
        <w:t>.</w:t>
      </w:r>
      <w:r w:rsidR="00882E60">
        <w:t xml:space="preserve"> </w:t>
      </w:r>
      <w:r w:rsidR="00154C18">
        <w:t xml:space="preserve"> </w:t>
      </w:r>
      <w:r w:rsidR="00775F91">
        <w:t>It was submitted</w:t>
      </w:r>
      <w:r w:rsidR="00154C18">
        <w:t xml:space="preserve"> that the requirement in each clause that the Wrongful Conduct has to </w:t>
      </w:r>
      <w:r w:rsidR="00775F91">
        <w:t xml:space="preserve">be </w:t>
      </w:r>
      <w:r w:rsidR="00154C18">
        <w:t>admitted or adjudicated upon before the insurer can refuse to indemnify has the consequence that</w:t>
      </w:r>
      <w:r w:rsidR="00775F91">
        <w:t xml:space="preserve"> until then</w:t>
      </w:r>
      <w:r w:rsidR="00154C18">
        <w:t xml:space="preserve"> the insurer is not entitled to rely upon the</w:t>
      </w:r>
      <w:r w:rsidR="006A5E70">
        <w:t xml:space="preserve"> pre-</w:t>
      </w:r>
      <w:r w:rsidR="00775F91">
        <w:t>contractual</w:t>
      </w:r>
      <w:r w:rsidR="00154C18">
        <w:t xml:space="preserve"> non-disclosure of that Wrongful Conduct </w:t>
      </w:r>
      <w:r w:rsidR="006A5E70">
        <w:t>to avoid the policy or to reduce its liability.</w:t>
      </w:r>
    </w:p>
    <w:p w14:paraId="658D517E" w14:textId="6A59E11A" w:rsidR="00BF3017" w:rsidRDefault="00775F91" w:rsidP="00775F91">
      <w:pPr>
        <w:pStyle w:val="ParaNumbering"/>
      </w:pPr>
      <w:r>
        <w:t xml:space="preserve">At least in the first instance, </w:t>
      </w:r>
      <w:r w:rsidR="00D71807">
        <w:t xml:space="preserve">Ms </w:t>
      </w:r>
      <w:proofErr w:type="spellStart"/>
      <w:r w:rsidR="00D71807">
        <w:t>S</w:t>
      </w:r>
      <w:r w:rsidR="00DD43F7">
        <w:t>e</w:t>
      </w:r>
      <w:r w:rsidR="00D71807">
        <w:t>iden</w:t>
      </w:r>
      <w:proofErr w:type="spellEnd"/>
      <w:r w:rsidR="00D71807">
        <w:t xml:space="preserve"> SC</w:t>
      </w:r>
      <w:r w:rsidR="0021026C">
        <w:t>,</w:t>
      </w:r>
      <w:r w:rsidR="00D71807">
        <w:t xml:space="preserve"> for Mr Onley</w:t>
      </w:r>
      <w:r>
        <w:t>, eschewed the suggestion</w:t>
      </w:r>
      <w:r w:rsidR="00BF3017">
        <w:t xml:space="preserve"> that the combined effect of the clauses had the consequence that the insurer had waived its right to rely upon non-disclosure</w:t>
      </w:r>
      <w:r>
        <w:t>.  She submitted, in effect</w:t>
      </w:r>
      <w:r w:rsidR="006A5E70">
        <w:t>, once</w:t>
      </w:r>
      <w:r w:rsidR="00BF3017">
        <w:t xml:space="preserve"> proceedings had been commenced against an insured in respect of </w:t>
      </w:r>
      <w:r w:rsidR="00FD6185">
        <w:t xml:space="preserve">any </w:t>
      </w:r>
      <w:r w:rsidR="00BF3017">
        <w:t xml:space="preserve">alleged </w:t>
      </w:r>
      <w:r w:rsidR="00FD6185">
        <w:t>W</w:t>
      </w:r>
      <w:r w:rsidR="00BF3017">
        <w:t xml:space="preserve">rongful </w:t>
      </w:r>
      <w:r w:rsidR="00FD6185">
        <w:t>C</w:t>
      </w:r>
      <w:r w:rsidR="00BF3017">
        <w:t>onduct</w:t>
      </w:r>
      <w:r w:rsidR="00FD6185">
        <w:t>,</w:t>
      </w:r>
      <w:r w:rsidRPr="00775F91">
        <w:t xml:space="preserve"> until it was established by </w:t>
      </w:r>
      <w:r>
        <w:t xml:space="preserve">judgment, </w:t>
      </w:r>
      <w:r w:rsidRPr="00775F91">
        <w:t>adjudication or admission</w:t>
      </w:r>
      <w:r w:rsidR="0021026C">
        <w:t>,</w:t>
      </w:r>
      <w:r w:rsidRPr="00775F91">
        <w:t xml:space="preserve"> the clauses postponed the insurer’s entitlement to invoke its claim that the insured had engaged in that conduct and that it had not been </w:t>
      </w:r>
      <w:r w:rsidRPr="00775F91">
        <w:lastRenderedPageBreak/>
        <w:t>disclosed as required by s 21.</w:t>
      </w:r>
      <w:r>
        <w:t xml:space="preserve"> </w:t>
      </w:r>
      <w:r w:rsidR="00BF3017">
        <w:t xml:space="preserve"> </w:t>
      </w:r>
      <w:r w:rsidR="000C0313">
        <w:t>It</w:t>
      </w:r>
      <w:r w:rsidR="00BF3017">
        <w:t xml:space="preserve"> could neither </w:t>
      </w:r>
      <w:r w:rsidR="000C0313">
        <w:t>refuse</w:t>
      </w:r>
      <w:r w:rsidR="00BF3017">
        <w:t xml:space="preserve"> to advance Defence Costs under the Extension</w:t>
      </w:r>
      <w:r w:rsidR="0021026C">
        <w:t>,</w:t>
      </w:r>
      <w:r w:rsidR="00BF3017">
        <w:t xml:space="preserve"> nor terminate the policy for </w:t>
      </w:r>
      <w:r w:rsidR="006A5E70">
        <w:t xml:space="preserve">any </w:t>
      </w:r>
      <w:r w:rsidR="00BF3017">
        <w:t>non-disclosure</w:t>
      </w:r>
      <w:r w:rsidR="006A5E70">
        <w:t xml:space="preserve"> of the Wrongful</w:t>
      </w:r>
      <w:r w:rsidR="0021026C">
        <w:t xml:space="preserve"> Conduct</w:t>
      </w:r>
      <w:r w:rsidR="00BF3017">
        <w:t>.</w:t>
      </w:r>
      <w:r w:rsidR="00073A95">
        <w:t xml:space="preserve"> </w:t>
      </w:r>
      <w:r w:rsidR="00885837">
        <w:t xml:space="preserve"> </w:t>
      </w:r>
    </w:p>
    <w:p w14:paraId="797C2CBB" w14:textId="77777777" w:rsidR="000C0313" w:rsidRDefault="006408D6" w:rsidP="000C0313">
      <w:pPr>
        <w:pStyle w:val="ParaNumbering"/>
      </w:pPr>
      <w:r>
        <w:t>A recurring theme in the Applicants’ submission</w:t>
      </w:r>
      <w:r w:rsidR="000C0313">
        <w:t>s supporting this</w:t>
      </w:r>
      <w:r>
        <w:t xml:space="preserve"> construction </w:t>
      </w:r>
      <w:r w:rsidR="000C0313">
        <w:t xml:space="preserve">was that it had </w:t>
      </w:r>
      <w:r>
        <w:t>the</w:t>
      </w:r>
      <w:r w:rsidR="000C0313">
        <w:t xml:space="preserve"> commercial</w:t>
      </w:r>
      <w:r>
        <w:t xml:space="preserve"> benefit</w:t>
      </w:r>
      <w:r w:rsidR="00966396">
        <w:t xml:space="preserve"> of protecting the insured</w:t>
      </w:r>
      <w:r w:rsidR="000C0313">
        <w:t>s</w:t>
      </w:r>
      <w:r w:rsidR="00966396">
        <w:t>’ common law privilege against self-incrimination.  They submitted</w:t>
      </w:r>
      <w:r>
        <w:t xml:space="preserve"> that where proceedings had been begun against them, </w:t>
      </w:r>
      <w:r w:rsidR="000C0313" w:rsidRPr="000C0313">
        <w:t>the insurer’s unqualified obligation to provide Defence Costs would save them from having to litigate on two fronts, that is, with the insurer about the matters which were also the subject of the proceedings against them</w:t>
      </w:r>
      <w:r w:rsidR="000C0313">
        <w:t>.</w:t>
      </w:r>
      <w:r w:rsidR="00966396">
        <w:t xml:space="preserve">  If litigation against the insurer w</w:t>
      </w:r>
      <w:r w:rsidR="000C0313">
        <w:t>ere</w:t>
      </w:r>
      <w:r w:rsidR="00966396">
        <w:t xml:space="preserve"> required, the</w:t>
      </w:r>
      <w:r w:rsidR="000C0313">
        <w:t>y</w:t>
      </w:r>
      <w:r w:rsidR="00966396">
        <w:t xml:space="preserve"> </w:t>
      </w:r>
      <w:r w:rsidR="007B0364">
        <w:t xml:space="preserve">claimed they </w:t>
      </w:r>
      <w:r w:rsidR="00966396">
        <w:t xml:space="preserve">would necessarily have to forego </w:t>
      </w:r>
      <w:r w:rsidR="000C0313">
        <w:t>their</w:t>
      </w:r>
      <w:r w:rsidR="00966396">
        <w:t xml:space="preserve"> privilege </w:t>
      </w:r>
      <w:r w:rsidR="000C0313">
        <w:t>in</w:t>
      </w:r>
      <w:r w:rsidR="00966396">
        <w:t xml:space="preserve"> the proceedings against it in order to effectively answer any claim of non-disclosure.  </w:t>
      </w:r>
      <w:r w:rsidR="000C0313" w:rsidRPr="000C0313">
        <w:t xml:space="preserve">This is correct in relation to claims wherein the </w:t>
      </w:r>
      <w:r w:rsidR="006D757D">
        <w:t xml:space="preserve">alleged </w:t>
      </w:r>
      <w:r w:rsidR="000C0313" w:rsidRPr="000C0313">
        <w:t>Wrongful Conduct which would otherwise attract the exclusion</w:t>
      </w:r>
      <w:r w:rsidR="006D757D">
        <w:t>,</w:t>
      </w:r>
      <w:r w:rsidR="000C0313" w:rsidRPr="000C0313">
        <w:t xml:space="preserve"> occurs after the inception of the contract; and </w:t>
      </w:r>
      <w:r w:rsidR="007B0364">
        <w:t xml:space="preserve">partially it </w:t>
      </w:r>
      <w:r w:rsidR="000C0313" w:rsidRPr="000C0313">
        <w:t>explains the reason for the requirement that the Wrongful Conduct be established before loss of entitlement to advancement of defence costs.</w:t>
      </w:r>
      <w:r w:rsidR="007B0364">
        <w:t xml:space="preserve">  </w:t>
      </w:r>
      <w:r w:rsidR="000C0313" w:rsidRPr="000C0313">
        <w:t>But because the reasoning is valid for those cases, it plainly does not follow that it is valid on the issue of the consequences of non-disclosure of pre-contractual Wrongful Conduct.</w:t>
      </w:r>
    </w:p>
    <w:p w14:paraId="2BCCF998" w14:textId="027A3E72" w:rsidR="00BF3017" w:rsidRDefault="00BF3017" w:rsidP="000C0313">
      <w:pPr>
        <w:pStyle w:val="ParaNumbering"/>
      </w:pPr>
      <w:r>
        <w:t xml:space="preserve">Ms </w:t>
      </w:r>
      <w:proofErr w:type="spellStart"/>
      <w:r>
        <w:t>S</w:t>
      </w:r>
      <w:r w:rsidR="00DD43F7">
        <w:t>e</w:t>
      </w:r>
      <w:r>
        <w:t>iden</w:t>
      </w:r>
      <w:proofErr w:type="spellEnd"/>
      <w:r>
        <w:t xml:space="preserve"> SC</w:t>
      </w:r>
      <w:r w:rsidR="00966396">
        <w:t xml:space="preserve"> </w:t>
      </w:r>
      <w:r>
        <w:t xml:space="preserve">accepted that </w:t>
      </w:r>
      <w:r w:rsidR="000C0313">
        <w:t>her suggested</w:t>
      </w:r>
      <w:r>
        <w:t xml:space="preserve"> construction did not </w:t>
      </w:r>
      <w:r w:rsidR="00966396">
        <w:t>restrain</w:t>
      </w:r>
      <w:r>
        <w:t xml:space="preserve"> the insurer</w:t>
      </w:r>
      <w:r w:rsidR="000C0313">
        <w:t>’</w:t>
      </w:r>
      <w:r>
        <w:t>s right to terminate</w:t>
      </w:r>
      <w:r w:rsidR="000C0313">
        <w:t xml:space="preserve"> the contract for fraudulent non-disclosure </w:t>
      </w:r>
      <w:r>
        <w:t xml:space="preserve">or perhaps to reduce its liability under s 28(3) of the </w:t>
      </w:r>
      <w:r w:rsidRPr="00966396">
        <w:rPr>
          <w:i/>
        </w:rPr>
        <w:t>ICA</w:t>
      </w:r>
      <w:r>
        <w:t xml:space="preserve"> </w:t>
      </w:r>
      <w:r w:rsidR="000C0313">
        <w:t>if</w:t>
      </w:r>
      <w:r>
        <w:t xml:space="preserve"> no proceedings were on foot against the </w:t>
      </w:r>
      <w:r w:rsidR="003E4041">
        <w:t xml:space="preserve">insured in respect of </w:t>
      </w:r>
      <w:r w:rsidR="000C0313">
        <w:t xml:space="preserve">the alleged Wrongful Conduct, since the </w:t>
      </w:r>
      <w:r w:rsidR="006408D6">
        <w:t>insured</w:t>
      </w:r>
      <w:r w:rsidR="000C0313">
        <w:t>s</w:t>
      </w:r>
      <w:r w:rsidR="006408D6">
        <w:t xml:space="preserve"> </w:t>
      </w:r>
      <w:r w:rsidR="00966396">
        <w:t xml:space="preserve">would not </w:t>
      </w:r>
      <w:r w:rsidR="000C0313">
        <w:t xml:space="preserve">then </w:t>
      </w:r>
      <w:r w:rsidR="00966396">
        <w:t>be</w:t>
      </w:r>
      <w:r w:rsidR="006408D6">
        <w:t xml:space="preserve"> obliged to forego </w:t>
      </w:r>
      <w:r w:rsidR="00966396">
        <w:t>any relevant</w:t>
      </w:r>
      <w:r w:rsidR="006408D6">
        <w:t xml:space="preserve"> privilege in an attempt </w:t>
      </w:r>
      <w:r w:rsidR="00966396">
        <w:t xml:space="preserve">to </w:t>
      </w:r>
      <w:r w:rsidR="000C0313">
        <w:t>enforce the cover</w:t>
      </w:r>
      <w:r w:rsidR="003E4041">
        <w:t xml:space="preserve">.  </w:t>
      </w:r>
      <w:r w:rsidR="000C0313">
        <w:t>She</w:t>
      </w:r>
      <w:r w:rsidR="003E4041">
        <w:t xml:space="preserve"> accepted, however, that difficult questions arise where, short of proceedings having been commenced, the process of the </w:t>
      </w:r>
      <w:r w:rsidR="00073A95">
        <w:t>c</w:t>
      </w:r>
      <w:r w:rsidR="003E4041">
        <w:t xml:space="preserve">riminal </w:t>
      </w:r>
      <w:r w:rsidR="00073A95">
        <w:t>j</w:t>
      </w:r>
      <w:r w:rsidR="003E4041">
        <w:t>ustice system ha</w:t>
      </w:r>
      <w:r w:rsidR="0058277D">
        <w:t>d</w:t>
      </w:r>
      <w:r w:rsidR="003E4041">
        <w:t xml:space="preserve"> been put in place</w:t>
      </w:r>
      <w:r w:rsidR="00F774A6">
        <w:t xml:space="preserve">.  </w:t>
      </w:r>
      <w:r w:rsidR="006D757D">
        <w:t>Ultimately, s</w:t>
      </w:r>
      <w:r w:rsidR="000C0313">
        <w:t>he</w:t>
      </w:r>
      <w:r w:rsidR="00F774A6">
        <w:t xml:space="preserve"> conceded that the </w:t>
      </w:r>
      <w:r w:rsidR="000C0313">
        <w:t>limitation on refusal in the</w:t>
      </w:r>
      <w:r w:rsidR="00F774A6">
        <w:t xml:space="preserve"> Extension </w:t>
      </w:r>
      <w:r w:rsidR="00073A95">
        <w:t>would</w:t>
      </w:r>
      <w:r w:rsidR="00F774A6">
        <w:t xml:space="preserve"> not operate</w:t>
      </w:r>
      <w:r w:rsidR="00073A95">
        <w:t xml:space="preserve"> merely </w:t>
      </w:r>
      <w:r w:rsidR="000C0313">
        <w:t>because</w:t>
      </w:r>
      <w:r w:rsidR="00073A95">
        <w:t xml:space="preserve"> criminal investigations </w:t>
      </w:r>
      <w:r w:rsidR="000C0313">
        <w:t>were</w:t>
      </w:r>
      <w:r w:rsidR="00073A95">
        <w:t xml:space="preserve"> on foot </w:t>
      </w:r>
      <w:r w:rsidR="000C0313">
        <w:t>and</w:t>
      </w:r>
      <w:r w:rsidR="00073A95">
        <w:t xml:space="preserve"> that</w:t>
      </w:r>
      <w:r w:rsidR="00F774A6">
        <w:t xml:space="preserve"> there </w:t>
      </w:r>
      <w:r w:rsidR="00073A95">
        <w:t xml:space="preserve">would </w:t>
      </w:r>
      <w:r w:rsidR="000C0313">
        <w:t xml:space="preserve">then </w:t>
      </w:r>
      <w:r w:rsidR="00073A95">
        <w:t>be</w:t>
      </w:r>
      <w:r w:rsidR="00F774A6">
        <w:t xml:space="preserve"> no limitation on the insurer</w:t>
      </w:r>
      <w:r w:rsidR="000C0313">
        <w:t>’s reliance</w:t>
      </w:r>
      <w:r w:rsidR="00F774A6">
        <w:t xml:space="preserve"> on the non-disclosure of </w:t>
      </w:r>
      <w:r w:rsidR="000C0313">
        <w:t xml:space="preserve">the alleged </w:t>
      </w:r>
      <w:r w:rsidR="00F774A6">
        <w:t xml:space="preserve">Wrongful Conduct </w:t>
      </w:r>
      <w:r w:rsidR="000C0313">
        <w:t>to</w:t>
      </w:r>
      <w:r w:rsidR="00073A95">
        <w:t xml:space="preserve"> terminat</w:t>
      </w:r>
      <w:r w:rsidR="000C0313">
        <w:t>e</w:t>
      </w:r>
      <w:r w:rsidR="00073A95">
        <w:t xml:space="preserve"> the policy</w:t>
      </w:r>
      <w:r w:rsidR="00F774A6">
        <w:t xml:space="preserve">. </w:t>
      </w:r>
    </w:p>
    <w:p w14:paraId="71901934" w14:textId="77777777" w:rsidR="0062113B" w:rsidRDefault="006D757D" w:rsidP="00F66A5B">
      <w:pPr>
        <w:pStyle w:val="ParaNumbering"/>
      </w:pPr>
      <w:r>
        <w:t xml:space="preserve">A further interesting issue </w:t>
      </w:r>
      <w:r w:rsidR="0062113B">
        <w:t xml:space="preserve">which arose in the course of argument was whether the </w:t>
      </w:r>
      <w:r w:rsidR="0058277D">
        <w:t>A</w:t>
      </w:r>
      <w:r w:rsidR="0062113B">
        <w:t>pplicants’ submission went so far as</w:t>
      </w:r>
      <w:r w:rsidR="00073A95">
        <w:t xml:space="preserve"> to </w:t>
      </w:r>
      <w:r w:rsidR="0062113B">
        <w:t>prevent</w:t>
      </w:r>
      <w:r w:rsidR="00D47050">
        <w:t xml:space="preserve"> the insurer</w:t>
      </w:r>
      <w:r w:rsidR="0062113B">
        <w:t xml:space="preserve"> from relying upon the non-disclosure of the facts underlying any allegation of Wrongful Conduct </w:t>
      </w:r>
      <w:r w:rsidR="00D47050">
        <w:t>to avoid</w:t>
      </w:r>
      <w:r w:rsidR="0062113B">
        <w:t xml:space="preserve"> the contract</w:t>
      </w:r>
      <w:r w:rsidR="00675453">
        <w:t xml:space="preserve"> or reduc</w:t>
      </w:r>
      <w:r w:rsidR="00D47050">
        <w:t>e its</w:t>
      </w:r>
      <w:r w:rsidR="00675453">
        <w:t xml:space="preserve"> liability</w:t>
      </w:r>
      <w:r w:rsidR="0058277D">
        <w:t xml:space="preserve"> by reason of </w:t>
      </w:r>
      <w:r w:rsidR="00D47050">
        <w:t>it</w:t>
      </w:r>
      <w:r w:rsidR="0062113B">
        <w:t>.</w:t>
      </w:r>
      <w:r w:rsidR="00675453">
        <w:t xml:space="preserve">  That is,</w:t>
      </w:r>
      <w:r w:rsidR="000C3734">
        <w:t xml:space="preserve"> on the A</w:t>
      </w:r>
      <w:r w:rsidR="00636931">
        <w:t>pplicants’ construction, could</w:t>
      </w:r>
      <w:r w:rsidR="00675453">
        <w:t xml:space="preserve"> the insurer, without reaching any conclusion as to whether non-disclosed facts amount</w:t>
      </w:r>
      <w:r w:rsidR="00D47050">
        <w:t>ed</w:t>
      </w:r>
      <w:r w:rsidR="00675453">
        <w:t xml:space="preserve"> to Wrongful Conduct, rely on the </w:t>
      </w:r>
      <w:r w:rsidR="00D47050">
        <w:t xml:space="preserve">non-disclosure </w:t>
      </w:r>
      <w:r>
        <w:t xml:space="preserve">of the bare facts of the Applicants’ business activities </w:t>
      </w:r>
      <w:r w:rsidR="00D47050">
        <w:t>to avoid</w:t>
      </w:r>
      <w:r w:rsidR="00675453">
        <w:t xml:space="preserve"> the policy</w:t>
      </w:r>
      <w:r w:rsidR="007B0364">
        <w:t xml:space="preserve">?  </w:t>
      </w:r>
      <w:r w:rsidR="0062113B">
        <w:t xml:space="preserve">No clear answer to that </w:t>
      </w:r>
      <w:r w:rsidR="007B0364">
        <w:t xml:space="preserve">question </w:t>
      </w:r>
      <w:r w:rsidR="0062113B">
        <w:t>emerged</w:t>
      </w:r>
      <w:r w:rsidR="00D47050">
        <w:t>, but</w:t>
      </w:r>
      <w:r w:rsidR="0062113B">
        <w:t xml:space="preserve"> it was submitted </w:t>
      </w:r>
      <w:r w:rsidR="00D47050">
        <w:t>that</w:t>
      </w:r>
      <w:r w:rsidR="0062113B">
        <w:t xml:space="preserve"> </w:t>
      </w:r>
      <w:r w:rsidR="00D47050">
        <w:t xml:space="preserve">in the present </w:t>
      </w:r>
      <w:r w:rsidR="00D47050">
        <w:lastRenderedPageBreak/>
        <w:t>case</w:t>
      </w:r>
      <w:r w:rsidR="0062113B">
        <w:t xml:space="preserve"> the insurer has </w:t>
      </w:r>
      <w:r w:rsidR="00D47050">
        <w:t>a</w:t>
      </w:r>
      <w:r w:rsidR="00E17924">
        <w:t>l</w:t>
      </w:r>
      <w:r w:rsidR="00D47050">
        <w:t>leged</w:t>
      </w:r>
      <w:r w:rsidR="0062113B">
        <w:t xml:space="preserve"> that the non-disclosure concerned the concealment of the existence of the dishonest scheme involving the misappropriation of money by various companies</w:t>
      </w:r>
      <w:r w:rsidR="00636931">
        <w:t xml:space="preserve"> </w:t>
      </w:r>
      <w:r>
        <w:t xml:space="preserve">rather than the concealment of </w:t>
      </w:r>
      <w:r w:rsidR="00636931">
        <w:t>the underlying facts.</w:t>
      </w:r>
      <w:r w:rsidR="00E42147">
        <w:t xml:space="preserve">  In that sense, there is an indication that the non-disclosure relied upon </w:t>
      </w:r>
      <w:r w:rsidR="00D47050">
        <w:t>was</w:t>
      </w:r>
      <w:r w:rsidR="00E42147">
        <w:t xml:space="preserve"> the failure to disclose the Wrongful Conduct as opposed to the substratum of matters on which the allegations were made.</w:t>
      </w:r>
    </w:p>
    <w:p w14:paraId="4023C9B1" w14:textId="77777777" w:rsidR="00636931" w:rsidRDefault="00D47050" w:rsidP="006D757D">
      <w:pPr>
        <w:pStyle w:val="ParaNumbering"/>
      </w:pPr>
      <w:r>
        <w:t>The insurer</w:t>
      </w:r>
      <w:r w:rsidR="00636931">
        <w:t xml:space="preserve"> submitted that all that it did </w:t>
      </w:r>
      <w:r w:rsidRPr="00D47050">
        <w:t>was rely on the fact that the insureds or some of them had engaged in certain conduct which had occurred or was intended to occur, that the conduct or the planning for it happened prior to the entry into the contract, that there had been a failure to disclose those matters, and that it avoided the policy accordingly.</w:t>
      </w:r>
      <w:r w:rsidR="00636931">
        <w:t xml:space="preserve">  It submitted that </w:t>
      </w:r>
      <w:r w:rsidR="004E4B7E">
        <w:t>the Extension contains no express covenant</w:t>
      </w:r>
      <w:r w:rsidR="00E42147">
        <w:t xml:space="preserve"> </w:t>
      </w:r>
      <w:r w:rsidR="004E4B7E">
        <w:t xml:space="preserve">to forego reliance on </w:t>
      </w:r>
      <w:r>
        <w:t>its</w:t>
      </w:r>
      <w:r w:rsidR="004E4B7E">
        <w:t xml:space="preserve"> statutory rights </w:t>
      </w:r>
      <w:r>
        <w:t>in</w:t>
      </w:r>
      <w:r w:rsidR="004E4B7E">
        <w:t xml:space="preserve"> s 28 of the ICA in the event of the insured’s </w:t>
      </w:r>
      <w:r>
        <w:t>non-</w:t>
      </w:r>
      <w:r w:rsidR="004E4B7E">
        <w:t xml:space="preserve">disclosure.  It also submitted that the operation of the Extension is not concerned with the exercise or non-exercise of rights under Pt IV of the ICA and that the limitation is concerned only with the insurer’s obligation under the </w:t>
      </w:r>
      <w:r w:rsidR="006D757D">
        <w:t xml:space="preserve">clause </w:t>
      </w:r>
      <w:r w:rsidR="004E4B7E">
        <w:t>to advance Defence Costs</w:t>
      </w:r>
      <w:r>
        <w:t>.</w:t>
      </w:r>
      <w:r w:rsidR="004B17AA">
        <w:t xml:space="preserve">  It further submit</w:t>
      </w:r>
      <w:r>
        <w:t>ted</w:t>
      </w:r>
      <w:r w:rsidR="004B17AA">
        <w:t xml:space="preserve"> that there is no implied negative stipulation restricting </w:t>
      </w:r>
      <w:r>
        <w:t>it</w:t>
      </w:r>
      <w:r w:rsidR="004B17AA">
        <w:t xml:space="preserve"> from relying upon non-disclosure merely by reason of </w:t>
      </w:r>
      <w:r>
        <w:t>its</w:t>
      </w:r>
      <w:r w:rsidR="004B17AA">
        <w:t xml:space="preserve"> express promise to pay Defence Costs where the</w:t>
      </w:r>
      <w:r>
        <w:t xml:space="preserve"> </w:t>
      </w:r>
      <w:r w:rsidR="004B17AA">
        <w:t xml:space="preserve">claim may be beyond the scope of the policy.  </w:t>
      </w:r>
      <w:r w:rsidR="00E42147">
        <w:t>It submit</w:t>
      </w:r>
      <w:r>
        <w:t>ted</w:t>
      </w:r>
      <w:r w:rsidR="004B17AA">
        <w:t xml:space="preserve"> that clear words would </w:t>
      </w:r>
      <w:r>
        <w:t xml:space="preserve">be </w:t>
      </w:r>
      <w:r w:rsidR="00983986">
        <w:t>necessary</w:t>
      </w:r>
      <w:r w:rsidR="004B17AA">
        <w:t xml:space="preserve"> before the Courts would restrict </w:t>
      </w:r>
      <w:r>
        <w:t>its</w:t>
      </w:r>
      <w:r w:rsidR="004B17AA">
        <w:t xml:space="preserve"> entitlement to rely upon non-disclosure.</w:t>
      </w:r>
    </w:p>
    <w:p w14:paraId="37FD510F" w14:textId="77777777" w:rsidR="006D757D" w:rsidRDefault="006D757D" w:rsidP="006D757D">
      <w:pPr>
        <w:pStyle w:val="Heading2"/>
      </w:pPr>
      <w:r>
        <w:t>Consideration of the construction arguments</w:t>
      </w:r>
    </w:p>
    <w:p w14:paraId="0C1B8A6A" w14:textId="77777777" w:rsidR="00294FC5" w:rsidRDefault="00D47050" w:rsidP="000E3149">
      <w:pPr>
        <w:pStyle w:val="ParaNumbering"/>
      </w:pPr>
      <w:r>
        <w:t>T</w:t>
      </w:r>
      <w:r w:rsidR="00294FC5">
        <w:t xml:space="preserve">here is authority that the obligation of disclosure may be altered by </w:t>
      </w:r>
      <w:r w:rsidR="00983986">
        <w:t>an</w:t>
      </w:r>
      <w:r w:rsidR="00173492">
        <w:t xml:space="preserve"> </w:t>
      </w:r>
      <w:r w:rsidR="00294FC5">
        <w:t xml:space="preserve">insurer limiting </w:t>
      </w:r>
      <w:r>
        <w:t xml:space="preserve">its </w:t>
      </w:r>
      <w:r w:rsidR="00294FC5">
        <w:t xml:space="preserve">right to be informed of the </w:t>
      </w:r>
      <w:r w:rsidR="006D7888">
        <w:t xml:space="preserve">insured’s </w:t>
      </w:r>
      <w:r w:rsidR="00294FC5">
        <w:t>knowledge, not only as to the existence of facts but also as to the</w:t>
      </w:r>
      <w:r w:rsidR="006D7888">
        <w:t>ir</w:t>
      </w:r>
      <w:r w:rsidR="00294FC5">
        <w:t xml:space="preserve"> materiality:  </w:t>
      </w:r>
      <w:r w:rsidR="00294FC5" w:rsidRPr="002A30BE">
        <w:rPr>
          <w:i/>
        </w:rPr>
        <w:t xml:space="preserve">Jones v Provincial Insurance Co </w:t>
      </w:r>
      <w:r w:rsidR="00294FC5" w:rsidRPr="002A30BE">
        <w:t>(1857) 3 CBNS 65</w:t>
      </w:r>
      <w:r w:rsidR="00294FC5" w:rsidRPr="004E6855">
        <w:t xml:space="preserve"> at 86; </w:t>
      </w:r>
      <w:r w:rsidR="00294FC5" w:rsidRPr="002A30BE">
        <w:t>140 ER 662</w:t>
      </w:r>
      <w:r w:rsidR="00242CC6">
        <w:t xml:space="preserve"> at</w:t>
      </w:r>
      <w:r w:rsidR="00294FC5">
        <w:t xml:space="preserve"> 671</w:t>
      </w:r>
      <w:r w:rsidR="00294FC5" w:rsidRPr="004E6855">
        <w:t xml:space="preserve">; </w:t>
      </w:r>
      <w:r w:rsidR="00294FC5" w:rsidRPr="002A30BE">
        <w:rPr>
          <w:i/>
        </w:rPr>
        <w:t>Southern Cross Assurance Co Ltd v Australian Provincial Assurance Assn Ltd</w:t>
      </w:r>
      <w:r w:rsidR="00294FC5" w:rsidRPr="002A30BE">
        <w:t xml:space="preserve"> (1939) 39 SR (NSW) 174</w:t>
      </w:r>
      <w:r w:rsidR="00294FC5" w:rsidRPr="004E6855">
        <w:t xml:space="preserve"> at 187-188; </w:t>
      </w:r>
      <w:r w:rsidR="00294FC5" w:rsidRPr="002A30BE">
        <w:t>56 WN (NSW) 77</w:t>
      </w:r>
      <w:r w:rsidR="00294FC5">
        <w:t xml:space="preserve"> </w:t>
      </w:r>
      <w:r w:rsidR="00294FC5" w:rsidRPr="004E6855">
        <w:t xml:space="preserve">per Jordan CJ and Nicholas J; </w:t>
      </w:r>
      <w:r w:rsidR="00294FC5" w:rsidRPr="002A30BE">
        <w:rPr>
          <w:i/>
        </w:rPr>
        <w:t xml:space="preserve">National General Insurance Co Ltd v Chick </w:t>
      </w:r>
      <w:r w:rsidR="002D78C6" w:rsidRPr="002A30BE">
        <w:t xml:space="preserve">(1984) 3 ANZ Ins </w:t>
      </w:r>
      <w:proofErr w:type="spellStart"/>
      <w:r w:rsidR="002D78C6" w:rsidRPr="002A30BE">
        <w:t>Cas</w:t>
      </w:r>
      <w:proofErr w:type="spellEnd"/>
      <w:r w:rsidR="002D78C6" w:rsidRPr="002A30BE">
        <w:t xml:space="preserve"> 60-579</w:t>
      </w:r>
      <w:r w:rsidR="00294FC5">
        <w:t>.</w:t>
      </w:r>
      <w:r w:rsidR="00173492">
        <w:t xml:space="preserve"> </w:t>
      </w:r>
      <w:r w:rsidR="00294FC5">
        <w:t xml:space="preserve"> That said, </w:t>
      </w:r>
      <w:r w:rsidR="006D7888">
        <w:t xml:space="preserve">each of </w:t>
      </w:r>
      <w:r w:rsidR="00294FC5">
        <w:t>those cases tend</w:t>
      </w:r>
      <w:r w:rsidR="006D7888">
        <w:t>s</w:t>
      </w:r>
      <w:r w:rsidR="00294FC5">
        <w:t xml:space="preserve"> </w:t>
      </w:r>
      <w:r w:rsidR="00983986">
        <w:t xml:space="preserve">to </w:t>
      </w:r>
      <w:r w:rsidR="00294FC5">
        <w:t>turn on the</w:t>
      </w:r>
      <w:r w:rsidR="006D7888">
        <w:t xml:space="preserve"> insurer’s</w:t>
      </w:r>
      <w:r w:rsidR="00294FC5">
        <w:t xml:space="preserve"> pre-contractual actions in posing questions, the answers to which will form the basis of the policy.  It is one thing for </w:t>
      </w:r>
      <w:r w:rsidR="006D7888">
        <w:t>an</w:t>
      </w:r>
      <w:r w:rsidR="00294FC5">
        <w:t xml:space="preserve"> insurer to </w:t>
      </w:r>
      <w:r w:rsidR="006D7888">
        <w:t>accept</w:t>
      </w:r>
      <w:r w:rsidR="00294FC5">
        <w:t xml:space="preserve"> the risk of being uninformed by the manner in which pre-contractual questions are posed to a prospective insured</w:t>
      </w:r>
      <w:r w:rsidR="006D7888">
        <w:t>, but there are e</w:t>
      </w:r>
      <w:r w:rsidR="00294FC5">
        <w:t xml:space="preserve">ntirely </w:t>
      </w:r>
      <w:r w:rsidR="003B676C">
        <w:t xml:space="preserve">different considerations </w:t>
      </w:r>
      <w:r w:rsidR="006D7888">
        <w:t xml:space="preserve">when the insurer has been prepared to enter into the policy </w:t>
      </w:r>
      <w:r w:rsidR="00294FC5">
        <w:t>on the assumption that the statutory disclosure obligations have been fulfilled</w:t>
      </w:r>
      <w:r w:rsidR="006D7888">
        <w:t>.</w:t>
      </w:r>
      <w:r w:rsidR="00294FC5">
        <w:t xml:space="preserve">  Here</w:t>
      </w:r>
      <w:r w:rsidR="006D7888">
        <w:t>, there is no suggestion that</w:t>
      </w:r>
      <w:r w:rsidR="003B676C">
        <w:t xml:space="preserve"> pr</w:t>
      </w:r>
      <w:r w:rsidR="006D7888">
        <w:t>ior to entering into the contract</w:t>
      </w:r>
      <w:r w:rsidR="00294FC5">
        <w:t xml:space="preserve"> there was </w:t>
      </w:r>
      <w:r w:rsidR="003B676C">
        <w:t>any</w:t>
      </w:r>
      <w:r w:rsidR="00294FC5">
        <w:t xml:space="preserve"> agreed alteration to the insured’s obligation of disclosure and nothing to suggest that </w:t>
      </w:r>
      <w:r w:rsidR="00294FC5">
        <w:lastRenderedPageBreak/>
        <w:t xml:space="preserve">the insurer offered the policy terms to the </w:t>
      </w:r>
      <w:r w:rsidR="003B676C">
        <w:t>A</w:t>
      </w:r>
      <w:r w:rsidR="00294FC5">
        <w:t xml:space="preserve">pplicants </w:t>
      </w:r>
      <w:r w:rsidR="003B676C">
        <w:t xml:space="preserve">otherwise than </w:t>
      </w:r>
      <w:r w:rsidR="00294FC5">
        <w:t>on the basis that the</w:t>
      </w:r>
      <w:r w:rsidR="003B676C">
        <w:t>y</w:t>
      </w:r>
      <w:r w:rsidR="00294FC5">
        <w:t xml:space="preserve"> had complied wi</w:t>
      </w:r>
      <w:r w:rsidR="003B676C">
        <w:t xml:space="preserve">th their disclosure obligations. </w:t>
      </w:r>
    </w:p>
    <w:p w14:paraId="1799AF72" w14:textId="3D9204D8" w:rsidR="00294FC5" w:rsidRDefault="00294FC5" w:rsidP="006D7888">
      <w:pPr>
        <w:pStyle w:val="ParaNumbering"/>
      </w:pPr>
      <w:r>
        <w:t xml:space="preserve">The difficulty with the </w:t>
      </w:r>
      <w:r w:rsidR="003B676C">
        <w:t>A</w:t>
      </w:r>
      <w:r>
        <w:t xml:space="preserve">pplicants’ </w:t>
      </w:r>
      <w:r w:rsidR="003B676C">
        <w:t>principal submission</w:t>
      </w:r>
      <w:r>
        <w:t xml:space="preserve"> </w:t>
      </w:r>
      <w:r w:rsidRPr="00E52FED">
        <w:t xml:space="preserve">is that </w:t>
      </w:r>
      <w:r w:rsidR="003B676C" w:rsidRPr="00E52FED">
        <w:t>it relies</w:t>
      </w:r>
      <w:r w:rsidRPr="00E52FED">
        <w:t xml:space="preserve"> upon an implication which negatives a fundamental element of the agreement between the parties. </w:t>
      </w:r>
      <w:r w:rsidR="006C5EE9" w:rsidRPr="00E52FED">
        <w:t xml:space="preserve"> </w:t>
      </w:r>
      <w:r w:rsidR="006D7888" w:rsidRPr="00E52FED">
        <w:t xml:space="preserve">As against the serious duty of full material disclosure </w:t>
      </w:r>
      <w:r w:rsidR="00DD43F7">
        <w:t>what is relied</w:t>
      </w:r>
      <w:r w:rsidR="006D7888" w:rsidRPr="00E52FED">
        <w:t xml:space="preserve"> on is an oblique implication made by part of a single term which is primarily directed at other matters. </w:t>
      </w:r>
      <w:r w:rsidR="006C5EE9" w:rsidRPr="00E52FED">
        <w:t xml:space="preserve"> </w:t>
      </w:r>
      <w:r w:rsidR="00DD43F7">
        <w:t>The</w:t>
      </w:r>
      <w:r w:rsidRPr="006D7888">
        <w:t xml:space="preserve"> </w:t>
      </w:r>
      <w:r>
        <w:t>argument is not that one term of the policy should be</w:t>
      </w:r>
      <w:r w:rsidR="00B60B24">
        <w:t xml:space="preserve"> read down so as to give </w:t>
      </w:r>
      <w:r w:rsidR="006D7888">
        <w:t>the Advancement Extension</w:t>
      </w:r>
      <w:r w:rsidR="00B60B24">
        <w:t xml:space="preserve"> its full and complete operation.  It is that the Extension should be read as an agreement by the insurer to forgo</w:t>
      </w:r>
      <w:r w:rsidR="003B676C">
        <w:t>,</w:t>
      </w:r>
      <w:r w:rsidR="00B60B24">
        <w:t xml:space="preserve"> or to temporarily forbear from</w:t>
      </w:r>
      <w:r w:rsidR="003B676C">
        <w:t>,</w:t>
      </w:r>
      <w:r w:rsidR="00B60B24">
        <w:t xml:space="preserve"> exercising its statutory rights </w:t>
      </w:r>
      <w:r w:rsidR="00DD43F7">
        <w:t>concerning</w:t>
      </w:r>
      <w:r w:rsidR="00B60B24">
        <w:t xml:space="preserve"> the contract</w:t>
      </w:r>
      <w:r w:rsidR="00DD43F7">
        <w:t>, some of the rights being concerned with fraud</w:t>
      </w:r>
      <w:r w:rsidR="00B60B24">
        <w:t xml:space="preserve">.  </w:t>
      </w:r>
      <w:r w:rsidR="006D7888">
        <w:t>I</w:t>
      </w:r>
      <w:r w:rsidR="00B60B24">
        <w:t>n this light the argument encounters significant difficulties.</w:t>
      </w:r>
    </w:p>
    <w:p w14:paraId="7DEC5EF5" w14:textId="5DB5A007" w:rsidR="00D14EEF" w:rsidRDefault="006D7888" w:rsidP="006D7888">
      <w:pPr>
        <w:pStyle w:val="ParaNumbering"/>
      </w:pPr>
      <w:r w:rsidRPr="006D7888">
        <w:t xml:space="preserve">The terms of a policy of insurance are usually agreed to by the insurer on the common understanding of the insured’s having performed an obligation to disclose to it all relevant facts which are or ought </w:t>
      </w:r>
      <w:r w:rsidR="006D757D">
        <w:t xml:space="preserve">to be </w:t>
      </w:r>
      <w:r w:rsidRPr="006D7888">
        <w:t xml:space="preserve">reasonably known to it which are relevant to the risk insured. </w:t>
      </w:r>
      <w:r w:rsidR="00445DE1">
        <w:t xml:space="preserve">In </w:t>
      </w:r>
      <w:r w:rsidR="00445DE1" w:rsidRPr="002A30BE">
        <w:rPr>
          <w:i/>
        </w:rPr>
        <w:t xml:space="preserve">Permanent Trustee Australia Limited v FAI General Insurance Company Limited (in liq) </w:t>
      </w:r>
      <w:r w:rsidR="002D78C6" w:rsidRPr="002A30BE">
        <w:t>(2003) 214 CLR 514</w:t>
      </w:r>
      <w:r w:rsidR="002D78C6">
        <w:t xml:space="preserve"> at 542</w:t>
      </w:r>
      <w:r w:rsidR="00445DE1">
        <w:t xml:space="preserve"> [67], </w:t>
      </w:r>
      <w:proofErr w:type="spellStart"/>
      <w:r w:rsidR="00445DE1">
        <w:t>Gummow</w:t>
      </w:r>
      <w:proofErr w:type="spellEnd"/>
      <w:r w:rsidR="00445DE1">
        <w:t xml:space="preserve"> and Hayne JJ </w:t>
      </w:r>
      <w:r>
        <w:t>recognised</w:t>
      </w:r>
      <w:r w:rsidR="00F92F15">
        <w:t xml:space="preserve"> that prior to the ICA it had been accepted that insurance was a contract on a speculation and that the special facts on which the contingent chance is to be computed are most commonly within the knowledge of the insured only.  That </w:t>
      </w:r>
      <w:r>
        <w:t>required</w:t>
      </w:r>
      <w:r w:rsidR="00F92F15">
        <w:t xml:space="preserve"> the underwriter </w:t>
      </w:r>
      <w:r>
        <w:t>to trust</w:t>
      </w:r>
      <w:r w:rsidR="00F92F15">
        <w:t xml:space="preserve"> representations made by the insured and the insured </w:t>
      </w:r>
      <w:r w:rsidR="00894DA8">
        <w:t xml:space="preserve">not </w:t>
      </w:r>
      <w:r>
        <w:t xml:space="preserve">to keep </w:t>
      </w:r>
      <w:r w:rsidR="00894DA8">
        <w:t>“</w:t>
      </w:r>
      <w:r w:rsidR="00F92F15" w:rsidRPr="00F92F15">
        <w:t xml:space="preserve">back any circumstance in his knowledge, to mislead the under-writer into a belief that the circumstance does not exist, and to induce him to estimate the </w:t>
      </w:r>
      <w:proofErr w:type="spellStart"/>
      <w:r w:rsidR="00F92F15" w:rsidRPr="00F92F15">
        <w:t>risque</w:t>
      </w:r>
      <w:proofErr w:type="spellEnd"/>
      <w:r w:rsidR="00F92F15" w:rsidRPr="00F92F15">
        <w:t>, as if it did not exist</w:t>
      </w:r>
      <w:r w:rsidR="00F92F15">
        <w:t xml:space="preserve">”: </w:t>
      </w:r>
      <w:r w:rsidR="00445DE1" w:rsidRPr="002A30BE">
        <w:rPr>
          <w:i/>
        </w:rPr>
        <w:t xml:space="preserve">Carter v Boehm </w:t>
      </w:r>
      <w:r w:rsidR="002D78C6" w:rsidRPr="002A30BE">
        <w:t>(1776) 3 Burr 1905</w:t>
      </w:r>
      <w:r w:rsidR="002D78C6">
        <w:t xml:space="preserve"> at</w:t>
      </w:r>
      <w:r w:rsidR="00445DE1">
        <w:t xml:space="preserve"> 1909; </w:t>
      </w:r>
      <w:r w:rsidR="00445DE1" w:rsidRPr="002A30BE">
        <w:t>97 ER 1162</w:t>
      </w:r>
      <w:r w:rsidR="002D78C6">
        <w:t xml:space="preserve"> at</w:t>
      </w:r>
      <w:r w:rsidR="00445DE1">
        <w:t xml:space="preserve"> 1</w:t>
      </w:r>
      <w:r w:rsidR="00F92F15">
        <w:t xml:space="preserve">164. </w:t>
      </w:r>
      <w:r w:rsidR="00DD43F7">
        <w:t xml:space="preserve"> The duty was one at common law, upon compliance of which the contract was founded; it was not a term or obligation of the contract.</w:t>
      </w:r>
      <w:r w:rsidR="00F92F15">
        <w:t xml:space="preserve"> </w:t>
      </w:r>
    </w:p>
    <w:p w14:paraId="7003E632" w14:textId="24E44E23" w:rsidR="00B60B24" w:rsidRDefault="00F92F15" w:rsidP="006D7888">
      <w:pPr>
        <w:pStyle w:val="ParaNumbering"/>
      </w:pPr>
      <w:r>
        <w:t>Whilst s 21 of the ICA replaced the common law duty of disclosure in terms of the extent of the insured’s obligations</w:t>
      </w:r>
      <w:r w:rsidR="00796EF4">
        <w:t xml:space="preserve">: </w:t>
      </w:r>
      <w:r w:rsidR="00796EF4" w:rsidRPr="002A30BE">
        <w:rPr>
          <w:i/>
        </w:rPr>
        <w:t>Advance (NSW) Insurance Agencies Pty Ltd v Matthews</w:t>
      </w:r>
      <w:r w:rsidR="00894DA8" w:rsidRPr="002A30BE">
        <w:t xml:space="preserve"> (1989) 166 CLR 606</w:t>
      </w:r>
      <w:r w:rsidR="00894DA8">
        <w:t>, 615</w:t>
      </w:r>
      <w:r w:rsidR="007B0364">
        <w:t xml:space="preserve">:  </w:t>
      </w:r>
      <w:r>
        <w:t xml:space="preserve">the </w:t>
      </w:r>
      <w:r w:rsidR="00796EF4">
        <w:t>underlying rationale for</w:t>
      </w:r>
      <w:r>
        <w:t xml:space="preserve"> pre-</w:t>
      </w:r>
      <w:r w:rsidR="00796EF4">
        <w:t>contractual disclosure remain</w:t>
      </w:r>
      <w:r w:rsidR="00894DA8">
        <w:t>s</w:t>
      </w:r>
      <w:r w:rsidR="00796EF4">
        <w:t xml:space="preserve">. </w:t>
      </w:r>
      <w:r w:rsidR="00DD43F7">
        <w:t xml:space="preserve"> Also, it remains properly conceptualised as separate from (though obviously related to) the contract of insurance.  The importance of the duty </w:t>
      </w:r>
      <w:r w:rsidR="00796EF4">
        <w:t>under the ICA is emphasised by the remedies available to the insurer under s 28</w:t>
      </w:r>
      <w:r w:rsidR="00894DA8">
        <w:t xml:space="preserve"> for failure by </w:t>
      </w:r>
      <w:r w:rsidR="006D7888">
        <w:t>an</w:t>
      </w:r>
      <w:r w:rsidR="00894DA8">
        <w:t xml:space="preserve"> insured to comply</w:t>
      </w:r>
      <w:r w:rsidR="00DD43F7">
        <w:t xml:space="preserve"> with it</w:t>
      </w:r>
      <w:r w:rsidR="00796EF4">
        <w:t xml:space="preserve">.  In particular, </w:t>
      </w:r>
      <w:r w:rsidR="006D7888">
        <w:t>an insurer’s entitlement</w:t>
      </w:r>
      <w:r w:rsidR="00796EF4">
        <w:t xml:space="preserve"> to reduce its liability to the extent to which it has been prejudiced by the non-disclosure </w:t>
      </w:r>
      <w:r w:rsidR="006D7888">
        <w:t>manifests</w:t>
      </w:r>
      <w:r w:rsidR="00796EF4">
        <w:t xml:space="preserve"> the direct link between the obligation and the terms and </w:t>
      </w:r>
      <w:r w:rsidR="00796EF4">
        <w:lastRenderedPageBreak/>
        <w:t xml:space="preserve">conditions on which the insurer is prepared to </w:t>
      </w:r>
      <w:r w:rsidR="00894DA8">
        <w:t>under</w:t>
      </w:r>
      <w:r w:rsidR="00796EF4">
        <w:t>write the risk</w:t>
      </w:r>
      <w:r w:rsidR="006D7888">
        <w:t xml:space="preserve"> or, indeed whether it is prepared to do so at all</w:t>
      </w:r>
      <w:r w:rsidR="00796EF4">
        <w:t>.</w:t>
      </w:r>
      <w:r w:rsidR="00894DA8">
        <w:t xml:space="preserve">  If </w:t>
      </w:r>
      <w:r w:rsidR="006D7888">
        <w:t>it</w:t>
      </w:r>
      <w:r w:rsidR="00894DA8">
        <w:t xml:space="preserve"> can show that, had it been informed of the facts relevant to the risk which has crystallised, it would not have entered into the policy or would have included an exclusion in relation to such circumstances, it is entitled to reduce its liability to nil: </w:t>
      </w:r>
      <w:r w:rsidR="00894DA8" w:rsidRPr="002A30BE">
        <w:rPr>
          <w:i/>
        </w:rPr>
        <w:t xml:space="preserve">Alexander </w:t>
      </w:r>
      <w:proofErr w:type="spellStart"/>
      <w:r w:rsidR="00894DA8" w:rsidRPr="002A30BE">
        <w:rPr>
          <w:i/>
        </w:rPr>
        <w:t>Stenhouse</w:t>
      </w:r>
      <w:proofErr w:type="spellEnd"/>
      <w:r w:rsidR="00894DA8" w:rsidRPr="002A30BE">
        <w:rPr>
          <w:i/>
        </w:rPr>
        <w:t xml:space="preserve"> Ltd v </w:t>
      </w:r>
      <w:proofErr w:type="spellStart"/>
      <w:r w:rsidR="00894DA8" w:rsidRPr="002A30BE">
        <w:rPr>
          <w:i/>
        </w:rPr>
        <w:t>Austcam</w:t>
      </w:r>
      <w:proofErr w:type="spellEnd"/>
      <w:r w:rsidR="00894DA8" w:rsidRPr="002A30BE">
        <w:rPr>
          <w:i/>
        </w:rPr>
        <w:t xml:space="preserve"> Investments Pty Ltd </w:t>
      </w:r>
      <w:r w:rsidR="00894DA8" w:rsidRPr="002A30BE">
        <w:t>(1993) 67 ALJR 421</w:t>
      </w:r>
      <w:r w:rsidR="00DD43F7">
        <w:t xml:space="preserve">; </w:t>
      </w:r>
      <w:r w:rsidR="00DD43F7" w:rsidRPr="006B1BA5">
        <w:rPr>
          <w:i/>
        </w:rPr>
        <w:t>Advance (NSW) Insurance Agencies Pty Ltd v Matthews</w:t>
      </w:r>
      <w:r w:rsidR="00802EB5">
        <w:t xml:space="preserve">.  </w:t>
      </w:r>
      <w:r w:rsidR="00711E71">
        <w:t xml:space="preserve">The duty of disclosure </w:t>
      </w:r>
      <w:r w:rsidR="00C229C3">
        <w:t xml:space="preserve">has always been and </w:t>
      </w:r>
      <w:r w:rsidR="0058185A">
        <w:t xml:space="preserve">remains the essence of the </w:t>
      </w:r>
      <w:r w:rsidR="00711E71">
        <w:t>insured</w:t>
      </w:r>
      <w:r w:rsidR="00DD43F7">
        <w:t>’</w:t>
      </w:r>
      <w:r w:rsidR="00711E71">
        <w:t>s obligation of utmost good faith</w:t>
      </w:r>
      <w:r w:rsidR="0058185A">
        <w:t xml:space="preserve">: </w:t>
      </w:r>
      <w:r w:rsidR="0058185A" w:rsidRPr="002A30BE">
        <w:t>Derrington</w:t>
      </w:r>
      <w:r w:rsidR="002D797F" w:rsidRPr="002A30BE">
        <w:t xml:space="preserve"> D and</w:t>
      </w:r>
      <w:r w:rsidR="0058185A" w:rsidRPr="002A30BE">
        <w:t xml:space="preserve"> Ashton</w:t>
      </w:r>
      <w:r w:rsidR="002D797F" w:rsidRPr="002A30BE">
        <w:t xml:space="preserve"> R</w:t>
      </w:r>
      <w:r w:rsidR="0058185A" w:rsidRPr="002A30BE">
        <w:t>,</w:t>
      </w:r>
      <w:r w:rsidR="0058185A" w:rsidRPr="002A30BE">
        <w:rPr>
          <w:i/>
        </w:rPr>
        <w:t xml:space="preserve"> The Law of Liability Insurance</w:t>
      </w:r>
      <w:r w:rsidR="0058185A" w:rsidRPr="002A30BE">
        <w:t xml:space="preserve"> (3</w:t>
      </w:r>
      <w:r w:rsidR="0058185A" w:rsidRPr="002A30BE">
        <w:rPr>
          <w:vertAlign w:val="superscript"/>
        </w:rPr>
        <w:t>rd</w:t>
      </w:r>
      <w:r w:rsidR="0058185A" w:rsidRPr="002A30BE">
        <w:t xml:space="preserve"> ed</w:t>
      </w:r>
      <w:r w:rsidR="002D797F" w:rsidRPr="002A30BE">
        <w:t>, LexisNexis, 2013</w:t>
      </w:r>
      <w:r w:rsidR="0058185A" w:rsidRPr="002A30BE">
        <w:t>)</w:t>
      </w:r>
      <w:r w:rsidR="002D797F">
        <w:t xml:space="preserve"> </w:t>
      </w:r>
      <w:r w:rsidR="0058185A">
        <w:t>a</w:t>
      </w:r>
      <w:r w:rsidR="002D797F">
        <w:t>t</w:t>
      </w:r>
      <w:r w:rsidR="0058185A">
        <w:t xml:space="preserve"> [4-48] [4-49]</w:t>
      </w:r>
      <w:r w:rsidR="00173492">
        <w:t>: and</w:t>
      </w:r>
      <w:r w:rsidR="0058185A">
        <w:t xml:space="preserve"> </w:t>
      </w:r>
      <w:r w:rsidR="00173492">
        <w:t>t</w:t>
      </w:r>
      <w:r w:rsidR="0058185A">
        <w:t xml:space="preserve">he argument that this </w:t>
      </w:r>
      <w:r w:rsidR="00057244">
        <w:t xml:space="preserve">essential obligation </w:t>
      </w:r>
      <w:r w:rsidR="0058185A">
        <w:t xml:space="preserve">ought not be displaced by an implication from words of general </w:t>
      </w:r>
      <w:r w:rsidR="00057244">
        <w:t>import</w:t>
      </w:r>
      <w:r w:rsidR="00DD43F7">
        <w:t xml:space="preserve"> or that its displacement required a degree of clarity</w:t>
      </w:r>
      <w:r w:rsidR="0058185A">
        <w:t xml:space="preserve"> has </w:t>
      </w:r>
      <w:r w:rsidR="00C229C3">
        <w:t xml:space="preserve">more than </w:t>
      </w:r>
      <w:r w:rsidR="0058185A">
        <w:t xml:space="preserve">substantial respectability. </w:t>
      </w:r>
    </w:p>
    <w:p w14:paraId="60A2FC7B" w14:textId="5770EDA6" w:rsidR="00C42DDD" w:rsidRDefault="00F01825" w:rsidP="000E3149">
      <w:pPr>
        <w:pStyle w:val="ParaNumbering"/>
      </w:pPr>
      <w:r>
        <w:t xml:space="preserve">The </w:t>
      </w:r>
      <w:r w:rsidR="00500849">
        <w:t>significance</w:t>
      </w:r>
      <w:r>
        <w:t xml:space="preserve"> of the insured’s obligation of disclosure to the formation of the contract of insurance and the terms on which the underwriter might assume the risk</w:t>
      </w:r>
      <w:r w:rsidR="00057244">
        <w:t>,</w:t>
      </w:r>
      <w:r>
        <w:t xml:space="preserve"> inform the manner in which the Advancement Extension might be construed in the present case.  </w:t>
      </w:r>
      <w:r w:rsidR="00DF0799">
        <w:t xml:space="preserve">We see no basis to conclude that the cover provided by the Advancement Extension was granted to the insured on the basis other than that the insured had complied with the duty of disclosure.    </w:t>
      </w:r>
      <w:r w:rsidR="000E3149">
        <w:t xml:space="preserve"> </w:t>
      </w:r>
    </w:p>
    <w:p w14:paraId="67BCDF4F" w14:textId="24D27C96" w:rsidR="007B0364" w:rsidRDefault="00C42DDD" w:rsidP="00850C1C">
      <w:pPr>
        <w:pStyle w:val="ParaNumbering"/>
      </w:pPr>
      <w:r>
        <w:t>As has been indicated</w:t>
      </w:r>
      <w:r w:rsidR="00C95EE3">
        <w:t xml:space="preserve">, the </w:t>
      </w:r>
      <w:r w:rsidR="00057244">
        <w:t>A</w:t>
      </w:r>
      <w:r>
        <w:t xml:space="preserve">pplicants argue </w:t>
      </w:r>
      <w:r w:rsidR="008D3D64">
        <w:t>that, regardless of any breach of the</w:t>
      </w:r>
      <w:r>
        <w:t>ir</w:t>
      </w:r>
      <w:r w:rsidR="008D3D64">
        <w:t xml:space="preserve"> obligation of disclosure, they remain entitled to rely upon the insurer’s obligation to provide cover which </w:t>
      </w:r>
      <w:r>
        <w:t>it</w:t>
      </w:r>
      <w:r w:rsidR="008D3D64">
        <w:t xml:space="preserve"> agreed to on the faith of the fulfilment of that obligation.  </w:t>
      </w:r>
      <w:r w:rsidR="0012624B">
        <w:t xml:space="preserve">That </w:t>
      </w:r>
      <w:r>
        <w:t>proposition is unusual as</w:t>
      </w:r>
      <w:r w:rsidR="0012624B">
        <w:t xml:space="preserve"> it</w:t>
      </w:r>
      <w:r w:rsidR="00AA07AF">
        <w:t xml:space="preserve"> inverts the ordinary process of the formation of contracts of insurance, </w:t>
      </w:r>
      <w:r w:rsidR="0012624B">
        <w:t xml:space="preserve">and </w:t>
      </w:r>
      <w:r>
        <w:t>would result</w:t>
      </w:r>
      <w:r w:rsidR="0012624B">
        <w:t xml:space="preserve"> in</w:t>
      </w:r>
      <w:r w:rsidR="00AA07AF">
        <w:t xml:space="preserve"> an insurer </w:t>
      </w:r>
      <w:r w:rsidR="0012624B">
        <w:t>being required</w:t>
      </w:r>
      <w:r w:rsidR="00AA07AF">
        <w:t xml:space="preserve"> to cover a claim which the insured ought to have disclosed prior</w:t>
      </w:r>
      <w:r w:rsidR="00C95EE3">
        <w:t xml:space="preserve"> to the entry into the contract and which</w:t>
      </w:r>
      <w:r w:rsidR="00057244">
        <w:t>,</w:t>
      </w:r>
      <w:r w:rsidR="0012624B" w:rsidRPr="0012624B">
        <w:t xml:space="preserve"> </w:t>
      </w:r>
      <w:r>
        <w:t xml:space="preserve">had it been disclosed </w:t>
      </w:r>
      <w:r w:rsidR="0012624B">
        <w:t>in the ordinary course</w:t>
      </w:r>
      <w:r w:rsidR="00C95EE3">
        <w:t xml:space="preserve">, would </w:t>
      </w:r>
      <w:r>
        <w:t xml:space="preserve">likely </w:t>
      </w:r>
      <w:r w:rsidR="00C95EE3">
        <w:t>have been</w:t>
      </w:r>
      <w:r>
        <w:t xml:space="preserve"> specifically</w:t>
      </w:r>
      <w:r w:rsidR="00C95EE3">
        <w:t xml:space="preserve"> excluded.</w:t>
      </w:r>
      <w:r w:rsidR="00D343DF">
        <w:t xml:space="preserve">  </w:t>
      </w:r>
      <w:r w:rsidR="006D757D">
        <w:t>The</w:t>
      </w:r>
      <w:r w:rsidR="00D378B7">
        <w:t xml:space="preserve"> </w:t>
      </w:r>
      <w:r w:rsidRPr="00C42DDD">
        <w:t xml:space="preserve">purpose of disclosure is to permit the insurer to be as fully informed of the risk as the would-be insured’s special knowledge would provide so that it may introduce suitable limitations on the cover which it is willing to provide. It is not uncommon for a disclosed risk to be specifically excluded. </w:t>
      </w:r>
      <w:r w:rsidR="0093073C">
        <w:t xml:space="preserve"> </w:t>
      </w:r>
      <w:r w:rsidRPr="00C42DDD">
        <w:t xml:space="preserve">In the present case, </w:t>
      </w:r>
      <w:r w:rsidR="00DF0799">
        <w:t>there is no basis</w:t>
      </w:r>
      <w:r w:rsidRPr="00C42DDD">
        <w:t xml:space="preserve"> to believe that the insurer would have agreed to cover the disputed risk if it had been fully informed of its details, and it is stretching the principles of implication to imply, from the indirect terms of the limitation on refusal to advance costs, a promise that the insurer would cover a risk which had been wrongly undisclosed. </w:t>
      </w:r>
      <w:r w:rsidR="00D343DF">
        <w:t xml:space="preserve"> </w:t>
      </w:r>
    </w:p>
    <w:p w14:paraId="53CFD7BA" w14:textId="77777777" w:rsidR="0093073C" w:rsidRPr="00EC5EE9" w:rsidRDefault="0093073C" w:rsidP="00850C1C">
      <w:pPr>
        <w:pStyle w:val="ParaNumbering"/>
      </w:pPr>
      <w:r w:rsidRPr="00EC5EE9">
        <w:lastRenderedPageBreak/>
        <w:t xml:space="preserve">The </w:t>
      </w:r>
      <w:r w:rsidR="007B0364">
        <w:t xml:space="preserve">manner in which limitations on an insurer’s entitlement to refuse to advance defence costs operate </w:t>
      </w:r>
      <w:r w:rsidRPr="00EC5EE9">
        <w:t>is discussed with</w:t>
      </w:r>
      <w:r>
        <w:t xml:space="preserve"> </w:t>
      </w:r>
      <w:r w:rsidR="007B0364">
        <w:t xml:space="preserve">some </w:t>
      </w:r>
      <w:r w:rsidR="00883209">
        <w:t>particularity in Derrington and</w:t>
      </w:r>
      <w:r w:rsidRPr="00EC5EE9">
        <w:t xml:space="preserve"> Ashton </w:t>
      </w:r>
      <w:r w:rsidR="00883209">
        <w:t>at</w:t>
      </w:r>
      <w:r w:rsidRPr="00EC5EE9">
        <w:t xml:space="preserve"> </w:t>
      </w:r>
      <w:r w:rsidR="00883209">
        <w:t>[</w:t>
      </w:r>
      <w:r w:rsidRPr="00EC5EE9">
        <w:t>8-583</w:t>
      </w:r>
      <w:r w:rsidR="00883209">
        <w:t>]</w:t>
      </w:r>
      <w:r w:rsidRPr="00EC5EE9">
        <w:t>, which contains the following:</w:t>
      </w:r>
    </w:p>
    <w:p w14:paraId="6793E857" w14:textId="77777777" w:rsidR="0093073C" w:rsidRPr="0093073C" w:rsidRDefault="0093073C" w:rsidP="006D757D">
      <w:pPr>
        <w:pStyle w:val="Quote1"/>
      </w:pPr>
      <w:r w:rsidRPr="0093073C">
        <w:t>There are other variations of the terms on which the obligation to advance these funds may be engaged and the insurer’s liability in this respect is sometimes affected by the policy’s language. For example, it may be that it may not refuse to do so by reason only that it considers that the insured’s conduct referred to in a particular exclusion has occurred, until such time as there is an admission by the insured, or, a judgment, award or other finding by a court, tribunal or arbitrator with jurisdiction to finally determine the matter (including the outcome of any appeal in relation to such judgment, award or other finding) which establishes the foregoing. At the same time, it may provide that the obligation does not engage if the insure</w:t>
      </w:r>
      <w:r w:rsidRPr="00157520">
        <w:t>r</w:t>
      </w:r>
      <w:r w:rsidRPr="0093073C">
        <w:t xml:space="preserve"> denies liability to provide indemnity. </w:t>
      </w:r>
      <w:r>
        <w:t xml:space="preserve"> </w:t>
      </w:r>
      <w:r w:rsidRPr="0093073C">
        <w:t>This complication is resolved by a construction which permits the insurer to refuse to advance costs if it is entitled to deny liability on any ground other than the exclusion which requires admission or adjudication. The inapplicability of one exclusion as a valid ground for the insurer’s denial would not defeat the application of another ground which is available. There has been some difference of opinion as to whether it would be incongruous for an insurer to be liable to indemnify for defence costs of a claim in respect of which liability for the loss claimed was excluded:</w:t>
      </w:r>
      <w:r w:rsidRPr="0093073C">
        <w:rPr>
          <w:i/>
          <w:iCs/>
        </w:rPr>
        <w:t xml:space="preserve"> McCarthy &amp; Ors v St Paul International Insurance Co Ltd</w:t>
      </w:r>
      <w:r w:rsidRPr="0093073C">
        <w:t xml:space="preserve"> [2007] FCAFC 28; </w:t>
      </w:r>
      <w:r w:rsidRPr="0093073C">
        <w:rPr>
          <w:i/>
          <w:iCs/>
        </w:rPr>
        <w:t>Major Engineering Pty Ltd v CGU Insurance Ltd</w:t>
      </w:r>
      <w:r w:rsidRPr="0093073C">
        <w:t xml:space="preserve"> (2002) 238 ALR 363 at [41]–[42]. </w:t>
      </w:r>
      <w:r w:rsidRPr="0093073C">
        <w:rPr>
          <w:i/>
          <w:iCs/>
        </w:rPr>
        <w:t>Contra</w:t>
      </w:r>
      <w:r w:rsidRPr="0093073C">
        <w:t xml:space="preserve">: </w:t>
      </w:r>
      <w:proofErr w:type="spellStart"/>
      <w:r w:rsidRPr="0093073C">
        <w:rPr>
          <w:i/>
          <w:iCs/>
        </w:rPr>
        <w:t>Silbermann</w:t>
      </w:r>
      <w:proofErr w:type="spellEnd"/>
      <w:r w:rsidRPr="0093073C">
        <w:rPr>
          <w:i/>
          <w:iCs/>
        </w:rPr>
        <w:t xml:space="preserve"> v CGU Insurance Ltd</w:t>
      </w:r>
      <w:r w:rsidRPr="0093073C">
        <w:t xml:space="preserve"> [2003] NSWCA 203; (2003) 57 NSWLR 469 at [70]–[77] and on appeal to the High Court of Australia in that case in </w:t>
      </w:r>
      <w:r w:rsidRPr="0093073C">
        <w:rPr>
          <w:i/>
          <w:iCs/>
        </w:rPr>
        <w:t>Rich v CGU Insurance Ltd</w:t>
      </w:r>
      <w:r w:rsidRPr="0093073C">
        <w:t xml:space="preserve"> [2005] HCA 16; (2005) 214 ALR 370 at [11]. But this factor, while having an influence on the construction of the Advance of Costs provision, cannot prevail over its clear terms. It is true that a denial of indemnity under the provision may be based on matters which have nothing to do with any exclusion under the list of Exclusions. Also, it may not be said that the insurer’s power to deny indemnity for the purposes of the provision necessarily extends to all of the bases of exclusion under that list. But it may be clear that although its extension to the specified Exclusion is subject to the requirement that the application of that exclusion is established, there may be nothing in the text of the provision which suggests that the relevant right to deny is not intended to extend to other exclusions. Any absence of any reference to Defence Costs in the opening words of the list of exclusions is not to the point:</w:t>
      </w:r>
      <w:r w:rsidRPr="0093073C">
        <w:rPr>
          <w:i/>
          <w:iCs/>
        </w:rPr>
        <w:t xml:space="preserve"> BOQ Ltd v </w:t>
      </w:r>
      <w:proofErr w:type="spellStart"/>
      <w:r w:rsidRPr="0093073C">
        <w:rPr>
          <w:i/>
          <w:iCs/>
        </w:rPr>
        <w:t>Chartis</w:t>
      </w:r>
      <w:proofErr w:type="spellEnd"/>
      <w:r w:rsidRPr="0093073C">
        <w:rPr>
          <w:i/>
          <w:iCs/>
        </w:rPr>
        <w:t xml:space="preserve"> Aust Insurance Ltd</w:t>
      </w:r>
      <w:r w:rsidRPr="0093073C">
        <w:t xml:space="preserve"> [2012] QSC 319.</w:t>
      </w:r>
    </w:p>
    <w:p w14:paraId="30452F6B" w14:textId="77777777" w:rsidR="0093073C" w:rsidRPr="0093073C" w:rsidRDefault="0093073C" w:rsidP="006D757D">
      <w:pPr>
        <w:pStyle w:val="Quote1"/>
      </w:pPr>
      <w:r w:rsidRPr="0093073C">
        <w:t>On the other hand, if an exclusion which is invoked by the insurer requires proof for its engagement, it cannot rely on it to refuse to make the advance, but it can do so if the exclusion is engaged, or if there is another operative ground for refusal, such as avoidance:</w:t>
      </w:r>
      <w:r w:rsidRPr="0093073C">
        <w:rPr>
          <w:i/>
          <w:iCs/>
        </w:rPr>
        <w:t xml:space="preserve"> Intergraph</w:t>
      </w:r>
      <w:r w:rsidRPr="0093073C">
        <w:t xml:space="preserve"> (supra); </w:t>
      </w:r>
      <w:proofErr w:type="spellStart"/>
      <w:r w:rsidRPr="0093073C">
        <w:rPr>
          <w:i/>
          <w:iCs/>
        </w:rPr>
        <w:t>Wilkie</w:t>
      </w:r>
      <w:proofErr w:type="spellEnd"/>
      <w:r w:rsidRPr="0093073C">
        <w:rPr>
          <w:i/>
          <w:iCs/>
        </w:rPr>
        <w:t xml:space="preserve"> v Gordian Runoff Ltd</w:t>
      </w:r>
      <w:r w:rsidRPr="0093073C">
        <w:t xml:space="preserve"> [2005] HCA 17; </w:t>
      </w:r>
      <w:r w:rsidRPr="0093073C">
        <w:rPr>
          <w:i/>
          <w:iCs/>
        </w:rPr>
        <w:t xml:space="preserve">Rich v CGU </w:t>
      </w:r>
      <w:proofErr w:type="spellStart"/>
      <w:r w:rsidRPr="0093073C">
        <w:rPr>
          <w:i/>
          <w:iCs/>
        </w:rPr>
        <w:t>Insce</w:t>
      </w:r>
      <w:proofErr w:type="spellEnd"/>
      <w:r w:rsidRPr="0093073C">
        <w:rPr>
          <w:i/>
          <w:iCs/>
        </w:rPr>
        <w:t xml:space="preserve"> Ltd; </w:t>
      </w:r>
      <w:proofErr w:type="spellStart"/>
      <w:r w:rsidRPr="0093073C">
        <w:rPr>
          <w:i/>
          <w:iCs/>
        </w:rPr>
        <w:t>Silbermann</w:t>
      </w:r>
      <w:proofErr w:type="spellEnd"/>
      <w:r w:rsidRPr="0093073C">
        <w:rPr>
          <w:i/>
          <w:iCs/>
        </w:rPr>
        <w:t xml:space="preserve"> v CGU Ltd</w:t>
      </w:r>
      <w:r w:rsidRPr="0093073C">
        <w:t xml:space="preserve"> [2005] HCA 16. If it relies on a qualification as to its obligation to advance costs, and the qualification depends on the existence of circumstances which are described in the provision as ‘determined’, ‘in fact’ or ‘finally adjudicated’, there is considerable disagreement as to when and how this is fulfilled, but it is clear that much depends on the language used, including comparison with other terminology of the same genus in the policy that will suggest exclusion of a construction by reason of the variation of usage. The parties may agree as they wish, as manifested by the words of their agreement, so that no rule can be stated that may not be overridden by the terms. Still, some general forms of reasoning may be observed. If a provision’s operation is qualified by the preface, ‘If the court finds …’, it is an issue of fact as to whether the insured was a party to the conduct:</w:t>
      </w:r>
      <w:r w:rsidRPr="0093073C">
        <w:rPr>
          <w:i/>
          <w:iCs/>
        </w:rPr>
        <w:t xml:space="preserve"> </w:t>
      </w:r>
      <w:r w:rsidRPr="0093073C">
        <w:rPr>
          <w:i/>
          <w:iCs/>
        </w:rPr>
        <w:lastRenderedPageBreak/>
        <w:t xml:space="preserve">Coral Reef Prods v Axis Supply </w:t>
      </w:r>
      <w:proofErr w:type="spellStart"/>
      <w:r w:rsidRPr="0093073C">
        <w:rPr>
          <w:i/>
          <w:iCs/>
        </w:rPr>
        <w:t>Insce</w:t>
      </w:r>
      <w:proofErr w:type="spellEnd"/>
      <w:r w:rsidRPr="0093073C">
        <w:rPr>
          <w:i/>
          <w:iCs/>
        </w:rPr>
        <w:t xml:space="preserve"> Co</w:t>
      </w:r>
      <w:r w:rsidRPr="0093073C">
        <w:t xml:space="preserve"> 2012 </w:t>
      </w:r>
      <w:proofErr w:type="spellStart"/>
      <w:r w:rsidRPr="0093073C">
        <w:t>Mich</w:t>
      </w:r>
      <w:proofErr w:type="spellEnd"/>
      <w:r w:rsidRPr="0093073C">
        <w:t xml:space="preserve"> App LEXIS 1149</w:t>
      </w:r>
      <w:proofErr w:type="gramStart"/>
      <w:r w:rsidRPr="0093073C">
        <w:t xml:space="preserve">. </w:t>
      </w:r>
      <w:proofErr w:type="gramEnd"/>
      <w:r w:rsidRPr="0093073C">
        <w:t>If an exclusion refers to the conduct or state of affairs ‘in fact’, whether the insurer may rely upon the nature of the claim that is made before judgment is given against the insured may depend on the nature of the claim and his intended action:</w:t>
      </w:r>
      <w:r w:rsidRPr="0093073C">
        <w:rPr>
          <w:i/>
          <w:iCs/>
        </w:rPr>
        <w:t xml:space="preserve"> Brown &amp; </w:t>
      </w:r>
      <w:proofErr w:type="spellStart"/>
      <w:r w:rsidRPr="0093073C">
        <w:rPr>
          <w:i/>
          <w:iCs/>
        </w:rPr>
        <w:t>Laconte</w:t>
      </w:r>
      <w:proofErr w:type="spellEnd"/>
      <w:r w:rsidRPr="0093073C">
        <w:rPr>
          <w:i/>
          <w:iCs/>
        </w:rPr>
        <w:t xml:space="preserve"> LLP v Westport </w:t>
      </w:r>
      <w:proofErr w:type="spellStart"/>
      <w:r w:rsidRPr="0093073C">
        <w:rPr>
          <w:i/>
          <w:iCs/>
        </w:rPr>
        <w:t>Insce</w:t>
      </w:r>
      <w:proofErr w:type="spellEnd"/>
      <w:r w:rsidRPr="0093073C">
        <w:rPr>
          <w:i/>
          <w:iCs/>
        </w:rPr>
        <w:t xml:space="preserve"> </w:t>
      </w:r>
      <w:proofErr w:type="spellStart"/>
      <w:r w:rsidRPr="0093073C">
        <w:rPr>
          <w:i/>
          <w:iCs/>
        </w:rPr>
        <w:t>Corpn</w:t>
      </w:r>
      <w:proofErr w:type="spellEnd"/>
      <w:r w:rsidRPr="0093073C">
        <w:t xml:space="preserve"> (supra). The expression does not necessarily require final adjudication by the underlying fact-finder, but does require evidence upon which the fact may be determined in the relevant proceedings:</w:t>
      </w:r>
      <w:r w:rsidRPr="0093073C">
        <w:rPr>
          <w:i/>
          <w:iCs/>
        </w:rPr>
        <w:t xml:space="preserve"> Westport </w:t>
      </w:r>
      <w:proofErr w:type="spellStart"/>
      <w:r w:rsidRPr="0093073C">
        <w:rPr>
          <w:i/>
          <w:iCs/>
        </w:rPr>
        <w:t>Insce</w:t>
      </w:r>
      <w:proofErr w:type="spellEnd"/>
      <w:r w:rsidRPr="0093073C">
        <w:rPr>
          <w:i/>
          <w:iCs/>
        </w:rPr>
        <w:t xml:space="preserve"> </w:t>
      </w:r>
      <w:proofErr w:type="spellStart"/>
      <w:r w:rsidRPr="0093073C">
        <w:rPr>
          <w:i/>
          <w:iCs/>
        </w:rPr>
        <w:t>Corpn</w:t>
      </w:r>
      <w:proofErr w:type="spellEnd"/>
      <w:r w:rsidRPr="0093073C">
        <w:rPr>
          <w:i/>
          <w:iCs/>
        </w:rPr>
        <w:t xml:space="preserve"> v </w:t>
      </w:r>
      <w:proofErr w:type="spellStart"/>
      <w:r w:rsidRPr="0093073C">
        <w:rPr>
          <w:i/>
          <w:iCs/>
        </w:rPr>
        <w:t>Hanft</w:t>
      </w:r>
      <w:proofErr w:type="spellEnd"/>
      <w:r w:rsidRPr="0093073C">
        <w:rPr>
          <w:i/>
          <w:iCs/>
        </w:rPr>
        <w:t xml:space="preserve"> &amp; Knight PC</w:t>
      </w:r>
      <w:r w:rsidRPr="0093073C">
        <w:t xml:space="preserve"> 2007 US </w:t>
      </w:r>
      <w:proofErr w:type="spellStart"/>
      <w:r w:rsidRPr="0093073C">
        <w:t>Dist</w:t>
      </w:r>
      <w:proofErr w:type="spellEnd"/>
      <w:r w:rsidRPr="0093073C">
        <w:t xml:space="preserve"> LEXIS 90599.</w:t>
      </w:r>
    </w:p>
    <w:p w14:paraId="6938DF3B" w14:textId="77777777" w:rsidR="00185E3E" w:rsidRDefault="00185E3E" w:rsidP="000E3149">
      <w:pPr>
        <w:pStyle w:val="ParaNumbering"/>
      </w:pPr>
      <w:r>
        <w:t>As</w:t>
      </w:r>
      <w:r w:rsidR="007B0364" w:rsidRPr="00185E3E">
        <w:t xml:space="preserve"> can be </w:t>
      </w:r>
      <w:r w:rsidRPr="00185E3E">
        <w:t>seen</w:t>
      </w:r>
      <w:r w:rsidR="007B0364" w:rsidRPr="00185E3E">
        <w:t xml:space="preserve"> from that passage</w:t>
      </w:r>
      <w:r>
        <w:t>,</w:t>
      </w:r>
      <w:r w:rsidR="007B0364" w:rsidRPr="00185E3E">
        <w:t xml:space="preserve"> the extent of any limitation on an insurer arising from an agreement to advance defence costs, will be limited to the obligations contained in </w:t>
      </w:r>
      <w:r w:rsidRPr="00185E3E">
        <w:t>the</w:t>
      </w:r>
      <w:r w:rsidR="007B0364" w:rsidRPr="00185E3E">
        <w:t xml:space="preserve"> extension and by its terms.  </w:t>
      </w:r>
      <w:r w:rsidRPr="00185E3E">
        <w:t>C</w:t>
      </w:r>
      <w:r w:rsidR="007B0364" w:rsidRPr="00185E3E">
        <w:t>onsistently with established principl</w:t>
      </w:r>
      <w:r w:rsidR="0096354E">
        <w:t>e</w:t>
      </w:r>
      <w:r w:rsidR="007B0364" w:rsidRPr="00185E3E">
        <w:t>, a limitation on the ability to refuse to advance defence costs contained in an Extension will not usually be taken to limit the insurer’s entitlement to decline indemnity on other grounds</w:t>
      </w:r>
      <w:r>
        <w:t xml:space="preserve"> save where that is expressly agreed</w:t>
      </w:r>
      <w:r w:rsidR="007B0364">
        <w:t xml:space="preserve">.  </w:t>
      </w:r>
    </w:p>
    <w:p w14:paraId="45D8BF96" w14:textId="681B7511" w:rsidR="0012624B" w:rsidRDefault="00185E3E" w:rsidP="000E3149">
      <w:pPr>
        <w:pStyle w:val="ParaNumbering"/>
      </w:pPr>
      <w:r>
        <w:t xml:space="preserve">None of the above should be taken as denying </w:t>
      </w:r>
      <w:r w:rsidR="0012624B">
        <w:t xml:space="preserve">that there may be circumstances </w:t>
      </w:r>
      <w:r w:rsidR="0093073C">
        <w:t>in which</w:t>
      </w:r>
      <w:r w:rsidR="0012624B">
        <w:t xml:space="preserve"> an insurer may be </w:t>
      </w:r>
      <w:r>
        <w:t>found to have agreed</w:t>
      </w:r>
      <w:r w:rsidR="0012624B">
        <w:t xml:space="preserve"> to provide cover for risks which </w:t>
      </w:r>
      <w:r w:rsidR="0093073C">
        <w:t>in breach of the obligation have not been disclosed</w:t>
      </w:r>
      <w:r w:rsidR="0012624B">
        <w:t xml:space="preserve">.  However, </w:t>
      </w:r>
      <w:r w:rsidR="006D757D">
        <w:t>that un</w:t>
      </w:r>
      <w:r w:rsidR="0012624B">
        <w:t xml:space="preserve">usual construction </w:t>
      </w:r>
      <w:r w:rsidR="0093073C">
        <w:t>would need support</w:t>
      </w:r>
      <w:r w:rsidR="00416883">
        <w:t xml:space="preserve"> by clear words rather than words of dubious effect: </w:t>
      </w:r>
      <w:proofErr w:type="spellStart"/>
      <w:r w:rsidR="00416883" w:rsidRPr="002A30BE">
        <w:rPr>
          <w:i/>
        </w:rPr>
        <w:t>Duncombe</w:t>
      </w:r>
      <w:proofErr w:type="spellEnd"/>
      <w:r w:rsidR="00416883" w:rsidRPr="002A30BE">
        <w:rPr>
          <w:i/>
        </w:rPr>
        <w:t xml:space="preserve"> v Porter</w:t>
      </w:r>
      <w:r w:rsidR="00416883" w:rsidRPr="002A30BE">
        <w:t xml:space="preserve"> (1953) 90 CLR 295</w:t>
      </w:r>
      <w:r w:rsidR="00416883">
        <w:t>, 311.</w:t>
      </w:r>
      <w:r w:rsidR="0012624B">
        <w:t xml:space="preserve">  </w:t>
      </w:r>
      <w:r w:rsidR="0093073C" w:rsidRPr="0093073C">
        <w:t>Here, there are no such clear words in the Extension</w:t>
      </w:r>
      <w:r w:rsidR="006D757D">
        <w:t xml:space="preserve"> </w:t>
      </w:r>
      <w:r w:rsidR="0093073C" w:rsidRPr="0093073C">
        <w:t>limiting the insurer’s rights consequent upon the insured</w:t>
      </w:r>
      <w:r w:rsidR="00BB3CE3">
        <w:t>’</w:t>
      </w:r>
      <w:r w:rsidR="0093073C" w:rsidRPr="0093073C">
        <w:t>s non-disclosure.</w:t>
      </w:r>
    </w:p>
    <w:p w14:paraId="273ABF93" w14:textId="77777777" w:rsidR="00055DC4" w:rsidRDefault="0093073C" w:rsidP="004F5EFF">
      <w:pPr>
        <w:pStyle w:val="ParaNumbering"/>
      </w:pPr>
      <w:r>
        <w:t>Further,</w:t>
      </w:r>
      <w:r w:rsidR="0099510A">
        <w:t xml:space="preserve"> the process of construction </w:t>
      </w:r>
      <w:r w:rsidR="00D343DF">
        <w:t xml:space="preserve">advanced by the </w:t>
      </w:r>
      <w:r>
        <w:t>A</w:t>
      </w:r>
      <w:r w:rsidR="00D343DF">
        <w:t xml:space="preserve">pplicants fails to construe the policy as a whole.  </w:t>
      </w:r>
      <w:r>
        <w:t>Their</w:t>
      </w:r>
      <w:r w:rsidR="00DE2001">
        <w:t xml:space="preserve"> construction would </w:t>
      </w:r>
      <w:r w:rsidR="00055DC4">
        <w:t>make it</w:t>
      </w:r>
      <w:r w:rsidR="00DE2001">
        <w:t xml:space="preserve"> necessary to conclude that the insurer has agreed to tempor</w:t>
      </w:r>
      <w:r w:rsidR="00055DC4">
        <w:t>ar</w:t>
      </w:r>
      <w:r w:rsidR="00DE2001">
        <w:t>y</w:t>
      </w:r>
      <w:r w:rsidR="00055DC4">
        <w:t xml:space="preserve"> non-</w:t>
      </w:r>
      <w:r w:rsidR="00DE2001">
        <w:t>rel</w:t>
      </w:r>
      <w:r w:rsidR="00055DC4">
        <w:t>iance</w:t>
      </w:r>
      <w:r w:rsidR="00DE2001">
        <w:t xml:space="preserve"> on its rights under s 28</w:t>
      </w:r>
      <w:r w:rsidR="00055DC4">
        <w:t xml:space="preserve"> consequent upon the insured’s non-disclosure</w:t>
      </w:r>
      <w:r w:rsidR="00DE2001">
        <w:t xml:space="preserve">.  </w:t>
      </w:r>
      <w:r w:rsidR="00055DC4">
        <w:t>This</w:t>
      </w:r>
      <w:r w:rsidR="007D09ED">
        <w:t xml:space="preserve"> is not consistent with the actual terms of the policy.  Both </w:t>
      </w:r>
      <w:r w:rsidR="007B0364">
        <w:t>by</w:t>
      </w:r>
      <w:r w:rsidR="007D09ED">
        <w:t xml:space="preserve"> the policy</w:t>
      </w:r>
      <w:r w:rsidR="00055DC4">
        <w:t>’s</w:t>
      </w:r>
      <w:r w:rsidR="007D09ED">
        <w:t xml:space="preserve"> schedule and general terms</w:t>
      </w:r>
      <w:r w:rsidR="00055DC4">
        <w:t>/</w:t>
      </w:r>
      <w:r w:rsidR="007D09ED">
        <w:t>conditions</w:t>
      </w:r>
      <w:r w:rsidR="00055DC4">
        <w:t xml:space="preserve"> section</w:t>
      </w:r>
      <w:r w:rsidR="007D09ED">
        <w:t>,</w:t>
      </w:r>
      <w:r w:rsidR="00055DC4">
        <w:t xml:space="preserve"> </w:t>
      </w:r>
      <w:r w:rsidR="00055DC4" w:rsidRPr="00055DC4">
        <w:t>the Management Liability and Professional Indemnity cover is issued in a “claims made and notified” form. It is explained that the cover applie</w:t>
      </w:r>
      <w:r w:rsidR="006D757D">
        <w:t>s</w:t>
      </w:r>
      <w:r w:rsidR="00055DC4" w:rsidRPr="00055DC4">
        <w:t xml:space="preserve"> to claims,</w:t>
      </w:r>
      <w:r w:rsidR="006C5FF0">
        <w:t xml:space="preserve"> </w:t>
      </w:r>
      <w:r w:rsidR="0086206E">
        <w:t>as defined</w:t>
      </w:r>
      <w:r w:rsidR="000E3149">
        <w:t>,</w:t>
      </w:r>
      <w:r w:rsidR="0086206E">
        <w:t xml:space="preserve"> provided that </w:t>
      </w:r>
      <w:r w:rsidR="006C5FF0">
        <w:t xml:space="preserve">the insured </w:t>
      </w:r>
      <w:r w:rsidR="0086206E">
        <w:t>was</w:t>
      </w:r>
      <w:r w:rsidR="006C5FF0">
        <w:t xml:space="preserve"> not aware </w:t>
      </w:r>
      <w:r w:rsidR="0086206E">
        <w:t>at any time prior to the policy inception of circumstances which would have put a reasonable person in their position on notice that a claim might be made.</w:t>
      </w:r>
      <w:r w:rsidR="000E3149">
        <w:t xml:space="preserve">  Additionally, the exclusion for </w:t>
      </w:r>
      <w:r w:rsidR="00D17D85">
        <w:t>“K</w:t>
      </w:r>
      <w:r w:rsidR="000E3149">
        <w:t xml:space="preserve">nown </w:t>
      </w:r>
      <w:r w:rsidR="00057244">
        <w:t>C</w:t>
      </w:r>
      <w:r w:rsidR="000E3149">
        <w:t xml:space="preserve">laims and </w:t>
      </w:r>
      <w:r w:rsidR="00057244">
        <w:t>C</w:t>
      </w:r>
      <w:r w:rsidR="000E3149">
        <w:t>ircumstances</w:t>
      </w:r>
      <w:r w:rsidR="00D17D85">
        <w:t>”</w:t>
      </w:r>
      <w:r w:rsidR="000E3149">
        <w:t xml:space="preserve"> is a strong indication that the insurer would not provide cover in respect of claims where the underlying circumstances were known to the insured prior to the policy</w:t>
      </w:r>
      <w:r w:rsidR="00055DC4">
        <w:t>’s</w:t>
      </w:r>
      <w:r w:rsidR="000E3149">
        <w:t xml:space="preserve"> inception</w:t>
      </w:r>
      <w:r w:rsidR="006D757D">
        <w:t>.  The Retroactive Date applicable to Messrs Onley and Cranston of 1 June 2016, fortifies the above conclusion.</w:t>
      </w:r>
      <w:r w:rsidR="000E3149">
        <w:t xml:space="preserve">  </w:t>
      </w:r>
    </w:p>
    <w:p w14:paraId="13D43B54" w14:textId="77777777" w:rsidR="004F5EFF" w:rsidRDefault="004F5EFF" w:rsidP="00282832">
      <w:pPr>
        <w:pStyle w:val="Heading4"/>
      </w:pPr>
      <w:r>
        <w:lastRenderedPageBreak/>
        <w:t>“Matters” not d</w:t>
      </w:r>
      <w:r w:rsidR="00020064">
        <w:t>isclosed</w:t>
      </w:r>
    </w:p>
    <w:p w14:paraId="4FF4BF96" w14:textId="006706CA" w:rsidR="00904733" w:rsidRDefault="007B0364" w:rsidP="00055DC4">
      <w:pPr>
        <w:pStyle w:val="ParaNumbering"/>
      </w:pPr>
      <w:r>
        <w:t>As mentioned, a</w:t>
      </w:r>
      <w:r w:rsidR="00055DC4">
        <w:t>nother difficulty with the Applicants’ construction is that it does not answer</w:t>
      </w:r>
      <w:r w:rsidR="006A4080">
        <w:t xml:space="preserve"> the question of whether</w:t>
      </w:r>
      <w:r>
        <w:t>,</w:t>
      </w:r>
      <w:r w:rsidR="006A4080">
        <w:t xml:space="preserve"> </w:t>
      </w:r>
      <w:r w:rsidR="00055DC4" w:rsidRPr="00055DC4">
        <w:t>in the exercise of its rights under s 28 of the ICA</w:t>
      </w:r>
      <w:r>
        <w:t>,</w:t>
      </w:r>
      <w:r w:rsidR="00055DC4" w:rsidRPr="00055DC4">
        <w:t xml:space="preserve"> </w:t>
      </w:r>
      <w:r w:rsidR="006A4080">
        <w:t>the insurer is entitled to rely upon the</w:t>
      </w:r>
      <w:r w:rsidR="00055DC4">
        <w:t>ir</w:t>
      </w:r>
      <w:r w:rsidR="006A4080">
        <w:t xml:space="preserve"> failure to disclose the facts underlying the alleged </w:t>
      </w:r>
      <w:r w:rsidR="006A4080" w:rsidRPr="00D90D40">
        <w:t xml:space="preserve">Wrongful </w:t>
      </w:r>
      <w:r w:rsidR="00620104">
        <w:t>Conduct</w:t>
      </w:r>
      <w:r w:rsidR="00055DC4">
        <w:t xml:space="preserve">. </w:t>
      </w:r>
      <w:r w:rsidR="006A4080">
        <w:t xml:space="preserve"> </w:t>
      </w:r>
      <w:r w:rsidR="00FD6590">
        <w:t>T</w:t>
      </w:r>
      <w:r w:rsidR="00E05BC0">
        <w:t>he Applicants’ argument</w:t>
      </w:r>
      <w:r w:rsidR="00FD6590">
        <w:t xml:space="preserve"> is that the insurer is not entitled to rely on the conclusion that the conduct amounted to Wrongful Conduct because that conclusion has to be determined by judgment, </w:t>
      </w:r>
      <w:r w:rsidR="0089010C">
        <w:t xml:space="preserve">adjudication </w:t>
      </w:r>
      <w:r w:rsidR="00FD6590">
        <w:t xml:space="preserve">or admission.  However, the “neutral” matters of the manner in which the Applicants had carried on or intended to carry on business would also have been of importance to the insurer.  Any asserted prohibition on the insurer relying on </w:t>
      </w:r>
      <w:r w:rsidR="006D757D">
        <w:t xml:space="preserve">a conclusion that </w:t>
      </w:r>
      <w:r>
        <w:t xml:space="preserve">certain </w:t>
      </w:r>
      <w:r w:rsidR="00FD6590">
        <w:t xml:space="preserve">conduct </w:t>
      </w:r>
      <w:r w:rsidR="006D757D">
        <w:t xml:space="preserve">amounted </w:t>
      </w:r>
      <w:r w:rsidR="00FD6590">
        <w:t>to Wrongful Conduct would not seem to prevent it from relying on the Applicants</w:t>
      </w:r>
      <w:r w:rsidR="0089010C">
        <w:t>’</w:t>
      </w:r>
      <w:r w:rsidR="00FD6590">
        <w:t xml:space="preserve"> omission to disclose the </w:t>
      </w:r>
      <w:r w:rsidR="00904733">
        <w:t xml:space="preserve">nature of the business </w:t>
      </w:r>
      <w:r w:rsidR="006D757D">
        <w:t xml:space="preserve">activities </w:t>
      </w:r>
      <w:r w:rsidR="00904733">
        <w:t xml:space="preserve">which they pursued. </w:t>
      </w:r>
    </w:p>
    <w:p w14:paraId="7B66AE90" w14:textId="77777777" w:rsidR="00020064" w:rsidRDefault="00904733" w:rsidP="00850C1C">
      <w:pPr>
        <w:pStyle w:val="ParaNumbering"/>
      </w:pPr>
      <w:r>
        <w:t>I</w:t>
      </w:r>
      <w:r w:rsidR="00020064">
        <w:t xml:space="preserve">n its identification of the matters </w:t>
      </w:r>
      <w:r w:rsidR="007B0364">
        <w:t xml:space="preserve">which </w:t>
      </w:r>
      <w:r w:rsidR="00020064">
        <w:t>were not disclosed</w:t>
      </w:r>
      <w:r>
        <w:t xml:space="preserve">, the insurer identifies </w:t>
      </w:r>
      <w:r w:rsidR="00020064">
        <w:t xml:space="preserve">the fact that the </w:t>
      </w:r>
      <w:r w:rsidR="005367AE">
        <w:t xml:space="preserve">scheme </w:t>
      </w:r>
      <w:r w:rsidR="00020064">
        <w:t xml:space="preserve">being engaged in </w:t>
      </w:r>
      <w:r w:rsidR="005367AE">
        <w:t xml:space="preserve">to </w:t>
      </w:r>
      <w:r w:rsidR="00C15FFD">
        <w:t xml:space="preserve">1 </w:t>
      </w:r>
      <w:r w:rsidR="005367AE">
        <w:t xml:space="preserve">June 2016 </w:t>
      </w:r>
      <w:r>
        <w:t xml:space="preserve">and the new arrangements from 1 June 2016 were </w:t>
      </w:r>
      <w:r w:rsidR="005367AE">
        <w:t>“dishonest”</w:t>
      </w:r>
      <w:r>
        <w:t xml:space="preserve">.  If that were subsequently found to be so </w:t>
      </w:r>
      <w:r w:rsidR="006D757D">
        <w:t xml:space="preserve">by </w:t>
      </w:r>
      <w:r>
        <w:t>judgment, adjudication or admission, it would be Wrongful Conduct and beyond the scope of the policy.  However, in relying on its entitlement to avoid, the insurer need not rely on the undisclosed conduct as being “dishonest”</w:t>
      </w:r>
      <w:r w:rsidR="006D757D">
        <w:t xml:space="preserve"> or falling within the definition of Wrongful Conduct</w:t>
      </w:r>
      <w:r>
        <w:t xml:space="preserve">.  It might </w:t>
      </w:r>
      <w:r w:rsidR="00C363FF">
        <w:t xml:space="preserve">rely </w:t>
      </w:r>
      <w:r>
        <w:t xml:space="preserve">on the non-disclosure of the business transactions and business model as being relevant matters which were fraudulently not disclosed.  There can </w:t>
      </w:r>
      <w:r w:rsidR="007B0364">
        <w:t xml:space="preserve">be </w:t>
      </w:r>
      <w:r>
        <w:t>little doubt that such matters were relevant.  The business model involved</w:t>
      </w:r>
      <w:r w:rsidR="00DF41A6">
        <w:t xml:space="preserve"> a scheme or arrangement </w:t>
      </w:r>
      <w:r w:rsidR="00C15FFD">
        <w:t>in which Plutus undertook to provide payroll services for its clients and received from those clients PAYGW amounts which it then transferred to related companies.  Rather than forwarding the PAYGW amounts to the</w:t>
      </w:r>
      <w:r w:rsidR="006D757D">
        <w:t xml:space="preserve"> ATO</w:t>
      </w:r>
      <w:r w:rsidR="00C15FFD">
        <w:t>, the related companies transferred the amounts, inter alia, for the benefit of Mr Cranston and Mr Onley</w:t>
      </w:r>
      <w:r w:rsidR="006D757D">
        <w:t xml:space="preserve"> with the consequence that the ATO could only enforce the taxation obligations against straw companies.  </w:t>
      </w:r>
      <w:r w:rsidR="00A105C6">
        <w:t>One need only set out the business model in these basic terms to appreciate that it is fraught with the risk that the ATO may seek to recover its lost tax revenue from those involved in the scheme</w:t>
      </w:r>
      <w:r w:rsidR="00C15FFD">
        <w:t xml:space="preserve">.   </w:t>
      </w:r>
    </w:p>
    <w:p w14:paraId="2D43B8AF" w14:textId="77777777" w:rsidR="006E1F3A" w:rsidRDefault="00A105C6" w:rsidP="00FF11C7">
      <w:pPr>
        <w:pStyle w:val="ParaNumbering"/>
      </w:pPr>
      <w:r>
        <w:t xml:space="preserve">The Applicants’ response to the question of whether, on their propounded construction, the insurer would be prevented from relying on non-disclosure of the underlying facts, was unsatisfactory.  They merely relied on the insurer’s inclusion </w:t>
      </w:r>
      <w:r w:rsidR="007B0364">
        <w:t xml:space="preserve">in </w:t>
      </w:r>
      <w:r>
        <w:t xml:space="preserve">the matters not disclosed, the fact that the conduct was dishonest.  </w:t>
      </w:r>
      <w:r w:rsidR="007B0364">
        <w:t>However, i</w:t>
      </w:r>
      <w:r w:rsidR="007C2BDB">
        <w:t xml:space="preserve">t is the thrust of the </w:t>
      </w:r>
      <w:r w:rsidR="00E05BC0">
        <w:t>Applicants</w:t>
      </w:r>
      <w:r w:rsidR="007C2BDB">
        <w:t>’ argument that the</w:t>
      </w:r>
      <w:r w:rsidR="00FF11C7">
        <w:t xml:space="preserve"> effect of the</w:t>
      </w:r>
      <w:r w:rsidR="007C2BDB">
        <w:t xml:space="preserve"> Extension</w:t>
      </w:r>
      <w:r w:rsidR="00FF11C7">
        <w:t xml:space="preserve"> is that</w:t>
      </w:r>
      <w:r w:rsidR="007C2BDB">
        <w:t xml:space="preserve"> the insurer has undertaken to not </w:t>
      </w:r>
      <w:r w:rsidR="009B50B6">
        <w:t xml:space="preserve">to rely upon the existence </w:t>
      </w:r>
      <w:r w:rsidR="009B50B6">
        <w:lastRenderedPageBreak/>
        <w:t>of Wrongful C</w:t>
      </w:r>
      <w:r w:rsidR="007C2BDB">
        <w:t xml:space="preserve">onduct for </w:t>
      </w:r>
      <w:r w:rsidR="009B50B6">
        <w:t>refusing to pay</w:t>
      </w:r>
      <w:r w:rsidR="007C2BDB">
        <w:t xml:space="preserve"> Defence Costs.  </w:t>
      </w:r>
      <w:r w:rsidR="00FF11C7">
        <w:t xml:space="preserve">That is because the extension requires the insurer to meet the defence costs until the quality of the conduct has been adjudicated upon.  However, such an argument </w:t>
      </w:r>
      <w:r w:rsidR="00A111D9">
        <w:t>has</w:t>
      </w:r>
      <w:r w:rsidR="00FF11C7">
        <w:t xml:space="preserve"> nothing to say about the insured’s obligation to disclose to the insurer the nature of the business activities in which </w:t>
      </w:r>
      <w:r w:rsidR="00E05BC0">
        <w:t>it</w:t>
      </w:r>
      <w:r w:rsidR="00FF11C7">
        <w:t xml:space="preserve"> is engaged.  </w:t>
      </w:r>
      <w:r w:rsidR="00E05BC0">
        <w:t xml:space="preserve">Nor does it have any bearing on whether the insurer would, if it had knowledge of the business activities of the insureds, accept the risk even if it made no assessment that such activities were illegal or improper or within the meaning of </w:t>
      </w:r>
      <w:r w:rsidR="00C363FF">
        <w:t xml:space="preserve">a </w:t>
      </w:r>
      <w:r w:rsidR="00E05BC0">
        <w:t>Wrongful Act as defined in the policy.</w:t>
      </w:r>
    </w:p>
    <w:p w14:paraId="1A10DA7B" w14:textId="6E445675" w:rsidR="00B329D7" w:rsidRDefault="00FF11C7" w:rsidP="006E1F3A">
      <w:pPr>
        <w:pStyle w:val="ParaNumbering"/>
      </w:pPr>
      <w:r>
        <w:t>At the time of entering into the policy, the</w:t>
      </w:r>
      <w:r w:rsidR="006E1F3A">
        <w:t xml:space="preserve"> facts surrounding the manner in which the payroll business was operating, by the payment of PAYGW amounts to related companies for distribution to, inter alia, </w:t>
      </w:r>
      <w:r w:rsidR="009B50B6">
        <w:t>the Applicants</w:t>
      </w:r>
      <w:r w:rsidR="006E1F3A">
        <w:t xml:space="preserve"> were relevant to the insurer’s decision whether to accept the risk and if so on what terms.  </w:t>
      </w:r>
      <w:r w:rsidR="009B50B6">
        <w:t>T</w:t>
      </w:r>
      <w:r w:rsidR="00E05BC0">
        <w:t>hat</w:t>
      </w:r>
      <w:r w:rsidR="006E1F3A">
        <w:t xml:space="preserve"> would</w:t>
      </w:r>
      <w:r w:rsidR="00476792">
        <w:t>, one</w:t>
      </w:r>
      <w:r w:rsidR="00DF0799">
        <w:t xml:space="preserve"> would have thought,</w:t>
      </w:r>
      <w:r w:rsidR="006E1F3A">
        <w:t xml:space="preserve"> have been apparent to a reasonable person.  The dealing with PAYGW amounts in this way must have given rise to a risk of a potential civil claim by the Commissioner of Taxation for recovery of those amounts.  That being so, it is difficult to see why the insurer ought </w:t>
      </w:r>
      <w:proofErr w:type="gramStart"/>
      <w:r w:rsidR="006E1F3A">
        <w:t>not</w:t>
      </w:r>
      <w:proofErr w:type="gramEnd"/>
      <w:r w:rsidR="006E1F3A">
        <w:t xml:space="preserve"> rely upon the non-disclosure of those facts to avoid the policy.  In doing so, </w:t>
      </w:r>
      <w:r w:rsidR="009B50B6">
        <w:t>it</w:t>
      </w:r>
      <w:r w:rsidR="006E1F3A">
        <w:t xml:space="preserve"> need not reach any conclusion as to whether the conduct could be characterised as a Wrongful Act o</w:t>
      </w:r>
      <w:r w:rsidR="00A105C6">
        <w:t xml:space="preserve">r illegal or improper conduct.  </w:t>
      </w:r>
      <w:r w:rsidR="00DF0799">
        <w:t>In that way, and on this hypothesis,</w:t>
      </w:r>
      <w:r w:rsidR="00A105C6">
        <w:t xml:space="preserve"> insurer’s avoidance of the policy in no way offends the construction which the Applicants would give to the Extension.  </w:t>
      </w:r>
    </w:p>
    <w:p w14:paraId="139A7069" w14:textId="33C944A8" w:rsidR="003F4B42" w:rsidRDefault="00A105C6" w:rsidP="0055579B">
      <w:pPr>
        <w:pStyle w:val="ParaNumbering"/>
      </w:pPr>
      <w:r>
        <w:t xml:space="preserve">That </w:t>
      </w:r>
      <w:r w:rsidR="009B50B6">
        <w:t>conclusion</w:t>
      </w:r>
      <w:r w:rsidR="0055579B">
        <w:t xml:space="preserve"> significantly weakens the </w:t>
      </w:r>
      <w:r w:rsidR="000C3734">
        <w:t>A</w:t>
      </w:r>
      <w:r w:rsidR="0055579B">
        <w:t xml:space="preserve">pplicants’ </w:t>
      </w:r>
      <w:r>
        <w:t xml:space="preserve">arguments as it means </w:t>
      </w:r>
      <w:r w:rsidR="009B50B6">
        <w:t xml:space="preserve">that </w:t>
      </w:r>
      <w:r w:rsidR="003F4B42">
        <w:t>any</w:t>
      </w:r>
      <w:r w:rsidR="009B50B6">
        <w:t xml:space="preserve"> benefits which might be obtained by them </w:t>
      </w:r>
      <w:r>
        <w:t>from their proposed construction w</w:t>
      </w:r>
      <w:r w:rsidR="009B50B6">
        <w:t>ould be illusory</w:t>
      </w:r>
      <w:r>
        <w:t xml:space="preserve"> and t</w:t>
      </w:r>
      <w:r w:rsidR="003F4B42">
        <w:t xml:space="preserve">he Court is not likely to give a policy a construction </w:t>
      </w:r>
      <w:r>
        <w:t xml:space="preserve">the effect of </w:t>
      </w:r>
      <w:r w:rsidR="003F4B42">
        <w:t>which might be easily circumvented by the operation of the other party’s undoubted rights.</w:t>
      </w:r>
    </w:p>
    <w:p w14:paraId="26D729D0" w14:textId="77777777" w:rsidR="001A3142" w:rsidRDefault="001A3142" w:rsidP="001A3142">
      <w:pPr>
        <w:pStyle w:val="Heading4"/>
      </w:pPr>
      <w:r>
        <w:t>A businesslike interpretation</w:t>
      </w:r>
    </w:p>
    <w:p w14:paraId="276BD6D9" w14:textId="0B3C9590" w:rsidR="001A3142" w:rsidRDefault="001A3142" w:rsidP="0055579B">
      <w:pPr>
        <w:pStyle w:val="ParaNumbering"/>
      </w:pPr>
      <w:r>
        <w:t>The</w:t>
      </w:r>
      <w:r w:rsidR="00B062F0" w:rsidRPr="00B062F0">
        <w:t xml:space="preserve"> </w:t>
      </w:r>
      <w:r w:rsidR="00B062F0">
        <w:t xml:space="preserve">Applicants </w:t>
      </w:r>
      <w:r>
        <w:t>submitted that if the policy was not construed in the manner asserted by them it would be denied a businesslike interpretation</w:t>
      </w:r>
      <w:r w:rsidR="00DF0799">
        <w:t xml:space="preserve"> of the policy</w:t>
      </w:r>
      <w:r>
        <w:t>.  They submit</w:t>
      </w:r>
      <w:r w:rsidR="00B062F0">
        <w:t>ted</w:t>
      </w:r>
      <w:r>
        <w:t xml:space="preserve"> that if the insurer is entitled to decline indemnity for Defence Costs on the grounds of non-disclosure, the protection of the Extension when Wrongful Conduct is alleged against an insured </w:t>
      </w:r>
      <w:r w:rsidR="00DF0799">
        <w:t>would</w:t>
      </w:r>
      <w:r>
        <w:t xml:space="preserve"> be lost.  Whilst there can be no doubt that where </w:t>
      </w:r>
      <w:r w:rsidR="00282832">
        <w:t>such conduct as</w:t>
      </w:r>
      <w:r>
        <w:t xml:space="preserve"> alleged has occurred prior to the inception of the policy and </w:t>
      </w:r>
      <w:r w:rsidR="00282832">
        <w:t>it</w:t>
      </w:r>
      <w:r>
        <w:t xml:space="preserve"> has not been </w:t>
      </w:r>
      <w:r w:rsidR="00282832">
        <w:t>disclosed</w:t>
      </w:r>
      <w:r>
        <w:t xml:space="preserve"> to the insurer,</w:t>
      </w:r>
      <w:r w:rsidR="00A105C6">
        <w:t xml:space="preserve"> </w:t>
      </w:r>
      <w:r w:rsidR="00C83CE7">
        <w:t xml:space="preserve">any </w:t>
      </w:r>
      <w:r>
        <w:t xml:space="preserve">benefit </w:t>
      </w:r>
      <w:r w:rsidR="00C83CE7">
        <w:t xml:space="preserve">flowing from </w:t>
      </w:r>
      <w:r>
        <w:t xml:space="preserve">the Extension will be diminished by the insurer’s right of avoidance.  That </w:t>
      </w:r>
      <w:r w:rsidR="00282832">
        <w:t>is consistent with the policy terms which</w:t>
      </w:r>
      <w:r>
        <w:t xml:space="preserve"> indicate clearly enough that it was not intended to cover </w:t>
      </w:r>
      <w:r w:rsidR="00A105C6">
        <w:t>K</w:t>
      </w:r>
      <w:r>
        <w:t xml:space="preserve">nown </w:t>
      </w:r>
      <w:r w:rsidR="00A105C6">
        <w:lastRenderedPageBreak/>
        <w:t>C</w:t>
      </w:r>
      <w:r>
        <w:t xml:space="preserve">laims and </w:t>
      </w:r>
      <w:r w:rsidR="00A105C6">
        <w:t>C</w:t>
      </w:r>
      <w:r>
        <w:t>ircumst</w:t>
      </w:r>
      <w:r w:rsidR="00623554">
        <w:t xml:space="preserve">ances which were not disclosed, save where cover </w:t>
      </w:r>
      <w:r w:rsidR="00B062F0">
        <w:t>wa</w:t>
      </w:r>
      <w:r w:rsidR="00623554">
        <w:t>s extended by the operation of the Continuity clause.</w:t>
      </w:r>
      <w:r w:rsidR="00B062F0">
        <w:t xml:space="preserve"> </w:t>
      </w:r>
      <w:r>
        <w:t xml:space="preserve"> </w:t>
      </w:r>
      <w:r w:rsidR="00A105C6">
        <w:t xml:space="preserve">But there is nothing surprising in that and the </w:t>
      </w:r>
      <w:r w:rsidR="00623554">
        <w:t>clause will operate in an unlimited manner where the alleged Wrongful Conduct occurred in the policy period</w:t>
      </w:r>
      <w:r w:rsidR="00A105C6">
        <w:t xml:space="preserve">.  To that extent it </w:t>
      </w:r>
      <w:r w:rsidR="00623554">
        <w:t>provides substan</w:t>
      </w:r>
      <w:r w:rsidR="007C35DF">
        <w:t>tial protection for the insured against whom such conduct is alleged.</w:t>
      </w:r>
      <w:r w:rsidR="00B062F0">
        <w:t xml:space="preserve">  </w:t>
      </w:r>
    </w:p>
    <w:p w14:paraId="6F1E04D7" w14:textId="03671E8E" w:rsidR="00B16B4A" w:rsidRDefault="007C35DF" w:rsidP="0055579B">
      <w:pPr>
        <w:pStyle w:val="ParaNumbering"/>
      </w:pPr>
      <w:r w:rsidRPr="00C92447">
        <w:t>Conversely,</w:t>
      </w:r>
      <w:r>
        <w:t xml:space="preserve"> a construction of the Extension which gave it the effect of affording cover by the provision of Defence Costs in relation to claims of Wrongful Conduct in circumstances where the insureds</w:t>
      </w:r>
      <w:r w:rsidR="00B16B4A">
        <w:t>, who were aware of such conduct,</w:t>
      </w:r>
      <w:r>
        <w:t xml:space="preserve"> fraudulently failed to disclose </w:t>
      </w:r>
      <w:r w:rsidR="00282832">
        <w:t xml:space="preserve">it </w:t>
      </w:r>
      <w:r w:rsidR="00B062F0">
        <w:t>would be</w:t>
      </w:r>
      <w:r>
        <w:t xml:space="preserve"> most unusual</w:t>
      </w:r>
      <w:r w:rsidR="00DF0799">
        <w:t xml:space="preserve"> and most unbusinesslike.  Honest common-sense is and should be taken by the courts to be a foundation of commercial and business activity</w:t>
      </w:r>
      <w:r>
        <w:t>.  Insurers are not readily to be taken to agree to cover claims which have</w:t>
      </w:r>
      <w:r w:rsidR="00B16B4A">
        <w:t xml:space="preserve"> been</w:t>
      </w:r>
      <w:r>
        <w:t xml:space="preserve"> fraudulently concealed from them. </w:t>
      </w:r>
      <w:r w:rsidR="00B16B4A">
        <w:t xml:space="preserve"> Even in the absence of the disclosure regime which is attached to the formation of contracts of insurance, the Court is not likely to construe a contract in a way which allows one party to obtain the benefit of a fraud committed on the other.  It is even less so in relation to contracts of insurance where the insurer relies on the insured to provide information so it can determine whether to accept the risk and, if so, on what terms.</w:t>
      </w:r>
    </w:p>
    <w:p w14:paraId="6DACAD48" w14:textId="56C08208" w:rsidR="00CA3349" w:rsidRDefault="009E79C2" w:rsidP="00CA3349">
      <w:pPr>
        <w:pStyle w:val="ParaNumbering"/>
      </w:pPr>
      <w:r>
        <w:t xml:space="preserve">The </w:t>
      </w:r>
      <w:r w:rsidR="00AD2544">
        <w:t>Intervener</w:t>
      </w:r>
      <w:r>
        <w:t xml:space="preserve">, Rush, made a submission </w:t>
      </w:r>
      <w:r w:rsidR="00282832">
        <w:t xml:space="preserve">similar </w:t>
      </w:r>
      <w:r>
        <w:t>to</w:t>
      </w:r>
      <w:r w:rsidR="00B062F0">
        <w:t xml:space="preserve"> that advanced by</w:t>
      </w:r>
      <w:r>
        <w:t xml:space="preserve"> the </w:t>
      </w:r>
      <w:r w:rsidR="00B062F0">
        <w:t xml:space="preserve">Applicants </w:t>
      </w:r>
      <w:r>
        <w:t xml:space="preserve">in relation to the </w:t>
      </w:r>
      <w:r w:rsidR="00282832">
        <w:t>construction and</w:t>
      </w:r>
      <w:r>
        <w:t xml:space="preserve"> operation of the Extension</w:t>
      </w:r>
      <w:r w:rsidR="00282832">
        <w:t>.  It argued that</w:t>
      </w:r>
      <w:r>
        <w:t xml:space="preserve"> such a </w:t>
      </w:r>
      <w:r w:rsidR="00282832">
        <w:t xml:space="preserve">construction would effectively denude the clause of operation for </w:t>
      </w:r>
      <w:r>
        <w:t xml:space="preserve">pre-inception conduct.  It argued that if the insured disclosed the relevant conduct to the insurer prior to entering into the policy it would be taken as having admitted the alleged Wrongful Conduct and, as such, the Defence Costs would not be available.  </w:t>
      </w:r>
      <w:r w:rsidR="00282832">
        <w:t>So far, this argument is correct, but</w:t>
      </w:r>
      <w:r>
        <w:t xml:space="preserve"> </w:t>
      </w:r>
      <w:r w:rsidR="00DF0799">
        <w:t>it</w:t>
      </w:r>
      <w:r>
        <w:t xml:space="preserve"> commences from </w:t>
      </w:r>
      <w:r w:rsidR="00A105C6">
        <w:t xml:space="preserve">an erroneous </w:t>
      </w:r>
      <w:r>
        <w:t xml:space="preserve">starting point.  </w:t>
      </w:r>
      <w:r w:rsidR="00CA3349">
        <w:t xml:space="preserve">The cover is not intended for, </w:t>
      </w:r>
      <w:r w:rsidR="00CA3349" w:rsidRPr="00CA3349">
        <w:t>and the non-disclosure effectively excludes application to</w:t>
      </w:r>
      <w:r w:rsidR="00677BDB">
        <w:t>,</w:t>
      </w:r>
      <w:r w:rsidR="00CA3349" w:rsidRPr="00CA3349">
        <w:t xml:space="preserve"> pre-inception conduct unless it falls within agreed exceptions which are irrelevant here. To that extent the argument is misguided. </w:t>
      </w:r>
      <w:r w:rsidR="00AA78EE">
        <w:t xml:space="preserve">  </w:t>
      </w:r>
    </w:p>
    <w:p w14:paraId="148082B1" w14:textId="77777777" w:rsidR="00CA3349" w:rsidRPr="00CA3349" w:rsidRDefault="00CA3349" w:rsidP="00CA3349">
      <w:pPr>
        <w:pStyle w:val="ParaNumbering"/>
      </w:pPr>
      <w:r w:rsidRPr="00CA3349">
        <w:t xml:space="preserve">Moreover, the qualitative nature of the conduct referred to in the Wrongful Conduct extension is significant. Not only must the conduct have occurred but it must also have been reckless, dishonest, fraudulent, malicious or undertaken with criminal intent or was otherwise improper. If, of course, the insured is aware of the criminal or dishonest nature of the pre-inception conduct and does not disclose it, it makes very little commercial sense to construe the Advancement Extension as intending to cover it. </w:t>
      </w:r>
      <w:r>
        <w:t xml:space="preserve"> </w:t>
      </w:r>
      <w:r w:rsidRPr="00CA3349">
        <w:t>But</w:t>
      </w:r>
      <w:r w:rsidR="00A105C6">
        <w:t>,</w:t>
      </w:r>
      <w:r w:rsidRPr="00CA3349">
        <w:t xml:space="preserve"> for the purpose of disclosure</w:t>
      </w:r>
      <w:r w:rsidR="00A105C6">
        <w:t>,</w:t>
      </w:r>
      <w:r w:rsidRPr="00CA3349">
        <w:t xml:space="preserve"> the insured may know of the relevant conduct but be unaware of its qualitative nature which </w:t>
      </w:r>
      <w:r w:rsidRPr="00CA3349">
        <w:lastRenderedPageBreak/>
        <w:t xml:space="preserve">would have made it material. </w:t>
      </w:r>
      <w:r>
        <w:t xml:space="preserve"> </w:t>
      </w:r>
      <w:r w:rsidRPr="00CA3349">
        <w:t>In such circumstances, the conduct may not have had to be disclosed and may have formed the foundation of cover for the advance of costs.</w:t>
      </w:r>
      <w:r>
        <w:t xml:space="preserve">  This was an argument advanced by the insurer as affording the Extension some operation in relation to pre-contract conduct.  </w:t>
      </w:r>
      <w:r w:rsidRPr="00CA3349">
        <w:t>If</w:t>
      </w:r>
      <w:r>
        <w:t>, on the other hand, the conduct</w:t>
      </w:r>
      <w:r w:rsidRPr="00CA3349">
        <w:t xml:space="preserve"> had been properly disclosed, the cover for the advance of costs could still have been part of the insuring promise, but subject to an exception in respect of the disclosed risk. </w:t>
      </w:r>
      <w:r>
        <w:t xml:space="preserve"> </w:t>
      </w:r>
      <w:r w:rsidRPr="00CA3349">
        <w:t>In those circumstances, the cover would still have had value in funding a defence of claims for post-contractual Wrongful Conduct, or pre-contractual Wrongful Conduct of which the Applicants were unaware, or claims where they were not guilty. Thus, it could not be said that without the disputed cover, the provision had no work to do and needed the suggested implication or construction to give it any meaning.</w:t>
      </w:r>
    </w:p>
    <w:p w14:paraId="21228A8F" w14:textId="77777777" w:rsidR="007C35DF" w:rsidRPr="00CA3349" w:rsidRDefault="00CA3349" w:rsidP="0055579B">
      <w:pPr>
        <w:pStyle w:val="ParaNumbering"/>
      </w:pPr>
      <w:r w:rsidRPr="00CA3349">
        <w:t>It follows that the construction advanced by the Applicants and Rush is not a businesslike interpretation, nor does the Extension want for business common</w:t>
      </w:r>
      <w:r>
        <w:t xml:space="preserve"> </w:t>
      </w:r>
      <w:r w:rsidRPr="00CA3349">
        <w:t xml:space="preserve">sense without it. Although the remedy for non-disclosure claimed by the insurer diminishes its operation, </w:t>
      </w:r>
      <w:r w:rsidR="00A105C6">
        <w:t xml:space="preserve">it </w:t>
      </w:r>
      <w:r w:rsidRPr="00CA3349">
        <w:t>nevertheless provides the Applicants with substantial cover.</w:t>
      </w:r>
      <w:r w:rsidR="00B16B4A" w:rsidRPr="00CA3349">
        <w:t xml:space="preserve"> </w:t>
      </w:r>
    </w:p>
    <w:p w14:paraId="452A43A6" w14:textId="77777777" w:rsidR="0007549F" w:rsidRPr="0007549F" w:rsidRDefault="0007549F" w:rsidP="0007549F">
      <w:pPr>
        <w:pStyle w:val="Heading4"/>
      </w:pPr>
      <w:r>
        <w:t>A purposive interpretation</w:t>
      </w:r>
    </w:p>
    <w:p w14:paraId="01721DE3" w14:textId="15C946FD" w:rsidR="009224D4" w:rsidRDefault="0007549F" w:rsidP="009224D4">
      <w:pPr>
        <w:pStyle w:val="ParaNumbering"/>
      </w:pPr>
      <w:r>
        <w:t xml:space="preserve">The </w:t>
      </w:r>
      <w:r w:rsidR="00CA3349">
        <w:t>A</w:t>
      </w:r>
      <w:r>
        <w:t xml:space="preserve">pplicants also </w:t>
      </w:r>
      <w:r w:rsidR="00CA3349">
        <w:t>contend</w:t>
      </w:r>
      <w:r>
        <w:t xml:space="preserve"> that their construction advances the purpose of the Extension</w:t>
      </w:r>
      <w:r w:rsidR="00CA3349">
        <w:t xml:space="preserve"> by</w:t>
      </w:r>
      <w:r>
        <w:t xml:space="preserve"> being </w:t>
      </w:r>
      <w:r w:rsidR="00CA3349">
        <w:t>of</w:t>
      </w:r>
      <w:r>
        <w:t xml:space="preserve"> assistance </w:t>
      </w:r>
      <w:r w:rsidR="00CA3349">
        <w:t>to them in</w:t>
      </w:r>
      <w:r>
        <w:t xml:space="preserve"> “defending allegations of Wrongful Conduct by funding Defence Costs, without delay and without prejudice to </w:t>
      </w:r>
      <w:r w:rsidR="00CA3349">
        <w:t>[their]</w:t>
      </w:r>
      <w:r>
        <w:t xml:space="preserve"> fundamental common law rights.”  </w:t>
      </w:r>
      <w:r w:rsidR="00CA3349" w:rsidRPr="00CA3349">
        <w:t xml:space="preserve">This is </w:t>
      </w:r>
      <w:r w:rsidR="00A105C6">
        <w:t xml:space="preserve">also </w:t>
      </w:r>
      <w:r w:rsidR="00CA3349" w:rsidRPr="00CA3349">
        <w:t xml:space="preserve">correct as far as it goes, but </w:t>
      </w:r>
      <w:r w:rsidR="00DF0799">
        <w:t xml:space="preserve">it is not useful as a general proposition.  The purpose is to enable </w:t>
      </w:r>
      <w:r w:rsidR="00A105C6">
        <w:t>D</w:t>
      </w:r>
      <w:r w:rsidR="009224D4">
        <w:t xml:space="preserve">efence </w:t>
      </w:r>
      <w:r w:rsidR="00A105C6">
        <w:t>C</w:t>
      </w:r>
      <w:r w:rsidR="00CA3349" w:rsidRPr="00CA3349">
        <w:t xml:space="preserve">osts </w:t>
      </w:r>
      <w:r w:rsidR="00DF0799">
        <w:t xml:space="preserve">to be </w:t>
      </w:r>
      <w:r w:rsidR="00CA3349" w:rsidRPr="00CA3349">
        <w:t>advance</w:t>
      </w:r>
      <w:r w:rsidR="009224D4">
        <w:t>d</w:t>
      </w:r>
      <w:r w:rsidR="00CA3349" w:rsidRPr="00CA3349">
        <w:t xml:space="preserve"> to the Applicants </w:t>
      </w:r>
      <w:r w:rsidR="00DF0799">
        <w:t xml:space="preserve">in circumstances where it may </w:t>
      </w:r>
      <w:r w:rsidR="0094705A">
        <w:t xml:space="preserve">be </w:t>
      </w:r>
      <w:r w:rsidR="00DF0799">
        <w:t>that matters are proven that lead to a requirement for repayment of defence costs previously advanced</w:t>
      </w:r>
      <w:r w:rsidR="00CA3349" w:rsidRPr="00CA3349">
        <w:t>.</w:t>
      </w:r>
      <w:r w:rsidR="00DF0799">
        <w:t xml:space="preserve"> </w:t>
      </w:r>
      <w:r w:rsidR="00CA3349" w:rsidRPr="00CA3349">
        <w:t xml:space="preserve"> That</w:t>
      </w:r>
      <w:r w:rsidR="009224D4">
        <w:t>, however,</w:t>
      </w:r>
      <w:r w:rsidR="00CA3349" w:rsidRPr="00CA3349">
        <w:t xml:space="preserve"> does not </w:t>
      </w:r>
      <w:r w:rsidR="007D4649">
        <w:t>provide a justification for an extension of cover</w:t>
      </w:r>
      <w:r w:rsidR="009224D4">
        <w:t xml:space="preserve"> </w:t>
      </w:r>
      <w:r w:rsidR="00CA3349" w:rsidRPr="00CA3349">
        <w:t xml:space="preserve">to which </w:t>
      </w:r>
      <w:r w:rsidR="00180E04">
        <w:t>there is no entitlement</w:t>
      </w:r>
      <w:r w:rsidR="007D4649">
        <w:t xml:space="preserve"> for other reasons, being avoidance for non-disclosure.  The former purpose is not an informing purposes </w:t>
      </w:r>
      <w:r w:rsidR="00CA3349" w:rsidRPr="00CA3349">
        <w:t>for the latter</w:t>
      </w:r>
      <w:r w:rsidR="007D4649">
        <w:t xml:space="preserve"> circumstance</w:t>
      </w:r>
      <w:r w:rsidR="00CA3349" w:rsidRPr="00CA3349">
        <w:t>.</w:t>
      </w:r>
      <w:r w:rsidR="009224D4">
        <w:t xml:space="preserve"> </w:t>
      </w:r>
      <w:r>
        <w:t xml:space="preserve">The characterisation of the purpose of a clause cannot be undertaken in a vacuum as the </w:t>
      </w:r>
      <w:r w:rsidR="009224D4">
        <w:t>A</w:t>
      </w:r>
      <w:r>
        <w:t xml:space="preserve">pplicants attempt to do.  </w:t>
      </w:r>
      <w:r w:rsidR="009224D4">
        <w:t>It must be</w:t>
      </w:r>
      <w:r>
        <w:t xml:space="preserve"> undertaken in the context of the agreement as a whole</w:t>
      </w:r>
      <w:r w:rsidR="009224D4" w:rsidRPr="009224D4">
        <w:t xml:space="preserve"> and in the light of the surrounding circumstances.</w:t>
      </w:r>
      <w:r w:rsidR="00677BDB">
        <w:t xml:space="preserve">  </w:t>
      </w:r>
      <w:r>
        <w:t>Th</w:t>
      </w:r>
      <w:r w:rsidR="007D4649">
        <w:t xml:space="preserve">ese surrounding circumstances include </w:t>
      </w:r>
      <w:r>
        <w:t>the limitation which exclude</w:t>
      </w:r>
      <w:r w:rsidR="009224D4">
        <w:t>s</w:t>
      </w:r>
      <w:r>
        <w:t xml:space="preserve"> claims arising out of </w:t>
      </w:r>
      <w:r w:rsidR="008F2A48">
        <w:t>K</w:t>
      </w:r>
      <w:r>
        <w:t xml:space="preserve">nown </w:t>
      </w:r>
      <w:r w:rsidR="008F2A48">
        <w:t>C</w:t>
      </w:r>
      <w:r>
        <w:t xml:space="preserve">laims and </w:t>
      </w:r>
      <w:r w:rsidR="008F2A48">
        <w:t>C</w:t>
      </w:r>
      <w:r w:rsidR="007D4649">
        <w:t xml:space="preserve">ircumstances; </w:t>
      </w:r>
      <w:r>
        <w:t xml:space="preserve">the essential nature of contracts of insurance </w:t>
      </w:r>
      <w:r w:rsidR="007D4649">
        <w:t>as</w:t>
      </w:r>
      <w:r>
        <w:t xml:space="preserve"> contracts on speculation entered into </w:t>
      </w:r>
      <w:r w:rsidR="009224D4">
        <w:t xml:space="preserve">only </w:t>
      </w:r>
      <w:r>
        <w:t xml:space="preserve">after the proposed insured has made disclosure of all matters relevant </w:t>
      </w:r>
      <w:r w:rsidR="00885837">
        <w:t>to the insurer’s decision whether to accept the risk</w:t>
      </w:r>
      <w:r w:rsidR="009224D4">
        <w:t xml:space="preserve"> and</w:t>
      </w:r>
      <w:r w:rsidR="005071FC">
        <w:t>, if so,</w:t>
      </w:r>
      <w:r w:rsidR="009224D4">
        <w:t xml:space="preserve"> on what terms</w:t>
      </w:r>
      <w:r w:rsidR="007D4649">
        <w:t>; and the legal consequences of any failure of such duty of disclosure.</w:t>
      </w:r>
      <w:r w:rsidR="00885837">
        <w:t xml:space="preserve">  </w:t>
      </w:r>
    </w:p>
    <w:p w14:paraId="11F13422" w14:textId="77777777" w:rsidR="00ED649E" w:rsidRDefault="00ED649E" w:rsidP="00ED649E">
      <w:pPr>
        <w:pStyle w:val="Heading4"/>
      </w:pPr>
      <w:r>
        <w:lastRenderedPageBreak/>
        <w:t>A construction to avoid the abrogation of common law rights</w:t>
      </w:r>
    </w:p>
    <w:p w14:paraId="6D69A556" w14:textId="77777777" w:rsidR="008D6D5E" w:rsidRPr="0078125C" w:rsidRDefault="00ED649E" w:rsidP="006A35CB">
      <w:pPr>
        <w:pStyle w:val="ParaNumbering"/>
      </w:pPr>
      <w:r>
        <w:t xml:space="preserve">Although in different respects, both the </w:t>
      </w:r>
      <w:r w:rsidR="008F2A48">
        <w:t xml:space="preserve">Applicants </w:t>
      </w:r>
      <w:r>
        <w:t xml:space="preserve">and the respondent sought to rely upon the proposition that </w:t>
      </w:r>
      <w:r w:rsidR="00D742B0">
        <w:t>a</w:t>
      </w:r>
      <w:r>
        <w:t xml:space="preserve"> contract ought to be construed in a manner which avoid</w:t>
      </w:r>
      <w:r w:rsidR="00D742B0">
        <w:t>s</w:t>
      </w:r>
      <w:r>
        <w:t xml:space="preserve"> the abrogation of the parties</w:t>
      </w:r>
      <w:r w:rsidR="008D6D5E">
        <w:t>’</w:t>
      </w:r>
      <w:r>
        <w:t xml:space="preserve"> rights</w:t>
      </w:r>
      <w:r w:rsidR="00D742B0">
        <w:t xml:space="preserve"> at law</w:t>
      </w:r>
      <w:r>
        <w:t>.</w:t>
      </w:r>
      <w:r w:rsidR="008D6D5E">
        <w:t xml:space="preserve">  The </w:t>
      </w:r>
      <w:r w:rsidR="008F2A48">
        <w:t xml:space="preserve">Applicants </w:t>
      </w:r>
      <w:r w:rsidR="008D6D5E">
        <w:t xml:space="preserve">submitted that, if the Extension did not prevent the insurer </w:t>
      </w:r>
      <w:r w:rsidR="00D742B0">
        <w:t>from relying upon material non-disclosure</w:t>
      </w:r>
      <w:r w:rsidR="008D6D5E">
        <w:t xml:space="preserve"> to avoid the policy, </w:t>
      </w:r>
      <w:r w:rsidR="00D742B0">
        <w:t xml:space="preserve">it would have the consequence that </w:t>
      </w:r>
      <w:r w:rsidR="008D6D5E">
        <w:t>the</w:t>
      </w:r>
      <w:r w:rsidR="008F2A48">
        <w:t>ir</w:t>
      </w:r>
      <w:r w:rsidR="008D6D5E">
        <w:t xml:space="preserve"> privilege against self-incrimination in relation to </w:t>
      </w:r>
      <w:r w:rsidR="008F2A48">
        <w:t xml:space="preserve">the </w:t>
      </w:r>
      <w:r w:rsidR="008D6D5E">
        <w:t xml:space="preserve">alleged criminal conduct would be </w:t>
      </w:r>
      <w:r w:rsidR="0078125C">
        <w:t xml:space="preserve">effectively </w:t>
      </w:r>
      <w:r w:rsidR="008D6D5E">
        <w:t xml:space="preserve">abrogated.  It is said that, unless their proffered construction is accepted, </w:t>
      </w:r>
      <w:r w:rsidR="0078125C">
        <w:t>they c</w:t>
      </w:r>
      <w:r w:rsidR="008D6D5E">
        <w:t xml:space="preserve">ould not </w:t>
      </w:r>
      <w:r w:rsidR="0078125C">
        <w:t>oppose</w:t>
      </w:r>
      <w:r w:rsidR="008D6D5E">
        <w:t xml:space="preserve"> the insurer’s claim to avoid the policy without </w:t>
      </w:r>
      <w:r w:rsidR="0078125C" w:rsidRPr="0078125C">
        <w:t>the risk of waiving their privilege in answering its allegations</w:t>
      </w:r>
      <w:r w:rsidR="008D6D5E" w:rsidRPr="0078125C">
        <w:t>.</w:t>
      </w:r>
      <w:r w:rsidR="006A35CB" w:rsidRPr="0078125C">
        <w:t xml:space="preserve">   </w:t>
      </w:r>
    </w:p>
    <w:p w14:paraId="08F8C74C" w14:textId="2E82EF1B" w:rsidR="008D6D5E" w:rsidRPr="00E52FED" w:rsidRDefault="008D6D5E" w:rsidP="00850C1C">
      <w:pPr>
        <w:pStyle w:val="ParaNumbering"/>
      </w:pPr>
      <w:r>
        <w:t>However, a construction that permits the insurer to rely upon the non-disclosure of a Wrongful Act or illegal or improper conduct does not involve any abrogation of the insured’s right of privilege against self-incrimination</w:t>
      </w:r>
      <w:r w:rsidR="0078125C">
        <w:t xml:space="preserve"> in respect of that conduct</w:t>
      </w:r>
      <w:r>
        <w:t>.</w:t>
      </w:r>
      <w:r w:rsidR="006A35CB">
        <w:t xml:space="preserve">  On the </w:t>
      </w:r>
      <w:r w:rsidR="0078125C">
        <w:t>true construction of the policy</w:t>
      </w:r>
      <w:r w:rsidR="005071FC">
        <w:t>,</w:t>
      </w:r>
      <w:r w:rsidR="006A35CB">
        <w:t xml:space="preserve"> which does not limit the insurer’s right </w:t>
      </w:r>
      <w:r w:rsidR="006A35CB" w:rsidRPr="006B553F">
        <w:t xml:space="preserve">to avoid </w:t>
      </w:r>
      <w:r w:rsidR="0078125C" w:rsidRPr="006B553F">
        <w:t>it</w:t>
      </w:r>
      <w:r w:rsidR="006A35CB" w:rsidRPr="006B553F">
        <w:t>,</w:t>
      </w:r>
      <w:r w:rsidR="006A35CB">
        <w:t xml:space="preserve"> </w:t>
      </w:r>
      <w:r w:rsidR="006B553F">
        <w:t xml:space="preserve">if they contest it by action they would be entitled to be relieved of any obligation to plead in any way which would </w:t>
      </w:r>
      <w:r w:rsidR="00A87A4F">
        <w:t xml:space="preserve">diminish their right against self-incrimination: </w:t>
      </w:r>
      <w:proofErr w:type="spellStart"/>
      <w:r w:rsidR="008F2A48">
        <w:t>cf</w:t>
      </w:r>
      <w:proofErr w:type="spellEnd"/>
      <w:r w:rsidR="008F2A48">
        <w:t xml:space="preserve"> </w:t>
      </w:r>
      <w:r w:rsidR="00A87A4F" w:rsidRPr="002A30BE">
        <w:rPr>
          <w:i/>
        </w:rPr>
        <w:t>Chardon v Bradley</w:t>
      </w:r>
      <w:r w:rsidR="00A87A4F" w:rsidRPr="002A30BE">
        <w:t xml:space="preserve"> [2017] QCA 314</w:t>
      </w:r>
      <w:r w:rsidR="00A87A4F">
        <w:t>: and on any trial the</w:t>
      </w:r>
      <w:r w:rsidR="006B553F">
        <w:t>y</w:t>
      </w:r>
      <w:r w:rsidR="00A87A4F">
        <w:t xml:space="preserve"> </w:t>
      </w:r>
      <w:r w:rsidR="007D4649">
        <w:t xml:space="preserve">could </w:t>
      </w:r>
      <w:r w:rsidR="00A87A4F">
        <w:t xml:space="preserve">not be required to respond to questions if there are reasonable grounds that the answer will tend to incriminate them:  </w:t>
      </w:r>
      <w:r w:rsidR="006B553F">
        <w:t>s</w:t>
      </w:r>
      <w:r w:rsidR="00A87A4F">
        <w:t xml:space="preserve"> 128 </w:t>
      </w:r>
      <w:r w:rsidR="00A87A4F">
        <w:rPr>
          <w:i/>
        </w:rPr>
        <w:t>Evidence Act</w:t>
      </w:r>
      <w:r w:rsidR="005071FC">
        <w:rPr>
          <w:i/>
        </w:rPr>
        <w:t xml:space="preserve"> 1995 </w:t>
      </w:r>
      <w:r w:rsidR="005071FC">
        <w:t>(</w:t>
      </w:r>
      <w:r w:rsidR="00D378B7">
        <w:t>NSW</w:t>
      </w:r>
      <w:r w:rsidR="005071FC">
        <w:t>)</w:t>
      </w:r>
      <w:r w:rsidR="00A87A4F">
        <w:t xml:space="preserve">.  </w:t>
      </w:r>
      <w:r w:rsidR="00C329F5">
        <w:t xml:space="preserve">If they are </w:t>
      </w:r>
      <w:r w:rsidR="006B553F">
        <w:t>dis</w:t>
      </w:r>
      <w:r w:rsidR="00C329F5">
        <w:t>satisfied with that approach</w:t>
      </w:r>
      <w:r w:rsidR="006B553F">
        <w:t>,</w:t>
      </w:r>
      <w:r w:rsidR="00C329F5">
        <w:t xml:space="preserve"> they may </w:t>
      </w:r>
      <w:r w:rsidR="006B553F">
        <w:t>delay pursuit of</w:t>
      </w:r>
      <w:r w:rsidR="00C329F5">
        <w:t xml:space="preserve"> their civil proceedings or seek a stay of any proceedings brought by the insurer until after the conclusion of the criminal proceedings and then recover the amount to which they were entitled under the policy</w:t>
      </w:r>
      <w:r w:rsidR="006B553F">
        <w:t>, if any,</w:t>
      </w:r>
      <w:r w:rsidR="00C329F5">
        <w:t xml:space="preserve"> from the insurer.  </w:t>
      </w:r>
      <w:r w:rsidR="006B553F">
        <w:t>This</w:t>
      </w:r>
      <w:r w:rsidR="00C329F5">
        <w:t xml:space="preserve">, of course, may deny them the benefit of having their defence costs paid in </w:t>
      </w:r>
      <w:r w:rsidR="006B553F">
        <w:t xml:space="preserve">advance, which is the </w:t>
      </w:r>
      <w:r w:rsidR="00C329F5">
        <w:t>purpo</w:t>
      </w:r>
      <w:r w:rsidR="006B553F">
        <w:t>se of the Advancement Extension, but</w:t>
      </w:r>
      <w:r w:rsidR="007D4649">
        <w:t xml:space="preserve"> that is a different question and</w:t>
      </w:r>
      <w:r w:rsidR="006B553F">
        <w:t xml:space="preserve"> it</w:t>
      </w:r>
      <w:r w:rsidR="00C329F5">
        <w:t xml:space="preserve"> is not substantially different</w:t>
      </w:r>
      <w:r w:rsidR="006B553F">
        <w:t xml:space="preserve"> from</w:t>
      </w:r>
      <w:r w:rsidR="00C329F5">
        <w:t xml:space="preserve"> the position when an insurer incorrectly denies indemnity and an insured is required to defend thir</w:t>
      </w:r>
      <w:r w:rsidR="006B553F">
        <w:t>d party proceedings themselves and pursue their entitlement to indemnity</w:t>
      </w:r>
      <w:r w:rsidR="00850C1C">
        <w:t xml:space="preserve"> in the same proceeding or</w:t>
      </w:r>
      <w:r w:rsidR="006B553F">
        <w:t xml:space="preserve"> subsequently.  It might also be observed that </w:t>
      </w:r>
      <w:r w:rsidR="00850C1C">
        <w:t xml:space="preserve">any disadvantage to the insured </w:t>
      </w:r>
      <w:r w:rsidR="006B553F">
        <w:t xml:space="preserve">needs to be measured against the </w:t>
      </w:r>
      <w:r w:rsidR="00850C1C" w:rsidRPr="00850C1C">
        <w:t xml:space="preserve">insurer’s possible </w:t>
      </w:r>
      <w:r w:rsidR="00850C1C" w:rsidRPr="00E52FED">
        <w:t>loss of its right to avoid the policy for fraudulent non-disclosure and to escape having to advance costs it may never be able to recover</w:t>
      </w:r>
      <w:r w:rsidR="001E3479" w:rsidRPr="00E52FED">
        <w:t>.</w:t>
      </w:r>
    </w:p>
    <w:p w14:paraId="4B0271D2" w14:textId="77777777" w:rsidR="001E3479" w:rsidRPr="00E52FED" w:rsidRDefault="001E3479" w:rsidP="00850C1C">
      <w:pPr>
        <w:pStyle w:val="ParaNumbering"/>
      </w:pPr>
      <w:r w:rsidRPr="00E52FED">
        <w:t xml:space="preserve">The Applicants’ argument here also encounters the substantial hurdle </w:t>
      </w:r>
      <w:r w:rsidR="00092575" w:rsidRPr="00E52FED">
        <w:t xml:space="preserve">that the policy would have a differential operation in relation to the several insureds.  The primary insureds are incorporated companies and as such they have no entitlement to the privilege commonly known as the privilege against self-incrimination: </w:t>
      </w:r>
      <w:r w:rsidR="00092575" w:rsidRPr="00E52FED">
        <w:rPr>
          <w:i/>
        </w:rPr>
        <w:t xml:space="preserve">Environment Protection Authority v Caltex Refining Co Pty Ltd </w:t>
      </w:r>
      <w:r w:rsidR="00092575" w:rsidRPr="00E52FED">
        <w:t xml:space="preserve">(1993) 178 CLR 477.  </w:t>
      </w:r>
      <w:r w:rsidR="008B32CD" w:rsidRPr="00E52FED">
        <w:t>O</w:t>
      </w:r>
      <w:r w:rsidR="00092575" w:rsidRPr="00E52FED">
        <w:t xml:space="preserve">n the Applicants’ argument, in the case of these </w:t>
      </w:r>
      <w:r w:rsidR="00092575" w:rsidRPr="00E52FED">
        <w:lastRenderedPageBreak/>
        <w:t>insureds</w:t>
      </w:r>
      <w:r w:rsidR="008B32CD" w:rsidRPr="00E52FED">
        <w:t>,</w:t>
      </w:r>
      <w:r w:rsidR="00092575" w:rsidRPr="00E52FED">
        <w:t xml:space="preserve"> there </w:t>
      </w:r>
      <w:r w:rsidR="008B32CD" w:rsidRPr="00E52FED">
        <w:t>is</w:t>
      </w:r>
      <w:r w:rsidR="00092575" w:rsidRPr="00E52FED">
        <w:t xml:space="preserve"> no necessity to limit the rights of the insurer in order to protect any common law privilege as there is </w:t>
      </w:r>
      <w:r w:rsidR="008B32CD" w:rsidRPr="00E52FED">
        <w:t>with</w:t>
      </w:r>
      <w:r w:rsidR="00092575" w:rsidRPr="00E52FED">
        <w:t xml:space="preserve"> respect of the individuals.  </w:t>
      </w:r>
      <w:r w:rsidR="008B32CD" w:rsidRPr="00E52FED">
        <w:t>It follows that the underlying rationale for the Applicants’ construction leads to an inconsistent operation of the policy which is a result which ought not to be accepted.</w:t>
      </w:r>
    </w:p>
    <w:p w14:paraId="37D55C82" w14:textId="77777777" w:rsidR="00D17D85" w:rsidRDefault="00D17D85" w:rsidP="00D17D85">
      <w:pPr>
        <w:pStyle w:val="Heading4"/>
      </w:pPr>
      <w:r>
        <w:t>Distinctions without meaning</w:t>
      </w:r>
    </w:p>
    <w:p w14:paraId="0F4AAB31" w14:textId="77777777" w:rsidR="00D17D85" w:rsidRDefault="00D17D85" w:rsidP="00850C1C">
      <w:pPr>
        <w:pStyle w:val="ParaNumbering"/>
      </w:pPr>
      <w:r>
        <w:t xml:space="preserve">The </w:t>
      </w:r>
      <w:r w:rsidR="00AD2544">
        <w:t>Intervener</w:t>
      </w:r>
      <w:r>
        <w:t xml:space="preserve">, Rush, </w:t>
      </w:r>
      <w:r w:rsidR="0019385D">
        <w:t xml:space="preserve">made </w:t>
      </w:r>
      <w:r>
        <w:t>a</w:t>
      </w:r>
      <w:r w:rsidR="0019385D">
        <w:t xml:space="preserve">n argument </w:t>
      </w:r>
      <w:r>
        <w:t xml:space="preserve">that certain differences in the paragraphs of the Advancement Extension implicitly expanded the scope of </w:t>
      </w:r>
      <w:r w:rsidR="00850C1C">
        <w:t xml:space="preserve">its </w:t>
      </w:r>
      <w:r>
        <w:t xml:space="preserve">cover.  Central to this was the submission that the Extension </w:t>
      </w:r>
      <w:r w:rsidR="00850C1C">
        <w:t>provided cover which was</w:t>
      </w:r>
      <w:r>
        <w:t xml:space="preserve"> separate and distinct </w:t>
      </w:r>
      <w:r w:rsidR="00850C1C">
        <w:t>from</w:t>
      </w:r>
      <w:r>
        <w:t xml:space="preserve"> the general insuring clauses.</w:t>
      </w:r>
      <w:r w:rsidR="0015041A">
        <w:t xml:space="preserve"> </w:t>
      </w:r>
      <w:r w:rsidR="0019385D">
        <w:t xml:space="preserve"> As will be seen, that starting point was necessary to make the argument that the insurer’s obligation to advance Defence Costs was not dependent upon the insured sustaining “Loss” as defined in the policy.  However, the</w:t>
      </w:r>
      <w:r w:rsidR="00850C1C">
        <w:t xml:space="preserve"> submission is</w:t>
      </w:r>
      <w:r>
        <w:t xml:space="preserve"> not sustainable.  As the first paragraph of the </w:t>
      </w:r>
      <w:r w:rsidR="00850C1C">
        <w:t>E</w:t>
      </w:r>
      <w:r>
        <w:t xml:space="preserve">xtension shows, the </w:t>
      </w:r>
      <w:r w:rsidR="00850C1C">
        <w:t>additional</w:t>
      </w:r>
      <w:r>
        <w:t xml:space="preserve"> cover provided is an extension of the cover provided by insuring clauses 1, 2, 3, 4, 5, and 9. </w:t>
      </w:r>
      <w:r w:rsidR="00850C1C">
        <w:t xml:space="preserve"> </w:t>
      </w:r>
      <w:r w:rsidR="00850C1C" w:rsidRPr="00850C1C">
        <w:t xml:space="preserve">The additional cover is limited to costs in respect of claims which are </w:t>
      </w:r>
      <w:r w:rsidR="00850C1C" w:rsidRPr="00677BDB">
        <w:rPr>
          <w:i/>
        </w:rPr>
        <w:t>prima facie</w:t>
      </w:r>
      <w:r w:rsidR="00850C1C" w:rsidRPr="00850C1C">
        <w:t xml:space="preserve"> within the general indemnity cover of the policy. It would not apply to a claim for or criminal proceedings in respect of motor car bodily injury, which is excluded from the general cover. </w:t>
      </w:r>
      <w:r w:rsidR="0015041A">
        <w:t xml:space="preserve"> In relation to the present claim</w:t>
      </w:r>
      <w:r w:rsidR="0010625C">
        <w:t>,</w:t>
      </w:r>
      <w:r w:rsidR="0015041A">
        <w:t xml:space="preserve"> it is insuring clause 1 which is the foundation of the cover</w:t>
      </w:r>
      <w:r w:rsidR="00850C1C">
        <w:t>,</w:t>
      </w:r>
      <w:r w:rsidR="0015041A">
        <w:t xml:space="preserve"> being for “</w:t>
      </w:r>
      <w:r w:rsidR="0015041A" w:rsidRPr="00C97A38">
        <w:t>Loss resulting</w:t>
      </w:r>
      <w:r w:rsidR="0015041A">
        <w:t xml:space="preserve"> </w:t>
      </w:r>
      <w:r w:rsidR="0015041A" w:rsidRPr="00C97A38">
        <w:t xml:space="preserve">from Claims first made against the Insured Persons and notified to </w:t>
      </w:r>
      <w:proofErr w:type="gramStart"/>
      <w:r w:rsidR="0015041A" w:rsidRPr="00C97A38">
        <w:t>Us</w:t>
      </w:r>
      <w:proofErr w:type="gramEnd"/>
      <w:r w:rsidR="0015041A" w:rsidRPr="00C97A38">
        <w:t xml:space="preserve"> during the Period of Insurance based on Management Wrongful Acts</w:t>
      </w:r>
      <w:r w:rsidR="0015041A">
        <w:t>”.</w:t>
      </w:r>
      <w:r w:rsidR="00A105C6">
        <w:t xml:space="preserve">  The </w:t>
      </w:r>
      <w:r w:rsidR="005B0D03">
        <w:t xml:space="preserve">Advancement Extension is an extension of Insuring Clause 1.  </w:t>
      </w:r>
      <w:r w:rsidR="0015041A">
        <w:t>To the extent Rush’s argument proceeded upon the foundation that the Extension was separate and distinct cover which did not involve a question of Loss, it must fail.</w:t>
      </w:r>
    </w:p>
    <w:p w14:paraId="3E96209C" w14:textId="19562880" w:rsidR="0015041A" w:rsidRDefault="0015041A" w:rsidP="00850C1C">
      <w:pPr>
        <w:pStyle w:val="ParaNumbering"/>
      </w:pPr>
      <w:r>
        <w:t xml:space="preserve">In both </w:t>
      </w:r>
      <w:r w:rsidR="00677BDB">
        <w:t>his</w:t>
      </w:r>
      <w:r>
        <w:t xml:space="preserve"> written and oral submissions Mr Jones</w:t>
      </w:r>
      <w:r w:rsidR="00130B7F">
        <w:t xml:space="preserve"> SC</w:t>
      </w:r>
      <w:r w:rsidR="00677BDB">
        <w:t>,</w:t>
      </w:r>
      <w:r w:rsidR="0010625C">
        <w:t xml:space="preserve"> for Rush</w:t>
      </w:r>
      <w:r w:rsidR="00677BDB">
        <w:t>,</w:t>
      </w:r>
      <w:r>
        <w:t xml:space="preserve"> sought to identify a number of differences between the </w:t>
      </w:r>
      <w:r w:rsidR="005B0D03">
        <w:t>second</w:t>
      </w:r>
      <w:r>
        <w:t xml:space="preserve"> and </w:t>
      </w:r>
      <w:r w:rsidR="005B0D03">
        <w:t xml:space="preserve">third </w:t>
      </w:r>
      <w:r>
        <w:t>paragraphs of the Extension.</w:t>
      </w:r>
      <w:r w:rsidR="00850C1C">
        <w:t xml:space="preserve"> </w:t>
      </w:r>
      <w:r w:rsidR="004F6565">
        <w:t xml:space="preserve"> </w:t>
      </w:r>
      <w:r w:rsidR="007D4649">
        <w:t xml:space="preserve">With respect, the distinctions made in </w:t>
      </w:r>
      <w:r w:rsidR="00850C1C" w:rsidRPr="00850C1C">
        <w:t>Rush’s submissions</w:t>
      </w:r>
      <w:r w:rsidR="007D4649">
        <w:t xml:space="preserve"> </w:t>
      </w:r>
      <w:r w:rsidR="00850C1C" w:rsidRPr="00850C1C">
        <w:t xml:space="preserve">are </w:t>
      </w:r>
      <w:r w:rsidR="007D4649">
        <w:t xml:space="preserve">largely </w:t>
      </w:r>
      <w:r w:rsidR="00850C1C" w:rsidRPr="00850C1C">
        <w:t xml:space="preserve">without meaning or are illusory. </w:t>
      </w:r>
      <w:r w:rsidR="004F6565">
        <w:t xml:space="preserve"> One difference relied upon was that the </w:t>
      </w:r>
      <w:r w:rsidR="005B0D03">
        <w:t xml:space="preserve">second </w:t>
      </w:r>
      <w:r w:rsidR="004F6565">
        <w:t>paragraph terminate</w:t>
      </w:r>
      <w:r w:rsidR="00850C1C">
        <w:t>d</w:t>
      </w:r>
      <w:r w:rsidR="004F6565">
        <w:t xml:space="preserve"> cover where it could be ascertained that the “Loss” was not covered by the policy.  It </w:t>
      </w:r>
      <w:r w:rsidR="00850C1C">
        <w:t>was</w:t>
      </w:r>
      <w:r w:rsidR="004F6565">
        <w:t xml:space="preserve"> said that the exclusion of </w:t>
      </w:r>
      <w:r w:rsidR="0010625C">
        <w:t xml:space="preserve">“Known Claims and Circumstances” from the concept of </w:t>
      </w:r>
      <w:r w:rsidR="004F6565">
        <w:t>“Loss”</w:t>
      </w:r>
      <w:r w:rsidR="0010625C">
        <w:t xml:space="preserve"> in the policy</w:t>
      </w:r>
      <w:r w:rsidR="004F6565">
        <w:t xml:space="preserve"> </w:t>
      </w:r>
      <w:r w:rsidR="00E874B3">
        <w:t xml:space="preserve">meant </w:t>
      </w:r>
      <w:r w:rsidR="004F6565">
        <w:t xml:space="preserve">the first paragraph of the Extension </w:t>
      </w:r>
      <w:r w:rsidR="0010625C">
        <w:t>would</w:t>
      </w:r>
      <w:r w:rsidR="004F6565">
        <w:t xml:space="preserve"> not apply </w:t>
      </w:r>
      <w:r w:rsidR="008A783F">
        <w:t>if</w:t>
      </w:r>
      <w:r w:rsidR="004F6565">
        <w:t xml:space="preserve"> the circumstances were previously known</w:t>
      </w:r>
      <w:r w:rsidR="0010625C">
        <w:t xml:space="preserve"> by the insured</w:t>
      </w:r>
      <w:r w:rsidR="004F6565">
        <w:t>.  So</w:t>
      </w:r>
      <w:r w:rsidR="008A783F">
        <w:t>,</w:t>
      </w:r>
      <w:r w:rsidR="004F6565">
        <w:t xml:space="preserve"> the argument goes, the extension in the </w:t>
      </w:r>
      <w:r w:rsidR="005B0D03">
        <w:t xml:space="preserve">third </w:t>
      </w:r>
      <w:r w:rsidR="004F6565">
        <w:t>paragraph does not refer to the insurer</w:t>
      </w:r>
      <w:r w:rsidR="008A783F">
        <w:t>’s</w:t>
      </w:r>
      <w:r w:rsidR="004F6565">
        <w:t xml:space="preserve"> </w:t>
      </w:r>
      <w:r w:rsidR="0010625C">
        <w:t xml:space="preserve">ceasing to provide </w:t>
      </w:r>
      <w:r w:rsidR="004F6565">
        <w:t xml:space="preserve">cover </w:t>
      </w:r>
      <w:r w:rsidR="0010625C">
        <w:t>when it is ascertained that no</w:t>
      </w:r>
      <w:r w:rsidR="004F6565">
        <w:t xml:space="preserve"> “Loss”</w:t>
      </w:r>
      <w:r w:rsidR="0010625C">
        <w:t xml:space="preserve"> has been sustained</w:t>
      </w:r>
      <w:r w:rsidR="004F6565">
        <w:t xml:space="preserve">.  </w:t>
      </w:r>
      <w:r w:rsidR="004F6565">
        <w:lastRenderedPageBreak/>
        <w:t>On that basis</w:t>
      </w:r>
      <w:r w:rsidR="008A783F">
        <w:t>,</w:t>
      </w:r>
      <w:r w:rsidR="004F6565">
        <w:t xml:space="preserve"> it is said</w:t>
      </w:r>
      <w:r w:rsidR="008A783F">
        <w:t>,</w:t>
      </w:r>
      <w:r w:rsidR="004F6565">
        <w:t xml:space="preserve"> the </w:t>
      </w:r>
      <w:r w:rsidR="005B0D03">
        <w:t xml:space="preserve">third </w:t>
      </w:r>
      <w:r w:rsidR="004F6565">
        <w:t>paragraph</w:t>
      </w:r>
      <w:r w:rsidR="00260AD6">
        <w:t xml:space="preserve"> of the Extension</w:t>
      </w:r>
      <w:r w:rsidR="004F6565">
        <w:t xml:space="preserve"> implicitly does not exclude cover for “Known Claims and Circumstances”.  </w:t>
      </w:r>
    </w:p>
    <w:p w14:paraId="206DE826" w14:textId="77777777" w:rsidR="004F6565" w:rsidRDefault="004F6565" w:rsidP="00D17D85">
      <w:pPr>
        <w:pStyle w:val="ParaNumbering"/>
      </w:pPr>
      <w:r>
        <w:t xml:space="preserve">This argument cannot be accepted.  </w:t>
      </w:r>
      <w:r w:rsidR="00F26D15">
        <w:t xml:space="preserve">  First, the </w:t>
      </w:r>
      <w:r w:rsidR="005B0D03">
        <w:t xml:space="preserve">third </w:t>
      </w:r>
      <w:r w:rsidR="00F26D15">
        <w:t>paragraph</w:t>
      </w:r>
      <w:r w:rsidR="008A783F">
        <w:t xml:space="preserve"> </w:t>
      </w:r>
      <w:r w:rsidR="00677BDB">
        <w:t xml:space="preserve">of the Extension </w:t>
      </w:r>
      <w:r w:rsidR="00F26D15">
        <w:t>is concerned with the provision of “Defence Costs”</w:t>
      </w:r>
      <w:r w:rsidR="008A783F">
        <w:t>,</w:t>
      </w:r>
      <w:r w:rsidR="00F26D15">
        <w:t xml:space="preserve"> which are included in the definition of “Loss</w:t>
      </w:r>
      <w:r w:rsidR="008A783F">
        <w:t>”.  It necessarily follows that</w:t>
      </w:r>
      <w:r w:rsidR="00F26D15">
        <w:t xml:space="preserve"> to the extent to which the exclusion of “Known Claims and Circumstances” limits the scope of “Loss” covered under the policy</w:t>
      </w:r>
      <w:r w:rsidR="008A783F">
        <w:t>,</w:t>
      </w:r>
      <w:r w:rsidR="00F26D15">
        <w:t xml:space="preserve"> </w:t>
      </w:r>
      <w:r w:rsidR="00F655E4">
        <w:t xml:space="preserve">the </w:t>
      </w:r>
      <w:r w:rsidR="00F26D15">
        <w:t>limitation applies to the</w:t>
      </w:r>
      <w:r w:rsidR="008A783F">
        <w:t xml:space="preserve"> provision of Defence Costs</w:t>
      </w:r>
      <w:r w:rsidR="00F26D15">
        <w:t xml:space="preserve">. </w:t>
      </w:r>
      <w:r w:rsidR="008A783F">
        <w:t xml:space="preserve"> </w:t>
      </w:r>
      <w:r w:rsidR="00F26D15">
        <w:t>Second</w:t>
      </w:r>
      <w:r w:rsidR="008A783F">
        <w:t>ly</w:t>
      </w:r>
      <w:r w:rsidR="00F26D15">
        <w:t xml:space="preserve">, contrary to Rush’s submissions, the Extension does not exist as separate cover.  It is an extension to </w:t>
      </w:r>
      <w:r w:rsidR="008A783F">
        <w:t>part of the</w:t>
      </w:r>
      <w:r w:rsidR="00F26D15">
        <w:t xml:space="preserve"> insuring clauses, in</w:t>
      </w:r>
      <w:r w:rsidR="005B0D03">
        <w:t xml:space="preserve"> this case, Insuring Clause 1 which </w:t>
      </w:r>
      <w:r w:rsidR="00F26D15">
        <w:t>provides cover in respect of “Loss”, the boundaries of which are defined by, inter alia, the Known Claims and Circumstances exclusion.  Third</w:t>
      </w:r>
      <w:r w:rsidR="008A783F">
        <w:t>ly</w:t>
      </w:r>
      <w:r w:rsidR="00F26D15">
        <w:t xml:space="preserve">, </w:t>
      </w:r>
      <w:r w:rsidR="00244D12">
        <w:t xml:space="preserve">the chapeau to the Exclusions in the policy provides that the Exclusions “apply to all the terms of this Section of the Policy unless otherwise stated”.  It is relevant that some of the Exclusion clauses </w:t>
      </w:r>
      <w:r w:rsidR="008A783F">
        <w:t>expressly</w:t>
      </w:r>
      <w:r w:rsidR="00244D12">
        <w:t xml:space="preserve"> state that they do not apply to </w:t>
      </w:r>
      <w:r w:rsidR="008A783F">
        <w:t>several of the Insuring Clauses, but there</w:t>
      </w:r>
      <w:r w:rsidR="00244D12">
        <w:t xml:space="preserve"> is no statement that the Known Claims and Circumstances exclusion does not apply to the Advancement Extension.  It follows that </w:t>
      </w:r>
      <w:r w:rsidR="0043386C">
        <w:t xml:space="preserve">there is no foundation to </w:t>
      </w:r>
      <w:r w:rsidR="00244D12">
        <w:t xml:space="preserve">Rush’s argument that the absence of any reference to “Loss” in the </w:t>
      </w:r>
      <w:r w:rsidR="005B0D03">
        <w:t xml:space="preserve">third </w:t>
      </w:r>
      <w:r w:rsidR="00244D12">
        <w:t>paragraph of the Extension indicates that the “Known Claims and Circumstances exclusion” does not apply to it</w:t>
      </w:r>
      <w:r w:rsidR="0043386C">
        <w:t>.</w:t>
      </w:r>
    </w:p>
    <w:p w14:paraId="336FCDBA" w14:textId="77777777" w:rsidR="009E79C2" w:rsidRDefault="00260AD6" w:rsidP="00560DBD">
      <w:pPr>
        <w:pStyle w:val="Heading4"/>
      </w:pPr>
      <w:r>
        <w:t>Conclusion on the construction of the Advancement Extension</w:t>
      </w:r>
    </w:p>
    <w:p w14:paraId="63341CD4" w14:textId="77777777" w:rsidR="00260AD6" w:rsidRDefault="008A783F" w:rsidP="008D6D5E">
      <w:pPr>
        <w:pStyle w:val="ParaNumbering"/>
      </w:pPr>
      <w:r>
        <w:t>T</w:t>
      </w:r>
      <w:r w:rsidR="00260AD6">
        <w:t xml:space="preserve">he Applicants’ submissions and Rush’s submissions must be rejected.  There is nothing in the Advancement Extension which expressly or impliedly affects the insurer’s entitlement to rely upon its rights under s 28 consequent upon the </w:t>
      </w:r>
      <w:r>
        <w:t>Applicants’</w:t>
      </w:r>
      <w:r w:rsidR="00260AD6">
        <w:t xml:space="preserve"> failure to comply with </w:t>
      </w:r>
      <w:r>
        <w:t>their</w:t>
      </w:r>
      <w:r w:rsidR="00260AD6">
        <w:t xml:space="preserve"> duty of disclosure.  </w:t>
      </w:r>
    </w:p>
    <w:p w14:paraId="6142DD0F" w14:textId="77777777" w:rsidR="00416883" w:rsidRDefault="00416883" w:rsidP="002C477B">
      <w:pPr>
        <w:pStyle w:val="Heading2"/>
      </w:pPr>
      <w:r>
        <w:t>Fraudulent non-disclosure</w:t>
      </w:r>
    </w:p>
    <w:p w14:paraId="5D2785CE" w14:textId="77777777" w:rsidR="00416883" w:rsidRDefault="008A783F" w:rsidP="006D757D">
      <w:pPr>
        <w:pStyle w:val="ParaNumbering"/>
      </w:pPr>
      <w:r w:rsidRPr="008A783F">
        <w:t xml:space="preserve">The Applicants face a further difficulty. </w:t>
      </w:r>
      <w:r>
        <w:t xml:space="preserve"> </w:t>
      </w:r>
      <w:r w:rsidRPr="008A783F">
        <w:t>The primary ground relied upon by the insurer for its entitlement to avoid the contract is the Applicants’ alleged fraudulent non-disclosure of the Wrongful Conduct or the circumstances underpinning it.</w:t>
      </w:r>
      <w:r>
        <w:t xml:space="preserve">  </w:t>
      </w:r>
      <w:r w:rsidR="00416883">
        <w:t xml:space="preserve">The above </w:t>
      </w:r>
      <w:r w:rsidR="00C940F6">
        <w:t xml:space="preserve">discussion </w:t>
      </w:r>
      <w:r w:rsidR="00416883">
        <w:t xml:space="preserve">does not </w:t>
      </w:r>
      <w:r w:rsidR="00677BDB">
        <w:t>involve</w:t>
      </w:r>
      <w:r w:rsidR="00416883">
        <w:t xml:space="preserve"> any</w:t>
      </w:r>
      <w:r w:rsidR="00560DBD">
        <w:t xml:space="preserve"> separate</w:t>
      </w:r>
      <w:r w:rsidR="00416883">
        <w:t xml:space="preserve"> </w:t>
      </w:r>
      <w:r w:rsidR="00C940F6">
        <w:t xml:space="preserve">consideration of </w:t>
      </w:r>
      <w:r w:rsidR="00D3101D">
        <w:t>that</w:t>
      </w:r>
      <w:r w:rsidR="00C940F6">
        <w:t xml:space="preserve"> entitlement</w:t>
      </w:r>
      <w:r w:rsidR="00D3101D">
        <w:t>.</w:t>
      </w:r>
      <w:r w:rsidR="00C940F6">
        <w:t xml:space="preserve"> </w:t>
      </w:r>
      <w:r w:rsidR="00677BDB">
        <w:t xml:space="preserve">The insurer </w:t>
      </w:r>
      <w:r w:rsidR="00C940F6">
        <w:t xml:space="preserve">submits that, regardless of any construction argument, the </w:t>
      </w:r>
      <w:r w:rsidR="00560DBD">
        <w:t>Applicants</w:t>
      </w:r>
      <w:r w:rsidR="00C940F6">
        <w:t xml:space="preserve"> are not entitled to </w:t>
      </w:r>
      <w:r w:rsidR="00D3101D">
        <w:t>escape</w:t>
      </w:r>
      <w:r w:rsidR="00C940F6">
        <w:t xml:space="preserve"> the consequences of their </w:t>
      </w:r>
      <w:r w:rsidR="00D3101D">
        <w:t>fraudulent conduct, so that</w:t>
      </w:r>
      <w:r w:rsidR="00C940F6">
        <w:t xml:space="preserve">, even if it the terms of the policy </w:t>
      </w:r>
      <w:r w:rsidR="00D3101D">
        <w:t>were to</w:t>
      </w:r>
      <w:r w:rsidR="00C940F6">
        <w:t xml:space="preserve"> be construed as restricting </w:t>
      </w:r>
      <w:r w:rsidR="00D3101D">
        <w:t>its</w:t>
      </w:r>
      <w:r w:rsidR="00C940F6">
        <w:t xml:space="preserve"> right to rely upon a breach of the </w:t>
      </w:r>
      <w:r w:rsidR="00D3101D">
        <w:t>Applicants’</w:t>
      </w:r>
      <w:r w:rsidR="00C940F6">
        <w:t xml:space="preserve"> obligation of disclosure, the law regards fraudulent non-disclosure as “a thing apart”, the consequences of which cannot be </w:t>
      </w:r>
      <w:r w:rsidR="00D3101D">
        <w:t>defeated</w:t>
      </w:r>
      <w:r w:rsidR="00C940F6">
        <w:t>.</w:t>
      </w:r>
    </w:p>
    <w:p w14:paraId="50450541" w14:textId="77777777" w:rsidR="00DD01A9" w:rsidRDefault="00C940F6" w:rsidP="001A3142">
      <w:pPr>
        <w:pStyle w:val="ParaNumbering"/>
      </w:pPr>
      <w:r>
        <w:lastRenderedPageBreak/>
        <w:t>There is much force in th</w:t>
      </w:r>
      <w:r w:rsidR="002B1B45">
        <w:t>is</w:t>
      </w:r>
      <w:r w:rsidR="00560DBD">
        <w:t xml:space="preserve"> and it is supported by the speeches of</w:t>
      </w:r>
      <w:r w:rsidR="00DD01A9">
        <w:t xml:space="preserve"> the House of Lords in </w:t>
      </w:r>
      <w:r w:rsidR="00DD01A9" w:rsidRPr="002A30BE">
        <w:rPr>
          <w:i/>
        </w:rPr>
        <w:t xml:space="preserve">HIH Casualty and General Insurance Ltd v Chase Manhattan Bank </w:t>
      </w:r>
      <w:r w:rsidR="0057388B" w:rsidRPr="002A30BE">
        <w:t>[2003] 2 Lloyd’s Rep 61</w:t>
      </w:r>
      <w:r w:rsidR="0057388B">
        <w:t>.</w:t>
      </w:r>
      <w:r w:rsidR="00E635ED">
        <w:t xml:space="preserve">  That </w:t>
      </w:r>
      <w:r w:rsidR="002B1B45">
        <w:t>case</w:t>
      </w:r>
      <w:r w:rsidR="00E635ED">
        <w:t xml:space="preserve"> concerned the construction and operation of a “truth of statement” clause in a policy.  By that clause the insurer was prepared to enter into the policy in favour of Chase Manhattan Bank in reliance upon a statement by a third party to whom the insured was providing finance.</w:t>
      </w:r>
      <w:r w:rsidR="000300C9">
        <w:t xml:space="preserve">  The clause </w:t>
      </w:r>
      <w:r w:rsidR="00560DBD">
        <w:t>expressly</w:t>
      </w:r>
      <w:r w:rsidR="000300C9">
        <w:t xml:space="preserve"> provided that the insured had “no liability of any nature” to the insurers for any information provided by any other party.  The policy was brokered by the second and third respondents, </w:t>
      </w:r>
      <w:r w:rsidR="00560DBD">
        <w:t>collectively referred to as “</w:t>
      </w:r>
      <w:r w:rsidR="000300C9">
        <w:t>Heaths</w:t>
      </w:r>
      <w:r w:rsidR="00560DBD">
        <w:t>”,</w:t>
      </w:r>
      <w:r w:rsidR="000300C9">
        <w:t xml:space="preserve"> for </w:t>
      </w:r>
      <w:r w:rsidR="00560DBD">
        <w:t>Chase Manhattan</w:t>
      </w:r>
      <w:r w:rsidR="000300C9">
        <w:t>.</w:t>
      </w:r>
      <w:r w:rsidR="00E635ED">
        <w:t xml:space="preserve">  It was accepted that the </w:t>
      </w:r>
      <w:r w:rsidR="000300C9">
        <w:t xml:space="preserve">truth of statement </w:t>
      </w:r>
      <w:r w:rsidR="00E635ED">
        <w:t xml:space="preserve">clause had the effect of precluding </w:t>
      </w:r>
      <w:r w:rsidR="002B1B45">
        <w:t xml:space="preserve">the insurer’s </w:t>
      </w:r>
      <w:r w:rsidR="00E635ED">
        <w:t>avoidance of the policy on the ground of</w:t>
      </w:r>
      <w:r w:rsidR="000300C9">
        <w:t xml:space="preserve"> innocent misrepresentation by the insured or its brokers.  The question before the </w:t>
      </w:r>
      <w:r w:rsidR="005B0D03">
        <w:t>House of Lords</w:t>
      </w:r>
      <w:r w:rsidR="000300C9">
        <w:t xml:space="preserve"> was whether </w:t>
      </w:r>
      <w:r w:rsidR="002B1B45">
        <w:t>it</w:t>
      </w:r>
      <w:r w:rsidR="000300C9">
        <w:t xml:space="preserve"> </w:t>
      </w:r>
      <w:r w:rsidR="00560DBD">
        <w:t xml:space="preserve">also </w:t>
      </w:r>
      <w:r w:rsidR="002B1B45">
        <w:t>denied</w:t>
      </w:r>
      <w:r w:rsidR="000300C9">
        <w:t xml:space="preserve"> the insurer th</w:t>
      </w:r>
      <w:r w:rsidR="002B1B45">
        <w:t>at</w:t>
      </w:r>
      <w:r w:rsidR="000300C9">
        <w:t xml:space="preserve"> right </w:t>
      </w:r>
      <w:r w:rsidR="002B1B45">
        <w:t>on the ground</w:t>
      </w:r>
      <w:r w:rsidR="000300C9">
        <w:t xml:space="preserve"> of negligent or fraudulent misrepresentation by Heaths.  Lord Bingham</w:t>
      </w:r>
      <w:r w:rsidR="002B1B45">
        <w:t xml:space="preserve">, </w:t>
      </w:r>
      <w:r w:rsidR="000300C9">
        <w:t xml:space="preserve">with whom </w:t>
      </w:r>
      <w:r w:rsidR="00D307BD">
        <w:t xml:space="preserve">Lord Steyn and Lord </w:t>
      </w:r>
      <w:proofErr w:type="spellStart"/>
      <w:r w:rsidR="00D307BD">
        <w:t>Hobhouse</w:t>
      </w:r>
      <w:proofErr w:type="spellEnd"/>
      <w:r w:rsidR="00D307BD">
        <w:t xml:space="preserve"> </w:t>
      </w:r>
      <w:r w:rsidR="000300C9">
        <w:t>agreed</w:t>
      </w:r>
      <w:r w:rsidR="002B1B45">
        <w:t>,</w:t>
      </w:r>
      <w:r w:rsidR="000300C9">
        <w:t xml:space="preserve"> was of the opinion that </w:t>
      </w:r>
      <w:r w:rsidR="00560DBD">
        <w:t xml:space="preserve">whilst </w:t>
      </w:r>
      <w:r w:rsidR="000300C9">
        <w:t>the wide words of the truth of statement clause precluded the Bank having any liability for any negligent misrepresentation by its broker</w:t>
      </w:r>
      <w:r w:rsidR="00560DBD">
        <w:t xml:space="preserve">, the </w:t>
      </w:r>
      <w:r w:rsidR="002B1B45">
        <w:t>preclusion</w:t>
      </w:r>
      <w:r w:rsidR="00560DBD">
        <w:t xml:space="preserve"> of </w:t>
      </w:r>
      <w:r w:rsidR="002B1B45">
        <w:t xml:space="preserve">its </w:t>
      </w:r>
      <w:r w:rsidR="00560DBD">
        <w:t xml:space="preserve">liability </w:t>
      </w:r>
      <w:r w:rsidR="002B1B45">
        <w:t>for</w:t>
      </w:r>
      <w:r w:rsidR="000300C9">
        <w:t xml:space="preserve"> fraudulent misrepresentation </w:t>
      </w:r>
      <w:r w:rsidR="002B1B45">
        <w:t>by its broker</w:t>
      </w:r>
      <w:r w:rsidR="00560DBD">
        <w:t xml:space="preserve"> was another matter</w:t>
      </w:r>
      <w:r w:rsidR="000300C9">
        <w:t>.  Read literally, the clause was unqualified and</w:t>
      </w:r>
      <w:r w:rsidR="00560DBD">
        <w:t>, on its face,</w:t>
      </w:r>
      <w:r w:rsidR="000300C9">
        <w:t xml:space="preserve"> would have excluded the usual consequence</w:t>
      </w:r>
      <w:r w:rsidR="00560DBD">
        <w:t>s</w:t>
      </w:r>
      <w:r w:rsidR="000300C9">
        <w:t xml:space="preserve"> of fraudulent misrepresentation.</w:t>
      </w:r>
      <w:r w:rsidR="00560DBD">
        <w:t xml:space="preserve">  However, even those clear words could not negate the consequences of fraudulent conduct.  As</w:t>
      </w:r>
      <w:r w:rsidR="000300C9">
        <w:t xml:space="preserve"> Lord Bingham said</w:t>
      </w:r>
      <w:r w:rsidR="00A9758B">
        <w:t xml:space="preserve"> (at [15] – [16])</w:t>
      </w:r>
      <w:r w:rsidR="000300C9">
        <w:t>:</w:t>
      </w:r>
    </w:p>
    <w:p w14:paraId="02E76B27" w14:textId="77777777" w:rsidR="00A9758B" w:rsidRPr="00A9758B" w:rsidRDefault="00A9758B" w:rsidP="005B0D03">
      <w:pPr>
        <w:pStyle w:val="Quote1"/>
      </w:pPr>
      <w:r w:rsidRPr="00A9758B">
        <w:t>15.</w:t>
      </w:r>
      <w:r w:rsidRPr="00A9758B">
        <w:tab/>
        <w:t xml:space="preserve">… For, as Rix LJ observed more than once in his judgment (paragraphs 160, 169), fraud is a thing apart. This is not a mere slogan. It reflects an old legal rule that fraud unravels all: </w:t>
      </w:r>
      <w:proofErr w:type="spellStart"/>
      <w:r w:rsidRPr="00A9758B">
        <w:rPr>
          <w:i/>
        </w:rPr>
        <w:t>fraus</w:t>
      </w:r>
      <w:proofErr w:type="spellEnd"/>
      <w:r w:rsidRPr="00A9758B">
        <w:rPr>
          <w:i/>
        </w:rPr>
        <w:t xml:space="preserve"> </w:t>
      </w:r>
      <w:proofErr w:type="spellStart"/>
      <w:r w:rsidRPr="00A9758B">
        <w:rPr>
          <w:i/>
        </w:rPr>
        <w:t>omnia</w:t>
      </w:r>
      <w:proofErr w:type="spellEnd"/>
      <w:r w:rsidRPr="00A9758B">
        <w:rPr>
          <w:i/>
        </w:rPr>
        <w:t xml:space="preserve"> </w:t>
      </w:r>
      <w:proofErr w:type="spellStart"/>
      <w:r w:rsidRPr="00A9758B">
        <w:rPr>
          <w:i/>
        </w:rPr>
        <w:t>corrumpit</w:t>
      </w:r>
      <w:proofErr w:type="spellEnd"/>
      <w:r w:rsidRPr="00A9758B">
        <w:t xml:space="preserve">. It also reflects the practical basis of commercial intercourse. Once fraud is proved, </w:t>
      </w:r>
      <w:r>
        <w:t>“</w:t>
      </w:r>
      <w:r w:rsidRPr="00A9758B">
        <w:t xml:space="preserve">it vitiates judgments, contracts </w:t>
      </w:r>
      <w:r>
        <w:t>and all transactions whatsoever”</w:t>
      </w:r>
      <w:r w:rsidRPr="00A9758B">
        <w:t xml:space="preserve">: </w:t>
      </w:r>
      <w:r w:rsidRPr="00A9758B">
        <w:rPr>
          <w:i/>
        </w:rPr>
        <w:t>Lazarus Estates Ltd v Beasley</w:t>
      </w:r>
      <w:r w:rsidRPr="00A9758B">
        <w:t xml:space="preserve"> [1956] 1 QB 702 at 712, </w:t>
      </w:r>
      <w:r w:rsidRPr="00A9758B">
        <w:rPr>
          <w:i/>
        </w:rPr>
        <w:t>per</w:t>
      </w:r>
      <w:r w:rsidRPr="00A9758B">
        <w:t xml:space="preserve"> Denning LJ. Parties entering into a commercial contract will no doubt recognise and accept the risk of errors and omissions in the preceding negotiations, even negligent errors and omissions. But each party will assume the honesty and good faith of the other; absent such an assumption they would not deal. What is true of the principal is true of the agent, not least in a situation where, as here, the agent, if not the sire of the transaction, plays the role of a very active midwife. As </w:t>
      </w:r>
      <w:proofErr w:type="spellStart"/>
      <w:r w:rsidRPr="00A9758B">
        <w:t>Bramwell</w:t>
      </w:r>
      <w:proofErr w:type="spellEnd"/>
      <w:r w:rsidRPr="00A9758B">
        <w:t xml:space="preserve"> LJ observed in </w:t>
      </w:r>
      <w:r w:rsidRPr="00A9758B">
        <w:rPr>
          <w:i/>
        </w:rPr>
        <w:t>Weir v Bell</w:t>
      </w:r>
      <w:r w:rsidRPr="00A9758B">
        <w:t xml:space="preserve"> (1878) 3 </w:t>
      </w:r>
      <w:proofErr w:type="spellStart"/>
      <w:r w:rsidRPr="00A9758B">
        <w:t>Exch</w:t>
      </w:r>
      <w:proofErr w:type="spellEnd"/>
      <w:r w:rsidRPr="00A9758B">
        <w:t xml:space="preserve"> D 238 at 245,</w:t>
      </w:r>
    </w:p>
    <w:p w14:paraId="03067729" w14:textId="77777777" w:rsidR="000300C9" w:rsidRPr="00A9758B" w:rsidRDefault="00A9758B" w:rsidP="005B0D03">
      <w:pPr>
        <w:pStyle w:val="Quote2"/>
      </w:pPr>
      <w:r>
        <w:t>‘</w:t>
      </w:r>
      <w:r w:rsidRPr="00A9758B">
        <w:t>I think that every person who authorizes another to act for him in the making of any contract, undertakes for the absence of fraud in that person in the execution of the authority given, as much as he undertakes for its absence in him</w:t>
      </w:r>
      <w:r>
        <w:t>self when he makes the contract’</w:t>
      </w:r>
      <w:r w:rsidRPr="00A9758B">
        <w:t>.</w:t>
      </w:r>
    </w:p>
    <w:p w14:paraId="2A161805" w14:textId="77777777" w:rsidR="00BA3AA9" w:rsidRPr="00D63AF2" w:rsidRDefault="00BA3AA9" w:rsidP="009E47D6">
      <w:pPr>
        <w:pStyle w:val="NoNum"/>
      </w:pPr>
      <w:r w:rsidRPr="00D63AF2">
        <w:t>Of particular relevance to the present case is the observation of his Lordship that:</w:t>
      </w:r>
    </w:p>
    <w:p w14:paraId="2CA4442A" w14:textId="77777777" w:rsidR="00BA3AA9" w:rsidRPr="00BA3AA9" w:rsidRDefault="00BA3AA9" w:rsidP="005B0D03">
      <w:pPr>
        <w:pStyle w:val="Quote1"/>
      </w:pPr>
      <w:r w:rsidRPr="00BA3AA9">
        <w:t>16.</w:t>
      </w:r>
      <w:r w:rsidRPr="00BA3AA9">
        <w:tab/>
        <w:t xml:space="preserve">It is clear that the law, on public policy grounds, does not permit a contracting party to exclude liability for his own fraud in inducing the making of the contract. </w:t>
      </w:r>
    </w:p>
    <w:p w14:paraId="34D7D4FA" w14:textId="77777777" w:rsidR="00BA3AA9" w:rsidRPr="00D63AF2" w:rsidRDefault="00A9758B" w:rsidP="009E47D6">
      <w:pPr>
        <w:pStyle w:val="NoNum"/>
      </w:pPr>
      <w:r w:rsidRPr="00D63AF2">
        <w:lastRenderedPageBreak/>
        <w:t xml:space="preserve">After determining that the Court did not have to decide whether, as a matter of public policy, parties might exclude liability </w:t>
      </w:r>
      <w:r w:rsidR="00BA3AA9" w:rsidRPr="00D63AF2">
        <w:t>for the fraud of their agents</w:t>
      </w:r>
      <w:r w:rsidR="00FA7E3C" w:rsidRPr="00D63AF2">
        <w:t>,</w:t>
      </w:r>
      <w:r w:rsidR="00BA3AA9" w:rsidRPr="00D63AF2">
        <w:t xml:space="preserve"> his Lordship (at </w:t>
      </w:r>
      <w:r w:rsidR="00830E2B" w:rsidRPr="00D63AF2">
        <w:t>[</w:t>
      </w:r>
      <w:r w:rsidR="00BA3AA9" w:rsidRPr="00D63AF2">
        <w:t>1</w:t>
      </w:r>
      <w:r w:rsidR="00830E2B" w:rsidRPr="00D63AF2">
        <w:t>6</w:t>
      </w:r>
      <w:r w:rsidR="00BA3AA9" w:rsidRPr="00D63AF2">
        <w:t>]) continued:</w:t>
      </w:r>
    </w:p>
    <w:p w14:paraId="57124CDE" w14:textId="77777777" w:rsidR="00BA3AA9" w:rsidRPr="00BA3AA9" w:rsidRDefault="00BA3AA9" w:rsidP="005B0D03">
      <w:pPr>
        <w:pStyle w:val="Quote1"/>
      </w:pPr>
      <w:r w:rsidRPr="00BA3AA9">
        <w:t>For it is in my opinion plain beyond argument that if a party to a written contract seeks to exclude the ordinary consequences of fraudulent or dishonest misrepresentation or deceit by his agent, acting as such, inducing the making of the contract, such intention must be expressed in clear and unmistakable terms on the face of the contract</w:t>
      </w:r>
      <w:proofErr w:type="gramStart"/>
      <w:r w:rsidRPr="00BA3AA9">
        <w:t xml:space="preserve">. </w:t>
      </w:r>
      <w:proofErr w:type="gramEnd"/>
      <w:r w:rsidRPr="00BA3AA9">
        <w:t xml:space="preserve">The decision of the House in </w:t>
      </w:r>
      <w:r w:rsidRPr="00BA3AA9">
        <w:rPr>
          <w:i/>
        </w:rPr>
        <w:t>Pearson v Dublin Corporation</w:t>
      </w:r>
      <w:r w:rsidRPr="00BA3AA9">
        <w:t xml:space="preserve"> does at least make plain that general language will not be construed to relieve a principal of liability for the fraud of an agent: see in particular the speeches of Lord </w:t>
      </w:r>
      <w:proofErr w:type="spellStart"/>
      <w:r w:rsidRPr="00BA3AA9">
        <w:t>Loreburn</w:t>
      </w:r>
      <w:proofErr w:type="spellEnd"/>
      <w:r w:rsidRPr="00BA3AA9">
        <w:t xml:space="preserve"> LC at page 354, Lord Ashbourne at page 360 and Lord Atkinson at page 365. General words, however comprehensive the legal analyst might find them to be, will not serve: the language used must be such as will alert a commercial party to the extraordinary bargain he is invited to make.</w:t>
      </w:r>
    </w:p>
    <w:p w14:paraId="741BB683" w14:textId="77777777" w:rsidR="00416883" w:rsidRDefault="00EA1995" w:rsidP="000E3149">
      <w:pPr>
        <w:pStyle w:val="ParaNumbering"/>
      </w:pPr>
      <w:r>
        <w:t>Lord Hoffmann was of a similar view.  At paragraph 68 his Lordship said</w:t>
      </w:r>
      <w:r w:rsidR="009922EE">
        <w:t>:</w:t>
      </w:r>
    </w:p>
    <w:p w14:paraId="6635C5EF" w14:textId="77777777" w:rsidR="00EA1995" w:rsidRPr="00EA1995" w:rsidRDefault="00EA1995" w:rsidP="005B0D03">
      <w:pPr>
        <w:pStyle w:val="Quote1"/>
        <w:rPr>
          <w:szCs w:val="22"/>
        </w:rPr>
      </w:pPr>
      <w:r w:rsidRPr="005B0D03">
        <w:t xml:space="preserve">The next question is whether the words relieve Chase from liability to avoidance of the contract or damages in cases in which the misrepresentation by its agent has been fraudulent or avoidance in cases in which the non-disclosure has been dishonest. Here again I agree with Rix LJ that fraud is quite different from negligence: ‘Parties contract with one another in the expectation of honest dealing’, particularly in an insurance context. I think that in the absence of words which expressly refer to dishonesty, it goes without saying that underlying the contractual arrangements of the parties there will be a common assumption that the persons involved will behave honestly. As Lord </w:t>
      </w:r>
      <w:proofErr w:type="spellStart"/>
      <w:r w:rsidRPr="005B0D03">
        <w:t>Loreburn</w:t>
      </w:r>
      <w:proofErr w:type="spellEnd"/>
      <w:r w:rsidRPr="005B0D03">
        <w:t xml:space="preserve"> LC said of the exempting clauses in </w:t>
      </w:r>
      <w:r w:rsidRPr="005B0D03">
        <w:rPr>
          <w:i/>
        </w:rPr>
        <w:t xml:space="preserve">S Pearson &amp; Son Ltd v Dublin </w:t>
      </w:r>
      <w:proofErr w:type="spellStart"/>
      <w:r w:rsidRPr="005B0D03">
        <w:rPr>
          <w:i/>
        </w:rPr>
        <w:t>Corpn</w:t>
      </w:r>
      <w:proofErr w:type="spellEnd"/>
      <w:r w:rsidRPr="005B0D03">
        <w:t xml:space="preserve"> [1907] AC 351, 354, ‘They contemplate honesty on both sides and protect only against honest mistakes.</w:t>
      </w:r>
      <w:r w:rsidR="00830E2B">
        <w:rPr>
          <w:szCs w:val="22"/>
        </w:rPr>
        <w:t>’</w:t>
      </w:r>
    </w:p>
    <w:p w14:paraId="37F755E4" w14:textId="77777777" w:rsidR="002C477B" w:rsidRPr="002C477B" w:rsidRDefault="00EA1995" w:rsidP="006D757D">
      <w:pPr>
        <w:pStyle w:val="ParaNumbering"/>
      </w:pPr>
      <w:r w:rsidRPr="002C477B">
        <w:t xml:space="preserve">The two principles which emerge from the above case are, first, public policy prevents contracting parties excluding liability for </w:t>
      </w:r>
      <w:r w:rsidR="005B0D03" w:rsidRPr="002C477B">
        <w:t xml:space="preserve">their own </w:t>
      </w:r>
      <w:r w:rsidRPr="002C477B">
        <w:t>fraud, and, second</w:t>
      </w:r>
      <w:r w:rsidR="002B1B45" w:rsidRPr="002C477B">
        <w:t>ly</w:t>
      </w:r>
      <w:r w:rsidRPr="002C477B">
        <w:t>,</w:t>
      </w:r>
      <w:r w:rsidR="00F72EC9" w:rsidRPr="002C477B">
        <w:t xml:space="preserve"> </w:t>
      </w:r>
      <w:r w:rsidRPr="002C477B">
        <w:t xml:space="preserve">clear and unmistakable language is required in order to exclude a principal’s liability for the fraud of </w:t>
      </w:r>
      <w:r w:rsidR="002B1B45" w:rsidRPr="002C477B">
        <w:t>its</w:t>
      </w:r>
      <w:r w:rsidRPr="002C477B">
        <w:t xml:space="preserve"> agent.  </w:t>
      </w:r>
      <w:r w:rsidR="002B1B45" w:rsidRPr="002C477B">
        <w:t>Th</w:t>
      </w:r>
      <w:r w:rsidR="002C477B" w:rsidRPr="002C477B">
        <w:t xml:space="preserve">e first </w:t>
      </w:r>
      <w:r w:rsidRPr="002C477B">
        <w:t>is determinative of this matter</w:t>
      </w:r>
      <w:r w:rsidR="004F5EFF" w:rsidRPr="002C477B">
        <w:t xml:space="preserve"> insofar as the insurer claims an entitlement to avoid the policy </w:t>
      </w:r>
      <w:r w:rsidR="00F72EC9" w:rsidRPr="002C477B">
        <w:t xml:space="preserve">in respect of those who engaged in the </w:t>
      </w:r>
      <w:r w:rsidR="004F5EFF" w:rsidRPr="002C477B">
        <w:t>fraudulent non-disclosure</w:t>
      </w:r>
      <w:r w:rsidRPr="002C477B">
        <w:t xml:space="preserve">.  </w:t>
      </w:r>
      <w:r w:rsidR="0070560A" w:rsidRPr="002C477B">
        <w:t>The construction advanced by the Applicants</w:t>
      </w:r>
      <w:r w:rsidR="00F72EC9" w:rsidRPr="002C477B">
        <w:t xml:space="preserve"> </w:t>
      </w:r>
      <w:r w:rsidR="0070560A" w:rsidRPr="002C477B">
        <w:t>would</w:t>
      </w:r>
      <w:r w:rsidR="002C477B">
        <w:t xml:space="preserve"> mean</w:t>
      </w:r>
      <w:r w:rsidR="0070560A" w:rsidRPr="002C477B">
        <w:t xml:space="preserve"> that they would be relieved of the consequences of</w:t>
      </w:r>
      <w:r w:rsidR="000C3734" w:rsidRPr="002C477B">
        <w:t xml:space="preserve"> their</w:t>
      </w:r>
      <w:r w:rsidR="00932898" w:rsidRPr="002C477B">
        <w:t xml:space="preserve"> </w:t>
      </w:r>
      <w:r w:rsidR="0070560A" w:rsidRPr="002C477B">
        <w:t xml:space="preserve">own fraudulent non-disclosure even if the insurer can prove it, albeit on a temporary basis during their receipt of the advanced costs. </w:t>
      </w:r>
      <w:r w:rsidR="005B0D03" w:rsidRPr="002C477B">
        <w:t xml:space="preserve">The </w:t>
      </w:r>
      <w:r w:rsidR="0070560A" w:rsidRPr="002C477B">
        <w:t xml:space="preserve">public policy referred to by Lord Bingham, </w:t>
      </w:r>
      <w:r w:rsidR="005B0D03" w:rsidRPr="002C477B">
        <w:t xml:space="preserve">means that </w:t>
      </w:r>
      <w:r w:rsidR="0070560A" w:rsidRPr="002C477B">
        <w:t xml:space="preserve">such a construction cannot be accepted.  </w:t>
      </w:r>
    </w:p>
    <w:p w14:paraId="26A6CD2B" w14:textId="4B5BC307" w:rsidR="00F72EC9" w:rsidRPr="002C477B" w:rsidRDefault="00F72EC9" w:rsidP="006D757D">
      <w:pPr>
        <w:pStyle w:val="ParaNumbering"/>
      </w:pPr>
      <w:r w:rsidRPr="002C477B">
        <w:t xml:space="preserve">Where the relevant insured was not engaged in the fraudulent non-disclosure and the policy was entered into on its behalf by an agent who did engage in </w:t>
      </w:r>
      <w:r w:rsidR="002C477B">
        <w:t>it</w:t>
      </w:r>
      <w:r w:rsidRPr="002C477B">
        <w:t xml:space="preserve">, the same result </w:t>
      </w:r>
      <w:r w:rsidR="002C477B" w:rsidRPr="002C477B">
        <w:t>follows in this case.  Here, there are</w:t>
      </w:r>
      <w:r w:rsidRPr="002C477B">
        <w:t xml:space="preserve"> no clear or unmistakeable words used in the policy which might eschew the consequence of the agent’s fraud.  There are no words which might alert the insurer that it was entering into an extraordinary bargain, being one it would be required to perform despite being fraudulently induced to enter into it.  No excu</w:t>
      </w:r>
      <w:r w:rsidR="002C477B" w:rsidRPr="002C477B">
        <w:t>lpatory words expressly referring</w:t>
      </w:r>
      <w:r w:rsidRPr="002C477B">
        <w:t xml:space="preserve"> to </w:t>
      </w:r>
      <w:r w:rsidRPr="002C477B">
        <w:lastRenderedPageBreak/>
        <w:t xml:space="preserve">“dishonesty” or “fraud” by the agent are used.  At </w:t>
      </w:r>
      <w:r w:rsidR="002C477B">
        <w:t>its highest</w:t>
      </w:r>
      <w:r w:rsidRPr="002C477B">
        <w:t xml:space="preserve"> the argument is that there exists an implied undertaking by the insurer to abstain from relying on the fraudulent conduct of the </w:t>
      </w:r>
      <w:r w:rsidR="002C477B">
        <w:t>insured</w:t>
      </w:r>
      <w:r w:rsidR="00BB3CE3">
        <w:t>’</w:t>
      </w:r>
      <w:r w:rsidR="002C477B">
        <w:t xml:space="preserve">s </w:t>
      </w:r>
      <w:r w:rsidRPr="002C477B">
        <w:t xml:space="preserve">agent </w:t>
      </w:r>
      <w:r w:rsidR="002C477B">
        <w:t xml:space="preserve">who </w:t>
      </w:r>
      <w:r w:rsidRPr="002C477B">
        <w:t xml:space="preserve">brought the policy into effect on </w:t>
      </w:r>
      <w:r w:rsidR="002C477B">
        <w:t xml:space="preserve">their </w:t>
      </w:r>
      <w:r w:rsidRPr="002C477B">
        <w:t>behalf.</w:t>
      </w:r>
      <w:r w:rsidR="002C477B" w:rsidRPr="002C477B">
        <w:t xml:space="preserve">  That is simply insufficient to displace the common assumption that the parties to the agreement behaved honestly when entering into it.</w:t>
      </w:r>
      <w:r w:rsidR="002C477B">
        <w:t xml:space="preserve">  </w:t>
      </w:r>
    </w:p>
    <w:p w14:paraId="6819AD15" w14:textId="1A55C49D" w:rsidR="00EA1995" w:rsidRPr="00E52FED" w:rsidRDefault="0070560A" w:rsidP="006D757D">
      <w:pPr>
        <w:pStyle w:val="ParaNumbering"/>
      </w:pPr>
      <w:r>
        <w:t xml:space="preserve">That the </w:t>
      </w:r>
      <w:r w:rsidR="005B0D03">
        <w:t xml:space="preserve">Applicants’ </w:t>
      </w:r>
      <w:r>
        <w:t xml:space="preserve">construction does not excuse the consequences of the fraud, but merely defers them is not an answer. </w:t>
      </w:r>
      <w:r w:rsidR="00932898">
        <w:t xml:space="preserve"> </w:t>
      </w:r>
      <w:r w:rsidR="009922EE">
        <w:t xml:space="preserve">Even to </w:t>
      </w:r>
      <w:r>
        <w:t xml:space="preserve">require </w:t>
      </w:r>
      <w:r w:rsidR="009922EE">
        <w:t>the insure</w:t>
      </w:r>
      <w:r w:rsidR="004F5EFF">
        <w:t>r</w:t>
      </w:r>
      <w:r w:rsidR="009922EE">
        <w:t xml:space="preserve"> to defer acting upon </w:t>
      </w:r>
      <w:r>
        <w:t>its claim of</w:t>
      </w:r>
      <w:r w:rsidR="009922EE">
        <w:t xml:space="preserve"> fraudulent non-disclosure whilst the question of whether the </w:t>
      </w:r>
      <w:r>
        <w:t>Applicants</w:t>
      </w:r>
      <w:r w:rsidR="009922EE">
        <w:t xml:space="preserve"> committed Wrongful Conduct is adjudicated </w:t>
      </w:r>
      <w:r>
        <w:t>could</w:t>
      </w:r>
      <w:r w:rsidR="009922EE">
        <w:t xml:space="preserve"> give the </w:t>
      </w:r>
      <w:r>
        <w:t>Applicants</w:t>
      </w:r>
      <w:r w:rsidR="009922EE">
        <w:t xml:space="preserve"> the benefit of </w:t>
      </w:r>
      <w:r>
        <w:t>their</w:t>
      </w:r>
      <w:r w:rsidR="009922EE">
        <w:t xml:space="preserve"> own fraud. </w:t>
      </w:r>
      <w:r w:rsidR="004F5EFF">
        <w:t xml:space="preserve"> To accept such a proposition would be to undermine the common law’s historical abhorrence of </w:t>
      </w:r>
      <w:r w:rsidR="00FA7E3C">
        <w:t>such conduct</w:t>
      </w:r>
      <w:r w:rsidR="004F5EFF">
        <w:t xml:space="preserve">. </w:t>
      </w:r>
      <w:r w:rsidR="009922EE">
        <w:t xml:space="preserve"> The diminution of standards of </w:t>
      </w:r>
      <w:r w:rsidR="009922EE" w:rsidRPr="00E52FED">
        <w:t xml:space="preserve">commercial morality in society is not a reason to lower </w:t>
      </w:r>
      <w:r w:rsidR="00F72EC9" w:rsidRPr="00E52FED">
        <w:t xml:space="preserve">the </w:t>
      </w:r>
      <w:r w:rsidR="009922EE" w:rsidRPr="00E52FED">
        <w:t xml:space="preserve">normative </w:t>
      </w:r>
      <w:r w:rsidR="004F5EFF" w:rsidRPr="00E52FED">
        <w:t>standards</w:t>
      </w:r>
      <w:r w:rsidR="009922EE" w:rsidRPr="00E52FED">
        <w:t xml:space="preserve"> of behaviour</w:t>
      </w:r>
      <w:r w:rsidRPr="00E52FED">
        <w:t xml:space="preserve"> upon which the law </w:t>
      </w:r>
      <w:r w:rsidR="00F72EC9" w:rsidRPr="00E52FED">
        <w:t>is constructed</w:t>
      </w:r>
      <w:r w:rsidR="009922EE" w:rsidRPr="00E52FED">
        <w:t xml:space="preserve">.  On the contrary, it is a reason to maintain them.  </w:t>
      </w:r>
      <w:r w:rsidR="002C40B9" w:rsidRPr="00E52FED">
        <w:t xml:space="preserve">Courts </w:t>
      </w:r>
      <w:r w:rsidRPr="00E52FED">
        <w:t xml:space="preserve">should never </w:t>
      </w:r>
      <w:r w:rsidR="005B0D03" w:rsidRPr="00E52FED">
        <w:t xml:space="preserve">be prepared to </w:t>
      </w:r>
      <w:r w:rsidRPr="00E52FED">
        <w:t>accord to a party</w:t>
      </w:r>
      <w:r w:rsidR="002C40B9" w:rsidRPr="00E52FED">
        <w:t xml:space="preserve"> an</w:t>
      </w:r>
      <w:r w:rsidR="005B0D03" w:rsidRPr="00E52FED">
        <w:t>y</w:t>
      </w:r>
      <w:r w:rsidR="002C40B9" w:rsidRPr="00E52FED">
        <w:t xml:space="preserve"> advantage which arises by reason of </w:t>
      </w:r>
      <w:r w:rsidRPr="00E52FED">
        <w:t>its</w:t>
      </w:r>
      <w:r w:rsidR="002C40B9" w:rsidRPr="00E52FED">
        <w:t xml:space="preserve"> own dishonest conduct. </w:t>
      </w:r>
    </w:p>
    <w:p w14:paraId="3C11DCE4" w14:textId="132120C2" w:rsidR="004F5EFF" w:rsidRDefault="0070560A" w:rsidP="0070560A">
      <w:pPr>
        <w:pStyle w:val="ParaNumbering"/>
      </w:pPr>
      <w:r w:rsidRPr="0070560A">
        <w:t>It follows that even if the Applicants’ construction had been correct, its effect must be rejected as a matter of public policy</w:t>
      </w:r>
      <w:r w:rsidR="007D4649">
        <w:t xml:space="preserve"> as to the case of fraudulent non-disclosure</w:t>
      </w:r>
      <w:r w:rsidRPr="0070560A">
        <w:t xml:space="preserve">. But in any case </w:t>
      </w:r>
      <w:r>
        <w:t>t</w:t>
      </w:r>
      <w:r w:rsidR="004F5EFF">
        <w:t>here is nothing in the terms of the Advancement Extension which inhibits the insurer’s entitlement to rely upon alleged fraudulent non-disclosure to avoid the policy under s 28 of the ICA.</w:t>
      </w:r>
    </w:p>
    <w:p w14:paraId="1453DDA3" w14:textId="77777777" w:rsidR="00F72EC9" w:rsidRDefault="00F72EC9" w:rsidP="00F72EC9">
      <w:pPr>
        <w:pStyle w:val="Heading2"/>
      </w:pPr>
      <w:r>
        <w:t>Other matters</w:t>
      </w:r>
    </w:p>
    <w:p w14:paraId="706A82A4" w14:textId="77777777" w:rsidR="007C0471" w:rsidRDefault="007C0471" w:rsidP="007C0471">
      <w:pPr>
        <w:pStyle w:val="Heading3"/>
      </w:pPr>
      <w:r>
        <w:t>Waiver</w:t>
      </w:r>
    </w:p>
    <w:p w14:paraId="4122B1E8" w14:textId="77777777" w:rsidR="007C0471" w:rsidRDefault="007C0471" w:rsidP="000E3149">
      <w:pPr>
        <w:pStyle w:val="ParaNumbering"/>
      </w:pPr>
      <w:r>
        <w:t xml:space="preserve">The </w:t>
      </w:r>
      <w:r w:rsidR="00FA7E3C">
        <w:t>Applicants</w:t>
      </w:r>
      <w:r>
        <w:t xml:space="preserve"> </w:t>
      </w:r>
      <w:r w:rsidR="0070560A">
        <w:t>further submitted</w:t>
      </w:r>
      <w:r>
        <w:t xml:space="preserve"> that by entering into the contract of insurance containing the Advancement Extension the insurer waived its right to rely upon its statutory entitlements to avoid </w:t>
      </w:r>
      <w:r w:rsidR="0070560A">
        <w:t>it</w:t>
      </w:r>
      <w:r>
        <w:t xml:space="preserve"> or to reduce its liability</w:t>
      </w:r>
      <w:r w:rsidR="0070560A">
        <w:t xml:space="preserve"> under it</w:t>
      </w:r>
      <w:r>
        <w:t xml:space="preserve"> to nil.  As Mr Donaldson SC for the insurer </w:t>
      </w:r>
      <w:r w:rsidR="00932898">
        <w:t xml:space="preserve">correctly </w:t>
      </w:r>
      <w:r>
        <w:t xml:space="preserve">submitted, </w:t>
      </w:r>
      <w:r w:rsidR="0070560A">
        <w:t>that</w:t>
      </w:r>
      <w:r>
        <w:t xml:space="preserve"> argument is dependent upon the Court</w:t>
      </w:r>
      <w:r w:rsidR="0070560A">
        <w:t>’s acceptance of their</w:t>
      </w:r>
      <w:r>
        <w:t xml:space="preserve"> construction </w:t>
      </w:r>
      <w:r w:rsidR="0070560A">
        <w:t>argument</w:t>
      </w:r>
      <w:r>
        <w:t xml:space="preserve">. </w:t>
      </w:r>
      <w:r w:rsidR="00932898">
        <w:t xml:space="preserve"> </w:t>
      </w:r>
      <w:r w:rsidR="00ED343B">
        <w:t xml:space="preserve">The waiver argument is not independent of </w:t>
      </w:r>
      <w:r w:rsidR="0070560A">
        <w:t>it.  I</w:t>
      </w:r>
      <w:r w:rsidR="00ED343B">
        <w:t>t</w:t>
      </w:r>
      <w:r>
        <w:t xml:space="preserve"> is only if the Extension operate</w:t>
      </w:r>
      <w:r w:rsidR="00FA7E3C">
        <w:t>d</w:t>
      </w:r>
      <w:r>
        <w:t xml:space="preserve"> to </w:t>
      </w:r>
      <w:r w:rsidR="0070560A">
        <w:t>advance</w:t>
      </w:r>
      <w:r>
        <w:t xml:space="preserve"> Defence Costs in respect of claims which were not disclosed to the insurer that </w:t>
      </w:r>
      <w:r w:rsidR="00CB51A5">
        <w:t>it could be</w:t>
      </w:r>
      <w:r>
        <w:t xml:space="preserve"> said to have waived its entitlement</w:t>
      </w:r>
      <w:r w:rsidR="00CB51A5">
        <w:t>s</w:t>
      </w:r>
      <w:r>
        <w:t xml:space="preserve"> under s 28.  As the </w:t>
      </w:r>
      <w:r w:rsidR="00CB51A5">
        <w:t>Applicants</w:t>
      </w:r>
      <w:r>
        <w:t xml:space="preserve"> failed to establish </w:t>
      </w:r>
      <w:r w:rsidR="00ED343B">
        <w:t xml:space="preserve">that construction, </w:t>
      </w:r>
      <w:r w:rsidR="00CB51A5">
        <w:t>they</w:t>
      </w:r>
      <w:r w:rsidR="00ED343B">
        <w:t xml:space="preserve"> cannot succeed on this ground and there is no need to consider it further.</w:t>
      </w:r>
    </w:p>
    <w:p w14:paraId="6B0FF383" w14:textId="77777777" w:rsidR="00ED343B" w:rsidRDefault="00ED343B" w:rsidP="00ED343B">
      <w:pPr>
        <w:pStyle w:val="Heading3"/>
      </w:pPr>
      <w:r>
        <w:lastRenderedPageBreak/>
        <w:t>The duty of utmost good faith</w:t>
      </w:r>
    </w:p>
    <w:p w14:paraId="5DFDC773" w14:textId="77777777" w:rsidR="00940362" w:rsidRDefault="000C3734" w:rsidP="00A21024">
      <w:pPr>
        <w:pStyle w:val="ParaNumbering"/>
      </w:pPr>
      <w:r>
        <w:t>The A</w:t>
      </w:r>
      <w:r w:rsidR="00ED343B">
        <w:t xml:space="preserve">pplicants also </w:t>
      </w:r>
      <w:r w:rsidR="00CB51A5">
        <w:t>argued</w:t>
      </w:r>
      <w:r w:rsidR="00ED343B">
        <w:t xml:space="preserve"> that the insurer was bound by </w:t>
      </w:r>
      <w:r w:rsidR="00CB51A5">
        <w:t>its</w:t>
      </w:r>
      <w:r w:rsidR="00ED343B">
        <w:t xml:space="preserve"> duty of utmost good faith to act with due regard to the</w:t>
      </w:r>
      <w:r w:rsidR="00CB51A5">
        <w:t>ir</w:t>
      </w:r>
      <w:r w:rsidR="00ED343B">
        <w:t xml:space="preserve"> interests </w:t>
      </w:r>
      <w:r w:rsidR="00CB51A5">
        <w:t xml:space="preserve">as its insured </w:t>
      </w:r>
      <w:r w:rsidR="00ED343B">
        <w:t xml:space="preserve">and to act consistently with commercial standards of decency and fairness: </w:t>
      </w:r>
      <w:r w:rsidR="00ED343B" w:rsidRPr="002A30BE">
        <w:rPr>
          <w:i/>
        </w:rPr>
        <w:t>CGU Insurance Ltd v AMP Financial Planning Pty Ltd</w:t>
      </w:r>
      <w:r w:rsidR="00ED343B" w:rsidRPr="002A30BE">
        <w:t xml:space="preserve"> (2007) 235 CLR 1</w:t>
      </w:r>
      <w:r w:rsidR="00940362">
        <w:t xml:space="preserve">.  The foundation of this </w:t>
      </w:r>
      <w:r w:rsidR="005B0D03">
        <w:t xml:space="preserve">argument </w:t>
      </w:r>
      <w:r w:rsidR="00940362">
        <w:t>is also the accept</w:t>
      </w:r>
      <w:r w:rsidR="00CB51A5">
        <w:t>ance of their construction and</w:t>
      </w:r>
      <w:r w:rsidR="00940362">
        <w:t xml:space="preserve"> on that basis, it is said</w:t>
      </w:r>
      <w:r w:rsidR="00CB51A5">
        <w:t>,</w:t>
      </w:r>
      <w:r w:rsidR="00940362">
        <w:t xml:space="preserve"> the insurer must act in accordance with its unequivocal indication that it would support the</w:t>
      </w:r>
      <w:r w:rsidR="00CB51A5">
        <w:t>m</w:t>
      </w:r>
      <w:r w:rsidR="00940362">
        <w:t xml:space="preserve"> by providing Defence Costs regardless of </w:t>
      </w:r>
      <w:r w:rsidR="00CB51A5">
        <w:t>their</w:t>
      </w:r>
      <w:r w:rsidR="00940362">
        <w:t xml:space="preserve"> non-disclosure.  </w:t>
      </w:r>
      <w:r w:rsidR="00CB51A5">
        <w:t xml:space="preserve">This argument must necessarily </w:t>
      </w:r>
      <w:r>
        <w:t xml:space="preserve">fall </w:t>
      </w:r>
      <w:r w:rsidR="00CB51A5">
        <w:t>along with the construction argument</w:t>
      </w:r>
      <w:r w:rsidR="00EE22E5">
        <w:t xml:space="preserve">. </w:t>
      </w:r>
    </w:p>
    <w:p w14:paraId="6BD95F1E" w14:textId="77777777" w:rsidR="00F82AF7" w:rsidRDefault="00F82AF7" w:rsidP="00F82AF7">
      <w:pPr>
        <w:pStyle w:val="Heading3"/>
      </w:pPr>
      <w:proofErr w:type="spellStart"/>
      <w:r>
        <w:t>Wilkie</w:t>
      </w:r>
      <w:proofErr w:type="spellEnd"/>
      <w:r>
        <w:t xml:space="preserve"> v Gordian Runoff Limited</w:t>
      </w:r>
    </w:p>
    <w:p w14:paraId="0D22E1A9" w14:textId="77777777" w:rsidR="002D7B24" w:rsidRDefault="008D7D33" w:rsidP="00CB51A5">
      <w:pPr>
        <w:pStyle w:val="ParaNumbering"/>
      </w:pPr>
      <w:r>
        <w:t>There is no need to consider</w:t>
      </w:r>
      <w:r w:rsidR="005F21BD">
        <w:t xml:space="preserve"> in any detail</w:t>
      </w:r>
      <w:r>
        <w:t xml:space="preserve"> </w:t>
      </w:r>
      <w:r w:rsidR="00F82AF7">
        <w:t xml:space="preserve">the decision of the High Court in </w:t>
      </w:r>
      <w:proofErr w:type="spellStart"/>
      <w:r w:rsidR="00F82AF7" w:rsidRPr="002A30BE">
        <w:rPr>
          <w:i/>
        </w:rPr>
        <w:t>Wilkie</w:t>
      </w:r>
      <w:proofErr w:type="spellEnd"/>
      <w:r w:rsidR="00F82AF7" w:rsidRPr="002A30BE">
        <w:rPr>
          <w:i/>
        </w:rPr>
        <w:t xml:space="preserve"> v Gordian Runoff Limited</w:t>
      </w:r>
      <w:r w:rsidRPr="002A30BE">
        <w:t xml:space="preserve"> (2005) 221 CLR 522</w:t>
      </w:r>
      <w:r>
        <w:t xml:space="preserve">.  </w:t>
      </w:r>
      <w:r w:rsidR="00CB51A5" w:rsidRPr="00CB51A5">
        <w:t xml:space="preserve">It concerned a similar policy, but its issues were substantially different from those which fall </w:t>
      </w:r>
      <w:r w:rsidR="00CB51A5">
        <w:t xml:space="preserve">for </w:t>
      </w:r>
      <w:r>
        <w:t>consideration</w:t>
      </w:r>
      <w:r w:rsidR="00CB51A5">
        <w:t xml:space="preserve"> here.  The issue </w:t>
      </w:r>
      <w:r w:rsidR="005B0D03">
        <w:t xml:space="preserve">there </w:t>
      </w:r>
      <w:r w:rsidR="00CB51A5">
        <w:t xml:space="preserve">was the </w:t>
      </w:r>
      <w:r w:rsidR="002D7B24">
        <w:t xml:space="preserve">impact on the </w:t>
      </w:r>
      <w:r>
        <w:t xml:space="preserve">construction </w:t>
      </w:r>
      <w:r w:rsidR="002D7B24">
        <w:t xml:space="preserve">of a </w:t>
      </w:r>
      <w:r w:rsidR="00CB51A5">
        <w:t>D</w:t>
      </w:r>
      <w:r w:rsidR="002D7B24">
        <w:t xml:space="preserve">efence </w:t>
      </w:r>
      <w:r w:rsidR="00CB51A5">
        <w:t>C</w:t>
      </w:r>
      <w:r w:rsidR="002D7B24">
        <w:t xml:space="preserve">osts </w:t>
      </w:r>
      <w:r w:rsidR="00CB51A5">
        <w:t>E</w:t>
      </w:r>
      <w:r w:rsidR="002D7B24">
        <w:t xml:space="preserve">xtension </w:t>
      </w:r>
      <w:r w:rsidR="00CB51A5">
        <w:t>by an</w:t>
      </w:r>
      <w:r w:rsidR="002D7B24">
        <w:t xml:space="preserve"> exclusion </w:t>
      </w:r>
      <w:r w:rsidR="00CB51A5">
        <w:t>of</w:t>
      </w:r>
      <w:r w:rsidR="002D7B24">
        <w:t xml:space="preserve"> claims attributable to or in consequence of dishonest, fraudulent, criminal or malicious act or omission </w:t>
      </w:r>
      <w:proofErr w:type="spellStart"/>
      <w:r w:rsidR="002D7B24">
        <w:t>etc</w:t>
      </w:r>
      <w:proofErr w:type="spellEnd"/>
      <w:r w:rsidR="002D7B24">
        <w:t>, where such act or omission ha</w:t>
      </w:r>
      <w:r w:rsidR="00EB297D">
        <w:t>d</w:t>
      </w:r>
      <w:r w:rsidR="002D7B24">
        <w:t xml:space="preserve"> </w:t>
      </w:r>
      <w:r w:rsidR="00EB297D">
        <w:t>“</w:t>
      </w:r>
      <w:r w:rsidR="002D7B24">
        <w:t>in fact</w:t>
      </w:r>
      <w:r w:rsidR="00EB297D">
        <w:t>”</w:t>
      </w:r>
      <w:r w:rsidR="002D7B24">
        <w:t xml:space="preserve"> occurred.  The concept of </w:t>
      </w:r>
      <w:r w:rsidR="005F21BD">
        <w:t xml:space="preserve">such an </w:t>
      </w:r>
      <w:r w:rsidR="00EB297D">
        <w:t xml:space="preserve">event having </w:t>
      </w:r>
      <w:r w:rsidR="002D7B24">
        <w:t xml:space="preserve">“in fact” occurred </w:t>
      </w:r>
      <w:r w:rsidR="00CB51A5">
        <w:t>required that it</w:t>
      </w:r>
      <w:r w:rsidR="002D7B24">
        <w:t xml:space="preserve"> had been established by curial adjudication or admission.</w:t>
      </w:r>
      <w:r w:rsidR="00EB297D">
        <w:t xml:space="preserve">  The question before the High Court concerned the manner in which the interpretation of the </w:t>
      </w:r>
      <w:r w:rsidR="00CB51A5">
        <w:t>E</w:t>
      </w:r>
      <w:r w:rsidR="00EB297D">
        <w:t xml:space="preserve">xtension was affected by the </w:t>
      </w:r>
      <w:r w:rsidR="00CB51A5">
        <w:t>language</w:t>
      </w:r>
      <w:r w:rsidR="00EB297D">
        <w:t xml:space="preserve"> of the exclusion.  </w:t>
      </w:r>
      <w:r w:rsidR="00CB51A5" w:rsidRPr="00CB51A5">
        <w:t>The entitlement of the insurer to rely upon its statutory entitlements under s 28 for the insured’s non-disclosure was not an issue</w:t>
      </w:r>
      <w:r w:rsidR="005B0D03">
        <w:t xml:space="preserve"> and the m</w:t>
      </w:r>
      <w:r w:rsidR="00CB51A5" w:rsidRPr="00CB51A5">
        <w:t xml:space="preserve">ajority </w:t>
      </w:r>
      <w:r w:rsidR="00CB51A5">
        <w:t xml:space="preserve">expressly </w:t>
      </w:r>
      <w:r w:rsidR="00CB51A5" w:rsidRPr="00CB51A5">
        <w:t xml:space="preserve">left </w:t>
      </w:r>
      <w:r w:rsidR="005B0D03">
        <w:t xml:space="preserve">it </w:t>
      </w:r>
      <w:r w:rsidR="00CB51A5" w:rsidRPr="00CB51A5">
        <w:t>open and the judgments of</w:t>
      </w:r>
      <w:r w:rsidR="00CB51A5">
        <w:t xml:space="preserve"> the Court do not touch upon it</w:t>
      </w:r>
      <w:r w:rsidR="00EB297D">
        <w:t>.</w:t>
      </w:r>
      <w:r w:rsidR="00CB51A5">
        <w:t xml:space="preserve"> </w:t>
      </w:r>
    </w:p>
    <w:p w14:paraId="0E37C945" w14:textId="77777777" w:rsidR="00EB297D" w:rsidRDefault="00EB297D" w:rsidP="00EB297D">
      <w:pPr>
        <w:pStyle w:val="Heading2"/>
      </w:pPr>
      <w:r>
        <w:t>Answer to the separate question</w:t>
      </w:r>
    </w:p>
    <w:p w14:paraId="0D310A60" w14:textId="5DE3E7A0" w:rsidR="00EB297D" w:rsidRDefault="00D176D5" w:rsidP="002D7B24">
      <w:pPr>
        <w:pStyle w:val="ParaNumbering"/>
      </w:pPr>
      <w:r>
        <w:t xml:space="preserve">It follows from the above </w:t>
      </w:r>
      <w:r w:rsidR="00CB51A5">
        <w:t xml:space="preserve">that in the circumstances of this case there </w:t>
      </w:r>
      <w:r>
        <w:t xml:space="preserve">is nothing in the terms of the policy </w:t>
      </w:r>
      <w:r w:rsidR="00CB51A5">
        <w:t xml:space="preserve">or any other reason </w:t>
      </w:r>
      <w:r>
        <w:t xml:space="preserve">which prevents the </w:t>
      </w:r>
      <w:r w:rsidR="00CB51A5">
        <w:t>respondent</w:t>
      </w:r>
      <w:r>
        <w:t xml:space="preserve"> from exercising its rights or from relying on the remedies under Part IV of the ICA</w:t>
      </w:r>
      <w:r w:rsidR="00CB51A5">
        <w:t xml:space="preserve">. </w:t>
      </w:r>
      <w:r w:rsidRPr="00D176D5">
        <w:t xml:space="preserve"> </w:t>
      </w:r>
      <w:r>
        <w:t xml:space="preserve">The necessary answer to the question for determination </w:t>
      </w:r>
      <w:r w:rsidR="005F21BD">
        <w:t xml:space="preserve">is </w:t>
      </w:r>
      <w:r>
        <w:t xml:space="preserve">“No”.  </w:t>
      </w:r>
    </w:p>
    <w:tbl>
      <w:tblPr>
        <w:tblW w:w="0" w:type="auto"/>
        <w:tblLook w:val="04A0" w:firstRow="1" w:lastRow="0" w:firstColumn="1" w:lastColumn="0" w:noHBand="0" w:noVBand="1"/>
      </w:tblPr>
      <w:tblGrid>
        <w:gridCol w:w="3794"/>
      </w:tblGrid>
      <w:tr w:rsidR="00095CB4" w:rsidRPr="00095CB4" w14:paraId="3C4C9CEC" w14:textId="77777777">
        <w:tc>
          <w:tcPr>
            <w:tcW w:w="3794" w:type="dxa"/>
            <w:shd w:val="clear" w:color="auto" w:fill="auto"/>
          </w:tcPr>
          <w:p w14:paraId="76808A75" w14:textId="09CC8273" w:rsidR="00095CB4" w:rsidRPr="00095CB4" w:rsidRDefault="00095CB4" w:rsidP="00095CB4">
            <w:pPr>
              <w:pStyle w:val="Normal1linespace"/>
            </w:pPr>
            <w:bookmarkStart w:id="21" w:name="Certification"/>
            <w:r w:rsidRPr="00095CB4">
              <w:t xml:space="preserve">I certify that the preceding </w:t>
            </w:r>
            <w:bookmarkStart w:id="22" w:name="NumberWord"/>
            <w:r>
              <w:t>eighty-three</w:t>
            </w:r>
            <w:bookmarkEnd w:id="22"/>
            <w:r w:rsidRPr="00095CB4">
              <w:t xml:space="preserve"> (</w:t>
            </w:r>
            <w:bookmarkStart w:id="23" w:name="NumberNumeral"/>
            <w:r>
              <w:t>83</w:t>
            </w:r>
            <w:bookmarkEnd w:id="23"/>
            <w:r w:rsidRPr="00095CB4">
              <w:t xml:space="preserve">) numbered </w:t>
            </w:r>
            <w:bookmarkStart w:id="24" w:name="CertPara"/>
            <w:r>
              <w:t>paragraphs are</w:t>
            </w:r>
            <w:bookmarkEnd w:id="24"/>
            <w:r w:rsidRPr="00095CB4">
              <w:t xml:space="preserve"> a true copy of the Reasons for Judgment herein of the Honourable </w:t>
            </w:r>
            <w:bookmarkStart w:id="25" w:name="Justice"/>
            <w:r>
              <w:t>Chief Justice Allsop and Justices Lee and Derrington</w:t>
            </w:r>
            <w:bookmarkEnd w:id="25"/>
            <w:r w:rsidRPr="00095CB4">
              <w:t>.</w:t>
            </w:r>
          </w:p>
        </w:tc>
      </w:tr>
    </w:tbl>
    <w:p w14:paraId="622CCB4B" w14:textId="77777777" w:rsidR="00095CB4" w:rsidRDefault="00095CB4" w:rsidP="00815065">
      <w:pPr>
        <w:pStyle w:val="BodyText"/>
      </w:pPr>
    </w:p>
    <w:p w14:paraId="1C6C03DA" w14:textId="13549A54" w:rsidR="00095CB4" w:rsidRDefault="00095CB4" w:rsidP="00815065">
      <w:pPr>
        <w:pStyle w:val="BodyText"/>
      </w:pPr>
      <w:r>
        <w:lastRenderedPageBreak/>
        <w:t>Associate:</w:t>
      </w:r>
      <w:r w:rsidR="00650E5C">
        <w:t xml:space="preserve"> </w:t>
      </w:r>
      <w:bookmarkStart w:id="26" w:name="_GoBack"/>
      <w:bookmarkEnd w:id="26"/>
    </w:p>
    <w:p w14:paraId="76DC8B06" w14:textId="77777777" w:rsidR="00095CB4" w:rsidRDefault="00095CB4" w:rsidP="00815065">
      <w:pPr>
        <w:pStyle w:val="BodyText"/>
      </w:pPr>
    </w:p>
    <w:p w14:paraId="05CE544D" w14:textId="443F261D" w:rsidR="00095CB4" w:rsidRDefault="00095CB4" w:rsidP="00815065">
      <w:pPr>
        <w:pStyle w:val="BodyText"/>
        <w:tabs>
          <w:tab w:val="left" w:pos="1134"/>
        </w:tabs>
      </w:pPr>
      <w:r>
        <w:t>Dated:</w:t>
      </w:r>
      <w:r>
        <w:tab/>
      </w:r>
      <w:bookmarkStart w:id="27" w:name="CertifyDated"/>
      <w:r>
        <w:t>3 August 2018</w:t>
      </w:r>
      <w:bookmarkEnd w:id="27"/>
    </w:p>
    <w:p w14:paraId="5784CFD5" w14:textId="77777777" w:rsidR="00095CB4" w:rsidRDefault="00095CB4" w:rsidP="00815065">
      <w:pPr>
        <w:pStyle w:val="BodyText"/>
      </w:pPr>
    </w:p>
    <w:bookmarkEnd w:id="21"/>
    <w:p w14:paraId="135FAF34" w14:textId="77777777" w:rsidR="00095CB4" w:rsidRDefault="00095CB4" w:rsidP="00095CB4">
      <w:pPr>
        <w:pStyle w:val="BodyText"/>
      </w:pPr>
    </w:p>
    <w:sectPr w:rsidR="00095CB4">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86EE6" w14:textId="77777777" w:rsidR="00406D11" w:rsidRDefault="00406D11">
      <w:pPr>
        <w:spacing w:line="20" w:lineRule="exact"/>
      </w:pPr>
    </w:p>
    <w:p w14:paraId="4DD34419" w14:textId="77777777" w:rsidR="00406D11" w:rsidRDefault="00406D11"/>
    <w:p w14:paraId="3CE8450E" w14:textId="77777777" w:rsidR="00406D11" w:rsidRDefault="00406D11"/>
  </w:endnote>
  <w:endnote w:type="continuationSeparator" w:id="0">
    <w:p w14:paraId="6E35BFA6" w14:textId="77777777" w:rsidR="00406D11" w:rsidRDefault="00406D11">
      <w:r>
        <w:t xml:space="preserve"> </w:t>
      </w:r>
    </w:p>
    <w:p w14:paraId="1F0636EC" w14:textId="77777777" w:rsidR="00406D11" w:rsidRDefault="00406D11"/>
    <w:p w14:paraId="4C75B9B3" w14:textId="77777777" w:rsidR="00406D11" w:rsidRDefault="00406D11"/>
  </w:endnote>
  <w:endnote w:type="continuationNotice" w:id="1">
    <w:p w14:paraId="5661E4F7" w14:textId="77777777" w:rsidR="00406D11" w:rsidRDefault="00406D11">
      <w:r>
        <w:t xml:space="preserve"> </w:t>
      </w:r>
    </w:p>
    <w:p w14:paraId="0499B40C" w14:textId="77777777" w:rsidR="00406D11" w:rsidRDefault="00406D11"/>
    <w:p w14:paraId="179CDB72" w14:textId="77777777" w:rsidR="00406D11" w:rsidRDefault="00406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09578" w14:textId="28E5F107" w:rsidR="006D757D" w:rsidRPr="001E024C" w:rsidRDefault="006D757D" w:rsidP="001E0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576BC" w14:textId="505E5D21" w:rsidR="006D757D" w:rsidRPr="001E024C" w:rsidRDefault="006D757D" w:rsidP="001E0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7FFFE" w14:textId="77777777" w:rsidR="00406D11" w:rsidRDefault="00406D11"/>
    <w:p w14:paraId="0B24AD2F" w14:textId="77777777" w:rsidR="00406D11" w:rsidRDefault="00406D11"/>
    <w:p w14:paraId="1914ABEF" w14:textId="77777777" w:rsidR="00406D11" w:rsidRDefault="00406D11"/>
  </w:footnote>
  <w:footnote w:type="continuationSeparator" w:id="0">
    <w:p w14:paraId="38E625D8" w14:textId="77777777" w:rsidR="00406D11" w:rsidRDefault="00406D11">
      <w:r>
        <w:continuationSeparator/>
      </w:r>
    </w:p>
    <w:p w14:paraId="70469081" w14:textId="77777777" w:rsidR="00406D11" w:rsidRDefault="00406D11"/>
    <w:p w14:paraId="5E22982D" w14:textId="77777777" w:rsidR="00406D11" w:rsidRDefault="00406D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EB216" w14:textId="285DB3E2" w:rsidR="006D757D" w:rsidRDefault="006D757D">
    <w:pPr>
      <w:tabs>
        <w:tab w:val="center" w:pos="4512"/>
      </w:tabs>
      <w:suppressAutoHyphens/>
    </w:pPr>
    <w:r>
      <w:tab/>
      <w:t xml:space="preserve">- </w:t>
    </w:r>
    <w:r>
      <w:fldChar w:fldCharType="begin"/>
    </w:r>
    <w:r>
      <w:instrText xml:space="preserve"> PAGE   \* MERGEFORMAT </w:instrText>
    </w:r>
    <w:r>
      <w:fldChar w:fldCharType="separate"/>
    </w:r>
    <w:r w:rsidR="00D36480">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CBD4C" w14:textId="77777777" w:rsidR="006D757D" w:rsidRDefault="006D757D">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22050" w14:textId="77777777" w:rsidR="006D757D" w:rsidRDefault="006D757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269" w14:textId="07C92E41" w:rsidR="006D757D" w:rsidRDefault="006D757D">
    <w:pPr>
      <w:tabs>
        <w:tab w:val="center" w:pos="4512"/>
      </w:tabs>
      <w:suppressAutoHyphens/>
    </w:pPr>
    <w:r>
      <w:tab/>
      <w:t xml:space="preserve">- </w:t>
    </w:r>
    <w:r>
      <w:fldChar w:fldCharType="begin"/>
    </w:r>
    <w:r>
      <w:instrText>page \* arabic</w:instrText>
    </w:r>
    <w:r>
      <w:fldChar w:fldCharType="separate"/>
    </w:r>
    <w:r w:rsidR="00D36480">
      <w:rPr>
        <w:noProof/>
      </w:rPr>
      <w:t>31</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398ED" w14:textId="77777777" w:rsidR="006D757D" w:rsidRDefault="006D757D">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82C0A29C"/>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sz w:val="22"/>
        <w:szCs w:val="22"/>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Jason Onley"/>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63 of 2018_x000d_"/>
    <w:docVar w:name="HearingDate" w:val="20 June 2018"/>
    <w:docVar w:name="Initiators" w:val="(and another named in the Schedule)"/>
    <w:docVar w:name="Judgdate" w:val="3 August 2018"/>
    <w:docVar w:name="Judge" w:val="Allsop CJ, Lee and Derrington JJ"/>
    <w:docVar w:name="Justices" w:val="Justice"/>
    <w:docVar w:name="lstEntryList" w:val="-1"/>
    <w:docVar w:name="myEntryList" w:val="Counsel for the Applicant=Ms A Coombs (NSD448/2018)|Counsel for the Applicant=Ms R Seiden SC with Mr P Mann and Mr R Johnson (NSD63/2018)|Solicitor for the Applicant=Pure Legal (NSD63/2018)|Counsel for the Respondent=Mr S Donaldson SC with Mr M Newton (both matters)|Solicitor for the Respondent=Norton Rose Fulbright"/>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Catlin Syndicate Ltd as the Underwriting Member of Lloyd's Syndicate 2003"/>
    <w:docVar w:name="ResState" w:val="New South Wales"/>
    <w:docVar w:name="SubArea" w:val="Commercial Contracts, Banking, Finance and Insurance  (C &amp; C)"/>
  </w:docVars>
  <w:rsids>
    <w:rsidRoot w:val="00F66A5B"/>
    <w:rsid w:val="00003336"/>
    <w:rsid w:val="00010080"/>
    <w:rsid w:val="00011EE3"/>
    <w:rsid w:val="0001469E"/>
    <w:rsid w:val="00015993"/>
    <w:rsid w:val="000162DC"/>
    <w:rsid w:val="00020064"/>
    <w:rsid w:val="00022289"/>
    <w:rsid w:val="000263F0"/>
    <w:rsid w:val="000300C9"/>
    <w:rsid w:val="00030A20"/>
    <w:rsid w:val="00032B93"/>
    <w:rsid w:val="00032F9F"/>
    <w:rsid w:val="000414BD"/>
    <w:rsid w:val="00041C07"/>
    <w:rsid w:val="00045BB7"/>
    <w:rsid w:val="00053C89"/>
    <w:rsid w:val="00055719"/>
    <w:rsid w:val="00055DC4"/>
    <w:rsid w:val="0005641B"/>
    <w:rsid w:val="00057244"/>
    <w:rsid w:val="00073A95"/>
    <w:rsid w:val="0007549F"/>
    <w:rsid w:val="00081497"/>
    <w:rsid w:val="00092575"/>
    <w:rsid w:val="00095CB4"/>
    <w:rsid w:val="000A2E76"/>
    <w:rsid w:val="000A4807"/>
    <w:rsid w:val="000A4BE4"/>
    <w:rsid w:val="000B5AD5"/>
    <w:rsid w:val="000C023E"/>
    <w:rsid w:val="000C0313"/>
    <w:rsid w:val="000C3734"/>
    <w:rsid w:val="000C5195"/>
    <w:rsid w:val="000C62EF"/>
    <w:rsid w:val="000C6E3F"/>
    <w:rsid w:val="000D2137"/>
    <w:rsid w:val="000D373C"/>
    <w:rsid w:val="000D3FD2"/>
    <w:rsid w:val="000D4B53"/>
    <w:rsid w:val="000E1425"/>
    <w:rsid w:val="000E3149"/>
    <w:rsid w:val="000E3FC8"/>
    <w:rsid w:val="000E7BAE"/>
    <w:rsid w:val="000F133D"/>
    <w:rsid w:val="00101422"/>
    <w:rsid w:val="00102713"/>
    <w:rsid w:val="0010536B"/>
    <w:rsid w:val="0010625C"/>
    <w:rsid w:val="0011145C"/>
    <w:rsid w:val="001128BD"/>
    <w:rsid w:val="0011419D"/>
    <w:rsid w:val="00115B35"/>
    <w:rsid w:val="0012624B"/>
    <w:rsid w:val="00130B7F"/>
    <w:rsid w:val="00132054"/>
    <w:rsid w:val="00140544"/>
    <w:rsid w:val="00142FD0"/>
    <w:rsid w:val="0015041A"/>
    <w:rsid w:val="001505E1"/>
    <w:rsid w:val="00154C18"/>
    <w:rsid w:val="00156DA5"/>
    <w:rsid w:val="00157520"/>
    <w:rsid w:val="00167465"/>
    <w:rsid w:val="00170F5E"/>
    <w:rsid w:val="001727A4"/>
    <w:rsid w:val="00173492"/>
    <w:rsid w:val="0017376C"/>
    <w:rsid w:val="001738AB"/>
    <w:rsid w:val="001765E0"/>
    <w:rsid w:val="00177759"/>
    <w:rsid w:val="00180E04"/>
    <w:rsid w:val="00183519"/>
    <w:rsid w:val="00185E3E"/>
    <w:rsid w:val="00185E6B"/>
    <w:rsid w:val="00187BBC"/>
    <w:rsid w:val="001932F3"/>
    <w:rsid w:val="0019385D"/>
    <w:rsid w:val="00195E0B"/>
    <w:rsid w:val="001A3142"/>
    <w:rsid w:val="001A4309"/>
    <w:rsid w:val="001A705E"/>
    <w:rsid w:val="001A7C9B"/>
    <w:rsid w:val="001B1053"/>
    <w:rsid w:val="001B1083"/>
    <w:rsid w:val="001B14AC"/>
    <w:rsid w:val="001B7940"/>
    <w:rsid w:val="001C039F"/>
    <w:rsid w:val="001C37CA"/>
    <w:rsid w:val="001C3ED5"/>
    <w:rsid w:val="001C486B"/>
    <w:rsid w:val="001D4268"/>
    <w:rsid w:val="001D4303"/>
    <w:rsid w:val="001D6746"/>
    <w:rsid w:val="001E024C"/>
    <w:rsid w:val="001E3479"/>
    <w:rsid w:val="001E3B49"/>
    <w:rsid w:val="001E7388"/>
    <w:rsid w:val="001F13DD"/>
    <w:rsid w:val="001F199A"/>
    <w:rsid w:val="001F2DBC"/>
    <w:rsid w:val="001F73E8"/>
    <w:rsid w:val="0020262C"/>
    <w:rsid w:val="00203770"/>
    <w:rsid w:val="0020410A"/>
    <w:rsid w:val="0021026C"/>
    <w:rsid w:val="00224537"/>
    <w:rsid w:val="0023123E"/>
    <w:rsid w:val="00235956"/>
    <w:rsid w:val="00242CC6"/>
    <w:rsid w:val="00244D12"/>
    <w:rsid w:val="00247C9A"/>
    <w:rsid w:val="0025160C"/>
    <w:rsid w:val="002535D0"/>
    <w:rsid w:val="002539B3"/>
    <w:rsid w:val="00257C3E"/>
    <w:rsid w:val="002602C2"/>
    <w:rsid w:val="00260AD6"/>
    <w:rsid w:val="00261351"/>
    <w:rsid w:val="002619D7"/>
    <w:rsid w:val="002666C9"/>
    <w:rsid w:val="00270136"/>
    <w:rsid w:val="00270FEE"/>
    <w:rsid w:val="00274F5B"/>
    <w:rsid w:val="00280836"/>
    <w:rsid w:val="00282832"/>
    <w:rsid w:val="00282E1A"/>
    <w:rsid w:val="0029113B"/>
    <w:rsid w:val="002934C0"/>
    <w:rsid w:val="0029429E"/>
    <w:rsid w:val="00294FC5"/>
    <w:rsid w:val="002A1B50"/>
    <w:rsid w:val="002A30BE"/>
    <w:rsid w:val="002A3C53"/>
    <w:rsid w:val="002A6A0F"/>
    <w:rsid w:val="002B0D2B"/>
    <w:rsid w:val="002B0E91"/>
    <w:rsid w:val="002B1B45"/>
    <w:rsid w:val="002B60B3"/>
    <w:rsid w:val="002B6779"/>
    <w:rsid w:val="002B71C0"/>
    <w:rsid w:val="002B7A34"/>
    <w:rsid w:val="002C31AD"/>
    <w:rsid w:val="002C40B9"/>
    <w:rsid w:val="002C477B"/>
    <w:rsid w:val="002C7385"/>
    <w:rsid w:val="002D2670"/>
    <w:rsid w:val="002D2DBB"/>
    <w:rsid w:val="002D54A6"/>
    <w:rsid w:val="002D78C6"/>
    <w:rsid w:val="002D797F"/>
    <w:rsid w:val="002D7B24"/>
    <w:rsid w:val="002E6A7A"/>
    <w:rsid w:val="002F1E49"/>
    <w:rsid w:val="002F4E9C"/>
    <w:rsid w:val="002F77B6"/>
    <w:rsid w:val="00304B33"/>
    <w:rsid w:val="0031256C"/>
    <w:rsid w:val="00314D6C"/>
    <w:rsid w:val="00316D2A"/>
    <w:rsid w:val="00322A7C"/>
    <w:rsid w:val="00323851"/>
    <w:rsid w:val="003402D3"/>
    <w:rsid w:val="00343ABC"/>
    <w:rsid w:val="00344E53"/>
    <w:rsid w:val="003463FE"/>
    <w:rsid w:val="003554B3"/>
    <w:rsid w:val="00356632"/>
    <w:rsid w:val="003722C2"/>
    <w:rsid w:val="00382591"/>
    <w:rsid w:val="003845A9"/>
    <w:rsid w:val="00390883"/>
    <w:rsid w:val="003922F8"/>
    <w:rsid w:val="00395B24"/>
    <w:rsid w:val="003A0E66"/>
    <w:rsid w:val="003A24D4"/>
    <w:rsid w:val="003A2D38"/>
    <w:rsid w:val="003A7170"/>
    <w:rsid w:val="003A7E3A"/>
    <w:rsid w:val="003A7ECC"/>
    <w:rsid w:val="003B2C72"/>
    <w:rsid w:val="003B676C"/>
    <w:rsid w:val="003C08B8"/>
    <w:rsid w:val="003C1333"/>
    <w:rsid w:val="003C20FF"/>
    <w:rsid w:val="003C6C4F"/>
    <w:rsid w:val="003D2650"/>
    <w:rsid w:val="003D560C"/>
    <w:rsid w:val="003E4041"/>
    <w:rsid w:val="003E5874"/>
    <w:rsid w:val="003F193E"/>
    <w:rsid w:val="003F34F1"/>
    <w:rsid w:val="003F4B42"/>
    <w:rsid w:val="00406D11"/>
    <w:rsid w:val="00411AE8"/>
    <w:rsid w:val="00413B74"/>
    <w:rsid w:val="00416883"/>
    <w:rsid w:val="004244BA"/>
    <w:rsid w:val="0043386C"/>
    <w:rsid w:val="00435C5F"/>
    <w:rsid w:val="00441E98"/>
    <w:rsid w:val="00445DE1"/>
    <w:rsid w:val="004532F7"/>
    <w:rsid w:val="00472027"/>
    <w:rsid w:val="00475A7D"/>
    <w:rsid w:val="00476792"/>
    <w:rsid w:val="004804CF"/>
    <w:rsid w:val="00484962"/>
    <w:rsid w:val="00484F6D"/>
    <w:rsid w:val="0049338A"/>
    <w:rsid w:val="0049417F"/>
    <w:rsid w:val="00495DD9"/>
    <w:rsid w:val="004A0CD1"/>
    <w:rsid w:val="004A5A48"/>
    <w:rsid w:val="004B17AA"/>
    <w:rsid w:val="004B3EFA"/>
    <w:rsid w:val="004B5560"/>
    <w:rsid w:val="004C2A87"/>
    <w:rsid w:val="004C4D7B"/>
    <w:rsid w:val="004C4ED3"/>
    <w:rsid w:val="004D2EA5"/>
    <w:rsid w:val="004D32A6"/>
    <w:rsid w:val="004D393D"/>
    <w:rsid w:val="004D53E5"/>
    <w:rsid w:val="004E3879"/>
    <w:rsid w:val="004E4B7E"/>
    <w:rsid w:val="004E60C9"/>
    <w:rsid w:val="004E6855"/>
    <w:rsid w:val="004F5EFF"/>
    <w:rsid w:val="004F6565"/>
    <w:rsid w:val="00500849"/>
    <w:rsid w:val="00501A12"/>
    <w:rsid w:val="00504550"/>
    <w:rsid w:val="005071FC"/>
    <w:rsid w:val="00510015"/>
    <w:rsid w:val="0051346D"/>
    <w:rsid w:val="00513EAE"/>
    <w:rsid w:val="00516806"/>
    <w:rsid w:val="00525A49"/>
    <w:rsid w:val="00534179"/>
    <w:rsid w:val="00535613"/>
    <w:rsid w:val="005359EB"/>
    <w:rsid w:val="005367AE"/>
    <w:rsid w:val="0054254A"/>
    <w:rsid w:val="005466B5"/>
    <w:rsid w:val="00554314"/>
    <w:rsid w:val="0055579B"/>
    <w:rsid w:val="00560DBD"/>
    <w:rsid w:val="00561CF2"/>
    <w:rsid w:val="0056297E"/>
    <w:rsid w:val="005629B3"/>
    <w:rsid w:val="0057388B"/>
    <w:rsid w:val="00573AC4"/>
    <w:rsid w:val="005801FC"/>
    <w:rsid w:val="0058185A"/>
    <w:rsid w:val="0058277D"/>
    <w:rsid w:val="00594DAC"/>
    <w:rsid w:val="00595016"/>
    <w:rsid w:val="00597AAE"/>
    <w:rsid w:val="005A222C"/>
    <w:rsid w:val="005A4DF8"/>
    <w:rsid w:val="005B0D03"/>
    <w:rsid w:val="005B1426"/>
    <w:rsid w:val="005C0A8E"/>
    <w:rsid w:val="005C1767"/>
    <w:rsid w:val="005C42EF"/>
    <w:rsid w:val="005E02F5"/>
    <w:rsid w:val="005E0510"/>
    <w:rsid w:val="005E176E"/>
    <w:rsid w:val="005E218E"/>
    <w:rsid w:val="005E3532"/>
    <w:rsid w:val="005E35A0"/>
    <w:rsid w:val="005E448C"/>
    <w:rsid w:val="005F0D1B"/>
    <w:rsid w:val="005F0FE6"/>
    <w:rsid w:val="005F1865"/>
    <w:rsid w:val="005F21BD"/>
    <w:rsid w:val="006007BD"/>
    <w:rsid w:val="006013C8"/>
    <w:rsid w:val="0060270D"/>
    <w:rsid w:val="00604611"/>
    <w:rsid w:val="00611586"/>
    <w:rsid w:val="00620104"/>
    <w:rsid w:val="0062113B"/>
    <w:rsid w:val="00621887"/>
    <w:rsid w:val="00621ADE"/>
    <w:rsid w:val="00623554"/>
    <w:rsid w:val="00624520"/>
    <w:rsid w:val="0062521C"/>
    <w:rsid w:val="00632300"/>
    <w:rsid w:val="00632BB7"/>
    <w:rsid w:val="00635B36"/>
    <w:rsid w:val="00636871"/>
    <w:rsid w:val="00636931"/>
    <w:rsid w:val="006408D6"/>
    <w:rsid w:val="00640F4E"/>
    <w:rsid w:val="00643DE0"/>
    <w:rsid w:val="00644E85"/>
    <w:rsid w:val="00645CB3"/>
    <w:rsid w:val="00650E5C"/>
    <w:rsid w:val="006558FC"/>
    <w:rsid w:val="00656A53"/>
    <w:rsid w:val="0066063F"/>
    <w:rsid w:val="00662BB0"/>
    <w:rsid w:val="00663878"/>
    <w:rsid w:val="00667773"/>
    <w:rsid w:val="00670743"/>
    <w:rsid w:val="00671B00"/>
    <w:rsid w:val="00675453"/>
    <w:rsid w:val="00677BDB"/>
    <w:rsid w:val="00684D23"/>
    <w:rsid w:val="00690EE2"/>
    <w:rsid w:val="00691A49"/>
    <w:rsid w:val="00692D61"/>
    <w:rsid w:val="006A0E20"/>
    <w:rsid w:val="006A1904"/>
    <w:rsid w:val="006A35CB"/>
    <w:rsid w:val="006A4080"/>
    <w:rsid w:val="006A5695"/>
    <w:rsid w:val="006A5E70"/>
    <w:rsid w:val="006B1BA5"/>
    <w:rsid w:val="006B3904"/>
    <w:rsid w:val="006B499C"/>
    <w:rsid w:val="006B553F"/>
    <w:rsid w:val="006B5B7D"/>
    <w:rsid w:val="006C5EE9"/>
    <w:rsid w:val="006C5FF0"/>
    <w:rsid w:val="006C7B45"/>
    <w:rsid w:val="006D0ECF"/>
    <w:rsid w:val="006D4C92"/>
    <w:rsid w:val="006D4EB6"/>
    <w:rsid w:val="006D55D6"/>
    <w:rsid w:val="006D757D"/>
    <w:rsid w:val="006D7888"/>
    <w:rsid w:val="006D7D57"/>
    <w:rsid w:val="006E1F3A"/>
    <w:rsid w:val="006E35BF"/>
    <w:rsid w:val="006E4090"/>
    <w:rsid w:val="006E7850"/>
    <w:rsid w:val="007028D9"/>
    <w:rsid w:val="0070560A"/>
    <w:rsid w:val="00707218"/>
    <w:rsid w:val="00710848"/>
    <w:rsid w:val="00710E26"/>
    <w:rsid w:val="00711E71"/>
    <w:rsid w:val="00712B1D"/>
    <w:rsid w:val="00713F82"/>
    <w:rsid w:val="0071512C"/>
    <w:rsid w:val="00716039"/>
    <w:rsid w:val="00716F0E"/>
    <w:rsid w:val="00731119"/>
    <w:rsid w:val="007325D9"/>
    <w:rsid w:val="007360CA"/>
    <w:rsid w:val="00747F13"/>
    <w:rsid w:val="00754AA5"/>
    <w:rsid w:val="007571AA"/>
    <w:rsid w:val="00760EC0"/>
    <w:rsid w:val="00775F91"/>
    <w:rsid w:val="0077611A"/>
    <w:rsid w:val="0078003A"/>
    <w:rsid w:val="00780771"/>
    <w:rsid w:val="0078125C"/>
    <w:rsid w:val="007929CF"/>
    <w:rsid w:val="00793F25"/>
    <w:rsid w:val="00796EF4"/>
    <w:rsid w:val="007A48B1"/>
    <w:rsid w:val="007A6F28"/>
    <w:rsid w:val="007A794E"/>
    <w:rsid w:val="007B0364"/>
    <w:rsid w:val="007B03C6"/>
    <w:rsid w:val="007B0DB1"/>
    <w:rsid w:val="007C0471"/>
    <w:rsid w:val="007C2BDB"/>
    <w:rsid w:val="007C35DF"/>
    <w:rsid w:val="007C3BF6"/>
    <w:rsid w:val="007D09ED"/>
    <w:rsid w:val="007D0FD2"/>
    <w:rsid w:val="007D2EF8"/>
    <w:rsid w:val="007D4649"/>
    <w:rsid w:val="007D561F"/>
    <w:rsid w:val="007D5C72"/>
    <w:rsid w:val="007D6BC1"/>
    <w:rsid w:val="007D7FD2"/>
    <w:rsid w:val="007E13D9"/>
    <w:rsid w:val="007E41BE"/>
    <w:rsid w:val="007E4DB6"/>
    <w:rsid w:val="007E7CD4"/>
    <w:rsid w:val="007E7FD7"/>
    <w:rsid w:val="007F12AC"/>
    <w:rsid w:val="007F3D52"/>
    <w:rsid w:val="00801800"/>
    <w:rsid w:val="00801B5B"/>
    <w:rsid w:val="00802EB5"/>
    <w:rsid w:val="008072A5"/>
    <w:rsid w:val="008276B4"/>
    <w:rsid w:val="00830E2B"/>
    <w:rsid w:val="00831927"/>
    <w:rsid w:val="00841BD3"/>
    <w:rsid w:val="0084273D"/>
    <w:rsid w:val="00844E3F"/>
    <w:rsid w:val="00845A83"/>
    <w:rsid w:val="00850C1C"/>
    <w:rsid w:val="0086206E"/>
    <w:rsid w:val="008712BB"/>
    <w:rsid w:val="00882E60"/>
    <w:rsid w:val="00883209"/>
    <w:rsid w:val="00885837"/>
    <w:rsid w:val="0089010C"/>
    <w:rsid w:val="00894DA8"/>
    <w:rsid w:val="008A2484"/>
    <w:rsid w:val="008A783F"/>
    <w:rsid w:val="008B32CD"/>
    <w:rsid w:val="008B58EB"/>
    <w:rsid w:val="008C156A"/>
    <w:rsid w:val="008C26D9"/>
    <w:rsid w:val="008C6D50"/>
    <w:rsid w:val="008C7167"/>
    <w:rsid w:val="008C7503"/>
    <w:rsid w:val="008D1617"/>
    <w:rsid w:val="008D2BD7"/>
    <w:rsid w:val="008D3D64"/>
    <w:rsid w:val="008D6D5E"/>
    <w:rsid w:val="008D7D33"/>
    <w:rsid w:val="008E3A5C"/>
    <w:rsid w:val="008E6315"/>
    <w:rsid w:val="008F11E0"/>
    <w:rsid w:val="008F2341"/>
    <w:rsid w:val="008F2A48"/>
    <w:rsid w:val="008F4198"/>
    <w:rsid w:val="008F78BC"/>
    <w:rsid w:val="008F7B63"/>
    <w:rsid w:val="008F7D6A"/>
    <w:rsid w:val="00900598"/>
    <w:rsid w:val="00904733"/>
    <w:rsid w:val="009054CB"/>
    <w:rsid w:val="00912F94"/>
    <w:rsid w:val="009171CD"/>
    <w:rsid w:val="009224D4"/>
    <w:rsid w:val="0092590B"/>
    <w:rsid w:val="00925E60"/>
    <w:rsid w:val="009264B3"/>
    <w:rsid w:val="0093073C"/>
    <w:rsid w:val="009313AB"/>
    <w:rsid w:val="00932898"/>
    <w:rsid w:val="009365E0"/>
    <w:rsid w:val="00940362"/>
    <w:rsid w:val="00941397"/>
    <w:rsid w:val="00942BA2"/>
    <w:rsid w:val="00944C86"/>
    <w:rsid w:val="0094705A"/>
    <w:rsid w:val="00947CA7"/>
    <w:rsid w:val="00957DE8"/>
    <w:rsid w:val="00960ECB"/>
    <w:rsid w:val="009615D6"/>
    <w:rsid w:val="0096354E"/>
    <w:rsid w:val="00966396"/>
    <w:rsid w:val="009671C3"/>
    <w:rsid w:val="00967855"/>
    <w:rsid w:val="00980736"/>
    <w:rsid w:val="00981A39"/>
    <w:rsid w:val="00983986"/>
    <w:rsid w:val="00987097"/>
    <w:rsid w:val="009922EE"/>
    <w:rsid w:val="00992D44"/>
    <w:rsid w:val="00993CB8"/>
    <w:rsid w:val="0099510A"/>
    <w:rsid w:val="009A3A9C"/>
    <w:rsid w:val="009B046C"/>
    <w:rsid w:val="009B13FA"/>
    <w:rsid w:val="009B1E2D"/>
    <w:rsid w:val="009B50B6"/>
    <w:rsid w:val="009C40AB"/>
    <w:rsid w:val="009C59FB"/>
    <w:rsid w:val="009C6F3B"/>
    <w:rsid w:val="009C7463"/>
    <w:rsid w:val="009D1467"/>
    <w:rsid w:val="009E47D6"/>
    <w:rsid w:val="009E4FA6"/>
    <w:rsid w:val="009E79C2"/>
    <w:rsid w:val="009E7D93"/>
    <w:rsid w:val="009F5C33"/>
    <w:rsid w:val="00A01C09"/>
    <w:rsid w:val="00A02C65"/>
    <w:rsid w:val="00A03EAC"/>
    <w:rsid w:val="00A065CE"/>
    <w:rsid w:val="00A105C6"/>
    <w:rsid w:val="00A111D9"/>
    <w:rsid w:val="00A11CA6"/>
    <w:rsid w:val="00A20C49"/>
    <w:rsid w:val="00A21024"/>
    <w:rsid w:val="00A269CA"/>
    <w:rsid w:val="00A31953"/>
    <w:rsid w:val="00A336EE"/>
    <w:rsid w:val="00A359AC"/>
    <w:rsid w:val="00A41413"/>
    <w:rsid w:val="00A4229A"/>
    <w:rsid w:val="00A45FB1"/>
    <w:rsid w:val="00A46CCC"/>
    <w:rsid w:val="00A51CFE"/>
    <w:rsid w:val="00A535E0"/>
    <w:rsid w:val="00A6015A"/>
    <w:rsid w:val="00A67304"/>
    <w:rsid w:val="00A76C13"/>
    <w:rsid w:val="00A822E7"/>
    <w:rsid w:val="00A85FFC"/>
    <w:rsid w:val="00A86A00"/>
    <w:rsid w:val="00A87A4F"/>
    <w:rsid w:val="00A92E79"/>
    <w:rsid w:val="00A950B6"/>
    <w:rsid w:val="00A9758B"/>
    <w:rsid w:val="00AA07AF"/>
    <w:rsid w:val="00AA46DC"/>
    <w:rsid w:val="00AA78EE"/>
    <w:rsid w:val="00AB41C1"/>
    <w:rsid w:val="00AB57C4"/>
    <w:rsid w:val="00AB6CA8"/>
    <w:rsid w:val="00AC73DB"/>
    <w:rsid w:val="00AD107E"/>
    <w:rsid w:val="00AD12A8"/>
    <w:rsid w:val="00AD2544"/>
    <w:rsid w:val="00AE023F"/>
    <w:rsid w:val="00AF3577"/>
    <w:rsid w:val="00AF35F9"/>
    <w:rsid w:val="00B02544"/>
    <w:rsid w:val="00B02F42"/>
    <w:rsid w:val="00B05C7D"/>
    <w:rsid w:val="00B062F0"/>
    <w:rsid w:val="00B11170"/>
    <w:rsid w:val="00B16526"/>
    <w:rsid w:val="00B16B4A"/>
    <w:rsid w:val="00B24DE4"/>
    <w:rsid w:val="00B329D7"/>
    <w:rsid w:val="00B346C3"/>
    <w:rsid w:val="00B426FB"/>
    <w:rsid w:val="00B4471C"/>
    <w:rsid w:val="00B451A6"/>
    <w:rsid w:val="00B60B24"/>
    <w:rsid w:val="00B722DE"/>
    <w:rsid w:val="00B7544B"/>
    <w:rsid w:val="00B75A3D"/>
    <w:rsid w:val="00B766C8"/>
    <w:rsid w:val="00B76C44"/>
    <w:rsid w:val="00B82580"/>
    <w:rsid w:val="00B83D80"/>
    <w:rsid w:val="00B83F87"/>
    <w:rsid w:val="00B87F9E"/>
    <w:rsid w:val="00B918CD"/>
    <w:rsid w:val="00B93E7A"/>
    <w:rsid w:val="00B9705F"/>
    <w:rsid w:val="00BA12A5"/>
    <w:rsid w:val="00BA2EFA"/>
    <w:rsid w:val="00BA3AA9"/>
    <w:rsid w:val="00BA3DBC"/>
    <w:rsid w:val="00BB2DA2"/>
    <w:rsid w:val="00BB3CE3"/>
    <w:rsid w:val="00BB56DC"/>
    <w:rsid w:val="00BE183D"/>
    <w:rsid w:val="00BE4D56"/>
    <w:rsid w:val="00BE5005"/>
    <w:rsid w:val="00BF04E7"/>
    <w:rsid w:val="00BF11FB"/>
    <w:rsid w:val="00BF3017"/>
    <w:rsid w:val="00BF5B3C"/>
    <w:rsid w:val="00BF5D7A"/>
    <w:rsid w:val="00BF7418"/>
    <w:rsid w:val="00C02D33"/>
    <w:rsid w:val="00C04EF9"/>
    <w:rsid w:val="00C1232C"/>
    <w:rsid w:val="00C15FFD"/>
    <w:rsid w:val="00C229C3"/>
    <w:rsid w:val="00C22CB5"/>
    <w:rsid w:val="00C329F5"/>
    <w:rsid w:val="00C363FF"/>
    <w:rsid w:val="00C36442"/>
    <w:rsid w:val="00C400CE"/>
    <w:rsid w:val="00C410FD"/>
    <w:rsid w:val="00C42DDD"/>
    <w:rsid w:val="00C539FB"/>
    <w:rsid w:val="00C67FA0"/>
    <w:rsid w:val="00C71399"/>
    <w:rsid w:val="00C73431"/>
    <w:rsid w:val="00C83CE7"/>
    <w:rsid w:val="00C92447"/>
    <w:rsid w:val="00C940F6"/>
    <w:rsid w:val="00C9418F"/>
    <w:rsid w:val="00C95EE3"/>
    <w:rsid w:val="00C97A38"/>
    <w:rsid w:val="00CA246D"/>
    <w:rsid w:val="00CA3349"/>
    <w:rsid w:val="00CA50D9"/>
    <w:rsid w:val="00CB51A5"/>
    <w:rsid w:val="00CB5636"/>
    <w:rsid w:val="00CC5AA3"/>
    <w:rsid w:val="00CE0857"/>
    <w:rsid w:val="00CF5D12"/>
    <w:rsid w:val="00D016FD"/>
    <w:rsid w:val="00D04EA3"/>
    <w:rsid w:val="00D0664C"/>
    <w:rsid w:val="00D10F21"/>
    <w:rsid w:val="00D14EEF"/>
    <w:rsid w:val="00D176D5"/>
    <w:rsid w:val="00D17D85"/>
    <w:rsid w:val="00D2184A"/>
    <w:rsid w:val="00D24806"/>
    <w:rsid w:val="00D307BD"/>
    <w:rsid w:val="00D3101D"/>
    <w:rsid w:val="00D34040"/>
    <w:rsid w:val="00D343DF"/>
    <w:rsid w:val="00D34E69"/>
    <w:rsid w:val="00D36480"/>
    <w:rsid w:val="00D375EE"/>
    <w:rsid w:val="00D37672"/>
    <w:rsid w:val="00D378B7"/>
    <w:rsid w:val="00D45053"/>
    <w:rsid w:val="00D47050"/>
    <w:rsid w:val="00D62699"/>
    <w:rsid w:val="00D63AF2"/>
    <w:rsid w:val="00D71807"/>
    <w:rsid w:val="00D73120"/>
    <w:rsid w:val="00D742B0"/>
    <w:rsid w:val="00D82620"/>
    <w:rsid w:val="00D90D40"/>
    <w:rsid w:val="00D9725F"/>
    <w:rsid w:val="00DA01B1"/>
    <w:rsid w:val="00DA11A2"/>
    <w:rsid w:val="00DA14ED"/>
    <w:rsid w:val="00DA3300"/>
    <w:rsid w:val="00DB2EF1"/>
    <w:rsid w:val="00DB3DE1"/>
    <w:rsid w:val="00DB5DA0"/>
    <w:rsid w:val="00DB716C"/>
    <w:rsid w:val="00DB7833"/>
    <w:rsid w:val="00DC450C"/>
    <w:rsid w:val="00DC5C85"/>
    <w:rsid w:val="00DD01A9"/>
    <w:rsid w:val="00DD4236"/>
    <w:rsid w:val="00DD43F7"/>
    <w:rsid w:val="00DD44F1"/>
    <w:rsid w:val="00DE0CB2"/>
    <w:rsid w:val="00DE2001"/>
    <w:rsid w:val="00DE3067"/>
    <w:rsid w:val="00DF0799"/>
    <w:rsid w:val="00DF41A6"/>
    <w:rsid w:val="00DF4475"/>
    <w:rsid w:val="00DF7E4F"/>
    <w:rsid w:val="00E027BC"/>
    <w:rsid w:val="00E05BC0"/>
    <w:rsid w:val="00E06541"/>
    <w:rsid w:val="00E07A70"/>
    <w:rsid w:val="00E10C56"/>
    <w:rsid w:val="00E13B59"/>
    <w:rsid w:val="00E14EA5"/>
    <w:rsid w:val="00E17924"/>
    <w:rsid w:val="00E21133"/>
    <w:rsid w:val="00E2327E"/>
    <w:rsid w:val="00E266EF"/>
    <w:rsid w:val="00E42147"/>
    <w:rsid w:val="00E4562D"/>
    <w:rsid w:val="00E47428"/>
    <w:rsid w:val="00E52FED"/>
    <w:rsid w:val="00E54202"/>
    <w:rsid w:val="00E552F2"/>
    <w:rsid w:val="00E558D1"/>
    <w:rsid w:val="00E55EEA"/>
    <w:rsid w:val="00E57897"/>
    <w:rsid w:val="00E635ED"/>
    <w:rsid w:val="00E649C6"/>
    <w:rsid w:val="00E650D2"/>
    <w:rsid w:val="00E66B9F"/>
    <w:rsid w:val="00E710D6"/>
    <w:rsid w:val="00E71108"/>
    <w:rsid w:val="00E76E45"/>
    <w:rsid w:val="00E777C9"/>
    <w:rsid w:val="00E81DA6"/>
    <w:rsid w:val="00E84212"/>
    <w:rsid w:val="00E874B3"/>
    <w:rsid w:val="00E9086C"/>
    <w:rsid w:val="00E91A0F"/>
    <w:rsid w:val="00E94A71"/>
    <w:rsid w:val="00EA03CE"/>
    <w:rsid w:val="00EA1995"/>
    <w:rsid w:val="00EA23E5"/>
    <w:rsid w:val="00EA2B62"/>
    <w:rsid w:val="00EA4E2E"/>
    <w:rsid w:val="00EA65CD"/>
    <w:rsid w:val="00EB297D"/>
    <w:rsid w:val="00EB2CCB"/>
    <w:rsid w:val="00EB4823"/>
    <w:rsid w:val="00EB6B37"/>
    <w:rsid w:val="00EC57A7"/>
    <w:rsid w:val="00ED0817"/>
    <w:rsid w:val="00ED343B"/>
    <w:rsid w:val="00ED649E"/>
    <w:rsid w:val="00ED7DD9"/>
    <w:rsid w:val="00EE22E5"/>
    <w:rsid w:val="00EE2BD5"/>
    <w:rsid w:val="00EE2DD9"/>
    <w:rsid w:val="00EF3113"/>
    <w:rsid w:val="00EF344B"/>
    <w:rsid w:val="00EF3F84"/>
    <w:rsid w:val="00F01825"/>
    <w:rsid w:val="00F03424"/>
    <w:rsid w:val="00F176AC"/>
    <w:rsid w:val="00F26D15"/>
    <w:rsid w:val="00F27714"/>
    <w:rsid w:val="00F3098A"/>
    <w:rsid w:val="00F3276E"/>
    <w:rsid w:val="00F33D3C"/>
    <w:rsid w:val="00F37A91"/>
    <w:rsid w:val="00F45CF5"/>
    <w:rsid w:val="00F47DB0"/>
    <w:rsid w:val="00F50E34"/>
    <w:rsid w:val="00F53EF7"/>
    <w:rsid w:val="00F54BF2"/>
    <w:rsid w:val="00F655E4"/>
    <w:rsid w:val="00F66A5B"/>
    <w:rsid w:val="00F72EC9"/>
    <w:rsid w:val="00F76436"/>
    <w:rsid w:val="00F774A6"/>
    <w:rsid w:val="00F82AF7"/>
    <w:rsid w:val="00F92355"/>
    <w:rsid w:val="00F92F15"/>
    <w:rsid w:val="00F93963"/>
    <w:rsid w:val="00F94291"/>
    <w:rsid w:val="00FA5F6D"/>
    <w:rsid w:val="00FA7E3C"/>
    <w:rsid w:val="00FB7982"/>
    <w:rsid w:val="00FC0734"/>
    <w:rsid w:val="00FC0FC5"/>
    <w:rsid w:val="00FC588F"/>
    <w:rsid w:val="00FD2A63"/>
    <w:rsid w:val="00FD6185"/>
    <w:rsid w:val="00FD6590"/>
    <w:rsid w:val="00FE11CA"/>
    <w:rsid w:val="00FE1B30"/>
    <w:rsid w:val="00FE7B44"/>
    <w:rsid w:val="00FF1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A9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3Char">
    <w:name w:val="Heading 3 Char"/>
    <w:basedOn w:val="DefaultParagraphFont"/>
    <w:link w:val="Heading3"/>
    <w:rsid w:val="00102713"/>
    <w:rPr>
      <w:b/>
      <w:i/>
      <w:sz w:val="24"/>
      <w:lang w:eastAsia="en-US"/>
    </w:rPr>
  </w:style>
  <w:style w:type="paragraph" w:customStyle="1" w:styleId="Text">
    <w:name w:val="Text"/>
    <w:basedOn w:val="Normal"/>
    <w:next w:val="Normal"/>
    <w:link w:val="TextChar"/>
    <w:rsid w:val="0093073C"/>
    <w:pPr>
      <w:widowControl w:val="0"/>
      <w:suppressAutoHyphens/>
      <w:autoSpaceDE w:val="0"/>
      <w:autoSpaceDN w:val="0"/>
      <w:adjustRightInd w:val="0"/>
      <w:spacing w:line="240" w:lineRule="atLeast"/>
      <w:ind w:firstLine="200"/>
      <w:textAlignment w:val="center"/>
    </w:pPr>
    <w:rPr>
      <w:rFonts w:ascii="Goudy" w:eastAsia="Times New Roman" w:hAnsi="Goudy" w:cs="Goudy"/>
      <w:color w:val="000000"/>
      <w:sz w:val="20"/>
      <w:lang w:val="en-GB"/>
    </w:rPr>
  </w:style>
  <w:style w:type="character" w:customStyle="1" w:styleId="TextChar">
    <w:name w:val="Text Char"/>
    <w:basedOn w:val="DefaultParagraphFont"/>
    <w:link w:val="Text"/>
    <w:rsid w:val="0093073C"/>
    <w:rPr>
      <w:rFonts w:ascii="Goudy" w:eastAsia="Times New Roman" w:hAnsi="Goudy" w:cs="Goudy"/>
      <w:color w:val="000000"/>
      <w:lang w:val="en-GB" w:eastAsia="en-US"/>
    </w:rPr>
  </w:style>
  <w:style w:type="paragraph" w:styleId="Revision">
    <w:name w:val="Revision"/>
    <w:hidden/>
    <w:uiPriority w:val="99"/>
    <w:semiHidden/>
    <w:rsid w:val="00BA12A5"/>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3Char">
    <w:name w:val="Heading 3 Char"/>
    <w:basedOn w:val="DefaultParagraphFont"/>
    <w:link w:val="Heading3"/>
    <w:rsid w:val="00102713"/>
    <w:rPr>
      <w:b/>
      <w:i/>
      <w:sz w:val="24"/>
      <w:lang w:eastAsia="en-US"/>
    </w:rPr>
  </w:style>
  <w:style w:type="paragraph" w:customStyle="1" w:styleId="Text">
    <w:name w:val="Text"/>
    <w:basedOn w:val="Normal"/>
    <w:next w:val="Normal"/>
    <w:link w:val="TextChar"/>
    <w:rsid w:val="0093073C"/>
    <w:pPr>
      <w:widowControl w:val="0"/>
      <w:suppressAutoHyphens/>
      <w:autoSpaceDE w:val="0"/>
      <w:autoSpaceDN w:val="0"/>
      <w:adjustRightInd w:val="0"/>
      <w:spacing w:line="240" w:lineRule="atLeast"/>
      <w:ind w:firstLine="200"/>
      <w:textAlignment w:val="center"/>
    </w:pPr>
    <w:rPr>
      <w:rFonts w:ascii="Goudy" w:eastAsia="Times New Roman" w:hAnsi="Goudy" w:cs="Goudy"/>
      <w:color w:val="000000"/>
      <w:sz w:val="20"/>
      <w:lang w:val="en-GB"/>
    </w:rPr>
  </w:style>
  <w:style w:type="character" w:customStyle="1" w:styleId="TextChar">
    <w:name w:val="Text Char"/>
    <w:basedOn w:val="DefaultParagraphFont"/>
    <w:link w:val="Text"/>
    <w:rsid w:val="0093073C"/>
    <w:rPr>
      <w:rFonts w:ascii="Goudy" w:eastAsia="Times New Roman" w:hAnsi="Goudy" w:cs="Goudy"/>
      <w:color w:val="000000"/>
      <w:lang w:val="en-GB" w:eastAsia="en-US"/>
    </w:rPr>
  </w:style>
  <w:style w:type="paragraph" w:styleId="Revision">
    <w:name w:val="Revision"/>
    <w:hidden/>
    <w:uiPriority w:val="99"/>
    <w:semiHidden/>
    <w:rsid w:val="00BA12A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26320-E1E3-42D3-9B10-5494E232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36</Pages>
  <Words>14247</Words>
  <Characters>72173</Characters>
  <Application>Microsoft Office Word</Application>
  <DocSecurity>0</DocSecurity>
  <Lines>1266</Lines>
  <Paragraphs>354</Paragraphs>
  <ScaleCrop>false</ScaleCrop>
  <HeadingPairs>
    <vt:vector size="2" baseType="variant">
      <vt:variant>
        <vt:lpstr>Title</vt:lpstr>
      </vt:variant>
      <vt:variant>
        <vt:i4>1</vt:i4>
      </vt:variant>
    </vt:vector>
  </HeadingPairs>
  <TitlesOfParts>
    <vt:vector size="1" baseType="lpstr">
      <vt:lpstr>Onley v Catlin Syndicate Ltd as the Underwriting Member of Lloyd’s Syndicate 2003 [2018] FCAFC 119</vt:lpstr>
    </vt:vector>
  </TitlesOfParts>
  <Company>Federal Court of Australia</Company>
  <LinksUpToDate>false</LinksUpToDate>
  <CharactersWithSpaces>86066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Onley v Catlin Syndicate Ltd as the Underwriting Member of Lloyd’s Syndicate 2003 [2018] FCAFC 119</dc:title>
  <dc:creator>Federal Court of Australia</dc:creator>
  <cp:lastModifiedBy>Anna Masters</cp:lastModifiedBy>
  <cp:revision>3</cp:revision>
  <cp:lastPrinted>2018-08-02T05:06:00Z</cp:lastPrinted>
  <dcterms:created xsi:type="dcterms:W3CDTF">2018-08-03T01:45:00Z</dcterms:created>
  <dcterms:modified xsi:type="dcterms:W3CDTF">2018-08-03T01:46:00Z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 LEE AND DERRINGTON JJ</vt:lpwstr>
  </property>
  <property fmtid="{D5CDD505-2E9C-101B-9397-08002B2CF9AE}" pid="4" name="Judgment_dated" linkTarget="Judgment_dated">
    <vt:lpwstr>3 AUGUST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35</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Commercial Contracts, Banking, Finance and Insurance</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