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B392" w14:textId="12B0B447" w:rsidR="00395B24" w:rsidRDefault="00BE3059" w:rsidP="00A22932">
      <w:pPr>
        <w:pStyle w:val="CourtTitle"/>
      </w:pPr>
      <w:r>
        <w:rPr>
          <w:caps w:val="0"/>
        </w:rPr>
        <w:t>FEDERAL COURT OF AUSTRALIA</w:t>
      </w:r>
    </w:p>
    <w:p w14:paraId="6534AA9A" w14:textId="77777777" w:rsidR="004D7950" w:rsidRDefault="004D7950">
      <w:pPr>
        <w:pStyle w:val="NormalHeadings"/>
        <w:jc w:val="center"/>
        <w:rPr>
          <w:sz w:val="32"/>
        </w:rPr>
      </w:pPr>
    </w:p>
    <w:bookmarkStart w:id="0" w:name="MNC"/>
    <w:p w14:paraId="3081D207" w14:textId="6D781638" w:rsidR="00374CC4" w:rsidRDefault="009E0B81" w:rsidP="001A2B40">
      <w:pPr>
        <w:pStyle w:val="MNC"/>
      </w:pPr>
      <w:sdt>
        <w:sdtPr>
          <w:alias w:val="MNC"/>
          <w:tag w:val="MNC"/>
          <w:id w:val="343289786"/>
          <w:lock w:val="sdtLocked"/>
          <w:placeholder>
            <w:docPart w:val="FC3614CE814E4D82A33C1DDB71772E84"/>
          </w:placeholder>
          <w:dataBinding w:prefixMappings="xmlns:ns0='http://schemas.globalmacros.com/FCA'" w:xpath="/ns0:root[1]/ns0:Name[1]" w:storeItemID="{687E7CCB-4AA5-44E7-B148-17BA2B6F57C0}"/>
          <w:text w:multiLine="1"/>
        </w:sdtPr>
        <w:sdtEndPr/>
        <w:sdtContent>
          <w:r w:rsidR="00BB7D00" w:rsidRPr="00BB7D00">
            <w:t xml:space="preserve"> </w:t>
          </w:r>
          <w:proofErr w:type="spellStart"/>
          <w:r w:rsidR="00BB7D00" w:rsidRPr="00BB7D00">
            <w:t>Vitaco</w:t>
          </w:r>
          <w:proofErr w:type="spellEnd"/>
          <w:r w:rsidR="00BB7D00" w:rsidRPr="00BB7D00">
            <w:t xml:space="preserve"> Health IP Pty Ltd v AFI Cosmetic Pty Ltd (No 2) [2024] FCA 99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44"/>
        <w:gridCol w:w="11"/>
        <w:gridCol w:w="34"/>
      </w:tblGrid>
      <w:tr w:rsidR="00395B24" w14:paraId="3131560E" w14:textId="77777777" w:rsidTr="007A0D29">
        <w:tc>
          <w:tcPr>
            <w:tcW w:w="3083" w:type="dxa"/>
            <w:shd w:val="clear" w:color="auto" w:fill="auto"/>
          </w:tcPr>
          <w:p w14:paraId="44284280" w14:textId="193F97F2" w:rsidR="00395B24" w:rsidRDefault="002C7385" w:rsidP="00663878">
            <w:pPr>
              <w:pStyle w:val="Normal1linespace"/>
              <w:widowControl w:val="0"/>
              <w:jc w:val="left"/>
            </w:pPr>
            <w:r>
              <w:t>File number:</w:t>
            </w:r>
          </w:p>
        </w:tc>
        <w:tc>
          <w:tcPr>
            <w:tcW w:w="5989" w:type="dxa"/>
            <w:gridSpan w:val="3"/>
            <w:shd w:val="clear" w:color="auto" w:fill="auto"/>
          </w:tcPr>
          <w:p w14:paraId="578C01E3" w14:textId="6AE3EF48" w:rsidR="00395B24" w:rsidRPr="005542E6" w:rsidRDefault="009E0B81" w:rsidP="005542E6">
            <w:pPr>
              <w:pStyle w:val="Normal1linespace"/>
              <w:jc w:val="left"/>
            </w:pPr>
            <w:r>
              <w:fldChar w:fldCharType="begin" w:fldLock="1"/>
            </w:r>
            <w:r>
              <w:instrText xml:space="preserve"> REF  FileNo  \* MERGEFORMAT </w:instrText>
            </w:r>
            <w:r>
              <w:fldChar w:fldCharType="separate"/>
            </w:r>
            <w:r w:rsidR="005542E6" w:rsidRPr="005542E6">
              <w:t>VID 953 of 2023</w:t>
            </w:r>
            <w:r>
              <w:fldChar w:fldCharType="end"/>
            </w:r>
          </w:p>
        </w:tc>
      </w:tr>
      <w:tr w:rsidR="00395B24" w14:paraId="652E2C82" w14:textId="77777777" w:rsidTr="007A0D29">
        <w:tc>
          <w:tcPr>
            <w:tcW w:w="3083" w:type="dxa"/>
            <w:shd w:val="clear" w:color="auto" w:fill="auto"/>
          </w:tcPr>
          <w:p w14:paraId="4CBF22D7" w14:textId="77777777" w:rsidR="00395B24" w:rsidRDefault="00395B24" w:rsidP="00663878">
            <w:pPr>
              <w:pStyle w:val="Normal1linespace"/>
              <w:widowControl w:val="0"/>
              <w:jc w:val="left"/>
            </w:pPr>
          </w:p>
        </w:tc>
        <w:tc>
          <w:tcPr>
            <w:tcW w:w="5989" w:type="dxa"/>
            <w:gridSpan w:val="3"/>
            <w:shd w:val="clear" w:color="auto" w:fill="auto"/>
          </w:tcPr>
          <w:p w14:paraId="5BA85E15" w14:textId="77777777" w:rsidR="00395B24" w:rsidRDefault="00395B24" w:rsidP="00663878">
            <w:pPr>
              <w:pStyle w:val="Normal1linespace"/>
              <w:widowControl w:val="0"/>
              <w:jc w:val="left"/>
            </w:pPr>
          </w:p>
        </w:tc>
      </w:tr>
      <w:tr w:rsidR="00395B24" w14:paraId="15472A02" w14:textId="77777777" w:rsidTr="007A0D29">
        <w:tc>
          <w:tcPr>
            <w:tcW w:w="3083" w:type="dxa"/>
            <w:shd w:val="clear" w:color="auto" w:fill="auto"/>
          </w:tcPr>
          <w:p w14:paraId="376E721C" w14:textId="77777777" w:rsidR="00395B24" w:rsidRDefault="002C7385" w:rsidP="00663878">
            <w:pPr>
              <w:pStyle w:val="Normal1linespace"/>
              <w:widowControl w:val="0"/>
              <w:jc w:val="left"/>
            </w:pPr>
            <w:r>
              <w:t>Judg</w:t>
            </w:r>
            <w:r w:rsidR="005724F6">
              <w:t>ment of</w:t>
            </w:r>
            <w:r>
              <w:t>:</w:t>
            </w:r>
          </w:p>
        </w:tc>
        <w:tc>
          <w:tcPr>
            <w:tcW w:w="5989" w:type="dxa"/>
            <w:gridSpan w:val="3"/>
            <w:shd w:val="clear" w:color="auto" w:fill="auto"/>
          </w:tcPr>
          <w:p w14:paraId="231C71D1" w14:textId="00917844" w:rsidR="00395B24" w:rsidRDefault="002C7385" w:rsidP="00663878">
            <w:pPr>
              <w:pStyle w:val="Normal1linespace"/>
              <w:widowControl w:val="0"/>
              <w:jc w:val="left"/>
              <w:rPr>
                <w:b/>
              </w:rPr>
            </w:pPr>
            <w:r w:rsidRPr="005542E6">
              <w:rPr>
                <w:b/>
              </w:rPr>
              <w:fldChar w:fldCharType="begin" w:fldLock="1"/>
            </w:r>
            <w:r w:rsidRPr="005542E6">
              <w:rPr>
                <w:b/>
              </w:rPr>
              <w:instrText xml:space="preserve"> REF  Judge  \* MERGEFORMAT </w:instrText>
            </w:r>
            <w:r w:rsidRPr="005542E6">
              <w:rPr>
                <w:b/>
              </w:rPr>
              <w:fldChar w:fldCharType="separate"/>
            </w:r>
            <w:r w:rsidR="005542E6" w:rsidRPr="005542E6">
              <w:rPr>
                <w:b/>
                <w:caps/>
                <w:szCs w:val="24"/>
              </w:rPr>
              <w:t>ROFE J</w:t>
            </w:r>
            <w:r w:rsidRPr="005542E6">
              <w:rPr>
                <w:b/>
              </w:rPr>
              <w:fldChar w:fldCharType="end"/>
            </w:r>
          </w:p>
        </w:tc>
      </w:tr>
      <w:tr w:rsidR="00395B24" w14:paraId="54BCBF7B" w14:textId="77777777" w:rsidTr="007A0D29">
        <w:tc>
          <w:tcPr>
            <w:tcW w:w="3083" w:type="dxa"/>
            <w:shd w:val="clear" w:color="auto" w:fill="auto"/>
          </w:tcPr>
          <w:p w14:paraId="6623425A" w14:textId="77777777" w:rsidR="00395B24" w:rsidRDefault="00395B24" w:rsidP="00663878">
            <w:pPr>
              <w:pStyle w:val="Normal1linespace"/>
              <w:widowControl w:val="0"/>
              <w:jc w:val="left"/>
            </w:pPr>
          </w:p>
        </w:tc>
        <w:tc>
          <w:tcPr>
            <w:tcW w:w="5989" w:type="dxa"/>
            <w:gridSpan w:val="3"/>
            <w:shd w:val="clear" w:color="auto" w:fill="auto"/>
          </w:tcPr>
          <w:p w14:paraId="71B5564D" w14:textId="77777777" w:rsidR="00395B24" w:rsidRDefault="00395B24" w:rsidP="00663878">
            <w:pPr>
              <w:pStyle w:val="Normal1linespace"/>
              <w:widowControl w:val="0"/>
              <w:jc w:val="left"/>
            </w:pPr>
          </w:p>
        </w:tc>
      </w:tr>
      <w:tr w:rsidR="00395B24" w14:paraId="03095EDA" w14:textId="77777777" w:rsidTr="007A0D29">
        <w:tc>
          <w:tcPr>
            <w:tcW w:w="3083" w:type="dxa"/>
            <w:shd w:val="clear" w:color="auto" w:fill="auto"/>
          </w:tcPr>
          <w:p w14:paraId="680AC718" w14:textId="77777777" w:rsidR="00395B24" w:rsidRDefault="002C7385" w:rsidP="00663878">
            <w:pPr>
              <w:pStyle w:val="Normal1linespace"/>
              <w:widowControl w:val="0"/>
              <w:jc w:val="left"/>
            </w:pPr>
            <w:r>
              <w:t>Date of judgment:</w:t>
            </w:r>
          </w:p>
        </w:tc>
        <w:tc>
          <w:tcPr>
            <w:tcW w:w="5989" w:type="dxa"/>
            <w:gridSpan w:val="3"/>
            <w:shd w:val="clear" w:color="auto" w:fill="auto"/>
          </w:tcPr>
          <w:p w14:paraId="0084D5C4" w14:textId="2643398B" w:rsidR="00395B24" w:rsidRDefault="00EA5716" w:rsidP="00663878">
            <w:pPr>
              <w:pStyle w:val="Normal1linespace"/>
              <w:widowControl w:val="0"/>
              <w:jc w:val="left"/>
            </w:pPr>
            <w:r>
              <w:t xml:space="preserve">19 February 2024 </w:t>
            </w:r>
          </w:p>
        </w:tc>
      </w:tr>
      <w:tr w:rsidR="00395B24" w14:paraId="35007AC7" w14:textId="77777777" w:rsidTr="007A0D29">
        <w:tc>
          <w:tcPr>
            <w:tcW w:w="3083" w:type="dxa"/>
            <w:shd w:val="clear" w:color="auto" w:fill="auto"/>
          </w:tcPr>
          <w:p w14:paraId="19888FD7" w14:textId="77777777" w:rsidR="00395B24" w:rsidRDefault="00395B24" w:rsidP="00663878">
            <w:pPr>
              <w:pStyle w:val="Normal1linespace"/>
              <w:widowControl w:val="0"/>
              <w:jc w:val="left"/>
            </w:pPr>
          </w:p>
        </w:tc>
        <w:tc>
          <w:tcPr>
            <w:tcW w:w="5989" w:type="dxa"/>
            <w:gridSpan w:val="3"/>
            <w:shd w:val="clear" w:color="auto" w:fill="auto"/>
          </w:tcPr>
          <w:p w14:paraId="2702E463" w14:textId="77777777" w:rsidR="00395B24" w:rsidRDefault="00395B24" w:rsidP="00663878">
            <w:pPr>
              <w:pStyle w:val="Normal1linespace"/>
              <w:widowControl w:val="0"/>
              <w:jc w:val="left"/>
            </w:pPr>
          </w:p>
        </w:tc>
      </w:tr>
      <w:tr w:rsidR="00395B24" w14:paraId="4386FE4D" w14:textId="77777777" w:rsidTr="007A0D29">
        <w:tc>
          <w:tcPr>
            <w:tcW w:w="3083" w:type="dxa"/>
            <w:shd w:val="clear" w:color="auto" w:fill="auto"/>
          </w:tcPr>
          <w:p w14:paraId="6E72E717" w14:textId="77777777" w:rsidR="00395B24" w:rsidRDefault="002C7385" w:rsidP="00663878">
            <w:pPr>
              <w:pStyle w:val="Normal1linespace"/>
              <w:widowControl w:val="0"/>
              <w:jc w:val="left"/>
            </w:pPr>
            <w:r>
              <w:t>Catchwords:</w:t>
            </w:r>
          </w:p>
        </w:tc>
        <w:tc>
          <w:tcPr>
            <w:tcW w:w="5989" w:type="dxa"/>
            <w:gridSpan w:val="3"/>
            <w:shd w:val="clear" w:color="auto" w:fill="auto"/>
          </w:tcPr>
          <w:p w14:paraId="514D42FB" w14:textId="06E416E1" w:rsidR="007A0D29" w:rsidRDefault="007A0D29" w:rsidP="007A0D29">
            <w:pPr>
              <w:pStyle w:val="Normal1linespace"/>
              <w:widowControl w:val="0"/>
              <w:jc w:val="left"/>
            </w:pPr>
            <w:r w:rsidRPr="007A0D29">
              <w:rPr>
                <w:b/>
                <w:bCs/>
              </w:rPr>
              <w:t>PRACTICE AND PROCEDURE</w:t>
            </w:r>
            <w:r>
              <w:t xml:space="preserve"> – application for an order for deemed service of documents – failed attempts to effect personal service – documents brought to attention of second respondent – application allowed </w:t>
            </w:r>
          </w:p>
          <w:p w14:paraId="1C0F65DC" w14:textId="77777777" w:rsidR="007A0D29" w:rsidRDefault="007A0D29" w:rsidP="007A0D29">
            <w:pPr>
              <w:pStyle w:val="Normal1linespace"/>
              <w:widowControl w:val="0"/>
              <w:jc w:val="left"/>
            </w:pPr>
          </w:p>
          <w:p w14:paraId="491847CA" w14:textId="6E880CDA" w:rsidR="00052EC8" w:rsidRDefault="007A0D29" w:rsidP="007A0D29">
            <w:pPr>
              <w:pStyle w:val="Normal1linespace"/>
              <w:widowControl w:val="0"/>
              <w:jc w:val="left"/>
            </w:pPr>
            <w:r w:rsidRPr="007A0D29">
              <w:rPr>
                <w:b/>
                <w:bCs/>
              </w:rPr>
              <w:t>PRACTICE AND PROCEDURE</w:t>
            </w:r>
            <w:r>
              <w:t xml:space="preserve"> − application for substituted service – where second respondent is sole director and secretary of the first respondent – where order</w:t>
            </w:r>
            <w:r w:rsidR="005F2D4F">
              <w:t>s</w:t>
            </w:r>
            <w:r>
              <w:t xml:space="preserve"> for substituted service have been made in respect of the first respondent</w:t>
            </w:r>
          </w:p>
        </w:tc>
      </w:tr>
      <w:tr w:rsidR="00395B24" w14:paraId="3BAB4D0E" w14:textId="77777777" w:rsidTr="007A0D29">
        <w:tc>
          <w:tcPr>
            <w:tcW w:w="3083" w:type="dxa"/>
            <w:shd w:val="clear" w:color="auto" w:fill="auto"/>
          </w:tcPr>
          <w:p w14:paraId="2CD6BBB9" w14:textId="77777777" w:rsidR="00395B24" w:rsidRDefault="00395B24" w:rsidP="00663878">
            <w:pPr>
              <w:pStyle w:val="Normal1linespace"/>
              <w:widowControl w:val="0"/>
              <w:jc w:val="left"/>
            </w:pPr>
          </w:p>
        </w:tc>
        <w:tc>
          <w:tcPr>
            <w:tcW w:w="5989" w:type="dxa"/>
            <w:gridSpan w:val="3"/>
            <w:shd w:val="clear" w:color="auto" w:fill="auto"/>
          </w:tcPr>
          <w:p w14:paraId="44EC6353" w14:textId="77777777" w:rsidR="00395B24" w:rsidRDefault="00395B24" w:rsidP="00663878">
            <w:pPr>
              <w:pStyle w:val="Normal1linespace"/>
              <w:widowControl w:val="0"/>
              <w:jc w:val="left"/>
            </w:pPr>
          </w:p>
        </w:tc>
      </w:tr>
      <w:tr w:rsidR="00395B24" w14:paraId="57A46135" w14:textId="77777777" w:rsidTr="007A0D29">
        <w:tc>
          <w:tcPr>
            <w:tcW w:w="3083" w:type="dxa"/>
            <w:shd w:val="clear" w:color="auto" w:fill="auto"/>
          </w:tcPr>
          <w:p w14:paraId="35B7ED20" w14:textId="77777777" w:rsidR="00395B24" w:rsidRDefault="002C7385" w:rsidP="00663878">
            <w:pPr>
              <w:pStyle w:val="Normal1linespace"/>
              <w:widowControl w:val="0"/>
              <w:jc w:val="left"/>
            </w:pPr>
            <w:r>
              <w:t>Legislation:</w:t>
            </w:r>
          </w:p>
        </w:tc>
        <w:tc>
          <w:tcPr>
            <w:tcW w:w="5989" w:type="dxa"/>
            <w:gridSpan w:val="3"/>
            <w:shd w:val="clear" w:color="auto" w:fill="auto"/>
          </w:tcPr>
          <w:p w14:paraId="6C10B2B3" w14:textId="4360ABD2" w:rsidR="007A0D29" w:rsidRPr="007A0D29" w:rsidRDefault="007A0D29" w:rsidP="007A0D29">
            <w:pPr>
              <w:pStyle w:val="CasesLegislationAppealFrom"/>
              <w:spacing w:after="60"/>
            </w:pPr>
            <w:bookmarkStart w:id="1" w:name="Legislation"/>
            <w:r w:rsidRPr="007A0D29">
              <w:rPr>
                <w:i/>
                <w:iCs/>
              </w:rPr>
              <w:t>Federal Court Rules 2011</w:t>
            </w:r>
            <w:r w:rsidRPr="007A0D29">
              <w:t xml:space="preserve"> (Cth)</w:t>
            </w:r>
            <w:bookmarkEnd w:id="1"/>
          </w:p>
        </w:tc>
      </w:tr>
      <w:tr w:rsidR="00395B24" w14:paraId="26A403CF" w14:textId="77777777" w:rsidTr="007A0D29">
        <w:tc>
          <w:tcPr>
            <w:tcW w:w="3083" w:type="dxa"/>
            <w:shd w:val="clear" w:color="auto" w:fill="auto"/>
          </w:tcPr>
          <w:p w14:paraId="5832028C" w14:textId="77777777" w:rsidR="00395B24" w:rsidRDefault="00395B24" w:rsidP="00663878">
            <w:pPr>
              <w:pStyle w:val="Normal1linespace"/>
              <w:widowControl w:val="0"/>
              <w:jc w:val="left"/>
            </w:pPr>
          </w:p>
        </w:tc>
        <w:tc>
          <w:tcPr>
            <w:tcW w:w="5989" w:type="dxa"/>
            <w:gridSpan w:val="3"/>
            <w:shd w:val="clear" w:color="auto" w:fill="auto"/>
          </w:tcPr>
          <w:p w14:paraId="11989BF7" w14:textId="77777777" w:rsidR="00395B24" w:rsidRDefault="00395B24" w:rsidP="00663878">
            <w:pPr>
              <w:pStyle w:val="Normal1linespace"/>
              <w:widowControl w:val="0"/>
              <w:jc w:val="left"/>
            </w:pPr>
          </w:p>
        </w:tc>
      </w:tr>
      <w:tr w:rsidR="00395B24" w14:paraId="6C5FBC38" w14:textId="77777777" w:rsidTr="007A0D29">
        <w:tc>
          <w:tcPr>
            <w:tcW w:w="3083" w:type="dxa"/>
            <w:shd w:val="clear" w:color="auto" w:fill="auto"/>
          </w:tcPr>
          <w:p w14:paraId="7D32F510" w14:textId="77777777" w:rsidR="00395B24" w:rsidRDefault="002C7385" w:rsidP="00663878">
            <w:pPr>
              <w:pStyle w:val="Normal1linespace"/>
              <w:widowControl w:val="0"/>
              <w:jc w:val="left"/>
            </w:pPr>
            <w:r>
              <w:t>Cases cited:</w:t>
            </w:r>
          </w:p>
        </w:tc>
        <w:tc>
          <w:tcPr>
            <w:tcW w:w="5989" w:type="dxa"/>
            <w:gridSpan w:val="3"/>
            <w:shd w:val="clear" w:color="auto" w:fill="auto"/>
          </w:tcPr>
          <w:p w14:paraId="5B35B81F" w14:textId="77777777" w:rsidR="007A0D29" w:rsidRPr="007A0D29" w:rsidRDefault="007A0D29" w:rsidP="007A0D29">
            <w:pPr>
              <w:pStyle w:val="CasesLegislationAppealFrom"/>
              <w:spacing w:after="60"/>
            </w:pPr>
            <w:bookmarkStart w:id="2" w:name="Cases_Cited"/>
            <w:r w:rsidRPr="007A0D29">
              <w:rPr>
                <w:i/>
                <w:iCs/>
              </w:rPr>
              <w:t xml:space="preserve">Heenan (Recs), Ruby Apartments Pty Ltd (In </w:t>
            </w:r>
            <w:proofErr w:type="spellStart"/>
            <w:r w:rsidRPr="007A0D29">
              <w:rPr>
                <w:i/>
                <w:iCs/>
              </w:rPr>
              <w:t>Liq</w:t>
            </w:r>
            <w:proofErr w:type="spellEnd"/>
            <w:r w:rsidRPr="007A0D29">
              <w:rPr>
                <w:i/>
                <w:iCs/>
              </w:rPr>
              <w:t xml:space="preserve">) v Ralan Paradise No 1 Pty Ltd (In </w:t>
            </w:r>
            <w:proofErr w:type="spellStart"/>
            <w:r w:rsidRPr="007A0D29">
              <w:rPr>
                <w:i/>
                <w:iCs/>
              </w:rPr>
              <w:t>Liq</w:t>
            </w:r>
            <w:proofErr w:type="spellEnd"/>
            <w:r w:rsidRPr="007A0D29">
              <w:rPr>
                <w:i/>
                <w:iCs/>
              </w:rPr>
              <w:t>)</w:t>
            </w:r>
            <w:r w:rsidRPr="007A0D29">
              <w:t xml:space="preserve"> (2020) 149 ACSR 205</w:t>
            </w:r>
          </w:p>
          <w:p w14:paraId="36E57705" w14:textId="77777777" w:rsidR="007A0D29" w:rsidRPr="007A0D29" w:rsidRDefault="007A0D29" w:rsidP="007A0D29">
            <w:pPr>
              <w:pStyle w:val="CasesLegislationAppealFrom"/>
              <w:spacing w:after="60"/>
            </w:pPr>
            <w:r w:rsidRPr="007A0D29">
              <w:rPr>
                <w:i/>
              </w:rPr>
              <w:t>Kosmos Capital Pty Ltd v Turiya Ventures LLC</w:t>
            </w:r>
            <w:r w:rsidRPr="007A0D29">
              <w:t xml:space="preserve"> [2019] FCA 528</w:t>
            </w:r>
          </w:p>
          <w:p w14:paraId="26F050FD" w14:textId="1C13DB07" w:rsidR="007A0D29" w:rsidRPr="007A0D29" w:rsidRDefault="007A0D29" w:rsidP="007A0D29">
            <w:pPr>
              <w:pStyle w:val="CasesLegislationAppealFrom"/>
              <w:spacing w:after="60"/>
            </w:pPr>
            <w:proofErr w:type="spellStart"/>
            <w:r w:rsidRPr="007A0D29">
              <w:rPr>
                <w:i/>
                <w:iCs/>
              </w:rPr>
              <w:t>Vitaco</w:t>
            </w:r>
            <w:proofErr w:type="spellEnd"/>
            <w:r w:rsidRPr="007A0D29">
              <w:rPr>
                <w:i/>
                <w:iCs/>
              </w:rPr>
              <w:t xml:space="preserve"> Health IP Pty Ltd v AFI Cosmetic Pty Ltd</w:t>
            </w:r>
            <w:r w:rsidRPr="007A0D29">
              <w:t xml:space="preserve"> [2023] FCA 1463</w:t>
            </w:r>
            <w:bookmarkEnd w:id="2"/>
          </w:p>
        </w:tc>
      </w:tr>
      <w:tr w:rsidR="005542E6" w14:paraId="62D54E8E" w14:textId="77777777" w:rsidTr="007A0D29">
        <w:tc>
          <w:tcPr>
            <w:tcW w:w="3083" w:type="dxa"/>
            <w:shd w:val="clear" w:color="auto" w:fill="auto"/>
          </w:tcPr>
          <w:p w14:paraId="442EA220" w14:textId="77777777" w:rsidR="005542E6" w:rsidRDefault="005542E6" w:rsidP="002F7154">
            <w:pPr>
              <w:pStyle w:val="Normal1linespace"/>
              <w:widowControl w:val="0"/>
            </w:pPr>
          </w:p>
        </w:tc>
        <w:tc>
          <w:tcPr>
            <w:tcW w:w="5989" w:type="dxa"/>
            <w:gridSpan w:val="3"/>
            <w:shd w:val="clear" w:color="auto" w:fill="auto"/>
          </w:tcPr>
          <w:p w14:paraId="4C0E7CC4" w14:textId="77777777" w:rsidR="005542E6" w:rsidRDefault="005542E6" w:rsidP="002F7154">
            <w:pPr>
              <w:pStyle w:val="Normal1linespace"/>
              <w:widowControl w:val="0"/>
              <w:jc w:val="left"/>
            </w:pPr>
          </w:p>
        </w:tc>
      </w:tr>
      <w:tr w:rsidR="005542E6" w14:paraId="7134F690" w14:textId="77777777" w:rsidTr="007A0D29">
        <w:tc>
          <w:tcPr>
            <w:tcW w:w="3083" w:type="dxa"/>
            <w:shd w:val="clear" w:color="auto" w:fill="auto"/>
          </w:tcPr>
          <w:p w14:paraId="2C33983F" w14:textId="77777777" w:rsidR="005542E6" w:rsidRDefault="005542E6" w:rsidP="00501A12">
            <w:pPr>
              <w:pStyle w:val="Normal1linespace"/>
              <w:widowControl w:val="0"/>
            </w:pPr>
            <w:r>
              <w:t>Division:</w:t>
            </w:r>
          </w:p>
        </w:tc>
        <w:tc>
          <w:tcPr>
            <w:tcW w:w="5989" w:type="dxa"/>
            <w:gridSpan w:val="3"/>
            <w:shd w:val="clear" w:color="auto" w:fill="auto"/>
          </w:tcPr>
          <w:p w14:paraId="526469A0" w14:textId="5DCCD50E" w:rsidR="005542E6" w:rsidRPr="00F17599" w:rsidRDefault="005542E6" w:rsidP="00501A12">
            <w:pPr>
              <w:pStyle w:val="Normal1linespace"/>
              <w:widowControl w:val="0"/>
              <w:jc w:val="left"/>
            </w:pPr>
            <w:r>
              <w:t>General Division</w:t>
            </w:r>
          </w:p>
        </w:tc>
      </w:tr>
      <w:tr w:rsidR="005542E6" w14:paraId="4CC7C9AD" w14:textId="77777777" w:rsidTr="007A0D29">
        <w:tc>
          <w:tcPr>
            <w:tcW w:w="3083" w:type="dxa"/>
            <w:shd w:val="clear" w:color="auto" w:fill="auto"/>
          </w:tcPr>
          <w:p w14:paraId="17E3F18B" w14:textId="77777777" w:rsidR="005542E6" w:rsidRDefault="005542E6" w:rsidP="00501A12">
            <w:pPr>
              <w:pStyle w:val="Normal1linespace"/>
              <w:widowControl w:val="0"/>
            </w:pPr>
            <w:bookmarkStart w:id="3" w:name="Registry_rows" w:colFirst="0" w:colLast="1"/>
          </w:p>
        </w:tc>
        <w:tc>
          <w:tcPr>
            <w:tcW w:w="5989" w:type="dxa"/>
            <w:gridSpan w:val="3"/>
            <w:shd w:val="clear" w:color="auto" w:fill="auto"/>
          </w:tcPr>
          <w:p w14:paraId="1EB62575" w14:textId="77777777" w:rsidR="005542E6" w:rsidRDefault="005542E6" w:rsidP="00501A12">
            <w:pPr>
              <w:pStyle w:val="Normal1linespace"/>
              <w:widowControl w:val="0"/>
              <w:jc w:val="left"/>
            </w:pPr>
          </w:p>
        </w:tc>
      </w:tr>
      <w:tr w:rsidR="005542E6" w14:paraId="1B44B22A" w14:textId="77777777" w:rsidTr="007A0D29">
        <w:tc>
          <w:tcPr>
            <w:tcW w:w="3083" w:type="dxa"/>
            <w:shd w:val="clear" w:color="auto" w:fill="auto"/>
          </w:tcPr>
          <w:p w14:paraId="2790D953" w14:textId="77777777" w:rsidR="005542E6" w:rsidRDefault="005542E6" w:rsidP="00501A12">
            <w:pPr>
              <w:pStyle w:val="Normal1linespace"/>
              <w:widowControl w:val="0"/>
            </w:pPr>
            <w:r>
              <w:t>Registry:</w:t>
            </w:r>
          </w:p>
        </w:tc>
        <w:tc>
          <w:tcPr>
            <w:tcW w:w="5989" w:type="dxa"/>
            <w:gridSpan w:val="3"/>
            <w:shd w:val="clear" w:color="auto" w:fill="auto"/>
          </w:tcPr>
          <w:p w14:paraId="7AEE1912" w14:textId="765006B5" w:rsidR="005542E6" w:rsidRPr="00F17599" w:rsidRDefault="005542E6" w:rsidP="00501A12">
            <w:pPr>
              <w:pStyle w:val="Normal1linespace"/>
              <w:widowControl w:val="0"/>
              <w:jc w:val="left"/>
            </w:pPr>
            <w:r>
              <w:t>Victoria</w:t>
            </w:r>
          </w:p>
        </w:tc>
      </w:tr>
      <w:tr w:rsidR="005542E6" w14:paraId="1D8CB45E" w14:textId="77777777" w:rsidTr="007A0D29">
        <w:tc>
          <w:tcPr>
            <w:tcW w:w="3083" w:type="dxa"/>
            <w:shd w:val="clear" w:color="auto" w:fill="auto"/>
          </w:tcPr>
          <w:p w14:paraId="4D86DCFE" w14:textId="77777777" w:rsidR="005542E6" w:rsidRDefault="005542E6" w:rsidP="00501A12">
            <w:pPr>
              <w:pStyle w:val="Normal1linespace"/>
              <w:widowControl w:val="0"/>
            </w:pPr>
            <w:bookmarkStart w:id="4" w:name="NPARow" w:colFirst="0" w:colLast="1"/>
            <w:bookmarkEnd w:id="3"/>
          </w:p>
        </w:tc>
        <w:tc>
          <w:tcPr>
            <w:tcW w:w="5989" w:type="dxa"/>
            <w:gridSpan w:val="3"/>
            <w:shd w:val="clear" w:color="auto" w:fill="auto"/>
          </w:tcPr>
          <w:p w14:paraId="49D8CF12" w14:textId="77777777" w:rsidR="005542E6" w:rsidRPr="00F17599" w:rsidRDefault="005542E6" w:rsidP="00501A12">
            <w:pPr>
              <w:pStyle w:val="Normal1linespace"/>
              <w:widowControl w:val="0"/>
              <w:jc w:val="left"/>
              <w:rPr>
                <w:b/>
              </w:rPr>
            </w:pPr>
          </w:p>
        </w:tc>
      </w:tr>
      <w:tr w:rsidR="005542E6" w14:paraId="4391B2B0" w14:textId="77777777" w:rsidTr="007A0D29">
        <w:tc>
          <w:tcPr>
            <w:tcW w:w="3083" w:type="dxa"/>
            <w:shd w:val="clear" w:color="auto" w:fill="auto"/>
          </w:tcPr>
          <w:p w14:paraId="39F030EC" w14:textId="77777777" w:rsidR="005542E6" w:rsidRDefault="005542E6" w:rsidP="00501A12">
            <w:pPr>
              <w:pStyle w:val="Normal1linespace"/>
              <w:widowControl w:val="0"/>
            </w:pPr>
            <w:r>
              <w:t>National Practice Area:</w:t>
            </w:r>
          </w:p>
        </w:tc>
        <w:tc>
          <w:tcPr>
            <w:tcW w:w="5989" w:type="dxa"/>
            <w:gridSpan w:val="3"/>
            <w:shd w:val="clear" w:color="auto" w:fill="auto"/>
          </w:tcPr>
          <w:p w14:paraId="4E919F1B" w14:textId="611FFC0F" w:rsidR="005542E6" w:rsidRPr="00F17599" w:rsidRDefault="005542E6" w:rsidP="00171DBB">
            <w:pPr>
              <w:pStyle w:val="Normal1linespace"/>
              <w:widowControl w:val="0"/>
              <w:jc w:val="left"/>
              <w:rPr>
                <w:b/>
              </w:rPr>
            </w:pPr>
            <w:r>
              <w:t>Intellectual Property</w:t>
            </w:r>
          </w:p>
        </w:tc>
      </w:tr>
      <w:tr w:rsidR="005542E6" w14:paraId="768B3203" w14:textId="77777777" w:rsidTr="007A0D29">
        <w:tc>
          <w:tcPr>
            <w:tcW w:w="3083" w:type="dxa"/>
            <w:shd w:val="clear" w:color="auto" w:fill="auto"/>
          </w:tcPr>
          <w:p w14:paraId="4780E8A6" w14:textId="77777777" w:rsidR="005542E6" w:rsidRDefault="005542E6" w:rsidP="00501A12">
            <w:pPr>
              <w:pStyle w:val="Normal1linespace"/>
              <w:widowControl w:val="0"/>
            </w:pPr>
            <w:bookmarkStart w:id="5" w:name="SubAreaRow" w:colFirst="0" w:colLast="1"/>
            <w:bookmarkEnd w:id="4"/>
          </w:p>
        </w:tc>
        <w:tc>
          <w:tcPr>
            <w:tcW w:w="5989" w:type="dxa"/>
            <w:gridSpan w:val="3"/>
            <w:shd w:val="clear" w:color="auto" w:fill="auto"/>
          </w:tcPr>
          <w:p w14:paraId="3769F28F" w14:textId="77777777" w:rsidR="005542E6" w:rsidRDefault="005542E6" w:rsidP="00171DBB">
            <w:pPr>
              <w:pStyle w:val="Normal1linespace"/>
              <w:widowControl w:val="0"/>
              <w:jc w:val="left"/>
            </w:pPr>
          </w:p>
        </w:tc>
      </w:tr>
      <w:tr w:rsidR="005542E6" w14:paraId="7130D506" w14:textId="77777777" w:rsidTr="007A0D29">
        <w:tc>
          <w:tcPr>
            <w:tcW w:w="3083" w:type="dxa"/>
            <w:shd w:val="clear" w:color="auto" w:fill="auto"/>
          </w:tcPr>
          <w:p w14:paraId="550A83AA" w14:textId="77777777" w:rsidR="005542E6" w:rsidRDefault="005542E6" w:rsidP="00501A12">
            <w:pPr>
              <w:pStyle w:val="Normal1linespace"/>
              <w:widowControl w:val="0"/>
            </w:pPr>
            <w:r>
              <w:t>Sub-area:</w:t>
            </w:r>
          </w:p>
        </w:tc>
        <w:tc>
          <w:tcPr>
            <w:tcW w:w="5989" w:type="dxa"/>
            <w:gridSpan w:val="3"/>
            <w:shd w:val="clear" w:color="auto" w:fill="auto"/>
          </w:tcPr>
          <w:p w14:paraId="0F6A043A" w14:textId="13023C12" w:rsidR="005542E6" w:rsidRPr="00837288" w:rsidRDefault="005542E6" w:rsidP="00435936">
            <w:pPr>
              <w:pStyle w:val="Normal1linespace"/>
              <w:widowControl w:val="0"/>
              <w:jc w:val="left"/>
            </w:pPr>
            <w:r w:rsidRPr="005542E6">
              <w:rPr>
                <w:lang w:val="en-US"/>
              </w:rPr>
              <w:t>Trade Marks</w:t>
            </w:r>
          </w:p>
        </w:tc>
      </w:tr>
      <w:bookmarkEnd w:id="5"/>
      <w:tr w:rsidR="005542E6" w14:paraId="43D6D145" w14:textId="77777777" w:rsidTr="007A0D29">
        <w:tc>
          <w:tcPr>
            <w:tcW w:w="3083" w:type="dxa"/>
            <w:shd w:val="clear" w:color="auto" w:fill="auto"/>
          </w:tcPr>
          <w:p w14:paraId="266EA863" w14:textId="77777777" w:rsidR="005542E6" w:rsidRDefault="005542E6" w:rsidP="00501A12">
            <w:pPr>
              <w:pStyle w:val="Normal1linespace"/>
              <w:widowControl w:val="0"/>
            </w:pPr>
          </w:p>
        </w:tc>
        <w:tc>
          <w:tcPr>
            <w:tcW w:w="5989" w:type="dxa"/>
            <w:gridSpan w:val="3"/>
            <w:shd w:val="clear" w:color="auto" w:fill="auto"/>
          </w:tcPr>
          <w:p w14:paraId="7E3EA1EC" w14:textId="77777777" w:rsidR="005542E6" w:rsidRDefault="005542E6" w:rsidP="00501A12">
            <w:pPr>
              <w:pStyle w:val="Normal1linespace"/>
              <w:widowControl w:val="0"/>
              <w:jc w:val="left"/>
            </w:pPr>
          </w:p>
        </w:tc>
      </w:tr>
      <w:tr w:rsidR="005542E6" w14:paraId="6B536BE9" w14:textId="77777777" w:rsidTr="007A0D29">
        <w:tc>
          <w:tcPr>
            <w:tcW w:w="3083" w:type="dxa"/>
            <w:shd w:val="clear" w:color="auto" w:fill="auto"/>
          </w:tcPr>
          <w:p w14:paraId="23272BB2" w14:textId="77777777" w:rsidR="005542E6" w:rsidRDefault="005542E6" w:rsidP="00501A12">
            <w:pPr>
              <w:pStyle w:val="Normal1linespace"/>
              <w:widowControl w:val="0"/>
            </w:pPr>
            <w:r>
              <w:t>Number of paragraphs:</w:t>
            </w:r>
          </w:p>
        </w:tc>
        <w:tc>
          <w:tcPr>
            <w:tcW w:w="5989" w:type="dxa"/>
            <w:gridSpan w:val="3"/>
            <w:shd w:val="clear" w:color="auto" w:fill="auto"/>
          </w:tcPr>
          <w:p w14:paraId="30C40729" w14:textId="19A0E278" w:rsidR="005542E6" w:rsidRDefault="007A0D29" w:rsidP="00501A12">
            <w:pPr>
              <w:pStyle w:val="Normal1linespace"/>
              <w:widowControl w:val="0"/>
              <w:jc w:val="left"/>
            </w:pPr>
            <w:bookmarkStart w:id="6" w:name="PlaceCategoryParagraphs"/>
            <w:r>
              <w:t>42</w:t>
            </w:r>
            <w:bookmarkEnd w:id="6"/>
          </w:p>
        </w:tc>
      </w:tr>
      <w:tr w:rsidR="005542E6" w14:paraId="00593715" w14:textId="77777777" w:rsidTr="007A0D29">
        <w:tc>
          <w:tcPr>
            <w:tcW w:w="3083" w:type="dxa"/>
            <w:shd w:val="clear" w:color="auto" w:fill="auto"/>
          </w:tcPr>
          <w:p w14:paraId="571D8C16" w14:textId="77777777" w:rsidR="005542E6" w:rsidRDefault="005542E6" w:rsidP="005542E6">
            <w:pPr>
              <w:pStyle w:val="Normal1linespace"/>
              <w:widowControl w:val="0"/>
              <w:jc w:val="left"/>
            </w:pPr>
          </w:p>
        </w:tc>
        <w:tc>
          <w:tcPr>
            <w:tcW w:w="5989" w:type="dxa"/>
            <w:gridSpan w:val="3"/>
            <w:shd w:val="clear" w:color="auto" w:fill="auto"/>
          </w:tcPr>
          <w:p w14:paraId="2394038E" w14:textId="77777777" w:rsidR="005542E6" w:rsidRDefault="005542E6" w:rsidP="005542E6">
            <w:pPr>
              <w:pStyle w:val="Normal1linespace"/>
              <w:widowControl w:val="0"/>
              <w:jc w:val="left"/>
            </w:pPr>
          </w:p>
        </w:tc>
      </w:tr>
      <w:tr w:rsidR="005542E6" w14:paraId="6AD6316D" w14:textId="77777777" w:rsidTr="007A0D29">
        <w:trPr>
          <w:gridAfter w:val="1"/>
          <w:wAfter w:w="34" w:type="dxa"/>
        </w:trPr>
        <w:tc>
          <w:tcPr>
            <w:tcW w:w="3083" w:type="dxa"/>
            <w:shd w:val="clear" w:color="auto" w:fill="auto"/>
          </w:tcPr>
          <w:p w14:paraId="3EE6610B" w14:textId="77777777" w:rsidR="005542E6" w:rsidRDefault="005542E6" w:rsidP="005542E6">
            <w:pPr>
              <w:pStyle w:val="Normal1linespace"/>
              <w:widowControl w:val="0"/>
              <w:jc w:val="left"/>
            </w:pPr>
            <w:bookmarkStart w:id="7" w:name="CounselDate" w:colFirst="0" w:colLast="2"/>
            <w:r w:rsidRPr="006A24E3">
              <w:t>Date of hearing:</w:t>
            </w:r>
          </w:p>
        </w:tc>
        <w:tc>
          <w:tcPr>
            <w:tcW w:w="5955" w:type="dxa"/>
            <w:gridSpan w:val="2"/>
            <w:shd w:val="clear" w:color="auto" w:fill="auto"/>
          </w:tcPr>
          <w:p w14:paraId="2725A921" w14:textId="0894697E" w:rsidR="005542E6" w:rsidRDefault="007E6559" w:rsidP="005542E6">
            <w:pPr>
              <w:pStyle w:val="Normal1linespace"/>
              <w:widowControl w:val="0"/>
              <w:jc w:val="left"/>
            </w:pPr>
            <w:bookmarkStart w:id="8" w:name="HearingDate"/>
            <w:r>
              <w:t>Determined on the papers</w:t>
            </w:r>
            <w:r w:rsidR="005542E6">
              <w:t xml:space="preserve"> </w:t>
            </w:r>
            <w:bookmarkEnd w:id="8"/>
          </w:p>
        </w:tc>
      </w:tr>
      <w:tr w:rsidR="005542E6" w14:paraId="0BA6111C" w14:textId="77777777" w:rsidTr="007A0D29">
        <w:trPr>
          <w:gridAfter w:val="1"/>
          <w:wAfter w:w="34" w:type="dxa"/>
        </w:trPr>
        <w:tc>
          <w:tcPr>
            <w:tcW w:w="3083" w:type="dxa"/>
            <w:shd w:val="clear" w:color="auto" w:fill="auto"/>
          </w:tcPr>
          <w:p w14:paraId="363305A7" w14:textId="77777777" w:rsidR="005542E6" w:rsidRDefault="005542E6" w:rsidP="005542E6">
            <w:pPr>
              <w:pStyle w:val="Normal1linespace"/>
              <w:widowControl w:val="0"/>
              <w:jc w:val="left"/>
            </w:pPr>
          </w:p>
        </w:tc>
        <w:tc>
          <w:tcPr>
            <w:tcW w:w="5955" w:type="dxa"/>
            <w:gridSpan w:val="2"/>
            <w:shd w:val="clear" w:color="auto" w:fill="auto"/>
          </w:tcPr>
          <w:p w14:paraId="5E6CB69A" w14:textId="77777777" w:rsidR="005542E6" w:rsidRDefault="005542E6" w:rsidP="005542E6">
            <w:pPr>
              <w:pStyle w:val="Normal1linespace"/>
              <w:widowControl w:val="0"/>
              <w:jc w:val="left"/>
            </w:pPr>
          </w:p>
        </w:tc>
      </w:tr>
      <w:tr w:rsidR="007A0D29" w14:paraId="44BE0F90" w14:textId="77777777" w:rsidTr="007A0D29">
        <w:trPr>
          <w:gridAfter w:val="2"/>
          <w:wAfter w:w="45" w:type="dxa"/>
        </w:trPr>
        <w:tc>
          <w:tcPr>
            <w:tcW w:w="3083" w:type="dxa"/>
            <w:shd w:val="clear" w:color="auto" w:fill="auto"/>
          </w:tcPr>
          <w:p w14:paraId="4C1CD715" w14:textId="16E40349" w:rsidR="007A0D29" w:rsidRDefault="007A0D29" w:rsidP="007A0D29">
            <w:pPr>
              <w:pStyle w:val="Normal1linespace"/>
              <w:widowControl w:val="0"/>
              <w:jc w:val="left"/>
            </w:pPr>
            <w:bookmarkStart w:id="9" w:name="Counsel" w:colFirst="0" w:colLast="2"/>
            <w:bookmarkEnd w:id="7"/>
            <w:r>
              <w:t>Counsel for the Applicants:</w:t>
            </w:r>
          </w:p>
        </w:tc>
        <w:tc>
          <w:tcPr>
            <w:tcW w:w="5944" w:type="dxa"/>
            <w:shd w:val="clear" w:color="auto" w:fill="auto"/>
          </w:tcPr>
          <w:p w14:paraId="09741108" w14:textId="08801679" w:rsidR="007A0D29" w:rsidRDefault="007A0D29" w:rsidP="007A0D29">
            <w:pPr>
              <w:pStyle w:val="Normal1linespace"/>
              <w:widowControl w:val="0"/>
              <w:jc w:val="left"/>
            </w:pPr>
            <w:bookmarkStart w:id="10" w:name="AppCounsel"/>
            <w:bookmarkEnd w:id="10"/>
            <w:r>
              <w:t>Mr A N Sykes</w:t>
            </w:r>
          </w:p>
        </w:tc>
      </w:tr>
      <w:tr w:rsidR="007A0D29" w14:paraId="1A67CB76" w14:textId="77777777" w:rsidTr="007A0D29">
        <w:trPr>
          <w:gridAfter w:val="2"/>
          <w:wAfter w:w="45" w:type="dxa"/>
        </w:trPr>
        <w:tc>
          <w:tcPr>
            <w:tcW w:w="3083" w:type="dxa"/>
            <w:shd w:val="clear" w:color="auto" w:fill="auto"/>
          </w:tcPr>
          <w:p w14:paraId="64B1E516" w14:textId="77777777" w:rsidR="007A0D29" w:rsidRDefault="007A0D29" w:rsidP="007A0D29">
            <w:pPr>
              <w:pStyle w:val="Normal1linespace"/>
              <w:widowControl w:val="0"/>
              <w:jc w:val="left"/>
            </w:pPr>
          </w:p>
        </w:tc>
        <w:tc>
          <w:tcPr>
            <w:tcW w:w="5944" w:type="dxa"/>
            <w:shd w:val="clear" w:color="auto" w:fill="auto"/>
          </w:tcPr>
          <w:p w14:paraId="17AE7268" w14:textId="77777777" w:rsidR="007A0D29" w:rsidRDefault="007A0D29" w:rsidP="007A0D29">
            <w:pPr>
              <w:pStyle w:val="Normal1linespace"/>
              <w:widowControl w:val="0"/>
              <w:jc w:val="left"/>
            </w:pPr>
          </w:p>
        </w:tc>
      </w:tr>
      <w:tr w:rsidR="007A0D29" w14:paraId="68E3CBE2" w14:textId="77777777" w:rsidTr="007A0D29">
        <w:trPr>
          <w:gridAfter w:val="2"/>
          <w:wAfter w:w="45" w:type="dxa"/>
        </w:trPr>
        <w:tc>
          <w:tcPr>
            <w:tcW w:w="3083" w:type="dxa"/>
            <w:shd w:val="clear" w:color="auto" w:fill="auto"/>
          </w:tcPr>
          <w:p w14:paraId="5EEE7D62" w14:textId="06119BA9" w:rsidR="007A0D29" w:rsidRDefault="007A0D29" w:rsidP="007A0D29">
            <w:pPr>
              <w:pStyle w:val="Normal1linespace"/>
              <w:widowControl w:val="0"/>
              <w:jc w:val="left"/>
            </w:pPr>
            <w:r>
              <w:t>Solicitor for the Applicants:</w:t>
            </w:r>
          </w:p>
        </w:tc>
        <w:tc>
          <w:tcPr>
            <w:tcW w:w="5944" w:type="dxa"/>
            <w:shd w:val="clear" w:color="auto" w:fill="auto"/>
          </w:tcPr>
          <w:p w14:paraId="7E4CF1C3" w14:textId="6C8D4DDA" w:rsidR="007A0D29" w:rsidRDefault="007A0D29" w:rsidP="007A0D29">
            <w:pPr>
              <w:pStyle w:val="Normal1linespace"/>
              <w:widowControl w:val="0"/>
              <w:jc w:val="left"/>
            </w:pPr>
            <w:proofErr w:type="spellStart"/>
            <w:r>
              <w:t>Cornwalls</w:t>
            </w:r>
            <w:proofErr w:type="spellEnd"/>
          </w:p>
        </w:tc>
      </w:tr>
      <w:bookmarkEnd w:id="9"/>
    </w:tbl>
    <w:p w14:paraId="2887057F" w14:textId="77777777" w:rsidR="007470BD" w:rsidRDefault="007470BD">
      <w:pPr>
        <w:pStyle w:val="Normal1linespace"/>
      </w:pPr>
    </w:p>
    <w:p w14:paraId="5EEAB260" w14:textId="77777777" w:rsidR="00E94CBF" w:rsidRDefault="00E94CBF">
      <w:pPr>
        <w:pStyle w:val="Normal1linespace"/>
      </w:pPr>
    </w:p>
    <w:p w14:paraId="1A90560A" w14:textId="77777777" w:rsidR="008C7167" w:rsidRPr="00045BB7" w:rsidRDefault="0011419D" w:rsidP="00045BB7">
      <w:pPr>
        <w:pStyle w:val="NormalHeadings"/>
        <w:spacing w:line="480" w:lineRule="auto"/>
        <w:jc w:val="center"/>
        <w:rPr>
          <w:sz w:val="28"/>
          <w:szCs w:val="28"/>
        </w:rPr>
      </w:pPr>
      <w:r w:rsidRPr="00045BB7">
        <w:rPr>
          <w:sz w:val="28"/>
          <w:szCs w:val="28"/>
        </w:rPr>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00B1F1A2" w14:textId="77777777" w:rsidTr="00E81DA6">
        <w:tc>
          <w:tcPr>
            <w:tcW w:w="6912" w:type="dxa"/>
            <w:gridSpan w:val="2"/>
          </w:tcPr>
          <w:p w14:paraId="2E4188F0" w14:textId="77777777" w:rsidR="00A46CCC" w:rsidRPr="001765E0" w:rsidRDefault="00A46CCC" w:rsidP="00525A49">
            <w:pPr>
              <w:pStyle w:val="NormalHeadings"/>
            </w:pPr>
          </w:p>
        </w:tc>
        <w:tc>
          <w:tcPr>
            <w:tcW w:w="2330" w:type="dxa"/>
          </w:tcPr>
          <w:p w14:paraId="63139116" w14:textId="476DC315" w:rsidR="00A46CCC" w:rsidRDefault="005542E6" w:rsidP="00F92355">
            <w:pPr>
              <w:pStyle w:val="NormalHeadings"/>
              <w:jc w:val="right"/>
            </w:pPr>
            <w:bookmarkStart w:id="11" w:name="FileNo"/>
            <w:r>
              <w:t>VID 953 of 2023</w:t>
            </w:r>
            <w:bookmarkEnd w:id="11"/>
          </w:p>
        </w:tc>
      </w:tr>
      <w:tr w:rsidR="00A76C13" w14:paraId="2B11582D" w14:textId="77777777" w:rsidTr="00F461A4">
        <w:tc>
          <w:tcPr>
            <w:tcW w:w="9242" w:type="dxa"/>
            <w:gridSpan w:val="3"/>
          </w:tcPr>
          <w:p w14:paraId="458F71E6" w14:textId="7AF5B39F" w:rsidR="00A76C13" w:rsidRPr="00075727" w:rsidRDefault="005542E6" w:rsidP="005542E6">
            <w:pPr>
              <w:pStyle w:val="NormalHeadings"/>
              <w:jc w:val="left"/>
              <w:rPr>
                <w:sz w:val="20"/>
              </w:rPr>
            </w:pPr>
            <w:bookmarkStart w:id="12" w:name="InTheMatterOf"/>
            <w:r>
              <w:t xml:space="preserve"> </w:t>
            </w:r>
            <w:bookmarkEnd w:id="12"/>
          </w:p>
        </w:tc>
      </w:tr>
      <w:tr w:rsidR="00A46CCC" w14:paraId="1ED94404" w14:textId="77777777" w:rsidTr="005041F0">
        <w:trPr>
          <w:trHeight w:val="386"/>
        </w:trPr>
        <w:tc>
          <w:tcPr>
            <w:tcW w:w="2376" w:type="dxa"/>
          </w:tcPr>
          <w:p w14:paraId="5370908F" w14:textId="77777777" w:rsidR="00A46CCC" w:rsidRDefault="00A46CCC" w:rsidP="005041F0">
            <w:pPr>
              <w:pStyle w:val="NormalHeadings"/>
              <w:jc w:val="left"/>
              <w:rPr>
                <w:caps/>
                <w:szCs w:val="24"/>
              </w:rPr>
            </w:pPr>
            <w:bookmarkStart w:id="13" w:name="Parties"/>
            <w:r>
              <w:rPr>
                <w:caps/>
                <w:szCs w:val="24"/>
              </w:rPr>
              <w:t>BETWEEN:</w:t>
            </w:r>
          </w:p>
        </w:tc>
        <w:tc>
          <w:tcPr>
            <w:tcW w:w="6866" w:type="dxa"/>
            <w:gridSpan w:val="2"/>
          </w:tcPr>
          <w:p w14:paraId="1100A2B8" w14:textId="77777777" w:rsidR="005542E6" w:rsidRDefault="005542E6" w:rsidP="005542E6">
            <w:pPr>
              <w:pStyle w:val="NormalHeadings"/>
              <w:jc w:val="left"/>
            </w:pPr>
            <w:bookmarkStart w:id="14" w:name="Applicant"/>
            <w:r>
              <w:t>VITACO HEALTH IP PTY LTD (ACN 607 496 542)</w:t>
            </w:r>
          </w:p>
          <w:p w14:paraId="21ECFED3" w14:textId="77777777" w:rsidR="005542E6" w:rsidRDefault="005542E6" w:rsidP="005542E6">
            <w:pPr>
              <w:pStyle w:val="PartyType"/>
            </w:pPr>
            <w:r>
              <w:t>First Applicant</w:t>
            </w:r>
          </w:p>
          <w:p w14:paraId="2F6EC7EE" w14:textId="77777777" w:rsidR="005542E6" w:rsidRDefault="005542E6" w:rsidP="005041F0">
            <w:pPr>
              <w:pStyle w:val="NormalHeadings"/>
              <w:jc w:val="left"/>
              <w:rPr>
                <w:szCs w:val="24"/>
              </w:rPr>
            </w:pPr>
          </w:p>
          <w:p w14:paraId="2F524D5A" w14:textId="77777777" w:rsidR="005542E6" w:rsidRDefault="005542E6" w:rsidP="005542E6">
            <w:pPr>
              <w:pStyle w:val="NormalHeadings"/>
              <w:jc w:val="left"/>
            </w:pPr>
            <w:r>
              <w:t>VITACO HEALTH AUSTRALIA PTY LTD (ACN 073 560 737)</w:t>
            </w:r>
          </w:p>
          <w:p w14:paraId="396F9222" w14:textId="77777777" w:rsidR="005542E6" w:rsidRDefault="005542E6" w:rsidP="005542E6">
            <w:pPr>
              <w:pStyle w:val="PartyType"/>
            </w:pPr>
            <w:r>
              <w:t>Second Applicant</w:t>
            </w:r>
          </w:p>
          <w:bookmarkEnd w:id="14"/>
          <w:p w14:paraId="2066B277" w14:textId="036E4C3E" w:rsidR="00A46CCC" w:rsidRPr="006555B4" w:rsidRDefault="00A46CCC" w:rsidP="005041F0">
            <w:pPr>
              <w:pStyle w:val="NormalHeadings"/>
              <w:jc w:val="left"/>
            </w:pPr>
          </w:p>
        </w:tc>
      </w:tr>
      <w:tr w:rsidR="00A46CCC" w14:paraId="6113FFF9" w14:textId="77777777" w:rsidTr="005041F0">
        <w:trPr>
          <w:trHeight w:val="386"/>
        </w:trPr>
        <w:tc>
          <w:tcPr>
            <w:tcW w:w="2376" w:type="dxa"/>
          </w:tcPr>
          <w:p w14:paraId="10131D8E" w14:textId="77777777" w:rsidR="00A46CCC" w:rsidRDefault="00A46CCC" w:rsidP="005041F0">
            <w:pPr>
              <w:pStyle w:val="NormalHeadings"/>
              <w:jc w:val="left"/>
              <w:rPr>
                <w:caps/>
                <w:szCs w:val="24"/>
              </w:rPr>
            </w:pPr>
            <w:r>
              <w:rPr>
                <w:caps/>
                <w:szCs w:val="24"/>
              </w:rPr>
              <w:t>AND:</w:t>
            </w:r>
          </w:p>
        </w:tc>
        <w:tc>
          <w:tcPr>
            <w:tcW w:w="6866" w:type="dxa"/>
            <w:gridSpan w:val="2"/>
          </w:tcPr>
          <w:p w14:paraId="395E584F" w14:textId="77777777" w:rsidR="005542E6" w:rsidRDefault="005542E6" w:rsidP="005542E6">
            <w:pPr>
              <w:pStyle w:val="NormalHeadings"/>
              <w:jc w:val="left"/>
            </w:pPr>
            <w:bookmarkStart w:id="15" w:name="Respondent"/>
            <w:r>
              <w:t>AFI COSMETIC PTY LTD (ACN 631 881 831)</w:t>
            </w:r>
          </w:p>
          <w:p w14:paraId="78D6F5B2" w14:textId="77777777" w:rsidR="005542E6" w:rsidRDefault="005542E6" w:rsidP="005542E6">
            <w:pPr>
              <w:pStyle w:val="PartyType"/>
            </w:pPr>
            <w:r>
              <w:t>First Respondent</w:t>
            </w:r>
          </w:p>
          <w:p w14:paraId="3A81F280" w14:textId="77777777" w:rsidR="005542E6" w:rsidRDefault="005542E6" w:rsidP="005041F0">
            <w:pPr>
              <w:pStyle w:val="NormalHeadings"/>
              <w:jc w:val="left"/>
              <w:rPr>
                <w:szCs w:val="24"/>
              </w:rPr>
            </w:pPr>
          </w:p>
          <w:p w14:paraId="232AF5F6" w14:textId="77777777" w:rsidR="005542E6" w:rsidRDefault="005542E6" w:rsidP="005542E6">
            <w:pPr>
              <w:pStyle w:val="NormalHeadings"/>
              <w:jc w:val="left"/>
            </w:pPr>
            <w:r>
              <w:t>SHIKAI HAN</w:t>
            </w:r>
          </w:p>
          <w:p w14:paraId="7B068524" w14:textId="77777777" w:rsidR="005542E6" w:rsidRDefault="005542E6" w:rsidP="005542E6">
            <w:pPr>
              <w:pStyle w:val="PartyType"/>
            </w:pPr>
            <w:r>
              <w:t>Second Respondent</w:t>
            </w:r>
          </w:p>
          <w:bookmarkEnd w:id="15"/>
          <w:p w14:paraId="48618ABB" w14:textId="422AB249" w:rsidR="00A46CCC" w:rsidRPr="006555B4" w:rsidRDefault="00A46CCC" w:rsidP="005041F0">
            <w:pPr>
              <w:pStyle w:val="NormalHeadings"/>
              <w:jc w:val="left"/>
            </w:pPr>
          </w:p>
        </w:tc>
      </w:tr>
    </w:tbl>
    <w:p w14:paraId="574FDDB4" w14:textId="77777777" w:rsidR="00395B24" w:rsidRPr="00075727" w:rsidRDefault="00395B24">
      <w:pPr>
        <w:pStyle w:val="NormalHeadings"/>
        <w:rPr>
          <w:sz w:val="20"/>
        </w:rPr>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7B0C3A7D" w14:textId="77777777">
        <w:tc>
          <w:tcPr>
            <w:tcW w:w="2376" w:type="dxa"/>
          </w:tcPr>
          <w:p w14:paraId="2DF931F6"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4BFE6F9A" w14:textId="6A52523F" w:rsidR="00395B24" w:rsidRDefault="005542E6">
            <w:pPr>
              <w:pStyle w:val="NormalHeadings"/>
              <w:jc w:val="left"/>
              <w:rPr>
                <w:caps/>
                <w:szCs w:val="24"/>
              </w:rPr>
            </w:pPr>
            <w:bookmarkStart w:id="18" w:name="Judge"/>
            <w:r>
              <w:rPr>
                <w:caps/>
                <w:szCs w:val="24"/>
              </w:rPr>
              <w:t>ROFE J</w:t>
            </w:r>
            <w:bookmarkEnd w:id="18"/>
          </w:p>
        </w:tc>
      </w:tr>
      <w:tr w:rsidR="00395B24" w14:paraId="0CADF63D" w14:textId="77777777">
        <w:tc>
          <w:tcPr>
            <w:tcW w:w="2376" w:type="dxa"/>
          </w:tcPr>
          <w:p w14:paraId="1F2CBB8F" w14:textId="77777777" w:rsidR="00395B24" w:rsidRDefault="002C7385">
            <w:pPr>
              <w:pStyle w:val="NormalHeadings"/>
              <w:spacing w:after="120"/>
              <w:jc w:val="left"/>
              <w:rPr>
                <w:caps/>
                <w:szCs w:val="24"/>
              </w:rPr>
            </w:pPr>
            <w:r>
              <w:rPr>
                <w:caps/>
                <w:szCs w:val="24"/>
              </w:rPr>
              <w:t>DATE OF ORDER:</w:t>
            </w:r>
          </w:p>
        </w:tc>
        <w:tc>
          <w:tcPr>
            <w:tcW w:w="6866" w:type="dxa"/>
          </w:tcPr>
          <w:p w14:paraId="12241107" w14:textId="0CE2480E" w:rsidR="00395B24" w:rsidRDefault="007A0D29">
            <w:pPr>
              <w:pStyle w:val="NormalHeadings"/>
              <w:jc w:val="left"/>
              <w:rPr>
                <w:caps/>
                <w:szCs w:val="24"/>
              </w:rPr>
            </w:pPr>
            <w:r>
              <w:rPr>
                <w:caps/>
                <w:szCs w:val="24"/>
              </w:rPr>
              <w:t>19 February 2024</w:t>
            </w:r>
          </w:p>
        </w:tc>
      </w:tr>
    </w:tbl>
    <w:p w14:paraId="08CC3A96" w14:textId="77777777" w:rsidR="00395B24" w:rsidRDefault="00395B24">
      <w:pPr>
        <w:pStyle w:val="NormalHeadings"/>
        <w:rPr>
          <w:b w:val="0"/>
        </w:rPr>
      </w:pPr>
    </w:p>
    <w:p w14:paraId="1DF0375B" w14:textId="77777777" w:rsidR="008D1617" w:rsidRDefault="008D1617">
      <w:pPr>
        <w:pStyle w:val="NormalHeadings"/>
        <w:rPr>
          <w:b w:val="0"/>
        </w:rPr>
      </w:pPr>
    </w:p>
    <w:p w14:paraId="23884DA4" w14:textId="77777777" w:rsidR="00395B24" w:rsidRDefault="002C7385" w:rsidP="000632F7">
      <w:pPr>
        <w:pStyle w:val="NormalHeadings"/>
        <w:spacing w:after="120" w:line="360" w:lineRule="auto"/>
      </w:pPr>
      <w:r>
        <w:t>THE COURT ORDERS THAT:</w:t>
      </w:r>
    </w:p>
    <w:p w14:paraId="4F262B79" w14:textId="7AD668E1" w:rsidR="000D412B" w:rsidRDefault="00BE3059" w:rsidP="00BE3059">
      <w:pPr>
        <w:pStyle w:val="Order1"/>
        <w:numPr>
          <w:ilvl w:val="0"/>
          <w:numId w:val="0"/>
        </w:numPr>
        <w:tabs>
          <w:tab w:val="left" w:pos="720"/>
        </w:tabs>
        <w:ind w:left="720" w:hanging="720"/>
      </w:pPr>
      <w:r>
        <w:t>1.</w:t>
      </w:r>
      <w:r>
        <w:tab/>
      </w:r>
      <w:r w:rsidR="000D412B">
        <w:t xml:space="preserve">Pursuant to r 10.48 and/or </w:t>
      </w:r>
      <w:r w:rsidR="00B52E73">
        <w:t xml:space="preserve">r </w:t>
      </w:r>
      <w:r w:rsidR="000D412B">
        <w:t xml:space="preserve">10.23 of the </w:t>
      </w:r>
      <w:r w:rsidR="000D412B" w:rsidRPr="000D412B">
        <w:rPr>
          <w:i/>
          <w:iCs/>
        </w:rPr>
        <w:t>Federal Court Rules 2011</w:t>
      </w:r>
      <w:r w:rsidR="000D412B">
        <w:t xml:space="preserve"> (Cth), the following originating documents be deemed as having been served on the second respondent on 6 February 2024</w:t>
      </w:r>
      <w:r w:rsidR="00F063B2">
        <w:t>:</w:t>
      </w:r>
    </w:p>
    <w:p w14:paraId="0B81A002" w14:textId="439D0BB1" w:rsidR="000D412B" w:rsidRDefault="00BE3059" w:rsidP="00BE3059">
      <w:pPr>
        <w:pStyle w:val="Order2"/>
        <w:numPr>
          <w:ilvl w:val="0"/>
          <w:numId w:val="0"/>
        </w:numPr>
        <w:ind w:left="1418" w:hanging="709"/>
      </w:pPr>
      <w:r>
        <w:t>a.</w:t>
      </w:r>
      <w:r>
        <w:tab/>
      </w:r>
      <w:r w:rsidR="000D412B">
        <w:t>the</w:t>
      </w:r>
      <w:r w:rsidR="007542FA">
        <w:t xml:space="preserve"> originating a</w:t>
      </w:r>
      <w:r w:rsidR="000D412B">
        <w:t>pplication</w:t>
      </w:r>
      <w:r w:rsidR="00F063B2">
        <w:t xml:space="preserve"> dated 14 November 2023</w:t>
      </w:r>
      <w:r w:rsidR="000D412B">
        <w:t xml:space="preserve">; and </w:t>
      </w:r>
    </w:p>
    <w:p w14:paraId="06E41484" w14:textId="1FCAD6BE" w:rsidR="000D412B" w:rsidRDefault="00BE3059" w:rsidP="00BE3059">
      <w:pPr>
        <w:pStyle w:val="Order2"/>
        <w:numPr>
          <w:ilvl w:val="0"/>
          <w:numId w:val="0"/>
        </w:numPr>
        <w:ind w:left="1418" w:hanging="709"/>
      </w:pPr>
      <w:r>
        <w:t>b.</w:t>
      </w:r>
      <w:r>
        <w:tab/>
      </w:r>
      <w:r w:rsidR="000D412B">
        <w:t xml:space="preserve">the </w:t>
      </w:r>
      <w:r w:rsidR="007542FA">
        <w:t xml:space="preserve">statement of claim </w:t>
      </w:r>
      <w:r w:rsidR="00F063B2">
        <w:t xml:space="preserve">dated 14 November 2023, </w:t>
      </w:r>
    </w:p>
    <w:p w14:paraId="029BB2C3" w14:textId="77777777" w:rsidR="000D412B" w:rsidRDefault="000D412B" w:rsidP="000D412B">
      <w:pPr>
        <w:pStyle w:val="Order1"/>
        <w:numPr>
          <w:ilvl w:val="0"/>
          <w:numId w:val="0"/>
        </w:numPr>
        <w:ind w:left="720"/>
      </w:pPr>
      <w:r>
        <w:t xml:space="preserve">substantially in the form as filed with the Court. </w:t>
      </w:r>
    </w:p>
    <w:p w14:paraId="2A259D10" w14:textId="37BB196A" w:rsidR="000D412B" w:rsidRDefault="00BE3059" w:rsidP="00BE3059">
      <w:pPr>
        <w:pStyle w:val="Order1"/>
        <w:numPr>
          <w:ilvl w:val="0"/>
          <w:numId w:val="0"/>
        </w:numPr>
        <w:tabs>
          <w:tab w:val="left" w:pos="720"/>
        </w:tabs>
        <w:ind w:left="720" w:hanging="720"/>
      </w:pPr>
      <w:r>
        <w:t>2.</w:t>
      </w:r>
      <w:r>
        <w:tab/>
      </w:r>
      <w:r w:rsidR="000D412B">
        <w:t xml:space="preserve">The timing for the </w:t>
      </w:r>
      <w:r w:rsidR="00106843">
        <w:t>s</w:t>
      </w:r>
      <w:r w:rsidR="000D412B">
        <w:t xml:space="preserve">econd </w:t>
      </w:r>
      <w:r w:rsidR="00106843">
        <w:t>r</w:t>
      </w:r>
      <w:r w:rsidR="000D412B">
        <w:t xml:space="preserve">espondent to file a </w:t>
      </w:r>
      <w:r w:rsidR="007542FA">
        <w:t>notice of address for serv</w:t>
      </w:r>
      <w:r w:rsidR="000D412B">
        <w:t xml:space="preserve">ice and a defence to the statement of claim be extended to 30 days from the date of these orders. </w:t>
      </w:r>
    </w:p>
    <w:p w14:paraId="1D6CFB26" w14:textId="7F2B35C7" w:rsidR="000D412B" w:rsidRDefault="00BE3059" w:rsidP="00BE3059">
      <w:pPr>
        <w:pStyle w:val="Order1"/>
        <w:numPr>
          <w:ilvl w:val="0"/>
          <w:numId w:val="0"/>
        </w:numPr>
        <w:tabs>
          <w:tab w:val="left" w:pos="720"/>
        </w:tabs>
        <w:ind w:left="720" w:hanging="720"/>
      </w:pPr>
      <w:r>
        <w:t>3.</w:t>
      </w:r>
      <w:r>
        <w:tab/>
      </w:r>
      <w:r w:rsidR="000D412B">
        <w:t xml:space="preserve">Until such time as the </w:t>
      </w:r>
      <w:r w:rsidR="007542FA">
        <w:t>second respondent files and serves a notice of address for service, or further order, service by the applicants on the second respondent of any further documents in this proceeding may be effected by the applicants sending a copy of those documents to both:</w:t>
      </w:r>
    </w:p>
    <w:p w14:paraId="3649BDCA" w14:textId="4B0AFA25" w:rsidR="000D412B" w:rsidRDefault="00BE3059" w:rsidP="00BE3059">
      <w:pPr>
        <w:pStyle w:val="Order2"/>
        <w:numPr>
          <w:ilvl w:val="0"/>
          <w:numId w:val="0"/>
        </w:numPr>
        <w:ind w:left="1418" w:hanging="698"/>
      </w:pPr>
      <w:r>
        <w:t>a.</w:t>
      </w:r>
      <w:r>
        <w:tab/>
      </w:r>
      <w:r w:rsidR="000D412B">
        <w:t xml:space="preserve">the email address at </w:t>
      </w:r>
      <w:hyperlink r:id="rId9" w:history="1">
        <w:r w:rsidR="000D412B" w:rsidRPr="001E4723">
          <w:rPr>
            <w:rStyle w:val="Hyperlink"/>
          </w:rPr>
          <w:t>kf@onlinezh.net</w:t>
        </w:r>
      </w:hyperlink>
      <w:r w:rsidR="000D412B">
        <w:t xml:space="preserve">; and </w:t>
      </w:r>
    </w:p>
    <w:p w14:paraId="2D81B0A3" w14:textId="383B03BB" w:rsidR="000D412B" w:rsidRDefault="00BE3059" w:rsidP="00BE3059">
      <w:pPr>
        <w:pStyle w:val="Order2"/>
        <w:numPr>
          <w:ilvl w:val="0"/>
          <w:numId w:val="0"/>
        </w:numPr>
        <w:ind w:left="1418" w:hanging="698"/>
      </w:pPr>
      <w:r>
        <w:t>b.</w:t>
      </w:r>
      <w:r>
        <w:tab/>
      </w:r>
      <w:r w:rsidR="000D412B">
        <w:t xml:space="preserve">the mailing address of Level 6, 552 Lonsdale Street, Melbourne VIC 3000. </w:t>
      </w:r>
    </w:p>
    <w:p w14:paraId="461B5F1B" w14:textId="2BF6DAF7" w:rsidR="000D412B" w:rsidRDefault="00BE3059" w:rsidP="00BE3059">
      <w:pPr>
        <w:pStyle w:val="Order1"/>
        <w:numPr>
          <w:ilvl w:val="0"/>
          <w:numId w:val="0"/>
        </w:numPr>
        <w:tabs>
          <w:tab w:val="left" w:pos="720"/>
        </w:tabs>
        <w:ind w:left="720" w:hanging="720"/>
      </w:pPr>
      <w:r>
        <w:t>4.</w:t>
      </w:r>
      <w:r>
        <w:tab/>
      </w:r>
      <w:r w:rsidR="000D412B">
        <w:t xml:space="preserve">A copy of these orders are to be served on the </w:t>
      </w:r>
      <w:r w:rsidR="007542FA">
        <w:t>r</w:t>
      </w:r>
      <w:r w:rsidR="000D412B">
        <w:t xml:space="preserve">espondents within </w:t>
      </w:r>
      <w:r w:rsidR="00106843">
        <w:t>two</w:t>
      </w:r>
      <w:r w:rsidR="000D412B">
        <w:t xml:space="preserve"> days of the date of these orders. </w:t>
      </w:r>
    </w:p>
    <w:p w14:paraId="231C7649" w14:textId="550495E2" w:rsidR="000D412B" w:rsidRDefault="00BE3059" w:rsidP="00BE3059">
      <w:pPr>
        <w:pStyle w:val="Order1"/>
        <w:numPr>
          <w:ilvl w:val="0"/>
          <w:numId w:val="0"/>
        </w:numPr>
        <w:tabs>
          <w:tab w:val="left" w:pos="720"/>
        </w:tabs>
        <w:ind w:left="720" w:hanging="720"/>
      </w:pPr>
      <w:r>
        <w:t>5.</w:t>
      </w:r>
      <w:r>
        <w:tab/>
      </w:r>
      <w:r w:rsidR="000D412B">
        <w:t xml:space="preserve">Costs reserved. </w:t>
      </w:r>
    </w:p>
    <w:p w14:paraId="15F2A271" w14:textId="5C5F747C" w:rsidR="000D412B" w:rsidRDefault="00BE3059" w:rsidP="00BE3059">
      <w:pPr>
        <w:pStyle w:val="Order1"/>
        <w:numPr>
          <w:ilvl w:val="0"/>
          <w:numId w:val="0"/>
        </w:numPr>
        <w:tabs>
          <w:tab w:val="left" w:pos="720"/>
        </w:tabs>
        <w:ind w:left="720" w:hanging="720"/>
      </w:pPr>
      <w:r>
        <w:t>6.</w:t>
      </w:r>
      <w:r>
        <w:tab/>
      </w:r>
      <w:r w:rsidR="000D412B">
        <w:t xml:space="preserve">Liberty to apply. </w:t>
      </w:r>
    </w:p>
    <w:p w14:paraId="7BF8341F" w14:textId="66A6B98B" w:rsidR="001A6C52" w:rsidRDefault="001A6C52" w:rsidP="000632F7">
      <w:pPr>
        <w:pStyle w:val="Order1"/>
        <w:numPr>
          <w:ilvl w:val="0"/>
          <w:numId w:val="0"/>
        </w:numPr>
        <w:ind w:left="720"/>
      </w:pPr>
    </w:p>
    <w:p w14:paraId="70613F5B" w14:textId="77777777" w:rsidR="00A431E6" w:rsidRDefault="00A431E6" w:rsidP="001A6C52">
      <w:pPr>
        <w:pStyle w:val="BodyText"/>
      </w:pPr>
    </w:p>
    <w:p w14:paraId="5DC875C6" w14:textId="73042C3C" w:rsidR="0050309C" w:rsidRDefault="005542E6" w:rsidP="004D53E5">
      <w:pPr>
        <w:pStyle w:val="SingleSpace"/>
      </w:pPr>
      <w:bookmarkStart w:id="19" w:name="OrdersStatement"/>
      <w:r>
        <w:t>Note:</w:t>
      </w:r>
      <w:r>
        <w:tab/>
        <w:t xml:space="preserve">Entry of orders is dealt with in Rule 39.32 of the </w:t>
      </w:r>
      <w:r>
        <w:rPr>
          <w:i/>
        </w:rPr>
        <w:t>Federal Court Rules 2011</w:t>
      </w:r>
      <w:r>
        <w:t>.</w:t>
      </w:r>
      <w:bookmarkEnd w:id="19"/>
    </w:p>
    <w:p w14:paraId="6E5B2689" w14:textId="77777777" w:rsidR="00E23577" w:rsidRDefault="00E23577" w:rsidP="002B0E91">
      <w:pPr>
        <w:pStyle w:val="BodyText"/>
      </w:pPr>
    </w:p>
    <w:p w14:paraId="39E24E68" w14:textId="77777777" w:rsidR="00395B24" w:rsidRDefault="00395B24">
      <w:pPr>
        <w:pStyle w:val="NormalHeadings"/>
        <w:spacing w:before="240" w:after="120"/>
        <w:rPr>
          <w:b w:val="0"/>
        </w:rPr>
        <w:sectPr w:rsidR="00395B24" w:rsidSect="0092590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fmt="lowerRoman" w:start="1"/>
          <w:cols w:space="720"/>
          <w:noEndnote/>
          <w:titlePg/>
        </w:sectPr>
      </w:pPr>
    </w:p>
    <w:p w14:paraId="39E6B057"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4E5ADDD1" w14:textId="4E5ED4C8" w:rsidR="00817A8B" w:rsidRDefault="005542E6" w:rsidP="008334D1">
      <w:pPr>
        <w:pStyle w:val="NormalHeadings"/>
        <w:spacing w:line="360" w:lineRule="auto"/>
        <w:jc w:val="left"/>
        <w:rPr>
          <w:sz w:val="26"/>
          <w:szCs w:val="26"/>
        </w:rPr>
      </w:pPr>
      <w:r>
        <w:rPr>
          <w:sz w:val="26"/>
          <w:szCs w:val="26"/>
        </w:rPr>
        <w:t xml:space="preserve">ROFE J: </w:t>
      </w:r>
    </w:p>
    <w:p w14:paraId="61642B50" w14:textId="5210EEDF" w:rsidR="00CC5545" w:rsidRPr="008334D1" w:rsidRDefault="00BE3059" w:rsidP="00BE3059">
      <w:pPr>
        <w:pStyle w:val="Heading5"/>
        <w:numPr>
          <w:ilvl w:val="0"/>
          <w:numId w:val="0"/>
        </w:numPr>
        <w:tabs>
          <w:tab w:val="left" w:pos="1134"/>
        </w:tabs>
        <w:ind w:left="1134" w:hanging="1134"/>
      </w:pPr>
      <w:r w:rsidRPr="008334D1">
        <w:t>1.</w:t>
      </w:r>
      <w:r w:rsidRPr="008334D1">
        <w:tab/>
      </w:r>
      <w:r w:rsidR="007F5058">
        <w:t>INTRODUCTION</w:t>
      </w:r>
    </w:p>
    <w:p w14:paraId="27C4F8E8" w14:textId="790BBAFA" w:rsidR="00156A34" w:rsidRDefault="00BE3059" w:rsidP="00BE3059">
      <w:pPr>
        <w:pStyle w:val="ParaNumbering"/>
        <w:numPr>
          <w:ilvl w:val="0"/>
          <w:numId w:val="0"/>
        </w:numPr>
        <w:ind w:hanging="720"/>
      </w:pPr>
      <w:r>
        <w:rPr>
          <w:sz w:val="20"/>
        </w:rPr>
        <w:t>1</w:t>
      </w:r>
      <w:r>
        <w:rPr>
          <w:sz w:val="20"/>
        </w:rPr>
        <w:tab/>
      </w:r>
      <w:r w:rsidR="00B85EE8">
        <w:t xml:space="preserve">By </w:t>
      </w:r>
      <w:r w:rsidR="009F6665" w:rsidRPr="00060AFA">
        <w:t>interlocutory application</w:t>
      </w:r>
      <w:r w:rsidR="009F6665">
        <w:t xml:space="preserve"> filed 9 February 2024,</w:t>
      </w:r>
      <w:r w:rsidR="00F3683D">
        <w:t xml:space="preserve"> the</w:t>
      </w:r>
      <w:r w:rsidR="005300C1">
        <w:t xml:space="preserve"> </w:t>
      </w:r>
      <w:r w:rsidR="005300C1" w:rsidRPr="00060AFA">
        <w:t>applicants</w:t>
      </w:r>
      <w:r w:rsidR="005300C1">
        <w:t xml:space="preserve">, </w:t>
      </w:r>
      <w:proofErr w:type="spellStart"/>
      <w:r w:rsidR="005763C8" w:rsidRPr="005763C8">
        <w:t>Vitaco</w:t>
      </w:r>
      <w:proofErr w:type="spellEnd"/>
      <w:r w:rsidR="005763C8" w:rsidRPr="005763C8">
        <w:t xml:space="preserve"> Health I</w:t>
      </w:r>
      <w:r w:rsidR="005763C8">
        <w:t>P</w:t>
      </w:r>
      <w:r w:rsidR="005763C8" w:rsidRPr="005763C8">
        <w:t xml:space="preserve"> Pty Ltd </w:t>
      </w:r>
      <w:r w:rsidR="005763C8">
        <w:t xml:space="preserve">and </w:t>
      </w:r>
      <w:proofErr w:type="spellStart"/>
      <w:r w:rsidR="005763C8">
        <w:t>V</w:t>
      </w:r>
      <w:r w:rsidR="005763C8" w:rsidRPr="005763C8">
        <w:t>itaco</w:t>
      </w:r>
      <w:proofErr w:type="spellEnd"/>
      <w:r w:rsidR="005763C8" w:rsidRPr="005763C8">
        <w:t xml:space="preserve"> Health Australia Pty Ltd</w:t>
      </w:r>
      <w:r w:rsidR="005763C8">
        <w:t>, seek</w:t>
      </w:r>
      <w:r w:rsidR="006A4B17">
        <w:t xml:space="preserve"> orders</w:t>
      </w:r>
      <w:r w:rsidR="00DD20D3">
        <w:t xml:space="preserve"> pursuant to r 10.</w:t>
      </w:r>
      <w:r w:rsidR="006D5506">
        <w:t>4</w:t>
      </w:r>
      <w:r w:rsidR="00DD20D3">
        <w:t>8 and</w:t>
      </w:r>
      <w:r w:rsidR="00396797">
        <w:t>/</w:t>
      </w:r>
      <w:r w:rsidR="00DD20D3">
        <w:t>or r 10.23 of th</w:t>
      </w:r>
      <w:r w:rsidR="00DD20D3" w:rsidRPr="004A0CF4">
        <w:t xml:space="preserve">e </w:t>
      </w:r>
      <w:r w:rsidR="00DD20D3" w:rsidRPr="007A0D29">
        <w:rPr>
          <w:i/>
          <w:iCs/>
        </w:rPr>
        <w:t xml:space="preserve">Federal Court </w:t>
      </w:r>
      <w:r w:rsidR="00DD20D3" w:rsidRPr="007A0D29">
        <w:rPr>
          <w:b/>
          <w:bCs/>
          <w:i/>
          <w:iCs/>
        </w:rPr>
        <w:t>Rules</w:t>
      </w:r>
      <w:r w:rsidR="00DD20D3" w:rsidRPr="007A0D29">
        <w:rPr>
          <w:i/>
          <w:iCs/>
        </w:rPr>
        <w:t xml:space="preserve"> 2011</w:t>
      </w:r>
      <w:r w:rsidR="00DD20D3" w:rsidRPr="007A0D29">
        <w:t xml:space="preserve"> (Cth)</w:t>
      </w:r>
      <w:r w:rsidR="006A4B17">
        <w:t xml:space="preserve"> for deemed service of the originating application and </w:t>
      </w:r>
      <w:r w:rsidR="002428FF">
        <w:t xml:space="preserve">statement of claim </w:t>
      </w:r>
      <w:r w:rsidR="00C14334">
        <w:t xml:space="preserve">(together, the </w:t>
      </w:r>
      <w:r w:rsidR="00C14334" w:rsidRPr="00C14334">
        <w:rPr>
          <w:b/>
          <w:bCs/>
        </w:rPr>
        <w:t>Originating Documents</w:t>
      </w:r>
      <w:r w:rsidR="00C14334">
        <w:t xml:space="preserve">) </w:t>
      </w:r>
      <w:r w:rsidR="002428FF">
        <w:t xml:space="preserve">on the </w:t>
      </w:r>
      <w:r w:rsidR="002428FF" w:rsidRPr="00356324">
        <w:t>second respondent</w:t>
      </w:r>
      <w:r w:rsidR="002428FF">
        <w:t xml:space="preserve">, </w:t>
      </w:r>
      <w:proofErr w:type="spellStart"/>
      <w:r w:rsidR="002428FF">
        <w:t>Shikai</w:t>
      </w:r>
      <w:proofErr w:type="spellEnd"/>
      <w:r w:rsidR="002428FF">
        <w:t xml:space="preserve"> Han. </w:t>
      </w:r>
    </w:p>
    <w:p w14:paraId="6E828BD6" w14:textId="129BAB6A" w:rsidR="000150B2" w:rsidRDefault="00BE3059" w:rsidP="00BE3059">
      <w:pPr>
        <w:pStyle w:val="ParaNumbering"/>
        <w:numPr>
          <w:ilvl w:val="0"/>
          <w:numId w:val="0"/>
        </w:numPr>
        <w:ind w:hanging="720"/>
      </w:pPr>
      <w:r>
        <w:rPr>
          <w:sz w:val="20"/>
        </w:rPr>
        <w:t>2</w:t>
      </w:r>
      <w:r>
        <w:rPr>
          <w:sz w:val="20"/>
        </w:rPr>
        <w:tab/>
      </w:r>
      <w:r w:rsidR="000150B2">
        <w:t>The applicant</w:t>
      </w:r>
      <w:r w:rsidR="006D5D50">
        <w:t>s</w:t>
      </w:r>
      <w:r w:rsidR="000150B2">
        <w:t xml:space="preserve"> are unable to ascertain the whereabouts of the second respondent</w:t>
      </w:r>
      <w:r w:rsidR="006D5D50">
        <w:t xml:space="preserve"> and therefore seek orders for deemed service </w:t>
      </w:r>
      <w:r w:rsidR="00325B8F">
        <w:t xml:space="preserve">both </w:t>
      </w:r>
      <w:r w:rsidR="00BC5BE7">
        <w:t xml:space="preserve">in Australia (r 10.23) and </w:t>
      </w:r>
      <w:r w:rsidR="00325B8F">
        <w:t>outside of Australia (</w:t>
      </w:r>
      <w:r w:rsidR="003D1F45">
        <w:t xml:space="preserve">r </w:t>
      </w:r>
      <w:r w:rsidR="00325B8F">
        <w:t>10.48)</w:t>
      </w:r>
      <w:r w:rsidR="000150B2">
        <w:t xml:space="preserve">. </w:t>
      </w:r>
    </w:p>
    <w:p w14:paraId="6D7D345F" w14:textId="6D8E994A" w:rsidR="00895DE7" w:rsidRDefault="00BE3059" w:rsidP="00BE3059">
      <w:pPr>
        <w:pStyle w:val="ParaNumbering"/>
        <w:numPr>
          <w:ilvl w:val="0"/>
          <w:numId w:val="0"/>
        </w:numPr>
        <w:ind w:hanging="720"/>
      </w:pPr>
      <w:r>
        <w:rPr>
          <w:sz w:val="20"/>
        </w:rPr>
        <w:t>3</w:t>
      </w:r>
      <w:r>
        <w:rPr>
          <w:sz w:val="20"/>
        </w:rPr>
        <w:tab/>
      </w:r>
      <w:r w:rsidR="00895DE7">
        <w:t>O</w:t>
      </w:r>
      <w:r w:rsidR="0096087F">
        <w:t xml:space="preserve">n 19 December 2023, I made orders </w:t>
      </w:r>
      <w:r w:rsidR="001D1D8A">
        <w:t>for</w:t>
      </w:r>
      <w:r w:rsidR="0096087F">
        <w:t xml:space="preserve"> substituted service of </w:t>
      </w:r>
      <w:r w:rsidR="00462C6E">
        <w:t>documents</w:t>
      </w:r>
      <w:r w:rsidR="006D0E20">
        <w:t xml:space="preserve"> filed in this proceeding</w:t>
      </w:r>
      <w:r w:rsidR="00462C6E">
        <w:t xml:space="preserve"> on the </w:t>
      </w:r>
      <w:r w:rsidR="00462C6E" w:rsidRPr="00356324">
        <w:t>first respondent</w:t>
      </w:r>
      <w:r w:rsidR="00462C6E">
        <w:t xml:space="preserve">, </w:t>
      </w:r>
      <w:r w:rsidR="00462C6E" w:rsidRPr="00462C6E">
        <w:t>AFI Cosmetic Pty Ltd</w:t>
      </w:r>
      <w:r w:rsidR="00986801">
        <w:t>,</w:t>
      </w:r>
      <w:r w:rsidR="00DC4323">
        <w:t xml:space="preserve"> </w:t>
      </w:r>
      <w:r w:rsidR="001D1D8A">
        <w:t>permitting</w:t>
      </w:r>
      <w:r w:rsidR="00DC4323">
        <w:t xml:space="preserve"> documents to be sent to bo</w:t>
      </w:r>
      <w:r w:rsidR="008049A6">
        <w:t xml:space="preserve">th: </w:t>
      </w:r>
    </w:p>
    <w:p w14:paraId="5B52588F" w14:textId="15C97B5F" w:rsidR="008049A6" w:rsidRDefault="00BE3059" w:rsidP="00BE3059">
      <w:pPr>
        <w:pStyle w:val="ListNo2"/>
        <w:numPr>
          <w:ilvl w:val="0"/>
          <w:numId w:val="0"/>
        </w:numPr>
        <w:tabs>
          <w:tab w:val="left" w:pos="709"/>
        </w:tabs>
        <w:ind w:left="1440" w:hanging="1440"/>
      </w:pPr>
      <w:r>
        <w:t>(a)</w:t>
      </w:r>
      <w:r>
        <w:tab/>
      </w:r>
      <w:r w:rsidR="008049A6">
        <w:t xml:space="preserve">the email address at </w:t>
      </w:r>
      <w:hyperlink r:id="rId16" w:history="1">
        <w:r w:rsidR="002F19F9" w:rsidRPr="006E60CF">
          <w:rPr>
            <w:rStyle w:val="Hyperlink"/>
          </w:rPr>
          <w:t>kf@onlinezh.net</w:t>
        </w:r>
      </w:hyperlink>
      <w:r w:rsidR="008049A6">
        <w:t xml:space="preserve">; and </w:t>
      </w:r>
    </w:p>
    <w:p w14:paraId="011C5C91" w14:textId="6FDD3F12" w:rsidR="008049A6" w:rsidRDefault="00BE3059" w:rsidP="00BE3059">
      <w:pPr>
        <w:pStyle w:val="ListNo2"/>
        <w:numPr>
          <w:ilvl w:val="0"/>
          <w:numId w:val="0"/>
        </w:numPr>
        <w:tabs>
          <w:tab w:val="left" w:pos="709"/>
        </w:tabs>
        <w:ind w:left="1440" w:hanging="1440"/>
      </w:pPr>
      <w:r>
        <w:t>(b)</w:t>
      </w:r>
      <w:r>
        <w:tab/>
      </w:r>
      <w:r w:rsidR="008049A6">
        <w:t xml:space="preserve">the mailing address of Level 6, 552 Lonsdale Street, Melbourne VIC 3000. </w:t>
      </w:r>
    </w:p>
    <w:p w14:paraId="3323968F" w14:textId="7C980AA4" w:rsidR="00395E72" w:rsidRDefault="00BE3059" w:rsidP="00BE3059">
      <w:pPr>
        <w:pStyle w:val="ParaNumbering"/>
        <w:numPr>
          <w:ilvl w:val="0"/>
          <w:numId w:val="0"/>
        </w:numPr>
        <w:ind w:hanging="720"/>
      </w:pPr>
      <w:r>
        <w:rPr>
          <w:sz w:val="20"/>
        </w:rPr>
        <w:t>4</w:t>
      </w:r>
      <w:r>
        <w:rPr>
          <w:sz w:val="20"/>
        </w:rPr>
        <w:tab/>
      </w:r>
      <w:r w:rsidR="00395E72">
        <w:t>The second respondent is the sole director, secretary and shareholder of the first respondent.</w:t>
      </w:r>
    </w:p>
    <w:p w14:paraId="626FA0C3" w14:textId="6D3DF2C9" w:rsidR="00CD1346" w:rsidRDefault="00BE3059" w:rsidP="00BE3059">
      <w:pPr>
        <w:pStyle w:val="ParaNumbering"/>
        <w:numPr>
          <w:ilvl w:val="0"/>
          <w:numId w:val="0"/>
        </w:numPr>
        <w:ind w:hanging="720"/>
      </w:pPr>
      <w:r>
        <w:rPr>
          <w:sz w:val="20"/>
        </w:rPr>
        <w:t>5</w:t>
      </w:r>
      <w:r>
        <w:rPr>
          <w:sz w:val="20"/>
        </w:rPr>
        <w:tab/>
      </w:r>
      <w:r w:rsidR="00EC49E8">
        <w:t xml:space="preserve">In addition to orders for deemed service, the applicants seek orders for </w:t>
      </w:r>
      <w:r w:rsidR="00CF7F82">
        <w:t>substituted service of court documents on the second respondent</w:t>
      </w:r>
      <w:r w:rsidR="00FC4505">
        <w:t xml:space="preserve">. Analogous to </w:t>
      </w:r>
      <w:r w:rsidR="00A97F99">
        <w:t xml:space="preserve">substituted service on the first respondent, the applicants seek to effect service by sending documents to both: </w:t>
      </w:r>
    </w:p>
    <w:p w14:paraId="5CB2112C" w14:textId="57121F0C" w:rsidR="00A97F99" w:rsidRDefault="00BE3059" w:rsidP="00BE3059">
      <w:pPr>
        <w:pStyle w:val="ListNo2"/>
        <w:numPr>
          <w:ilvl w:val="0"/>
          <w:numId w:val="0"/>
        </w:numPr>
        <w:tabs>
          <w:tab w:val="left" w:pos="709"/>
        </w:tabs>
        <w:ind w:left="709" w:hanging="709"/>
      </w:pPr>
      <w:r>
        <w:t>(a)</w:t>
      </w:r>
      <w:r>
        <w:tab/>
      </w:r>
      <w:r w:rsidR="00A97F99">
        <w:t xml:space="preserve">the email address at </w:t>
      </w:r>
      <w:hyperlink r:id="rId17" w:history="1">
        <w:r w:rsidR="002F19F9" w:rsidRPr="006E60CF">
          <w:rPr>
            <w:rStyle w:val="Hyperlink"/>
          </w:rPr>
          <w:t>kf@onlinezh.net</w:t>
        </w:r>
      </w:hyperlink>
      <w:r w:rsidR="00A97F99">
        <w:t xml:space="preserve">; and </w:t>
      </w:r>
    </w:p>
    <w:p w14:paraId="7D7AEEAB" w14:textId="6B091907" w:rsidR="00641F27" w:rsidRDefault="00BE3059" w:rsidP="00BE3059">
      <w:pPr>
        <w:pStyle w:val="ListNo2"/>
        <w:numPr>
          <w:ilvl w:val="0"/>
          <w:numId w:val="0"/>
        </w:numPr>
        <w:tabs>
          <w:tab w:val="left" w:pos="709"/>
        </w:tabs>
        <w:ind w:left="709" w:hanging="709"/>
      </w:pPr>
      <w:r>
        <w:t>(b)</w:t>
      </w:r>
      <w:r>
        <w:tab/>
      </w:r>
      <w:r w:rsidR="00A97F99">
        <w:t>the mailing address of Level 6, 552 Lonsdale Street, Melbourne VIC 3000.</w:t>
      </w:r>
    </w:p>
    <w:p w14:paraId="4D9CB969" w14:textId="42FC7B0A" w:rsidR="00F639B0" w:rsidRDefault="00BE3059" w:rsidP="00BE3059">
      <w:pPr>
        <w:pStyle w:val="Heading5"/>
        <w:numPr>
          <w:ilvl w:val="0"/>
          <w:numId w:val="0"/>
        </w:numPr>
        <w:tabs>
          <w:tab w:val="left" w:pos="1134"/>
        </w:tabs>
        <w:ind w:left="1134" w:hanging="1134"/>
      </w:pPr>
      <w:r>
        <w:t>2.</w:t>
      </w:r>
      <w:r>
        <w:tab/>
      </w:r>
      <w:r w:rsidR="007F5058">
        <w:t>BACKGROUND</w:t>
      </w:r>
    </w:p>
    <w:p w14:paraId="44AC522F" w14:textId="2161E0DE" w:rsidR="00F639B0" w:rsidRDefault="00BE3059" w:rsidP="00BE3059">
      <w:pPr>
        <w:pStyle w:val="ParaNumbering"/>
        <w:numPr>
          <w:ilvl w:val="0"/>
          <w:numId w:val="0"/>
        </w:numPr>
        <w:ind w:hanging="720"/>
      </w:pPr>
      <w:r>
        <w:rPr>
          <w:sz w:val="20"/>
        </w:rPr>
        <w:t>6</w:t>
      </w:r>
      <w:r>
        <w:rPr>
          <w:sz w:val="20"/>
        </w:rPr>
        <w:tab/>
      </w:r>
      <w:r w:rsidR="00244988" w:rsidRPr="00244988">
        <w:t>On 14 November 2023</w:t>
      </w:r>
      <w:r w:rsidR="00860464">
        <w:t>,</w:t>
      </w:r>
      <w:r w:rsidR="00244988" w:rsidRPr="00244988">
        <w:t xml:space="preserve"> the </w:t>
      </w:r>
      <w:r w:rsidR="00244988">
        <w:t>a</w:t>
      </w:r>
      <w:r w:rsidR="00244988" w:rsidRPr="00244988">
        <w:t xml:space="preserve">pplicants issued proceedings against the </w:t>
      </w:r>
      <w:r w:rsidR="00244988">
        <w:t>r</w:t>
      </w:r>
      <w:r w:rsidR="00244988" w:rsidRPr="00244988">
        <w:t xml:space="preserve">espondents for, </w:t>
      </w:r>
      <w:r w:rsidR="0089367E">
        <w:t>amongst others</w:t>
      </w:r>
      <w:r w:rsidR="00244988" w:rsidRPr="00244988">
        <w:t xml:space="preserve">, trade mark infringement, copyright infringement, breaches of the Australian Consumer Law and passing off. This impugned conduct concerns the publication of two nearly identical websites. The </w:t>
      </w:r>
      <w:r w:rsidR="002D1972">
        <w:t>a</w:t>
      </w:r>
      <w:r w:rsidR="00244988" w:rsidRPr="00244988">
        <w:t xml:space="preserve">pplicants sought final and interlocutory relief. They also sought an order for cancellation of a trade mark registration </w:t>
      </w:r>
      <w:r w:rsidR="00520F00">
        <w:t xml:space="preserve">(Australian registered trade mark </w:t>
      </w:r>
      <w:r w:rsidR="00D5053E">
        <w:t>2325650)</w:t>
      </w:r>
      <w:r w:rsidR="00244988" w:rsidRPr="00244988">
        <w:t xml:space="preserve"> in the name of the </w:t>
      </w:r>
      <w:r w:rsidR="002D1972" w:rsidRPr="00244988">
        <w:t>second r</w:t>
      </w:r>
      <w:r w:rsidR="00244988" w:rsidRPr="00244988">
        <w:t>espondent.</w:t>
      </w:r>
      <w:r w:rsidR="00244988">
        <w:t xml:space="preserve"> </w:t>
      </w:r>
    </w:p>
    <w:p w14:paraId="3878D8E6" w14:textId="6CC01E93" w:rsidR="002D1972" w:rsidRDefault="00BE3059" w:rsidP="00BE3059">
      <w:pPr>
        <w:pStyle w:val="ParaNumbering"/>
        <w:numPr>
          <w:ilvl w:val="0"/>
          <w:numId w:val="0"/>
        </w:numPr>
        <w:ind w:hanging="720"/>
      </w:pPr>
      <w:r>
        <w:rPr>
          <w:sz w:val="20"/>
        </w:rPr>
        <w:lastRenderedPageBreak/>
        <w:t>7</w:t>
      </w:r>
      <w:r>
        <w:rPr>
          <w:sz w:val="20"/>
        </w:rPr>
        <w:tab/>
      </w:r>
      <w:r w:rsidR="002D1972" w:rsidRPr="002D1972">
        <w:t>On 22 November 2023</w:t>
      </w:r>
      <w:r w:rsidR="00860464">
        <w:t>,</w:t>
      </w:r>
      <w:r w:rsidR="002D1972" w:rsidRPr="002D1972">
        <w:t xml:space="preserve"> </w:t>
      </w:r>
      <w:r w:rsidR="002D1972">
        <w:t>I</w:t>
      </w:r>
      <w:r w:rsidR="00AA5792">
        <w:t xml:space="preserve"> heard the application for interlocutory relief</w:t>
      </w:r>
      <w:r w:rsidR="00B616FF">
        <w:t xml:space="preserve"> in my capacity as duty judge</w:t>
      </w:r>
      <w:r w:rsidR="00AA5792">
        <w:t xml:space="preserve"> and made orders </w:t>
      </w:r>
      <w:r w:rsidR="002D1972" w:rsidRPr="002D1972">
        <w:t>that, inter alia, required the cessation of publication of the two impugned websites</w:t>
      </w:r>
      <w:r w:rsidR="001A52B5">
        <w:t>:</w:t>
      </w:r>
      <w:r w:rsidR="00082F77" w:rsidRPr="00082F77">
        <w:t xml:space="preserve"> </w:t>
      </w:r>
      <w:proofErr w:type="spellStart"/>
      <w:r w:rsidR="00082F77" w:rsidRPr="007A0D29">
        <w:rPr>
          <w:i/>
          <w:iCs/>
        </w:rPr>
        <w:t>Vitaco</w:t>
      </w:r>
      <w:proofErr w:type="spellEnd"/>
      <w:r w:rsidR="00082F77" w:rsidRPr="007A0D29">
        <w:rPr>
          <w:i/>
          <w:iCs/>
        </w:rPr>
        <w:t xml:space="preserve"> Health IP Pty Ltd v AFI Cosmetic Pty Ltd</w:t>
      </w:r>
      <w:r w:rsidR="00082F77" w:rsidRPr="007A0D29">
        <w:t xml:space="preserve"> [2023] FCA 1463</w:t>
      </w:r>
      <w:r w:rsidR="002D1972" w:rsidRPr="002D1972">
        <w:t>.</w:t>
      </w:r>
      <w:r w:rsidR="00AF607F">
        <w:t xml:space="preserve"> </w:t>
      </w:r>
      <w:r w:rsidR="00E437ED">
        <w:t xml:space="preserve">Those reasons provide background </w:t>
      </w:r>
      <w:r w:rsidR="00C85E3F">
        <w:t>and context to the present application.</w:t>
      </w:r>
    </w:p>
    <w:p w14:paraId="1EC979F7" w14:textId="430688EF" w:rsidR="00AA5792" w:rsidRDefault="00BE3059" w:rsidP="00BE3059">
      <w:pPr>
        <w:pStyle w:val="ParaNumbering"/>
        <w:numPr>
          <w:ilvl w:val="0"/>
          <w:numId w:val="0"/>
        </w:numPr>
        <w:ind w:hanging="720"/>
      </w:pPr>
      <w:r>
        <w:rPr>
          <w:sz w:val="20"/>
        </w:rPr>
        <w:t>8</w:t>
      </w:r>
      <w:r>
        <w:rPr>
          <w:sz w:val="20"/>
        </w:rPr>
        <w:tab/>
      </w:r>
      <w:r w:rsidR="001E3F91">
        <w:t>This proceeding was later formally allocated to me for</w:t>
      </w:r>
      <w:r w:rsidR="00E47383">
        <w:t xml:space="preserve"> the hearing and determination of the substantive issues</w:t>
      </w:r>
      <w:r w:rsidR="00E87196">
        <w:t xml:space="preserve">. </w:t>
      </w:r>
    </w:p>
    <w:p w14:paraId="6DCCCAB3" w14:textId="4A1C8426" w:rsidR="00E87196" w:rsidRDefault="00BE3059" w:rsidP="00BE3059">
      <w:pPr>
        <w:pStyle w:val="ParaNumbering"/>
        <w:numPr>
          <w:ilvl w:val="0"/>
          <w:numId w:val="0"/>
        </w:numPr>
        <w:ind w:hanging="720"/>
      </w:pPr>
      <w:r>
        <w:rPr>
          <w:sz w:val="20"/>
        </w:rPr>
        <w:t>9</w:t>
      </w:r>
      <w:r>
        <w:rPr>
          <w:sz w:val="20"/>
        </w:rPr>
        <w:tab/>
      </w:r>
      <w:r w:rsidR="00B85EE8">
        <w:t xml:space="preserve">In support of the </w:t>
      </w:r>
      <w:r w:rsidR="003373EC">
        <w:t xml:space="preserve">present </w:t>
      </w:r>
      <w:r w:rsidR="00B85EE8">
        <w:t xml:space="preserve">interlocutory application, </w:t>
      </w:r>
      <w:r w:rsidR="00B855B2">
        <w:t xml:space="preserve">the applicants </w:t>
      </w:r>
      <w:r w:rsidR="003A366F">
        <w:t>rely o</w:t>
      </w:r>
      <w:r w:rsidR="00B855B2">
        <w:t xml:space="preserve">n the affidavit of </w:t>
      </w:r>
      <w:r w:rsidR="007442F2">
        <w:t>their</w:t>
      </w:r>
      <w:r w:rsidR="00DB7E77">
        <w:t xml:space="preserve"> solicitor, Leonard Thomas Hickey</w:t>
      </w:r>
      <w:r w:rsidR="00E36CAE">
        <w:t xml:space="preserve"> of </w:t>
      </w:r>
      <w:proofErr w:type="spellStart"/>
      <w:r w:rsidR="00E36CAE">
        <w:t>Cornwalls</w:t>
      </w:r>
      <w:proofErr w:type="spellEnd"/>
      <w:r w:rsidR="00E36CAE">
        <w:t xml:space="preserve"> Lawyers</w:t>
      </w:r>
      <w:r w:rsidR="00DB7E77">
        <w:t>, affirmed 9 February 2024</w:t>
      </w:r>
      <w:r w:rsidR="00745BE2">
        <w:t xml:space="preserve"> (</w:t>
      </w:r>
      <w:r w:rsidR="00745BE2" w:rsidRPr="00745BE2">
        <w:rPr>
          <w:b/>
          <w:bCs/>
        </w:rPr>
        <w:t>Hickey affidavit</w:t>
      </w:r>
      <w:r w:rsidR="00745BE2">
        <w:t>)</w:t>
      </w:r>
      <w:r w:rsidR="00DB7E77">
        <w:t xml:space="preserve">. </w:t>
      </w:r>
      <w:r w:rsidR="001F6BC8">
        <w:t>Mr Hickey’s evidence can be summarised a</w:t>
      </w:r>
      <w:r w:rsidR="00AE1C3F">
        <w:t>s follows:</w:t>
      </w:r>
      <w:r w:rsidR="00845C57">
        <w:t xml:space="preserve"> </w:t>
      </w:r>
    </w:p>
    <w:p w14:paraId="388D794C" w14:textId="29E51429" w:rsidR="00DE3844" w:rsidRPr="00F0537C" w:rsidRDefault="00DE3844" w:rsidP="00E36CAE">
      <w:pPr>
        <w:pStyle w:val="NoNum"/>
        <w:rPr>
          <w:b/>
          <w:bCs/>
        </w:rPr>
      </w:pPr>
      <w:r w:rsidRPr="00F0537C">
        <w:rPr>
          <w:b/>
          <w:bCs/>
        </w:rPr>
        <w:t>Delivery via trade mark address for service</w:t>
      </w:r>
    </w:p>
    <w:p w14:paraId="5C37E4ED" w14:textId="5D9F7A1D" w:rsidR="00E36CAE" w:rsidRDefault="00BE3059" w:rsidP="00BE3059">
      <w:pPr>
        <w:pStyle w:val="ParaNumbering"/>
        <w:numPr>
          <w:ilvl w:val="0"/>
          <w:numId w:val="0"/>
        </w:numPr>
        <w:ind w:hanging="720"/>
      </w:pPr>
      <w:r>
        <w:rPr>
          <w:sz w:val="20"/>
        </w:rPr>
        <w:t>10</w:t>
      </w:r>
      <w:r>
        <w:rPr>
          <w:sz w:val="20"/>
        </w:rPr>
        <w:tab/>
      </w:r>
      <w:r w:rsidR="00E36CAE">
        <w:t xml:space="preserve">Mr Hickey conducted a search of the </w:t>
      </w:r>
      <w:r w:rsidR="00E36CAE" w:rsidRPr="00E36CAE">
        <w:t>Australian Trade Marks Office online database and identified the official details for trade mark registration 2325650</w:t>
      </w:r>
      <w:r w:rsidR="00E36CAE">
        <w:t xml:space="preserve">, </w:t>
      </w:r>
      <w:r w:rsidR="001D1D8A">
        <w:t>finding</w:t>
      </w:r>
      <w:r w:rsidR="00E36CAE">
        <w:t xml:space="preserve"> the official address to be: </w:t>
      </w:r>
    </w:p>
    <w:p w14:paraId="7240D5A0" w14:textId="35D30C7F" w:rsidR="00EC194B" w:rsidRDefault="003E34A6" w:rsidP="00E36CAE">
      <w:pPr>
        <w:pStyle w:val="ListNo1"/>
        <w:numPr>
          <w:ilvl w:val="0"/>
          <w:numId w:val="0"/>
        </w:numPr>
        <w:ind w:left="720"/>
        <w:rPr>
          <w:noProof/>
        </w:rPr>
      </w:pPr>
      <w:r>
        <w:rPr>
          <w:noProof/>
        </w:rPr>
        <w:drawing>
          <wp:inline distT="0" distB="0" distL="0" distR="0" wp14:anchorId="57659208" wp14:editId="6947BA3B">
            <wp:extent cx="2673350" cy="788670"/>
            <wp:effectExtent l="0" t="0" r="0" b="0"/>
            <wp:docPr id="26935099" name="Picture 2"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35099" name="Picture 2" descr="A close up of a 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673350" cy="788670"/>
                    </a:xfrm>
                    <a:prstGeom prst="rect">
                      <a:avLst/>
                    </a:prstGeom>
                  </pic:spPr>
                </pic:pic>
              </a:graphicData>
            </a:graphic>
          </wp:inline>
        </w:drawing>
      </w:r>
    </w:p>
    <w:p w14:paraId="4D92F4EA" w14:textId="699393F1" w:rsidR="00CE31B3" w:rsidRDefault="00BE3059" w:rsidP="00BE3059">
      <w:pPr>
        <w:pStyle w:val="ParaNumbering"/>
        <w:numPr>
          <w:ilvl w:val="0"/>
          <w:numId w:val="0"/>
        </w:numPr>
        <w:ind w:hanging="720"/>
      </w:pPr>
      <w:r>
        <w:rPr>
          <w:sz w:val="20"/>
        </w:rPr>
        <w:t>11</w:t>
      </w:r>
      <w:r>
        <w:rPr>
          <w:sz w:val="20"/>
        </w:rPr>
        <w:tab/>
      </w:r>
      <w:r w:rsidR="00CE31B3">
        <w:t xml:space="preserve">On 6 February 2024, a process server engaged on behalf of the </w:t>
      </w:r>
      <w:r w:rsidR="00E36CAE">
        <w:t>a</w:t>
      </w:r>
      <w:r w:rsidR="00CE31B3">
        <w:t xml:space="preserve">pplicants attended the official address </w:t>
      </w:r>
      <w:r w:rsidR="00E36CAE">
        <w:t>referred to above</w:t>
      </w:r>
      <w:r w:rsidR="00CE31B3">
        <w:t xml:space="preserve"> and left copies of the following documents with an adult at that address:</w:t>
      </w:r>
    </w:p>
    <w:p w14:paraId="19CA9990" w14:textId="3FEC5C09" w:rsidR="00CE31B3" w:rsidRDefault="00BE3059" w:rsidP="00BE3059">
      <w:pPr>
        <w:pStyle w:val="ListNo2"/>
        <w:numPr>
          <w:ilvl w:val="0"/>
          <w:numId w:val="0"/>
        </w:numPr>
        <w:tabs>
          <w:tab w:val="left" w:pos="709"/>
        </w:tabs>
        <w:ind w:left="709" w:hanging="709"/>
      </w:pPr>
      <w:r>
        <w:t>(a)</w:t>
      </w:r>
      <w:r>
        <w:tab/>
      </w:r>
      <w:r w:rsidR="00CE31B3">
        <w:t>the originating application;</w:t>
      </w:r>
    </w:p>
    <w:p w14:paraId="0C71FA04" w14:textId="62B11E82" w:rsidR="00CE31B3" w:rsidRDefault="00BE3059" w:rsidP="00BE3059">
      <w:pPr>
        <w:pStyle w:val="ListNo2"/>
        <w:numPr>
          <w:ilvl w:val="0"/>
          <w:numId w:val="0"/>
        </w:numPr>
        <w:tabs>
          <w:tab w:val="left" w:pos="709"/>
        </w:tabs>
        <w:ind w:left="709" w:hanging="709"/>
      </w:pPr>
      <w:r>
        <w:t>(b)</w:t>
      </w:r>
      <w:r>
        <w:tab/>
      </w:r>
      <w:r w:rsidR="00CE31B3">
        <w:t>the statement of claim;</w:t>
      </w:r>
    </w:p>
    <w:p w14:paraId="0B91109F" w14:textId="70901637" w:rsidR="00CE31B3" w:rsidRDefault="00BE3059" w:rsidP="00BE3059">
      <w:pPr>
        <w:pStyle w:val="ListNo2"/>
        <w:numPr>
          <w:ilvl w:val="0"/>
          <w:numId w:val="0"/>
        </w:numPr>
        <w:tabs>
          <w:tab w:val="left" w:pos="709"/>
        </w:tabs>
        <w:ind w:left="709" w:hanging="709"/>
      </w:pPr>
      <w:r>
        <w:t>(c)</w:t>
      </w:r>
      <w:r>
        <w:tab/>
      </w:r>
      <w:r w:rsidR="00CE31B3">
        <w:t>the applicant’s Genuine Steps Statement dated 17 November 2023;</w:t>
      </w:r>
    </w:p>
    <w:p w14:paraId="57375AD5" w14:textId="73A0880B" w:rsidR="00CE31B3" w:rsidRDefault="00BE3059" w:rsidP="00BE3059">
      <w:pPr>
        <w:pStyle w:val="ListNo2"/>
        <w:numPr>
          <w:ilvl w:val="0"/>
          <w:numId w:val="0"/>
        </w:numPr>
        <w:tabs>
          <w:tab w:val="left" w:pos="709"/>
        </w:tabs>
        <w:ind w:left="709" w:hanging="709"/>
      </w:pPr>
      <w:r>
        <w:t>(d)</w:t>
      </w:r>
      <w:r>
        <w:tab/>
      </w:r>
      <w:r w:rsidR="00860464">
        <w:t>Mr Hickey’s</w:t>
      </w:r>
      <w:r w:rsidR="00CE31B3">
        <w:t xml:space="preserve"> affidavits of 14 and 15 November 2023;</w:t>
      </w:r>
    </w:p>
    <w:p w14:paraId="01A48AA1" w14:textId="39B1C35D" w:rsidR="00CE31B3" w:rsidRDefault="00BE3059" w:rsidP="00BE3059">
      <w:pPr>
        <w:pStyle w:val="ListNo2"/>
        <w:numPr>
          <w:ilvl w:val="0"/>
          <w:numId w:val="0"/>
        </w:numPr>
        <w:tabs>
          <w:tab w:val="left" w:pos="709"/>
        </w:tabs>
        <w:ind w:left="709" w:hanging="709"/>
      </w:pPr>
      <w:r>
        <w:t>(e)</w:t>
      </w:r>
      <w:r>
        <w:tab/>
      </w:r>
      <w:r w:rsidR="00CE31B3">
        <w:t>the affidavit of Craig Dawson Kearney dated 15 November 2023;</w:t>
      </w:r>
    </w:p>
    <w:p w14:paraId="2066EF86" w14:textId="4D510ECE" w:rsidR="00CE31B3" w:rsidRDefault="00BE3059" w:rsidP="00BE3059">
      <w:pPr>
        <w:pStyle w:val="ListNo2"/>
        <w:numPr>
          <w:ilvl w:val="0"/>
          <w:numId w:val="0"/>
        </w:numPr>
        <w:tabs>
          <w:tab w:val="left" w:pos="709"/>
        </w:tabs>
        <w:ind w:left="709" w:hanging="709"/>
      </w:pPr>
      <w:r>
        <w:t>(f)</w:t>
      </w:r>
      <w:r>
        <w:tab/>
      </w:r>
      <w:r w:rsidR="00CE31B3">
        <w:t>the Court's orders dated 15 and 22 November and 20 December 2023;</w:t>
      </w:r>
      <w:r w:rsidR="001D1D8A">
        <w:t xml:space="preserve"> and</w:t>
      </w:r>
    </w:p>
    <w:p w14:paraId="55BF7550" w14:textId="5A35642E" w:rsidR="00AE1C3F" w:rsidRDefault="00BE3059" w:rsidP="00BE3059">
      <w:pPr>
        <w:pStyle w:val="ListNo2"/>
        <w:numPr>
          <w:ilvl w:val="0"/>
          <w:numId w:val="0"/>
        </w:numPr>
        <w:tabs>
          <w:tab w:val="left" w:pos="709"/>
        </w:tabs>
        <w:ind w:left="709" w:hanging="709"/>
      </w:pPr>
      <w:r>
        <w:t>(g)</w:t>
      </w:r>
      <w:r>
        <w:tab/>
      </w:r>
      <w:r w:rsidR="00CE31B3">
        <w:t xml:space="preserve">a covering letter written by </w:t>
      </w:r>
      <w:r w:rsidR="00860464">
        <w:t>Mr Hickey</w:t>
      </w:r>
      <w:r w:rsidR="00CE31B3">
        <w:t xml:space="preserve"> to Susan William.</w:t>
      </w:r>
    </w:p>
    <w:p w14:paraId="5E9FD5DD" w14:textId="77777777" w:rsidR="00EC194B" w:rsidRDefault="00EC194B" w:rsidP="00E36CAE">
      <w:pPr>
        <w:pStyle w:val="NoNum"/>
        <w:rPr>
          <w:b/>
          <w:bCs/>
        </w:rPr>
      </w:pPr>
    </w:p>
    <w:p w14:paraId="07CF0A36" w14:textId="77777777" w:rsidR="00EC194B" w:rsidRDefault="00EC194B" w:rsidP="00E36CAE">
      <w:pPr>
        <w:pStyle w:val="NoNum"/>
        <w:rPr>
          <w:b/>
          <w:bCs/>
        </w:rPr>
      </w:pPr>
    </w:p>
    <w:p w14:paraId="13F053D5" w14:textId="34DC705A" w:rsidR="008520A6" w:rsidRPr="008520A6" w:rsidRDefault="008520A6" w:rsidP="00E36CAE">
      <w:pPr>
        <w:pStyle w:val="NoNum"/>
        <w:rPr>
          <w:b/>
          <w:bCs/>
        </w:rPr>
      </w:pPr>
      <w:r w:rsidRPr="008520A6">
        <w:rPr>
          <w:b/>
          <w:bCs/>
        </w:rPr>
        <w:lastRenderedPageBreak/>
        <w:t xml:space="preserve">Delivery via email </w:t>
      </w:r>
    </w:p>
    <w:p w14:paraId="34896A17" w14:textId="575B0756" w:rsidR="00E14DDD" w:rsidRDefault="00BE3059" w:rsidP="00BE3059">
      <w:pPr>
        <w:pStyle w:val="ParaNumbering"/>
        <w:numPr>
          <w:ilvl w:val="0"/>
          <w:numId w:val="0"/>
        </w:numPr>
        <w:ind w:hanging="720"/>
      </w:pPr>
      <w:r>
        <w:rPr>
          <w:sz w:val="20"/>
        </w:rPr>
        <w:t>12</w:t>
      </w:r>
      <w:r>
        <w:rPr>
          <w:sz w:val="20"/>
        </w:rPr>
        <w:tab/>
      </w:r>
      <w:r w:rsidR="00E14DDD">
        <w:t xml:space="preserve">The domain report for the domain name </w:t>
      </w:r>
      <w:r w:rsidR="00D23123">
        <w:t>&lt;healtheries.net&gt; identified the Registrar URL &lt;</w:t>
      </w:r>
      <w:r w:rsidR="000A3CCE">
        <w:t xml:space="preserve">http://www.joz.cn&gt;. </w:t>
      </w:r>
    </w:p>
    <w:p w14:paraId="5EEBBFAF" w14:textId="5902B15C" w:rsidR="008925EB" w:rsidRPr="000A2C16" w:rsidRDefault="00BE3059" w:rsidP="00BE3059">
      <w:pPr>
        <w:pStyle w:val="ParaNumbering"/>
        <w:numPr>
          <w:ilvl w:val="0"/>
          <w:numId w:val="0"/>
        </w:numPr>
        <w:ind w:hanging="720"/>
      </w:pPr>
      <w:r w:rsidRPr="000A2C16">
        <w:rPr>
          <w:sz w:val="20"/>
        </w:rPr>
        <w:t>13</w:t>
      </w:r>
      <w:r w:rsidRPr="000A2C16">
        <w:rPr>
          <w:sz w:val="20"/>
        </w:rPr>
        <w:tab/>
      </w:r>
      <w:r w:rsidR="00850F1D">
        <w:t xml:space="preserve">On 22 November 2023, </w:t>
      </w:r>
      <w:r w:rsidR="009143F3">
        <w:t>Mr Hickey sen</w:t>
      </w:r>
      <w:r w:rsidR="00CE5099">
        <w:t>t</w:t>
      </w:r>
      <w:r w:rsidR="009143F3">
        <w:t xml:space="preserve"> em</w:t>
      </w:r>
      <w:r w:rsidR="009143F3" w:rsidRPr="000A2C16">
        <w:t xml:space="preserve">ails to </w:t>
      </w:r>
      <w:hyperlink r:id="rId19" w:history="1">
        <w:r w:rsidR="007A1BEE" w:rsidRPr="000A2C16">
          <w:rPr>
            <w:rStyle w:val="Hyperlink"/>
            <w:color w:val="auto"/>
            <w:u w:val="none"/>
          </w:rPr>
          <w:t>315@joz.cn</w:t>
        </w:r>
      </w:hyperlink>
      <w:r w:rsidR="009143F3" w:rsidRPr="000A2C16">
        <w:t xml:space="preserve">; </w:t>
      </w:r>
      <w:hyperlink r:id="rId20" w:history="1">
        <w:r w:rsidR="007A1BEE" w:rsidRPr="000A2C16">
          <w:rPr>
            <w:rStyle w:val="Hyperlink"/>
            <w:color w:val="auto"/>
            <w:u w:val="none"/>
          </w:rPr>
          <w:t>caiwu@joz.cn</w:t>
        </w:r>
      </w:hyperlink>
      <w:r w:rsidR="009143F3" w:rsidRPr="000A2C16">
        <w:t xml:space="preserve">; </w:t>
      </w:r>
      <w:hyperlink r:id="rId21" w:history="1">
        <w:r w:rsidR="009143F3" w:rsidRPr="000A2C16">
          <w:rPr>
            <w:rStyle w:val="Hyperlink"/>
            <w:color w:val="auto"/>
            <w:u w:val="none"/>
          </w:rPr>
          <w:t>support@joz.cn</w:t>
        </w:r>
      </w:hyperlink>
      <w:r w:rsidR="003238CC" w:rsidRPr="000A2C16">
        <w:t xml:space="preserve">, being </w:t>
      </w:r>
      <w:r w:rsidR="00860464" w:rsidRPr="000A2C16">
        <w:t xml:space="preserve">the </w:t>
      </w:r>
      <w:r w:rsidR="003238CC" w:rsidRPr="000A2C16">
        <w:t xml:space="preserve">email addresses he identified on the website </w:t>
      </w:r>
      <w:r w:rsidR="00E440A4" w:rsidRPr="000A2C16">
        <w:t>&lt;</w:t>
      </w:r>
      <w:hyperlink r:id="rId22" w:history="1">
        <w:r w:rsidR="00E36CAE" w:rsidRPr="000A2C16">
          <w:rPr>
            <w:rStyle w:val="Hyperlink"/>
            <w:color w:val="auto"/>
            <w:u w:val="none"/>
          </w:rPr>
          <w:t>http://www.joz.cn</w:t>
        </w:r>
      </w:hyperlink>
      <w:r w:rsidR="00E440A4" w:rsidRPr="000A2C16">
        <w:t xml:space="preserve">&gt; </w:t>
      </w:r>
      <w:r w:rsidR="000A3CCE" w:rsidRPr="000A2C16">
        <w:t xml:space="preserve"> attaching orders of this Court made on the same date. </w:t>
      </w:r>
    </w:p>
    <w:p w14:paraId="6C8162EC" w14:textId="598B888F" w:rsidR="00900AAC" w:rsidRPr="000A2C16" w:rsidRDefault="00BE3059" w:rsidP="00BE3059">
      <w:pPr>
        <w:pStyle w:val="ParaNumbering"/>
        <w:numPr>
          <w:ilvl w:val="0"/>
          <w:numId w:val="0"/>
        </w:numPr>
        <w:ind w:hanging="720"/>
      </w:pPr>
      <w:r w:rsidRPr="000A2C16">
        <w:rPr>
          <w:sz w:val="20"/>
        </w:rPr>
        <w:t>14</w:t>
      </w:r>
      <w:r w:rsidRPr="000A2C16">
        <w:rPr>
          <w:sz w:val="20"/>
        </w:rPr>
        <w:tab/>
      </w:r>
      <w:r w:rsidR="003838EE" w:rsidRPr="000A2C16">
        <w:t>On 1 December 2023,</w:t>
      </w:r>
      <w:r w:rsidR="00900AAC" w:rsidRPr="000A2C16">
        <w:t xml:space="preserve"> </w:t>
      </w:r>
      <w:r w:rsidR="00860464" w:rsidRPr="000A2C16">
        <w:t xml:space="preserve">the </w:t>
      </w:r>
      <w:r w:rsidR="00900AAC" w:rsidRPr="000A2C16">
        <w:t>following response was received</w:t>
      </w:r>
      <w:r w:rsidR="003838EE" w:rsidRPr="000A2C16">
        <w:t xml:space="preserve"> </w:t>
      </w:r>
      <w:r w:rsidR="00900AAC" w:rsidRPr="000A2C16">
        <w:t>from “Shane” at JOZ.CN, INC</w:t>
      </w:r>
      <w:r w:rsidR="001D1D8A" w:rsidRPr="000A2C16">
        <w:t>.</w:t>
      </w:r>
      <w:r w:rsidR="00900AAC" w:rsidRPr="000A2C16">
        <w:t>:</w:t>
      </w:r>
    </w:p>
    <w:p w14:paraId="1970753B" w14:textId="77777777" w:rsidR="003838EE" w:rsidRPr="000A2C16" w:rsidRDefault="003838EE" w:rsidP="007A0D29">
      <w:pPr>
        <w:pStyle w:val="Quote1"/>
      </w:pPr>
      <w:r w:rsidRPr="000A2C16">
        <w:rPr>
          <w:rFonts w:hint="eastAsia"/>
        </w:rPr>
        <w:t>hello</w:t>
      </w:r>
      <w:r w:rsidRPr="000A2C16">
        <w:rPr>
          <w:rFonts w:hint="eastAsia"/>
        </w:rPr>
        <w:t>，</w:t>
      </w:r>
    </w:p>
    <w:p w14:paraId="6BE4EE9B" w14:textId="32A72094" w:rsidR="00900AAC" w:rsidRPr="000A2C16" w:rsidRDefault="003838EE" w:rsidP="007A0D29">
      <w:pPr>
        <w:pStyle w:val="Quote1"/>
      </w:pPr>
      <w:r w:rsidRPr="000A2C16">
        <w:t xml:space="preserve">We have forwarded the email to this client and domain name resolution is currently suspended. </w:t>
      </w:r>
    </w:p>
    <w:p w14:paraId="21A19914" w14:textId="3F166773" w:rsidR="008520A6" w:rsidRPr="000A2C16" w:rsidRDefault="00BE3059" w:rsidP="00BE3059">
      <w:pPr>
        <w:pStyle w:val="ParaNumbering"/>
        <w:numPr>
          <w:ilvl w:val="0"/>
          <w:numId w:val="0"/>
        </w:numPr>
        <w:ind w:hanging="720"/>
      </w:pPr>
      <w:r w:rsidRPr="000A2C16">
        <w:rPr>
          <w:sz w:val="20"/>
        </w:rPr>
        <w:t>15</w:t>
      </w:r>
      <w:r w:rsidRPr="000A2C16">
        <w:rPr>
          <w:sz w:val="20"/>
        </w:rPr>
        <w:tab/>
      </w:r>
      <w:r w:rsidR="00A0380F" w:rsidRPr="000A2C16">
        <w:t>After receiving this email, Mr Hickey checked the domain names at &lt;healtheries.net&gt; and &lt;healtheries.net.au&gt; and identified that they no longer displayed or resolved to any websites.</w:t>
      </w:r>
    </w:p>
    <w:p w14:paraId="46289FB3" w14:textId="6F44D7C4" w:rsidR="00FF21E7" w:rsidRPr="000A2C16" w:rsidRDefault="00BE3059" w:rsidP="00BE3059">
      <w:pPr>
        <w:pStyle w:val="ParaNumbering"/>
        <w:numPr>
          <w:ilvl w:val="0"/>
          <w:numId w:val="0"/>
        </w:numPr>
        <w:ind w:hanging="720"/>
      </w:pPr>
      <w:r w:rsidRPr="000A2C16">
        <w:rPr>
          <w:sz w:val="20"/>
        </w:rPr>
        <w:t>16</w:t>
      </w:r>
      <w:r w:rsidRPr="000A2C16">
        <w:rPr>
          <w:sz w:val="20"/>
        </w:rPr>
        <w:tab/>
      </w:r>
      <w:r w:rsidR="00FF21E7" w:rsidRPr="000A2C16">
        <w:t>On 14 December 2023</w:t>
      </w:r>
      <w:r w:rsidR="001D1D8A" w:rsidRPr="000A2C16">
        <w:t>,</w:t>
      </w:r>
      <w:r w:rsidR="00FF21E7" w:rsidRPr="000A2C16">
        <w:t xml:space="preserve"> Mr Hickey replied to Shane attaching various other documents including the </w:t>
      </w:r>
      <w:r w:rsidR="001D1D8A" w:rsidRPr="000A2C16">
        <w:t>Originating Documents</w:t>
      </w:r>
      <w:r w:rsidR="00FF21E7" w:rsidRPr="000A2C16">
        <w:t xml:space="preserve"> and requested for the documents to be forwarded to his client Han </w:t>
      </w:r>
      <w:proofErr w:type="spellStart"/>
      <w:r w:rsidR="00FF21E7" w:rsidRPr="000A2C16">
        <w:t>Shikai</w:t>
      </w:r>
      <w:proofErr w:type="spellEnd"/>
      <w:r w:rsidR="00FF21E7" w:rsidRPr="000A2C16">
        <w:t xml:space="preserve"> of AFI Cosmetic Pty Ltd.</w:t>
      </w:r>
    </w:p>
    <w:p w14:paraId="07CAC004" w14:textId="0062F45A" w:rsidR="0004340F" w:rsidRPr="000A2C16" w:rsidRDefault="00BE3059" w:rsidP="00BE3059">
      <w:pPr>
        <w:pStyle w:val="ParaNumbering"/>
        <w:numPr>
          <w:ilvl w:val="0"/>
          <w:numId w:val="0"/>
        </w:numPr>
        <w:ind w:hanging="720"/>
      </w:pPr>
      <w:r w:rsidRPr="000A2C16">
        <w:rPr>
          <w:sz w:val="20"/>
        </w:rPr>
        <w:t>17</w:t>
      </w:r>
      <w:r w:rsidRPr="000A2C16">
        <w:rPr>
          <w:sz w:val="20"/>
        </w:rPr>
        <w:tab/>
      </w:r>
      <w:r w:rsidR="0004340F" w:rsidRPr="000A2C16">
        <w:t xml:space="preserve">On 23 December 2023, Mr Hickey received the following reply from Shane: </w:t>
      </w:r>
    </w:p>
    <w:p w14:paraId="2C5551E1" w14:textId="77777777" w:rsidR="00943C3E" w:rsidRPr="000A2C16" w:rsidRDefault="00943C3E" w:rsidP="007A0D29">
      <w:pPr>
        <w:pStyle w:val="Quote1"/>
        <w:rPr>
          <w:lang w:eastAsia="en-AU"/>
        </w:rPr>
      </w:pPr>
      <w:r w:rsidRPr="000A2C16">
        <w:rPr>
          <w:lang w:eastAsia="en-AU"/>
        </w:rPr>
        <w:t xml:space="preserve">hello, </w:t>
      </w:r>
    </w:p>
    <w:p w14:paraId="43EECDB6" w14:textId="6032EBC5" w:rsidR="0004340F" w:rsidRPr="000A2C16" w:rsidRDefault="00943C3E" w:rsidP="007A0D29">
      <w:pPr>
        <w:pStyle w:val="Quote1"/>
      </w:pPr>
      <w:r w:rsidRPr="000A2C16">
        <w:rPr>
          <w:lang w:eastAsia="en-AU"/>
        </w:rPr>
        <w:t>I have forwarded the email to them before, but this domain name is currently inaccessible.</w:t>
      </w:r>
    </w:p>
    <w:p w14:paraId="796B9466" w14:textId="3A1FF769" w:rsidR="008520A6" w:rsidRPr="000A2C16" w:rsidRDefault="00AB3B32" w:rsidP="00E36CAE">
      <w:pPr>
        <w:pStyle w:val="NoNum"/>
        <w:rPr>
          <w:b/>
          <w:bCs/>
        </w:rPr>
      </w:pPr>
      <w:r w:rsidRPr="000A2C16">
        <w:rPr>
          <w:b/>
          <w:bCs/>
        </w:rPr>
        <w:t xml:space="preserve">Attempted delivery in Hong Kong </w:t>
      </w:r>
    </w:p>
    <w:p w14:paraId="0A59A7B9" w14:textId="53445AF9" w:rsidR="0057170C" w:rsidRDefault="00BE3059" w:rsidP="00BE3059">
      <w:pPr>
        <w:pStyle w:val="ParaNumbering"/>
        <w:numPr>
          <w:ilvl w:val="0"/>
          <w:numId w:val="0"/>
        </w:numPr>
        <w:ind w:hanging="720"/>
      </w:pPr>
      <w:r>
        <w:rPr>
          <w:sz w:val="20"/>
        </w:rPr>
        <w:t>18</w:t>
      </w:r>
      <w:r>
        <w:rPr>
          <w:sz w:val="20"/>
        </w:rPr>
        <w:tab/>
      </w:r>
      <w:r w:rsidR="006D12CD" w:rsidRPr="000A2C16">
        <w:t xml:space="preserve">On </w:t>
      </w:r>
      <w:r w:rsidR="00315109" w:rsidRPr="000A2C16">
        <w:t>1 November 2023, Mr Hickey undertook searches of the Hong Kong Companies Registry at &lt;</w:t>
      </w:r>
      <w:r w:rsidR="00A264C6" w:rsidRPr="000A2C16">
        <w:t xml:space="preserve"> </w:t>
      </w:r>
      <w:hyperlink r:id="rId23" w:history="1">
        <w:r w:rsidR="00A264C6" w:rsidRPr="000A2C16">
          <w:rPr>
            <w:rStyle w:val="Hyperlink"/>
            <w:color w:val="auto"/>
            <w:u w:val="none"/>
          </w:rPr>
          <w:t>https://www.cr.gov.hk/en/home/</w:t>
        </w:r>
      </w:hyperlink>
      <w:r w:rsidR="00A264C6" w:rsidRPr="000A2C16">
        <w:t xml:space="preserve">&gt;. In conducting the search, Mr Hickey identified what he understood to be the official records held by </w:t>
      </w:r>
      <w:r w:rsidR="0057170C" w:rsidRPr="000A2C16">
        <w:t>the Hong Kong Compani</w:t>
      </w:r>
      <w:r w:rsidR="0057170C" w:rsidRPr="0057170C">
        <w:t>es Registry for “AFI Cosmetic Pty Ltd” and “</w:t>
      </w:r>
      <w:proofErr w:type="spellStart"/>
      <w:r w:rsidR="0057170C" w:rsidRPr="0057170C">
        <w:t>Shikai</w:t>
      </w:r>
      <w:proofErr w:type="spellEnd"/>
      <w:r w:rsidR="0057170C" w:rsidRPr="0057170C">
        <w:t xml:space="preserve"> Han”.</w:t>
      </w:r>
      <w:r w:rsidR="0057170C">
        <w:t xml:space="preserve"> </w:t>
      </w:r>
    </w:p>
    <w:p w14:paraId="0B01C28F" w14:textId="4CEDA0F3" w:rsidR="006D12CD" w:rsidRDefault="00BE3059" w:rsidP="00BE3059">
      <w:pPr>
        <w:pStyle w:val="ParaNumbering"/>
        <w:numPr>
          <w:ilvl w:val="0"/>
          <w:numId w:val="0"/>
        </w:numPr>
        <w:ind w:hanging="720"/>
      </w:pPr>
      <w:r>
        <w:rPr>
          <w:sz w:val="20"/>
        </w:rPr>
        <w:t>19</w:t>
      </w:r>
      <w:r>
        <w:rPr>
          <w:sz w:val="20"/>
        </w:rPr>
        <w:tab/>
      </w:r>
      <w:r w:rsidR="0057170C">
        <w:t>Mr Hickey engaged Hong Kong law firm, Chui &amp; Lau, on behalf of the applicants.</w:t>
      </w:r>
      <w:r w:rsidR="00BE684B">
        <w:t xml:space="preserve"> </w:t>
      </w:r>
      <w:r w:rsidR="0057170C">
        <w:t>Mr Hickey deposes that he was informed by Norman Chiu</w:t>
      </w:r>
      <w:r w:rsidR="00B6488A">
        <w:t xml:space="preserve"> (</w:t>
      </w:r>
      <w:r w:rsidR="0057170C">
        <w:t>a partner at Chui &amp; Lau</w:t>
      </w:r>
      <w:r w:rsidR="00B6488A">
        <w:t>)</w:t>
      </w:r>
      <w:r w:rsidR="0057170C">
        <w:t xml:space="preserve"> that on 6 February 2024</w:t>
      </w:r>
      <w:r w:rsidR="00B6488A">
        <w:t>,</w:t>
      </w:r>
      <w:r w:rsidR="0057170C">
        <w:t xml:space="preserve"> Johnson Ho of Chui &amp; Lau attended Flat 1512, 15th Floor, Lucky Centre, No.165-171 Wan Chai Road, Wan Chai, Hong Kong</w:t>
      </w:r>
      <w:r w:rsidR="00E76478">
        <w:t xml:space="preserve">, being the registered office per the records </w:t>
      </w:r>
      <w:r w:rsidR="00C02EFD">
        <w:t>referred</w:t>
      </w:r>
      <w:r w:rsidR="00E76478">
        <w:t xml:space="preserve"> to above. </w:t>
      </w:r>
    </w:p>
    <w:p w14:paraId="392F60F8" w14:textId="127C7DAA" w:rsidR="00E76478" w:rsidRDefault="00BE3059" w:rsidP="00BE3059">
      <w:pPr>
        <w:pStyle w:val="ParaNumbering"/>
        <w:numPr>
          <w:ilvl w:val="0"/>
          <w:numId w:val="0"/>
        </w:numPr>
        <w:ind w:hanging="720"/>
      </w:pPr>
      <w:r>
        <w:rPr>
          <w:sz w:val="20"/>
        </w:rPr>
        <w:t>20</w:t>
      </w:r>
      <w:r>
        <w:rPr>
          <w:sz w:val="20"/>
        </w:rPr>
        <w:tab/>
      </w:r>
      <w:r w:rsidR="00E76478">
        <w:t xml:space="preserve">Mr Hickey is further informed that: </w:t>
      </w:r>
    </w:p>
    <w:p w14:paraId="5FE903B2" w14:textId="590E3E65" w:rsidR="00244C8D" w:rsidRDefault="00BE3059" w:rsidP="00BE3059">
      <w:pPr>
        <w:pStyle w:val="ListNo2"/>
        <w:numPr>
          <w:ilvl w:val="0"/>
          <w:numId w:val="0"/>
        </w:numPr>
        <w:tabs>
          <w:tab w:val="left" w:pos="851"/>
        </w:tabs>
        <w:ind w:left="851" w:hanging="851"/>
      </w:pPr>
      <w:r>
        <w:lastRenderedPageBreak/>
        <w:t>(a)</w:t>
      </w:r>
      <w:r>
        <w:tab/>
      </w:r>
      <w:r w:rsidR="00244C8D">
        <w:rPr>
          <w:rFonts w:hint="eastAsia"/>
        </w:rPr>
        <w:t xml:space="preserve">upon arrival Mr Ho found that the premises was occupied by a business, namely </w:t>
      </w:r>
      <w:r w:rsidR="00244C8D">
        <w:rPr>
          <w:rFonts w:hint="eastAsia"/>
        </w:rPr>
        <w:t>“</w:t>
      </w:r>
      <w:r w:rsidR="00244C8D">
        <w:rPr>
          <w:rFonts w:hint="eastAsia"/>
        </w:rPr>
        <w:t>S-Q Business (HK) Limited (</w:t>
      </w:r>
      <w:proofErr w:type="spellStart"/>
      <w:r w:rsidR="00244C8D">
        <w:rPr>
          <w:rFonts w:hint="eastAsia"/>
        </w:rPr>
        <w:t>世僑商務</w:t>
      </w:r>
      <w:proofErr w:type="spellEnd"/>
      <w:r w:rsidR="00244C8D">
        <w:rPr>
          <w:rFonts w:hint="eastAsia"/>
        </w:rPr>
        <w:t>(</w:t>
      </w:r>
      <w:proofErr w:type="spellStart"/>
      <w:r w:rsidR="00244C8D">
        <w:rPr>
          <w:rFonts w:hint="eastAsia"/>
        </w:rPr>
        <w:t>香港</w:t>
      </w:r>
      <w:proofErr w:type="spellEnd"/>
      <w:r w:rsidR="00244C8D">
        <w:rPr>
          <w:rFonts w:hint="eastAsia"/>
        </w:rPr>
        <w:t>)</w:t>
      </w:r>
      <w:proofErr w:type="spellStart"/>
      <w:r w:rsidR="00244C8D">
        <w:rPr>
          <w:rFonts w:hint="eastAsia"/>
        </w:rPr>
        <w:t>有限公司</w:t>
      </w:r>
      <w:proofErr w:type="spellEnd"/>
      <w:r w:rsidR="00244C8D">
        <w:rPr>
          <w:rFonts w:hint="eastAsia"/>
        </w:rPr>
        <w:t>)</w:t>
      </w:r>
      <w:r w:rsidR="00244C8D">
        <w:rPr>
          <w:rFonts w:hint="eastAsia"/>
        </w:rPr>
        <w:t>”</w:t>
      </w:r>
      <w:r w:rsidR="00244C8D">
        <w:rPr>
          <w:rFonts w:hint="eastAsia"/>
        </w:rPr>
        <w:t>;</w:t>
      </w:r>
    </w:p>
    <w:p w14:paraId="093FB8EF" w14:textId="01273AFA" w:rsidR="00244C8D" w:rsidRDefault="00BE3059" w:rsidP="00BE3059">
      <w:pPr>
        <w:pStyle w:val="ListNo2"/>
        <w:numPr>
          <w:ilvl w:val="0"/>
          <w:numId w:val="0"/>
        </w:numPr>
        <w:tabs>
          <w:tab w:val="left" w:pos="851"/>
        </w:tabs>
        <w:ind w:left="851" w:hanging="851"/>
      </w:pPr>
      <w:r>
        <w:t>(b)</w:t>
      </w:r>
      <w:r>
        <w:tab/>
      </w:r>
      <w:r w:rsidR="00244C8D">
        <w:t>Mr Ho pressed the doorbell and a female answered the door;</w:t>
      </w:r>
    </w:p>
    <w:p w14:paraId="6CA64E96" w14:textId="6D195D8F" w:rsidR="00244C8D" w:rsidRDefault="00BE3059" w:rsidP="00BE3059">
      <w:pPr>
        <w:pStyle w:val="ListNo2"/>
        <w:numPr>
          <w:ilvl w:val="0"/>
          <w:numId w:val="0"/>
        </w:numPr>
        <w:tabs>
          <w:tab w:val="left" w:pos="851"/>
        </w:tabs>
        <w:ind w:left="851" w:hanging="851"/>
      </w:pPr>
      <w:r>
        <w:t>(c)</w:t>
      </w:r>
      <w:r>
        <w:tab/>
      </w:r>
      <w:r w:rsidR="00244C8D">
        <w:t xml:space="preserve">Mr Ho enquired of the female whether </w:t>
      </w:r>
      <w:proofErr w:type="spellStart"/>
      <w:r w:rsidR="00244C8D">
        <w:t>Shikai</w:t>
      </w:r>
      <w:proofErr w:type="spellEnd"/>
      <w:r w:rsidR="00244C8D">
        <w:t xml:space="preserve"> Han was there and she replied that she did not know such person and closed the door;</w:t>
      </w:r>
    </w:p>
    <w:p w14:paraId="6E40150D" w14:textId="0E805A6A" w:rsidR="00E76478" w:rsidRDefault="00BE3059" w:rsidP="00BE3059">
      <w:pPr>
        <w:pStyle w:val="ListNo2"/>
        <w:numPr>
          <w:ilvl w:val="0"/>
          <w:numId w:val="0"/>
        </w:numPr>
        <w:tabs>
          <w:tab w:val="left" w:pos="851"/>
        </w:tabs>
        <w:ind w:left="851" w:hanging="851"/>
      </w:pPr>
      <w:r>
        <w:t>(d)</w:t>
      </w:r>
      <w:r>
        <w:tab/>
      </w:r>
      <w:r w:rsidR="00244C8D">
        <w:t xml:space="preserve">Mr Ho took the following photograph of the door: </w:t>
      </w:r>
    </w:p>
    <w:p w14:paraId="46C8F776" w14:textId="74005F38" w:rsidR="002E1184" w:rsidRDefault="003E34A6" w:rsidP="00B05A87">
      <w:pPr>
        <w:pStyle w:val="ListNo2"/>
        <w:numPr>
          <w:ilvl w:val="0"/>
          <w:numId w:val="0"/>
        </w:numPr>
        <w:ind w:left="1440"/>
      </w:pPr>
      <w:r>
        <w:rPr>
          <w:noProof/>
        </w:rPr>
        <w:drawing>
          <wp:inline distT="0" distB="0" distL="0" distR="0" wp14:anchorId="3D9039FE" wp14:editId="7F2A2E77">
            <wp:extent cx="3268980" cy="4358640"/>
            <wp:effectExtent l="0" t="0" r="7620" b="3810"/>
            <wp:docPr id="174581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81743" name="Picture 17458174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268980" cy="4358640"/>
                    </a:xfrm>
                    <a:prstGeom prst="rect">
                      <a:avLst/>
                    </a:prstGeom>
                  </pic:spPr>
                </pic:pic>
              </a:graphicData>
            </a:graphic>
          </wp:inline>
        </w:drawing>
      </w:r>
    </w:p>
    <w:p w14:paraId="3E0B694C" w14:textId="6EBAC765" w:rsidR="00DB5DDF" w:rsidRDefault="00BE3059" w:rsidP="00BE3059">
      <w:pPr>
        <w:pStyle w:val="ParaNumbering"/>
        <w:numPr>
          <w:ilvl w:val="0"/>
          <w:numId w:val="0"/>
        </w:numPr>
        <w:ind w:hanging="720"/>
      </w:pPr>
      <w:r>
        <w:rPr>
          <w:sz w:val="20"/>
        </w:rPr>
        <w:t>21</w:t>
      </w:r>
      <w:r>
        <w:rPr>
          <w:sz w:val="20"/>
        </w:rPr>
        <w:tab/>
      </w:r>
      <w:r w:rsidR="00DB5DDF">
        <w:t xml:space="preserve">Mr Hickey is </w:t>
      </w:r>
      <w:r w:rsidR="00DB5DDF" w:rsidRPr="00DB5DDF">
        <w:t>informed by Mr Chui that the Chinese characters written on the white paper on the door in the photograph above translate to English as: “Out for business, call 39622601, 31108391 Remark: For Courier service, letters can be placed outside the door, Thanks.”</w:t>
      </w:r>
    </w:p>
    <w:p w14:paraId="4B967E9E" w14:textId="257AAFE6" w:rsidR="00E6605E" w:rsidRPr="00AB3B32" w:rsidRDefault="00BE3059" w:rsidP="00BE3059">
      <w:pPr>
        <w:pStyle w:val="ParaNumbering"/>
        <w:numPr>
          <w:ilvl w:val="0"/>
          <w:numId w:val="0"/>
        </w:numPr>
        <w:ind w:hanging="720"/>
      </w:pPr>
      <w:r w:rsidRPr="00AB3B32">
        <w:rPr>
          <w:sz w:val="20"/>
        </w:rPr>
        <w:t>22</w:t>
      </w:r>
      <w:r w:rsidRPr="00AB3B32">
        <w:rPr>
          <w:sz w:val="20"/>
        </w:rPr>
        <w:tab/>
      </w:r>
      <w:r w:rsidR="00202E67">
        <w:t>Mr Hickey deposes</w:t>
      </w:r>
      <w:r w:rsidR="004F114A">
        <w:t xml:space="preserve"> that he does</w:t>
      </w:r>
      <w:r w:rsidR="00202E67" w:rsidRPr="00202E67">
        <w:t xml:space="preserve"> not believe it is practicable to formally serve the </w:t>
      </w:r>
      <w:r w:rsidR="00234FD6">
        <w:t>s</w:t>
      </w:r>
      <w:r w:rsidR="00202E67" w:rsidRPr="00202E67">
        <w:t xml:space="preserve">econd </w:t>
      </w:r>
      <w:r w:rsidR="00234FD6">
        <w:t>r</w:t>
      </w:r>
      <w:r w:rsidR="00202E67" w:rsidRPr="00202E67">
        <w:t xml:space="preserve">espondent personally in accordance with either the laws of China, Australia or the Hague Convention. The main </w:t>
      </w:r>
      <w:r w:rsidR="00F67669">
        <w:t xml:space="preserve">reason </w:t>
      </w:r>
      <w:r w:rsidR="008E5920">
        <w:t>he</w:t>
      </w:r>
      <w:r w:rsidR="00923242">
        <w:t xml:space="preserve"> gives </w:t>
      </w:r>
      <w:r w:rsidR="00F67669">
        <w:t>for his belief</w:t>
      </w:r>
      <w:r w:rsidR="00202E67" w:rsidRPr="00202E67">
        <w:t xml:space="preserve"> is that, despite engaging process servers in both China and Australia, the Applicants have been unable to locate the </w:t>
      </w:r>
      <w:r w:rsidR="00341557">
        <w:t>s</w:t>
      </w:r>
      <w:r w:rsidR="00202E67" w:rsidRPr="00202E67">
        <w:t xml:space="preserve">econd </w:t>
      </w:r>
      <w:r w:rsidR="00341557">
        <w:t>r</w:t>
      </w:r>
      <w:r w:rsidR="00202E67" w:rsidRPr="00202E67">
        <w:t>espondent at any of his registered addresses.</w:t>
      </w:r>
      <w:r w:rsidR="00202E67">
        <w:t xml:space="preserve"> </w:t>
      </w:r>
    </w:p>
    <w:p w14:paraId="7030AC9F" w14:textId="1D8C2BD8" w:rsidR="00AA53E1" w:rsidRDefault="00BE3059" w:rsidP="00BE3059">
      <w:pPr>
        <w:pStyle w:val="Heading5"/>
        <w:numPr>
          <w:ilvl w:val="0"/>
          <w:numId w:val="0"/>
        </w:numPr>
        <w:tabs>
          <w:tab w:val="left" w:pos="1134"/>
        </w:tabs>
        <w:ind w:left="1134" w:hanging="1134"/>
      </w:pPr>
      <w:r>
        <w:t>3.</w:t>
      </w:r>
      <w:r>
        <w:tab/>
      </w:r>
      <w:r w:rsidR="00C02EFD">
        <w:t xml:space="preserve">APPLICABLE </w:t>
      </w:r>
      <w:r w:rsidR="007F5058">
        <w:t>LEGAL PRINCIPLES</w:t>
      </w:r>
    </w:p>
    <w:p w14:paraId="0A81D859" w14:textId="40E7F419" w:rsidR="00223FAA" w:rsidRDefault="00BE3059" w:rsidP="00BE3059">
      <w:pPr>
        <w:pStyle w:val="ParaNumbering"/>
        <w:numPr>
          <w:ilvl w:val="0"/>
          <w:numId w:val="0"/>
        </w:numPr>
        <w:ind w:hanging="720"/>
      </w:pPr>
      <w:r>
        <w:rPr>
          <w:sz w:val="20"/>
        </w:rPr>
        <w:t>23</w:t>
      </w:r>
      <w:r>
        <w:rPr>
          <w:sz w:val="20"/>
        </w:rPr>
        <w:tab/>
      </w:r>
      <w:r w:rsidR="003816A0">
        <w:t xml:space="preserve">Rule 8.06 </w:t>
      </w:r>
      <w:r w:rsidR="00B17F56">
        <w:t>of the Rules</w:t>
      </w:r>
      <w:r w:rsidR="003816A0">
        <w:t xml:space="preserve"> prescribes the manner in which originating documents are to be served</w:t>
      </w:r>
      <w:r w:rsidR="00A84A3A">
        <w:t xml:space="preserve"> on respondents. Further, r 10.01 </w:t>
      </w:r>
      <w:r w:rsidR="00746E59">
        <w:t>provides that personal service on an individual is to be effected b</w:t>
      </w:r>
      <w:r w:rsidR="00B8600C">
        <w:t xml:space="preserve">y leaving </w:t>
      </w:r>
      <w:r w:rsidR="00C02EFD">
        <w:t xml:space="preserve">the </w:t>
      </w:r>
      <w:r w:rsidR="00B8600C">
        <w:t xml:space="preserve">documents with the individual. </w:t>
      </w:r>
    </w:p>
    <w:p w14:paraId="50B2FF9F" w14:textId="01DE1C15" w:rsidR="00C02EFD" w:rsidRDefault="00BE3059" w:rsidP="00BE3059">
      <w:pPr>
        <w:pStyle w:val="ParaNumbering"/>
        <w:numPr>
          <w:ilvl w:val="0"/>
          <w:numId w:val="0"/>
        </w:numPr>
        <w:ind w:hanging="720"/>
      </w:pPr>
      <w:r>
        <w:rPr>
          <w:sz w:val="20"/>
        </w:rPr>
        <w:t>24</w:t>
      </w:r>
      <w:r>
        <w:rPr>
          <w:sz w:val="20"/>
        </w:rPr>
        <w:tab/>
      </w:r>
      <w:r w:rsidR="00C02EFD">
        <w:t>Where personal service on an individual is not practicable, applicant</w:t>
      </w:r>
      <w:r w:rsidR="00186A2B">
        <w:t>s</w:t>
      </w:r>
      <w:r w:rsidR="00C02EFD">
        <w:t xml:space="preserve"> may apply for other </w:t>
      </w:r>
      <w:r w:rsidR="004019C8">
        <w:t>methods</w:t>
      </w:r>
      <w:r w:rsidR="00C02EFD">
        <w:t xml:space="preserve"> provided for by the Rules to effect service. </w:t>
      </w:r>
    </w:p>
    <w:p w14:paraId="51B416B1" w14:textId="55BAFF39" w:rsidR="00262E6E" w:rsidRDefault="00BE3059" w:rsidP="00BE3059">
      <w:pPr>
        <w:pStyle w:val="ParaNumbering"/>
        <w:numPr>
          <w:ilvl w:val="0"/>
          <w:numId w:val="0"/>
        </w:numPr>
        <w:ind w:hanging="720"/>
      </w:pPr>
      <w:r>
        <w:rPr>
          <w:sz w:val="20"/>
        </w:rPr>
        <w:t>25</w:t>
      </w:r>
      <w:r>
        <w:rPr>
          <w:sz w:val="20"/>
        </w:rPr>
        <w:tab/>
      </w:r>
      <w:r w:rsidR="0038325D">
        <w:t>In the event the</w:t>
      </w:r>
      <w:r w:rsidR="002A0191">
        <w:t xml:space="preserve"> second respondent is located in China, </w:t>
      </w:r>
      <w:r w:rsidR="0018249F">
        <w:t>the applicant</w:t>
      </w:r>
      <w:r w:rsidR="007E119E">
        <w:t xml:space="preserve">s rely </w:t>
      </w:r>
      <w:r w:rsidR="0018249F">
        <w:t xml:space="preserve">on r 10.48 for deemed service. </w:t>
      </w:r>
      <w:r w:rsidR="00E67B53">
        <w:t xml:space="preserve">Rule 10.48 </w:t>
      </w:r>
      <w:r w:rsidR="00221B85">
        <w:t xml:space="preserve">provides: </w:t>
      </w:r>
    </w:p>
    <w:p w14:paraId="5D3106C9" w14:textId="3F79399D" w:rsidR="00420C13" w:rsidRPr="00420C13" w:rsidRDefault="00420C13" w:rsidP="00420C13">
      <w:pPr>
        <w:pStyle w:val="Quote1"/>
        <w:rPr>
          <w:b/>
          <w:bCs/>
        </w:rPr>
      </w:pPr>
      <w:r w:rsidRPr="00420C13">
        <w:rPr>
          <w:b/>
          <w:bCs/>
        </w:rPr>
        <w:t xml:space="preserve">10.48 </w:t>
      </w:r>
      <w:r>
        <w:rPr>
          <w:b/>
          <w:bCs/>
        </w:rPr>
        <w:tab/>
      </w:r>
      <w:r w:rsidRPr="00420C13">
        <w:rPr>
          <w:b/>
          <w:bCs/>
        </w:rPr>
        <w:t xml:space="preserve">Deemed service </w:t>
      </w:r>
    </w:p>
    <w:p w14:paraId="34D87150" w14:textId="64533C1A" w:rsidR="00420C13" w:rsidRDefault="00420C13" w:rsidP="00065868">
      <w:pPr>
        <w:pStyle w:val="Quote1"/>
      </w:pPr>
      <w:r>
        <w:t>A party may apply to the Court without notice for an order that a document is taken have been served on a person on the day mentioned in the order, if:</w:t>
      </w:r>
    </w:p>
    <w:p w14:paraId="3C7099EB" w14:textId="3BD0D653" w:rsidR="00420C13" w:rsidRDefault="00BE3059" w:rsidP="009E0B81">
      <w:pPr>
        <w:pStyle w:val="Quote2"/>
        <w:ind w:left="2160" w:hanging="720"/>
      </w:pPr>
      <w:r>
        <w:t>(a)</w:t>
      </w:r>
      <w:r>
        <w:tab/>
      </w:r>
      <w:r w:rsidR="00420C13">
        <w:t xml:space="preserve">it is not practicable to serve the document on the person outside Australia in accordance with a convention, the Hague Convention or the law of the country in which the person resides; and </w:t>
      </w:r>
    </w:p>
    <w:p w14:paraId="73EDB1FD" w14:textId="64E8389D" w:rsidR="00221B85" w:rsidRDefault="00BE3059" w:rsidP="009E0B81">
      <w:pPr>
        <w:pStyle w:val="Quote2"/>
        <w:ind w:left="2160" w:hanging="720"/>
      </w:pPr>
      <w:r>
        <w:t>(b)</w:t>
      </w:r>
      <w:r>
        <w:tab/>
      </w:r>
      <w:r w:rsidR="00420C13">
        <w:t xml:space="preserve">the party provides evidence that the document has been brought to the attention of the person. </w:t>
      </w:r>
    </w:p>
    <w:p w14:paraId="6C7FE188" w14:textId="0207161E" w:rsidR="0023215B" w:rsidRDefault="00BE3059" w:rsidP="00BE3059">
      <w:pPr>
        <w:pStyle w:val="ParaNumbering"/>
        <w:numPr>
          <w:ilvl w:val="0"/>
          <w:numId w:val="0"/>
        </w:numPr>
        <w:ind w:hanging="720"/>
      </w:pPr>
      <w:r>
        <w:rPr>
          <w:sz w:val="20"/>
        </w:rPr>
        <w:t>26</w:t>
      </w:r>
      <w:r>
        <w:rPr>
          <w:sz w:val="20"/>
        </w:rPr>
        <w:tab/>
      </w:r>
      <w:r w:rsidR="002C762A" w:rsidRPr="002C762A">
        <w:t>The “Hague Convention” referred to in</w:t>
      </w:r>
      <w:r w:rsidR="00396797">
        <w:t xml:space="preserve"> r</w:t>
      </w:r>
      <w:r w:rsidR="002C762A" w:rsidRPr="002C762A">
        <w:t xml:space="preserve"> </w:t>
      </w:r>
      <w:r w:rsidR="00396797">
        <w:t>10.48</w:t>
      </w:r>
      <w:r w:rsidR="002C762A" w:rsidRPr="002C762A">
        <w:t xml:space="preserve"> is the </w:t>
      </w:r>
      <w:r w:rsidR="002C762A" w:rsidRPr="007A0D29">
        <w:rPr>
          <w:i/>
          <w:iCs/>
        </w:rPr>
        <w:t>Convention on the Service Abroad of Judicial and Extrajudicial Documents in Civil or Commercial Matters</w:t>
      </w:r>
      <w:r w:rsidR="002C762A" w:rsidRPr="007A0D29">
        <w:t xml:space="preserve"> </w:t>
      </w:r>
      <w:r w:rsidR="002C762A" w:rsidRPr="004A0CF4">
        <w:t xml:space="preserve">(the </w:t>
      </w:r>
      <w:r w:rsidR="002C762A" w:rsidRPr="004C0C7C">
        <w:rPr>
          <w:b/>
        </w:rPr>
        <w:t>Convention</w:t>
      </w:r>
      <w:r w:rsidR="002C762A" w:rsidRPr="004A0CF4">
        <w:t xml:space="preserve">), to which the </w:t>
      </w:r>
      <w:r w:rsidR="00C2336D" w:rsidRPr="004A0CF4">
        <w:t>People’s Republic of China</w:t>
      </w:r>
      <w:r w:rsidR="002C762A" w:rsidRPr="004A0CF4">
        <w:t xml:space="preserve"> is a party: </w:t>
      </w:r>
      <w:r w:rsidR="00C2336D" w:rsidRPr="004A0CF4">
        <w:t xml:space="preserve">at [4] of </w:t>
      </w:r>
      <w:r w:rsidR="002C762A" w:rsidRPr="007A0D29">
        <w:rPr>
          <w:b/>
          <w:bCs/>
          <w:i/>
          <w:iCs/>
        </w:rPr>
        <w:t>Heenan</w:t>
      </w:r>
      <w:r w:rsidR="002C762A" w:rsidRPr="007A0D29">
        <w:rPr>
          <w:i/>
          <w:iCs/>
        </w:rPr>
        <w:t xml:space="preserve"> (Recs), Ruby Apartments Pty Ltd (In </w:t>
      </w:r>
      <w:proofErr w:type="spellStart"/>
      <w:r w:rsidR="002C762A" w:rsidRPr="007A0D29">
        <w:rPr>
          <w:i/>
          <w:iCs/>
        </w:rPr>
        <w:t>Liq</w:t>
      </w:r>
      <w:proofErr w:type="spellEnd"/>
      <w:r w:rsidR="002C762A" w:rsidRPr="007A0D29">
        <w:rPr>
          <w:i/>
          <w:iCs/>
        </w:rPr>
        <w:t xml:space="preserve">) v Ralan Paradise No 1 Pty Ltd (In </w:t>
      </w:r>
      <w:proofErr w:type="spellStart"/>
      <w:r w:rsidR="002C762A" w:rsidRPr="007A0D29">
        <w:rPr>
          <w:i/>
          <w:iCs/>
        </w:rPr>
        <w:t>Liq</w:t>
      </w:r>
      <w:proofErr w:type="spellEnd"/>
      <w:r w:rsidR="002C762A" w:rsidRPr="007A0D29">
        <w:rPr>
          <w:i/>
          <w:iCs/>
        </w:rPr>
        <w:t>)</w:t>
      </w:r>
      <w:r w:rsidR="002C762A" w:rsidRPr="007A0D29">
        <w:t xml:space="preserve"> (2020) 149 ACSR 205 (</w:t>
      </w:r>
      <w:r w:rsidR="002C762A" w:rsidRPr="004A0CF4">
        <w:t>p</w:t>
      </w:r>
      <w:r w:rsidR="002C762A">
        <w:t>er Reeves J)</w:t>
      </w:r>
      <w:r w:rsidR="00C2336D">
        <w:t xml:space="preserve">.  </w:t>
      </w:r>
    </w:p>
    <w:p w14:paraId="7387EFE5" w14:textId="53EB396E" w:rsidR="001604F0" w:rsidRDefault="00BE3059" w:rsidP="00BE3059">
      <w:pPr>
        <w:pStyle w:val="ParaNumbering"/>
        <w:numPr>
          <w:ilvl w:val="0"/>
          <w:numId w:val="0"/>
        </w:numPr>
        <w:ind w:hanging="720"/>
      </w:pPr>
      <w:r>
        <w:rPr>
          <w:sz w:val="20"/>
        </w:rPr>
        <w:t>27</w:t>
      </w:r>
      <w:r>
        <w:rPr>
          <w:sz w:val="20"/>
        </w:rPr>
        <w:tab/>
      </w:r>
      <w:r w:rsidR="007E119E">
        <w:t xml:space="preserve">Alternatively, if the second respondent </w:t>
      </w:r>
      <w:r w:rsidR="00AA3E6F">
        <w:t>is in</w:t>
      </w:r>
      <w:r w:rsidR="007E119E">
        <w:t xml:space="preserve"> Australia, the applicants </w:t>
      </w:r>
      <w:r w:rsidR="005F6FBC">
        <w:t xml:space="preserve">rely on r 10.23 for deemed service. </w:t>
      </w:r>
      <w:r w:rsidR="001604F0">
        <w:t>Rule 10.</w:t>
      </w:r>
      <w:r w:rsidR="002B1CD3">
        <w:t>23</w:t>
      </w:r>
      <w:r w:rsidR="001604F0">
        <w:t xml:space="preserve"> provides: </w:t>
      </w:r>
    </w:p>
    <w:p w14:paraId="68889519" w14:textId="14A6893A" w:rsidR="00494143" w:rsidRPr="00494143" w:rsidRDefault="00BE3059" w:rsidP="00BE3059">
      <w:pPr>
        <w:pStyle w:val="Quote1"/>
        <w:ind w:left="1229" w:hanging="492"/>
        <w:rPr>
          <w:b/>
          <w:bCs/>
        </w:rPr>
      </w:pPr>
      <w:r w:rsidRPr="00494143">
        <w:rPr>
          <w:b/>
          <w:bCs/>
        </w:rPr>
        <w:t>10.23</w:t>
      </w:r>
      <w:r w:rsidRPr="00494143">
        <w:rPr>
          <w:b/>
          <w:bCs/>
        </w:rPr>
        <w:tab/>
      </w:r>
      <w:r w:rsidR="00494143" w:rsidRPr="00494143">
        <w:rPr>
          <w:b/>
          <w:bCs/>
        </w:rPr>
        <w:t>Deemed service</w:t>
      </w:r>
    </w:p>
    <w:p w14:paraId="0052275E" w14:textId="435A1C09" w:rsidR="00494143" w:rsidRDefault="00494143" w:rsidP="00494143">
      <w:pPr>
        <w:pStyle w:val="Quote1"/>
      </w:pPr>
      <w:r>
        <w:t>A party may apply to the Court, without notice, for an order that a document is taken to have been served on a person on a date mentioned in the order if:</w:t>
      </w:r>
    </w:p>
    <w:p w14:paraId="6FA51CEA" w14:textId="0F358E73" w:rsidR="00494143" w:rsidRDefault="00BE3059" w:rsidP="009E0B81">
      <w:pPr>
        <w:pStyle w:val="Quote2"/>
        <w:ind w:left="2160" w:hanging="720"/>
      </w:pPr>
      <w:r>
        <w:t>(a)</w:t>
      </w:r>
      <w:r>
        <w:tab/>
      </w:r>
      <w:r w:rsidR="00494143">
        <w:t>it is not practicable to serve a document on the person in a way required by these Rules; and</w:t>
      </w:r>
    </w:p>
    <w:p w14:paraId="185798A7" w14:textId="0CA41E92" w:rsidR="001604F0" w:rsidRDefault="00BE3059" w:rsidP="009E0B81">
      <w:pPr>
        <w:pStyle w:val="Quote2"/>
        <w:ind w:left="2160" w:hanging="720"/>
      </w:pPr>
      <w:r>
        <w:t>(b)</w:t>
      </w:r>
      <w:r>
        <w:tab/>
      </w:r>
      <w:r w:rsidR="00494143">
        <w:t>the party provides evidence that the document has been brought to the attention of the person to be served.</w:t>
      </w:r>
    </w:p>
    <w:p w14:paraId="7EE29A37" w14:textId="58B7577C" w:rsidR="005F6FBC" w:rsidRPr="004A0CF4" w:rsidRDefault="00BE3059" w:rsidP="00BE3059">
      <w:pPr>
        <w:pStyle w:val="ParaNumbering"/>
        <w:numPr>
          <w:ilvl w:val="0"/>
          <w:numId w:val="0"/>
        </w:numPr>
        <w:ind w:hanging="720"/>
      </w:pPr>
      <w:r w:rsidRPr="004A0CF4">
        <w:rPr>
          <w:sz w:val="20"/>
        </w:rPr>
        <w:t>28</w:t>
      </w:r>
      <w:r w:rsidRPr="004A0CF4">
        <w:rPr>
          <w:sz w:val="20"/>
        </w:rPr>
        <w:tab/>
      </w:r>
      <w:r w:rsidR="005F6FBC">
        <w:t>Given that the second respondent has</w:t>
      </w:r>
      <w:r w:rsidR="005F54F8">
        <w:t xml:space="preserve"> registered addresses in both China and Australia, I accept the app</w:t>
      </w:r>
      <w:r w:rsidR="005F54F8" w:rsidRPr="004A0CF4">
        <w:t xml:space="preserve">licable rules </w:t>
      </w:r>
      <w:r w:rsidR="00074000" w:rsidRPr="004A0CF4">
        <w:t xml:space="preserve">for deemed service are r 10.48 and </w:t>
      </w:r>
      <w:r w:rsidR="00823E9C">
        <w:t xml:space="preserve">r </w:t>
      </w:r>
      <w:r w:rsidR="00074000" w:rsidRPr="004A0CF4">
        <w:t xml:space="preserve">10.23. </w:t>
      </w:r>
    </w:p>
    <w:p w14:paraId="1DE059D8" w14:textId="01BA0751" w:rsidR="00C665F9" w:rsidRPr="004A0CF4" w:rsidRDefault="00BE3059" w:rsidP="00BE3059">
      <w:pPr>
        <w:pStyle w:val="ParaNumbering"/>
        <w:numPr>
          <w:ilvl w:val="0"/>
          <w:numId w:val="0"/>
        </w:numPr>
        <w:ind w:hanging="720"/>
      </w:pPr>
      <w:r w:rsidRPr="004A0CF4">
        <w:rPr>
          <w:sz w:val="20"/>
        </w:rPr>
        <w:t>29</w:t>
      </w:r>
      <w:r w:rsidRPr="004A0CF4">
        <w:rPr>
          <w:sz w:val="20"/>
        </w:rPr>
        <w:tab/>
      </w:r>
      <w:r w:rsidR="000F26AB" w:rsidRPr="004A0CF4">
        <w:t xml:space="preserve">The </w:t>
      </w:r>
      <w:r w:rsidR="001604F0" w:rsidRPr="004A0CF4">
        <w:t xml:space="preserve">principles </w:t>
      </w:r>
      <w:r w:rsidR="001F1035" w:rsidRPr="004A0CF4">
        <w:t>applicable to r 10.23 have been</w:t>
      </w:r>
      <w:r w:rsidR="0025480F" w:rsidRPr="004A0CF4">
        <w:t xml:space="preserve"> helpfully</w:t>
      </w:r>
      <w:r w:rsidR="001F1035" w:rsidRPr="004A0CF4">
        <w:t xml:space="preserve"> summarised by Jackson J </w:t>
      </w:r>
      <w:r w:rsidR="008638AD" w:rsidRPr="004A0CF4">
        <w:t xml:space="preserve">at [50] in </w:t>
      </w:r>
      <w:r w:rsidR="006E23A1" w:rsidRPr="007A0D29">
        <w:rPr>
          <w:i/>
        </w:rPr>
        <w:t>Kosmos Capital Pty Ltd v Turiya Ventures LLC</w:t>
      </w:r>
      <w:r w:rsidR="006E23A1" w:rsidRPr="007A0D29">
        <w:t xml:space="preserve"> [2019] FCA 528</w:t>
      </w:r>
      <w:r w:rsidR="00385477" w:rsidRPr="004A0CF4">
        <w:t>:</w:t>
      </w:r>
    </w:p>
    <w:p w14:paraId="6BDFEA70" w14:textId="51E39168" w:rsidR="00385477" w:rsidRDefault="00385477" w:rsidP="00385477">
      <w:pPr>
        <w:pStyle w:val="Quote1"/>
      </w:pPr>
      <w:r w:rsidRPr="00385477">
        <w:t xml:space="preserve">In the context of r 10.23(a), the word 'practicable' has a wide meaning which will depend on the circumstances of the particular proceeding:  </w:t>
      </w:r>
      <w:r w:rsidRPr="00385477">
        <w:rPr>
          <w:i/>
          <w:iCs/>
        </w:rPr>
        <w:t xml:space="preserve">Australian Securities and Investments Commission v China Environment Group Ltd </w:t>
      </w:r>
      <w:r w:rsidRPr="00385477">
        <w:t>[2013] FCA 286 at [11]</w:t>
      </w:r>
      <w:r w:rsidR="00A31EF5">
        <w:t>−</w:t>
      </w:r>
      <w:r w:rsidRPr="00385477">
        <w:t xml:space="preserve">[15].  Rule 10.23 does not require the applicant to prove the impossibility of service of documents upon a party in accordance with the rules, or that further attempts to effect service in accordance with the rules would be futile or not sensible or feasible: </w:t>
      </w:r>
      <w:r w:rsidRPr="00385477">
        <w:rPr>
          <w:i/>
          <w:iCs/>
        </w:rPr>
        <w:t xml:space="preserve"> Speedo Holdings B.V. v Evans </w:t>
      </w:r>
      <w:r w:rsidRPr="00385477">
        <w:t xml:space="preserve">[2011] FCA 1089 at [12].  The question is not whether reasonable effort has been shown by the applicant over a particular period, but whether at the date on which the application regarding service is made, the applicant, using reasonable effort, is unable to serve the respondent personally:  </w:t>
      </w:r>
      <w:r w:rsidRPr="00385477">
        <w:rPr>
          <w:i/>
          <w:iCs/>
        </w:rPr>
        <w:t xml:space="preserve">Foxe v Brown </w:t>
      </w:r>
      <w:r w:rsidRPr="00385477">
        <w:t xml:space="preserve">[1984] HCA 69 at [16]; (1984) 58 ALR 542 at 547 as applied in </w:t>
      </w:r>
      <w:r w:rsidRPr="00385477">
        <w:rPr>
          <w:i/>
          <w:iCs/>
        </w:rPr>
        <w:t>O'Neil v Acott</w:t>
      </w:r>
      <w:r w:rsidRPr="00385477">
        <w:t xml:space="preserve"> (1988) 59 NTR 1 at 2.  Evidence of attempts to serve, attempts to speak by telephone and lack of knowledge of whereabouts will be relevant to the question of practicability:  see </w:t>
      </w:r>
      <w:proofErr w:type="spellStart"/>
      <w:r w:rsidRPr="00385477">
        <w:t>eg</w:t>
      </w:r>
      <w:proofErr w:type="spellEnd"/>
      <w:r w:rsidRPr="00385477">
        <w:t xml:space="preserve"> </w:t>
      </w:r>
      <w:r w:rsidRPr="00594259">
        <w:rPr>
          <w:i/>
          <w:iCs/>
        </w:rPr>
        <w:t xml:space="preserve">Ross v Cotter </w:t>
      </w:r>
      <w:r w:rsidRPr="00385477">
        <w:t>[2015] FCA 310 at [2].</w:t>
      </w:r>
    </w:p>
    <w:p w14:paraId="2A33EB5B" w14:textId="576CBDCB" w:rsidR="00A31EF5" w:rsidRDefault="00BE3059" w:rsidP="00BE3059">
      <w:pPr>
        <w:pStyle w:val="ParaNumbering"/>
        <w:numPr>
          <w:ilvl w:val="0"/>
          <w:numId w:val="0"/>
        </w:numPr>
        <w:ind w:hanging="720"/>
      </w:pPr>
      <w:r>
        <w:rPr>
          <w:sz w:val="20"/>
        </w:rPr>
        <w:t>30</w:t>
      </w:r>
      <w:r>
        <w:rPr>
          <w:sz w:val="20"/>
        </w:rPr>
        <w:tab/>
      </w:r>
      <w:r w:rsidR="00AA7766">
        <w:t xml:space="preserve">Furthermore, the applicants draw attention to the observations of Reeves J at [16]−[19] of </w:t>
      </w:r>
      <w:r w:rsidR="004967E4" w:rsidRPr="004967E4">
        <w:rPr>
          <w:i/>
          <w:iCs/>
        </w:rPr>
        <w:t>Heenan</w:t>
      </w:r>
      <w:r w:rsidR="00AA7766">
        <w:rPr>
          <w:i/>
          <w:iCs/>
        </w:rPr>
        <w:t>:</w:t>
      </w:r>
      <w:r w:rsidR="00726B51">
        <w:t xml:space="preserve"> </w:t>
      </w:r>
    </w:p>
    <w:p w14:paraId="668E1FFF" w14:textId="7365A5CD" w:rsidR="003E2E94" w:rsidRDefault="003E2E94" w:rsidP="003E2E94">
      <w:pPr>
        <w:pStyle w:val="Quote1"/>
      </w:pPr>
      <w:r w:rsidRPr="006D3342">
        <w:rPr>
          <w:b/>
          <w:bCs/>
        </w:rPr>
        <w:t>the word “practicable” has a wide meaning which depends on the nature of the</w:t>
      </w:r>
      <w:r>
        <w:t xml:space="preserve"> </w:t>
      </w:r>
      <w:r w:rsidRPr="006D3342">
        <w:rPr>
          <w:b/>
          <w:bCs/>
        </w:rPr>
        <w:t xml:space="preserve">particular proceedings, including the relief sought and the requirement that litigation be progressed quickly and efficiently </w:t>
      </w:r>
      <w:r>
        <w:t xml:space="preserve">(see </w:t>
      </w:r>
      <w:r>
        <w:rPr>
          <w:i/>
        </w:rPr>
        <w:t>Australian Securities and Investments Commission v China Environment Group Ltd</w:t>
      </w:r>
      <w:r>
        <w:t xml:space="preserve"> [2013] FCA 286 at [11]-[12] and </w:t>
      </w:r>
      <w:r>
        <w:rPr>
          <w:i/>
        </w:rPr>
        <w:t>Ross v Cotter</w:t>
      </w:r>
      <w:r>
        <w:t xml:space="preserve"> [2015] FCA 310 at [1]). </w:t>
      </w:r>
      <w:r w:rsidRPr="006D3342">
        <w:rPr>
          <w:b/>
          <w:bCs/>
        </w:rPr>
        <w:t>Personal service need not be impossible or futile to be “not practicable</w:t>
      </w:r>
      <w:r>
        <w:t xml:space="preserve">” (see </w:t>
      </w:r>
      <w:r>
        <w:rPr>
          <w:i/>
        </w:rPr>
        <w:t>Federal Commissioner of Taxation v Zeitouni</w:t>
      </w:r>
      <w:r>
        <w:t xml:space="preserve"> (2013) 306 ALR 603; [2013] FCA 1011 at [66] and the cases cited therein)). </w:t>
      </w:r>
    </w:p>
    <w:p w14:paraId="756E59FE" w14:textId="77777777" w:rsidR="003E2E94" w:rsidRDefault="003E2E94" w:rsidP="003E2E94">
      <w:pPr>
        <w:pStyle w:val="Quote1"/>
      </w:pPr>
      <w:r w:rsidRPr="00726B51">
        <w:t>Rather,</w:t>
      </w:r>
      <w:r w:rsidRPr="00726B51">
        <w:rPr>
          <w:b/>
          <w:bCs/>
        </w:rPr>
        <w:t xml:space="preserve"> </w:t>
      </w:r>
      <w:proofErr w:type="spellStart"/>
      <w:r w:rsidRPr="00726B51">
        <w:rPr>
          <w:b/>
          <w:bCs/>
        </w:rPr>
        <w:t>rr</w:t>
      </w:r>
      <w:proofErr w:type="spellEnd"/>
      <w:r w:rsidRPr="00726B51">
        <w:rPr>
          <w:b/>
          <w:bCs/>
        </w:rPr>
        <w:t xml:space="preserve"> 10.23 and 10.48 are wide enough to capture circumstances where further attempts at service would not be “sensible or realistic”, even if possible or feasible</w:t>
      </w:r>
      <w:r>
        <w:t xml:space="preserve"> (see </w:t>
      </w:r>
      <w:r>
        <w:rPr>
          <w:i/>
        </w:rPr>
        <w:t xml:space="preserve">Humane Society International Inc v Kyodo </w:t>
      </w:r>
      <w:proofErr w:type="spellStart"/>
      <w:r>
        <w:rPr>
          <w:i/>
        </w:rPr>
        <w:t>Senpaku</w:t>
      </w:r>
      <w:proofErr w:type="spellEnd"/>
      <w:r>
        <w:rPr>
          <w:i/>
        </w:rPr>
        <w:t xml:space="preserve"> Kaisha Ltd</w:t>
      </w:r>
      <w:r>
        <w:t xml:space="preserve"> [2007] FCA 124 at [14]; </w:t>
      </w:r>
      <w:r>
        <w:rPr>
          <w:i/>
        </w:rPr>
        <w:t>Statewide Secured Investments Pty Ltd v Tarrant</w:t>
      </w:r>
      <w:r>
        <w:t xml:space="preserve"> [2011] FCA 1067 at [9]; </w:t>
      </w:r>
      <w:r>
        <w:rPr>
          <w:i/>
        </w:rPr>
        <w:t>British American Tobacco Australasia Limited v Taleb (No 1)</w:t>
      </w:r>
      <w:r>
        <w:t xml:space="preserve"> [2012] FCA 1065 (</w:t>
      </w:r>
      <w:r>
        <w:rPr>
          <w:i/>
        </w:rPr>
        <w:t>British American Tobacco</w:t>
      </w:r>
      <w:r>
        <w:t xml:space="preserve">) at [28]-[29]; </w:t>
      </w:r>
      <w:r>
        <w:rPr>
          <w:i/>
        </w:rPr>
        <w:t xml:space="preserve">Australian Competition and Consumer Commission v Safety Compliance Pty Ltd (in </w:t>
      </w:r>
      <w:proofErr w:type="spellStart"/>
      <w:r>
        <w:rPr>
          <w:i/>
        </w:rPr>
        <w:t>liq</w:t>
      </w:r>
      <w:proofErr w:type="spellEnd"/>
      <w:r>
        <w:rPr>
          <w:i/>
        </w:rPr>
        <w:t>) (No 3)</w:t>
      </w:r>
      <w:r>
        <w:t xml:space="preserve"> [2016] FCA 303 at [8] and</w:t>
      </w:r>
      <w:r>
        <w:rPr>
          <w:i/>
        </w:rPr>
        <w:t xml:space="preserve"> Commissioner of Taxation v </w:t>
      </w:r>
      <w:proofErr w:type="spellStart"/>
      <w:r>
        <w:rPr>
          <w:i/>
        </w:rPr>
        <w:t>Caratti</w:t>
      </w:r>
      <w:proofErr w:type="spellEnd"/>
      <w:r>
        <w:rPr>
          <w:i/>
        </w:rPr>
        <w:t xml:space="preserve"> (No 2)</w:t>
      </w:r>
      <w:r>
        <w:t xml:space="preserve"> [2018] FCA 1500 at [10]).</w:t>
      </w:r>
      <w:r>
        <w:rPr>
          <w:i/>
        </w:rPr>
        <w:t xml:space="preserve"> </w:t>
      </w:r>
    </w:p>
    <w:p w14:paraId="257F55BE" w14:textId="77777777" w:rsidR="003E2E94" w:rsidRDefault="003E2E94" w:rsidP="003E2E94">
      <w:pPr>
        <w:pStyle w:val="Quote1"/>
      </w:pPr>
      <w:r>
        <w:t xml:space="preserve">In </w:t>
      </w:r>
      <w:r>
        <w:rPr>
          <w:i/>
        </w:rPr>
        <w:t>British American Tobacco</w:t>
      </w:r>
      <w:r>
        <w:t>, Dodds-Streeton J observed (at [46]):</w:t>
      </w:r>
    </w:p>
    <w:p w14:paraId="2109263A" w14:textId="77777777" w:rsidR="003E2E94" w:rsidRDefault="003E2E94" w:rsidP="003E2E94">
      <w:pPr>
        <w:pStyle w:val="Quote2"/>
      </w:pPr>
      <w:r>
        <w:t>There is … a distinction between, on the one hand, evidence that a document has been brought to a person’s attention and, on the other hand, evidence that the person accorded it attention or acknowledged it. In my view, r 10.23(b) does not require the latter. Such a requirement would materially reduce the ambit and efficacy of the provision for deemed service, which is characteristically invoked precisely because service is being evaded or is otherwise difficult …</w:t>
      </w:r>
    </w:p>
    <w:p w14:paraId="770C4E7E" w14:textId="77777777" w:rsidR="003E2E94" w:rsidRDefault="003E2E94" w:rsidP="003E2E94">
      <w:pPr>
        <w:pStyle w:val="Quote1"/>
      </w:pPr>
      <w:r>
        <w:t>Her Honour concluded (at [50]):</w:t>
      </w:r>
    </w:p>
    <w:p w14:paraId="2E2C264B" w14:textId="77777777" w:rsidR="003E2E94" w:rsidRDefault="003E2E94" w:rsidP="003E2E94">
      <w:pPr>
        <w:pStyle w:val="Quote2"/>
      </w:pPr>
      <w:r>
        <w:t>… where there is evidence of actions, steps and circumstances which alone or in combination support, on the balance of probabilities, an inference that the documents have been brought to the relevant person’s attention, the requirement in r 10.23(b) will be satisfied.</w:t>
      </w:r>
    </w:p>
    <w:p w14:paraId="317BB17C" w14:textId="7DD55915" w:rsidR="003E2E94" w:rsidRDefault="00E330AD" w:rsidP="00E330AD">
      <w:pPr>
        <w:pStyle w:val="Quote1"/>
      </w:pPr>
      <w:r>
        <w:t xml:space="preserve">(Emphasis added.) </w:t>
      </w:r>
    </w:p>
    <w:p w14:paraId="6124597D" w14:textId="51EEF653" w:rsidR="00AF1B48" w:rsidRDefault="00BE3059" w:rsidP="00BE3059">
      <w:pPr>
        <w:pStyle w:val="Heading6"/>
        <w:numPr>
          <w:ilvl w:val="0"/>
          <w:numId w:val="0"/>
        </w:numPr>
        <w:tabs>
          <w:tab w:val="left" w:pos="1134"/>
        </w:tabs>
        <w:ind w:left="1134" w:hanging="1134"/>
      </w:pPr>
      <w:r>
        <w:t>3.1</w:t>
      </w:r>
      <w:r>
        <w:tab/>
      </w:r>
      <w:r w:rsidR="00974C51">
        <w:t>“</w:t>
      </w:r>
      <w:r w:rsidR="00AF1B48">
        <w:t>Not practicable to serve</w:t>
      </w:r>
      <w:r w:rsidR="00974C51">
        <w:t>”</w:t>
      </w:r>
    </w:p>
    <w:p w14:paraId="145C787D" w14:textId="6780C413" w:rsidR="008C653A" w:rsidRDefault="00BE3059" w:rsidP="00BE3059">
      <w:pPr>
        <w:pStyle w:val="ParaNumbering"/>
        <w:numPr>
          <w:ilvl w:val="0"/>
          <w:numId w:val="0"/>
        </w:numPr>
        <w:ind w:hanging="720"/>
      </w:pPr>
      <w:r>
        <w:rPr>
          <w:sz w:val="20"/>
        </w:rPr>
        <w:t>31</w:t>
      </w:r>
      <w:r>
        <w:rPr>
          <w:sz w:val="20"/>
        </w:rPr>
        <w:tab/>
      </w:r>
      <w:r w:rsidR="00BD5251">
        <w:t xml:space="preserve">Despite several attempts </w:t>
      </w:r>
      <w:r w:rsidR="008708ED">
        <w:t xml:space="preserve">of service </w:t>
      </w:r>
      <w:r w:rsidR="00BD5251">
        <w:t xml:space="preserve">at both registered addresses, the </w:t>
      </w:r>
      <w:r w:rsidR="008708ED">
        <w:t>applicants cannot ascertain the physical whereabout</w:t>
      </w:r>
      <w:r w:rsidR="00F80C02">
        <w:t>s</w:t>
      </w:r>
      <w:r w:rsidR="008708ED">
        <w:t xml:space="preserve"> of the second respondent.</w:t>
      </w:r>
      <w:r w:rsidR="0015409A">
        <w:t xml:space="preserve"> The </w:t>
      </w:r>
      <w:r w:rsidR="009E1E6C">
        <w:t xml:space="preserve">evidence shows that the </w:t>
      </w:r>
      <w:r w:rsidR="0015409A">
        <w:t xml:space="preserve">applicants have conducted numerous searches </w:t>
      </w:r>
      <w:r w:rsidR="009F7377">
        <w:t>and attended</w:t>
      </w:r>
      <w:r w:rsidR="00781B10">
        <w:t xml:space="preserve"> addresses registered by the second respondent as</w:t>
      </w:r>
      <w:r w:rsidR="00AB5A71">
        <w:t xml:space="preserve"> his </w:t>
      </w:r>
      <w:r w:rsidR="00781B10">
        <w:t>place of trading.</w:t>
      </w:r>
      <w:r w:rsidR="00B57258">
        <w:t xml:space="preserve"> </w:t>
      </w:r>
    </w:p>
    <w:p w14:paraId="18842775" w14:textId="76A65E68" w:rsidR="00FF136E" w:rsidRDefault="00BE3059" w:rsidP="00BE3059">
      <w:pPr>
        <w:pStyle w:val="ParaNumbering"/>
        <w:numPr>
          <w:ilvl w:val="0"/>
          <w:numId w:val="0"/>
        </w:numPr>
        <w:ind w:hanging="720"/>
      </w:pPr>
      <w:r>
        <w:rPr>
          <w:sz w:val="20"/>
        </w:rPr>
        <w:t>32</w:t>
      </w:r>
      <w:r>
        <w:rPr>
          <w:sz w:val="20"/>
        </w:rPr>
        <w:tab/>
      </w:r>
      <w:r w:rsidR="00FF136E">
        <w:t>The applicants submit that it would not be “sensible or realistic” to delay proceedings further in search of the second respondent’s physical whereabouts, especially given the public interest in removing a trade mark that has been used to confuse consumers.</w:t>
      </w:r>
    </w:p>
    <w:p w14:paraId="18E148D2" w14:textId="5A3D244C" w:rsidR="00C45D3F" w:rsidRDefault="00BE3059" w:rsidP="00BE3059">
      <w:pPr>
        <w:pStyle w:val="ParaNumbering"/>
        <w:numPr>
          <w:ilvl w:val="0"/>
          <w:numId w:val="0"/>
        </w:numPr>
        <w:ind w:hanging="720"/>
      </w:pPr>
      <w:r>
        <w:rPr>
          <w:sz w:val="20"/>
        </w:rPr>
        <w:t>33</w:t>
      </w:r>
      <w:r>
        <w:rPr>
          <w:sz w:val="20"/>
        </w:rPr>
        <w:tab/>
      </w:r>
      <w:r w:rsidR="007B7090">
        <w:t>Further, efforts to locate the second respondent</w:t>
      </w:r>
      <w:r w:rsidR="00362170">
        <w:t>’s</w:t>
      </w:r>
      <w:r w:rsidR="007B7090">
        <w:t xml:space="preserve"> </w:t>
      </w:r>
      <w:r w:rsidR="000C6AEA">
        <w:t>physical whereabout</w:t>
      </w:r>
      <w:r w:rsidR="00AC323E">
        <w:t>s</w:t>
      </w:r>
      <w:r w:rsidR="000C6AEA">
        <w:t xml:space="preserve"> will lead to the applicants accruing </w:t>
      </w:r>
      <w:r w:rsidR="00624FBD">
        <w:t xml:space="preserve">additional </w:t>
      </w:r>
      <w:r w:rsidR="000C6AEA">
        <w:t>unnecessary costs</w:t>
      </w:r>
      <w:r w:rsidR="00624FBD">
        <w:t>.</w:t>
      </w:r>
      <w:r w:rsidR="008048FE">
        <w:t xml:space="preserve"> Given the various methods that have been engaged by the applicants thus far</w:t>
      </w:r>
      <w:r w:rsidR="00612A54">
        <w:t>,</w:t>
      </w:r>
      <w:r w:rsidR="008048FE">
        <w:t xml:space="preserve"> it may be the case that the </w:t>
      </w:r>
      <w:r w:rsidR="00681FB6">
        <w:t xml:space="preserve">second respondent is purposely attempting to evade personal service and/or </w:t>
      </w:r>
      <w:r w:rsidR="00C93E23">
        <w:t>cause</w:t>
      </w:r>
      <w:r w:rsidR="00681FB6">
        <w:t xml:space="preserve"> difficulties in the efficient conduct of this proceeding. </w:t>
      </w:r>
    </w:p>
    <w:p w14:paraId="4ADA6717" w14:textId="4586AA39" w:rsidR="008E0E59" w:rsidRDefault="00BE3059" w:rsidP="00BE3059">
      <w:pPr>
        <w:pStyle w:val="ParaNumbering"/>
        <w:numPr>
          <w:ilvl w:val="0"/>
          <w:numId w:val="0"/>
        </w:numPr>
        <w:ind w:hanging="720"/>
      </w:pPr>
      <w:r>
        <w:rPr>
          <w:sz w:val="20"/>
        </w:rPr>
        <w:t>34</w:t>
      </w:r>
      <w:r>
        <w:rPr>
          <w:sz w:val="20"/>
        </w:rPr>
        <w:tab/>
      </w:r>
      <w:r w:rsidR="008E0E59">
        <w:t>Effort beyond the means that have been exerted by the applicants in attempting service is not pra</w:t>
      </w:r>
      <w:r w:rsidR="00CF13D5">
        <w:t xml:space="preserve">cticable. </w:t>
      </w:r>
      <w:r w:rsidR="00AD1D05">
        <w:t>Although</w:t>
      </w:r>
      <w:r w:rsidR="00CF13D5">
        <w:t xml:space="preserve"> further investigation may eventually reveal the second respondent’s whereabouts</w:t>
      </w:r>
      <w:r w:rsidR="00EE4658">
        <w:t xml:space="preserve">, such investigations </w:t>
      </w:r>
      <w:r w:rsidR="00904A77">
        <w:t xml:space="preserve">will place a </w:t>
      </w:r>
      <w:r w:rsidR="00CD452C">
        <w:t>substantial</w:t>
      </w:r>
      <w:r w:rsidR="00904A77">
        <w:t xml:space="preserve"> burden on the applicants who have already engaged in various attempts to effect service. </w:t>
      </w:r>
    </w:p>
    <w:p w14:paraId="341183FD" w14:textId="158C618A" w:rsidR="00B57258" w:rsidRDefault="00BE3059" w:rsidP="00BE3059">
      <w:pPr>
        <w:pStyle w:val="ParaNumbering"/>
        <w:numPr>
          <w:ilvl w:val="0"/>
          <w:numId w:val="0"/>
        </w:numPr>
        <w:ind w:hanging="720"/>
      </w:pPr>
      <w:r>
        <w:rPr>
          <w:sz w:val="20"/>
        </w:rPr>
        <w:t>35</w:t>
      </w:r>
      <w:r>
        <w:rPr>
          <w:sz w:val="20"/>
        </w:rPr>
        <w:tab/>
      </w:r>
      <w:r w:rsidR="00B57258">
        <w:t xml:space="preserve">I am satisfied that the applicants have engaged in reasonable efforts in their attempts to </w:t>
      </w:r>
      <w:r w:rsidR="00D7717A">
        <w:t xml:space="preserve">serve the second respondent. </w:t>
      </w:r>
    </w:p>
    <w:p w14:paraId="7DF136F7" w14:textId="10E3FDCD" w:rsidR="00AF1B48" w:rsidRDefault="00BE3059" w:rsidP="00BE3059">
      <w:pPr>
        <w:pStyle w:val="Heading6"/>
        <w:numPr>
          <w:ilvl w:val="0"/>
          <w:numId w:val="0"/>
        </w:numPr>
        <w:tabs>
          <w:tab w:val="left" w:pos="1134"/>
        </w:tabs>
        <w:ind w:left="1134" w:hanging="1134"/>
      </w:pPr>
      <w:r>
        <w:t>3.2</w:t>
      </w:r>
      <w:r>
        <w:tab/>
      </w:r>
      <w:r w:rsidR="00974C51">
        <w:t xml:space="preserve">“Brought to the attention” </w:t>
      </w:r>
    </w:p>
    <w:p w14:paraId="483A54D3" w14:textId="737CAC1E" w:rsidR="000248FB" w:rsidRDefault="00BE3059" w:rsidP="00BE3059">
      <w:pPr>
        <w:pStyle w:val="ParaNumbering"/>
        <w:numPr>
          <w:ilvl w:val="0"/>
          <w:numId w:val="0"/>
        </w:numPr>
        <w:ind w:hanging="720"/>
      </w:pPr>
      <w:r>
        <w:rPr>
          <w:sz w:val="20"/>
        </w:rPr>
        <w:t>36</w:t>
      </w:r>
      <w:r>
        <w:rPr>
          <w:sz w:val="20"/>
        </w:rPr>
        <w:tab/>
      </w:r>
      <w:r w:rsidR="0013006A">
        <w:t xml:space="preserve">The applicants </w:t>
      </w:r>
      <w:r w:rsidR="00B0115F">
        <w:t>submit</w:t>
      </w:r>
      <w:r w:rsidR="0013006A">
        <w:t xml:space="preserve"> that it</w:t>
      </w:r>
      <w:r w:rsidR="0013006A" w:rsidRPr="0013006A">
        <w:t xml:space="preserve"> is reasonable </w:t>
      </w:r>
      <w:r w:rsidR="00780646">
        <w:t>to infer</w:t>
      </w:r>
      <w:r w:rsidR="0013006A" w:rsidRPr="0013006A">
        <w:t xml:space="preserve"> documents served on the address for service nominated by the second respondent on his trade mark registration will be brought to his prompt attention. Whilst an address for service listed on the Registrar of Trade Marks is distinct from an address for service for the purpose of the Rules</w:t>
      </w:r>
      <w:r w:rsidR="00A9337F">
        <w:t>, the applicants submit that</w:t>
      </w:r>
      <w:r w:rsidR="0013006A" w:rsidRPr="0013006A">
        <w:t xml:space="preserve"> </w:t>
      </w:r>
      <w:r w:rsidR="002030C6">
        <w:t xml:space="preserve">it is reasonable to infer </w:t>
      </w:r>
      <w:r w:rsidR="0013006A" w:rsidRPr="0013006A">
        <w:t>those representatives who take responsibility to be listed a</w:t>
      </w:r>
      <w:r w:rsidR="000248FB">
        <w:t>t</w:t>
      </w:r>
      <w:r w:rsidR="0013006A" w:rsidRPr="0013006A">
        <w:t xml:space="preserve"> such an address for service will promptly forward correspondence to their clients, the registrant. If such representatives did not do so, it could expose them to liability in the event the registrant suffered loss.</w:t>
      </w:r>
      <w:r w:rsidR="008925EB">
        <w:t xml:space="preserve"> </w:t>
      </w:r>
      <w:r w:rsidR="004B2389">
        <w:t xml:space="preserve">I accept this submission. </w:t>
      </w:r>
    </w:p>
    <w:p w14:paraId="21DD5CD6" w14:textId="7941FC65" w:rsidR="000248FB" w:rsidRDefault="00BE3059" w:rsidP="00BE3059">
      <w:pPr>
        <w:pStyle w:val="ParaNumbering"/>
        <w:numPr>
          <w:ilvl w:val="0"/>
          <w:numId w:val="0"/>
        </w:numPr>
        <w:ind w:hanging="720"/>
      </w:pPr>
      <w:r>
        <w:rPr>
          <w:sz w:val="20"/>
        </w:rPr>
        <w:t>37</w:t>
      </w:r>
      <w:r>
        <w:rPr>
          <w:sz w:val="20"/>
        </w:rPr>
        <w:tab/>
      </w:r>
      <w:r w:rsidR="00883489">
        <w:t>Relevantly,</w:t>
      </w:r>
      <w:r w:rsidR="00883489" w:rsidRPr="00883489">
        <w:t xml:space="preserve"> the impugned websites previously hosted on the impugned domain names have now been taken down</w:t>
      </w:r>
      <w:r w:rsidR="00883489">
        <w:t xml:space="preserve">. </w:t>
      </w:r>
      <w:r w:rsidR="00A07662">
        <w:t xml:space="preserve">I accept that it </w:t>
      </w:r>
      <w:r w:rsidR="000E0A01">
        <w:t>is</w:t>
      </w:r>
      <w:r w:rsidR="00883489">
        <w:t xml:space="preserve"> reasonable to infer that thi</w:t>
      </w:r>
      <w:r w:rsidR="00FE4F39">
        <w:t xml:space="preserve">s would have been brought to the attention of the second respondent and would trigger some form of investigation/enquiry on his part to </w:t>
      </w:r>
      <w:r w:rsidR="00DD4E64">
        <w:t xml:space="preserve">ascertain the cause of this. </w:t>
      </w:r>
    </w:p>
    <w:p w14:paraId="3C6E2EF8" w14:textId="282A4912" w:rsidR="00592275" w:rsidRDefault="00BE3059" w:rsidP="00BE3059">
      <w:pPr>
        <w:pStyle w:val="ParaNumbering"/>
        <w:numPr>
          <w:ilvl w:val="0"/>
          <w:numId w:val="0"/>
        </w:numPr>
        <w:ind w:hanging="720"/>
      </w:pPr>
      <w:r>
        <w:rPr>
          <w:sz w:val="20"/>
        </w:rPr>
        <w:t>38</w:t>
      </w:r>
      <w:r>
        <w:rPr>
          <w:sz w:val="20"/>
        </w:rPr>
        <w:tab/>
      </w:r>
      <w:r w:rsidR="00592275">
        <w:t>These are reasonable inferences t</w:t>
      </w:r>
      <w:r w:rsidR="0048447F">
        <w:t>o make</w:t>
      </w:r>
      <w:r w:rsidR="00592275">
        <w:t xml:space="preserve"> and, on balance, </w:t>
      </w:r>
      <w:r w:rsidR="00F61FC5">
        <w:t>I consider it very likely</w:t>
      </w:r>
      <w:r w:rsidR="0048447F">
        <w:t xml:space="preserve"> that these proceedings have been brought to the attention of the second respondent. </w:t>
      </w:r>
    </w:p>
    <w:p w14:paraId="7CA763FA" w14:textId="5D0872D5" w:rsidR="00CD2BF9" w:rsidRDefault="00BE3059" w:rsidP="00BE3059">
      <w:pPr>
        <w:pStyle w:val="Heading5"/>
        <w:numPr>
          <w:ilvl w:val="0"/>
          <w:numId w:val="0"/>
        </w:numPr>
        <w:tabs>
          <w:tab w:val="left" w:pos="1134"/>
        </w:tabs>
        <w:ind w:left="1134" w:hanging="1134"/>
      </w:pPr>
      <w:r>
        <w:t>4.</w:t>
      </w:r>
      <w:r>
        <w:tab/>
      </w:r>
      <w:r w:rsidR="00CD2BF9">
        <w:t>CONCLUSION</w:t>
      </w:r>
    </w:p>
    <w:p w14:paraId="3C4DC2A8" w14:textId="067BF8E7" w:rsidR="00054BCA" w:rsidRDefault="00BE3059" w:rsidP="00BE3059">
      <w:pPr>
        <w:pStyle w:val="ParaNumbering"/>
        <w:numPr>
          <w:ilvl w:val="0"/>
          <w:numId w:val="0"/>
        </w:numPr>
        <w:ind w:hanging="720"/>
      </w:pPr>
      <w:r>
        <w:rPr>
          <w:sz w:val="20"/>
        </w:rPr>
        <w:t>39</w:t>
      </w:r>
      <w:r>
        <w:rPr>
          <w:sz w:val="20"/>
        </w:rPr>
        <w:tab/>
      </w:r>
      <w:r w:rsidR="001644F2">
        <w:t>Having consider</w:t>
      </w:r>
      <w:r w:rsidR="001C557A">
        <w:t>ed</w:t>
      </w:r>
      <w:r w:rsidR="001644F2">
        <w:t xml:space="preserve"> the </w:t>
      </w:r>
      <w:r w:rsidR="001C557A">
        <w:t>submissions</w:t>
      </w:r>
      <w:r w:rsidR="00745BE2">
        <w:t xml:space="preserve"> and matters deposed to in the </w:t>
      </w:r>
      <w:r w:rsidR="00745BE2" w:rsidRPr="001C557A">
        <w:t xml:space="preserve">Hickey affidavit, I am </w:t>
      </w:r>
      <w:r w:rsidR="00EB329D" w:rsidRPr="001C557A">
        <w:t xml:space="preserve">content to grant the orders sought in the interlocutory application with costs. </w:t>
      </w:r>
    </w:p>
    <w:p w14:paraId="1F48F81E" w14:textId="2FD7D7BB" w:rsidR="00CD2BF9" w:rsidRPr="00CD2BF9" w:rsidRDefault="00BE3059" w:rsidP="00BE3059">
      <w:pPr>
        <w:pStyle w:val="ParaNumbering"/>
        <w:numPr>
          <w:ilvl w:val="0"/>
          <w:numId w:val="0"/>
        </w:numPr>
        <w:ind w:hanging="720"/>
      </w:pPr>
      <w:r w:rsidRPr="00CD2BF9">
        <w:rPr>
          <w:sz w:val="20"/>
        </w:rPr>
        <w:t>40</w:t>
      </w:r>
      <w:r w:rsidRPr="00CD2BF9">
        <w:rPr>
          <w:sz w:val="20"/>
        </w:rPr>
        <w:tab/>
      </w:r>
      <w:r w:rsidR="00694A63">
        <w:t>T</w:t>
      </w:r>
      <w:r w:rsidR="001C557A">
        <w:t>he</w:t>
      </w:r>
      <w:r w:rsidR="00CB08A8">
        <w:t xml:space="preserve"> Originating Documents </w:t>
      </w:r>
      <w:r w:rsidR="00D26024">
        <w:t xml:space="preserve">are to </w:t>
      </w:r>
      <w:r w:rsidR="00CB08A8">
        <w:t xml:space="preserve">be deemed served on the second respondent on 6 February 2024. </w:t>
      </w:r>
    </w:p>
    <w:p w14:paraId="08701306" w14:textId="3E99DD9E" w:rsidR="00261E7E" w:rsidRDefault="00BE3059" w:rsidP="00BE3059">
      <w:pPr>
        <w:pStyle w:val="ParaNumbering"/>
        <w:numPr>
          <w:ilvl w:val="0"/>
          <w:numId w:val="0"/>
        </w:numPr>
        <w:ind w:hanging="720"/>
      </w:pPr>
      <w:r>
        <w:rPr>
          <w:sz w:val="20"/>
        </w:rPr>
        <w:t>41</w:t>
      </w:r>
      <w:r>
        <w:rPr>
          <w:sz w:val="20"/>
        </w:rPr>
        <w:tab/>
      </w:r>
      <w:r w:rsidR="00261E7E">
        <w:t xml:space="preserve">Lastly, the applicants seek orders substituting personal service to enable them to serve documents on the second respondent by sending </w:t>
      </w:r>
      <w:r w:rsidR="0005371F">
        <w:t>them</w:t>
      </w:r>
      <w:r w:rsidR="00261E7E">
        <w:t xml:space="preserve"> to the registered office of the first respondent. Given that the second respondent is the sole director and secretary of the first respondent, I am satisfied that any communication sent to the first respondent </w:t>
      </w:r>
      <w:r w:rsidR="0005371F">
        <w:t>sh</w:t>
      </w:r>
      <w:r w:rsidR="00261E7E">
        <w:t xml:space="preserve">ould be brought to the second respondent’s attention. </w:t>
      </w:r>
    </w:p>
    <w:p w14:paraId="452970B5" w14:textId="4E5C1B8D" w:rsidR="00EA5716" w:rsidRDefault="00BE3059" w:rsidP="00BE3059">
      <w:pPr>
        <w:pStyle w:val="ParaNumbering"/>
        <w:numPr>
          <w:ilvl w:val="0"/>
          <w:numId w:val="0"/>
        </w:numPr>
        <w:ind w:hanging="720"/>
      </w:pPr>
      <w:r>
        <w:rPr>
          <w:sz w:val="20"/>
        </w:rPr>
        <w:t>42</w:t>
      </w:r>
      <w:r>
        <w:rPr>
          <w:sz w:val="20"/>
        </w:rPr>
        <w:tab/>
      </w:r>
      <w:r w:rsidR="00EE5FFF">
        <w:t>Accordingly,</w:t>
      </w:r>
      <w:r w:rsidR="007A7C57">
        <w:t xml:space="preserve"> </w:t>
      </w:r>
      <w:r w:rsidR="00C16844">
        <w:t xml:space="preserve">until such time </w:t>
      </w:r>
      <w:r w:rsidR="00D922DB">
        <w:t xml:space="preserve">that </w:t>
      </w:r>
      <w:r w:rsidR="00694A63">
        <w:t>second respondent</w:t>
      </w:r>
      <w:r w:rsidR="00C16844">
        <w:t xml:space="preserve"> formally appears in this matter, </w:t>
      </w:r>
      <w:r w:rsidR="00DB0E79">
        <w:t xml:space="preserve">service may be effected on </w:t>
      </w:r>
      <w:r w:rsidR="00694A63">
        <w:t>him</w:t>
      </w:r>
      <w:r w:rsidR="00DB0E79">
        <w:t xml:space="preserve"> by sending documents to</w:t>
      </w:r>
      <w:r w:rsidR="00C16844">
        <w:t xml:space="preserve">: </w:t>
      </w:r>
    </w:p>
    <w:p w14:paraId="06D4FD66" w14:textId="1C283A95" w:rsidR="00EA5716" w:rsidRDefault="00BE3059" w:rsidP="00BE3059">
      <w:pPr>
        <w:pStyle w:val="ListNo2"/>
        <w:numPr>
          <w:ilvl w:val="0"/>
          <w:numId w:val="0"/>
        </w:numPr>
        <w:tabs>
          <w:tab w:val="left" w:pos="709"/>
        </w:tabs>
        <w:ind w:left="709" w:hanging="720"/>
      </w:pPr>
      <w:r>
        <w:t>(a)</w:t>
      </w:r>
      <w:r>
        <w:tab/>
      </w:r>
      <w:r w:rsidR="00EA5716">
        <w:t xml:space="preserve">the email address at </w:t>
      </w:r>
      <w:hyperlink r:id="rId25" w:history="1">
        <w:r w:rsidR="00EA5716" w:rsidRPr="006E60CF">
          <w:rPr>
            <w:rStyle w:val="Hyperlink"/>
          </w:rPr>
          <w:t>kf@onlinezh.net</w:t>
        </w:r>
      </w:hyperlink>
      <w:r w:rsidR="00EA5716">
        <w:t xml:space="preserve">; and </w:t>
      </w:r>
    </w:p>
    <w:p w14:paraId="241A89EC" w14:textId="09F1CBE8" w:rsidR="00EA5716" w:rsidRDefault="00BE3059" w:rsidP="00BE3059">
      <w:pPr>
        <w:pStyle w:val="ListNo2"/>
        <w:numPr>
          <w:ilvl w:val="0"/>
          <w:numId w:val="0"/>
        </w:numPr>
        <w:tabs>
          <w:tab w:val="left" w:pos="709"/>
        </w:tabs>
        <w:ind w:left="709" w:hanging="720"/>
      </w:pPr>
      <w:r>
        <w:t>(b)</w:t>
      </w:r>
      <w:r>
        <w:tab/>
      </w:r>
      <w:r w:rsidR="00EA5716">
        <w:t>the mailing address of Level 6, 552 Lonsdale Street, Melbourne VIC 3000.</w:t>
      </w:r>
    </w:p>
    <w:p w14:paraId="67927EF5" w14:textId="77777777" w:rsidR="007A0D29" w:rsidRDefault="007A0D29" w:rsidP="00815065">
      <w:pPr>
        <w:pStyle w:val="BodyText"/>
      </w:pPr>
      <w:bookmarkStart w:id="21" w:name="Certification"/>
    </w:p>
    <w:tbl>
      <w:tblPr>
        <w:tblW w:w="0" w:type="auto"/>
        <w:tblLook w:val="04A0" w:firstRow="1" w:lastRow="0" w:firstColumn="1" w:lastColumn="0" w:noHBand="0" w:noVBand="1"/>
      </w:tblPr>
      <w:tblGrid>
        <w:gridCol w:w="3794"/>
      </w:tblGrid>
      <w:tr w:rsidR="007A0D29" w:rsidRPr="007A0D29" w14:paraId="55CF8927" w14:textId="77777777">
        <w:tc>
          <w:tcPr>
            <w:tcW w:w="3794" w:type="dxa"/>
            <w:shd w:val="clear" w:color="auto" w:fill="auto"/>
          </w:tcPr>
          <w:p w14:paraId="7A1D6C45" w14:textId="514CFE9D" w:rsidR="007A0D29" w:rsidRPr="007A0D29" w:rsidRDefault="007A0D29" w:rsidP="007A0D29">
            <w:pPr>
              <w:pStyle w:val="Normal1linespace"/>
            </w:pPr>
            <w:r w:rsidRPr="007A0D29">
              <w:t xml:space="preserve">I certify that the preceding </w:t>
            </w:r>
            <w:bookmarkStart w:id="22" w:name="NumberWord"/>
            <w:r>
              <w:t>forty-two</w:t>
            </w:r>
            <w:bookmarkEnd w:id="22"/>
            <w:r w:rsidRPr="007A0D29">
              <w:t xml:space="preserve"> (</w:t>
            </w:r>
            <w:bookmarkStart w:id="23" w:name="NumberNumeral"/>
            <w:r>
              <w:t>42</w:t>
            </w:r>
            <w:bookmarkEnd w:id="23"/>
            <w:r w:rsidRPr="007A0D29">
              <w:t xml:space="preserve">) numbered </w:t>
            </w:r>
            <w:bookmarkStart w:id="24" w:name="CertPara"/>
            <w:r>
              <w:t>paragraphs are</w:t>
            </w:r>
            <w:bookmarkEnd w:id="24"/>
            <w:r w:rsidRPr="007A0D29">
              <w:t xml:space="preserve"> a true copy of the Reasons for Judgment of </w:t>
            </w:r>
            <w:bookmarkStart w:id="25" w:name="bkHonourable"/>
            <w:r w:rsidRPr="007A0D29">
              <w:t xml:space="preserve">the Honourable </w:t>
            </w:r>
            <w:bookmarkStart w:id="26" w:name="Justice"/>
            <w:bookmarkEnd w:id="25"/>
            <w:r>
              <w:t>Justice Rofe</w:t>
            </w:r>
            <w:bookmarkEnd w:id="26"/>
            <w:r w:rsidRPr="007A0D29">
              <w:t>.</w:t>
            </w:r>
          </w:p>
        </w:tc>
      </w:tr>
    </w:tbl>
    <w:p w14:paraId="1B569ADF" w14:textId="2C76C8B4" w:rsidR="00EA5716" w:rsidRDefault="00EA5716" w:rsidP="00815065">
      <w:pPr>
        <w:pStyle w:val="BodyText"/>
      </w:pPr>
    </w:p>
    <w:p w14:paraId="6884E82D" w14:textId="10458EF5" w:rsidR="00F67090" w:rsidRDefault="00F67090" w:rsidP="00815065">
      <w:pPr>
        <w:pStyle w:val="BodyText"/>
      </w:pPr>
    </w:p>
    <w:p w14:paraId="375ABA37" w14:textId="16C2310C" w:rsidR="007A0D29" w:rsidRDefault="007A0D29" w:rsidP="00815065">
      <w:pPr>
        <w:pStyle w:val="BodyText"/>
      </w:pPr>
      <w:r>
        <w:t>Associate:</w:t>
      </w:r>
      <w:r w:rsidR="00EA5716" w:rsidRPr="00EA5716">
        <w:rPr>
          <w:noProof/>
        </w:rPr>
        <w:t xml:space="preserve"> </w:t>
      </w:r>
    </w:p>
    <w:p w14:paraId="216F7EC6" w14:textId="01B32C39" w:rsidR="00C16844" w:rsidRPr="00262E6E" w:rsidRDefault="007A0D29" w:rsidP="00EA5716">
      <w:pPr>
        <w:pStyle w:val="BodyText"/>
        <w:tabs>
          <w:tab w:val="left" w:pos="1134"/>
        </w:tabs>
      </w:pPr>
      <w:r>
        <w:t>Dated:</w:t>
      </w:r>
      <w:r>
        <w:tab/>
      </w:r>
      <w:bookmarkStart w:id="27" w:name="CertifyDated"/>
      <w:r>
        <w:t>19 February 2024</w:t>
      </w:r>
      <w:bookmarkEnd w:id="21"/>
      <w:bookmarkEnd w:id="27"/>
    </w:p>
    <w:sectPr w:rsidR="00C16844" w:rsidRPr="00262E6E" w:rsidSect="00A84FD0">
      <w:headerReference w:type="even" r:id="rId26"/>
      <w:headerReference w:type="default" r:id="rId27"/>
      <w:footerReference w:type="default" r:id="rId28"/>
      <w:headerReference w:type="first" r:id="rId29"/>
      <w:footerReference w:type="first" r:id="rId3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A2F0" w14:textId="77777777" w:rsidR="00252EFE" w:rsidRDefault="00252EFE">
      <w:pPr>
        <w:spacing w:line="20" w:lineRule="exact"/>
      </w:pPr>
    </w:p>
    <w:p w14:paraId="569EA40F" w14:textId="77777777" w:rsidR="00252EFE" w:rsidRDefault="00252EFE"/>
    <w:p w14:paraId="1F08A93F" w14:textId="77777777" w:rsidR="00252EFE" w:rsidRDefault="00252EFE"/>
  </w:endnote>
  <w:endnote w:type="continuationSeparator" w:id="0">
    <w:p w14:paraId="14EFE7E2" w14:textId="77777777" w:rsidR="00252EFE" w:rsidRDefault="00252EFE">
      <w:r>
        <w:t xml:space="preserve"> </w:t>
      </w:r>
    </w:p>
    <w:p w14:paraId="529F8318" w14:textId="77777777" w:rsidR="00252EFE" w:rsidRDefault="00252EFE"/>
    <w:p w14:paraId="4C752030" w14:textId="77777777" w:rsidR="00252EFE" w:rsidRDefault="00252EFE"/>
  </w:endnote>
  <w:endnote w:type="continuationNotice" w:id="1">
    <w:p w14:paraId="49898C22" w14:textId="77777777" w:rsidR="00252EFE" w:rsidRDefault="00252EFE">
      <w:r>
        <w:t xml:space="preserve"> </w:t>
      </w:r>
    </w:p>
    <w:p w14:paraId="3CD1C0A1" w14:textId="77777777" w:rsidR="00252EFE" w:rsidRDefault="00252EFE"/>
    <w:p w14:paraId="55D7B6E1" w14:textId="77777777" w:rsidR="00252EFE" w:rsidRDefault="00252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6F28" w14:textId="77777777" w:rsidR="002D76F3" w:rsidRDefault="002D7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A1C7" w14:textId="127451B4"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rPr>
      <mc:AlternateContent>
        <mc:Choice Requires="wps">
          <w:drawing>
            <wp:anchor distT="0" distB="0" distL="114300" distR="114300" simplePos="0" relativeHeight="251658242" behindDoc="0" locked="0" layoutInCell="1" allowOverlap="1" wp14:anchorId="1E69FFB6" wp14:editId="6383A150">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838C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" strokecolor="black [3213]"/>
          </w:pict>
        </mc:Fallback>
      </mc:AlternateContent>
    </w:r>
    <w:sdt>
      <w:sdtPr>
        <w:rPr>
          <w:bCs/>
          <w:sz w:val="18"/>
          <w:szCs w:val="18"/>
        </w:rPr>
        <w:tag w:val="MNC"/>
        <w:id w:val="-831216538"/>
        <w:placeholder>
          <w:docPart w:val="E7FC61E87D8C4B858D6AC441C128A2A2"/>
        </w:placeholder>
        <w:dataBinding w:prefixMappings="xmlns:ns0='http://schemas.globalmacros.com/FCA'" w:xpath="/ns0:root[1]/ns0:Name[1]" w:storeItemID="{687E7CCB-4AA5-44E7-B148-17BA2B6F57C0}"/>
        <w:text w:multiLine="1"/>
      </w:sdtPr>
      <w:sdtEndPr/>
      <w:sdtContent>
        <w:r w:rsidR="00BB7D00">
          <w:rPr>
            <w:bCs/>
            <w:sz w:val="18"/>
            <w:szCs w:val="18"/>
          </w:rPr>
          <w:t xml:space="preserve"> </w:t>
        </w:r>
        <w:proofErr w:type="spellStart"/>
        <w:r w:rsidR="00BB7D00">
          <w:rPr>
            <w:bCs/>
            <w:sz w:val="18"/>
            <w:szCs w:val="18"/>
          </w:rPr>
          <w:t>Vitaco</w:t>
        </w:r>
        <w:proofErr w:type="spellEnd"/>
        <w:r w:rsidR="00BB7D00">
          <w:rPr>
            <w:bCs/>
            <w:sz w:val="18"/>
            <w:szCs w:val="18"/>
          </w:rPr>
          <w:t xml:space="preserve"> Health IP Pty Ltd v AFI Cosmetic Pty Ltd (No 2) [2024] FCA 99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CF44" w14:textId="286E2941"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rPr>
      <mc:AlternateContent>
        <mc:Choice Requires="wps">
          <w:drawing>
            <wp:anchor distT="0" distB="0" distL="114300" distR="114300" simplePos="0" relativeHeight="251658241" behindDoc="0" locked="0" layoutInCell="1" allowOverlap="1" wp14:anchorId="4BD05CBE" wp14:editId="1382C755">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3C1F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" strokecolor="black [3213]"/>
          </w:pict>
        </mc:Fallback>
      </mc:AlternateContent>
    </w:r>
    <w:sdt>
      <w:sdtPr>
        <w:rPr>
          <w:bCs/>
          <w:sz w:val="18"/>
          <w:szCs w:val="18"/>
        </w:rPr>
        <w:tag w:val="MNC"/>
        <w:id w:val="510263260"/>
        <w:placeholder>
          <w:docPart w:val="5E38E8ACA3E84897B747840699B112EF"/>
        </w:placeholder>
        <w:dataBinding w:prefixMappings="xmlns:ns0='http://schemas.globalmacros.com/FCA'" w:xpath="/ns0:root[1]/ns0:Name[1]" w:storeItemID="{687E7CCB-4AA5-44E7-B148-17BA2B6F57C0}"/>
        <w:text w:multiLine="1"/>
      </w:sdtPr>
      <w:sdtEndPr/>
      <w:sdtContent>
        <w:r w:rsidR="00BB7D00">
          <w:rPr>
            <w:bCs/>
            <w:sz w:val="18"/>
            <w:szCs w:val="18"/>
          </w:rPr>
          <w:t xml:space="preserve"> </w:t>
        </w:r>
        <w:proofErr w:type="spellStart"/>
        <w:r w:rsidR="00BB7D00">
          <w:rPr>
            <w:bCs/>
            <w:sz w:val="18"/>
            <w:szCs w:val="18"/>
          </w:rPr>
          <w:t>Vitaco</w:t>
        </w:r>
        <w:proofErr w:type="spellEnd"/>
        <w:r w:rsidR="00BB7D00">
          <w:rPr>
            <w:bCs/>
            <w:sz w:val="18"/>
            <w:szCs w:val="18"/>
          </w:rPr>
          <w:t xml:space="preserve"> Health IP Pty Ltd v AFI Cosmetic Pty Ltd (No 2) [2024] FCA 99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7BBF" w14:textId="724D302D"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rPr>
      <mc:AlternateContent>
        <mc:Choice Requires="wps">
          <w:drawing>
            <wp:anchor distT="0" distB="0" distL="114300" distR="114300" simplePos="0" relativeHeight="251658244" behindDoc="0" locked="0" layoutInCell="1" allowOverlap="1" wp14:anchorId="1B25C759" wp14:editId="135D4F0B">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13494"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" strokecolor="black [3213]"/>
          </w:pict>
        </mc:Fallback>
      </mc:AlternateContent>
    </w:r>
    <w:sdt>
      <w:sdtPr>
        <w:rPr>
          <w:bCs/>
          <w:sz w:val="18"/>
          <w:szCs w:val="18"/>
        </w:rPr>
        <w:tag w:val="MNC"/>
        <w:id w:val="1095746746"/>
        <w:placeholder>
          <w:docPart w:val="5AA2FD9207CF45D4961137748F506B38"/>
        </w:placeholder>
        <w:dataBinding w:prefixMappings="xmlns:ns0='http://schemas.globalmacros.com/FCA'" w:xpath="/ns0:root[1]/ns0:Name[1]" w:storeItemID="{687E7CCB-4AA5-44E7-B148-17BA2B6F57C0}"/>
        <w:text w:multiLine="1"/>
      </w:sdtPr>
      <w:sdtEndPr/>
      <w:sdtContent>
        <w:r w:rsidR="00BB7D00">
          <w:rPr>
            <w:bCs/>
            <w:sz w:val="18"/>
            <w:szCs w:val="18"/>
          </w:rPr>
          <w:t xml:space="preserve"> </w:t>
        </w:r>
        <w:proofErr w:type="spellStart"/>
        <w:r w:rsidR="00BB7D00">
          <w:rPr>
            <w:bCs/>
            <w:sz w:val="18"/>
            <w:szCs w:val="18"/>
          </w:rPr>
          <w:t>Vitaco</w:t>
        </w:r>
        <w:proofErr w:type="spellEnd"/>
        <w:r w:rsidR="00BB7D00">
          <w:rPr>
            <w:bCs/>
            <w:sz w:val="18"/>
            <w:szCs w:val="18"/>
          </w:rPr>
          <w:t xml:space="preserve"> Health IP Pty Ltd v AFI Cosmetic Pty Ltd (No 2) [2024] FCA 99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2</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98B6" w14:textId="6B7E1E1B"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rPr>
      <mc:AlternateContent>
        <mc:Choice Requires="wps">
          <w:drawing>
            <wp:anchor distT="0" distB="0" distL="114300" distR="114300" simplePos="0" relativeHeight="251658243" behindDoc="0" locked="0" layoutInCell="1" allowOverlap="1" wp14:anchorId="7DAE04D3" wp14:editId="17FC1CD3">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FED24"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" strokecolor="black [3213]"/>
          </w:pict>
        </mc:Fallback>
      </mc:AlternateContent>
    </w:r>
    <w:sdt>
      <w:sdtPr>
        <w:rPr>
          <w:bCs/>
          <w:sz w:val="18"/>
          <w:szCs w:val="18"/>
        </w:rPr>
        <w:tag w:val="MNC"/>
        <w:id w:val="-1532949365"/>
        <w:placeholder>
          <w:docPart w:val="0270A34893F14756B77C377C5B41A1D9"/>
        </w:placeholder>
        <w:dataBinding w:prefixMappings="xmlns:ns0='http://schemas.globalmacros.com/FCA'" w:xpath="/ns0:root[1]/ns0:Name[1]" w:storeItemID="{687E7CCB-4AA5-44E7-B148-17BA2B6F57C0}"/>
        <w:text w:multiLine="1"/>
      </w:sdtPr>
      <w:sdtEndPr/>
      <w:sdtContent>
        <w:r w:rsidR="00BB7D00">
          <w:rPr>
            <w:bCs/>
            <w:sz w:val="18"/>
            <w:szCs w:val="18"/>
          </w:rPr>
          <w:t xml:space="preserve"> </w:t>
        </w:r>
        <w:proofErr w:type="spellStart"/>
        <w:r w:rsidR="00BB7D00">
          <w:rPr>
            <w:bCs/>
            <w:sz w:val="18"/>
            <w:szCs w:val="18"/>
          </w:rPr>
          <w:t>Vitaco</w:t>
        </w:r>
        <w:proofErr w:type="spellEnd"/>
        <w:r w:rsidR="00BB7D00">
          <w:rPr>
            <w:bCs/>
            <w:sz w:val="18"/>
            <w:szCs w:val="18"/>
          </w:rPr>
          <w:t xml:space="preserve"> Health IP Pty Ltd v AFI Cosmetic Pty Ltd (No 2) [2024] FCA 99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B7DD" w14:textId="77777777" w:rsidR="00252EFE" w:rsidRDefault="00252EFE"/>
  </w:footnote>
  <w:footnote w:type="continuationSeparator" w:id="0">
    <w:p w14:paraId="2E1C5FFE" w14:textId="77777777" w:rsidR="00252EFE" w:rsidRDefault="00252EFE">
      <w:r>
        <w:continuationSeparator/>
      </w:r>
    </w:p>
    <w:p w14:paraId="119B4C86" w14:textId="77777777" w:rsidR="00252EFE" w:rsidRDefault="00252EFE"/>
    <w:p w14:paraId="0DD35B78" w14:textId="77777777" w:rsidR="00252EFE" w:rsidRDefault="00252EFE"/>
  </w:footnote>
  <w:footnote w:type="continuationNotice" w:id="1">
    <w:p w14:paraId="4BAFBCF6" w14:textId="77777777" w:rsidR="00252EFE" w:rsidRDefault="00252E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6471" w14:textId="77777777" w:rsidR="002D76F3" w:rsidRDefault="002D7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8EFC" w14:textId="77777777" w:rsidR="00395B24" w:rsidRDefault="00395B24">
    <w:pPr>
      <w:tabs>
        <w:tab w:val="center" w:pos="4512"/>
      </w:tabs>
      <w:suppressAutoHyphen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88A0" w14:textId="77777777"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F95C" w14:textId="77777777" w:rsidR="00395B24" w:rsidRDefault="00395B2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8664" w14:textId="77777777" w:rsidR="00395B24" w:rsidRDefault="00395B24">
    <w:pPr>
      <w:tabs>
        <w:tab w:val="center" w:pos="4512"/>
      </w:tabs>
      <w:suppressAutoHyphen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1E4A"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976551E"/>
    <w:lvl w:ilvl="0" w:tplc="5B08D898">
      <w:start w:val="1"/>
      <w:numFmt w:val="lowerLetter"/>
      <w:pStyle w:val="Quote2Bullet"/>
      <w:lvlText w:val="(%1)"/>
      <w:lvlJc w:val="left"/>
      <w:pPr>
        <w:ind w:left="216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1BBA1E1E"/>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2B42110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ind w:left="1080" w:hanging="360"/>
      </w:p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0343052"/>
    <w:multiLevelType w:val="hybridMultilevel"/>
    <w:tmpl w:val="E87ECC66"/>
    <w:lvl w:ilvl="0" w:tplc="0C09000F">
      <w:start w:val="1"/>
      <w:numFmt w:val="decimal"/>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3" w15:restartNumberingAfterBreak="0">
    <w:nsid w:val="54284FC8"/>
    <w:multiLevelType w:val="multilevel"/>
    <w:tmpl w:val="0694C188"/>
    <w:lvl w:ilvl="0">
      <w:start w:val="10"/>
      <w:numFmt w:val="decimal"/>
      <w:lvlText w:val="%1"/>
      <w:lvlJc w:val="left"/>
      <w:pPr>
        <w:ind w:left="492" w:hanging="492"/>
      </w:pPr>
      <w:rPr>
        <w:rFonts w:hint="default"/>
      </w:rPr>
    </w:lvl>
    <w:lvl w:ilvl="1">
      <w:start w:val="23"/>
      <w:numFmt w:val="decimal"/>
      <w:lvlText w:val="%1.%2"/>
      <w:lvlJc w:val="left"/>
      <w:pPr>
        <w:ind w:left="1229" w:hanging="492"/>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83B541B"/>
    <w:multiLevelType w:val="hybridMultilevel"/>
    <w:tmpl w:val="0976551E"/>
    <w:lvl w:ilvl="0" w:tplc="FFFFFFFF">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15:restartNumberingAfterBreak="0">
    <w:nsid w:val="7E901FE8"/>
    <w:multiLevelType w:val="hybridMultilevel"/>
    <w:tmpl w:val="02364A74"/>
    <w:lvl w:ilvl="0" w:tplc="5F84B8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57076265">
    <w:abstractNumId w:val="14"/>
  </w:num>
  <w:num w:numId="2" w16cid:durableId="187376083">
    <w:abstractNumId w:val="9"/>
  </w:num>
  <w:num w:numId="3" w16cid:durableId="603222208">
    <w:abstractNumId w:val="7"/>
  </w:num>
  <w:num w:numId="4" w16cid:durableId="97220752">
    <w:abstractNumId w:val="6"/>
  </w:num>
  <w:num w:numId="5" w16cid:durableId="923026321">
    <w:abstractNumId w:val="5"/>
  </w:num>
  <w:num w:numId="6" w16cid:durableId="1795172779">
    <w:abstractNumId w:val="4"/>
  </w:num>
  <w:num w:numId="7" w16cid:durableId="705636982">
    <w:abstractNumId w:val="8"/>
  </w:num>
  <w:num w:numId="8" w16cid:durableId="5376486">
    <w:abstractNumId w:val="3"/>
  </w:num>
  <w:num w:numId="9" w16cid:durableId="896622152">
    <w:abstractNumId w:val="2"/>
  </w:num>
  <w:num w:numId="10" w16cid:durableId="1514224603">
    <w:abstractNumId w:val="1"/>
  </w:num>
  <w:num w:numId="11" w16cid:durableId="1337921335">
    <w:abstractNumId w:val="0"/>
  </w:num>
  <w:num w:numId="12" w16cid:durableId="1025206771">
    <w:abstractNumId w:val="24"/>
  </w:num>
  <w:num w:numId="13" w16cid:durableId="1547452244">
    <w:abstractNumId w:val="20"/>
  </w:num>
  <w:num w:numId="14" w16cid:durableId="1058939461">
    <w:abstractNumId w:val="21"/>
  </w:num>
  <w:num w:numId="15" w16cid:durableId="1153065361">
    <w:abstractNumId w:val="27"/>
  </w:num>
  <w:num w:numId="16" w16cid:durableId="1890065329">
    <w:abstractNumId w:val="13"/>
  </w:num>
  <w:num w:numId="17" w16cid:durableId="1035665688">
    <w:abstractNumId w:val="25"/>
  </w:num>
  <w:num w:numId="18" w16cid:durableId="136187249">
    <w:abstractNumId w:val="11"/>
  </w:num>
  <w:num w:numId="19" w16cid:durableId="1154444781">
    <w:abstractNumId w:val="18"/>
  </w:num>
  <w:num w:numId="20" w16cid:durableId="954943602">
    <w:abstractNumId w:val="15"/>
  </w:num>
  <w:num w:numId="21" w16cid:durableId="1811899918">
    <w:abstractNumId w:val="16"/>
  </w:num>
  <w:num w:numId="22" w16cid:durableId="1743289551">
    <w:abstractNumId w:val="19"/>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3" w16cid:durableId="871262248">
    <w:abstractNumId w:val="10"/>
  </w:num>
  <w:num w:numId="24" w16cid:durableId="444084886">
    <w:abstractNumId w:val="10"/>
  </w:num>
  <w:num w:numId="25" w16cid:durableId="441074340">
    <w:abstractNumId w:val="12"/>
  </w:num>
  <w:num w:numId="26" w16cid:durableId="1950507867">
    <w:abstractNumId w:val="17"/>
  </w:num>
  <w:num w:numId="27" w16cid:durableId="434860636">
    <w:abstractNumId w:val="17"/>
  </w:num>
  <w:num w:numId="28" w16cid:durableId="286855239">
    <w:abstractNumId w:val="17"/>
  </w:num>
  <w:num w:numId="29" w16cid:durableId="131729845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281022">
    <w:abstractNumId w:val="22"/>
  </w:num>
  <w:num w:numId="31" w16cid:durableId="141699879">
    <w:abstractNumId w:val="23"/>
  </w:num>
  <w:num w:numId="32" w16cid:durableId="1723089547">
    <w:abstractNumId w:val="26"/>
  </w:num>
  <w:num w:numId="33" w16cid:durableId="1760177638">
    <w:abstractNumId w:val="14"/>
    <w:lvlOverride w:ilvl="0">
      <w:startOverride w:val="1"/>
    </w:lvlOverride>
  </w:num>
  <w:num w:numId="34" w16cid:durableId="1110591662">
    <w:abstractNumId w:val="19"/>
  </w:num>
  <w:num w:numId="35" w16cid:durableId="627585798">
    <w:abstractNumId w:val="28"/>
  </w:num>
  <w:num w:numId="36" w16cid:durableId="426119639">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7" w16cid:durableId="73207830">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8" w16cid:durableId="254020738">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9" w16cid:durableId="1483697402">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0" w16cid:durableId="1615138717">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E6"/>
    <w:rsid w:val="00000747"/>
    <w:rsid w:val="000115C5"/>
    <w:rsid w:val="0001469E"/>
    <w:rsid w:val="000150B2"/>
    <w:rsid w:val="00015993"/>
    <w:rsid w:val="00021CCB"/>
    <w:rsid w:val="00021D48"/>
    <w:rsid w:val="00022289"/>
    <w:rsid w:val="000237E9"/>
    <w:rsid w:val="000248FB"/>
    <w:rsid w:val="00027398"/>
    <w:rsid w:val="00031A5D"/>
    <w:rsid w:val="0003201A"/>
    <w:rsid w:val="0003207A"/>
    <w:rsid w:val="00032F9F"/>
    <w:rsid w:val="00041C07"/>
    <w:rsid w:val="0004340F"/>
    <w:rsid w:val="00045BB7"/>
    <w:rsid w:val="00052EC8"/>
    <w:rsid w:val="0005371F"/>
    <w:rsid w:val="00054BCA"/>
    <w:rsid w:val="00055719"/>
    <w:rsid w:val="0005641B"/>
    <w:rsid w:val="00060AFA"/>
    <w:rsid w:val="0006196A"/>
    <w:rsid w:val="000632F7"/>
    <w:rsid w:val="000650F0"/>
    <w:rsid w:val="00065868"/>
    <w:rsid w:val="00071FB3"/>
    <w:rsid w:val="00074000"/>
    <w:rsid w:val="00075727"/>
    <w:rsid w:val="00077768"/>
    <w:rsid w:val="00081497"/>
    <w:rsid w:val="00082F77"/>
    <w:rsid w:val="000831EC"/>
    <w:rsid w:val="00084126"/>
    <w:rsid w:val="00085255"/>
    <w:rsid w:val="000A2C16"/>
    <w:rsid w:val="000A2E76"/>
    <w:rsid w:val="000A3CCE"/>
    <w:rsid w:val="000A4807"/>
    <w:rsid w:val="000A4BE4"/>
    <w:rsid w:val="000C023E"/>
    <w:rsid w:val="000C405D"/>
    <w:rsid w:val="000C5195"/>
    <w:rsid w:val="000C62EF"/>
    <w:rsid w:val="000C6AEA"/>
    <w:rsid w:val="000D2137"/>
    <w:rsid w:val="000D3FD2"/>
    <w:rsid w:val="000D412B"/>
    <w:rsid w:val="000D4B2E"/>
    <w:rsid w:val="000D7EB0"/>
    <w:rsid w:val="000E0A01"/>
    <w:rsid w:val="000E3FC8"/>
    <w:rsid w:val="000E45B1"/>
    <w:rsid w:val="000E7BAE"/>
    <w:rsid w:val="000F133D"/>
    <w:rsid w:val="000F26AB"/>
    <w:rsid w:val="0010536B"/>
    <w:rsid w:val="00106843"/>
    <w:rsid w:val="0011145C"/>
    <w:rsid w:val="001128BD"/>
    <w:rsid w:val="0011419D"/>
    <w:rsid w:val="00114B02"/>
    <w:rsid w:val="001226C0"/>
    <w:rsid w:val="00126EC8"/>
    <w:rsid w:val="0012731C"/>
    <w:rsid w:val="0013006A"/>
    <w:rsid w:val="00132054"/>
    <w:rsid w:val="00134964"/>
    <w:rsid w:val="001351B9"/>
    <w:rsid w:val="00153AFD"/>
    <w:rsid w:val="0015409A"/>
    <w:rsid w:val="00155CD2"/>
    <w:rsid w:val="00156A34"/>
    <w:rsid w:val="001604F0"/>
    <w:rsid w:val="001644F2"/>
    <w:rsid w:val="001727A4"/>
    <w:rsid w:val="0017376C"/>
    <w:rsid w:val="001738AB"/>
    <w:rsid w:val="001765E0"/>
    <w:rsid w:val="00177759"/>
    <w:rsid w:val="00180BB3"/>
    <w:rsid w:val="0018249F"/>
    <w:rsid w:val="00185BE8"/>
    <w:rsid w:val="00185DD6"/>
    <w:rsid w:val="00185E6B"/>
    <w:rsid w:val="00186A2B"/>
    <w:rsid w:val="00187BBC"/>
    <w:rsid w:val="001932F3"/>
    <w:rsid w:val="00196655"/>
    <w:rsid w:val="001A2B40"/>
    <w:rsid w:val="001A4309"/>
    <w:rsid w:val="001A46AE"/>
    <w:rsid w:val="001A52B5"/>
    <w:rsid w:val="001A5BD4"/>
    <w:rsid w:val="001A6C52"/>
    <w:rsid w:val="001B1053"/>
    <w:rsid w:val="001B14AC"/>
    <w:rsid w:val="001B4D43"/>
    <w:rsid w:val="001B4EE0"/>
    <w:rsid w:val="001B7940"/>
    <w:rsid w:val="001C171A"/>
    <w:rsid w:val="001C2FE0"/>
    <w:rsid w:val="001C37CA"/>
    <w:rsid w:val="001C4085"/>
    <w:rsid w:val="001C557A"/>
    <w:rsid w:val="001D1D8A"/>
    <w:rsid w:val="001D4303"/>
    <w:rsid w:val="001D51F1"/>
    <w:rsid w:val="001D6746"/>
    <w:rsid w:val="001E0C61"/>
    <w:rsid w:val="001E3B49"/>
    <w:rsid w:val="001E3F91"/>
    <w:rsid w:val="001E4A05"/>
    <w:rsid w:val="001E6A19"/>
    <w:rsid w:val="001E7388"/>
    <w:rsid w:val="001F1035"/>
    <w:rsid w:val="001F13DD"/>
    <w:rsid w:val="001F2473"/>
    <w:rsid w:val="001F24D7"/>
    <w:rsid w:val="001F2DBC"/>
    <w:rsid w:val="001F6BC8"/>
    <w:rsid w:val="001F73E8"/>
    <w:rsid w:val="0020262C"/>
    <w:rsid w:val="00202723"/>
    <w:rsid w:val="00202E67"/>
    <w:rsid w:val="002030C6"/>
    <w:rsid w:val="00211A3E"/>
    <w:rsid w:val="002138B7"/>
    <w:rsid w:val="00213F20"/>
    <w:rsid w:val="00214055"/>
    <w:rsid w:val="00215BCA"/>
    <w:rsid w:val="002160F5"/>
    <w:rsid w:val="00217AC4"/>
    <w:rsid w:val="00220C9C"/>
    <w:rsid w:val="00221461"/>
    <w:rsid w:val="00221B85"/>
    <w:rsid w:val="00223FAA"/>
    <w:rsid w:val="00224537"/>
    <w:rsid w:val="0023215B"/>
    <w:rsid w:val="00234FD6"/>
    <w:rsid w:val="00235956"/>
    <w:rsid w:val="00236951"/>
    <w:rsid w:val="002428FF"/>
    <w:rsid w:val="00243E5E"/>
    <w:rsid w:val="00244988"/>
    <w:rsid w:val="00244C8D"/>
    <w:rsid w:val="002467A6"/>
    <w:rsid w:val="00247C9A"/>
    <w:rsid w:val="0025160C"/>
    <w:rsid w:val="00252EFE"/>
    <w:rsid w:val="002535D0"/>
    <w:rsid w:val="002539B3"/>
    <w:rsid w:val="0025480F"/>
    <w:rsid w:val="00256336"/>
    <w:rsid w:val="00257C3E"/>
    <w:rsid w:val="002602C2"/>
    <w:rsid w:val="00261E7E"/>
    <w:rsid w:val="00262E6E"/>
    <w:rsid w:val="002666C9"/>
    <w:rsid w:val="00270136"/>
    <w:rsid w:val="00270FD7"/>
    <w:rsid w:val="00274F5B"/>
    <w:rsid w:val="00280836"/>
    <w:rsid w:val="00282E1A"/>
    <w:rsid w:val="002840F1"/>
    <w:rsid w:val="00285922"/>
    <w:rsid w:val="0029113B"/>
    <w:rsid w:val="002934C0"/>
    <w:rsid w:val="00293E1F"/>
    <w:rsid w:val="0029764C"/>
    <w:rsid w:val="002A0191"/>
    <w:rsid w:val="002A149F"/>
    <w:rsid w:val="002A1B50"/>
    <w:rsid w:val="002B0E91"/>
    <w:rsid w:val="002B132C"/>
    <w:rsid w:val="002B1CD3"/>
    <w:rsid w:val="002B3F23"/>
    <w:rsid w:val="002B4EB5"/>
    <w:rsid w:val="002B5AF5"/>
    <w:rsid w:val="002B6779"/>
    <w:rsid w:val="002B71C0"/>
    <w:rsid w:val="002B7A34"/>
    <w:rsid w:val="002C18FF"/>
    <w:rsid w:val="002C2845"/>
    <w:rsid w:val="002C31AD"/>
    <w:rsid w:val="002C3382"/>
    <w:rsid w:val="002C7385"/>
    <w:rsid w:val="002C762A"/>
    <w:rsid w:val="002D1972"/>
    <w:rsid w:val="002D2DBB"/>
    <w:rsid w:val="002D37D8"/>
    <w:rsid w:val="002D54A6"/>
    <w:rsid w:val="002D76F3"/>
    <w:rsid w:val="002E1184"/>
    <w:rsid w:val="002E3779"/>
    <w:rsid w:val="002E5BF9"/>
    <w:rsid w:val="002E6A7A"/>
    <w:rsid w:val="002F19F9"/>
    <w:rsid w:val="002F1E49"/>
    <w:rsid w:val="002F4E9C"/>
    <w:rsid w:val="002F6E15"/>
    <w:rsid w:val="00302F4E"/>
    <w:rsid w:val="00304A39"/>
    <w:rsid w:val="0031256C"/>
    <w:rsid w:val="00314D6C"/>
    <w:rsid w:val="00315109"/>
    <w:rsid w:val="00316D2A"/>
    <w:rsid w:val="00321C69"/>
    <w:rsid w:val="00322A7C"/>
    <w:rsid w:val="00322EEC"/>
    <w:rsid w:val="00323061"/>
    <w:rsid w:val="003238CC"/>
    <w:rsid w:val="00325B8F"/>
    <w:rsid w:val="0032712D"/>
    <w:rsid w:val="003373EC"/>
    <w:rsid w:val="003402D3"/>
    <w:rsid w:val="0034068E"/>
    <w:rsid w:val="00341557"/>
    <w:rsid w:val="00343ABC"/>
    <w:rsid w:val="003463FE"/>
    <w:rsid w:val="003472FC"/>
    <w:rsid w:val="00347D41"/>
    <w:rsid w:val="003537B5"/>
    <w:rsid w:val="003554B3"/>
    <w:rsid w:val="00356324"/>
    <w:rsid w:val="00356632"/>
    <w:rsid w:val="00357C7E"/>
    <w:rsid w:val="00362170"/>
    <w:rsid w:val="00363ABA"/>
    <w:rsid w:val="003653B6"/>
    <w:rsid w:val="00370327"/>
    <w:rsid w:val="00374CC4"/>
    <w:rsid w:val="003774B2"/>
    <w:rsid w:val="00380F2D"/>
    <w:rsid w:val="003816A0"/>
    <w:rsid w:val="0038325D"/>
    <w:rsid w:val="003838EE"/>
    <w:rsid w:val="003845A9"/>
    <w:rsid w:val="003850C9"/>
    <w:rsid w:val="00385477"/>
    <w:rsid w:val="00390883"/>
    <w:rsid w:val="003922F8"/>
    <w:rsid w:val="00392960"/>
    <w:rsid w:val="003948F7"/>
    <w:rsid w:val="00395B24"/>
    <w:rsid w:val="00395E72"/>
    <w:rsid w:val="00396797"/>
    <w:rsid w:val="003A2D38"/>
    <w:rsid w:val="003A366F"/>
    <w:rsid w:val="003A376A"/>
    <w:rsid w:val="003A7ECC"/>
    <w:rsid w:val="003B0B8B"/>
    <w:rsid w:val="003B2C72"/>
    <w:rsid w:val="003B58B4"/>
    <w:rsid w:val="003C1333"/>
    <w:rsid w:val="003C20FF"/>
    <w:rsid w:val="003C48A3"/>
    <w:rsid w:val="003C550A"/>
    <w:rsid w:val="003C6055"/>
    <w:rsid w:val="003C70DE"/>
    <w:rsid w:val="003D1F45"/>
    <w:rsid w:val="003D2650"/>
    <w:rsid w:val="003D560C"/>
    <w:rsid w:val="003D5C00"/>
    <w:rsid w:val="003E2E94"/>
    <w:rsid w:val="003E3154"/>
    <w:rsid w:val="003E34A6"/>
    <w:rsid w:val="003E5874"/>
    <w:rsid w:val="003E72D3"/>
    <w:rsid w:val="003F193E"/>
    <w:rsid w:val="003F242C"/>
    <w:rsid w:val="003F2F1C"/>
    <w:rsid w:val="003F34F1"/>
    <w:rsid w:val="004019C8"/>
    <w:rsid w:val="004031D8"/>
    <w:rsid w:val="004104B6"/>
    <w:rsid w:val="00411AE8"/>
    <w:rsid w:val="00413B74"/>
    <w:rsid w:val="00420C13"/>
    <w:rsid w:val="00422FF1"/>
    <w:rsid w:val="004342F3"/>
    <w:rsid w:val="00434908"/>
    <w:rsid w:val="00434A2C"/>
    <w:rsid w:val="00435C5F"/>
    <w:rsid w:val="00436155"/>
    <w:rsid w:val="00436460"/>
    <w:rsid w:val="00441E98"/>
    <w:rsid w:val="00450F3A"/>
    <w:rsid w:val="004532F7"/>
    <w:rsid w:val="00462C6E"/>
    <w:rsid w:val="00464D51"/>
    <w:rsid w:val="00467CA9"/>
    <w:rsid w:val="00472027"/>
    <w:rsid w:val="004804CF"/>
    <w:rsid w:val="00483314"/>
    <w:rsid w:val="0048447F"/>
    <w:rsid w:val="00484962"/>
    <w:rsid w:val="00484F6D"/>
    <w:rsid w:val="00484FB7"/>
    <w:rsid w:val="0048554D"/>
    <w:rsid w:val="004902E0"/>
    <w:rsid w:val="0049338A"/>
    <w:rsid w:val="00494143"/>
    <w:rsid w:val="0049417F"/>
    <w:rsid w:val="004967E4"/>
    <w:rsid w:val="00496D41"/>
    <w:rsid w:val="004A0CF4"/>
    <w:rsid w:val="004A6602"/>
    <w:rsid w:val="004B1FA7"/>
    <w:rsid w:val="004B2389"/>
    <w:rsid w:val="004B3EFA"/>
    <w:rsid w:val="004C0C7C"/>
    <w:rsid w:val="004C2A87"/>
    <w:rsid w:val="004C4D7B"/>
    <w:rsid w:val="004C4ED3"/>
    <w:rsid w:val="004C667B"/>
    <w:rsid w:val="004C7ECD"/>
    <w:rsid w:val="004D2EA5"/>
    <w:rsid w:val="004D32A6"/>
    <w:rsid w:val="004D53E5"/>
    <w:rsid w:val="004D7950"/>
    <w:rsid w:val="004D7D10"/>
    <w:rsid w:val="004E4A05"/>
    <w:rsid w:val="004E56BA"/>
    <w:rsid w:val="004E6DC4"/>
    <w:rsid w:val="004F114A"/>
    <w:rsid w:val="004F21C1"/>
    <w:rsid w:val="00501A12"/>
    <w:rsid w:val="0050309C"/>
    <w:rsid w:val="00511B92"/>
    <w:rsid w:val="0051327C"/>
    <w:rsid w:val="0051346D"/>
    <w:rsid w:val="00513EAE"/>
    <w:rsid w:val="0051434F"/>
    <w:rsid w:val="00516806"/>
    <w:rsid w:val="0052098C"/>
    <w:rsid w:val="00520F00"/>
    <w:rsid w:val="00525A49"/>
    <w:rsid w:val="005262D1"/>
    <w:rsid w:val="005300C1"/>
    <w:rsid w:val="00530876"/>
    <w:rsid w:val="00535613"/>
    <w:rsid w:val="005359EB"/>
    <w:rsid w:val="0054254A"/>
    <w:rsid w:val="0054500B"/>
    <w:rsid w:val="005466B5"/>
    <w:rsid w:val="005542E6"/>
    <w:rsid w:val="00554314"/>
    <w:rsid w:val="005549EB"/>
    <w:rsid w:val="00562829"/>
    <w:rsid w:val="005629B3"/>
    <w:rsid w:val="0057128A"/>
    <w:rsid w:val="0057170C"/>
    <w:rsid w:val="005724F6"/>
    <w:rsid w:val="00573AC4"/>
    <w:rsid w:val="005763C8"/>
    <w:rsid w:val="005775D3"/>
    <w:rsid w:val="005801FC"/>
    <w:rsid w:val="005848A4"/>
    <w:rsid w:val="00585BA9"/>
    <w:rsid w:val="00587359"/>
    <w:rsid w:val="00592275"/>
    <w:rsid w:val="00594259"/>
    <w:rsid w:val="00595016"/>
    <w:rsid w:val="00596406"/>
    <w:rsid w:val="00597AAE"/>
    <w:rsid w:val="005A0DFF"/>
    <w:rsid w:val="005A222C"/>
    <w:rsid w:val="005A4D29"/>
    <w:rsid w:val="005A4DF8"/>
    <w:rsid w:val="005A78C8"/>
    <w:rsid w:val="005B1426"/>
    <w:rsid w:val="005C0A8E"/>
    <w:rsid w:val="005C1093"/>
    <w:rsid w:val="005C1767"/>
    <w:rsid w:val="005C185C"/>
    <w:rsid w:val="005C42EF"/>
    <w:rsid w:val="005E02F5"/>
    <w:rsid w:val="005E0510"/>
    <w:rsid w:val="005E176E"/>
    <w:rsid w:val="005E218E"/>
    <w:rsid w:val="005E35A0"/>
    <w:rsid w:val="005F0D1B"/>
    <w:rsid w:val="005F1865"/>
    <w:rsid w:val="005F20FA"/>
    <w:rsid w:val="005F2D4F"/>
    <w:rsid w:val="005F54F8"/>
    <w:rsid w:val="005F6FBC"/>
    <w:rsid w:val="006007BD"/>
    <w:rsid w:val="006013C8"/>
    <w:rsid w:val="0060270D"/>
    <w:rsid w:val="00604342"/>
    <w:rsid w:val="00604611"/>
    <w:rsid w:val="00611586"/>
    <w:rsid w:val="00612A54"/>
    <w:rsid w:val="00612D26"/>
    <w:rsid w:val="00615855"/>
    <w:rsid w:val="00620DA8"/>
    <w:rsid w:val="00621887"/>
    <w:rsid w:val="00624520"/>
    <w:rsid w:val="00624FBD"/>
    <w:rsid w:val="006271F5"/>
    <w:rsid w:val="00632300"/>
    <w:rsid w:val="00632BB7"/>
    <w:rsid w:val="00633FF3"/>
    <w:rsid w:val="00635B36"/>
    <w:rsid w:val="00636871"/>
    <w:rsid w:val="00640EE1"/>
    <w:rsid w:val="00640F4E"/>
    <w:rsid w:val="00641F27"/>
    <w:rsid w:val="00643DE0"/>
    <w:rsid w:val="0064437D"/>
    <w:rsid w:val="00644E85"/>
    <w:rsid w:val="00645A6E"/>
    <w:rsid w:val="006516D8"/>
    <w:rsid w:val="00652C52"/>
    <w:rsid w:val="0066063F"/>
    <w:rsid w:val="00662652"/>
    <w:rsid w:val="00662BB0"/>
    <w:rsid w:val="00663878"/>
    <w:rsid w:val="0066433A"/>
    <w:rsid w:val="00666C7C"/>
    <w:rsid w:val="00667773"/>
    <w:rsid w:val="00670743"/>
    <w:rsid w:val="006715C9"/>
    <w:rsid w:val="00676F88"/>
    <w:rsid w:val="00680A85"/>
    <w:rsid w:val="00681ADF"/>
    <w:rsid w:val="00681FB6"/>
    <w:rsid w:val="00690EE2"/>
    <w:rsid w:val="00693854"/>
    <w:rsid w:val="00694821"/>
    <w:rsid w:val="00694A63"/>
    <w:rsid w:val="00694BEB"/>
    <w:rsid w:val="006A0E20"/>
    <w:rsid w:val="006A24E3"/>
    <w:rsid w:val="006A4B17"/>
    <w:rsid w:val="006A5695"/>
    <w:rsid w:val="006B0439"/>
    <w:rsid w:val="006B3904"/>
    <w:rsid w:val="006B5B7D"/>
    <w:rsid w:val="006B6818"/>
    <w:rsid w:val="006C1262"/>
    <w:rsid w:val="006C5B46"/>
    <w:rsid w:val="006C6E39"/>
    <w:rsid w:val="006D0E20"/>
    <w:rsid w:val="006D0ECF"/>
    <w:rsid w:val="006D12CD"/>
    <w:rsid w:val="006D3342"/>
    <w:rsid w:val="006D3D5B"/>
    <w:rsid w:val="006D4C92"/>
    <w:rsid w:val="006D4EB6"/>
    <w:rsid w:val="006D5506"/>
    <w:rsid w:val="006D5D50"/>
    <w:rsid w:val="006D785C"/>
    <w:rsid w:val="006D7FBC"/>
    <w:rsid w:val="006E23A1"/>
    <w:rsid w:val="006E35BF"/>
    <w:rsid w:val="006E7850"/>
    <w:rsid w:val="006F19D8"/>
    <w:rsid w:val="006F46D6"/>
    <w:rsid w:val="006F4BBB"/>
    <w:rsid w:val="007028D9"/>
    <w:rsid w:val="00707218"/>
    <w:rsid w:val="00710D04"/>
    <w:rsid w:val="00712B1D"/>
    <w:rsid w:val="00715751"/>
    <w:rsid w:val="007171BA"/>
    <w:rsid w:val="00717616"/>
    <w:rsid w:val="00725A43"/>
    <w:rsid w:val="00726B51"/>
    <w:rsid w:val="007325D9"/>
    <w:rsid w:val="0073413F"/>
    <w:rsid w:val="00734AC4"/>
    <w:rsid w:val="0073583B"/>
    <w:rsid w:val="007360CA"/>
    <w:rsid w:val="0074375A"/>
    <w:rsid w:val="00743901"/>
    <w:rsid w:val="007442F2"/>
    <w:rsid w:val="00745BE2"/>
    <w:rsid w:val="0074667B"/>
    <w:rsid w:val="00746E59"/>
    <w:rsid w:val="007470BD"/>
    <w:rsid w:val="007542FA"/>
    <w:rsid w:val="00760EC0"/>
    <w:rsid w:val="007711BD"/>
    <w:rsid w:val="00773DD2"/>
    <w:rsid w:val="0078003A"/>
    <w:rsid w:val="00780646"/>
    <w:rsid w:val="00780771"/>
    <w:rsid w:val="00781B10"/>
    <w:rsid w:val="007929CF"/>
    <w:rsid w:val="00792E4C"/>
    <w:rsid w:val="007960FB"/>
    <w:rsid w:val="00797BA8"/>
    <w:rsid w:val="007A081D"/>
    <w:rsid w:val="007A0D29"/>
    <w:rsid w:val="007A1BEE"/>
    <w:rsid w:val="007A49E7"/>
    <w:rsid w:val="007A6F28"/>
    <w:rsid w:val="007A7C57"/>
    <w:rsid w:val="007B03C6"/>
    <w:rsid w:val="007B0DB1"/>
    <w:rsid w:val="007B5673"/>
    <w:rsid w:val="007B7090"/>
    <w:rsid w:val="007B7238"/>
    <w:rsid w:val="007B76FF"/>
    <w:rsid w:val="007C3BF6"/>
    <w:rsid w:val="007C67B3"/>
    <w:rsid w:val="007D0FD2"/>
    <w:rsid w:val="007D2EF8"/>
    <w:rsid w:val="007D561F"/>
    <w:rsid w:val="007D7FD2"/>
    <w:rsid w:val="007E119E"/>
    <w:rsid w:val="007E13D9"/>
    <w:rsid w:val="007E2AEC"/>
    <w:rsid w:val="007E41BE"/>
    <w:rsid w:val="007E4DB6"/>
    <w:rsid w:val="007E6559"/>
    <w:rsid w:val="007E6733"/>
    <w:rsid w:val="007E7CD4"/>
    <w:rsid w:val="007F12AC"/>
    <w:rsid w:val="007F3809"/>
    <w:rsid w:val="007F4501"/>
    <w:rsid w:val="007F5058"/>
    <w:rsid w:val="007F60DF"/>
    <w:rsid w:val="00801800"/>
    <w:rsid w:val="00801861"/>
    <w:rsid w:val="00801B5B"/>
    <w:rsid w:val="008048FE"/>
    <w:rsid w:val="008049A6"/>
    <w:rsid w:val="00805A30"/>
    <w:rsid w:val="00817A8B"/>
    <w:rsid w:val="008216E7"/>
    <w:rsid w:val="00823E9C"/>
    <w:rsid w:val="00825BE6"/>
    <w:rsid w:val="008276B4"/>
    <w:rsid w:val="00831927"/>
    <w:rsid w:val="008334D1"/>
    <w:rsid w:val="00837288"/>
    <w:rsid w:val="00841BD3"/>
    <w:rsid w:val="0084273D"/>
    <w:rsid w:val="00844E3F"/>
    <w:rsid w:val="00845A83"/>
    <w:rsid w:val="00845C57"/>
    <w:rsid w:val="00846BB9"/>
    <w:rsid w:val="00850F1D"/>
    <w:rsid w:val="008520A6"/>
    <w:rsid w:val="00857C07"/>
    <w:rsid w:val="00860464"/>
    <w:rsid w:val="008638AD"/>
    <w:rsid w:val="008649D5"/>
    <w:rsid w:val="008708ED"/>
    <w:rsid w:val="008712BB"/>
    <w:rsid w:val="00874D60"/>
    <w:rsid w:val="008830E7"/>
    <w:rsid w:val="00883489"/>
    <w:rsid w:val="00890EDE"/>
    <w:rsid w:val="008925EB"/>
    <w:rsid w:val="00892B38"/>
    <w:rsid w:val="0089367E"/>
    <w:rsid w:val="00895DE7"/>
    <w:rsid w:val="008A1741"/>
    <w:rsid w:val="008A2484"/>
    <w:rsid w:val="008A24FB"/>
    <w:rsid w:val="008A52F3"/>
    <w:rsid w:val="008C26D9"/>
    <w:rsid w:val="008C653A"/>
    <w:rsid w:val="008C6D50"/>
    <w:rsid w:val="008C7167"/>
    <w:rsid w:val="008C7503"/>
    <w:rsid w:val="008D1617"/>
    <w:rsid w:val="008D330F"/>
    <w:rsid w:val="008D48C1"/>
    <w:rsid w:val="008E0E59"/>
    <w:rsid w:val="008E3CE9"/>
    <w:rsid w:val="008E5920"/>
    <w:rsid w:val="008E6315"/>
    <w:rsid w:val="008F0480"/>
    <w:rsid w:val="008F07FC"/>
    <w:rsid w:val="008F11E0"/>
    <w:rsid w:val="008F3EA7"/>
    <w:rsid w:val="008F62F1"/>
    <w:rsid w:val="008F78BC"/>
    <w:rsid w:val="008F7B63"/>
    <w:rsid w:val="008F7D6A"/>
    <w:rsid w:val="009001AE"/>
    <w:rsid w:val="00900AAC"/>
    <w:rsid w:val="00901C86"/>
    <w:rsid w:val="00903603"/>
    <w:rsid w:val="00904A77"/>
    <w:rsid w:val="009054CB"/>
    <w:rsid w:val="00905878"/>
    <w:rsid w:val="00911F8D"/>
    <w:rsid w:val="00912F94"/>
    <w:rsid w:val="009143F3"/>
    <w:rsid w:val="009171BC"/>
    <w:rsid w:val="00923242"/>
    <w:rsid w:val="0092497E"/>
    <w:rsid w:val="0092590B"/>
    <w:rsid w:val="00925BF3"/>
    <w:rsid w:val="00925E60"/>
    <w:rsid w:val="009264B3"/>
    <w:rsid w:val="00931E4C"/>
    <w:rsid w:val="009365E0"/>
    <w:rsid w:val="00942BA2"/>
    <w:rsid w:val="009432B7"/>
    <w:rsid w:val="00943C3E"/>
    <w:rsid w:val="00944C86"/>
    <w:rsid w:val="00947C02"/>
    <w:rsid w:val="00950BE6"/>
    <w:rsid w:val="00957DE8"/>
    <w:rsid w:val="0096087F"/>
    <w:rsid w:val="00960ECB"/>
    <w:rsid w:val="009615D6"/>
    <w:rsid w:val="00967855"/>
    <w:rsid w:val="00971CD1"/>
    <w:rsid w:val="00974709"/>
    <w:rsid w:val="00974C51"/>
    <w:rsid w:val="009801AE"/>
    <w:rsid w:val="00980736"/>
    <w:rsid w:val="00981341"/>
    <w:rsid w:val="00981A39"/>
    <w:rsid w:val="00982D56"/>
    <w:rsid w:val="00983DBF"/>
    <w:rsid w:val="00986801"/>
    <w:rsid w:val="00987097"/>
    <w:rsid w:val="00991123"/>
    <w:rsid w:val="00991CAB"/>
    <w:rsid w:val="00995DE3"/>
    <w:rsid w:val="009A3A9C"/>
    <w:rsid w:val="009B046C"/>
    <w:rsid w:val="009B13FA"/>
    <w:rsid w:val="009B1E2D"/>
    <w:rsid w:val="009C1303"/>
    <w:rsid w:val="009C59FB"/>
    <w:rsid w:val="009C6F3B"/>
    <w:rsid w:val="009D1467"/>
    <w:rsid w:val="009D328D"/>
    <w:rsid w:val="009D4CAE"/>
    <w:rsid w:val="009E0B81"/>
    <w:rsid w:val="009E1E6C"/>
    <w:rsid w:val="009E4FA6"/>
    <w:rsid w:val="009E7D93"/>
    <w:rsid w:val="009F0BD7"/>
    <w:rsid w:val="009F3C34"/>
    <w:rsid w:val="009F462C"/>
    <w:rsid w:val="009F5C33"/>
    <w:rsid w:val="009F6665"/>
    <w:rsid w:val="009F7377"/>
    <w:rsid w:val="00A026F0"/>
    <w:rsid w:val="00A03178"/>
    <w:rsid w:val="00A0380F"/>
    <w:rsid w:val="00A03EAC"/>
    <w:rsid w:val="00A04DBB"/>
    <w:rsid w:val="00A07662"/>
    <w:rsid w:val="00A07EA0"/>
    <w:rsid w:val="00A11CA6"/>
    <w:rsid w:val="00A145E5"/>
    <w:rsid w:val="00A20C49"/>
    <w:rsid w:val="00A22932"/>
    <w:rsid w:val="00A264C6"/>
    <w:rsid w:val="00A269CA"/>
    <w:rsid w:val="00A31EF5"/>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4B73"/>
    <w:rsid w:val="00A65F97"/>
    <w:rsid w:val="00A73B04"/>
    <w:rsid w:val="00A76C13"/>
    <w:rsid w:val="00A77AA4"/>
    <w:rsid w:val="00A82CFA"/>
    <w:rsid w:val="00A84A3A"/>
    <w:rsid w:val="00A84FD0"/>
    <w:rsid w:val="00A92E79"/>
    <w:rsid w:val="00A9337F"/>
    <w:rsid w:val="00A950B6"/>
    <w:rsid w:val="00A95D45"/>
    <w:rsid w:val="00A97F99"/>
    <w:rsid w:val="00AA0DA8"/>
    <w:rsid w:val="00AA3AC4"/>
    <w:rsid w:val="00AA3E6F"/>
    <w:rsid w:val="00AA3EA8"/>
    <w:rsid w:val="00AA53E1"/>
    <w:rsid w:val="00AA5792"/>
    <w:rsid w:val="00AA7766"/>
    <w:rsid w:val="00AB3B32"/>
    <w:rsid w:val="00AB41C1"/>
    <w:rsid w:val="00AB4CF2"/>
    <w:rsid w:val="00AB5A71"/>
    <w:rsid w:val="00AB6CCA"/>
    <w:rsid w:val="00AC223F"/>
    <w:rsid w:val="00AC323E"/>
    <w:rsid w:val="00AC33B1"/>
    <w:rsid w:val="00AC61B6"/>
    <w:rsid w:val="00AD12A8"/>
    <w:rsid w:val="00AD1D05"/>
    <w:rsid w:val="00AE023F"/>
    <w:rsid w:val="00AE1C3F"/>
    <w:rsid w:val="00AE4427"/>
    <w:rsid w:val="00AF1B48"/>
    <w:rsid w:val="00AF3577"/>
    <w:rsid w:val="00AF35F9"/>
    <w:rsid w:val="00AF607F"/>
    <w:rsid w:val="00B0115F"/>
    <w:rsid w:val="00B0424C"/>
    <w:rsid w:val="00B05A87"/>
    <w:rsid w:val="00B05C7D"/>
    <w:rsid w:val="00B15D57"/>
    <w:rsid w:val="00B16347"/>
    <w:rsid w:val="00B17D6E"/>
    <w:rsid w:val="00B17F56"/>
    <w:rsid w:val="00B2435E"/>
    <w:rsid w:val="00B346C3"/>
    <w:rsid w:val="00B3744F"/>
    <w:rsid w:val="00B4005C"/>
    <w:rsid w:val="00B4227E"/>
    <w:rsid w:val="00B422F7"/>
    <w:rsid w:val="00B43D37"/>
    <w:rsid w:val="00B4471C"/>
    <w:rsid w:val="00B451A6"/>
    <w:rsid w:val="00B52E73"/>
    <w:rsid w:val="00B54FC0"/>
    <w:rsid w:val="00B56D6E"/>
    <w:rsid w:val="00B57258"/>
    <w:rsid w:val="00B616FF"/>
    <w:rsid w:val="00B64347"/>
    <w:rsid w:val="00B6488A"/>
    <w:rsid w:val="00B65DC6"/>
    <w:rsid w:val="00B67AC2"/>
    <w:rsid w:val="00B722DE"/>
    <w:rsid w:val="00B751E3"/>
    <w:rsid w:val="00B75BA6"/>
    <w:rsid w:val="00B76C44"/>
    <w:rsid w:val="00B8184A"/>
    <w:rsid w:val="00B82283"/>
    <w:rsid w:val="00B828D8"/>
    <w:rsid w:val="00B83F87"/>
    <w:rsid w:val="00B855B2"/>
    <w:rsid w:val="00B85EE8"/>
    <w:rsid w:val="00B8600C"/>
    <w:rsid w:val="00B87CDC"/>
    <w:rsid w:val="00B910C1"/>
    <w:rsid w:val="00BA2CA4"/>
    <w:rsid w:val="00BA2EFA"/>
    <w:rsid w:val="00BA3DBC"/>
    <w:rsid w:val="00BA707A"/>
    <w:rsid w:val="00BB1AFB"/>
    <w:rsid w:val="00BB2405"/>
    <w:rsid w:val="00BB27AE"/>
    <w:rsid w:val="00BB2DA2"/>
    <w:rsid w:val="00BB56DC"/>
    <w:rsid w:val="00BB7D00"/>
    <w:rsid w:val="00BC5BE7"/>
    <w:rsid w:val="00BD5251"/>
    <w:rsid w:val="00BE0116"/>
    <w:rsid w:val="00BE183D"/>
    <w:rsid w:val="00BE3059"/>
    <w:rsid w:val="00BE684B"/>
    <w:rsid w:val="00BF24C2"/>
    <w:rsid w:val="00BF2922"/>
    <w:rsid w:val="00BF3F77"/>
    <w:rsid w:val="00BF5D7A"/>
    <w:rsid w:val="00C01C2E"/>
    <w:rsid w:val="00C02D33"/>
    <w:rsid w:val="00C02EFD"/>
    <w:rsid w:val="00C04B53"/>
    <w:rsid w:val="00C07DEC"/>
    <w:rsid w:val="00C1232C"/>
    <w:rsid w:val="00C14334"/>
    <w:rsid w:val="00C16844"/>
    <w:rsid w:val="00C2336D"/>
    <w:rsid w:val="00C27C6B"/>
    <w:rsid w:val="00C3594D"/>
    <w:rsid w:val="00C36442"/>
    <w:rsid w:val="00C400CE"/>
    <w:rsid w:val="00C410FD"/>
    <w:rsid w:val="00C457DE"/>
    <w:rsid w:val="00C45D3F"/>
    <w:rsid w:val="00C47DD3"/>
    <w:rsid w:val="00C530CF"/>
    <w:rsid w:val="00C5316F"/>
    <w:rsid w:val="00C53562"/>
    <w:rsid w:val="00C539FB"/>
    <w:rsid w:val="00C665F9"/>
    <w:rsid w:val="00C66AA3"/>
    <w:rsid w:val="00C66E57"/>
    <w:rsid w:val="00C724D7"/>
    <w:rsid w:val="00C74150"/>
    <w:rsid w:val="00C75594"/>
    <w:rsid w:val="00C8434B"/>
    <w:rsid w:val="00C85982"/>
    <w:rsid w:val="00C85E3F"/>
    <w:rsid w:val="00C93E23"/>
    <w:rsid w:val="00CA0466"/>
    <w:rsid w:val="00CA1B64"/>
    <w:rsid w:val="00CA246D"/>
    <w:rsid w:val="00CA50D9"/>
    <w:rsid w:val="00CB08A8"/>
    <w:rsid w:val="00CB3054"/>
    <w:rsid w:val="00CB4AD7"/>
    <w:rsid w:val="00CB5636"/>
    <w:rsid w:val="00CB5F30"/>
    <w:rsid w:val="00CC3EE5"/>
    <w:rsid w:val="00CC5545"/>
    <w:rsid w:val="00CC6E47"/>
    <w:rsid w:val="00CD1346"/>
    <w:rsid w:val="00CD2BF9"/>
    <w:rsid w:val="00CD337C"/>
    <w:rsid w:val="00CD452C"/>
    <w:rsid w:val="00CE107A"/>
    <w:rsid w:val="00CE31B3"/>
    <w:rsid w:val="00CE425C"/>
    <w:rsid w:val="00CE5099"/>
    <w:rsid w:val="00CE58AC"/>
    <w:rsid w:val="00CF13D5"/>
    <w:rsid w:val="00CF5A80"/>
    <w:rsid w:val="00CF7F82"/>
    <w:rsid w:val="00D045EE"/>
    <w:rsid w:val="00D05091"/>
    <w:rsid w:val="00D10CA6"/>
    <w:rsid w:val="00D10F21"/>
    <w:rsid w:val="00D134CF"/>
    <w:rsid w:val="00D1573B"/>
    <w:rsid w:val="00D23123"/>
    <w:rsid w:val="00D24806"/>
    <w:rsid w:val="00D26024"/>
    <w:rsid w:val="00D34040"/>
    <w:rsid w:val="00D34E69"/>
    <w:rsid w:val="00D36C78"/>
    <w:rsid w:val="00D375EE"/>
    <w:rsid w:val="00D423E7"/>
    <w:rsid w:val="00D445CE"/>
    <w:rsid w:val="00D5053E"/>
    <w:rsid w:val="00D55AE8"/>
    <w:rsid w:val="00D56056"/>
    <w:rsid w:val="00D6085F"/>
    <w:rsid w:val="00D61760"/>
    <w:rsid w:val="00D6200A"/>
    <w:rsid w:val="00D62699"/>
    <w:rsid w:val="00D73868"/>
    <w:rsid w:val="00D752C9"/>
    <w:rsid w:val="00D7717A"/>
    <w:rsid w:val="00D778E9"/>
    <w:rsid w:val="00D812BF"/>
    <w:rsid w:val="00D82620"/>
    <w:rsid w:val="00D85707"/>
    <w:rsid w:val="00D922DB"/>
    <w:rsid w:val="00D9725F"/>
    <w:rsid w:val="00DA01B1"/>
    <w:rsid w:val="00DA11A2"/>
    <w:rsid w:val="00DA14ED"/>
    <w:rsid w:val="00DA26D6"/>
    <w:rsid w:val="00DB0E79"/>
    <w:rsid w:val="00DB2EF1"/>
    <w:rsid w:val="00DB3DE1"/>
    <w:rsid w:val="00DB5433"/>
    <w:rsid w:val="00DB5DA0"/>
    <w:rsid w:val="00DB5DDF"/>
    <w:rsid w:val="00DB716C"/>
    <w:rsid w:val="00DB7E77"/>
    <w:rsid w:val="00DC4323"/>
    <w:rsid w:val="00DC5C85"/>
    <w:rsid w:val="00DC7C5D"/>
    <w:rsid w:val="00DD20D3"/>
    <w:rsid w:val="00DD4236"/>
    <w:rsid w:val="00DD4360"/>
    <w:rsid w:val="00DD44F1"/>
    <w:rsid w:val="00DD4E64"/>
    <w:rsid w:val="00DD6957"/>
    <w:rsid w:val="00DD6E7A"/>
    <w:rsid w:val="00DE3067"/>
    <w:rsid w:val="00DE3844"/>
    <w:rsid w:val="00DF2367"/>
    <w:rsid w:val="00DF3EEE"/>
    <w:rsid w:val="00DF75E1"/>
    <w:rsid w:val="00E01A87"/>
    <w:rsid w:val="00E027BC"/>
    <w:rsid w:val="00E045BE"/>
    <w:rsid w:val="00E10F0D"/>
    <w:rsid w:val="00E14DDD"/>
    <w:rsid w:val="00E14EA5"/>
    <w:rsid w:val="00E2070E"/>
    <w:rsid w:val="00E20E18"/>
    <w:rsid w:val="00E21133"/>
    <w:rsid w:val="00E2327E"/>
    <w:rsid w:val="00E23577"/>
    <w:rsid w:val="00E25191"/>
    <w:rsid w:val="00E266EF"/>
    <w:rsid w:val="00E326A8"/>
    <w:rsid w:val="00E330AD"/>
    <w:rsid w:val="00E36194"/>
    <w:rsid w:val="00E36CAE"/>
    <w:rsid w:val="00E437ED"/>
    <w:rsid w:val="00E440A4"/>
    <w:rsid w:val="00E47383"/>
    <w:rsid w:val="00E47428"/>
    <w:rsid w:val="00E51E42"/>
    <w:rsid w:val="00E56C8E"/>
    <w:rsid w:val="00E5716B"/>
    <w:rsid w:val="00E57F1F"/>
    <w:rsid w:val="00E6605E"/>
    <w:rsid w:val="00E66B9F"/>
    <w:rsid w:val="00E67B53"/>
    <w:rsid w:val="00E70A6A"/>
    <w:rsid w:val="00E710D6"/>
    <w:rsid w:val="00E73DA4"/>
    <w:rsid w:val="00E76478"/>
    <w:rsid w:val="00E76E45"/>
    <w:rsid w:val="00E777C9"/>
    <w:rsid w:val="00E81DA6"/>
    <w:rsid w:val="00E81F18"/>
    <w:rsid w:val="00E84212"/>
    <w:rsid w:val="00E87196"/>
    <w:rsid w:val="00E9086C"/>
    <w:rsid w:val="00E90AAA"/>
    <w:rsid w:val="00E91A0F"/>
    <w:rsid w:val="00E935A3"/>
    <w:rsid w:val="00E94A71"/>
    <w:rsid w:val="00E94CBF"/>
    <w:rsid w:val="00E94F82"/>
    <w:rsid w:val="00EA03CE"/>
    <w:rsid w:val="00EA23E5"/>
    <w:rsid w:val="00EA4E2E"/>
    <w:rsid w:val="00EA5716"/>
    <w:rsid w:val="00EB2417"/>
    <w:rsid w:val="00EB2CCB"/>
    <w:rsid w:val="00EB329D"/>
    <w:rsid w:val="00EB7A25"/>
    <w:rsid w:val="00EC0F1A"/>
    <w:rsid w:val="00EC0F3E"/>
    <w:rsid w:val="00EC194B"/>
    <w:rsid w:val="00EC24B0"/>
    <w:rsid w:val="00EC49E8"/>
    <w:rsid w:val="00EC57A7"/>
    <w:rsid w:val="00ED0817"/>
    <w:rsid w:val="00ED7DD9"/>
    <w:rsid w:val="00EE445B"/>
    <w:rsid w:val="00EE4658"/>
    <w:rsid w:val="00EE5FFF"/>
    <w:rsid w:val="00EE608F"/>
    <w:rsid w:val="00EF2B49"/>
    <w:rsid w:val="00EF3113"/>
    <w:rsid w:val="00EF3F84"/>
    <w:rsid w:val="00EF7EC6"/>
    <w:rsid w:val="00F0537C"/>
    <w:rsid w:val="00F063B2"/>
    <w:rsid w:val="00F176AC"/>
    <w:rsid w:val="00F26F28"/>
    <w:rsid w:val="00F273E8"/>
    <w:rsid w:val="00F27714"/>
    <w:rsid w:val="00F3276E"/>
    <w:rsid w:val="00F33D3C"/>
    <w:rsid w:val="00F3683D"/>
    <w:rsid w:val="00F37A91"/>
    <w:rsid w:val="00F408A0"/>
    <w:rsid w:val="00F45CF5"/>
    <w:rsid w:val="00F47DB0"/>
    <w:rsid w:val="00F50C3F"/>
    <w:rsid w:val="00F50E34"/>
    <w:rsid w:val="00F51AFB"/>
    <w:rsid w:val="00F53EF7"/>
    <w:rsid w:val="00F54BF2"/>
    <w:rsid w:val="00F61FC5"/>
    <w:rsid w:val="00F639B0"/>
    <w:rsid w:val="00F67090"/>
    <w:rsid w:val="00F67669"/>
    <w:rsid w:val="00F73E8F"/>
    <w:rsid w:val="00F775AC"/>
    <w:rsid w:val="00F80C02"/>
    <w:rsid w:val="00F81BB6"/>
    <w:rsid w:val="00F86808"/>
    <w:rsid w:val="00F8792F"/>
    <w:rsid w:val="00F9214D"/>
    <w:rsid w:val="00F92355"/>
    <w:rsid w:val="00F93963"/>
    <w:rsid w:val="00F94291"/>
    <w:rsid w:val="00F9685C"/>
    <w:rsid w:val="00FA15A6"/>
    <w:rsid w:val="00FA298A"/>
    <w:rsid w:val="00FA523B"/>
    <w:rsid w:val="00FA5B66"/>
    <w:rsid w:val="00FB0B9C"/>
    <w:rsid w:val="00FB30EB"/>
    <w:rsid w:val="00FB7982"/>
    <w:rsid w:val="00FC0734"/>
    <w:rsid w:val="00FC0FC5"/>
    <w:rsid w:val="00FC4505"/>
    <w:rsid w:val="00FC588F"/>
    <w:rsid w:val="00FC6879"/>
    <w:rsid w:val="00FC7206"/>
    <w:rsid w:val="00FD43C2"/>
    <w:rsid w:val="00FD57CC"/>
    <w:rsid w:val="00FE1B30"/>
    <w:rsid w:val="00FE4F39"/>
    <w:rsid w:val="00FE7B44"/>
    <w:rsid w:val="00FF136E"/>
    <w:rsid w:val="00FF2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5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Default">
    <w:name w:val="Default"/>
    <w:rsid w:val="008049A6"/>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2F19F9"/>
    <w:rPr>
      <w:color w:val="605E5C"/>
      <w:shd w:val="clear" w:color="auto" w:fill="E1DFDD"/>
    </w:rPr>
  </w:style>
  <w:style w:type="paragraph" w:styleId="Revision">
    <w:name w:val="Revision"/>
    <w:hidden/>
    <w:uiPriority w:val="99"/>
    <w:semiHidden/>
    <w:rsid w:val="00B52E7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8219">
      <w:bodyDiv w:val="1"/>
      <w:marLeft w:val="0"/>
      <w:marRight w:val="0"/>
      <w:marTop w:val="0"/>
      <w:marBottom w:val="0"/>
      <w:divBdr>
        <w:top w:val="none" w:sz="0" w:space="0" w:color="auto"/>
        <w:left w:val="none" w:sz="0" w:space="0" w:color="auto"/>
        <w:bottom w:val="none" w:sz="0" w:space="0" w:color="auto"/>
        <w:right w:val="none" w:sz="0" w:space="0" w:color="auto"/>
      </w:divBdr>
    </w:div>
    <w:div w:id="47468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1.jpg"/><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mailto:support@joz.c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kf@onlinezh.net" TargetMode="External"/><Relationship Id="rId25" Type="http://schemas.openxmlformats.org/officeDocument/2006/relationships/hyperlink" Target="mailto:kf@onlinezh.ne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f@onlinezh.net" TargetMode="External"/><Relationship Id="rId20" Type="http://schemas.openxmlformats.org/officeDocument/2006/relationships/hyperlink" Target="mailto:caiwu@joz.cn"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g"/><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cr.gov.hk/en/home/"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315@joz.cn"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f@onlinezh.net" TargetMode="External"/><Relationship Id="rId14" Type="http://schemas.openxmlformats.org/officeDocument/2006/relationships/header" Target="header3.xml"/><Relationship Id="rId22" Type="http://schemas.openxmlformats.org/officeDocument/2006/relationships/hyperlink" Target="http://www.joz.cn" TargetMode="External"/><Relationship Id="rId27" Type="http://schemas.openxmlformats.org/officeDocument/2006/relationships/header" Target="header5.xml"/><Relationship Id="rId30" Type="http://schemas.openxmlformats.org/officeDocument/2006/relationships/footer" Target="footer5.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3614CE814E4D82A33C1DDB71772E84"/>
        <w:category>
          <w:name w:val="General"/>
          <w:gallery w:val="placeholder"/>
        </w:category>
        <w:types>
          <w:type w:val="bbPlcHdr"/>
        </w:types>
        <w:behaviors>
          <w:behavior w:val="content"/>
        </w:behaviors>
        <w:guid w:val="{5DD01C76-F4F5-4A29-95C4-D35E887BF966}"/>
      </w:docPartPr>
      <w:docPartBody>
        <w:p w:rsidR="008E22D9" w:rsidRDefault="008E22D9">
          <w:pPr>
            <w:pStyle w:val="FC3614CE814E4D82A33C1DDB71772E84"/>
          </w:pPr>
          <w:r>
            <w:rPr>
              <w:rStyle w:val="PlaceholderText"/>
            </w:rPr>
            <w:t>MNC Text</w:t>
          </w:r>
        </w:p>
      </w:docPartBody>
    </w:docPart>
    <w:docPart>
      <w:docPartPr>
        <w:name w:val="E7FC61E87D8C4B858D6AC441C128A2A2"/>
        <w:category>
          <w:name w:val="General"/>
          <w:gallery w:val="placeholder"/>
        </w:category>
        <w:types>
          <w:type w:val="bbPlcHdr"/>
        </w:types>
        <w:behaviors>
          <w:behavior w:val="content"/>
        </w:behaviors>
        <w:guid w:val="{67BD81A5-D8FF-49A1-814C-B72BDCC146FC}"/>
      </w:docPartPr>
      <w:docPartBody>
        <w:p w:rsidR="008E22D9" w:rsidRDefault="008E22D9">
          <w:pPr>
            <w:pStyle w:val="E7FC61E87D8C4B858D6AC441C128A2A2"/>
          </w:pPr>
          <w:r w:rsidRPr="005C44BE">
            <w:rPr>
              <w:rStyle w:val="PlaceholderText"/>
            </w:rPr>
            <w:t>Click or tap here to enter text.</w:t>
          </w:r>
        </w:p>
      </w:docPartBody>
    </w:docPart>
    <w:docPart>
      <w:docPartPr>
        <w:name w:val="5E38E8ACA3E84897B747840699B112EF"/>
        <w:category>
          <w:name w:val="General"/>
          <w:gallery w:val="placeholder"/>
        </w:category>
        <w:types>
          <w:type w:val="bbPlcHdr"/>
        </w:types>
        <w:behaviors>
          <w:behavior w:val="content"/>
        </w:behaviors>
        <w:guid w:val="{CD6A3798-86B8-4A4F-AE3F-F5B73D3E3398}"/>
      </w:docPartPr>
      <w:docPartBody>
        <w:p w:rsidR="008E22D9" w:rsidRDefault="008E22D9">
          <w:pPr>
            <w:pStyle w:val="5E38E8ACA3E84897B747840699B112EF"/>
          </w:pPr>
          <w:r w:rsidRPr="005C44BE">
            <w:rPr>
              <w:rStyle w:val="PlaceholderText"/>
            </w:rPr>
            <w:t>Click or tap here to enter text.</w:t>
          </w:r>
        </w:p>
      </w:docPartBody>
    </w:docPart>
    <w:docPart>
      <w:docPartPr>
        <w:name w:val="5AA2FD9207CF45D4961137748F506B38"/>
        <w:category>
          <w:name w:val="General"/>
          <w:gallery w:val="placeholder"/>
        </w:category>
        <w:types>
          <w:type w:val="bbPlcHdr"/>
        </w:types>
        <w:behaviors>
          <w:behavior w:val="content"/>
        </w:behaviors>
        <w:guid w:val="{A98B493D-6710-4183-985F-8CA47864DC6C}"/>
      </w:docPartPr>
      <w:docPartBody>
        <w:p w:rsidR="008E22D9" w:rsidRDefault="008E22D9">
          <w:pPr>
            <w:pStyle w:val="5AA2FD9207CF45D4961137748F506B38"/>
          </w:pPr>
          <w:r w:rsidRPr="005C44BE">
            <w:rPr>
              <w:rStyle w:val="PlaceholderText"/>
            </w:rPr>
            <w:t>Click or tap here to enter text.</w:t>
          </w:r>
        </w:p>
      </w:docPartBody>
    </w:docPart>
    <w:docPart>
      <w:docPartPr>
        <w:name w:val="0270A34893F14756B77C377C5B41A1D9"/>
        <w:category>
          <w:name w:val="General"/>
          <w:gallery w:val="placeholder"/>
        </w:category>
        <w:types>
          <w:type w:val="bbPlcHdr"/>
        </w:types>
        <w:behaviors>
          <w:behavior w:val="content"/>
        </w:behaviors>
        <w:guid w:val="{C8269D85-AB8E-402D-840B-BE57D00EF6B4}"/>
      </w:docPartPr>
      <w:docPartBody>
        <w:p w:rsidR="008E22D9" w:rsidRDefault="008E22D9">
          <w:pPr>
            <w:pStyle w:val="0270A34893F14756B77C377C5B41A1D9"/>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5B"/>
    <w:rsid w:val="002C302C"/>
    <w:rsid w:val="00541D5B"/>
    <w:rsid w:val="008E22D9"/>
    <w:rsid w:val="00CA787A"/>
    <w:rsid w:val="00FF2A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3614CE814E4D82A33C1DDB71772E84">
    <w:name w:val="FC3614CE814E4D82A33C1DDB71772E84"/>
  </w:style>
  <w:style w:type="paragraph" w:customStyle="1" w:styleId="E7FC61E87D8C4B858D6AC441C128A2A2">
    <w:name w:val="E7FC61E87D8C4B858D6AC441C128A2A2"/>
  </w:style>
  <w:style w:type="paragraph" w:customStyle="1" w:styleId="5E38E8ACA3E84897B747840699B112EF">
    <w:name w:val="5E38E8ACA3E84897B747840699B112EF"/>
  </w:style>
  <w:style w:type="paragraph" w:customStyle="1" w:styleId="5AA2FD9207CF45D4961137748F506B38">
    <w:name w:val="5AA2FD9207CF45D4961137748F506B38"/>
  </w:style>
  <w:style w:type="paragraph" w:customStyle="1" w:styleId="0270A34893F14756B77C377C5B41A1D9">
    <w:name w:val="0270A34893F14756B77C377C5B41A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 Vitaco Health IP Pty Ltd v AFI Cosmetic Pty Ltd (No 2) [2024] FCA 99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D2491BDD-2516-4911-AD38-40105538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11</Pages>
  <Words>3024</Words>
  <Characters>15840</Characters>
  <Application>Microsoft Office Word</Application>
  <DocSecurity>0</DocSecurity>
  <PresentationFormat/>
  <Lines>396</Lines>
  <Paragraphs>190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Vitaco Health IP Pty Ltd v AFI Cosmetic Pty Ltd (No 2) [2024] FCA 99</vt:lpstr>
    </vt:vector>
  </TitlesOfParts>
  <Manager/>
  <Company/>
  <LinksUpToDate>false</LinksUpToDate>
  <CharactersWithSpaces>18674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2006-02-06T01:31:00Z</cp:lastPrinted>
  <dcterms:created xsi:type="dcterms:W3CDTF">2024-02-19T01:47:00Z</dcterms:created>
  <dcterms:modified xsi:type="dcterms:W3CDTF">2024-02-19T01:48:00Z</dcterms:modified>
  <cp:category/>
  <cp:contentStatus/>
  <dc:language/>
  <cp:version/>
</cp:coreProperties>
</file>