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E6ED" w14:textId="49A18F7A" w:rsidR="00395B24" w:rsidRDefault="00A15803" w:rsidP="00A22932">
      <w:pPr>
        <w:pStyle w:val="CourtTitle"/>
      </w:pPr>
      <w:r>
        <w:fldChar w:fldCharType="begin"/>
      </w:r>
      <w:r>
        <w:instrText xml:space="preserve"> DOCPROPERTY  Court  \* MERGEFORMAT </w:instrText>
      </w:r>
      <w:r>
        <w:fldChar w:fldCharType="separate"/>
      </w:r>
      <w:r w:rsidR="004C0DEE">
        <w:t>Federal Court of Australia</w:t>
      </w:r>
      <w:r>
        <w:fldChar w:fldCharType="end"/>
      </w:r>
    </w:p>
    <w:p w14:paraId="2921D396" w14:textId="77777777" w:rsidR="004D7950" w:rsidRDefault="004D7950">
      <w:pPr>
        <w:pStyle w:val="NormalHeadings"/>
        <w:jc w:val="center"/>
        <w:rPr>
          <w:sz w:val="32"/>
        </w:rPr>
      </w:pPr>
    </w:p>
    <w:bookmarkStart w:id="0" w:name="MNC"/>
    <w:p w14:paraId="11BEF1E5" w14:textId="20498274" w:rsidR="00374CC4" w:rsidRDefault="00A15803" w:rsidP="001A2B40">
      <w:pPr>
        <w:pStyle w:val="MNC"/>
      </w:pPr>
      <w:sdt>
        <w:sdtPr>
          <w:alias w:val="MNC"/>
          <w:tag w:val="MNC"/>
          <w:id w:val="343289786"/>
          <w:lock w:val="sdtLocked"/>
          <w:placeholder>
            <w:docPart w:val="BBE177399F5A491E9B9BBB523B90C51B"/>
          </w:placeholder>
          <w:dataBinding w:prefixMappings="xmlns:ns0='http://schemas.globalmacros.com/FCA'" w:xpath="/ns0:root[1]/ns0:Name[1]" w:storeItemID="{687E7CCB-4AA5-44E7-B148-17BA2B6F57C0}"/>
          <w:text w:multiLine="1"/>
        </w:sdtPr>
        <w:sdtEndPr/>
        <w:sdtContent>
          <w:r w:rsidR="00526BEE" w:rsidRPr="00526BEE">
            <w:t xml:space="preserve">Australian Mud Company Pty Ltd v </w:t>
          </w:r>
          <w:proofErr w:type="spellStart"/>
          <w:r w:rsidR="00526BEE" w:rsidRPr="00526BEE">
            <w:t>Boart</w:t>
          </w:r>
          <w:proofErr w:type="spellEnd"/>
          <w:r w:rsidR="00526BEE" w:rsidRPr="00526BEE">
            <w:t xml:space="preserve"> </w:t>
          </w:r>
          <w:proofErr w:type="spellStart"/>
          <w:r w:rsidR="00526BEE" w:rsidRPr="00526BEE">
            <w:t>Longyear</w:t>
          </w:r>
          <w:proofErr w:type="spellEnd"/>
          <w:r w:rsidR="00526BEE" w:rsidRPr="00526BEE">
            <w:t xml:space="preserve"> Australia Pty Ltd [2022] FCA 1224</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2"/>
        <w:gridCol w:w="5990"/>
      </w:tblGrid>
      <w:tr w:rsidR="00395B24" w14:paraId="66C212B6" w14:textId="77777777" w:rsidTr="006652C4">
        <w:tc>
          <w:tcPr>
            <w:tcW w:w="3082" w:type="dxa"/>
            <w:shd w:val="clear" w:color="auto" w:fill="auto"/>
          </w:tcPr>
          <w:p w14:paraId="65528DD8" w14:textId="77777777" w:rsidR="00395B24" w:rsidRDefault="002C7385" w:rsidP="00663878">
            <w:pPr>
              <w:pStyle w:val="Normal1linespace"/>
              <w:widowControl w:val="0"/>
              <w:jc w:val="left"/>
            </w:pPr>
            <w:r>
              <w:t>File number(s):</w:t>
            </w:r>
          </w:p>
        </w:tc>
        <w:tc>
          <w:tcPr>
            <w:tcW w:w="5990" w:type="dxa"/>
            <w:shd w:val="clear" w:color="auto" w:fill="auto"/>
          </w:tcPr>
          <w:p w14:paraId="2B188564" w14:textId="63DE502F" w:rsidR="00395B24" w:rsidRPr="004C0DEE" w:rsidRDefault="00A15803" w:rsidP="004C0DEE">
            <w:pPr>
              <w:pStyle w:val="Normal1linespace"/>
              <w:jc w:val="left"/>
            </w:pPr>
            <w:r>
              <w:fldChar w:fldCharType="begin" w:fldLock="1"/>
            </w:r>
            <w:r>
              <w:instrText xml:space="preserve"> REF  FileNo  \* MERGEFORMAT </w:instrText>
            </w:r>
            <w:r>
              <w:fldChar w:fldCharType="separate"/>
            </w:r>
            <w:r w:rsidR="004C0DEE" w:rsidRPr="004C0DEE">
              <w:t>NSD</w:t>
            </w:r>
            <w:r w:rsidR="00715116">
              <w:t xml:space="preserve"> </w:t>
            </w:r>
            <w:r w:rsidR="004C0DEE" w:rsidRPr="004C0DEE">
              <w:t>1266 of 2021</w:t>
            </w:r>
            <w:r>
              <w:fldChar w:fldCharType="end"/>
            </w:r>
          </w:p>
        </w:tc>
      </w:tr>
      <w:tr w:rsidR="00395B24" w14:paraId="4EA11016" w14:textId="77777777" w:rsidTr="006652C4">
        <w:tc>
          <w:tcPr>
            <w:tcW w:w="3082" w:type="dxa"/>
            <w:shd w:val="clear" w:color="auto" w:fill="auto"/>
          </w:tcPr>
          <w:p w14:paraId="3E54B199" w14:textId="77777777" w:rsidR="00395B24" w:rsidRDefault="00395B24" w:rsidP="00663878">
            <w:pPr>
              <w:pStyle w:val="Normal1linespace"/>
              <w:widowControl w:val="0"/>
              <w:jc w:val="left"/>
            </w:pPr>
          </w:p>
        </w:tc>
        <w:tc>
          <w:tcPr>
            <w:tcW w:w="5990" w:type="dxa"/>
            <w:shd w:val="clear" w:color="auto" w:fill="auto"/>
          </w:tcPr>
          <w:p w14:paraId="522E207C" w14:textId="77777777" w:rsidR="00395B24" w:rsidRDefault="00395B24" w:rsidP="00663878">
            <w:pPr>
              <w:pStyle w:val="Normal1linespace"/>
              <w:widowControl w:val="0"/>
              <w:jc w:val="left"/>
            </w:pPr>
          </w:p>
        </w:tc>
      </w:tr>
      <w:tr w:rsidR="00395B24" w14:paraId="50D1E147" w14:textId="77777777" w:rsidTr="006652C4">
        <w:tc>
          <w:tcPr>
            <w:tcW w:w="3082" w:type="dxa"/>
            <w:shd w:val="clear" w:color="auto" w:fill="auto"/>
          </w:tcPr>
          <w:p w14:paraId="13F2EA12"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690A725A" w14:textId="77777777" w:rsidR="00395B24" w:rsidRDefault="002C7385" w:rsidP="00663878">
            <w:pPr>
              <w:pStyle w:val="Normal1linespace"/>
              <w:widowControl w:val="0"/>
              <w:jc w:val="left"/>
              <w:rPr>
                <w:b/>
              </w:rPr>
            </w:pPr>
            <w:r w:rsidRPr="004C0DEE">
              <w:rPr>
                <w:b/>
              </w:rPr>
              <w:fldChar w:fldCharType="begin" w:fldLock="1"/>
            </w:r>
            <w:r w:rsidRPr="004C0DEE">
              <w:rPr>
                <w:b/>
              </w:rPr>
              <w:instrText xml:space="preserve"> REF  Judge  \* MERGEFORMAT </w:instrText>
            </w:r>
            <w:r w:rsidRPr="004C0DEE">
              <w:rPr>
                <w:b/>
              </w:rPr>
              <w:fldChar w:fldCharType="separate"/>
            </w:r>
            <w:r w:rsidR="004C0DEE" w:rsidRPr="004C0DEE">
              <w:rPr>
                <w:b/>
                <w:caps/>
                <w:szCs w:val="24"/>
              </w:rPr>
              <w:t>ROFE J</w:t>
            </w:r>
            <w:r w:rsidRPr="004C0DEE">
              <w:rPr>
                <w:b/>
              </w:rPr>
              <w:fldChar w:fldCharType="end"/>
            </w:r>
          </w:p>
        </w:tc>
      </w:tr>
      <w:tr w:rsidR="00395B24" w14:paraId="06E0EEE3" w14:textId="77777777" w:rsidTr="006652C4">
        <w:tc>
          <w:tcPr>
            <w:tcW w:w="3082" w:type="dxa"/>
            <w:shd w:val="clear" w:color="auto" w:fill="auto"/>
          </w:tcPr>
          <w:p w14:paraId="1EBC40EE" w14:textId="77777777" w:rsidR="00395B24" w:rsidRDefault="00395B24" w:rsidP="00663878">
            <w:pPr>
              <w:pStyle w:val="Normal1linespace"/>
              <w:widowControl w:val="0"/>
              <w:jc w:val="left"/>
            </w:pPr>
          </w:p>
        </w:tc>
        <w:tc>
          <w:tcPr>
            <w:tcW w:w="5990" w:type="dxa"/>
            <w:shd w:val="clear" w:color="auto" w:fill="auto"/>
          </w:tcPr>
          <w:p w14:paraId="37139FA9" w14:textId="77777777" w:rsidR="00395B24" w:rsidRDefault="00395B24" w:rsidP="00663878">
            <w:pPr>
              <w:pStyle w:val="Normal1linespace"/>
              <w:widowControl w:val="0"/>
              <w:jc w:val="left"/>
            </w:pPr>
          </w:p>
        </w:tc>
      </w:tr>
      <w:tr w:rsidR="00395B24" w14:paraId="4A572932" w14:textId="77777777" w:rsidTr="006652C4">
        <w:tc>
          <w:tcPr>
            <w:tcW w:w="3082" w:type="dxa"/>
            <w:shd w:val="clear" w:color="auto" w:fill="auto"/>
          </w:tcPr>
          <w:p w14:paraId="7E3941CB" w14:textId="77777777" w:rsidR="00395B24" w:rsidRDefault="002C7385" w:rsidP="00663878">
            <w:pPr>
              <w:pStyle w:val="Normal1linespace"/>
              <w:widowControl w:val="0"/>
              <w:jc w:val="left"/>
            </w:pPr>
            <w:r>
              <w:t>Date of judgment:</w:t>
            </w:r>
          </w:p>
        </w:tc>
        <w:tc>
          <w:tcPr>
            <w:tcW w:w="5990" w:type="dxa"/>
            <w:shd w:val="clear" w:color="auto" w:fill="auto"/>
          </w:tcPr>
          <w:p w14:paraId="759E05F3" w14:textId="3400B285" w:rsidR="00395B24" w:rsidRDefault="00D765CE" w:rsidP="00F62FD9">
            <w:pPr>
              <w:pStyle w:val="Normal1linespace"/>
              <w:widowControl w:val="0"/>
              <w:jc w:val="left"/>
            </w:pPr>
            <w:bookmarkStart w:id="1" w:name="JudgmentDate"/>
            <w:r>
              <w:t>13 October</w:t>
            </w:r>
            <w:r w:rsidR="004C0DEE">
              <w:t xml:space="preserve"> 20</w:t>
            </w:r>
            <w:r w:rsidR="00F62FD9">
              <w:t>22</w:t>
            </w:r>
            <w:bookmarkEnd w:id="1"/>
          </w:p>
        </w:tc>
      </w:tr>
      <w:tr w:rsidR="00395B24" w14:paraId="0444756C" w14:textId="77777777" w:rsidTr="006652C4">
        <w:trPr>
          <w:trHeight w:val="203"/>
        </w:trPr>
        <w:tc>
          <w:tcPr>
            <w:tcW w:w="3082" w:type="dxa"/>
            <w:shd w:val="clear" w:color="auto" w:fill="auto"/>
          </w:tcPr>
          <w:p w14:paraId="0CD44EFD" w14:textId="77777777" w:rsidR="00395B24" w:rsidRDefault="00395B24" w:rsidP="00663878">
            <w:pPr>
              <w:pStyle w:val="Normal1linespace"/>
              <w:widowControl w:val="0"/>
              <w:jc w:val="left"/>
            </w:pPr>
          </w:p>
        </w:tc>
        <w:tc>
          <w:tcPr>
            <w:tcW w:w="5990" w:type="dxa"/>
            <w:shd w:val="clear" w:color="auto" w:fill="auto"/>
          </w:tcPr>
          <w:p w14:paraId="47E701FF" w14:textId="77777777" w:rsidR="00395B24" w:rsidRDefault="00395B24" w:rsidP="00663878">
            <w:pPr>
              <w:pStyle w:val="Normal1linespace"/>
              <w:widowControl w:val="0"/>
              <w:jc w:val="left"/>
            </w:pPr>
          </w:p>
        </w:tc>
      </w:tr>
      <w:tr w:rsidR="00EC7BF2" w14:paraId="3231E47A" w14:textId="77777777" w:rsidTr="006652C4">
        <w:tc>
          <w:tcPr>
            <w:tcW w:w="3082" w:type="dxa"/>
            <w:shd w:val="clear" w:color="auto" w:fill="auto"/>
          </w:tcPr>
          <w:p w14:paraId="51596548" w14:textId="77777777" w:rsidR="00EC7BF2" w:rsidRDefault="00EC7BF2" w:rsidP="00EC7BF2">
            <w:pPr>
              <w:pStyle w:val="Normal1linespace"/>
              <w:widowControl w:val="0"/>
              <w:jc w:val="left"/>
            </w:pPr>
            <w:r>
              <w:t>Catchwords:</w:t>
            </w:r>
          </w:p>
        </w:tc>
        <w:tc>
          <w:tcPr>
            <w:tcW w:w="5990" w:type="dxa"/>
            <w:shd w:val="clear" w:color="auto" w:fill="auto"/>
          </w:tcPr>
          <w:p w14:paraId="0841382E" w14:textId="3D9AB549" w:rsidR="00EC7BF2" w:rsidRDefault="00EC7BF2" w:rsidP="00EC7BF2">
            <w:pPr>
              <w:pStyle w:val="Normal1linespace"/>
              <w:widowControl w:val="0"/>
              <w:jc w:val="left"/>
              <w:rPr>
                <w:color w:val="000000"/>
                <w:shd w:val="clear" w:color="auto" w:fill="FFFFFF"/>
              </w:rPr>
            </w:pPr>
            <w:bookmarkStart w:id="2" w:name="Catchwords"/>
            <w:r w:rsidRPr="00141AA8">
              <w:rPr>
                <w:b/>
              </w:rPr>
              <w:t>PRACTICE AND PROCEDURE</w:t>
            </w:r>
            <w:r>
              <w:t xml:space="preserve"> – </w:t>
            </w:r>
            <w:r w:rsidR="00DD68C5">
              <w:t>i</w:t>
            </w:r>
            <w:r>
              <w:t xml:space="preserve">nterlocutory </w:t>
            </w:r>
            <w:r>
              <w:rPr>
                <w:color w:val="000000"/>
                <w:shd w:val="clear" w:color="auto" w:fill="FFFFFF"/>
              </w:rPr>
              <w:t xml:space="preserve">application for joinder of related party </w:t>
            </w:r>
            <w:r w:rsidR="00DD68C5" w:rsidRPr="00DD68C5">
              <w:rPr>
                <w:color w:val="000000"/>
                <w:shd w:val="clear" w:color="auto" w:fill="FFFFFF"/>
              </w:rPr>
              <w:t xml:space="preserve">– held: </w:t>
            </w:r>
            <w:r w:rsidR="00DD68C5">
              <w:rPr>
                <w:color w:val="000000"/>
                <w:shd w:val="clear" w:color="auto" w:fill="FFFFFF"/>
              </w:rPr>
              <w:t>application for joinder of third respondent</w:t>
            </w:r>
            <w:r w:rsidR="00DD68C5" w:rsidRPr="00DD68C5">
              <w:rPr>
                <w:color w:val="000000"/>
                <w:shd w:val="clear" w:color="auto" w:fill="FFFFFF"/>
              </w:rPr>
              <w:t xml:space="preserve"> granted</w:t>
            </w:r>
          </w:p>
          <w:p w14:paraId="4914EFD0" w14:textId="17A780A5" w:rsidR="00EC7BF2" w:rsidRDefault="00EC7BF2" w:rsidP="00EC7BF2">
            <w:pPr>
              <w:pStyle w:val="Normal1linespace"/>
              <w:widowControl w:val="0"/>
              <w:jc w:val="left"/>
              <w:rPr>
                <w:color w:val="000000"/>
                <w:shd w:val="clear" w:color="auto" w:fill="FFFFFF"/>
              </w:rPr>
            </w:pPr>
          </w:p>
          <w:p w14:paraId="6FD11BF4" w14:textId="0CD14C9B" w:rsidR="00DD68C5" w:rsidRDefault="00DD68C5" w:rsidP="00DD68C5">
            <w:pPr>
              <w:pStyle w:val="Normal1linespace"/>
              <w:widowControl w:val="0"/>
              <w:jc w:val="left"/>
              <w:rPr>
                <w:color w:val="000000"/>
                <w:shd w:val="clear" w:color="auto" w:fill="FFFFFF"/>
              </w:rPr>
            </w:pPr>
            <w:r w:rsidRPr="00202824">
              <w:rPr>
                <w:b/>
              </w:rPr>
              <w:t>PRACTICE AND PROCEDURE</w:t>
            </w:r>
            <w:r>
              <w:t xml:space="preserve"> – pleadings –application </w:t>
            </w:r>
            <w:r>
              <w:rPr>
                <w:color w:val="000000"/>
                <w:shd w:val="clear" w:color="auto" w:fill="FFFFFF"/>
              </w:rPr>
              <w:t xml:space="preserve">seeking leave to amend the amended originating application and amended statement of claim pursuant to r 16.53 </w:t>
            </w:r>
            <w:r w:rsidRPr="00EC7BF2">
              <w:rPr>
                <w:color w:val="000000"/>
                <w:shd w:val="clear" w:color="auto" w:fill="FFFFFF"/>
              </w:rPr>
              <w:t xml:space="preserve">of the </w:t>
            </w:r>
            <w:r w:rsidRPr="00202824">
              <w:rPr>
                <w:i/>
                <w:color w:val="000000"/>
                <w:shd w:val="clear" w:color="auto" w:fill="FFFFFF"/>
              </w:rPr>
              <w:t>Federal Court Rules 2011</w:t>
            </w:r>
            <w:r w:rsidRPr="00EC7BF2">
              <w:rPr>
                <w:color w:val="000000"/>
                <w:shd w:val="clear" w:color="auto" w:fill="FFFFFF"/>
              </w:rPr>
              <w:t xml:space="preserve"> (</w:t>
            </w:r>
            <w:proofErr w:type="spellStart"/>
            <w:r w:rsidRPr="00EC7BF2">
              <w:rPr>
                <w:color w:val="000000"/>
                <w:shd w:val="clear" w:color="auto" w:fill="FFFFFF"/>
              </w:rPr>
              <w:t>Cth</w:t>
            </w:r>
            <w:proofErr w:type="spellEnd"/>
            <w:r w:rsidRPr="00EC7BF2">
              <w:rPr>
                <w:color w:val="000000"/>
                <w:shd w:val="clear" w:color="auto" w:fill="FFFFFF"/>
              </w:rPr>
              <w:t xml:space="preserve">) </w:t>
            </w:r>
            <w:r w:rsidRPr="00DD68C5">
              <w:rPr>
                <w:color w:val="000000"/>
                <w:shd w:val="clear" w:color="auto" w:fill="FFFFFF"/>
              </w:rPr>
              <w:t xml:space="preserve">– held: </w:t>
            </w:r>
            <w:r>
              <w:rPr>
                <w:color w:val="000000"/>
                <w:shd w:val="clear" w:color="auto" w:fill="FFFFFF"/>
              </w:rPr>
              <w:t>amendments all</w:t>
            </w:r>
            <w:r w:rsidR="00D765CE">
              <w:rPr>
                <w:color w:val="000000"/>
                <w:shd w:val="clear" w:color="auto" w:fill="FFFFFF"/>
              </w:rPr>
              <w:t>owed</w:t>
            </w:r>
          </w:p>
          <w:p w14:paraId="6084D79F" w14:textId="52CC540C" w:rsidR="00DD68C5" w:rsidRDefault="00DD68C5" w:rsidP="00EC7BF2">
            <w:pPr>
              <w:pStyle w:val="Normal1linespace"/>
              <w:widowControl w:val="0"/>
              <w:jc w:val="left"/>
              <w:rPr>
                <w:color w:val="000000"/>
                <w:shd w:val="clear" w:color="auto" w:fill="FFFFFF"/>
              </w:rPr>
            </w:pPr>
          </w:p>
          <w:p w14:paraId="6D8F6C12" w14:textId="5DA7F8AB" w:rsidR="00EC7BF2" w:rsidRDefault="00EC7BF2" w:rsidP="00D765CE">
            <w:pPr>
              <w:pStyle w:val="Normal1linespace"/>
              <w:widowControl w:val="0"/>
              <w:jc w:val="left"/>
            </w:pPr>
            <w:r w:rsidRPr="00141AA8">
              <w:rPr>
                <w:b/>
                <w:color w:val="000000"/>
                <w:shd w:val="clear" w:color="auto" w:fill="FFFFFF"/>
              </w:rPr>
              <w:t>PRACTICE AND PROCEDURE</w:t>
            </w:r>
            <w:r w:rsidRPr="00EC7BF2">
              <w:rPr>
                <w:color w:val="000000"/>
                <w:shd w:val="clear" w:color="auto" w:fill="FFFFFF"/>
              </w:rPr>
              <w:t xml:space="preserve"> –</w:t>
            </w:r>
            <w:r w:rsidR="00DD68C5">
              <w:rPr>
                <w:color w:val="000000"/>
                <w:shd w:val="clear" w:color="auto" w:fill="FFFFFF"/>
              </w:rPr>
              <w:t xml:space="preserve"> </w:t>
            </w:r>
            <w:r w:rsidRPr="00EC7BF2">
              <w:rPr>
                <w:color w:val="000000"/>
                <w:shd w:val="clear" w:color="auto" w:fill="FFFFFF"/>
              </w:rPr>
              <w:t>applica</w:t>
            </w:r>
            <w:r w:rsidR="00685349">
              <w:rPr>
                <w:color w:val="000000"/>
                <w:shd w:val="clear" w:color="auto" w:fill="FFFFFF"/>
              </w:rPr>
              <w:t>tion to serve the third</w:t>
            </w:r>
            <w:r w:rsidRPr="00EC7BF2">
              <w:rPr>
                <w:color w:val="000000"/>
                <w:shd w:val="clear" w:color="auto" w:fill="FFFFFF"/>
              </w:rPr>
              <w:t xml:space="preserve"> responde</w:t>
            </w:r>
            <w:r w:rsidR="00685349">
              <w:rPr>
                <w:color w:val="000000"/>
                <w:shd w:val="clear" w:color="auto" w:fill="FFFFFF"/>
              </w:rPr>
              <w:t>nt</w:t>
            </w:r>
            <w:r w:rsidRPr="00EC7BF2">
              <w:rPr>
                <w:color w:val="000000"/>
                <w:shd w:val="clear" w:color="auto" w:fill="FFFFFF"/>
              </w:rPr>
              <w:t xml:space="preserve"> in the United States of America pursuant to </w:t>
            </w:r>
            <w:proofErr w:type="spellStart"/>
            <w:r w:rsidRPr="00EC7BF2">
              <w:rPr>
                <w:color w:val="000000"/>
                <w:shd w:val="clear" w:color="auto" w:fill="FFFFFF"/>
              </w:rPr>
              <w:t>rr</w:t>
            </w:r>
            <w:proofErr w:type="spellEnd"/>
            <w:r w:rsidRPr="00EC7BF2">
              <w:rPr>
                <w:color w:val="000000"/>
                <w:shd w:val="clear" w:color="auto" w:fill="FFFFFF"/>
              </w:rPr>
              <w:t xml:space="preserve"> </w:t>
            </w:r>
            <w:r w:rsidR="005232E5" w:rsidRPr="00EC7BF2">
              <w:rPr>
                <w:color w:val="000000"/>
                <w:shd w:val="clear" w:color="auto" w:fill="FFFFFF"/>
              </w:rPr>
              <w:t>10.43</w:t>
            </w:r>
            <w:r w:rsidR="005232E5">
              <w:rPr>
                <w:color w:val="000000"/>
                <w:shd w:val="clear" w:color="auto" w:fill="FFFFFF"/>
              </w:rPr>
              <w:t xml:space="preserve"> and</w:t>
            </w:r>
            <w:r w:rsidR="00DD68C5">
              <w:rPr>
                <w:color w:val="000000"/>
                <w:shd w:val="clear" w:color="auto" w:fill="FFFFFF"/>
              </w:rPr>
              <w:t xml:space="preserve"> 10.44 </w:t>
            </w:r>
            <w:r w:rsidRPr="00EC7BF2">
              <w:rPr>
                <w:color w:val="000000"/>
                <w:shd w:val="clear" w:color="auto" w:fill="FFFFFF"/>
              </w:rPr>
              <w:t xml:space="preserve">of the </w:t>
            </w:r>
            <w:r w:rsidRPr="00141AA8">
              <w:rPr>
                <w:i/>
                <w:color w:val="000000"/>
                <w:shd w:val="clear" w:color="auto" w:fill="FFFFFF"/>
              </w:rPr>
              <w:t>Federal Court Rules 2011</w:t>
            </w:r>
            <w:r w:rsidRPr="00EC7BF2">
              <w:rPr>
                <w:color w:val="000000"/>
                <w:shd w:val="clear" w:color="auto" w:fill="FFFFFF"/>
              </w:rPr>
              <w:t xml:space="preserve"> (</w:t>
            </w:r>
            <w:proofErr w:type="spellStart"/>
            <w:r w:rsidRPr="00EC7BF2">
              <w:rPr>
                <w:color w:val="000000"/>
                <w:shd w:val="clear" w:color="auto" w:fill="FFFFFF"/>
              </w:rPr>
              <w:t>Cth</w:t>
            </w:r>
            <w:proofErr w:type="spellEnd"/>
            <w:r w:rsidRPr="00EC7BF2">
              <w:rPr>
                <w:color w:val="000000"/>
                <w:shd w:val="clear" w:color="auto" w:fill="FFFFFF"/>
              </w:rPr>
              <w:t xml:space="preserve">) </w:t>
            </w:r>
            <w:r w:rsidR="00DD68C5">
              <w:rPr>
                <w:color w:val="000000"/>
                <w:shd w:val="clear" w:color="auto" w:fill="FFFFFF"/>
              </w:rPr>
              <w:t>–</w:t>
            </w:r>
            <w:r w:rsidR="00D765CE">
              <w:rPr>
                <w:color w:val="000000"/>
                <w:shd w:val="clear" w:color="auto" w:fill="FFFFFF"/>
              </w:rPr>
              <w:t xml:space="preserve"> </w:t>
            </w:r>
            <w:r w:rsidR="00DD68C5" w:rsidRPr="00DD68C5">
              <w:rPr>
                <w:color w:val="000000"/>
                <w:shd w:val="clear" w:color="auto" w:fill="FFFFFF"/>
              </w:rPr>
              <w:t xml:space="preserve">whether leave should be granted – </w:t>
            </w:r>
            <w:r w:rsidR="00DD68C5">
              <w:rPr>
                <w:color w:val="000000"/>
                <w:shd w:val="clear" w:color="auto" w:fill="FFFFFF"/>
              </w:rPr>
              <w:t>h</w:t>
            </w:r>
            <w:r w:rsidR="00DD68C5" w:rsidRPr="00DD68C5">
              <w:rPr>
                <w:color w:val="000000"/>
                <w:shd w:val="clear" w:color="auto" w:fill="FFFFFF"/>
              </w:rPr>
              <w:t>eld: leave to serve out of jurisdiction granted</w:t>
            </w:r>
            <w:bookmarkEnd w:id="2"/>
          </w:p>
        </w:tc>
      </w:tr>
      <w:tr w:rsidR="00EC7BF2" w14:paraId="1AFB3D51" w14:textId="77777777" w:rsidTr="006652C4">
        <w:tc>
          <w:tcPr>
            <w:tcW w:w="3082" w:type="dxa"/>
            <w:shd w:val="clear" w:color="auto" w:fill="auto"/>
          </w:tcPr>
          <w:p w14:paraId="3F16F290" w14:textId="77777777" w:rsidR="00EC7BF2" w:rsidRDefault="00EC7BF2" w:rsidP="00EC7BF2">
            <w:pPr>
              <w:pStyle w:val="Normal1linespace"/>
              <w:widowControl w:val="0"/>
              <w:jc w:val="left"/>
            </w:pPr>
          </w:p>
        </w:tc>
        <w:tc>
          <w:tcPr>
            <w:tcW w:w="5990" w:type="dxa"/>
            <w:shd w:val="clear" w:color="auto" w:fill="auto"/>
          </w:tcPr>
          <w:p w14:paraId="6E645AC6" w14:textId="77777777" w:rsidR="00EC7BF2" w:rsidRDefault="00EC7BF2" w:rsidP="00EC7BF2">
            <w:pPr>
              <w:pStyle w:val="Normal1linespace"/>
              <w:widowControl w:val="0"/>
              <w:jc w:val="left"/>
            </w:pPr>
          </w:p>
        </w:tc>
      </w:tr>
      <w:tr w:rsidR="00EC7BF2" w14:paraId="365BD358" w14:textId="77777777" w:rsidTr="006652C4">
        <w:tc>
          <w:tcPr>
            <w:tcW w:w="3082" w:type="dxa"/>
            <w:shd w:val="clear" w:color="auto" w:fill="auto"/>
          </w:tcPr>
          <w:p w14:paraId="336C08BF" w14:textId="77777777" w:rsidR="00EC7BF2" w:rsidRDefault="00EC7BF2" w:rsidP="00EC7BF2">
            <w:pPr>
              <w:pStyle w:val="Normal1linespace"/>
              <w:widowControl w:val="0"/>
              <w:jc w:val="left"/>
            </w:pPr>
            <w:r>
              <w:t>Legislation:</w:t>
            </w:r>
          </w:p>
        </w:tc>
        <w:tc>
          <w:tcPr>
            <w:tcW w:w="5990" w:type="dxa"/>
            <w:shd w:val="clear" w:color="auto" w:fill="auto"/>
          </w:tcPr>
          <w:p w14:paraId="1876A08E" w14:textId="77777777" w:rsidR="00344F4A" w:rsidRPr="00344F4A" w:rsidRDefault="00344F4A" w:rsidP="00344F4A">
            <w:pPr>
              <w:pStyle w:val="CasesLegislationAppealFrom"/>
              <w:spacing w:after="60"/>
            </w:pPr>
            <w:bookmarkStart w:id="3" w:name="Legislation"/>
            <w:r w:rsidRPr="00344F4A">
              <w:rPr>
                <w:i/>
              </w:rPr>
              <w:t>Federal Court of Australia Act 1976</w:t>
            </w:r>
            <w:r w:rsidRPr="00344F4A">
              <w:t xml:space="preserve"> (</w:t>
            </w:r>
            <w:proofErr w:type="spellStart"/>
            <w:r w:rsidRPr="00344F4A">
              <w:t>Cth</w:t>
            </w:r>
            <w:proofErr w:type="spellEnd"/>
            <w:r w:rsidRPr="00344F4A">
              <w:t>)</w:t>
            </w:r>
          </w:p>
          <w:p w14:paraId="42835018" w14:textId="1949D03E" w:rsidR="00A06CA4" w:rsidRDefault="00344F4A" w:rsidP="00A06CA4">
            <w:pPr>
              <w:pStyle w:val="CasesLegislationAppealFrom"/>
              <w:spacing w:after="60"/>
              <w:rPr>
                <w:i/>
              </w:rPr>
            </w:pPr>
            <w:r w:rsidRPr="00344F4A">
              <w:rPr>
                <w:i/>
              </w:rPr>
              <w:t>Patents Act 1990</w:t>
            </w:r>
            <w:r w:rsidRPr="00344F4A">
              <w:t xml:space="preserve"> (</w:t>
            </w:r>
            <w:proofErr w:type="spellStart"/>
            <w:r w:rsidRPr="00344F4A">
              <w:t>Cth</w:t>
            </w:r>
            <w:proofErr w:type="spellEnd"/>
            <w:r w:rsidR="00A06CA4">
              <w:t>)</w:t>
            </w:r>
            <w:r w:rsidR="00A06CA4" w:rsidRPr="00344F4A">
              <w:rPr>
                <w:i/>
              </w:rPr>
              <w:t xml:space="preserve"> </w:t>
            </w:r>
          </w:p>
          <w:p w14:paraId="52984354" w14:textId="72E33A65" w:rsidR="00EC7BF2" w:rsidRPr="00344F4A" w:rsidRDefault="00A06CA4" w:rsidP="00344F4A">
            <w:pPr>
              <w:pStyle w:val="CasesLegislationAppealFrom"/>
              <w:spacing w:after="60"/>
            </w:pPr>
            <w:r w:rsidRPr="00344F4A">
              <w:rPr>
                <w:i/>
              </w:rPr>
              <w:t>Federal Court Rules 2011</w:t>
            </w:r>
            <w:r w:rsidRPr="00344F4A">
              <w:t xml:space="preserve"> (</w:t>
            </w:r>
            <w:proofErr w:type="spellStart"/>
            <w:r w:rsidRPr="00344F4A">
              <w:t>Cth</w:t>
            </w:r>
            <w:proofErr w:type="spellEnd"/>
            <w:r w:rsidRPr="00344F4A">
              <w:t>)</w:t>
            </w:r>
            <w:r w:rsidRPr="00344F4A" w:rsidDel="00344F4A">
              <w:t xml:space="preserve">   </w:t>
            </w:r>
            <w:bookmarkEnd w:id="3"/>
          </w:p>
        </w:tc>
      </w:tr>
      <w:tr w:rsidR="00EC7BF2" w14:paraId="3D6A58E5" w14:textId="77777777" w:rsidTr="006652C4">
        <w:tc>
          <w:tcPr>
            <w:tcW w:w="3082" w:type="dxa"/>
            <w:shd w:val="clear" w:color="auto" w:fill="auto"/>
          </w:tcPr>
          <w:p w14:paraId="7BC7AB09" w14:textId="77777777" w:rsidR="00EC7BF2" w:rsidRDefault="00EC7BF2" w:rsidP="00EC7BF2">
            <w:pPr>
              <w:pStyle w:val="Normal1linespace"/>
              <w:widowControl w:val="0"/>
              <w:jc w:val="left"/>
            </w:pPr>
          </w:p>
        </w:tc>
        <w:tc>
          <w:tcPr>
            <w:tcW w:w="5990" w:type="dxa"/>
            <w:shd w:val="clear" w:color="auto" w:fill="auto"/>
          </w:tcPr>
          <w:p w14:paraId="35F970D5" w14:textId="77777777" w:rsidR="00EC7BF2" w:rsidRDefault="00EC7BF2" w:rsidP="00EC7BF2">
            <w:pPr>
              <w:pStyle w:val="Normal1linespace"/>
              <w:widowControl w:val="0"/>
              <w:jc w:val="left"/>
            </w:pPr>
          </w:p>
        </w:tc>
      </w:tr>
      <w:tr w:rsidR="00EC7BF2" w14:paraId="134ED90D" w14:textId="77777777" w:rsidTr="006652C4">
        <w:tc>
          <w:tcPr>
            <w:tcW w:w="3082" w:type="dxa"/>
            <w:shd w:val="clear" w:color="auto" w:fill="auto"/>
          </w:tcPr>
          <w:p w14:paraId="33E127E7" w14:textId="77777777" w:rsidR="00EC7BF2" w:rsidRDefault="00EC7BF2" w:rsidP="00EC7BF2">
            <w:pPr>
              <w:pStyle w:val="Normal1linespace"/>
              <w:widowControl w:val="0"/>
              <w:jc w:val="left"/>
            </w:pPr>
            <w:r>
              <w:t>Cases cited:</w:t>
            </w:r>
          </w:p>
        </w:tc>
        <w:tc>
          <w:tcPr>
            <w:tcW w:w="5990" w:type="dxa"/>
            <w:shd w:val="clear" w:color="auto" w:fill="auto"/>
          </w:tcPr>
          <w:p w14:paraId="0F5E469E" w14:textId="77777777" w:rsidR="00344F4A" w:rsidRPr="00344F4A" w:rsidRDefault="00344F4A" w:rsidP="00344F4A">
            <w:pPr>
              <w:pStyle w:val="CasesLegislationAppealFrom"/>
              <w:spacing w:after="60"/>
            </w:pPr>
            <w:bookmarkStart w:id="4" w:name="Cases_Cited"/>
            <w:r w:rsidRPr="00344F4A">
              <w:rPr>
                <w:i/>
              </w:rPr>
              <w:t>Australian Competition and Consumer Commission v Yellow Page Marketing BV</w:t>
            </w:r>
            <w:r w:rsidRPr="00344F4A">
              <w:t xml:space="preserve"> [2010] FCA 1218</w:t>
            </w:r>
          </w:p>
          <w:p w14:paraId="2EC7C68F" w14:textId="77777777" w:rsidR="00344F4A" w:rsidRPr="00344F4A" w:rsidRDefault="00344F4A" w:rsidP="00344F4A">
            <w:pPr>
              <w:pStyle w:val="CasesLegislationAppealFrom"/>
              <w:spacing w:after="60"/>
            </w:pPr>
            <w:r w:rsidRPr="00344F4A">
              <w:rPr>
                <w:i/>
              </w:rPr>
              <w:t xml:space="preserve">Australian Mud Company Pty Ltd v </w:t>
            </w:r>
            <w:proofErr w:type="spellStart"/>
            <w:r w:rsidRPr="00344F4A">
              <w:rPr>
                <w:i/>
              </w:rPr>
              <w:t>Globaltech</w:t>
            </w:r>
            <w:proofErr w:type="spellEnd"/>
            <w:r w:rsidRPr="00344F4A">
              <w:rPr>
                <w:i/>
              </w:rPr>
              <w:t xml:space="preserve"> Corporation Pty</w:t>
            </w:r>
            <w:r w:rsidRPr="00344F4A">
              <w:t xml:space="preserve"> </w:t>
            </w:r>
            <w:r w:rsidRPr="00344F4A">
              <w:rPr>
                <w:i/>
              </w:rPr>
              <w:t xml:space="preserve">Ltd (No 3) </w:t>
            </w:r>
            <w:r w:rsidRPr="00344F4A">
              <w:t>[2022] FCA 596</w:t>
            </w:r>
          </w:p>
          <w:p w14:paraId="41192767" w14:textId="77777777" w:rsidR="00344F4A" w:rsidRPr="00344F4A" w:rsidRDefault="00344F4A" w:rsidP="00344F4A">
            <w:pPr>
              <w:pStyle w:val="CasesLegislationAppealFrom"/>
              <w:spacing w:after="60"/>
            </w:pPr>
            <w:r w:rsidRPr="00344F4A">
              <w:rPr>
                <w:i/>
              </w:rPr>
              <w:t xml:space="preserve">Australian Mud Company Pty Ltd v </w:t>
            </w:r>
            <w:proofErr w:type="spellStart"/>
            <w:r w:rsidRPr="00344F4A">
              <w:rPr>
                <w:i/>
              </w:rPr>
              <w:t>Globaltech</w:t>
            </w:r>
            <w:proofErr w:type="spellEnd"/>
            <w:r w:rsidRPr="00344F4A">
              <w:rPr>
                <w:i/>
              </w:rPr>
              <w:t xml:space="preserve"> Corporation Pty Ltd</w:t>
            </w:r>
            <w:r w:rsidRPr="00344F4A">
              <w:t xml:space="preserve"> [2018] FCA 1839</w:t>
            </w:r>
            <w:r w:rsidRPr="00344F4A" w:rsidDel="00344F4A">
              <w:t xml:space="preserve">   </w:t>
            </w:r>
          </w:p>
          <w:p w14:paraId="7D0970E2" w14:textId="77777777" w:rsidR="00344F4A" w:rsidRPr="00344F4A" w:rsidRDefault="00344F4A" w:rsidP="00344F4A">
            <w:pPr>
              <w:pStyle w:val="CasesLegislationAppealFrom"/>
              <w:spacing w:after="60"/>
            </w:pPr>
            <w:r w:rsidRPr="00344F4A">
              <w:rPr>
                <w:i/>
              </w:rPr>
              <w:t>Crocker v Toys ‘R’ Us (Australia) Pty Ltd</w:t>
            </w:r>
            <w:r w:rsidRPr="00344F4A">
              <w:t xml:space="preserve"> [2015] FCA 588</w:t>
            </w:r>
          </w:p>
          <w:p w14:paraId="6E3C7F77" w14:textId="77777777" w:rsidR="00344F4A" w:rsidRPr="00344F4A" w:rsidRDefault="00344F4A" w:rsidP="00344F4A">
            <w:pPr>
              <w:pStyle w:val="CasesLegislationAppealFrom"/>
              <w:spacing w:after="60"/>
            </w:pPr>
            <w:proofErr w:type="spellStart"/>
            <w:r w:rsidRPr="00344F4A">
              <w:rPr>
                <w:i/>
              </w:rPr>
              <w:t>Fewin</w:t>
            </w:r>
            <w:proofErr w:type="spellEnd"/>
            <w:r w:rsidRPr="00344F4A">
              <w:rPr>
                <w:i/>
              </w:rPr>
              <w:t xml:space="preserve"> Pt Ltd v Burke </w:t>
            </w:r>
            <w:r w:rsidRPr="00344F4A">
              <w:t>[2016] FCA 503</w:t>
            </w:r>
          </w:p>
          <w:p w14:paraId="21F2F1B1" w14:textId="77777777" w:rsidR="00344F4A" w:rsidRPr="00344F4A" w:rsidRDefault="00344F4A" w:rsidP="00344F4A">
            <w:pPr>
              <w:pStyle w:val="CasesLegislationAppealFrom"/>
              <w:spacing w:after="60"/>
            </w:pPr>
            <w:r w:rsidRPr="00344F4A">
              <w:rPr>
                <w:i/>
              </w:rPr>
              <w:t xml:space="preserve">General Steel Industries </w:t>
            </w:r>
            <w:proofErr w:type="spellStart"/>
            <w:r w:rsidRPr="00344F4A">
              <w:rPr>
                <w:i/>
              </w:rPr>
              <w:t>Inc</w:t>
            </w:r>
            <w:proofErr w:type="spellEnd"/>
            <w:r w:rsidRPr="00344F4A">
              <w:rPr>
                <w:i/>
              </w:rPr>
              <w:t xml:space="preserve"> v Commissioner for Railways (NSW)</w:t>
            </w:r>
            <w:r w:rsidRPr="00344F4A">
              <w:t xml:space="preserve"> (1964) 112 CLR 125</w:t>
            </w:r>
          </w:p>
          <w:p w14:paraId="002ED7B7" w14:textId="77777777" w:rsidR="00344F4A" w:rsidRPr="00344F4A" w:rsidRDefault="00344F4A" w:rsidP="00344F4A">
            <w:pPr>
              <w:pStyle w:val="CasesLegislationAppealFrom"/>
              <w:spacing w:after="60"/>
            </w:pPr>
            <w:proofErr w:type="spellStart"/>
            <w:r w:rsidRPr="00344F4A">
              <w:rPr>
                <w:i/>
              </w:rPr>
              <w:t>Globaltech</w:t>
            </w:r>
            <w:proofErr w:type="spellEnd"/>
            <w:r w:rsidRPr="00344F4A">
              <w:rPr>
                <w:i/>
              </w:rPr>
              <w:t xml:space="preserve"> Corporation Pty Ltd &amp; Anor v Australian Mud Company Pty Ltd &amp; Anor</w:t>
            </w:r>
            <w:r w:rsidRPr="00344F4A">
              <w:t xml:space="preserve"> [2020] </w:t>
            </w:r>
            <w:proofErr w:type="spellStart"/>
            <w:r w:rsidRPr="00344F4A">
              <w:t>HCATrans</w:t>
            </w:r>
            <w:proofErr w:type="spellEnd"/>
            <w:r w:rsidRPr="00344F4A">
              <w:t xml:space="preserve"> 45</w:t>
            </w:r>
          </w:p>
          <w:p w14:paraId="201634BD" w14:textId="77777777" w:rsidR="00344F4A" w:rsidRPr="00344F4A" w:rsidRDefault="00344F4A" w:rsidP="00344F4A">
            <w:pPr>
              <w:pStyle w:val="CasesLegislationAppealFrom"/>
              <w:spacing w:after="60"/>
            </w:pPr>
            <w:proofErr w:type="spellStart"/>
            <w:r w:rsidRPr="00344F4A">
              <w:rPr>
                <w:i/>
              </w:rPr>
              <w:t>Globaltech</w:t>
            </w:r>
            <w:proofErr w:type="spellEnd"/>
            <w:r w:rsidRPr="00344F4A">
              <w:rPr>
                <w:i/>
              </w:rPr>
              <w:t xml:space="preserve"> Corporation Pty Ltd v Australian Mud Company Pty Ltd</w:t>
            </w:r>
            <w:r w:rsidRPr="00344F4A">
              <w:t xml:space="preserve"> [2019] FCAFC 162</w:t>
            </w:r>
          </w:p>
          <w:p w14:paraId="0EF2056A" w14:textId="77777777" w:rsidR="00344F4A" w:rsidRPr="00344F4A" w:rsidRDefault="00344F4A" w:rsidP="00344F4A">
            <w:pPr>
              <w:pStyle w:val="CasesLegislationAppealFrom"/>
              <w:spacing w:after="60"/>
            </w:pPr>
            <w:r w:rsidRPr="00344F4A">
              <w:rPr>
                <w:i/>
              </w:rPr>
              <w:t xml:space="preserve">Hamilton v Meta Platforms, </w:t>
            </w:r>
            <w:proofErr w:type="spellStart"/>
            <w:r w:rsidRPr="00344F4A">
              <w:rPr>
                <w:i/>
              </w:rPr>
              <w:t>Inc</w:t>
            </w:r>
            <w:proofErr w:type="spellEnd"/>
            <w:r w:rsidRPr="00344F4A">
              <w:rPr>
                <w:i/>
              </w:rPr>
              <w:t xml:space="preserve"> (Service out of </w:t>
            </w:r>
            <w:r w:rsidRPr="00344F4A">
              <w:rPr>
                <w:i/>
              </w:rPr>
              <w:lastRenderedPageBreak/>
              <w:t>Jurisdiction)</w:t>
            </w:r>
            <w:r w:rsidRPr="00344F4A">
              <w:t xml:space="preserve"> [2022] FCA 681</w:t>
            </w:r>
          </w:p>
          <w:p w14:paraId="75C671B2" w14:textId="77777777" w:rsidR="00344F4A" w:rsidRPr="00344F4A" w:rsidRDefault="00344F4A" w:rsidP="00344F4A">
            <w:pPr>
              <w:pStyle w:val="CasesLegislationAppealFrom"/>
              <w:spacing w:after="60"/>
            </w:pPr>
            <w:proofErr w:type="spellStart"/>
            <w:r w:rsidRPr="00344F4A">
              <w:rPr>
                <w:i/>
              </w:rPr>
              <w:t>Kabbabe</w:t>
            </w:r>
            <w:proofErr w:type="spellEnd"/>
            <w:r w:rsidRPr="00344F4A">
              <w:rPr>
                <w:i/>
              </w:rPr>
              <w:t xml:space="preserve"> v Google LLC</w:t>
            </w:r>
            <w:r w:rsidRPr="00344F4A">
              <w:t xml:space="preserve"> [2020] FCA 126</w:t>
            </w:r>
          </w:p>
          <w:p w14:paraId="5FC4932C" w14:textId="4E2ACEB1" w:rsidR="00EC7BF2" w:rsidRPr="00344F4A" w:rsidRDefault="00344F4A" w:rsidP="00344F4A">
            <w:pPr>
              <w:pStyle w:val="CasesLegislationAppealFrom"/>
              <w:spacing w:after="60"/>
            </w:pPr>
            <w:r w:rsidRPr="00344F4A">
              <w:rPr>
                <w:i/>
              </w:rPr>
              <w:t>Lynch v Cash Converters Personal Finance Pty Ltd</w:t>
            </w:r>
            <w:r w:rsidRPr="00344F4A">
              <w:t xml:space="preserve"> [2016] FCA 1536</w:t>
            </w:r>
            <w:bookmarkEnd w:id="4"/>
          </w:p>
        </w:tc>
      </w:tr>
      <w:tr w:rsidR="00EC7BF2" w14:paraId="73EA4054" w14:textId="77777777" w:rsidTr="006652C4">
        <w:tc>
          <w:tcPr>
            <w:tcW w:w="3082" w:type="dxa"/>
            <w:shd w:val="clear" w:color="auto" w:fill="auto"/>
          </w:tcPr>
          <w:p w14:paraId="52E987EF" w14:textId="77777777" w:rsidR="00EC7BF2" w:rsidRDefault="00EC7BF2" w:rsidP="00EC7BF2">
            <w:pPr>
              <w:pStyle w:val="Normal1linespace"/>
              <w:widowControl w:val="0"/>
            </w:pPr>
          </w:p>
        </w:tc>
        <w:tc>
          <w:tcPr>
            <w:tcW w:w="5990" w:type="dxa"/>
            <w:shd w:val="clear" w:color="auto" w:fill="auto"/>
          </w:tcPr>
          <w:p w14:paraId="6410CF36" w14:textId="77777777" w:rsidR="00EC7BF2" w:rsidRDefault="00EC7BF2" w:rsidP="00EC7BF2">
            <w:pPr>
              <w:pStyle w:val="Normal1linespace"/>
              <w:widowControl w:val="0"/>
              <w:jc w:val="left"/>
            </w:pPr>
          </w:p>
        </w:tc>
      </w:tr>
      <w:tr w:rsidR="00EC7BF2" w14:paraId="5994A521" w14:textId="77777777" w:rsidTr="006652C4">
        <w:tc>
          <w:tcPr>
            <w:tcW w:w="3082" w:type="dxa"/>
            <w:shd w:val="clear" w:color="auto" w:fill="auto"/>
          </w:tcPr>
          <w:p w14:paraId="7CB2BE10" w14:textId="77777777" w:rsidR="00EC7BF2" w:rsidRDefault="00EC7BF2" w:rsidP="00EC7BF2">
            <w:pPr>
              <w:pStyle w:val="Normal1linespace"/>
              <w:widowControl w:val="0"/>
            </w:pPr>
            <w:r>
              <w:t>Division:</w:t>
            </w:r>
          </w:p>
        </w:tc>
        <w:tc>
          <w:tcPr>
            <w:tcW w:w="5990" w:type="dxa"/>
            <w:shd w:val="clear" w:color="auto" w:fill="auto"/>
          </w:tcPr>
          <w:p w14:paraId="70326D36" w14:textId="77777777" w:rsidR="00EC7BF2" w:rsidRPr="00F17599" w:rsidRDefault="00715116" w:rsidP="00EC7BF2">
            <w:pPr>
              <w:pStyle w:val="Normal1linespace"/>
              <w:widowControl w:val="0"/>
              <w:jc w:val="left"/>
            </w:pPr>
            <w:fldSimple w:instr=" DOCPROPERTY  Division ">
              <w:r w:rsidR="00EC7BF2">
                <w:t>General Division</w:t>
              </w:r>
            </w:fldSimple>
          </w:p>
        </w:tc>
      </w:tr>
      <w:tr w:rsidR="00EC7BF2" w14:paraId="411449F6" w14:textId="77777777" w:rsidTr="006652C4">
        <w:tc>
          <w:tcPr>
            <w:tcW w:w="3082" w:type="dxa"/>
            <w:shd w:val="clear" w:color="auto" w:fill="auto"/>
          </w:tcPr>
          <w:p w14:paraId="368FCE36" w14:textId="77777777" w:rsidR="00EC7BF2" w:rsidRDefault="00EC7BF2" w:rsidP="00EC7BF2">
            <w:pPr>
              <w:pStyle w:val="Normal1linespace"/>
              <w:widowControl w:val="0"/>
            </w:pPr>
            <w:bookmarkStart w:id="5" w:name="Registry_rows" w:colFirst="0" w:colLast="1"/>
          </w:p>
        </w:tc>
        <w:tc>
          <w:tcPr>
            <w:tcW w:w="5990" w:type="dxa"/>
            <w:shd w:val="clear" w:color="auto" w:fill="auto"/>
          </w:tcPr>
          <w:p w14:paraId="45E6C4AF" w14:textId="77777777" w:rsidR="00EC7BF2" w:rsidRDefault="00EC7BF2" w:rsidP="00EC7BF2">
            <w:pPr>
              <w:pStyle w:val="Normal1linespace"/>
              <w:widowControl w:val="0"/>
              <w:jc w:val="left"/>
            </w:pPr>
          </w:p>
        </w:tc>
      </w:tr>
      <w:tr w:rsidR="00EC7BF2" w14:paraId="37DE1791" w14:textId="77777777" w:rsidTr="006652C4">
        <w:tc>
          <w:tcPr>
            <w:tcW w:w="3082" w:type="dxa"/>
            <w:shd w:val="clear" w:color="auto" w:fill="auto"/>
          </w:tcPr>
          <w:p w14:paraId="42663AC8" w14:textId="77777777" w:rsidR="00EC7BF2" w:rsidRDefault="00EC7BF2" w:rsidP="00EC7BF2">
            <w:pPr>
              <w:pStyle w:val="Normal1linespace"/>
              <w:widowControl w:val="0"/>
            </w:pPr>
            <w:r>
              <w:t>Registry:</w:t>
            </w:r>
          </w:p>
        </w:tc>
        <w:tc>
          <w:tcPr>
            <w:tcW w:w="5990" w:type="dxa"/>
            <w:shd w:val="clear" w:color="auto" w:fill="auto"/>
          </w:tcPr>
          <w:p w14:paraId="66E9F162" w14:textId="77777777" w:rsidR="00EC7BF2" w:rsidRPr="00F17599" w:rsidRDefault="00EC7BF2" w:rsidP="00EC7BF2">
            <w:pPr>
              <w:pStyle w:val="Normal1linespace"/>
              <w:widowControl w:val="0"/>
              <w:jc w:val="left"/>
            </w:pPr>
            <w:r>
              <w:t>New South Wales</w:t>
            </w:r>
          </w:p>
        </w:tc>
      </w:tr>
      <w:tr w:rsidR="00EC7BF2" w14:paraId="6BA7A6D9" w14:textId="77777777" w:rsidTr="006652C4">
        <w:tc>
          <w:tcPr>
            <w:tcW w:w="3082" w:type="dxa"/>
            <w:shd w:val="clear" w:color="auto" w:fill="auto"/>
          </w:tcPr>
          <w:p w14:paraId="5E3ADCC8" w14:textId="77777777" w:rsidR="00EC7BF2" w:rsidRDefault="00EC7BF2" w:rsidP="00EC7BF2">
            <w:pPr>
              <w:pStyle w:val="Normal1linespace"/>
              <w:widowControl w:val="0"/>
            </w:pPr>
            <w:bookmarkStart w:id="6" w:name="NPARow" w:colFirst="0" w:colLast="1"/>
            <w:bookmarkEnd w:id="5"/>
          </w:p>
        </w:tc>
        <w:tc>
          <w:tcPr>
            <w:tcW w:w="5990" w:type="dxa"/>
            <w:shd w:val="clear" w:color="auto" w:fill="auto"/>
          </w:tcPr>
          <w:p w14:paraId="1334CCF6" w14:textId="77777777" w:rsidR="00EC7BF2" w:rsidRPr="00F17599" w:rsidRDefault="00EC7BF2" w:rsidP="00EC7BF2">
            <w:pPr>
              <w:pStyle w:val="Normal1linespace"/>
              <w:widowControl w:val="0"/>
              <w:jc w:val="left"/>
              <w:rPr>
                <w:b/>
              </w:rPr>
            </w:pPr>
          </w:p>
        </w:tc>
      </w:tr>
      <w:tr w:rsidR="00EC7BF2" w14:paraId="7DB10B56" w14:textId="77777777" w:rsidTr="006652C4">
        <w:tc>
          <w:tcPr>
            <w:tcW w:w="3082" w:type="dxa"/>
            <w:shd w:val="clear" w:color="auto" w:fill="auto"/>
          </w:tcPr>
          <w:p w14:paraId="19B8B67D" w14:textId="77777777" w:rsidR="00EC7BF2" w:rsidRDefault="00EC7BF2" w:rsidP="00EC7BF2">
            <w:pPr>
              <w:pStyle w:val="Normal1linespace"/>
              <w:widowControl w:val="0"/>
            </w:pPr>
            <w:r>
              <w:t>National Practice Area:</w:t>
            </w:r>
          </w:p>
        </w:tc>
        <w:tc>
          <w:tcPr>
            <w:tcW w:w="5990" w:type="dxa"/>
            <w:shd w:val="clear" w:color="auto" w:fill="auto"/>
          </w:tcPr>
          <w:p w14:paraId="5E3DA35D" w14:textId="77777777" w:rsidR="00EC7BF2" w:rsidRPr="00F17599" w:rsidRDefault="00EC7BF2" w:rsidP="00EC7BF2">
            <w:pPr>
              <w:pStyle w:val="Normal1linespace"/>
              <w:widowControl w:val="0"/>
              <w:jc w:val="left"/>
              <w:rPr>
                <w:b/>
              </w:rPr>
            </w:pPr>
            <w:r>
              <w:t>Intellectual Property</w:t>
            </w:r>
          </w:p>
        </w:tc>
      </w:tr>
      <w:tr w:rsidR="00EC7BF2" w14:paraId="6EA2EB97" w14:textId="77777777" w:rsidTr="006652C4">
        <w:tc>
          <w:tcPr>
            <w:tcW w:w="3082" w:type="dxa"/>
            <w:shd w:val="clear" w:color="auto" w:fill="auto"/>
          </w:tcPr>
          <w:p w14:paraId="0C0CD94F" w14:textId="77777777" w:rsidR="00EC7BF2" w:rsidRDefault="00EC7BF2" w:rsidP="00EC7BF2">
            <w:pPr>
              <w:pStyle w:val="Normal1linespace"/>
              <w:widowControl w:val="0"/>
            </w:pPr>
            <w:bookmarkStart w:id="7" w:name="SubAreaRow" w:colFirst="0" w:colLast="1"/>
            <w:bookmarkEnd w:id="6"/>
          </w:p>
        </w:tc>
        <w:tc>
          <w:tcPr>
            <w:tcW w:w="5990" w:type="dxa"/>
            <w:shd w:val="clear" w:color="auto" w:fill="auto"/>
          </w:tcPr>
          <w:p w14:paraId="63F950F0" w14:textId="77777777" w:rsidR="00EC7BF2" w:rsidRDefault="00EC7BF2" w:rsidP="00EC7BF2">
            <w:pPr>
              <w:pStyle w:val="Normal1linespace"/>
              <w:widowControl w:val="0"/>
              <w:jc w:val="left"/>
            </w:pPr>
          </w:p>
        </w:tc>
      </w:tr>
      <w:tr w:rsidR="00EC7BF2" w14:paraId="5CF92545" w14:textId="77777777" w:rsidTr="006652C4">
        <w:tc>
          <w:tcPr>
            <w:tcW w:w="3082" w:type="dxa"/>
            <w:shd w:val="clear" w:color="auto" w:fill="auto"/>
          </w:tcPr>
          <w:p w14:paraId="7B34E8FA" w14:textId="77777777" w:rsidR="00EC7BF2" w:rsidRDefault="00EC7BF2" w:rsidP="00EC7BF2">
            <w:pPr>
              <w:pStyle w:val="Normal1linespace"/>
              <w:widowControl w:val="0"/>
            </w:pPr>
            <w:r>
              <w:t>Sub-area:</w:t>
            </w:r>
          </w:p>
        </w:tc>
        <w:tc>
          <w:tcPr>
            <w:tcW w:w="5990" w:type="dxa"/>
            <w:shd w:val="clear" w:color="auto" w:fill="auto"/>
          </w:tcPr>
          <w:p w14:paraId="37DAB907" w14:textId="351C57AE" w:rsidR="00EC7BF2" w:rsidRPr="00837288" w:rsidRDefault="00EC7BF2" w:rsidP="00EC7BF2">
            <w:pPr>
              <w:pStyle w:val="Normal1linespace"/>
              <w:widowControl w:val="0"/>
              <w:jc w:val="left"/>
            </w:pPr>
            <w:r>
              <w:rPr>
                <w:color w:val="000000"/>
                <w:shd w:val="clear" w:color="auto" w:fill="FFFFFF"/>
              </w:rPr>
              <w:t>Patents and associated Statutes</w:t>
            </w:r>
          </w:p>
        </w:tc>
      </w:tr>
      <w:bookmarkEnd w:id="7"/>
      <w:tr w:rsidR="00EC7BF2" w14:paraId="218EAF48" w14:textId="77777777" w:rsidTr="006652C4">
        <w:tc>
          <w:tcPr>
            <w:tcW w:w="3082" w:type="dxa"/>
            <w:shd w:val="clear" w:color="auto" w:fill="auto"/>
          </w:tcPr>
          <w:p w14:paraId="5D17BF33" w14:textId="77777777" w:rsidR="00EC7BF2" w:rsidRDefault="00EC7BF2" w:rsidP="00EC7BF2">
            <w:pPr>
              <w:pStyle w:val="Normal1linespace"/>
              <w:widowControl w:val="0"/>
            </w:pPr>
          </w:p>
        </w:tc>
        <w:tc>
          <w:tcPr>
            <w:tcW w:w="5990" w:type="dxa"/>
            <w:shd w:val="clear" w:color="auto" w:fill="auto"/>
          </w:tcPr>
          <w:p w14:paraId="730F0062" w14:textId="77777777" w:rsidR="00EC7BF2" w:rsidRDefault="00EC7BF2" w:rsidP="00EC7BF2">
            <w:pPr>
              <w:pStyle w:val="Normal1linespace"/>
              <w:widowControl w:val="0"/>
              <w:jc w:val="left"/>
            </w:pPr>
          </w:p>
        </w:tc>
      </w:tr>
      <w:tr w:rsidR="00EC7BF2" w14:paraId="6F03695A" w14:textId="77777777" w:rsidTr="006652C4">
        <w:trPr>
          <w:trHeight w:val="83"/>
        </w:trPr>
        <w:tc>
          <w:tcPr>
            <w:tcW w:w="3082" w:type="dxa"/>
            <w:shd w:val="clear" w:color="auto" w:fill="auto"/>
          </w:tcPr>
          <w:p w14:paraId="79E72469" w14:textId="77777777" w:rsidR="00EC7BF2" w:rsidRDefault="00EC7BF2" w:rsidP="00EC7BF2">
            <w:pPr>
              <w:pStyle w:val="Normal1linespace"/>
              <w:widowControl w:val="0"/>
            </w:pPr>
            <w:r>
              <w:t>Number of paragraphs:</w:t>
            </w:r>
          </w:p>
        </w:tc>
        <w:tc>
          <w:tcPr>
            <w:tcW w:w="5990" w:type="dxa"/>
            <w:shd w:val="clear" w:color="auto" w:fill="auto"/>
          </w:tcPr>
          <w:p w14:paraId="336CC662" w14:textId="0D1F7F6C" w:rsidR="00EC7BF2" w:rsidRDefault="00A67D72" w:rsidP="00EC7BF2">
            <w:pPr>
              <w:pStyle w:val="Normal1linespace"/>
              <w:widowControl w:val="0"/>
              <w:jc w:val="left"/>
            </w:pPr>
            <w:bookmarkStart w:id="8" w:name="PlaceCategoryParagraphs"/>
            <w:r>
              <w:t>73</w:t>
            </w:r>
            <w:bookmarkEnd w:id="8"/>
          </w:p>
        </w:tc>
      </w:tr>
      <w:tr w:rsidR="00EC7BF2" w14:paraId="08ACB282" w14:textId="77777777" w:rsidTr="006652C4">
        <w:tc>
          <w:tcPr>
            <w:tcW w:w="3082" w:type="dxa"/>
            <w:shd w:val="clear" w:color="auto" w:fill="auto"/>
          </w:tcPr>
          <w:p w14:paraId="70ED9409" w14:textId="77777777" w:rsidR="00EC7BF2" w:rsidRDefault="00EC7BF2" w:rsidP="00EC7BF2">
            <w:pPr>
              <w:pStyle w:val="Normal1linespace"/>
              <w:widowControl w:val="0"/>
              <w:jc w:val="left"/>
            </w:pPr>
          </w:p>
        </w:tc>
        <w:tc>
          <w:tcPr>
            <w:tcW w:w="5990" w:type="dxa"/>
            <w:shd w:val="clear" w:color="auto" w:fill="auto"/>
          </w:tcPr>
          <w:p w14:paraId="6554FE4D" w14:textId="77777777" w:rsidR="00EC7BF2" w:rsidRDefault="00EC7BF2" w:rsidP="00EC7BF2">
            <w:pPr>
              <w:pStyle w:val="Normal1linespace"/>
              <w:widowControl w:val="0"/>
              <w:jc w:val="left"/>
            </w:pPr>
          </w:p>
        </w:tc>
      </w:tr>
      <w:tr w:rsidR="00EC7BF2" w14:paraId="0D1FAF7B" w14:textId="77777777" w:rsidTr="006652C4">
        <w:tc>
          <w:tcPr>
            <w:tcW w:w="3082" w:type="dxa"/>
            <w:shd w:val="clear" w:color="auto" w:fill="auto"/>
          </w:tcPr>
          <w:p w14:paraId="507F3850" w14:textId="77777777" w:rsidR="00EC7BF2" w:rsidRDefault="00EC7BF2" w:rsidP="00EC7BF2">
            <w:pPr>
              <w:pStyle w:val="Normal1linespace"/>
              <w:widowControl w:val="0"/>
              <w:jc w:val="left"/>
            </w:pPr>
            <w:bookmarkStart w:id="9" w:name="CounselDate" w:colFirst="0" w:colLast="2"/>
            <w:r w:rsidRPr="006A24E3">
              <w:t>Date of hearing:</w:t>
            </w:r>
          </w:p>
        </w:tc>
        <w:tc>
          <w:tcPr>
            <w:tcW w:w="5990" w:type="dxa"/>
            <w:shd w:val="clear" w:color="auto" w:fill="auto"/>
          </w:tcPr>
          <w:p w14:paraId="3BA03BB7" w14:textId="77777777" w:rsidR="00EC7BF2" w:rsidRDefault="00EC7BF2" w:rsidP="00EC7BF2">
            <w:pPr>
              <w:pStyle w:val="Normal1linespace"/>
              <w:widowControl w:val="0"/>
              <w:jc w:val="left"/>
            </w:pPr>
            <w:bookmarkStart w:id="10" w:name="HearingDate"/>
            <w:r>
              <w:t xml:space="preserve">13 September 2022 </w:t>
            </w:r>
            <w:bookmarkEnd w:id="10"/>
          </w:p>
        </w:tc>
      </w:tr>
      <w:tr w:rsidR="00EC7BF2" w14:paraId="26C96663" w14:textId="77777777" w:rsidTr="006652C4">
        <w:tc>
          <w:tcPr>
            <w:tcW w:w="3082" w:type="dxa"/>
            <w:shd w:val="clear" w:color="auto" w:fill="auto"/>
          </w:tcPr>
          <w:p w14:paraId="139BA68D" w14:textId="77777777" w:rsidR="00EC7BF2" w:rsidRDefault="00EC7BF2" w:rsidP="00EC7BF2">
            <w:pPr>
              <w:pStyle w:val="Normal1linespace"/>
              <w:widowControl w:val="0"/>
              <w:jc w:val="left"/>
            </w:pPr>
          </w:p>
        </w:tc>
        <w:tc>
          <w:tcPr>
            <w:tcW w:w="5990" w:type="dxa"/>
            <w:shd w:val="clear" w:color="auto" w:fill="auto"/>
          </w:tcPr>
          <w:p w14:paraId="555130C9" w14:textId="77777777" w:rsidR="00EC7BF2" w:rsidRDefault="00EC7BF2" w:rsidP="00EC7BF2">
            <w:pPr>
              <w:pStyle w:val="Normal1linespace"/>
              <w:widowControl w:val="0"/>
              <w:jc w:val="left"/>
            </w:pPr>
          </w:p>
        </w:tc>
      </w:tr>
      <w:tr w:rsidR="00A67D72" w14:paraId="59054492" w14:textId="77777777" w:rsidTr="006652C4">
        <w:tc>
          <w:tcPr>
            <w:tcW w:w="3082" w:type="dxa"/>
            <w:shd w:val="clear" w:color="auto" w:fill="auto"/>
          </w:tcPr>
          <w:p w14:paraId="5B3938C2" w14:textId="61E405D7" w:rsidR="00A67D72" w:rsidRDefault="00A67D72" w:rsidP="006652C4">
            <w:pPr>
              <w:pStyle w:val="Normal1linespace"/>
              <w:widowControl w:val="0"/>
              <w:jc w:val="left"/>
            </w:pPr>
            <w:bookmarkStart w:id="11" w:name="Counsel" w:colFirst="0" w:colLast="2"/>
            <w:bookmarkStart w:id="12" w:name="CompletionTable"/>
            <w:bookmarkEnd w:id="9"/>
            <w:r>
              <w:t>Counsel for the Applicants:</w:t>
            </w:r>
          </w:p>
        </w:tc>
        <w:tc>
          <w:tcPr>
            <w:tcW w:w="5990" w:type="dxa"/>
            <w:shd w:val="clear" w:color="auto" w:fill="auto"/>
          </w:tcPr>
          <w:p w14:paraId="3D4346F0" w14:textId="03C0E6FF" w:rsidR="00A67D72" w:rsidRDefault="00A67D72" w:rsidP="00A67D72">
            <w:pPr>
              <w:pStyle w:val="Normal1linespace"/>
              <w:widowControl w:val="0"/>
              <w:jc w:val="left"/>
            </w:pPr>
            <w:bookmarkStart w:id="13" w:name="AppCounsel"/>
            <w:bookmarkEnd w:id="13"/>
            <w:r>
              <w:t>Phoebe Arcus</w:t>
            </w:r>
          </w:p>
        </w:tc>
      </w:tr>
      <w:tr w:rsidR="00A67D72" w14:paraId="45B29396" w14:textId="77777777" w:rsidTr="00D765CE">
        <w:tc>
          <w:tcPr>
            <w:tcW w:w="3082" w:type="dxa"/>
            <w:shd w:val="clear" w:color="auto" w:fill="auto"/>
          </w:tcPr>
          <w:p w14:paraId="75ABA3BB" w14:textId="77777777" w:rsidR="00A67D72" w:rsidRDefault="00A67D72" w:rsidP="00A67D72">
            <w:pPr>
              <w:pStyle w:val="Normal1linespace"/>
              <w:widowControl w:val="0"/>
              <w:jc w:val="left"/>
            </w:pPr>
          </w:p>
        </w:tc>
        <w:tc>
          <w:tcPr>
            <w:tcW w:w="5990" w:type="dxa"/>
            <w:shd w:val="clear" w:color="auto" w:fill="auto"/>
          </w:tcPr>
          <w:p w14:paraId="54B52E00" w14:textId="77777777" w:rsidR="00A67D72" w:rsidRDefault="00A67D72" w:rsidP="00A67D72">
            <w:pPr>
              <w:pStyle w:val="Normal1linespace"/>
              <w:widowControl w:val="0"/>
              <w:jc w:val="left"/>
            </w:pPr>
          </w:p>
        </w:tc>
      </w:tr>
      <w:tr w:rsidR="00A67D72" w14:paraId="51C9D6A3" w14:textId="77777777" w:rsidTr="00D765CE">
        <w:tc>
          <w:tcPr>
            <w:tcW w:w="3082" w:type="dxa"/>
            <w:shd w:val="clear" w:color="auto" w:fill="auto"/>
          </w:tcPr>
          <w:p w14:paraId="27BCAAD0" w14:textId="6B9DC263" w:rsidR="00A67D72" w:rsidRDefault="00A67D72" w:rsidP="00A67D72">
            <w:pPr>
              <w:pStyle w:val="Normal1linespace"/>
              <w:widowControl w:val="0"/>
              <w:jc w:val="left"/>
            </w:pPr>
            <w:r>
              <w:t>Solicitor for the Applicants:</w:t>
            </w:r>
          </w:p>
        </w:tc>
        <w:tc>
          <w:tcPr>
            <w:tcW w:w="5990" w:type="dxa"/>
            <w:shd w:val="clear" w:color="auto" w:fill="auto"/>
          </w:tcPr>
          <w:p w14:paraId="0BF1AEC1" w14:textId="1E373725" w:rsidR="00A67D72" w:rsidRDefault="00A67D72" w:rsidP="00A67D72">
            <w:pPr>
              <w:pStyle w:val="Normal1linespace"/>
              <w:widowControl w:val="0"/>
              <w:jc w:val="left"/>
            </w:pPr>
            <w:r>
              <w:t>Gilbert + Tobin</w:t>
            </w:r>
          </w:p>
        </w:tc>
      </w:tr>
      <w:tr w:rsidR="00A67D72" w14:paraId="3B6B20D5" w14:textId="77777777" w:rsidTr="00D765CE">
        <w:tc>
          <w:tcPr>
            <w:tcW w:w="3082" w:type="dxa"/>
            <w:shd w:val="clear" w:color="auto" w:fill="auto"/>
          </w:tcPr>
          <w:p w14:paraId="6B5829C5" w14:textId="77777777" w:rsidR="00A67D72" w:rsidRDefault="00A67D72" w:rsidP="00A67D72">
            <w:pPr>
              <w:pStyle w:val="Normal1linespace"/>
              <w:widowControl w:val="0"/>
              <w:jc w:val="left"/>
            </w:pPr>
          </w:p>
        </w:tc>
        <w:tc>
          <w:tcPr>
            <w:tcW w:w="5990" w:type="dxa"/>
            <w:shd w:val="clear" w:color="auto" w:fill="auto"/>
          </w:tcPr>
          <w:p w14:paraId="304753EB" w14:textId="77777777" w:rsidR="00A67D72" w:rsidRDefault="00A67D72" w:rsidP="00A67D72">
            <w:pPr>
              <w:pStyle w:val="Normal1linespace"/>
              <w:widowControl w:val="0"/>
              <w:jc w:val="left"/>
            </w:pPr>
          </w:p>
        </w:tc>
      </w:tr>
      <w:tr w:rsidR="00A67D72" w14:paraId="37430F3B" w14:textId="77777777" w:rsidTr="00D765CE">
        <w:tc>
          <w:tcPr>
            <w:tcW w:w="3082" w:type="dxa"/>
            <w:shd w:val="clear" w:color="auto" w:fill="auto"/>
          </w:tcPr>
          <w:p w14:paraId="43257A2B" w14:textId="2FD651CD" w:rsidR="00A67D72" w:rsidRDefault="00A67D72" w:rsidP="00A67D72">
            <w:pPr>
              <w:pStyle w:val="Normal1linespace"/>
              <w:widowControl w:val="0"/>
              <w:jc w:val="left"/>
            </w:pPr>
            <w:r>
              <w:t>Counsel for the Respondents:</w:t>
            </w:r>
          </w:p>
        </w:tc>
        <w:tc>
          <w:tcPr>
            <w:tcW w:w="5990" w:type="dxa"/>
            <w:shd w:val="clear" w:color="auto" w:fill="auto"/>
          </w:tcPr>
          <w:p w14:paraId="0FCC9A2B" w14:textId="4C0CE35D" w:rsidR="00A67D72" w:rsidRDefault="00A67D72" w:rsidP="00A67D72">
            <w:pPr>
              <w:pStyle w:val="Normal1linespace"/>
              <w:widowControl w:val="0"/>
              <w:jc w:val="left"/>
            </w:pPr>
            <w:r>
              <w:t>Andrew Fox SC</w:t>
            </w:r>
          </w:p>
        </w:tc>
      </w:tr>
      <w:tr w:rsidR="00A67D72" w14:paraId="66B4FB89" w14:textId="77777777" w:rsidTr="00D765CE">
        <w:tc>
          <w:tcPr>
            <w:tcW w:w="3082" w:type="dxa"/>
            <w:shd w:val="clear" w:color="auto" w:fill="auto"/>
          </w:tcPr>
          <w:p w14:paraId="3B24EE93" w14:textId="77777777" w:rsidR="00A67D72" w:rsidRDefault="00A67D72" w:rsidP="00A67D72">
            <w:pPr>
              <w:pStyle w:val="Normal1linespace"/>
              <w:widowControl w:val="0"/>
              <w:jc w:val="left"/>
            </w:pPr>
          </w:p>
        </w:tc>
        <w:tc>
          <w:tcPr>
            <w:tcW w:w="5990" w:type="dxa"/>
            <w:shd w:val="clear" w:color="auto" w:fill="auto"/>
          </w:tcPr>
          <w:p w14:paraId="12E14231" w14:textId="77777777" w:rsidR="00A67D72" w:rsidRDefault="00A67D72" w:rsidP="00A67D72">
            <w:pPr>
              <w:pStyle w:val="Normal1linespace"/>
              <w:widowControl w:val="0"/>
              <w:jc w:val="left"/>
            </w:pPr>
          </w:p>
        </w:tc>
      </w:tr>
      <w:tr w:rsidR="00A67D72" w14:paraId="528CF2B3" w14:textId="77777777" w:rsidTr="00D765CE">
        <w:tc>
          <w:tcPr>
            <w:tcW w:w="3082" w:type="dxa"/>
            <w:shd w:val="clear" w:color="auto" w:fill="auto"/>
          </w:tcPr>
          <w:p w14:paraId="60C995B2" w14:textId="09BA63B2" w:rsidR="00A67D72" w:rsidRDefault="00A67D72" w:rsidP="00A67D72">
            <w:pPr>
              <w:pStyle w:val="Normal1linespace"/>
              <w:widowControl w:val="0"/>
              <w:jc w:val="left"/>
            </w:pPr>
            <w:r>
              <w:t>Solicitor for the Respondents:</w:t>
            </w:r>
          </w:p>
        </w:tc>
        <w:tc>
          <w:tcPr>
            <w:tcW w:w="5990" w:type="dxa"/>
            <w:shd w:val="clear" w:color="auto" w:fill="auto"/>
          </w:tcPr>
          <w:p w14:paraId="3080A6D4" w14:textId="4E8F6946" w:rsidR="00A67D72" w:rsidRDefault="00A67D72" w:rsidP="00A67D72">
            <w:pPr>
              <w:pStyle w:val="Normal1linespace"/>
              <w:widowControl w:val="0"/>
              <w:jc w:val="left"/>
            </w:pPr>
            <w:r>
              <w:t>Bird &amp; Bird</w:t>
            </w:r>
          </w:p>
        </w:tc>
      </w:tr>
      <w:bookmarkEnd w:id="11"/>
      <w:bookmarkEnd w:id="12"/>
    </w:tbl>
    <w:p w14:paraId="4D72A737" w14:textId="77777777" w:rsidR="007470BD" w:rsidRDefault="007470BD">
      <w:pPr>
        <w:pStyle w:val="Normal1linespace"/>
      </w:pPr>
    </w:p>
    <w:p w14:paraId="4285D135" w14:textId="77777777" w:rsidR="00E94CBF" w:rsidRDefault="00E94CBF">
      <w:pPr>
        <w:pStyle w:val="Normal1linespace"/>
      </w:pPr>
    </w:p>
    <w:p w14:paraId="22B7AB22"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7B2CF8C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7B1B775" w14:textId="77777777" w:rsidTr="00E81DA6">
        <w:tc>
          <w:tcPr>
            <w:tcW w:w="6912" w:type="dxa"/>
            <w:gridSpan w:val="2"/>
          </w:tcPr>
          <w:p w14:paraId="075040A3" w14:textId="77777777" w:rsidR="00A46CCC" w:rsidRPr="001765E0" w:rsidRDefault="00A46CCC" w:rsidP="00525A49">
            <w:pPr>
              <w:pStyle w:val="NormalHeadings"/>
            </w:pPr>
          </w:p>
        </w:tc>
        <w:tc>
          <w:tcPr>
            <w:tcW w:w="2330" w:type="dxa"/>
          </w:tcPr>
          <w:p w14:paraId="2CCC60FE" w14:textId="45C76233" w:rsidR="00A46CCC" w:rsidRDefault="004C0DEE" w:rsidP="00F92355">
            <w:pPr>
              <w:pStyle w:val="NormalHeadings"/>
              <w:jc w:val="right"/>
            </w:pPr>
            <w:bookmarkStart w:id="14" w:name="FileNo"/>
            <w:r>
              <w:t>NSD</w:t>
            </w:r>
            <w:r w:rsidR="008E0D14">
              <w:t xml:space="preserve"> </w:t>
            </w:r>
            <w:r>
              <w:t>1266 of 2021</w:t>
            </w:r>
            <w:bookmarkEnd w:id="14"/>
          </w:p>
        </w:tc>
      </w:tr>
      <w:tr w:rsidR="00A76C13" w14:paraId="6CC9A7DE" w14:textId="77777777" w:rsidTr="00182ECE">
        <w:tc>
          <w:tcPr>
            <w:tcW w:w="9242" w:type="dxa"/>
            <w:gridSpan w:val="3"/>
          </w:tcPr>
          <w:p w14:paraId="37D7CC69" w14:textId="77777777" w:rsidR="00A76C13" w:rsidRPr="00A76C13" w:rsidRDefault="004C0DEE" w:rsidP="004C0DEE">
            <w:pPr>
              <w:pStyle w:val="NormalHeadings"/>
              <w:jc w:val="left"/>
            </w:pPr>
            <w:bookmarkStart w:id="15" w:name="InTheMatterOf"/>
            <w:r>
              <w:t xml:space="preserve"> </w:t>
            </w:r>
            <w:bookmarkEnd w:id="15"/>
          </w:p>
        </w:tc>
      </w:tr>
      <w:tr w:rsidR="00A46CCC" w14:paraId="0DC6C53B" w14:textId="77777777" w:rsidTr="00182ECE">
        <w:trPr>
          <w:trHeight w:val="386"/>
        </w:trPr>
        <w:tc>
          <w:tcPr>
            <w:tcW w:w="2376" w:type="dxa"/>
          </w:tcPr>
          <w:p w14:paraId="0F39D3AE" w14:textId="77777777" w:rsidR="00A46CCC" w:rsidRDefault="00A46CCC" w:rsidP="00182ECE">
            <w:pPr>
              <w:pStyle w:val="NormalHeadings"/>
              <w:jc w:val="left"/>
              <w:rPr>
                <w:caps/>
                <w:szCs w:val="24"/>
              </w:rPr>
            </w:pPr>
            <w:bookmarkStart w:id="16" w:name="Parties"/>
            <w:r>
              <w:rPr>
                <w:caps/>
                <w:szCs w:val="24"/>
              </w:rPr>
              <w:t>BETWEEN:</w:t>
            </w:r>
          </w:p>
        </w:tc>
        <w:tc>
          <w:tcPr>
            <w:tcW w:w="6866" w:type="dxa"/>
            <w:gridSpan w:val="2"/>
          </w:tcPr>
          <w:p w14:paraId="387A8092" w14:textId="77777777" w:rsidR="004C0DEE" w:rsidRDefault="004C0DEE" w:rsidP="004C0DEE">
            <w:pPr>
              <w:pStyle w:val="NormalHeadings"/>
              <w:jc w:val="left"/>
            </w:pPr>
            <w:bookmarkStart w:id="17" w:name="Applicant"/>
            <w:r>
              <w:t>AUSTRALIAN MUD COMPANY PTY LTD ACN 009 283 416</w:t>
            </w:r>
          </w:p>
          <w:p w14:paraId="4EA32A05" w14:textId="77777777" w:rsidR="004C0DEE" w:rsidRDefault="004C0DEE" w:rsidP="004C0DEE">
            <w:pPr>
              <w:pStyle w:val="PartyType"/>
            </w:pPr>
            <w:r>
              <w:t>First Applicant</w:t>
            </w:r>
          </w:p>
          <w:p w14:paraId="648FD882" w14:textId="77777777" w:rsidR="004C0DEE" w:rsidRDefault="004C0DEE" w:rsidP="00182ECE">
            <w:pPr>
              <w:pStyle w:val="NormalHeadings"/>
              <w:jc w:val="left"/>
              <w:rPr>
                <w:szCs w:val="24"/>
              </w:rPr>
            </w:pPr>
          </w:p>
          <w:p w14:paraId="7D71D322" w14:textId="77777777" w:rsidR="004C0DEE" w:rsidRDefault="004C0DEE" w:rsidP="004C0DEE">
            <w:pPr>
              <w:pStyle w:val="NormalHeadings"/>
              <w:jc w:val="left"/>
            </w:pPr>
            <w:r>
              <w:t>REFLEX INSTRUMENTS ASIA PACIFIC PTY LTD ACN 124 204 191</w:t>
            </w:r>
          </w:p>
          <w:p w14:paraId="12BDAC60" w14:textId="77777777" w:rsidR="004C0DEE" w:rsidRDefault="004C0DEE" w:rsidP="004C0DEE">
            <w:pPr>
              <w:pStyle w:val="PartyType"/>
            </w:pPr>
            <w:r>
              <w:t>Second Applicant</w:t>
            </w:r>
          </w:p>
          <w:bookmarkEnd w:id="17"/>
          <w:p w14:paraId="118A9D71" w14:textId="77777777" w:rsidR="00A46CCC" w:rsidRPr="006555B4" w:rsidRDefault="00A46CCC" w:rsidP="00182ECE">
            <w:pPr>
              <w:pStyle w:val="NormalHeadings"/>
              <w:jc w:val="left"/>
            </w:pPr>
          </w:p>
        </w:tc>
      </w:tr>
      <w:tr w:rsidR="00A46CCC" w14:paraId="5EB61163" w14:textId="77777777" w:rsidTr="00182ECE">
        <w:trPr>
          <w:trHeight w:val="386"/>
        </w:trPr>
        <w:tc>
          <w:tcPr>
            <w:tcW w:w="2376" w:type="dxa"/>
          </w:tcPr>
          <w:p w14:paraId="1D891F5C" w14:textId="77777777" w:rsidR="00A46CCC" w:rsidRDefault="00A46CCC" w:rsidP="00182ECE">
            <w:pPr>
              <w:pStyle w:val="NormalHeadings"/>
              <w:jc w:val="left"/>
              <w:rPr>
                <w:caps/>
                <w:szCs w:val="24"/>
              </w:rPr>
            </w:pPr>
            <w:r>
              <w:rPr>
                <w:caps/>
                <w:szCs w:val="24"/>
              </w:rPr>
              <w:t>AND:</w:t>
            </w:r>
          </w:p>
        </w:tc>
        <w:tc>
          <w:tcPr>
            <w:tcW w:w="6866" w:type="dxa"/>
            <w:gridSpan w:val="2"/>
          </w:tcPr>
          <w:p w14:paraId="3084C55E" w14:textId="77777777" w:rsidR="004C0DEE" w:rsidRDefault="004C0DEE" w:rsidP="004C0DEE">
            <w:pPr>
              <w:pStyle w:val="NormalHeadings"/>
              <w:jc w:val="left"/>
            </w:pPr>
            <w:bookmarkStart w:id="18" w:name="Respondent"/>
            <w:r>
              <w:t>BOART LONGYEAR AUSTRALIA PTY LTD ACN 000 401 025</w:t>
            </w:r>
          </w:p>
          <w:p w14:paraId="709482C8" w14:textId="77777777" w:rsidR="004C0DEE" w:rsidRDefault="004C0DEE" w:rsidP="004C0DEE">
            <w:pPr>
              <w:pStyle w:val="PartyType"/>
            </w:pPr>
            <w:r>
              <w:t>First Respondent</w:t>
            </w:r>
          </w:p>
          <w:p w14:paraId="0C6A387B" w14:textId="77777777" w:rsidR="004C0DEE" w:rsidRDefault="004C0DEE" w:rsidP="00182ECE">
            <w:pPr>
              <w:pStyle w:val="NormalHeadings"/>
              <w:jc w:val="left"/>
              <w:rPr>
                <w:szCs w:val="24"/>
              </w:rPr>
            </w:pPr>
          </w:p>
          <w:p w14:paraId="62058A0B" w14:textId="77777777" w:rsidR="004C0DEE" w:rsidRDefault="004C0DEE" w:rsidP="004C0DEE">
            <w:pPr>
              <w:pStyle w:val="NormalHeadings"/>
              <w:jc w:val="left"/>
            </w:pPr>
            <w:r>
              <w:t>BOART LONGYEAR LIMITED ACN 123 052 728</w:t>
            </w:r>
          </w:p>
          <w:p w14:paraId="098DAD27" w14:textId="77777777" w:rsidR="004C0DEE" w:rsidRDefault="004C0DEE" w:rsidP="004C0DEE">
            <w:pPr>
              <w:pStyle w:val="PartyType"/>
            </w:pPr>
            <w:r>
              <w:t>Second Respondent</w:t>
            </w:r>
          </w:p>
          <w:bookmarkEnd w:id="18"/>
          <w:p w14:paraId="1B386CE3" w14:textId="77777777" w:rsidR="00A46CCC" w:rsidRPr="006555B4" w:rsidRDefault="00A46CCC" w:rsidP="00182ECE">
            <w:pPr>
              <w:pStyle w:val="NormalHeadings"/>
              <w:jc w:val="left"/>
            </w:pPr>
          </w:p>
        </w:tc>
      </w:tr>
    </w:tbl>
    <w:p w14:paraId="09C5E367"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63910D77" w14:textId="77777777">
        <w:tc>
          <w:tcPr>
            <w:tcW w:w="2376" w:type="dxa"/>
          </w:tcPr>
          <w:p w14:paraId="07B19122"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421966FF" w14:textId="77777777" w:rsidR="00395B24" w:rsidRDefault="004C0DEE">
            <w:pPr>
              <w:pStyle w:val="NormalHeadings"/>
              <w:jc w:val="left"/>
              <w:rPr>
                <w:caps/>
                <w:szCs w:val="24"/>
              </w:rPr>
            </w:pPr>
            <w:bookmarkStart w:id="21" w:name="Judge"/>
            <w:r>
              <w:rPr>
                <w:caps/>
                <w:szCs w:val="24"/>
              </w:rPr>
              <w:t>ROFE J</w:t>
            </w:r>
            <w:bookmarkEnd w:id="21"/>
          </w:p>
        </w:tc>
      </w:tr>
      <w:tr w:rsidR="00395B24" w14:paraId="11B505F5" w14:textId="77777777">
        <w:tc>
          <w:tcPr>
            <w:tcW w:w="2376" w:type="dxa"/>
          </w:tcPr>
          <w:p w14:paraId="4EBE7D59" w14:textId="77777777" w:rsidR="00395B24" w:rsidRDefault="002C7385">
            <w:pPr>
              <w:pStyle w:val="NormalHeadings"/>
              <w:spacing w:after="120"/>
              <w:jc w:val="left"/>
              <w:rPr>
                <w:caps/>
                <w:szCs w:val="24"/>
              </w:rPr>
            </w:pPr>
            <w:r>
              <w:rPr>
                <w:caps/>
                <w:szCs w:val="24"/>
              </w:rPr>
              <w:t>DATE OF ORDER:</w:t>
            </w:r>
          </w:p>
        </w:tc>
        <w:tc>
          <w:tcPr>
            <w:tcW w:w="6866" w:type="dxa"/>
          </w:tcPr>
          <w:p w14:paraId="7CDBA77B" w14:textId="5213EBD5" w:rsidR="00395B24" w:rsidRDefault="00CC3326" w:rsidP="00A07313">
            <w:pPr>
              <w:pStyle w:val="NormalHeadings"/>
              <w:jc w:val="left"/>
              <w:rPr>
                <w:caps/>
                <w:szCs w:val="24"/>
              </w:rPr>
            </w:pPr>
            <w:bookmarkStart w:id="22" w:name="Judgment_Dated"/>
            <w:r>
              <w:rPr>
                <w:caps/>
                <w:szCs w:val="24"/>
              </w:rPr>
              <w:t>13 October</w:t>
            </w:r>
            <w:r w:rsidR="004C0DEE">
              <w:rPr>
                <w:caps/>
                <w:szCs w:val="24"/>
              </w:rPr>
              <w:t xml:space="preserve"> 2022</w:t>
            </w:r>
            <w:bookmarkEnd w:id="22"/>
          </w:p>
        </w:tc>
      </w:tr>
    </w:tbl>
    <w:p w14:paraId="68B24D9C" w14:textId="77777777" w:rsidR="00395B24" w:rsidRDefault="00395B24">
      <w:pPr>
        <w:pStyle w:val="NormalHeadings"/>
        <w:rPr>
          <w:b w:val="0"/>
        </w:rPr>
      </w:pPr>
    </w:p>
    <w:p w14:paraId="1B585010" w14:textId="77777777" w:rsidR="008D1617" w:rsidRDefault="008D1617">
      <w:pPr>
        <w:pStyle w:val="NormalHeadings"/>
        <w:rPr>
          <w:b w:val="0"/>
        </w:rPr>
      </w:pPr>
    </w:p>
    <w:p w14:paraId="08A54E13" w14:textId="1E887207" w:rsidR="007F60DF" w:rsidRDefault="002C7385" w:rsidP="00CC3326">
      <w:pPr>
        <w:pStyle w:val="NormalHeadings"/>
        <w:spacing w:before="120" w:after="120" w:line="360" w:lineRule="auto"/>
      </w:pPr>
      <w:r>
        <w:t>THE COURT ORDERS THAT:</w:t>
      </w:r>
    </w:p>
    <w:p w14:paraId="4750993C" w14:textId="2324A59E" w:rsidR="001A6C52" w:rsidRDefault="00F62FD9" w:rsidP="00CC3326">
      <w:pPr>
        <w:pStyle w:val="Order1"/>
        <w:spacing w:before="120" w:after="120"/>
      </w:pPr>
      <w:r>
        <w:t xml:space="preserve">Pursuant to r 1.32 of the </w:t>
      </w:r>
      <w:r w:rsidRPr="00F62FD9">
        <w:rPr>
          <w:i/>
        </w:rPr>
        <w:t xml:space="preserve">Federal Court Rules 2011 </w:t>
      </w:r>
      <w:r>
        <w:t>(</w:t>
      </w:r>
      <w:proofErr w:type="spellStart"/>
      <w:r>
        <w:t>Cth</w:t>
      </w:r>
      <w:proofErr w:type="spellEnd"/>
      <w:r>
        <w:t xml:space="preserve">) the name of the Second Respondent be amended to </w:t>
      </w:r>
      <w:proofErr w:type="spellStart"/>
      <w:r>
        <w:t>Boart</w:t>
      </w:r>
      <w:proofErr w:type="spellEnd"/>
      <w:r>
        <w:t xml:space="preserve"> </w:t>
      </w:r>
      <w:proofErr w:type="spellStart"/>
      <w:r>
        <w:t>Longyear</w:t>
      </w:r>
      <w:proofErr w:type="spellEnd"/>
      <w:r>
        <w:t xml:space="preserve"> Pty Limited (ACN 123 052 728). </w:t>
      </w:r>
    </w:p>
    <w:p w14:paraId="4FF272EB" w14:textId="5EB57CD7" w:rsidR="00F62FD9" w:rsidRDefault="00F62FD9" w:rsidP="00CC3326">
      <w:pPr>
        <w:pStyle w:val="Order1"/>
        <w:spacing w:before="120" w:after="120"/>
      </w:pPr>
      <w:proofErr w:type="spellStart"/>
      <w:r>
        <w:t>Boart</w:t>
      </w:r>
      <w:proofErr w:type="spellEnd"/>
      <w:r>
        <w:t xml:space="preserve"> </w:t>
      </w:r>
      <w:proofErr w:type="spellStart"/>
      <w:r>
        <w:t>Longyear</w:t>
      </w:r>
      <w:proofErr w:type="spellEnd"/>
      <w:r>
        <w:t xml:space="preserve"> Company be joined as Third Respondent to this proceeding. </w:t>
      </w:r>
    </w:p>
    <w:p w14:paraId="73833D1D" w14:textId="3A6394B7" w:rsidR="00F62FD9" w:rsidRDefault="00F62FD9" w:rsidP="00CC3326">
      <w:pPr>
        <w:pStyle w:val="Order1"/>
        <w:spacing w:before="120" w:after="120"/>
      </w:pPr>
      <w:r>
        <w:t xml:space="preserve">Pursuant to r 16.52 of the </w:t>
      </w:r>
      <w:r w:rsidRPr="00F43AF6">
        <w:rPr>
          <w:i/>
        </w:rPr>
        <w:t xml:space="preserve">Federal Court Rules 2011 </w:t>
      </w:r>
      <w:r>
        <w:t>(</w:t>
      </w:r>
      <w:proofErr w:type="spellStart"/>
      <w:r>
        <w:t>Cth</w:t>
      </w:r>
      <w:proofErr w:type="spellEnd"/>
      <w:r>
        <w:t xml:space="preserve">) the Applicants be granted leave to amend the Statement of Claim dated 3 December 2021 in the form of Annexure CEW-10 to the Affidavit of Christopher Edmund Duvall Williams sworn on 7 September 2022 and the Originating Application dated </w:t>
      </w:r>
      <w:r w:rsidR="00771823">
        <w:t>3 December 2021</w:t>
      </w:r>
      <w:r>
        <w:t xml:space="preserve"> in the form of CEW-11 to the Affidavit of Christopher Edmund Duvall Williams sworn on 7 September 2022. </w:t>
      </w:r>
    </w:p>
    <w:p w14:paraId="08048C4D" w14:textId="69147ED4" w:rsidR="00F62FD9" w:rsidRDefault="00F62FD9" w:rsidP="00CC3326">
      <w:pPr>
        <w:pStyle w:val="Order1"/>
        <w:spacing w:before="120" w:after="120"/>
      </w:pPr>
      <w:r>
        <w:t>The Applicants pay the Respondents’ costs thrown</w:t>
      </w:r>
      <w:r w:rsidR="00141AA8">
        <w:t xml:space="preserve"> </w:t>
      </w:r>
      <w:r>
        <w:t xml:space="preserve">away consequent upon the amendments allowed by Order 3.  </w:t>
      </w:r>
    </w:p>
    <w:p w14:paraId="2AC11C55" w14:textId="79BEF262" w:rsidR="00F62FD9" w:rsidRDefault="00F62FD9" w:rsidP="00CC3326">
      <w:pPr>
        <w:pStyle w:val="Order1"/>
        <w:spacing w:before="120" w:after="120"/>
      </w:pPr>
      <w:r>
        <w:t xml:space="preserve">Pursuant to </w:t>
      </w:r>
      <w:proofErr w:type="spellStart"/>
      <w:r>
        <w:t>rr</w:t>
      </w:r>
      <w:proofErr w:type="spellEnd"/>
      <w:r>
        <w:t xml:space="preserve"> 10.42, 10.43(2) and 10.44(1) of the </w:t>
      </w:r>
      <w:r w:rsidRPr="00F43AF6">
        <w:rPr>
          <w:i/>
        </w:rPr>
        <w:t xml:space="preserve">Federal Court Rules 2011 </w:t>
      </w:r>
      <w:r>
        <w:t>(</w:t>
      </w:r>
      <w:proofErr w:type="spellStart"/>
      <w:r>
        <w:t>Cth</w:t>
      </w:r>
      <w:proofErr w:type="spellEnd"/>
      <w:r>
        <w:t>)</w:t>
      </w:r>
      <w:r w:rsidR="00437D07">
        <w:t xml:space="preserve">, the Applicants be granted leave to serve the Documents on the Third Respondent in the United States of America in accordance with Article 5 of the </w:t>
      </w:r>
      <w:r w:rsidR="00437D07">
        <w:rPr>
          <w:i/>
        </w:rPr>
        <w:t>Convention on the Service Abroad of Judicial and Extrajudicial Documents in Civil or Commercial Matters</w:t>
      </w:r>
      <w:r w:rsidR="00437D07">
        <w:t xml:space="preserve"> </w:t>
      </w:r>
      <w:r w:rsidR="00437D07">
        <w:lastRenderedPageBreak/>
        <w:t xml:space="preserve">opened for signature 15 November 1965, 658 UNTS 163 (entered into force 10 February 1969) by sending them </w:t>
      </w:r>
      <w:r w:rsidR="006171A1">
        <w:t xml:space="preserve">by </w:t>
      </w:r>
      <w:r w:rsidR="00437D07">
        <w:t>registered post to the Third Respondent’s registered address at 2455 South 2600</w:t>
      </w:r>
      <w:r w:rsidR="004475F3">
        <w:t xml:space="preserve"> </w:t>
      </w:r>
      <w:r w:rsidR="00437D07">
        <w:t xml:space="preserve">West, Salt Lake City, UT 8411. </w:t>
      </w:r>
    </w:p>
    <w:p w14:paraId="51EEC98A" w14:textId="1687E8FE" w:rsidR="00437D07" w:rsidRDefault="00437D07" w:rsidP="00CC3326">
      <w:pPr>
        <w:pStyle w:val="Order1"/>
        <w:spacing w:before="120" w:after="120"/>
      </w:pPr>
      <w:r>
        <w:t xml:space="preserve">The Applicants file and serve the Amended Statement of Claim within 2 days of these orders. </w:t>
      </w:r>
    </w:p>
    <w:p w14:paraId="770220A7" w14:textId="7B4C4279" w:rsidR="00437D07" w:rsidRDefault="00437D07" w:rsidP="00CC3326">
      <w:pPr>
        <w:pStyle w:val="Order1"/>
        <w:spacing w:before="120" w:after="120"/>
      </w:pPr>
      <w:r>
        <w:t xml:space="preserve">The First and Second Respondents file and serve a Further Amended Defence within 28 days of service of the Amended Statement of Claim. </w:t>
      </w:r>
    </w:p>
    <w:p w14:paraId="379F1B43" w14:textId="014723C6" w:rsidR="00437D07" w:rsidRDefault="00437D07" w:rsidP="00CC3326">
      <w:pPr>
        <w:pStyle w:val="Order1"/>
        <w:spacing w:before="120" w:after="120"/>
      </w:pPr>
      <w:r>
        <w:t xml:space="preserve">The Third Respondent file and serve a Defence within 28 days of service of the Amended Statement of Claim. </w:t>
      </w:r>
    </w:p>
    <w:p w14:paraId="21340254" w14:textId="171BF74F" w:rsidR="00437D07" w:rsidRDefault="00984E67" w:rsidP="00CC3326">
      <w:pPr>
        <w:pStyle w:val="Order1"/>
        <w:spacing w:before="120" w:after="120"/>
      </w:pPr>
      <w:r>
        <w:t xml:space="preserve">The Applicants file any reply within 14 days of service of the First and Second Respondents’ Further Amended Defence and the Third Respondent’s Defence. </w:t>
      </w:r>
    </w:p>
    <w:p w14:paraId="515F46BC" w14:textId="539D31D0" w:rsidR="003256C2" w:rsidRDefault="003256C2" w:rsidP="00CC3326">
      <w:pPr>
        <w:pStyle w:val="Order1"/>
        <w:spacing w:before="120" w:after="120"/>
      </w:pPr>
      <w:r>
        <w:t xml:space="preserve">The matter be re-listed for a case management hearing on Wednesday, 8 February 2022 at 9.30am. </w:t>
      </w:r>
    </w:p>
    <w:p w14:paraId="1E383028" w14:textId="7933C025" w:rsidR="00437D07" w:rsidRDefault="00984E67" w:rsidP="00CC3326">
      <w:pPr>
        <w:pStyle w:val="Order1"/>
        <w:spacing w:before="120" w:after="120"/>
      </w:pPr>
      <w:r>
        <w:t xml:space="preserve">Costs be reserved. </w:t>
      </w:r>
    </w:p>
    <w:p w14:paraId="7A136CA2" w14:textId="2E3BBDDA" w:rsidR="00A431E6" w:rsidRDefault="00A431E6" w:rsidP="00CC3326">
      <w:pPr>
        <w:pStyle w:val="BodyText"/>
        <w:spacing w:before="120" w:after="120"/>
      </w:pPr>
    </w:p>
    <w:p w14:paraId="44EF2E42" w14:textId="00F5FD51" w:rsidR="0070650B" w:rsidRDefault="0070650B" w:rsidP="00CC3326">
      <w:pPr>
        <w:pStyle w:val="BodyText"/>
        <w:spacing w:before="120" w:after="120"/>
      </w:pPr>
      <w:r>
        <w:t xml:space="preserve">In these orders, </w:t>
      </w:r>
      <w:r>
        <w:rPr>
          <w:b/>
        </w:rPr>
        <w:t>Documents</w:t>
      </w:r>
      <w:r>
        <w:t xml:space="preserve"> means: </w:t>
      </w:r>
    </w:p>
    <w:p w14:paraId="7803BA21" w14:textId="6A80C7C1" w:rsidR="0070650B" w:rsidRDefault="0070650B" w:rsidP="00CC3326">
      <w:pPr>
        <w:pStyle w:val="Order2"/>
        <w:spacing w:before="120" w:after="120"/>
      </w:pPr>
      <w:r>
        <w:t xml:space="preserve">The Amended Originating Application filed in accordance with  paragraph 3 of these orders; </w:t>
      </w:r>
    </w:p>
    <w:p w14:paraId="697C2422" w14:textId="617BD100" w:rsidR="0070650B" w:rsidRDefault="0070650B" w:rsidP="00CC3326">
      <w:pPr>
        <w:pStyle w:val="Order2"/>
        <w:spacing w:before="120" w:after="120"/>
      </w:pPr>
      <w:r>
        <w:t>The Amended Statement of Claim filed in accordance with paragraph 3 of these orders</w:t>
      </w:r>
      <w:r w:rsidR="001F1435">
        <w:t>;</w:t>
      </w:r>
    </w:p>
    <w:p w14:paraId="1AF2218D" w14:textId="4628C6B1" w:rsidR="0070650B" w:rsidRDefault="0070650B" w:rsidP="00CC3326">
      <w:pPr>
        <w:pStyle w:val="Order2"/>
        <w:spacing w:before="120" w:after="120"/>
      </w:pPr>
      <w:r>
        <w:t xml:space="preserve">The Interlocutory Application dated 18 August 2022; </w:t>
      </w:r>
    </w:p>
    <w:p w14:paraId="255B4E24" w14:textId="028C07B1" w:rsidR="0070650B" w:rsidRDefault="0070650B" w:rsidP="00CC3326">
      <w:pPr>
        <w:pStyle w:val="Order2"/>
        <w:spacing w:before="120" w:after="120"/>
      </w:pPr>
      <w:r>
        <w:t xml:space="preserve">The Amended Interlocutory Application dated 7 September 2022; </w:t>
      </w:r>
    </w:p>
    <w:p w14:paraId="102596ED" w14:textId="7D900772" w:rsidR="0070650B" w:rsidRDefault="0070650B" w:rsidP="00CC3326">
      <w:pPr>
        <w:pStyle w:val="Order2"/>
        <w:spacing w:before="120" w:after="120"/>
      </w:pPr>
      <w:r>
        <w:t xml:space="preserve">The Affidavits of Christopher Edmund Duvall Williams sworn on 18 August 2022 and 7 September 2022; and </w:t>
      </w:r>
    </w:p>
    <w:p w14:paraId="197A8C77" w14:textId="01DAD0E6" w:rsidR="0070650B" w:rsidRPr="0070650B" w:rsidRDefault="0070650B" w:rsidP="00CC3326">
      <w:pPr>
        <w:pStyle w:val="Order2"/>
        <w:spacing w:before="120" w:after="120"/>
      </w:pPr>
      <w:r>
        <w:t xml:space="preserve">These orders granting the joinder application and application for leave to amend the Originating Application and Statement of Claim. </w:t>
      </w:r>
    </w:p>
    <w:p w14:paraId="1FEC075F" w14:textId="77777777" w:rsidR="0070650B" w:rsidRDefault="0070650B" w:rsidP="001A6C52">
      <w:pPr>
        <w:pStyle w:val="BodyText"/>
      </w:pPr>
    </w:p>
    <w:p w14:paraId="563B7AE3" w14:textId="77777777" w:rsidR="0050309C" w:rsidRDefault="004C0DEE"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42E63001" w14:textId="77777777" w:rsidR="00E23577" w:rsidRDefault="00E23577" w:rsidP="002B0E91">
      <w:pPr>
        <w:pStyle w:val="BodyText"/>
      </w:pPr>
    </w:p>
    <w:p w14:paraId="13CC7287"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2552688E"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6581DC4F" w14:textId="77777777" w:rsidR="00694BEB" w:rsidRDefault="004C0DEE" w:rsidP="005E0510">
      <w:pPr>
        <w:pStyle w:val="NormalHeadings"/>
        <w:spacing w:line="360" w:lineRule="auto"/>
        <w:jc w:val="left"/>
        <w:rPr>
          <w:sz w:val="26"/>
          <w:szCs w:val="26"/>
        </w:rPr>
      </w:pPr>
      <w:r>
        <w:rPr>
          <w:sz w:val="26"/>
          <w:szCs w:val="26"/>
        </w:rPr>
        <w:t>ROFE J:</w:t>
      </w:r>
    </w:p>
    <w:p w14:paraId="41EDC2E7" w14:textId="77777777" w:rsidR="00CD1346" w:rsidRDefault="00C01CF3" w:rsidP="00C01CF3">
      <w:pPr>
        <w:pStyle w:val="Heading1"/>
      </w:pPr>
      <w:r>
        <w:t xml:space="preserve">Introduction </w:t>
      </w:r>
    </w:p>
    <w:p w14:paraId="590994CA" w14:textId="75847B5C" w:rsidR="00BA6CA1" w:rsidRDefault="00C01CF3" w:rsidP="00CD1346">
      <w:pPr>
        <w:pStyle w:val="ParaNumbering"/>
      </w:pPr>
      <w:r>
        <w:t xml:space="preserve">By </w:t>
      </w:r>
      <w:r w:rsidR="00563F3B">
        <w:t xml:space="preserve">an </w:t>
      </w:r>
      <w:r>
        <w:t>amended interlocutory application dated</w:t>
      </w:r>
      <w:r w:rsidR="00771823">
        <w:t xml:space="preserve"> 7</w:t>
      </w:r>
      <w:r>
        <w:t xml:space="preserve"> September 2022, Australian Mud Company Pty Ltd and Reflex Instruments Asia Pacific Pty Ltd (</w:t>
      </w:r>
      <w:r w:rsidR="00BA6CA1">
        <w:t xml:space="preserve">together </w:t>
      </w:r>
      <w:r w:rsidR="00BA6CA1" w:rsidRPr="00BA6CA1">
        <w:rPr>
          <w:b/>
        </w:rPr>
        <w:t>AMC</w:t>
      </w:r>
      <w:r>
        <w:t>) seek</w:t>
      </w:r>
      <w:r w:rsidR="00BA6CA1">
        <w:t xml:space="preserve"> orders, amongst others:</w:t>
      </w:r>
      <w:r>
        <w:t xml:space="preserve"> </w:t>
      </w:r>
    </w:p>
    <w:p w14:paraId="5C345D71" w14:textId="30C23D94" w:rsidR="00BA6CA1" w:rsidRDefault="00C01CF3" w:rsidP="00BA6CA1">
      <w:pPr>
        <w:pStyle w:val="ListNo2"/>
      </w:pPr>
      <w:r>
        <w:t xml:space="preserve">joining </w:t>
      </w:r>
      <w:proofErr w:type="spellStart"/>
      <w:r>
        <w:t>Boart</w:t>
      </w:r>
      <w:proofErr w:type="spellEnd"/>
      <w:r>
        <w:t xml:space="preserve"> </w:t>
      </w:r>
      <w:proofErr w:type="spellStart"/>
      <w:r>
        <w:t>Longyear</w:t>
      </w:r>
      <w:proofErr w:type="spellEnd"/>
      <w:r>
        <w:t xml:space="preserve"> Company </w:t>
      </w:r>
      <w:r w:rsidR="00936DB3">
        <w:t>(</w:t>
      </w:r>
      <w:r w:rsidR="00936DB3" w:rsidRPr="00936DB3">
        <w:rPr>
          <w:b/>
        </w:rPr>
        <w:t>BLC</w:t>
      </w:r>
      <w:r w:rsidR="00936DB3">
        <w:t xml:space="preserve">) </w:t>
      </w:r>
      <w:r>
        <w:t>as a third respondent</w:t>
      </w:r>
      <w:r w:rsidR="007A4BE3">
        <w:t xml:space="preserve"> to the proceedings</w:t>
      </w:r>
      <w:r w:rsidR="000F230C">
        <w:t>;</w:t>
      </w:r>
      <w:r>
        <w:t xml:space="preserve"> </w:t>
      </w:r>
    </w:p>
    <w:p w14:paraId="398EBA65" w14:textId="79D3A2C6" w:rsidR="00BA6CA1" w:rsidRDefault="00C01CF3" w:rsidP="00BA6CA1">
      <w:pPr>
        <w:pStyle w:val="ListNo2"/>
      </w:pPr>
      <w:r>
        <w:t xml:space="preserve">granting leave to amend the </w:t>
      </w:r>
      <w:r w:rsidR="00936DB3">
        <w:t>statement of claim and originating application</w:t>
      </w:r>
      <w:r w:rsidR="000F230C">
        <w:t>;</w:t>
      </w:r>
      <w:r w:rsidR="00936DB3">
        <w:t xml:space="preserve"> and</w:t>
      </w:r>
    </w:p>
    <w:p w14:paraId="595AE997" w14:textId="1E83474F" w:rsidR="00C01CF3" w:rsidRDefault="00936DB3" w:rsidP="00BA6CA1">
      <w:pPr>
        <w:pStyle w:val="ListNo2"/>
      </w:pPr>
      <w:r>
        <w:t xml:space="preserve">for the service of the amended statement of claim </w:t>
      </w:r>
      <w:r w:rsidR="001B1E7D">
        <w:t>(</w:t>
      </w:r>
      <w:r w:rsidR="001B1E7D" w:rsidRPr="001B1E7D">
        <w:rPr>
          <w:b/>
        </w:rPr>
        <w:t>ASOC</w:t>
      </w:r>
      <w:r w:rsidR="001B1E7D">
        <w:t xml:space="preserve">) </w:t>
      </w:r>
      <w:r>
        <w:t xml:space="preserve">and </w:t>
      </w:r>
      <w:r w:rsidR="001B1E7D">
        <w:t xml:space="preserve">amended </w:t>
      </w:r>
      <w:r>
        <w:t xml:space="preserve">originating application </w:t>
      </w:r>
      <w:r w:rsidR="001B1E7D">
        <w:t>(</w:t>
      </w:r>
      <w:r w:rsidR="001B1E7D" w:rsidRPr="001B1E7D">
        <w:rPr>
          <w:b/>
        </w:rPr>
        <w:t>AOA</w:t>
      </w:r>
      <w:r w:rsidR="001B1E7D">
        <w:t xml:space="preserve">) </w:t>
      </w:r>
      <w:r>
        <w:t xml:space="preserve">on BLC outside the jurisdiction pursuant to </w:t>
      </w:r>
      <w:proofErr w:type="spellStart"/>
      <w:r w:rsidR="0014789E">
        <w:t>rr</w:t>
      </w:r>
      <w:proofErr w:type="spellEnd"/>
      <w:r w:rsidR="0014789E">
        <w:t> </w:t>
      </w:r>
      <w:r>
        <w:t xml:space="preserve">10.43 and 10.44 of the </w:t>
      </w:r>
      <w:r w:rsidRPr="00344F4A">
        <w:rPr>
          <w:i/>
        </w:rPr>
        <w:t xml:space="preserve">Federal Court </w:t>
      </w:r>
      <w:r w:rsidRPr="00344F4A">
        <w:rPr>
          <w:b/>
          <w:i/>
        </w:rPr>
        <w:t>Rules</w:t>
      </w:r>
      <w:r w:rsidRPr="00344F4A">
        <w:rPr>
          <w:i/>
        </w:rPr>
        <w:t xml:space="preserve"> 2011</w:t>
      </w:r>
      <w:r w:rsidRPr="00344F4A">
        <w:t xml:space="preserve"> (</w:t>
      </w:r>
      <w:proofErr w:type="spellStart"/>
      <w:r w:rsidRPr="00344F4A">
        <w:t>Cth</w:t>
      </w:r>
      <w:proofErr w:type="spellEnd"/>
      <w:r w:rsidRPr="00344F4A">
        <w:t>)</w:t>
      </w:r>
      <w:r>
        <w:t>.</w:t>
      </w:r>
    </w:p>
    <w:p w14:paraId="0FC01F40" w14:textId="73F9CE5B" w:rsidR="00936DB3" w:rsidRDefault="00936DB3" w:rsidP="00CD1346">
      <w:pPr>
        <w:pStyle w:val="ParaNumbering"/>
      </w:pPr>
      <w:r>
        <w:t xml:space="preserve">In support of its application, </w:t>
      </w:r>
      <w:r w:rsidR="00BA6CA1">
        <w:t>AMC relies</w:t>
      </w:r>
      <w:r>
        <w:t xml:space="preserve"> on two affidavits of </w:t>
      </w:r>
      <w:r w:rsidR="00D13ACE">
        <w:t xml:space="preserve">Mr Christopher </w:t>
      </w:r>
      <w:r w:rsidR="00BA6CA1">
        <w:t xml:space="preserve">Williams, </w:t>
      </w:r>
      <w:r w:rsidR="001B1E7D">
        <w:t xml:space="preserve">the partner at Gilbert </w:t>
      </w:r>
      <w:r w:rsidR="00685349">
        <w:t xml:space="preserve">+ </w:t>
      </w:r>
      <w:r w:rsidR="001B1E7D">
        <w:t xml:space="preserve">Tobin with responsibility for the conduct of the matter on behalf of AMC, </w:t>
      </w:r>
      <w:r w:rsidR="00BA6CA1">
        <w:t>dated 18 August 2022</w:t>
      </w:r>
      <w:r w:rsidR="00D13ACE">
        <w:t xml:space="preserve"> and 7 Septemb</w:t>
      </w:r>
      <w:r w:rsidR="00BA6CA1">
        <w:t>er 2022</w:t>
      </w:r>
      <w:r w:rsidR="00D13ACE">
        <w:t xml:space="preserve">. </w:t>
      </w:r>
    </w:p>
    <w:p w14:paraId="587B821C" w14:textId="77777777" w:rsidR="00936DB3" w:rsidRDefault="00936DB3" w:rsidP="00936DB3">
      <w:pPr>
        <w:pStyle w:val="Heading1"/>
      </w:pPr>
      <w:r>
        <w:t xml:space="preserve">Background </w:t>
      </w:r>
    </w:p>
    <w:p w14:paraId="1C1261BF" w14:textId="661823CC" w:rsidR="00685349" w:rsidRDefault="00936DB3" w:rsidP="00685349">
      <w:pPr>
        <w:pStyle w:val="ParaNumbering"/>
      </w:pPr>
      <w:r>
        <w:t xml:space="preserve">This proceeding is one of the many proceedings relating </w:t>
      </w:r>
      <w:r w:rsidR="00294EA1">
        <w:t>to</w:t>
      </w:r>
      <w:r>
        <w:t xml:space="preserve"> Australian Patent No. 2010200162</w:t>
      </w:r>
      <w:r w:rsidR="00294EA1">
        <w:t xml:space="preserve"> (the </w:t>
      </w:r>
      <w:r w:rsidR="00294EA1" w:rsidRPr="00685349">
        <w:rPr>
          <w:b/>
        </w:rPr>
        <w:t>Patent</w:t>
      </w:r>
      <w:r w:rsidR="00294EA1">
        <w:t>)</w:t>
      </w:r>
      <w:r>
        <w:t xml:space="preserve">. </w:t>
      </w:r>
      <w:r w:rsidR="00BA6CA1">
        <w:t xml:space="preserve">A summary of these various proceedings is set out at </w:t>
      </w:r>
      <w:r w:rsidR="00766255">
        <w:t>[</w:t>
      </w:r>
      <w:r w:rsidR="00685349" w:rsidRPr="00B32875">
        <w:t>13</w:t>
      </w:r>
      <w:r w:rsidR="00766255">
        <w:t>]</w:t>
      </w:r>
      <w:r w:rsidR="00685349" w:rsidRPr="00B32875">
        <w:t xml:space="preserve"> </w:t>
      </w:r>
      <w:r w:rsidR="00BA6CA1" w:rsidRPr="00B32875">
        <w:t xml:space="preserve">to </w:t>
      </w:r>
      <w:r w:rsidR="00766255">
        <w:t>[</w:t>
      </w:r>
      <w:r w:rsidR="00141AA8" w:rsidRPr="00B32875">
        <w:t>19</w:t>
      </w:r>
      <w:r w:rsidR="00766255">
        <w:t>]</w:t>
      </w:r>
      <w:r w:rsidR="00141AA8" w:rsidRPr="00B32875">
        <w:t xml:space="preserve"> </w:t>
      </w:r>
      <w:r w:rsidR="00BA6CA1" w:rsidRPr="00B32875">
        <w:t xml:space="preserve">of </w:t>
      </w:r>
      <w:r w:rsidR="00685349" w:rsidRPr="0070650B">
        <w:rPr>
          <w:i/>
        </w:rPr>
        <w:t>Australian</w:t>
      </w:r>
      <w:r w:rsidR="00685349" w:rsidRPr="00344F4A">
        <w:rPr>
          <w:i/>
        </w:rPr>
        <w:t xml:space="preserve"> Mud Company Pty Ltd v </w:t>
      </w:r>
      <w:proofErr w:type="spellStart"/>
      <w:r w:rsidR="00685349" w:rsidRPr="00344F4A">
        <w:rPr>
          <w:i/>
        </w:rPr>
        <w:t>Globaltech</w:t>
      </w:r>
      <w:proofErr w:type="spellEnd"/>
      <w:r w:rsidR="00685349" w:rsidRPr="00344F4A">
        <w:rPr>
          <w:i/>
        </w:rPr>
        <w:t xml:space="preserve"> Corporation Pty Ltd (No 3)</w:t>
      </w:r>
      <w:r w:rsidR="00685349" w:rsidRPr="00344F4A">
        <w:t xml:space="preserve"> [2022] FCA 1189.</w:t>
      </w:r>
    </w:p>
    <w:p w14:paraId="24B83033" w14:textId="0E80F93D" w:rsidR="00A07313" w:rsidRDefault="00D13ACE" w:rsidP="00685349">
      <w:pPr>
        <w:pStyle w:val="ParaNumbering"/>
      </w:pPr>
      <w:r>
        <w:t xml:space="preserve">A summary of the history of the </w:t>
      </w:r>
      <w:r w:rsidR="00A7678E">
        <w:t xml:space="preserve">two </w:t>
      </w:r>
      <w:r w:rsidR="00294EA1">
        <w:t>related</w:t>
      </w:r>
      <w:r w:rsidR="00A7678E">
        <w:t xml:space="preserve"> </w:t>
      </w:r>
      <w:proofErr w:type="spellStart"/>
      <w:r w:rsidR="00BA6CA1">
        <w:t>Globaltech</w:t>
      </w:r>
      <w:proofErr w:type="spellEnd"/>
      <w:r w:rsidR="00BA6CA1">
        <w:t xml:space="preserve"> </w:t>
      </w:r>
      <w:r>
        <w:t xml:space="preserve">proceedings </w:t>
      </w:r>
      <w:r w:rsidR="00294EA1">
        <w:t>follows.</w:t>
      </w:r>
    </w:p>
    <w:p w14:paraId="219D08DD" w14:textId="3E0112BB" w:rsidR="00936DB3" w:rsidRPr="00EF47C6" w:rsidRDefault="007B09D6" w:rsidP="00A67D72">
      <w:pPr>
        <w:pStyle w:val="Heading3"/>
      </w:pPr>
      <w:r w:rsidRPr="00EF47C6">
        <w:t xml:space="preserve">2016 Proceeding </w:t>
      </w:r>
    </w:p>
    <w:p w14:paraId="4A385F6F" w14:textId="5F3F7336" w:rsidR="007B09D6" w:rsidRDefault="00BA66DB" w:rsidP="00294EA1">
      <w:pPr>
        <w:pStyle w:val="ParaNumbering"/>
      </w:pPr>
      <w:r>
        <w:t>On 7 J</w:t>
      </w:r>
      <w:r w:rsidR="00EF47C6">
        <w:t>uly 2016</w:t>
      </w:r>
      <w:r w:rsidR="0070650B">
        <w:t>,</w:t>
      </w:r>
      <w:r w:rsidR="00EF47C6">
        <w:t xml:space="preserve"> AMC commenced proceedings NSD 1089 of 2016 in the Federal Court against </w:t>
      </w:r>
      <w:proofErr w:type="spellStart"/>
      <w:r w:rsidR="00EF47C6">
        <w:t>Globaltech</w:t>
      </w:r>
      <w:proofErr w:type="spellEnd"/>
      <w:r w:rsidR="00EF47C6">
        <w:t xml:space="preserve"> Corporation Pty Ltd and </w:t>
      </w:r>
      <w:proofErr w:type="spellStart"/>
      <w:r w:rsidR="00EF47C6">
        <w:t>Globaltech</w:t>
      </w:r>
      <w:proofErr w:type="spellEnd"/>
      <w:r w:rsidR="00EF47C6">
        <w:t xml:space="preserve"> Pty Ltd (together, </w:t>
      </w:r>
      <w:proofErr w:type="spellStart"/>
      <w:r w:rsidR="00EF47C6" w:rsidRPr="00EF47C6">
        <w:rPr>
          <w:b/>
        </w:rPr>
        <w:t>Globaltech</w:t>
      </w:r>
      <w:proofErr w:type="spellEnd"/>
      <w:r w:rsidR="00EF47C6">
        <w:t xml:space="preserve">) (the </w:t>
      </w:r>
      <w:r w:rsidR="00EF47C6" w:rsidRPr="00EF47C6">
        <w:rPr>
          <w:b/>
        </w:rPr>
        <w:t>2016</w:t>
      </w:r>
      <w:r w:rsidR="00EF47C6">
        <w:t xml:space="preserve"> </w:t>
      </w:r>
      <w:r w:rsidR="00EF47C6" w:rsidRPr="00EF47C6">
        <w:rPr>
          <w:b/>
        </w:rPr>
        <w:t>Proceeding</w:t>
      </w:r>
      <w:r w:rsidR="00294EA1">
        <w:t xml:space="preserve">). </w:t>
      </w:r>
      <w:r w:rsidR="00EF47C6">
        <w:t xml:space="preserve">In the 2016 Proceeding, AMC alleged that </w:t>
      </w:r>
      <w:proofErr w:type="spellStart"/>
      <w:r w:rsidR="00EF47C6">
        <w:t>Globaltech’s</w:t>
      </w:r>
      <w:proofErr w:type="spellEnd"/>
      <w:r w:rsidR="00EF47C6">
        <w:t xml:space="preserve"> v3A, v3B and v5 </w:t>
      </w:r>
      <w:proofErr w:type="spellStart"/>
      <w:r w:rsidR="00EF47C6">
        <w:t>Orifinder</w:t>
      </w:r>
      <w:proofErr w:type="spellEnd"/>
      <w:r w:rsidR="00EF47C6">
        <w:t xml:space="preserve"> core sample orientation tools infringed certain claims of </w:t>
      </w:r>
      <w:r w:rsidR="00294EA1">
        <w:t>the Patent</w:t>
      </w:r>
      <w:r w:rsidR="00EF47C6">
        <w:t xml:space="preserve">. </w:t>
      </w:r>
      <w:proofErr w:type="spellStart"/>
      <w:r w:rsidR="00EF47C6">
        <w:t>Globaltech</w:t>
      </w:r>
      <w:proofErr w:type="spellEnd"/>
      <w:r w:rsidR="00EF47C6">
        <w:t xml:space="preserve"> denied infringement and challenged the validity of the Patent. </w:t>
      </w:r>
    </w:p>
    <w:p w14:paraId="7CB643B0" w14:textId="2033CBDD" w:rsidR="00294EA1" w:rsidRDefault="00BA6CA1" w:rsidP="00294EA1">
      <w:pPr>
        <w:pStyle w:val="ParaNumbering"/>
      </w:pPr>
      <w:r>
        <w:t xml:space="preserve">On 26 November 2018, </w:t>
      </w:r>
      <w:proofErr w:type="spellStart"/>
      <w:r>
        <w:t>Besanko</w:t>
      </w:r>
      <w:proofErr w:type="spellEnd"/>
      <w:r>
        <w:t xml:space="preserve"> J handed down reasons in which he found</w:t>
      </w:r>
      <w:r w:rsidR="00EF47C6">
        <w:t xml:space="preserve"> that </w:t>
      </w:r>
      <w:r>
        <w:t>the claims of the Patent</w:t>
      </w:r>
      <w:r w:rsidR="00EF47C6">
        <w:t xml:space="preserve"> were valid and infringed by </w:t>
      </w:r>
      <w:proofErr w:type="spellStart"/>
      <w:r w:rsidR="00EF47C6">
        <w:t>Globaltech</w:t>
      </w:r>
      <w:proofErr w:type="spellEnd"/>
      <w:r w:rsidR="00EF47C6">
        <w:t xml:space="preserve">: </w:t>
      </w:r>
      <w:r w:rsidR="00EF47C6" w:rsidRPr="00344F4A">
        <w:rPr>
          <w:i/>
        </w:rPr>
        <w:t xml:space="preserve">Australian Mud Company Pty Ltd v </w:t>
      </w:r>
      <w:proofErr w:type="spellStart"/>
      <w:r w:rsidR="00EF47C6" w:rsidRPr="00344F4A">
        <w:rPr>
          <w:i/>
        </w:rPr>
        <w:t>Globaltech</w:t>
      </w:r>
      <w:proofErr w:type="spellEnd"/>
      <w:r w:rsidR="00EF47C6" w:rsidRPr="00344F4A">
        <w:rPr>
          <w:i/>
        </w:rPr>
        <w:t xml:space="preserve"> Corporation Pty Ltd</w:t>
      </w:r>
      <w:r w:rsidR="00EF47C6" w:rsidRPr="00344F4A">
        <w:t xml:space="preserve"> [2018] FCA 1839</w:t>
      </w:r>
      <w:r w:rsidR="00EF47C6">
        <w:t xml:space="preserve"> (</w:t>
      </w:r>
      <w:proofErr w:type="spellStart"/>
      <w:r w:rsidRPr="00BA6CA1">
        <w:rPr>
          <w:b/>
          <w:i/>
        </w:rPr>
        <w:t>Globaltech</w:t>
      </w:r>
      <w:proofErr w:type="spellEnd"/>
      <w:r w:rsidRPr="00BA6CA1">
        <w:rPr>
          <w:b/>
          <w:i/>
        </w:rPr>
        <w:t xml:space="preserve"> FI</w:t>
      </w:r>
      <w:r w:rsidR="00EF47C6">
        <w:t xml:space="preserve">). </w:t>
      </w:r>
    </w:p>
    <w:p w14:paraId="69409CEE" w14:textId="6ACA44DE" w:rsidR="00EF47C6" w:rsidRDefault="00EF47C6" w:rsidP="00294EA1">
      <w:pPr>
        <w:pStyle w:val="ParaNumbering"/>
      </w:pPr>
      <w:r>
        <w:lastRenderedPageBreak/>
        <w:t>On 14 December 2018</w:t>
      </w:r>
      <w:r w:rsidR="007E2DB4">
        <w:t>,</w:t>
      </w:r>
      <w:r>
        <w:t xml:space="preserve"> </w:t>
      </w:r>
      <w:proofErr w:type="spellStart"/>
      <w:r>
        <w:t>Besanko</w:t>
      </w:r>
      <w:proofErr w:type="spellEnd"/>
      <w:r>
        <w:t xml:space="preserve"> J made orders, including injunctions against the sale and promotion of core sample orientation tools developed and sold under the names “</w:t>
      </w:r>
      <w:proofErr w:type="spellStart"/>
      <w:r w:rsidR="007E2DB4">
        <w:t>Orifinder</w:t>
      </w:r>
      <w:proofErr w:type="spellEnd"/>
      <w:r w:rsidR="007E2DB4">
        <w:t> </w:t>
      </w:r>
      <w:r>
        <w:t>v3A”, “</w:t>
      </w:r>
      <w:proofErr w:type="spellStart"/>
      <w:r>
        <w:t>Orifinder</w:t>
      </w:r>
      <w:proofErr w:type="spellEnd"/>
      <w:r>
        <w:t xml:space="preserve"> v3B”, “</w:t>
      </w:r>
      <w:proofErr w:type="spellStart"/>
      <w:r>
        <w:t>Orifinder</w:t>
      </w:r>
      <w:proofErr w:type="spellEnd"/>
      <w:r>
        <w:t xml:space="preserve"> v5” or “</w:t>
      </w:r>
      <w:proofErr w:type="spellStart"/>
      <w:r>
        <w:t>Trucore</w:t>
      </w:r>
      <w:proofErr w:type="spellEnd"/>
      <w:r>
        <w:t xml:space="preserve">” (order 4(a)) (the </w:t>
      </w:r>
      <w:r w:rsidRPr="00294EA1">
        <w:rPr>
          <w:b/>
        </w:rPr>
        <w:t>Infringing</w:t>
      </w:r>
      <w:r>
        <w:t xml:space="preserve"> </w:t>
      </w:r>
      <w:r w:rsidRPr="00294EA1">
        <w:rPr>
          <w:b/>
        </w:rPr>
        <w:t>Tools</w:t>
      </w:r>
      <w:r w:rsidR="00294EA1">
        <w:t>).</w:t>
      </w:r>
    </w:p>
    <w:p w14:paraId="5493795B" w14:textId="7E20B0AD" w:rsidR="00EF47C6" w:rsidRDefault="00EF47C6" w:rsidP="00294EA1">
      <w:pPr>
        <w:pStyle w:val="ParaNumbering"/>
      </w:pPr>
      <w:proofErr w:type="spellStart"/>
      <w:r>
        <w:t>Globaltech</w:t>
      </w:r>
      <w:proofErr w:type="spellEnd"/>
      <w:r>
        <w:t xml:space="preserve"> appealed the </w:t>
      </w:r>
      <w:r w:rsidR="007E2DB4">
        <w:t xml:space="preserve">judgment </w:t>
      </w:r>
      <w:r>
        <w:t>to the F</w:t>
      </w:r>
      <w:r w:rsidR="00BA6CA1">
        <w:t>ull Court of the Federal Court</w:t>
      </w:r>
      <w:r w:rsidR="00294EA1">
        <w:t xml:space="preserve">. </w:t>
      </w:r>
      <w:r>
        <w:t xml:space="preserve">The appeal was dismissed on 13 September 2019: </w:t>
      </w:r>
      <w:proofErr w:type="spellStart"/>
      <w:r w:rsidRPr="00344F4A">
        <w:rPr>
          <w:i/>
        </w:rPr>
        <w:t>Globaltech</w:t>
      </w:r>
      <w:proofErr w:type="spellEnd"/>
      <w:r w:rsidRPr="00344F4A">
        <w:rPr>
          <w:i/>
        </w:rPr>
        <w:t xml:space="preserve"> Corporation Pty Ltd v Australian Mud Company Pty Ltd</w:t>
      </w:r>
      <w:r w:rsidR="00BA6CA1" w:rsidRPr="00344F4A">
        <w:t xml:space="preserve"> [2019] FCAFC 162</w:t>
      </w:r>
      <w:r>
        <w:t xml:space="preserve">. </w:t>
      </w:r>
    </w:p>
    <w:p w14:paraId="1C7BC007" w14:textId="4726E36B" w:rsidR="00294EA1" w:rsidRDefault="00EF47C6" w:rsidP="00294EA1">
      <w:pPr>
        <w:pStyle w:val="ParaNumbering"/>
      </w:pPr>
      <w:proofErr w:type="spellStart"/>
      <w:r>
        <w:t>Globaltech</w:t>
      </w:r>
      <w:proofErr w:type="spellEnd"/>
      <w:r>
        <w:t xml:space="preserve"> sought special leave to appeal the Full Court </w:t>
      </w:r>
      <w:r w:rsidR="007E2DB4">
        <w:t xml:space="preserve">judgment </w:t>
      </w:r>
      <w:r>
        <w:t>to the High Court of Australia</w:t>
      </w:r>
      <w:r w:rsidR="00BA6CA1">
        <w:t>.</w:t>
      </w:r>
      <w:r>
        <w:t xml:space="preserve"> On 20 March 2022</w:t>
      </w:r>
      <w:r w:rsidR="007E2DB4">
        <w:t>,</w:t>
      </w:r>
      <w:r w:rsidR="00BA66DB">
        <w:t xml:space="preserve"> the High Court </w:t>
      </w:r>
      <w:r w:rsidR="00BA6CA1">
        <w:t>di</w:t>
      </w:r>
      <w:r w:rsidR="007E2DB4">
        <w:t>s</w:t>
      </w:r>
      <w:r w:rsidR="00BA6CA1">
        <w:t>missed the special leave a</w:t>
      </w:r>
      <w:r w:rsidR="00BA66DB">
        <w:t xml:space="preserve">pplication: </w:t>
      </w:r>
      <w:proofErr w:type="spellStart"/>
      <w:r w:rsidR="00BA66DB" w:rsidRPr="00344F4A">
        <w:rPr>
          <w:i/>
        </w:rPr>
        <w:t>Globaltech</w:t>
      </w:r>
      <w:proofErr w:type="spellEnd"/>
      <w:r w:rsidR="00BA66DB" w:rsidRPr="00344F4A">
        <w:rPr>
          <w:i/>
        </w:rPr>
        <w:t xml:space="preserve"> Corporation Pty Ltd &amp; Anor v Australian Mud Company Pty Ltd &amp; Anor</w:t>
      </w:r>
      <w:r w:rsidR="00BA66DB" w:rsidRPr="00344F4A">
        <w:t xml:space="preserve"> [2020] </w:t>
      </w:r>
      <w:proofErr w:type="spellStart"/>
      <w:r w:rsidR="00BA66DB" w:rsidRPr="00344F4A">
        <w:t>HCATrans</w:t>
      </w:r>
      <w:proofErr w:type="spellEnd"/>
      <w:r w:rsidR="00BA66DB" w:rsidRPr="00344F4A">
        <w:t xml:space="preserve"> 45</w:t>
      </w:r>
      <w:r w:rsidR="00BA66DB">
        <w:t xml:space="preserve">. </w:t>
      </w:r>
    </w:p>
    <w:p w14:paraId="674DC889" w14:textId="75A4EC28" w:rsidR="00BA66DB" w:rsidRDefault="00BA66DB" w:rsidP="00294EA1">
      <w:pPr>
        <w:pStyle w:val="ParaNumbering"/>
      </w:pPr>
      <w:r>
        <w:t xml:space="preserve">Once the </w:t>
      </w:r>
      <w:r w:rsidR="00BA6CA1">
        <w:t>application for special leave</w:t>
      </w:r>
      <w:r>
        <w:t xml:space="preserve"> was</w:t>
      </w:r>
      <w:r w:rsidR="00BA6CA1">
        <w:t xml:space="preserve"> refused</w:t>
      </w:r>
      <w:r>
        <w:t xml:space="preserve">, AMC pursued its quantum claim. </w:t>
      </w:r>
    </w:p>
    <w:p w14:paraId="3C710449" w14:textId="006578C6" w:rsidR="00BA66DB" w:rsidRDefault="00BA66DB" w:rsidP="00BA6CA1">
      <w:pPr>
        <w:pStyle w:val="ParaNumbering"/>
      </w:pPr>
      <w:r>
        <w:t>On 23 April 2021, the parties exchanged a first round of evidence. On 13 May 2021</w:t>
      </w:r>
      <w:r w:rsidR="007E2DB4">
        <w:t>,</w:t>
      </w:r>
      <w:r>
        <w:t xml:space="preserve"> </w:t>
      </w:r>
      <w:proofErr w:type="spellStart"/>
      <w:r>
        <w:t>Globaltech</w:t>
      </w:r>
      <w:proofErr w:type="spellEnd"/>
      <w:r>
        <w:t xml:space="preserve"> filed a stay application, based in part on the filing on an invalidity cross-claim in relation to the Patent by </w:t>
      </w:r>
      <w:proofErr w:type="spellStart"/>
      <w:r>
        <w:t>Boart</w:t>
      </w:r>
      <w:proofErr w:type="spellEnd"/>
      <w:r>
        <w:t xml:space="preserve"> </w:t>
      </w:r>
      <w:proofErr w:type="spellStart"/>
      <w:r>
        <w:t>Longyear</w:t>
      </w:r>
      <w:proofErr w:type="spellEnd"/>
      <w:r>
        <w:t xml:space="preserve"> Australia Limited (</w:t>
      </w:r>
      <w:r w:rsidRPr="00B32875">
        <w:rPr>
          <w:b/>
        </w:rPr>
        <w:t>BLYA</w:t>
      </w:r>
      <w:r>
        <w:t xml:space="preserve">) in NSD 1040 of 2019, which is described in further detail below. </w:t>
      </w:r>
    </w:p>
    <w:p w14:paraId="4968D1EE" w14:textId="077E6FB3" w:rsidR="00BA66DB" w:rsidRDefault="00BA6CA1" w:rsidP="00294EA1">
      <w:pPr>
        <w:pStyle w:val="ParaNumbering"/>
      </w:pPr>
      <w:r>
        <w:t>On 17 May 2022</w:t>
      </w:r>
      <w:r w:rsidR="007E2DB4">
        <w:t>,</w:t>
      </w:r>
      <w:r>
        <w:t xml:space="preserve"> </w:t>
      </w:r>
      <w:proofErr w:type="spellStart"/>
      <w:r>
        <w:t>Besanko</w:t>
      </w:r>
      <w:proofErr w:type="spellEnd"/>
      <w:r>
        <w:t xml:space="preserve"> J dismissed</w:t>
      </w:r>
      <w:r w:rsidR="00BA66DB">
        <w:t xml:space="preserve"> the stay application: </w:t>
      </w:r>
      <w:r w:rsidR="00BA66DB" w:rsidRPr="00344F4A">
        <w:rPr>
          <w:i/>
        </w:rPr>
        <w:t xml:space="preserve">Australian Mud Company Pty Ltd v </w:t>
      </w:r>
      <w:proofErr w:type="spellStart"/>
      <w:r w:rsidR="00BA66DB" w:rsidRPr="00344F4A">
        <w:rPr>
          <w:i/>
        </w:rPr>
        <w:t>Globaltech</w:t>
      </w:r>
      <w:proofErr w:type="spellEnd"/>
      <w:r w:rsidR="00BA66DB" w:rsidRPr="00344F4A">
        <w:rPr>
          <w:i/>
        </w:rPr>
        <w:t xml:space="preserve"> Corporation Pty</w:t>
      </w:r>
      <w:r w:rsidR="00BA66DB" w:rsidRPr="00344F4A">
        <w:t xml:space="preserve"> </w:t>
      </w:r>
      <w:r w:rsidR="00BA66DB" w:rsidRPr="00344F4A">
        <w:rPr>
          <w:i/>
        </w:rPr>
        <w:t xml:space="preserve">Ltd (No 3) </w:t>
      </w:r>
      <w:r w:rsidR="00BA66DB" w:rsidRPr="00344F4A">
        <w:t>[2022] FCA 596</w:t>
      </w:r>
      <w:r w:rsidR="00BA66DB">
        <w:t xml:space="preserve">. </w:t>
      </w:r>
    </w:p>
    <w:p w14:paraId="47023FE2" w14:textId="4BF5FA9F" w:rsidR="00BA66DB" w:rsidRDefault="00BA66DB" w:rsidP="00294EA1">
      <w:pPr>
        <w:pStyle w:val="ParaNumbering"/>
      </w:pPr>
      <w:r>
        <w:t xml:space="preserve">On 12 August 2022 </w:t>
      </w:r>
      <w:proofErr w:type="spellStart"/>
      <w:r>
        <w:t>Globaltech</w:t>
      </w:r>
      <w:proofErr w:type="spellEnd"/>
      <w:r>
        <w:t xml:space="preserve"> filed evidence in answer on damages. AMC </w:t>
      </w:r>
      <w:r w:rsidR="00087E9B">
        <w:t>had</w:t>
      </w:r>
      <w:r>
        <w:t xml:space="preserve"> until 26 August 2022 to make its election between pursuing damages or an account of profits in accordance with</w:t>
      </w:r>
      <w:r w:rsidR="00BA6CA1">
        <w:t xml:space="preserve"> order 7 of </w:t>
      </w:r>
      <w:proofErr w:type="spellStart"/>
      <w:r w:rsidR="00BA6CA1">
        <w:t>Besanko</w:t>
      </w:r>
      <w:proofErr w:type="spellEnd"/>
      <w:r w:rsidR="00BA6CA1">
        <w:t xml:space="preserve"> J dated 17 </w:t>
      </w:r>
      <w:r w:rsidR="00087E9B">
        <w:t xml:space="preserve">May </w:t>
      </w:r>
      <w:r>
        <w:t xml:space="preserve">2022. </w:t>
      </w:r>
    </w:p>
    <w:p w14:paraId="0C4CA81F" w14:textId="34BB6971" w:rsidR="00BA66DB" w:rsidRPr="00EF47C6" w:rsidRDefault="00BA66DB" w:rsidP="00A67D72">
      <w:pPr>
        <w:pStyle w:val="Heading3"/>
      </w:pPr>
      <w:r w:rsidRPr="00EF47C6">
        <w:t>201</w:t>
      </w:r>
      <w:r>
        <w:t>9</w:t>
      </w:r>
      <w:r w:rsidRPr="00EF47C6">
        <w:t xml:space="preserve"> Proceeding </w:t>
      </w:r>
    </w:p>
    <w:p w14:paraId="63F25B12" w14:textId="6D8683AC" w:rsidR="00EF47C6" w:rsidRDefault="00BA66DB" w:rsidP="00294EA1">
      <w:pPr>
        <w:pStyle w:val="ParaNumbering"/>
      </w:pPr>
      <w:r>
        <w:t>On 27 November 2019</w:t>
      </w:r>
      <w:r w:rsidR="007E2DB4">
        <w:t>,</w:t>
      </w:r>
      <w:r>
        <w:t xml:space="preserve"> AMC commenced proceedings </w:t>
      </w:r>
      <w:r w:rsidR="007E2DB4">
        <w:t xml:space="preserve">NSD </w:t>
      </w:r>
      <w:r>
        <w:t xml:space="preserve">1040 of 2019 in the Federal Court against </w:t>
      </w:r>
      <w:proofErr w:type="spellStart"/>
      <w:r>
        <w:t>Globaltech</w:t>
      </w:r>
      <w:proofErr w:type="spellEnd"/>
      <w:r>
        <w:t xml:space="preserve">, </w:t>
      </w:r>
      <w:proofErr w:type="spellStart"/>
      <w:r>
        <w:t>Boart</w:t>
      </w:r>
      <w:proofErr w:type="spellEnd"/>
      <w:r>
        <w:t xml:space="preserve"> </w:t>
      </w:r>
      <w:proofErr w:type="spellStart"/>
      <w:r>
        <w:t>Longyear</w:t>
      </w:r>
      <w:proofErr w:type="spellEnd"/>
      <w:r>
        <w:t xml:space="preserve"> Limited (</w:t>
      </w:r>
      <w:r w:rsidRPr="00BA66DB">
        <w:rPr>
          <w:b/>
        </w:rPr>
        <w:t>BLY</w:t>
      </w:r>
      <w:r>
        <w:t xml:space="preserve">) and BLYA (the </w:t>
      </w:r>
      <w:r w:rsidRPr="00BA66DB">
        <w:rPr>
          <w:b/>
        </w:rPr>
        <w:t>2019</w:t>
      </w:r>
      <w:r>
        <w:t xml:space="preserve"> </w:t>
      </w:r>
      <w:r w:rsidRPr="00BA66DB">
        <w:rPr>
          <w:b/>
        </w:rPr>
        <w:t>Proceeding</w:t>
      </w:r>
      <w:r>
        <w:t xml:space="preserve">). In the 2019 Proceeding, AMC alleges that the </w:t>
      </w:r>
      <w:proofErr w:type="spellStart"/>
      <w:r>
        <w:t>Orifinder</w:t>
      </w:r>
      <w:proofErr w:type="spellEnd"/>
      <w:r>
        <w:t xml:space="preserve"> v6 or “UPIX” Tool manufactured by </w:t>
      </w:r>
      <w:proofErr w:type="spellStart"/>
      <w:r>
        <w:t>Globaltech</w:t>
      </w:r>
      <w:proofErr w:type="spellEnd"/>
      <w:r>
        <w:t xml:space="preserve"> and supplied by BLY and BLYA infringes certain claims of the Patent. </w:t>
      </w:r>
      <w:proofErr w:type="spellStart"/>
      <w:r>
        <w:t>Globaltech</w:t>
      </w:r>
      <w:proofErr w:type="spellEnd"/>
      <w:r>
        <w:t xml:space="preserve">, BLY and BLYA deny infringement and challenge the validity of the Patent. </w:t>
      </w:r>
    </w:p>
    <w:p w14:paraId="768039DF" w14:textId="2973B6CE" w:rsidR="00BA66DB" w:rsidRDefault="00BA66DB" w:rsidP="00294EA1">
      <w:pPr>
        <w:pStyle w:val="ParaNumbering"/>
      </w:pPr>
      <w:r>
        <w:t xml:space="preserve">The issues of liability and validity of the Patent in the 2019 </w:t>
      </w:r>
      <w:proofErr w:type="gramStart"/>
      <w:r>
        <w:t>Proceeding</w:t>
      </w:r>
      <w:proofErr w:type="gramEnd"/>
      <w:r>
        <w:t xml:space="preserve"> were heard by </w:t>
      </w:r>
      <w:r w:rsidR="00DE4F05">
        <w:t xml:space="preserve">me </w:t>
      </w:r>
      <w:r>
        <w:t xml:space="preserve">over four days between 8 and 14 March 2022.  </w:t>
      </w:r>
    </w:p>
    <w:p w14:paraId="4626F837" w14:textId="5C765D16" w:rsidR="00BA66DB" w:rsidRDefault="00BA66DB" w:rsidP="00294EA1">
      <w:pPr>
        <w:pStyle w:val="ParaNumbering"/>
      </w:pPr>
      <w:r>
        <w:lastRenderedPageBreak/>
        <w:t xml:space="preserve">At the hearing of the 2019 </w:t>
      </w:r>
      <w:proofErr w:type="gramStart"/>
      <w:r>
        <w:t>Proceeding</w:t>
      </w:r>
      <w:proofErr w:type="gramEnd"/>
      <w:r>
        <w:t xml:space="preserve"> in March 2022, </w:t>
      </w:r>
      <w:r w:rsidR="00DE4F05">
        <w:t xml:space="preserve">the respondents in that proceeding read and relied on </w:t>
      </w:r>
      <w:r w:rsidR="00DE4F05" w:rsidRPr="007E2DB4">
        <w:t>affidavits of Mr</w:t>
      </w:r>
      <w:r w:rsidR="0014789E" w:rsidRPr="007E2DB4">
        <w:t xml:space="preserve"> </w:t>
      </w:r>
      <w:r w:rsidRPr="007E2DB4">
        <w:t xml:space="preserve">Khaled </w:t>
      </w:r>
      <w:proofErr w:type="spellStart"/>
      <w:r w:rsidRPr="007E2DB4">
        <w:t>Hejleh</w:t>
      </w:r>
      <w:proofErr w:type="spellEnd"/>
      <w:r w:rsidRPr="007E2DB4">
        <w:t xml:space="preserve">, Managing Director of </w:t>
      </w:r>
      <w:proofErr w:type="spellStart"/>
      <w:r w:rsidRPr="007E2DB4">
        <w:t>Globaltech</w:t>
      </w:r>
      <w:proofErr w:type="spellEnd"/>
      <w:r w:rsidRPr="007E2DB4">
        <w:t xml:space="preserve"> Corporation</w:t>
      </w:r>
      <w:r w:rsidR="00DE4F05" w:rsidRPr="007E2DB4">
        <w:t xml:space="preserve"> </w:t>
      </w:r>
      <w:r w:rsidR="007E2DB4" w:rsidRPr="007E2DB4">
        <w:t xml:space="preserve">Pty Ltd </w:t>
      </w:r>
      <w:r w:rsidR="00DE4F05" w:rsidRPr="007E2DB4">
        <w:t xml:space="preserve">and </w:t>
      </w:r>
      <w:proofErr w:type="spellStart"/>
      <w:r w:rsidR="00DE4F05" w:rsidRPr="00B32875">
        <w:t>Globaltech</w:t>
      </w:r>
      <w:proofErr w:type="spellEnd"/>
      <w:r w:rsidR="00DE4F05" w:rsidRPr="00B32875">
        <w:t xml:space="preserve"> Pty Ltd</w:t>
      </w:r>
      <w:r w:rsidR="00DE4F05" w:rsidRPr="007E2DB4">
        <w:t>. In</w:t>
      </w:r>
      <w:r w:rsidR="00DE4F05">
        <w:t xml:space="preserve"> cross examination, Mr </w:t>
      </w:r>
      <w:proofErr w:type="spellStart"/>
      <w:r w:rsidR="00DE4F05">
        <w:t>Hejleh</w:t>
      </w:r>
      <w:proofErr w:type="spellEnd"/>
      <w:r w:rsidR="00DE4F05">
        <w:t xml:space="preserve"> gave evidence of</w:t>
      </w:r>
      <w:r>
        <w:t xml:space="preserve"> an exclusive </w:t>
      </w:r>
      <w:r w:rsidR="00DE4F05">
        <w:t xml:space="preserve">distribution and supply agreement for </w:t>
      </w:r>
      <w:r w:rsidR="00BB766F">
        <w:t xml:space="preserve">V5 </w:t>
      </w:r>
      <w:proofErr w:type="spellStart"/>
      <w:r>
        <w:t>TruCo</w:t>
      </w:r>
      <w:r w:rsidR="00DE4F05">
        <w:t>re</w:t>
      </w:r>
      <w:proofErr w:type="spellEnd"/>
      <w:r w:rsidR="00DE4F05">
        <w:t xml:space="preserve"> </w:t>
      </w:r>
      <w:r>
        <w:t xml:space="preserve">Tools between </w:t>
      </w:r>
      <w:proofErr w:type="spellStart"/>
      <w:r>
        <w:t>Globaltech</w:t>
      </w:r>
      <w:proofErr w:type="spellEnd"/>
      <w:r>
        <w:t xml:space="preserve"> Corporation </w:t>
      </w:r>
      <w:r w:rsidR="007E2DB4">
        <w:t xml:space="preserve">Pty Ltd </w:t>
      </w:r>
      <w:r>
        <w:t xml:space="preserve">and </w:t>
      </w:r>
      <w:proofErr w:type="spellStart"/>
      <w:r>
        <w:t>Boar</w:t>
      </w:r>
      <w:r w:rsidR="00BB766F">
        <w:t>t</w:t>
      </w:r>
      <w:proofErr w:type="spellEnd"/>
      <w:r>
        <w:t xml:space="preserve"> </w:t>
      </w:r>
      <w:proofErr w:type="spellStart"/>
      <w:r>
        <w:t>Longyear</w:t>
      </w:r>
      <w:proofErr w:type="spellEnd"/>
      <w:r w:rsidR="00DE4F05">
        <w:t>.</w:t>
      </w:r>
    </w:p>
    <w:p w14:paraId="1AD835B6" w14:textId="18EE30A4" w:rsidR="00BA66DB" w:rsidRPr="005F4106" w:rsidRDefault="00BA66DB" w:rsidP="00294EA1">
      <w:pPr>
        <w:pStyle w:val="ParaNumbering"/>
      </w:pPr>
      <w:r w:rsidRPr="00A67D72">
        <w:t>Also at the</w:t>
      </w:r>
      <w:r w:rsidR="00DE4F05" w:rsidRPr="00A67D72">
        <w:t xml:space="preserve"> hearing, BLY and BLYA read </w:t>
      </w:r>
      <w:r w:rsidRPr="00A67D72">
        <w:t xml:space="preserve">the affidavit of </w:t>
      </w:r>
      <w:r w:rsidR="00DE4F05" w:rsidRPr="00A67D72">
        <w:t xml:space="preserve">Ms </w:t>
      </w:r>
      <w:r w:rsidRPr="00A67D72">
        <w:t xml:space="preserve">Shannon </w:t>
      </w:r>
      <w:proofErr w:type="spellStart"/>
      <w:r w:rsidRPr="00A67D72">
        <w:t>Emrick</w:t>
      </w:r>
      <w:proofErr w:type="spellEnd"/>
      <w:r w:rsidRPr="00A67D72">
        <w:t xml:space="preserve"> sworn on 21 Februa</w:t>
      </w:r>
      <w:r w:rsidR="0033475A" w:rsidRPr="00A67D72">
        <w:t>ry 2022</w:t>
      </w:r>
      <w:r w:rsidR="00DE4F05" w:rsidRPr="00A67D72">
        <w:t xml:space="preserve">. Ms </w:t>
      </w:r>
      <w:proofErr w:type="spellStart"/>
      <w:r w:rsidRPr="00A67D72">
        <w:t>Emrick</w:t>
      </w:r>
      <w:proofErr w:type="spellEnd"/>
      <w:r w:rsidRPr="00A67D72">
        <w:t xml:space="preserve"> was </w:t>
      </w:r>
      <w:r w:rsidR="00DE4F05" w:rsidRPr="00A67D72">
        <w:t xml:space="preserve">at various times </w:t>
      </w:r>
      <w:r w:rsidRPr="00A67D72">
        <w:t>the General Counsel, Compa</w:t>
      </w:r>
      <w:r w:rsidR="00DE4F05" w:rsidRPr="00A67D72">
        <w:t>n</w:t>
      </w:r>
      <w:r w:rsidRPr="00A67D72">
        <w:t>y Secretary and Director of BLYA, the then-Interim Global Chief Legal Officer at BL</w:t>
      </w:r>
      <w:r w:rsidR="008123EF" w:rsidRPr="00A67D72">
        <w:t xml:space="preserve">C </w:t>
      </w:r>
      <w:r w:rsidRPr="00A67D72">
        <w:t>and Di</w:t>
      </w:r>
      <w:r w:rsidR="00DE4F05" w:rsidRPr="00A67D72">
        <w:t xml:space="preserve">rector and </w:t>
      </w:r>
      <w:r w:rsidR="00DE4F05" w:rsidRPr="005F4106">
        <w:t xml:space="preserve">Secretary of BLY. </w:t>
      </w:r>
      <w:r w:rsidR="009D5BC3" w:rsidRPr="005F4106">
        <w:t xml:space="preserve">Ms </w:t>
      </w:r>
      <w:proofErr w:type="spellStart"/>
      <w:r w:rsidR="009D5BC3" w:rsidRPr="005F4106">
        <w:t>Emrick</w:t>
      </w:r>
      <w:proofErr w:type="spellEnd"/>
      <w:r w:rsidR="009D5BC3" w:rsidRPr="005F4106">
        <w:t xml:space="preserve"> was </w:t>
      </w:r>
      <w:r w:rsidR="001A6968" w:rsidRPr="005F4106">
        <w:t>cross-</w:t>
      </w:r>
      <w:r w:rsidR="009D5BC3" w:rsidRPr="005F4106">
        <w:t>examined.</w:t>
      </w:r>
    </w:p>
    <w:p w14:paraId="01754093" w14:textId="3BB1701B" w:rsidR="00EB2F37" w:rsidRPr="005F4106" w:rsidRDefault="00EB2F37" w:rsidP="00294EA1">
      <w:pPr>
        <w:pStyle w:val="ParaNumbering"/>
      </w:pPr>
      <w:r w:rsidRPr="005F4106">
        <w:t xml:space="preserve">I handed down my reasons in the 2019 </w:t>
      </w:r>
      <w:proofErr w:type="gramStart"/>
      <w:r w:rsidR="008123EF" w:rsidRPr="005F4106">
        <w:t>Proceeding</w:t>
      </w:r>
      <w:proofErr w:type="gramEnd"/>
      <w:r w:rsidR="008123EF" w:rsidRPr="005F4106">
        <w:t xml:space="preserve"> </w:t>
      </w:r>
      <w:r w:rsidRPr="005F4106">
        <w:t>on 6</w:t>
      </w:r>
      <w:r w:rsidR="008123EF" w:rsidRPr="005F4106">
        <w:t xml:space="preserve"> </w:t>
      </w:r>
      <w:r w:rsidRPr="00CA4756">
        <w:t xml:space="preserve">October 2022. </w:t>
      </w:r>
    </w:p>
    <w:p w14:paraId="0C3073A4" w14:textId="3E486F8E" w:rsidR="00D66EB0" w:rsidRPr="005F4106" w:rsidRDefault="00D66EB0" w:rsidP="00A67D72">
      <w:pPr>
        <w:pStyle w:val="Heading3"/>
      </w:pPr>
      <w:r w:rsidRPr="005F4106">
        <w:t>Present proceeding</w:t>
      </w:r>
    </w:p>
    <w:p w14:paraId="25CD37E7" w14:textId="2A5B67F3" w:rsidR="00D66EB0" w:rsidRDefault="00D66EB0" w:rsidP="00D66EB0">
      <w:pPr>
        <w:pStyle w:val="ParaNumbering"/>
      </w:pPr>
      <w:r w:rsidRPr="005F4106">
        <w:t>This proceeding was commenced on 6</w:t>
      </w:r>
      <w:r>
        <w:t xml:space="preserve"> December 2021. No </w:t>
      </w:r>
      <w:r w:rsidR="00280323">
        <w:t>evidence has been filed</w:t>
      </w:r>
      <w:r w:rsidR="00147BAF">
        <w:t>, there has been no discovery,</w:t>
      </w:r>
      <w:r w:rsidR="00280323">
        <w:t xml:space="preserve"> and no date has been set for the hearing.</w:t>
      </w:r>
    </w:p>
    <w:p w14:paraId="13C37C9C" w14:textId="359B3376" w:rsidR="00D66EB0" w:rsidRDefault="00D66EB0" w:rsidP="001B1E7D">
      <w:pPr>
        <w:pStyle w:val="ParaNumbering"/>
      </w:pPr>
      <w:r>
        <w:t xml:space="preserve">AMC seeks to add BLC as the third respondent to this proceeding in which it seeks relief for infringement of the Patent. </w:t>
      </w:r>
      <w:r w:rsidR="0090181C">
        <w:t xml:space="preserve">In the proposed ASOC, </w:t>
      </w:r>
      <w:r w:rsidR="001B1E7D">
        <w:t>AMC alleges</w:t>
      </w:r>
      <w:r w:rsidR="0090181C" w:rsidRPr="00B753C8">
        <w:t xml:space="preserve"> that BLC </w:t>
      </w:r>
      <w:r w:rsidR="001B1E7D">
        <w:t xml:space="preserve">has </w:t>
      </w:r>
      <w:r w:rsidR="0090181C" w:rsidRPr="00B753C8">
        <w:t xml:space="preserve">infringed claims 1 to 4, 7 to 10, 16, 17, 21 to 24, 27, 28, 33 to 40, 46 to 48, 54 and 65 of the Patent </w:t>
      </w:r>
      <w:r w:rsidR="001B1E7D">
        <w:t xml:space="preserve">(the </w:t>
      </w:r>
      <w:r w:rsidR="001B1E7D" w:rsidRPr="001B1E7D">
        <w:rPr>
          <w:b/>
        </w:rPr>
        <w:t>Asserted Claims</w:t>
      </w:r>
      <w:r w:rsidR="001B1E7D">
        <w:t xml:space="preserve">) </w:t>
      </w:r>
      <w:r w:rsidR="0090181C" w:rsidRPr="00B753C8">
        <w:t xml:space="preserve">by directly engaging in acts of exploitation of the V5 </w:t>
      </w:r>
      <w:proofErr w:type="spellStart"/>
      <w:r w:rsidR="0090181C" w:rsidRPr="00B753C8">
        <w:t>TruCore</w:t>
      </w:r>
      <w:proofErr w:type="spellEnd"/>
      <w:r w:rsidR="0090181C" w:rsidRPr="00B753C8">
        <w:t xml:space="preserve"> Tools</w:t>
      </w:r>
      <w:r w:rsidR="001B1E7D">
        <w:t xml:space="preserve"> </w:t>
      </w:r>
      <w:r w:rsidR="001B1E7D" w:rsidRPr="00B753C8">
        <w:t>in Australia</w:t>
      </w:r>
      <w:r w:rsidR="0090181C" w:rsidRPr="00B753C8">
        <w:t xml:space="preserve">, and indirectly, by authorising, </w:t>
      </w:r>
      <w:r w:rsidR="00AB28E7">
        <w:t xml:space="preserve">procuring, </w:t>
      </w:r>
      <w:r w:rsidR="0090181C" w:rsidRPr="00B753C8">
        <w:t xml:space="preserve">inducing or joining in a common design with BLY, BLYA and/or </w:t>
      </w:r>
      <w:proofErr w:type="spellStart"/>
      <w:r w:rsidR="0090181C" w:rsidRPr="00B753C8">
        <w:t>Globaltech</w:t>
      </w:r>
      <w:proofErr w:type="spellEnd"/>
      <w:r w:rsidR="0090181C" w:rsidRPr="00B753C8">
        <w:t xml:space="preserve"> Corporation </w:t>
      </w:r>
      <w:r w:rsidR="001B1E7D">
        <w:t xml:space="preserve">Pty Ltd </w:t>
      </w:r>
      <w:r w:rsidR="0090181C" w:rsidRPr="00B753C8">
        <w:t xml:space="preserve">to engage in exploitation of the V5 </w:t>
      </w:r>
      <w:proofErr w:type="spellStart"/>
      <w:r w:rsidR="0090181C" w:rsidRPr="00B753C8">
        <w:t>TruCore</w:t>
      </w:r>
      <w:proofErr w:type="spellEnd"/>
      <w:r w:rsidR="0090181C" w:rsidRPr="00B753C8">
        <w:t xml:space="preserve"> Tools.</w:t>
      </w:r>
      <w:r w:rsidR="001B1E7D" w:rsidRPr="001B1E7D">
        <w:t xml:space="preserve"> </w:t>
      </w:r>
      <w:r w:rsidR="001B1E7D">
        <w:t xml:space="preserve">In the proposed ASOC, AMC alleges that BLC has offered the Infringing Tools for supply, hire or other disposal via the </w:t>
      </w:r>
      <w:proofErr w:type="spellStart"/>
      <w:r w:rsidR="001B1E7D">
        <w:t>Boart</w:t>
      </w:r>
      <w:proofErr w:type="spellEnd"/>
      <w:r w:rsidR="001B1E7D">
        <w:t xml:space="preserve"> </w:t>
      </w:r>
      <w:proofErr w:type="spellStart"/>
      <w:r w:rsidR="001B1E7D">
        <w:t>Longyear</w:t>
      </w:r>
      <w:proofErr w:type="spellEnd"/>
      <w:r w:rsidR="001B1E7D">
        <w:t xml:space="preserve"> website (</w:t>
      </w:r>
      <w:r w:rsidR="00BC56F6">
        <w:t>www.</w:t>
      </w:r>
      <w:r w:rsidR="001B1E7D">
        <w:t>boartlongyear.com).</w:t>
      </w:r>
    </w:p>
    <w:p w14:paraId="2069C0CE" w14:textId="77777777" w:rsidR="00936DB3" w:rsidRDefault="00936DB3" w:rsidP="00936DB3">
      <w:pPr>
        <w:pStyle w:val="Heading1"/>
      </w:pPr>
      <w:r>
        <w:t xml:space="preserve">Joinder </w:t>
      </w:r>
    </w:p>
    <w:p w14:paraId="1416735C" w14:textId="681E91FE" w:rsidR="00C01CF3" w:rsidRDefault="00D65C06" w:rsidP="00CD1346">
      <w:pPr>
        <w:pStyle w:val="ParaNumbering"/>
      </w:pPr>
      <w:r>
        <w:t>Rule</w:t>
      </w:r>
      <w:r w:rsidR="00936DB3">
        <w:t xml:space="preserve"> 9.05(1)</w:t>
      </w:r>
      <w:r w:rsidR="00D26C51">
        <w:t xml:space="preserve"> provides for when a party may apply to the court to seek another party be joined: </w:t>
      </w:r>
      <w:r w:rsidR="00936DB3">
        <w:t xml:space="preserve">  </w:t>
      </w:r>
    </w:p>
    <w:p w14:paraId="7791540E" w14:textId="794905CA" w:rsidR="00D13ACE" w:rsidRPr="00D13ACE" w:rsidRDefault="00D13ACE" w:rsidP="00D13ACE">
      <w:pPr>
        <w:pStyle w:val="Quote1"/>
        <w:rPr>
          <w:b/>
        </w:rPr>
      </w:pPr>
      <w:proofErr w:type="gramStart"/>
      <w:r w:rsidRPr="00D13ACE">
        <w:rPr>
          <w:b/>
        </w:rPr>
        <w:t>9.05  Jo</w:t>
      </w:r>
      <w:r>
        <w:rPr>
          <w:b/>
        </w:rPr>
        <w:t>inder</w:t>
      </w:r>
      <w:proofErr w:type="gramEnd"/>
      <w:r>
        <w:rPr>
          <w:b/>
        </w:rPr>
        <w:t xml:space="preserve"> of parties by Court order</w:t>
      </w:r>
    </w:p>
    <w:p w14:paraId="1D52A72E" w14:textId="03883619" w:rsidR="00D13ACE" w:rsidRDefault="00D13ACE" w:rsidP="00D13ACE">
      <w:pPr>
        <w:pStyle w:val="Quote1"/>
        <w:ind w:left="1440" w:hanging="703"/>
      </w:pPr>
      <w:r>
        <w:t>(1)</w:t>
      </w:r>
      <w:r>
        <w:tab/>
        <w:t>A party may apply to the Court for an order that a person be joined as a party to the proceeding if the person:</w:t>
      </w:r>
    </w:p>
    <w:p w14:paraId="741617E3" w14:textId="77777777" w:rsidR="00D13ACE" w:rsidRDefault="00D13ACE" w:rsidP="00D13ACE">
      <w:pPr>
        <w:pStyle w:val="Quote2"/>
      </w:pPr>
      <w:r>
        <w:t>(a)</w:t>
      </w:r>
      <w:r>
        <w:tab/>
      </w:r>
      <w:proofErr w:type="gramStart"/>
      <w:r>
        <w:t>ought</w:t>
      </w:r>
      <w:proofErr w:type="gramEnd"/>
      <w:r>
        <w:t xml:space="preserve"> to have been joined as a party to the proceeding; or</w:t>
      </w:r>
    </w:p>
    <w:p w14:paraId="3C015889" w14:textId="681671EB" w:rsidR="00D13ACE" w:rsidRDefault="00D13ACE" w:rsidP="00D13ACE">
      <w:pPr>
        <w:pStyle w:val="Quote2"/>
      </w:pPr>
      <w:r>
        <w:t>(b)</w:t>
      </w:r>
      <w:r>
        <w:tab/>
      </w:r>
      <w:proofErr w:type="gramStart"/>
      <w:r>
        <w:t>is</w:t>
      </w:r>
      <w:proofErr w:type="gramEnd"/>
      <w:r>
        <w:t xml:space="preserve"> a person:</w:t>
      </w:r>
    </w:p>
    <w:p w14:paraId="186B5F06" w14:textId="77777777" w:rsidR="00D13ACE" w:rsidRDefault="00D13ACE" w:rsidP="00D13ACE">
      <w:pPr>
        <w:pStyle w:val="Quote3"/>
        <w:ind w:left="2880" w:hanging="720"/>
      </w:pPr>
      <w:r>
        <w:t>(</w:t>
      </w:r>
      <w:proofErr w:type="spellStart"/>
      <w:r>
        <w:t>i</w:t>
      </w:r>
      <w:proofErr w:type="spellEnd"/>
      <w:r>
        <w:t xml:space="preserve">) </w:t>
      </w:r>
      <w:r>
        <w:tab/>
      </w:r>
      <w:proofErr w:type="gramStart"/>
      <w:r>
        <w:t>whose</w:t>
      </w:r>
      <w:proofErr w:type="gramEnd"/>
      <w:r>
        <w:t xml:space="preserve"> cooperation might be required to enforce a judgment; or</w:t>
      </w:r>
    </w:p>
    <w:p w14:paraId="06C13009" w14:textId="77777777" w:rsidR="00D13ACE" w:rsidRDefault="00D13ACE" w:rsidP="00D13ACE">
      <w:pPr>
        <w:pStyle w:val="Quote3"/>
        <w:ind w:left="2880" w:hanging="720"/>
      </w:pPr>
      <w:r>
        <w:t>(ii)</w:t>
      </w:r>
      <w:r>
        <w:tab/>
      </w:r>
      <w:proofErr w:type="gramStart"/>
      <w:r>
        <w:t>whose</w:t>
      </w:r>
      <w:proofErr w:type="gramEnd"/>
      <w:r>
        <w:t xml:space="preserve"> joinder is necessary to ensure that each issue in dispute </w:t>
      </w:r>
      <w:r>
        <w:lastRenderedPageBreak/>
        <w:t>in the proceeding is able to be heard and finally determined; or</w:t>
      </w:r>
    </w:p>
    <w:p w14:paraId="52FCA87D" w14:textId="79001C50" w:rsidR="00D13ACE" w:rsidRDefault="00D13ACE" w:rsidP="00D13ACE">
      <w:pPr>
        <w:pStyle w:val="Quote3"/>
        <w:ind w:left="2880" w:hanging="720"/>
      </w:pPr>
      <w:r>
        <w:t xml:space="preserve">(iii)  </w:t>
      </w:r>
      <w:r>
        <w:tab/>
      </w:r>
      <w:proofErr w:type="gramStart"/>
      <w:r>
        <w:t>who</w:t>
      </w:r>
      <w:proofErr w:type="gramEnd"/>
      <w:r>
        <w:t xml:space="preserve"> should be joined as a party in order to enable determination of a related dispute and, as a result, avoid multiplicity of proceedings.</w:t>
      </w:r>
    </w:p>
    <w:p w14:paraId="5E57DA26" w14:textId="007ACD40" w:rsidR="00294EA1" w:rsidRDefault="00280323" w:rsidP="00376B3A">
      <w:pPr>
        <w:pStyle w:val="ParaNumbering"/>
        <w:tabs>
          <w:tab w:val="clear" w:pos="720"/>
        </w:tabs>
      </w:pPr>
      <w:r>
        <w:t>AMC submits</w:t>
      </w:r>
      <w:r w:rsidR="007A4BE3">
        <w:t xml:space="preserve"> that B</w:t>
      </w:r>
      <w:r w:rsidR="00494465">
        <w:t xml:space="preserve">LC </w:t>
      </w:r>
      <w:r w:rsidR="007A4BE3">
        <w:t xml:space="preserve">should be joined to the proceeding </w:t>
      </w:r>
      <w:r w:rsidR="00494465">
        <w:t>in order to ensure the real questions in controversy between the parties are decided, and to avoid a</w:t>
      </w:r>
      <w:r w:rsidR="00376B3A">
        <w:t xml:space="preserve"> multiplicity of proceedings</w:t>
      </w:r>
      <w:r>
        <w:t xml:space="preserve"> (</w:t>
      </w:r>
      <w:r w:rsidR="008123EF">
        <w:t>r </w:t>
      </w:r>
      <w:r>
        <w:t>9.</w:t>
      </w:r>
      <w:r w:rsidR="001A6968">
        <w:t>05(1</w:t>
      </w:r>
      <w:r>
        <w:t>)(b)(iii)), and because BLC’s cooperation might be required to enforce a judgment (</w:t>
      </w:r>
      <w:r w:rsidR="008123EF">
        <w:t>r </w:t>
      </w:r>
      <w:r>
        <w:t>9.05(1)(b)(</w:t>
      </w:r>
      <w:proofErr w:type="spellStart"/>
      <w:r>
        <w:t>i</w:t>
      </w:r>
      <w:proofErr w:type="spellEnd"/>
      <w:r>
        <w:t>))</w:t>
      </w:r>
      <w:r w:rsidR="00376B3A">
        <w:t xml:space="preserve">.  </w:t>
      </w:r>
    </w:p>
    <w:p w14:paraId="21AC5CAD" w14:textId="7E44107E" w:rsidR="00376B3A" w:rsidRDefault="00280323" w:rsidP="00294EA1">
      <w:pPr>
        <w:pStyle w:val="ParaNumbering"/>
        <w:tabs>
          <w:tab w:val="clear" w:pos="720"/>
        </w:tabs>
      </w:pPr>
      <w:r>
        <w:t xml:space="preserve">AMC submits </w:t>
      </w:r>
      <w:r w:rsidR="00294EA1">
        <w:t>that a</w:t>
      </w:r>
      <w:r>
        <w:t xml:space="preserve">fter the pleadings </w:t>
      </w:r>
      <w:r w:rsidR="00376B3A">
        <w:t xml:space="preserve">closed, it became evident </w:t>
      </w:r>
      <w:r w:rsidR="00775236">
        <w:t xml:space="preserve">to them </w:t>
      </w:r>
      <w:r w:rsidR="00376B3A">
        <w:t xml:space="preserve">that BLC ought to be joined to this proceeding by reason of admissions </w:t>
      </w:r>
      <w:r w:rsidR="001B1E7D">
        <w:t xml:space="preserve">made by the respondents </w:t>
      </w:r>
      <w:r w:rsidR="00376B3A">
        <w:t xml:space="preserve">in the </w:t>
      </w:r>
      <w:r w:rsidR="00775236">
        <w:t>Amended Defence</w:t>
      </w:r>
      <w:r w:rsidR="003D4B09">
        <w:t>,</w:t>
      </w:r>
      <w:r w:rsidR="00376B3A">
        <w:t xml:space="preserve"> and factual matters that entered the public domain</w:t>
      </w:r>
      <w:r w:rsidR="00775236">
        <w:t xml:space="preserve"> in the course of the hearing in the 2019 </w:t>
      </w:r>
      <w:proofErr w:type="gramStart"/>
      <w:r w:rsidR="008123EF">
        <w:t>Proceeding</w:t>
      </w:r>
      <w:proofErr w:type="gramEnd"/>
      <w:r w:rsidR="00376B3A">
        <w:t>. In particular</w:t>
      </w:r>
      <w:r w:rsidR="001B1E7D">
        <w:t>, AMC submits that</w:t>
      </w:r>
      <w:r w:rsidR="00376B3A">
        <w:t xml:space="preserve"> it became clear </w:t>
      </w:r>
      <w:r>
        <w:t xml:space="preserve">from Ms </w:t>
      </w:r>
      <w:proofErr w:type="spellStart"/>
      <w:r>
        <w:t>Emrick’s</w:t>
      </w:r>
      <w:proofErr w:type="spellEnd"/>
      <w:r>
        <w:t xml:space="preserve"> oral evidence</w:t>
      </w:r>
      <w:r w:rsidR="00376B3A">
        <w:t xml:space="preserve"> </w:t>
      </w:r>
      <w:r w:rsidR="001B1E7D">
        <w:t xml:space="preserve">in the 2019 </w:t>
      </w:r>
      <w:proofErr w:type="gramStart"/>
      <w:r w:rsidR="008123EF">
        <w:t>Proceeding</w:t>
      </w:r>
      <w:proofErr w:type="gramEnd"/>
      <w:r w:rsidR="008123EF">
        <w:t xml:space="preserve"> </w:t>
      </w:r>
      <w:r w:rsidR="00376B3A">
        <w:t xml:space="preserve">that BLC was </w:t>
      </w:r>
      <w:r>
        <w:t xml:space="preserve">responsible for the operations </w:t>
      </w:r>
      <w:r w:rsidR="00376B3A">
        <w:t xml:space="preserve">of the </w:t>
      </w:r>
      <w:proofErr w:type="spellStart"/>
      <w:r w:rsidR="00376B3A">
        <w:t>Boart</w:t>
      </w:r>
      <w:proofErr w:type="spellEnd"/>
      <w:r w:rsidR="00376B3A">
        <w:t xml:space="preserve"> </w:t>
      </w:r>
      <w:proofErr w:type="spellStart"/>
      <w:r w:rsidR="00376B3A">
        <w:t>Longyear</w:t>
      </w:r>
      <w:proofErr w:type="spellEnd"/>
      <w:r w:rsidR="00376B3A">
        <w:t xml:space="preserve"> business in the </w:t>
      </w:r>
      <w:r w:rsidR="008123EF">
        <w:t xml:space="preserve">United States </w:t>
      </w:r>
      <w:r w:rsidR="00376B3A">
        <w:t xml:space="preserve">and </w:t>
      </w:r>
      <w:r w:rsidR="001B1E7D">
        <w:t xml:space="preserve">was also the </w:t>
      </w:r>
      <w:r w:rsidR="00376B3A">
        <w:t xml:space="preserve">controller of the </w:t>
      </w:r>
      <w:proofErr w:type="spellStart"/>
      <w:r>
        <w:t>B</w:t>
      </w:r>
      <w:r w:rsidR="00E721A7">
        <w:t>oart</w:t>
      </w:r>
      <w:proofErr w:type="spellEnd"/>
      <w:r w:rsidR="00E721A7">
        <w:t xml:space="preserve"> </w:t>
      </w:r>
      <w:proofErr w:type="spellStart"/>
      <w:r w:rsidR="00E721A7">
        <w:t>Longyear</w:t>
      </w:r>
      <w:proofErr w:type="spellEnd"/>
      <w:r w:rsidR="00E721A7">
        <w:t xml:space="preserve"> website.</w:t>
      </w:r>
      <w:r w:rsidR="00E721A7" w:rsidRPr="00E721A7">
        <w:t xml:space="preserve"> </w:t>
      </w:r>
      <w:r w:rsidR="00E721A7">
        <w:t xml:space="preserve">According to Mr Williams, the </w:t>
      </w:r>
      <w:r w:rsidR="00376B3A">
        <w:t xml:space="preserve">V5 </w:t>
      </w:r>
      <w:proofErr w:type="spellStart"/>
      <w:r w:rsidR="00376B3A">
        <w:t>TruCore</w:t>
      </w:r>
      <w:proofErr w:type="spellEnd"/>
      <w:r w:rsidR="00376B3A">
        <w:t xml:space="preserve"> Tools </w:t>
      </w:r>
      <w:r w:rsidR="00E721A7">
        <w:t xml:space="preserve">were promoted </w:t>
      </w:r>
      <w:r w:rsidR="00376B3A">
        <w:t xml:space="preserve">to Australian consumers </w:t>
      </w:r>
      <w:r w:rsidR="00E721A7">
        <w:t xml:space="preserve">on the </w:t>
      </w:r>
      <w:proofErr w:type="spellStart"/>
      <w:r w:rsidR="00E721A7">
        <w:t>Boart</w:t>
      </w:r>
      <w:proofErr w:type="spellEnd"/>
      <w:r w:rsidR="00E721A7">
        <w:t xml:space="preserve"> </w:t>
      </w:r>
      <w:proofErr w:type="spellStart"/>
      <w:r w:rsidR="00E721A7">
        <w:t>Longyear</w:t>
      </w:r>
      <w:proofErr w:type="spellEnd"/>
      <w:r w:rsidR="00E721A7">
        <w:t xml:space="preserve"> website which </w:t>
      </w:r>
      <w:r w:rsidR="00376B3A">
        <w:t xml:space="preserve">also provided instructions for their use </w:t>
      </w:r>
      <w:proofErr w:type="gramStart"/>
      <w:r w:rsidR="00376B3A">
        <w:t xml:space="preserve">between January 2016 to January 2019 (the </w:t>
      </w:r>
      <w:r w:rsidR="00376B3A" w:rsidRPr="00280323">
        <w:rPr>
          <w:b/>
        </w:rPr>
        <w:t>Relevant Period</w:t>
      </w:r>
      <w:r w:rsidR="00376B3A">
        <w:t>)</w:t>
      </w:r>
      <w:proofErr w:type="gramEnd"/>
      <w:r w:rsidR="00376B3A">
        <w:t xml:space="preserve">. </w:t>
      </w:r>
    </w:p>
    <w:p w14:paraId="261AD459" w14:textId="760F62F8" w:rsidR="00C67FE2" w:rsidRDefault="00C67FE2" w:rsidP="00C67FE2">
      <w:pPr>
        <w:pStyle w:val="ParaNumbering"/>
      </w:pPr>
      <w:r>
        <w:t xml:space="preserve">AMC contends that Mr Williams gives evidence of factual matters relevant to the important issues of common design and authorisation and each of the respondents’ (and BLC’s) indirect infringement of the Patent. AMC submits that is likely that BLC approved purchasing decisions with respect to the V5 </w:t>
      </w:r>
      <w:proofErr w:type="spellStart"/>
      <w:r>
        <w:t>TruCore</w:t>
      </w:r>
      <w:proofErr w:type="spellEnd"/>
      <w:r>
        <w:t xml:space="preserve"> Tools, that BLC was involved in supply contracts or decisions with </w:t>
      </w:r>
      <w:proofErr w:type="spellStart"/>
      <w:r>
        <w:t>Globaltech</w:t>
      </w:r>
      <w:proofErr w:type="spellEnd"/>
      <w:r>
        <w:t xml:space="preserve">, BLYA and/or BLY, and that BLC authorised BLY, BLYA and </w:t>
      </w:r>
      <w:proofErr w:type="spellStart"/>
      <w:r>
        <w:t>Globaltech’s</w:t>
      </w:r>
      <w:proofErr w:type="spellEnd"/>
      <w:r>
        <w:t xml:space="preserve"> infringement of the Patent.</w:t>
      </w:r>
    </w:p>
    <w:p w14:paraId="32167560" w14:textId="554BCC4B" w:rsidR="00280323" w:rsidRDefault="00280323" w:rsidP="00775236">
      <w:pPr>
        <w:pStyle w:val="ParaNumbering"/>
      </w:pPr>
      <w:r>
        <w:t xml:space="preserve">AMC </w:t>
      </w:r>
      <w:r w:rsidR="00C67FE2">
        <w:t>refers to</w:t>
      </w:r>
      <w:r>
        <w:t xml:space="preserve"> Mr Williams</w:t>
      </w:r>
      <w:r w:rsidR="00C67FE2">
        <w:t>’</w:t>
      </w:r>
      <w:r>
        <w:t xml:space="preserve"> evidence that:</w:t>
      </w:r>
    </w:p>
    <w:p w14:paraId="7B26A22A" w14:textId="29ACE03E" w:rsidR="00280323" w:rsidRDefault="003D4B09" w:rsidP="00280323">
      <w:pPr>
        <w:pStyle w:val="ListNo1alt"/>
      </w:pPr>
      <w:r>
        <w:t xml:space="preserve">BLC, BLY, </w:t>
      </w:r>
      <w:proofErr w:type="spellStart"/>
      <w:r w:rsidR="00376B3A">
        <w:t>BLYAand</w:t>
      </w:r>
      <w:proofErr w:type="spellEnd"/>
      <w:r w:rsidR="00376B3A">
        <w:t xml:space="preserve"> </w:t>
      </w:r>
      <w:proofErr w:type="spellStart"/>
      <w:r w:rsidR="00376B3A">
        <w:t>Globaltech</w:t>
      </w:r>
      <w:proofErr w:type="spellEnd"/>
      <w:r w:rsidR="00376B3A">
        <w:t xml:space="preserve"> are part of the same group of companies, with the ultimate parent company in the Relevant Period being BLY. </w:t>
      </w:r>
    </w:p>
    <w:p w14:paraId="61EF0BCD" w14:textId="7B8FBAE8" w:rsidR="00C67FE2" w:rsidRDefault="00C67FE2" w:rsidP="00280323">
      <w:pPr>
        <w:pStyle w:val="ListNo1alt"/>
      </w:pPr>
      <w:r>
        <w:t xml:space="preserve">BLC, BLY and BLYA shared two directors, Mr Jeffrey Olsen and Mr Miguel </w:t>
      </w:r>
      <w:proofErr w:type="spellStart"/>
      <w:r>
        <w:t>Desdin</w:t>
      </w:r>
      <w:proofErr w:type="spellEnd"/>
      <w:r>
        <w:t>.</w:t>
      </w:r>
    </w:p>
    <w:p w14:paraId="0B749005" w14:textId="77777777" w:rsidR="00280323" w:rsidRDefault="00376B3A" w:rsidP="00280323">
      <w:pPr>
        <w:pStyle w:val="ListNo1alt"/>
      </w:pPr>
      <w:r>
        <w:t xml:space="preserve">BLC was involved in the decision for </w:t>
      </w:r>
      <w:proofErr w:type="spellStart"/>
      <w:r>
        <w:t>Boart</w:t>
      </w:r>
      <w:proofErr w:type="spellEnd"/>
      <w:r>
        <w:t xml:space="preserve"> </w:t>
      </w:r>
      <w:proofErr w:type="spellStart"/>
      <w:r>
        <w:t>Longyear</w:t>
      </w:r>
      <w:proofErr w:type="spellEnd"/>
      <w:r>
        <w:t xml:space="preserve"> to acquire shareholdings in </w:t>
      </w:r>
      <w:proofErr w:type="spellStart"/>
      <w:r>
        <w:t>Globaltech</w:t>
      </w:r>
      <w:proofErr w:type="spellEnd"/>
      <w:r>
        <w:t xml:space="preserve">. </w:t>
      </w:r>
    </w:p>
    <w:p w14:paraId="0CC4F16A" w14:textId="2C3CF08F" w:rsidR="00280323" w:rsidRDefault="00376B3A" w:rsidP="00280323">
      <w:pPr>
        <w:pStyle w:val="ListNo1alt"/>
      </w:pPr>
      <w:r>
        <w:t>BLC, BLY and BLY</w:t>
      </w:r>
      <w:r w:rsidR="003D4B09">
        <w:t>A</w:t>
      </w:r>
      <w:r>
        <w:t xml:space="preserve"> share common directors and other senior officers. </w:t>
      </w:r>
    </w:p>
    <w:p w14:paraId="4528AB7F" w14:textId="1AE71EC1" w:rsidR="00280323" w:rsidRDefault="00376B3A" w:rsidP="00280323">
      <w:pPr>
        <w:pStyle w:val="ListNo1alt"/>
      </w:pPr>
      <w:r>
        <w:lastRenderedPageBreak/>
        <w:t xml:space="preserve">BLYA was (and is) a world-wide distributor of certain mining tools manufactured by </w:t>
      </w:r>
      <w:proofErr w:type="spellStart"/>
      <w:r>
        <w:t>Globaltech</w:t>
      </w:r>
      <w:proofErr w:type="spellEnd"/>
      <w:r>
        <w:t xml:space="preserve">, including the V5 </w:t>
      </w:r>
      <w:proofErr w:type="spellStart"/>
      <w:r>
        <w:t>TruCore</w:t>
      </w:r>
      <w:proofErr w:type="spellEnd"/>
      <w:r>
        <w:t xml:space="preserve"> Tool, which was also branded as </w:t>
      </w:r>
      <w:proofErr w:type="spellStart"/>
      <w:r w:rsidR="001E4883">
        <w:t>Orifinder</w:t>
      </w:r>
      <w:proofErr w:type="spellEnd"/>
      <w:r w:rsidR="001E4883">
        <w:t xml:space="preserve"> v5 </w:t>
      </w:r>
      <w:r>
        <w:t xml:space="preserve">tool. </w:t>
      </w:r>
    </w:p>
    <w:p w14:paraId="5491CE11" w14:textId="5697F6EE" w:rsidR="00376B3A" w:rsidRDefault="00376B3A" w:rsidP="00280323">
      <w:pPr>
        <w:pStyle w:val="ListNo1alt"/>
      </w:pPr>
      <w:r>
        <w:t xml:space="preserve">It is common ground that the V5 </w:t>
      </w:r>
      <w:proofErr w:type="spellStart"/>
      <w:r>
        <w:t>TruCore</w:t>
      </w:r>
      <w:proofErr w:type="spellEnd"/>
      <w:r>
        <w:t xml:space="preserve"> Tools</w:t>
      </w:r>
      <w:r w:rsidR="00222ADE">
        <w:t xml:space="preserve"> are</w:t>
      </w:r>
      <w:r>
        <w:t xml:space="preserve"> the same as the </w:t>
      </w:r>
      <w:proofErr w:type="spellStart"/>
      <w:r w:rsidR="001E4883">
        <w:t>Orifinder</w:t>
      </w:r>
      <w:proofErr w:type="spellEnd"/>
      <w:r w:rsidR="001E4883">
        <w:t xml:space="preserve"> v5 t</w:t>
      </w:r>
      <w:r>
        <w:t>ools, which were held to infringe the Patent in NSD 1089 of 2016.</w:t>
      </w:r>
    </w:p>
    <w:p w14:paraId="06D2C480" w14:textId="69D47134" w:rsidR="00376B3A" w:rsidRDefault="00280323" w:rsidP="00775236">
      <w:pPr>
        <w:pStyle w:val="ParaNumbering"/>
      </w:pPr>
      <w:r>
        <w:t>AMC contends that they should</w:t>
      </w:r>
      <w:r w:rsidR="00376B3A">
        <w:t xml:space="preserve"> be permitted to adv</w:t>
      </w:r>
      <w:r>
        <w:t>ance a case consistent with Mr Williams’</w:t>
      </w:r>
      <w:r w:rsidR="00376B3A">
        <w:t xml:space="preserve"> evidence by ame</w:t>
      </w:r>
      <w:r w:rsidR="00C67FE2">
        <w:t xml:space="preserve">nding their pleading in accordance with the ASOC annexed to Mr Williams’ </w:t>
      </w:r>
      <w:r w:rsidR="008E299A">
        <w:t xml:space="preserve">second </w:t>
      </w:r>
      <w:r w:rsidR="00C67FE2">
        <w:t>affidavit,</w:t>
      </w:r>
      <w:r w:rsidR="00376B3A">
        <w:t xml:space="preserve"> an</w:t>
      </w:r>
      <w:r w:rsidR="00C67FE2">
        <w:t>d by joining BLC. Further,</w:t>
      </w:r>
      <w:r w:rsidR="00376B3A">
        <w:t xml:space="preserve"> </w:t>
      </w:r>
      <w:r w:rsidR="001D62FA">
        <w:t xml:space="preserve">AMC </w:t>
      </w:r>
      <w:r w:rsidR="00376B3A">
        <w:t>should be permitted to rely on a more precise framing of i</w:t>
      </w:r>
      <w:r w:rsidR="00C67FE2">
        <w:t xml:space="preserve">ts allegations of common design </w:t>
      </w:r>
      <w:r w:rsidR="00376B3A">
        <w:t xml:space="preserve">and authorisation </w:t>
      </w:r>
      <w:r w:rsidR="00C67FE2">
        <w:t xml:space="preserve">as provided </w:t>
      </w:r>
      <w:r w:rsidR="00376B3A">
        <w:t>in the ASOC.</w:t>
      </w:r>
    </w:p>
    <w:p w14:paraId="726C3692" w14:textId="6B747830" w:rsidR="000B42FF" w:rsidRDefault="001D62FA" w:rsidP="00775236">
      <w:pPr>
        <w:pStyle w:val="ParaNumbering"/>
      </w:pPr>
      <w:r>
        <w:t>AMC submits that t</w:t>
      </w:r>
      <w:r w:rsidR="00376B3A">
        <w:t xml:space="preserve">he dispute with BLC is </w:t>
      </w:r>
      <w:r w:rsidR="001D4A4E">
        <w:t>“</w:t>
      </w:r>
      <w:r w:rsidR="00376B3A">
        <w:t>related</w:t>
      </w:r>
      <w:r w:rsidR="001D4A4E">
        <w:t>”</w:t>
      </w:r>
      <w:r w:rsidR="00376B3A">
        <w:t xml:space="preserve"> to the current proceeding because it</w:t>
      </w:r>
      <w:r>
        <w:t xml:space="preserve"> arises</w:t>
      </w:r>
      <w:r w:rsidR="00376B3A">
        <w:t xml:space="preserve"> out</w:t>
      </w:r>
      <w:r>
        <w:t xml:space="preserve"> </w:t>
      </w:r>
      <w:r w:rsidR="00376B3A">
        <w:t xml:space="preserve">of the same course of conduct; it concerns infringement of the same claims of the Patent by related </w:t>
      </w:r>
      <w:proofErr w:type="spellStart"/>
      <w:r w:rsidR="00C67FE2">
        <w:t>Boart</w:t>
      </w:r>
      <w:proofErr w:type="spellEnd"/>
      <w:r w:rsidR="00C67FE2">
        <w:t xml:space="preserve"> </w:t>
      </w:r>
      <w:proofErr w:type="spellStart"/>
      <w:r w:rsidR="00C67FE2">
        <w:t>Longyear</w:t>
      </w:r>
      <w:proofErr w:type="spellEnd"/>
      <w:r w:rsidR="00C67FE2">
        <w:t xml:space="preserve"> </w:t>
      </w:r>
      <w:r w:rsidR="00376B3A">
        <w:t>entities and in relation to the supply and offer for supply of the same core orientation</w:t>
      </w:r>
      <w:r w:rsidR="00C67FE2">
        <w:t xml:space="preserve"> tool in the same time period. AMC submits that t</w:t>
      </w:r>
      <w:r w:rsidR="00376B3A">
        <w:t xml:space="preserve">he joinder of BLC to this proceeding would be a better utilization of Court resources as it would enable the Court to avoid two trials and would also avoid the inconvenience of having to prove common aspects of claims in separate proceedings and potentially inconsistent findings of fact. </w:t>
      </w:r>
      <w:r>
        <w:t xml:space="preserve">AMC further submits that </w:t>
      </w:r>
      <w:r w:rsidR="00376B3A">
        <w:t xml:space="preserve">the addition of BLC is unlikely to add to the length of the trial because of the considerable overlap between the case on foot </w:t>
      </w:r>
      <w:r w:rsidR="000B42FF">
        <w:t xml:space="preserve">and the proposed amended case. </w:t>
      </w:r>
    </w:p>
    <w:p w14:paraId="419B4309" w14:textId="5A1BE1EB" w:rsidR="00376B3A" w:rsidRDefault="000B42FF" w:rsidP="00775236">
      <w:pPr>
        <w:pStyle w:val="ParaNumbering"/>
      </w:pPr>
      <w:r>
        <w:t>AMC also submits t</w:t>
      </w:r>
      <w:r w:rsidR="00376B3A">
        <w:t>he joinder of BLC is necessary because BLC’s cooperation might be required to enforce the judgment and to obtain relief.</w:t>
      </w:r>
    </w:p>
    <w:p w14:paraId="4EEA3438" w14:textId="7898FDF9" w:rsidR="000B42FF" w:rsidRDefault="00936DB3" w:rsidP="00CD1346">
      <w:pPr>
        <w:pStyle w:val="ParaNumbering"/>
      </w:pPr>
      <w:r>
        <w:t xml:space="preserve">Mr Fox, senior counsel for the first and second respondents, did not appear for the proposed third respondent </w:t>
      </w:r>
      <w:r w:rsidR="001D4A4E">
        <w:t>—</w:t>
      </w:r>
      <w:r>
        <w:t xml:space="preserve"> BLC. </w:t>
      </w:r>
      <w:r w:rsidR="003C1057">
        <w:t xml:space="preserve">The respondents made various complaints about the pleadings and the ability of </w:t>
      </w:r>
      <w:r w:rsidR="001D62FA">
        <w:t>AMC to make out the</w:t>
      </w:r>
      <w:r w:rsidR="003C1057">
        <w:t xml:space="preserve"> case</w:t>
      </w:r>
      <w:r w:rsidR="001D62FA">
        <w:t xml:space="preserve"> against them</w:t>
      </w:r>
      <w:r w:rsidR="003C1057">
        <w:t xml:space="preserve">. </w:t>
      </w:r>
      <w:r w:rsidR="001D62FA">
        <w:t xml:space="preserve">The respondents submitted that no prima facie case against BLC was demonstrated by the evidence relied upon by AMC. </w:t>
      </w:r>
    </w:p>
    <w:p w14:paraId="5EBEB3BC" w14:textId="5F72A7EC" w:rsidR="00936DB3" w:rsidRPr="008553B5" w:rsidRDefault="003C1057" w:rsidP="00CD1346">
      <w:pPr>
        <w:pStyle w:val="ParaNumbering"/>
      </w:pPr>
      <w:r w:rsidRPr="008553B5">
        <w:t xml:space="preserve">The principal question is whether BLC should be joined. Disputes about </w:t>
      </w:r>
      <w:r w:rsidR="008553B5" w:rsidRPr="008553B5">
        <w:t xml:space="preserve">the form of the </w:t>
      </w:r>
      <w:r w:rsidRPr="008553B5">
        <w:t xml:space="preserve">pleadings and </w:t>
      </w:r>
      <w:r w:rsidR="008553B5" w:rsidRPr="008553B5">
        <w:t xml:space="preserve">whether the </w:t>
      </w:r>
      <w:r w:rsidRPr="008553B5">
        <w:t>particulars</w:t>
      </w:r>
      <w:r w:rsidR="008553B5" w:rsidRPr="008553B5">
        <w:t xml:space="preserve"> are </w:t>
      </w:r>
      <w:r w:rsidR="008553B5">
        <w:t>adequately pleaded</w:t>
      </w:r>
      <w:r w:rsidRPr="008553B5">
        <w:t xml:space="preserve"> can be dealt with later.</w:t>
      </w:r>
    </w:p>
    <w:p w14:paraId="55022ACE" w14:textId="19F18A4E" w:rsidR="00936DB3" w:rsidRDefault="00936DB3" w:rsidP="00CD1346">
      <w:pPr>
        <w:pStyle w:val="ParaNumbering"/>
      </w:pPr>
      <w:r>
        <w:t xml:space="preserve">Mr Fox, although </w:t>
      </w:r>
      <w:r w:rsidR="003C1057">
        <w:t xml:space="preserve">expressly </w:t>
      </w:r>
      <w:r>
        <w:t xml:space="preserve">not acting for the proposed third respondent, </w:t>
      </w:r>
      <w:r w:rsidR="001D62FA">
        <w:t>fore</w:t>
      </w:r>
      <w:r w:rsidR="003C1057">
        <w:t>shadowed</w:t>
      </w:r>
      <w:r>
        <w:t xml:space="preserve"> a strike out application by </w:t>
      </w:r>
      <w:r w:rsidR="001D62FA">
        <w:t>BLC</w:t>
      </w:r>
      <w:r>
        <w:t xml:space="preserve"> </w:t>
      </w:r>
      <w:r w:rsidR="003C1057">
        <w:t xml:space="preserve">if joined, </w:t>
      </w:r>
      <w:r>
        <w:t xml:space="preserve">and that his clients would join in any such </w:t>
      </w:r>
      <w:r w:rsidR="003D4995">
        <w:t>application</w:t>
      </w:r>
      <w:r>
        <w:t xml:space="preserve">. </w:t>
      </w:r>
    </w:p>
    <w:p w14:paraId="4F31162C" w14:textId="17E5E739" w:rsidR="00936DB3" w:rsidRDefault="004315CD" w:rsidP="004315CD">
      <w:pPr>
        <w:pStyle w:val="Heading3"/>
      </w:pPr>
      <w:r>
        <w:lastRenderedPageBreak/>
        <w:t>Consideration</w:t>
      </w:r>
      <w:r w:rsidR="00936DB3">
        <w:t xml:space="preserve"> </w:t>
      </w:r>
      <w:r>
        <w:t xml:space="preserve"> </w:t>
      </w:r>
    </w:p>
    <w:p w14:paraId="4DD4BB90" w14:textId="1CA32AE2" w:rsidR="00693151" w:rsidRDefault="000B42FF" w:rsidP="00ED1106">
      <w:pPr>
        <w:pStyle w:val="ParaNumbering"/>
      </w:pPr>
      <w:r>
        <w:t>T</w:t>
      </w:r>
      <w:r w:rsidR="00693151">
        <w:t xml:space="preserve">he applicant for joinder </w:t>
      </w:r>
      <w:r>
        <w:t>pursuant to r</w:t>
      </w:r>
      <w:r w:rsidR="00DB6048">
        <w:t xml:space="preserve"> </w:t>
      </w:r>
      <w:r>
        <w:t>9.05(1</w:t>
      </w:r>
      <w:proofErr w:type="gramStart"/>
      <w:r>
        <w:t>)(</w:t>
      </w:r>
      <w:proofErr w:type="gramEnd"/>
      <w:r>
        <w:t>b)(iii) must</w:t>
      </w:r>
      <w:r w:rsidR="00693151">
        <w:t xml:space="preserve"> demonstrate that the joi</w:t>
      </w:r>
      <w:r w:rsidR="003D4995">
        <w:t>nder of the proposed respondent</w:t>
      </w:r>
      <w:r w:rsidR="00693151">
        <w:t xml:space="preserve"> should occur in order to enable the determination of a related dispute and thus avoid a multiplicity of proceedings. This requires at least two factors to be considered: whether the other dispute is in fact related to the dispute in the existing proceedings and whether the other dispute exists in relation to which it may be appropriate to assess whether the other dispute is unarguable in the sense</w:t>
      </w:r>
      <w:r w:rsidR="00ED1106" w:rsidRPr="00ED1106">
        <w:t xml:space="preserve"> outlined in </w:t>
      </w:r>
      <w:r w:rsidR="00ED1106" w:rsidRPr="00B32875">
        <w:rPr>
          <w:b/>
          <w:i/>
        </w:rPr>
        <w:t>General Steel</w:t>
      </w:r>
      <w:r w:rsidR="00ED1106" w:rsidRPr="00344F4A">
        <w:rPr>
          <w:i/>
        </w:rPr>
        <w:t xml:space="preserve"> Industries </w:t>
      </w:r>
      <w:proofErr w:type="spellStart"/>
      <w:r w:rsidR="00ED1106" w:rsidRPr="00344F4A">
        <w:rPr>
          <w:i/>
        </w:rPr>
        <w:t>Inc</w:t>
      </w:r>
      <w:proofErr w:type="spellEnd"/>
      <w:r w:rsidR="00ED1106" w:rsidRPr="00344F4A">
        <w:rPr>
          <w:i/>
        </w:rPr>
        <w:t xml:space="preserve"> v Commissioner for Railways (NSW)</w:t>
      </w:r>
      <w:r w:rsidR="00ED1106" w:rsidRPr="00344F4A">
        <w:t xml:space="preserve"> (1964) 112 CLR 125</w:t>
      </w:r>
      <w:r w:rsidR="00F16C9B">
        <w:t>;</w:t>
      </w:r>
      <w:r w:rsidR="00693151" w:rsidRPr="00ED1106">
        <w:t xml:space="preserve"> </w:t>
      </w:r>
      <w:r w:rsidR="00693151" w:rsidRPr="00B32875">
        <w:rPr>
          <w:b/>
          <w:i/>
        </w:rPr>
        <w:t>Crocker</w:t>
      </w:r>
      <w:r w:rsidR="00693151" w:rsidRPr="00B32875">
        <w:rPr>
          <w:i/>
        </w:rPr>
        <w:t xml:space="preserve"> v Toys ‘R’ Us </w:t>
      </w:r>
      <w:r w:rsidR="005E69D4" w:rsidRPr="00B32875">
        <w:rPr>
          <w:i/>
        </w:rPr>
        <w:t>(Australia) Pty Ltd</w:t>
      </w:r>
      <w:r w:rsidR="005E69D4" w:rsidRPr="00344F4A">
        <w:t xml:space="preserve"> </w:t>
      </w:r>
      <w:r w:rsidR="00693151" w:rsidRPr="00344F4A">
        <w:t>[2015] FCA 588</w:t>
      </w:r>
      <w:r w:rsidR="00693151">
        <w:t xml:space="preserve"> </w:t>
      </w:r>
      <w:r w:rsidR="003D4995">
        <w:t xml:space="preserve">per Reeves J </w:t>
      </w:r>
      <w:r w:rsidR="00693151">
        <w:t>at [37] to [38]</w:t>
      </w:r>
      <w:r w:rsidR="00F16C9B">
        <w:t>;</w:t>
      </w:r>
      <w:r w:rsidR="00693151">
        <w:t xml:space="preserve"> </w:t>
      </w:r>
      <w:proofErr w:type="spellStart"/>
      <w:r w:rsidR="00693151" w:rsidRPr="00B32875">
        <w:rPr>
          <w:i/>
        </w:rPr>
        <w:t>Few</w:t>
      </w:r>
      <w:r w:rsidR="004B11EC" w:rsidRPr="00B32875">
        <w:rPr>
          <w:i/>
        </w:rPr>
        <w:t>in</w:t>
      </w:r>
      <w:proofErr w:type="spellEnd"/>
      <w:r w:rsidR="00ED1106" w:rsidRPr="00344F4A">
        <w:rPr>
          <w:i/>
        </w:rPr>
        <w:t xml:space="preserve"> Pt</w:t>
      </w:r>
      <w:r w:rsidR="00B32875">
        <w:rPr>
          <w:i/>
        </w:rPr>
        <w:t>y</w:t>
      </w:r>
      <w:r w:rsidR="00ED1106" w:rsidRPr="00344F4A">
        <w:rPr>
          <w:i/>
        </w:rPr>
        <w:t xml:space="preserve"> Ltd v Burke </w:t>
      </w:r>
      <w:r w:rsidR="00ED1106" w:rsidRPr="00344F4A">
        <w:t>[2016] FCA 503</w:t>
      </w:r>
      <w:r w:rsidR="004B11EC">
        <w:t xml:space="preserve"> </w:t>
      </w:r>
      <w:r w:rsidR="003D4995">
        <w:t xml:space="preserve">per </w:t>
      </w:r>
      <w:proofErr w:type="spellStart"/>
      <w:r w:rsidR="003D4995">
        <w:t>Markovic</w:t>
      </w:r>
      <w:proofErr w:type="spellEnd"/>
      <w:r w:rsidR="003D4995">
        <w:t xml:space="preserve"> J </w:t>
      </w:r>
      <w:r w:rsidR="004B11EC">
        <w:t>at [48(2)] and [56]</w:t>
      </w:r>
      <w:r w:rsidR="00693151">
        <w:t xml:space="preserve">. </w:t>
      </w:r>
    </w:p>
    <w:p w14:paraId="34515803" w14:textId="551DB5F3" w:rsidR="000010DE" w:rsidRDefault="00693151" w:rsidP="00693151">
      <w:pPr>
        <w:pStyle w:val="ParaNumbering"/>
      </w:pPr>
      <w:r>
        <w:t xml:space="preserve">The overarching purpose of civil practice and procedure in this Court, expressed in s 37M of the </w:t>
      </w:r>
      <w:r w:rsidRPr="00344F4A">
        <w:rPr>
          <w:i/>
        </w:rPr>
        <w:t>Federal Court of Australia Act 1976</w:t>
      </w:r>
      <w:r w:rsidRPr="00344F4A">
        <w:t xml:space="preserve"> (</w:t>
      </w:r>
      <w:proofErr w:type="spellStart"/>
      <w:r w:rsidRPr="00344F4A">
        <w:t>Cth</w:t>
      </w:r>
      <w:proofErr w:type="spellEnd"/>
      <w:r w:rsidRPr="00344F4A">
        <w:t>)</w:t>
      </w:r>
      <w:r>
        <w:t xml:space="preserve"> </w:t>
      </w:r>
      <w:r w:rsidR="000B42FF">
        <w:t>(</w:t>
      </w:r>
      <w:r w:rsidR="000B42FF" w:rsidRPr="000B42FF">
        <w:rPr>
          <w:b/>
          <w:i/>
        </w:rPr>
        <w:t>FCA</w:t>
      </w:r>
      <w:r w:rsidR="00EC74EA">
        <w:rPr>
          <w:b/>
          <w:i/>
        </w:rPr>
        <w:t xml:space="preserve"> Act</w:t>
      </w:r>
      <w:r w:rsidR="000B42FF">
        <w:t xml:space="preserve">) </w:t>
      </w:r>
      <w:r>
        <w:t xml:space="preserve">of disposing of proceedings justly, quickly, inexpensively and as efficiently as possible </w:t>
      </w:r>
      <w:r w:rsidR="00D97629">
        <w:t>is</w:t>
      </w:r>
      <w:r>
        <w:t xml:space="preserve"> </w:t>
      </w:r>
      <w:r w:rsidR="000B42FF">
        <w:t>another</w:t>
      </w:r>
      <w:r w:rsidR="00D97629">
        <w:t xml:space="preserve"> </w:t>
      </w:r>
      <w:r>
        <w:t>relevant consi</w:t>
      </w:r>
      <w:r w:rsidR="00D97629">
        <w:t>deration</w:t>
      </w:r>
      <w:r>
        <w:t xml:space="preserve"> in any joinder application: </w:t>
      </w:r>
      <w:r w:rsidRPr="00693151">
        <w:rPr>
          <w:i/>
        </w:rPr>
        <w:t>Crocker</w:t>
      </w:r>
      <w:r>
        <w:t xml:space="preserve"> per</w:t>
      </w:r>
      <w:r w:rsidRPr="00693151">
        <w:t xml:space="preserve"> </w:t>
      </w:r>
      <w:r>
        <w:t>Reeves J at [39]</w:t>
      </w:r>
      <w:r w:rsidR="009E0615">
        <w:t>–</w:t>
      </w:r>
      <w:r>
        <w:t>[40]</w:t>
      </w:r>
      <w:r w:rsidR="00E21F13">
        <w:t>.</w:t>
      </w:r>
    </w:p>
    <w:p w14:paraId="1A1DB336" w14:textId="6CE653B7" w:rsidR="003C1057" w:rsidRDefault="003C1057" w:rsidP="000010DE">
      <w:pPr>
        <w:pStyle w:val="ParaNumbering"/>
      </w:pPr>
      <w:r>
        <w:t>The application to join BLC is made at a relatively early stage in the proceedings. No date has been set for the hearing.</w:t>
      </w:r>
      <w:r w:rsidR="000010DE">
        <w:t xml:space="preserve"> The circumstance of an imminent trial does not arise here.</w:t>
      </w:r>
    </w:p>
    <w:p w14:paraId="42C525EC" w14:textId="6B86C6D2" w:rsidR="003C1057" w:rsidRDefault="003C1057" w:rsidP="00CD1346">
      <w:pPr>
        <w:pStyle w:val="ParaNumbering"/>
      </w:pPr>
      <w:r>
        <w:t xml:space="preserve">The proposed claims against BLC arise out of substantially the same facts as </w:t>
      </w:r>
      <w:r w:rsidR="000B42FF">
        <w:t xml:space="preserve">the claims </w:t>
      </w:r>
      <w:r>
        <w:t>against the existing respondents</w:t>
      </w:r>
      <w:r w:rsidR="003D4995">
        <w:t xml:space="preserve">; the offer to supply, hire or otherwise dispose of the V5 </w:t>
      </w:r>
      <w:proofErr w:type="spellStart"/>
      <w:r w:rsidR="003D4995">
        <w:t>TruCore</w:t>
      </w:r>
      <w:proofErr w:type="spellEnd"/>
      <w:r w:rsidR="003D4995">
        <w:t xml:space="preserve"> Tools to Australian cus</w:t>
      </w:r>
      <w:r w:rsidR="000B42FF">
        <w:t xml:space="preserve">tomers, including via the </w:t>
      </w:r>
      <w:proofErr w:type="spellStart"/>
      <w:r w:rsidR="000B42FF">
        <w:t>Boart</w:t>
      </w:r>
      <w:proofErr w:type="spellEnd"/>
      <w:r w:rsidR="000B42FF">
        <w:t xml:space="preserve"> </w:t>
      </w:r>
      <w:proofErr w:type="spellStart"/>
      <w:r w:rsidR="000B42FF">
        <w:t>L</w:t>
      </w:r>
      <w:r w:rsidR="003D4995">
        <w:t>ongyear</w:t>
      </w:r>
      <w:proofErr w:type="spellEnd"/>
      <w:r w:rsidR="003D4995">
        <w:t xml:space="preserve"> website</w:t>
      </w:r>
      <w:r w:rsidR="00E21F13">
        <w:t xml:space="preserve"> during the Relevant Period</w:t>
      </w:r>
      <w:r>
        <w:t>.</w:t>
      </w:r>
    </w:p>
    <w:p w14:paraId="298C3BFB" w14:textId="7E9D5FB2" w:rsidR="00E21F13" w:rsidRDefault="004315CD" w:rsidP="00E21F13">
      <w:pPr>
        <w:pStyle w:val="ParaNumbering"/>
      </w:pPr>
      <w:r>
        <w:t xml:space="preserve">I am not able to conclude on the material before me that </w:t>
      </w:r>
      <w:r w:rsidR="00E21F13">
        <w:t>AMC’s</w:t>
      </w:r>
      <w:r>
        <w:t xml:space="preserve"> </w:t>
      </w:r>
      <w:r w:rsidR="00E21F13">
        <w:t xml:space="preserve">proposed claims against BLC </w:t>
      </w:r>
      <w:r>
        <w:t xml:space="preserve">are unarguable </w:t>
      </w:r>
      <w:r w:rsidR="00E21F13">
        <w:t xml:space="preserve">in the </w:t>
      </w:r>
      <w:r w:rsidR="00E21F13" w:rsidRPr="00E21F13">
        <w:rPr>
          <w:i/>
        </w:rPr>
        <w:t>General Steel</w:t>
      </w:r>
      <w:r w:rsidR="00E21F13">
        <w:t xml:space="preserve"> sense, </w:t>
      </w:r>
      <w:r>
        <w:t xml:space="preserve">and it seems to me that they are sufficiently arguable to warrant taking them to trial. In my view, the joinder of BLC is appropriate.  </w:t>
      </w:r>
    </w:p>
    <w:p w14:paraId="0D7E1133" w14:textId="77777777" w:rsidR="000B42FF" w:rsidRDefault="000B42FF" w:rsidP="000B42FF">
      <w:pPr>
        <w:pStyle w:val="ParaNumbering"/>
      </w:pPr>
      <w:r>
        <w:t>The joinder of BLC is necessary “in order to enable determination of a related dispute and, as a result, avoid multiplicity of proceedings”. The dispute with BLC is both “related to the proceeding” and is “sufficiently arguable”.</w:t>
      </w:r>
    </w:p>
    <w:p w14:paraId="53A1DDBF" w14:textId="0017B292" w:rsidR="004315CD" w:rsidRDefault="004315CD" w:rsidP="00E21F13">
      <w:pPr>
        <w:pStyle w:val="ParaNumbering"/>
      </w:pPr>
      <w:r>
        <w:t xml:space="preserve">If BLC were not joined to these proceedings, </w:t>
      </w:r>
      <w:r w:rsidR="00E21F13">
        <w:t>AMC</w:t>
      </w:r>
      <w:r>
        <w:t xml:space="preserve"> could issue separate proceedings in order to make the claims they now wish to make. This would increase costs and the risk of other unsatisfactory outcomes including the potential for two proceedings in respect of the same facts giving rise to the possibility of inconsistent findings. </w:t>
      </w:r>
      <w:r w:rsidR="00E21F13">
        <w:t xml:space="preserve">This is </w:t>
      </w:r>
      <w:r w:rsidR="00E52B09">
        <w:t>undesirable</w:t>
      </w:r>
      <w:r w:rsidR="00E21F13">
        <w:t>.</w:t>
      </w:r>
    </w:p>
    <w:p w14:paraId="2B5FE595" w14:textId="081F93D7" w:rsidR="00936DB3" w:rsidRDefault="00936DB3" w:rsidP="002D30E2">
      <w:pPr>
        <w:pStyle w:val="Heading1"/>
      </w:pPr>
      <w:r>
        <w:lastRenderedPageBreak/>
        <w:t xml:space="preserve">Leave to amend </w:t>
      </w:r>
      <w:r w:rsidR="002D30E2">
        <w:t xml:space="preserve"> </w:t>
      </w:r>
    </w:p>
    <w:p w14:paraId="6DACA145" w14:textId="23688143" w:rsidR="002D30E2" w:rsidRDefault="002D30E2" w:rsidP="002D30E2">
      <w:pPr>
        <w:pStyle w:val="ParaNumbering"/>
      </w:pPr>
      <w:r>
        <w:t>The power to grant leave to amend under r 16.53 is discretionary and must be exercised in accordance with the overarching purpose in s</w:t>
      </w:r>
      <w:r w:rsidR="00DB1D59">
        <w:t xml:space="preserve"> </w:t>
      </w:r>
      <w:r>
        <w:t xml:space="preserve">37M of the </w:t>
      </w:r>
      <w:r w:rsidR="000B42FF" w:rsidRPr="00C24F60">
        <w:rPr>
          <w:i/>
        </w:rPr>
        <w:t>FCA</w:t>
      </w:r>
      <w:r w:rsidR="00EC74EA">
        <w:rPr>
          <w:i/>
        </w:rPr>
        <w:t xml:space="preserve"> Act</w:t>
      </w:r>
      <w:r>
        <w:t xml:space="preserve">. </w:t>
      </w:r>
    </w:p>
    <w:p w14:paraId="3C7A9729" w14:textId="01E150A6" w:rsidR="002D30E2" w:rsidRDefault="002D30E2" w:rsidP="002D30E2">
      <w:pPr>
        <w:pStyle w:val="ParaNumbering"/>
      </w:pPr>
      <w:r>
        <w:t>The applicable principles were conveniently summarised</w:t>
      </w:r>
      <w:r w:rsidR="000B42FF" w:rsidRPr="000B42FF">
        <w:t xml:space="preserve"> </w:t>
      </w:r>
      <w:r w:rsidR="000B42FF">
        <w:t>by Gleeson J</w:t>
      </w:r>
      <w:r>
        <w:t xml:space="preserve"> in </w:t>
      </w:r>
      <w:r w:rsidRPr="00344F4A">
        <w:rPr>
          <w:i/>
        </w:rPr>
        <w:t>Lynch v Cash Converters Personal Finance Pty Ltd</w:t>
      </w:r>
      <w:r w:rsidR="000B42FF" w:rsidRPr="00344F4A">
        <w:t xml:space="preserve"> [2016] FCA 1536</w:t>
      </w:r>
      <w:r w:rsidR="000B42FF">
        <w:t xml:space="preserve"> at [54] and</w:t>
      </w:r>
      <w:r>
        <w:t xml:space="preserve"> [55]: </w:t>
      </w:r>
    </w:p>
    <w:p w14:paraId="4119EF42" w14:textId="191AABBD" w:rsidR="002D30E2" w:rsidRDefault="002D30E2" w:rsidP="002D30E2">
      <w:pPr>
        <w:pStyle w:val="Quote1"/>
        <w:ind w:left="1440" w:hanging="703"/>
      </w:pPr>
      <w:r>
        <w:t>54.</w:t>
      </w:r>
      <w:r>
        <w:tab/>
        <w:t xml:space="preserve">The question of whether leave to amend should be granted is a matter for the Court’s discretion. The powers of the Court are broad and consideration of the question must be undertaken in accordance with the overarching purpose set out in s 37M(1) of the </w:t>
      </w:r>
      <w:r w:rsidRPr="00FD4F42">
        <w:rPr>
          <w:i/>
        </w:rPr>
        <w:t>Federal Court Act 1976</w:t>
      </w:r>
      <w:r>
        <w:t xml:space="preserve"> (</w:t>
      </w:r>
      <w:proofErr w:type="spellStart"/>
      <w:r>
        <w:t>Cth</w:t>
      </w:r>
      <w:proofErr w:type="spellEnd"/>
      <w:r>
        <w:t xml:space="preserve">): </w:t>
      </w:r>
      <w:proofErr w:type="spellStart"/>
      <w:r w:rsidRPr="00FD4F42">
        <w:rPr>
          <w:i/>
        </w:rPr>
        <w:t>Tamaya</w:t>
      </w:r>
      <w:proofErr w:type="spellEnd"/>
      <w:r w:rsidRPr="00FD4F42">
        <w:rPr>
          <w:i/>
        </w:rPr>
        <w:t xml:space="preserve"> Resources Limited (in </w:t>
      </w:r>
      <w:proofErr w:type="spellStart"/>
      <w:r w:rsidRPr="00FD4F42">
        <w:rPr>
          <w:i/>
        </w:rPr>
        <w:t>liq</w:t>
      </w:r>
      <w:proofErr w:type="spellEnd"/>
      <w:r w:rsidRPr="00FD4F42">
        <w:rPr>
          <w:i/>
        </w:rPr>
        <w:t xml:space="preserve">) v Deloitte </w:t>
      </w:r>
      <w:proofErr w:type="spellStart"/>
      <w:r w:rsidRPr="00FD4F42">
        <w:rPr>
          <w:i/>
        </w:rPr>
        <w:t>Touche</w:t>
      </w:r>
      <w:proofErr w:type="spellEnd"/>
      <w:r w:rsidRPr="00FD4F42">
        <w:rPr>
          <w:i/>
        </w:rPr>
        <w:t xml:space="preserve"> Tohmatsu (A Firm), in the matter of </w:t>
      </w:r>
      <w:proofErr w:type="spellStart"/>
      <w:r w:rsidRPr="00FD4F42">
        <w:rPr>
          <w:i/>
        </w:rPr>
        <w:t>Tamaya</w:t>
      </w:r>
      <w:proofErr w:type="spellEnd"/>
      <w:r w:rsidRPr="00FD4F42">
        <w:rPr>
          <w:i/>
        </w:rPr>
        <w:t xml:space="preserve"> Resources Limited (in </w:t>
      </w:r>
      <w:proofErr w:type="spellStart"/>
      <w:r w:rsidRPr="00FD4F42">
        <w:rPr>
          <w:i/>
        </w:rPr>
        <w:t>liq</w:t>
      </w:r>
      <w:proofErr w:type="spellEnd"/>
      <w:r w:rsidRPr="00FD4F42">
        <w:rPr>
          <w:i/>
        </w:rPr>
        <w:t>)</w:t>
      </w:r>
      <w:r>
        <w:t xml:space="preserve"> [2015] FCA 1098 (“</w:t>
      </w:r>
      <w:proofErr w:type="spellStart"/>
      <w:r w:rsidRPr="00C83655">
        <w:t>Tamaya</w:t>
      </w:r>
      <w:proofErr w:type="spellEnd"/>
      <w:r>
        <w:t>”) at [125].</w:t>
      </w:r>
    </w:p>
    <w:p w14:paraId="1AFC8C19" w14:textId="73BD5539" w:rsidR="002D30E2" w:rsidRDefault="002D30E2" w:rsidP="002D30E2">
      <w:pPr>
        <w:pStyle w:val="Quote1"/>
        <w:ind w:left="1440" w:hanging="703"/>
      </w:pPr>
      <w:r>
        <w:t>55.</w:t>
      </w:r>
      <w:r>
        <w:tab/>
        <w:t>The principles applicable to applications for leave to amend are well established and include the following:</w:t>
      </w:r>
    </w:p>
    <w:p w14:paraId="7AA77EDB" w14:textId="67544335" w:rsidR="002D30E2" w:rsidRDefault="002D30E2" w:rsidP="002D30E2">
      <w:pPr>
        <w:pStyle w:val="Quote2"/>
        <w:ind w:left="2160" w:hanging="720"/>
      </w:pPr>
      <w:r>
        <w:t>(1)</w:t>
      </w:r>
      <w:r>
        <w:tab/>
      </w:r>
      <w:proofErr w:type="gramStart"/>
      <w:r>
        <w:t>the</w:t>
      </w:r>
      <w:proofErr w:type="gramEnd"/>
      <w:r>
        <w:t xml:space="preserve"> starting point is “that all amendments should be made and allowed that are necessary to ensure the real questions in controversy between the parties are decided”: </w:t>
      </w:r>
      <w:proofErr w:type="spellStart"/>
      <w:r w:rsidRPr="00FD4F42">
        <w:rPr>
          <w:i/>
        </w:rPr>
        <w:t>Oswal</w:t>
      </w:r>
      <w:proofErr w:type="spellEnd"/>
      <w:r w:rsidRPr="00FD4F42">
        <w:rPr>
          <w:i/>
        </w:rPr>
        <w:t xml:space="preserve"> v Apache Corporation (No 3)</w:t>
      </w:r>
      <w:r>
        <w:t xml:space="preserve"> [2014] FCA 835 at [5];</w:t>
      </w:r>
    </w:p>
    <w:p w14:paraId="3FD5A028" w14:textId="4F682F7C" w:rsidR="002D30E2" w:rsidRDefault="002D30E2" w:rsidP="002D30E2">
      <w:pPr>
        <w:pStyle w:val="Quote2"/>
        <w:ind w:left="2160" w:hanging="720"/>
      </w:pPr>
      <w:r>
        <w:t>(2)</w:t>
      </w:r>
      <w:r>
        <w:tab/>
        <w:t xml:space="preserve">an amendment will “ordinarily be allowed provided it can be done without harm to the other party which cannot be compensated by an award of costs or an adjournment”: </w:t>
      </w:r>
      <w:r w:rsidRPr="00FD4F42">
        <w:rPr>
          <w:i/>
        </w:rPr>
        <w:t>S.P.I. Spirits (Cyprus) Ltd v Diageo Australia Ltd (No. 4)</w:t>
      </w:r>
      <w:r>
        <w:t xml:space="preserve"> [2007] FCA 1035 (“</w:t>
      </w:r>
      <w:r w:rsidRPr="000B42FF">
        <w:rPr>
          <w:i/>
        </w:rPr>
        <w:t>S.P.I. Spirits</w:t>
      </w:r>
      <w:r>
        <w:t>”) at [14];</w:t>
      </w:r>
    </w:p>
    <w:p w14:paraId="70E71CD0" w14:textId="090CC534" w:rsidR="002D30E2" w:rsidRDefault="002D30E2" w:rsidP="002D30E2">
      <w:pPr>
        <w:pStyle w:val="Quote2"/>
        <w:ind w:left="2160" w:hanging="720"/>
      </w:pPr>
      <w:r>
        <w:t>(3)</w:t>
      </w:r>
      <w:r w:rsidR="00FD4F42">
        <w:tab/>
      </w:r>
      <w:proofErr w:type="gramStart"/>
      <w:r>
        <w:t>leave</w:t>
      </w:r>
      <w:proofErr w:type="gramEnd"/>
      <w:r>
        <w:t xml:space="preserve"> should be granted unless the proposed amendment “is so obviously futile that it would be struck out if it had appeared in the original pleading or would cause substantial injustice which cannot be compensated for in the manner” indicated above: </w:t>
      </w:r>
      <w:r w:rsidRPr="000B42FF">
        <w:rPr>
          <w:i/>
        </w:rPr>
        <w:t xml:space="preserve">S.P.I. Spirits </w:t>
      </w:r>
      <w:r>
        <w:t>at [17];</w:t>
      </w:r>
    </w:p>
    <w:p w14:paraId="2731BFD8" w14:textId="17F42814" w:rsidR="002D30E2" w:rsidRDefault="002D30E2" w:rsidP="00FD4F42">
      <w:pPr>
        <w:pStyle w:val="Quote2"/>
        <w:ind w:left="2160" w:hanging="720"/>
      </w:pPr>
      <w:r>
        <w:t>(4)</w:t>
      </w:r>
      <w:r w:rsidR="00FD4F42">
        <w:tab/>
      </w:r>
      <w:proofErr w:type="gramStart"/>
      <w:r>
        <w:t>the</w:t>
      </w:r>
      <w:proofErr w:type="gramEnd"/>
      <w:r>
        <w:t xml:space="preserve"> allowance of an amendment before the commencement of a trial “stands in a very different position from amendment towards the end of a trial”: </w:t>
      </w:r>
      <w:r w:rsidRPr="000B42FF">
        <w:rPr>
          <w:i/>
        </w:rPr>
        <w:t>S.P.I. Sp</w:t>
      </w:r>
      <w:r w:rsidR="00FD4F42" w:rsidRPr="000B42FF">
        <w:rPr>
          <w:i/>
        </w:rPr>
        <w:t>irits</w:t>
      </w:r>
      <w:r w:rsidR="00FD4F42">
        <w:t xml:space="preserve"> at [18]; and</w:t>
      </w:r>
    </w:p>
    <w:p w14:paraId="1B976B34" w14:textId="1F8DED7A" w:rsidR="002D30E2" w:rsidRDefault="002D30E2" w:rsidP="002D30E2">
      <w:pPr>
        <w:pStyle w:val="Quote2"/>
        <w:ind w:left="2160" w:hanging="720"/>
      </w:pPr>
      <w:r>
        <w:t>(5</w:t>
      </w:r>
      <w:r w:rsidR="00FD4F42">
        <w:t>)</w:t>
      </w:r>
      <w:r w:rsidR="00FD4F42">
        <w:tab/>
      </w:r>
      <w:proofErr w:type="gramStart"/>
      <w:r>
        <w:t>relevant</w:t>
      </w:r>
      <w:proofErr w:type="gramEnd"/>
      <w:r>
        <w:t xml:space="preserve"> matters the Court may consider include the nature and importance of the amendment to the party applying for it and the prejudice caused by the amendment: </w:t>
      </w:r>
      <w:proofErr w:type="spellStart"/>
      <w:r w:rsidRPr="000B42FF">
        <w:rPr>
          <w:i/>
        </w:rPr>
        <w:t>Tamaya</w:t>
      </w:r>
      <w:proofErr w:type="spellEnd"/>
      <w:r>
        <w:t xml:space="preserve"> at [127].</w:t>
      </w:r>
    </w:p>
    <w:p w14:paraId="089DA3A2" w14:textId="23513322" w:rsidR="00E21F13" w:rsidRDefault="00F70F0D" w:rsidP="00E21F13">
      <w:pPr>
        <w:pStyle w:val="ParaNumbering"/>
      </w:pPr>
      <w:r>
        <w:t xml:space="preserve">In relation to the proposed amendments to the </w:t>
      </w:r>
      <w:r w:rsidR="000B42FF">
        <w:t>AOA</w:t>
      </w:r>
      <w:r>
        <w:t xml:space="preserve"> and the </w:t>
      </w:r>
      <w:r w:rsidR="000B42FF">
        <w:t>ASOC</w:t>
      </w:r>
      <w:r>
        <w:t xml:space="preserve">, </w:t>
      </w:r>
      <w:r w:rsidR="00E21F13">
        <w:t>AMC submits that t</w:t>
      </w:r>
      <w:r>
        <w:t>he proposed amendments in the ASOC are to give effect to the proposed joinder of BLC and to make consequential changes, as well as to correct the n</w:t>
      </w:r>
      <w:r w:rsidR="000B42FF">
        <w:t>ame of the second r</w:t>
      </w:r>
      <w:r>
        <w:t xml:space="preserve">espondent. </w:t>
      </w:r>
    </w:p>
    <w:p w14:paraId="3CA4CACE" w14:textId="780BFB5B" w:rsidR="00C24F60" w:rsidRDefault="00E21F13" w:rsidP="00E21F13">
      <w:pPr>
        <w:pStyle w:val="ParaNumbering"/>
      </w:pPr>
      <w:r>
        <w:t>AMC’s submissions focussed on three</w:t>
      </w:r>
      <w:r>
        <w:rPr>
          <w:b/>
        </w:rPr>
        <w:t xml:space="preserve"> </w:t>
      </w:r>
      <w:r w:rsidRPr="00E21F13">
        <w:t>“</w:t>
      </w:r>
      <w:r w:rsidR="00F70F0D" w:rsidRPr="00E21F13">
        <w:t>key</w:t>
      </w:r>
      <w:r w:rsidRPr="00E21F13">
        <w:t>”</w:t>
      </w:r>
      <w:r w:rsidR="00F70F0D" w:rsidRPr="00E21F13">
        <w:t xml:space="preserve"> paragraphs of the ASOC</w:t>
      </w:r>
      <w:r w:rsidR="00DB1D59">
        <w:t>:</w:t>
      </w:r>
      <w:r w:rsidR="00DB1D59" w:rsidRPr="00E21F13">
        <w:t xml:space="preserve"> </w:t>
      </w:r>
      <w:r w:rsidR="00F70F0D" w:rsidRPr="00E21F13">
        <w:t>[9], [9A] and [9B].</w:t>
      </w:r>
      <w:r>
        <w:t xml:space="preserve"> </w:t>
      </w:r>
    </w:p>
    <w:p w14:paraId="0300F018" w14:textId="45851355" w:rsidR="00A43CB2" w:rsidRDefault="00E21F13" w:rsidP="00E21F13">
      <w:pPr>
        <w:pStyle w:val="ParaNumbering"/>
      </w:pPr>
      <w:r>
        <w:t xml:space="preserve">AMC observes that </w:t>
      </w:r>
      <w:r w:rsidR="00F70F0D">
        <w:t>[9] deals with direct infringement</w:t>
      </w:r>
      <w:r>
        <w:t xml:space="preserve"> and notes </w:t>
      </w:r>
      <w:r w:rsidR="00F70F0D">
        <w:t xml:space="preserve">that the paragraph appears in the same form in the existing pleading, and in that sense it is not being amended. It would, </w:t>
      </w:r>
      <w:r>
        <w:t xml:space="preserve">if </w:t>
      </w:r>
      <w:r>
        <w:lastRenderedPageBreak/>
        <w:t>the joinder application is successful</w:t>
      </w:r>
      <w:r w:rsidR="00F70F0D">
        <w:t xml:space="preserve">, apply to BLC (as well as BLYA and BLY) as a result of the </w:t>
      </w:r>
      <w:r>
        <w:t xml:space="preserve">proposed </w:t>
      </w:r>
      <w:r w:rsidR="00F70F0D">
        <w:t xml:space="preserve">amendments. </w:t>
      </w:r>
    </w:p>
    <w:p w14:paraId="68AD79DF" w14:textId="442F458C" w:rsidR="0072538A" w:rsidRDefault="00E21F13" w:rsidP="00A43CB2">
      <w:pPr>
        <w:pStyle w:val="ParaNumbering"/>
      </w:pPr>
      <w:r>
        <w:t>AMC proposes to amend the particulars to [9]</w:t>
      </w:r>
      <w:r w:rsidR="00A43CB2">
        <w:t xml:space="preserve"> by adding </w:t>
      </w:r>
      <w:r w:rsidR="00F70F0D">
        <w:t xml:space="preserve">particulars to identify instances of infringement relied on by the </w:t>
      </w:r>
      <w:r w:rsidR="0072538A">
        <w:t>AMC.</w:t>
      </w:r>
      <w:r w:rsidR="00F70F0D">
        <w:t xml:space="preserve"> This is done for both BLYA and BLC. </w:t>
      </w:r>
      <w:r w:rsidR="0072538A">
        <w:t xml:space="preserve">The respondents complain that there is </w:t>
      </w:r>
      <w:r w:rsidR="00A43CB2">
        <w:t xml:space="preserve">no </w:t>
      </w:r>
      <w:r w:rsidR="0072538A">
        <w:t xml:space="preserve">particularisation of any instance of infringement by </w:t>
      </w:r>
      <w:r w:rsidR="00A43CB2">
        <w:t xml:space="preserve">the existing respondent, </w:t>
      </w:r>
      <w:r w:rsidR="0072538A">
        <w:t xml:space="preserve">BLY in the proposed ASOC. </w:t>
      </w:r>
      <w:r w:rsidR="00F70F0D">
        <w:t xml:space="preserve">In relation to BLY, </w:t>
      </w:r>
      <w:r w:rsidR="0072538A">
        <w:t>AMC notes</w:t>
      </w:r>
      <w:r w:rsidR="00F70F0D">
        <w:t xml:space="preserve"> that an allegation of direct infringement is already on foot (in the current pleading) against that entity. </w:t>
      </w:r>
      <w:r w:rsidR="0072538A">
        <w:t xml:space="preserve">AMC </w:t>
      </w:r>
      <w:r w:rsidR="00F70F0D">
        <w:t>submit</w:t>
      </w:r>
      <w:r w:rsidR="0072538A">
        <w:t>s</w:t>
      </w:r>
      <w:r w:rsidR="00F70F0D">
        <w:t xml:space="preserve"> that the lack of particularisation of a specific instance of infringement by that entity is not a reason to refuse the </w:t>
      </w:r>
      <w:r w:rsidR="00A43CB2">
        <w:t xml:space="preserve">proposed </w:t>
      </w:r>
      <w:r w:rsidR="00F70F0D">
        <w:t xml:space="preserve">amendments. </w:t>
      </w:r>
    </w:p>
    <w:p w14:paraId="40C150CC" w14:textId="179EAF49" w:rsidR="00A43CB2" w:rsidRDefault="00182ECE" w:rsidP="0072538A">
      <w:pPr>
        <w:pStyle w:val="ParaNumbering"/>
      </w:pPr>
      <w:r>
        <w:t xml:space="preserve">AMC submits that proposed </w:t>
      </w:r>
      <w:r w:rsidR="00F70F0D">
        <w:t xml:space="preserve">[9A] and [9B] deal with indirect infringement and ought to be uncontroversial. Those paragraphs </w:t>
      </w:r>
      <w:r w:rsidR="00A43CB2">
        <w:t xml:space="preserve">are said by AMC to </w:t>
      </w:r>
      <w:r w:rsidR="00F70F0D">
        <w:t>clarify the basis of t</w:t>
      </w:r>
      <w:r>
        <w:t>he allegation that each of the r</w:t>
      </w:r>
      <w:r w:rsidR="00F70F0D">
        <w:t xml:space="preserve">espondents indirectly infringed the Patent by authorising, inducing, </w:t>
      </w:r>
      <w:r w:rsidR="00EE3790">
        <w:t xml:space="preserve">procuring, </w:t>
      </w:r>
      <w:r w:rsidR="00F70F0D">
        <w:t xml:space="preserve">and joining in a common design with each other to infringe the Patent by exploiting the V5 </w:t>
      </w:r>
      <w:proofErr w:type="spellStart"/>
      <w:r w:rsidR="00F70F0D">
        <w:t>TruCore</w:t>
      </w:r>
      <w:proofErr w:type="spellEnd"/>
      <w:r w:rsidR="00F70F0D">
        <w:t xml:space="preserve"> Tools that had already been effectively pleaded in a more rolled-up way in the existing pleading, and also bring BLC into the allegations of indirect infringement. </w:t>
      </w:r>
    </w:p>
    <w:p w14:paraId="10F9F0A7" w14:textId="3DB735DF" w:rsidR="00F70F0D" w:rsidRDefault="00182ECE" w:rsidP="0072538A">
      <w:pPr>
        <w:pStyle w:val="ParaNumbering"/>
      </w:pPr>
      <w:r>
        <w:t xml:space="preserve">Proposed </w:t>
      </w:r>
      <w:r w:rsidR="00F70F0D">
        <w:t xml:space="preserve">[9B] adds an allegation that each of the Respondents joined in a common design with </w:t>
      </w:r>
      <w:proofErr w:type="spellStart"/>
      <w:r w:rsidR="00F70F0D">
        <w:t>Globaltech</w:t>
      </w:r>
      <w:proofErr w:type="spellEnd"/>
      <w:r w:rsidR="00F70F0D">
        <w:t xml:space="preserve"> Corporation </w:t>
      </w:r>
      <w:r w:rsidR="00EE3790">
        <w:t xml:space="preserve">Pty Ltd </w:t>
      </w:r>
      <w:r w:rsidR="00A43CB2">
        <w:t xml:space="preserve">to manufacture the V5 </w:t>
      </w:r>
      <w:proofErr w:type="spellStart"/>
      <w:r w:rsidR="00A43CB2">
        <w:t>TruCore</w:t>
      </w:r>
      <w:proofErr w:type="spellEnd"/>
      <w:r w:rsidR="00A43CB2">
        <w:t xml:space="preserve"> T</w:t>
      </w:r>
      <w:r w:rsidR="00F70F0D">
        <w:t>o</w:t>
      </w:r>
      <w:r w:rsidR="00A43CB2">
        <w:t>ol and to infringe the Patent. T</w:t>
      </w:r>
      <w:r w:rsidR="00F70F0D">
        <w:t xml:space="preserve">his amendment arose out of </w:t>
      </w:r>
      <w:r>
        <w:t xml:space="preserve">the </w:t>
      </w:r>
      <w:r w:rsidR="00F70F0D">
        <w:t xml:space="preserve">evidence of an exclusive supply arrangement between the </w:t>
      </w:r>
      <w:proofErr w:type="spellStart"/>
      <w:r w:rsidR="00F70F0D">
        <w:t>Boart</w:t>
      </w:r>
      <w:proofErr w:type="spellEnd"/>
      <w:r w:rsidR="00F70F0D">
        <w:t xml:space="preserve"> </w:t>
      </w:r>
      <w:proofErr w:type="spellStart"/>
      <w:r w:rsidR="00F70F0D">
        <w:t>Longyear</w:t>
      </w:r>
      <w:proofErr w:type="spellEnd"/>
      <w:r w:rsidR="00F70F0D">
        <w:t xml:space="preserve"> companies and</w:t>
      </w:r>
      <w:r>
        <w:t xml:space="preserve"> </w:t>
      </w:r>
      <w:proofErr w:type="spellStart"/>
      <w:r>
        <w:t>Globaltech</w:t>
      </w:r>
      <w:proofErr w:type="spellEnd"/>
      <w:r>
        <w:t xml:space="preserve"> </w:t>
      </w:r>
      <w:r w:rsidR="00A43CB2">
        <w:t xml:space="preserve">Corporation </w:t>
      </w:r>
      <w:r w:rsidR="00EE3790">
        <w:t xml:space="preserve">Pty Ltd </w:t>
      </w:r>
      <w:r w:rsidR="00A43CB2">
        <w:t xml:space="preserve">which emerged during cross examination of Mr </w:t>
      </w:r>
      <w:proofErr w:type="spellStart"/>
      <w:r w:rsidR="00A43CB2">
        <w:t>Hejleh</w:t>
      </w:r>
      <w:proofErr w:type="spellEnd"/>
      <w:r w:rsidR="00A43CB2">
        <w:t xml:space="preserve"> </w:t>
      </w:r>
      <w:r>
        <w:t xml:space="preserve">in the 2019 </w:t>
      </w:r>
      <w:proofErr w:type="gramStart"/>
      <w:r w:rsidR="00DB1D59">
        <w:t>Proceeding</w:t>
      </w:r>
      <w:proofErr w:type="gramEnd"/>
      <w:r>
        <w:t>.</w:t>
      </w:r>
      <w:r w:rsidR="003243B9">
        <w:t xml:space="preserve"> AMC contends that the effect of proposed [9A] and [9B] is to make its allegations more precise.</w:t>
      </w:r>
    </w:p>
    <w:p w14:paraId="70A2E51A" w14:textId="38185A74" w:rsidR="00D97629" w:rsidRDefault="00D97629" w:rsidP="00C86867">
      <w:pPr>
        <w:pStyle w:val="ParaNumbering"/>
      </w:pPr>
      <w:r>
        <w:t>T</w:t>
      </w:r>
      <w:r w:rsidR="00182ECE">
        <w:t>he r</w:t>
      </w:r>
      <w:r>
        <w:t xml:space="preserve">espondents do not contend that the proposed amendments are so futile they would be struck out if they were in the original pleading. </w:t>
      </w:r>
      <w:r w:rsidR="00A43CB2">
        <w:t>However, as noted above, senior counsel for the respondents foreshadowed a strike out application by BLC if it was joined.</w:t>
      </w:r>
      <w:r w:rsidR="000D59EB">
        <w:t xml:space="preserve"> </w:t>
      </w:r>
    </w:p>
    <w:p w14:paraId="4FAB38B7" w14:textId="2DD6542D" w:rsidR="00D4024C" w:rsidRPr="00D4024C" w:rsidRDefault="00F70F0D" w:rsidP="00A12DD2">
      <w:pPr>
        <w:pStyle w:val="ParaNumbering"/>
      </w:pPr>
      <w:r w:rsidRPr="00D4024C">
        <w:t xml:space="preserve">The first and second respondents </w:t>
      </w:r>
      <w:r w:rsidR="00A12DD2">
        <w:t xml:space="preserve">identify a number of alleged deficiencies </w:t>
      </w:r>
      <w:r w:rsidR="00D4024C" w:rsidRPr="00D4024C">
        <w:t xml:space="preserve">in relation to the particulars contained in the </w:t>
      </w:r>
      <w:r w:rsidR="003243B9">
        <w:t xml:space="preserve">ASOC, and </w:t>
      </w:r>
      <w:r w:rsidR="00D4024C" w:rsidRPr="00D4024C">
        <w:t>foreshadow the “storm on the horizon”</w:t>
      </w:r>
      <w:r w:rsidR="00A12DD2">
        <w:t>.</w:t>
      </w:r>
      <w:r w:rsidR="00D4024C" w:rsidRPr="00D4024C">
        <w:t xml:space="preserve">  For example: </w:t>
      </w:r>
    </w:p>
    <w:p w14:paraId="68539942" w14:textId="15EE3AD8" w:rsidR="006C1E3E" w:rsidRDefault="006C1E3E" w:rsidP="008E0D14">
      <w:pPr>
        <w:pStyle w:val="ListNo1alt"/>
        <w:numPr>
          <w:ilvl w:val="0"/>
          <w:numId w:val="43"/>
        </w:numPr>
      </w:pPr>
      <w:r w:rsidRPr="00D4024C">
        <w:t xml:space="preserve">The first and second respondents seek better particulars to </w:t>
      </w:r>
      <w:r>
        <w:t xml:space="preserve">demonstrate that BLC is the “controller” of the </w:t>
      </w:r>
      <w:hyperlink r:id="rId22" w:history="1">
        <w:r w:rsidRPr="00F15ADE">
          <w:rPr>
            <w:rStyle w:val="Hyperlink"/>
          </w:rPr>
          <w:t>www.boartlongyear.com</w:t>
        </w:r>
      </w:hyperlink>
      <w:r>
        <w:t>” website</w:t>
      </w:r>
      <w:r w:rsidR="00A12DD2">
        <w:t xml:space="preserve"> at [9] of the </w:t>
      </w:r>
      <w:r w:rsidR="003243B9">
        <w:t>ASOC</w:t>
      </w:r>
      <w:r w:rsidR="00A12DD2">
        <w:t xml:space="preserve">. </w:t>
      </w:r>
    </w:p>
    <w:p w14:paraId="2041644F" w14:textId="389A8840" w:rsidR="00A12DD2" w:rsidRPr="00D4024C" w:rsidRDefault="00A12DD2" w:rsidP="008E0D14">
      <w:pPr>
        <w:pStyle w:val="ListNo1alt"/>
        <w:numPr>
          <w:ilvl w:val="0"/>
          <w:numId w:val="43"/>
        </w:numPr>
      </w:pPr>
      <w:r w:rsidRPr="00D4024C">
        <w:t xml:space="preserve">The first and second respondents submit the particulars </w:t>
      </w:r>
      <w:r>
        <w:t xml:space="preserve">to [9] of the </w:t>
      </w:r>
      <w:r w:rsidR="003243B9">
        <w:t xml:space="preserve">ASOC </w:t>
      </w:r>
      <w:r>
        <w:t>plead a case against the first, second and proposed third respondents, however, that pleading is</w:t>
      </w:r>
      <w:r w:rsidRPr="00D4024C">
        <w:t xml:space="preserve"> deficient as </w:t>
      </w:r>
      <w:r>
        <w:t>it does</w:t>
      </w:r>
      <w:r w:rsidRPr="00D4024C">
        <w:t xml:space="preserve"> not disclose a case against </w:t>
      </w:r>
      <w:r>
        <w:t>the second respondent (</w:t>
      </w:r>
      <w:r w:rsidRPr="00D4024C">
        <w:t>BLY</w:t>
      </w:r>
      <w:r>
        <w:t>)</w:t>
      </w:r>
      <w:r w:rsidRPr="00D4024C">
        <w:t xml:space="preserve">. The </w:t>
      </w:r>
      <w:r w:rsidRPr="00D4024C">
        <w:lastRenderedPageBreak/>
        <w:t xml:space="preserve">respondents note that BLY is a holding company that does not partake in the infringing conduct.  </w:t>
      </w:r>
    </w:p>
    <w:p w14:paraId="2877F40F" w14:textId="7C6D1DF3" w:rsidR="00A12DD2" w:rsidRPr="00D4024C" w:rsidRDefault="00A12DD2" w:rsidP="008E0D14">
      <w:pPr>
        <w:pStyle w:val="ListNo1alt"/>
        <w:numPr>
          <w:ilvl w:val="0"/>
          <w:numId w:val="43"/>
        </w:numPr>
      </w:pPr>
      <w:r w:rsidRPr="00D4024C">
        <w:t xml:space="preserve">The first and second respondents submit the particulars to [9A] of the </w:t>
      </w:r>
      <w:r w:rsidR="003243B9">
        <w:t>ASOC</w:t>
      </w:r>
      <w:r w:rsidRPr="00D4024C">
        <w:t xml:space="preserve"> do not identify what it is that each of the respondents have done. </w:t>
      </w:r>
    </w:p>
    <w:p w14:paraId="1576D17A" w14:textId="1DFC2F59" w:rsidR="00A12DD2" w:rsidRDefault="00A12DD2" w:rsidP="008E0D14">
      <w:pPr>
        <w:pStyle w:val="ListNo1alt"/>
        <w:numPr>
          <w:ilvl w:val="0"/>
          <w:numId w:val="43"/>
        </w:numPr>
      </w:pPr>
      <w:r w:rsidRPr="00D4024C">
        <w:t xml:space="preserve">The first and second respondents </w:t>
      </w:r>
      <w:r>
        <w:t xml:space="preserve">seek better particulars at </w:t>
      </w:r>
      <w:r w:rsidRPr="00D4024C">
        <w:t xml:space="preserve">[17] of the </w:t>
      </w:r>
      <w:r w:rsidR="003243B9">
        <w:t xml:space="preserve">ASOC which relates to </w:t>
      </w:r>
      <w:r w:rsidR="003C703A">
        <w:t xml:space="preserve">the respondents giving or publishing advertisements which contained instructions or inducements to use the V5 </w:t>
      </w:r>
      <w:proofErr w:type="spellStart"/>
      <w:r w:rsidR="003C703A">
        <w:t>TruCor</w:t>
      </w:r>
      <w:r w:rsidR="00DB1D59">
        <w:t>e</w:t>
      </w:r>
      <w:proofErr w:type="spellEnd"/>
      <w:r w:rsidR="003C703A">
        <w:t xml:space="preserve"> Tools,</w:t>
      </w:r>
      <w:r w:rsidRPr="00D4024C">
        <w:t xml:space="preserve"> and seek that the instructions </w:t>
      </w:r>
      <w:r>
        <w:t xml:space="preserve">identified on the </w:t>
      </w:r>
      <w:proofErr w:type="spellStart"/>
      <w:r w:rsidR="003C703A">
        <w:t>Boart</w:t>
      </w:r>
      <w:proofErr w:type="spellEnd"/>
      <w:r w:rsidR="00F62FD9">
        <w:t xml:space="preserve"> </w:t>
      </w:r>
      <w:proofErr w:type="spellStart"/>
      <w:r w:rsidR="00F62FD9">
        <w:t>Longyear</w:t>
      </w:r>
      <w:proofErr w:type="spellEnd"/>
      <w:r w:rsidR="00F62FD9">
        <w:t xml:space="preserve"> </w:t>
      </w:r>
      <w:r>
        <w:t xml:space="preserve">website </w:t>
      </w:r>
      <w:r w:rsidRPr="00D4024C">
        <w:t xml:space="preserve">be referenced or evidenced. </w:t>
      </w:r>
    </w:p>
    <w:p w14:paraId="50725B2A" w14:textId="241D2826" w:rsidR="00C86867" w:rsidRDefault="003256C2" w:rsidP="00C86867">
      <w:pPr>
        <w:pStyle w:val="ParaNumbering"/>
      </w:pPr>
      <w:r>
        <w:t xml:space="preserve">Ms Arcus, counsel for AMC, submitted that the </w:t>
      </w:r>
      <w:r w:rsidR="00C86867">
        <w:t>ultimate correctness of the propositions in the particulars to [9], [9A] and [9B] and other paragraphs of the ASOC is a matter for trial. An application for leave to file an amended pleading is not the appropriate forum to address disputes about particulars.</w:t>
      </w:r>
    </w:p>
    <w:p w14:paraId="5BFCA03D" w14:textId="2C8A18E3" w:rsidR="00C86867" w:rsidRPr="00A67D72" w:rsidRDefault="00C86867" w:rsidP="00A67D72">
      <w:pPr>
        <w:pStyle w:val="Heading2"/>
        <w:rPr>
          <w:highlight w:val="yellow"/>
        </w:rPr>
      </w:pPr>
      <w:r w:rsidRPr="00A67D72">
        <w:t>Consideration</w:t>
      </w:r>
    </w:p>
    <w:p w14:paraId="733A489B" w14:textId="03E8AD23" w:rsidR="003C703A" w:rsidRDefault="003C703A" w:rsidP="00C86867">
      <w:pPr>
        <w:pStyle w:val="ParaNumbering"/>
      </w:pPr>
      <w:r>
        <w:t xml:space="preserve">As noted above, AMC’s application to amend the statement of claim and originating application is made </w:t>
      </w:r>
      <w:r w:rsidR="00C86867">
        <w:t xml:space="preserve">at an early stage, </w:t>
      </w:r>
      <w:r>
        <w:t>well prior to any trial in the proceeding.</w:t>
      </w:r>
    </w:p>
    <w:p w14:paraId="53627BBC" w14:textId="6E8CAB18" w:rsidR="00C86867" w:rsidRDefault="003C703A" w:rsidP="00C86867">
      <w:pPr>
        <w:pStyle w:val="ParaNumbering"/>
      </w:pPr>
      <w:r>
        <w:t>BLYA, BLY and BLC are all related entities. No prejudice other than costs, to any of the respondents</w:t>
      </w:r>
      <w:r w:rsidR="00CC4E69">
        <w:t>,</w:t>
      </w:r>
      <w:r>
        <w:t xml:space="preserve"> has been identified as arising from the ASOC. </w:t>
      </w:r>
      <w:r w:rsidR="00D97629">
        <w:t xml:space="preserve">The </w:t>
      </w:r>
      <w:r w:rsidR="00EE3790">
        <w:t xml:space="preserve">applicants </w:t>
      </w:r>
      <w:r w:rsidR="00D97629">
        <w:t xml:space="preserve">accept that they should pay the </w:t>
      </w:r>
      <w:r w:rsidR="00C86867">
        <w:t xml:space="preserve">respondents’ </w:t>
      </w:r>
      <w:r w:rsidR="00D97629">
        <w:t xml:space="preserve">costs thrown away by the amendments. </w:t>
      </w:r>
    </w:p>
    <w:p w14:paraId="0357108A" w14:textId="0C57C4F1" w:rsidR="00A12DD2" w:rsidRDefault="00D97629" w:rsidP="00C86867">
      <w:pPr>
        <w:pStyle w:val="ParaNumbering"/>
      </w:pPr>
      <w:r>
        <w:t>There is no relevant delay so as to be disentitling, in circumstances where the parties have not put on their evidence and n</w:t>
      </w:r>
      <w:r w:rsidR="00C86867">
        <w:t>o trial date has been set. The r</w:t>
      </w:r>
      <w:r>
        <w:t xml:space="preserve">espondents (and BLC) have ample time to deal with any matters arising from the ASOC. It is not the point that </w:t>
      </w:r>
      <w:r w:rsidR="003C703A">
        <w:t>AMC</w:t>
      </w:r>
      <w:r>
        <w:t xml:space="preserve"> could have, but did not apply for</w:t>
      </w:r>
      <w:r w:rsidR="007F10D2">
        <w:t>,</w:t>
      </w:r>
      <w:r>
        <w:t xml:space="preserve"> preliminary discovery against BLC under r 7.23 of the</w:t>
      </w:r>
      <w:r w:rsidR="003C703A">
        <w:t xml:space="preserve"> Rules</w:t>
      </w:r>
      <w:r>
        <w:t>.</w:t>
      </w:r>
      <w:r w:rsidR="00C86867">
        <w:t xml:space="preserve"> Consistent with the overarching purpose of s</w:t>
      </w:r>
      <w:r w:rsidR="00DB1D59">
        <w:t xml:space="preserve"> </w:t>
      </w:r>
      <w:r w:rsidR="00C86867">
        <w:t xml:space="preserve">37M of the </w:t>
      </w:r>
      <w:r w:rsidR="00C86867" w:rsidRPr="00C86867">
        <w:rPr>
          <w:i/>
        </w:rPr>
        <w:t>FCA</w:t>
      </w:r>
      <w:r w:rsidR="00EC74EA">
        <w:rPr>
          <w:i/>
        </w:rPr>
        <w:t xml:space="preserve"> Act</w:t>
      </w:r>
      <w:r w:rsidR="00C86867">
        <w:t xml:space="preserve">, </w:t>
      </w:r>
      <w:r w:rsidR="00BD1EB2">
        <w:t>i</w:t>
      </w:r>
      <w:r>
        <w:t xml:space="preserve">f an applicant considers that it has sufficient information to enable the decision whether to start a proceeding in the Court to be made, then an application for preliminary discovery is not </w:t>
      </w:r>
      <w:r w:rsidR="00BD1EB2">
        <w:t>necessary, and would only add considerably to the cost and expense of the proceeding and unnecessarily extend the length of the interlocutory stages of the proceeding</w:t>
      </w:r>
      <w:r>
        <w:t>.</w:t>
      </w:r>
    </w:p>
    <w:p w14:paraId="09E100C0" w14:textId="77777777" w:rsidR="00BD1EB2" w:rsidRDefault="00BD1EB2" w:rsidP="00A12DD2">
      <w:pPr>
        <w:pStyle w:val="ParaNumbering"/>
      </w:pPr>
      <w:r>
        <w:t>For these reasons I will grant leave to AMC to amend:</w:t>
      </w:r>
    </w:p>
    <w:p w14:paraId="41B9ED63" w14:textId="24A50E75" w:rsidR="00D97629" w:rsidRDefault="00BD1EB2" w:rsidP="00BD1EB2">
      <w:pPr>
        <w:pStyle w:val="ListNo1alt"/>
        <w:numPr>
          <w:ilvl w:val="0"/>
          <w:numId w:val="39"/>
        </w:numPr>
      </w:pPr>
      <w:r>
        <w:t>the statement of claim in the form of annexure CEW-10 to Mr Williams’ second affidavit; and</w:t>
      </w:r>
    </w:p>
    <w:p w14:paraId="6B28537A" w14:textId="52A52975" w:rsidR="00BD1EB2" w:rsidRPr="00D4024C" w:rsidRDefault="00BD1EB2" w:rsidP="00BD1EB2">
      <w:pPr>
        <w:pStyle w:val="ListNo1alt"/>
        <w:numPr>
          <w:ilvl w:val="0"/>
          <w:numId w:val="39"/>
        </w:numPr>
      </w:pPr>
      <w:proofErr w:type="gramStart"/>
      <w:r>
        <w:lastRenderedPageBreak/>
        <w:t>the</w:t>
      </w:r>
      <w:proofErr w:type="gramEnd"/>
      <w:r>
        <w:t xml:space="preserve"> originating application in the form of annexure CEW-11 to Mr Williams’ second affidavit.</w:t>
      </w:r>
    </w:p>
    <w:p w14:paraId="60E1515B" w14:textId="77777777" w:rsidR="00936DB3" w:rsidRDefault="00936DB3" w:rsidP="00936DB3">
      <w:pPr>
        <w:pStyle w:val="Heading1"/>
      </w:pPr>
      <w:r>
        <w:t xml:space="preserve">Leave to serve outside the jurisdiction </w:t>
      </w:r>
    </w:p>
    <w:p w14:paraId="65E2A8F5" w14:textId="5FC83D1F" w:rsidR="00A537D9" w:rsidRDefault="009E7D21" w:rsidP="00CF1345">
      <w:pPr>
        <w:pStyle w:val="ParaNumbering"/>
      </w:pPr>
      <w:r>
        <w:t>AMC applies</w:t>
      </w:r>
      <w:r w:rsidR="00A537D9">
        <w:t xml:space="preserve"> for leave pursuant to </w:t>
      </w:r>
      <w:proofErr w:type="spellStart"/>
      <w:proofErr w:type="gramStart"/>
      <w:r w:rsidR="00A537D9">
        <w:t>rr</w:t>
      </w:r>
      <w:proofErr w:type="spellEnd"/>
      <w:proofErr w:type="gramEnd"/>
      <w:r w:rsidR="00DB1D59">
        <w:t xml:space="preserve"> </w:t>
      </w:r>
      <w:r w:rsidR="00A537D9">
        <w:t xml:space="preserve">10.43 and 10.44 of the Rules to serve the proposed ASOC and </w:t>
      </w:r>
      <w:r w:rsidR="004447A7">
        <w:t>AOA</w:t>
      </w:r>
      <w:r w:rsidR="00A537D9">
        <w:t xml:space="preserve"> on BLC in the United States.</w:t>
      </w:r>
    </w:p>
    <w:p w14:paraId="34867FDD" w14:textId="514C00DD" w:rsidR="00D97629" w:rsidRDefault="00A537D9" w:rsidP="00182ECE">
      <w:pPr>
        <w:pStyle w:val="ParaNumbering"/>
      </w:pPr>
      <w:r>
        <w:t xml:space="preserve">Relevantly, r 10.43 provides that service of an originating application on a person in a foreign country is effective for the purpose of a proceeding if the Court has given leave under r 10.43(2) before the application is served. </w:t>
      </w:r>
      <w:r w:rsidR="004F42A8">
        <w:t>Rule 10.44 relates to service of documents other than an originating application.</w:t>
      </w:r>
    </w:p>
    <w:p w14:paraId="25CE3B58" w14:textId="4558CDCF" w:rsidR="00A537D9" w:rsidRDefault="00A537D9" w:rsidP="00182ECE">
      <w:pPr>
        <w:pStyle w:val="ParaNumbering"/>
      </w:pPr>
      <w:r>
        <w:t xml:space="preserve">Rule 10.43(2) provides that a party may apply to the Court for leave to serve an originating application on a person in a foreign country in accordance with a convention, </w:t>
      </w:r>
      <w:proofErr w:type="gramStart"/>
      <w:r>
        <w:t>the</w:t>
      </w:r>
      <w:proofErr w:type="gramEnd"/>
      <w:r>
        <w:t xml:space="preserve"> Hague Convention or the law of the foreign country. Here, service under the Hague Convention is sought. </w:t>
      </w:r>
    </w:p>
    <w:p w14:paraId="5B66DA05" w14:textId="4194BF84" w:rsidR="00CF1345" w:rsidRDefault="00CF1345" w:rsidP="00CF1345">
      <w:pPr>
        <w:pStyle w:val="ParaNumbering"/>
      </w:pPr>
      <w:r>
        <w:t xml:space="preserve">In seeking leave </w:t>
      </w:r>
      <w:r w:rsidR="00A537D9">
        <w:t xml:space="preserve">to serve </w:t>
      </w:r>
      <w:r>
        <w:t xml:space="preserve">an originating application on a person in a foreign country, </w:t>
      </w:r>
      <w:r w:rsidR="004447A7">
        <w:t>an</w:t>
      </w:r>
      <w:r w:rsidRPr="00CF1345">
        <w:t xml:space="preserve"> </w:t>
      </w:r>
      <w:r w:rsidR="004447A7">
        <w:t>applicant</w:t>
      </w:r>
      <w:r w:rsidRPr="00CF1345">
        <w:t xml:space="preserve"> must establish that</w:t>
      </w:r>
      <w:r>
        <w:t>:</w:t>
      </w:r>
    </w:p>
    <w:p w14:paraId="489F2424" w14:textId="75BF36D6" w:rsidR="00CF1345" w:rsidRDefault="00CF1345" w:rsidP="008E0D14">
      <w:pPr>
        <w:pStyle w:val="ListNo1alt"/>
        <w:numPr>
          <w:ilvl w:val="0"/>
          <w:numId w:val="44"/>
        </w:numPr>
      </w:pPr>
      <w:r w:rsidRPr="00CF1345">
        <w:t xml:space="preserve">the Court has jurisdiction in the proceedings (r 10.43(4)(a)); </w:t>
      </w:r>
    </w:p>
    <w:p w14:paraId="67D10B1E" w14:textId="77777777" w:rsidR="00CF1345" w:rsidRDefault="00CF1345" w:rsidP="008E0D14">
      <w:pPr>
        <w:pStyle w:val="ListNo1alt"/>
        <w:numPr>
          <w:ilvl w:val="0"/>
          <w:numId w:val="44"/>
        </w:numPr>
      </w:pPr>
      <w:r w:rsidRPr="00CF1345">
        <w:t xml:space="preserve">the proceedings are of a kind mentioned in r 10.42 of the Rules (r 10.43(4)(b)); and </w:t>
      </w:r>
    </w:p>
    <w:p w14:paraId="3976E57C" w14:textId="23C2618B" w:rsidR="00CF1345" w:rsidRDefault="00CF1345" w:rsidP="008E0D14">
      <w:pPr>
        <w:pStyle w:val="ListNo1alt"/>
        <w:numPr>
          <w:ilvl w:val="0"/>
          <w:numId w:val="44"/>
        </w:numPr>
      </w:pPr>
      <w:proofErr w:type="gramStart"/>
      <w:r w:rsidRPr="00CF1345">
        <w:t>the</w:t>
      </w:r>
      <w:r w:rsidR="008727F2">
        <w:t>y</w:t>
      </w:r>
      <w:proofErr w:type="gramEnd"/>
      <w:r w:rsidR="008727F2">
        <w:t xml:space="preserve"> </w:t>
      </w:r>
      <w:r w:rsidRPr="00CF1345">
        <w:t>have a prima facie case for all or any of the relief claimed in the proceeding</w:t>
      </w:r>
      <w:r w:rsidR="008E6AAE">
        <w:t xml:space="preserve"> (</w:t>
      </w:r>
      <w:r w:rsidR="00DB1D59" w:rsidRPr="00CF1345">
        <w:t>r</w:t>
      </w:r>
      <w:r w:rsidR="00DB1D59">
        <w:t> </w:t>
      </w:r>
      <w:r w:rsidRPr="00CF1345">
        <w:t xml:space="preserve">10.43(4)(c)). </w:t>
      </w:r>
    </w:p>
    <w:p w14:paraId="15CBEFAD" w14:textId="5BB6DF87" w:rsidR="00CF1345" w:rsidRDefault="004F42A8" w:rsidP="00CF1345">
      <w:pPr>
        <w:pStyle w:val="ParaNumbering"/>
      </w:pPr>
      <w:r>
        <w:t>An</w:t>
      </w:r>
      <w:r w:rsidR="00CF1345" w:rsidRPr="00CF1345">
        <w:t xml:space="preserve"> application for leave to serve out</w:t>
      </w:r>
      <w:r w:rsidR="0064233D">
        <w:t>side the jurisdiction</w:t>
      </w:r>
      <w:r w:rsidR="00CF1345" w:rsidRPr="00CF1345">
        <w:t xml:space="preserve"> </w:t>
      </w:r>
      <w:r>
        <w:t xml:space="preserve">under </w:t>
      </w:r>
      <w:proofErr w:type="spellStart"/>
      <w:r>
        <w:t>r</w:t>
      </w:r>
      <w:r w:rsidR="00DB1D59">
        <w:t>r</w:t>
      </w:r>
      <w:proofErr w:type="spellEnd"/>
      <w:r w:rsidR="00DB1D59">
        <w:t xml:space="preserve"> </w:t>
      </w:r>
      <w:r>
        <w:t xml:space="preserve">10.43 or 10.44 </w:t>
      </w:r>
      <w:r w:rsidR="00CF1345" w:rsidRPr="00CF1345">
        <w:t>must be accompanied by an affidavit stating (1) the name of the foreign country where the person to be served is or is likely to be</w:t>
      </w:r>
      <w:r w:rsidR="008776C8">
        <w:t>,</w:t>
      </w:r>
      <w:r w:rsidR="00CF1345" w:rsidRPr="00CF1345">
        <w:t xml:space="preserve"> (2) the proposed method of service</w:t>
      </w:r>
      <w:r w:rsidR="008776C8">
        <w:t>,</w:t>
      </w:r>
      <w:r w:rsidR="0064233D">
        <w:t xml:space="preserve"> and</w:t>
      </w:r>
      <w:r w:rsidR="008776C8">
        <w:t xml:space="preserve"> </w:t>
      </w:r>
      <w:r w:rsidR="00CF1345" w:rsidRPr="00CF1345">
        <w:t xml:space="preserve">(3) that the proposed method of service is permitted, relevantly in the present application, under the Hague Convention: </w:t>
      </w:r>
      <w:proofErr w:type="spellStart"/>
      <w:r w:rsidR="00CF1345" w:rsidRPr="00CF1345">
        <w:t>r</w:t>
      </w:r>
      <w:r w:rsidR="00DB1D59">
        <w:t>r</w:t>
      </w:r>
      <w:proofErr w:type="spellEnd"/>
      <w:r w:rsidR="00CF1345" w:rsidRPr="00CF1345">
        <w:t xml:space="preserve"> 10.43(3)</w:t>
      </w:r>
      <w:r>
        <w:t>,</w:t>
      </w:r>
      <w:r w:rsidR="00DB1D59">
        <w:t xml:space="preserve"> </w:t>
      </w:r>
      <w:r>
        <w:t>10.44(2)</w:t>
      </w:r>
      <w:r w:rsidR="00CF1345" w:rsidRPr="00CF1345">
        <w:t>.</w:t>
      </w:r>
      <w:r w:rsidR="00B753C8">
        <w:t xml:space="preserve"> </w:t>
      </w:r>
      <w:r w:rsidR="00A537D9">
        <w:t>Mr Williams’ second affidavit provides the required information.</w:t>
      </w:r>
    </w:p>
    <w:p w14:paraId="04D0F41D" w14:textId="5F9B6647" w:rsidR="00CF1345" w:rsidRDefault="004F42A8" w:rsidP="00CF1345">
      <w:pPr>
        <w:pStyle w:val="ParaNumbering"/>
      </w:pPr>
      <w:r>
        <w:t>The applicable</w:t>
      </w:r>
      <w:r w:rsidR="00CF1345">
        <w:t xml:space="preserve"> principles are </w:t>
      </w:r>
      <w:r w:rsidR="004447A7">
        <w:t>summarised</w:t>
      </w:r>
      <w:r w:rsidR="00CF1345">
        <w:t xml:space="preserve"> by </w:t>
      </w:r>
      <w:r w:rsidR="0090181C">
        <w:t>Cheeseman J</w:t>
      </w:r>
      <w:r w:rsidR="00CF1345">
        <w:t xml:space="preserve"> in </w:t>
      </w:r>
      <w:r w:rsidR="00CF1345" w:rsidRPr="00C83655">
        <w:rPr>
          <w:b/>
          <w:i/>
        </w:rPr>
        <w:t>Hamilton</w:t>
      </w:r>
      <w:r w:rsidR="00CF1345" w:rsidRPr="00344F4A">
        <w:rPr>
          <w:i/>
        </w:rPr>
        <w:t xml:space="preserve"> v Meta Platforms, </w:t>
      </w:r>
      <w:proofErr w:type="spellStart"/>
      <w:r w:rsidR="00CF1345" w:rsidRPr="00344F4A">
        <w:rPr>
          <w:i/>
        </w:rPr>
        <w:t>Inc</w:t>
      </w:r>
      <w:proofErr w:type="spellEnd"/>
      <w:r w:rsidR="00CF1345" w:rsidRPr="00344F4A">
        <w:rPr>
          <w:i/>
        </w:rPr>
        <w:t xml:space="preserve"> (Service out of Jurisdiction)</w:t>
      </w:r>
      <w:r w:rsidR="00CF1345" w:rsidRPr="00344F4A">
        <w:t xml:space="preserve"> [2022] FCA 681</w:t>
      </w:r>
      <w:r w:rsidR="00CF1345">
        <w:t xml:space="preserve"> at [4]</w:t>
      </w:r>
      <w:r w:rsidR="00525CC9">
        <w:t>–</w:t>
      </w:r>
      <w:r w:rsidR="00CF1345">
        <w:t xml:space="preserve">[5]. Relevantly, Cheeseman J notes: </w:t>
      </w:r>
    </w:p>
    <w:p w14:paraId="5F31A57B" w14:textId="77777777" w:rsidR="00CF1345" w:rsidRDefault="00CF1345" w:rsidP="00CF1345">
      <w:pPr>
        <w:pStyle w:val="Quote1"/>
        <w:ind w:left="1440" w:hanging="703"/>
      </w:pPr>
      <w:r>
        <w:t>4</w:t>
      </w:r>
      <w:r>
        <w:tab/>
        <w:t xml:space="preserve">…If [the applicant] establishes each of the matters in </w:t>
      </w:r>
      <w:proofErr w:type="spellStart"/>
      <w:r>
        <w:t>rr</w:t>
      </w:r>
      <w:proofErr w:type="spellEnd"/>
      <w:r>
        <w:t xml:space="preserve"> 10.43(3) and (4) of the Rules, the Court has a residual discretion as to whether to grant leave: </w:t>
      </w:r>
      <w:r w:rsidRPr="00F70F0D">
        <w:rPr>
          <w:i/>
        </w:rPr>
        <w:t xml:space="preserve">Humane Society International </w:t>
      </w:r>
      <w:proofErr w:type="spellStart"/>
      <w:r w:rsidRPr="00F70F0D">
        <w:rPr>
          <w:i/>
        </w:rPr>
        <w:t>Inc</w:t>
      </w:r>
      <w:proofErr w:type="spellEnd"/>
      <w:r w:rsidRPr="00F70F0D">
        <w:rPr>
          <w:i/>
        </w:rPr>
        <w:t xml:space="preserve"> v Kyodo </w:t>
      </w:r>
      <w:proofErr w:type="spellStart"/>
      <w:r w:rsidRPr="00F70F0D">
        <w:rPr>
          <w:i/>
        </w:rPr>
        <w:t>Senpaku</w:t>
      </w:r>
      <w:proofErr w:type="spellEnd"/>
      <w:r w:rsidRPr="00F70F0D">
        <w:rPr>
          <w:i/>
        </w:rPr>
        <w:t xml:space="preserve"> Kaisha Ltd </w:t>
      </w:r>
      <w:r>
        <w:t xml:space="preserve">[2006] FCAFC 116; 154 FCR 425, 428 at [3] (Black CJ and Finkelstein J); Jasmin </w:t>
      </w:r>
      <w:r w:rsidRPr="00F70F0D">
        <w:rPr>
          <w:i/>
        </w:rPr>
        <w:t>Solar Pty Ltd v Trina Solar Australia Pty Ltd</w:t>
      </w:r>
      <w:r>
        <w:t xml:space="preserve"> [2015] FCA 1453; 331 ALR 108, 119 at [66] (Edelman J, when his Honour was in this Court).</w:t>
      </w:r>
    </w:p>
    <w:p w14:paraId="0EA656EF" w14:textId="77777777" w:rsidR="00CF1345" w:rsidRDefault="00CF1345" w:rsidP="00CF1345">
      <w:pPr>
        <w:pStyle w:val="Quote1"/>
        <w:ind w:left="1440" w:hanging="703"/>
      </w:pPr>
      <w:r>
        <w:lastRenderedPageBreak/>
        <w:t>5</w:t>
      </w:r>
      <w:r>
        <w:tab/>
        <w:t>[The applicant] need not establish a prima facie case in respect of all of his pleaded claims. He need only establish a prima facie case in relation to one cause of action or remedy: r 10.43(4</w:t>
      </w:r>
      <w:proofErr w:type="gramStart"/>
      <w:r>
        <w:t>)(</w:t>
      </w:r>
      <w:proofErr w:type="gramEnd"/>
      <w:r>
        <w:t xml:space="preserve">c) of the Rules; </w:t>
      </w:r>
      <w:r w:rsidRPr="00CF1345">
        <w:rPr>
          <w:i/>
        </w:rPr>
        <w:t xml:space="preserve">Israel Discount Bank Limited v ACN 078 272 867 Pty Ltd (in </w:t>
      </w:r>
      <w:proofErr w:type="spellStart"/>
      <w:r w:rsidRPr="00CF1345">
        <w:rPr>
          <w:i/>
        </w:rPr>
        <w:t>liq</w:t>
      </w:r>
      <w:proofErr w:type="spellEnd"/>
      <w:r w:rsidRPr="00CF1345">
        <w:rPr>
          <w:i/>
        </w:rPr>
        <w:t xml:space="preserve">) (formerly Advance Finances Pty Ltd) </w:t>
      </w:r>
      <w:r>
        <w:t xml:space="preserve">[2019] FCAFC 90; 367 ALR 71, 84 at [48] (Yates, Beach and </w:t>
      </w:r>
      <w:proofErr w:type="spellStart"/>
      <w:r>
        <w:t>Moshinsky</w:t>
      </w:r>
      <w:proofErr w:type="spellEnd"/>
      <w:r>
        <w:t xml:space="preserve"> JJ).</w:t>
      </w:r>
    </w:p>
    <w:p w14:paraId="51F6FA23" w14:textId="3146C6A1" w:rsidR="00A07313" w:rsidRDefault="004447A7" w:rsidP="00A07313">
      <w:pPr>
        <w:pStyle w:val="Heading2"/>
      </w:pPr>
      <w:r>
        <w:t xml:space="preserve">(a) </w:t>
      </w:r>
      <w:r w:rsidR="00A07313">
        <w:t xml:space="preserve">Jurisdiction  </w:t>
      </w:r>
    </w:p>
    <w:p w14:paraId="34291067" w14:textId="2D4B40CF" w:rsidR="00B81F1E" w:rsidRDefault="00A3494E" w:rsidP="004447A7">
      <w:pPr>
        <w:pStyle w:val="ParaNumbering"/>
      </w:pPr>
      <w:r w:rsidRPr="00B753C8">
        <w:t>The claims in the proposed ASOC against BLC, are founded on</w:t>
      </w:r>
      <w:r w:rsidRPr="00A3494E">
        <w:t xml:space="preserve"> the</w:t>
      </w:r>
      <w:r w:rsidRPr="00B81F1E">
        <w:rPr>
          <w:i/>
        </w:rPr>
        <w:t xml:space="preserve"> </w:t>
      </w:r>
      <w:r w:rsidRPr="00344F4A">
        <w:rPr>
          <w:b/>
          <w:i/>
        </w:rPr>
        <w:t>Patents Act</w:t>
      </w:r>
      <w:r w:rsidRPr="00344F4A">
        <w:rPr>
          <w:i/>
        </w:rPr>
        <w:t xml:space="preserve"> 1990</w:t>
      </w:r>
      <w:r w:rsidRPr="00344F4A">
        <w:t xml:space="preserve"> (</w:t>
      </w:r>
      <w:proofErr w:type="spellStart"/>
      <w:r w:rsidRPr="00344F4A">
        <w:t>Cth</w:t>
      </w:r>
      <w:proofErr w:type="spellEnd"/>
      <w:r w:rsidRPr="00344F4A">
        <w:t>)</w:t>
      </w:r>
      <w:r w:rsidRPr="00B753C8">
        <w:t xml:space="preserve">. </w:t>
      </w:r>
      <w:r w:rsidR="00B81F1E">
        <w:t>In the proposed ASOC, the</w:t>
      </w:r>
      <w:r w:rsidRPr="00B753C8">
        <w:t xml:space="preserve"> </w:t>
      </w:r>
      <w:r w:rsidR="00B179D4">
        <w:t>a</w:t>
      </w:r>
      <w:r w:rsidRPr="00B753C8">
        <w:t>pplicants allege that BLC in Australia infringed</w:t>
      </w:r>
      <w:r w:rsidR="004447A7">
        <w:t xml:space="preserve"> the Asserted Claims</w:t>
      </w:r>
      <w:r w:rsidRPr="00B753C8">
        <w:t xml:space="preserve"> by directly engaging in acts of exploitation of the V5 </w:t>
      </w:r>
      <w:proofErr w:type="spellStart"/>
      <w:r w:rsidRPr="00B753C8">
        <w:t>TruCore</w:t>
      </w:r>
      <w:proofErr w:type="spellEnd"/>
      <w:r w:rsidRPr="00B753C8">
        <w:t xml:space="preserve"> Tools, and indirectly, by authorising, inducing</w:t>
      </w:r>
      <w:r w:rsidR="00B179D4">
        <w:t>, procuring</w:t>
      </w:r>
      <w:r w:rsidRPr="00B753C8">
        <w:t xml:space="preserve"> or joining in a common design with BLY, BLYA and/or </w:t>
      </w:r>
      <w:proofErr w:type="spellStart"/>
      <w:r w:rsidRPr="00B753C8">
        <w:t>Globaltech</w:t>
      </w:r>
      <w:proofErr w:type="spellEnd"/>
      <w:r w:rsidRPr="00B753C8">
        <w:t xml:space="preserve"> Corporation </w:t>
      </w:r>
      <w:r w:rsidR="00DD19F1">
        <w:t xml:space="preserve">Pty Ltd </w:t>
      </w:r>
      <w:r w:rsidRPr="00B753C8">
        <w:t xml:space="preserve">to engage in exploitation of the V5 </w:t>
      </w:r>
      <w:proofErr w:type="spellStart"/>
      <w:r w:rsidRPr="00B753C8">
        <w:t>TruCore</w:t>
      </w:r>
      <w:proofErr w:type="spellEnd"/>
      <w:r w:rsidRPr="00B753C8">
        <w:t xml:space="preserve"> Tools.</w:t>
      </w:r>
      <w:r w:rsidR="004447A7">
        <w:t xml:space="preserve"> </w:t>
      </w:r>
      <w:r w:rsidR="00B81F1E">
        <w:t xml:space="preserve">The Federal Court </w:t>
      </w:r>
      <w:r w:rsidR="00D71D64">
        <w:t>has jurisdiction</w:t>
      </w:r>
      <w:r w:rsidR="00B81F1E">
        <w:t xml:space="preserve"> to hear these claims pursuant to s</w:t>
      </w:r>
      <w:r w:rsidR="00DB1D59">
        <w:t xml:space="preserve"> </w:t>
      </w:r>
      <w:r w:rsidR="00B81F1E">
        <w:t xml:space="preserve">19 of the </w:t>
      </w:r>
      <w:r w:rsidR="004447A7" w:rsidRPr="00C24F60">
        <w:rPr>
          <w:i/>
        </w:rPr>
        <w:t>FCA</w:t>
      </w:r>
      <w:r w:rsidR="002C4C14">
        <w:rPr>
          <w:i/>
        </w:rPr>
        <w:t xml:space="preserve"> Act</w:t>
      </w:r>
      <w:r w:rsidR="00B81F1E">
        <w:t xml:space="preserve"> and s</w:t>
      </w:r>
      <w:r w:rsidR="00DB1D59">
        <w:t xml:space="preserve"> </w:t>
      </w:r>
      <w:r w:rsidR="00B81F1E">
        <w:t xml:space="preserve">120 of </w:t>
      </w:r>
      <w:r w:rsidR="00B81F1E" w:rsidRPr="00DB1D59">
        <w:t xml:space="preserve">the </w:t>
      </w:r>
      <w:r w:rsidR="00B81F1E" w:rsidRPr="00526BEE">
        <w:rPr>
          <w:i/>
        </w:rPr>
        <w:t>Patents Act</w:t>
      </w:r>
      <w:r w:rsidR="00B81F1E" w:rsidRPr="00C83655">
        <w:t>.</w:t>
      </w:r>
    </w:p>
    <w:p w14:paraId="4CCDEFFB" w14:textId="6BE908CC" w:rsidR="00A12DD2" w:rsidRDefault="004447A7" w:rsidP="00A12DD2">
      <w:pPr>
        <w:pStyle w:val="ParaNumbering"/>
      </w:pPr>
      <w:r>
        <w:t xml:space="preserve">According to Mr Williams, </w:t>
      </w:r>
      <w:r w:rsidR="00B81F1E" w:rsidRPr="00A3494E">
        <w:t xml:space="preserve">BLC is a company formed according to the laws of the United </w:t>
      </w:r>
      <w:r>
        <w:t>States of America. BLC</w:t>
      </w:r>
      <w:r w:rsidR="00B81F1E" w:rsidRPr="00A3494E">
        <w:t xml:space="preserve"> is a company in the same corporate group as the first and second respondents, </w:t>
      </w:r>
      <w:r>
        <w:t xml:space="preserve">and is </w:t>
      </w:r>
      <w:r w:rsidR="00B81F1E" w:rsidRPr="00A3494E">
        <w:t>a wholly owned subsidiary of BLY (the second respondent).</w:t>
      </w:r>
    </w:p>
    <w:p w14:paraId="4E9D36DC" w14:textId="20826C19" w:rsidR="00A07313" w:rsidRDefault="004447A7" w:rsidP="00B753C8">
      <w:pPr>
        <w:pStyle w:val="Heading2"/>
      </w:pPr>
      <w:r>
        <w:t xml:space="preserve">(b) </w:t>
      </w:r>
      <w:r w:rsidR="007B09D6" w:rsidRPr="00B753C8">
        <w:t>Pro</w:t>
      </w:r>
      <w:r w:rsidR="007B09D6">
        <w:t>ceeding</w:t>
      </w:r>
      <w:r w:rsidR="00A07313">
        <w:t xml:space="preserve"> of the kind in r </w:t>
      </w:r>
      <w:r w:rsidR="00B753C8" w:rsidRPr="00B753C8">
        <w:t xml:space="preserve">10.42 </w:t>
      </w:r>
    </w:p>
    <w:p w14:paraId="5A0420DD" w14:textId="3FCF718D" w:rsidR="00B753C8" w:rsidRDefault="00A15586" w:rsidP="0090181C">
      <w:pPr>
        <w:pStyle w:val="ParaNumbering"/>
      </w:pPr>
      <w:r w:rsidRPr="00B753C8">
        <w:t xml:space="preserve">Rule 10.42 </w:t>
      </w:r>
      <w:r w:rsidR="009E3AB2">
        <w:t xml:space="preserve">sets out in tabular form the kinds of proceeding for which an originating application may be served on a person in a foreign country. </w:t>
      </w:r>
      <w:r w:rsidRPr="00B753C8">
        <w:t xml:space="preserve">These include </w:t>
      </w:r>
      <w:r w:rsidR="004E6B5E" w:rsidRPr="00B753C8">
        <w:t xml:space="preserve">a proceeding </w:t>
      </w:r>
      <w:r w:rsidR="004E6B5E">
        <w:t>seeking any relief or remedy under an Act (item 15)</w:t>
      </w:r>
      <w:r w:rsidR="009E3AB2">
        <w:t xml:space="preserve">. </w:t>
      </w:r>
      <w:r w:rsidRPr="00B753C8">
        <w:t xml:space="preserve">Proceedings for patent infringement under </w:t>
      </w:r>
      <w:r w:rsidR="009E3AB2">
        <w:t xml:space="preserve">the </w:t>
      </w:r>
      <w:r w:rsidR="009E3AB2" w:rsidRPr="00526BEE">
        <w:rPr>
          <w:i/>
        </w:rPr>
        <w:t>Patents Act</w:t>
      </w:r>
      <w:r w:rsidR="009E3AB2">
        <w:t xml:space="preserve"> are of that kind</w:t>
      </w:r>
      <w:r w:rsidRPr="00B753C8">
        <w:t xml:space="preserve">. </w:t>
      </w:r>
      <w:r w:rsidR="009E3AB2">
        <w:t xml:space="preserve">The table also identifies the following kinds of proceeding, which are also relevant to the present case: a proceeding based on a tort committed in Australia (item 4); a proceeding based on, or seeking the recovery of, damage suffered wholly or partly in Australia caused by a tortious act or omission (wherever occurring) (item 5); and a proceeding in which the subject matter, to the extent that it concerns the person to be served, is property in Australia (item 21). </w:t>
      </w:r>
      <w:r w:rsidRPr="00B753C8">
        <w:t xml:space="preserve">The </w:t>
      </w:r>
      <w:r w:rsidR="0090181C">
        <w:t xml:space="preserve">originating application is one which </w:t>
      </w:r>
      <w:r w:rsidR="00C30B2A">
        <w:t xml:space="preserve">the Court has power to order </w:t>
      </w:r>
      <w:r w:rsidR="0090181C">
        <w:t>be served outside Australia pursuant to r</w:t>
      </w:r>
      <w:r w:rsidR="00DB1D59">
        <w:t xml:space="preserve"> </w:t>
      </w:r>
      <w:r w:rsidR="0090181C">
        <w:t>10.43</w:t>
      </w:r>
      <w:r w:rsidRPr="00B753C8">
        <w:t>.</w:t>
      </w:r>
    </w:p>
    <w:p w14:paraId="3DE88BD4" w14:textId="026D2628" w:rsidR="00936DB3" w:rsidRPr="00A227FA" w:rsidRDefault="004447A7" w:rsidP="00B753C8">
      <w:pPr>
        <w:pStyle w:val="Heading2"/>
      </w:pPr>
      <w:r>
        <w:t>(c) Prima facie case</w:t>
      </w:r>
    </w:p>
    <w:p w14:paraId="6DC3DFD3" w14:textId="3D0A9A2A" w:rsidR="00002A0D" w:rsidRDefault="003C08C8" w:rsidP="00936DB3">
      <w:pPr>
        <w:pStyle w:val="ParaNumbering"/>
      </w:pPr>
      <w:r>
        <w:t xml:space="preserve">In </w:t>
      </w:r>
      <w:r w:rsidR="005064CC" w:rsidRPr="00344F4A">
        <w:rPr>
          <w:i/>
        </w:rPr>
        <w:t>Australian Competition and Consumer Commission v Yellow Page Marketing BV</w:t>
      </w:r>
      <w:r w:rsidR="005064CC" w:rsidRPr="00344F4A">
        <w:t xml:space="preserve"> [2010] FCA 1218</w:t>
      </w:r>
      <w:r w:rsidR="005064CC">
        <w:t xml:space="preserve">, </w:t>
      </w:r>
      <w:r>
        <w:t xml:space="preserve">Gordon J </w:t>
      </w:r>
      <w:r w:rsidR="005064CC">
        <w:t>at [25]</w:t>
      </w:r>
      <w:r>
        <w:t xml:space="preserve"> observed</w:t>
      </w:r>
      <w:r w:rsidR="00A227FA">
        <w:t>:</w:t>
      </w:r>
    </w:p>
    <w:p w14:paraId="7833D07B" w14:textId="444333E4" w:rsidR="005064CC" w:rsidRDefault="005064CC" w:rsidP="005312E0">
      <w:pPr>
        <w:pStyle w:val="Quote1"/>
        <w:rPr>
          <w:shd w:val="clear" w:color="auto" w:fill="FFFFFF"/>
        </w:rPr>
      </w:pPr>
      <w:r>
        <w:rPr>
          <w:shd w:val="clear" w:color="auto" w:fill="FFFFFF"/>
        </w:rPr>
        <w:t xml:space="preserve">The requirement to demonstrate a prima facie case in this context is not particularly onerous.  The question is whether on the material before the Court, inferences were open which, if translated into final findings of fact, would support the relief claimed.  A </w:t>
      </w:r>
      <w:r>
        <w:rPr>
          <w:shd w:val="clear" w:color="auto" w:fill="FFFFFF"/>
        </w:rPr>
        <w:lastRenderedPageBreak/>
        <w:t>prima facie case exists, provided there is such evidence, even on a hearsay basis, as to sufficient elements of the proceeding leading to </w:t>
      </w:r>
      <w:r>
        <w:rPr>
          <w:u w:val="single"/>
          <w:shd w:val="clear" w:color="auto" w:fill="FFFFFF"/>
        </w:rPr>
        <w:t>any</w:t>
      </w:r>
      <w:r>
        <w:rPr>
          <w:shd w:val="clear" w:color="auto" w:fill="FFFFFF"/>
        </w:rPr>
        <w:t> (and not necessarily all) of the relief sought: </w:t>
      </w:r>
      <w:r>
        <w:rPr>
          <w:i/>
          <w:iCs/>
          <w:shd w:val="clear" w:color="auto" w:fill="FFFFFF"/>
        </w:rPr>
        <w:t>Bray v F Hoffman-La Roche Ltd</w:t>
      </w:r>
      <w:r>
        <w:rPr>
          <w:shd w:val="clear" w:color="auto" w:fill="FFFFFF"/>
        </w:rPr>
        <w:t> (2003) 130 FCR 317 at [39], [55], [58] and [97]. </w:t>
      </w:r>
    </w:p>
    <w:p w14:paraId="1DAD08D3" w14:textId="2D622DC6" w:rsidR="002C4C14" w:rsidRDefault="002C4C14" w:rsidP="005312E0">
      <w:pPr>
        <w:pStyle w:val="Quote1"/>
        <w:rPr>
          <w:shd w:val="clear" w:color="auto" w:fill="FFFFFF"/>
        </w:rPr>
      </w:pPr>
      <w:r>
        <w:rPr>
          <w:shd w:val="clear" w:color="auto" w:fill="FFFFFF"/>
        </w:rPr>
        <w:t>(Emphasis in original.)</w:t>
      </w:r>
    </w:p>
    <w:p w14:paraId="3DECB24B" w14:textId="3E0E04FC" w:rsidR="003E5C94" w:rsidRDefault="00C30B2A" w:rsidP="005312E0">
      <w:pPr>
        <w:pStyle w:val="ParaNumbering"/>
        <w:rPr>
          <w:shd w:val="clear" w:color="auto" w:fill="FFFFFF"/>
        </w:rPr>
      </w:pPr>
      <w:r>
        <w:rPr>
          <w:shd w:val="clear" w:color="auto" w:fill="FFFFFF"/>
        </w:rPr>
        <w:t>A</w:t>
      </w:r>
      <w:r w:rsidR="003E5C94">
        <w:rPr>
          <w:shd w:val="clear" w:color="auto" w:fill="FFFFFF"/>
        </w:rPr>
        <w:t xml:space="preserve">t [36] of </w:t>
      </w:r>
      <w:r w:rsidR="003E5C94" w:rsidRPr="009F5250">
        <w:rPr>
          <w:i/>
          <w:shd w:val="clear" w:color="auto" w:fill="FFFFFF"/>
        </w:rPr>
        <w:t>Hamilton</w:t>
      </w:r>
      <w:r w:rsidR="003E5C94">
        <w:rPr>
          <w:shd w:val="clear" w:color="auto" w:fill="FFFFFF"/>
        </w:rPr>
        <w:t>, Cheeseman J observed:</w:t>
      </w:r>
    </w:p>
    <w:p w14:paraId="71EB53F5" w14:textId="78835A41" w:rsidR="00C30B2A" w:rsidRDefault="003E5C94" w:rsidP="003E5C94">
      <w:pPr>
        <w:pStyle w:val="Quote1"/>
        <w:rPr>
          <w:shd w:val="clear" w:color="auto" w:fill="FFFFFF"/>
        </w:rPr>
      </w:pPr>
      <w:r w:rsidRPr="003E5C94">
        <w:rPr>
          <w:shd w:val="clear" w:color="auto" w:fill="FFFFFF"/>
        </w:rPr>
        <w:t>The requirement for the applicant to establish a prima facie case for all or any of the</w:t>
      </w:r>
      <w:r>
        <w:rPr>
          <w:shd w:val="clear" w:color="auto" w:fill="FFFFFF"/>
        </w:rPr>
        <w:t xml:space="preserve"> </w:t>
      </w:r>
      <w:r w:rsidRPr="003E5C94">
        <w:rPr>
          <w:shd w:val="clear" w:color="auto" w:fill="FFFFFF"/>
        </w:rPr>
        <w:t xml:space="preserve">relief claimed in the proceeding under r 10.43(4)(c) is “not particularly onerous”: </w:t>
      </w:r>
      <w:r w:rsidRPr="003E5C94">
        <w:rPr>
          <w:i/>
          <w:shd w:val="clear" w:color="auto" w:fill="FFFFFF"/>
        </w:rPr>
        <w:t>Yellow Page Marketing</w:t>
      </w:r>
      <w:r w:rsidRPr="003E5C94">
        <w:rPr>
          <w:shd w:val="clear" w:color="auto" w:fill="FFFFFF"/>
        </w:rPr>
        <w:t xml:space="preserve"> at [25] (Gordon J). A prima facie case is made out where, upon a broad</w:t>
      </w:r>
      <w:r>
        <w:rPr>
          <w:shd w:val="clear" w:color="auto" w:fill="FFFFFF"/>
        </w:rPr>
        <w:t xml:space="preserve"> </w:t>
      </w:r>
      <w:r w:rsidRPr="003E5C94">
        <w:rPr>
          <w:shd w:val="clear" w:color="auto" w:fill="FFFFFF"/>
        </w:rPr>
        <w:t>examination rather than an intense scrutiny of the material before the Court, inferences are</w:t>
      </w:r>
      <w:r>
        <w:rPr>
          <w:shd w:val="clear" w:color="auto" w:fill="FFFFFF"/>
        </w:rPr>
        <w:t xml:space="preserve"> </w:t>
      </w:r>
      <w:r w:rsidRPr="003E5C94">
        <w:rPr>
          <w:shd w:val="clear" w:color="auto" w:fill="FFFFFF"/>
        </w:rPr>
        <w:t>shown to be open which, if translated into findings of fact, wo</w:t>
      </w:r>
      <w:r>
        <w:rPr>
          <w:shd w:val="clear" w:color="auto" w:fill="FFFFFF"/>
        </w:rPr>
        <w:t xml:space="preserve">uld support the relief claimed: </w:t>
      </w:r>
      <w:r w:rsidRPr="003E5C94">
        <w:rPr>
          <w:i/>
          <w:shd w:val="clear" w:color="auto" w:fill="FFFFFF"/>
        </w:rPr>
        <w:t>Australian Competition and Consumer Commission v April International Marketing Services Australia Pty Ltd (No 6)</w:t>
      </w:r>
      <w:r w:rsidRPr="003E5C94">
        <w:rPr>
          <w:shd w:val="clear" w:color="auto" w:fill="FFFFFF"/>
        </w:rPr>
        <w:t xml:space="preserve"> [2010] FCA 704; 270 ALR 504, 507 at [8] (Bennett J) and the cases</w:t>
      </w:r>
      <w:r>
        <w:rPr>
          <w:shd w:val="clear" w:color="auto" w:fill="FFFFFF"/>
        </w:rPr>
        <w:t xml:space="preserve"> </w:t>
      </w:r>
      <w:r w:rsidRPr="003E5C94">
        <w:rPr>
          <w:shd w:val="clear" w:color="auto" w:fill="FFFFFF"/>
        </w:rPr>
        <w:t xml:space="preserve">cited therein. A detailed analysis of the evidence is not called for: </w:t>
      </w:r>
      <w:r w:rsidRPr="003E5C94">
        <w:rPr>
          <w:i/>
          <w:shd w:val="clear" w:color="auto" w:fill="FFFFFF"/>
        </w:rPr>
        <w:t xml:space="preserve">NPP Australia Limited v Ripple Labs, </w:t>
      </w:r>
      <w:proofErr w:type="spellStart"/>
      <w:r w:rsidRPr="003E5C94">
        <w:rPr>
          <w:i/>
          <w:shd w:val="clear" w:color="auto" w:fill="FFFFFF"/>
        </w:rPr>
        <w:t>Inc</w:t>
      </w:r>
      <w:proofErr w:type="spellEnd"/>
      <w:r w:rsidRPr="003E5C94">
        <w:rPr>
          <w:shd w:val="clear" w:color="auto" w:fill="FFFFFF"/>
        </w:rPr>
        <w:t xml:space="preserve"> [2020] FCA 1237 at [27] (Burley J). This is particularly apposite where the</w:t>
      </w:r>
      <w:r>
        <w:rPr>
          <w:shd w:val="clear" w:color="auto" w:fill="FFFFFF"/>
        </w:rPr>
        <w:t xml:space="preserve"> </w:t>
      </w:r>
      <w:r w:rsidRPr="003E5C94">
        <w:rPr>
          <w:shd w:val="clear" w:color="auto" w:fill="FFFFFF"/>
        </w:rPr>
        <w:t>party served has an entitlement to apply to set aside service un</w:t>
      </w:r>
      <w:r>
        <w:rPr>
          <w:shd w:val="clear" w:color="auto" w:fill="FFFFFF"/>
        </w:rPr>
        <w:t>der r 13.01(1</w:t>
      </w:r>
      <w:proofErr w:type="gramStart"/>
      <w:r>
        <w:rPr>
          <w:shd w:val="clear" w:color="auto" w:fill="FFFFFF"/>
        </w:rPr>
        <w:t>)(</w:t>
      </w:r>
      <w:proofErr w:type="gramEnd"/>
      <w:r>
        <w:rPr>
          <w:shd w:val="clear" w:color="auto" w:fill="FFFFFF"/>
        </w:rPr>
        <w:t xml:space="preserve">b) of the Rules: </w:t>
      </w:r>
      <w:r w:rsidRPr="003E5C94">
        <w:rPr>
          <w:i/>
          <w:shd w:val="clear" w:color="auto" w:fill="FFFFFF"/>
        </w:rPr>
        <w:t xml:space="preserve">Epic Games, </w:t>
      </w:r>
      <w:proofErr w:type="spellStart"/>
      <w:r w:rsidRPr="003E5C94">
        <w:rPr>
          <w:i/>
          <w:shd w:val="clear" w:color="auto" w:fill="FFFFFF"/>
        </w:rPr>
        <w:t>Inc</w:t>
      </w:r>
      <w:proofErr w:type="spellEnd"/>
      <w:r w:rsidRPr="003E5C94">
        <w:rPr>
          <w:i/>
          <w:shd w:val="clear" w:color="auto" w:fill="FFFFFF"/>
        </w:rPr>
        <w:t xml:space="preserve"> v Google LLC (Service Out of Jurisdiction) </w:t>
      </w:r>
      <w:r w:rsidRPr="003E5C94">
        <w:rPr>
          <w:shd w:val="clear" w:color="auto" w:fill="FFFFFF"/>
        </w:rPr>
        <w:t>[2021] FCA 666 at [9] (</w:t>
      </w:r>
      <w:proofErr w:type="spellStart"/>
      <w:r w:rsidRPr="003E5C94">
        <w:rPr>
          <w:shd w:val="clear" w:color="auto" w:fill="FFFFFF"/>
        </w:rPr>
        <w:t>Perram</w:t>
      </w:r>
      <w:proofErr w:type="spellEnd"/>
      <w:r>
        <w:rPr>
          <w:shd w:val="clear" w:color="auto" w:fill="FFFFFF"/>
        </w:rPr>
        <w:t xml:space="preserve"> </w:t>
      </w:r>
      <w:r w:rsidRPr="003E5C94">
        <w:rPr>
          <w:shd w:val="clear" w:color="auto" w:fill="FFFFFF"/>
        </w:rPr>
        <w:t>J).</w:t>
      </w:r>
      <w:r>
        <w:rPr>
          <w:shd w:val="clear" w:color="auto" w:fill="FFFFFF"/>
        </w:rPr>
        <w:t xml:space="preserve"> </w:t>
      </w:r>
    </w:p>
    <w:p w14:paraId="60F7C71C" w14:textId="4FD82C79" w:rsidR="005312E0" w:rsidRPr="005312E0" w:rsidRDefault="003E5C94" w:rsidP="005312E0">
      <w:pPr>
        <w:pStyle w:val="ParaNumbering"/>
        <w:rPr>
          <w:shd w:val="clear" w:color="auto" w:fill="FFFFFF"/>
        </w:rPr>
      </w:pPr>
      <w:r>
        <w:rPr>
          <w:shd w:val="clear" w:color="auto" w:fill="FFFFFF"/>
        </w:rPr>
        <w:t>AMC relies</w:t>
      </w:r>
      <w:r w:rsidR="003C08C8">
        <w:rPr>
          <w:shd w:val="clear" w:color="auto" w:fill="FFFFFF"/>
        </w:rPr>
        <w:t xml:space="preserve"> on the two Williams affidavits</w:t>
      </w:r>
      <w:r>
        <w:rPr>
          <w:shd w:val="clear" w:color="auto" w:fill="FFFFFF"/>
        </w:rPr>
        <w:t xml:space="preserve"> to support its application for service</w:t>
      </w:r>
      <w:r w:rsidR="003C08C8">
        <w:rPr>
          <w:shd w:val="clear" w:color="auto" w:fill="FFFFFF"/>
        </w:rPr>
        <w:t xml:space="preserve">. </w:t>
      </w:r>
      <w:r w:rsidR="0090181C">
        <w:rPr>
          <w:shd w:val="clear" w:color="auto" w:fill="FFFFFF"/>
        </w:rPr>
        <w:t>AMC</w:t>
      </w:r>
      <w:r w:rsidR="003C08C8">
        <w:rPr>
          <w:shd w:val="clear" w:color="auto" w:fill="FFFFFF"/>
        </w:rPr>
        <w:t xml:space="preserve"> submit</w:t>
      </w:r>
      <w:r w:rsidR="0090181C">
        <w:rPr>
          <w:shd w:val="clear" w:color="auto" w:fill="FFFFFF"/>
        </w:rPr>
        <w:t>s</w:t>
      </w:r>
      <w:r w:rsidR="005312E0">
        <w:rPr>
          <w:shd w:val="clear" w:color="auto" w:fill="FFFFFF"/>
        </w:rPr>
        <w:t xml:space="preserve">, and I accept, that </w:t>
      </w:r>
      <w:r w:rsidR="003C08C8">
        <w:t xml:space="preserve">the </w:t>
      </w:r>
      <w:r w:rsidR="005312E0">
        <w:t>matters</w:t>
      </w:r>
      <w:r w:rsidR="003C08C8">
        <w:t xml:space="preserve"> deposed to </w:t>
      </w:r>
      <w:r w:rsidR="0090181C">
        <w:t>by Mr Williams and annexed to his affidavits</w:t>
      </w:r>
      <w:r w:rsidR="003C08C8">
        <w:t xml:space="preserve"> </w:t>
      </w:r>
      <w:r w:rsidR="004447A7">
        <w:t>demonstrate</w:t>
      </w:r>
      <w:r w:rsidR="005312E0">
        <w:t xml:space="preserve"> a prima facie case</w:t>
      </w:r>
      <w:r>
        <w:t xml:space="preserve"> for the relief it seeks</w:t>
      </w:r>
      <w:r w:rsidR="003C08C8">
        <w:t xml:space="preserve">. On the basis of that material I consider that </w:t>
      </w:r>
      <w:r w:rsidR="00831DA8">
        <w:t xml:space="preserve">there is at least </w:t>
      </w:r>
      <w:r>
        <w:t>prima facie inferential basis for the claim that BLC</w:t>
      </w:r>
      <w:r w:rsidR="00831DA8">
        <w:t xml:space="preserve"> has been involved, either directly or indirectly, in the offering for sale, sal</w:t>
      </w:r>
      <w:r w:rsidR="005312E0">
        <w:t xml:space="preserve">e and supply of the V5 </w:t>
      </w:r>
      <w:proofErr w:type="spellStart"/>
      <w:r w:rsidR="005312E0">
        <w:t>TruCore</w:t>
      </w:r>
      <w:proofErr w:type="spellEnd"/>
      <w:r w:rsidR="005312E0">
        <w:t xml:space="preserve"> T</w:t>
      </w:r>
      <w:r w:rsidR="00831DA8">
        <w:t>ools</w:t>
      </w:r>
      <w:r>
        <w:t xml:space="preserve"> in Australia</w:t>
      </w:r>
      <w:r w:rsidR="004447A7">
        <w:t xml:space="preserve">, including via the </w:t>
      </w:r>
      <w:proofErr w:type="spellStart"/>
      <w:r w:rsidR="004447A7">
        <w:t>Boart</w:t>
      </w:r>
      <w:proofErr w:type="spellEnd"/>
      <w:r w:rsidR="004447A7">
        <w:t xml:space="preserve"> </w:t>
      </w:r>
      <w:proofErr w:type="spellStart"/>
      <w:r w:rsidR="004447A7">
        <w:t>Longyear</w:t>
      </w:r>
      <w:proofErr w:type="spellEnd"/>
      <w:r w:rsidR="004447A7">
        <w:t xml:space="preserve"> website</w:t>
      </w:r>
      <w:r w:rsidR="00831DA8">
        <w:t>, and that such conduct will be found to con</w:t>
      </w:r>
      <w:r w:rsidR="004447A7">
        <w:t>stitute an infringement of the Asserted C</w:t>
      </w:r>
      <w:r w:rsidR="00831DA8">
        <w:t xml:space="preserve">laims of the Patent. </w:t>
      </w:r>
      <w:r>
        <w:t>I am satisfied that there is a prima facie case for the relief sought against BLC for the purposes of r 10.43(4</w:t>
      </w:r>
      <w:proofErr w:type="gramStart"/>
      <w:r>
        <w:t>)(</w:t>
      </w:r>
      <w:proofErr w:type="gramEnd"/>
      <w:r>
        <w:t>c)</w:t>
      </w:r>
      <w:r w:rsidR="00E24A08">
        <w:t>.</w:t>
      </w:r>
    </w:p>
    <w:p w14:paraId="1EB42168" w14:textId="31E476B0" w:rsidR="005312E0" w:rsidRPr="005312E0" w:rsidRDefault="00831DA8" w:rsidP="005312E0">
      <w:pPr>
        <w:pStyle w:val="ParaNumbering"/>
        <w:rPr>
          <w:shd w:val="clear" w:color="auto" w:fill="FFFFFF"/>
        </w:rPr>
      </w:pPr>
      <w:r>
        <w:t xml:space="preserve">First, </w:t>
      </w:r>
      <w:r w:rsidR="005312E0">
        <w:t>AMC</w:t>
      </w:r>
      <w:r>
        <w:t xml:space="preserve"> allege</w:t>
      </w:r>
      <w:r w:rsidR="005312E0">
        <w:t>s</w:t>
      </w:r>
      <w:r>
        <w:t xml:space="preserve">, and BLYA and BLY </w:t>
      </w:r>
      <w:r w:rsidR="005312E0">
        <w:t>admit</w:t>
      </w:r>
      <w:r>
        <w:t xml:space="preserve">, that BLC is the controller of the </w:t>
      </w:r>
      <w:proofErr w:type="spellStart"/>
      <w:r w:rsidR="005312E0">
        <w:t>Boart</w:t>
      </w:r>
      <w:proofErr w:type="spellEnd"/>
      <w:r w:rsidR="005312E0">
        <w:t xml:space="preserve"> </w:t>
      </w:r>
      <w:proofErr w:type="spellStart"/>
      <w:r w:rsidR="005312E0">
        <w:t>Longyear</w:t>
      </w:r>
      <w:proofErr w:type="spellEnd"/>
      <w:r w:rsidR="005312E0">
        <w:t xml:space="preserve"> </w:t>
      </w:r>
      <w:r>
        <w:t>website</w:t>
      </w:r>
      <w:r w:rsidRPr="00831DA8">
        <w:t>.</w:t>
      </w:r>
      <w:r w:rsidRPr="005312E0">
        <w:rPr>
          <w:sz w:val="15"/>
          <w:szCs w:val="15"/>
        </w:rPr>
        <w:t xml:space="preserve"> </w:t>
      </w:r>
      <w:r w:rsidR="005312E0">
        <w:t xml:space="preserve">According to Mr Williams, </w:t>
      </w:r>
      <w:r w:rsidR="003256C2">
        <w:t xml:space="preserve">BLC is the registrant of </w:t>
      </w:r>
      <w:r w:rsidR="005312E0">
        <w:t xml:space="preserve">the </w:t>
      </w:r>
      <w:proofErr w:type="spellStart"/>
      <w:r w:rsidR="005312E0">
        <w:t>Boart</w:t>
      </w:r>
      <w:proofErr w:type="spellEnd"/>
      <w:r w:rsidR="005312E0">
        <w:t xml:space="preserve"> </w:t>
      </w:r>
      <w:proofErr w:type="spellStart"/>
      <w:r w:rsidR="005312E0">
        <w:t>Longyear</w:t>
      </w:r>
      <w:proofErr w:type="spellEnd"/>
      <w:r w:rsidR="005312E0">
        <w:t xml:space="preserve"> w</w:t>
      </w:r>
      <w:r w:rsidRPr="00831DA8">
        <w:t xml:space="preserve">ebsite </w:t>
      </w:r>
      <w:r w:rsidR="003256C2">
        <w:t xml:space="preserve">which </w:t>
      </w:r>
      <w:r w:rsidRPr="00831DA8">
        <w:t xml:space="preserve">promoted the V5 </w:t>
      </w:r>
      <w:proofErr w:type="spellStart"/>
      <w:r w:rsidRPr="00831DA8">
        <w:t>TruCore</w:t>
      </w:r>
      <w:proofErr w:type="spellEnd"/>
      <w:r w:rsidRPr="00831DA8">
        <w:t xml:space="preserve"> Tools to Australian consumers and </w:t>
      </w:r>
      <w:r>
        <w:t>also provided instructions for their use during the Relevant Period.</w:t>
      </w:r>
      <w:r w:rsidRPr="005312E0">
        <w:rPr>
          <w:sz w:val="15"/>
          <w:szCs w:val="15"/>
        </w:rPr>
        <w:t xml:space="preserve"> </w:t>
      </w:r>
    </w:p>
    <w:p w14:paraId="2843EC34" w14:textId="4634268A" w:rsidR="005312E0" w:rsidRPr="005312E0" w:rsidRDefault="00831DA8" w:rsidP="005312E0">
      <w:pPr>
        <w:pStyle w:val="ParaNumbering"/>
        <w:rPr>
          <w:shd w:val="clear" w:color="auto" w:fill="FFFFFF"/>
        </w:rPr>
      </w:pPr>
      <w:r>
        <w:t xml:space="preserve">Second, </w:t>
      </w:r>
      <w:r w:rsidR="005312E0">
        <w:t>AMC</w:t>
      </w:r>
      <w:r>
        <w:t xml:space="preserve"> allege</w:t>
      </w:r>
      <w:r w:rsidR="005312E0">
        <w:t>s</w:t>
      </w:r>
      <w:r>
        <w:t xml:space="preserve">, and BLYA and BLY </w:t>
      </w:r>
      <w:r w:rsidR="005312E0">
        <w:t>admit</w:t>
      </w:r>
      <w:r>
        <w:t xml:space="preserve">, that the V5 </w:t>
      </w:r>
      <w:proofErr w:type="spellStart"/>
      <w:r>
        <w:t>TruCore</w:t>
      </w:r>
      <w:proofErr w:type="spellEnd"/>
      <w:r>
        <w:t xml:space="preserve"> Tools were the same core orientation tools as the </w:t>
      </w:r>
      <w:proofErr w:type="spellStart"/>
      <w:r w:rsidR="001E4883">
        <w:t>Orifinder</w:t>
      </w:r>
      <w:proofErr w:type="spellEnd"/>
      <w:r w:rsidR="001E4883">
        <w:t xml:space="preserve"> v5 </w:t>
      </w:r>
      <w:r>
        <w:t>Tools in</w:t>
      </w:r>
      <w:r w:rsidRPr="005312E0">
        <w:rPr>
          <w:i/>
        </w:rPr>
        <w:t xml:space="preserve"> </w:t>
      </w:r>
      <w:proofErr w:type="spellStart"/>
      <w:r w:rsidR="005312E0" w:rsidRPr="005312E0">
        <w:rPr>
          <w:i/>
        </w:rPr>
        <w:t>Globaltech</w:t>
      </w:r>
      <w:proofErr w:type="spellEnd"/>
      <w:r w:rsidR="005312E0" w:rsidRPr="005312E0">
        <w:rPr>
          <w:i/>
        </w:rPr>
        <w:t xml:space="preserve"> FI</w:t>
      </w:r>
      <w:r>
        <w:t xml:space="preserve">, which were found </w:t>
      </w:r>
      <w:r w:rsidR="009F5250">
        <w:t xml:space="preserve">by </w:t>
      </w:r>
      <w:proofErr w:type="spellStart"/>
      <w:r w:rsidR="00AB6AB6">
        <w:t>Besanko</w:t>
      </w:r>
      <w:proofErr w:type="spellEnd"/>
      <w:r w:rsidR="00AB6AB6">
        <w:t> </w:t>
      </w:r>
      <w:r w:rsidR="009F5250">
        <w:t xml:space="preserve">J </w:t>
      </w:r>
      <w:r>
        <w:t>to infringe the sam</w:t>
      </w:r>
      <w:r w:rsidR="009F5250">
        <w:t xml:space="preserve">e asserted claims of the Patent. At [327] of </w:t>
      </w:r>
      <w:proofErr w:type="spellStart"/>
      <w:r w:rsidR="009F5250" w:rsidRPr="009F5250">
        <w:rPr>
          <w:i/>
        </w:rPr>
        <w:t>Globaltech</w:t>
      </w:r>
      <w:proofErr w:type="spellEnd"/>
      <w:r w:rsidR="009F5250" w:rsidRPr="009F5250">
        <w:rPr>
          <w:i/>
        </w:rPr>
        <w:t xml:space="preserve"> FI</w:t>
      </w:r>
      <w:r w:rsidR="009F5250">
        <w:t xml:space="preserve">, </w:t>
      </w:r>
      <w:proofErr w:type="spellStart"/>
      <w:r w:rsidR="00AB6AB6">
        <w:t>Besanko</w:t>
      </w:r>
      <w:proofErr w:type="spellEnd"/>
      <w:r w:rsidR="00AB6AB6">
        <w:t> </w:t>
      </w:r>
      <w:r w:rsidR="009F5250">
        <w:t xml:space="preserve">J recorded </w:t>
      </w:r>
      <w:proofErr w:type="spellStart"/>
      <w:r w:rsidR="009F5250">
        <w:t>Globaltech’s</w:t>
      </w:r>
      <w:proofErr w:type="spellEnd"/>
      <w:r w:rsidR="009F5250">
        <w:t xml:space="preserve"> admission in that case that the </w:t>
      </w:r>
      <w:proofErr w:type="spellStart"/>
      <w:r w:rsidR="001E4883">
        <w:t>Orifinder</w:t>
      </w:r>
      <w:proofErr w:type="spellEnd"/>
      <w:r w:rsidR="001E4883">
        <w:t xml:space="preserve"> v5 t</w:t>
      </w:r>
      <w:r w:rsidR="009F5250">
        <w:t>ools were sold with a user guide.</w:t>
      </w:r>
    </w:p>
    <w:p w14:paraId="6E65DF19" w14:textId="77777777" w:rsidR="005312E0" w:rsidRPr="005312E0" w:rsidRDefault="00831DA8" w:rsidP="005312E0">
      <w:pPr>
        <w:pStyle w:val="ParaNumbering"/>
        <w:rPr>
          <w:shd w:val="clear" w:color="auto" w:fill="FFFFFF"/>
        </w:rPr>
      </w:pPr>
      <w:r>
        <w:t xml:space="preserve">Third, </w:t>
      </w:r>
      <w:r w:rsidR="005312E0">
        <w:t>according to Mr Williams:</w:t>
      </w:r>
    </w:p>
    <w:p w14:paraId="5837CEA4" w14:textId="60C167D5" w:rsidR="005312E0" w:rsidRPr="005312E0" w:rsidRDefault="005312E0" w:rsidP="005312E0">
      <w:pPr>
        <w:pStyle w:val="ListNo1alt"/>
        <w:numPr>
          <w:ilvl w:val="0"/>
          <w:numId w:val="37"/>
        </w:numPr>
        <w:rPr>
          <w:shd w:val="clear" w:color="auto" w:fill="FFFFFF"/>
        </w:rPr>
      </w:pPr>
      <w:r>
        <w:t>BLC, BLYA and BLY share common dir</w:t>
      </w:r>
      <w:r w:rsidR="004447A7">
        <w:t>ectors</w:t>
      </w:r>
      <w:r w:rsidR="00E24A08">
        <w:t>.</w:t>
      </w:r>
    </w:p>
    <w:p w14:paraId="30E3B9D0" w14:textId="76B952AB" w:rsidR="005312E0" w:rsidRPr="005312E0" w:rsidRDefault="00831DA8" w:rsidP="005312E0">
      <w:pPr>
        <w:pStyle w:val="ListNo1alt"/>
        <w:numPr>
          <w:ilvl w:val="0"/>
          <w:numId w:val="37"/>
        </w:numPr>
        <w:rPr>
          <w:shd w:val="clear" w:color="auto" w:fill="FFFFFF"/>
        </w:rPr>
      </w:pPr>
      <w:r>
        <w:lastRenderedPageBreak/>
        <w:t xml:space="preserve">BLC had a close corporate structure with each of BLY, BLYA and </w:t>
      </w:r>
      <w:proofErr w:type="spellStart"/>
      <w:r>
        <w:t>Globaltech</w:t>
      </w:r>
      <w:proofErr w:type="spellEnd"/>
      <w:r>
        <w:t xml:space="preserve"> Corporation</w:t>
      </w:r>
      <w:r w:rsidR="00DD19F1">
        <w:t xml:space="preserve"> Pty Ltd</w:t>
      </w:r>
      <w:r w:rsidR="00E24A08">
        <w:t>.</w:t>
      </w:r>
    </w:p>
    <w:p w14:paraId="49BA519B" w14:textId="4E10E8DF" w:rsidR="005312E0" w:rsidRPr="005312E0" w:rsidRDefault="005312E0" w:rsidP="005312E0">
      <w:pPr>
        <w:pStyle w:val="ListNo1alt"/>
        <w:numPr>
          <w:ilvl w:val="0"/>
          <w:numId w:val="37"/>
        </w:numPr>
        <w:rPr>
          <w:shd w:val="clear" w:color="auto" w:fill="FFFFFF"/>
        </w:rPr>
      </w:pPr>
      <w:proofErr w:type="spellStart"/>
      <w:r>
        <w:t>Globaltech</w:t>
      </w:r>
      <w:proofErr w:type="spellEnd"/>
      <w:r>
        <w:t xml:space="preserve"> is part of the </w:t>
      </w:r>
      <w:proofErr w:type="spellStart"/>
      <w:r>
        <w:t>Boart</w:t>
      </w:r>
      <w:proofErr w:type="spellEnd"/>
      <w:r>
        <w:t xml:space="preserve"> </w:t>
      </w:r>
      <w:proofErr w:type="spellStart"/>
      <w:r>
        <w:t>Longyear</w:t>
      </w:r>
      <w:proofErr w:type="spellEnd"/>
      <w:r>
        <w:t xml:space="preserve"> group. BLY owns 100% of share capital in </w:t>
      </w:r>
      <w:proofErr w:type="spellStart"/>
      <w:r>
        <w:t>Votraint</w:t>
      </w:r>
      <w:proofErr w:type="spellEnd"/>
      <w:r>
        <w:t xml:space="preserve"> No. 1609 Pty L</w:t>
      </w:r>
      <w:r w:rsidR="001E4883">
        <w:t>imi</w:t>
      </w:r>
      <w:r>
        <w:t>t</w:t>
      </w:r>
      <w:r w:rsidR="001E4883">
        <w:t>e</w:t>
      </w:r>
      <w:r>
        <w:t>d (</w:t>
      </w:r>
      <w:proofErr w:type="spellStart"/>
      <w:r>
        <w:rPr>
          <w:b/>
          <w:bCs/>
        </w:rPr>
        <w:t>Votraint</w:t>
      </w:r>
      <w:proofErr w:type="spellEnd"/>
      <w:r>
        <w:t xml:space="preserve">) and </w:t>
      </w:r>
      <w:proofErr w:type="spellStart"/>
      <w:r>
        <w:t>Votraint</w:t>
      </w:r>
      <w:proofErr w:type="spellEnd"/>
      <w:r>
        <w:t xml:space="preserve"> acquired a minority, and then majority shareholding in </w:t>
      </w:r>
      <w:proofErr w:type="spellStart"/>
      <w:r>
        <w:t>Globaltech</w:t>
      </w:r>
      <w:proofErr w:type="spellEnd"/>
      <w:r>
        <w:t xml:space="preserve"> during the Relevant Period.</w:t>
      </w:r>
    </w:p>
    <w:p w14:paraId="2D6CDE81" w14:textId="61F9B5DE" w:rsidR="005312E0" w:rsidRPr="005312E0" w:rsidRDefault="005312E0" w:rsidP="005312E0">
      <w:pPr>
        <w:pStyle w:val="ListNo1alt"/>
        <w:numPr>
          <w:ilvl w:val="0"/>
          <w:numId w:val="37"/>
        </w:numPr>
        <w:rPr>
          <w:shd w:val="clear" w:color="auto" w:fill="FFFFFF"/>
        </w:rPr>
      </w:pPr>
      <w:r>
        <w:t xml:space="preserve">BLC was involved in the decision for </w:t>
      </w:r>
      <w:proofErr w:type="spellStart"/>
      <w:r>
        <w:t>Boart</w:t>
      </w:r>
      <w:proofErr w:type="spellEnd"/>
      <w:r>
        <w:t xml:space="preserve"> </w:t>
      </w:r>
      <w:proofErr w:type="spellStart"/>
      <w:r>
        <w:t>Longyear</w:t>
      </w:r>
      <w:proofErr w:type="spellEnd"/>
      <w:r>
        <w:t xml:space="preserve"> to acquire shareholdings in </w:t>
      </w:r>
      <w:proofErr w:type="spellStart"/>
      <w:r>
        <w:t>Globaltech</w:t>
      </w:r>
      <w:proofErr w:type="spellEnd"/>
      <w:r>
        <w:t>.</w:t>
      </w:r>
    </w:p>
    <w:p w14:paraId="7E633B72" w14:textId="6B34B5AD" w:rsidR="005312E0" w:rsidRPr="00147BAF" w:rsidRDefault="005312E0" w:rsidP="005312E0">
      <w:pPr>
        <w:pStyle w:val="ListNo1alt"/>
        <w:numPr>
          <w:ilvl w:val="0"/>
          <w:numId w:val="37"/>
        </w:numPr>
        <w:rPr>
          <w:shd w:val="clear" w:color="auto" w:fill="FFFFFF"/>
        </w:rPr>
      </w:pPr>
      <w:proofErr w:type="spellStart"/>
      <w:r>
        <w:t>Globaltech</w:t>
      </w:r>
      <w:proofErr w:type="spellEnd"/>
      <w:r>
        <w:t xml:space="preserve"> and </w:t>
      </w:r>
      <w:proofErr w:type="spellStart"/>
      <w:r>
        <w:t>Boart</w:t>
      </w:r>
      <w:proofErr w:type="spellEnd"/>
      <w:r>
        <w:t xml:space="preserve"> </w:t>
      </w:r>
      <w:proofErr w:type="spellStart"/>
      <w:r>
        <w:t>Longyear</w:t>
      </w:r>
      <w:proofErr w:type="spellEnd"/>
      <w:r>
        <w:t xml:space="preserve"> had an exclusive </w:t>
      </w:r>
      <w:r w:rsidR="00147BAF">
        <w:t xml:space="preserve">distribution and </w:t>
      </w:r>
      <w:r>
        <w:t xml:space="preserve">supply agreement for the V5 </w:t>
      </w:r>
      <w:proofErr w:type="spellStart"/>
      <w:r>
        <w:t>TruCore</w:t>
      </w:r>
      <w:proofErr w:type="spellEnd"/>
      <w:r>
        <w:t xml:space="preserve"> Tools</w:t>
      </w:r>
      <w:r w:rsidR="00147BAF">
        <w:t>.</w:t>
      </w:r>
    </w:p>
    <w:p w14:paraId="342799F3" w14:textId="094E659C" w:rsidR="00147BAF" w:rsidRPr="005312E0" w:rsidRDefault="00147BAF" w:rsidP="005312E0">
      <w:pPr>
        <w:pStyle w:val="ListNo1alt"/>
        <w:numPr>
          <w:ilvl w:val="0"/>
          <w:numId w:val="37"/>
        </w:numPr>
        <w:rPr>
          <w:shd w:val="clear" w:color="auto" w:fill="FFFFFF"/>
        </w:rPr>
      </w:pPr>
      <w:r>
        <w:t xml:space="preserve">BLC is responsible for operations in the United States, and the head office for </w:t>
      </w:r>
      <w:proofErr w:type="spellStart"/>
      <w:r>
        <w:t>Boart</w:t>
      </w:r>
      <w:proofErr w:type="spellEnd"/>
      <w:r>
        <w:t xml:space="preserve"> </w:t>
      </w:r>
      <w:proofErr w:type="spellStart"/>
      <w:r>
        <w:t>Longyear’s</w:t>
      </w:r>
      <w:proofErr w:type="spellEnd"/>
      <w:r>
        <w:t xml:space="preserve"> global operations is in Salt Lake City, Utah. BLC is the only company in the BLC group that has a registered address in Utah.</w:t>
      </w:r>
    </w:p>
    <w:p w14:paraId="6376B735" w14:textId="696760B5" w:rsidR="003E5C94" w:rsidRDefault="005312E0" w:rsidP="003E5C94">
      <w:pPr>
        <w:pStyle w:val="ListNo1alt"/>
        <w:numPr>
          <w:ilvl w:val="0"/>
          <w:numId w:val="37"/>
        </w:numPr>
      </w:pPr>
      <w:r>
        <w:t xml:space="preserve">BLC and the respondents </w:t>
      </w:r>
      <w:r w:rsidR="00831DA8">
        <w:t xml:space="preserve">shared business operations including in respect of the V5 </w:t>
      </w:r>
      <w:proofErr w:type="spellStart"/>
      <w:r w:rsidR="00831DA8">
        <w:t>TruCore</w:t>
      </w:r>
      <w:proofErr w:type="spellEnd"/>
      <w:r w:rsidR="00831DA8">
        <w:t xml:space="preserve"> Tools, worked together collectively to op</w:t>
      </w:r>
      <w:r w:rsidR="003E5C94">
        <w:t xml:space="preserve">erate the core orientation tool </w:t>
      </w:r>
      <w:r w:rsidR="00831DA8">
        <w:t>businesses and their collective operations and close connections are sufficient to find that each respondent is a joint tortfeasor with and/or authorised each other</w:t>
      </w:r>
      <w:r w:rsidR="003E5C94">
        <w:t>.</w:t>
      </w:r>
    </w:p>
    <w:p w14:paraId="6B8AAC6E" w14:textId="24C4564A" w:rsidR="00B753C8" w:rsidRDefault="00B753C8" w:rsidP="00B753C8">
      <w:pPr>
        <w:pStyle w:val="Heading2"/>
      </w:pPr>
      <w:r>
        <w:t xml:space="preserve">Accompanying affidavit </w:t>
      </w:r>
    </w:p>
    <w:p w14:paraId="42628EAA" w14:textId="1A7B2B86" w:rsidR="00E42753" w:rsidRPr="00E42753" w:rsidRDefault="005E0F1D" w:rsidP="00C30B2A">
      <w:pPr>
        <w:pStyle w:val="ParaNumbering"/>
      </w:pPr>
      <w:r>
        <w:t>In</w:t>
      </w:r>
      <w:r w:rsidR="00C30B2A">
        <w:t xml:space="preserve"> his second affidavit</w:t>
      </w:r>
      <w:r>
        <w:t>, Mr Williams deposes that:</w:t>
      </w:r>
    </w:p>
    <w:p w14:paraId="099D3251" w14:textId="77777777" w:rsidR="00EF3728" w:rsidRDefault="00EF3728" w:rsidP="008E0D14">
      <w:pPr>
        <w:pStyle w:val="ListNo1alt"/>
        <w:numPr>
          <w:ilvl w:val="0"/>
          <w:numId w:val="45"/>
        </w:numPr>
      </w:pPr>
      <w:r>
        <w:t>BLC is a company formed under the laws of Utah in the United States of America.</w:t>
      </w:r>
    </w:p>
    <w:p w14:paraId="3B6FE87F" w14:textId="7A100458" w:rsidR="00E42E42" w:rsidRDefault="00E42E42" w:rsidP="008E0D14">
      <w:pPr>
        <w:pStyle w:val="ListNo1alt"/>
        <w:numPr>
          <w:ilvl w:val="0"/>
          <w:numId w:val="45"/>
        </w:numPr>
      </w:pPr>
      <w:r>
        <w:t xml:space="preserve">He accessed the website of </w:t>
      </w:r>
      <w:proofErr w:type="gramStart"/>
      <w:r>
        <w:t>the</w:t>
      </w:r>
      <w:proofErr w:type="gramEnd"/>
      <w:r>
        <w:t xml:space="preserve"> Hague Conference on Private International Law, located at </w:t>
      </w:r>
      <w:hyperlink r:id="rId23" w:history="1">
        <w:r w:rsidRPr="00150BB1">
          <w:rPr>
            <w:rStyle w:val="Hyperlink"/>
          </w:rPr>
          <w:t>www.hcch.net</w:t>
        </w:r>
      </w:hyperlink>
      <w:r>
        <w:t xml:space="preserve"> (the HCCH website).</w:t>
      </w:r>
    </w:p>
    <w:p w14:paraId="5383A6A5" w14:textId="23574DED" w:rsidR="00E42E42" w:rsidRDefault="00E42E42" w:rsidP="008E0D14">
      <w:pPr>
        <w:pStyle w:val="ListNo1alt"/>
        <w:numPr>
          <w:ilvl w:val="0"/>
          <w:numId w:val="45"/>
        </w:numPr>
      </w:pPr>
      <w:r>
        <w:t xml:space="preserve">The contracting parties to the Hague Convention are listed in a schedule made available on the HCCH website. </w:t>
      </w:r>
    </w:p>
    <w:p w14:paraId="675550CA" w14:textId="0D632093" w:rsidR="00E42E42" w:rsidRDefault="00E42E42" w:rsidP="008E0D14">
      <w:pPr>
        <w:pStyle w:val="ListNo1alt"/>
        <w:numPr>
          <w:ilvl w:val="0"/>
          <w:numId w:val="45"/>
        </w:numPr>
      </w:pPr>
      <w:r>
        <w:t>From his review of the schedule of contracting parties, Australia and the United States of America (</w:t>
      </w:r>
      <w:r w:rsidRPr="00E42753">
        <w:t xml:space="preserve">in which BLC is </w:t>
      </w:r>
      <w:r>
        <w:t xml:space="preserve">located and </w:t>
      </w:r>
      <w:r w:rsidRPr="00E42753">
        <w:t>incorporated</w:t>
      </w:r>
      <w:r>
        <w:t>) are parties to the Hague Convention.</w:t>
      </w:r>
    </w:p>
    <w:p w14:paraId="2EE56E83" w14:textId="34A673B2" w:rsidR="00E42E42" w:rsidRDefault="000A54FF" w:rsidP="008E0D14">
      <w:pPr>
        <w:pStyle w:val="ListNo1alt"/>
        <w:numPr>
          <w:ilvl w:val="0"/>
          <w:numId w:val="45"/>
        </w:numPr>
      </w:pPr>
      <w:r>
        <w:t xml:space="preserve">Per </w:t>
      </w:r>
      <w:r w:rsidR="009F6614">
        <w:t>[2.4] of the</w:t>
      </w:r>
      <w:r w:rsidR="007369BA">
        <w:t xml:space="preserve"> Overseas Service and Evidence Practice Note (GPN-OSE</w:t>
      </w:r>
      <w:r>
        <w:t xml:space="preserve">), </w:t>
      </w:r>
      <w:r w:rsidR="00AB6AB6">
        <w:t>steps were</w:t>
      </w:r>
      <w:r>
        <w:t xml:space="preserve"> taken to identify</w:t>
      </w:r>
      <w:r w:rsidR="00AB6AB6">
        <w:t xml:space="preserve">, from the Australian Government Attorney-General’s Department website, </w:t>
      </w:r>
      <w:r>
        <w:t xml:space="preserve">the appropriate method of transmitting documents in the United States. </w:t>
      </w:r>
    </w:p>
    <w:p w14:paraId="73449EA6" w14:textId="632DD3C3" w:rsidR="005E0F1D" w:rsidRDefault="00E42753" w:rsidP="008E0D14">
      <w:pPr>
        <w:pStyle w:val="ListNo1alt"/>
        <w:numPr>
          <w:ilvl w:val="0"/>
          <w:numId w:val="45"/>
        </w:numPr>
      </w:pPr>
      <w:r w:rsidRPr="00E42753">
        <w:t xml:space="preserve">The central authority in the United States is the Office of International Judicial Assistance, Civil Division, within the Department of Justice. On its website, it has </w:t>
      </w:r>
      <w:r w:rsidRPr="00E42753">
        <w:lastRenderedPageBreak/>
        <w:t>published that there are two</w:t>
      </w:r>
      <w:r>
        <w:t xml:space="preserve"> possible methods of service in the United States. One is to have the central authority in Australia convey to the private contractor engaged by the Department of Justice, ABC Legal Services, for service in the United States under the Hague Convention. The second is by mail. </w:t>
      </w:r>
    </w:p>
    <w:p w14:paraId="2B7BE132" w14:textId="196DFDE8" w:rsidR="00C30F1A" w:rsidRDefault="003256C2" w:rsidP="00C30F1A">
      <w:pPr>
        <w:pStyle w:val="ParaNumbering"/>
      </w:pPr>
      <w:r>
        <w:t>AMC</w:t>
      </w:r>
      <w:r w:rsidR="00C30F1A">
        <w:t xml:space="preserve"> submit</w:t>
      </w:r>
      <w:r>
        <w:t>s</w:t>
      </w:r>
      <w:r w:rsidR="00C30F1A">
        <w:t xml:space="preserve"> that </w:t>
      </w:r>
      <w:r w:rsidR="00E42753">
        <w:t xml:space="preserve">United States federal law does not require service on private individuals or companies to be sent to </w:t>
      </w:r>
      <w:r w:rsidR="00C30B2A">
        <w:t xml:space="preserve">the private contractor </w:t>
      </w:r>
      <w:r w:rsidR="00E42753">
        <w:t xml:space="preserve">ABC Legal Services for service to be effective because service by mail is permitted. </w:t>
      </w:r>
      <w:r>
        <w:t>AMC</w:t>
      </w:r>
      <w:r w:rsidR="009F6614">
        <w:t xml:space="preserve"> </w:t>
      </w:r>
      <w:r w:rsidR="00C30F1A">
        <w:t>refer</w:t>
      </w:r>
      <w:r>
        <w:t>s</w:t>
      </w:r>
      <w:r w:rsidR="00C30F1A">
        <w:t xml:space="preserve"> to</w:t>
      </w:r>
      <w:r w:rsidR="00E42753">
        <w:t xml:space="preserve"> </w:t>
      </w:r>
      <w:proofErr w:type="spellStart"/>
      <w:r w:rsidR="00E42753" w:rsidRPr="00344F4A">
        <w:rPr>
          <w:i/>
        </w:rPr>
        <w:t>Kabbabe</w:t>
      </w:r>
      <w:proofErr w:type="spellEnd"/>
      <w:r w:rsidR="00E42753" w:rsidRPr="00344F4A">
        <w:rPr>
          <w:i/>
        </w:rPr>
        <w:t xml:space="preserve"> v Google LLC</w:t>
      </w:r>
      <w:r w:rsidR="00E42753" w:rsidRPr="00344F4A">
        <w:t xml:space="preserve"> [2020] FCA 126</w:t>
      </w:r>
      <w:r w:rsidR="00E42753">
        <w:t xml:space="preserve"> at [9], </w:t>
      </w:r>
      <w:r w:rsidR="00C30F1A">
        <w:t xml:space="preserve">wherein </w:t>
      </w:r>
      <w:r w:rsidR="00E42753">
        <w:t xml:space="preserve">Murphy J said: </w:t>
      </w:r>
    </w:p>
    <w:p w14:paraId="7407FFE7" w14:textId="74FD10D6" w:rsidR="00E42753" w:rsidRDefault="00E42753" w:rsidP="00C30F1A">
      <w:pPr>
        <w:pStyle w:val="Quote1"/>
      </w:pPr>
      <w:r w:rsidRPr="00C30F1A">
        <w:t xml:space="preserve">In </w:t>
      </w:r>
      <w:r w:rsidRPr="00C30F1A">
        <w:rPr>
          <w:i/>
        </w:rPr>
        <w:t xml:space="preserve">Water Splash </w:t>
      </w:r>
      <w:proofErr w:type="spellStart"/>
      <w:r w:rsidRPr="00C30F1A">
        <w:rPr>
          <w:i/>
        </w:rPr>
        <w:t>Inc</w:t>
      </w:r>
      <w:proofErr w:type="spellEnd"/>
      <w:r w:rsidRPr="00C30F1A">
        <w:rPr>
          <w:i/>
        </w:rPr>
        <w:t xml:space="preserve"> v Menon</w:t>
      </w:r>
      <w:r w:rsidRPr="00C30F1A">
        <w:t xml:space="preserve"> 581 U.S. 1 (2017) at 12 the US Supreme Court held that the Hague Service Convention does not prohibit service of process in the USA by direct post to the respondent, and there is nothing in the materials before the Court to indicate that the USA objects to direct postal service of legal process under the Convention. The Practical Handbook [on the Operation of the Hague Service Convention (Permanent Bureau of the Hague Conference on Private International Law, 2006)] states at [204] that a comprehensive list of objecting States is available on the website of the Permanent Bureau of the Hague Conference on Private International Law. Having reviewed that website, it states that the USA does not object to service under Art. 10(a). I proceed on that basis.</w:t>
      </w:r>
      <w:r>
        <w:t>”</w:t>
      </w:r>
    </w:p>
    <w:p w14:paraId="2677A3E3" w14:textId="7EF54B6F" w:rsidR="00C30F1A" w:rsidRDefault="00C30B2A" w:rsidP="00C30F1A">
      <w:pPr>
        <w:pStyle w:val="ParaNumbering"/>
      </w:pPr>
      <w:r>
        <w:t>AMC</w:t>
      </w:r>
      <w:r w:rsidR="00E42753">
        <w:t xml:space="preserve"> proposes to serve, as the Court sees fit, either</w:t>
      </w:r>
      <w:r w:rsidR="005F4106">
        <w:t xml:space="preserve"> by</w:t>
      </w:r>
      <w:r w:rsidR="00C30F1A">
        <w:t>:</w:t>
      </w:r>
    </w:p>
    <w:p w14:paraId="2C6BC053" w14:textId="6A3715FB" w:rsidR="00C30B2A" w:rsidRDefault="00E42753" w:rsidP="00C30B2A">
      <w:pPr>
        <w:pStyle w:val="ListNo1alt"/>
        <w:numPr>
          <w:ilvl w:val="0"/>
          <w:numId w:val="38"/>
        </w:numPr>
      </w:pPr>
      <w:r>
        <w:t xml:space="preserve">using the central authority process under the Hague Convention (by applying to the Registrar, in the Registrar’s capacity as a forwarding authority, for a request for service in the United States of an Australian judicial document, pursuant to r 10.64(1)); or </w:t>
      </w:r>
    </w:p>
    <w:p w14:paraId="3A81D14B" w14:textId="5E53334C" w:rsidR="00C30B2A" w:rsidRDefault="00E42753" w:rsidP="00C30B2A">
      <w:pPr>
        <w:pStyle w:val="ListNo1alt"/>
        <w:numPr>
          <w:ilvl w:val="0"/>
          <w:numId w:val="38"/>
        </w:numPr>
      </w:pPr>
      <w:r>
        <w:t>registered post to</w:t>
      </w:r>
      <w:r w:rsidR="00C30B2A">
        <w:t>:</w:t>
      </w:r>
    </w:p>
    <w:p w14:paraId="3651C6BF" w14:textId="29949733" w:rsidR="00C30B2A" w:rsidRDefault="00E42753" w:rsidP="00C30B2A">
      <w:pPr>
        <w:pStyle w:val="ListNo2alt"/>
        <w:numPr>
          <w:ilvl w:val="1"/>
          <w:numId w:val="38"/>
        </w:numPr>
      </w:pPr>
      <w:r>
        <w:t xml:space="preserve">BLC’s registered address at 2455 South 2600 West, Salt Lake City, UT 84119, and </w:t>
      </w:r>
    </w:p>
    <w:p w14:paraId="231A1B94" w14:textId="6A0C55E2" w:rsidR="00C30B2A" w:rsidRDefault="00E42753" w:rsidP="00C30B2A">
      <w:pPr>
        <w:pStyle w:val="ListNo2alt"/>
        <w:numPr>
          <w:ilvl w:val="1"/>
          <w:numId w:val="38"/>
        </w:numPr>
      </w:pPr>
      <w:r>
        <w:t xml:space="preserve">BLC’s USA law firm, </w:t>
      </w:r>
      <w:proofErr w:type="spellStart"/>
      <w:r>
        <w:t>Fisch</w:t>
      </w:r>
      <w:proofErr w:type="spellEnd"/>
      <w:r>
        <w:t xml:space="preserve"> Sigler, at 5301 Wisconsin Avenue NW, Fourth Floor, Washington, DC 20015</w:t>
      </w:r>
      <w:r w:rsidR="00DF79FC">
        <w:t>,</w:t>
      </w:r>
      <w:r>
        <w:t xml:space="preserve"> and </w:t>
      </w:r>
    </w:p>
    <w:p w14:paraId="2E3A8C8D" w14:textId="4479498E" w:rsidR="0035443D" w:rsidRDefault="00E42753" w:rsidP="004447A7">
      <w:pPr>
        <w:pStyle w:val="ListNo2alt"/>
        <w:numPr>
          <w:ilvl w:val="1"/>
          <w:numId w:val="38"/>
        </w:numPr>
      </w:pPr>
      <w:proofErr w:type="spellStart"/>
      <w:r>
        <w:t>Globaltech</w:t>
      </w:r>
      <w:proofErr w:type="spellEnd"/>
      <w:r>
        <w:t xml:space="preserve"> Corporation</w:t>
      </w:r>
      <w:r w:rsidR="00D71D64">
        <w:t xml:space="preserve"> Pty </w:t>
      </w:r>
      <w:proofErr w:type="spellStart"/>
      <w:r w:rsidR="00D71D64">
        <w:t>Ltd</w:t>
      </w:r>
      <w:r>
        <w:t>’s</w:t>
      </w:r>
      <w:proofErr w:type="spellEnd"/>
      <w:r>
        <w:t xml:space="preserve"> lead counsel in the USPTO Proceeding, Haynes and Boone, LLP at 2323 Victory Av</w:t>
      </w:r>
      <w:r w:rsidR="004447A7">
        <w:t>e</w:t>
      </w:r>
      <w:r w:rsidR="00A23151">
        <w:t xml:space="preserve">, </w:t>
      </w:r>
      <w:r w:rsidR="004447A7">
        <w:t>Suite 700, Dallas, TX 75219.</w:t>
      </w:r>
    </w:p>
    <w:p w14:paraId="15EFB1DA" w14:textId="4B374DFA" w:rsidR="0035443D" w:rsidRDefault="00CD306D" w:rsidP="0035443D">
      <w:pPr>
        <w:pStyle w:val="ParaNumbering"/>
      </w:pPr>
      <w:r>
        <w:t>The respondents note that</w:t>
      </w:r>
      <w:r w:rsidR="00C30B2A">
        <w:t xml:space="preserve"> the second and third proposed addresses for service by post are more appropriate for </w:t>
      </w:r>
      <w:r>
        <w:t xml:space="preserve">an application for </w:t>
      </w:r>
      <w:r w:rsidR="00C30B2A">
        <w:t xml:space="preserve">substituted service, rather than service out in accordance with </w:t>
      </w:r>
      <w:proofErr w:type="spellStart"/>
      <w:proofErr w:type="gramStart"/>
      <w:r w:rsidR="00C30B2A">
        <w:t>rr</w:t>
      </w:r>
      <w:proofErr w:type="spellEnd"/>
      <w:proofErr w:type="gramEnd"/>
      <w:r w:rsidR="00DF79FC">
        <w:t xml:space="preserve"> </w:t>
      </w:r>
      <w:r w:rsidR="00C30B2A">
        <w:t>10.43 and 10.44</w:t>
      </w:r>
      <w:r>
        <w:t>, as neither is an address for BLC</w:t>
      </w:r>
      <w:r w:rsidR="00C30B2A">
        <w:t>.</w:t>
      </w:r>
      <w:r w:rsidR="00E45A16">
        <w:t xml:space="preserve"> No such application has been made. </w:t>
      </w:r>
    </w:p>
    <w:p w14:paraId="595C66FC" w14:textId="7D5EFFD5" w:rsidR="00C30B2A" w:rsidRDefault="00062D87" w:rsidP="0035443D">
      <w:pPr>
        <w:pStyle w:val="ParaNumbering"/>
      </w:pPr>
      <w:r>
        <w:t xml:space="preserve">I am satisfied on the basis of the evidence that it is appropriate to grant leave to serve the </w:t>
      </w:r>
      <w:r w:rsidR="00D71D64">
        <w:t>AOA</w:t>
      </w:r>
      <w:r>
        <w:t xml:space="preserve"> and the ASOC outside Australia.</w:t>
      </w:r>
      <w:r w:rsidR="003256C2">
        <w:t xml:space="preserve"> I will grant leave to AMC to serve the AOA and ASOC</w:t>
      </w:r>
      <w:r w:rsidR="00A67D72">
        <w:t xml:space="preserve"> </w:t>
      </w:r>
      <w:r w:rsidR="003256C2">
        <w:lastRenderedPageBreak/>
        <w:t xml:space="preserve">outside Australia by serving them by registered post to BLC’s registered address in Salt Lake City, Utah. </w:t>
      </w:r>
    </w:p>
    <w:p w14:paraId="7CFD2367" w14:textId="77777777" w:rsidR="00A67D72" w:rsidRDefault="00A67D72" w:rsidP="00815065">
      <w:pPr>
        <w:pStyle w:val="BodyText"/>
      </w:pPr>
      <w:bookmarkStart w:id="25" w:name="Certification"/>
    </w:p>
    <w:tbl>
      <w:tblPr>
        <w:tblW w:w="0" w:type="auto"/>
        <w:tblLook w:val="04A0" w:firstRow="1" w:lastRow="0" w:firstColumn="1" w:lastColumn="0" w:noHBand="0" w:noVBand="1"/>
      </w:tblPr>
      <w:tblGrid>
        <w:gridCol w:w="3794"/>
      </w:tblGrid>
      <w:tr w:rsidR="00A67D72" w:rsidRPr="00A67D72" w14:paraId="4F651544" w14:textId="77777777">
        <w:tc>
          <w:tcPr>
            <w:tcW w:w="3794" w:type="dxa"/>
            <w:shd w:val="clear" w:color="auto" w:fill="auto"/>
          </w:tcPr>
          <w:p w14:paraId="164425A6" w14:textId="2B0AB552" w:rsidR="00A67D72" w:rsidRPr="00A67D72" w:rsidRDefault="00A67D72" w:rsidP="00A67D72">
            <w:pPr>
              <w:pStyle w:val="Normal1linespace"/>
            </w:pPr>
            <w:r w:rsidRPr="00A67D72">
              <w:t xml:space="preserve">I certify that the preceding </w:t>
            </w:r>
            <w:bookmarkStart w:id="26" w:name="NumberWord"/>
            <w:r>
              <w:t>seventy-three</w:t>
            </w:r>
            <w:bookmarkEnd w:id="26"/>
            <w:r w:rsidRPr="00A67D72">
              <w:t xml:space="preserve"> (</w:t>
            </w:r>
            <w:bookmarkStart w:id="27" w:name="NumberNumeral"/>
            <w:r>
              <w:t>73</w:t>
            </w:r>
            <w:bookmarkEnd w:id="27"/>
            <w:r w:rsidRPr="00A67D72">
              <w:t xml:space="preserve">) numbered </w:t>
            </w:r>
            <w:bookmarkStart w:id="28" w:name="CertPara"/>
            <w:r>
              <w:t>paragraphs are</w:t>
            </w:r>
            <w:bookmarkEnd w:id="28"/>
            <w:r w:rsidRPr="00A67D72">
              <w:t xml:space="preserve"> a true copy of the Reasons for Judgment of </w:t>
            </w:r>
            <w:bookmarkStart w:id="29" w:name="bkHonourable"/>
            <w:r w:rsidRPr="00A67D72">
              <w:t xml:space="preserve">the Honourable </w:t>
            </w:r>
            <w:bookmarkStart w:id="30" w:name="Justice"/>
            <w:bookmarkEnd w:id="29"/>
            <w:r>
              <w:t xml:space="preserve">Justice </w:t>
            </w:r>
            <w:proofErr w:type="spellStart"/>
            <w:r>
              <w:t>Rofe</w:t>
            </w:r>
            <w:bookmarkEnd w:id="30"/>
            <w:proofErr w:type="spellEnd"/>
            <w:r w:rsidRPr="00A67D72">
              <w:t>.</w:t>
            </w:r>
          </w:p>
        </w:tc>
      </w:tr>
    </w:tbl>
    <w:p w14:paraId="73EDA1E0" w14:textId="77777777" w:rsidR="00A67D72" w:rsidRDefault="00A67D72" w:rsidP="00815065">
      <w:pPr>
        <w:pStyle w:val="BodyText"/>
      </w:pPr>
    </w:p>
    <w:p w14:paraId="7E67F5D9" w14:textId="77777777" w:rsidR="00A67D72" w:rsidRDefault="00A67D72" w:rsidP="00815065">
      <w:pPr>
        <w:pStyle w:val="BodyText"/>
      </w:pPr>
      <w:bookmarkStart w:id="31" w:name="_GoBack"/>
      <w:bookmarkEnd w:id="31"/>
    </w:p>
    <w:p w14:paraId="754F8030" w14:textId="77777777" w:rsidR="00A67D72" w:rsidRDefault="00A67D72" w:rsidP="00815065">
      <w:pPr>
        <w:pStyle w:val="BodyText"/>
      </w:pPr>
    </w:p>
    <w:p w14:paraId="05F5A31C" w14:textId="27030982" w:rsidR="00A67D72" w:rsidRDefault="00A67D72" w:rsidP="00815065">
      <w:pPr>
        <w:pStyle w:val="BodyText"/>
      </w:pPr>
      <w:r>
        <w:t>Associate:</w:t>
      </w:r>
      <w:r w:rsidR="00526BEE">
        <w:t xml:space="preserve"> </w:t>
      </w:r>
    </w:p>
    <w:p w14:paraId="3B7F0B6A" w14:textId="77777777" w:rsidR="00A67D72" w:rsidRDefault="00A67D72" w:rsidP="00815065">
      <w:pPr>
        <w:pStyle w:val="BodyText"/>
      </w:pPr>
    </w:p>
    <w:p w14:paraId="13E5BBB9" w14:textId="7B0C5DB1" w:rsidR="00A67D72" w:rsidRDefault="00A67D72" w:rsidP="00815065">
      <w:pPr>
        <w:pStyle w:val="BodyText"/>
        <w:tabs>
          <w:tab w:val="left" w:pos="1134"/>
        </w:tabs>
      </w:pPr>
      <w:r>
        <w:t>Dated:</w:t>
      </w:r>
      <w:r>
        <w:tab/>
      </w:r>
      <w:bookmarkStart w:id="32" w:name="CertifyDated"/>
      <w:r w:rsidR="00526BEE">
        <w:t xml:space="preserve">13 October </w:t>
      </w:r>
      <w:r>
        <w:t>2022</w:t>
      </w:r>
      <w:bookmarkEnd w:id="32"/>
    </w:p>
    <w:p w14:paraId="6F5F765B" w14:textId="77777777" w:rsidR="00A67D72" w:rsidRDefault="00A67D72" w:rsidP="00815065">
      <w:pPr>
        <w:pStyle w:val="BodyText"/>
      </w:pPr>
    </w:p>
    <w:bookmarkEnd w:id="25"/>
    <w:p w14:paraId="40899301" w14:textId="77777777" w:rsidR="00A67D72" w:rsidRPr="00936DB3" w:rsidRDefault="00A67D72" w:rsidP="00A67D72">
      <w:pPr>
        <w:pStyle w:val="BodyText"/>
      </w:pPr>
    </w:p>
    <w:sectPr w:rsidR="00A67D72" w:rsidRPr="00936DB3" w:rsidSect="00A84FD0">
      <w:headerReference w:type="even" r:id="rId24"/>
      <w:headerReference w:type="default" r:id="rId25"/>
      <w:footerReference w:type="default" r:id="rId26"/>
      <w:headerReference w:type="first" r:id="rId27"/>
      <w:footerReference w:type="first" r:id="rId2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C40DE" w14:textId="77777777" w:rsidR="003256C2" w:rsidRDefault="003256C2">
      <w:pPr>
        <w:spacing w:line="20" w:lineRule="exact"/>
      </w:pPr>
    </w:p>
    <w:p w14:paraId="77D164B4" w14:textId="77777777" w:rsidR="003256C2" w:rsidRDefault="003256C2"/>
    <w:p w14:paraId="37114859" w14:textId="77777777" w:rsidR="003256C2" w:rsidRDefault="003256C2"/>
  </w:endnote>
  <w:endnote w:type="continuationSeparator" w:id="0">
    <w:p w14:paraId="0DDD9CBF" w14:textId="77777777" w:rsidR="003256C2" w:rsidRDefault="003256C2">
      <w:r>
        <w:t xml:space="preserve"> </w:t>
      </w:r>
    </w:p>
    <w:p w14:paraId="09D2FB45" w14:textId="77777777" w:rsidR="003256C2" w:rsidRDefault="003256C2"/>
    <w:p w14:paraId="7DFE3C29" w14:textId="77777777" w:rsidR="003256C2" w:rsidRDefault="003256C2"/>
  </w:endnote>
  <w:endnote w:type="continuationNotice" w:id="1">
    <w:p w14:paraId="2C40D443" w14:textId="77777777" w:rsidR="003256C2" w:rsidRDefault="003256C2">
      <w:r>
        <w:t xml:space="preserve"> </w:t>
      </w:r>
    </w:p>
    <w:p w14:paraId="4E1BCA48" w14:textId="77777777" w:rsidR="003256C2" w:rsidRDefault="003256C2"/>
    <w:p w14:paraId="1B2C11FD" w14:textId="77777777" w:rsidR="003256C2" w:rsidRDefault="00325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9626" w14:textId="77777777" w:rsidR="00CC3326" w:rsidRDefault="00CC3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B399" w14:textId="7F32259E" w:rsidR="003256C2" w:rsidRPr="00C47B9D" w:rsidRDefault="003256C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88B328C" wp14:editId="2F1ED09E">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8B3C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526BEE">
          <w:rPr>
            <w:bCs/>
            <w:sz w:val="18"/>
            <w:szCs w:val="18"/>
          </w:rPr>
          <w:t xml:space="preserve">Australian Mud Company Pty Ltd v </w:t>
        </w:r>
        <w:proofErr w:type="spellStart"/>
        <w:r w:rsidR="00526BEE">
          <w:rPr>
            <w:bCs/>
            <w:sz w:val="18"/>
            <w:szCs w:val="18"/>
          </w:rPr>
          <w:t>Boart</w:t>
        </w:r>
        <w:proofErr w:type="spellEnd"/>
        <w:r w:rsidR="00526BEE">
          <w:rPr>
            <w:bCs/>
            <w:sz w:val="18"/>
            <w:szCs w:val="18"/>
          </w:rPr>
          <w:t xml:space="preserve"> </w:t>
        </w:r>
        <w:proofErr w:type="spellStart"/>
        <w:r w:rsidR="00526BEE">
          <w:rPr>
            <w:bCs/>
            <w:sz w:val="18"/>
            <w:szCs w:val="18"/>
          </w:rPr>
          <w:t>Longyear</w:t>
        </w:r>
        <w:proofErr w:type="spellEnd"/>
        <w:r w:rsidR="00526BEE">
          <w:rPr>
            <w:bCs/>
            <w:sz w:val="18"/>
            <w:szCs w:val="18"/>
          </w:rPr>
          <w:t xml:space="preserve"> Australia Pty Ltd [2022] FCA 1224</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971B" w14:textId="38BE7082" w:rsidR="003256C2" w:rsidRPr="00CC3326" w:rsidRDefault="003256C2" w:rsidP="00CC33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E024" w14:textId="650B44C3" w:rsidR="003256C2" w:rsidRPr="00C47B9D" w:rsidRDefault="003256C2"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7216" behindDoc="0" locked="0" layoutInCell="1" allowOverlap="1" wp14:anchorId="4C361A3C" wp14:editId="52994BA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E9E85"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D8EC9E0D62140358C4C2AA6C2D38689"/>
        </w:placeholder>
        <w:dataBinding w:prefixMappings="xmlns:ns0='http://schemas.globalmacros.com/FCA'" w:xpath="/ns0:root[1]/ns0:Name[1]" w:storeItemID="{687E7CCB-4AA5-44E7-B148-17BA2B6F57C0}"/>
        <w:text w:multiLine="1"/>
      </w:sdtPr>
      <w:sdtEndPr/>
      <w:sdtContent>
        <w:r w:rsidR="00526BEE">
          <w:rPr>
            <w:bCs/>
            <w:sz w:val="18"/>
            <w:szCs w:val="18"/>
          </w:rPr>
          <w:t xml:space="preserve">Australian Mud Company Pty Ltd v </w:t>
        </w:r>
        <w:proofErr w:type="spellStart"/>
        <w:r w:rsidR="00526BEE">
          <w:rPr>
            <w:bCs/>
            <w:sz w:val="18"/>
            <w:szCs w:val="18"/>
          </w:rPr>
          <w:t>Boart</w:t>
        </w:r>
        <w:proofErr w:type="spellEnd"/>
        <w:r w:rsidR="00526BEE">
          <w:rPr>
            <w:bCs/>
            <w:sz w:val="18"/>
            <w:szCs w:val="18"/>
          </w:rPr>
          <w:t xml:space="preserve"> </w:t>
        </w:r>
        <w:proofErr w:type="spellStart"/>
        <w:r w:rsidR="00526BEE">
          <w:rPr>
            <w:bCs/>
            <w:sz w:val="18"/>
            <w:szCs w:val="18"/>
          </w:rPr>
          <w:t>Longyear</w:t>
        </w:r>
        <w:proofErr w:type="spellEnd"/>
        <w:r w:rsidR="00526BEE">
          <w:rPr>
            <w:bCs/>
            <w:sz w:val="18"/>
            <w:szCs w:val="18"/>
          </w:rPr>
          <w:t xml:space="preserve"> Australia Pty Ltd [2022] FCA 1224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15803">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170C" w14:textId="4D52B0DE" w:rsidR="003256C2" w:rsidRPr="00C47B9D" w:rsidRDefault="003256C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49024" behindDoc="0" locked="0" layoutInCell="1" allowOverlap="1" wp14:anchorId="5DF86065" wp14:editId="1C96DFE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B1112" id="Straight Connector 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D95A9D9468942AB8B9F2879B4A50BAC"/>
        </w:placeholder>
        <w:dataBinding w:prefixMappings="xmlns:ns0='http://schemas.globalmacros.com/FCA'" w:xpath="/ns0:root[1]/ns0:Name[1]" w:storeItemID="{687E7CCB-4AA5-44E7-B148-17BA2B6F57C0}"/>
        <w:text w:multiLine="1"/>
      </w:sdtPr>
      <w:sdtEndPr/>
      <w:sdtContent>
        <w:r w:rsidR="00526BEE">
          <w:rPr>
            <w:bCs/>
            <w:sz w:val="18"/>
            <w:szCs w:val="18"/>
          </w:rPr>
          <w:t xml:space="preserve">Australian Mud Company Pty Ltd v </w:t>
        </w:r>
        <w:proofErr w:type="spellStart"/>
        <w:r w:rsidR="00526BEE">
          <w:rPr>
            <w:bCs/>
            <w:sz w:val="18"/>
            <w:szCs w:val="18"/>
          </w:rPr>
          <w:t>Boart</w:t>
        </w:r>
        <w:proofErr w:type="spellEnd"/>
        <w:r w:rsidR="00526BEE">
          <w:rPr>
            <w:bCs/>
            <w:sz w:val="18"/>
            <w:szCs w:val="18"/>
          </w:rPr>
          <w:t xml:space="preserve"> </w:t>
        </w:r>
        <w:proofErr w:type="spellStart"/>
        <w:r w:rsidR="00526BEE">
          <w:rPr>
            <w:bCs/>
            <w:sz w:val="18"/>
            <w:szCs w:val="18"/>
          </w:rPr>
          <w:t>Longyear</w:t>
        </w:r>
        <w:proofErr w:type="spellEnd"/>
        <w:r w:rsidR="00526BEE">
          <w:rPr>
            <w:bCs/>
            <w:sz w:val="18"/>
            <w:szCs w:val="18"/>
          </w:rPr>
          <w:t xml:space="preserve"> Australia Pty Ltd [2022] FCA 1224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15803">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3B68" w14:textId="45801450" w:rsidR="003256C2" w:rsidRPr="00C47B9D" w:rsidRDefault="003256C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3600" behindDoc="0" locked="0" layoutInCell="1" allowOverlap="1" wp14:anchorId="1D3C4A5A" wp14:editId="2CFD29A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E4079"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83E694579BA147799B6403946BB1DD79"/>
        </w:placeholder>
        <w:dataBinding w:prefixMappings="xmlns:ns0='http://schemas.globalmacros.com/FCA'" w:xpath="/ns0:root[1]/ns0:Name[1]" w:storeItemID="{687E7CCB-4AA5-44E7-B148-17BA2B6F57C0}"/>
        <w:text w:multiLine="1"/>
      </w:sdtPr>
      <w:sdtEndPr/>
      <w:sdtContent>
        <w:r w:rsidR="00526BEE">
          <w:rPr>
            <w:bCs/>
            <w:sz w:val="18"/>
            <w:szCs w:val="18"/>
          </w:rPr>
          <w:t xml:space="preserve">Australian Mud Company Pty Ltd v </w:t>
        </w:r>
        <w:proofErr w:type="spellStart"/>
        <w:r w:rsidR="00526BEE">
          <w:rPr>
            <w:bCs/>
            <w:sz w:val="18"/>
            <w:szCs w:val="18"/>
          </w:rPr>
          <w:t>Boart</w:t>
        </w:r>
        <w:proofErr w:type="spellEnd"/>
        <w:r w:rsidR="00526BEE">
          <w:rPr>
            <w:bCs/>
            <w:sz w:val="18"/>
            <w:szCs w:val="18"/>
          </w:rPr>
          <w:t xml:space="preserve"> </w:t>
        </w:r>
        <w:proofErr w:type="spellStart"/>
        <w:r w:rsidR="00526BEE">
          <w:rPr>
            <w:bCs/>
            <w:sz w:val="18"/>
            <w:szCs w:val="18"/>
          </w:rPr>
          <w:t>Longyear</w:t>
        </w:r>
        <w:proofErr w:type="spellEnd"/>
        <w:r w:rsidR="00526BEE">
          <w:rPr>
            <w:bCs/>
            <w:sz w:val="18"/>
            <w:szCs w:val="18"/>
          </w:rPr>
          <w:t xml:space="preserve"> Australia Pty Ltd [2022] FCA 1224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15803">
      <w:rPr>
        <w:bCs/>
        <w:noProof/>
        <w:sz w:val="20"/>
      </w:rPr>
      <w:t>14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A477" w14:textId="1D60F947" w:rsidR="003256C2" w:rsidRPr="00C47B9D" w:rsidRDefault="003256C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4384" behindDoc="0" locked="0" layoutInCell="1" allowOverlap="1" wp14:anchorId="0732AB2E" wp14:editId="3DDDC533">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42E0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098E0B2F8D1241C8B3434668A8919836"/>
        </w:placeholder>
        <w:dataBinding w:prefixMappings="xmlns:ns0='http://schemas.globalmacros.com/FCA'" w:xpath="/ns0:root[1]/ns0:Name[1]" w:storeItemID="{687E7CCB-4AA5-44E7-B148-17BA2B6F57C0}"/>
        <w:text w:multiLine="1"/>
      </w:sdtPr>
      <w:sdtEndPr/>
      <w:sdtContent>
        <w:r w:rsidR="00526BEE">
          <w:rPr>
            <w:bCs/>
            <w:sz w:val="18"/>
            <w:szCs w:val="18"/>
          </w:rPr>
          <w:t xml:space="preserve">Australian Mud Company Pty Ltd v </w:t>
        </w:r>
        <w:proofErr w:type="spellStart"/>
        <w:r w:rsidR="00526BEE">
          <w:rPr>
            <w:bCs/>
            <w:sz w:val="18"/>
            <w:szCs w:val="18"/>
          </w:rPr>
          <w:t>Boart</w:t>
        </w:r>
        <w:proofErr w:type="spellEnd"/>
        <w:r w:rsidR="00526BEE">
          <w:rPr>
            <w:bCs/>
            <w:sz w:val="18"/>
            <w:szCs w:val="18"/>
          </w:rPr>
          <w:t xml:space="preserve"> </w:t>
        </w:r>
        <w:proofErr w:type="spellStart"/>
        <w:r w:rsidR="00526BEE">
          <w:rPr>
            <w:bCs/>
            <w:sz w:val="18"/>
            <w:szCs w:val="18"/>
          </w:rPr>
          <w:t>Longyear</w:t>
        </w:r>
        <w:proofErr w:type="spellEnd"/>
        <w:r w:rsidR="00526BEE">
          <w:rPr>
            <w:bCs/>
            <w:sz w:val="18"/>
            <w:szCs w:val="18"/>
          </w:rPr>
          <w:t xml:space="preserve"> Australia Pty Ltd [2022] FCA 1224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15803">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22BD" w14:textId="77777777" w:rsidR="003256C2" w:rsidRDefault="003256C2"/>
  </w:footnote>
  <w:footnote w:type="continuationSeparator" w:id="0">
    <w:p w14:paraId="7623C0CB" w14:textId="77777777" w:rsidR="003256C2" w:rsidRDefault="003256C2">
      <w:r>
        <w:continuationSeparator/>
      </w:r>
    </w:p>
    <w:p w14:paraId="54A8171E" w14:textId="77777777" w:rsidR="003256C2" w:rsidRDefault="003256C2"/>
    <w:p w14:paraId="4F8BBEFA" w14:textId="77777777" w:rsidR="003256C2" w:rsidRDefault="003256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B0EF" w14:textId="77777777" w:rsidR="00CC3326" w:rsidRDefault="00CC3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3643" w14:textId="77777777" w:rsidR="00CC3326" w:rsidRDefault="00CC3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3B4B" w14:textId="77777777" w:rsidR="00CC3326" w:rsidRDefault="00CC33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7018" w14:textId="77777777" w:rsidR="003256C2" w:rsidRDefault="003256C2">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89E0" w14:textId="77777777" w:rsidR="003256C2" w:rsidRDefault="003256C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F678" w14:textId="77777777" w:rsidR="003256C2" w:rsidRDefault="003256C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1E1E" w14:textId="77777777" w:rsidR="003256C2" w:rsidRDefault="003256C2">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854A" w14:textId="77777777" w:rsidR="003256C2" w:rsidRDefault="003256C2"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256E4782"/>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lvlOverride w:ilvl="1">
      <w:lvl w:ilvl="1">
        <w:start w:val="1"/>
        <w:numFmt w:val="lowerLetter"/>
        <w:pStyle w:val="ListNo2"/>
        <w:lvlText w:val="(%2)"/>
        <w:lvlJc w:val="left"/>
        <w:pPr>
          <w:tabs>
            <w:tab w:val="num" w:pos="1440"/>
          </w:tabs>
          <w:ind w:left="1440" w:hanging="720"/>
        </w:pPr>
        <w:rPr>
          <w:rFonts w:hint="default"/>
        </w:rPr>
      </w:lvl>
    </w:lvlOverride>
  </w:num>
  <w:num w:numId="23">
    <w:abstractNumId w:val="10"/>
  </w:num>
  <w:num w:numId="2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2"/>
  </w:num>
  <w:num w:numId="26">
    <w:abstractNumId w:val="17"/>
  </w:num>
  <w:num w:numId="27">
    <w:abstractNumId w:val="17"/>
  </w:num>
  <w:num w:numId="28">
    <w:abstractNumId w:val="17"/>
  </w:num>
  <w:num w:numId="29">
    <w:abstractNumId w:val="19"/>
  </w:num>
  <w:num w:numId="30">
    <w:abstractNumId w:val="14"/>
  </w:num>
  <w:num w:numId="31">
    <w:abstractNumId w:val="14"/>
  </w:num>
  <w:num w:numId="32">
    <w:abstractNumId w:val="15"/>
  </w:num>
  <w:num w:numId="33">
    <w:abstractNumId w:val="14"/>
  </w:num>
  <w:num w:numId="34">
    <w:abstractNumId w:val="10"/>
  </w:num>
  <w:num w:numId="35">
    <w:abstractNumId w:val="10"/>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Mud Company Pty Ltd ACN 009 283 416|Reflex Instruments Asia Pacific Pty Ltd ACN 124 204 191"/>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1266 of 2021"/>
    <w:docVar w:name="Initiators" w:val="(and another named in the Schedule)"/>
    <w:docVar w:name="Judgdate" w:val="X October 2022"/>
    <w:docVar w:name="Judge" w:val="Rofe"/>
    <w:docVar w:name="JudgeType" w:val="Justice"/>
    <w:docVar w:name="lstEntryList" w:val="-1"/>
    <w:docVar w:name="myEntryList" w:val="Counsel for the Applicants=Phoebe Arcus|Solicitor for the Applicants=Gilbert + Tobin|Counsel for the Respondents=Andrew Fox SC|Solicitor for the Respondents=Bird &amp; Bird"/>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pondent" w:val="Boart Longyear Australia Pty Ltd ACN 000 401 025|Boart Longyear Limited ACN 123 052 728"/>
    <w:docVar w:name="ResState" w:val="N/A FCFCOA"/>
    <w:docVar w:name="SubArea" w:val="TBC"/>
  </w:docVars>
  <w:rsids>
    <w:rsidRoot w:val="004C0DEE"/>
    <w:rsid w:val="00000747"/>
    <w:rsid w:val="000010DE"/>
    <w:rsid w:val="00002A0D"/>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2D87"/>
    <w:rsid w:val="000650F0"/>
    <w:rsid w:val="00070B98"/>
    <w:rsid w:val="00071FB3"/>
    <w:rsid w:val="00077768"/>
    <w:rsid w:val="00081497"/>
    <w:rsid w:val="000831EC"/>
    <w:rsid w:val="00084126"/>
    <w:rsid w:val="00085255"/>
    <w:rsid w:val="00087E9B"/>
    <w:rsid w:val="000A2E76"/>
    <w:rsid w:val="000A4807"/>
    <w:rsid w:val="000A4BE4"/>
    <w:rsid w:val="000A54FF"/>
    <w:rsid w:val="000B13B3"/>
    <w:rsid w:val="000B42FF"/>
    <w:rsid w:val="000C023E"/>
    <w:rsid w:val="000C405D"/>
    <w:rsid w:val="000C5195"/>
    <w:rsid w:val="000C62EF"/>
    <w:rsid w:val="000D2137"/>
    <w:rsid w:val="000D3FD2"/>
    <w:rsid w:val="000D4B2E"/>
    <w:rsid w:val="000D59EB"/>
    <w:rsid w:val="000E3FC8"/>
    <w:rsid w:val="000E7BAE"/>
    <w:rsid w:val="000F133D"/>
    <w:rsid w:val="000F230C"/>
    <w:rsid w:val="0010536B"/>
    <w:rsid w:val="0011145C"/>
    <w:rsid w:val="001128BD"/>
    <w:rsid w:val="0011419D"/>
    <w:rsid w:val="00114B02"/>
    <w:rsid w:val="001226C0"/>
    <w:rsid w:val="00126EC8"/>
    <w:rsid w:val="0012731C"/>
    <w:rsid w:val="00132054"/>
    <w:rsid w:val="00134964"/>
    <w:rsid w:val="001351B9"/>
    <w:rsid w:val="00141AA8"/>
    <w:rsid w:val="0014789E"/>
    <w:rsid w:val="00147BAF"/>
    <w:rsid w:val="00155CD2"/>
    <w:rsid w:val="00167232"/>
    <w:rsid w:val="001727A4"/>
    <w:rsid w:val="0017376C"/>
    <w:rsid w:val="001738AB"/>
    <w:rsid w:val="001765E0"/>
    <w:rsid w:val="00177759"/>
    <w:rsid w:val="00180BB3"/>
    <w:rsid w:val="00182ECE"/>
    <w:rsid w:val="00185DD6"/>
    <w:rsid w:val="00185E6B"/>
    <w:rsid w:val="00187BBC"/>
    <w:rsid w:val="001932F3"/>
    <w:rsid w:val="001A2B40"/>
    <w:rsid w:val="001A4309"/>
    <w:rsid w:val="001A46AE"/>
    <w:rsid w:val="001A6968"/>
    <w:rsid w:val="001A6C52"/>
    <w:rsid w:val="001B1053"/>
    <w:rsid w:val="001B14AC"/>
    <w:rsid w:val="001B1E7D"/>
    <w:rsid w:val="001B7940"/>
    <w:rsid w:val="001C171A"/>
    <w:rsid w:val="001C2FE0"/>
    <w:rsid w:val="001C37CA"/>
    <w:rsid w:val="001C4085"/>
    <w:rsid w:val="001D4303"/>
    <w:rsid w:val="001D4A4E"/>
    <w:rsid w:val="001D62FA"/>
    <w:rsid w:val="001D6746"/>
    <w:rsid w:val="001E0C61"/>
    <w:rsid w:val="001E3B49"/>
    <w:rsid w:val="001E4883"/>
    <w:rsid w:val="001E4A05"/>
    <w:rsid w:val="001E6A19"/>
    <w:rsid w:val="001E7388"/>
    <w:rsid w:val="001F13DD"/>
    <w:rsid w:val="001F1435"/>
    <w:rsid w:val="001F2473"/>
    <w:rsid w:val="001F2DBC"/>
    <w:rsid w:val="001F73E8"/>
    <w:rsid w:val="0020262C"/>
    <w:rsid w:val="00202723"/>
    <w:rsid w:val="00211A3E"/>
    <w:rsid w:val="00213F20"/>
    <w:rsid w:val="00214055"/>
    <w:rsid w:val="00215BCA"/>
    <w:rsid w:val="002160F5"/>
    <w:rsid w:val="00217AC4"/>
    <w:rsid w:val="00221461"/>
    <w:rsid w:val="00222ADE"/>
    <w:rsid w:val="00224537"/>
    <w:rsid w:val="002267E0"/>
    <w:rsid w:val="00233DD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323"/>
    <w:rsid w:val="00280836"/>
    <w:rsid w:val="00282E1A"/>
    <w:rsid w:val="002840F1"/>
    <w:rsid w:val="00285922"/>
    <w:rsid w:val="0029113B"/>
    <w:rsid w:val="002934C0"/>
    <w:rsid w:val="00293E1F"/>
    <w:rsid w:val="00294EA1"/>
    <w:rsid w:val="0029764C"/>
    <w:rsid w:val="002A1B50"/>
    <w:rsid w:val="002B0E91"/>
    <w:rsid w:val="002B132C"/>
    <w:rsid w:val="002B3F23"/>
    <w:rsid w:val="002B4EB5"/>
    <w:rsid w:val="002B5AF5"/>
    <w:rsid w:val="002B6779"/>
    <w:rsid w:val="002B71C0"/>
    <w:rsid w:val="002B7A34"/>
    <w:rsid w:val="002C31AD"/>
    <w:rsid w:val="002C4C14"/>
    <w:rsid w:val="002C7385"/>
    <w:rsid w:val="002D2DBB"/>
    <w:rsid w:val="002D30E2"/>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243B9"/>
    <w:rsid w:val="003256C2"/>
    <w:rsid w:val="0033475A"/>
    <w:rsid w:val="003402D3"/>
    <w:rsid w:val="0034068E"/>
    <w:rsid w:val="00343ABC"/>
    <w:rsid w:val="00344F4A"/>
    <w:rsid w:val="003463FE"/>
    <w:rsid w:val="003472FC"/>
    <w:rsid w:val="00347D41"/>
    <w:rsid w:val="0035443D"/>
    <w:rsid w:val="003554B3"/>
    <w:rsid w:val="00356632"/>
    <w:rsid w:val="00357C7E"/>
    <w:rsid w:val="003653B6"/>
    <w:rsid w:val="00370327"/>
    <w:rsid w:val="00374CC4"/>
    <w:rsid w:val="00376B3A"/>
    <w:rsid w:val="003774B2"/>
    <w:rsid w:val="00380F2D"/>
    <w:rsid w:val="003845A9"/>
    <w:rsid w:val="003850C9"/>
    <w:rsid w:val="00390883"/>
    <w:rsid w:val="003922F8"/>
    <w:rsid w:val="00394A05"/>
    <w:rsid w:val="00395B24"/>
    <w:rsid w:val="003A2D38"/>
    <w:rsid w:val="003A7ECC"/>
    <w:rsid w:val="003B2C72"/>
    <w:rsid w:val="003B551A"/>
    <w:rsid w:val="003B58B4"/>
    <w:rsid w:val="003C08C8"/>
    <w:rsid w:val="003C1057"/>
    <w:rsid w:val="003C1333"/>
    <w:rsid w:val="003C20FF"/>
    <w:rsid w:val="003C550A"/>
    <w:rsid w:val="003C6055"/>
    <w:rsid w:val="003C703A"/>
    <w:rsid w:val="003D2650"/>
    <w:rsid w:val="003D4995"/>
    <w:rsid w:val="003D4B09"/>
    <w:rsid w:val="003D560C"/>
    <w:rsid w:val="003D5C00"/>
    <w:rsid w:val="003E3154"/>
    <w:rsid w:val="003E5874"/>
    <w:rsid w:val="003E5C94"/>
    <w:rsid w:val="003E72D3"/>
    <w:rsid w:val="003F193E"/>
    <w:rsid w:val="003F242C"/>
    <w:rsid w:val="003F34F1"/>
    <w:rsid w:val="00400969"/>
    <w:rsid w:val="004031D8"/>
    <w:rsid w:val="004104B6"/>
    <w:rsid w:val="00411AE8"/>
    <w:rsid w:val="00413B74"/>
    <w:rsid w:val="004315CD"/>
    <w:rsid w:val="004342F3"/>
    <w:rsid w:val="00435C5F"/>
    <w:rsid w:val="00436155"/>
    <w:rsid w:val="00436460"/>
    <w:rsid w:val="00437D07"/>
    <w:rsid w:val="00441E98"/>
    <w:rsid w:val="004447A7"/>
    <w:rsid w:val="004475F3"/>
    <w:rsid w:val="00450F3A"/>
    <w:rsid w:val="004532F7"/>
    <w:rsid w:val="00464D51"/>
    <w:rsid w:val="00472027"/>
    <w:rsid w:val="004804CF"/>
    <w:rsid w:val="00483314"/>
    <w:rsid w:val="00484962"/>
    <w:rsid w:val="00484F6D"/>
    <w:rsid w:val="00484FB7"/>
    <w:rsid w:val="0048554D"/>
    <w:rsid w:val="0049338A"/>
    <w:rsid w:val="0049417F"/>
    <w:rsid w:val="00494465"/>
    <w:rsid w:val="00496D41"/>
    <w:rsid w:val="004A6602"/>
    <w:rsid w:val="004B11EC"/>
    <w:rsid w:val="004B3EFA"/>
    <w:rsid w:val="004C0DEE"/>
    <w:rsid w:val="004C2A87"/>
    <w:rsid w:val="004C4D7B"/>
    <w:rsid w:val="004C4ED3"/>
    <w:rsid w:val="004C667B"/>
    <w:rsid w:val="004C7ECD"/>
    <w:rsid w:val="004D2EA5"/>
    <w:rsid w:val="004D32A6"/>
    <w:rsid w:val="004D53E5"/>
    <w:rsid w:val="004D7950"/>
    <w:rsid w:val="004E6B5E"/>
    <w:rsid w:val="004E6DC4"/>
    <w:rsid w:val="004F21C1"/>
    <w:rsid w:val="004F42A8"/>
    <w:rsid w:val="00501A12"/>
    <w:rsid w:val="0050309C"/>
    <w:rsid w:val="005064CC"/>
    <w:rsid w:val="0051327C"/>
    <w:rsid w:val="0051346D"/>
    <w:rsid w:val="00513EAE"/>
    <w:rsid w:val="0051434F"/>
    <w:rsid w:val="00516806"/>
    <w:rsid w:val="0052098C"/>
    <w:rsid w:val="005232E5"/>
    <w:rsid w:val="00525A49"/>
    <w:rsid w:val="00525CC9"/>
    <w:rsid w:val="005262D1"/>
    <w:rsid w:val="00526BEE"/>
    <w:rsid w:val="00530876"/>
    <w:rsid w:val="005312E0"/>
    <w:rsid w:val="00535613"/>
    <w:rsid w:val="005359EB"/>
    <w:rsid w:val="0054254A"/>
    <w:rsid w:val="0054500B"/>
    <w:rsid w:val="005466B5"/>
    <w:rsid w:val="00554314"/>
    <w:rsid w:val="00556FDA"/>
    <w:rsid w:val="00562829"/>
    <w:rsid w:val="005629B3"/>
    <w:rsid w:val="00563F3B"/>
    <w:rsid w:val="0057128A"/>
    <w:rsid w:val="005724F6"/>
    <w:rsid w:val="00573AC4"/>
    <w:rsid w:val="005801FC"/>
    <w:rsid w:val="0058300C"/>
    <w:rsid w:val="00585BA9"/>
    <w:rsid w:val="00587359"/>
    <w:rsid w:val="00595016"/>
    <w:rsid w:val="00597AAE"/>
    <w:rsid w:val="005A222C"/>
    <w:rsid w:val="005A4DF8"/>
    <w:rsid w:val="005A78C8"/>
    <w:rsid w:val="005B1426"/>
    <w:rsid w:val="005C0A8E"/>
    <w:rsid w:val="005C1767"/>
    <w:rsid w:val="005C185C"/>
    <w:rsid w:val="005C2B52"/>
    <w:rsid w:val="005C42EF"/>
    <w:rsid w:val="005E02F5"/>
    <w:rsid w:val="005E0510"/>
    <w:rsid w:val="005E0F1D"/>
    <w:rsid w:val="005E176E"/>
    <w:rsid w:val="005E218E"/>
    <w:rsid w:val="005E35A0"/>
    <w:rsid w:val="005E69D4"/>
    <w:rsid w:val="005F0D1B"/>
    <w:rsid w:val="005F1865"/>
    <w:rsid w:val="005F4106"/>
    <w:rsid w:val="006007BD"/>
    <w:rsid w:val="006013C8"/>
    <w:rsid w:val="0060270D"/>
    <w:rsid w:val="00604342"/>
    <w:rsid w:val="00604611"/>
    <w:rsid w:val="00611586"/>
    <w:rsid w:val="00612D26"/>
    <w:rsid w:val="00615855"/>
    <w:rsid w:val="006171A1"/>
    <w:rsid w:val="00620DA8"/>
    <w:rsid w:val="00621887"/>
    <w:rsid w:val="00624520"/>
    <w:rsid w:val="006271F5"/>
    <w:rsid w:val="00632300"/>
    <w:rsid w:val="00632BB7"/>
    <w:rsid w:val="00635B36"/>
    <w:rsid w:val="00636871"/>
    <w:rsid w:val="00640EE1"/>
    <w:rsid w:val="00640F4E"/>
    <w:rsid w:val="0064233D"/>
    <w:rsid w:val="00643DE0"/>
    <w:rsid w:val="0064437D"/>
    <w:rsid w:val="00644E85"/>
    <w:rsid w:val="006516D8"/>
    <w:rsid w:val="00652C52"/>
    <w:rsid w:val="0066063F"/>
    <w:rsid w:val="00662BB0"/>
    <w:rsid w:val="00663878"/>
    <w:rsid w:val="006652C4"/>
    <w:rsid w:val="00667773"/>
    <w:rsid w:val="00670743"/>
    <w:rsid w:val="00680A85"/>
    <w:rsid w:val="00681396"/>
    <w:rsid w:val="00681ADF"/>
    <w:rsid w:val="00685349"/>
    <w:rsid w:val="00690EE2"/>
    <w:rsid w:val="00693151"/>
    <w:rsid w:val="00693854"/>
    <w:rsid w:val="00694BEB"/>
    <w:rsid w:val="006A0E20"/>
    <w:rsid w:val="006A24E3"/>
    <w:rsid w:val="006A5695"/>
    <w:rsid w:val="006B0439"/>
    <w:rsid w:val="006B3904"/>
    <w:rsid w:val="006B5B7D"/>
    <w:rsid w:val="006C1E3E"/>
    <w:rsid w:val="006C5B46"/>
    <w:rsid w:val="006C6E39"/>
    <w:rsid w:val="006D0ECF"/>
    <w:rsid w:val="006D3D5B"/>
    <w:rsid w:val="006D4C92"/>
    <w:rsid w:val="006D4EB6"/>
    <w:rsid w:val="006D7FBC"/>
    <w:rsid w:val="006E35BF"/>
    <w:rsid w:val="006E52E0"/>
    <w:rsid w:val="006E7850"/>
    <w:rsid w:val="006F19D8"/>
    <w:rsid w:val="006F1FB8"/>
    <w:rsid w:val="006F46D6"/>
    <w:rsid w:val="006F4BBB"/>
    <w:rsid w:val="007028D9"/>
    <w:rsid w:val="0070650B"/>
    <w:rsid w:val="00707218"/>
    <w:rsid w:val="00710D04"/>
    <w:rsid w:val="00712B1D"/>
    <w:rsid w:val="00715116"/>
    <w:rsid w:val="00715751"/>
    <w:rsid w:val="007171BA"/>
    <w:rsid w:val="00717616"/>
    <w:rsid w:val="00722CF7"/>
    <w:rsid w:val="0072538A"/>
    <w:rsid w:val="00727182"/>
    <w:rsid w:val="007325D9"/>
    <w:rsid w:val="0073413F"/>
    <w:rsid w:val="0073583B"/>
    <w:rsid w:val="007360CA"/>
    <w:rsid w:val="007369BA"/>
    <w:rsid w:val="0074667B"/>
    <w:rsid w:val="007470BD"/>
    <w:rsid w:val="00760EC0"/>
    <w:rsid w:val="00761B97"/>
    <w:rsid w:val="00766255"/>
    <w:rsid w:val="007711BD"/>
    <w:rsid w:val="00771823"/>
    <w:rsid w:val="00775236"/>
    <w:rsid w:val="0078003A"/>
    <w:rsid w:val="00780771"/>
    <w:rsid w:val="007929CF"/>
    <w:rsid w:val="00796C07"/>
    <w:rsid w:val="00797BA8"/>
    <w:rsid w:val="007A081D"/>
    <w:rsid w:val="007A49E7"/>
    <w:rsid w:val="007A4BE3"/>
    <w:rsid w:val="007A6F28"/>
    <w:rsid w:val="007B03C6"/>
    <w:rsid w:val="007B09D6"/>
    <w:rsid w:val="007B0DB1"/>
    <w:rsid w:val="007B5673"/>
    <w:rsid w:val="007B7238"/>
    <w:rsid w:val="007B76FF"/>
    <w:rsid w:val="007C1F6E"/>
    <w:rsid w:val="007C3BF6"/>
    <w:rsid w:val="007C67B3"/>
    <w:rsid w:val="007D0FD2"/>
    <w:rsid w:val="007D2EF8"/>
    <w:rsid w:val="007D561F"/>
    <w:rsid w:val="007D7FD2"/>
    <w:rsid w:val="007E13D9"/>
    <w:rsid w:val="007E2AEC"/>
    <w:rsid w:val="007E2DB4"/>
    <w:rsid w:val="007E41BE"/>
    <w:rsid w:val="007E4DB6"/>
    <w:rsid w:val="007E6733"/>
    <w:rsid w:val="007E7CD4"/>
    <w:rsid w:val="007F10D2"/>
    <w:rsid w:val="007F12AC"/>
    <w:rsid w:val="007F4501"/>
    <w:rsid w:val="007F60DF"/>
    <w:rsid w:val="00801800"/>
    <w:rsid w:val="00801861"/>
    <w:rsid w:val="00801B5B"/>
    <w:rsid w:val="00805A30"/>
    <w:rsid w:val="008123EF"/>
    <w:rsid w:val="008216E7"/>
    <w:rsid w:val="00825BE6"/>
    <w:rsid w:val="008276B4"/>
    <w:rsid w:val="00831927"/>
    <w:rsid w:val="00831DA8"/>
    <w:rsid w:val="00837288"/>
    <w:rsid w:val="00841BD3"/>
    <w:rsid w:val="0084273D"/>
    <w:rsid w:val="00844E3F"/>
    <w:rsid w:val="00845A83"/>
    <w:rsid w:val="00846BB9"/>
    <w:rsid w:val="008553B5"/>
    <w:rsid w:val="008649D5"/>
    <w:rsid w:val="008712BB"/>
    <w:rsid w:val="008727F2"/>
    <w:rsid w:val="008776C8"/>
    <w:rsid w:val="008830E7"/>
    <w:rsid w:val="00890EDE"/>
    <w:rsid w:val="00892B38"/>
    <w:rsid w:val="008A1741"/>
    <w:rsid w:val="008A2484"/>
    <w:rsid w:val="008A4B44"/>
    <w:rsid w:val="008A52F3"/>
    <w:rsid w:val="008A5988"/>
    <w:rsid w:val="008B50C7"/>
    <w:rsid w:val="008C26D9"/>
    <w:rsid w:val="008C6D50"/>
    <w:rsid w:val="008C7167"/>
    <w:rsid w:val="008C7503"/>
    <w:rsid w:val="008D1617"/>
    <w:rsid w:val="008D330F"/>
    <w:rsid w:val="008D48C1"/>
    <w:rsid w:val="008E0D14"/>
    <w:rsid w:val="008E299A"/>
    <w:rsid w:val="008E6315"/>
    <w:rsid w:val="008E6AAE"/>
    <w:rsid w:val="008F0480"/>
    <w:rsid w:val="008F07FC"/>
    <w:rsid w:val="008F11E0"/>
    <w:rsid w:val="008F3EA7"/>
    <w:rsid w:val="008F78BC"/>
    <w:rsid w:val="008F7B63"/>
    <w:rsid w:val="008F7D6A"/>
    <w:rsid w:val="0090181C"/>
    <w:rsid w:val="00901C86"/>
    <w:rsid w:val="00903603"/>
    <w:rsid w:val="009054CB"/>
    <w:rsid w:val="00911F8D"/>
    <w:rsid w:val="00912F94"/>
    <w:rsid w:val="009171BC"/>
    <w:rsid w:val="0092497E"/>
    <w:rsid w:val="0092590B"/>
    <w:rsid w:val="00925BF3"/>
    <w:rsid w:val="00925E60"/>
    <w:rsid w:val="009264B3"/>
    <w:rsid w:val="00931E4C"/>
    <w:rsid w:val="009365E0"/>
    <w:rsid w:val="00936DB3"/>
    <w:rsid w:val="00942BA2"/>
    <w:rsid w:val="009432B7"/>
    <w:rsid w:val="00944C86"/>
    <w:rsid w:val="00947C02"/>
    <w:rsid w:val="00950BE6"/>
    <w:rsid w:val="00954969"/>
    <w:rsid w:val="00957DE8"/>
    <w:rsid w:val="00960ECB"/>
    <w:rsid w:val="009615D6"/>
    <w:rsid w:val="00967855"/>
    <w:rsid w:val="00971CD1"/>
    <w:rsid w:val="00974709"/>
    <w:rsid w:val="009801AE"/>
    <w:rsid w:val="00980201"/>
    <w:rsid w:val="00980736"/>
    <w:rsid w:val="00981A39"/>
    <w:rsid w:val="00982D56"/>
    <w:rsid w:val="00983DBF"/>
    <w:rsid w:val="00984E67"/>
    <w:rsid w:val="00987097"/>
    <w:rsid w:val="00991123"/>
    <w:rsid w:val="00991CAB"/>
    <w:rsid w:val="009A3A9C"/>
    <w:rsid w:val="009B046C"/>
    <w:rsid w:val="009B13FA"/>
    <w:rsid w:val="009B1E2D"/>
    <w:rsid w:val="009C59FB"/>
    <w:rsid w:val="009C6F3B"/>
    <w:rsid w:val="009C7FFB"/>
    <w:rsid w:val="009D1467"/>
    <w:rsid w:val="009D328D"/>
    <w:rsid w:val="009D5BC3"/>
    <w:rsid w:val="009E0615"/>
    <w:rsid w:val="009E3AB2"/>
    <w:rsid w:val="009E4FA6"/>
    <w:rsid w:val="009E7D21"/>
    <w:rsid w:val="009E7D93"/>
    <w:rsid w:val="009F3C34"/>
    <w:rsid w:val="009F462C"/>
    <w:rsid w:val="009F5250"/>
    <w:rsid w:val="009F5C33"/>
    <w:rsid w:val="009F6614"/>
    <w:rsid w:val="00A026F0"/>
    <w:rsid w:val="00A03EAC"/>
    <w:rsid w:val="00A04150"/>
    <w:rsid w:val="00A04DBB"/>
    <w:rsid w:val="00A06CA4"/>
    <w:rsid w:val="00A07313"/>
    <w:rsid w:val="00A07EA0"/>
    <w:rsid w:val="00A11CA6"/>
    <w:rsid w:val="00A12DD2"/>
    <w:rsid w:val="00A15586"/>
    <w:rsid w:val="00A15803"/>
    <w:rsid w:val="00A20C49"/>
    <w:rsid w:val="00A227FA"/>
    <w:rsid w:val="00A22932"/>
    <w:rsid w:val="00A23151"/>
    <w:rsid w:val="00A269CA"/>
    <w:rsid w:val="00A32BED"/>
    <w:rsid w:val="00A336EE"/>
    <w:rsid w:val="00A33F46"/>
    <w:rsid w:val="00A3427E"/>
    <w:rsid w:val="00A3494E"/>
    <w:rsid w:val="00A34DC4"/>
    <w:rsid w:val="00A359AC"/>
    <w:rsid w:val="00A40F83"/>
    <w:rsid w:val="00A410FB"/>
    <w:rsid w:val="00A41413"/>
    <w:rsid w:val="00A431E6"/>
    <w:rsid w:val="00A436E8"/>
    <w:rsid w:val="00A43CB2"/>
    <w:rsid w:val="00A45FB1"/>
    <w:rsid w:val="00A46A0F"/>
    <w:rsid w:val="00A46CCC"/>
    <w:rsid w:val="00A47996"/>
    <w:rsid w:val="00A51CFE"/>
    <w:rsid w:val="00A5204D"/>
    <w:rsid w:val="00A537D9"/>
    <w:rsid w:val="00A56E77"/>
    <w:rsid w:val="00A61605"/>
    <w:rsid w:val="00A65F97"/>
    <w:rsid w:val="00A67D72"/>
    <w:rsid w:val="00A73B04"/>
    <w:rsid w:val="00A7678E"/>
    <w:rsid w:val="00A76C13"/>
    <w:rsid w:val="00A84FD0"/>
    <w:rsid w:val="00A90739"/>
    <w:rsid w:val="00A92C48"/>
    <w:rsid w:val="00A92E79"/>
    <w:rsid w:val="00A950B6"/>
    <w:rsid w:val="00A95D45"/>
    <w:rsid w:val="00AA3EA8"/>
    <w:rsid w:val="00AA418A"/>
    <w:rsid w:val="00AB0487"/>
    <w:rsid w:val="00AB28E7"/>
    <w:rsid w:val="00AB41C1"/>
    <w:rsid w:val="00AB4CF2"/>
    <w:rsid w:val="00AB6AB6"/>
    <w:rsid w:val="00AB6CCA"/>
    <w:rsid w:val="00AC223F"/>
    <w:rsid w:val="00AC33B1"/>
    <w:rsid w:val="00AD12A8"/>
    <w:rsid w:val="00AE023F"/>
    <w:rsid w:val="00AF3577"/>
    <w:rsid w:val="00AF35F9"/>
    <w:rsid w:val="00B0424C"/>
    <w:rsid w:val="00B05C7D"/>
    <w:rsid w:val="00B07066"/>
    <w:rsid w:val="00B15D57"/>
    <w:rsid w:val="00B16347"/>
    <w:rsid w:val="00B179D4"/>
    <w:rsid w:val="00B17D6E"/>
    <w:rsid w:val="00B2435E"/>
    <w:rsid w:val="00B32875"/>
    <w:rsid w:val="00B346C3"/>
    <w:rsid w:val="00B35CC1"/>
    <w:rsid w:val="00B4005C"/>
    <w:rsid w:val="00B4227E"/>
    <w:rsid w:val="00B439A9"/>
    <w:rsid w:val="00B4471C"/>
    <w:rsid w:val="00B451A6"/>
    <w:rsid w:val="00B56BE3"/>
    <w:rsid w:val="00B56D6E"/>
    <w:rsid w:val="00B64347"/>
    <w:rsid w:val="00B65DC6"/>
    <w:rsid w:val="00B67AC2"/>
    <w:rsid w:val="00B722DE"/>
    <w:rsid w:val="00B729B0"/>
    <w:rsid w:val="00B751E3"/>
    <w:rsid w:val="00B753C8"/>
    <w:rsid w:val="00B75BA6"/>
    <w:rsid w:val="00B76C44"/>
    <w:rsid w:val="00B8184A"/>
    <w:rsid w:val="00B81F1E"/>
    <w:rsid w:val="00B82283"/>
    <w:rsid w:val="00B828D8"/>
    <w:rsid w:val="00B83F87"/>
    <w:rsid w:val="00B87CDC"/>
    <w:rsid w:val="00B910C1"/>
    <w:rsid w:val="00BA2CA4"/>
    <w:rsid w:val="00BA2EFA"/>
    <w:rsid w:val="00BA3DBC"/>
    <w:rsid w:val="00BA66DB"/>
    <w:rsid w:val="00BA6CA1"/>
    <w:rsid w:val="00BA707A"/>
    <w:rsid w:val="00BB1AFB"/>
    <w:rsid w:val="00BB27AE"/>
    <w:rsid w:val="00BB2DA2"/>
    <w:rsid w:val="00BB56DC"/>
    <w:rsid w:val="00BB766F"/>
    <w:rsid w:val="00BB7A22"/>
    <w:rsid w:val="00BC56F6"/>
    <w:rsid w:val="00BD1EB2"/>
    <w:rsid w:val="00BE183D"/>
    <w:rsid w:val="00BF24C2"/>
    <w:rsid w:val="00BF2922"/>
    <w:rsid w:val="00BF5D7A"/>
    <w:rsid w:val="00C01C2E"/>
    <w:rsid w:val="00C01CF3"/>
    <w:rsid w:val="00C02D33"/>
    <w:rsid w:val="00C04B53"/>
    <w:rsid w:val="00C1232C"/>
    <w:rsid w:val="00C24F60"/>
    <w:rsid w:val="00C27C6B"/>
    <w:rsid w:val="00C30B2A"/>
    <w:rsid w:val="00C30F1A"/>
    <w:rsid w:val="00C3594D"/>
    <w:rsid w:val="00C36442"/>
    <w:rsid w:val="00C400CE"/>
    <w:rsid w:val="00C410FD"/>
    <w:rsid w:val="00C457DE"/>
    <w:rsid w:val="00C47DD3"/>
    <w:rsid w:val="00C5316F"/>
    <w:rsid w:val="00C53562"/>
    <w:rsid w:val="00C539FB"/>
    <w:rsid w:val="00C66AA3"/>
    <w:rsid w:val="00C66E57"/>
    <w:rsid w:val="00C67FE2"/>
    <w:rsid w:val="00C724D7"/>
    <w:rsid w:val="00C74150"/>
    <w:rsid w:val="00C75594"/>
    <w:rsid w:val="00C83655"/>
    <w:rsid w:val="00C85982"/>
    <w:rsid w:val="00C86867"/>
    <w:rsid w:val="00CA0466"/>
    <w:rsid w:val="00CA246D"/>
    <w:rsid w:val="00CA4756"/>
    <w:rsid w:val="00CA50D9"/>
    <w:rsid w:val="00CB3054"/>
    <w:rsid w:val="00CB5636"/>
    <w:rsid w:val="00CB5F30"/>
    <w:rsid w:val="00CC3326"/>
    <w:rsid w:val="00CC3EE5"/>
    <w:rsid w:val="00CC4E69"/>
    <w:rsid w:val="00CC6E47"/>
    <w:rsid w:val="00CD1346"/>
    <w:rsid w:val="00CD306D"/>
    <w:rsid w:val="00CE425C"/>
    <w:rsid w:val="00CE58AC"/>
    <w:rsid w:val="00CF1345"/>
    <w:rsid w:val="00CF5A80"/>
    <w:rsid w:val="00D00ED5"/>
    <w:rsid w:val="00D02788"/>
    <w:rsid w:val="00D045EE"/>
    <w:rsid w:val="00D05091"/>
    <w:rsid w:val="00D10CA6"/>
    <w:rsid w:val="00D10F21"/>
    <w:rsid w:val="00D134CF"/>
    <w:rsid w:val="00D13ACE"/>
    <w:rsid w:val="00D1573B"/>
    <w:rsid w:val="00D161A1"/>
    <w:rsid w:val="00D24806"/>
    <w:rsid w:val="00D26C51"/>
    <w:rsid w:val="00D34040"/>
    <w:rsid w:val="00D34E69"/>
    <w:rsid w:val="00D36C78"/>
    <w:rsid w:val="00D375EE"/>
    <w:rsid w:val="00D4024C"/>
    <w:rsid w:val="00D4722B"/>
    <w:rsid w:val="00D55AE8"/>
    <w:rsid w:val="00D56056"/>
    <w:rsid w:val="00D6085F"/>
    <w:rsid w:val="00D62699"/>
    <w:rsid w:val="00D65C06"/>
    <w:rsid w:val="00D66EB0"/>
    <w:rsid w:val="00D71D64"/>
    <w:rsid w:val="00D765CE"/>
    <w:rsid w:val="00D778E9"/>
    <w:rsid w:val="00D812BF"/>
    <w:rsid w:val="00D82620"/>
    <w:rsid w:val="00D85707"/>
    <w:rsid w:val="00D9725F"/>
    <w:rsid w:val="00D97629"/>
    <w:rsid w:val="00DA01B1"/>
    <w:rsid w:val="00DA11A2"/>
    <w:rsid w:val="00DA14ED"/>
    <w:rsid w:val="00DA26D6"/>
    <w:rsid w:val="00DB1D59"/>
    <w:rsid w:val="00DB2EF1"/>
    <w:rsid w:val="00DB3DE1"/>
    <w:rsid w:val="00DB5DA0"/>
    <w:rsid w:val="00DB6048"/>
    <w:rsid w:val="00DB716C"/>
    <w:rsid w:val="00DC5C85"/>
    <w:rsid w:val="00DC7C5D"/>
    <w:rsid w:val="00DD19F1"/>
    <w:rsid w:val="00DD4236"/>
    <w:rsid w:val="00DD44F1"/>
    <w:rsid w:val="00DD68C5"/>
    <w:rsid w:val="00DD6957"/>
    <w:rsid w:val="00DD6E7A"/>
    <w:rsid w:val="00DE3067"/>
    <w:rsid w:val="00DE4F05"/>
    <w:rsid w:val="00DF3EEE"/>
    <w:rsid w:val="00DF75E1"/>
    <w:rsid w:val="00DF79FC"/>
    <w:rsid w:val="00E027BC"/>
    <w:rsid w:val="00E045BE"/>
    <w:rsid w:val="00E10F0D"/>
    <w:rsid w:val="00E14EA5"/>
    <w:rsid w:val="00E16F5D"/>
    <w:rsid w:val="00E2070E"/>
    <w:rsid w:val="00E21133"/>
    <w:rsid w:val="00E21F13"/>
    <w:rsid w:val="00E2327E"/>
    <w:rsid w:val="00E23577"/>
    <w:rsid w:val="00E24A08"/>
    <w:rsid w:val="00E266EF"/>
    <w:rsid w:val="00E326A8"/>
    <w:rsid w:val="00E42753"/>
    <w:rsid w:val="00E42E42"/>
    <w:rsid w:val="00E45A16"/>
    <w:rsid w:val="00E46ED7"/>
    <w:rsid w:val="00E47428"/>
    <w:rsid w:val="00E52B09"/>
    <w:rsid w:val="00E556EE"/>
    <w:rsid w:val="00E56C8E"/>
    <w:rsid w:val="00E5716B"/>
    <w:rsid w:val="00E57F1F"/>
    <w:rsid w:val="00E66B9F"/>
    <w:rsid w:val="00E70A6A"/>
    <w:rsid w:val="00E710D6"/>
    <w:rsid w:val="00E721A7"/>
    <w:rsid w:val="00E73DA4"/>
    <w:rsid w:val="00E76E45"/>
    <w:rsid w:val="00E777C9"/>
    <w:rsid w:val="00E81DA6"/>
    <w:rsid w:val="00E84212"/>
    <w:rsid w:val="00E9086C"/>
    <w:rsid w:val="00E90AAA"/>
    <w:rsid w:val="00E91A0F"/>
    <w:rsid w:val="00E92E4B"/>
    <w:rsid w:val="00E94A71"/>
    <w:rsid w:val="00E94CBF"/>
    <w:rsid w:val="00EA03CE"/>
    <w:rsid w:val="00EA23E5"/>
    <w:rsid w:val="00EA4E2E"/>
    <w:rsid w:val="00EB2417"/>
    <w:rsid w:val="00EB2CCB"/>
    <w:rsid w:val="00EB2F37"/>
    <w:rsid w:val="00EB7A25"/>
    <w:rsid w:val="00EC0F3E"/>
    <w:rsid w:val="00EC57A7"/>
    <w:rsid w:val="00EC74EA"/>
    <w:rsid w:val="00EC7BF2"/>
    <w:rsid w:val="00ED0817"/>
    <w:rsid w:val="00ED1106"/>
    <w:rsid w:val="00ED7DD9"/>
    <w:rsid w:val="00EE3790"/>
    <w:rsid w:val="00EE445B"/>
    <w:rsid w:val="00EF3113"/>
    <w:rsid w:val="00EF3728"/>
    <w:rsid w:val="00EF3F84"/>
    <w:rsid w:val="00EF47C6"/>
    <w:rsid w:val="00F16C9B"/>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62FD9"/>
    <w:rsid w:val="00F70F0D"/>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4F4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3187942"/>
  <w15:docId w15:val="{AAE04C1F-273E-42DA-9A3D-76514815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831DA8"/>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D19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hcch.net" TargetMode="Externa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oartlongyear.com"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E177399F5A491E9B9BBB523B90C51B"/>
        <w:category>
          <w:name w:val="General"/>
          <w:gallery w:val="placeholder"/>
        </w:category>
        <w:types>
          <w:type w:val="bbPlcHdr"/>
        </w:types>
        <w:behaviors>
          <w:behavior w:val="content"/>
        </w:behaviors>
        <w:guid w:val="{500F18B9-2B92-4758-A9AA-F1FF774A13F6}"/>
      </w:docPartPr>
      <w:docPartBody>
        <w:p w:rsidR="00A37453" w:rsidRDefault="00A37453">
          <w:pPr>
            <w:pStyle w:val="BBE177399F5A491E9B9BBB523B90C51B"/>
          </w:pPr>
          <w:r>
            <w:rPr>
              <w:rStyle w:val="PlaceholderText"/>
            </w:rPr>
            <w:t>MNC Text</w:t>
          </w:r>
        </w:p>
      </w:docPartBody>
    </w:docPart>
    <w:docPart>
      <w:docPartPr>
        <w:name w:val="1D8EC9E0D62140358C4C2AA6C2D38689"/>
        <w:category>
          <w:name w:val="General"/>
          <w:gallery w:val="placeholder"/>
        </w:category>
        <w:types>
          <w:type w:val="bbPlcHdr"/>
        </w:types>
        <w:behaviors>
          <w:behavior w:val="content"/>
        </w:behaviors>
        <w:guid w:val="{BF63DA16-B465-40EE-B128-7943E8EF52CB}"/>
      </w:docPartPr>
      <w:docPartBody>
        <w:p w:rsidR="00A37453" w:rsidRDefault="00A37453">
          <w:pPr>
            <w:pStyle w:val="1D8EC9E0D62140358C4C2AA6C2D38689"/>
          </w:pPr>
          <w:r w:rsidRPr="005C44BE">
            <w:rPr>
              <w:rStyle w:val="PlaceholderText"/>
            </w:rPr>
            <w:t>Click or tap here to enter text.</w:t>
          </w:r>
        </w:p>
      </w:docPartBody>
    </w:docPart>
    <w:docPart>
      <w:docPartPr>
        <w:name w:val="0D95A9D9468942AB8B9F2879B4A50BAC"/>
        <w:category>
          <w:name w:val="General"/>
          <w:gallery w:val="placeholder"/>
        </w:category>
        <w:types>
          <w:type w:val="bbPlcHdr"/>
        </w:types>
        <w:behaviors>
          <w:behavior w:val="content"/>
        </w:behaviors>
        <w:guid w:val="{06983C75-9B3B-405B-8DEC-2BF8D47A9FB1}"/>
      </w:docPartPr>
      <w:docPartBody>
        <w:p w:rsidR="00A37453" w:rsidRDefault="00A37453">
          <w:pPr>
            <w:pStyle w:val="0D95A9D9468942AB8B9F2879B4A50BAC"/>
          </w:pPr>
          <w:r w:rsidRPr="005C44BE">
            <w:rPr>
              <w:rStyle w:val="PlaceholderText"/>
            </w:rPr>
            <w:t>Click or tap here to enter text.</w:t>
          </w:r>
        </w:p>
      </w:docPartBody>
    </w:docPart>
    <w:docPart>
      <w:docPartPr>
        <w:name w:val="83E694579BA147799B6403946BB1DD79"/>
        <w:category>
          <w:name w:val="General"/>
          <w:gallery w:val="placeholder"/>
        </w:category>
        <w:types>
          <w:type w:val="bbPlcHdr"/>
        </w:types>
        <w:behaviors>
          <w:behavior w:val="content"/>
        </w:behaviors>
        <w:guid w:val="{144FF177-945C-4C63-B3D4-892634730045}"/>
      </w:docPartPr>
      <w:docPartBody>
        <w:p w:rsidR="00A37453" w:rsidRDefault="00A37453">
          <w:pPr>
            <w:pStyle w:val="83E694579BA147799B6403946BB1DD79"/>
          </w:pPr>
          <w:r w:rsidRPr="005C44BE">
            <w:rPr>
              <w:rStyle w:val="PlaceholderText"/>
            </w:rPr>
            <w:t>Click or tap here to enter text.</w:t>
          </w:r>
        </w:p>
      </w:docPartBody>
    </w:docPart>
    <w:docPart>
      <w:docPartPr>
        <w:name w:val="098E0B2F8D1241C8B3434668A8919836"/>
        <w:category>
          <w:name w:val="General"/>
          <w:gallery w:val="placeholder"/>
        </w:category>
        <w:types>
          <w:type w:val="bbPlcHdr"/>
        </w:types>
        <w:behaviors>
          <w:behavior w:val="content"/>
        </w:behaviors>
        <w:guid w:val="{B827B6E6-DE94-4384-B1E7-5CAC13C706D1}"/>
      </w:docPartPr>
      <w:docPartBody>
        <w:p w:rsidR="00A37453" w:rsidRDefault="00A37453">
          <w:pPr>
            <w:pStyle w:val="098E0B2F8D1241C8B3434668A891983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53"/>
    <w:rsid w:val="00073A02"/>
    <w:rsid w:val="00701E05"/>
    <w:rsid w:val="009754A4"/>
    <w:rsid w:val="00A37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E177399F5A491E9B9BBB523B90C51B">
    <w:name w:val="BBE177399F5A491E9B9BBB523B90C51B"/>
  </w:style>
  <w:style w:type="paragraph" w:customStyle="1" w:styleId="1D8EC9E0D62140358C4C2AA6C2D38689">
    <w:name w:val="1D8EC9E0D62140358C4C2AA6C2D38689"/>
  </w:style>
  <w:style w:type="paragraph" w:customStyle="1" w:styleId="0D95A9D9468942AB8B9F2879B4A50BAC">
    <w:name w:val="0D95A9D9468942AB8B9F2879B4A50BAC"/>
  </w:style>
  <w:style w:type="paragraph" w:customStyle="1" w:styleId="83E694579BA147799B6403946BB1DD79">
    <w:name w:val="83E694579BA147799B6403946BB1DD79"/>
  </w:style>
  <w:style w:type="paragraph" w:customStyle="1" w:styleId="098E0B2F8D1241C8B3434668A8919836">
    <w:name w:val="098E0B2F8D1241C8B3434668A8919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http://schemas.globalmacros.com/FCA">
  <Name>Australian Mud Company Pty Ltd v Boart Longyear Australia Pty Ltd [2022] FCA 1224</Name>
</root>
</file>

<file path=customXml/item3.xml><?xml version="1.0" encoding="utf-8"?>
<ct:contentTypeSchema xmlns:ct="http://schemas.microsoft.com/office/2006/metadata/contentType" xmlns:ma="http://schemas.microsoft.com/office/2006/metadata/properties/metaAttributes" ct:_="" ma:_="" ma:contentTypeName="Document" ma:contentTypeID="0x010100C894FE4B6CC9CF41B22EA77E756AF20E" ma:contentTypeVersion="10" ma:contentTypeDescription="Create a new document." ma:contentTypeScope="" ma:versionID="f29296589236acca8d8b4b434bcca248">
  <xsd:schema xmlns:xsd="http://www.w3.org/2001/XMLSchema" xmlns:xs="http://www.w3.org/2001/XMLSchema" xmlns:p="http://schemas.microsoft.com/office/2006/metadata/properties" xmlns:ns3="04df2dbe-c0a7-41dc-817f-4a7dcc3983fe" targetNamespace="http://schemas.microsoft.com/office/2006/metadata/properties" ma:root="true" ma:fieldsID="89401f28a9d196ba20be77fc54a3a75d" ns3:_="">
    <xsd:import namespace="04df2dbe-c0a7-41dc-817f-4a7dcc3983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2dbe-c0a7-41dc-817f-4a7dcc398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FFE1-E6CA-434A-ABC9-7FA2936A342B}">
  <ds:schemaRefs>
    <ds:schemaRef ds:uri="http://schemas.microsoft.com/office/2006/metadata/properties"/>
    <ds:schemaRef ds:uri="http://schemas.microsoft.com/office/2006/documentManagement/types"/>
    <ds:schemaRef ds:uri="04df2dbe-c0a7-41dc-817f-4a7dcc3983f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30CC4979-8D51-4F80-827A-D2F354F0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2dbe-c0a7-41dc-817f-4a7dcc39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CA290-42A2-4DAF-9DBC-387C2EC81443}">
  <ds:schemaRefs>
    <ds:schemaRef ds:uri="http://schemas.microsoft.com/sharepoint/v3/contenttype/forms"/>
  </ds:schemaRefs>
</ds:datastoreItem>
</file>

<file path=customXml/itemProps5.xml><?xml version="1.0" encoding="utf-8"?>
<ds:datastoreItem xmlns:ds="http://schemas.openxmlformats.org/officeDocument/2006/customXml" ds:itemID="{14B3AABE-50C5-45F6-B646-59998706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6477</Words>
  <Characters>31939</Characters>
  <Application>Microsoft Office Word</Application>
  <DocSecurity>0</DocSecurity>
  <Lines>638</Lines>
  <Paragraphs>278</Paragraphs>
  <ScaleCrop>false</ScaleCrop>
  <HeadingPairs>
    <vt:vector size="2" baseType="variant">
      <vt:variant>
        <vt:lpstr>Title</vt:lpstr>
      </vt:variant>
      <vt:variant>
        <vt:i4>1</vt:i4>
      </vt:variant>
    </vt:vector>
  </HeadingPairs>
  <TitlesOfParts>
    <vt:vector size="1" baseType="lpstr">
      <vt:lpstr>Australian Mud Company Pty Ltd v Boart Longyear Australia Pty Ltd [2022] FCA 1224</vt:lpstr>
    </vt:vector>
  </TitlesOfParts>
  <Company>Federal Court of Australia</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Mud Company Pty Ltd v Boart Longyear Australia Pty Ltd [2022] FCA 1224</dc:title>
  <dc:creator>Nikkie Xu</dc:creator>
  <dc:description>v1.3</dc:description>
  <cp:lastModifiedBy>Amy Chan</cp:lastModifiedBy>
  <cp:revision>3</cp:revision>
  <cp:lastPrinted>2022-10-12T22:39:00Z</cp:lastPrinted>
  <dcterms:created xsi:type="dcterms:W3CDTF">2022-10-13T04:51:00Z</dcterms:created>
  <dcterms:modified xsi:type="dcterms:W3CDTF">2022-10-13T04:51:00Z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TBC</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Federal Court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0x010100C894FE4B6CC9CF41B22EA77E756AF20E</vt:lpwstr>
  </property>
</Properties>
</file>