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151609">
        <w:t>Federal Court of Australia</w:t>
      </w:r>
      <w:r>
        <w:fldChar w:fldCharType="end"/>
      </w:r>
    </w:p>
    <w:p w:rsidR="004D7950" w:rsidRDefault="004D7950">
      <w:pPr>
        <w:pStyle w:val="NormalHeadings"/>
        <w:jc w:val="center"/>
        <w:rPr>
          <w:sz w:val="32"/>
        </w:rPr>
      </w:pPr>
    </w:p>
    <w:bookmarkStart w:id="0" w:name="MNC"/>
    <w:p w:rsidR="00374CC4" w:rsidRDefault="002A41A1" w:rsidP="001A2B40">
      <w:pPr>
        <w:pStyle w:val="MNC"/>
      </w:pPr>
      <w:sdt>
        <w:sdtPr>
          <w:alias w:val="MNC"/>
          <w:tag w:val="MNC"/>
          <w:id w:val="343289786"/>
          <w:lock w:val="sdtLocked"/>
          <w:placeholder>
            <w:docPart w:val="B1842098355B4BE395C54A978C7ED989"/>
          </w:placeholder>
          <w:dataBinding w:prefixMappings="xmlns:ns0='http://schemas.globalmacros.com/FCA'" w:xpath="/ns0:root[1]/ns0:Name[1]" w:storeItemID="{687E7CCB-4AA5-44E7-B148-17BA2B6F57C0}"/>
          <w:text w:multiLine="1"/>
        </w:sdtPr>
        <w:sdtEndPr/>
        <w:sdtContent>
          <w:r w:rsidR="00832237">
            <w:t>Georges (Liquidator), i</w:t>
          </w:r>
          <w:r w:rsidR="000115D7" w:rsidRPr="000115D7">
            <w:t xml:space="preserve">n the Matter of SIRA Pty Ltd (In Liquidation) </w:t>
          </w:r>
          <w:r w:rsidR="00B55CA4">
            <w:t xml:space="preserve">[2022] </w:t>
          </w:r>
          <w:r w:rsidR="000115D7" w:rsidRPr="000115D7">
            <w:t xml:space="preserve">FCA 768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540BE7">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51609" w:rsidRDefault="002A41A1" w:rsidP="00151609">
            <w:pPr>
              <w:pStyle w:val="Normal1linespace"/>
              <w:jc w:val="left"/>
            </w:pPr>
            <w:r>
              <w:fldChar w:fldCharType="begin" w:fldLock="1"/>
            </w:r>
            <w:r>
              <w:instrText xml:space="preserve"> REF  FileNo  \* MERGEFORMAT </w:instrText>
            </w:r>
            <w:r>
              <w:fldChar w:fldCharType="separate"/>
            </w:r>
            <w:r w:rsidR="00151609" w:rsidRPr="00151609">
              <w:t>VID 197 of 2022</w:t>
            </w:r>
            <w:r>
              <w:fldChar w:fldCharType="end"/>
            </w:r>
          </w:p>
        </w:tc>
      </w:tr>
      <w:tr w:rsidR="00395B24" w:rsidTr="00540BE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40BE7">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51609">
              <w:rPr>
                <w:b/>
              </w:rPr>
              <w:fldChar w:fldCharType="begin" w:fldLock="1"/>
            </w:r>
            <w:r w:rsidRPr="00151609">
              <w:rPr>
                <w:b/>
              </w:rPr>
              <w:instrText xml:space="preserve"> REF  Judge  \* MERGEFORMAT </w:instrText>
            </w:r>
            <w:r w:rsidRPr="00151609">
              <w:rPr>
                <w:b/>
              </w:rPr>
              <w:fldChar w:fldCharType="separate"/>
            </w:r>
            <w:r w:rsidR="00151609" w:rsidRPr="00151609">
              <w:rPr>
                <w:b/>
                <w:caps/>
                <w:szCs w:val="24"/>
              </w:rPr>
              <w:t>MCEVOY J</w:t>
            </w:r>
            <w:r w:rsidRPr="00151609">
              <w:rPr>
                <w:b/>
              </w:rPr>
              <w:fldChar w:fldCharType="end"/>
            </w:r>
          </w:p>
        </w:tc>
      </w:tr>
      <w:tr w:rsidR="00395B24" w:rsidTr="00540BE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40BE7">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51609" w:rsidP="00663878">
            <w:pPr>
              <w:pStyle w:val="Normal1linespace"/>
              <w:widowControl w:val="0"/>
              <w:jc w:val="left"/>
            </w:pPr>
            <w:bookmarkStart w:id="1" w:name="JudgmentDate"/>
            <w:r>
              <w:t>1 July 2022</w:t>
            </w:r>
            <w:bookmarkEnd w:id="1"/>
          </w:p>
        </w:tc>
      </w:tr>
      <w:tr w:rsidR="00395B24" w:rsidTr="00540BE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40BE7">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51609" w:rsidP="009579EF">
            <w:pPr>
              <w:pStyle w:val="Normal1linespace"/>
              <w:widowControl w:val="0"/>
              <w:jc w:val="left"/>
            </w:pPr>
            <w:bookmarkStart w:id="2" w:name="Catchwords"/>
            <w:r w:rsidRPr="00151609">
              <w:rPr>
                <w:b/>
              </w:rPr>
              <w:t>PRACTICE AND PROCEDURE</w:t>
            </w:r>
            <w:r>
              <w:t xml:space="preserve"> – </w:t>
            </w:r>
            <w:r w:rsidR="007F08D8">
              <w:t>s</w:t>
            </w:r>
            <w:r>
              <w:t xml:space="preserve">ervice of </w:t>
            </w:r>
            <w:r w:rsidR="009579EF">
              <w:t>a document</w:t>
            </w:r>
            <w:r>
              <w:t xml:space="preserve"> outside </w:t>
            </w:r>
            <w:r w:rsidR="009579EF">
              <w:t xml:space="preserve">the </w:t>
            </w:r>
            <w:r>
              <w:t xml:space="preserve">jurisdiction – </w:t>
            </w:r>
            <w:r w:rsidR="007F08D8">
              <w:t>w</w:t>
            </w:r>
            <w:r>
              <w:t>here the plaintiffs seek leave to serve an order on a company in Singapore</w:t>
            </w:r>
            <w:r w:rsidR="009579EF">
              <w:t xml:space="preserve"> pursuant to r 10.44 of the </w:t>
            </w:r>
            <w:r w:rsidR="009579EF" w:rsidRPr="001E3F24">
              <w:rPr>
                <w:i/>
              </w:rPr>
              <w:t>Federal Court Rules 2001</w:t>
            </w:r>
            <w:r w:rsidR="009579EF">
              <w:t xml:space="preserve"> (</w:t>
            </w:r>
            <w:proofErr w:type="spellStart"/>
            <w:r w:rsidR="009579EF">
              <w:t>Cth</w:t>
            </w:r>
            <w:proofErr w:type="spellEnd"/>
            <w:r w:rsidR="009579EF">
              <w:t>)</w:t>
            </w:r>
            <w:r>
              <w:t xml:space="preserve"> </w:t>
            </w:r>
            <w:r w:rsidR="00DA2803">
              <w:t>–</w:t>
            </w:r>
            <w:r w:rsidR="000B1F6F">
              <w:t xml:space="preserve"> </w:t>
            </w:r>
            <w:r w:rsidR="00636B06">
              <w:t>where the orde</w:t>
            </w:r>
            <w:r w:rsidR="00CB305C">
              <w:t xml:space="preserve">r requires a foreign company </w:t>
            </w:r>
            <w:r w:rsidR="009579EF">
              <w:t xml:space="preserve">through its company secretary </w:t>
            </w:r>
            <w:r w:rsidR="00CB305C">
              <w:t xml:space="preserve">to attend for examination and produce documents – </w:t>
            </w:r>
            <w:r w:rsidR="007F08D8">
              <w:t>w</w:t>
            </w:r>
            <w:r w:rsidR="001E3F24">
              <w:t xml:space="preserve">here </w:t>
            </w:r>
            <w:r w:rsidR="000B1F6F">
              <w:t>the requirements of r 10.4</w:t>
            </w:r>
            <w:r w:rsidR="001E3F24">
              <w:t>3</w:t>
            </w:r>
            <w:r w:rsidR="000B1F6F">
              <w:t>(3)</w:t>
            </w:r>
            <w:r w:rsidR="001E3F24">
              <w:t xml:space="preserve"> of the </w:t>
            </w:r>
            <w:r w:rsidR="001E3F24" w:rsidRPr="001E3F24">
              <w:rPr>
                <w:i/>
              </w:rPr>
              <w:t>Federal Court Rules 2001</w:t>
            </w:r>
            <w:r w:rsidR="001E3F24">
              <w:t xml:space="preserve"> (</w:t>
            </w:r>
            <w:proofErr w:type="spellStart"/>
            <w:r w:rsidR="001E3F24">
              <w:t>Cth</w:t>
            </w:r>
            <w:proofErr w:type="spellEnd"/>
            <w:r w:rsidR="001E3F24">
              <w:t xml:space="preserve">) are met – </w:t>
            </w:r>
            <w:r w:rsidR="009579EF">
              <w:t>consideration of the</w:t>
            </w:r>
            <w:r w:rsidR="00CB305C">
              <w:t xml:space="preserve"> </w:t>
            </w:r>
            <w:r w:rsidR="00CB305C" w:rsidRPr="00CB305C">
              <w:rPr>
                <w:i/>
              </w:rPr>
              <w:t xml:space="preserve">Rules of Court 2021 </w:t>
            </w:r>
            <w:r w:rsidR="00CB305C">
              <w:t xml:space="preserve">(Singapore) – </w:t>
            </w:r>
            <w:r w:rsidR="007F08D8">
              <w:t>w</w:t>
            </w:r>
            <w:r w:rsidR="000B1F6F">
              <w:t xml:space="preserve">here the principle of international </w:t>
            </w:r>
            <w:r w:rsidR="00CB305C">
              <w:t xml:space="preserve">judicial </w:t>
            </w:r>
            <w:r w:rsidR="000B1F6F">
              <w:t>comity should not preclude the grant of leave</w:t>
            </w:r>
            <w:r w:rsidR="009579EF">
              <w:t xml:space="preserve"> –</w:t>
            </w:r>
            <w:r w:rsidR="000B1F6F">
              <w:t xml:space="preserve"> </w:t>
            </w:r>
            <w:r w:rsidR="007F08D8">
              <w:t>l</w:t>
            </w:r>
            <w:r w:rsidR="001E3F24">
              <w:t>eave granted</w:t>
            </w:r>
            <w:r w:rsidR="002C7385">
              <w:t xml:space="preserve"> </w:t>
            </w:r>
            <w:bookmarkEnd w:id="2"/>
          </w:p>
        </w:tc>
      </w:tr>
      <w:tr w:rsidR="00395B24" w:rsidTr="00540BE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40BE7">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51609" w:rsidRDefault="00151609" w:rsidP="00D82620">
            <w:pPr>
              <w:pStyle w:val="CasesLegislationAppealFrom"/>
              <w:spacing w:after="60"/>
            </w:pPr>
            <w:bookmarkStart w:id="3" w:name="Legislation"/>
            <w:r w:rsidRPr="00151609">
              <w:rPr>
                <w:i/>
              </w:rPr>
              <w:t>Corporations Act 2001</w:t>
            </w:r>
            <w:r>
              <w:t xml:space="preserve"> (</w:t>
            </w:r>
            <w:proofErr w:type="spellStart"/>
            <w:r>
              <w:t>Cth</w:t>
            </w:r>
            <w:proofErr w:type="spellEnd"/>
            <w:r>
              <w:t xml:space="preserve">) </w:t>
            </w:r>
            <w:proofErr w:type="spellStart"/>
            <w:r>
              <w:t>ss</w:t>
            </w:r>
            <w:proofErr w:type="spellEnd"/>
            <w:r>
              <w:t xml:space="preserve"> 596A, 596B, </w:t>
            </w:r>
            <w:r w:rsidRPr="00151609">
              <w:t>597(9)</w:t>
            </w:r>
          </w:p>
          <w:p w:rsidR="00151609" w:rsidRPr="00DA2803" w:rsidRDefault="00151609" w:rsidP="00D82620">
            <w:pPr>
              <w:pStyle w:val="CasesLegislationAppealFrom"/>
              <w:spacing w:after="60"/>
            </w:pPr>
            <w:r w:rsidRPr="00151609">
              <w:rPr>
                <w:i/>
              </w:rPr>
              <w:t>Fed</w:t>
            </w:r>
            <w:r w:rsidRPr="00DA2803">
              <w:rPr>
                <w:i/>
              </w:rPr>
              <w:t>eral Court Rules 2011</w:t>
            </w:r>
            <w:r w:rsidRPr="00DA2803">
              <w:t xml:space="preserve"> (</w:t>
            </w:r>
            <w:proofErr w:type="spellStart"/>
            <w:r w:rsidRPr="00DA2803">
              <w:t>Cth</w:t>
            </w:r>
            <w:proofErr w:type="spellEnd"/>
            <w:r w:rsidRPr="00DA2803">
              <w:t xml:space="preserve">) </w:t>
            </w:r>
            <w:proofErr w:type="spellStart"/>
            <w:r w:rsidRPr="00DA2803">
              <w:t>rr</w:t>
            </w:r>
            <w:proofErr w:type="spellEnd"/>
            <w:r w:rsidRPr="00DA2803">
              <w:t xml:space="preserve"> 10.33, 10.44</w:t>
            </w:r>
          </w:p>
          <w:p w:rsidR="001F07F8" w:rsidRDefault="00151609" w:rsidP="00D82620">
            <w:pPr>
              <w:pStyle w:val="CasesLegislationAppealFrom"/>
              <w:spacing w:after="60"/>
            </w:pPr>
            <w:r w:rsidRPr="00DA2803">
              <w:rPr>
                <w:i/>
              </w:rPr>
              <w:t xml:space="preserve">Rules of </w:t>
            </w:r>
            <w:r w:rsidR="001F07F8">
              <w:rPr>
                <w:i/>
              </w:rPr>
              <w:t>Court 2021</w:t>
            </w:r>
            <w:r w:rsidR="001F07F8" w:rsidRPr="001F07F8">
              <w:rPr>
                <w:i/>
              </w:rPr>
              <w:t xml:space="preserve"> </w:t>
            </w:r>
            <w:r w:rsidRPr="004D2AFA">
              <w:t>(Singapore)</w:t>
            </w:r>
            <w:r w:rsidR="00EE5902" w:rsidRPr="001F07F8">
              <w:rPr>
                <w:i/>
              </w:rPr>
              <w:t xml:space="preserve"> </w:t>
            </w:r>
            <w:r w:rsidR="00EE5902">
              <w:t>O</w:t>
            </w:r>
            <w:r w:rsidR="00636B06">
              <w:t xml:space="preserve"> </w:t>
            </w:r>
            <w:r w:rsidR="00EE5902">
              <w:t>64, r 3</w:t>
            </w:r>
          </w:p>
          <w:p w:rsidR="001F07F8" w:rsidRDefault="001F07F8" w:rsidP="00D82620">
            <w:pPr>
              <w:pStyle w:val="CasesLegislationAppealFrom"/>
              <w:spacing w:after="60"/>
            </w:pPr>
          </w:p>
          <w:p w:rsidR="00395B24" w:rsidRDefault="001F07F8" w:rsidP="00636B06">
            <w:pPr>
              <w:pStyle w:val="CasesLegislationAppealFrom"/>
              <w:spacing w:after="60"/>
            </w:pPr>
            <w:r>
              <w:t>Convention on the</w:t>
            </w:r>
            <w:r w:rsidRPr="001F07F8">
              <w:t xml:space="preserve"> Service Abroad of Judicial </w:t>
            </w:r>
            <w:r w:rsidR="00636B06">
              <w:t>and Extrajudicial Documents in</w:t>
            </w:r>
            <w:r w:rsidRPr="001F07F8">
              <w:t xml:space="preserve"> Civil or Commercial Matters</w:t>
            </w:r>
            <w:r>
              <w:t xml:space="preserve"> done at the Hague on 15 November 1965</w:t>
            </w:r>
            <w:bookmarkEnd w:id="3"/>
          </w:p>
        </w:tc>
      </w:tr>
      <w:tr w:rsidR="00395B24" w:rsidTr="00540BE7">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40BE7">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30C28" w:rsidRDefault="001F07F8" w:rsidP="00D82620">
            <w:pPr>
              <w:pStyle w:val="CasesLegislationAppealFrom"/>
              <w:spacing w:after="60"/>
            </w:pPr>
            <w:bookmarkStart w:id="4" w:name="Cases_Cited"/>
            <w:proofErr w:type="spellStart"/>
            <w:r w:rsidRPr="00EE5902">
              <w:rPr>
                <w:i/>
              </w:rPr>
              <w:t>Arhill</w:t>
            </w:r>
            <w:proofErr w:type="spellEnd"/>
            <w:r w:rsidRPr="00EE5902">
              <w:rPr>
                <w:i/>
              </w:rPr>
              <w:t xml:space="preserve"> Pty Ltd and Others v General Terminal Company P</w:t>
            </w:r>
            <w:r w:rsidRPr="001F07F8">
              <w:rPr>
                <w:i/>
              </w:rPr>
              <w:t xml:space="preserve">ty Ltd </w:t>
            </w:r>
            <w:r w:rsidRPr="001F07F8">
              <w:t>(1990) 23 NSWLR 545</w:t>
            </w:r>
            <w:r w:rsidR="00EE5902">
              <w:t xml:space="preserve"> </w:t>
            </w:r>
          </w:p>
          <w:p w:rsidR="00E32384" w:rsidRDefault="00E32384" w:rsidP="00D82620">
            <w:pPr>
              <w:pStyle w:val="CasesLegislationAppealFrom"/>
              <w:spacing w:after="60"/>
            </w:pPr>
            <w:r w:rsidRPr="00E32384">
              <w:rPr>
                <w:i/>
              </w:rPr>
              <w:t xml:space="preserve">Ceramic Fuel Cells Ltd (in </w:t>
            </w:r>
            <w:proofErr w:type="spellStart"/>
            <w:r w:rsidRPr="00E32384">
              <w:rPr>
                <w:i/>
              </w:rPr>
              <w:t>Liq</w:t>
            </w:r>
            <w:proofErr w:type="spellEnd"/>
            <w:r w:rsidRPr="00E32384">
              <w:rPr>
                <w:i/>
              </w:rPr>
              <w:t xml:space="preserve">) v McGraw-Hill Financial </w:t>
            </w:r>
            <w:proofErr w:type="spellStart"/>
            <w:r w:rsidRPr="00E32384">
              <w:rPr>
                <w:i/>
              </w:rPr>
              <w:t>Inc</w:t>
            </w:r>
            <w:proofErr w:type="spellEnd"/>
            <w:r>
              <w:t xml:space="preserve"> (2016) 112 ACSR 102; [2016] FCA 401</w:t>
            </w:r>
          </w:p>
          <w:p w:rsidR="00D30C28" w:rsidRDefault="00EE5902" w:rsidP="00D82620">
            <w:pPr>
              <w:pStyle w:val="CasesLegislationAppealFrom"/>
              <w:spacing w:after="60"/>
            </w:pPr>
            <w:r w:rsidRPr="00EE5902">
              <w:rPr>
                <w:i/>
              </w:rPr>
              <w:t xml:space="preserve">Clifton (Liquidator), in the matter of Solar Shop Australia Pty Ltd (in </w:t>
            </w:r>
            <w:proofErr w:type="spellStart"/>
            <w:r w:rsidRPr="00EE5902">
              <w:rPr>
                <w:i/>
              </w:rPr>
              <w:t>Liq</w:t>
            </w:r>
            <w:proofErr w:type="spellEnd"/>
            <w:r w:rsidRPr="00EE5902">
              <w:rPr>
                <w:i/>
              </w:rPr>
              <w:t xml:space="preserve">) </w:t>
            </w:r>
            <w:r w:rsidRPr="00EE5902">
              <w:t>[2014] FCA</w:t>
            </w:r>
            <w:r>
              <w:t xml:space="preserve"> 891</w:t>
            </w:r>
          </w:p>
          <w:p w:rsidR="000B6192" w:rsidRDefault="000B6192" w:rsidP="00D82620">
            <w:pPr>
              <w:pStyle w:val="CasesLegislationAppealFrom"/>
              <w:spacing w:after="60"/>
            </w:pPr>
            <w:r w:rsidRPr="00CE5425">
              <w:rPr>
                <w:i/>
              </w:rPr>
              <w:t xml:space="preserve">CSR Ltd v Cigna Insurance Australia Ltd </w:t>
            </w:r>
            <w:r>
              <w:t>(1997) 189 CLR 34</w:t>
            </w:r>
            <w:r w:rsidRPr="00CE5425">
              <w:t>5;</w:t>
            </w:r>
            <w:r>
              <w:t xml:space="preserve"> [1997] HCA 33</w:t>
            </w:r>
          </w:p>
          <w:p w:rsidR="00D30C28" w:rsidRDefault="00FC1F0A" w:rsidP="00D82620">
            <w:pPr>
              <w:pStyle w:val="CasesLegislationAppealFrom"/>
              <w:spacing w:after="60"/>
            </w:pPr>
            <w:r w:rsidRPr="00FC1F0A">
              <w:rPr>
                <w:i/>
              </w:rPr>
              <w:t>Dev</w:t>
            </w:r>
            <w:r>
              <w:rPr>
                <w:i/>
              </w:rPr>
              <w:t xml:space="preserve">ine </w:t>
            </w:r>
            <w:r w:rsidRPr="00FC1F0A">
              <w:rPr>
                <w:i/>
              </w:rPr>
              <w:t>(Liq</w:t>
            </w:r>
            <w:r>
              <w:rPr>
                <w:i/>
              </w:rPr>
              <w:t>uidator</w:t>
            </w:r>
            <w:r w:rsidRPr="00FC1F0A">
              <w:rPr>
                <w:i/>
              </w:rPr>
              <w:t xml:space="preserve">), </w:t>
            </w:r>
            <w:r>
              <w:rPr>
                <w:i/>
              </w:rPr>
              <w:t xml:space="preserve">Re </w:t>
            </w:r>
            <w:proofErr w:type="spellStart"/>
            <w:r>
              <w:rPr>
                <w:i/>
              </w:rPr>
              <w:t>Lempriere</w:t>
            </w:r>
            <w:proofErr w:type="spellEnd"/>
            <w:r>
              <w:rPr>
                <w:i/>
              </w:rPr>
              <w:t xml:space="preserve"> Grain Pty Ltd</w:t>
            </w:r>
            <w:r w:rsidRPr="00FC1F0A">
              <w:rPr>
                <w:i/>
              </w:rPr>
              <w:t xml:space="preserve"> (In Liquidation)</w:t>
            </w:r>
            <w:r>
              <w:t xml:space="preserve"> [2020] FCA 420</w:t>
            </w:r>
          </w:p>
          <w:p w:rsidR="00D30C28" w:rsidRDefault="007544A0" w:rsidP="00D82620">
            <w:pPr>
              <w:pStyle w:val="CasesLegislationAppealFrom"/>
              <w:spacing w:after="60"/>
            </w:pPr>
            <w:r w:rsidRPr="000115D7">
              <w:rPr>
                <w:i/>
              </w:rPr>
              <w:t xml:space="preserve">Fortune Hong Kong Trading Ltd v </w:t>
            </w:r>
            <w:proofErr w:type="spellStart"/>
            <w:r w:rsidRPr="000115D7">
              <w:rPr>
                <w:i/>
              </w:rPr>
              <w:t>Co</w:t>
            </w:r>
            <w:r>
              <w:rPr>
                <w:i/>
              </w:rPr>
              <w:t>s</w:t>
            </w:r>
            <w:r w:rsidRPr="000115D7">
              <w:rPr>
                <w:i/>
              </w:rPr>
              <w:t>co</w:t>
            </w:r>
            <w:proofErr w:type="spellEnd"/>
            <w:r w:rsidRPr="000115D7">
              <w:rPr>
                <w:i/>
              </w:rPr>
              <w:t xml:space="preserve"> </w:t>
            </w:r>
            <w:proofErr w:type="spellStart"/>
            <w:r w:rsidRPr="000115D7">
              <w:rPr>
                <w:i/>
              </w:rPr>
              <w:t>Feoso</w:t>
            </w:r>
            <w:proofErr w:type="spellEnd"/>
            <w:r w:rsidRPr="000115D7">
              <w:rPr>
                <w:i/>
              </w:rPr>
              <w:t xml:space="preserve"> (Singapore) Pte Ltd </w:t>
            </w:r>
            <w:r>
              <w:t>[2000] SGCA 24</w:t>
            </w:r>
          </w:p>
          <w:p w:rsidR="00D30C28" w:rsidRDefault="00D30C28" w:rsidP="00D82620">
            <w:pPr>
              <w:pStyle w:val="CasesLegislationAppealFrom"/>
              <w:spacing w:after="60"/>
            </w:pPr>
            <w:r w:rsidRPr="00D61547">
              <w:rPr>
                <w:i/>
              </w:rPr>
              <w:t>Gao v Zhu</w:t>
            </w:r>
            <w:r>
              <w:t xml:space="preserve"> [2002] VSC 64</w:t>
            </w:r>
          </w:p>
          <w:p w:rsidR="00D30C28" w:rsidRDefault="001F07F8" w:rsidP="00D82620">
            <w:pPr>
              <w:pStyle w:val="CasesLegislationAppealFrom"/>
              <w:spacing w:after="60"/>
            </w:pPr>
            <w:r w:rsidRPr="00D61547">
              <w:rPr>
                <w:i/>
              </w:rPr>
              <w:t xml:space="preserve">Mackinnon v Donaldson, Lufkin and Jenrette Securities </w:t>
            </w:r>
            <w:r w:rsidRPr="00D61547">
              <w:rPr>
                <w:i/>
              </w:rPr>
              <w:lastRenderedPageBreak/>
              <w:t>Corporation</w:t>
            </w:r>
            <w:r>
              <w:t xml:space="preserve"> [1986] </w:t>
            </w:r>
            <w:proofErr w:type="spellStart"/>
            <w:r>
              <w:t>Ch</w:t>
            </w:r>
            <w:proofErr w:type="spellEnd"/>
            <w:r>
              <w:t xml:space="preserve"> 482</w:t>
            </w:r>
          </w:p>
          <w:p w:rsidR="00D30C28" w:rsidRDefault="001F07F8" w:rsidP="00D82620">
            <w:pPr>
              <w:pStyle w:val="CasesLegislationAppealFrom"/>
              <w:spacing w:after="60"/>
            </w:pPr>
            <w:r w:rsidRPr="00D61547">
              <w:rPr>
                <w:i/>
              </w:rPr>
              <w:t>Stemcor (A/</w:t>
            </w:r>
            <w:proofErr w:type="spellStart"/>
            <w:r w:rsidRPr="00D61547">
              <w:rPr>
                <w:i/>
              </w:rPr>
              <w:t>sia</w:t>
            </w:r>
            <w:proofErr w:type="spellEnd"/>
            <w:r w:rsidRPr="00D61547">
              <w:rPr>
                <w:i/>
              </w:rPr>
              <w:t xml:space="preserve">) Pty Ltd v </w:t>
            </w:r>
            <w:proofErr w:type="spellStart"/>
            <w:r w:rsidRPr="00D61547">
              <w:rPr>
                <w:i/>
              </w:rPr>
              <w:t>Oceanwave</w:t>
            </w:r>
            <w:proofErr w:type="spellEnd"/>
            <w:r w:rsidRPr="00D61547">
              <w:rPr>
                <w:i/>
              </w:rPr>
              <w:t xml:space="preserve"> Line SA</w:t>
            </w:r>
            <w:r>
              <w:t xml:space="preserve"> [2004] FCA 391</w:t>
            </w:r>
          </w:p>
          <w:p w:rsidR="00E32384" w:rsidRDefault="00E32384" w:rsidP="00D82620">
            <w:pPr>
              <w:pStyle w:val="CasesLegislationAppealFrom"/>
              <w:spacing w:after="60"/>
            </w:pPr>
            <w:r w:rsidRPr="00E32384">
              <w:rPr>
                <w:i/>
              </w:rPr>
              <w:t>Titan Enterprises (Qld) Pty Ltd v Cross</w:t>
            </w:r>
            <w:r>
              <w:t xml:space="preserve"> [2016] FCA 890</w:t>
            </w:r>
          </w:p>
          <w:p w:rsidR="00395B24" w:rsidRDefault="00FC1F0A" w:rsidP="000B6192">
            <w:pPr>
              <w:pStyle w:val="CasesLegislationAppealFrom"/>
              <w:spacing w:after="60"/>
            </w:pPr>
            <w:r w:rsidRPr="00FC1F0A">
              <w:rPr>
                <w:i/>
              </w:rPr>
              <w:t>Waller v Freehills</w:t>
            </w:r>
            <w:r>
              <w:t xml:space="preserve"> (2009) 177 FCR 507</w:t>
            </w:r>
            <w:r w:rsidR="000B6192">
              <w:t>; [2009] FCAFC 89</w:t>
            </w:r>
            <w:r w:rsidR="002C7385">
              <w:t xml:space="preserve"> </w:t>
            </w:r>
            <w:bookmarkEnd w:id="4"/>
          </w:p>
        </w:tc>
      </w:tr>
      <w:tr w:rsidR="00151609" w:rsidTr="00540BE7">
        <w:tc>
          <w:tcPr>
            <w:tcW w:w="3084" w:type="dxa"/>
            <w:shd w:val="clear" w:color="auto" w:fill="auto"/>
          </w:tcPr>
          <w:p w:rsidR="00151609" w:rsidRDefault="00151609" w:rsidP="002F7154">
            <w:pPr>
              <w:pStyle w:val="Normal1linespace"/>
              <w:widowControl w:val="0"/>
            </w:pPr>
          </w:p>
        </w:tc>
        <w:tc>
          <w:tcPr>
            <w:tcW w:w="5989" w:type="dxa"/>
            <w:shd w:val="clear" w:color="auto" w:fill="auto"/>
          </w:tcPr>
          <w:p w:rsidR="00151609" w:rsidRDefault="00151609" w:rsidP="002F7154">
            <w:pPr>
              <w:pStyle w:val="Normal1linespace"/>
              <w:widowControl w:val="0"/>
              <w:jc w:val="left"/>
            </w:pPr>
          </w:p>
        </w:tc>
      </w:tr>
      <w:tr w:rsidR="00151609" w:rsidTr="00540BE7">
        <w:tc>
          <w:tcPr>
            <w:tcW w:w="3084" w:type="dxa"/>
            <w:shd w:val="clear" w:color="auto" w:fill="auto"/>
          </w:tcPr>
          <w:p w:rsidR="00151609" w:rsidRDefault="00151609" w:rsidP="00501A12">
            <w:pPr>
              <w:pStyle w:val="Normal1linespace"/>
              <w:widowControl w:val="0"/>
            </w:pPr>
            <w:r>
              <w:t>Division:</w:t>
            </w:r>
          </w:p>
        </w:tc>
        <w:tc>
          <w:tcPr>
            <w:tcW w:w="5989" w:type="dxa"/>
            <w:shd w:val="clear" w:color="auto" w:fill="auto"/>
          </w:tcPr>
          <w:p w:rsidR="00151609" w:rsidRPr="00F17599" w:rsidRDefault="00571BDF" w:rsidP="00501A12">
            <w:pPr>
              <w:pStyle w:val="Normal1linespace"/>
              <w:widowControl w:val="0"/>
              <w:jc w:val="left"/>
            </w:pPr>
            <w:fldSimple w:instr=" DOCPROPERTY  Division ">
              <w:r w:rsidR="00151609">
                <w:t>General Division</w:t>
              </w:r>
            </w:fldSimple>
          </w:p>
        </w:tc>
      </w:tr>
      <w:tr w:rsidR="00151609" w:rsidTr="00540BE7">
        <w:tc>
          <w:tcPr>
            <w:tcW w:w="3084" w:type="dxa"/>
            <w:shd w:val="clear" w:color="auto" w:fill="auto"/>
          </w:tcPr>
          <w:p w:rsidR="00151609" w:rsidRDefault="00151609" w:rsidP="00501A12">
            <w:pPr>
              <w:pStyle w:val="Normal1linespace"/>
              <w:widowControl w:val="0"/>
            </w:pPr>
            <w:bookmarkStart w:id="5" w:name="Registry_rows" w:colFirst="0" w:colLast="1"/>
          </w:p>
        </w:tc>
        <w:tc>
          <w:tcPr>
            <w:tcW w:w="5989" w:type="dxa"/>
            <w:shd w:val="clear" w:color="auto" w:fill="auto"/>
          </w:tcPr>
          <w:p w:rsidR="00151609" w:rsidRDefault="00151609" w:rsidP="00501A12">
            <w:pPr>
              <w:pStyle w:val="Normal1linespace"/>
              <w:widowControl w:val="0"/>
              <w:jc w:val="left"/>
            </w:pPr>
          </w:p>
        </w:tc>
      </w:tr>
      <w:tr w:rsidR="00151609" w:rsidTr="00540BE7">
        <w:tc>
          <w:tcPr>
            <w:tcW w:w="3084" w:type="dxa"/>
            <w:shd w:val="clear" w:color="auto" w:fill="auto"/>
          </w:tcPr>
          <w:p w:rsidR="00151609" w:rsidRDefault="00151609" w:rsidP="00501A12">
            <w:pPr>
              <w:pStyle w:val="Normal1linespace"/>
              <w:widowControl w:val="0"/>
            </w:pPr>
            <w:r>
              <w:t>Registry:</w:t>
            </w:r>
          </w:p>
        </w:tc>
        <w:tc>
          <w:tcPr>
            <w:tcW w:w="5989" w:type="dxa"/>
            <w:shd w:val="clear" w:color="auto" w:fill="auto"/>
          </w:tcPr>
          <w:p w:rsidR="00151609" w:rsidRPr="00F17599" w:rsidRDefault="00571BDF" w:rsidP="00501A12">
            <w:pPr>
              <w:pStyle w:val="Normal1linespace"/>
              <w:widowControl w:val="0"/>
              <w:jc w:val="left"/>
            </w:pPr>
            <w:fldSimple w:instr=" DOCPROPERTY  Registry ">
              <w:r w:rsidR="00151609">
                <w:t>Victoria</w:t>
              </w:r>
            </w:fldSimple>
          </w:p>
        </w:tc>
      </w:tr>
      <w:tr w:rsidR="00151609" w:rsidTr="00540BE7">
        <w:tc>
          <w:tcPr>
            <w:tcW w:w="3084" w:type="dxa"/>
            <w:shd w:val="clear" w:color="auto" w:fill="auto"/>
          </w:tcPr>
          <w:p w:rsidR="00151609" w:rsidRDefault="00151609" w:rsidP="00501A12">
            <w:pPr>
              <w:pStyle w:val="Normal1linespace"/>
              <w:widowControl w:val="0"/>
            </w:pPr>
            <w:bookmarkStart w:id="6" w:name="NPARow" w:colFirst="0" w:colLast="1"/>
            <w:bookmarkEnd w:id="5"/>
          </w:p>
        </w:tc>
        <w:tc>
          <w:tcPr>
            <w:tcW w:w="5989" w:type="dxa"/>
            <w:shd w:val="clear" w:color="auto" w:fill="auto"/>
          </w:tcPr>
          <w:p w:rsidR="00151609" w:rsidRPr="00F17599" w:rsidRDefault="00151609" w:rsidP="00501A12">
            <w:pPr>
              <w:pStyle w:val="Normal1linespace"/>
              <w:widowControl w:val="0"/>
              <w:jc w:val="left"/>
              <w:rPr>
                <w:b/>
              </w:rPr>
            </w:pPr>
          </w:p>
        </w:tc>
      </w:tr>
      <w:tr w:rsidR="00151609" w:rsidTr="00540BE7">
        <w:tc>
          <w:tcPr>
            <w:tcW w:w="3084" w:type="dxa"/>
            <w:shd w:val="clear" w:color="auto" w:fill="auto"/>
          </w:tcPr>
          <w:p w:rsidR="00151609" w:rsidRDefault="00151609" w:rsidP="00501A12">
            <w:pPr>
              <w:pStyle w:val="Normal1linespace"/>
              <w:widowControl w:val="0"/>
            </w:pPr>
            <w:r>
              <w:t>National Practice Area:</w:t>
            </w:r>
          </w:p>
        </w:tc>
        <w:tc>
          <w:tcPr>
            <w:tcW w:w="5989" w:type="dxa"/>
            <w:shd w:val="clear" w:color="auto" w:fill="auto"/>
          </w:tcPr>
          <w:p w:rsidR="00151609" w:rsidRPr="00F17599" w:rsidRDefault="002A41A1" w:rsidP="00171DBB">
            <w:pPr>
              <w:pStyle w:val="Normal1linespace"/>
              <w:widowControl w:val="0"/>
              <w:jc w:val="left"/>
              <w:rPr>
                <w:b/>
              </w:rPr>
            </w:pPr>
            <w:r>
              <w:fldChar w:fldCharType="begin"/>
            </w:r>
            <w:r>
              <w:instrText xml:space="preserve"> DOCPROPERTY  "Practice Area"  \* MERGEFORMAT </w:instrText>
            </w:r>
            <w:r>
              <w:fldChar w:fldCharType="separate"/>
            </w:r>
            <w:r w:rsidR="00151609">
              <w:t>Commercial and Corporations</w:t>
            </w:r>
            <w:r>
              <w:fldChar w:fldCharType="end"/>
            </w:r>
          </w:p>
        </w:tc>
      </w:tr>
      <w:tr w:rsidR="00151609" w:rsidTr="00540BE7">
        <w:tc>
          <w:tcPr>
            <w:tcW w:w="3084" w:type="dxa"/>
            <w:shd w:val="clear" w:color="auto" w:fill="auto"/>
          </w:tcPr>
          <w:p w:rsidR="00151609" w:rsidRDefault="00151609" w:rsidP="00501A12">
            <w:pPr>
              <w:pStyle w:val="Normal1linespace"/>
              <w:widowControl w:val="0"/>
            </w:pPr>
            <w:bookmarkStart w:id="7" w:name="SubAreaRow" w:colFirst="0" w:colLast="1"/>
            <w:bookmarkEnd w:id="6"/>
          </w:p>
        </w:tc>
        <w:tc>
          <w:tcPr>
            <w:tcW w:w="5989" w:type="dxa"/>
            <w:shd w:val="clear" w:color="auto" w:fill="auto"/>
          </w:tcPr>
          <w:p w:rsidR="00151609" w:rsidRDefault="00151609" w:rsidP="00171DBB">
            <w:pPr>
              <w:pStyle w:val="Normal1linespace"/>
              <w:widowControl w:val="0"/>
              <w:jc w:val="left"/>
            </w:pPr>
          </w:p>
        </w:tc>
      </w:tr>
      <w:tr w:rsidR="00151609" w:rsidTr="00540BE7">
        <w:tc>
          <w:tcPr>
            <w:tcW w:w="3084" w:type="dxa"/>
            <w:shd w:val="clear" w:color="auto" w:fill="auto"/>
          </w:tcPr>
          <w:p w:rsidR="00151609" w:rsidRDefault="00151609" w:rsidP="00501A12">
            <w:pPr>
              <w:pStyle w:val="Normal1linespace"/>
              <w:widowControl w:val="0"/>
            </w:pPr>
            <w:r>
              <w:t>Sub-area:</w:t>
            </w:r>
          </w:p>
        </w:tc>
        <w:tc>
          <w:tcPr>
            <w:tcW w:w="5989" w:type="dxa"/>
            <w:shd w:val="clear" w:color="auto" w:fill="auto"/>
          </w:tcPr>
          <w:p w:rsidR="00151609" w:rsidRPr="00837288" w:rsidRDefault="002A41A1" w:rsidP="00435936">
            <w:pPr>
              <w:pStyle w:val="Normal1linespace"/>
              <w:widowControl w:val="0"/>
              <w:jc w:val="left"/>
            </w:pPr>
            <w:r>
              <w:fldChar w:fldCharType="begin"/>
            </w:r>
            <w:r>
              <w:instrText xml:space="preserve"> DOCPROPERTY  "Sub Area"  \* MERGEFORMAT </w:instrText>
            </w:r>
            <w:r>
              <w:fldChar w:fldCharType="separate"/>
            </w:r>
            <w:r w:rsidR="00151609" w:rsidRPr="00151609">
              <w:rPr>
                <w:lang w:val="en-US"/>
              </w:rPr>
              <w:t>Corporations and Corporate</w:t>
            </w:r>
            <w:r w:rsidR="00151609">
              <w:t xml:space="preserve"> Insolvency</w:t>
            </w:r>
            <w:r>
              <w:fldChar w:fldCharType="end"/>
            </w:r>
          </w:p>
        </w:tc>
      </w:tr>
      <w:bookmarkEnd w:id="7"/>
      <w:tr w:rsidR="00151609" w:rsidTr="00540BE7">
        <w:tc>
          <w:tcPr>
            <w:tcW w:w="3084" w:type="dxa"/>
            <w:shd w:val="clear" w:color="auto" w:fill="auto"/>
          </w:tcPr>
          <w:p w:rsidR="00151609" w:rsidRDefault="00151609" w:rsidP="00501A12">
            <w:pPr>
              <w:pStyle w:val="Normal1linespace"/>
              <w:widowControl w:val="0"/>
            </w:pPr>
          </w:p>
        </w:tc>
        <w:tc>
          <w:tcPr>
            <w:tcW w:w="5989" w:type="dxa"/>
            <w:shd w:val="clear" w:color="auto" w:fill="auto"/>
          </w:tcPr>
          <w:p w:rsidR="00151609" w:rsidRDefault="00151609" w:rsidP="00501A12">
            <w:pPr>
              <w:pStyle w:val="Normal1linespace"/>
              <w:widowControl w:val="0"/>
              <w:jc w:val="left"/>
            </w:pPr>
          </w:p>
        </w:tc>
      </w:tr>
      <w:tr w:rsidR="00151609" w:rsidTr="00540BE7">
        <w:tc>
          <w:tcPr>
            <w:tcW w:w="3084" w:type="dxa"/>
            <w:shd w:val="clear" w:color="auto" w:fill="auto"/>
          </w:tcPr>
          <w:p w:rsidR="00151609" w:rsidRDefault="00151609" w:rsidP="00501A12">
            <w:pPr>
              <w:pStyle w:val="Normal1linespace"/>
              <w:widowControl w:val="0"/>
            </w:pPr>
            <w:r>
              <w:t>Number of paragraphs:</w:t>
            </w:r>
          </w:p>
        </w:tc>
        <w:tc>
          <w:tcPr>
            <w:tcW w:w="5989" w:type="dxa"/>
            <w:shd w:val="clear" w:color="auto" w:fill="auto"/>
          </w:tcPr>
          <w:p w:rsidR="00151609" w:rsidRDefault="00540BE7" w:rsidP="00501A12">
            <w:pPr>
              <w:pStyle w:val="Normal1linespace"/>
              <w:widowControl w:val="0"/>
              <w:jc w:val="left"/>
            </w:pPr>
            <w:bookmarkStart w:id="8" w:name="PlaceCategoryParagraphs"/>
            <w:r>
              <w:t>17</w:t>
            </w:r>
            <w:bookmarkEnd w:id="8"/>
          </w:p>
        </w:tc>
      </w:tr>
      <w:tr w:rsidR="00151609" w:rsidTr="00540BE7">
        <w:tc>
          <w:tcPr>
            <w:tcW w:w="3084" w:type="dxa"/>
            <w:shd w:val="clear" w:color="auto" w:fill="auto"/>
          </w:tcPr>
          <w:p w:rsidR="00151609" w:rsidRDefault="00151609" w:rsidP="00151609">
            <w:pPr>
              <w:pStyle w:val="Normal1linespace"/>
              <w:widowControl w:val="0"/>
              <w:jc w:val="left"/>
            </w:pPr>
          </w:p>
        </w:tc>
        <w:tc>
          <w:tcPr>
            <w:tcW w:w="5989" w:type="dxa"/>
            <w:shd w:val="clear" w:color="auto" w:fill="auto"/>
          </w:tcPr>
          <w:p w:rsidR="00151609" w:rsidRDefault="00151609" w:rsidP="00151609">
            <w:pPr>
              <w:pStyle w:val="Normal1linespace"/>
              <w:widowControl w:val="0"/>
              <w:jc w:val="left"/>
            </w:pPr>
          </w:p>
        </w:tc>
      </w:tr>
      <w:tr w:rsidR="00151609" w:rsidTr="00540BE7">
        <w:tc>
          <w:tcPr>
            <w:tcW w:w="3084" w:type="dxa"/>
            <w:shd w:val="clear" w:color="auto" w:fill="auto"/>
          </w:tcPr>
          <w:p w:rsidR="00151609" w:rsidRDefault="00151609" w:rsidP="00151609">
            <w:pPr>
              <w:pStyle w:val="Normal1linespace"/>
              <w:widowControl w:val="0"/>
              <w:jc w:val="left"/>
            </w:pPr>
            <w:bookmarkStart w:id="9" w:name="CounselDate" w:colFirst="0" w:colLast="2"/>
            <w:r w:rsidRPr="006A24E3">
              <w:t>Date of hearing:</w:t>
            </w:r>
          </w:p>
        </w:tc>
        <w:tc>
          <w:tcPr>
            <w:tcW w:w="5989" w:type="dxa"/>
            <w:shd w:val="clear" w:color="auto" w:fill="auto"/>
          </w:tcPr>
          <w:p w:rsidR="00151609" w:rsidRDefault="00151609" w:rsidP="00151609">
            <w:pPr>
              <w:pStyle w:val="Normal1linespace"/>
              <w:widowControl w:val="0"/>
              <w:jc w:val="left"/>
            </w:pPr>
            <w:bookmarkStart w:id="10" w:name="HearingDate"/>
            <w:r>
              <w:t xml:space="preserve">1 July 2022 </w:t>
            </w:r>
            <w:bookmarkEnd w:id="10"/>
          </w:p>
        </w:tc>
      </w:tr>
      <w:tr w:rsidR="00151609" w:rsidTr="00540BE7">
        <w:tc>
          <w:tcPr>
            <w:tcW w:w="3084" w:type="dxa"/>
            <w:shd w:val="clear" w:color="auto" w:fill="auto"/>
          </w:tcPr>
          <w:p w:rsidR="00151609" w:rsidRPr="00151609" w:rsidRDefault="00151609" w:rsidP="00151609">
            <w:pPr>
              <w:pStyle w:val="Normal1linespace"/>
              <w:widowControl w:val="0"/>
              <w:jc w:val="left"/>
            </w:pPr>
            <w:bookmarkStart w:id="11" w:name="Place_rows" w:colFirst="0" w:colLast="1"/>
          </w:p>
        </w:tc>
        <w:tc>
          <w:tcPr>
            <w:tcW w:w="5989" w:type="dxa"/>
            <w:shd w:val="clear" w:color="auto" w:fill="auto"/>
          </w:tcPr>
          <w:p w:rsidR="00151609" w:rsidRPr="00151609" w:rsidRDefault="00151609" w:rsidP="00151609">
            <w:pPr>
              <w:pStyle w:val="Normal1linespace"/>
              <w:widowControl w:val="0"/>
              <w:jc w:val="left"/>
            </w:pPr>
          </w:p>
        </w:tc>
      </w:tr>
      <w:tr w:rsidR="00151609" w:rsidTr="00540BE7">
        <w:tc>
          <w:tcPr>
            <w:tcW w:w="3084" w:type="dxa"/>
            <w:shd w:val="clear" w:color="auto" w:fill="auto"/>
          </w:tcPr>
          <w:p w:rsidR="00151609" w:rsidRPr="00151609" w:rsidRDefault="00151609" w:rsidP="00151609">
            <w:pPr>
              <w:pStyle w:val="Normal1linespace"/>
              <w:widowControl w:val="0"/>
              <w:jc w:val="left"/>
            </w:pPr>
            <w:r>
              <w:t>Solicitor for the Plaintiffs:</w:t>
            </w:r>
          </w:p>
        </w:tc>
        <w:tc>
          <w:tcPr>
            <w:tcW w:w="5989" w:type="dxa"/>
            <w:shd w:val="clear" w:color="auto" w:fill="auto"/>
          </w:tcPr>
          <w:p w:rsidR="00151609" w:rsidRPr="00151609" w:rsidRDefault="00CB305C" w:rsidP="00151609">
            <w:pPr>
              <w:pStyle w:val="Normal1linespace"/>
              <w:widowControl w:val="0"/>
              <w:jc w:val="left"/>
            </w:pPr>
            <w:r>
              <w:t>Mr Kyrou of Piper Alderman</w:t>
            </w:r>
          </w:p>
        </w:tc>
      </w:tr>
    </w:tbl>
    <w:p w:rsidR="00B17D6E" w:rsidRDefault="00B17D6E">
      <w:pPr>
        <w:pStyle w:val="Normal1linespace"/>
      </w:pPr>
      <w:bookmarkStart w:id="12" w:name="CompletionTable"/>
      <w:bookmarkEnd w:id="9"/>
      <w:bookmarkEnd w:id="11"/>
    </w:p>
    <w:bookmarkEnd w:id="12"/>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DA2803">
        <w:tc>
          <w:tcPr>
            <w:tcW w:w="6912" w:type="dxa"/>
            <w:gridSpan w:val="2"/>
          </w:tcPr>
          <w:p w:rsidR="00A46CCC" w:rsidRPr="001765E0" w:rsidRDefault="00A46CCC" w:rsidP="00525A49">
            <w:pPr>
              <w:pStyle w:val="NormalHeadings"/>
            </w:pPr>
          </w:p>
        </w:tc>
        <w:tc>
          <w:tcPr>
            <w:tcW w:w="2330" w:type="dxa"/>
          </w:tcPr>
          <w:p w:rsidR="00A46CCC" w:rsidRDefault="00151609" w:rsidP="00F92355">
            <w:pPr>
              <w:pStyle w:val="NormalHeadings"/>
              <w:jc w:val="right"/>
            </w:pPr>
            <w:bookmarkStart w:id="13" w:name="FileNo"/>
            <w:r>
              <w:t>VID 197 of 2022</w:t>
            </w:r>
            <w:bookmarkEnd w:id="13"/>
          </w:p>
        </w:tc>
      </w:tr>
      <w:tr w:rsidR="00A76C13" w:rsidTr="00DA2803">
        <w:tc>
          <w:tcPr>
            <w:tcW w:w="9242" w:type="dxa"/>
            <w:gridSpan w:val="3"/>
          </w:tcPr>
          <w:p w:rsidR="00A76C13" w:rsidRPr="00A76C13" w:rsidRDefault="00832237" w:rsidP="00151609">
            <w:pPr>
              <w:pStyle w:val="NormalHeadings"/>
              <w:spacing w:before="240" w:after="240"/>
              <w:jc w:val="left"/>
            </w:pPr>
            <w:r>
              <w:t>IN THE MATTER OF SIRA PTY LTD (IN LIQUIDATION) (ACN 163 988 690)</w:t>
            </w:r>
          </w:p>
        </w:tc>
      </w:tr>
      <w:tr w:rsidR="00A46CCC" w:rsidTr="00DA2803">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151609" w:rsidRDefault="00151609" w:rsidP="00151609">
            <w:pPr>
              <w:pStyle w:val="NormalHeadings"/>
              <w:jc w:val="left"/>
            </w:pPr>
            <w:bookmarkStart w:id="15" w:name="Applicant"/>
            <w:r>
              <w:t>GEORGE GEORGES AND JOHN ROSS LINDHOLM IN THEIR CAPACITY AS JOINT AND SEVERAL LIQUIDATORS OF SIRA PTY LTD (IN LIQUIDATION) (ACN 163 988 690)</w:t>
            </w:r>
          </w:p>
          <w:p w:rsidR="00151609" w:rsidRDefault="00151609" w:rsidP="00151609">
            <w:pPr>
              <w:pStyle w:val="PartyType"/>
            </w:pPr>
            <w:r>
              <w:t>Plaintiffs</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4"/>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151609">
            <w:pPr>
              <w:pStyle w:val="NormalHeadings"/>
              <w:jc w:val="left"/>
              <w:rPr>
                <w:caps/>
                <w:szCs w:val="24"/>
              </w:rPr>
            </w:pPr>
            <w:bookmarkStart w:id="18" w:name="Judge"/>
            <w:r>
              <w:rPr>
                <w:caps/>
                <w:szCs w:val="24"/>
              </w:rPr>
              <w:t>MCEVOY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51609">
            <w:pPr>
              <w:pStyle w:val="NormalHeadings"/>
              <w:jc w:val="left"/>
              <w:rPr>
                <w:caps/>
                <w:szCs w:val="24"/>
              </w:rPr>
            </w:pPr>
            <w:bookmarkStart w:id="19" w:name="Judgment_Dated"/>
            <w:r>
              <w:rPr>
                <w:caps/>
                <w:szCs w:val="24"/>
              </w:rPr>
              <w:t>1 JULY 2022</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DA2803" w:rsidP="00DA2803">
      <w:pPr>
        <w:pStyle w:val="Order1"/>
      </w:pPr>
      <w:r w:rsidRPr="001F07F8">
        <w:t xml:space="preserve">Pursuant to rule 10.44 of the </w:t>
      </w:r>
      <w:r w:rsidRPr="001F07F8">
        <w:rPr>
          <w:i/>
        </w:rPr>
        <w:t>Federal Court Rules 2011</w:t>
      </w:r>
      <w:r w:rsidRPr="001F07F8">
        <w:t>(</w:t>
      </w:r>
      <w:proofErr w:type="spellStart"/>
      <w:r w:rsidRPr="001F07F8">
        <w:t>Cth</w:t>
      </w:r>
      <w:proofErr w:type="spellEnd"/>
      <w:r w:rsidRPr="001F07F8">
        <w:t>)</w:t>
      </w:r>
      <w:r w:rsidR="00CD585D">
        <w:t>,</w:t>
      </w:r>
      <w:r w:rsidR="004D2AFA">
        <w:t xml:space="preserve"> leave is granted to the p</w:t>
      </w:r>
      <w:r w:rsidRPr="001F07F8">
        <w:t>laintiffs to serve the orders made on 30 May 2022 in this proceeding on Nutrition Science Design Pte Ltd (UEN 201703213M), a company registered in Singapore, in accordance with the laws of Singapore.</w:t>
      </w:r>
      <w:r>
        <w:t xml:space="preserve"> </w:t>
      </w:r>
    </w:p>
    <w:p w:rsidR="00A431E6" w:rsidRDefault="00A431E6" w:rsidP="001A6C52">
      <w:pPr>
        <w:pStyle w:val="BodyText"/>
      </w:pPr>
    </w:p>
    <w:p w:rsidR="0050309C" w:rsidRDefault="00151609"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DA2803" w:rsidRPr="00045BB7" w:rsidRDefault="00DA2803" w:rsidP="00045BB7">
      <w:pPr>
        <w:pStyle w:val="NormalHeadings"/>
        <w:spacing w:line="480" w:lineRule="auto"/>
        <w:jc w:val="center"/>
        <w:rPr>
          <w:sz w:val="28"/>
          <w:szCs w:val="28"/>
        </w:rPr>
      </w:pPr>
      <w:r w:rsidRPr="007544A0">
        <w:rPr>
          <w:sz w:val="28"/>
          <w:szCs w:val="28"/>
        </w:rPr>
        <w:t>EX TEMPORE</w:t>
      </w:r>
    </w:p>
    <w:p w:rsidR="00694BEB" w:rsidRDefault="00151609" w:rsidP="005E0510">
      <w:pPr>
        <w:pStyle w:val="NormalHeadings"/>
        <w:spacing w:line="360" w:lineRule="auto"/>
        <w:jc w:val="left"/>
        <w:rPr>
          <w:sz w:val="26"/>
          <w:szCs w:val="26"/>
        </w:rPr>
      </w:pPr>
      <w:r>
        <w:rPr>
          <w:sz w:val="26"/>
          <w:szCs w:val="26"/>
        </w:rPr>
        <w:t xml:space="preserve">MCEVOY J: </w:t>
      </w:r>
    </w:p>
    <w:p w:rsidR="00CD1346" w:rsidRDefault="00151609" w:rsidP="00151609">
      <w:pPr>
        <w:pStyle w:val="ParaNumbering"/>
      </w:pPr>
      <w:r w:rsidRPr="00151609">
        <w:t xml:space="preserve">On 30 May 2022 the plaintiffs, who are the liquidators of SIRA Pty Ltd (In Liquidation) (“SIRA”) obtained orders under </w:t>
      </w:r>
      <w:proofErr w:type="spellStart"/>
      <w:r w:rsidRPr="00151609">
        <w:t>ss</w:t>
      </w:r>
      <w:proofErr w:type="spellEnd"/>
      <w:r w:rsidRPr="00151609">
        <w:t xml:space="preserve"> 596A, 596B and 597(9) of the</w:t>
      </w:r>
      <w:r w:rsidRPr="00151609">
        <w:rPr>
          <w:i/>
        </w:rPr>
        <w:t xml:space="preserve"> Corporations Act 2001</w:t>
      </w:r>
      <w:r w:rsidRPr="00151609">
        <w:t xml:space="preserve"> (</w:t>
      </w:r>
      <w:proofErr w:type="spellStart"/>
      <w:r w:rsidRPr="00151609">
        <w:t>Cth</w:t>
      </w:r>
      <w:proofErr w:type="spellEnd"/>
      <w:r w:rsidRPr="00151609">
        <w:t xml:space="preserve">) </w:t>
      </w:r>
      <w:r w:rsidRPr="00903363">
        <w:t>(“the Act”) for th</w:t>
      </w:r>
      <w:r w:rsidRPr="00151609">
        <w:t>e issuing of summonses for examination against certain individuals and corporations. The orders, amongst other things, require that the plaintiffs serve on each examinee a sealed copy of the orders together with the relevant summons requiring attendance for examination about the examinable affairs of SIRA and other associated entities. The summonses also require the individuals and entities to produce documents in their possession, custody or control in relation to SIRA and other associated entities.</w:t>
      </w:r>
    </w:p>
    <w:p w:rsidR="00903363" w:rsidRDefault="00903363" w:rsidP="00151609">
      <w:pPr>
        <w:pStyle w:val="ParaNumbering"/>
      </w:pPr>
      <w:r>
        <w:t>For present purposes it is unnecessary to descend into the circumstances of the liquidation of SIRA</w:t>
      </w:r>
      <w:r w:rsidR="009579EF">
        <w:t>,</w:t>
      </w:r>
      <w:r>
        <w:t xml:space="preserve"> and the nature of the enquiries being made by the liquidators. These matters are, however, the subject of detailed evidence in the affidavit of one of the liquidators, Mr John </w:t>
      </w:r>
      <w:proofErr w:type="spellStart"/>
      <w:r>
        <w:t>Lindholm</w:t>
      </w:r>
      <w:proofErr w:type="spellEnd"/>
      <w:r w:rsidR="000115D7">
        <w:t>,</w:t>
      </w:r>
      <w:r>
        <w:t xml:space="preserve"> sworn 13 April 2022 in support of the application for orders under </w:t>
      </w:r>
      <w:proofErr w:type="spellStart"/>
      <w:r>
        <w:t>ss</w:t>
      </w:r>
      <w:proofErr w:type="spellEnd"/>
      <w:r>
        <w:t xml:space="preserve"> 596A, 596B and 597(9) of the Act. </w:t>
      </w:r>
    </w:p>
    <w:p w:rsidR="00151609" w:rsidRDefault="00151609" w:rsidP="00151609">
      <w:pPr>
        <w:pStyle w:val="ParaNumbering"/>
      </w:pPr>
      <w:r>
        <w:t>One of the companies</w:t>
      </w:r>
      <w:r w:rsidR="00903363">
        <w:t xml:space="preserve"> the subject of the orders of 30 May 2022</w:t>
      </w:r>
      <w:r>
        <w:t>,</w:t>
      </w:r>
      <w:r w:rsidRPr="00F74ED9">
        <w:t xml:space="preserve"> </w:t>
      </w:r>
      <w:r>
        <w:t>N</w:t>
      </w:r>
      <w:r w:rsidRPr="000B6338">
        <w:t>utr</w:t>
      </w:r>
      <w:r>
        <w:t>ition</w:t>
      </w:r>
      <w:r w:rsidR="00903363">
        <w:t xml:space="preserve"> Science Design Pte Ltd (“NSD”), </w:t>
      </w:r>
      <w:r>
        <w:t xml:space="preserve">is a Singaporean entity. The plaintiffs now seek leave pursuant to r 10.44 of the </w:t>
      </w:r>
      <w:r w:rsidRPr="00B03FD9">
        <w:rPr>
          <w:i/>
        </w:rPr>
        <w:t xml:space="preserve">Federal Court Rules 2011 </w:t>
      </w:r>
      <w:r w:rsidRPr="000B6338">
        <w:t>(</w:t>
      </w:r>
      <w:r w:rsidR="00195286">
        <w:t>“the Rules”) to serve the orders made on</w:t>
      </w:r>
      <w:r w:rsidRPr="000B6338">
        <w:t xml:space="preserve"> 30 May 2022 on </w:t>
      </w:r>
      <w:r>
        <w:t>NSD in Singapo</w:t>
      </w:r>
      <w:r w:rsidRPr="00822C12">
        <w:t>re</w:t>
      </w:r>
      <w:r w:rsidR="00195286">
        <w:t>, in accordance with the laws of Singapore</w:t>
      </w:r>
      <w:r w:rsidRPr="00822C12">
        <w:t>.</w:t>
      </w:r>
      <w:r>
        <w:t xml:space="preserve"> The plaintiffs rely on the affidavit of </w:t>
      </w:r>
      <w:r w:rsidR="00776623">
        <w:t>Ms </w:t>
      </w:r>
      <w:r>
        <w:t xml:space="preserve">Joanne Hardwick sworn 3 May </w:t>
      </w:r>
      <w:r w:rsidR="00DA2803">
        <w:t>2022 (“the Hardwick affidavit”)</w:t>
      </w:r>
      <w:r w:rsidR="00195286">
        <w:t>,</w:t>
      </w:r>
      <w:r w:rsidR="00DA2803">
        <w:t xml:space="preserve"> and written submissions filed </w:t>
      </w:r>
      <w:r w:rsidR="00776623">
        <w:t>3</w:t>
      </w:r>
      <w:r w:rsidR="00DA2803">
        <w:t>0 June 2022 with accompanying documents.</w:t>
      </w:r>
    </w:p>
    <w:p w:rsidR="00151609" w:rsidRDefault="00151609" w:rsidP="00151609">
      <w:pPr>
        <w:pStyle w:val="ParaNumbering"/>
      </w:pPr>
      <w:r>
        <w:t xml:space="preserve">Division 10.4 of the Rules governs service outside Australia. Rule 10.44 addresses service of documents </w:t>
      </w:r>
      <w:r w:rsidR="00903363">
        <w:t xml:space="preserve">other than an originating application </w:t>
      </w:r>
      <w:r>
        <w:t>filed in or issued by the Court</w:t>
      </w:r>
      <w:r w:rsidR="00903363">
        <w:t xml:space="preserve"> </w:t>
      </w:r>
      <w:r w:rsidR="00195286">
        <w:t xml:space="preserve">on a person in a foreign country, </w:t>
      </w:r>
      <w:r>
        <w:t xml:space="preserve">relevantly by grant of leave: r 10.44(1). Pursuant to r 10.44(2), an application under </w:t>
      </w:r>
      <w:proofErr w:type="spellStart"/>
      <w:r>
        <w:t>subrule</w:t>
      </w:r>
      <w:proofErr w:type="spellEnd"/>
      <w:r>
        <w:t xml:space="preserve"> (1) must be accompanied by an affidavit that includes the information mentioned in r 10.43(3)(a) to (c).</w:t>
      </w:r>
    </w:p>
    <w:p w:rsidR="00151609" w:rsidRPr="00822C12" w:rsidRDefault="00151609" w:rsidP="00195286">
      <w:pPr>
        <w:pStyle w:val="ParaNumbering"/>
      </w:pPr>
      <w:r>
        <w:t>R</w:t>
      </w:r>
      <w:r w:rsidRPr="00EC2433">
        <w:t xml:space="preserve">ule 10.43 </w:t>
      </w:r>
      <w:r w:rsidR="00195286">
        <w:t>is concerned with</w:t>
      </w:r>
      <w:r w:rsidRPr="00EC2433">
        <w:t xml:space="preserve"> service of originating process </w:t>
      </w:r>
      <w:r w:rsidR="00195286">
        <w:t>on a person in a foreign country</w:t>
      </w:r>
      <w:r w:rsidR="00903363">
        <w:t xml:space="preserve"> </w:t>
      </w:r>
      <w:r w:rsidRPr="00EC2433">
        <w:t>by grant of leave: r 10.43(2).</w:t>
      </w:r>
      <w:r>
        <w:t xml:space="preserve"> </w:t>
      </w:r>
      <w:r w:rsidR="00195286">
        <w:t xml:space="preserve">Pursuant to r 10.43(3)(a) to (c), an application under </w:t>
      </w:r>
      <w:proofErr w:type="spellStart"/>
      <w:r w:rsidR="00195286">
        <w:t>subrule</w:t>
      </w:r>
      <w:proofErr w:type="spellEnd"/>
      <w:r w:rsidR="00903363">
        <w:t xml:space="preserve"> </w:t>
      </w:r>
      <w:r w:rsidR="00195286">
        <w:t>(2) must be accompanied by an affidavit stating</w:t>
      </w:r>
      <w:r>
        <w:t xml:space="preserve"> the name of the foreign country</w:t>
      </w:r>
      <w:r w:rsidR="00195286">
        <w:t xml:space="preserve"> where the person is, or </w:t>
      </w:r>
      <w:r w:rsidR="00195286">
        <w:lastRenderedPageBreak/>
        <w:t>is likely to be, the proposed method of servi</w:t>
      </w:r>
      <w:r w:rsidR="00195286" w:rsidRPr="001F07F8">
        <w:t>ce,</w:t>
      </w:r>
      <w:r w:rsidRPr="001F07F8">
        <w:t xml:space="preserve"> and that the proposed method of service </w:t>
      </w:r>
      <w:r w:rsidR="00195286" w:rsidRPr="001F07F8">
        <w:t>is permitted by</w:t>
      </w:r>
      <w:r w:rsidRPr="001F07F8">
        <w:t xml:space="preserve"> </w:t>
      </w:r>
      <w:r w:rsidR="00903363">
        <w:t xml:space="preserve">a </w:t>
      </w:r>
      <w:r w:rsidRPr="001F07F8">
        <w:t>relevantly applicable convention, the</w:t>
      </w:r>
      <w:r w:rsidR="001F07F8">
        <w:t xml:space="preserve"> Convention on the</w:t>
      </w:r>
      <w:r w:rsidRPr="001F07F8">
        <w:t xml:space="preserve"> </w:t>
      </w:r>
      <w:r w:rsidR="00195286" w:rsidRPr="001F07F8">
        <w:t xml:space="preserve">Service Abroad of Judicial </w:t>
      </w:r>
      <w:r w:rsidR="000115D7">
        <w:t>and Extrajudicial Documents in</w:t>
      </w:r>
      <w:r w:rsidR="00195286" w:rsidRPr="001F07F8">
        <w:t xml:space="preserve"> Civil or Commercial Matters</w:t>
      </w:r>
      <w:r w:rsidR="001F07F8">
        <w:t xml:space="preserve"> done at the Hague on 15 November 1965</w:t>
      </w:r>
      <w:r w:rsidR="00195286" w:rsidRPr="001F07F8">
        <w:t xml:space="preserve"> (“the </w:t>
      </w:r>
      <w:r w:rsidRPr="001F07F8">
        <w:t>Hague Convention</w:t>
      </w:r>
      <w:r w:rsidR="00195286" w:rsidRPr="001F07F8">
        <w:t>”)</w:t>
      </w:r>
      <w:r w:rsidRPr="001F07F8">
        <w:t>, or the law of the</w:t>
      </w:r>
      <w:r>
        <w:t xml:space="preserve"> foreign country. </w:t>
      </w:r>
    </w:p>
    <w:p w:rsidR="00151609" w:rsidRDefault="00151609" w:rsidP="00151609">
      <w:pPr>
        <w:pStyle w:val="ParaNumbering"/>
      </w:pPr>
      <w:r>
        <w:t>The Hardwick affidavit deposes that:</w:t>
      </w:r>
    </w:p>
    <w:p w:rsidR="00151609" w:rsidRDefault="00151609" w:rsidP="00540BE7">
      <w:pPr>
        <w:pStyle w:val="ListNo1alt"/>
      </w:pPr>
      <w:r>
        <w:t>the foreign country where NSD is to be served is the Republic of Singapore;</w:t>
      </w:r>
    </w:p>
    <w:p w:rsidR="00151609" w:rsidRDefault="00151609" w:rsidP="00540BE7">
      <w:pPr>
        <w:pStyle w:val="ListNo1alt"/>
      </w:pPr>
      <w:r>
        <w:t>the proposed method of service on NSD is by private agent; and</w:t>
      </w:r>
    </w:p>
    <w:p w:rsidR="00195286" w:rsidRDefault="00151609" w:rsidP="00540BE7">
      <w:pPr>
        <w:pStyle w:val="ListNo1alt"/>
      </w:pPr>
      <w:r>
        <w:t>the proposed method of service is perm</w:t>
      </w:r>
      <w:r w:rsidR="00195286">
        <w:t>itted by the laws of Singapore.</w:t>
      </w:r>
    </w:p>
    <w:p w:rsidR="00151609" w:rsidRPr="001F07F8" w:rsidRDefault="00151609" w:rsidP="00195286">
      <w:pPr>
        <w:pStyle w:val="ParaNumbering"/>
      </w:pPr>
      <w:r>
        <w:t>Ms Hardwick deposes</w:t>
      </w:r>
      <w:r w:rsidR="00195286">
        <w:t xml:space="preserve"> also</w:t>
      </w:r>
      <w:r>
        <w:t xml:space="preserve"> that Singapore is not a contracting party to the Hague Convention</w:t>
      </w:r>
      <w:r w:rsidR="00195286">
        <w:t xml:space="preserve">, </w:t>
      </w:r>
      <w:r>
        <w:t xml:space="preserve">and that Singapore permits service of a foreign process </w:t>
      </w:r>
      <w:r w:rsidR="00195286">
        <w:t>by means of</w:t>
      </w:r>
      <w:r w:rsidR="004D2AFA">
        <w:t xml:space="preserve"> a private agent pursuant to O 64, r </w:t>
      </w:r>
      <w:r>
        <w:t xml:space="preserve">3 and </w:t>
      </w:r>
      <w:r w:rsidR="004D2AFA">
        <w:t>O</w:t>
      </w:r>
      <w:r w:rsidRPr="001F07F8">
        <w:t xml:space="preserve"> 7 of the </w:t>
      </w:r>
      <w:r w:rsidRPr="001F07F8">
        <w:rPr>
          <w:i/>
        </w:rPr>
        <w:t>Rules of Court</w:t>
      </w:r>
      <w:r w:rsidR="001F07F8" w:rsidRPr="001F07F8">
        <w:rPr>
          <w:i/>
        </w:rPr>
        <w:t xml:space="preserve"> 2021</w:t>
      </w:r>
      <w:r w:rsidRPr="001F07F8">
        <w:rPr>
          <w:i/>
        </w:rPr>
        <w:t xml:space="preserve"> </w:t>
      </w:r>
      <w:r w:rsidR="001F07F8">
        <w:t>(Singapore) (“the Singapore Rules”).</w:t>
      </w:r>
    </w:p>
    <w:p w:rsidR="00151609" w:rsidRDefault="00195286" w:rsidP="00151609">
      <w:pPr>
        <w:pStyle w:val="ParaNumbering"/>
      </w:pPr>
      <w:r>
        <w:t>I am satisfied that the Hardwick</w:t>
      </w:r>
      <w:r w:rsidR="00151609">
        <w:t xml:space="preserve"> affidavit </w:t>
      </w:r>
      <w:r>
        <w:t xml:space="preserve">includes the information mentioned in </w:t>
      </w:r>
      <w:r w:rsidR="00340FE5">
        <w:t>r</w:t>
      </w:r>
      <w:r w:rsidR="00151609">
        <w:t xml:space="preserve"> 10.43(</w:t>
      </w:r>
      <w:r w:rsidR="00340FE5">
        <w:t xml:space="preserve">3)(a) to </w:t>
      </w:r>
      <w:r>
        <w:t>(c), and that the law of Singapore does permit service of a foreign process by means of a private agent, Singapore not being a party to the Hague Convention.</w:t>
      </w:r>
      <w:r w:rsidR="000115D7">
        <w:t xml:space="preserve"> </w:t>
      </w:r>
      <w:r w:rsidR="009579EF">
        <w:t xml:space="preserve">I note, in this respect, </w:t>
      </w:r>
      <w:r w:rsidR="000115D7" w:rsidRPr="000115D7">
        <w:rPr>
          <w:i/>
        </w:rPr>
        <w:t xml:space="preserve">Fortune Hong Kong Trading Ltd v </w:t>
      </w:r>
      <w:proofErr w:type="spellStart"/>
      <w:r w:rsidR="000115D7" w:rsidRPr="000115D7">
        <w:rPr>
          <w:i/>
        </w:rPr>
        <w:t>Co</w:t>
      </w:r>
      <w:r w:rsidR="000115D7">
        <w:rPr>
          <w:i/>
        </w:rPr>
        <w:t>s</w:t>
      </w:r>
      <w:r w:rsidR="000115D7" w:rsidRPr="000115D7">
        <w:rPr>
          <w:i/>
        </w:rPr>
        <w:t>co</w:t>
      </w:r>
      <w:proofErr w:type="spellEnd"/>
      <w:r w:rsidR="000115D7" w:rsidRPr="000115D7">
        <w:rPr>
          <w:i/>
        </w:rPr>
        <w:t xml:space="preserve"> </w:t>
      </w:r>
      <w:proofErr w:type="spellStart"/>
      <w:r w:rsidR="000115D7" w:rsidRPr="000115D7">
        <w:rPr>
          <w:i/>
        </w:rPr>
        <w:t>Feoso</w:t>
      </w:r>
      <w:proofErr w:type="spellEnd"/>
      <w:r w:rsidR="000115D7" w:rsidRPr="000115D7">
        <w:rPr>
          <w:i/>
        </w:rPr>
        <w:t xml:space="preserve"> (Singapore) Pte Ltd </w:t>
      </w:r>
      <w:r w:rsidR="000115D7">
        <w:t>[2000] SGCA 24 at [15], [31], [35].</w:t>
      </w:r>
      <w:r w:rsidR="00903363">
        <w:t xml:space="preserve"> The matters necessary for the grant of leave pursuant to r 10.44 </w:t>
      </w:r>
      <w:r w:rsidR="009579EF">
        <w:t xml:space="preserve">are </w:t>
      </w:r>
      <w:r w:rsidR="00903363">
        <w:t xml:space="preserve">established. </w:t>
      </w:r>
    </w:p>
    <w:p w:rsidR="00151609" w:rsidRDefault="00903363" w:rsidP="00903363">
      <w:pPr>
        <w:pStyle w:val="ParaNumbering"/>
      </w:pPr>
      <w:r>
        <w:t>It should be observed</w:t>
      </w:r>
      <w:r w:rsidR="007544A0">
        <w:t>,</w:t>
      </w:r>
      <w:r>
        <w:t xml:space="preserve"> however</w:t>
      </w:r>
      <w:r w:rsidR="007544A0">
        <w:t>,</w:t>
      </w:r>
      <w:r>
        <w:t xml:space="preserve"> that </w:t>
      </w:r>
      <w:r w:rsidR="00D61547">
        <w:t>there has</w:t>
      </w:r>
      <w:r>
        <w:t xml:space="preserve"> traditionally been</w:t>
      </w:r>
      <w:r w:rsidR="00D61547">
        <w:t xml:space="preserve"> some reluctance to grant leave to issue or serve a subpoena</w:t>
      </w:r>
      <w:r>
        <w:t xml:space="preserve"> or like process</w:t>
      </w:r>
      <w:r w:rsidR="00D61547">
        <w:t xml:space="preserve"> in another country on the basis that an order requiring a foreign national to do something in Australia on pain of punishment, in proceedings to which that foreign national has not submitted, is an infringement of the sovereignty of that other country which should not readily be allowed: </w:t>
      </w:r>
      <w:r w:rsidR="00E32384" w:rsidRPr="00E32384">
        <w:rPr>
          <w:i/>
        </w:rPr>
        <w:t xml:space="preserve">Ceramic Fuel Cells Ltd (in </w:t>
      </w:r>
      <w:proofErr w:type="spellStart"/>
      <w:r w:rsidR="00E32384" w:rsidRPr="00E32384">
        <w:rPr>
          <w:i/>
        </w:rPr>
        <w:t>Liq</w:t>
      </w:r>
      <w:proofErr w:type="spellEnd"/>
      <w:r w:rsidR="007543CB">
        <w:rPr>
          <w:i/>
        </w:rPr>
        <w:t>) v McGraw-</w:t>
      </w:r>
      <w:r w:rsidR="009579EF" w:rsidRPr="00E32384">
        <w:rPr>
          <w:i/>
        </w:rPr>
        <w:t xml:space="preserve">Hill Financial </w:t>
      </w:r>
      <w:proofErr w:type="spellStart"/>
      <w:r w:rsidR="009579EF" w:rsidRPr="00E32384">
        <w:rPr>
          <w:i/>
        </w:rPr>
        <w:t>Inc</w:t>
      </w:r>
      <w:proofErr w:type="spellEnd"/>
      <w:r w:rsidR="009579EF">
        <w:t xml:space="preserve"> (2016)</w:t>
      </w:r>
      <w:r w:rsidR="00E32384">
        <w:t xml:space="preserve"> 112 ACSR 102 (Wigney J); </w:t>
      </w:r>
      <w:r w:rsidR="00E32384" w:rsidRPr="00E32384">
        <w:rPr>
          <w:i/>
        </w:rPr>
        <w:t>Titan Enterprises (Qld) Pty Ltd v Cross</w:t>
      </w:r>
      <w:r w:rsidR="00E32384">
        <w:t xml:space="preserve"> [2016] FCA 890 (Edelman J);</w:t>
      </w:r>
      <w:r w:rsidR="009579EF">
        <w:t xml:space="preserve"> </w:t>
      </w:r>
      <w:r w:rsidR="00D61547" w:rsidRPr="00EE5902">
        <w:rPr>
          <w:i/>
        </w:rPr>
        <w:t xml:space="preserve">Clifton </w:t>
      </w:r>
      <w:r w:rsidR="00EE5902" w:rsidRPr="00EE5902">
        <w:rPr>
          <w:i/>
        </w:rPr>
        <w:t xml:space="preserve">(Liquidator), in the matter of Solar Shop Australia Pty Ltd (in </w:t>
      </w:r>
      <w:proofErr w:type="spellStart"/>
      <w:r w:rsidR="00EE5902" w:rsidRPr="00EE5902">
        <w:rPr>
          <w:i/>
        </w:rPr>
        <w:t>Liq</w:t>
      </w:r>
      <w:proofErr w:type="spellEnd"/>
      <w:r w:rsidR="00EE5902" w:rsidRPr="00EE5902">
        <w:rPr>
          <w:i/>
        </w:rPr>
        <w:t>)</w:t>
      </w:r>
      <w:r w:rsidR="00D61547" w:rsidRPr="00EE5902">
        <w:rPr>
          <w:i/>
        </w:rPr>
        <w:t xml:space="preserve"> </w:t>
      </w:r>
      <w:r w:rsidR="00D61547" w:rsidRPr="00EE5902">
        <w:t>[2014] FCA</w:t>
      </w:r>
      <w:r w:rsidR="00D61547">
        <w:t xml:space="preserve"> 891 (White J)</w:t>
      </w:r>
      <w:r w:rsidR="00D61547" w:rsidRPr="00D61547">
        <w:t xml:space="preserve"> </w:t>
      </w:r>
      <w:r w:rsidR="00D61547">
        <w:t>(“</w:t>
      </w:r>
      <w:r w:rsidR="00D61547" w:rsidRPr="00D61547">
        <w:rPr>
          <w:i/>
        </w:rPr>
        <w:t>Clifton</w:t>
      </w:r>
      <w:r w:rsidR="00D61547">
        <w:t>”)</w:t>
      </w:r>
      <w:r w:rsidR="00EE5902">
        <w:t xml:space="preserve">; </w:t>
      </w:r>
      <w:r w:rsidR="00D61547" w:rsidRPr="00D61547">
        <w:rPr>
          <w:i/>
        </w:rPr>
        <w:t>Stemcor (A/</w:t>
      </w:r>
      <w:proofErr w:type="spellStart"/>
      <w:r w:rsidR="00D61547" w:rsidRPr="00D61547">
        <w:rPr>
          <w:i/>
        </w:rPr>
        <w:t>sia</w:t>
      </w:r>
      <w:proofErr w:type="spellEnd"/>
      <w:r w:rsidR="00D61547" w:rsidRPr="00D61547">
        <w:rPr>
          <w:i/>
        </w:rPr>
        <w:t xml:space="preserve">) Pty Ltd v </w:t>
      </w:r>
      <w:proofErr w:type="spellStart"/>
      <w:r w:rsidR="00D61547" w:rsidRPr="00D61547">
        <w:rPr>
          <w:i/>
        </w:rPr>
        <w:t>Oceanwave</w:t>
      </w:r>
      <w:proofErr w:type="spellEnd"/>
      <w:r w:rsidR="00D61547" w:rsidRPr="00D61547">
        <w:rPr>
          <w:i/>
        </w:rPr>
        <w:t xml:space="preserve"> Line SA</w:t>
      </w:r>
      <w:r w:rsidR="00EE5902">
        <w:t xml:space="preserve"> [2004] FCA 391</w:t>
      </w:r>
      <w:r>
        <w:t xml:space="preserve"> (Allsop J)</w:t>
      </w:r>
      <w:r w:rsidR="00D61547">
        <w:t xml:space="preserve">; </w:t>
      </w:r>
      <w:r w:rsidR="00D61547" w:rsidRPr="00D61547">
        <w:rPr>
          <w:i/>
        </w:rPr>
        <w:t>Gao v Zhu</w:t>
      </w:r>
      <w:r w:rsidR="00D61547">
        <w:t xml:space="preserve"> [2002] VSC 64</w:t>
      </w:r>
      <w:r>
        <w:t xml:space="preserve"> (</w:t>
      </w:r>
      <w:proofErr w:type="spellStart"/>
      <w:r w:rsidRPr="00903363">
        <w:t>Habersberger</w:t>
      </w:r>
      <w:proofErr w:type="spellEnd"/>
      <w:r w:rsidRPr="00903363">
        <w:t xml:space="preserve"> J</w:t>
      </w:r>
      <w:r>
        <w:t>)</w:t>
      </w:r>
      <w:r w:rsidR="00D61547">
        <w:t xml:space="preserve">; </w:t>
      </w:r>
      <w:r w:rsidR="00D61547" w:rsidRPr="00D61547">
        <w:rPr>
          <w:i/>
        </w:rPr>
        <w:t>Mackinnon v Donaldson, Lufkin and Jenrette Securities Corporation</w:t>
      </w:r>
      <w:r w:rsidR="00D61547">
        <w:t xml:space="preserve"> [1986] </w:t>
      </w:r>
      <w:proofErr w:type="spellStart"/>
      <w:r w:rsidR="00D61547">
        <w:t>Ch</w:t>
      </w:r>
      <w:proofErr w:type="spellEnd"/>
      <w:r w:rsidR="00D61547">
        <w:t xml:space="preserve"> </w:t>
      </w:r>
      <w:r w:rsidR="00D61547" w:rsidRPr="00903363">
        <w:t>482</w:t>
      </w:r>
      <w:r w:rsidRPr="00903363">
        <w:t xml:space="preserve"> (Hoffmann J)</w:t>
      </w:r>
      <w:r w:rsidR="00D61547" w:rsidRPr="00903363">
        <w:t xml:space="preserve">; </w:t>
      </w:r>
      <w:proofErr w:type="spellStart"/>
      <w:r w:rsidR="00D61547" w:rsidRPr="00903363">
        <w:rPr>
          <w:i/>
        </w:rPr>
        <w:t>Arh</w:t>
      </w:r>
      <w:r w:rsidR="00D61547" w:rsidRPr="00EE5902">
        <w:rPr>
          <w:i/>
        </w:rPr>
        <w:t>ill</w:t>
      </w:r>
      <w:proofErr w:type="spellEnd"/>
      <w:r w:rsidR="00D61547" w:rsidRPr="00EE5902">
        <w:rPr>
          <w:i/>
        </w:rPr>
        <w:t xml:space="preserve"> Pty Ltd and Others v General Terminal Company P</w:t>
      </w:r>
      <w:r w:rsidR="00D61547" w:rsidRPr="001F07F8">
        <w:rPr>
          <w:i/>
        </w:rPr>
        <w:t xml:space="preserve">ty Ltd </w:t>
      </w:r>
      <w:r w:rsidR="001F07F8" w:rsidRPr="001F07F8">
        <w:t>(1990) 23 NSW</w:t>
      </w:r>
      <w:r w:rsidR="001F07F8" w:rsidRPr="00903363">
        <w:t>LR 545</w:t>
      </w:r>
      <w:r w:rsidRPr="00903363">
        <w:t xml:space="preserve"> (</w:t>
      </w:r>
      <w:r>
        <w:t>Rog</w:t>
      </w:r>
      <w:r w:rsidRPr="00903363">
        <w:t>e</w:t>
      </w:r>
      <w:r>
        <w:t>r</w:t>
      </w:r>
      <w:r w:rsidRPr="00903363">
        <w:t>s CJ</w:t>
      </w:r>
      <w:r>
        <w:t xml:space="preserve"> </w:t>
      </w:r>
      <w:proofErr w:type="spellStart"/>
      <w:r>
        <w:t>Comm</w:t>
      </w:r>
      <w:proofErr w:type="spellEnd"/>
      <w:r>
        <w:t xml:space="preserve"> D</w:t>
      </w:r>
      <w:r w:rsidRPr="00903363">
        <w:t>)</w:t>
      </w:r>
      <w:r w:rsidR="001F07F8" w:rsidRPr="00903363">
        <w:t>.</w:t>
      </w:r>
    </w:p>
    <w:p w:rsidR="00D61547" w:rsidRDefault="00D61547" w:rsidP="00151609">
      <w:pPr>
        <w:pStyle w:val="ParaNumbering"/>
      </w:pPr>
      <w:r>
        <w:t xml:space="preserve">As White J observed in </w:t>
      </w:r>
      <w:r w:rsidRPr="00D61547">
        <w:rPr>
          <w:i/>
        </w:rPr>
        <w:t>Clifton</w:t>
      </w:r>
      <w:r>
        <w:t xml:space="preserve"> at [10], the</w:t>
      </w:r>
      <w:r w:rsidR="007544A0">
        <w:t>se</w:t>
      </w:r>
      <w:r>
        <w:t xml:space="preserve"> cases </w:t>
      </w:r>
      <w:r w:rsidR="007543CB">
        <w:t>reflect the</w:t>
      </w:r>
      <w:r>
        <w:t xml:space="preserve"> application of the principle of international comity pursuant to which courts exercise caution about asserting judicial power beyond the territorial limits of their own jurisdiction in a way which interferes with the </w:t>
      </w:r>
      <w:r>
        <w:lastRenderedPageBreak/>
        <w:t>sovereignty of another State.</w:t>
      </w:r>
      <w:r w:rsidR="00CE5425">
        <w:t xml:space="preserve"> See also the explanation of international comity in </w:t>
      </w:r>
      <w:r w:rsidR="00CE5425" w:rsidRPr="00CE5425">
        <w:rPr>
          <w:i/>
        </w:rPr>
        <w:t>CSR Ltd v Cigna Insurance Australia Lt</w:t>
      </w:r>
      <w:r w:rsidR="00CE5425" w:rsidRPr="000B6192">
        <w:rPr>
          <w:i/>
        </w:rPr>
        <w:t xml:space="preserve">d </w:t>
      </w:r>
      <w:r w:rsidR="00CE5425" w:rsidRPr="000B6192">
        <w:t>(1997) 189 CLR 345</w:t>
      </w:r>
      <w:r w:rsidR="000B6192" w:rsidRPr="000B6192">
        <w:t xml:space="preserve"> </w:t>
      </w:r>
      <w:r w:rsidR="00251EEB">
        <w:t xml:space="preserve">at 396 (Brennan CJ, Dawson, </w:t>
      </w:r>
      <w:proofErr w:type="spellStart"/>
      <w:r w:rsidR="00251EEB">
        <w:t>Toohey</w:t>
      </w:r>
      <w:proofErr w:type="spellEnd"/>
      <w:r w:rsidR="00251EEB">
        <w:t xml:space="preserve">, </w:t>
      </w:r>
      <w:proofErr w:type="spellStart"/>
      <w:r w:rsidR="00251EEB">
        <w:t>Gaudron</w:t>
      </w:r>
      <w:proofErr w:type="spellEnd"/>
      <w:r w:rsidR="00251EEB">
        <w:t xml:space="preserve">, McHugh, </w:t>
      </w:r>
      <w:proofErr w:type="spellStart"/>
      <w:r w:rsidR="00251EEB">
        <w:t>Gummow</w:t>
      </w:r>
      <w:proofErr w:type="spellEnd"/>
      <w:r w:rsidR="00251EEB">
        <w:t xml:space="preserve"> and Kirby JJ).</w:t>
      </w:r>
    </w:p>
    <w:p w:rsidR="00D61547" w:rsidRDefault="007544A0" w:rsidP="00151609">
      <w:pPr>
        <w:pStyle w:val="ParaNumbering"/>
      </w:pPr>
      <w:r>
        <w:t>However p</w:t>
      </w:r>
      <w:r w:rsidR="003D3C89">
        <w:t>a</w:t>
      </w:r>
      <w:r>
        <w:t>ying due regard to the importance</w:t>
      </w:r>
      <w:r w:rsidR="003D3C89">
        <w:t xml:space="preserve"> of international judicial comity</w:t>
      </w:r>
      <w:r>
        <w:t>,</w:t>
      </w:r>
      <w:r w:rsidR="003D3C89">
        <w:t xml:space="preserve"> </w:t>
      </w:r>
      <w:r w:rsidR="00D61547">
        <w:t xml:space="preserve">I do not consider that </w:t>
      </w:r>
      <w:r w:rsidR="00905A59">
        <w:t>this</w:t>
      </w:r>
      <w:r w:rsidR="003D3C89">
        <w:t xml:space="preserve"> </w:t>
      </w:r>
      <w:r w:rsidR="00905A59">
        <w:t>principle</w:t>
      </w:r>
      <w:r w:rsidR="003D3C89">
        <w:t xml:space="preserve"> </w:t>
      </w:r>
      <w:r w:rsidR="00D61547">
        <w:t>should preclude the grant of leave in the present case.</w:t>
      </w:r>
    </w:p>
    <w:p w:rsidR="00EE5902" w:rsidRDefault="00EE5902" w:rsidP="00151609">
      <w:pPr>
        <w:pStyle w:val="ParaNumbering"/>
      </w:pPr>
      <w:r>
        <w:t xml:space="preserve">Although (in contradistinction to the position in </w:t>
      </w:r>
      <w:r w:rsidRPr="00EE5902">
        <w:rPr>
          <w:i/>
        </w:rPr>
        <w:t>Clifton</w:t>
      </w:r>
      <w:r>
        <w:t>) the present application is not for leave to serve the relevant orders in accordance with the Hague Convention because Singapore is not a party to that Convention, it is clear that the Singapore Rules contemplate</w:t>
      </w:r>
      <w:r w:rsidR="003D3C89">
        <w:t xml:space="preserve"> and regulate</w:t>
      </w:r>
      <w:r>
        <w:t xml:space="preserve"> the service in Singapore of any process required in connection with civil proceedings pending before a foreign court</w:t>
      </w:r>
      <w:r w:rsidR="00340FE5">
        <w:t xml:space="preserve">. Order 64, r </w:t>
      </w:r>
      <w:r>
        <w:t xml:space="preserve">3 </w:t>
      </w:r>
      <w:r w:rsidR="001F07F8">
        <w:t xml:space="preserve">of the Singapore Rules </w:t>
      </w:r>
      <w:r>
        <w:t xml:space="preserve">is in the following terms: </w:t>
      </w:r>
    </w:p>
    <w:p w:rsidR="00EE5902" w:rsidRDefault="00EE5902" w:rsidP="002A41A1">
      <w:pPr>
        <w:pStyle w:val="Quote1"/>
        <w:ind w:left="1440" w:hanging="703"/>
      </w:pPr>
      <w:r>
        <w:t xml:space="preserve">(1) </w:t>
      </w:r>
      <w:r>
        <w:tab/>
        <w:t>Subject to Rule 4, this Rule applies in relation to the service of any process required in connection with civil proceedings pending before a court or other tribunal of a foreign country where Rule 2 does not apply or is not invoked.</w:t>
      </w:r>
    </w:p>
    <w:p w:rsidR="00EE5902" w:rsidRDefault="00EE5902" w:rsidP="002A41A1">
      <w:pPr>
        <w:pStyle w:val="Quote1"/>
        <w:ind w:left="1440" w:hanging="703"/>
      </w:pPr>
      <w:r>
        <w:t xml:space="preserve">(2) </w:t>
      </w:r>
      <w:r>
        <w:tab/>
        <w:t>Service of any such process within Singapore may be effected by a method of service authorised by these Rules for the service of analogous process issued by the Court.</w:t>
      </w:r>
    </w:p>
    <w:p w:rsidR="00EE5902" w:rsidRDefault="00EE5902" w:rsidP="002A41A1">
      <w:pPr>
        <w:pStyle w:val="Quote1"/>
        <w:ind w:left="1440" w:hanging="703"/>
      </w:pPr>
      <w:r>
        <w:t xml:space="preserve">(3) </w:t>
      </w:r>
      <w:r>
        <w:tab/>
      </w:r>
      <w:r>
        <w:rPr>
          <w:shd w:val="clear" w:color="auto" w:fill="FFFFFF"/>
        </w:rPr>
        <w:t>This Rule applies even though the foreign process is expressed to be or includes a command of the foreign sovereign.</w:t>
      </w:r>
    </w:p>
    <w:p w:rsidR="00EE5902" w:rsidRDefault="00EE5902" w:rsidP="00151609">
      <w:pPr>
        <w:pStyle w:val="ParaNumbering"/>
      </w:pPr>
      <w:r>
        <w:t>Significantly</w:t>
      </w:r>
      <w:r w:rsidR="007544A0">
        <w:t>,</w:t>
      </w:r>
      <w:r>
        <w:t xml:space="preserve"> O 64, r.3(3) </w:t>
      </w:r>
      <w:r w:rsidR="007544A0">
        <w:t xml:space="preserve">of the Singapore Rules </w:t>
      </w:r>
      <w:r>
        <w:t xml:space="preserve">specifically contemplates the possibility that the </w:t>
      </w:r>
      <w:r w:rsidR="003D3C89">
        <w:t>f</w:t>
      </w:r>
      <w:r>
        <w:t xml:space="preserve">oreign </w:t>
      </w:r>
      <w:r w:rsidR="003D3C89">
        <w:t>p</w:t>
      </w:r>
      <w:r>
        <w:t xml:space="preserve">rocess may be expressed to be or may include a command of </w:t>
      </w:r>
      <w:r w:rsidR="003D3C89">
        <w:t>a</w:t>
      </w:r>
      <w:r>
        <w:t xml:space="preserve"> foreign sovereign. </w:t>
      </w:r>
    </w:p>
    <w:p w:rsidR="00EE5902" w:rsidRDefault="00FC1F0A" w:rsidP="00151609">
      <w:pPr>
        <w:pStyle w:val="ParaNumbering"/>
      </w:pPr>
      <w:r>
        <w:t xml:space="preserve">Further, it is clear that </w:t>
      </w:r>
      <w:proofErr w:type="spellStart"/>
      <w:r>
        <w:t>ss</w:t>
      </w:r>
      <w:proofErr w:type="spellEnd"/>
      <w:r>
        <w:t xml:space="preserve"> 596A and 596B of the Act operate extraterritorially and also apply to persons whether or not they are Australian residents or citizens: </w:t>
      </w:r>
      <w:r w:rsidRPr="00FC1F0A">
        <w:rPr>
          <w:i/>
        </w:rPr>
        <w:t>Waller v Freehills</w:t>
      </w:r>
      <w:r>
        <w:t xml:space="preserve"> (2009) 177 FCR 507 at [53]-[54], [58] (Finn, </w:t>
      </w:r>
      <w:proofErr w:type="spellStart"/>
      <w:r>
        <w:t>Dowsett</w:t>
      </w:r>
      <w:proofErr w:type="spellEnd"/>
      <w:r>
        <w:t xml:space="preserve"> and </w:t>
      </w:r>
      <w:proofErr w:type="spellStart"/>
      <w:r>
        <w:t>Siopis</w:t>
      </w:r>
      <w:proofErr w:type="spellEnd"/>
      <w:r>
        <w:t xml:space="preserve"> JJ)</w:t>
      </w:r>
      <w:r w:rsidR="00540BE7">
        <w:t xml:space="preserve"> </w:t>
      </w:r>
      <w:r>
        <w:t>(“</w:t>
      </w:r>
      <w:r w:rsidRPr="00FC1F0A">
        <w:rPr>
          <w:i/>
        </w:rPr>
        <w:t>Waller</w:t>
      </w:r>
      <w:r>
        <w:t xml:space="preserve">”); </w:t>
      </w:r>
      <w:r w:rsidRPr="00FC1F0A">
        <w:rPr>
          <w:i/>
        </w:rPr>
        <w:t>Dev</w:t>
      </w:r>
      <w:r>
        <w:rPr>
          <w:i/>
        </w:rPr>
        <w:t xml:space="preserve">ine </w:t>
      </w:r>
      <w:r w:rsidRPr="00FC1F0A">
        <w:rPr>
          <w:i/>
        </w:rPr>
        <w:t>(Liq</w:t>
      </w:r>
      <w:r>
        <w:rPr>
          <w:i/>
        </w:rPr>
        <w:t>uidator</w:t>
      </w:r>
      <w:r w:rsidRPr="00FC1F0A">
        <w:rPr>
          <w:i/>
        </w:rPr>
        <w:t xml:space="preserve">), </w:t>
      </w:r>
      <w:r>
        <w:rPr>
          <w:i/>
        </w:rPr>
        <w:t xml:space="preserve">Re </w:t>
      </w:r>
      <w:proofErr w:type="spellStart"/>
      <w:r>
        <w:rPr>
          <w:i/>
        </w:rPr>
        <w:t>Lempriere</w:t>
      </w:r>
      <w:proofErr w:type="spellEnd"/>
      <w:r>
        <w:rPr>
          <w:i/>
        </w:rPr>
        <w:t xml:space="preserve"> Grain Pty Ltd</w:t>
      </w:r>
      <w:r w:rsidRPr="00FC1F0A">
        <w:rPr>
          <w:i/>
        </w:rPr>
        <w:t xml:space="preserve"> (In Liquidation)</w:t>
      </w:r>
      <w:r>
        <w:t xml:space="preserve"> [2020] FCA 420 at [18] (Gleeson J). As the Full Court observed in </w:t>
      </w:r>
      <w:r w:rsidRPr="00FC1F0A">
        <w:rPr>
          <w:i/>
        </w:rPr>
        <w:t>Waller</w:t>
      </w:r>
      <w:r>
        <w:t xml:space="preserve">: </w:t>
      </w:r>
    </w:p>
    <w:p w:rsidR="00FC1F0A" w:rsidRDefault="00FC1F0A" w:rsidP="00FC1F0A">
      <w:pPr>
        <w:pStyle w:val="Quote1"/>
        <w:ind w:left="1440" w:hanging="703"/>
      </w:pPr>
      <w:r>
        <w:t xml:space="preserve">[58] </w:t>
      </w:r>
      <w:r>
        <w:tab/>
        <w:t>…</w:t>
      </w:r>
      <w:r w:rsidRPr="00FC1F0A">
        <w:t>it is apparent that Parliament intended that the court is to have the power and jurisdiction to summons those persons falling within the ambit of those two provisions to attend the court and be examined in relation to the “examinable affairs” of a company in liquidation, whether or not they are resident in Australia, and whether or not they are citizens of Australia.</w:t>
      </w:r>
    </w:p>
    <w:p w:rsidR="00FC1F0A" w:rsidRDefault="00FC1F0A" w:rsidP="00151609">
      <w:pPr>
        <w:pStyle w:val="ParaNumbering"/>
      </w:pPr>
      <w:r>
        <w:t xml:space="preserve">Noting the wide range of persons who may be the subject of an order under s 596B of the Act, the Full Court in </w:t>
      </w:r>
      <w:r w:rsidRPr="00FC1F0A">
        <w:rPr>
          <w:i/>
        </w:rPr>
        <w:t xml:space="preserve">Waller </w:t>
      </w:r>
      <w:r>
        <w:t>accepted that an order for examination made pursuant to s 596B has a greater risk of adversely affecting international comity on the basis of the absence of a suffici</w:t>
      </w:r>
      <w:r w:rsidR="007544A0">
        <w:t>ent connection with Australia. As to this risk t</w:t>
      </w:r>
      <w:r>
        <w:t xml:space="preserve">he Court observed: </w:t>
      </w:r>
    </w:p>
    <w:p w:rsidR="00FC1F0A" w:rsidRDefault="00FC1F0A" w:rsidP="00FC1F0A">
      <w:pPr>
        <w:pStyle w:val="Quote1"/>
        <w:ind w:left="1440" w:hanging="703"/>
      </w:pPr>
      <w:r>
        <w:lastRenderedPageBreak/>
        <w:t xml:space="preserve">[61] </w:t>
      </w:r>
      <w:r>
        <w:tab/>
        <w:t>…</w:t>
      </w:r>
      <w:r w:rsidRPr="00FC1F0A">
        <w:t xml:space="preserve">However, it appears this risk is recognised and accommodated within the section, by giving the court a discretion as to whether to issue the examination summons. Thus, it appears that the legislative scheme seeks to meet in some respect international law concerns regarding comity by vesting in the court discretion as to whether to issue a summons for the examination of a </w:t>
      </w:r>
      <w:proofErr w:type="spellStart"/>
      <w:r w:rsidRPr="00FC1F0A">
        <w:t>nonresident</w:t>
      </w:r>
      <w:proofErr w:type="spellEnd"/>
      <w:r w:rsidRPr="00FC1F0A">
        <w:t xml:space="preserve"> in the first place, as opposed to giving the court a power to determine whether such summons once issued, should be served.</w:t>
      </w:r>
    </w:p>
    <w:p w:rsidR="00FC1F0A" w:rsidRDefault="00FC1F0A" w:rsidP="00151609">
      <w:pPr>
        <w:pStyle w:val="ParaNumbering"/>
      </w:pPr>
      <w:r>
        <w:t xml:space="preserve">On the subject of the possible intrusion upon the sovereignty of a foreign state arising from the service of an examination summons and the criminal consequences of non-compliance with the summons, the Full Court in </w:t>
      </w:r>
      <w:r w:rsidRPr="00FC1F0A">
        <w:rPr>
          <w:i/>
        </w:rPr>
        <w:t>Waller</w:t>
      </w:r>
      <w:r>
        <w:t xml:space="preserve"> was prepared to infer that the Parliament would have appreciated that the exercise by the Court of the jurisdiction to summons foreigners or </w:t>
      </w:r>
      <w:proofErr w:type="spellStart"/>
      <w:r>
        <w:t>non residents</w:t>
      </w:r>
      <w:proofErr w:type="spellEnd"/>
      <w:r>
        <w:t xml:space="preserve"> to appear before it pursuant to </w:t>
      </w:r>
      <w:proofErr w:type="spellStart"/>
      <w:r>
        <w:t>ss</w:t>
      </w:r>
      <w:proofErr w:type="spellEnd"/>
      <w:r>
        <w:t xml:space="preserve"> 596A and 596B of the Act would necessarily involve an invasion of the sovereignty of the state in which the foreigner or </w:t>
      </w:r>
      <w:proofErr w:type="spellStart"/>
      <w:r>
        <w:t>non resident</w:t>
      </w:r>
      <w:proofErr w:type="spellEnd"/>
      <w:r>
        <w:t xml:space="preserve"> is resident. Their Honours observed:  </w:t>
      </w:r>
    </w:p>
    <w:p w:rsidR="00FC1F0A" w:rsidRDefault="00FC1F0A" w:rsidP="00FC1F0A">
      <w:pPr>
        <w:pStyle w:val="Quote1"/>
        <w:ind w:left="1440" w:hanging="703"/>
      </w:pPr>
      <w:r>
        <w:rPr>
          <w:shd w:val="clear" w:color="auto" w:fill="FFFFFF"/>
        </w:rPr>
        <w:t xml:space="preserve">[96] </w:t>
      </w:r>
      <w:r>
        <w:rPr>
          <w:shd w:val="clear" w:color="auto" w:fill="FFFFFF"/>
        </w:rPr>
        <w:tab/>
        <w:t>…It is further to be inferred that Parliament has decided that any international opprobrium attached to the passing of extraterritorial legislation is justified in the public interest for the protection of the interests of Australian creditors and contributories. Accordingly, the fact that the issue of an examination summons would involve an invasion of sovereignty per se carried little weight as a discretionary consideration in determining whether leave should be granted to serve the summons in a foreign country…</w:t>
      </w:r>
    </w:p>
    <w:p w:rsidR="00540BE7" w:rsidRDefault="007544A0" w:rsidP="00540BE7">
      <w:pPr>
        <w:pStyle w:val="ParaNumbering"/>
      </w:pPr>
      <w:r>
        <w:t xml:space="preserve">The </w:t>
      </w:r>
      <w:r w:rsidR="00FC1F0A">
        <w:t xml:space="preserve">Full Court’s </w:t>
      </w:r>
      <w:r>
        <w:t xml:space="preserve">careful consideration </w:t>
      </w:r>
      <w:r w:rsidR="00FC1F0A">
        <w:t>of the issue of international comity in the context of an examination summons</w:t>
      </w:r>
      <w:r w:rsidR="007543CB">
        <w:t xml:space="preserve"> in </w:t>
      </w:r>
      <w:r w:rsidR="007543CB" w:rsidRPr="007543CB">
        <w:rPr>
          <w:i/>
        </w:rPr>
        <w:t>Waller</w:t>
      </w:r>
      <w:r>
        <w:t xml:space="preserve"> provides a further basis for the conclusion that this</w:t>
      </w:r>
      <w:r w:rsidR="00FC1F0A">
        <w:t xml:space="preserve"> principle should not preclude the grant of leave in the present case. Accordingly, I grant the leave sought by the a</w:t>
      </w:r>
      <w:r w:rsidR="007543CB">
        <w:t xml:space="preserve">pplicants, </w:t>
      </w:r>
      <w:r w:rsidR="00FC1F0A">
        <w:t>and will make orders in the terms proposed.</w:t>
      </w:r>
    </w:p>
    <w:p w:rsidR="00540BE7" w:rsidRDefault="00540BE7" w:rsidP="00815065">
      <w:pPr>
        <w:pStyle w:val="BodyText"/>
      </w:pPr>
      <w:bookmarkStart w:id="22" w:name="Certification"/>
    </w:p>
    <w:tbl>
      <w:tblPr>
        <w:tblW w:w="0" w:type="auto"/>
        <w:tblLook w:val="04A0" w:firstRow="1" w:lastRow="0" w:firstColumn="1" w:lastColumn="0" w:noHBand="0" w:noVBand="1"/>
      </w:tblPr>
      <w:tblGrid>
        <w:gridCol w:w="3794"/>
      </w:tblGrid>
      <w:tr w:rsidR="00540BE7" w:rsidRPr="00540BE7">
        <w:tc>
          <w:tcPr>
            <w:tcW w:w="3794" w:type="dxa"/>
            <w:shd w:val="clear" w:color="auto" w:fill="auto"/>
          </w:tcPr>
          <w:p w:rsidR="00540BE7" w:rsidRPr="00540BE7" w:rsidRDefault="00540BE7" w:rsidP="00540BE7">
            <w:pPr>
              <w:pStyle w:val="Normal1linespace"/>
            </w:pPr>
            <w:r w:rsidRPr="00540BE7">
              <w:t xml:space="preserve">I certify that the preceding </w:t>
            </w:r>
            <w:bookmarkStart w:id="23" w:name="NumberWord"/>
            <w:r>
              <w:t>seventeen</w:t>
            </w:r>
            <w:bookmarkEnd w:id="23"/>
            <w:r w:rsidRPr="00540BE7">
              <w:t xml:space="preserve"> (</w:t>
            </w:r>
            <w:bookmarkStart w:id="24" w:name="NumberNumeral"/>
            <w:r>
              <w:t>17</w:t>
            </w:r>
            <w:bookmarkEnd w:id="24"/>
            <w:r w:rsidRPr="00540BE7">
              <w:t xml:space="preserve">) numbered </w:t>
            </w:r>
            <w:bookmarkStart w:id="25" w:name="CertPara"/>
            <w:r>
              <w:t>paragraphs are</w:t>
            </w:r>
            <w:bookmarkEnd w:id="25"/>
            <w:r w:rsidRPr="00540BE7">
              <w:t xml:space="preserve"> a true copy of the Reasons for Judgment of </w:t>
            </w:r>
            <w:bookmarkStart w:id="26" w:name="bkHonourable"/>
            <w:r w:rsidRPr="00540BE7">
              <w:t xml:space="preserve">the Honourable </w:t>
            </w:r>
            <w:bookmarkStart w:id="27" w:name="Justice"/>
            <w:bookmarkEnd w:id="26"/>
            <w:r>
              <w:t>Justice McEvoy</w:t>
            </w:r>
            <w:bookmarkEnd w:id="27"/>
            <w:r w:rsidRPr="00540BE7">
              <w:t>.</w:t>
            </w:r>
          </w:p>
        </w:tc>
      </w:tr>
    </w:tbl>
    <w:p w:rsidR="00540BE7" w:rsidRDefault="00540BE7" w:rsidP="00815065">
      <w:pPr>
        <w:pStyle w:val="BodyText"/>
      </w:pPr>
      <w:bookmarkStart w:id="28" w:name="_GoBack"/>
      <w:bookmarkEnd w:id="28"/>
    </w:p>
    <w:p w:rsidR="00540BE7" w:rsidRDefault="00540BE7" w:rsidP="00815065">
      <w:pPr>
        <w:pStyle w:val="BodyText"/>
      </w:pPr>
      <w:r>
        <w:t>Associate:</w:t>
      </w:r>
      <w:r w:rsidR="00AD2B77" w:rsidRPr="00AD2B77">
        <w:rPr>
          <w:noProof/>
          <w:lang w:eastAsia="en-AU"/>
        </w:rPr>
        <w:t xml:space="preserve"> </w:t>
      </w:r>
    </w:p>
    <w:p w:rsidR="00540BE7" w:rsidRDefault="00540BE7" w:rsidP="00815065">
      <w:pPr>
        <w:pStyle w:val="BodyText"/>
      </w:pPr>
    </w:p>
    <w:p w:rsidR="00540BE7" w:rsidRDefault="00540BE7" w:rsidP="00815065">
      <w:pPr>
        <w:pStyle w:val="BodyText"/>
        <w:tabs>
          <w:tab w:val="left" w:pos="1134"/>
        </w:tabs>
      </w:pPr>
      <w:r>
        <w:t>Dated:</w:t>
      </w:r>
      <w:r>
        <w:tab/>
      </w:r>
      <w:bookmarkStart w:id="29" w:name="CertifyDated"/>
      <w:r>
        <w:t>1 July 2022</w:t>
      </w:r>
      <w:bookmarkEnd w:id="29"/>
    </w:p>
    <w:p w:rsidR="00540BE7" w:rsidRDefault="00540BE7" w:rsidP="00815065">
      <w:pPr>
        <w:pStyle w:val="BodyText"/>
      </w:pPr>
    </w:p>
    <w:bookmarkEnd w:id="22"/>
    <w:p w:rsidR="00151609" w:rsidRDefault="00151609" w:rsidP="00540BE7">
      <w:pPr>
        <w:pStyle w:val="BodyText"/>
      </w:pPr>
    </w:p>
    <w:p w:rsidR="00151609" w:rsidRPr="00540BE7" w:rsidRDefault="00151609" w:rsidP="001E3A4D">
      <w:pPr>
        <w:pStyle w:val="ParaNumbering"/>
        <w:numPr>
          <w:ilvl w:val="0"/>
          <w:numId w:val="0"/>
        </w:numPr>
        <w:rPr>
          <w:highlight w:val="yellow"/>
        </w:rPr>
      </w:pPr>
    </w:p>
    <w:sectPr w:rsidR="00151609" w:rsidRPr="00540BE7"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BEF" w:rsidRDefault="005B6BEF">
      <w:pPr>
        <w:spacing w:line="20" w:lineRule="exact"/>
      </w:pPr>
    </w:p>
    <w:p w:rsidR="005B6BEF" w:rsidRDefault="005B6BEF"/>
    <w:p w:rsidR="005B6BEF" w:rsidRDefault="005B6BEF"/>
  </w:endnote>
  <w:endnote w:type="continuationSeparator" w:id="0">
    <w:p w:rsidR="005B6BEF" w:rsidRDefault="005B6BEF">
      <w:r>
        <w:t xml:space="preserve"> </w:t>
      </w:r>
    </w:p>
    <w:p w:rsidR="005B6BEF" w:rsidRDefault="005B6BEF"/>
    <w:p w:rsidR="005B6BEF" w:rsidRDefault="005B6BEF"/>
  </w:endnote>
  <w:endnote w:type="continuationNotice" w:id="1">
    <w:p w:rsidR="005B6BEF" w:rsidRDefault="005B6BEF">
      <w:r>
        <w:t xml:space="preserve"> </w:t>
      </w:r>
    </w:p>
    <w:p w:rsidR="005B6BEF" w:rsidRDefault="005B6BEF"/>
    <w:p w:rsidR="005B6BEF" w:rsidRDefault="005B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06" w:rsidRDefault="0063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4D7F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32237">
          <w:rPr>
            <w:bCs/>
            <w:sz w:val="18"/>
            <w:szCs w:val="18"/>
          </w:rPr>
          <w:t xml:space="preserve">Georges (Liquidator), in the Matter of SIRA Pty Ltd (In Liquidation) [2022] FCA 768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36B06" w:rsidRDefault="00395B24" w:rsidP="00636B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4070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80F725D0D5A41389710F15F27C7F292"/>
        </w:placeholder>
        <w:dataBinding w:prefixMappings="xmlns:ns0='http://schemas.globalmacros.com/FCA'" w:xpath="/ns0:root[1]/ns0:Name[1]" w:storeItemID="{687E7CCB-4AA5-44E7-B148-17BA2B6F57C0}"/>
        <w:text w:multiLine="1"/>
      </w:sdtPr>
      <w:sdtEndPr/>
      <w:sdtContent>
        <w:r w:rsidR="00832237">
          <w:rPr>
            <w:bCs/>
            <w:sz w:val="18"/>
            <w:szCs w:val="18"/>
          </w:rPr>
          <w:t xml:space="preserve">Georges (Liquidator), in the Matter of SIRA Pty Ltd (In Liquidation) [2022] FCA 768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EE8F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4A2D999179D4B6BB71D684A32713FEA"/>
        </w:placeholder>
        <w:dataBinding w:prefixMappings="xmlns:ns0='http://schemas.globalmacros.com/FCA'" w:xpath="/ns0:root[1]/ns0:Name[1]" w:storeItemID="{687E7CCB-4AA5-44E7-B148-17BA2B6F57C0}"/>
        <w:text w:multiLine="1"/>
      </w:sdtPr>
      <w:sdtEndPr/>
      <w:sdtContent>
        <w:r w:rsidR="00832237">
          <w:rPr>
            <w:bCs/>
            <w:sz w:val="18"/>
            <w:szCs w:val="18"/>
          </w:rPr>
          <w:t xml:space="preserve">Georges (Liquidator), in the Matter of SIRA Pty Ltd (In Liquidation) [2022] FCA 768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41A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300F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E822B7BCE404032A12460DE7BA02FB3"/>
        </w:placeholder>
        <w:dataBinding w:prefixMappings="xmlns:ns0='http://schemas.globalmacros.com/FCA'" w:xpath="/ns0:root[1]/ns0:Name[1]" w:storeItemID="{687E7CCB-4AA5-44E7-B148-17BA2B6F57C0}"/>
        <w:text w:multiLine="1"/>
      </w:sdtPr>
      <w:sdtEndPr/>
      <w:sdtContent>
        <w:r w:rsidR="00832237">
          <w:rPr>
            <w:bCs/>
            <w:sz w:val="18"/>
            <w:szCs w:val="18"/>
          </w:rPr>
          <w:t xml:space="preserve">Georges (Liquidator), in the Matter of SIRA Pty Ltd (In Liquidation) [2022] FCA 768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41A1">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559E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FCE0D280C91472E8F9DA86004D6FA86"/>
        </w:placeholder>
        <w:dataBinding w:prefixMappings="xmlns:ns0='http://schemas.globalmacros.com/FCA'" w:xpath="/ns0:root[1]/ns0:Name[1]" w:storeItemID="{687E7CCB-4AA5-44E7-B148-17BA2B6F57C0}"/>
        <w:text w:multiLine="1"/>
      </w:sdtPr>
      <w:sdtEndPr/>
      <w:sdtContent>
        <w:r w:rsidR="00832237">
          <w:rPr>
            <w:bCs/>
            <w:sz w:val="18"/>
            <w:szCs w:val="18"/>
          </w:rPr>
          <w:t xml:space="preserve">Georges (Liquidator), in the Matter of SIRA Pty Ltd (In Liquidation) [2022] FCA 768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A41A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BEF" w:rsidRDefault="005B6BEF"/>
  </w:footnote>
  <w:footnote w:type="continuationSeparator" w:id="0">
    <w:p w:rsidR="005B6BEF" w:rsidRDefault="005B6BEF">
      <w:r>
        <w:continuationSeparator/>
      </w:r>
    </w:p>
    <w:p w:rsidR="005B6BEF" w:rsidRDefault="005B6BEF"/>
    <w:p w:rsidR="005B6BEF" w:rsidRDefault="005B6B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06" w:rsidRDefault="0063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06" w:rsidRDefault="0063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06" w:rsidRDefault="00636B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0F820AD"/>
    <w:multiLevelType w:val="hybridMultilevel"/>
    <w:tmpl w:val="5CFE1688"/>
    <w:lvl w:ilvl="0" w:tplc="E06E82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 197 of 2022"/>
    <w:docVar w:name="Initiators" w:val="(and another named in the Schedule)"/>
    <w:docVar w:name="InTheMatterOf" w:val="SIRA PTY LTD (IN LIQUIDATION) (ACN 163 988 690)"/>
    <w:docVar w:name="Judgdate" w:val="1 July 2022"/>
    <w:docVar w:name="Judge" w:val="McEvoy"/>
    <w:docVar w:name="JudgeType" w:val="Justice"/>
    <w:docVar w:name="lstEntryList" w:val="-1"/>
    <w:docVar w:name="NSD" w:val="NSD "/>
    <w:docVar w:name="NumApps" w:val="1"/>
    <w:docVar w:name="NumApps_" w:val="0"/>
    <w:docVar w:name="NumCrossResps" w:val="0"/>
    <w:docVar w:name="NumDefs" w:val="0"/>
    <w:docVar w:name="NumOthers" w:val="0"/>
    <w:docVar w:name="OtherNum" w:val="0"/>
    <w:docVar w:name="Parties1" w:val="Plaintiff"/>
    <w:docVar w:name="Parties2" w:val="Respondent"/>
    <w:docVar w:name="Parties3" w:val="Cross-Appellant"/>
    <w:docVar w:name="Parties4" w:val="Cross-Defendant"/>
    <w:docVar w:name="Parties5" w:val="Intervener"/>
    <w:docVar w:name="Place" w:val="Melbourne"/>
    <w:docVar w:name="Plaintiff" w:val="George Georges and John Ross Lindholm in their capacity as Joint and Several"/>
    <w:docVar w:name="PracticeArea" w:val="Commercial and Corporations"/>
    <w:docVar w:name="RESAndAnother" w:val="True"/>
    <w:docVar w:name="RESAndOthers" w:val="False"/>
    <w:docVar w:name="ResState" w:val="Victoria"/>
    <w:docVar w:name="SubArea" w:val="Corporations and Corporate Insolvency (C &amp; C)"/>
  </w:docVars>
  <w:rsids>
    <w:rsidRoot w:val="00151609"/>
    <w:rsid w:val="00000747"/>
    <w:rsid w:val="000115C5"/>
    <w:rsid w:val="000115D7"/>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B1F6F"/>
    <w:rsid w:val="000B6192"/>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1609"/>
    <w:rsid w:val="00155CD2"/>
    <w:rsid w:val="001727A4"/>
    <w:rsid w:val="0017376C"/>
    <w:rsid w:val="001738AB"/>
    <w:rsid w:val="001765E0"/>
    <w:rsid w:val="00177759"/>
    <w:rsid w:val="00180BB3"/>
    <w:rsid w:val="00185DD6"/>
    <w:rsid w:val="00185E6B"/>
    <w:rsid w:val="00187BBC"/>
    <w:rsid w:val="001932F3"/>
    <w:rsid w:val="00195286"/>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A4D"/>
    <w:rsid w:val="001E3B49"/>
    <w:rsid w:val="001E3F24"/>
    <w:rsid w:val="001E4A05"/>
    <w:rsid w:val="001E6A19"/>
    <w:rsid w:val="001E7388"/>
    <w:rsid w:val="001F07F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1EEB"/>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A41A1"/>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0FE5"/>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6BB9"/>
    <w:rsid w:val="003A7ECC"/>
    <w:rsid w:val="003B2C72"/>
    <w:rsid w:val="003B58B4"/>
    <w:rsid w:val="003C1333"/>
    <w:rsid w:val="003C20FF"/>
    <w:rsid w:val="003C550A"/>
    <w:rsid w:val="003C6055"/>
    <w:rsid w:val="003D2650"/>
    <w:rsid w:val="003D3C89"/>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AFA"/>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0BE7"/>
    <w:rsid w:val="0054254A"/>
    <w:rsid w:val="0054500B"/>
    <w:rsid w:val="005466B5"/>
    <w:rsid w:val="00554314"/>
    <w:rsid w:val="00562829"/>
    <w:rsid w:val="005629B3"/>
    <w:rsid w:val="0057128A"/>
    <w:rsid w:val="00571BDF"/>
    <w:rsid w:val="005724F6"/>
    <w:rsid w:val="00573AC4"/>
    <w:rsid w:val="005801FC"/>
    <w:rsid w:val="00585BA9"/>
    <w:rsid w:val="00587359"/>
    <w:rsid w:val="00591762"/>
    <w:rsid w:val="00595016"/>
    <w:rsid w:val="00597AAE"/>
    <w:rsid w:val="005A222C"/>
    <w:rsid w:val="005A4DF8"/>
    <w:rsid w:val="005A78C8"/>
    <w:rsid w:val="005B1426"/>
    <w:rsid w:val="005B6BEF"/>
    <w:rsid w:val="005C0A8E"/>
    <w:rsid w:val="005C1767"/>
    <w:rsid w:val="005C185C"/>
    <w:rsid w:val="005C42EF"/>
    <w:rsid w:val="005E02F5"/>
    <w:rsid w:val="005E0510"/>
    <w:rsid w:val="005E176E"/>
    <w:rsid w:val="005E218E"/>
    <w:rsid w:val="005E35A0"/>
    <w:rsid w:val="005E74D9"/>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36B06"/>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543CB"/>
    <w:rsid w:val="007544A0"/>
    <w:rsid w:val="00760EC0"/>
    <w:rsid w:val="007711BD"/>
    <w:rsid w:val="00776623"/>
    <w:rsid w:val="0078003A"/>
    <w:rsid w:val="00780771"/>
    <w:rsid w:val="00780CF1"/>
    <w:rsid w:val="007929CF"/>
    <w:rsid w:val="00797BA8"/>
    <w:rsid w:val="007A081D"/>
    <w:rsid w:val="007A49E7"/>
    <w:rsid w:val="007A6F28"/>
    <w:rsid w:val="007B03C6"/>
    <w:rsid w:val="007B0DB1"/>
    <w:rsid w:val="007B5673"/>
    <w:rsid w:val="007B7238"/>
    <w:rsid w:val="007B76FF"/>
    <w:rsid w:val="007C3BF6"/>
    <w:rsid w:val="007C67B3"/>
    <w:rsid w:val="007C73FB"/>
    <w:rsid w:val="007D0FD2"/>
    <w:rsid w:val="007D2EF8"/>
    <w:rsid w:val="007D561F"/>
    <w:rsid w:val="007D7FD2"/>
    <w:rsid w:val="007E13D9"/>
    <w:rsid w:val="007E2AEC"/>
    <w:rsid w:val="007E41BE"/>
    <w:rsid w:val="007E4DB6"/>
    <w:rsid w:val="007E6733"/>
    <w:rsid w:val="007E7CD4"/>
    <w:rsid w:val="007F08D8"/>
    <w:rsid w:val="007F12AC"/>
    <w:rsid w:val="007F4501"/>
    <w:rsid w:val="007F60DF"/>
    <w:rsid w:val="00801800"/>
    <w:rsid w:val="00801861"/>
    <w:rsid w:val="00801B5B"/>
    <w:rsid w:val="00805A30"/>
    <w:rsid w:val="008216E7"/>
    <w:rsid w:val="00825BE6"/>
    <w:rsid w:val="008276B4"/>
    <w:rsid w:val="00831927"/>
    <w:rsid w:val="00832237"/>
    <w:rsid w:val="00837288"/>
    <w:rsid w:val="00841BD3"/>
    <w:rsid w:val="0084273D"/>
    <w:rsid w:val="00844E3F"/>
    <w:rsid w:val="00845A83"/>
    <w:rsid w:val="00846BB9"/>
    <w:rsid w:val="00864874"/>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363"/>
    <w:rsid w:val="00903603"/>
    <w:rsid w:val="009054CB"/>
    <w:rsid w:val="00905A59"/>
    <w:rsid w:val="00911F8D"/>
    <w:rsid w:val="00912F94"/>
    <w:rsid w:val="009171BC"/>
    <w:rsid w:val="0092497E"/>
    <w:rsid w:val="0092590B"/>
    <w:rsid w:val="00925BF3"/>
    <w:rsid w:val="00925E60"/>
    <w:rsid w:val="009264B3"/>
    <w:rsid w:val="00931E4C"/>
    <w:rsid w:val="009365E0"/>
    <w:rsid w:val="00942BA2"/>
    <w:rsid w:val="009432B7"/>
    <w:rsid w:val="00944C86"/>
    <w:rsid w:val="00946FCB"/>
    <w:rsid w:val="00947C02"/>
    <w:rsid w:val="00950BE6"/>
    <w:rsid w:val="009579EF"/>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2097"/>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0F8D"/>
    <w:rsid w:val="00A84FD0"/>
    <w:rsid w:val="00A92E79"/>
    <w:rsid w:val="00A950B6"/>
    <w:rsid w:val="00A95D45"/>
    <w:rsid w:val="00AA3EA8"/>
    <w:rsid w:val="00AB41C1"/>
    <w:rsid w:val="00AB4CF2"/>
    <w:rsid w:val="00AB6CCA"/>
    <w:rsid w:val="00AC223F"/>
    <w:rsid w:val="00AC33B1"/>
    <w:rsid w:val="00AD12A8"/>
    <w:rsid w:val="00AD2B77"/>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5CA4"/>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13A3"/>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97CF2"/>
    <w:rsid w:val="00CA0466"/>
    <w:rsid w:val="00CA246D"/>
    <w:rsid w:val="00CA50D9"/>
    <w:rsid w:val="00CB3054"/>
    <w:rsid w:val="00CB305C"/>
    <w:rsid w:val="00CB5636"/>
    <w:rsid w:val="00CB5F30"/>
    <w:rsid w:val="00CC3EE5"/>
    <w:rsid w:val="00CC6E47"/>
    <w:rsid w:val="00CD1346"/>
    <w:rsid w:val="00CD585D"/>
    <w:rsid w:val="00CE425C"/>
    <w:rsid w:val="00CE5425"/>
    <w:rsid w:val="00CE58AC"/>
    <w:rsid w:val="00CF5A80"/>
    <w:rsid w:val="00D045EE"/>
    <w:rsid w:val="00D05091"/>
    <w:rsid w:val="00D10CA6"/>
    <w:rsid w:val="00D10F21"/>
    <w:rsid w:val="00D134CF"/>
    <w:rsid w:val="00D1573B"/>
    <w:rsid w:val="00D24806"/>
    <w:rsid w:val="00D30C28"/>
    <w:rsid w:val="00D34040"/>
    <w:rsid w:val="00D34E69"/>
    <w:rsid w:val="00D36C78"/>
    <w:rsid w:val="00D375EE"/>
    <w:rsid w:val="00D55AE8"/>
    <w:rsid w:val="00D56056"/>
    <w:rsid w:val="00D6085F"/>
    <w:rsid w:val="00D61547"/>
    <w:rsid w:val="00D62699"/>
    <w:rsid w:val="00D778E9"/>
    <w:rsid w:val="00D812BF"/>
    <w:rsid w:val="00D82620"/>
    <w:rsid w:val="00D85707"/>
    <w:rsid w:val="00D9725F"/>
    <w:rsid w:val="00DA01B1"/>
    <w:rsid w:val="00DA11A2"/>
    <w:rsid w:val="00DA14ED"/>
    <w:rsid w:val="00DA26D6"/>
    <w:rsid w:val="00DA2803"/>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384"/>
    <w:rsid w:val="00E326A8"/>
    <w:rsid w:val="00E47428"/>
    <w:rsid w:val="00E56C8E"/>
    <w:rsid w:val="00E5716B"/>
    <w:rsid w:val="00E57F1F"/>
    <w:rsid w:val="00E66B9F"/>
    <w:rsid w:val="00E70A6A"/>
    <w:rsid w:val="00E710D6"/>
    <w:rsid w:val="00E73DA4"/>
    <w:rsid w:val="00E76E45"/>
    <w:rsid w:val="00E777C9"/>
    <w:rsid w:val="00E81DA6"/>
    <w:rsid w:val="00E83C69"/>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C609D"/>
    <w:rsid w:val="00ED0817"/>
    <w:rsid w:val="00ED7DD9"/>
    <w:rsid w:val="00EE445B"/>
    <w:rsid w:val="00EE5902"/>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0D3A"/>
    <w:rsid w:val="00F9214D"/>
    <w:rsid w:val="00F92355"/>
    <w:rsid w:val="00F93963"/>
    <w:rsid w:val="00F94291"/>
    <w:rsid w:val="00FA298A"/>
    <w:rsid w:val="00FA5B66"/>
    <w:rsid w:val="00FB0B9C"/>
    <w:rsid w:val="00FB30EB"/>
    <w:rsid w:val="00FB7982"/>
    <w:rsid w:val="00FC0734"/>
    <w:rsid w:val="00FC0FC5"/>
    <w:rsid w:val="00FC1F0A"/>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F502A5-7D06-49E8-B502-A999CF42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34"/>
    <w:qFormat/>
    <w:rsid w:val="00151609"/>
    <w:pPr>
      <w:widowControl w:val="0"/>
      <w:autoSpaceDE w:val="0"/>
      <w:autoSpaceDN w:val="0"/>
      <w:adjustRightInd w:val="0"/>
      <w:spacing w:line="240" w:lineRule="auto"/>
      <w:ind w:left="720"/>
      <w:contextualSpacing/>
      <w:jc w:val="left"/>
    </w:pPr>
    <w:rPr>
      <w:rFonts w:eastAsia="Times New Roman" w:cs="Univer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42098355B4BE395C54A978C7ED989"/>
        <w:category>
          <w:name w:val="General"/>
          <w:gallery w:val="placeholder"/>
        </w:category>
        <w:types>
          <w:type w:val="bbPlcHdr"/>
        </w:types>
        <w:behaviors>
          <w:behavior w:val="content"/>
        </w:behaviors>
        <w:guid w:val="{E827C741-839C-4CD8-BE25-E9ECD8E684B0}"/>
      </w:docPartPr>
      <w:docPartBody>
        <w:p w:rsidR="00754B29" w:rsidRDefault="00F06B6E">
          <w:pPr>
            <w:pStyle w:val="B1842098355B4BE395C54A978C7ED989"/>
          </w:pPr>
          <w:r>
            <w:rPr>
              <w:rStyle w:val="PlaceholderText"/>
            </w:rPr>
            <w:t>MNC Text</w:t>
          </w:r>
        </w:p>
      </w:docPartBody>
    </w:docPart>
    <w:docPart>
      <w:docPartPr>
        <w:name w:val="680F725D0D5A41389710F15F27C7F292"/>
        <w:category>
          <w:name w:val="General"/>
          <w:gallery w:val="placeholder"/>
        </w:category>
        <w:types>
          <w:type w:val="bbPlcHdr"/>
        </w:types>
        <w:behaviors>
          <w:behavior w:val="content"/>
        </w:behaviors>
        <w:guid w:val="{A267421C-3C2D-4205-90B4-C0DB2BE9C20A}"/>
      </w:docPartPr>
      <w:docPartBody>
        <w:p w:rsidR="00754B29" w:rsidRDefault="00F06B6E">
          <w:pPr>
            <w:pStyle w:val="680F725D0D5A41389710F15F27C7F292"/>
          </w:pPr>
          <w:r w:rsidRPr="005C44BE">
            <w:rPr>
              <w:rStyle w:val="PlaceholderText"/>
            </w:rPr>
            <w:t>Click or tap here to enter text.</w:t>
          </w:r>
        </w:p>
      </w:docPartBody>
    </w:docPart>
    <w:docPart>
      <w:docPartPr>
        <w:name w:val="94A2D999179D4B6BB71D684A32713FEA"/>
        <w:category>
          <w:name w:val="General"/>
          <w:gallery w:val="placeholder"/>
        </w:category>
        <w:types>
          <w:type w:val="bbPlcHdr"/>
        </w:types>
        <w:behaviors>
          <w:behavior w:val="content"/>
        </w:behaviors>
        <w:guid w:val="{D8EECBDC-EFDE-4D53-B508-60842187DE1D}"/>
      </w:docPartPr>
      <w:docPartBody>
        <w:p w:rsidR="00754B29" w:rsidRDefault="00F06B6E">
          <w:pPr>
            <w:pStyle w:val="94A2D999179D4B6BB71D684A32713FEA"/>
          </w:pPr>
          <w:r w:rsidRPr="005C44BE">
            <w:rPr>
              <w:rStyle w:val="PlaceholderText"/>
            </w:rPr>
            <w:t>Click or tap here to enter text.</w:t>
          </w:r>
        </w:p>
      </w:docPartBody>
    </w:docPart>
    <w:docPart>
      <w:docPartPr>
        <w:name w:val="7E822B7BCE404032A12460DE7BA02FB3"/>
        <w:category>
          <w:name w:val="General"/>
          <w:gallery w:val="placeholder"/>
        </w:category>
        <w:types>
          <w:type w:val="bbPlcHdr"/>
        </w:types>
        <w:behaviors>
          <w:behavior w:val="content"/>
        </w:behaviors>
        <w:guid w:val="{413D8C10-A25D-433C-B67E-91BFA61CD3B1}"/>
      </w:docPartPr>
      <w:docPartBody>
        <w:p w:rsidR="00754B29" w:rsidRDefault="00F06B6E">
          <w:pPr>
            <w:pStyle w:val="7E822B7BCE404032A12460DE7BA02FB3"/>
          </w:pPr>
          <w:r w:rsidRPr="005C44BE">
            <w:rPr>
              <w:rStyle w:val="PlaceholderText"/>
            </w:rPr>
            <w:t>Click or tap here to enter text.</w:t>
          </w:r>
        </w:p>
      </w:docPartBody>
    </w:docPart>
    <w:docPart>
      <w:docPartPr>
        <w:name w:val="DFCE0D280C91472E8F9DA86004D6FA86"/>
        <w:category>
          <w:name w:val="General"/>
          <w:gallery w:val="placeholder"/>
        </w:category>
        <w:types>
          <w:type w:val="bbPlcHdr"/>
        </w:types>
        <w:behaviors>
          <w:behavior w:val="content"/>
        </w:behaviors>
        <w:guid w:val="{1DD74E90-0011-4EDE-BA2E-5A06E31CAD36}"/>
      </w:docPartPr>
      <w:docPartBody>
        <w:p w:rsidR="00754B29" w:rsidRDefault="00F06B6E">
          <w:pPr>
            <w:pStyle w:val="DFCE0D280C91472E8F9DA86004D6FA8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E"/>
    <w:rsid w:val="00123F03"/>
    <w:rsid w:val="001F5DF2"/>
    <w:rsid w:val="00710283"/>
    <w:rsid w:val="00754B29"/>
    <w:rsid w:val="00A76C6E"/>
    <w:rsid w:val="00BF4F1B"/>
    <w:rsid w:val="00C91A95"/>
    <w:rsid w:val="00F06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C6E"/>
    <w:rPr>
      <w:color w:val="808080"/>
    </w:rPr>
  </w:style>
  <w:style w:type="paragraph" w:customStyle="1" w:styleId="B1842098355B4BE395C54A978C7ED989">
    <w:name w:val="B1842098355B4BE395C54A978C7ED989"/>
  </w:style>
  <w:style w:type="paragraph" w:customStyle="1" w:styleId="680F725D0D5A41389710F15F27C7F292">
    <w:name w:val="680F725D0D5A41389710F15F27C7F292"/>
  </w:style>
  <w:style w:type="paragraph" w:customStyle="1" w:styleId="94A2D999179D4B6BB71D684A32713FEA">
    <w:name w:val="94A2D999179D4B6BB71D684A32713FEA"/>
  </w:style>
  <w:style w:type="paragraph" w:customStyle="1" w:styleId="7E822B7BCE404032A12460DE7BA02FB3">
    <w:name w:val="7E822B7BCE404032A12460DE7BA02FB3"/>
  </w:style>
  <w:style w:type="paragraph" w:customStyle="1" w:styleId="DFCE0D280C91472E8F9DA86004D6FA86">
    <w:name w:val="DFCE0D280C91472E8F9DA86004D6FA86"/>
  </w:style>
  <w:style w:type="paragraph" w:customStyle="1" w:styleId="D1073FD7E8B143B0B272E95B2D19025E">
    <w:name w:val="D1073FD7E8B143B0B272E95B2D19025E"/>
    <w:rsid w:val="00A76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Georges (Liquidator), in the Matter of SIRA Pty Ltd (In Liquidation) [2022] FCA 768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7B7C73F1-81EF-4241-9B8E-0DF53141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7</Pages>
  <Words>2131</Words>
  <Characters>10850</Characters>
  <Application>Microsoft Office Word</Application>
  <DocSecurity>0</DocSecurity>
  <Lines>258</Lines>
  <Paragraphs>105</Paragraphs>
  <ScaleCrop>false</ScaleCrop>
  <HeadingPairs>
    <vt:vector size="2" baseType="variant">
      <vt:variant>
        <vt:lpstr>Title</vt:lpstr>
      </vt:variant>
      <vt:variant>
        <vt:i4>1</vt:i4>
      </vt:variant>
    </vt:vector>
  </HeadingPairs>
  <TitlesOfParts>
    <vt:vector size="1" baseType="lpstr">
      <vt:lpstr>Georges (Liquidator), in the Matter of SIRA Pty Ltd (In Liquidation) [2022] FCA 768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 (Liquidator), in the Matter of SIRA Pty Ltd (In Liquidation) [2022] FCA 768</dc:title>
  <dc:creator>Federal Court of Australia</dc:creator>
  <dc:description/>
  <cp:lastModifiedBy>Federal Court of Australia</cp:lastModifiedBy>
  <cp:revision>3</cp:revision>
  <cp:lastPrinted>2022-07-01T06:00:00Z</cp:lastPrinted>
  <dcterms:created xsi:type="dcterms:W3CDTF">2022-07-01T06:14:00Z</dcterms:created>
  <dcterms:modified xsi:type="dcterms:W3CDTF">2022-07-01T06:15:00Z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Melbourne</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