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4402EC" w:rsidP="00A22932">
      <w:pPr>
        <w:pStyle w:val="CourtTitle"/>
      </w:pPr>
      <w:r>
        <w:rPr>
          <w:caps w:val="0"/>
        </w:rPr>
        <w:t>FEDERAL COURT OF AUSTRALIA</w:t>
      </w:r>
    </w:p>
    <w:p w:rsidR="004D7950" w:rsidRDefault="004D7950">
      <w:pPr>
        <w:pStyle w:val="NormalHeadings"/>
        <w:jc w:val="center"/>
        <w:rPr>
          <w:sz w:val="32"/>
        </w:rPr>
      </w:pPr>
    </w:p>
    <w:bookmarkStart w:id="0" w:name="MNC"/>
    <w:p w:rsidR="00374CC4" w:rsidRDefault="004402EC" w:rsidP="001A2B40">
      <w:pPr>
        <w:pStyle w:val="MNC"/>
      </w:pPr>
      <w:sdt>
        <w:sdtPr>
          <w:alias w:val="MNC"/>
          <w:tag w:val="MNC"/>
          <w:id w:val="343289786"/>
          <w:lock w:val="sdtLocked"/>
          <w:placeholder>
            <w:docPart w:val="17DCC1D4A0F1473DA44EA6C6845AE9CD"/>
          </w:placeholder>
          <w:dataBinding w:prefixMappings="xmlns:ns0='http://schemas.globalmacros.com/FCA'" w:xpath="/ns0:root[1]/ns0:Name[1]" w:storeItemID="{687E7CCB-4AA5-44E7-B148-17BA2B6F57C0}"/>
          <w:text w:multiLine="1"/>
        </w:sdtPr>
        <w:sdtEndPr/>
        <w:sdtContent>
          <w:r w:rsidR="00C61F01">
            <w:t>Holland v BT Securities Limited [2022] FCA</w:t>
          </w:r>
          <w:r w:rsidR="00144978">
            <w:t xml:space="preserve"> 539</w:t>
          </w:r>
        </w:sdtContent>
      </w:sdt>
      <w:bookmarkEnd w:id="0"/>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rsidTr="00C61F01">
        <w:tc>
          <w:tcPr>
            <w:tcW w:w="3083"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C61F01" w:rsidRDefault="00B43B53" w:rsidP="00C61F01">
            <w:pPr>
              <w:pStyle w:val="Normal1linespace"/>
              <w:jc w:val="left"/>
            </w:pPr>
            <w:fldSimple w:instr=" REF  FileNo  \* MERGEFORMAT " w:fldLock="1">
              <w:r w:rsidR="00C61F01" w:rsidRPr="00C61F01">
                <w:t>SAD 162 of 2021</w:t>
              </w:r>
            </w:fldSimple>
          </w:p>
        </w:tc>
      </w:tr>
      <w:tr w:rsidR="00395B24" w:rsidTr="00C61F01">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61F01">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C61F01">
              <w:rPr>
                <w:b/>
              </w:rPr>
              <w:fldChar w:fldCharType="begin" w:fldLock="1"/>
            </w:r>
            <w:r w:rsidRPr="00C61F01">
              <w:rPr>
                <w:b/>
              </w:rPr>
              <w:instrText xml:space="preserve"> REF  Judge  \* MERGEFORMAT </w:instrText>
            </w:r>
            <w:r w:rsidRPr="00C61F01">
              <w:rPr>
                <w:b/>
              </w:rPr>
              <w:fldChar w:fldCharType="separate"/>
            </w:r>
            <w:r w:rsidR="00C61F01" w:rsidRPr="00C61F01">
              <w:rPr>
                <w:b/>
                <w:caps/>
                <w:szCs w:val="24"/>
              </w:rPr>
              <w:t>O'SULLIVAN J</w:t>
            </w:r>
            <w:r w:rsidRPr="00C61F01">
              <w:rPr>
                <w:b/>
              </w:rPr>
              <w:fldChar w:fldCharType="end"/>
            </w:r>
          </w:p>
        </w:tc>
      </w:tr>
      <w:tr w:rsidR="00395B24" w:rsidTr="00C61F01">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61F01">
        <w:tc>
          <w:tcPr>
            <w:tcW w:w="3083"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986E00" w:rsidP="00986E00">
            <w:pPr>
              <w:pStyle w:val="Normal1linespace"/>
              <w:widowControl w:val="0"/>
              <w:jc w:val="left"/>
            </w:pPr>
            <w:bookmarkStart w:id="1" w:name="JudgmentDate"/>
            <w:r>
              <w:t>13 May 2022</w:t>
            </w:r>
            <w:bookmarkEnd w:id="1"/>
          </w:p>
        </w:tc>
      </w:tr>
      <w:tr w:rsidR="00395B24" w:rsidTr="00C61F01">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61F01">
        <w:tc>
          <w:tcPr>
            <w:tcW w:w="3083"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C61F01" w:rsidRPr="00C61F01" w:rsidRDefault="00C61F01" w:rsidP="00C61F01">
            <w:pPr>
              <w:pStyle w:val="Normal1linespace"/>
              <w:rPr>
                <w:bCs/>
              </w:rPr>
            </w:pPr>
            <w:bookmarkStart w:id="2" w:name="Catchwords"/>
            <w:r w:rsidRPr="00C61F01">
              <w:rPr>
                <w:b/>
                <w:bCs/>
              </w:rPr>
              <w:t>PRACTICE AND PROCEDURE</w:t>
            </w:r>
            <w:r w:rsidRPr="00C61F01">
              <w:rPr>
                <w:bCs/>
              </w:rPr>
              <w:t xml:space="preserve"> – interlocutory application – application for discovery pursuant to r 20.13 of the </w:t>
            </w:r>
            <w:r w:rsidRPr="00C61F01">
              <w:rPr>
                <w:bCs/>
                <w:i/>
              </w:rPr>
              <w:t xml:space="preserve">Federal Court Rules 2011 </w:t>
            </w:r>
            <w:r w:rsidRPr="00C61F01">
              <w:rPr>
                <w:bCs/>
              </w:rPr>
              <w:t>(Cth) – whether the making of the order sought will facilitate the just resolution of the proceedings as quickly, inexpensively and efficiently as possible – whether the order sought will require a party to discover documents that are directly relevant – where the respondent discovered documents understood to be in use at the relevant time – where the remaining documents were unable to be located and/or do not exist – application dismissed</w:t>
            </w:r>
          </w:p>
          <w:p w:rsidR="00C61F01" w:rsidRPr="00C61F01" w:rsidRDefault="00C61F01" w:rsidP="00C61F01">
            <w:pPr>
              <w:pStyle w:val="Normal1linespace"/>
              <w:rPr>
                <w:bCs/>
              </w:rPr>
            </w:pPr>
          </w:p>
          <w:p w:rsidR="00395B24" w:rsidRDefault="00C61F01" w:rsidP="00C61F01">
            <w:pPr>
              <w:pStyle w:val="Normal1linespace"/>
              <w:widowControl w:val="0"/>
              <w:jc w:val="left"/>
            </w:pPr>
            <w:r w:rsidRPr="00C61F01">
              <w:rPr>
                <w:b/>
                <w:bCs/>
              </w:rPr>
              <w:t>PRACTICE AND PROCEDURE</w:t>
            </w:r>
            <w:r w:rsidRPr="00C61F01">
              <w:rPr>
                <w:bCs/>
              </w:rPr>
              <w:t xml:space="preserve"> – interlocutory application – application </w:t>
            </w:r>
            <w:r w:rsidRPr="00C61F01">
              <w:t xml:space="preserve">seeking leave of the Court to amend the statement of claim pursuant to r 16.53 of the </w:t>
            </w:r>
            <w:r w:rsidRPr="00C61F01">
              <w:rPr>
                <w:bCs/>
                <w:i/>
              </w:rPr>
              <w:t xml:space="preserve">Federal Court Rules 2011 </w:t>
            </w:r>
            <w:r w:rsidRPr="00C61F01">
              <w:rPr>
                <w:bCs/>
              </w:rPr>
              <w:t>(Cth) – where some amendments were not opposed – where some amendments failed to disclose a reasonable cause of action – leave granted for amendments in the terms of paragraphs 4 to 6 and 12 – leave to amend remaining paragraphs refused</w:t>
            </w:r>
            <w:bookmarkEnd w:id="2"/>
          </w:p>
        </w:tc>
      </w:tr>
      <w:tr w:rsidR="00395B24" w:rsidTr="00C61F01">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61F01">
        <w:tc>
          <w:tcPr>
            <w:tcW w:w="3083"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986E00" w:rsidRDefault="00986E00" w:rsidP="00986E00">
            <w:pPr>
              <w:pStyle w:val="CasesLegislationAppealFrom"/>
              <w:spacing w:after="60"/>
            </w:pPr>
            <w:bookmarkStart w:id="3" w:name="Legislation"/>
            <w:r w:rsidRPr="00CA05A5">
              <w:rPr>
                <w:i/>
                <w:lang w:eastAsia="en-AU"/>
              </w:rPr>
              <w:t xml:space="preserve">Australian Securities and Investments Commission Act </w:t>
            </w:r>
            <w:r w:rsidRPr="00810B2B">
              <w:rPr>
                <w:i/>
                <w:lang w:eastAsia="en-AU"/>
              </w:rPr>
              <w:t xml:space="preserve">2001 </w:t>
            </w:r>
            <w:r w:rsidRPr="00810B2B">
              <w:rPr>
                <w:lang w:eastAsia="en-AU"/>
              </w:rPr>
              <w:t>(Cth)</w:t>
            </w:r>
          </w:p>
          <w:p w:rsidR="008737DE" w:rsidRDefault="008737DE" w:rsidP="008C536A">
            <w:pPr>
              <w:pStyle w:val="CasesLegislationAppealFrom"/>
              <w:spacing w:after="60"/>
              <w:rPr>
                <w:i/>
              </w:rPr>
            </w:pPr>
            <w:r w:rsidRPr="00A1346D">
              <w:rPr>
                <w:i/>
              </w:rPr>
              <w:t>Corporations Act 2001</w:t>
            </w:r>
            <w:r>
              <w:t xml:space="preserve"> (Cth)</w:t>
            </w:r>
          </w:p>
          <w:p w:rsidR="008C536A" w:rsidRDefault="008C536A" w:rsidP="008C536A">
            <w:pPr>
              <w:pStyle w:val="CasesLegislationAppealFrom"/>
              <w:spacing w:after="60"/>
            </w:pPr>
            <w:r w:rsidRPr="00D47620">
              <w:rPr>
                <w:i/>
              </w:rPr>
              <w:t>Federal Court of Australia Act 1976</w:t>
            </w:r>
            <w:r w:rsidRPr="00D47620">
              <w:t xml:space="preserve"> (Cth)</w:t>
            </w:r>
            <w:r>
              <w:t>, s 37M</w:t>
            </w:r>
          </w:p>
          <w:p w:rsidR="00986E00" w:rsidRDefault="008E1556" w:rsidP="00D82620">
            <w:pPr>
              <w:pStyle w:val="CasesLegislationAppealFrom"/>
              <w:spacing w:after="60"/>
            </w:pPr>
            <w:r w:rsidRPr="006949F1">
              <w:rPr>
                <w:i/>
              </w:rPr>
              <w:t>Federal Court Rules 2011</w:t>
            </w:r>
            <w:r w:rsidRPr="00BD605C">
              <w:t xml:space="preserve"> (Cth)</w:t>
            </w:r>
            <w:r>
              <w:t xml:space="preserve">, rr 16.21, 16.53, 20.13, </w:t>
            </w:r>
            <w:r w:rsidRPr="00D47620">
              <w:t>20.14(1)</w:t>
            </w:r>
            <w:r>
              <w:t xml:space="preserve"> &amp; (2)</w:t>
            </w:r>
          </w:p>
          <w:p w:rsidR="00395B24" w:rsidRDefault="00986E00" w:rsidP="00986E00">
            <w:pPr>
              <w:pStyle w:val="CasesLegislationAppealFrom"/>
              <w:spacing w:after="60"/>
            </w:pPr>
            <w:r w:rsidRPr="008147CF">
              <w:rPr>
                <w:i/>
              </w:rPr>
              <w:t xml:space="preserve">Stamp Duties Act 1920 </w:t>
            </w:r>
            <w:r w:rsidRPr="00600788">
              <w:t>(NSW) s</w:t>
            </w:r>
            <w:r>
              <w:t xml:space="preserve"> 29</w:t>
            </w:r>
            <w:r w:rsidR="002C7385">
              <w:t xml:space="preserve"> </w:t>
            </w:r>
            <w:bookmarkEnd w:id="3"/>
          </w:p>
        </w:tc>
      </w:tr>
      <w:tr w:rsidR="00395B24" w:rsidTr="00C61F01">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61F01">
        <w:tc>
          <w:tcPr>
            <w:tcW w:w="3083"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986E00" w:rsidRDefault="00986E00" w:rsidP="00D82620">
            <w:pPr>
              <w:pStyle w:val="CasesLegislationAppealFrom"/>
              <w:spacing w:after="60"/>
              <w:rPr>
                <w:color w:val="000000" w:themeColor="text1"/>
              </w:rPr>
            </w:pPr>
            <w:bookmarkStart w:id="4" w:name="Cases_Cited"/>
            <w:r w:rsidRPr="00986E00">
              <w:rPr>
                <w:i/>
                <w:color w:val="000000" w:themeColor="text1"/>
              </w:rPr>
              <w:t>Abela v Giew</w:t>
            </w:r>
            <w:r w:rsidRPr="00986E00">
              <w:rPr>
                <w:color w:val="000000" w:themeColor="text1"/>
              </w:rPr>
              <w:t xml:space="preserve"> (1964) 81 WN (Pt 1) (NSW) 344</w:t>
            </w:r>
          </w:p>
          <w:p w:rsidR="008E1556" w:rsidRDefault="008E1556" w:rsidP="00D82620">
            <w:pPr>
              <w:pStyle w:val="CasesLegislationAppealFrom"/>
              <w:spacing w:after="60"/>
              <w:rPr>
                <w:color w:val="000000" w:themeColor="text1"/>
              </w:rPr>
            </w:pPr>
            <w:r w:rsidRPr="00DB6F8D">
              <w:rPr>
                <w:i/>
                <w:color w:val="000000" w:themeColor="text1"/>
              </w:rPr>
              <w:t xml:space="preserve">Allstate Life Insurance Co v Australian &amp; New Zealand Banking Group Ltd </w:t>
            </w:r>
            <w:r w:rsidRPr="00DB6F8D">
              <w:rPr>
                <w:color w:val="000000" w:themeColor="text1"/>
              </w:rPr>
              <w:t xml:space="preserve">(1995) </w:t>
            </w:r>
            <w:r>
              <w:rPr>
                <w:color w:val="000000" w:themeColor="text1"/>
              </w:rPr>
              <w:t>58 FCR 26; 130 ALR 469</w:t>
            </w:r>
          </w:p>
          <w:p w:rsidR="008E1556" w:rsidRDefault="008E1556" w:rsidP="00D82620">
            <w:pPr>
              <w:pStyle w:val="CasesLegislationAppealFrom"/>
              <w:spacing w:after="60"/>
            </w:pPr>
            <w:r w:rsidRPr="00D47620">
              <w:rPr>
                <w:i/>
              </w:rPr>
              <w:t>Construction, Forest</w:t>
            </w:r>
            <w:r>
              <w:rPr>
                <w:i/>
              </w:rPr>
              <w:t>ry, Mining and Energy Union v BH</w:t>
            </w:r>
            <w:r w:rsidRPr="00D47620">
              <w:rPr>
                <w:i/>
              </w:rPr>
              <w:t>P Coal Pty Ltd (No 2)</w:t>
            </w:r>
            <w:r w:rsidRPr="00D47620">
              <w:t xml:space="preserve"> [2011] FCA 1396</w:t>
            </w:r>
          </w:p>
          <w:p w:rsidR="00986E00" w:rsidRPr="00986E00" w:rsidRDefault="00986E00" w:rsidP="00986E00">
            <w:pPr>
              <w:pStyle w:val="CasesLegislationAppealFrom"/>
              <w:spacing w:after="60"/>
              <w:rPr>
                <w:color w:val="000000" w:themeColor="text1"/>
              </w:rPr>
            </w:pPr>
            <w:r w:rsidRPr="00986E00">
              <w:rPr>
                <w:i/>
                <w:color w:val="000000" w:themeColor="text1"/>
              </w:rPr>
              <w:t>Dennis v Brownlee</w:t>
            </w:r>
            <w:r w:rsidRPr="00986E00">
              <w:rPr>
                <w:color w:val="000000" w:themeColor="text1"/>
              </w:rPr>
              <w:t xml:space="preserve"> (1963) 80 WN (NSW) 1239</w:t>
            </w:r>
          </w:p>
          <w:p w:rsidR="008E1556" w:rsidRDefault="008E1556" w:rsidP="00D82620">
            <w:pPr>
              <w:pStyle w:val="CasesLegislationAppealFrom"/>
              <w:spacing w:after="60"/>
              <w:rPr>
                <w:color w:val="000000" w:themeColor="text1"/>
              </w:rPr>
            </w:pPr>
            <w:r w:rsidRPr="00DB6F8D">
              <w:rPr>
                <w:i/>
                <w:color w:val="000000" w:themeColor="text1"/>
              </w:rPr>
              <w:t>Dye v Commonwealth Securities Ltd</w:t>
            </w:r>
            <w:r w:rsidRPr="00DB6F8D">
              <w:rPr>
                <w:color w:val="000000" w:themeColor="text1"/>
              </w:rPr>
              <w:t xml:space="preserve"> [2010] FCA 720</w:t>
            </w:r>
          </w:p>
          <w:p w:rsidR="00395B24" w:rsidRPr="00986E00" w:rsidRDefault="008E1556" w:rsidP="008E1556">
            <w:pPr>
              <w:pStyle w:val="CasesLegislationAppealFrom"/>
              <w:spacing w:after="60"/>
            </w:pPr>
            <w:r w:rsidRPr="008147CF">
              <w:rPr>
                <w:i/>
              </w:rPr>
              <w:lastRenderedPageBreak/>
              <w:t>Pitman v Johnson</w:t>
            </w:r>
            <w:r w:rsidRPr="00600788">
              <w:t xml:space="preserve"> [2017] FCA 945</w:t>
            </w:r>
            <w:bookmarkEnd w:id="4"/>
          </w:p>
        </w:tc>
      </w:tr>
      <w:tr w:rsidR="00C61F01" w:rsidTr="00C61F01">
        <w:tc>
          <w:tcPr>
            <w:tcW w:w="3083" w:type="dxa"/>
            <w:shd w:val="clear" w:color="auto" w:fill="auto"/>
          </w:tcPr>
          <w:p w:rsidR="00C61F01" w:rsidRDefault="00C61F01" w:rsidP="00672F6E">
            <w:pPr>
              <w:pStyle w:val="Normal1linespace"/>
              <w:widowControl w:val="0"/>
            </w:pPr>
          </w:p>
        </w:tc>
        <w:tc>
          <w:tcPr>
            <w:tcW w:w="5989" w:type="dxa"/>
            <w:shd w:val="clear" w:color="auto" w:fill="auto"/>
          </w:tcPr>
          <w:p w:rsidR="00C61F01" w:rsidRDefault="00C61F01" w:rsidP="00672F6E">
            <w:pPr>
              <w:pStyle w:val="Normal1linespace"/>
              <w:widowControl w:val="0"/>
              <w:jc w:val="left"/>
            </w:pPr>
          </w:p>
        </w:tc>
      </w:tr>
      <w:tr w:rsidR="00C61F01" w:rsidTr="00C61F01">
        <w:tc>
          <w:tcPr>
            <w:tcW w:w="3083" w:type="dxa"/>
            <w:shd w:val="clear" w:color="auto" w:fill="auto"/>
          </w:tcPr>
          <w:p w:rsidR="00C61F01" w:rsidRDefault="00C61F01" w:rsidP="00501A12">
            <w:pPr>
              <w:pStyle w:val="Normal1linespace"/>
              <w:widowControl w:val="0"/>
            </w:pPr>
            <w:r>
              <w:t>Division:</w:t>
            </w:r>
          </w:p>
        </w:tc>
        <w:tc>
          <w:tcPr>
            <w:tcW w:w="5989" w:type="dxa"/>
            <w:shd w:val="clear" w:color="auto" w:fill="auto"/>
          </w:tcPr>
          <w:p w:rsidR="00C61F01" w:rsidRPr="00F17599" w:rsidRDefault="00C61F01" w:rsidP="00501A12">
            <w:pPr>
              <w:pStyle w:val="Normal1linespace"/>
              <w:widowControl w:val="0"/>
              <w:jc w:val="left"/>
            </w:pPr>
            <w:r>
              <w:t>General Division</w:t>
            </w:r>
          </w:p>
        </w:tc>
      </w:tr>
      <w:tr w:rsidR="00C61F01" w:rsidTr="00C61F01">
        <w:tc>
          <w:tcPr>
            <w:tcW w:w="3083" w:type="dxa"/>
            <w:shd w:val="clear" w:color="auto" w:fill="auto"/>
          </w:tcPr>
          <w:p w:rsidR="00C61F01" w:rsidRDefault="00C61F01" w:rsidP="00501A12">
            <w:pPr>
              <w:pStyle w:val="Normal1linespace"/>
              <w:widowControl w:val="0"/>
            </w:pPr>
            <w:bookmarkStart w:id="5" w:name="Registry_rows" w:colFirst="0" w:colLast="1"/>
          </w:p>
        </w:tc>
        <w:tc>
          <w:tcPr>
            <w:tcW w:w="5989" w:type="dxa"/>
            <w:shd w:val="clear" w:color="auto" w:fill="auto"/>
          </w:tcPr>
          <w:p w:rsidR="00C61F01" w:rsidRDefault="00C61F01" w:rsidP="00501A12">
            <w:pPr>
              <w:pStyle w:val="Normal1linespace"/>
              <w:widowControl w:val="0"/>
              <w:jc w:val="left"/>
            </w:pPr>
          </w:p>
        </w:tc>
      </w:tr>
      <w:tr w:rsidR="00C61F01" w:rsidTr="00C61F01">
        <w:tc>
          <w:tcPr>
            <w:tcW w:w="3083" w:type="dxa"/>
            <w:shd w:val="clear" w:color="auto" w:fill="auto"/>
          </w:tcPr>
          <w:p w:rsidR="00C61F01" w:rsidRDefault="00C61F01" w:rsidP="00501A12">
            <w:pPr>
              <w:pStyle w:val="Normal1linespace"/>
              <w:widowControl w:val="0"/>
            </w:pPr>
            <w:r>
              <w:t>Registry:</w:t>
            </w:r>
          </w:p>
        </w:tc>
        <w:tc>
          <w:tcPr>
            <w:tcW w:w="5989" w:type="dxa"/>
            <w:shd w:val="clear" w:color="auto" w:fill="auto"/>
          </w:tcPr>
          <w:p w:rsidR="00C61F01" w:rsidRPr="00F17599" w:rsidRDefault="00C61F01" w:rsidP="00501A12">
            <w:pPr>
              <w:pStyle w:val="Normal1linespace"/>
              <w:widowControl w:val="0"/>
              <w:jc w:val="left"/>
            </w:pPr>
            <w:r>
              <w:t>South Australia</w:t>
            </w:r>
          </w:p>
        </w:tc>
      </w:tr>
      <w:tr w:rsidR="00C61F01" w:rsidTr="00C61F01">
        <w:tc>
          <w:tcPr>
            <w:tcW w:w="3083" w:type="dxa"/>
            <w:shd w:val="clear" w:color="auto" w:fill="auto"/>
          </w:tcPr>
          <w:p w:rsidR="00C61F01" w:rsidRDefault="00C61F01" w:rsidP="00501A12">
            <w:pPr>
              <w:pStyle w:val="Normal1linespace"/>
              <w:widowControl w:val="0"/>
            </w:pPr>
            <w:bookmarkStart w:id="6" w:name="NPARow" w:colFirst="0" w:colLast="1"/>
            <w:bookmarkEnd w:id="5"/>
          </w:p>
        </w:tc>
        <w:tc>
          <w:tcPr>
            <w:tcW w:w="5989" w:type="dxa"/>
            <w:shd w:val="clear" w:color="auto" w:fill="auto"/>
          </w:tcPr>
          <w:p w:rsidR="00C61F01" w:rsidRPr="00F17599" w:rsidRDefault="00C61F01" w:rsidP="00501A12">
            <w:pPr>
              <w:pStyle w:val="Normal1linespace"/>
              <w:widowControl w:val="0"/>
              <w:jc w:val="left"/>
              <w:rPr>
                <w:b/>
              </w:rPr>
            </w:pPr>
          </w:p>
        </w:tc>
      </w:tr>
      <w:tr w:rsidR="00C61F01" w:rsidTr="00C61F01">
        <w:tc>
          <w:tcPr>
            <w:tcW w:w="3083" w:type="dxa"/>
            <w:shd w:val="clear" w:color="auto" w:fill="auto"/>
          </w:tcPr>
          <w:p w:rsidR="00C61F01" w:rsidRDefault="00C61F01" w:rsidP="00501A12">
            <w:pPr>
              <w:pStyle w:val="Normal1linespace"/>
              <w:widowControl w:val="0"/>
            </w:pPr>
            <w:r>
              <w:t>National Practice Area:</w:t>
            </w:r>
          </w:p>
        </w:tc>
        <w:tc>
          <w:tcPr>
            <w:tcW w:w="5989" w:type="dxa"/>
            <w:shd w:val="clear" w:color="auto" w:fill="auto"/>
          </w:tcPr>
          <w:p w:rsidR="00C61F01" w:rsidRPr="00F17599" w:rsidRDefault="00C61F01" w:rsidP="00672F6E">
            <w:pPr>
              <w:pStyle w:val="Normal1linespace"/>
              <w:widowControl w:val="0"/>
              <w:jc w:val="left"/>
              <w:rPr>
                <w:b/>
              </w:rPr>
            </w:pPr>
            <w:r>
              <w:t>Commercial and Corporations</w:t>
            </w:r>
          </w:p>
        </w:tc>
      </w:tr>
      <w:tr w:rsidR="00C61F01" w:rsidTr="00C61F01">
        <w:tc>
          <w:tcPr>
            <w:tcW w:w="3083" w:type="dxa"/>
            <w:shd w:val="clear" w:color="auto" w:fill="auto"/>
          </w:tcPr>
          <w:p w:rsidR="00C61F01" w:rsidRDefault="00C61F01" w:rsidP="00501A12">
            <w:pPr>
              <w:pStyle w:val="Normal1linespace"/>
              <w:widowControl w:val="0"/>
            </w:pPr>
            <w:bookmarkStart w:id="7" w:name="SubAreaRow" w:colFirst="0" w:colLast="1"/>
            <w:bookmarkEnd w:id="6"/>
          </w:p>
        </w:tc>
        <w:tc>
          <w:tcPr>
            <w:tcW w:w="5989" w:type="dxa"/>
            <w:shd w:val="clear" w:color="auto" w:fill="auto"/>
          </w:tcPr>
          <w:p w:rsidR="00C61F01" w:rsidRDefault="00C61F01" w:rsidP="00672F6E">
            <w:pPr>
              <w:pStyle w:val="Normal1linespace"/>
              <w:widowControl w:val="0"/>
              <w:jc w:val="left"/>
            </w:pPr>
          </w:p>
        </w:tc>
      </w:tr>
      <w:tr w:rsidR="00C61F01" w:rsidTr="00C61F01">
        <w:tc>
          <w:tcPr>
            <w:tcW w:w="3083" w:type="dxa"/>
            <w:shd w:val="clear" w:color="auto" w:fill="auto"/>
          </w:tcPr>
          <w:p w:rsidR="00C61F01" w:rsidRDefault="00C61F01" w:rsidP="00501A12">
            <w:pPr>
              <w:pStyle w:val="Normal1linespace"/>
              <w:widowControl w:val="0"/>
            </w:pPr>
            <w:r>
              <w:t>Sub-area:</w:t>
            </w:r>
          </w:p>
        </w:tc>
        <w:tc>
          <w:tcPr>
            <w:tcW w:w="5989" w:type="dxa"/>
            <w:shd w:val="clear" w:color="auto" w:fill="auto"/>
          </w:tcPr>
          <w:p w:rsidR="00C61F01" w:rsidRPr="00837288" w:rsidRDefault="00C61F01" w:rsidP="00672F6E">
            <w:pPr>
              <w:pStyle w:val="Normal1linespace"/>
              <w:widowControl w:val="0"/>
              <w:jc w:val="left"/>
            </w:pPr>
            <w:r w:rsidRPr="00C61F01">
              <w:rPr>
                <w:lang w:val="en-US"/>
              </w:rPr>
              <w:t>Corporations and Corporate</w:t>
            </w:r>
            <w:r>
              <w:t xml:space="preserve"> Insolvency</w:t>
            </w:r>
          </w:p>
        </w:tc>
      </w:tr>
      <w:bookmarkEnd w:id="7"/>
      <w:tr w:rsidR="00C61F01" w:rsidTr="00C61F01">
        <w:tc>
          <w:tcPr>
            <w:tcW w:w="3083" w:type="dxa"/>
            <w:shd w:val="clear" w:color="auto" w:fill="auto"/>
          </w:tcPr>
          <w:p w:rsidR="00C61F01" w:rsidRDefault="00C61F01" w:rsidP="00501A12">
            <w:pPr>
              <w:pStyle w:val="Normal1linespace"/>
              <w:widowControl w:val="0"/>
            </w:pPr>
          </w:p>
        </w:tc>
        <w:tc>
          <w:tcPr>
            <w:tcW w:w="5989" w:type="dxa"/>
            <w:shd w:val="clear" w:color="auto" w:fill="auto"/>
          </w:tcPr>
          <w:p w:rsidR="00C61F01" w:rsidRDefault="00C61F01" w:rsidP="00501A12">
            <w:pPr>
              <w:pStyle w:val="Normal1linespace"/>
              <w:widowControl w:val="0"/>
              <w:jc w:val="left"/>
            </w:pPr>
          </w:p>
        </w:tc>
      </w:tr>
      <w:tr w:rsidR="00C61F01" w:rsidTr="00C61F01">
        <w:tc>
          <w:tcPr>
            <w:tcW w:w="3083" w:type="dxa"/>
            <w:shd w:val="clear" w:color="auto" w:fill="auto"/>
          </w:tcPr>
          <w:p w:rsidR="00C61F01" w:rsidRDefault="00C61F01" w:rsidP="00501A12">
            <w:pPr>
              <w:pStyle w:val="Normal1linespace"/>
              <w:widowControl w:val="0"/>
            </w:pPr>
            <w:r>
              <w:t>Number of paragraphs:</w:t>
            </w:r>
          </w:p>
        </w:tc>
        <w:tc>
          <w:tcPr>
            <w:tcW w:w="5989" w:type="dxa"/>
            <w:shd w:val="clear" w:color="auto" w:fill="auto"/>
          </w:tcPr>
          <w:p w:rsidR="00C61F01" w:rsidRDefault="009F5A3B" w:rsidP="00501A12">
            <w:pPr>
              <w:pStyle w:val="Normal1linespace"/>
              <w:widowControl w:val="0"/>
              <w:jc w:val="left"/>
            </w:pPr>
            <w:bookmarkStart w:id="8" w:name="PlaceCategoryParagraphs"/>
            <w:r>
              <w:t>110</w:t>
            </w:r>
            <w:bookmarkEnd w:id="8"/>
          </w:p>
        </w:tc>
      </w:tr>
      <w:tr w:rsidR="00C61F01" w:rsidTr="00C61F01">
        <w:tc>
          <w:tcPr>
            <w:tcW w:w="3083" w:type="dxa"/>
            <w:shd w:val="clear" w:color="auto" w:fill="auto"/>
          </w:tcPr>
          <w:p w:rsidR="00C61F01" w:rsidRDefault="00C61F01" w:rsidP="00C61F01">
            <w:pPr>
              <w:pStyle w:val="Normal1linespace"/>
              <w:widowControl w:val="0"/>
              <w:jc w:val="left"/>
            </w:pPr>
          </w:p>
        </w:tc>
        <w:tc>
          <w:tcPr>
            <w:tcW w:w="5989" w:type="dxa"/>
            <w:shd w:val="clear" w:color="auto" w:fill="auto"/>
          </w:tcPr>
          <w:p w:rsidR="00C61F01" w:rsidRDefault="00C61F01" w:rsidP="00C61F01">
            <w:pPr>
              <w:pStyle w:val="Normal1linespace"/>
              <w:widowControl w:val="0"/>
              <w:jc w:val="left"/>
            </w:pPr>
          </w:p>
        </w:tc>
      </w:tr>
      <w:tr w:rsidR="00C61F01" w:rsidTr="00C61F01">
        <w:tc>
          <w:tcPr>
            <w:tcW w:w="3083" w:type="dxa"/>
            <w:shd w:val="clear" w:color="auto" w:fill="auto"/>
          </w:tcPr>
          <w:p w:rsidR="00C61F01" w:rsidRDefault="00C61F01" w:rsidP="00C61F01">
            <w:pPr>
              <w:pStyle w:val="Normal1linespace"/>
              <w:widowControl w:val="0"/>
              <w:jc w:val="left"/>
            </w:pPr>
            <w:r>
              <w:t>Date of last submission/s:</w:t>
            </w:r>
          </w:p>
        </w:tc>
        <w:tc>
          <w:tcPr>
            <w:tcW w:w="5989" w:type="dxa"/>
            <w:shd w:val="clear" w:color="auto" w:fill="auto"/>
          </w:tcPr>
          <w:p w:rsidR="00C61F01" w:rsidRDefault="00C61F01" w:rsidP="00C61F01">
            <w:pPr>
              <w:pStyle w:val="Normal1linespace"/>
              <w:widowControl w:val="0"/>
              <w:jc w:val="left"/>
            </w:pPr>
            <w:r>
              <w:t>14 April 2022</w:t>
            </w:r>
          </w:p>
        </w:tc>
      </w:tr>
      <w:tr w:rsidR="00C61F01" w:rsidTr="00C61F01">
        <w:tc>
          <w:tcPr>
            <w:tcW w:w="3083" w:type="dxa"/>
            <w:shd w:val="clear" w:color="auto" w:fill="auto"/>
          </w:tcPr>
          <w:p w:rsidR="00C61F01" w:rsidRDefault="00C61F01" w:rsidP="00C61F01">
            <w:pPr>
              <w:pStyle w:val="Normal1linespace"/>
              <w:widowControl w:val="0"/>
              <w:jc w:val="left"/>
            </w:pPr>
          </w:p>
        </w:tc>
        <w:tc>
          <w:tcPr>
            <w:tcW w:w="5989" w:type="dxa"/>
            <w:shd w:val="clear" w:color="auto" w:fill="auto"/>
          </w:tcPr>
          <w:p w:rsidR="00C61F01" w:rsidRDefault="00C61F01" w:rsidP="00C61F01">
            <w:pPr>
              <w:pStyle w:val="Normal1linespace"/>
              <w:widowControl w:val="0"/>
              <w:jc w:val="left"/>
            </w:pPr>
          </w:p>
        </w:tc>
      </w:tr>
      <w:tr w:rsidR="00C61F01" w:rsidTr="00C61F01">
        <w:tc>
          <w:tcPr>
            <w:tcW w:w="3083" w:type="dxa"/>
            <w:shd w:val="clear" w:color="auto" w:fill="auto"/>
          </w:tcPr>
          <w:p w:rsidR="00C61F01" w:rsidRDefault="00C61F01" w:rsidP="00C61F01">
            <w:pPr>
              <w:pStyle w:val="Normal1linespace"/>
              <w:widowControl w:val="0"/>
              <w:jc w:val="left"/>
            </w:pPr>
            <w:bookmarkStart w:id="9" w:name="CounselDate" w:colFirst="0" w:colLast="2"/>
            <w:r w:rsidRPr="006A24E3">
              <w:t>Date of hearing:</w:t>
            </w:r>
          </w:p>
        </w:tc>
        <w:tc>
          <w:tcPr>
            <w:tcW w:w="5989" w:type="dxa"/>
            <w:shd w:val="clear" w:color="auto" w:fill="auto"/>
          </w:tcPr>
          <w:p w:rsidR="00C61F01" w:rsidRDefault="00C61F01" w:rsidP="00C61F01">
            <w:pPr>
              <w:pStyle w:val="Normal1linespace"/>
              <w:widowControl w:val="0"/>
              <w:jc w:val="left"/>
            </w:pPr>
            <w:bookmarkStart w:id="10" w:name="HearingDate"/>
            <w:r>
              <w:t xml:space="preserve">Determined on the papers </w:t>
            </w:r>
            <w:bookmarkEnd w:id="10"/>
          </w:p>
        </w:tc>
      </w:tr>
      <w:tr w:rsidR="00C61F01" w:rsidTr="00C61F01">
        <w:tc>
          <w:tcPr>
            <w:tcW w:w="3083" w:type="dxa"/>
            <w:shd w:val="clear" w:color="auto" w:fill="auto"/>
          </w:tcPr>
          <w:p w:rsidR="00C61F01" w:rsidRDefault="00C61F01" w:rsidP="00C61F01">
            <w:pPr>
              <w:pStyle w:val="Normal1linespace"/>
              <w:widowControl w:val="0"/>
              <w:jc w:val="left"/>
            </w:pPr>
          </w:p>
        </w:tc>
        <w:tc>
          <w:tcPr>
            <w:tcW w:w="5989" w:type="dxa"/>
            <w:shd w:val="clear" w:color="auto" w:fill="auto"/>
          </w:tcPr>
          <w:p w:rsidR="00C61F01" w:rsidRDefault="00C61F01" w:rsidP="00C61F01">
            <w:pPr>
              <w:pStyle w:val="Normal1linespace"/>
              <w:widowControl w:val="0"/>
              <w:jc w:val="left"/>
            </w:pPr>
          </w:p>
        </w:tc>
      </w:tr>
      <w:tr w:rsidR="00907757" w:rsidTr="00907757">
        <w:tc>
          <w:tcPr>
            <w:tcW w:w="3083" w:type="dxa"/>
            <w:shd w:val="clear" w:color="auto" w:fill="auto"/>
          </w:tcPr>
          <w:p w:rsidR="00907757" w:rsidRDefault="00907757" w:rsidP="00907757">
            <w:pPr>
              <w:pStyle w:val="Normal1linespace"/>
              <w:widowControl w:val="0"/>
              <w:jc w:val="left"/>
            </w:pPr>
            <w:bookmarkStart w:id="11" w:name="Counsel" w:colFirst="0" w:colLast="2"/>
            <w:bookmarkEnd w:id="9"/>
            <w:r>
              <w:t>Counsel for the Plaintiffs:</w:t>
            </w:r>
          </w:p>
        </w:tc>
        <w:tc>
          <w:tcPr>
            <w:tcW w:w="5989" w:type="dxa"/>
            <w:shd w:val="clear" w:color="auto" w:fill="auto"/>
          </w:tcPr>
          <w:p w:rsidR="00907757" w:rsidRDefault="00907757" w:rsidP="00907757">
            <w:pPr>
              <w:pStyle w:val="Normal1linespace"/>
              <w:widowControl w:val="0"/>
              <w:jc w:val="left"/>
            </w:pPr>
            <w:r>
              <w:t>The First and Second Plaintiffs appeared in person</w:t>
            </w:r>
          </w:p>
        </w:tc>
      </w:tr>
      <w:tr w:rsidR="00C61F01" w:rsidTr="00C61F01">
        <w:tc>
          <w:tcPr>
            <w:tcW w:w="3083" w:type="dxa"/>
            <w:shd w:val="clear" w:color="auto" w:fill="auto"/>
          </w:tcPr>
          <w:p w:rsidR="00C61F01" w:rsidRDefault="00C61F01" w:rsidP="00C61F01">
            <w:pPr>
              <w:pStyle w:val="Normal1linespace"/>
              <w:widowControl w:val="0"/>
              <w:jc w:val="left"/>
            </w:pPr>
          </w:p>
        </w:tc>
        <w:tc>
          <w:tcPr>
            <w:tcW w:w="5989" w:type="dxa"/>
            <w:shd w:val="clear" w:color="auto" w:fill="auto"/>
          </w:tcPr>
          <w:p w:rsidR="00C61F01" w:rsidRDefault="00C61F01" w:rsidP="00C61F01">
            <w:pPr>
              <w:pStyle w:val="Normal1linespace"/>
              <w:widowControl w:val="0"/>
              <w:jc w:val="left"/>
            </w:pPr>
          </w:p>
        </w:tc>
      </w:tr>
      <w:tr w:rsidR="00C61F01" w:rsidTr="00C61F01">
        <w:tc>
          <w:tcPr>
            <w:tcW w:w="3083" w:type="dxa"/>
            <w:shd w:val="clear" w:color="auto" w:fill="auto"/>
          </w:tcPr>
          <w:p w:rsidR="00C61F01" w:rsidRDefault="009F5A3B" w:rsidP="00C61F01">
            <w:pPr>
              <w:pStyle w:val="Normal1linespace"/>
              <w:widowControl w:val="0"/>
              <w:jc w:val="left"/>
            </w:pPr>
            <w:r>
              <w:t>Solicitor for the Defendant:</w:t>
            </w:r>
          </w:p>
        </w:tc>
        <w:tc>
          <w:tcPr>
            <w:tcW w:w="5989" w:type="dxa"/>
            <w:shd w:val="clear" w:color="auto" w:fill="auto"/>
          </w:tcPr>
          <w:p w:rsidR="00C61F01" w:rsidRDefault="009F5A3B" w:rsidP="00C61F01">
            <w:pPr>
              <w:pStyle w:val="Normal1linespace"/>
              <w:widowControl w:val="0"/>
              <w:jc w:val="left"/>
            </w:pPr>
            <w:r>
              <w:t>Ms S Newman for Dentons Australia Limited</w:t>
            </w:r>
          </w:p>
        </w:tc>
      </w:tr>
      <w:bookmarkEnd w:id="11"/>
    </w:tbl>
    <w:p w:rsidR="007470BD" w:rsidRDefault="007470BD">
      <w:pPr>
        <w:pStyle w:val="Normal1linespace"/>
      </w:pPr>
    </w:p>
    <w:p w:rsidR="00907757" w:rsidRDefault="00907757">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C61F01" w:rsidP="00F92355">
            <w:pPr>
              <w:pStyle w:val="NormalHeadings"/>
              <w:jc w:val="right"/>
            </w:pPr>
            <w:bookmarkStart w:id="12" w:name="FileNo"/>
            <w:r>
              <w:t>SAD 162 of 2021</w:t>
            </w:r>
            <w:bookmarkEnd w:id="12"/>
          </w:p>
        </w:tc>
      </w:tr>
      <w:tr w:rsidR="00A76C13" w:rsidTr="00672F6E">
        <w:tc>
          <w:tcPr>
            <w:tcW w:w="9242" w:type="dxa"/>
            <w:gridSpan w:val="3"/>
          </w:tcPr>
          <w:p w:rsidR="00A76C13" w:rsidRPr="00A76C13" w:rsidRDefault="00C61F01" w:rsidP="00C61F01">
            <w:pPr>
              <w:pStyle w:val="NormalHeadings"/>
              <w:jc w:val="left"/>
            </w:pPr>
            <w:bookmarkStart w:id="13" w:name="InTheMatterOf"/>
            <w:r>
              <w:t xml:space="preserve"> </w:t>
            </w:r>
            <w:bookmarkEnd w:id="13"/>
          </w:p>
        </w:tc>
      </w:tr>
      <w:tr w:rsidR="00A46CCC" w:rsidTr="00672F6E">
        <w:trPr>
          <w:trHeight w:val="386"/>
        </w:trPr>
        <w:tc>
          <w:tcPr>
            <w:tcW w:w="2376" w:type="dxa"/>
          </w:tcPr>
          <w:p w:rsidR="00A46CCC" w:rsidRDefault="00A46CCC" w:rsidP="00672F6E">
            <w:pPr>
              <w:pStyle w:val="NormalHeadings"/>
              <w:jc w:val="left"/>
              <w:rPr>
                <w:caps/>
                <w:szCs w:val="24"/>
              </w:rPr>
            </w:pPr>
            <w:bookmarkStart w:id="14" w:name="Parties"/>
            <w:r>
              <w:rPr>
                <w:caps/>
                <w:szCs w:val="24"/>
              </w:rPr>
              <w:t>BETWEEN:</w:t>
            </w:r>
          </w:p>
        </w:tc>
        <w:tc>
          <w:tcPr>
            <w:tcW w:w="6866" w:type="dxa"/>
            <w:gridSpan w:val="2"/>
          </w:tcPr>
          <w:p w:rsidR="00C61F01" w:rsidRDefault="00C61F01" w:rsidP="00C61F01">
            <w:pPr>
              <w:pStyle w:val="NormalHeadings"/>
              <w:jc w:val="left"/>
            </w:pPr>
            <w:bookmarkStart w:id="15" w:name="Applicant"/>
            <w:r>
              <w:t>MARK WILLIAM HOLLAND</w:t>
            </w:r>
          </w:p>
          <w:p w:rsidR="00C61F01" w:rsidRDefault="00C61F01" w:rsidP="00C61F01">
            <w:pPr>
              <w:pStyle w:val="PartyType"/>
            </w:pPr>
            <w:r>
              <w:t>First Plaintiff</w:t>
            </w:r>
          </w:p>
          <w:p w:rsidR="00C61F01" w:rsidRDefault="00C61F01" w:rsidP="00672F6E">
            <w:pPr>
              <w:pStyle w:val="NormalHeadings"/>
              <w:jc w:val="left"/>
              <w:rPr>
                <w:szCs w:val="24"/>
              </w:rPr>
            </w:pPr>
          </w:p>
          <w:p w:rsidR="00C61F01" w:rsidRDefault="00C61F01" w:rsidP="00C61F01">
            <w:pPr>
              <w:pStyle w:val="NormalHeadings"/>
              <w:jc w:val="left"/>
            </w:pPr>
            <w:r>
              <w:t>VIVIENNE LESLEIGH HOLLAND</w:t>
            </w:r>
          </w:p>
          <w:p w:rsidR="00C61F01" w:rsidRDefault="00C61F01" w:rsidP="00C61F01">
            <w:pPr>
              <w:pStyle w:val="PartyType"/>
            </w:pPr>
            <w:r>
              <w:t>Second Plaintiff</w:t>
            </w:r>
          </w:p>
          <w:bookmarkEnd w:id="15"/>
          <w:p w:rsidR="00A46CCC" w:rsidRPr="006555B4" w:rsidRDefault="00A46CCC" w:rsidP="00672F6E">
            <w:pPr>
              <w:pStyle w:val="NormalHeadings"/>
              <w:jc w:val="left"/>
            </w:pPr>
          </w:p>
        </w:tc>
      </w:tr>
      <w:tr w:rsidR="00A46CCC" w:rsidTr="00672F6E">
        <w:trPr>
          <w:trHeight w:val="386"/>
        </w:trPr>
        <w:tc>
          <w:tcPr>
            <w:tcW w:w="2376" w:type="dxa"/>
          </w:tcPr>
          <w:p w:rsidR="00A46CCC" w:rsidRDefault="00A46CCC" w:rsidP="00672F6E">
            <w:pPr>
              <w:pStyle w:val="NormalHeadings"/>
              <w:jc w:val="left"/>
              <w:rPr>
                <w:caps/>
                <w:szCs w:val="24"/>
              </w:rPr>
            </w:pPr>
            <w:r>
              <w:rPr>
                <w:caps/>
                <w:szCs w:val="24"/>
              </w:rPr>
              <w:t>AND:</w:t>
            </w:r>
          </w:p>
        </w:tc>
        <w:tc>
          <w:tcPr>
            <w:tcW w:w="6866" w:type="dxa"/>
            <w:gridSpan w:val="2"/>
          </w:tcPr>
          <w:p w:rsidR="00C61F01" w:rsidRDefault="00C61F01" w:rsidP="00C61F01">
            <w:pPr>
              <w:pStyle w:val="NormalHeadings"/>
              <w:jc w:val="left"/>
            </w:pPr>
            <w:bookmarkStart w:id="16" w:name="Respondent"/>
            <w:r>
              <w:t>BT SECURITIES LIMITED</w:t>
            </w:r>
          </w:p>
          <w:p w:rsidR="00C61F01" w:rsidRDefault="00C61F01" w:rsidP="00C61F01">
            <w:pPr>
              <w:pStyle w:val="PartyType"/>
            </w:pPr>
            <w:r>
              <w:t>Defendant</w:t>
            </w:r>
          </w:p>
          <w:bookmarkEnd w:id="16"/>
          <w:p w:rsidR="00A46CCC" w:rsidRPr="006555B4" w:rsidRDefault="00A46CCC" w:rsidP="00672F6E">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C61F01">
            <w:pPr>
              <w:pStyle w:val="NormalHeadings"/>
              <w:jc w:val="left"/>
              <w:rPr>
                <w:caps/>
                <w:szCs w:val="24"/>
              </w:rPr>
            </w:pPr>
            <w:bookmarkStart w:id="19" w:name="Judge"/>
            <w:r>
              <w:rPr>
                <w:caps/>
                <w:szCs w:val="24"/>
              </w:rPr>
              <w:t>O'SULLIVAN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6D4507">
            <w:pPr>
              <w:pStyle w:val="NormalHeadings"/>
              <w:jc w:val="left"/>
              <w:rPr>
                <w:caps/>
                <w:szCs w:val="24"/>
              </w:rPr>
            </w:pPr>
            <w:r>
              <w:rPr>
                <w:caps/>
                <w:szCs w:val="24"/>
              </w:rPr>
              <w:t>13 May 2022</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C61F01" w:rsidRPr="00C61F01" w:rsidRDefault="004402EC" w:rsidP="004402EC">
      <w:pPr>
        <w:pStyle w:val="Order1"/>
        <w:numPr>
          <w:ilvl w:val="0"/>
          <w:numId w:val="0"/>
        </w:numPr>
        <w:tabs>
          <w:tab w:val="left" w:pos="720"/>
        </w:tabs>
        <w:ind w:left="720" w:hanging="720"/>
      </w:pPr>
      <w:r w:rsidRPr="00C61F01">
        <w:t>1.</w:t>
      </w:r>
      <w:r w:rsidRPr="00C61F01">
        <w:tab/>
      </w:r>
      <w:r w:rsidR="00C61F01" w:rsidRPr="00C61F01">
        <w:t xml:space="preserve">The two interlocutory applications, filed by the plaintiffs on 7 February 2022 and 2 March 2022, seeking discovery of documents, are dismissed. </w:t>
      </w:r>
    </w:p>
    <w:p w:rsidR="00C61F01" w:rsidRPr="00C61F01" w:rsidRDefault="004402EC" w:rsidP="004402EC">
      <w:pPr>
        <w:pStyle w:val="Order1"/>
        <w:numPr>
          <w:ilvl w:val="0"/>
          <w:numId w:val="0"/>
        </w:numPr>
        <w:tabs>
          <w:tab w:val="left" w:pos="720"/>
        </w:tabs>
        <w:ind w:left="720" w:hanging="720"/>
      </w:pPr>
      <w:r w:rsidRPr="00C61F01">
        <w:t>2.</w:t>
      </w:r>
      <w:r w:rsidRPr="00C61F01">
        <w:tab/>
      </w:r>
      <w:r w:rsidR="00C61F01" w:rsidRPr="00C61F01">
        <w:t>Leave to the plaintiffs to amend the statement of claim in the terms of the proposed amendments in paragraphs 4 to 6 and 12 of the interlocutory application filed on 1 April 2022.</w:t>
      </w:r>
    </w:p>
    <w:p w:rsidR="00C61F01" w:rsidRPr="00C61F01" w:rsidRDefault="004402EC" w:rsidP="004402EC">
      <w:pPr>
        <w:pStyle w:val="Order1"/>
        <w:numPr>
          <w:ilvl w:val="0"/>
          <w:numId w:val="0"/>
        </w:numPr>
        <w:tabs>
          <w:tab w:val="left" w:pos="720"/>
        </w:tabs>
        <w:ind w:left="720" w:hanging="720"/>
      </w:pPr>
      <w:r w:rsidRPr="00C61F01">
        <w:t>3.</w:t>
      </w:r>
      <w:r w:rsidRPr="00C61F01">
        <w:tab/>
      </w:r>
      <w:r w:rsidR="00C61F01" w:rsidRPr="00C61F01">
        <w:t xml:space="preserve">Leave refused to amend the statement of claim in the terms of the proposed amendments in paragraphs 7 to 11 and 13 to 19 of the interlocutory application filed on 1 April 2022. </w:t>
      </w:r>
    </w:p>
    <w:p w:rsidR="00C61F01" w:rsidRPr="00C61F01" w:rsidRDefault="004402EC" w:rsidP="004402EC">
      <w:pPr>
        <w:pStyle w:val="Order1"/>
        <w:numPr>
          <w:ilvl w:val="0"/>
          <w:numId w:val="0"/>
        </w:numPr>
        <w:tabs>
          <w:tab w:val="left" w:pos="720"/>
        </w:tabs>
        <w:ind w:left="720" w:hanging="720"/>
      </w:pPr>
      <w:r w:rsidRPr="00C61F01">
        <w:t>4.</w:t>
      </w:r>
      <w:r w:rsidRPr="00C61F01">
        <w:tab/>
      </w:r>
      <w:r w:rsidR="00C61F01" w:rsidRPr="00C61F01">
        <w:t>Leave to the plaintiffs to amend the originating application in terms of paragraphs 6 and 7 of their interlocutory application filed on 7 February 2022.</w:t>
      </w:r>
    </w:p>
    <w:p w:rsidR="00C61F01" w:rsidRPr="00C61F01" w:rsidRDefault="004402EC" w:rsidP="004402EC">
      <w:pPr>
        <w:pStyle w:val="Order1"/>
        <w:numPr>
          <w:ilvl w:val="0"/>
          <w:numId w:val="0"/>
        </w:numPr>
        <w:tabs>
          <w:tab w:val="left" w:pos="720"/>
        </w:tabs>
        <w:ind w:left="720" w:hanging="720"/>
      </w:pPr>
      <w:r w:rsidRPr="00C61F01">
        <w:t>5.</w:t>
      </w:r>
      <w:r w:rsidRPr="00C61F01">
        <w:tab/>
      </w:r>
      <w:r w:rsidR="00C61F01" w:rsidRPr="00C61F01">
        <w:t xml:space="preserve">Costs reserved. </w:t>
      </w:r>
    </w:p>
    <w:p w:rsidR="001A6C52" w:rsidRDefault="001A6C52" w:rsidP="001A6C52">
      <w:pPr>
        <w:pStyle w:val="BodyText"/>
      </w:pPr>
    </w:p>
    <w:p w:rsidR="00C61F01" w:rsidRDefault="00C61F01" w:rsidP="001A6C52">
      <w:pPr>
        <w:pStyle w:val="BodyText"/>
      </w:pPr>
    </w:p>
    <w:p w:rsidR="00A431E6" w:rsidRDefault="00A431E6" w:rsidP="001A6C52">
      <w:pPr>
        <w:pStyle w:val="BodyText"/>
      </w:pPr>
    </w:p>
    <w:p w:rsidR="0050309C" w:rsidRDefault="00C61F01" w:rsidP="004D53E5">
      <w:pPr>
        <w:pStyle w:val="SingleSpace"/>
      </w:pPr>
      <w:bookmarkStart w:id="20" w:name="OrdersStatement"/>
      <w:r>
        <w:t>Note:</w:t>
      </w:r>
      <w:r>
        <w:tab/>
        <w:t xml:space="preserve">Entry of orders is dealt with in Rule 39.32 of the </w:t>
      </w:r>
      <w:r>
        <w:rPr>
          <w:i/>
        </w:rPr>
        <w:t>Federal Court Rules 2011</w:t>
      </w:r>
      <w:r>
        <w:t>.</w:t>
      </w:r>
      <w:bookmarkEnd w:id="20"/>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694BEB" w:rsidRDefault="00C61F01" w:rsidP="005E0510">
      <w:pPr>
        <w:pStyle w:val="NormalHeadings"/>
        <w:spacing w:line="360" w:lineRule="auto"/>
        <w:jc w:val="left"/>
        <w:rPr>
          <w:sz w:val="26"/>
          <w:szCs w:val="26"/>
        </w:rPr>
      </w:pPr>
      <w:r>
        <w:rPr>
          <w:sz w:val="26"/>
          <w:szCs w:val="26"/>
        </w:rPr>
        <w:t>O’SULLIVAN J:</w:t>
      </w:r>
    </w:p>
    <w:p w:rsidR="00C61F01" w:rsidRDefault="004402EC" w:rsidP="00C61F01">
      <w:pPr>
        <w:pStyle w:val="Heading1"/>
      </w:pPr>
      <w:r w:rsidRPr="00D47620">
        <w:rPr>
          <w:caps w:val="0"/>
        </w:rPr>
        <w:t xml:space="preserve">INTRODUCTION </w:t>
      </w:r>
    </w:p>
    <w:p w:rsidR="00C61F01" w:rsidRDefault="004402EC" w:rsidP="004402EC">
      <w:pPr>
        <w:pStyle w:val="ParaNumbering"/>
        <w:numPr>
          <w:ilvl w:val="0"/>
          <w:numId w:val="0"/>
        </w:numPr>
        <w:tabs>
          <w:tab w:val="left" w:pos="720"/>
        </w:tabs>
        <w:ind w:hanging="720"/>
      </w:pPr>
      <w:r>
        <w:rPr>
          <w:sz w:val="20"/>
        </w:rPr>
        <w:t>1</w:t>
      </w:r>
      <w:r>
        <w:rPr>
          <w:sz w:val="20"/>
        </w:rPr>
        <w:tab/>
      </w:r>
      <w:r w:rsidR="00C61F01" w:rsidRPr="00BD605C">
        <w:t>There are two interlocutory applications</w:t>
      </w:r>
      <w:r w:rsidR="00C61F01">
        <w:t xml:space="preserve"> for discovery pursuant to r</w:t>
      </w:r>
      <w:r w:rsidR="00C61F01" w:rsidRPr="00BD605C">
        <w:t xml:space="preserve"> 20.13 of the </w:t>
      </w:r>
      <w:r w:rsidR="00C61F01" w:rsidRPr="006949F1">
        <w:rPr>
          <w:i/>
        </w:rPr>
        <w:t>Federal Court Rules 2011</w:t>
      </w:r>
      <w:r w:rsidR="00D73FEA">
        <w:t xml:space="preserve"> (Cth) (</w:t>
      </w:r>
      <w:r w:rsidR="00C61F01" w:rsidRPr="006949F1">
        <w:rPr>
          <w:b/>
        </w:rPr>
        <w:t>FCR</w:t>
      </w:r>
      <w:r w:rsidR="00C61F01" w:rsidRPr="00BD605C">
        <w:t>) filed by the plaintiffs on 7 February 2022 and 2 March 2022</w:t>
      </w:r>
      <w:r w:rsidR="00C61F01">
        <w:t xml:space="preserve"> respectively.  There is also an interlocutory application, filed by the plaintiffs on 1 April 2022, </w:t>
      </w:r>
      <w:r w:rsidR="00C61F01" w:rsidRPr="00BD605C">
        <w:t>seeking leave to</w:t>
      </w:r>
      <w:r w:rsidR="00C61F01">
        <w:t xml:space="preserve"> file an</w:t>
      </w:r>
      <w:r w:rsidR="00C61F01" w:rsidRPr="00BD605C">
        <w:t xml:space="preserve"> amend</w:t>
      </w:r>
      <w:r w:rsidR="00C61F01">
        <w:t xml:space="preserve">ed </w:t>
      </w:r>
      <w:r w:rsidR="00C61F01" w:rsidRPr="00BD605C">
        <w:t xml:space="preserve">statement of claim pursuant to </w:t>
      </w:r>
      <w:r w:rsidR="00C61F01">
        <w:t>FCR</w:t>
      </w:r>
      <w:r w:rsidR="00C61F01" w:rsidRPr="00BD605C">
        <w:t xml:space="preserve"> 16.</w:t>
      </w:r>
      <w:r w:rsidR="00C61F01">
        <w:t xml:space="preserve">53. </w:t>
      </w:r>
    </w:p>
    <w:p w:rsidR="00C61F01" w:rsidRDefault="004402EC" w:rsidP="00C61F01">
      <w:pPr>
        <w:pStyle w:val="Heading1"/>
      </w:pPr>
      <w:r>
        <w:rPr>
          <w:caps w:val="0"/>
        </w:rPr>
        <w:t>DISCOVERY</w:t>
      </w:r>
    </w:p>
    <w:p w:rsidR="00C61F01" w:rsidRPr="00D47620" w:rsidRDefault="004402EC" w:rsidP="004402EC">
      <w:pPr>
        <w:pStyle w:val="ParaNumbering"/>
        <w:numPr>
          <w:ilvl w:val="0"/>
          <w:numId w:val="0"/>
        </w:numPr>
        <w:tabs>
          <w:tab w:val="left" w:pos="720"/>
        </w:tabs>
        <w:ind w:hanging="720"/>
      </w:pPr>
      <w:r w:rsidRPr="00D47620">
        <w:rPr>
          <w:sz w:val="20"/>
        </w:rPr>
        <w:t>2</w:t>
      </w:r>
      <w:r w:rsidRPr="00D47620">
        <w:rPr>
          <w:sz w:val="20"/>
        </w:rPr>
        <w:tab/>
      </w:r>
      <w:r w:rsidR="00C61F01">
        <w:t xml:space="preserve">I will </w:t>
      </w:r>
      <w:r w:rsidR="00C61F01" w:rsidRPr="00BD605C">
        <w:t>deal</w:t>
      </w:r>
      <w:r w:rsidR="00C61F01">
        <w:t xml:space="preserve"> first</w:t>
      </w:r>
      <w:r w:rsidR="00C61F01" w:rsidRPr="00BD605C">
        <w:t xml:space="preserve"> with</w:t>
      </w:r>
      <w:r w:rsidR="00C61F01">
        <w:t xml:space="preserve"> the two interlocutory applications for discovery. </w:t>
      </w:r>
    </w:p>
    <w:p w:rsidR="00C61F01" w:rsidRDefault="004402EC" w:rsidP="004402EC">
      <w:pPr>
        <w:pStyle w:val="ParaNumbering"/>
        <w:numPr>
          <w:ilvl w:val="0"/>
          <w:numId w:val="0"/>
        </w:numPr>
        <w:tabs>
          <w:tab w:val="left" w:pos="720"/>
        </w:tabs>
        <w:ind w:hanging="720"/>
      </w:pPr>
      <w:r>
        <w:rPr>
          <w:sz w:val="20"/>
        </w:rPr>
        <w:t>3</w:t>
      </w:r>
      <w:r>
        <w:rPr>
          <w:sz w:val="20"/>
        </w:rPr>
        <w:tab/>
      </w:r>
      <w:r w:rsidR="00C61F01" w:rsidRPr="00D47620">
        <w:t xml:space="preserve">The </w:t>
      </w:r>
      <w:r w:rsidR="00D73FEA">
        <w:t>first and second plaintiffs, (</w:t>
      </w:r>
      <w:r w:rsidR="00D73FEA">
        <w:rPr>
          <w:b/>
        </w:rPr>
        <w:t>Mr Hollan</w:t>
      </w:r>
      <w:r w:rsidR="00D73FEA" w:rsidRPr="00D73FEA">
        <w:rPr>
          <w:b/>
        </w:rPr>
        <w:t>d</w:t>
      </w:r>
      <w:r w:rsidR="00D73FEA">
        <w:t xml:space="preserve"> and </w:t>
      </w:r>
      <w:r w:rsidR="00C61F01">
        <w:rPr>
          <w:b/>
        </w:rPr>
        <w:t>M</w:t>
      </w:r>
      <w:r w:rsidR="00C61F01" w:rsidRPr="005753D2">
        <w:rPr>
          <w:b/>
        </w:rPr>
        <w:t>s Holland</w:t>
      </w:r>
      <w:r w:rsidR="00C61F01">
        <w:t xml:space="preserve"> respectively)</w:t>
      </w:r>
      <w:r w:rsidR="00C61F01" w:rsidRPr="00D47620">
        <w:t xml:space="preserve"> seek discovery of specific documents </w:t>
      </w:r>
      <w:r w:rsidR="00C61F01">
        <w:t>which</w:t>
      </w:r>
      <w:r w:rsidR="00C61F01" w:rsidRPr="00D47620">
        <w:t xml:space="preserve"> are </w:t>
      </w:r>
      <w:r w:rsidR="00C61F01">
        <w:t>identified and/or categorised in paragraph 1(a)-(r) of the interlocutory application filed on 2 March 2022, and paragraph 1(s) of the interlocutory application filed on 7 February 2022.  The documents sought are as follows:</w:t>
      </w:r>
    </w:p>
    <w:p w:rsidR="00C61F01" w:rsidRPr="00990E00" w:rsidRDefault="004402EC" w:rsidP="004402EC">
      <w:pPr>
        <w:pStyle w:val="ListNo1alt"/>
        <w:numPr>
          <w:ilvl w:val="0"/>
          <w:numId w:val="0"/>
        </w:numPr>
        <w:tabs>
          <w:tab w:val="left" w:pos="1004"/>
        </w:tabs>
        <w:ind w:left="1004" w:hanging="720"/>
      </w:pPr>
      <w:r w:rsidRPr="00990E00">
        <w:t>(a)</w:t>
      </w:r>
      <w:r w:rsidRPr="00990E00">
        <w:tab/>
      </w:r>
      <w:r w:rsidR="00D73FEA">
        <w:t>The ‘Client Details Form’</w:t>
      </w:r>
      <w:r w:rsidR="00C61F01" w:rsidRPr="00990E00">
        <w:t xml:space="preserve"> sent by </w:t>
      </w:r>
      <w:r w:rsidR="00C61F01">
        <w:t>Mr Holland</w:t>
      </w:r>
      <w:r w:rsidR="00C61F01" w:rsidRPr="00990E00">
        <w:t xml:space="preserve"> to the defendant shortly before the establishment of the loan f</w:t>
      </w:r>
      <w:r w:rsidR="00C61F01">
        <w:t>acility in or around March 1997;</w:t>
      </w:r>
    </w:p>
    <w:p w:rsidR="00C61F01" w:rsidRPr="00990E00" w:rsidRDefault="004402EC" w:rsidP="004402EC">
      <w:pPr>
        <w:pStyle w:val="ListNo1alt"/>
        <w:numPr>
          <w:ilvl w:val="0"/>
          <w:numId w:val="0"/>
        </w:numPr>
        <w:tabs>
          <w:tab w:val="left" w:pos="1004"/>
        </w:tabs>
        <w:ind w:left="1004" w:hanging="720"/>
      </w:pPr>
      <w:r w:rsidRPr="00990E00">
        <w:t>(b)</w:t>
      </w:r>
      <w:r w:rsidRPr="00990E00">
        <w:tab/>
      </w:r>
      <w:r w:rsidR="00D73FEA">
        <w:t xml:space="preserve">The </w:t>
      </w:r>
      <w:r w:rsidR="00E427F2">
        <w:t>‘</w:t>
      </w:r>
      <w:r w:rsidR="00C61F01">
        <w:t>Risk Disclos</w:t>
      </w:r>
      <w:r w:rsidR="00D73FEA">
        <w:t>ure Statement’</w:t>
      </w:r>
      <w:r w:rsidR="00C61F01" w:rsidRPr="00990E00">
        <w:t xml:space="preserve"> form sent by </w:t>
      </w:r>
      <w:r w:rsidR="00C61F01">
        <w:t>Mr Holland</w:t>
      </w:r>
      <w:r w:rsidR="00C61F01" w:rsidRPr="00990E00">
        <w:t xml:space="preserve"> to the defendant shortly before the establishment of the loan f</w:t>
      </w:r>
      <w:r w:rsidR="00C61F01">
        <w:t>acility in or around March 1997;</w:t>
      </w:r>
    </w:p>
    <w:p w:rsidR="00C61F01" w:rsidRPr="00990E00" w:rsidRDefault="004402EC" w:rsidP="004402EC">
      <w:pPr>
        <w:pStyle w:val="ListNo1alt"/>
        <w:numPr>
          <w:ilvl w:val="0"/>
          <w:numId w:val="0"/>
        </w:numPr>
        <w:tabs>
          <w:tab w:val="left" w:pos="1004"/>
        </w:tabs>
        <w:ind w:left="1004" w:hanging="720"/>
      </w:pPr>
      <w:r w:rsidRPr="00990E00">
        <w:t>(c)</w:t>
      </w:r>
      <w:r w:rsidRPr="00990E00">
        <w:tab/>
      </w:r>
      <w:r w:rsidR="00D73FEA">
        <w:t>The ‘Power of Attorney’</w:t>
      </w:r>
      <w:r w:rsidR="00C61F01" w:rsidRPr="00990E00">
        <w:t xml:space="preserve"> form sent by </w:t>
      </w:r>
      <w:r w:rsidR="00C61F01">
        <w:t>Mr Holland</w:t>
      </w:r>
      <w:r w:rsidR="00C61F01" w:rsidRPr="00990E00">
        <w:t xml:space="preserve"> to the defendant shortly before the establishment of the loan f</w:t>
      </w:r>
      <w:r w:rsidR="00C61F01">
        <w:t>acility in or around March 1997;</w:t>
      </w:r>
    </w:p>
    <w:p w:rsidR="00C61F01" w:rsidRPr="00990E00" w:rsidRDefault="004402EC" w:rsidP="004402EC">
      <w:pPr>
        <w:pStyle w:val="ListNo1alt"/>
        <w:numPr>
          <w:ilvl w:val="0"/>
          <w:numId w:val="0"/>
        </w:numPr>
        <w:tabs>
          <w:tab w:val="left" w:pos="1004"/>
        </w:tabs>
        <w:ind w:left="1004" w:hanging="720"/>
      </w:pPr>
      <w:r w:rsidRPr="00990E00">
        <w:t>(d)</w:t>
      </w:r>
      <w:r w:rsidRPr="00990E00">
        <w:tab/>
      </w:r>
      <w:r w:rsidR="00D73FEA">
        <w:t>The ‘Declaration of Purpose’</w:t>
      </w:r>
      <w:r w:rsidR="00C61F01" w:rsidRPr="00990E00">
        <w:t xml:space="preserve"> form sent by </w:t>
      </w:r>
      <w:r w:rsidR="00C61F01">
        <w:t>Mr Holland</w:t>
      </w:r>
      <w:r w:rsidR="00C61F01" w:rsidRPr="00990E00">
        <w:t xml:space="preserve"> to the defendant shortly before the establishment of the loan f</w:t>
      </w:r>
      <w:r w:rsidR="00C61F01">
        <w:t>acility in or around March 1997;</w:t>
      </w:r>
    </w:p>
    <w:p w:rsidR="00C61F01" w:rsidRPr="00990E00" w:rsidRDefault="004402EC" w:rsidP="004402EC">
      <w:pPr>
        <w:pStyle w:val="ListNo1alt"/>
        <w:numPr>
          <w:ilvl w:val="0"/>
          <w:numId w:val="0"/>
        </w:numPr>
        <w:tabs>
          <w:tab w:val="left" w:pos="1004"/>
        </w:tabs>
        <w:ind w:left="1004" w:hanging="720"/>
      </w:pPr>
      <w:r w:rsidRPr="00990E00">
        <w:t>(e)</w:t>
      </w:r>
      <w:r w:rsidRPr="00990E00">
        <w:tab/>
      </w:r>
      <w:r w:rsidR="00D73FEA">
        <w:t>The executed ‘Margin Loan Facility Agreement’</w:t>
      </w:r>
      <w:r w:rsidR="00C61F01" w:rsidRPr="00990E00">
        <w:t xml:space="preserve"> r</w:t>
      </w:r>
      <w:r w:rsidR="00D73FEA">
        <w:t>eferred to in the defendant’s ‘</w:t>
      </w:r>
      <w:r w:rsidR="00C61F01">
        <w:t>L</w:t>
      </w:r>
      <w:r w:rsidR="00C61F01" w:rsidRPr="00990E00">
        <w:t xml:space="preserve">etter </w:t>
      </w:r>
      <w:r w:rsidR="00D73FEA">
        <w:t>of outcome’</w:t>
      </w:r>
      <w:r w:rsidR="00C61F01">
        <w:t xml:space="preserve"> dated 25 May 2021;</w:t>
      </w:r>
    </w:p>
    <w:p w:rsidR="00C61F01" w:rsidRPr="00990E00" w:rsidRDefault="004402EC" w:rsidP="004402EC">
      <w:pPr>
        <w:pStyle w:val="ListNo1alt"/>
        <w:numPr>
          <w:ilvl w:val="0"/>
          <w:numId w:val="0"/>
        </w:numPr>
        <w:tabs>
          <w:tab w:val="left" w:pos="1004"/>
        </w:tabs>
        <w:ind w:left="1004" w:hanging="720"/>
      </w:pPr>
      <w:r w:rsidRPr="00990E00">
        <w:t>(f)</w:t>
      </w:r>
      <w:r w:rsidRPr="00990E00">
        <w:tab/>
      </w:r>
      <w:r w:rsidR="00D73FEA">
        <w:t>The ‘Power of Attorney</w:t>
      </w:r>
      <w:r w:rsidR="00E427F2">
        <w:t>’</w:t>
      </w:r>
      <w:r w:rsidR="00C61F01" w:rsidRPr="00990E00">
        <w:t xml:space="preserve"> doc</w:t>
      </w:r>
      <w:r w:rsidR="00D73FEA">
        <w:t>ument under which the executed ‘Margin Loan Facility Agreement’</w:t>
      </w:r>
      <w:r w:rsidR="00C61F01" w:rsidRPr="00990E00">
        <w:t xml:space="preserve"> referred to in the defendant’</w:t>
      </w:r>
      <w:r w:rsidR="00D73FEA">
        <w:t>s ‘Letter of outcome’</w:t>
      </w:r>
      <w:r w:rsidR="00C61F01">
        <w:t xml:space="preserve"> dated 25 May 2021 was executed;</w:t>
      </w:r>
    </w:p>
    <w:p w:rsidR="00C61F01" w:rsidRPr="00990E00" w:rsidRDefault="004402EC" w:rsidP="004402EC">
      <w:pPr>
        <w:pStyle w:val="ListNo1alt"/>
        <w:numPr>
          <w:ilvl w:val="0"/>
          <w:numId w:val="0"/>
        </w:numPr>
        <w:tabs>
          <w:tab w:val="left" w:pos="1004"/>
        </w:tabs>
        <w:ind w:left="1004" w:hanging="720"/>
      </w:pPr>
      <w:r w:rsidRPr="00990E00">
        <w:t>(g)</w:t>
      </w:r>
      <w:r w:rsidRPr="00990E00">
        <w:tab/>
      </w:r>
      <w:r w:rsidR="00C61F01" w:rsidRPr="00990E00">
        <w:t>The executed facility, loan or other agreement und</w:t>
      </w:r>
      <w:r w:rsidR="00D73FEA">
        <w:t>er which the alleged ‘</w:t>
      </w:r>
      <w:r w:rsidR="00C61F01" w:rsidRPr="00990E00">
        <w:t>BT Marg</w:t>
      </w:r>
      <w:r w:rsidR="00D73FEA">
        <w:t>in Lending Terms and Conditions’</w:t>
      </w:r>
      <w:r w:rsidR="00C61F01" w:rsidRPr="00990E00">
        <w:t xml:space="preserve"> referred to in paragraph 6 of the defence in these proceedings allegedly formed pa</w:t>
      </w:r>
      <w:r w:rsidR="00C61F01">
        <w:t>rt of the terms of the facility;</w:t>
      </w:r>
    </w:p>
    <w:p w:rsidR="00C61F01" w:rsidRPr="00990E00" w:rsidRDefault="004402EC" w:rsidP="004402EC">
      <w:pPr>
        <w:pStyle w:val="ListNo1alt"/>
        <w:numPr>
          <w:ilvl w:val="0"/>
          <w:numId w:val="0"/>
        </w:numPr>
        <w:tabs>
          <w:tab w:val="left" w:pos="1004"/>
        </w:tabs>
        <w:ind w:left="1004" w:hanging="720"/>
      </w:pPr>
      <w:r w:rsidRPr="00990E00">
        <w:lastRenderedPageBreak/>
        <w:t>(h)</w:t>
      </w:r>
      <w:r w:rsidRPr="00990E00">
        <w:tab/>
      </w:r>
      <w:r w:rsidR="00D73FEA">
        <w:t>The ‘Power of Attorney’</w:t>
      </w:r>
      <w:r w:rsidR="00C61F01" w:rsidRPr="00990E00">
        <w:t xml:space="preserve"> document under which the executed facility, loan or other agreement referred to in paragraph </w:t>
      </w:r>
      <w:r w:rsidR="00C61F01">
        <w:t>(</w:t>
      </w:r>
      <w:r w:rsidR="00C61F01" w:rsidRPr="00990E00">
        <w:t>g</w:t>
      </w:r>
      <w:r w:rsidR="00C61F01">
        <w:t>) was executed;</w:t>
      </w:r>
    </w:p>
    <w:p w:rsidR="00C61F01" w:rsidRPr="00990E00" w:rsidRDefault="004402EC" w:rsidP="004402EC">
      <w:pPr>
        <w:pStyle w:val="ListNo1alt"/>
        <w:numPr>
          <w:ilvl w:val="0"/>
          <w:numId w:val="0"/>
        </w:numPr>
        <w:tabs>
          <w:tab w:val="left" w:pos="1004"/>
        </w:tabs>
        <w:ind w:left="1004" w:hanging="720"/>
      </w:pPr>
      <w:r w:rsidRPr="00990E00">
        <w:t>(i)</w:t>
      </w:r>
      <w:r w:rsidRPr="00990E00">
        <w:tab/>
      </w:r>
      <w:r w:rsidR="00C61F01" w:rsidRPr="00990E00">
        <w:t>Any other facility, loan or other agreement held by the defe</w:t>
      </w:r>
      <w:r w:rsidR="00C61F01">
        <w:t>ndant, applying to the facility;</w:t>
      </w:r>
    </w:p>
    <w:p w:rsidR="00C61F01" w:rsidRPr="00990E00" w:rsidRDefault="004402EC" w:rsidP="004402EC">
      <w:pPr>
        <w:pStyle w:val="ListNo1alt"/>
        <w:numPr>
          <w:ilvl w:val="0"/>
          <w:numId w:val="0"/>
        </w:numPr>
        <w:tabs>
          <w:tab w:val="left" w:pos="1004"/>
        </w:tabs>
        <w:ind w:left="1004" w:hanging="720"/>
      </w:pPr>
      <w:r w:rsidRPr="00990E00">
        <w:t>(j)</w:t>
      </w:r>
      <w:r w:rsidRPr="00990E00">
        <w:tab/>
      </w:r>
      <w:r w:rsidR="00C61F01">
        <w:t>Any other Power of A</w:t>
      </w:r>
      <w:r w:rsidR="00C61F01" w:rsidRPr="00990E00">
        <w:t>ttorney document held by the defe</w:t>
      </w:r>
      <w:r w:rsidR="00C61F01">
        <w:t>ndant, applying to the facility;</w:t>
      </w:r>
    </w:p>
    <w:p w:rsidR="00C61F01" w:rsidRPr="00990E00" w:rsidRDefault="004402EC" w:rsidP="004402EC">
      <w:pPr>
        <w:pStyle w:val="ListNo1alt"/>
        <w:numPr>
          <w:ilvl w:val="0"/>
          <w:numId w:val="0"/>
        </w:numPr>
        <w:tabs>
          <w:tab w:val="left" w:pos="1004"/>
        </w:tabs>
        <w:ind w:left="1004" w:hanging="720"/>
      </w:pPr>
      <w:r w:rsidRPr="00990E00">
        <w:t>(k)</w:t>
      </w:r>
      <w:r w:rsidRPr="00990E00">
        <w:tab/>
      </w:r>
      <w:r w:rsidR="00C61F01" w:rsidRPr="00990E00">
        <w:t xml:space="preserve">Any correspondence held between the defendant and ASIC concerning compliance issues at Barton Capital Securities identified and investigated by ASIC around May </w:t>
      </w:r>
      <w:r w:rsidR="00C61F01">
        <w:t>1992</w:t>
      </w:r>
      <w:r w:rsidR="00C61F01" w:rsidRPr="00990E00">
        <w:t>.</w:t>
      </w:r>
      <w:r w:rsidR="00C61F01">
        <w:t xml:space="preserve"> </w:t>
      </w:r>
      <w:r w:rsidR="00C61F01">
        <w:rPr>
          <w:sz w:val="22"/>
        </w:rPr>
        <w:t>(</w:t>
      </w:r>
      <w:r w:rsidR="00C61F01" w:rsidRPr="00C52565">
        <w:rPr>
          <w:sz w:val="22"/>
        </w:rPr>
        <w:t>The year of this item was a</w:t>
      </w:r>
      <w:r w:rsidR="00C61F01">
        <w:rPr>
          <w:sz w:val="22"/>
        </w:rPr>
        <w:t>mended at the hearing to 2002)</w:t>
      </w:r>
      <w:r w:rsidR="00C61F01" w:rsidRPr="00C52565">
        <w:rPr>
          <w:sz w:val="22"/>
        </w:rPr>
        <w:t>;</w:t>
      </w:r>
    </w:p>
    <w:p w:rsidR="00C61F01" w:rsidRDefault="004402EC" w:rsidP="004402EC">
      <w:pPr>
        <w:pStyle w:val="ListNo1alt"/>
        <w:numPr>
          <w:ilvl w:val="0"/>
          <w:numId w:val="0"/>
        </w:numPr>
        <w:tabs>
          <w:tab w:val="left" w:pos="1004"/>
        </w:tabs>
        <w:ind w:left="1004" w:hanging="720"/>
      </w:pPr>
      <w:r>
        <w:t>(l)</w:t>
      </w:r>
      <w:r>
        <w:tab/>
      </w:r>
      <w:r w:rsidR="00C61F01" w:rsidRPr="00990E00">
        <w:t>Any correspondence held by the defendant between the defendant and ASIC</w:t>
      </w:r>
      <w:r w:rsidR="00C61F01">
        <w:t xml:space="preserve"> concerning </w:t>
      </w:r>
      <w:r w:rsidR="00C61F01" w:rsidRPr="00990E00">
        <w:t>the voluntary undertaking entered by Barton Capital Secu</w:t>
      </w:r>
      <w:r w:rsidR="00C61F01">
        <w:t>rities and ASIC around May 2002;</w:t>
      </w:r>
    </w:p>
    <w:p w:rsidR="00C61F01" w:rsidRPr="006954BD" w:rsidRDefault="004402EC" w:rsidP="004402EC">
      <w:pPr>
        <w:pStyle w:val="ListNo1alt"/>
        <w:numPr>
          <w:ilvl w:val="0"/>
          <w:numId w:val="0"/>
        </w:numPr>
        <w:tabs>
          <w:tab w:val="left" w:pos="1004"/>
        </w:tabs>
        <w:ind w:left="1004" w:hanging="720"/>
      </w:pPr>
      <w:r w:rsidRPr="006954BD">
        <w:t>(m)</w:t>
      </w:r>
      <w:r w:rsidRPr="006954BD">
        <w:tab/>
      </w:r>
      <w:r w:rsidR="00C61F01" w:rsidRPr="006954BD">
        <w:t>Any correspondence held by the defendant</w:t>
      </w:r>
      <w:r w:rsidR="00C61F01">
        <w:t xml:space="preserve"> between the defendant and ASIC </w:t>
      </w:r>
      <w:r w:rsidR="00C61F01" w:rsidRPr="006954BD">
        <w:t xml:space="preserve">concerning the loss of </w:t>
      </w:r>
      <w:r w:rsidR="00C61F01">
        <w:t xml:space="preserve">the </w:t>
      </w:r>
      <w:r w:rsidR="00C61F01" w:rsidRPr="006954BD">
        <w:t>dealer’s licence by B</w:t>
      </w:r>
      <w:r w:rsidR="00C61F01">
        <w:t>arton Capital Securities around 17 December 2002;</w:t>
      </w:r>
    </w:p>
    <w:p w:rsidR="00C61F01" w:rsidRDefault="004402EC" w:rsidP="004402EC">
      <w:pPr>
        <w:pStyle w:val="ListNo1alt"/>
        <w:numPr>
          <w:ilvl w:val="0"/>
          <w:numId w:val="0"/>
        </w:numPr>
        <w:tabs>
          <w:tab w:val="left" w:pos="1004"/>
        </w:tabs>
        <w:ind w:left="1004" w:hanging="720"/>
      </w:pPr>
      <w:r>
        <w:t>(n)</w:t>
      </w:r>
      <w:r>
        <w:tab/>
      </w:r>
      <w:r w:rsidR="00C61F01" w:rsidRPr="006954BD">
        <w:t>Any correspondence held by the defendant b</w:t>
      </w:r>
      <w:r w:rsidR="00C61F01">
        <w:t xml:space="preserve">etween the defendant and Barton </w:t>
      </w:r>
      <w:r w:rsidR="00C61F01" w:rsidRPr="006954BD">
        <w:t>Capital Securities concerning compliance issues iden</w:t>
      </w:r>
      <w:r w:rsidR="00C61F01">
        <w:t>tified and investigated by ASIC around May 2002;</w:t>
      </w:r>
    </w:p>
    <w:p w:rsidR="00C61F01" w:rsidRDefault="004402EC" w:rsidP="004402EC">
      <w:pPr>
        <w:pStyle w:val="ListNo1alt"/>
        <w:numPr>
          <w:ilvl w:val="0"/>
          <w:numId w:val="0"/>
        </w:numPr>
        <w:tabs>
          <w:tab w:val="left" w:pos="1004"/>
        </w:tabs>
        <w:ind w:left="1004" w:hanging="720"/>
      </w:pPr>
      <w:r>
        <w:t>(o)</w:t>
      </w:r>
      <w:r>
        <w:tab/>
      </w:r>
      <w:r w:rsidR="00C61F01" w:rsidRPr="006954BD">
        <w:t>Any correspondence held by the defendant between the defendant and Bar</w:t>
      </w:r>
      <w:r w:rsidR="00C61F01">
        <w:t xml:space="preserve">ton </w:t>
      </w:r>
      <w:r w:rsidR="00C61F01" w:rsidRPr="006954BD">
        <w:t>Capital Securities concerning the voluntary unde</w:t>
      </w:r>
      <w:r w:rsidR="00C61F01">
        <w:t>rtaking entered by it with ASIC around May 2002;</w:t>
      </w:r>
    </w:p>
    <w:p w:rsidR="00C61F01" w:rsidRDefault="004402EC" w:rsidP="004402EC">
      <w:pPr>
        <w:pStyle w:val="ListNo1alt"/>
        <w:numPr>
          <w:ilvl w:val="0"/>
          <w:numId w:val="0"/>
        </w:numPr>
        <w:tabs>
          <w:tab w:val="left" w:pos="1004"/>
        </w:tabs>
        <w:ind w:left="1004" w:hanging="720"/>
      </w:pPr>
      <w:r>
        <w:t>(p)</w:t>
      </w:r>
      <w:r>
        <w:tab/>
      </w:r>
      <w:r w:rsidR="00C61F01" w:rsidRPr="006954BD">
        <w:t>Any correspondence held by the defendant b</w:t>
      </w:r>
      <w:r w:rsidR="00C61F01">
        <w:t xml:space="preserve">etween the defendant and Barton </w:t>
      </w:r>
      <w:r w:rsidR="00C61F01" w:rsidRPr="006954BD">
        <w:t xml:space="preserve">Capital Securities concerning the loss of </w:t>
      </w:r>
      <w:r w:rsidR="00C61F01">
        <w:t xml:space="preserve">the </w:t>
      </w:r>
      <w:r w:rsidR="00C61F01" w:rsidRPr="006954BD">
        <w:t>dealer’s licence by Barton Capital S</w:t>
      </w:r>
      <w:r w:rsidR="00C61F01">
        <w:t>ecurities around 17 December 2002;</w:t>
      </w:r>
    </w:p>
    <w:p w:rsidR="00C61F01" w:rsidRDefault="004402EC" w:rsidP="004402EC">
      <w:pPr>
        <w:pStyle w:val="ListNo1alt"/>
        <w:numPr>
          <w:ilvl w:val="0"/>
          <w:numId w:val="0"/>
        </w:numPr>
        <w:tabs>
          <w:tab w:val="left" w:pos="1004"/>
        </w:tabs>
        <w:ind w:left="1004" w:hanging="720"/>
      </w:pPr>
      <w:r>
        <w:t>(q)</w:t>
      </w:r>
      <w:r>
        <w:tab/>
      </w:r>
      <w:r w:rsidR="00C61F01" w:rsidRPr="006954BD">
        <w:t xml:space="preserve">Any correspondence held by the defendant </w:t>
      </w:r>
      <w:r w:rsidR="00C61F01">
        <w:t xml:space="preserve">between the defendant and Mr Peter </w:t>
      </w:r>
      <w:r w:rsidR="00C61F01" w:rsidRPr="006954BD">
        <w:t>Bennett</w:t>
      </w:r>
      <w:r w:rsidR="00D73FEA">
        <w:t xml:space="preserve"> (</w:t>
      </w:r>
      <w:r w:rsidR="00C61F01" w:rsidRPr="001E76D2">
        <w:rPr>
          <w:b/>
        </w:rPr>
        <w:t>Mr Bennett</w:t>
      </w:r>
      <w:r w:rsidR="00C61F01">
        <w:t>) or A.C.N.</w:t>
      </w:r>
      <w:r w:rsidR="00C61F01" w:rsidRPr="006954BD">
        <w:t xml:space="preserve"> 008 082 157 Pty Ltd concerning </w:t>
      </w:r>
      <w:r w:rsidR="00C61F01">
        <w:t xml:space="preserve">Mr Bennett’s dealing, licencing, </w:t>
      </w:r>
      <w:r w:rsidR="00C61F01" w:rsidRPr="006954BD">
        <w:t>product sales or commission paid or payable from around Jul</w:t>
      </w:r>
      <w:r w:rsidR="00C61F01">
        <w:t>y 2002 to June 2003;</w:t>
      </w:r>
    </w:p>
    <w:p w:rsidR="00C61F01" w:rsidRDefault="004402EC" w:rsidP="004402EC">
      <w:pPr>
        <w:pStyle w:val="ListNo1alt"/>
        <w:numPr>
          <w:ilvl w:val="0"/>
          <w:numId w:val="0"/>
        </w:numPr>
        <w:tabs>
          <w:tab w:val="left" w:pos="1004"/>
        </w:tabs>
        <w:ind w:left="1004" w:hanging="720"/>
      </w:pPr>
      <w:r>
        <w:t>(r)</w:t>
      </w:r>
      <w:r>
        <w:tab/>
      </w:r>
      <w:r w:rsidR="00C61F01" w:rsidRPr="006954BD">
        <w:t>Bank statements or payment advices or correspond</w:t>
      </w:r>
      <w:r w:rsidR="00C61F01">
        <w:t>ence including, where possible, da</w:t>
      </w:r>
      <w:r w:rsidR="00C61F01" w:rsidRPr="006954BD">
        <w:t>tes and amounts of all commission paid to any o</w:t>
      </w:r>
      <w:r w:rsidR="00C61F01">
        <w:t xml:space="preserve">f Mr Bennett, Barton Capital </w:t>
      </w:r>
      <w:r w:rsidR="00C61F01" w:rsidRPr="006954BD">
        <w:t>Securities</w:t>
      </w:r>
      <w:r w:rsidR="00C61F01">
        <w:t>, Centec Securities, Diversa, A.C.N.</w:t>
      </w:r>
      <w:r w:rsidR="00C61F01" w:rsidRPr="006954BD">
        <w:t xml:space="preserve"> 008 082 157 Pty Ltd or a</w:t>
      </w:r>
      <w:r w:rsidR="00C61F01">
        <w:t xml:space="preserve">ny other </w:t>
      </w:r>
      <w:r w:rsidR="00C61F01" w:rsidRPr="006954BD">
        <w:t xml:space="preserve">entity on behalf of </w:t>
      </w:r>
      <w:r w:rsidR="00C61F01">
        <w:t>Mr Holland’s</w:t>
      </w:r>
      <w:r w:rsidR="00C61F01" w:rsidRPr="006954BD">
        <w:t xml:space="preserve"> margin</w:t>
      </w:r>
      <w:r w:rsidR="00C61F01">
        <w:t xml:space="preserve"> loan; and</w:t>
      </w:r>
    </w:p>
    <w:p w:rsidR="00C61F01" w:rsidRPr="00034555" w:rsidRDefault="004402EC" w:rsidP="004402EC">
      <w:pPr>
        <w:pStyle w:val="ListNo1alt"/>
        <w:numPr>
          <w:ilvl w:val="0"/>
          <w:numId w:val="0"/>
        </w:numPr>
        <w:tabs>
          <w:tab w:val="left" w:pos="1004"/>
        </w:tabs>
        <w:ind w:left="1004" w:hanging="720"/>
        <w:rPr>
          <w:color w:val="000000" w:themeColor="text1"/>
        </w:rPr>
      </w:pPr>
      <w:r w:rsidRPr="00034555">
        <w:rPr>
          <w:color w:val="000000" w:themeColor="text1"/>
        </w:rPr>
        <w:t>(s)</w:t>
      </w:r>
      <w:r w:rsidRPr="00034555">
        <w:rPr>
          <w:color w:val="000000" w:themeColor="text1"/>
        </w:rPr>
        <w:tab/>
      </w:r>
      <w:r w:rsidR="00C61F01" w:rsidRPr="006954BD">
        <w:t>Correspondence held by the defendant (including correspondence received and s</w:t>
      </w:r>
      <w:r w:rsidR="00C61F01">
        <w:t>ent) concerning registration of any of Mr</w:t>
      </w:r>
      <w:r w:rsidR="00C61F01" w:rsidRPr="006954BD">
        <w:t xml:space="preserve"> Bennett, Kerry Clough, Barton Capital Securities, Centec Securities, Diversa, A.C.N. 008 082 157</w:t>
      </w:r>
      <w:r w:rsidR="00C61F01">
        <w:t xml:space="preserve"> </w:t>
      </w:r>
      <w:r w:rsidR="00C61F01" w:rsidRPr="006954BD">
        <w:t>Pty Ltd or any other entity</w:t>
      </w:r>
      <w:r w:rsidR="00C61F01">
        <w:t xml:space="preserve"> </w:t>
      </w:r>
      <w:r w:rsidR="00C61F01" w:rsidRPr="006954BD">
        <w:t xml:space="preserve">as financial advisors, brokers, stockbrokers or recipients of </w:t>
      </w:r>
      <w:r w:rsidR="00C61F01">
        <w:rPr>
          <w:color w:val="000000" w:themeColor="text1"/>
        </w:rPr>
        <w:t>commission registered on Mr Holland’s</w:t>
      </w:r>
      <w:r w:rsidR="00C61F01" w:rsidRPr="00034555">
        <w:rPr>
          <w:color w:val="000000" w:themeColor="text1"/>
        </w:rPr>
        <w:t xml:space="preserve"> margin loan.</w:t>
      </w:r>
    </w:p>
    <w:p w:rsidR="00C61F01" w:rsidRDefault="004402EC" w:rsidP="004402EC">
      <w:pPr>
        <w:pStyle w:val="ParaNumbering"/>
        <w:numPr>
          <w:ilvl w:val="0"/>
          <w:numId w:val="0"/>
        </w:numPr>
        <w:tabs>
          <w:tab w:val="left" w:pos="720"/>
        </w:tabs>
        <w:ind w:hanging="720"/>
      </w:pPr>
      <w:r>
        <w:rPr>
          <w:sz w:val="20"/>
        </w:rPr>
        <w:t>4</w:t>
      </w:r>
      <w:r>
        <w:rPr>
          <w:sz w:val="20"/>
        </w:rPr>
        <w:tab/>
      </w:r>
      <w:r w:rsidR="00C61F01" w:rsidRPr="00D47620">
        <w:t>The application</w:t>
      </w:r>
      <w:r w:rsidR="00C61F01">
        <w:t>s</w:t>
      </w:r>
      <w:r w:rsidR="00C61F01" w:rsidRPr="00D47620">
        <w:t xml:space="preserve"> </w:t>
      </w:r>
      <w:r w:rsidR="00C61F01">
        <w:t>are</w:t>
      </w:r>
      <w:r w:rsidR="00C61F01" w:rsidRPr="00D47620">
        <w:t xml:space="preserve"> opposed</w:t>
      </w:r>
      <w:r w:rsidR="00C61F01">
        <w:t>.</w:t>
      </w:r>
    </w:p>
    <w:p w:rsidR="00C61F01" w:rsidRPr="00D47620" w:rsidRDefault="00C61F01" w:rsidP="00C61F01">
      <w:pPr>
        <w:pStyle w:val="Heading2"/>
      </w:pPr>
      <w:r w:rsidRPr="00D47620">
        <w:t>Affidavits read</w:t>
      </w:r>
    </w:p>
    <w:p w:rsidR="00C61F01" w:rsidRPr="00D47620" w:rsidRDefault="00C61F01" w:rsidP="00C61F01">
      <w:pPr>
        <w:pStyle w:val="Heading3"/>
      </w:pPr>
      <w:r w:rsidRPr="00D47620">
        <w:t xml:space="preserve">The </w:t>
      </w:r>
      <w:r>
        <w:t>plaintiffs read</w:t>
      </w:r>
      <w:r w:rsidRPr="00D47620">
        <w:t>:</w:t>
      </w:r>
    </w:p>
    <w:p w:rsidR="00C61F01" w:rsidRDefault="004402EC" w:rsidP="004402EC">
      <w:pPr>
        <w:pStyle w:val="ListNo2"/>
        <w:numPr>
          <w:ilvl w:val="0"/>
          <w:numId w:val="0"/>
        </w:numPr>
        <w:tabs>
          <w:tab w:val="left" w:pos="1571"/>
        </w:tabs>
        <w:ind w:left="1571" w:hanging="720"/>
      </w:pPr>
      <w:r>
        <w:t>(a)</w:t>
      </w:r>
      <w:r>
        <w:tab/>
      </w:r>
      <w:r w:rsidR="00C61F01">
        <w:t>The affidavit of Mark William Holland, and annexures thereto, sworn on 21 August 202</w:t>
      </w:r>
      <w:r w:rsidR="00D73FEA">
        <w:t>1 and filed on 23 August 2021 (</w:t>
      </w:r>
      <w:r w:rsidR="00C61F01">
        <w:rPr>
          <w:b/>
        </w:rPr>
        <w:t>first Holland affidavit</w:t>
      </w:r>
      <w:r w:rsidR="00C61F01">
        <w:t>);</w:t>
      </w:r>
    </w:p>
    <w:p w:rsidR="00C61F01" w:rsidRPr="00D47620" w:rsidRDefault="004402EC" w:rsidP="004402EC">
      <w:pPr>
        <w:pStyle w:val="ListNo2"/>
        <w:numPr>
          <w:ilvl w:val="0"/>
          <w:numId w:val="0"/>
        </w:numPr>
        <w:tabs>
          <w:tab w:val="left" w:pos="1571"/>
        </w:tabs>
        <w:ind w:left="1571" w:hanging="720"/>
      </w:pPr>
      <w:r w:rsidRPr="00D47620">
        <w:t>(b)</w:t>
      </w:r>
      <w:r w:rsidRPr="00D47620">
        <w:tab/>
      </w:r>
      <w:r w:rsidR="00C61F01" w:rsidRPr="00D47620">
        <w:t>The affidavit of Mark William Holland</w:t>
      </w:r>
      <w:r w:rsidR="00C61F01">
        <w:t xml:space="preserve">, </w:t>
      </w:r>
      <w:r w:rsidR="00C61F01" w:rsidRPr="00D47620">
        <w:t>and annexures thereto, swor</w:t>
      </w:r>
      <w:r w:rsidR="00C61F01">
        <w:t>n a</w:t>
      </w:r>
      <w:r w:rsidR="00D73FEA">
        <w:t>nd filed on 22 September 2021 (</w:t>
      </w:r>
      <w:r w:rsidR="00C61F01">
        <w:rPr>
          <w:b/>
        </w:rPr>
        <w:t>second Holland affidavit</w:t>
      </w:r>
      <w:r w:rsidR="00C61F01">
        <w:t>);</w:t>
      </w:r>
    </w:p>
    <w:p w:rsidR="00C61F01" w:rsidRDefault="004402EC" w:rsidP="004402EC">
      <w:pPr>
        <w:pStyle w:val="ListNo2"/>
        <w:numPr>
          <w:ilvl w:val="0"/>
          <w:numId w:val="0"/>
        </w:numPr>
        <w:tabs>
          <w:tab w:val="left" w:pos="1571"/>
        </w:tabs>
        <w:ind w:left="1571" w:hanging="720"/>
      </w:pPr>
      <w:r>
        <w:t>(c)</w:t>
      </w:r>
      <w:r>
        <w:tab/>
      </w:r>
      <w:r w:rsidR="00C61F01" w:rsidRPr="00D47620">
        <w:t xml:space="preserve">The affidavit of Mark William Holland, and annexures thereto, sworn and filed on 21 </w:t>
      </w:r>
      <w:r w:rsidR="00D73FEA">
        <w:t>December 2021 (</w:t>
      </w:r>
      <w:r w:rsidR="00C61F01">
        <w:rPr>
          <w:b/>
        </w:rPr>
        <w:t>third Holland affidavit</w:t>
      </w:r>
      <w:r w:rsidR="00C61F01">
        <w:t>); and</w:t>
      </w:r>
    </w:p>
    <w:p w:rsidR="00C61F01" w:rsidRPr="00AB026B" w:rsidRDefault="004402EC" w:rsidP="004402EC">
      <w:pPr>
        <w:pStyle w:val="ListNo2"/>
        <w:numPr>
          <w:ilvl w:val="0"/>
          <w:numId w:val="0"/>
        </w:numPr>
        <w:tabs>
          <w:tab w:val="left" w:pos="1571"/>
        </w:tabs>
        <w:ind w:left="1571" w:hanging="720"/>
      </w:pPr>
      <w:r w:rsidRPr="00AB026B">
        <w:t>(d)</w:t>
      </w:r>
      <w:r w:rsidRPr="00AB026B">
        <w:tab/>
      </w:r>
      <w:r w:rsidR="00C61F01" w:rsidRPr="00AB026B">
        <w:t>The affidavit of Mark William Holland, and annexures thereto, swor</w:t>
      </w:r>
      <w:r w:rsidR="00C61F01">
        <w:t>n</w:t>
      </w:r>
      <w:r w:rsidR="00D73FEA">
        <w:t xml:space="preserve"> and filed on 27 January 2022 (</w:t>
      </w:r>
      <w:r w:rsidR="00C61F01">
        <w:rPr>
          <w:b/>
        </w:rPr>
        <w:t>fourth Holland affidavit</w:t>
      </w:r>
      <w:r w:rsidR="00C61F01">
        <w:t>).</w:t>
      </w:r>
    </w:p>
    <w:p w:rsidR="00C61F01" w:rsidRPr="00D47620" w:rsidRDefault="00C61F01" w:rsidP="00C61F01">
      <w:pPr>
        <w:pStyle w:val="Heading3"/>
      </w:pPr>
      <w:r w:rsidRPr="00D47620">
        <w:t xml:space="preserve">The </w:t>
      </w:r>
      <w:r>
        <w:t>defendant</w:t>
      </w:r>
      <w:r w:rsidRPr="00D47620">
        <w:t xml:space="preserve"> reads: </w:t>
      </w:r>
    </w:p>
    <w:p w:rsidR="00C61F01" w:rsidRDefault="004402EC" w:rsidP="004402EC">
      <w:pPr>
        <w:pStyle w:val="ListNo2"/>
        <w:numPr>
          <w:ilvl w:val="0"/>
          <w:numId w:val="0"/>
        </w:numPr>
        <w:tabs>
          <w:tab w:val="left" w:pos="1571"/>
        </w:tabs>
        <w:ind w:left="1571" w:hanging="720"/>
      </w:pPr>
      <w:r>
        <w:t>(a)</w:t>
      </w:r>
      <w:r>
        <w:tab/>
      </w:r>
      <w:r w:rsidR="00C61F01" w:rsidRPr="00D47620">
        <w:t>The affidavit of David Michael Morrissey</w:t>
      </w:r>
      <w:r w:rsidR="00C61F01">
        <w:t xml:space="preserve"> </w:t>
      </w:r>
      <w:r w:rsidR="00C61F01" w:rsidRPr="00D47620">
        <w:t xml:space="preserve">and </w:t>
      </w:r>
      <w:r w:rsidR="00C61F01">
        <w:t xml:space="preserve">the </w:t>
      </w:r>
      <w:r w:rsidR="00C61F01" w:rsidRPr="00D47620">
        <w:t>annexures thereto, sworn</w:t>
      </w:r>
      <w:r w:rsidR="00C61F01">
        <w:t xml:space="preserve"> </w:t>
      </w:r>
      <w:r w:rsidR="00D73FEA">
        <w:t>and filed on 14 February 2022 (</w:t>
      </w:r>
      <w:r w:rsidR="00C61F01" w:rsidRPr="008B7AE0">
        <w:rPr>
          <w:b/>
        </w:rPr>
        <w:t>Morrissey affidavit</w:t>
      </w:r>
      <w:r w:rsidR="00C61F01">
        <w:t xml:space="preserve">). </w:t>
      </w:r>
    </w:p>
    <w:p w:rsidR="00C61F01" w:rsidRPr="00D47620" w:rsidRDefault="00C61F01" w:rsidP="00C61F01">
      <w:pPr>
        <w:pStyle w:val="Heading2"/>
      </w:pPr>
      <w:r w:rsidRPr="00D47620">
        <w:t>Principles</w:t>
      </w:r>
    </w:p>
    <w:p w:rsidR="00C61F01" w:rsidRPr="00D47620" w:rsidRDefault="004402EC" w:rsidP="004402EC">
      <w:pPr>
        <w:pStyle w:val="ParaNumbering"/>
        <w:numPr>
          <w:ilvl w:val="0"/>
          <w:numId w:val="0"/>
        </w:numPr>
        <w:tabs>
          <w:tab w:val="left" w:pos="720"/>
        </w:tabs>
        <w:ind w:hanging="720"/>
      </w:pPr>
      <w:r w:rsidRPr="00D47620">
        <w:rPr>
          <w:sz w:val="20"/>
        </w:rPr>
        <w:t>5</w:t>
      </w:r>
      <w:r w:rsidRPr="00D47620">
        <w:rPr>
          <w:sz w:val="20"/>
        </w:rPr>
        <w:tab/>
      </w:r>
      <w:r w:rsidR="00C61F01" w:rsidRPr="00D47620">
        <w:t xml:space="preserve">The </w:t>
      </w:r>
      <w:r w:rsidR="00C61F01" w:rsidRPr="009D67E5">
        <w:rPr>
          <w:i/>
        </w:rPr>
        <w:t>Federal Court Rules 2011</w:t>
      </w:r>
      <w:r w:rsidR="00C61F01">
        <w:t xml:space="preserve"> (Cth) </w:t>
      </w:r>
      <w:r w:rsidR="00C61F01" w:rsidRPr="00D47620">
        <w:t xml:space="preserve">reflect the overarching purpose of the civil practice and procedure provisions pursuant to s 37M of the </w:t>
      </w:r>
      <w:r w:rsidR="00C61F01" w:rsidRPr="00D47620">
        <w:rPr>
          <w:i/>
        </w:rPr>
        <w:t>Federal Court of Australia Act 1976</w:t>
      </w:r>
      <w:r w:rsidR="00C61F01" w:rsidRPr="00D47620">
        <w:t xml:space="preserve"> (Cth) (</w:t>
      </w:r>
      <w:r w:rsidR="00D73FEA">
        <w:rPr>
          <w:b/>
        </w:rPr>
        <w:t>Federal Court Act</w:t>
      </w:r>
      <w:r w:rsidR="00C61F01" w:rsidRPr="00D47620">
        <w:t xml:space="preserve">):  </w:t>
      </w:r>
      <w:r w:rsidR="00C61F01" w:rsidRPr="00D47620">
        <w:rPr>
          <w:i/>
        </w:rPr>
        <w:t>Construction, Forest</w:t>
      </w:r>
      <w:r w:rsidR="00C61F01">
        <w:rPr>
          <w:i/>
        </w:rPr>
        <w:t>ry, Mining and Energy Union v BH</w:t>
      </w:r>
      <w:r w:rsidR="00C61F01" w:rsidRPr="00D47620">
        <w:rPr>
          <w:i/>
        </w:rPr>
        <w:t>P Coal Pty Ltd (No 2)</w:t>
      </w:r>
      <w:r w:rsidR="00C61F01" w:rsidRPr="00D47620">
        <w:t xml:space="preserve"> [2011] FCA 1396 [21].</w:t>
      </w:r>
    </w:p>
    <w:p w:rsidR="00C61F01" w:rsidRPr="00D47620" w:rsidRDefault="004402EC" w:rsidP="004402EC">
      <w:pPr>
        <w:pStyle w:val="ParaNumbering"/>
        <w:numPr>
          <w:ilvl w:val="0"/>
          <w:numId w:val="0"/>
        </w:numPr>
        <w:tabs>
          <w:tab w:val="left" w:pos="720"/>
        </w:tabs>
        <w:ind w:hanging="720"/>
      </w:pPr>
      <w:r w:rsidRPr="00D47620">
        <w:rPr>
          <w:sz w:val="20"/>
        </w:rPr>
        <w:t>6</w:t>
      </w:r>
      <w:r w:rsidRPr="00D47620">
        <w:rPr>
          <w:sz w:val="20"/>
        </w:rPr>
        <w:tab/>
      </w:r>
      <w:r w:rsidR="00C61F01" w:rsidRPr="00D47620">
        <w:t>In the event the Court orders that a party give standard discovery:  FCR 20.14(1), such an order requires a party to discover documents:</w:t>
      </w:r>
    </w:p>
    <w:p w:rsidR="00C61F01" w:rsidRPr="00D47620" w:rsidRDefault="00C61F01" w:rsidP="007E41C5">
      <w:pPr>
        <w:pStyle w:val="Quote1"/>
        <w:ind w:left="1440" w:hanging="703"/>
      </w:pPr>
      <w:r w:rsidRPr="004A122E">
        <w:t>(a</w:t>
      </w:r>
      <w:r>
        <w:t>)</w:t>
      </w:r>
      <w:r>
        <w:tab/>
      </w:r>
      <w:r w:rsidRPr="00D47620">
        <w:t>that are directly relevant to the issues raised by the pleadings or the affidavits; and</w:t>
      </w:r>
    </w:p>
    <w:p w:rsidR="00C61F01" w:rsidRPr="00D47620" w:rsidRDefault="00C61F01" w:rsidP="007E41C5">
      <w:pPr>
        <w:pStyle w:val="Quote1"/>
        <w:ind w:left="1440" w:hanging="703"/>
      </w:pPr>
      <w:r>
        <w:t>(b)</w:t>
      </w:r>
      <w:r>
        <w:tab/>
      </w:r>
      <w:r w:rsidRPr="00D47620">
        <w:t>of which, after reasonable search, the party is aware; and</w:t>
      </w:r>
    </w:p>
    <w:p w:rsidR="00C61F01" w:rsidRPr="00D47620" w:rsidRDefault="00C61F01" w:rsidP="007E41C5">
      <w:pPr>
        <w:pStyle w:val="Quote1"/>
        <w:ind w:left="1440" w:hanging="703"/>
      </w:pPr>
      <w:r>
        <w:t>(c)</w:t>
      </w:r>
      <w:r>
        <w:tab/>
      </w:r>
      <w:r w:rsidRPr="00D47620">
        <w:t>that are, or have been, in the party’s control.</w:t>
      </w:r>
    </w:p>
    <w:p w:rsidR="00C61F01" w:rsidRPr="00D47620" w:rsidRDefault="004402EC" w:rsidP="004402EC">
      <w:pPr>
        <w:pStyle w:val="ParaNumbering"/>
        <w:numPr>
          <w:ilvl w:val="0"/>
          <w:numId w:val="0"/>
        </w:numPr>
        <w:tabs>
          <w:tab w:val="left" w:pos="720"/>
        </w:tabs>
        <w:ind w:hanging="720"/>
      </w:pPr>
      <w:r w:rsidRPr="00D47620">
        <w:rPr>
          <w:sz w:val="20"/>
        </w:rPr>
        <w:t>7</w:t>
      </w:r>
      <w:r w:rsidRPr="00D47620">
        <w:rPr>
          <w:sz w:val="20"/>
        </w:rPr>
        <w:tab/>
      </w:r>
      <w:r w:rsidR="00C61F01" w:rsidRPr="00D47620">
        <w:t>FCR 20.14(2) sets out the requirements for direct relevance for the purposes of FCR 20.14(1)(a).  It provides:</w:t>
      </w:r>
    </w:p>
    <w:p w:rsidR="00C61F01" w:rsidRPr="00D47620" w:rsidRDefault="00C61F01" w:rsidP="00C61F01">
      <w:pPr>
        <w:pStyle w:val="Quote1"/>
        <w:tabs>
          <w:tab w:val="left" w:pos="1418"/>
        </w:tabs>
        <w:ind w:left="1418" w:hanging="567"/>
      </w:pPr>
      <w:r w:rsidRPr="0040505B">
        <w:t>(2</w:t>
      </w:r>
      <w:r>
        <w:t>)</w:t>
      </w:r>
      <w:r>
        <w:tab/>
      </w:r>
      <w:r w:rsidRPr="00D47620">
        <w:t>For paragraph (1)(a), the documents must meet at least one of the following criteria:</w:t>
      </w:r>
    </w:p>
    <w:p w:rsidR="00C61F01" w:rsidRPr="00D47620" w:rsidRDefault="00C61F01" w:rsidP="007E41C5">
      <w:pPr>
        <w:pStyle w:val="Quote2"/>
        <w:ind w:left="2160" w:hanging="720"/>
      </w:pPr>
      <w:r>
        <w:t>(a)</w:t>
      </w:r>
      <w:r>
        <w:tab/>
      </w:r>
      <w:r w:rsidRPr="00D47620">
        <w:t>the documents are those on which the party intends to rely;</w:t>
      </w:r>
    </w:p>
    <w:p w:rsidR="00C61F01" w:rsidRPr="00D47620" w:rsidRDefault="00C61F01" w:rsidP="007E41C5">
      <w:pPr>
        <w:pStyle w:val="Quote2"/>
        <w:ind w:left="2160" w:hanging="720"/>
      </w:pPr>
      <w:r>
        <w:t>(b)</w:t>
      </w:r>
      <w:r>
        <w:tab/>
      </w:r>
      <w:r w:rsidRPr="00D47620">
        <w:t>the documents adversely affect the party’s own case;</w:t>
      </w:r>
    </w:p>
    <w:p w:rsidR="00C61F01" w:rsidRPr="00D47620" w:rsidRDefault="00C61F01" w:rsidP="007E41C5">
      <w:pPr>
        <w:pStyle w:val="Quote2"/>
        <w:ind w:left="2160" w:hanging="720"/>
      </w:pPr>
      <w:r>
        <w:t>(c)</w:t>
      </w:r>
      <w:r>
        <w:tab/>
      </w:r>
      <w:r w:rsidRPr="00D47620">
        <w:t>the documents support another party’s case;</w:t>
      </w:r>
    </w:p>
    <w:p w:rsidR="00C61F01" w:rsidRDefault="00C61F01" w:rsidP="007E41C5">
      <w:pPr>
        <w:pStyle w:val="Quote2"/>
        <w:ind w:left="2160" w:hanging="720"/>
      </w:pPr>
      <w:r>
        <w:t>(d)</w:t>
      </w:r>
      <w:r>
        <w:tab/>
      </w:r>
      <w:r w:rsidRPr="00D47620">
        <w:t>the documents adversely affect another party’s case.</w:t>
      </w:r>
    </w:p>
    <w:p w:rsidR="00C61F01" w:rsidRPr="005E440F" w:rsidRDefault="004402EC" w:rsidP="004402EC">
      <w:pPr>
        <w:pStyle w:val="ParaNumbering"/>
        <w:numPr>
          <w:ilvl w:val="0"/>
          <w:numId w:val="0"/>
        </w:numPr>
        <w:ind w:hanging="720"/>
      </w:pPr>
      <w:r w:rsidRPr="005E440F">
        <w:rPr>
          <w:sz w:val="20"/>
        </w:rPr>
        <w:t>8</w:t>
      </w:r>
      <w:r w:rsidRPr="005E440F">
        <w:rPr>
          <w:sz w:val="20"/>
        </w:rPr>
        <w:tab/>
      </w:r>
      <w:r w:rsidR="00C61F01" w:rsidRPr="005E440F">
        <w:t>T</w:t>
      </w:r>
      <w:r w:rsidR="00144978">
        <w:t xml:space="preserve">he Court will not approve expansive or unjustified requests and will generally only consider approving a request in one or more </w:t>
      </w:r>
      <w:r w:rsidR="00C61F01" w:rsidRPr="005E440F">
        <w:t>of the following circumstances</w:t>
      </w:r>
      <w:r w:rsidR="00C61F01">
        <w:t xml:space="preserve">:  </w:t>
      </w:r>
      <w:r w:rsidR="00C61F01" w:rsidRPr="005E440F">
        <w:t>C</w:t>
      </w:r>
      <w:r w:rsidR="00C61F01">
        <w:t xml:space="preserve">entral Practice Note: National Court </w:t>
      </w:r>
      <w:r w:rsidR="00D73FEA">
        <w:t>Framework and Case Management (</w:t>
      </w:r>
      <w:r w:rsidR="00C61F01" w:rsidRPr="0028217D">
        <w:rPr>
          <w:b/>
        </w:rPr>
        <w:t>CPN</w:t>
      </w:r>
      <w:r w:rsidR="00C61F01">
        <w:t>) (CPN</w:t>
      </w:r>
      <w:r w:rsidR="00C61F01" w:rsidRPr="005E440F">
        <w:t>-1 at 10.6):</w:t>
      </w:r>
    </w:p>
    <w:p w:rsidR="00C61F01" w:rsidRDefault="00C61F01" w:rsidP="007E41C5">
      <w:pPr>
        <w:pStyle w:val="Quote1"/>
        <w:ind w:left="1440" w:hanging="703"/>
      </w:pPr>
      <w:r>
        <w:t>(a)</w:t>
      </w:r>
      <w:r>
        <w:tab/>
        <w:t>T</w:t>
      </w:r>
      <w:r w:rsidRPr="005E440F">
        <w:t>hat the discovery request facilitates the just resolution of the proceedings as quickly, inexpensively and efficie</w:t>
      </w:r>
      <w:r>
        <w:t xml:space="preserve">ntly as possible; </w:t>
      </w:r>
    </w:p>
    <w:p w:rsidR="00C61F01" w:rsidRDefault="00C61F01" w:rsidP="007E41C5">
      <w:pPr>
        <w:pStyle w:val="Quote1"/>
        <w:ind w:left="1440" w:hanging="703"/>
      </w:pPr>
      <w:r>
        <w:t>…</w:t>
      </w:r>
    </w:p>
    <w:p w:rsidR="00C61F01" w:rsidRPr="005E440F" w:rsidRDefault="00C61F01" w:rsidP="007E41C5">
      <w:pPr>
        <w:pStyle w:val="Quote1"/>
        <w:ind w:left="1440" w:hanging="703"/>
      </w:pPr>
      <w:r>
        <w:t>(d)</w:t>
      </w:r>
      <w:r>
        <w:tab/>
        <w:t xml:space="preserve">The discovery applicant has adequately justified the need for the Request including </w:t>
      </w:r>
      <w:r w:rsidRPr="005E440F">
        <w:t>demonstrating:</w:t>
      </w:r>
    </w:p>
    <w:p w:rsidR="00C61F01" w:rsidRDefault="00C61F01" w:rsidP="007E41C5">
      <w:pPr>
        <w:pStyle w:val="Quote2"/>
        <w:ind w:left="2160" w:hanging="720"/>
      </w:pPr>
      <w:r>
        <w:t>(i)</w:t>
      </w:r>
      <w:r>
        <w:tab/>
        <w:t>the utility of the Request and the appropriateness of discovery occurring at that time;</w:t>
      </w:r>
    </w:p>
    <w:p w:rsidR="00C61F01" w:rsidRPr="005E440F" w:rsidRDefault="00C61F01" w:rsidP="007E41C5">
      <w:pPr>
        <w:pStyle w:val="Quote2"/>
        <w:ind w:left="2160" w:hanging="720"/>
      </w:pPr>
      <w:r>
        <w:t>(ii)</w:t>
      </w:r>
      <w:r>
        <w:tab/>
      </w:r>
      <w:r w:rsidRPr="005E440F">
        <w:t>the relevance and importance of the documentation or information sought;</w:t>
      </w:r>
    </w:p>
    <w:p w:rsidR="00C61F01" w:rsidRPr="005E440F" w:rsidRDefault="00C61F01" w:rsidP="007E41C5">
      <w:pPr>
        <w:pStyle w:val="Quote2"/>
        <w:ind w:left="2160" w:hanging="720"/>
      </w:pPr>
      <w:r>
        <w:t>(iii)</w:t>
      </w:r>
      <w:r>
        <w:tab/>
      </w:r>
      <w:r w:rsidRPr="005E440F">
        <w:t xml:space="preserve">the limited and targeted nature of the </w:t>
      </w:r>
      <w:r>
        <w:t>R</w:t>
      </w:r>
      <w:r w:rsidRPr="005E440F">
        <w:t>equest; and</w:t>
      </w:r>
    </w:p>
    <w:p w:rsidR="00C61F01" w:rsidRPr="005E440F" w:rsidRDefault="00C61F01" w:rsidP="007E41C5">
      <w:pPr>
        <w:pStyle w:val="Quote2"/>
        <w:ind w:left="2160" w:hanging="720"/>
      </w:pPr>
      <w:r>
        <w:t>(iv)</w:t>
      </w:r>
      <w:r>
        <w:tab/>
      </w:r>
      <w:r w:rsidRPr="005E440F">
        <w:t>that the documents sought are, or are very likely to be, significantly probative in nature, or the documents materially support, or are materially adverse to, any party’s case in the proceeding.</w:t>
      </w:r>
    </w:p>
    <w:p w:rsidR="00C61F01" w:rsidRPr="00D47620" w:rsidRDefault="00C61F01" w:rsidP="00C61F01">
      <w:pPr>
        <w:pStyle w:val="Heading2"/>
        <w:rPr>
          <w:i/>
        </w:rPr>
      </w:pPr>
      <w:r w:rsidRPr="00627852">
        <w:t>Background</w:t>
      </w:r>
      <w:r>
        <w:t xml:space="preserve"> and overview of the pleadings</w:t>
      </w:r>
    </w:p>
    <w:p w:rsidR="00C61F01" w:rsidRDefault="004402EC" w:rsidP="004402EC">
      <w:pPr>
        <w:pStyle w:val="ParaNumbering"/>
        <w:numPr>
          <w:ilvl w:val="0"/>
          <w:numId w:val="0"/>
        </w:numPr>
        <w:tabs>
          <w:tab w:val="left" w:pos="720"/>
        </w:tabs>
        <w:ind w:hanging="720"/>
      </w:pPr>
      <w:r>
        <w:rPr>
          <w:sz w:val="20"/>
        </w:rPr>
        <w:t>9</w:t>
      </w:r>
      <w:r>
        <w:rPr>
          <w:sz w:val="20"/>
        </w:rPr>
        <w:tab/>
      </w:r>
      <w:r w:rsidR="00C61F01">
        <w:t>Mr Holland has operated a margin loan facili</w:t>
      </w:r>
      <w:r w:rsidR="00D73FEA">
        <w:t>ty with BT Securities Limited (</w:t>
      </w:r>
      <w:r w:rsidR="00C61F01" w:rsidRPr="00124215">
        <w:rPr>
          <w:b/>
        </w:rPr>
        <w:t>defendant</w:t>
      </w:r>
      <w:r w:rsidR="00C61F01">
        <w:t xml:space="preserve">), identified by the </w:t>
      </w:r>
      <w:r w:rsidR="00D73FEA">
        <w:t>reference number HOLLM12973-6 (</w:t>
      </w:r>
      <w:r w:rsidR="00C61F01" w:rsidRPr="00C72DD2">
        <w:t>the</w:t>
      </w:r>
      <w:r w:rsidR="00C61F01" w:rsidRPr="00DB25C0">
        <w:rPr>
          <w:b/>
        </w:rPr>
        <w:t xml:space="preserve"> </w:t>
      </w:r>
      <w:r w:rsidR="00C61F01">
        <w:rPr>
          <w:b/>
        </w:rPr>
        <w:t>facility</w:t>
      </w:r>
      <w:r w:rsidR="00C61F01">
        <w:t xml:space="preserve">) since about 28 April 1997.  The facility still exists but the facility balance was reduced to zero on 2 August 2021. </w:t>
      </w:r>
    </w:p>
    <w:p w:rsidR="00C61F01" w:rsidRDefault="004402EC" w:rsidP="004402EC">
      <w:pPr>
        <w:pStyle w:val="ParaNumbering"/>
        <w:numPr>
          <w:ilvl w:val="0"/>
          <w:numId w:val="0"/>
        </w:numPr>
        <w:tabs>
          <w:tab w:val="left" w:pos="720"/>
        </w:tabs>
        <w:ind w:hanging="720"/>
      </w:pPr>
      <w:r>
        <w:rPr>
          <w:sz w:val="20"/>
        </w:rPr>
        <w:t>10</w:t>
      </w:r>
      <w:r>
        <w:rPr>
          <w:sz w:val="20"/>
        </w:rPr>
        <w:tab/>
      </w:r>
      <w:r w:rsidR="00C61F01">
        <w:t>Mr Holland also held a stock broking account with Bart</w:t>
      </w:r>
      <w:r w:rsidR="00D73FEA">
        <w:t>on Capital Securities Pty Ltd (</w:t>
      </w:r>
      <w:r w:rsidR="00C61F01" w:rsidRPr="0091366C">
        <w:rPr>
          <w:b/>
        </w:rPr>
        <w:t>Barton</w:t>
      </w:r>
      <w:r w:rsidR="00C61F01">
        <w:t>) and w</w:t>
      </w:r>
      <w:r w:rsidR="00D73FEA">
        <w:t>ith Centec Securities Pty Ltd (</w:t>
      </w:r>
      <w:r w:rsidR="00C61F01">
        <w:rPr>
          <w:b/>
        </w:rPr>
        <w:t>Centec</w:t>
      </w:r>
      <w:r w:rsidR="00C61F01" w:rsidRPr="00B4380F">
        <w:t>)</w:t>
      </w:r>
      <w:r w:rsidR="00C61F01">
        <w:t xml:space="preserve">.  Mr Bennett acted as Mr Holland’s stockbroker. </w:t>
      </w:r>
    </w:p>
    <w:p w:rsidR="00C61F01" w:rsidRDefault="004402EC" w:rsidP="004402EC">
      <w:pPr>
        <w:pStyle w:val="ParaNumbering"/>
        <w:numPr>
          <w:ilvl w:val="0"/>
          <w:numId w:val="0"/>
        </w:numPr>
        <w:tabs>
          <w:tab w:val="left" w:pos="720"/>
        </w:tabs>
        <w:ind w:hanging="720"/>
      </w:pPr>
      <w:r>
        <w:rPr>
          <w:sz w:val="20"/>
        </w:rPr>
        <w:t>11</w:t>
      </w:r>
      <w:r>
        <w:rPr>
          <w:sz w:val="20"/>
        </w:rPr>
        <w:tab/>
      </w:r>
      <w:r w:rsidR="00C61F01">
        <w:t xml:space="preserve">Since 28 May 1997, Mr Holland funded share purchases through the facility. </w:t>
      </w:r>
    </w:p>
    <w:p w:rsidR="00C61F01" w:rsidRDefault="004402EC" w:rsidP="004402EC">
      <w:pPr>
        <w:pStyle w:val="ParaNumbering"/>
        <w:numPr>
          <w:ilvl w:val="0"/>
          <w:numId w:val="0"/>
        </w:numPr>
        <w:tabs>
          <w:tab w:val="left" w:pos="720"/>
        </w:tabs>
        <w:ind w:hanging="720"/>
      </w:pPr>
      <w:r>
        <w:rPr>
          <w:sz w:val="20"/>
        </w:rPr>
        <w:t>12</w:t>
      </w:r>
      <w:r>
        <w:rPr>
          <w:sz w:val="20"/>
        </w:rPr>
        <w:tab/>
      </w:r>
      <w:r w:rsidR="00C61F01">
        <w:t xml:space="preserve">The defendant holds Australian Financial Services Licence No. 233722 and is an Australian Financial Services Licensee.  Aspects of its business are subject to the provisions of the </w:t>
      </w:r>
      <w:r w:rsidR="00C61F01" w:rsidRPr="00A1346D">
        <w:rPr>
          <w:i/>
        </w:rPr>
        <w:t>Corporations Act 2001</w:t>
      </w:r>
      <w:r w:rsidR="00D73FEA">
        <w:t xml:space="preserve"> (Cth) (</w:t>
      </w:r>
      <w:r w:rsidR="00C61F01" w:rsidRPr="00D73FEA">
        <w:t>the</w:t>
      </w:r>
      <w:r w:rsidR="00C61F01" w:rsidRPr="00396E42">
        <w:rPr>
          <w:b/>
        </w:rPr>
        <w:t xml:space="preserve"> Act</w:t>
      </w:r>
      <w:r w:rsidR="00C61F01">
        <w:t xml:space="preserve">). </w:t>
      </w:r>
    </w:p>
    <w:p w:rsidR="00C61F01" w:rsidRDefault="004402EC" w:rsidP="004402EC">
      <w:pPr>
        <w:pStyle w:val="ParaNumbering"/>
        <w:numPr>
          <w:ilvl w:val="0"/>
          <w:numId w:val="0"/>
        </w:numPr>
        <w:tabs>
          <w:tab w:val="left" w:pos="720"/>
        </w:tabs>
        <w:ind w:hanging="720"/>
      </w:pPr>
      <w:r>
        <w:rPr>
          <w:sz w:val="20"/>
        </w:rPr>
        <w:t>13</w:t>
      </w:r>
      <w:r>
        <w:rPr>
          <w:sz w:val="20"/>
        </w:rPr>
        <w:tab/>
      </w:r>
      <w:r w:rsidR="00C61F01">
        <w:t xml:space="preserve">The defendant held a security interest in some shares belonging to Mrs Holland, to secure Mr Holland’s performance of his obligations under the facility.  </w:t>
      </w:r>
    </w:p>
    <w:p w:rsidR="00C61F01" w:rsidRPr="001819AD" w:rsidRDefault="004402EC" w:rsidP="004402EC">
      <w:pPr>
        <w:pStyle w:val="ParaNumbering"/>
        <w:numPr>
          <w:ilvl w:val="0"/>
          <w:numId w:val="0"/>
        </w:numPr>
        <w:tabs>
          <w:tab w:val="left" w:pos="720"/>
        </w:tabs>
        <w:ind w:hanging="720"/>
      </w:pPr>
      <w:r w:rsidRPr="001819AD">
        <w:rPr>
          <w:sz w:val="20"/>
        </w:rPr>
        <w:t>14</w:t>
      </w:r>
      <w:r w:rsidRPr="001819AD">
        <w:rPr>
          <w:sz w:val="20"/>
        </w:rPr>
        <w:tab/>
      </w:r>
      <w:r w:rsidR="00C61F01">
        <w:t xml:space="preserve">The defendant charged and collected interest in accordance with the terms of the contract for the facility, from 28 May 1997 until 31 July </w:t>
      </w:r>
      <w:r w:rsidR="00C61F01" w:rsidRPr="001819AD">
        <w:t>2021.</w:t>
      </w:r>
    </w:p>
    <w:p w:rsidR="00C61F01" w:rsidRPr="001819AD" w:rsidRDefault="004402EC" w:rsidP="004402EC">
      <w:pPr>
        <w:pStyle w:val="ParaNumbering"/>
        <w:numPr>
          <w:ilvl w:val="0"/>
          <w:numId w:val="0"/>
        </w:numPr>
        <w:tabs>
          <w:tab w:val="left" w:pos="720"/>
        </w:tabs>
        <w:ind w:hanging="720"/>
      </w:pPr>
      <w:r w:rsidRPr="001819AD">
        <w:rPr>
          <w:sz w:val="20"/>
        </w:rPr>
        <w:t>15</w:t>
      </w:r>
      <w:r w:rsidRPr="001819AD">
        <w:rPr>
          <w:sz w:val="20"/>
        </w:rPr>
        <w:tab/>
      </w:r>
      <w:r w:rsidR="00C61F01" w:rsidRPr="001819AD">
        <w:t xml:space="preserve">The </w:t>
      </w:r>
      <w:r w:rsidR="00C61F01">
        <w:t>plaintiffs allege</w:t>
      </w:r>
      <w:r w:rsidR="00C61F01" w:rsidRPr="001819AD">
        <w:t xml:space="preserve"> that the </w:t>
      </w:r>
      <w:r w:rsidR="00C61F01">
        <w:t>defendant</w:t>
      </w:r>
      <w:r w:rsidR="00C61F01" w:rsidRPr="001819AD">
        <w:t xml:space="preserve"> had</w:t>
      </w:r>
      <w:r w:rsidR="00C61F01">
        <w:t>,</w:t>
      </w:r>
      <w:r w:rsidR="00C61F01" w:rsidRPr="001819AD">
        <w:t xml:space="preserve"> or has remuneration agreements with Barton, Centec and other stockbrokers in respect of commission payable to them on the </w:t>
      </w:r>
      <w:r w:rsidR="00C61F01">
        <w:t>facility</w:t>
      </w:r>
      <w:r w:rsidR="00C61F01" w:rsidRPr="001819AD">
        <w:t xml:space="preserve">. </w:t>
      </w:r>
    </w:p>
    <w:p w:rsidR="00C61F01" w:rsidRPr="001819AD" w:rsidRDefault="004402EC" w:rsidP="004402EC">
      <w:pPr>
        <w:pStyle w:val="ParaNumbering"/>
        <w:numPr>
          <w:ilvl w:val="0"/>
          <w:numId w:val="0"/>
        </w:numPr>
        <w:tabs>
          <w:tab w:val="left" w:pos="720"/>
        </w:tabs>
        <w:ind w:hanging="720"/>
      </w:pPr>
      <w:r w:rsidRPr="001819AD">
        <w:rPr>
          <w:sz w:val="20"/>
        </w:rPr>
        <w:t>16</w:t>
      </w:r>
      <w:r w:rsidRPr="001819AD">
        <w:rPr>
          <w:sz w:val="20"/>
        </w:rPr>
        <w:tab/>
      </w:r>
      <w:r w:rsidR="00C61F01" w:rsidRPr="001819AD">
        <w:t xml:space="preserve">The </w:t>
      </w:r>
      <w:r w:rsidR="00C61F01">
        <w:t>defendant pleads</w:t>
      </w:r>
      <w:r w:rsidR="00C61F01" w:rsidRPr="001819AD">
        <w:t xml:space="preserve"> that at all times while </w:t>
      </w:r>
      <w:r w:rsidR="00C61F01">
        <w:t>Mr Holland</w:t>
      </w:r>
      <w:r w:rsidR="00C61F01" w:rsidRPr="001819AD">
        <w:t xml:space="preserve"> was using the </w:t>
      </w:r>
      <w:r w:rsidR="00C61F01">
        <w:t xml:space="preserve">facility </w:t>
      </w:r>
      <w:r w:rsidR="00C61F01" w:rsidRPr="001819AD">
        <w:t>to transact shares with Centec as his stockbroker</w:t>
      </w:r>
      <w:r w:rsidR="00D73FEA">
        <w:t>, Westpac Banking Corporation (</w:t>
      </w:r>
      <w:r w:rsidR="00C61F01" w:rsidRPr="001819AD">
        <w:rPr>
          <w:b/>
        </w:rPr>
        <w:t>Westpac</w:t>
      </w:r>
      <w:r w:rsidR="00C61F01" w:rsidRPr="001819AD">
        <w:t xml:space="preserve">) had an agreement with Centec </w:t>
      </w:r>
      <w:r w:rsidR="00C61F01">
        <w:t>in relation to</w:t>
      </w:r>
      <w:r w:rsidR="00C61F01" w:rsidRPr="001819AD">
        <w:t xml:space="preserve"> the payment of commission, described as an Eq</w:t>
      </w:r>
      <w:r w:rsidR="00D73FEA">
        <w:t>uities Distribution Agreement (</w:t>
      </w:r>
      <w:r w:rsidR="00C61F01" w:rsidRPr="001819AD">
        <w:rPr>
          <w:b/>
        </w:rPr>
        <w:t>EDA</w:t>
      </w:r>
      <w:r w:rsidR="00C61F01">
        <w:t>).  It</w:t>
      </w:r>
      <w:r w:rsidR="00C61F01" w:rsidRPr="001819AD">
        <w:t xml:space="preserve"> cannot locate any EDA between Westpac and Barton </w:t>
      </w:r>
      <w:r w:rsidR="00C61F01">
        <w:t>extant</w:t>
      </w:r>
      <w:r w:rsidR="00C61F01" w:rsidRPr="001819AD">
        <w:t xml:space="preserve"> at the time the </w:t>
      </w:r>
      <w:r w:rsidR="00C61F01">
        <w:t xml:space="preserve">facility </w:t>
      </w:r>
      <w:r w:rsidR="00C61F01" w:rsidRPr="001819AD">
        <w:t xml:space="preserve">commenced. </w:t>
      </w:r>
    </w:p>
    <w:p w:rsidR="00C61F01" w:rsidRPr="001819AD" w:rsidRDefault="004402EC" w:rsidP="004402EC">
      <w:pPr>
        <w:pStyle w:val="ParaNumbering"/>
        <w:numPr>
          <w:ilvl w:val="0"/>
          <w:numId w:val="0"/>
        </w:numPr>
        <w:tabs>
          <w:tab w:val="left" w:pos="720"/>
        </w:tabs>
        <w:ind w:hanging="720"/>
      </w:pPr>
      <w:r w:rsidRPr="001819AD">
        <w:rPr>
          <w:sz w:val="20"/>
        </w:rPr>
        <w:t>17</w:t>
      </w:r>
      <w:r w:rsidRPr="001819AD">
        <w:rPr>
          <w:sz w:val="20"/>
        </w:rPr>
        <w:tab/>
      </w:r>
      <w:r w:rsidR="00C61F01" w:rsidRPr="001819AD">
        <w:t xml:space="preserve">The </w:t>
      </w:r>
      <w:r w:rsidR="00C61F01">
        <w:t>defendant</w:t>
      </w:r>
      <w:r w:rsidR="00C61F01" w:rsidRPr="001819AD">
        <w:t xml:space="preserve"> says that p</w:t>
      </w:r>
      <w:r w:rsidR="00C61F01">
        <w:t>ursuant to the EDA with Centec:</w:t>
      </w:r>
    </w:p>
    <w:p w:rsidR="00C61F01" w:rsidRPr="001819AD" w:rsidRDefault="004402EC" w:rsidP="004402EC">
      <w:pPr>
        <w:pStyle w:val="ListNo1alt"/>
        <w:numPr>
          <w:ilvl w:val="0"/>
          <w:numId w:val="0"/>
        </w:numPr>
        <w:tabs>
          <w:tab w:val="left" w:pos="1004"/>
        </w:tabs>
        <w:ind w:left="1004" w:hanging="720"/>
        <w:rPr>
          <w:lang w:eastAsia="en-AU"/>
        </w:rPr>
      </w:pPr>
      <w:r w:rsidRPr="001819AD">
        <w:rPr>
          <w:lang w:eastAsia="en-AU"/>
        </w:rPr>
        <w:t>(a)</w:t>
      </w:r>
      <w:r w:rsidRPr="001819AD">
        <w:rPr>
          <w:lang w:eastAsia="en-AU"/>
        </w:rPr>
        <w:tab/>
      </w:r>
      <w:r w:rsidR="00C61F01">
        <w:rPr>
          <w:lang w:eastAsia="en-AU"/>
        </w:rPr>
        <w:t>Centec (t</w:t>
      </w:r>
      <w:r w:rsidR="00C61F01" w:rsidRPr="001819AD">
        <w:rPr>
          <w:lang w:eastAsia="en-AU"/>
        </w:rPr>
        <w:t>he Distributor</w:t>
      </w:r>
      <w:r w:rsidR="00C61F01">
        <w:rPr>
          <w:lang w:eastAsia="en-AU"/>
        </w:rPr>
        <w:t>) was authorised, at its</w:t>
      </w:r>
      <w:r w:rsidR="00C61F01" w:rsidRPr="001819AD">
        <w:rPr>
          <w:lang w:eastAsia="en-AU"/>
        </w:rPr>
        <w:t xml:space="preserve"> discretion, to recommend to their clients specified products of the Westpac Group (which group included the </w:t>
      </w:r>
      <w:r w:rsidR="00C61F01">
        <w:rPr>
          <w:lang w:eastAsia="en-AU"/>
        </w:rPr>
        <w:t>defendant</w:t>
      </w:r>
      <w:r w:rsidR="00C61F01" w:rsidRPr="001819AD">
        <w:rPr>
          <w:lang w:eastAsia="en-AU"/>
        </w:rPr>
        <w:t>);</w:t>
      </w:r>
    </w:p>
    <w:p w:rsidR="00C61F01" w:rsidRPr="001819AD" w:rsidRDefault="004402EC" w:rsidP="004402EC">
      <w:pPr>
        <w:pStyle w:val="ListNo1alt"/>
        <w:numPr>
          <w:ilvl w:val="0"/>
          <w:numId w:val="0"/>
        </w:numPr>
        <w:tabs>
          <w:tab w:val="left" w:pos="1004"/>
        </w:tabs>
        <w:ind w:left="1004" w:hanging="720"/>
        <w:rPr>
          <w:lang w:eastAsia="en-AU"/>
        </w:rPr>
      </w:pPr>
      <w:r w:rsidRPr="001819AD">
        <w:rPr>
          <w:lang w:eastAsia="en-AU"/>
        </w:rPr>
        <w:t>(b)</w:t>
      </w:r>
      <w:r w:rsidRPr="001819AD">
        <w:rPr>
          <w:lang w:eastAsia="en-AU"/>
        </w:rPr>
        <w:tab/>
      </w:r>
      <w:r w:rsidR="00C61F01">
        <w:rPr>
          <w:lang w:eastAsia="en-AU"/>
        </w:rPr>
        <w:t>If Centec</w:t>
      </w:r>
      <w:r w:rsidR="00C61F01" w:rsidRPr="001819AD">
        <w:rPr>
          <w:lang w:eastAsia="en-AU"/>
        </w:rPr>
        <w:t xml:space="preserve"> recommended to its client, and the client entered into, a margin loan </w:t>
      </w:r>
      <w:r w:rsidR="00C61F01">
        <w:rPr>
          <w:lang w:eastAsia="en-AU"/>
        </w:rPr>
        <w:t xml:space="preserve">facility </w:t>
      </w:r>
      <w:r w:rsidR="00C61F01" w:rsidRPr="001819AD">
        <w:rPr>
          <w:lang w:eastAsia="en-AU"/>
        </w:rPr>
        <w:t xml:space="preserve">(which included the </w:t>
      </w:r>
      <w:r w:rsidR="00C61F01">
        <w:rPr>
          <w:lang w:eastAsia="en-AU"/>
        </w:rPr>
        <w:t>facility</w:t>
      </w:r>
      <w:r w:rsidR="00C61F01" w:rsidRPr="001819AD">
        <w:rPr>
          <w:lang w:eastAsia="en-AU"/>
        </w:rPr>
        <w:t xml:space="preserve">), the </w:t>
      </w:r>
      <w:r w:rsidR="00C61F01">
        <w:rPr>
          <w:lang w:eastAsia="en-AU"/>
        </w:rPr>
        <w:t>defendant</w:t>
      </w:r>
      <w:r w:rsidR="00C61F01" w:rsidRPr="001819AD">
        <w:rPr>
          <w:lang w:eastAsia="en-AU"/>
        </w:rPr>
        <w:t xml:space="preserve"> would pay trailing commission to </w:t>
      </w:r>
      <w:r w:rsidR="00C61F01">
        <w:rPr>
          <w:lang w:eastAsia="en-AU"/>
        </w:rPr>
        <w:t>Centec</w:t>
      </w:r>
      <w:r w:rsidR="00C61F01" w:rsidRPr="001819AD">
        <w:rPr>
          <w:lang w:eastAsia="en-AU"/>
        </w:rPr>
        <w:t xml:space="preserve"> calculate</w:t>
      </w:r>
      <w:r w:rsidR="00C61F01">
        <w:rPr>
          <w:lang w:eastAsia="en-AU"/>
        </w:rPr>
        <w:t>d as a percentage of the client’</w:t>
      </w:r>
      <w:r w:rsidR="00C61F01" w:rsidRPr="001819AD">
        <w:rPr>
          <w:lang w:eastAsia="en-AU"/>
        </w:rPr>
        <w:t xml:space="preserve">s loan balance under that </w:t>
      </w:r>
      <w:r w:rsidR="00C61F01">
        <w:rPr>
          <w:lang w:eastAsia="en-AU"/>
        </w:rPr>
        <w:t xml:space="preserve">facility; </w:t>
      </w:r>
    </w:p>
    <w:p w:rsidR="00C61F01" w:rsidRPr="001819AD" w:rsidRDefault="004402EC" w:rsidP="004402EC">
      <w:pPr>
        <w:pStyle w:val="ListNo1alt"/>
        <w:numPr>
          <w:ilvl w:val="0"/>
          <w:numId w:val="0"/>
        </w:numPr>
        <w:tabs>
          <w:tab w:val="left" w:pos="1004"/>
        </w:tabs>
        <w:ind w:left="1004" w:hanging="720"/>
        <w:rPr>
          <w:lang w:eastAsia="en-AU"/>
        </w:rPr>
      </w:pPr>
      <w:r w:rsidRPr="001819AD">
        <w:rPr>
          <w:lang w:eastAsia="en-AU"/>
        </w:rPr>
        <w:t>(c)</w:t>
      </w:r>
      <w:r w:rsidRPr="001819AD">
        <w:rPr>
          <w:lang w:eastAsia="en-AU"/>
        </w:rPr>
        <w:tab/>
      </w:r>
      <w:r w:rsidR="00C61F01" w:rsidRPr="001819AD">
        <w:rPr>
          <w:lang w:eastAsia="en-AU"/>
        </w:rPr>
        <w:t xml:space="preserve">Where </w:t>
      </w:r>
      <w:r w:rsidR="00C61F01">
        <w:rPr>
          <w:lang w:eastAsia="en-AU"/>
        </w:rPr>
        <w:t>Centec</w:t>
      </w:r>
      <w:r w:rsidR="00C61F01" w:rsidRPr="001819AD">
        <w:rPr>
          <w:lang w:eastAsia="en-AU"/>
        </w:rPr>
        <w:t xml:space="preserve"> assigned or otherwise transferred its rights to receive commission under the EDA to another person, the </w:t>
      </w:r>
      <w:r w:rsidR="00C61F01">
        <w:rPr>
          <w:lang w:eastAsia="en-AU"/>
        </w:rPr>
        <w:t>defendant</w:t>
      </w:r>
      <w:r w:rsidR="00C61F01" w:rsidRPr="001819AD">
        <w:rPr>
          <w:lang w:eastAsia="en-AU"/>
        </w:rPr>
        <w:t xml:space="preserve"> would thereafter pa</w:t>
      </w:r>
      <w:r w:rsidR="00C61F01">
        <w:rPr>
          <w:lang w:eastAsia="en-AU"/>
        </w:rPr>
        <w:t>y the commission to that person; and</w:t>
      </w:r>
    </w:p>
    <w:p w:rsidR="00C61F01" w:rsidRPr="001819AD" w:rsidRDefault="004402EC" w:rsidP="004402EC">
      <w:pPr>
        <w:pStyle w:val="ListNo1alt"/>
        <w:numPr>
          <w:ilvl w:val="0"/>
          <w:numId w:val="0"/>
        </w:numPr>
        <w:tabs>
          <w:tab w:val="left" w:pos="1004"/>
        </w:tabs>
        <w:ind w:left="1004" w:hanging="720"/>
        <w:rPr>
          <w:lang w:eastAsia="en-AU"/>
        </w:rPr>
      </w:pPr>
      <w:r w:rsidRPr="001819AD">
        <w:rPr>
          <w:lang w:eastAsia="en-AU"/>
        </w:rPr>
        <w:t>(d)</w:t>
      </w:r>
      <w:r w:rsidRPr="001819AD">
        <w:rPr>
          <w:lang w:eastAsia="en-AU"/>
        </w:rPr>
        <w:tab/>
      </w:r>
      <w:r w:rsidR="00C61F01" w:rsidRPr="001819AD">
        <w:rPr>
          <w:lang w:eastAsia="en-AU"/>
        </w:rPr>
        <w:t xml:space="preserve">If Barton and/or Centec were not entitled to be paid commission under the EDAs in respect of the </w:t>
      </w:r>
      <w:r w:rsidR="00C61F01">
        <w:rPr>
          <w:lang w:eastAsia="en-AU"/>
        </w:rPr>
        <w:t xml:space="preserve">facility, </w:t>
      </w:r>
      <w:r w:rsidR="00C61F01" w:rsidRPr="001819AD">
        <w:rPr>
          <w:lang w:eastAsia="en-AU"/>
        </w:rPr>
        <w:t xml:space="preserve">then any commission paid to them by the </w:t>
      </w:r>
      <w:r w:rsidR="00C61F01">
        <w:rPr>
          <w:lang w:eastAsia="en-AU"/>
        </w:rPr>
        <w:t>defendant</w:t>
      </w:r>
      <w:r w:rsidR="00C61F01" w:rsidRPr="001819AD">
        <w:rPr>
          <w:lang w:eastAsia="en-AU"/>
        </w:rPr>
        <w:t xml:space="preserve"> has been paid by mistake.</w:t>
      </w:r>
    </w:p>
    <w:p w:rsidR="00C61F01" w:rsidRPr="001819AD" w:rsidRDefault="004402EC" w:rsidP="004402EC">
      <w:pPr>
        <w:pStyle w:val="ParaNumbering"/>
        <w:numPr>
          <w:ilvl w:val="0"/>
          <w:numId w:val="0"/>
        </w:numPr>
        <w:tabs>
          <w:tab w:val="left" w:pos="720"/>
        </w:tabs>
        <w:ind w:hanging="720"/>
        <w:rPr>
          <w:lang w:eastAsia="en-AU"/>
        </w:rPr>
      </w:pPr>
      <w:r w:rsidRPr="001819AD">
        <w:rPr>
          <w:sz w:val="20"/>
          <w:lang w:eastAsia="en-AU"/>
        </w:rPr>
        <w:t>18</w:t>
      </w:r>
      <w:r w:rsidRPr="001819AD">
        <w:rPr>
          <w:sz w:val="20"/>
          <w:lang w:eastAsia="en-AU"/>
        </w:rPr>
        <w:tab/>
      </w:r>
      <w:r w:rsidR="00C61F01" w:rsidRPr="001819AD">
        <w:rPr>
          <w:lang w:eastAsia="en-AU"/>
        </w:rPr>
        <w:t xml:space="preserve">Pursuant to the EDA with Centec between 1 April 2013 and 30 November 2020, any trailing commission payable was calculated monthly at the rate of 0.28% per annum on the previous month’s average loan balance. </w:t>
      </w:r>
    </w:p>
    <w:p w:rsidR="00C61F01" w:rsidRPr="001819AD" w:rsidRDefault="004402EC" w:rsidP="004402EC">
      <w:pPr>
        <w:pStyle w:val="ParaNumbering"/>
        <w:numPr>
          <w:ilvl w:val="0"/>
          <w:numId w:val="0"/>
        </w:numPr>
        <w:tabs>
          <w:tab w:val="left" w:pos="720"/>
        </w:tabs>
        <w:ind w:hanging="720"/>
        <w:rPr>
          <w:lang w:eastAsia="en-AU"/>
        </w:rPr>
      </w:pPr>
      <w:r w:rsidRPr="001819AD">
        <w:rPr>
          <w:sz w:val="20"/>
          <w:lang w:eastAsia="en-AU"/>
        </w:rPr>
        <w:t>19</w:t>
      </w:r>
      <w:r w:rsidRPr="001819AD">
        <w:rPr>
          <w:sz w:val="20"/>
          <w:lang w:eastAsia="en-AU"/>
        </w:rPr>
        <w:tab/>
      </w:r>
      <w:r w:rsidR="00C61F01" w:rsidRPr="001819AD">
        <w:rPr>
          <w:lang w:eastAsia="en-AU"/>
        </w:rPr>
        <w:t xml:space="preserve">The </w:t>
      </w:r>
      <w:r w:rsidR="00C61F01">
        <w:rPr>
          <w:lang w:eastAsia="en-AU"/>
        </w:rPr>
        <w:t>defendant</w:t>
      </w:r>
      <w:r w:rsidR="00C61F01" w:rsidRPr="001819AD">
        <w:rPr>
          <w:lang w:eastAsia="en-AU"/>
        </w:rPr>
        <w:t xml:space="preserve"> </w:t>
      </w:r>
      <w:r w:rsidR="00C61F01">
        <w:rPr>
          <w:lang w:eastAsia="en-AU"/>
        </w:rPr>
        <w:t>pleads</w:t>
      </w:r>
      <w:r w:rsidR="00C61F01" w:rsidRPr="001819AD">
        <w:rPr>
          <w:lang w:eastAsia="en-AU"/>
        </w:rPr>
        <w:t xml:space="preserve"> that it is unable to locate the documentation relating to any earlier payments of commission and denies the allegation that leading commission was paid in respect of the </w:t>
      </w:r>
      <w:r w:rsidR="00C61F01">
        <w:rPr>
          <w:lang w:eastAsia="en-AU"/>
        </w:rPr>
        <w:t>facility.</w:t>
      </w:r>
    </w:p>
    <w:p w:rsidR="00C61F01" w:rsidRPr="001819AD" w:rsidRDefault="004402EC" w:rsidP="004402EC">
      <w:pPr>
        <w:pStyle w:val="ParaNumbering"/>
        <w:numPr>
          <w:ilvl w:val="0"/>
          <w:numId w:val="0"/>
        </w:numPr>
        <w:ind w:hanging="720"/>
      </w:pPr>
      <w:r w:rsidRPr="001819AD">
        <w:rPr>
          <w:sz w:val="20"/>
        </w:rPr>
        <w:t>20</w:t>
      </w:r>
      <w:r w:rsidRPr="001819AD">
        <w:rPr>
          <w:sz w:val="20"/>
        </w:rPr>
        <w:tab/>
      </w:r>
      <w:r w:rsidR="00C61F01" w:rsidRPr="001819AD">
        <w:rPr>
          <w:lang w:eastAsia="en-AU"/>
        </w:rPr>
        <w:t xml:space="preserve">The </w:t>
      </w:r>
      <w:r w:rsidR="00C61F01">
        <w:rPr>
          <w:lang w:eastAsia="en-AU"/>
        </w:rPr>
        <w:t xml:space="preserve">plaintiffs allege </w:t>
      </w:r>
      <w:r w:rsidR="00C61F01" w:rsidRPr="00B549CF">
        <w:rPr>
          <w:color w:val="000000" w:themeColor="text1"/>
          <w:lang w:eastAsia="en-AU"/>
        </w:rPr>
        <w:t xml:space="preserve">that the remuneration arrangements </w:t>
      </w:r>
      <w:r w:rsidR="00C61F01" w:rsidRPr="001819AD">
        <w:rPr>
          <w:lang w:eastAsia="en-AU"/>
        </w:rPr>
        <w:t>were not included in any Product Disclosure Statement as required by the Act</w:t>
      </w:r>
      <w:r w:rsidR="00C61F01">
        <w:rPr>
          <w:lang w:eastAsia="en-AU"/>
        </w:rPr>
        <w:t>.</w:t>
      </w:r>
    </w:p>
    <w:p w:rsidR="00C61F01" w:rsidRPr="001819AD" w:rsidRDefault="004402EC" w:rsidP="004402EC">
      <w:pPr>
        <w:pStyle w:val="ParaNumbering"/>
        <w:numPr>
          <w:ilvl w:val="0"/>
          <w:numId w:val="0"/>
        </w:numPr>
        <w:tabs>
          <w:tab w:val="left" w:pos="720"/>
        </w:tabs>
        <w:ind w:hanging="720"/>
        <w:rPr>
          <w:lang w:eastAsia="en-AU"/>
        </w:rPr>
      </w:pPr>
      <w:r w:rsidRPr="001819AD">
        <w:rPr>
          <w:sz w:val="20"/>
          <w:lang w:eastAsia="en-AU"/>
        </w:rPr>
        <w:t>21</w:t>
      </w:r>
      <w:r w:rsidRPr="001819AD">
        <w:rPr>
          <w:sz w:val="20"/>
          <w:lang w:eastAsia="en-AU"/>
        </w:rPr>
        <w:tab/>
      </w:r>
      <w:r w:rsidR="00C61F01" w:rsidRPr="001819AD">
        <w:rPr>
          <w:lang w:eastAsia="en-AU"/>
        </w:rPr>
        <w:t xml:space="preserve">The </w:t>
      </w:r>
      <w:r w:rsidR="00C61F01">
        <w:rPr>
          <w:lang w:eastAsia="en-AU"/>
        </w:rPr>
        <w:t>defendant</w:t>
      </w:r>
      <w:r w:rsidR="00C61F01" w:rsidRPr="001819AD">
        <w:rPr>
          <w:lang w:eastAsia="en-AU"/>
        </w:rPr>
        <w:t xml:space="preserve"> admits that it did not provide a Product Disclosure Statement to the </w:t>
      </w:r>
      <w:r w:rsidR="00C61F01">
        <w:rPr>
          <w:lang w:eastAsia="en-AU"/>
        </w:rPr>
        <w:t>plaintiff</w:t>
      </w:r>
      <w:r w:rsidR="00C61F01" w:rsidRPr="001819AD">
        <w:rPr>
          <w:lang w:eastAsia="en-AU"/>
        </w:rPr>
        <w:t xml:space="preserve">s </w:t>
      </w:r>
      <w:r w:rsidR="00C61F01">
        <w:rPr>
          <w:lang w:eastAsia="en-AU"/>
        </w:rPr>
        <w:t>but</w:t>
      </w:r>
      <w:r w:rsidR="00C61F01" w:rsidRPr="001819AD">
        <w:rPr>
          <w:lang w:eastAsia="en-AU"/>
        </w:rPr>
        <w:t xml:space="preserve"> denies the allegation that it was under any obligation to make supplementary or ongoing disclosure </w:t>
      </w:r>
      <w:r w:rsidR="00C61F01">
        <w:rPr>
          <w:lang w:eastAsia="en-AU"/>
        </w:rPr>
        <w:t xml:space="preserve">because </w:t>
      </w:r>
      <w:r w:rsidR="00C61F01" w:rsidRPr="001819AD">
        <w:rPr>
          <w:lang w:eastAsia="en-AU"/>
        </w:rPr>
        <w:t xml:space="preserve">the Act </w:t>
      </w:r>
      <w:r w:rsidR="00C61F01">
        <w:rPr>
          <w:lang w:eastAsia="en-AU"/>
        </w:rPr>
        <w:t>did not require it</w:t>
      </w:r>
      <w:r w:rsidR="00C61F01" w:rsidRPr="001819AD">
        <w:rPr>
          <w:lang w:eastAsia="en-AU"/>
        </w:rPr>
        <w:t xml:space="preserve"> at the time the </w:t>
      </w:r>
      <w:r w:rsidR="00C61F01">
        <w:rPr>
          <w:lang w:eastAsia="en-AU"/>
        </w:rPr>
        <w:t xml:space="preserve">facility </w:t>
      </w:r>
      <w:r w:rsidR="00C61F01" w:rsidRPr="001819AD">
        <w:rPr>
          <w:lang w:eastAsia="en-AU"/>
        </w:rPr>
        <w:t>commenced.</w:t>
      </w:r>
    </w:p>
    <w:p w:rsidR="00C61F01" w:rsidRPr="001819AD" w:rsidRDefault="004402EC" w:rsidP="004402EC">
      <w:pPr>
        <w:pStyle w:val="ParaNumbering"/>
        <w:numPr>
          <w:ilvl w:val="0"/>
          <w:numId w:val="0"/>
        </w:numPr>
        <w:tabs>
          <w:tab w:val="left" w:pos="720"/>
        </w:tabs>
        <w:ind w:hanging="720"/>
        <w:rPr>
          <w:lang w:eastAsia="en-AU"/>
        </w:rPr>
      </w:pPr>
      <w:r w:rsidRPr="001819AD">
        <w:rPr>
          <w:sz w:val="20"/>
          <w:lang w:eastAsia="en-AU"/>
        </w:rPr>
        <w:t>22</w:t>
      </w:r>
      <w:r w:rsidRPr="001819AD">
        <w:rPr>
          <w:sz w:val="20"/>
          <w:lang w:eastAsia="en-AU"/>
        </w:rPr>
        <w:tab/>
      </w:r>
      <w:r w:rsidR="00C61F01" w:rsidRPr="001819AD">
        <w:rPr>
          <w:lang w:eastAsia="en-AU"/>
        </w:rPr>
        <w:t xml:space="preserve">The </w:t>
      </w:r>
      <w:r w:rsidR="00C61F01">
        <w:rPr>
          <w:lang w:eastAsia="en-AU"/>
        </w:rPr>
        <w:t>defendant pleads further</w:t>
      </w:r>
      <w:r w:rsidR="00C61F01" w:rsidRPr="001819AD">
        <w:rPr>
          <w:lang w:eastAsia="en-AU"/>
        </w:rPr>
        <w:t xml:space="preserve"> that commission paid was not conflicted remuneration</w:t>
      </w:r>
      <w:r w:rsidR="00C61F01">
        <w:rPr>
          <w:lang w:eastAsia="en-AU"/>
        </w:rPr>
        <w:t xml:space="preserve"> within the meaning of the Act because </w:t>
      </w:r>
      <w:r w:rsidR="00C61F01" w:rsidRPr="001819AD">
        <w:rPr>
          <w:lang w:eastAsia="en-AU"/>
        </w:rPr>
        <w:t>prior to 1 January 2021 the Act did not apply to benefits given under an arrangement entered i</w:t>
      </w:r>
      <w:r w:rsidR="00C61F01">
        <w:rPr>
          <w:lang w:eastAsia="en-AU"/>
        </w:rPr>
        <w:t>nto before 1 July 2013, and</w:t>
      </w:r>
      <w:r w:rsidR="00C61F01" w:rsidRPr="001819AD">
        <w:rPr>
          <w:lang w:eastAsia="en-AU"/>
        </w:rPr>
        <w:t xml:space="preserve"> no commission was paid in respect of the </w:t>
      </w:r>
      <w:r w:rsidR="00C61F01">
        <w:rPr>
          <w:lang w:eastAsia="en-AU"/>
        </w:rPr>
        <w:t xml:space="preserve">facility </w:t>
      </w:r>
      <w:r w:rsidR="00C61F01" w:rsidRPr="001819AD">
        <w:rPr>
          <w:lang w:eastAsia="en-AU"/>
        </w:rPr>
        <w:t xml:space="preserve">on or after 1 January 2021. </w:t>
      </w:r>
    </w:p>
    <w:p w:rsidR="00C61F01" w:rsidRPr="001819AD" w:rsidRDefault="004402EC" w:rsidP="004402EC">
      <w:pPr>
        <w:pStyle w:val="ParaNumbering"/>
        <w:numPr>
          <w:ilvl w:val="0"/>
          <w:numId w:val="0"/>
        </w:numPr>
        <w:tabs>
          <w:tab w:val="left" w:pos="720"/>
        </w:tabs>
        <w:ind w:hanging="720"/>
      </w:pPr>
      <w:r w:rsidRPr="001819AD">
        <w:rPr>
          <w:sz w:val="20"/>
        </w:rPr>
        <w:t>23</w:t>
      </w:r>
      <w:r w:rsidRPr="001819AD">
        <w:rPr>
          <w:sz w:val="20"/>
        </w:rPr>
        <w:tab/>
      </w:r>
      <w:r w:rsidR="00C61F01" w:rsidRPr="001819AD">
        <w:t xml:space="preserve">The </w:t>
      </w:r>
      <w:r w:rsidR="00C61F01">
        <w:t>plaintiff</w:t>
      </w:r>
      <w:r w:rsidR="00C61F01" w:rsidRPr="001819AD">
        <w:t xml:space="preserve">s allege that the </w:t>
      </w:r>
      <w:r w:rsidR="00C61F01">
        <w:t>defendant</w:t>
      </w:r>
      <w:r w:rsidR="00C61F01" w:rsidRPr="001819AD">
        <w:t xml:space="preserve"> wilfully shut its eyes to the following facts: </w:t>
      </w:r>
    </w:p>
    <w:p w:rsidR="00C61F01" w:rsidRPr="001819AD" w:rsidRDefault="004402EC" w:rsidP="004402EC">
      <w:pPr>
        <w:pStyle w:val="ListNo1alt"/>
        <w:numPr>
          <w:ilvl w:val="0"/>
          <w:numId w:val="0"/>
        </w:numPr>
        <w:tabs>
          <w:tab w:val="left" w:pos="1004"/>
        </w:tabs>
        <w:ind w:left="1004" w:hanging="720"/>
      </w:pPr>
      <w:r w:rsidRPr="001819AD">
        <w:t>(a)</w:t>
      </w:r>
      <w:r w:rsidRPr="001819AD">
        <w:tab/>
      </w:r>
      <w:r w:rsidR="00C61F01">
        <w:t>Stockbrokers</w:t>
      </w:r>
      <w:r w:rsidR="00C61F01" w:rsidRPr="001819AD">
        <w:t xml:space="preserve"> were not financial advisors when they were recorded on the </w:t>
      </w:r>
      <w:r w:rsidR="00C61F01">
        <w:t>defendant</w:t>
      </w:r>
      <w:r w:rsidR="00C61F01" w:rsidRPr="001819AD">
        <w:t>’s files and systems;</w:t>
      </w:r>
    </w:p>
    <w:p w:rsidR="00C61F01" w:rsidRPr="001819AD" w:rsidRDefault="004402EC" w:rsidP="004402EC">
      <w:pPr>
        <w:pStyle w:val="ListNo1alt"/>
        <w:numPr>
          <w:ilvl w:val="0"/>
          <w:numId w:val="0"/>
        </w:numPr>
        <w:tabs>
          <w:tab w:val="left" w:pos="1004"/>
        </w:tabs>
        <w:ind w:left="1004" w:hanging="720"/>
      </w:pPr>
      <w:r w:rsidRPr="001819AD">
        <w:t>(b)</w:t>
      </w:r>
      <w:r w:rsidRPr="001819AD">
        <w:tab/>
      </w:r>
      <w:r w:rsidR="00C61F01">
        <w:t>Stockbrokers</w:t>
      </w:r>
      <w:r w:rsidR="00C61F01" w:rsidRPr="001819AD">
        <w:t xml:space="preserve"> did not hold Australia</w:t>
      </w:r>
      <w:r w:rsidR="00D73FEA">
        <w:t>n Financial Services Licenses (</w:t>
      </w:r>
      <w:r w:rsidR="00C61F01" w:rsidRPr="007E41C5">
        <w:rPr>
          <w:b/>
        </w:rPr>
        <w:t>AFSLs</w:t>
      </w:r>
      <w:r w:rsidR="00C61F01" w:rsidRPr="001819AD">
        <w:t xml:space="preserve">); </w:t>
      </w:r>
    </w:p>
    <w:p w:rsidR="00C61F01" w:rsidRPr="001819AD" w:rsidRDefault="004402EC" w:rsidP="004402EC">
      <w:pPr>
        <w:pStyle w:val="ListNo1alt"/>
        <w:numPr>
          <w:ilvl w:val="0"/>
          <w:numId w:val="0"/>
        </w:numPr>
        <w:tabs>
          <w:tab w:val="left" w:pos="1004"/>
        </w:tabs>
        <w:ind w:left="1004" w:hanging="720"/>
      </w:pPr>
      <w:r w:rsidRPr="001819AD">
        <w:t>(c)</w:t>
      </w:r>
      <w:r w:rsidRPr="001819AD">
        <w:tab/>
      </w:r>
      <w:r w:rsidR="00C61F01">
        <w:t xml:space="preserve">Mr Holland’s stockbroker, Mr </w:t>
      </w:r>
      <w:r w:rsidR="00C61F01" w:rsidRPr="001819AD">
        <w:t xml:space="preserve">Bennett, was </w:t>
      </w:r>
      <w:r w:rsidR="00C61F01">
        <w:t>banned by</w:t>
      </w:r>
      <w:r w:rsidR="00C61F01" w:rsidRPr="001819AD">
        <w:t xml:space="preserve"> ASIC from 20 May 1992 to 20</w:t>
      </w:r>
      <w:r w:rsidR="00C61F01">
        <w:t> </w:t>
      </w:r>
      <w:r w:rsidR="00C61F01" w:rsidRPr="001819AD">
        <w:t>May 2002</w:t>
      </w:r>
      <w:r w:rsidR="00C61F01">
        <w:t>; and</w:t>
      </w:r>
    </w:p>
    <w:p w:rsidR="00C61F01" w:rsidRPr="001819AD" w:rsidRDefault="004402EC" w:rsidP="004402EC">
      <w:pPr>
        <w:pStyle w:val="ListNo1alt"/>
        <w:numPr>
          <w:ilvl w:val="0"/>
          <w:numId w:val="0"/>
        </w:numPr>
        <w:tabs>
          <w:tab w:val="left" w:pos="1004"/>
        </w:tabs>
        <w:ind w:left="1004" w:hanging="720"/>
      </w:pPr>
      <w:r w:rsidRPr="001819AD">
        <w:t>(d)</w:t>
      </w:r>
      <w:r w:rsidRPr="001819AD">
        <w:tab/>
      </w:r>
      <w:r w:rsidR="00C61F01" w:rsidRPr="001819AD">
        <w:t xml:space="preserve">The </w:t>
      </w:r>
      <w:r w:rsidR="00C61F01">
        <w:t>defendant</w:t>
      </w:r>
      <w:r w:rsidR="00C61F01" w:rsidRPr="001819AD">
        <w:t xml:space="preserve">’s internal procedures required the </w:t>
      </w:r>
      <w:r w:rsidR="00C61F01">
        <w:t>pla</w:t>
      </w:r>
      <w:r w:rsidR="00672F6E">
        <w:t>intiffs to complete and sign a ‘Nominal Financial Advisor’</w:t>
      </w:r>
      <w:r w:rsidR="00C61F01" w:rsidRPr="001819AD">
        <w:t xml:space="preserve"> form in order to record an advisory agreement. </w:t>
      </w:r>
      <w:r w:rsidR="00C61F01">
        <w:t xml:space="preserve"> </w:t>
      </w:r>
      <w:r w:rsidR="00C61F01" w:rsidRPr="001819AD">
        <w:t xml:space="preserve">The agreement required AFSL numbers which did not exist at the time and no form was completed. </w:t>
      </w:r>
    </w:p>
    <w:p w:rsidR="00C61F01" w:rsidRPr="001819AD" w:rsidRDefault="004402EC" w:rsidP="004402EC">
      <w:pPr>
        <w:pStyle w:val="ParaNumbering"/>
        <w:numPr>
          <w:ilvl w:val="0"/>
          <w:numId w:val="0"/>
        </w:numPr>
        <w:tabs>
          <w:tab w:val="left" w:pos="720"/>
        </w:tabs>
        <w:ind w:hanging="720"/>
      </w:pPr>
      <w:r w:rsidRPr="001819AD">
        <w:rPr>
          <w:sz w:val="20"/>
        </w:rPr>
        <w:t>24</w:t>
      </w:r>
      <w:r w:rsidRPr="001819AD">
        <w:rPr>
          <w:sz w:val="20"/>
        </w:rPr>
        <w:tab/>
      </w:r>
      <w:r w:rsidR="00C61F01" w:rsidRPr="001819AD">
        <w:t xml:space="preserve">The </w:t>
      </w:r>
      <w:r w:rsidR="00C61F01">
        <w:t>defendant</w:t>
      </w:r>
      <w:r w:rsidR="00C61F01" w:rsidRPr="001819AD">
        <w:t xml:space="preserve"> admits that Barton and Centec acted only as stockbrokers in relation to the </w:t>
      </w:r>
      <w:r w:rsidR="00C61F01">
        <w:t xml:space="preserve">facility </w:t>
      </w:r>
      <w:r w:rsidR="00C61F01" w:rsidRPr="001819AD">
        <w:t>and</w:t>
      </w:r>
      <w:r w:rsidR="00C61F01">
        <w:t xml:space="preserve"> pleads that</w:t>
      </w:r>
      <w:r w:rsidR="00C61F01" w:rsidRPr="001819AD">
        <w:t xml:space="preserve"> neither were required to have AFSLs at the times alleged. </w:t>
      </w:r>
    </w:p>
    <w:p w:rsidR="00C61F01" w:rsidRPr="001819AD" w:rsidRDefault="004402EC" w:rsidP="004402EC">
      <w:pPr>
        <w:pStyle w:val="ParaNumbering"/>
        <w:numPr>
          <w:ilvl w:val="0"/>
          <w:numId w:val="0"/>
        </w:numPr>
        <w:ind w:hanging="720"/>
      </w:pPr>
      <w:r w:rsidRPr="001819AD">
        <w:rPr>
          <w:sz w:val="20"/>
        </w:rPr>
        <w:t>25</w:t>
      </w:r>
      <w:r w:rsidRPr="001819AD">
        <w:rPr>
          <w:sz w:val="20"/>
        </w:rPr>
        <w:tab/>
      </w:r>
      <w:r w:rsidR="00C61F01" w:rsidRPr="001819AD">
        <w:t xml:space="preserve">The </w:t>
      </w:r>
      <w:r w:rsidR="00C61F01">
        <w:t>defendant</w:t>
      </w:r>
      <w:r w:rsidR="00C61F01" w:rsidRPr="001819AD">
        <w:t xml:space="preserve"> admits that Barton, Centec and</w:t>
      </w:r>
      <w:r w:rsidR="00C61F01">
        <w:t xml:space="preserve"> Mr</w:t>
      </w:r>
      <w:r w:rsidR="00C61F01" w:rsidRPr="001819AD">
        <w:t xml:space="preserve"> Bennett</w:t>
      </w:r>
      <w:r w:rsidR="00C61F01">
        <w:t xml:space="preserve"> acted only as stockbrokers and were not financial advisors and otherwise do</w:t>
      </w:r>
      <w:r w:rsidR="00C61F01" w:rsidRPr="001819AD">
        <w:t xml:space="preserve"> not know and cannot admit to the terms of any contracts between </w:t>
      </w:r>
      <w:r w:rsidR="00C61F01">
        <w:t>Mr Holland</w:t>
      </w:r>
      <w:r w:rsidR="00C61F01" w:rsidRPr="001819AD">
        <w:t xml:space="preserve"> and Barton, Centec or</w:t>
      </w:r>
      <w:r w:rsidR="00C61F01">
        <w:t xml:space="preserve"> Mr</w:t>
      </w:r>
      <w:r w:rsidR="00C61F01" w:rsidRPr="001819AD">
        <w:t xml:space="preserve"> Bennett.</w:t>
      </w:r>
    </w:p>
    <w:p w:rsidR="00C61F01" w:rsidRPr="001819AD" w:rsidRDefault="004402EC" w:rsidP="004402EC">
      <w:pPr>
        <w:pStyle w:val="ParaNumbering"/>
        <w:numPr>
          <w:ilvl w:val="0"/>
          <w:numId w:val="0"/>
        </w:numPr>
        <w:tabs>
          <w:tab w:val="left" w:pos="720"/>
        </w:tabs>
        <w:ind w:hanging="720"/>
      </w:pPr>
      <w:r w:rsidRPr="001819AD">
        <w:rPr>
          <w:sz w:val="20"/>
        </w:rPr>
        <w:t>26</w:t>
      </w:r>
      <w:r w:rsidRPr="001819AD">
        <w:rPr>
          <w:sz w:val="20"/>
        </w:rPr>
        <w:tab/>
      </w:r>
      <w:r w:rsidR="00C61F01" w:rsidRPr="001819AD">
        <w:t xml:space="preserve">The </w:t>
      </w:r>
      <w:r w:rsidR="00C61F01">
        <w:t>defendant</w:t>
      </w:r>
      <w:r w:rsidR="00C61F01" w:rsidRPr="001819AD">
        <w:t xml:space="preserve"> admits that a person by the name of Peter Bennett was </w:t>
      </w:r>
      <w:r w:rsidR="00C61F01" w:rsidRPr="00CB150F">
        <w:rPr>
          <w:color w:val="000000" w:themeColor="text1"/>
        </w:rPr>
        <w:t xml:space="preserve">banned from acting as a representative of a dealer or an investment adviser. </w:t>
      </w:r>
    </w:p>
    <w:p w:rsidR="00C61F01" w:rsidRPr="001819AD" w:rsidRDefault="004402EC" w:rsidP="004402EC">
      <w:pPr>
        <w:pStyle w:val="ParaNumbering"/>
        <w:numPr>
          <w:ilvl w:val="0"/>
          <w:numId w:val="0"/>
        </w:numPr>
        <w:tabs>
          <w:tab w:val="left" w:pos="720"/>
        </w:tabs>
        <w:ind w:hanging="720"/>
      </w:pPr>
      <w:r w:rsidRPr="001819AD">
        <w:rPr>
          <w:sz w:val="20"/>
        </w:rPr>
        <w:t>27</w:t>
      </w:r>
      <w:r w:rsidRPr="001819AD">
        <w:rPr>
          <w:sz w:val="20"/>
        </w:rPr>
        <w:tab/>
      </w:r>
      <w:r w:rsidR="00C61F01" w:rsidRPr="001819AD">
        <w:t xml:space="preserve">The </w:t>
      </w:r>
      <w:r w:rsidR="00C61F01">
        <w:t>defendant</w:t>
      </w:r>
      <w:r w:rsidR="00C61F01" w:rsidRPr="001819AD">
        <w:t xml:space="preserve"> is unable to locate records relating to a </w:t>
      </w:r>
      <w:r w:rsidR="00672F6E">
        <w:t>‘</w:t>
      </w:r>
      <w:r w:rsidR="00C61F01" w:rsidRPr="001819AD">
        <w:t>Nominated Financial Advisor</w:t>
      </w:r>
      <w:r w:rsidR="00672F6E">
        <w:t>’</w:t>
      </w:r>
      <w:r w:rsidR="00C61F01" w:rsidRPr="001819AD">
        <w:t xml:space="preserve"> form in use in 1997 or 2003. </w:t>
      </w:r>
      <w:r w:rsidR="00C61F01">
        <w:t xml:space="preserve"> </w:t>
      </w:r>
      <w:r w:rsidR="00C61F01" w:rsidRPr="001819AD">
        <w:t>Its</w:t>
      </w:r>
      <w:r w:rsidR="00C61F01">
        <w:t>’</w:t>
      </w:r>
      <w:r w:rsidR="00C61F01" w:rsidRPr="001819AD">
        <w:t xml:space="preserve"> practices and procedures in 1997 and 2003 permitted it to implement a customer request which was made in writing and signed by the customer. </w:t>
      </w:r>
    </w:p>
    <w:p w:rsidR="00C61F01" w:rsidRPr="001819AD" w:rsidRDefault="004402EC" w:rsidP="004402EC">
      <w:pPr>
        <w:pStyle w:val="ParaNumbering"/>
        <w:numPr>
          <w:ilvl w:val="0"/>
          <w:numId w:val="0"/>
        </w:numPr>
        <w:ind w:hanging="720"/>
      </w:pPr>
      <w:r w:rsidRPr="001819AD">
        <w:rPr>
          <w:sz w:val="20"/>
        </w:rPr>
        <w:t>28</w:t>
      </w:r>
      <w:r w:rsidRPr="001819AD">
        <w:rPr>
          <w:sz w:val="20"/>
        </w:rPr>
        <w:tab/>
      </w:r>
      <w:r w:rsidR="00C61F01" w:rsidRPr="001819AD">
        <w:t xml:space="preserve">The </w:t>
      </w:r>
      <w:r w:rsidR="00C61F01">
        <w:t xml:space="preserve">plaintiffs </w:t>
      </w:r>
      <w:r w:rsidR="00C61F01" w:rsidRPr="001819AD">
        <w:t xml:space="preserve">allege that the </w:t>
      </w:r>
      <w:r w:rsidR="00C61F01">
        <w:t>defendant</w:t>
      </w:r>
      <w:r w:rsidR="00C61F01" w:rsidRPr="001819AD">
        <w:t xml:space="preserve"> included in its charges to </w:t>
      </w:r>
      <w:r w:rsidR="00C61F01">
        <w:t>Mr Holland</w:t>
      </w:r>
      <w:r w:rsidR="00C61F01" w:rsidRPr="001819AD">
        <w:t xml:space="preserve"> </w:t>
      </w:r>
      <w:r w:rsidR="00C61F01">
        <w:t>a premium for advisory services;</w:t>
      </w:r>
      <w:r w:rsidR="00C61F01" w:rsidRPr="001819AD">
        <w:t xml:space="preserve"> that the </w:t>
      </w:r>
      <w:r w:rsidR="00C61F01">
        <w:t>defendant misrepresented the truth in a</w:t>
      </w:r>
      <w:r w:rsidR="00672F6E">
        <w:t xml:space="preserve"> ‘L</w:t>
      </w:r>
      <w:r w:rsidR="00C61F01" w:rsidRPr="001819AD">
        <w:t>etter of outcome</w:t>
      </w:r>
      <w:r w:rsidR="00672F6E">
        <w:t>’</w:t>
      </w:r>
      <w:r w:rsidR="00C61F01" w:rsidRPr="001819AD">
        <w:t xml:space="preserve"> dated 25</w:t>
      </w:r>
      <w:r w:rsidR="00C61F01">
        <w:t> May 2021;</w:t>
      </w:r>
      <w:r w:rsidR="00C61F01" w:rsidRPr="001819AD">
        <w:t xml:space="preserve"> that the </w:t>
      </w:r>
      <w:r w:rsidR="00C61F01">
        <w:t>defendant</w:t>
      </w:r>
      <w:r w:rsidR="00C61F01" w:rsidRPr="001819AD">
        <w:t xml:space="preserve"> made interest charges and received interest income mon</w:t>
      </w:r>
      <w:r w:rsidR="00C61F01">
        <w:t>thly from May 1997 to July 2021;</w:t>
      </w:r>
      <w:r w:rsidR="00C61F01" w:rsidRPr="001819AD">
        <w:t xml:space="preserve"> and</w:t>
      </w:r>
      <w:r w:rsidR="00C61F01">
        <w:t>,</w:t>
      </w:r>
      <w:r w:rsidR="00C61F01" w:rsidRPr="001819AD">
        <w:t xml:space="preserve"> that the </w:t>
      </w:r>
      <w:r w:rsidR="00C61F01">
        <w:t>defendant</w:t>
      </w:r>
      <w:r w:rsidR="00C61F01" w:rsidRPr="001819AD">
        <w:t xml:space="preserve"> failed to report any suspected fraudulent activity to the relevant law enforcement authorities</w:t>
      </w:r>
      <w:r w:rsidR="00C61F01">
        <w:t xml:space="preserve"> pursuant to the </w:t>
      </w:r>
      <w:r w:rsidR="00C61F01" w:rsidRPr="00740827">
        <w:rPr>
          <w:i/>
        </w:rPr>
        <w:t xml:space="preserve">Crimes Act 1900 </w:t>
      </w:r>
      <w:r w:rsidR="00C61F01">
        <w:rPr>
          <w:i/>
        </w:rPr>
        <w:t>(</w:t>
      </w:r>
      <w:r w:rsidR="00C61F01" w:rsidRPr="00740827">
        <w:rPr>
          <w:i/>
        </w:rPr>
        <w:t>NSW</w:t>
      </w:r>
      <w:r w:rsidR="00C61F01">
        <w:rPr>
          <w:i/>
        </w:rPr>
        <w:t>)</w:t>
      </w:r>
      <w:r w:rsidR="00C61F01">
        <w:t>.</w:t>
      </w:r>
    </w:p>
    <w:p w:rsidR="00C61F01" w:rsidRPr="001819AD" w:rsidRDefault="004402EC" w:rsidP="004402EC">
      <w:pPr>
        <w:pStyle w:val="ParaNumbering"/>
        <w:numPr>
          <w:ilvl w:val="0"/>
          <w:numId w:val="0"/>
        </w:numPr>
        <w:tabs>
          <w:tab w:val="left" w:pos="720"/>
        </w:tabs>
        <w:ind w:hanging="720"/>
      </w:pPr>
      <w:r w:rsidRPr="001819AD">
        <w:rPr>
          <w:sz w:val="20"/>
        </w:rPr>
        <w:t>29</w:t>
      </w:r>
      <w:r w:rsidRPr="001819AD">
        <w:rPr>
          <w:sz w:val="20"/>
        </w:rPr>
        <w:tab/>
      </w:r>
      <w:r w:rsidR="00C61F01">
        <w:rPr>
          <w:lang w:eastAsia="en-AU"/>
        </w:rPr>
        <w:t>In</w:t>
      </w:r>
      <w:r w:rsidR="00C61F01" w:rsidRPr="001819AD">
        <w:rPr>
          <w:lang w:eastAsia="en-AU"/>
        </w:rPr>
        <w:t xml:space="preserve"> summary</w:t>
      </w:r>
      <w:r w:rsidR="00C61F01">
        <w:rPr>
          <w:lang w:eastAsia="en-AU"/>
        </w:rPr>
        <w:t>,</w:t>
      </w:r>
      <w:r w:rsidR="00C61F01" w:rsidRPr="001819AD">
        <w:rPr>
          <w:lang w:eastAsia="en-AU"/>
        </w:rPr>
        <w:t xml:space="preserve"> the </w:t>
      </w:r>
      <w:r w:rsidR="00C61F01">
        <w:rPr>
          <w:lang w:eastAsia="en-AU"/>
        </w:rPr>
        <w:t>plaintiff</w:t>
      </w:r>
      <w:r w:rsidR="00C61F01" w:rsidRPr="001819AD">
        <w:rPr>
          <w:lang w:eastAsia="en-AU"/>
        </w:rPr>
        <w:t xml:space="preserve">s allege that the </w:t>
      </w:r>
      <w:r w:rsidR="00C61F01">
        <w:rPr>
          <w:lang w:eastAsia="en-AU"/>
        </w:rPr>
        <w:t>defendant</w:t>
      </w:r>
      <w:r w:rsidR="00C61F01" w:rsidRPr="001819AD">
        <w:rPr>
          <w:lang w:eastAsia="en-AU"/>
        </w:rPr>
        <w:t>s engaged in uncon</w:t>
      </w:r>
      <w:r w:rsidR="00C61F01">
        <w:rPr>
          <w:lang w:eastAsia="en-AU"/>
        </w:rPr>
        <w:t>scionable and dishonest conduct;</w:t>
      </w:r>
      <w:r w:rsidR="00C61F01" w:rsidRPr="001819AD">
        <w:rPr>
          <w:lang w:eastAsia="en-AU"/>
        </w:rPr>
        <w:t xml:space="preserve"> are in breach of contract</w:t>
      </w:r>
      <w:r w:rsidR="00C61F01">
        <w:rPr>
          <w:lang w:eastAsia="en-AU"/>
        </w:rPr>
        <w:t>;</w:t>
      </w:r>
      <w:r w:rsidR="00C61F01" w:rsidRPr="001819AD">
        <w:rPr>
          <w:lang w:eastAsia="en-AU"/>
        </w:rPr>
        <w:t xml:space="preserve"> an</w:t>
      </w:r>
      <w:r w:rsidR="00C61F01">
        <w:rPr>
          <w:lang w:eastAsia="en-AU"/>
        </w:rPr>
        <w:t xml:space="preserve">d breached their fiduciary duty pursuant to the Act and the </w:t>
      </w:r>
      <w:r w:rsidR="00C61F01" w:rsidRPr="00CA05A5">
        <w:rPr>
          <w:i/>
          <w:lang w:eastAsia="en-AU"/>
        </w:rPr>
        <w:t xml:space="preserve">Australian Securities and Investments Commission Act </w:t>
      </w:r>
      <w:r w:rsidR="00C61F01" w:rsidRPr="00810B2B">
        <w:rPr>
          <w:i/>
          <w:lang w:eastAsia="en-AU"/>
        </w:rPr>
        <w:t xml:space="preserve">2001 </w:t>
      </w:r>
      <w:r w:rsidR="00D73FEA">
        <w:rPr>
          <w:lang w:eastAsia="en-AU"/>
        </w:rPr>
        <w:t>(Cth) (</w:t>
      </w:r>
      <w:r w:rsidR="00C61F01" w:rsidRPr="00810B2B">
        <w:rPr>
          <w:b/>
          <w:lang w:eastAsia="en-AU"/>
        </w:rPr>
        <w:t>ASIC Act</w:t>
      </w:r>
      <w:r w:rsidR="00C61F01" w:rsidRPr="00810B2B">
        <w:rPr>
          <w:lang w:eastAsia="en-AU"/>
        </w:rPr>
        <w:t>).</w:t>
      </w:r>
    </w:p>
    <w:p w:rsidR="00C61F01" w:rsidRPr="001819AD" w:rsidRDefault="004402EC" w:rsidP="004402EC">
      <w:pPr>
        <w:pStyle w:val="ParaNumbering"/>
        <w:numPr>
          <w:ilvl w:val="0"/>
          <w:numId w:val="0"/>
        </w:numPr>
        <w:tabs>
          <w:tab w:val="left" w:pos="720"/>
        </w:tabs>
        <w:ind w:hanging="720"/>
      </w:pPr>
      <w:r w:rsidRPr="001819AD">
        <w:rPr>
          <w:sz w:val="20"/>
        </w:rPr>
        <w:t>30</w:t>
      </w:r>
      <w:r w:rsidRPr="001819AD">
        <w:rPr>
          <w:sz w:val="20"/>
        </w:rPr>
        <w:tab/>
      </w:r>
      <w:r w:rsidR="00C61F01" w:rsidRPr="001819AD">
        <w:rPr>
          <w:lang w:eastAsia="en-AU"/>
        </w:rPr>
        <w:t xml:space="preserve">The </w:t>
      </w:r>
      <w:r w:rsidR="00C61F01">
        <w:rPr>
          <w:lang w:eastAsia="en-AU"/>
        </w:rPr>
        <w:t>defendant</w:t>
      </w:r>
      <w:r w:rsidR="00C61F01" w:rsidRPr="001819AD">
        <w:rPr>
          <w:lang w:eastAsia="en-AU"/>
        </w:rPr>
        <w:t xml:space="preserve"> denies those allegations and says that </w:t>
      </w:r>
      <w:r w:rsidR="00C61F01">
        <w:rPr>
          <w:lang w:eastAsia="en-AU"/>
        </w:rPr>
        <w:t>Mr Holland could</w:t>
      </w:r>
      <w:r w:rsidR="00C61F01" w:rsidRPr="001819AD">
        <w:rPr>
          <w:lang w:eastAsia="en-AU"/>
        </w:rPr>
        <w:t xml:space="preserve"> have acquired identical or equivalent financial services from another financier if at any time he considered the interest rate applying to the </w:t>
      </w:r>
      <w:r w:rsidR="00C61F01">
        <w:rPr>
          <w:lang w:eastAsia="en-AU"/>
        </w:rPr>
        <w:t xml:space="preserve">facility </w:t>
      </w:r>
      <w:r w:rsidR="00C61F01" w:rsidRPr="001819AD">
        <w:rPr>
          <w:lang w:eastAsia="en-AU"/>
        </w:rPr>
        <w:t xml:space="preserve">was too high. </w:t>
      </w:r>
      <w:r w:rsidR="00C61F01">
        <w:rPr>
          <w:lang w:eastAsia="en-AU"/>
        </w:rPr>
        <w:t xml:space="preserve"> It pleads further that Mr Holland</w:t>
      </w:r>
      <w:r w:rsidR="00C61F01" w:rsidRPr="001819AD">
        <w:rPr>
          <w:lang w:eastAsia="en-AU"/>
        </w:rPr>
        <w:t xml:space="preserve"> has not been treated differently by the </w:t>
      </w:r>
      <w:r w:rsidR="00C61F01">
        <w:rPr>
          <w:lang w:eastAsia="en-AU"/>
        </w:rPr>
        <w:t>defendant</w:t>
      </w:r>
      <w:r w:rsidR="00C61F01" w:rsidRPr="001819AD">
        <w:rPr>
          <w:lang w:eastAsia="en-AU"/>
        </w:rPr>
        <w:t xml:space="preserve"> from other customers who obtained a similar </w:t>
      </w:r>
      <w:r w:rsidR="00C61F01">
        <w:rPr>
          <w:lang w:eastAsia="en-AU"/>
        </w:rPr>
        <w:t xml:space="preserve">facility </w:t>
      </w:r>
      <w:r w:rsidR="00C61F01" w:rsidRPr="001819AD">
        <w:rPr>
          <w:lang w:eastAsia="en-AU"/>
        </w:rPr>
        <w:t xml:space="preserve">and </w:t>
      </w:r>
      <w:r w:rsidR="00C61F01">
        <w:rPr>
          <w:lang w:eastAsia="en-AU"/>
        </w:rPr>
        <w:t>Mr Holland</w:t>
      </w:r>
      <w:r w:rsidR="00C61F01" w:rsidRPr="001819AD">
        <w:rPr>
          <w:lang w:eastAsia="en-AU"/>
        </w:rPr>
        <w:t xml:space="preserve"> was not operating under any known special disability. </w:t>
      </w:r>
    </w:p>
    <w:p w:rsidR="00C61F01" w:rsidRDefault="004402EC" w:rsidP="004402EC">
      <w:pPr>
        <w:pStyle w:val="ParaNumbering"/>
        <w:numPr>
          <w:ilvl w:val="0"/>
          <w:numId w:val="0"/>
        </w:numPr>
        <w:tabs>
          <w:tab w:val="left" w:pos="720"/>
        </w:tabs>
        <w:ind w:hanging="720"/>
      </w:pPr>
      <w:r>
        <w:rPr>
          <w:sz w:val="20"/>
        </w:rPr>
        <w:t>31</w:t>
      </w:r>
      <w:r>
        <w:rPr>
          <w:sz w:val="20"/>
        </w:rPr>
        <w:tab/>
      </w:r>
      <w:r w:rsidR="00C61F01">
        <w:rPr>
          <w:lang w:eastAsia="en-AU"/>
        </w:rPr>
        <w:t>Further, t</w:t>
      </w:r>
      <w:r w:rsidR="00C61F01" w:rsidRPr="001819AD">
        <w:rPr>
          <w:lang w:eastAsia="en-AU"/>
        </w:rPr>
        <w:t xml:space="preserve">he </w:t>
      </w:r>
      <w:r w:rsidR="00C61F01">
        <w:rPr>
          <w:lang w:eastAsia="en-AU"/>
        </w:rPr>
        <w:t>defendant</w:t>
      </w:r>
      <w:r w:rsidR="00C61F01" w:rsidRPr="001819AD">
        <w:rPr>
          <w:lang w:eastAsia="en-AU"/>
        </w:rPr>
        <w:t xml:space="preserve"> </w:t>
      </w:r>
      <w:r w:rsidR="00C61F01" w:rsidRPr="00D11EEB">
        <w:rPr>
          <w:lang w:eastAsia="en-AU"/>
        </w:rPr>
        <w:t>pleads that the alleged dishonesty on its part is not</w:t>
      </w:r>
      <w:r w:rsidR="00C61F01" w:rsidRPr="001819AD">
        <w:rPr>
          <w:lang w:eastAsia="en-AU"/>
        </w:rPr>
        <w:t xml:space="preserve"> identified as a basis for the </w:t>
      </w:r>
      <w:r w:rsidR="00C61F01">
        <w:rPr>
          <w:lang w:eastAsia="en-AU"/>
        </w:rPr>
        <w:t>plaintiff</w:t>
      </w:r>
      <w:r w:rsidR="00C61F01" w:rsidRPr="001819AD">
        <w:rPr>
          <w:lang w:eastAsia="en-AU"/>
        </w:rPr>
        <w:t>s</w:t>
      </w:r>
      <w:r w:rsidR="00C61F01">
        <w:rPr>
          <w:lang w:eastAsia="en-AU"/>
        </w:rPr>
        <w:t>’</w:t>
      </w:r>
      <w:r w:rsidR="00C61F01" w:rsidRPr="001819AD">
        <w:rPr>
          <w:lang w:eastAsia="en-AU"/>
        </w:rPr>
        <w:t xml:space="preserve"> claim in the originating appli</w:t>
      </w:r>
      <w:r w:rsidR="00C61F01">
        <w:rPr>
          <w:lang w:eastAsia="en-AU"/>
        </w:rPr>
        <w:t>cation filed on 23 August 2021.</w:t>
      </w:r>
    </w:p>
    <w:p w:rsidR="00C61F01" w:rsidRDefault="00C61F01" w:rsidP="00C61F01">
      <w:pPr>
        <w:pStyle w:val="Heading2"/>
      </w:pPr>
      <w:r>
        <w:t>P</w:t>
      </w:r>
      <w:r w:rsidRPr="00D34BE2">
        <w:t>laintiffs</w:t>
      </w:r>
      <w:r>
        <w:t>’</w:t>
      </w:r>
      <w:r w:rsidRPr="00D34BE2">
        <w:t xml:space="preserve"> </w:t>
      </w:r>
      <w:r>
        <w:t>submissions</w:t>
      </w:r>
    </w:p>
    <w:p w:rsidR="00C61F01" w:rsidRPr="00137373" w:rsidRDefault="004402EC" w:rsidP="004402EC">
      <w:pPr>
        <w:pStyle w:val="ParaNumbering"/>
        <w:numPr>
          <w:ilvl w:val="0"/>
          <w:numId w:val="0"/>
        </w:numPr>
        <w:tabs>
          <w:tab w:val="left" w:pos="720"/>
        </w:tabs>
        <w:ind w:hanging="720"/>
      </w:pPr>
      <w:r w:rsidRPr="00137373">
        <w:rPr>
          <w:sz w:val="20"/>
        </w:rPr>
        <w:t>32</w:t>
      </w:r>
      <w:r w:rsidRPr="00137373">
        <w:rPr>
          <w:sz w:val="20"/>
        </w:rPr>
        <w:tab/>
      </w:r>
      <w:r w:rsidR="00C61F01">
        <w:t>The plaintiffs are self-represented.  Without being critical of them, their submissions tended to conflate both submissions and assertions of fact.  That is reflected in my description of their submissions.</w:t>
      </w:r>
    </w:p>
    <w:p w:rsidR="00C61F01" w:rsidRDefault="00C61F01" w:rsidP="00C61F01">
      <w:pPr>
        <w:pStyle w:val="Heading3"/>
      </w:pPr>
      <w:r w:rsidRPr="00D34BE2">
        <w:t>Documents 1(a), (b), (c), (d), (g), (h) and (j)</w:t>
      </w:r>
    </w:p>
    <w:p w:rsidR="00C61F01" w:rsidRDefault="004402EC" w:rsidP="004402EC">
      <w:pPr>
        <w:pStyle w:val="ParaNumbering"/>
        <w:numPr>
          <w:ilvl w:val="0"/>
          <w:numId w:val="0"/>
        </w:numPr>
        <w:tabs>
          <w:tab w:val="left" w:pos="720"/>
        </w:tabs>
        <w:ind w:hanging="720"/>
      </w:pPr>
      <w:r>
        <w:rPr>
          <w:sz w:val="20"/>
        </w:rPr>
        <w:t>33</w:t>
      </w:r>
      <w:r>
        <w:rPr>
          <w:sz w:val="20"/>
        </w:rPr>
        <w:tab/>
      </w:r>
      <w:r w:rsidR="00C61F01">
        <w:t>The documents are as follows:</w:t>
      </w:r>
    </w:p>
    <w:p w:rsidR="007E41C5" w:rsidRDefault="004402EC" w:rsidP="004402EC">
      <w:pPr>
        <w:pStyle w:val="ListNo2"/>
        <w:numPr>
          <w:ilvl w:val="0"/>
          <w:numId w:val="0"/>
        </w:numPr>
        <w:tabs>
          <w:tab w:val="left" w:pos="1571"/>
        </w:tabs>
        <w:ind w:left="1571" w:hanging="720"/>
      </w:pPr>
      <w:r>
        <w:t>(a)</w:t>
      </w:r>
      <w:r>
        <w:tab/>
      </w:r>
      <w:r w:rsidR="00672F6E">
        <w:t>The ‘</w:t>
      </w:r>
      <w:r w:rsidR="00C61F01" w:rsidRPr="00990E00">
        <w:t xml:space="preserve">Client </w:t>
      </w:r>
      <w:r w:rsidR="00672F6E">
        <w:t>Details Form’</w:t>
      </w:r>
      <w:r w:rsidR="00C61F01" w:rsidRPr="00990E00">
        <w:t xml:space="preserve"> sent by </w:t>
      </w:r>
      <w:r w:rsidR="00C61F01">
        <w:t>Mr Holland</w:t>
      </w:r>
      <w:r w:rsidR="00C61F01" w:rsidRPr="00990E00">
        <w:t xml:space="preserve"> to the defendant shortly before the establishment of the loan facility in or around March </w:t>
      </w:r>
      <w:r w:rsidR="00C61F01">
        <w:t>1997;</w:t>
      </w:r>
    </w:p>
    <w:p w:rsidR="00C61F01" w:rsidRPr="00990E00" w:rsidRDefault="004402EC" w:rsidP="004402EC">
      <w:pPr>
        <w:pStyle w:val="ListNo2"/>
        <w:numPr>
          <w:ilvl w:val="0"/>
          <w:numId w:val="0"/>
        </w:numPr>
        <w:tabs>
          <w:tab w:val="left" w:pos="1571"/>
        </w:tabs>
        <w:ind w:left="1571" w:hanging="720"/>
      </w:pPr>
      <w:r w:rsidRPr="00990E00">
        <w:t>(b)</w:t>
      </w:r>
      <w:r w:rsidRPr="00990E00">
        <w:tab/>
      </w:r>
      <w:r w:rsidR="00672F6E">
        <w:t>The ‘Risk Disclosure Statement’</w:t>
      </w:r>
      <w:r w:rsidR="00C61F01" w:rsidRPr="00990E00">
        <w:t xml:space="preserve"> form sent by </w:t>
      </w:r>
      <w:r w:rsidR="00C61F01">
        <w:t>Mr Holland</w:t>
      </w:r>
      <w:r w:rsidR="00C61F01" w:rsidRPr="00990E00">
        <w:t xml:space="preserve"> to the defendant shortly before the establishment of the loan f</w:t>
      </w:r>
      <w:r w:rsidR="00C61F01">
        <w:t>acility in or around March 1997;</w:t>
      </w:r>
    </w:p>
    <w:p w:rsidR="007E41C5" w:rsidRDefault="004402EC" w:rsidP="004402EC">
      <w:pPr>
        <w:pStyle w:val="ListNo2"/>
        <w:numPr>
          <w:ilvl w:val="0"/>
          <w:numId w:val="0"/>
        </w:numPr>
        <w:tabs>
          <w:tab w:val="left" w:pos="1571"/>
        </w:tabs>
        <w:ind w:left="1571" w:hanging="720"/>
      </w:pPr>
      <w:r>
        <w:t>(c)</w:t>
      </w:r>
      <w:r>
        <w:tab/>
      </w:r>
      <w:r w:rsidR="00672F6E">
        <w:t>The ‘Power of Attorney’</w:t>
      </w:r>
      <w:r w:rsidR="00C61F01" w:rsidRPr="00990E00">
        <w:t xml:space="preserve"> form sent by </w:t>
      </w:r>
      <w:r w:rsidR="00C61F01">
        <w:t>Mr Holland</w:t>
      </w:r>
      <w:r w:rsidR="00C61F01" w:rsidRPr="00990E00">
        <w:t xml:space="preserve"> to the defendant shortly before the establishment of the loan f</w:t>
      </w:r>
      <w:r w:rsidR="00C61F01">
        <w:t>acility in or around March 1997;</w:t>
      </w:r>
    </w:p>
    <w:p w:rsidR="007E41C5" w:rsidRDefault="004402EC" w:rsidP="004402EC">
      <w:pPr>
        <w:pStyle w:val="ListNo2"/>
        <w:numPr>
          <w:ilvl w:val="0"/>
          <w:numId w:val="0"/>
        </w:numPr>
        <w:tabs>
          <w:tab w:val="left" w:pos="1571"/>
        </w:tabs>
        <w:ind w:left="1571" w:hanging="720"/>
      </w:pPr>
      <w:r>
        <w:t>(d)</w:t>
      </w:r>
      <w:r>
        <w:tab/>
      </w:r>
      <w:r w:rsidR="00672F6E">
        <w:t>The ‘Declaration of Purpose’</w:t>
      </w:r>
      <w:r w:rsidR="00C61F01" w:rsidRPr="00990E00">
        <w:t xml:space="preserve"> form sent by </w:t>
      </w:r>
      <w:r w:rsidR="00C61F01">
        <w:t>Mr Holland</w:t>
      </w:r>
      <w:r w:rsidR="00C61F01" w:rsidRPr="00990E00">
        <w:t xml:space="preserve"> to the defendant shortly before the establishment of the loan f</w:t>
      </w:r>
      <w:r w:rsidR="00C61F01">
        <w:t>acility in or around March 1997;</w:t>
      </w:r>
    </w:p>
    <w:p w:rsidR="007E41C5" w:rsidRDefault="004402EC" w:rsidP="004402EC">
      <w:pPr>
        <w:pStyle w:val="ListNo2"/>
        <w:numPr>
          <w:ilvl w:val="0"/>
          <w:numId w:val="0"/>
        </w:numPr>
        <w:tabs>
          <w:tab w:val="left" w:pos="1571"/>
        </w:tabs>
        <w:ind w:left="1571" w:hanging="720"/>
      </w:pPr>
      <w:r>
        <w:t>(e)</w:t>
      </w:r>
      <w:r>
        <w:tab/>
      </w:r>
      <w:r w:rsidR="00C61F01" w:rsidRPr="00990E00">
        <w:t>The executed facility, loan or other agr</w:t>
      </w:r>
      <w:r w:rsidR="00672F6E">
        <w:t>eement under which the alleged ‘</w:t>
      </w:r>
      <w:r w:rsidR="00C61F01" w:rsidRPr="00990E00">
        <w:t>BT Marg</w:t>
      </w:r>
      <w:r w:rsidR="00672F6E">
        <w:t>in Lending Terms and Conditions’</w:t>
      </w:r>
      <w:r w:rsidR="00C61F01" w:rsidRPr="00990E00">
        <w:t xml:space="preserve"> referred to in paragraph 6 of the defence in these proceedings allegedly formed pa</w:t>
      </w:r>
      <w:r w:rsidR="00C61F01">
        <w:t>rt of the terms of the facility;</w:t>
      </w:r>
    </w:p>
    <w:p w:rsidR="007E41C5" w:rsidRDefault="004402EC" w:rsidP="004402EC">
      <w:pPr>
        <w:pStyle w:val="ListNo2"/>
        <w:numPr>
          <w:ilvl w:val="0"/>
          <w:numId w:val="0"/>
        </w:numPr>
        <w:tabs>
          <w:tab w:val="left" w:pos="1571"/>
        </w:tabs>
        <w:ind w:left="1571" w:hanging="720"/>
      </w:pPr>
      <w:r>
        <w:t>(f)</w:t>
      </w:r>
      <w:r>
        <w:tab/>
      </w:r>
      <w:r w:rsidR="00672F6E">
        <w:t>The ‘Power of Attorney’</w:t>
      </w:r>
      <w:r w:rsidR="00C61F01" w:rsidRPr="00990E00">
        <w:t xml:space="preserve"> document under which the executed facility, loan or other agreement referred to in paragraph </w:t>
      </w:r>
      <w:r w:rsidR="00C61F01">
        <w:t>(</w:t>
      </w:r>
      <w:r w:rsidR="00C61F01" w:rsidRPr="00990E00">
        <w:t>g</w:t>
      </w:r>
      <w:r w:rsidR="00C61F01">
        <w:t>) was executed; and</w:t>
      </w:r>
    </w:p>
    <w:p w:rsidR="00C61F01" w:rsidRPr="00137373" w:rsidRDefault="004402EC" w:rsidP="004402EC">
      <w:pPr>
        <w:pStyle w:val="ListNo2"/>
        <w:numPr>
          <w:ilvl w:val="0"/>
          <w:numId w:val="0"/>
        </w:numPr>
        <w:tabs>
          <w:tab w:val="left" w:pos="1571"/>
        </w:tabs>
        <w:ind w:left="1571" w:hanging="720"/>
      </w:pPr>
      <w:r w:rsidRPr="00137373">
        <w:t>(g)</w:t>
      </w:r>
      <w:r w:rsidRPr="00137373">
        <w:tab/>
      </w:r>
      <w:r w:rsidR="00C61F01">
        <w:t>Any other Power of A</w:t>
      </w:r>
      <w:r w:rsidR="00C61F01" w:rsidRPr="00990E00">
        <w:t>ttorney document held by the defendant, applying to the facility.</w:t>
      </w:r>
    </w:p>
    <w:p w:rsidR="00C61F01" w:rsidRPr="004505A9" w:rsidRDefault="004402EC" w:rsidP="004402EC">
      <w:pPr>
        <w:pStyle w:val="ParaNumbering"/>
        <w:numPr>
          <w:ilvl w:val="0"/>
          <w:numId w:val="0"/>
        </w:numPr>
        <w:tabs>
          <w:tab w:val="left" w:pos="720"/>
        </w:tabs>
        <w:ind w:hanging="720"/>
      </w:pPr>
      <w:r w:rsidRPr="004505A9">
        <w:rPr>
          <w:sz w:val="20"/>
        </w:rPr>
        <w:t>34</w:t>
      </w:r>
      <w:r w:rsidRPr="004505A9">
        <w:rPr>
          <w:sz w:val="20"/>
        </w:rPr>
        <w:tab/>
      </w:r>
      <w:r w:rsidR="00C61F01" w:rsidRPr="003D788E">
        <w:t xml:space="preserve">The </w:t>
      </w:r>
      <w:r w:rsidR="00C61F01">
        <w:t>plaintiff</w:t>
      </w:r>
      <w:r w:rsidR="00C61F01" w:rsidRPr="003D788E">
        <w:t xml:space="preserve">s received a contract for the </w:t>
      </w:r>
      <w:r w:rsidR="00C61F01">
        <w:t>facility,</w:t>
      </w:r>
      <w:r w:rsidR="00C61F01" w:rsidRPr="003D788E">
        <w:t xml:space="preserve"> referred to as the </w:t>
      </w:r>
      <w:r w:rsidR="00F97B89">
        <w:t>‘05/96 Loan A</w:t>
      </w:r>
      <w:r w:rsidR="00C61F01" w:rsidRPr="003D788E">
        <w:t>greement</w:t>
      </w:r>
      <w:r w:rsidR="00F97B89">
        <w:t>’</w:t>
      </w:r>
      <w:r w:rsidR="00C61F01" w:rsidRPr="003D788E">
        <w:t xml:space="preserve">, contained in an application pack that was provided by the </w:t>
      </w:r>
      <w:r w:rsidR="00C61F01">
        <w:t>defendant</w:t>
      </w:r>
      <w:r w:rsidR="00C61F01" w:rsidRPr="003D788E">
        <w:t xml:space="preserve"> as a document which </w:t>
      </w:r>
      <w:r w:rsidR="00C61F01" w:rsidRPr="004505A9">
        <w:t xml:space="preserve">provided for the facility. </w:t>
      </w:r>
      <w:r w:rsidR="00C61F01">
        <w:t xml:space="preserve"> </w:t>
      </w:r>
      <w:r w:rsidR="00C61F01" w:rsidRPr="004505A9">
        <w:t xml:space="preserve">The plaintiffs submit that the terms of the agreement, and whether it included a commission or assignment clause, are in dispute and are directly relevant to these proceedings. </w:t>
      </w:r>
    </w:p>
    <w:p w:rsidR="00C61F01" w:rsidRPr="007B0916" w:rsidRDefault="004402EC" w:rsidP="004402EC">
      <w:pPr>
        <w:pStyle w:val="ParaNumbering"/>
        <w:numPr>
          <w:ilvl w:val="0"/>
          <w:numId w:val="0"/>
        </w:numPr>
        <w:tabs>
          <w:tab w:val="left" w:pos="720"/>
        </w:tabs>
        <w:ind w:hanging="720"/>
        <w:rPr>
          <w:color w:val="000000" w:themeColor="text1"/>
        </w:rPr>
      </w:pPr>
      <w:r w:rsidRPr="007B0916">
        <w:rPr>
          <w:color w:val="000000" w:themeColor="text1"/>
          <w:sz w:val="20"/>
        </w:rPr>
        <w:t>35</w:t>
      </w:r>
      <w:r w:rsidRPr="007B0916">
        <w:rPr>
          <w:color w:val="000000" w:themeColor="text1"/>
          <w:sz w:val="20"/>
        </w:rPr>
        <w:tab/>
      </w:r>
      <w:r w:rsidR="00C61F01" w:rsidRPr="004505A9">
        <w:t xml:space="preserve">On 21 December 2021, the defendant </w:t>
      </w:r>
      <w:r w:rsidR="00C61F01">
        <w:t>discovered a</w:t>
      </w:r>
      <w:r w:rsidR="00C61F01" w:rsidRPr="004505A9">
        <w:t xml:space="preserve"> document </w:t>
      </w:r>
      <w:r w:rsidR="00F97B89">
        <w:t>titled ‘BT Margin Lending’ (</w:t>
      </w:r>
      <w:r w:rsidR="00C61F01" w:rsidRPr="00F97B89">
        <w:t>the</w:t>
      </w:r>
      <w:r w:rsidR="00C61F01" w:rsidRPr="004505A9">
        <w:rPr>
          <w:b/>
        </w:rPr>
        <w:t xml:space="preserve"> 2021 </w:t>
      </w:r>
      <w:r w:rsidR="00C61F01" w:rsidRPr="007B0916">
        <w:rPr>
          <w:b/>
          <w:color w:val="000000" w:themeColor="text1"/>
        </w:rPr>
        <w:t>document</w:t>
      </w:r>
      <w:r w:rsidR="00C61F01">
        <w:rPr>
          <w:color w:val="000000" w:themeColor="text1"/>
        </w:rPr>
        <w:t>):</w:t>
      </w:r>
      <w:r w:rsidR="00C61F01" w:rsidRPr="007B0916">
        <w:rPr>
          <w:color w:val="000000" w:themeColor="text1"/>
        </w:rPr>
        <w:t xml:space="preserve"> </w:t>
      </w:r>
      <w:r w:rsidR="00C61F01">
        <w:rPr>
          <w:color w:val="000000" w:themeColor="text1"/>
        </w:rPr>
        <w:t xml:space="preserve"> f</w:t>
      </w:r>
      <w:r w:rsidR="00C61F01" w:rsidRPr="007B0916">
        <w:rPr>
          <w:color w:val="000000" w:themeColor="text1"/>
        </w:rPr>
        <w:t>ourth Holland affidavit</w:t>
      </w:r>
      <w:r w:rsidR="00C61F01">
        <w:rPr>
          <w:color w:val="000000" w:themeColor="text1"/>
        </w:rPr>
        <w:t>, a</w:t>
      </w:r>
      <w:r w:rsidR="00C61F01" w:rsidRPr="007B0916">
        <w:rPr>
          <w:color w:val="000000" w:themeColor="text1"/>
        </w:rPr>
        <w:t>nnexure MH</w:t>
      </w:r>
      <w:r w:rsidR="00C61F01">
        <w:rPr>
          <w:color w:val="000000" w:themeColor="text1"/>
        </w:rPr>
        <w:t>-</w:t>
      </w:r>
      <w:r w:rsidR="00C61F01" w:rsidRPr="007B0916">
        <w:rPr>
          <w:color w:val="000000" w:themeColor="text1"/>
        </w:rPr>
        <w:t xml:space="preserve">4. </w:t>
      </w:r>
      <w:r w:rsidR="00C61F01">
        <w:rPr>
          <w:color w:val="000000" w:themeColor="text1"/>
        </w:rPr>
        <w:t xml:space="preserve"> </w:t>
      </w:r>
      <w:r w:rsidR="00C61F01" w:rsidRPr="007B0916">
        <w:rPr>
          <w:color w:val="000000" w:themeColor="text1"/>
        </w:rPr>
        <w:t xml:space="preserve">Paragraph </w:t>
      </w:r>
      <w:r w:rsidR="00C61F01" w:rsidRPr="00523EC9">
        <w:rPr>
          <w:color w:val="000000" w:themeColor="text1"/>
        </w:rPr>
        <w:t xml:space="preserve">48 of the 2021 </w:t>
      </w:r>
      <w:r w:rsidR="00C61F01" w:rsidRPr="004505A9">
        <w:t>document contains a commission clause</w:t>
      </w:r>
      <w:r w:rsidR="00C61F01">
        <w:t xml:space="preserve"> which the plaintiffs claim </w:t>
      </w:r>
      <w:r w:rsidR="00C61F01" w:rsidRPr="004505A9">
        <w:t>was not included in the documents they received in</w:t>
      </w:r>
      <w:r w:rsidR="00C61F01" w:rsidRPr="007B0916">
        <w:rPr>
          <w:color w:val="000000" w:themeColor="text1"/>
        </w:rPr>
        <w:t xml:space="preserve"> 1997.</w:t>
      </w:r>
    </w:p>
    <w:p w:rsidR="00C61F01" w:rsidRPr="007B0916" w:rsidRDefault="004402EC" w:rsidP="004402EC">
      <w:pPr>
        <w:pStyle w:val="ParaNumbering"/>
        <w:numPr>
          <w:ilvl w:val="0"/>
          <w:numId w:val="0"/>
        </w:numPr>
        <w:ind w:hanging="720"/>
        <w:rPr>
          <w:color w:val="000000" w:themeColor="text1"/>
        </w:rPr>
      </w:pPr>
      <w:r w:rsidRPr="007B0916">
        <w:rPr>
          <w:color w:val="000000" w:themeColor="text1"/>
          <w:sz w:val="20"/>
        </w:rPr>
        <w:t>36</w:t>
      </w:r>
      <w:r w:rsidRPr="007B0916">
        <w:rPr>
          <w:color w:val="000000" w:themeColor="text1"/>
          <w:sz w:val="20"/>
        </w:rPr>
        <w:tab/>
      </w:r>
      <w:r w:rsidR="00C61F01" w:rsidRPr="007B0916">
        <w:rPr>
          <w:color w:val="000000" w:themeColor="text1"/>
        </w:rPr>
        <w:t xml:space="preserve">The plaintiffs deny that the 2021 document applied to the facility and submit that they had not seen the 2021 document before and do not know how that document allegedly formed part of the contract. </w:t>
      </w:r>
      <w:r w:rsidR="00C61F01">
        <w:rPr>
          <w:color w:val="000000" w:themeColor="text1"/>
        </w:rPr>
        <w:t xml:space="preserve"> </w:t>
      </w:r>
      <w:r w:rsidR="00C61F01" w:rsidRPr="007B0916">
        <w:rPr>
          <w:color w:val="000000" w:themeColor="text1"/>
        </w:rPr>
        <w:t>The plaintiffs did not receive any further</w:t>
      </w:r>
      <w:r w:rsidR="00C61F01">
        <w:rPr>
          <w:color w:val="000000" w:themeColor="text1"/>
        </w:rPr>
        <w:t xml:space="preserve"> loan agreements: </w:t>
      </w:r>
      <w:r w:rsidR="00C61F01" w:rsidRPr="007B0916">
        <w:rPr>
          <w:color w:val="000000" w:themeColor="text1"/>
        </w:rPr>
        <w:t xml:space="preserve"> </w:t>
      </w:r>
      <w:r w:rsidR="00C61F01">
        <w:rPr>
          <w:color w:val="000000" w:themeColor="text1"/>
        </w:rPr>
        <w:t>t</w:t>
      </w:r>
      <w:r w:rsidR="00C61F01" w:rsidRPr="007B0916">
        <w:rPr>
          <w:color w:val="000000" w:themeColor="text1"/>
        </w:rPr>
        <w:t xml:space="preserve">hird Holland affidavit, [8]. </w:t>
      </w:r>
    </w:p>
    <w:p w:rsidR="00C61F01" w:rsidRPr="005F6371" w:rsidRDefault="004402EC" w:rsidP="004402EC">
      <w:pPr>
        <w:pStyle w:val="ParaNumbering"/>
        <w:numPr>
          <w:ilvl w:val="0"/>
          <w:numId w:val="0"/>
        </w:numPr>
        <w:tabs>
          <w:tab w:val="left" w:pos="720"/>
        </w:tabs>
        <w:ind w:hanging="720"/>
      </w:pPr>
      <w:r w:rsidRPr="005F6371">
        <w:rPr>
          <w:sz w:val="20"/>
        </w:rPr>
        <w:t>37</w:t>
      </w:r>
      <w:r w:rsidRPr="005F6371">
        <w:rPr>
          <w:sz w:val="20"/>
        </w:rPr>
        <w:tab/>
      </w:r>
      <w:r w:rsidR="00C61F01" w:rsidRPr="005F6371">
        <w:t>The commis</w:t>
      </w:r>
      <w:r w:rsidR="00C61F01">
        <w:t>sion claus</w:t>
      </w:r>
      <w:r w:rsidR="00C61F01" w:rsidRPr="005F6371">
        <w:t>e</w:t>
      </w:r>
      <w:r w:rsidR="00C61F01">
        <w:t>,</w:t>
      </w:r>
      <w:r w:rsidR="00C61F01" w:rsidRPr="005F6371">
        <w:t xml:space="preserve"> </w:t>
      </w:r>
      <w:r w:rsidR="00C61F01">
        <w:t xml:space="preserve">which </w:t>
      </w:r>
      <w:r w:rsidR="00C61F01" w:rsidRPr="005F6371">
        <w:t xml:space="preserve">is </w:t>
      </w:r>
      <w:r w:rsidR="00C61F01">
        <w:t>reproduced</w:t>
      </w:r>
      <w:r w:rsidR="00C61F01" w:rsidRPr="005F6371">
        <w:t xml:space="preserve"> in</w:t>
      </w:r>
      <w:r w:rsidR="00C61F01">
        <w:t xml:space="preserve"> paragraph 6(d)</w:t>
      </w:r>
      <w:r w:rsidR="00C61F01" w:rsidRPr="005F6371">
        <w:t xml:space="preserve"> of the de</w:t>
      </w:r>
      <w:r w:rsidR="00C61F01">
        <w:t>fence filed on 23 November 2021, reads as follows:</w:t>
      </w:r>
    </w:p>
    <w:p w:rsidR="00C61F01" w:rsidRPr="00900FE4" w:rsidRDefault="00C61F01" w:rsidP="00C61F01">
      <w:pPr>
        <w:pStyle w:val="Quote1"/>
      </w:pPr>
      <w:r w:rsidRPr="00900FE4">
        <w:t>Commission</w:t>
      </w:r>
    </w:p>
    <w:p w:rsidR="00C61F01" w:rsidRPr="00900FE4" w:rsidRDefault="00C61F01" w:rsidP="00C61F01">
      <w:pPr>
        <w:pStyle w:val="Quote1"/>
      </w:pPr>
      <w:r w:rsidRPr="00900FE4">
        <w:t xml:space="preserve">If on the application form you [meaning the first </w:t>
      </w:r>
      <w:r>
        <w:t>plaintiff</w:t>
      </w:r>
      <w:r w:rsidRPr="00900FE4">
        <w:t>] filled out when</w:t>
      </w:r>
      <w:r>
        <w:t xml:space="preserve"> </w:t>
      </w:r>
      <w:r w:rsidRPr="00900FE4">
        <w:t>entering into this transaction (entitled ‘Borrower application form'? you</w:t>
      </w:r>
      <w:r>
        <w:t xml:space="preserve"> </w:t>
      </w:r>
      <w:r w:rsidRPr="00900FE4">
        <w:t>complete the details for a financial adviser or broker [which meaning</w:t>
      </w:r>
      <w:r>
        <w:t xml:space="preserve"> </w:t>
      </w:r>
      <w:r w:rsidRPr="00900FE4">
        <w:t>included a stockbroker], that person, or a person connected to that</w:t>
      </w:r>
      <w:r>
        <w:t xml:space="preserve"> </w:t>
      </w:r>
      <w:r w:rsidRPr="00900FE4">
        <w:t>financial adviser or broker, may be entitled to receive commission from</w:t>
      </w:r>
      <w:r>
        <w:t xml:space="preserve"> </w:t>
      </w:r>
      <w:r w:rsidRPr="00900FE4">
        <w:t xml:space="preserve">[the </w:t>
      </w:r>
      <w:r>
        <w:t>defendant</w:t>
      </w:r>
      <w:r w:rsidRPr="00900FE4">
        <w:t>] during the term of this agreement. Payment of any such</w:t>
      </w:r>
      <w:r>
        <w:t xml:space="preserve"> </w:t>
      </w:r>
      <w:r w:rsidRPr="00900FE4">
        <w:t>commission is not an endorsement of that financial adviser or broker by</w:t>
      </w:r>
      <w:r>
        <w:t xml:space="preserve"> </w:t>
      </w:r>
      <w:r w:rsidRPr="00900FE4">
        <w:t xml:space="preserve">[the </w:t>
      </w:r>
      <w:r>
        <w:t>defendant</w:t>
      </w:r>
      <w:r w:rsidRPr="00900FE4">
        <w:t>].</w:t>
      </w:r>
    </w:p>
    <w:p w:rsidR="00C61F01" w:rsidRDefault="004402EC" w:rsidP="004402EC">
      <w:pPr>
        <w:pStyle w:val="ParaNumbering"/>
        <w:numPr>
          <w:ilvl w:val="0"/>
          <w:numId w:val="0"/>
        </w:numPr>
        <w:tabs>
          <w:tab w:val="left" w:pos="720"/>
        </w:tabs>
        <w:ind w:hanging="720"/>
      </w:pPr>
      <w:r>
        <w:rPr>
          <w:sz w:val="20"/>
        </w:rPr>
        <w:t>38</w:t>
      </w:r>
      <w:r>
        <w:rPr>
          <w:sz w:val="20"/>
        </w:rPr>
        <w:tab/>
      </w:r>
      <w:r w:rsidR="00C61F01" w:rsidRPr="005F6371">
        <w:t xml:space="preserve">The </w:t>
      </w:r>
      <w:r w:rsidR="00C61F01">
        <w:t>plaintiff</w:t>
      </w:r>
      <w:r w:rsidR="00C61F01" w:rsidRPr="005F6371">
        <w:t>s deny completing</w:t>
      </w:r>
      <w:r w:rsidR="00C61F01">
        <w:t xml:space="preserve"> an application form and contend </w:t>
      </w:r>
      <w:r w:rsidR="00C61F01" w:rsidRPr="005F6371">
        <w:t>that the application pro</w:t>
      </w:r>
      <w:r w:rsidR="00C61F01">
        <w:t xml:space="preserve">cedure did </w:t>
      </w:r>
      <w:r w:rsidR="00C61F01" w:rsidRPr="007B0916">
        <w:rPr>
          <w:color w:val="000000" w:themeColor="text1"/>
        </w:rPr>
        <w:t>not call for one</w:t>
      </w:r>
      <w:r w:rsidR="00C61F01">
        <w:rPr>
          <w:color w:val="000000" w:themeColor="text1"/>
        </w:rPr>
        <w:t>:</w:t>
      </w:r>
      <w:r w:rsidR="00C61F01" w:rsidRPr="007B0916">
        <w:rPr>
          <w:color w:val="000000" w:themeColor="text1"/>
        </w:rPr>
        <w:t xml:space="preserve"> </w:t>
      </w:r>
      <w:r w:rsidR="00C61F01">
        <w:rPr>
          <w:color w:val="000000" w:themeColor="text1"/>
        </w:rPr>
        <w:t xml:space="preserve"> r</w:t>
      </w:r>
      <w:r w:rsidR="00C61F01" w:rsidRPr="007B0916">
        <w:rPr>
          <w:color w:val="000000" w:themeColor="text1"/>
        </w:rPr>
        <w:t>eply filed on 7 December 2021</w:t>
      </w:r>
      <w:r w:rsidR="00C61F01">
        <w:rPr>
          <w:color w:val="000000" w:themeColor="text1"/>
        </w:rPr>
        <w:t xml:space="preserve"> [</w:t>
      </w:r>
      <w:r w:rsidR="00C61F01" w:rsidRPr="007B0916">
        <w:rPr>
          <w:color w:val="000000" w:themeColor="text1"/>
        </w:rPr>
        <w:t>3(g)</w:t>
      </w:r>
      <w:r w:rsidR="00C61F01">
        <w:rPr>
          <w:color w:val="000000" w:themeColor="text1"/>
        </w:rPr>
        <w:t>]</w:t>
      </w:r>
      <w:r w:rsidR="00C61F01" w:rsidRPr="007B0916">
        <w:rPr>
          <w:color w:val="000000" w:themeColor="text1"/>
        </w:rPr>
        <w:t xml:space="preserve">. </w:t>
      </w:r>
    </w:p>
    <w:p w:rsidR="00C61F01" w:rsidRDefault="004402EC" w:rsidP="004402EC">
      <w:pPr>
        <w:pStyle w:val="ParaNumbering"/>
        <w:numPr>
          <w:ilvl w:val="0"/>
          <w:numId w:val="0"/>
        </w:numPr>
        <w:tabs>
          <w:tab w:val="left" w:pos="720"/>
        </w:tabs>
        <w:ind w:hanging="720"/>
      </w:pPr>
      <w:r>
        <w:rPr>
          <w:sz w:val="20"/>
        </w:rPr>
        <w:t>39</w:t>
      </w:r>
      <w:r>
        <w:rPr>
          <w:sz w:val="20"/>
        </w:rPr>
        <w:tab/>
      </w:r>
      <w:r w:rsidR="00C61F01" w:rsidRPr="002C12BE">
        <w:t xml:space="preserve">The </w:t>
      </w:r>
      <w:r w:rsidR="00C61F01">
        <w:t>plaintiff</w:t>
      </w:r>
      <w:r w:rsidR="00C61F01" w:rsidRPr="002C12BE">
        <w:t xml:space="preserve">s sent a letter, dated 27 May 1997, to the </w:t>
      </w:r>
      <w:r w:rsidR="00C61F01">
        <w:t>defendant</w:t>
      </w:r>
      <w:r w:rsidR="00C61F01" w:rsidRPr="002C12BE">
        <w:t xml:space="preserve"> </w:t>
      </w:r>
      <w:r w:rsidR="00C61F01">
        <w:t>informing it</w:t>
      </w:r>
      <w:r w:rsidR="00C61F01" w:rsidRPr="002C12BE">
        <w:t xml:space="preserve"> of </w:t>
      </w:r>
      <w:r w:rsidR="00C61F01">
        <w:t xml:space="preserve">Mr Holland’s stockbroker:  </w:t>
      </w:r>
      <w:r w:rsidR="00C61F01" w:rsidRPr="007B0916">
        <w:rPr>
          <w:color w:val="000000" w:themeColor="text1"/>
        </w:rPr>
        <w:t>Morrissey affidavit, annexure DMM-3</w:t>
      </w:r>
      <w:r w:rsidR="00C61F01">
        <w:rPr>
          <w:color w:val="000000" w:themeColor="text1"/>
        </w:rPr>
        <w:t xml:space="preserve">, p </w:t>
      </w:r>
      <w:r w:rsidR="00C61F01" w:rsidRPr="007B0916">
        <w:rPr>
          <w:color w:val="000000" w:themeColor="text1"/>
        </w:rPr>
        <w:t xml:space="preserve">93. </w:t>
      </w:r>
      <w:r w:rsidR="00C61F01">
        <w:rPr>
          <w:color w:val="000000" w:themeColor="text1"/>
        </w:rPr>
        <w:t xml:space="preserve"> </w:t>
      </w:r>
      <w:r w:rsidR="00C61F01" w:rsidRPr="007B0916">
        <w:rPr>
          <w:color w:val="000000" w:themeColor="text1"/>
        </w:rPr>
        <w:t xml:space="preserve">The </w:t>
      </w:r>
      <w:r w:rsidR="00C61F01">
        <w:t>plaintiffs submit</w:t>
      </w:r>
      <w:r w:rsidR="00C61F01" w:rsidRPr="002C12BE">
        <w:t xml:space="preserve"> that the stockbroker was not included on the </w:t>
      </w:r>
      <w:r w:rsidR="00F97B89">
        <w:t>‘</w:t>
      </w:r>
      <w:r w:rsidR="00C61F01" w:rsidRPr="002C12BE">
        <w:t>Client Details Form</w:t>
      </w:r>
      <w:r w:rsidR="00F97B89">
        <w:t>’</w:t>
      </w:r>
      <w:r w:rsidR="00C61F01" w:rsidRPr="002C12BE">
        <w:t>.</w:t>
      </w:r>
    </w:p>
    <w:p w:rsidR="00C61F01" w:rsidRPr="007B0916" w:rsidRDefault="004402EC" w:rsidP="004402EC">
      <w:pPr>
        <w:pStyle w:val="ParaNumbering"/>
        <w:numPr>
          <w:ilvl w:val="0"/>
          <w:numId w:val="0"/>
        </w:numPr>
        <w:tabs>
          <w:tab w:val="left" w:pos="720"/>
        </w:tabs>
        <w:ind w:hanging="720"/>
        <w:rPr>
          <w:color w:val="000000" w:themeColor="text1"/>
        </w:rPr>
      </w:pPr>
      <w:r w:rsidRPr="007B0916">
        <w:rPr>
          <w:color w:val="000000" w:themeColor="text1"/>
          <w:sz w:val="20"/>
        </w:rPr>
        <w:t>40</w:t>
      </w:r>
      <w:r w:rsidRPr="007B0916">
        <w:rPr>
          <w:color w:val="000000" w:themeColor="text1"/>
          <w:sz w:val="20"/>
        </w:rPr>
        <w:tab/>
      </w:r>
      <w:r w:rsidR="00C61F01" w:rsidRPr="005F6371">
        <w:t xml:space="preserve">The </w:t>
      </w:r>
      <w:r w:rsidR="00C61F01">
        <w:t>plaintiffs refer to a number of</w:t>
      </w:r>
      <w:r w:rsidR="00C61F01" w:rsidRPr="005F6371">
        <w:t xml:space="preserve"> unexecuted</w:t>
      </w:r>
      <w:r w:rsidR="00C61F01">
        <w:t xml:space="preserve"> 9/96 forms referred to at [20] of Mr</w:t>
      </w:r>
      <w:r w:rsidR="00C61F01" w:rsidRPr="005F6371">
        <w:t xml:space="preserve"> Morrissey</w:t>
      </w:r>
      <w:r w:rsidR="00C61F01">
        <w:t xml:space="preserve">’s affidavit sworn on </w:t>
      </w:r>
      <w:r w:rsidR="00C61F01" w:rsidRPr="005F6371">
        <w:t>14 February 2022</w:t>
      </w:r>
      <w:r w:rsidR="00F97B89">
        <w:t>, entitled ‘B</w:t>
      </w:r>
      <w:r w:rsidR="00C61F01" w:rsidRPr="005F6371">
        <w:t>orrow</w:t>
      </w:r>
      <w:r w:rsidR="00F97B89">
        <w:t>er Details Form’, ‘</w:t>
      </w:r>
      <w:r w:rsidR="00C61F01">
        <w:t>Ris</w:t>
      </w:r>
      <w:r w:rsidR="00F97B89">
        <w:t>k Disclosure Statement’, and ‘Declaration of Purpose’</w:t>
      </w:r>
      <w:r w:rsidR="00C61F01">
        <w:t xml:space="preserve"> and say they</w:t>
      </w:r>
      <w:r w:rsidR="00C61F01" w:rsidRPr="005F6371">
        <w:t xml:space="preserve"> did not form par</w:t>
      </w:r>
      <w:r w:rsidR="00C61F01">
        <w:t xml:space="preserve">t of the facility in 1997 and </w:t>
      </w:r>
      <w:r w:rsidR="00C61F01" w:rsidRPr="005F6371">
        <w:t xml:space="preserve">were not the </w:t>
      </w:r>
      <w:r w:rsidR="00C61F01" w:rsidRPr="007B0916">
        <w:rPr>
          <w:color w:val="000000" w:themeColor="text1"/>
        </w:rPr>
        <w:t>documents sent before the establishment of the loan.</w:t>
      </w:r>
    </w:p>
    <w:p w:rsidR="00C61F01" w:rsidRPr="007B0916" w:rsidRDefault="004402EC" w:rsidP="004402EC">
      <w:pPr>
        <w:pStyle w:val="ParaNumbering"/>
        <w:numPr>
          <w:ilvl w:val="0"/>
          <w:numId w:val="0"/>
        </w:numPr>
        <w:tabs>
          <w:tab w:val="left" w:pos="720"/>
        </w:tabs>
        <w:ind w:hanging="720"/>
        <w:rPr>
          <w:color w:val="000000" w:themeColor="text1"/>
        </w:rPr>
      </w:pPr>
      <w:r w:rsidRPr="007B0916">
        <w:rPr>
          <w:color w:val="000000" w:themeColor="text1"/>
          <w:sz w:val="20"/>
        </w:rPr>
        <w:t>41</w:t>
      </w:r>
      <w:r w:rsidRPr="007B0916">
        <w:rPr>
          <w:color w:val="000000" w:themeColor="text1"/>
          <w:sz w:val="20"/>
        </w:rPr>
        <w:tab/>
      </w:r>
      <w:r w:rsidR="00C61F01" w:rsidRPr="007B0916">
        <w:rPr>
          <w:color w:val="000000" w:themeColor="text1"/>
        </w:rPr>
        <w:t xml:space="preserve">The plaintiffs submit that the execution date of these documents will provide certainty as to when it was executed by Mr Holland and witnessed and furnished by the defendant. </w:t>
      </w:r>
    </w:p>
    <w:p w:rsidR="00C61F01" w:rsidRPr="007B0916" w:rsidRDefault="004402EC" w:rsidP="004402EC">
      <w:pPr>
        <w:pStyle w:val="ParaNumbering"/>
        <w:numPr>
          <w:ilvl w:val="0"/>
          <w:numId w:val="0"/>
        </w:numPr>
        <w:tabs>
          <w:tab w:val="left" w:pos="720"/>
        </w:tabs>
        <w:ind w:hanging="720"/>
        <w:rPr>
          <w:color w:val="000000" w:themeColor="text1"/>
        </w:rPr>
      </w:pPr>
      <w:r w:rsidRPr="007B0916">
        <w:rPr>
          <w:color w:val="000000" w:themeColor="text1"/>
          <w:sz w:val="20"/>
        </w:rPr>
        <w:t>42</w:t>
      </w:r>
      <w:r w:rsidRPr="007B0916">
        <w:rPr>
          <w:color w:val="000000" w:themeColor="text1"/>
          <w:sz w:val="20"/>
        </w:rPr>
        <w:tab/>
      </w:r>
      <w:r w:rsidR="00C61F01" w:rsidRPr="007B0916">
        <w:rPr>
          <w:color w:val="000000" w:themeColor="text1"/>
        </w:rPr>
        <w:t xml:space="preserve">The plaintiffs submit that the Power of Attorney </w:t>
      </w:r>
      <w:r w:rsidR="0075608A">
        <w:rPr>
          <w:color w:val="000000" w:themeColor="text1"/>
        </w:rPr>
        <w:t>enabled execution of the 05/96 Loan A</w:t>
      </w:r>
      <w:r w:rsidR="00C61F01" w:rsidRPr="007B0916">
        <w:rPr>
          <w:color w:val="000000" w:themeColor="text1"/>
        </w:rPr>
        <w:t>greement and the CHESS sponsorship agreem</w:t>
      </w:r>
      <w:r w:rsidR="00C61F01">
        <w:rPr>
          <w:color w:val="000000" w:themeColor="text1"/>
        </w:rPr>
        <w:t>ent:</w:t>
      </w:r>
      <w:r w:rsidR="00C61F01" w:rsidRPr="007B0916">
        <w:rPr>
          <w:color w:val="000000" w:themeColor="text1"/>
        </w:rPr>
        <w:t xml:space="preserve"> </w:t>
      </w:r>
      <w:r w:rsidR="00C61F01">
        <w:rPr>
          <w:color w:val="000000" w:themeColor="text1"/>
        </w:rPr>
        <w:t xml:space="preserve"> t</w:t>
      </w:r>
      <w:r w:rsidR="00C61F01" w:rsidRPr="007B0916">
        <w:rPr>
          <w:color w:val="000000" w:themeColor="text1"/>
        </w:rPr>
        <w:t>hird Holland</w:t>
      </w:r>
      <w:r w:rsidR="00C61F01">
        <w:rPr>
          <w:color w:val="000000" w:themeColor="text1"/>
        </w:rPr>
        <w:t xml:space="preserve"> affidavit</w:t>
      </w:r>
      <w:r w:rsidR="00C61F01" w:rsidRPr="007B0916">
        <w:rPr>
          <w:color w:val="000000" w:themeColor="text1"/>
        </w:rPr>
        <w:t xml:space="preserve"> [7], annexure MWH-8</w:t>
      </w:r>
      <w:r w:rsidR="00C61F01">
        <w:rPr>
          <w:color w:val="000000" w:themeColor="text1"/>
        </w:rPr>
        <w:t>, p</w:t>
      </w:r>
      <w:r w:rsidR="00C61F01" w:rsidRPr="007B0916">
        <w:rPr>
          <w:color w:val="000000" w:themeColor="text1"/>
        </w:rPr>
        <w:t xml:space="preserve"> 91</w:t>
      </w:r>
      <w:r w:rsidR="00C61F01">
        <w:rPr>
          <w:color w:val="000000" w:themeColor="text1"/>
        </w:rPr>
        <w:t xml:space="preserve">, </w:t>
      </w:r>
      <w:r w:rsidR="00C61F01" w:rsidRPr="007B0916">
        <w:rPr>
          <w:color w:val="000000" w:themeColor="text1"/>
        </w:rPr>
        <w:t xml:space="preserve">and that it did not authorise the </w:t>
      </w:r>
      <w:r w:rsidR="00404274">
        <w:rPr>
          <w:color w:val="000000" w:themeColor="text1"/>
        </w:rPr>
        <w:t>‘</w:t>
      </w:r>
      <w:r w:rsidR="00C61F01" w:rsidRPr="007B0916">
        <w:rPr>
          <w:color w:val="000000" w:themeColor="text1"/>
        </w:rPr>
        <w:t>BT Margi</w:t>
      </w:r>
      <w:r w:rsidR="00404274">
        <w:rPr>
          <w:color w:val="000000" w:themeColor="text1"/>
        </w:rPr>
        <w:t>n Lending Terms and Conditions’</w:t>
      </w:r>
      <w:r w:rsidR="00C61F01" w:rsidRPr="007B0916">
        <w:rPr>
          <w:color w:val="000000" w:themeColor="text1"/>
        </w:rPr>
        <w:t xml:space="preserve">. </w:t>
      </w:r>
      <w:r w:rsidR="00C61F01">
        <w:rPr>
          <w:color w:val="000000" w:themeColor="text1"/>
        </w:rPr>
        <w:t xml:space="preserve"> </w:t>
      </w:r>
      <w:r w:rsidR="00C61F01" w:rsidRPr="007B0916">
        <w:rPr>
          <w:color w:val="000000" w:themeColor="text1"/>
        </w:rPr>
        <w:t>A copy of the executed Power of Attorney was not kept by the plaintiff or provided by the defendant</w:t>
      </w:r>
      <w:r w:rsidR="00C61F01">
        <w:rPr>
          <w:color w:val="000000" w:themeColor="text1"/>
        </w:rPr>
        <w:t>.</w:t>
      </w:r>
    </w:p>
    <w:p w:rsidR="00C61F01" w:rsidRPr="007B0916" w:rsidRDefault="00C61F01" w:rsidP="00C61F01">
      <w:pPr>
        <w:pStyle w:val="Heading3"/>
      </w:pPr>
      <w:r w:rsidRPr="007B0916">
        <w:t>Documents 1(e) and (f)</w:t>
      </w:r>
    </w:p>
    <w:p w:rsidR="00C61F01" w:rsidRDefault="004402EC" w:rsidP="004402EC">
      <w:pPr>
        <w:pStyle w:val="ParaNumbering"/>
        <w:numPr>
          <w:ilvl w:val="0"/>
          <w:numId w:val="0"/>
        </w:numPr>
        <w:tabs>
          <w:tab w:val="left" w:pos="720"/>
        </w:tabs>
        <w:ind w:hanging="720"/>
      </w:pPr>
      <w:r>
        <w:rPr>
          <w:sz w:val="20"/>
        </w:rPr>
        <w:t>43</w:t>
      </w:r>
      <w:r>
        <w:rPr>
          <w:sz w:val="20"/>
        </w:rPr>
        <w:tab/>
      </w:r>
      <w:r w:rsidR="00C61F01">
        <w:t>These documents are:</w:t>
      </w:r>
    </w:p>
    <w:p w:rsidR="00C61F01" w:rsidRPr="00990E00" w:rsidRDefault="004402EC" w:rsidP="004402EC">
      <w:pPr>
        <w:pStyle w:val="ListNo2"/>
        <w:numPr>
          <w:ilvl w:val="0"/>
          <w:numId w:val="0"/>
        </w:numPr>
        <w:tabs>
          <w:tab w:val="left" w:pos="1571"/>
        </w:tabs>
        <w:ind w:left="1571" w:hanging="720"/>
      </w:pPr>
      <w:r w:rsidRPr="00990E00">
        <w:t>(e)</w:t>
      </w:r>
      <w:r w:rsidRPr="00990E00">
        <w:tab/>
      </w:r>
      <w:r w:rsidR="00C61F01" w:rsidRPr="00990E00">
        <w:t>The exe</w:t>
      </w:r>
      <w:r w:rsidR="008B3E0C">
        <w:t>cuted ‘Margin Loan Facility Agreement’</w:t>
      </w:r>
      <w:r w:rsidR="00C61F01" w:rsidRPr="00990E00">
        <w:t xml:space="preserve"> r</w:t>
      </w:r>
      <w:r w:rsidR="008B3E0C">
        <w:t>eferred to in the defendant’s ‘</w:t>
      </w:r>
      <w:r w:rsidR="00C61F01">
        <w:t>L</w:t>
      </w:r>
      <w:r w:rsidR="00C61F01" w:rsidRPr="00990E00">
        <w:t xml:space="preserve">etter </w:t>
      </w:r>
      <w:r w:rsidR="008B3E0C">
        <w:t>of outcome’</w:t>
      </w:r>
      <w:r w:rsidR="00404274">
        <w:t xml:space="preserve"> dated 25</w:t>
      </w:r>
      <w:r w:rsidR="00C61F01">
        <w:t xml:space="preserve"> May 2021; and</w:t>
      </w:r>
    </w:p>
    <w:p w:rsidR="00C61F01" w:rsidRPr="00BF3A82" w:rsidRDefault="004402EC" w:rsidP="004402EC">
      <w:pPr>
        <w:pStyle w:val="ListNo2"/>
        <w:numPr>
          <w:ilvl w:val="0"/>
          <w:numId w:val="0"/>
        </w:numPr>
        <w:tabs>
          <w:tab w:val="left" w:pos="1571"/>
        </w:tabs>
        <w:ind w:left="1571" w:hanging="720"/>
      </w:pPr>
      <w:r w:rsidRPr="00BF3A82">
        <w:t>(f)</w:t>
      </w:r>
      <w:r w:rsidRPr="00BF3A82">
        <w:tab/>
      </w:r>
      <w:r w:rsidR="00404274">
        <w:t>The ‘Power of Attorney’</w:t>
      </w:r>
      <w:r w:rsidR="00C61F01" w:rsidRPr="00990E00">
        <w:t xml:space="preserve"> doc</w:t>
      </w:r>
      <w:r w:rsidR="00404274">
        <w:t>ument under which the executed ‘Margin Loan Facility Agreement’</w:t>
      </w:r>
      <w:r w:rsidR="00C61F01" w:rsidRPr="00990E00">
        <w:t xml:space="preserve"> referred to in the defendant’</w:t>
      </w:r>
      <w:r w:rsidR="00404274">
        <w:t>s ‘Letter of outcome</w:t>
      </w:r>
      <w:r w:rsidR="00C61F01">
        <w:t xml:space="preserve"> dated 25</w:t>
      </w:r>
      <w:r w:rsidR="00404274">
        <w:t> </w:t>
      </w:r>
      <w:r w:rsidR="00C61F01" w:rsidRPr="00990E00">
        <w:t>May 2021 was executed.</w:t>
      </w:r>
    </w:p>
    <w:p w:rsidR="00C61F01" w:rsidRPr="005F6371" w:rsidRDefault="004402EC" w:rsidP="004402EC">
      <w:pPr>
        <w:pStyle w:val="ParaNumbering"/>
        <w:numPr>
          <w:ilvl w:val="0"/>
          <w:numId w:val="0"/>
        </w:numPr>
        <w:ind w:hanging="720"/>
      </w:pPr>
      <w:r w:rsidRPr="005F6371">
        <w:rPr>
          <w:sz w:val="20"/>
        </w:rPr>
        <w:t>44</w:t>
      </w:r>
      <w:r w:rsidRPr="005F6371">
        <w:rPr>
          <w:sz w:val="20"/>
        </w:rPr>
        <w:tab/>
      </w:r>
      <w:r w:rsidR="00C61F01" w:rsidRPr="005F6371">
        <w:t xml:space="preserve">The </w:t>
      </w:r>
      <w:r w:rsidR="00C61F01">
        <w:t>plaintiffs submit that</w:t>
      </w:r>
      <w:r w:rsidR="00C61F01" w:rsidRPr="005F6371">
        <w:t xml:space="preserve"> </w:t>
      </w:r>
      <w:r w:rsidR="00C61F01">
        <w:t xml:space="preserve">they </w:t>
      </w:r>
      <w:r w:rsidR="00404274">
        <w:rPr>
          <w:color w:val="000000" w:themeColor="text1"/>
        </w:rPr>
        <w:t>have never seen the ‘</w:t>
      </w:r>
      <w:r w:rsidR="00C61F01" w:rsidRPr="00FC4B18">
        <w:rPr>
          <w:color w:val="000000" w:themeColor="text1"/>
        </w:rPr>
        <w:t xml:space="preserve">Margin Loan Facility </w:t>
      </w:r>
      <w:r w:rsidR="00404274">
        <w:rPr>
          <w:color w:val="000000" w:themeColor="text1"/>
        </w:rPr>
        <w:t>Agreement’</w:t>
      </w:r>
      <w:r w:rsidR="00C61F01" w:rsidRPr="00FC4B18">
        <w:rPr>
          <w:color w:val="000000" w:themeColor="text1"/>
        </w:rPr>
        <w:t xml:space="preserve"> and that the </w:t>
      </w:r>
      <w:r w:rsidR="00404274">
        <w:rPr>
          <w:color w:val="000000" w:themeColor="text1"/>
        </w:rPr>
        <w:t>‘</w:t>
      </w:r>
      <w:r w:rsidR="00C61F01">
        <w:rPr>
          <w:color w:val="000000" w:themeColor="text1"/>
        </w:rPr>
        <w:t>Letter of outcome’ is dishonest:</w:t>
      </w:r>
      <w:r w:rsidR="00C61F01" w:rsidRPr="00FC4B18">
        <w:rPr>
          <w:color w:val="000000" w:themeColor="text1"/>
        </w:rPr>
        <w:t xml:space="preserve"> </w:t>
      </w:r>
      <w:r w:rsidR="00C61F01">
        <w:rPr>
          <w:color w:val="000000" w:themeColor="text1"/>
        </w:rPr>
        <w:t xml:space="preserve"> s</w:t>
      </w:r>
      <w:r w:rsidR="00C61F01" w:rsidRPr="00FC4B18">
        <w:rPr>
          <w:color w:val="000000" w:themeColor="text1"/>
        </w:rPr>
        <w:t>tatement of cl</w:t>
      </w:r>
      <w:r w:rsidR="00C61F01">
        <w:rPr>
          <w:color w:val="000000" w:themeColor="text1"/>
        </w:rPr>
        <w:t xml:space="preserve">aim filed on 2 November 2021 </w:t>
      </w:r>
      <w:r w:rsidR="00C61F01" w:rsidRPr="00FC4B18">
        <w:rPr>
          <w:color w:val="000000" w:themeColor="text1"/>
        </w:rPr>
        <w:t xml:space="preserve">[3], [35(c)], [39(d)], [46(b)] [58(i)], [64(c)], [70(a)], [70(c)] and [92(d)]). </w:t>
      </w:r>
    </w:p>
    <w:p w:rsidR="00C61F01" w:rsidRDefault="004402EC" w:rsidP="004402EC">
      <w:pPr>
        <w:pStyle w:val="ParaNumbering"/>
        <w:numPr>
          <w:ilvl w:val="0"/>
          <w:numId w:val="0"/>
        </w:numPr>
        <w:tabs>
          <w:tab w:val="left" w:pos="720"/>
        </w:tabs>
        <w:ind w:hanging="720"/>
      </w:pPr>
      <w:r>
        <w:rPr>
          <w:sz w:val="20"/>
        </w:rPr>
        <w:t>45</w:t>
      </w:r>
      <w:r>
        <w:rPr>
          <w:sz w:val="20"/>
        </w:rPr>
        <w:tab/>
      </w:r>
      <w:r w:rsidR="00C61F01" w:rsidRPr="005F6371">
        <w:t xml:space="preserve">The </w:t>
      </w:r>
      <w:r w:rsidR="00C61F01">
        <w:t>defendant</w:t>
      </w:r>
      <w:r w:rsidR="00C61F01" w:rsidRPr="005F6371">
        <w:t xml:space="preserve"> states that in the letter</w:t>
      </w:r>
      <w:r w:rsidR="00C61F01">
        <w:t>,</w:t>
      </w:r>
      <w:r w:rsidR="00C61F01" w:rsidRPr="005F6371">
        <w:t xml:space="preserve"> </w:t>
      </w:r>
      <w:r w:rsidR="00C61F01">
        <w:t>Mr Holla</w:t>
      </w:r>
      <w:r w:rsidR="00C61F01" w:rsidRPr="00660315">
        <w:rPr>
          <w:color w:val="000000" w:themeColor="text1"/>
        </w:rPr>
        <w:t xml:space="preserve">nd agreed to pay interest listed on BT’s </w:t>
      </w:r>
      <w:r w:rsidR="00404274">
        <w:rPr>
          <w:color w:val="000000" w:themeColor="text1"/>
        </w:rPr>
        <w:t>website, www.bt.com.au, in the ‘</w:t>
      </w:r>
      <w:r w:rsidR="00C61F01" w:rsidRPr="00660315">
        <w:rPr>
          <w:color w:val="000000" w:themeColor="text1"/>
        </w:rPr>
        <w:t xml:space="preserve">Margin Loan Facility </w:t>
      </w:r>
      <w:r w:rsidR="00404274">
        <w:rPr>
          <w:color w:val="000000" w:themeColor="text1"/>
        </w:rPr>
        <w:t>Agreement’</w:t>
      </w:r>
      <w:r w:rsidR="00C61F01">
        <w:rPr>
          <w:color w:val="000000" w:themeColor="text1"/>
        </w:rPr>
        <w:t>:</w:t>
      </w:r>
      <w:r w:rsidR="00C61F01" w:rsidRPr="00660315">
        <w:rPr>
          <w:color w:val="000000" w:themeColor="text1"/>
        </w:rPr>
        <w:t xml:space="preserve"> </w:t>
      </w:r>
      <w:r w:rsidR="00C61F01">
        <w:rPr>
          <w:color w:val="000000" w:themeColor="text1"/>
        </w:rPr>
        <w:t xml:space="preserve"> f</w:t>
      </w:r>
      <w:r w:rsidR="00C61F01" w:rsidRPr="00660315">
        <w:rPr>
          <w:color w:val="000000" w:themeColor="text1"/>
        </w:rPr>
        <w:t>ourth Holland</w:t>
      </w:r>
      <w:r w:rsidR="00C61F01">
        <w:rPr>
          <w:color w:val="000000" w:themeColor="text1"/>
        </w:rPr>
        <w:t xml:space="preserve"> affidavit</w:t>
      </w:r>
      <w:r w:rsidR="00C61F01" w:rsidRPr="00660315">
        <w:rPr>
          <w:color w:val="000000" w:themeColor="text1"/>
        </w:rPr>
        <w:t xml:space="preserve"> [15], </w:t>
      </w:r>
      <w:r w:rsidR="00C61F01">
        <w:rPr>
          <w:color w:val="000000" w:themeColor="text1"/>
        </w:rPr>
        <w:t>a</w:t>
      </w:r>
      <w:r w:rsidR="00C61F01" w:rsidRPr="00660315">
        <w:rPr>
          <w:color w:val="000000" w:themeColor="text1"/>
        </w:rPr>
        <w:t>nnexure MWH</w:t>
      </w:r>
      <w:r w:rsidR="00C61F01">
        <w:rPr>
          <w:color w:val="000000" w:themeColor="text1"/>
        </w:rPr>
        <w:t>-</w:t>
      </w:r>
      <w:r w:rsidR="00C61F01" w:rsidRPr="00660315">
        <w:rPr>
          <w:color w:val="000000" w:themeColor="text1"/>
        </w:rPr>
        <w:t xml:space="preserve">7. </w:t>
      </w:r>
    </w:p>
    <w:p w:rsidR="00C61F01" w:rsidRDefault="004402EC" w:rsidP="004402EC">
      <w:pPr>
        <w:pStyle w:val="ParaNumbering"/>
        <w:numPr>
          <w:ilvl w:val="0"/>
          <w:numId w:val="0"/>
        </w:numPr>
        <w:tabs>
          <w:tab w:val="left" w:pos="720"/>
        </w:tabs>
        <w:ind w:hanging="720"/>
      </w:pPr>
      <w:r>
        <w:rPr>
          <w:sz w:val="20"/>
        </w:rPr>
        <w:t>46</w:t>
      </w:r>
      <w:r>
        <w:rPr>
          <w:sz w:val="20"/>
        </w:rPr>
        <w:tab/>
      </w:r>
      <w:r w:rsidR="00C61F01" w:rsidRPr="005F6371">
        <w:t xml:space="preserve">The </w:t>
      </w:r>
      <w:r w:rsidR="00C61F01">
        <w:t>plaintiffs assert</w:t>
      </w:r>
      <w:r w:rsidR="00C61F01" w:rsidRPr="005F6371">
        <w:t xml:space="preserve"> that the website is not referenced in the terms of the agreement and did not exist </w:t>
      </w:r>
      <w:r w:rsidR="00C61F01">
        <w:t xml:space="preserve">when the terms were </w:t>
      </w:r>
      <w:r w:rsidR="00C61F01">
        <w:rPr>
          <w:color w:val="000000" w:themeColor="text1"/>
        </w:rPr>
        <w:t>agreed:</w:t>
      </w:r>
      <w:r w:rsidR="00C61F01" w:rsidRPr="00660315">
        <w:rPr>
          <w:color w:val="000000" w:themeColor="text1"/>
        </w:rPr>
        <w:t xml:space="preserve"> </w:t>
      </w:r>
      <w:r w:rsidR="00C61F01">
        <w:rPr>
          <w:color w:val="000000" w:themeColor="text1"/>
        </w:rPr>
        <w:t xml:space="preserve"> t</w:t>
      </w:r>
      <w:r w:rsidR="00C61F01" w:rsidRPr="00660315">
        <w:rPr>
          <w:color w:val="000000" w:themeColor="text1"/>
        </w:rPr>
        <w:t xml:space="preserve">hird Holland affidavit, </w:t>
      </w:r>
      <w:r w:rsidR="00C61F01">
        <w:rPr>
          <w:color w:val="000000" w:themeColor="text1"/>
        </w:rPr>
        <w:t>a</w:t>
      </w:r>
      <w:r w:rsidR="00C61F01" w:rsidRPr="00660315">
        <w:rPr>
          <w:color w:val="000000" w:themeColor="text1"/>
        </w:rPr>
        <w:t>nnexure MWH</w:t>
      </w:r>
      <w:r w:rsidR="00C61F01">
        <w:rPr>
          <w:color w:val="000000" w:themeColor="text1"/>
        </w:rPr>
        <w:t>-</w:t>
      </w:r>
      <w:r w:rsidR="00C61F01" w:rsidRPr="00660315">
        <w:rPr>
          <w:color w:val="000000" w:themeColor="text1"/>
        </w:rPr>
        <w:t>7</w:t>
      </w:r>
      <w:r w:rsidR="00C61F01">
        <w:rPr>
          <w:color w:val="000000" w:themeColor="text1"/>
        </w:rPr>
        <w:t>,</w:t>
      </w:r>
      <w:r w:rsidR="00C61F01" w:rsidRPr="00660315">
        <w:rPr>
          <w:color w:val="000000" w:themeColor="text1"/>
        </w:rPr>
        <w:t xml:space="preserve"> and that if an </w:t>
      </w:r>
      <w:r w:rsidR="00C61F01">
        <w:t>executed Power of Attorney</w:t>
      </w:r>
      <w:r w:rsidR="00C61F01" w:rsidRPr="005F6371">
        <w:t xml:space="preserve"> document authorising </w:t>
      </w:r>
      <w:r w:rsidR="00404274">
        <w:t>the execution of the ‘</w:t>
      </w:r>
      <w:r w:rsidR="00C61F01" w:rsidRPr="005F6371">
        <w:t xml:space="preserve">Margin Loan </w:t>
      </w:r>
      <w:r w:rsidR="00C61F01">
        <w:t>F</w:t>
      </w:r>
      <w:r w:rsidR="00404274">
        <w:t>acility Agreement’</w:t>
      </w:r>
      <w:r w:rsidR="00C61F01" w:rsidRPr="005F6371">
        <w:t xml:space="preserve"> exists, it is</w:t>
      </w:r>
      <w:r w:rsidR="00C61F01">
        <w:t xml:space="preserve"> not</w:t>
      </w:r>
      <w:r w:rsidR="00C61F01" w:rsidRPr="005F6371">
        <w:t xml:space="preserve"> known to the </w:t>
      </w:r>
      <w:r w:rsidR="00C61F01">
        <w:t>plaintiffs</w:t>
      </w:r>
      <w:r w:rsidR="00C61F01" w:rsidRPr="005F6371">
        <w:t xml:space="preserve"> and likely to be fraudulent in nature.</w:t>
      </w:r>
    </w:p>
    <w:p w:rsidR="00C61F01" w:rsidRDefault="00C61F01" w:rsidP="00C61F01">
      <w:pPr>
        <w:pStyle w:val="Heading3"/>
      </w:pPr>
      <w:r>
        <w:t>Document 1(i)</w:t>
      </w:r>
    </w:p>
    <w:p w:rsidR="00C61F01" w:rsidRPr="008B06F3" w:rsidRDefault="004402EC" w:rsidP="004402EC">
      <w:pPr>
        <w:pStyle w:val="ParaNumbering"/>
        <w:numPr>
          <w:ilvl w:val="0"/>
          <w:numId w:val="0"/>
        </w:numPr>
        <w:tabs>
          <w:tab w:val="left" w:pos="720"/>
        </w:tabs>
        <w:ind w:hanging="720"/>
      </w:pPr>
      <w:r w:rsidRPr="008B06F3">
        <w:rPr>
          <w:sz w:val="20"/>
        </w:rPr>
        <w:t>47</w:t>
      </w:r>
      <w:r w:rsidRPr="008B06F3">
        <w:rPr>
          <w:sz w:val="20"/>
        </w:rPr>
        <w:tab/>
      </w:r>
      <w:r w:rsidR="00404274">
        <w:t>Document 1(i) is ‘</w:t>
      </w:r>
      <w:r w:rsidR="00C61F01">
        <w:t>A</w:t>
      </w:r>
      <w:r w:rsidR="00C61F01" w:rsidRPr="00990E00">
        <w:t>ny other facility, loan or other agreement held by the defendant, applying to the facility</w:t>
      </w:r>
      <w:r w:rsidR="00404274">
        <w:t>’</w:t>
      </w:r>
      <w:r w:rsidR="00C61F01" w:rsidRPr="00990E00">
        <w:t>.</w:t>
      </w:r>
    </w:p>
    <w:p w:rsidR="00C61F01" w:rsidRPr="005F6371" w:rsidRDefault="004402EC" w:rsidP="004402EC">
      <w:pPr>
        <w:pStyle w:val="ParaNumbering"/>
        <w:numPr>
          <w:ilvl w:val="0"/>
          <w:numId w:val="0"/>
        </w:numPr>
        <w:ind w:hanging="720"/>
      </w:pPr>
      <w:r w:rsidRPr="005F6371">
        <w:rPr>
          <w:sz w:val="20"/>
        </w:rPr>
        <w:t>48</w:t>
      </w:r>
      <w:r w:rsidRPr="005F6371">
        <w:rPr>
          <w:sz w:val="20"/>
        </w:rPr>
        <w:tab/>
      </w:r>
      <w:r w:rsidR="00C61F01" w:rsidRPr="005F6371">
        <w:t xml:space="preserve">The </w:t>
      </w:r>
      <w:r w:rsidR="00C61F01">
        <w:t>plaintiffs submit</w:t>
      </w:r>
      <w:r w:rsidR="00C61F01" w:rsidRPr="000063A5">
        <w:t xml:space="preserve"> that there are at least two agreements that the </w:t>
      </w:r>
      <w:r w:rsidR="00C61F01">
        <w:t>plaintiffs have</w:t>
      </w:r>
      <w:r w:rsidR="00C61F01" w:rsidRPr="000063A5">
        <w:t xml:space="preserve"> never seen and are submitted by the </w:t>
      </w:r>
      <w:r w:rsidR="00C61F01">
        <w:t>defendant</w:t>
      </w:r>
      <w:r w:rsidR="00C61F01" w:rsidRPr="000063A5">
        <w:t xml:space="preserve"> as applying to the </w:t>
      </w:r>
      <w:r w:rsidR="00C61F01">
        <w:t>facility</w:t>
      </w:r>
      <w:r w:rsidR="00C61F01" w:rsidRPr="000063A5">
        <w:t>.</w:t>
      </w:r>
    </w:p>
    <w:p w:rsidR="00C61F01" w:rsidRDefault="004402EC" w:rsidP="004402EC">
      <w:pPr>
        <w:pStyle w:val="ParaNumbering"/>
        <w:numPr>
          <w:ilvl w:val="0"/>
          <w:numId w:val="0"/>
        </w:numPr>
        <w:tabs>
          <w:tab w:val="left" w:pos="720"/>
        </w:tabs>
        <w:ind w:hanging="720"/>
      </w:pPr>
      <w:r>
        <w:rPr>
          <w:sz w:val="20"/>
        </w:rPr>
        <w:t>49</w:t>
      </w:r>
      <w:r>
        <w:rPr>
          <w:sz w:val="20"/>
        </w:rPr>
        <w:tab/>
      </w:r>
      <w:r w:rsidR="00C61F01" w:rsidRPr="005F6371">
        <w:t xml:space="preserve">The </w:t>
      </w:r>
      <w:r w:rsidR="00C61F01">
        <w:t>plaintiff</w:t>
      </w:r>
      <w:r w:rsidR="00C61F01" w:rsidRPr="005F6371">
        <w:t>s</w:t>
      </w:r>
      <w:r w:rsidR="00C61F01">
        <w:t xml:space="preserve"> assert</w:t>
      </w:r>
      <w:r w:rsidR="00C61F01" w:rsidRPr="005F6371">
        <w:t xml:space="preserve"> that they have never executed or authorised execution of another </w:t>
      </w:r>
      <w:r w:rsidR="00C61F01">
        <w:t xml:space="preserve">loan </w:t>
      </w:r>
      <w:r w:rsidR="00C61F01" w:rsidRPr="005F6371">
        <w:t xml:space="preserve">or </w:t>
      </w:r>
      <w:r w:rsidR="00C61F01" w:rsidRPr="00660315">
        <w:rPr>
          <w:color w:val="000000" w:themeColor="text1"/>
        </w:rPr>
        <w:t xml:space="preserve">facility </w:t>
      </w:r>
      <w:r w:rsidR="00C61F01">
        <w:rPr>
          <w:color w:val="000000" w:themeColor="text1"/>
        </w:rPr>
        <w:t xml:space="preserve">agreement: </w:t>
      </w:r>
      <w:r w:rsidR="00C61F01" w:rsidRPr="00660315">
        <w:rPr>
          <w:color w:val="000000" w:themeColor="text1"/>
        </w:rPr>
        <w:t xml:space="preserve"> </w:t>
      </w:r>
      <w:r w:rsidR="00C61F01">
        <w:rPr>
          <w:color w:val="000000" w:themeColor="text1"/>
        </w:rPr>
        <w:t>t</w:t>
      </w:r>
      <w:r w:rsidR="00C61F01" w:rsidRPr="00660315">
        <w:rPr>
          <w:color w:val="000000" w:themeColor="text1"/>
        </w:rPr>
        <w:t>hird Holland</w:t>
      </w:r>
      <w:r w:rsidR="00C61F01">
        <w:rPr>
          <w:color w:val="000000" w:themeColor="text1"/>
        </w:rPr>
        <w:t xml:space="preserve"> affidavit</w:t>
      </w:r>
      <w:r w:rsidR="00C61F01" w:rsidRPr="00660315">
        <w:rPr>
          <w:color w:val="000000" w:themeColor="text1"/>
        </w:rPr>
        <w:t xml:space="preserve"> [8].</w:t>
      </w:r>
    </w:p>
    <w:p w:rsidR="00C61F01" w:rsidRDefault="00C61F01" w:rsidP="00C61F01">
      <w:pPr>
        <w:pStyle w:val="Heading3"/>
      </w:pPr>
      <w:r>
        <w:t>Documents 1(k),(l), (m), (n), (o), (p) and (q)</w:t>
      </w:r>
    </w:p>
    <w:p w:rsidR="00C61F01" w:rsidRDefault="004402EC" w:rsidP="004402EC">
      <w:pPr>
        <w:pStyle w:val="ParaNumbering"/>
        <w:numPr>
          <w:ilvl w:val="0"/>
          <w:numId w:val="0"/>
        </w:numPr>
        <w:tabs>
          <w:tab w:val="left" w:pos="720"/>
        </w:tabs>
        <w:ind w:hanging="720"/>
      </w:pPr>
      <w:r>
        <w:rPr>
          <w:sz w:val="20"/>
        </w:rPr>
        <w:t>50</w:t>
      </w:r>
      <w:r>
        <w:rPr>
          <w:sz w:val="20"/>
        </w:rPr>
        <w:tab/>
      </w:r>
      <w:r w:rsidR="00C61F01">
        <w:t>These documents comprise:</w:t>
      </w:r>
    </w:p>
    <w:p w:rsidR="00C61F01" w:rsidRPr="00990E00" w:rsidRDefault="004402EC" w:rsidP="004402EC">
      <w:pPr>
        <w:pStyle w:val="ListNo2"/>
        <w:numPr>
          <w:ilvl w:val="0"/>
          <w:numId w:val="0"/>
        </w:numPr>
        <w:tabs>
          <w:tab w:val="left" w:pos="1571"/>
        </w:tabs>
        <w:ind w:left="1571" w:hanging="720"/>
      </w:pPr>
      <w:r w:rsidRPr="00990E00">
        <w:t>(k)</w:t>
      </w:r>
      <w:r w:rsidRPr="00990E00">
        <w:tab/>
      </w:r>
      <w:r w:rsidR="00C61F01" w:rsidRPr="00990E00">
        <w:t xml:space="preserve">Any correspondence held between the defendant and ASIC concerning compliance issues at Barton Capital Securities identified and investigated by ASIC around May </w:t>
      </w:r>
      <w:r w:rsidR="00C61F01">
        <w:t>1992</w:t>
      </w:r>
      <w:r w:rsidR="00C61F01" w:rsidRPr="00990E00">
        <w:t>.</w:t>
      </w:r>
      <w:r w:rsidR="00C61F01">
        <w:t xml:space="preserve"> </w:t>
      </w:r>
      <w:r w:rsidR="00C61F01" w:rsidRPr="00404274">
        <w:rPr>
          <w:sz w:val="22"/>
          <w:szCs w:val="22"/>
        </w:rPr>
        <w:t>(The year of this item was amended at the hearing to 2002)</w:t>
      </w:r>
      <w:r w:rsidR="00C61F01">
        <w:t>;</w:t>
      </w:r>
    </w:p>
    <w:p w:rsidR="00C61F01" w:rsidRDefault="004402EC" w:rsidP="004402EC">
      <w:pPr>
        <w:pStyle w:val="ListNo2"/>
        <w:numPr>
          <w:ilvl w:val="0"/>
          <w:numId w:val="0"/>
        </w:numPr>
        <w:tabs>
          <w:tab w:val="left" w:pos="1571"/>
        </w:tabs>
        <w:ind w:left="1571" w:hanging="720"/>
      </w:pPr>
      <w:r>
        <w:t>(l)</w:t>
      </w:r>
      <w:r>
        <w:tab/>
      </w:r>
      <w:r w:rsidR="00C61F01" w:rsidRPr="00990E00">
        <w:t>Any correspondence held by the defendant between the defendant and ASIC</w:t>
      </w:r>
      <w:r w:rsidR="00C61F01">
        <w:t xml:space="preserve"> concerning </w:t>
      </w:r>
      <w:r w:rsidR="00C61F01" w:rsidRPr="00990E00">
        <w:t>the voluntary undertaking entered by Barton Capital Securities and ASIC a</w:t>
      </w:r>
      <w:r w:rsidR="00C61F01">
        <w:t>round May 2002;</w:t>
      </w:r>
    </w:p>
    <w:p w:rsidR="00C61F01" w:rsidRPr="006954BD" w:rsidRDefault="004402EC" w:rsidP="004402EC">
      <w:pPr>
        <w:pStyle w:val="ListNo2"/>
        <w:numPr>
          <w:ilvl w:val="0"/>
          <w:numId w:val="0"/>
        </w:numPr>
        <w:tabs>
          <w:tab w:val="left" w:pos="1571"/>
        </w:tabs>
        <w:ind w:left="1571" w:hanging="720"/>
      </w:pPr>
      <w:r w:rsidRPr="006954BD">
        <w:t>(m)</w:t>
      </w:r>
      <w:r w:rsidRPr="006954BD">
        <w:tab/>
      </w:r>
      <w:r w:rsidR="00C61F01" w:rsidRPr="006954BD">
        <w:t>Any correspondence held by the defendant</w:t>
      </w:r>
      <w:r w:rsidR="00C61F01">
        <w:t xml:space="preserve"> between the defendant and ASIC </w:t>
      </w:r>
      <w:r w:rsidR="00C61F01" w:rsidRPr="006954BD">
        <w:t>concerning the loss of dealer’s licence by B</w:t>
      </w:r>
      <w:r w:rsidR="00C61F01">
        <w:t>arton Capital Securities around 17</w:t>
      </w:r>
      <w:r w:rsidR="00404274">
        <w:t> </w:t>
      </w:r>
      <w:r w:rsidR="00C61F01">
        <w:t>December 2002;</w:t>
      </w:r>
    </w:p>
    <w:p w:rsidR="00C61F01" w:rsidRDefault="004402EC" w:rsidP="004402EC">
      <w:pPr>
        <w:pStyle w:val="ListNo2"/>
        <w:numPr>
          <w:ilvl w:val="0"/>
          <w:numId w:val="0"/>
        </w:numPr>
        <w:tabs>
          <w:tab w:val="left" w:pos="1571"/>
        </w:tabs>
        <w:ind w:left="1571" w:hanging="720"/>
      </w:pPr>
      <w:r>
        <w:t>(n)</w:t>
      </w:r>
      <w:r>
        <w:tab/>
      </w:r>
      <w:r w:rsidR="00C61F01" w:rsidRPr="006954BD">
        <w:t>Any correspondence held by the defendant b</w:t>
      </w:r>
      <w:r w:rsidR="00C61F01">
        <w:t xml:space="preserve">etween the defendant and Barton </w:t>
      </w:r>
      <w:r w:rsidR="00C61F01" w:rsidRPr="006954BD">
        <w:t>Capital Securities concerning compliance issues iden</w:t>
      </w:r>
      <w:r w:rsidR="00C61F01">
        <w:t>tified and investigated by ASIC around May 2002;</w:t>
      </w:r>
    </w:p>
    <w:p w:rsidR="00C61F01" w:rsidRDefault="004402EC" w:rsidP="004402EC">
      <w:pPr>
        <w:pStyle w:val="ListNo2"/>
        <w:numPr>
          <w:ilvl w:val="0"/>
          <w:numId w:val="0"/>
        </w:numPr>
        <w:tabs>
          <w:tab w:val="left" w:pos="1571"/>
        </w:tabs>
        <w:ind w:left="1571" w:hanging="720"/>
      </w:pPr>
      <w:r>
        <w:t>(o)</w:t>
      </w:r>
      <w:r>
        <w:tab/>
      </w:r>
      <w:r w:rsidR="00C61F01" w:rsidRPr="006954BD">
        <w:t>Any correspondence held by the defendant between the defendant and Bar</w:t>
      </w:r>
      <w:r w:rsidR="00C61F01">
        <w:t xml:space="preserve">ton </w:t>
      </w:r>
      <w:r w:rsidR="00C61F01" w:rsidRPr="006954BD">
        <w:t>Capital Securities concerning the voluntary unde</w:t>
      </w:r>
      <w:r w:rsidR="00C61F01">
        <w:t>rtaking entered by it with ASIC around May 2002;</w:t>
      </w:r>
    </w:p>
    <w:p w:rsidR="00C61F01" w:rsidRDefault="004402EC" w:rsidP="004402EC">
      <w:pPr>
        <w:pStyle w:val="ListNo2"/>
        <w:numPr>
          <w:ilvl w:val="0"/>
          <w:numId w:val="0"/>
        </w:numPr>
        <w:tabs>
          <w:tab w:val="left" w:pos="1571"/>
        </w:tabs>
        <w:ind w:left="1571" w:hanging="720"/>
      </w:pPr>
      <w:r>
        <w:t>(p)</w:t>
      </w:r>
      <w:r>
        <w:tab/>
      </w:r>
      <w:r w:rsidR="00C61F01" w:rsidRPr="006954BD">
        <w:t>Any correspondence held by the defendant b</w:t>
      </w:r>
      <w:r w:rsidR="00C61F01">
        <w:t xml:space="preserve">etween the defendant and Barton </w:t>
      </w:r>
      <w:r w:rsidR="00C61F01" w:rsidRPr="006954BD">
        <w:t>Capital Securities concerning the loss of dealer’s licence by Barton Capital S</w:t>
      </w:r>
      <w:r w:rsidR="00C61F01">
        <w:t>ecurities around 17 December 2002; and</w:t>
      </w:r>
    </w:p>
    <w:p w:rsidR="00C61F01" w:rsidRPr="00CB28AE" w:rsidRDefault="004402EC" w:rsidP="004402EC">
      <w:pPr>
        <w:pStyle w:val="ListNo2"/>
        <w:numPr>
          <w:ilvl w:val="0"/>
          <w:numId w:val="0"/>
        </w:numPr>
        <w:tabs>
          <w:tab w:val="left" w:pos="1571"/>
        </w:tabs>
        <w:ind w:left="1571" w:hanging="720"/>
      </w:pPr>
      <w:r w:rsidRPr="00CB28AE">
        <w:t>(q)</w:t>
      </w:r>
      <w:r w:rsidRPr="00CB28AE">
        <w:tab/>
      </w:r>
      <w:r w:rsidR="00C61F01" w:rsidRPr="006954BD">
        <w:t xml:space="preserve">Any correspondence held by the defendant </w:t>
      </w:r>
      <w:r w:rsidR="00C61F01">
        <w:t xml:space="preserve">between the defendant and Peter </w:t>
      </w:r>
      <w:r w:rsidR="00C61F01" w:rsidRPr="006954BD">
        <w:t>Bennett or A.C.N. 008 082 157 Pty Ltd concerning Pete</w:t>
      </w:r>
      <w:r w:rsidR="00C61F01">
        <w:t xml:space="preserve">r Bennett’s dealing, licencing, </w:t>
      </w:r>
      <w:r w:rsidR="00C61F01" w:rsidRPr="006954BD">
        <w:t>product sales or commission paid or payable from around Jul</w:t>
      </w:r>
      <w:r w:rsidR="00C61F01">
        <w:t>y 2002 to June 2003.</w:t>
      </w:r>
    </w:p>
    <w:p w:rsidR="00C61F01" w:rsidRPr="00FF180F" w:rsidRDefault="004402EC" w:rsidP="004402EC">
      <w:pPr>
        <w:pStyle w:val="ParaNumbering"/>
        <w:numPr>
          <w:ilvl w:val="0"/>
          <w:numId w:val="0"/>
        </w:numPr>
        <w:tabs>
          <w:tab w:val="left" w:pos="720"/>
        </w:tabs>
        <w:ind w:hanging="720"/>
        <w:rPr>
          <w:color w:val="000000" w:themeColor="text1"/>
        </w:rPr>
      </w:pPr>
      <w:r w:rsidRPr="00FF180F">
        <w:rPr>
          <w:color w:val="000000" w:themeColor="text1"/>
          <w:sz w:val="20"/>
        </w:rPr>
        <w:t>51</w:t>
      </w:r>
      <w:r w:rsidRPr="00FF180F">
        <w:rPr>
          <w:color w:val="000000" w:themeColor="text1"/>
          <w:sz w:val="20"/>
        </w:rPr>
        <w:tab/>
      </w:r>
      <w:r w:rsidR="00C61F01">
        <w:rPr>
          <w:color w:val="000000" w:themeColor="text1"/>
        </w:rPr>
        <w:t>The plaintiffs assert that ASIC investigated Barton and outlined concerns in its press release</w:t>
      </w:r>
      <w:r w:rsidR="00404274">
        <w:rPr>
          <w:color w:val="000000" w:themeColor="text1"/>
        </w:rPr>
        <w:t>,</w:t>
      </w:r>
      <w:r w:rsidR="00C61F01">
        <w:rPr>
          <w:color w:val="000000" w:themeColor="text1"/>
        </w:rPr>
        <w:t xml:space="preserve"> dated 9 May 2022, that Barton was not supervising its authority holders; lacked proper contractual arrangements with them; that three of Barton’s advisors were trading improperly; and that Barton had sought to stop its clients </w:t>
      </w:r>
      <w:r w:rsidR="00C61F01" w:rsidRPr="00660315">
        <w:rPr>
          <w:color w:val="000000" w:themeColor="text1"/>
        </w:rPr>
        <w:t>lodg</w:t>
      </w:r>
      <w:r w:rsidR="00C61F01">
        <w:rPr>
          <w:color w:val="000000" w:themeColor="text1"/>
        </w:rPr>
        <w:t>ing complaints with regulators:</w:t>
      </w:r>
      <w:r w:rsidR="00C61F01" w:rsidRPr="00660315">
        <w:rPr>
          <w:color w:val="000000" w:themeColor="text1"/>
        </w:rPr>
        <w:t xml:space="preserve"> </w:t>
      </w:r>
      <w:r w:rsidR="00C61F01">
        <w:rPr>
          <w:color w:val="000000" w:themeColor="text1"/>
        </w:rPr>
        <w:t xml:space="preserve"> f</w:t>
      </w:r>
      <w:r w:rsidR="00C61F01" w:rsidRPr="00660315">
        <w:rPr>
          <w:color w:val="000000" w:themeColor="text1"/>
        </w:rPr>
        <w:t>ourth</w:t>
      </w:r>
      <w:r w:rsidR="00C61F01">
        <w:rPr>
          <w:color w:val="000000" w:themeColor="text1"/>
        </w:rPr>
        <w:t xml:space="preserve"> Holland affidavit</w:t>
      </w:r>
      <w:r w:rsidR="00C61F01" w:rsidRPr="00660315">
        <w:rPr>
          <w:color w:val="000000" w:themeColor="text1"/>
        </w:rPr>
        <w:t xml:space="preserve"> [5]</w:t>
      </w:r>
      <w:r w:rsidR="00C61F01">
        <w:rPr>
          <w:color w:val="000000" w:themeColor="text1"/>
        </w:rPr>
        <w:t>, a</w:t>
      </w:r>
      <w:r w:rsidR="00C61F01" w:rsidRPr="00660315">
        <w:rPr>
          <w:color w:val="000000" w:themeColor="text1"/>
        </w:rPr>
        <w:t>nnexure MH</w:t>
      </w:r>
      <w:r w:rsidR="00C61F01">
        <w:rPr>
          <w:color w:val="000000" w:themeColor="text1"/>
        </w:rPr>
        <w:t>-</w:t>
      </w:r>
      <w:r w:rsidR="00C61F01" w:rsidRPr="00660315">
        <w:rPr>
          <w:color w:val="000000" w:themeColor="text1"/>
        </w:rPr>
        <w:t>3.</w:t>
      </w:r>
      <w:r w:rsidR="00C61F01" w:rsidRPr="00660315">
        <w:rPr>
          <w:rFonts w:ascii="CIDFont+F1" w:hAnsi="CIDFont+F1" w:cs="CIDFont+F1"/>
          <w:color w:val="000000" w:themeColor="text1"/>
          <w:sz w:val="21"/>
          <w:szCs w:val="21"/>
          <w:lang w:eastAsia="en-AU"/>
        </w:rPr>
        <w:t xml:space="preserve"> </w:t>
      </w:r>
    </w:p>
    <w:p w:rsidR="00C61F01" w:rsidRPr="008665D3" w:rsidRDefault="004402EC" w:rsidP="004402EC">
      <w:pPr>
        <w:pStyle w:val="ParaNumbering"/>
        <w:numPr>
          <w:ilvl w:val="0"/>
          <w:numId w:val="0"/>
        </w:numPr>
        <w:ind w:hanging="720"/>
        <w:rPr>
          <w:color w:val="000000" w:themeColor="text1"/>
        </w:rPr>
      </w:pPr>
      <w:r w:rsidRPr="008665D3">
        <w:rPr>
          <w:color w:val="000000" w:themeColor="text1"/>
          <w:sz w:val="20"/>
        </w:rPr>
        <w:t>52</w:t>
      </w:r>
      <w:r w:rsidRPr="008665D3">
        <w:rPr>
          <w:color w:val="000000" w:themeColor="text1"/>
          <w:sz w:val="20"/>
        </w:rPr>
        <w:tab/>
      </w:r>
      <w:r w:rsidR="00C61F01">
        <w:rPr>
          <w:color w:val="000000" w:themeColor="text1"/>
        </w:rPr>
        <w:t xml:space="preserve">The plaintiffs also assert that </w:t>
      </w:r>
      <w:r w:rsidR="00C61F01" w:rsidRPr="008665D3">
        <w:rPr>
          <w:color w:val="000000" w:themeColor="text1"/>
        </w:rPr>
        <w:t>Barton entered an en</w:t>
      </w:r>
      <w:r w:rsidR="00C61F01">
        <w:rPr>
          <w:color w:val="000000" w:themeColor="text1"/>
        </w:rPr>
        <w:t xml:space="preserve">forceable undertaking with ASIC </w:t>
      </w:r>
      <w:r w:rsidR="00C61F01" w:rsidRPr="008665D3">
        <w:rPr>
          <w:color w:val="000000" w:themeColor="text1"/>
        </w:rPr>
        <w:t xml:space="preserve">that </w:t>
      </w:r>
      <w:r w:rsidR="00C61F01" w:rsidRPr="00660315">
        <w:rPr>
          <w:color w:val="000000" w:themeColor="text1"/>
        </w:rPr>
        <w:t>required it to</w:t>
      </w:r>
      <w:r w:rsidR="00C61F01">
        <w:rPr>
          <w:color w:val="000000" w:themeColor="text1"/>
        </w:rPr>
        <w:t>:</w:t>
      </w:r>
      <w:r w:rsidR="00C61F01" w:rsidRPr="00660315">
        <w:rPr>
          <w:color w:val="000000" w:themeColor="text1"/>
        </w:rPr>
        <w:t xml:space="preserve"> </w:t>
      </w:r>
      <w:r w:rsidR="00C61F01">
        <w:rPr>
          <w:color w:val="000000" w:themeColor="text1"/>
        </w:rPr>
        <w:t xml:space="preserve"> f</w:t>
      </w:r>
      <w:r w:rsidR="00C61F01" w:rsidRPr="00660315">
        <w:rPr>
          <w:color w:val="000000" w:themeColor="text1"/>
        </w:rPr>
        <w:t>ourth Holland affidavit [4]</w:t>
      </w:r>
      <w:r w:rsidR="00C61F01">
        <w:rPr>
          <w:color w:val="000000" w:themeColor="text1"/>
        </w:rPr>
        <w:t>, a</w:t>
      </w:r>
      <w:r w:rsidR="00C61F01" w:rsidRPr="00660315">
        <w:rPr>
          <w:color w:val="000000" w:themeColor="text1"/>
        </w:rPr>
        <w:t>nnexure MH</w:t>
      </w:r>
      <w:r w:rsidR="00C61F01">
        <w:rPr>
          <w:color w:val="000000" w:themeColor="text1"/>
        </w:rPr>
        <w:t>-</w:t>
      </w:r>
      <w:r w:rsidR="00C61F01" w:rsidRPr="00660315">
        <w:rPr>
          <w:color w:val="000000" w:themeColor="text1"/>
        </w:rPr>
        <w:t xml:space="preserve">2: </w:t>
      </w:r>
    </w:p>
    <w:p w:rsidR="00C61F01" w:rsidRPr="008665D3" w:rsidRDefault="004402EC" w:rsidP="004402EC">
      <w:pPr>
        <w:pStyle w:val="ListNo1alt"/>
        <w:numPr>
          <w:ilvl w:val="0"/>
          <w:numId w:val="0"/>
        </w:numPr>
        <w:tabs>
          <w:tab w:val="left" w:pos="1004"/>
        </w:tabs>
        <w:ind w:left="1004" w:hanging="720"/>
      </w:pPr>
      <w:r w:rsidRPr="008665D3">
        <w:t>(a)</w:t>
      </w:r>
      <w:r w:rsidRPr="008665D3">
        <w:tab/>
      </w:r>
      <w:r w:rsidR="00C61F01">
        <w:t>A</w:t>
      </w:r>
      <w:r w:rsidR="00C61F01" w:rsidRPr="008665D3">
        <w:t>ppoint a duly qualified compliance lawyer from 13 May 2002 who would report to ASIC on compliance issues and cont</w:t>
      </w:r>
      <w:r w:rsidR="00C61F01">
        <w:t>raventions of the A</w:t>
      </w:r>
      <w:r w:rsidR="00C61F01" w:rsidRPr="008665D3">
        <w:t xml:space="preserve">ct, including in </w:t>
      </w:r>
      <w:r w:rsidR="00C61F01">
        <w:t>connection with AFSL licencing; and</w:t>
      </w:r>
    </w:p>
    <w:p w:rsidR="00C61F01" w:rsidRPr="008665D3" w:rsidRDefault="004402EC" w:rsidP="004402EC">
      <w:pPr>
        <w:pStyle w:val="ListNo1alt"/>
        <w:numPr>
          <w:ilvl w:val="0"/>
          <w:numId w:val="0"/>
        </w:numPr>
        <w:tabs>
          <w:tab w:val="left" w:pos="1004"/>
        </w:tabs>
        <w:ind w:left="1004" w:hanging="720"/>
      </w:pPr>
      <w:r w:rsidRPr="008665D3">
        <w:t>(b)</w:t>
      </w:r>
      <w:r w:rsidRPr="008665D3">
        <w:tab/>
      </w:r>
      <w:r w:rsidR="00C61F01">
        <w:t xml:space="preserve">Ensure by 30 June </w:t>
      </w:r>
      <w:r w:rsidR="00C61F01" w:rsidRPr="008665D3">
        <w:t>2002 all persons providing product advice through Barton had completed training courses at the appropriate level or be listed with ASIC as having been trained to that level.</w:t>
      </w:r>
    </w:p>
    <w:p w:rsidR="00C61F01" w:rsidRDefault="004402EC" w:rsidP="004402EC">
      <w:pPr>
        <w:pStyle w:val="ParaNumbering"/>
        <w:numPr>
          <w:ilvl w:val="0"/>
          <w:numId w:val="0"/>
        </w:numPr>
        <w:ind w:hanging="720"/>
        <w:rPr>
          <w:color w:val="000000" w:themeColor="text1"/>
        </w:rPr>
      </w:pPr>
      <w:r>
        <w:rPr>
          <w:color w:val="000000" w:themeColor="text1"/>
          <w:sz w:val="20"/>
        </w:rPr>
        <w:t>53</w:t>
      </w:r>
      <w:r>
        <w:rPr>
          <w:color w:val="000000" w:themeColor="text1"/>
          <w:sz w:val="20"/>
        </w:rPr>
        <w:tab/>
      </w:r>
      <w:r w:rsidR="00C61F01" w:rsidRPr="000C19FD">
        <w:rPr>
          <w:color w:val="000000" w:themeColor="text1"/>
        </w:rPr>
        <w:t xml:space="preserve">The </w:t>
      </w:r>
      <w:r w:rsidR="00C61F01">
        <w:rPr>
          <w:color w:val="000000" w:themeColor="text1"/>
        </w:rPr>
        <w:t>plaintiffs assert further</w:t>
      </w:r>
      <w:r w:rsidR="00C61F01" w:rsidRPr="000C19FD">
        <w:rPr>
          <w:color w:val="000000" w:themeColor="text1"/>
        </w:rPr>
        <w:t xml:space="preserve"> that</w:t>
      </w:r>
      <w:r w:rsidR="00C61F01">
        <w:rPr>
          <w:color w:val="000000" w:themeColor="text1"/>
        </w:rPr>
        <w:t xml:space="preserve"> Mr</w:t>
      </w:r>
      <w:r w:rsidR="00C61F01" w:rsidRPr="008665D3">
        <w:rPr>
          <w:color w:val="000000" w:themeColor="text1"/>
        </w:rPr>
        <w:t xml:space="preserve"> Bennett was </w:t>
      </w:r>
      <w:r w:rsidR="00C61F01">
        <w:rPr>
          <w:color w:val="000000" w:themeColor="text1"/>
        </w:rPr>
        <w:t>subject to a</w:t>
      </w:r>
      <w:r w:rsidR="00C61F01" w:rsidRPr="008665D3">
        <w:rPr>
          <w:color w:val="000000" w:themeColor="text1"/>
        </w:rPr>
        <w:t xml:space="preserve"> banning order until </w:t>
      </w:r>
      <w:r w:rsidR="00C61F01" w:rsidRPr="00660315">
        <w:rPr>
          <w:color w:val="000000" w:themeColor="text1"/>
        </w:rPr>
        <w:t>20 May 2002</w:t>
      </w:r>
      <w:r w:rsidR="00C61F01">
        <w:rPr>
          <w:color w:val="000000" w:themeColor="text1"/>
        </w:rPr>
        <w:t>:</w:t>
      </w:r>
      <w:r w:rsidR="00C61F01" w:rsidRPr="00660315">
        <w:rPr>
          <w:color w:val="000000" w:themeColor="text1"/>
        </w:rPr>
        <w:t xml:space="preserve"> </w:t>
      </w:r>
      <w:r w:rsidR="00C61F01">
        <w:rPr>
          <w:color w:val="000000" w:themeColor="text1"/>
        </w:rPr>
        <w:t xml:space="preserve"> f</w:t>
      </w:r>
      <w:r w:rsidR="00C61F01" w:rsidRPr="00660315">
        <w:rPr>
          <w:color w:val="000000" w:themeColor="text1"/>
        </w:rPr>
        <w:t>irst Holland affidavit [16]</w:t>
      </w:r>
      <w:r w:rsidR="00C61F01">
        <w:rPr>
          <w:color w:val="000000" w:themeColor="text1"/>
        </w:rPr>
        <w:t>, a</w:t>
      </w:r>
      <w:r w:rsidR="00C61F01" w:rsidRPr="00660315">
        <w:rPr>
          <w:color w:val="000000" w:themeColor="text1"/>
        </w:rPr>
        <w:t>nnexure MWH</w:t>
      </w:r>
      <w:r w:rsidR="00C61F01">
        <w:rPr>
          <w:color w:val="000000" w:themeColor="text1"/>
        </w:rPr>
        <w:t>-8,</w:t>
      </w:r>
      <w:r w:rsidR="00C61F01" w:rsidRPr="00660315">
        <w:rPr>
          <w:color w:val="000000" w:themeColor="text1"/>
        </w:rPr>
        <w:t xml:space="preserve"> </w:t>
      </w:r>
      <w:r w:rsidR="00C61F01" w:rsidRPr="008665D3">
        <w:rPr>
          <w:color w:val="000000" w:themeColor="text1"/>
        </w:rPr>
        <w:t>and</w:t>
      </w:r>
      <w:r w:rsidR="00C61F01">
        <w:rPr>
          <w:color w:val="000000" w:themeColor="text1"/>
        </w:rPr>
        <w:t xml:space="preserve"> was</w:t>
      </w:r>
      <w:r w:rsidR="00C61F01" w:rsidRPr="008665D3">
        <w:rPr>
          <w:color w:val="000000" w:themeColor="text1"/>
        </w:rPr>
        <w:t xml:space="preserve"> therefore banned from </w:t>
      </w:r>
      <w:r w:rsidR="00C61F01">
        <w:rPr>
          <w:color w:val="000000" w:themeColor="text1"/>
        </w:rPr>
        <w:t xml:space="preserve">engaging in conduct relating </w:t>
      </w:r>
      <w:r w:rsidR="00C61F01" w:rsidRPr="008665D3">
        <w:rPr>
          <w:color w:val="000000" w:themeColor="text1"/>
        </w:rPr>
        <w:t>to product</w:t>
      </w:r>
      <w:r w:rsidR="00C61F01">
        <w:rPr>
          <w:color w:val="000000" w:themeColor="text1"/>
        </w:rPr>
        <w:t xml:space="preserve"> or financial advice, including </w:t>
      </w:r>
      <w:r w:rsidR="00C61F01" w:rsidRPr="008665D3">
        <w:rPr>
          <w:color w:val="000000" w:themeColor="text1"/>
        </w:rPr>
        <w:t xml:space="preserve">the training required by the </w:t>
      </w:r>
      <w:r w:rsidR="00C61F01">
        <w:rPr>
          <w:color w:val="000000" w:themeColor="text1"/>
        </w:rPr>
        <w:t xml:space="preserve">undertaking. </w:t>
      </w:r>
    </w:p>
    <w:p w:rsidR="00C61F01" w:rsidRDefault="004402EC" w:rsidP="004402EC">
      <w:pPr>
        <w:pStyle w:val="ParaNumbering"/>
        <w:numPr>
          <w:ilvl w:val="0"/>
          <w:numId w:val="0"/>
        </w:numPr>
        <w:ind w:hanging="720"/>
        <w:rPr>
          <w:color w:val="000000" w:themeColor="text1"/>
        </w:rPr>
      </w:pPr>
      <w:r>
        <w:rPr>
          <w:color w:val="000000" w:themeColor="text1"/>
          <w:sz w:val="20"/>
        </w:rPr>
        <w:t>54</w:t>
      </w:r>
      <w:r>
        <w:rPr>
          <w:color w:val="000000" w:themeColor="text1"/>
          <w:sz w:val="20"/>
        </w:rPr>
        <w:tab/>
      </w:r>
      <w:r w:rsidR="00C61F01">
        <w:rPr>
          <w:color w:val="000000" w:themeColor="text1"/>
        </w:rPr>
        <w:t xml:space="preserve">The </w:t>
      </w:r>
      <w:r w:rsidR="00C61F01" w:rsidRPr="00860BFF">
        <w:rPr>
          <w:color w:val="000000" w:themeColor="text1"/>
        </w:rPr>
        <w:t>plaintiffs submit that since the defendant paid</w:t>
      </w:r>
      <w:r w:rsidR="00C61F01" w:rsidRPr="00A16E97">
        <w:rPr>
          <w:color w:val="000000" w:themeColor="text1"/>
        </w:rPr>
        <w:t xml:space="preserve"> commission on product</w:t>
      </w:r>
      <w:r w:rsidR="00C61F01" w:rsidRPr="008665D3">
        <w:rPr>
          <w:color w:val="000000" w:themeColor="text1"/>
        </w:rPr>
        <w:t xml:space="preserve"> sales to Barton and/or process</w:t>
      </w:r>
      <w:r w:rsidR="00C61F01">
        <w:rPr>
          <w:color w:val="000000" w:themeColor="text1"/>
        </w:rPr>
        <w:t xml:space="preserve">ed trades through its margin </w:t>
      </w:r>
      <w:r w:rsidR="00C61F01" w:rsidRPr="00860BFF">
        <w:rPr>
          <w:color w:val="000000" w:themeColor="text1"/>
        </w:rPr>
        <w:t>loans</w:t>
      </w:r>
      <w:r w:rsidR="00C61F01">
        <w:rPr>
          <w:color w:val="000000" w:themeColor="text1"/>
        </w:rPr>
        <w:t>,</w:t>
      </w:r>
      <w:r w:rsidR="00C61F01" w:rsidRPr="00860BFF">
        <w:rPr>
          <w:color w:val="000000" w:themeColor="text1"/>
        </w:rPr>
        <w:t xml:space="preserve"> </w:t>
      </w:r>
      <w:r w:rsidR="00C61F01">
        <w:rPr>
          <w:color w:val="000000" w:themeColor="text1"/>
        </w:rPr>
        <w:t xml:space="preserve">it has, therefore, </w:t>
      </w:r>
      <w:r w:rsidR="00C61F01" w:rsidRPr="00860BFF">
        <w:rPr>
          <w:color w:val="000000" w:themeColor="text1"/>
        </w:rPr>
        <w:t>documents</w:t>
      </w:r>
      <w:r w:rsidR="00C61F01" w:rsidRPr="008665D3">
        <w:rPr>
          <w:color w:val="000000" w:themeColor="text1"/>
        </w:rPr>
        <w:t xml:space="preserve">, </w:t>
      </w:r>
      <w:r w:rsidR="00C61F01">
        <w:rPr>
          <w:color w:val="000000" w:themeColor="text1"/>
        </w:rPr>
        <w:t>correspondence and knowledge of Mr</w:t>
      </w:r>
      <w:r w:rsidR="00C61F01" w:rsidRPr="008665D3">
        <w:rPr>
          <w:color w:val="000000" w:themeColor="text1"/>
        </w:rPr>
        <w:t xml:space="preserve"> Bennett’s activities, such as claiming commission from </w:t>
      </w:r>
      <w:r w:rsidR="00C61F01">
        <w:rPr>
          <w:color w:val="000000" w:themeColor="text1"/>
        </w:rPr>
        <w:t>Mr Holland’s</w:t>
      </w:r>
      <w:r w:rsidR="00C61F01" w:rsidRPr="008665D3">
        <w:rPr>
          <w:color w:val="000000" w:themeColor="text1"/>
        </w:rPr>
        <w:t xml:space="preserve"> m</w:t>
      </w:r>
      <w:r w:rsidR="00C61F01">
        <w:rPr>
          <w:color w:val="000000" w:themeColor="text1"/>
        </w:rPr>
        <w:t xml:space="preserve">argin loan </w:t>
      </w:r>
      <w:r w:rsidR="00C61F01" w:rsidRPr="008665D3">
        <w:rPr>
          <w:color w:val="000000" w:themeColor="text1"/>
        </w:rPr>
        <w:t xml:space="preserve">while he was subject to a </w:t>
      </w:r>
      <w:r w:rsidR="00C61F01">
        <w:rPr>
          <w:color w:val="000000" w:themeColor="text1"/>
        </w:rPr>
        <w:t xml:space="preserve">ban. </w:t>
      </w:r>
    </w:p>
    <w:p w:rsidR="00C61F01" w:rsidRPr="001441E1" w:rsidRDefault="004402EC" w:rsidP="004402EC">
      <w:pPr>
        <w:pStyle w:val="ParaNumbering"/>
        <w:numPr>
          <w:ilvl w:val="0"/>
          <w:numId w:val="0"/>
        </w:numPr>
        <w:ind w:hanging="720"/>
        <w:rPr>
          <w:color w:val="000000" w:themeColor="text1"/>
        </w:rPr>
      </w:pPr>
      <w:r w:rsidRPr="001441E1">
        <w:rPr>
          <w:color w:val="000000" w:themeColor="text1"/>
          <w:sz w:val="20"/>
        </w:rPr>
        <w:t>55</w:t>
      </w:r>
      <w:r w:rsidRPr="001441E1">
        <w:rPr>
          <w:color w:val="000000" w:themeColor="text1"/>
          <w:sz w:val="20"/>
        </w:rPr>
        <w:tab/>
      </w:r>
      <w:r w:rsidR="00C61F01" w:rsidRPr="006F3A94">
        <w:rPr>
          <w:color w:val="000000" w:themeColor="text1"/>
        </w:rPr>
        <w:t xml:space="preserve">The </w:t>
      </w:r>
      <w:r w:rsidR="00C61F01">
        <w:rPr>
          <w:color w:val="000000" w:themeColor="text1"/>
        </w:rPr>
        <w:t xml:space="preserve">plaintiffs assert </w:t>
      </w:r>
      <w:r w:rsidR="00C61F01" w:rsidRPr="006F3A94">
        <w:rPr>
          <w:color w:val="000000" w:themeColor="text1"/>
        </w:rPr>
        <w:t xml:space="preserve">that the voluntary undertaking </w:t>
      </w:r>
      <w:r w:rsidR="00C61F01" w:rsidRPr="00660315">
        <w:rPr>
          <w:color w:val="000000" w:themeColor="text1"/>
        </w:rPr>
        <w:t>was withdrawn by ASIC on 19 December 2002 following Barton’s request to revoke its dealer license</w:t>
      </w:r>
      <w:r w:rsidR="00C61F01">
        <w:rPr>
          <w:color w:val="000000" w:themeColor="text1"/>
        </w:rPr>
        <w:t>:</w:t>
      </w:r>
      <w:r w:rsidR="00C61F01" w:rsidRPr="00660315">
        <w:rPr>
          <w:color w:val="000000" w:themeColor="text1"/>
        </w:rPr>
        <w:t xml:space="preserve"> </w:t>
      </w:r>
      <w:r w:rsidR="00C61F01">
        <w:rPr>
          <w:color w:val="000000" w:themeColor="text1"/>
        </w:rPr>
        <w:t xml:space="preserve"> f</w:t>
      </w:r>
      <w:r w:rsidR="00C61F01" w:rsidRPr="00660315">
        <w:rPr>
          <w:color w:val="000000" w:themeColor="text1"/>
        </w:rPr>
        <w:t>ourth Holland</w:t>
      </w:r>
      <w:r w:rsidR="00C61F01">
        <w:rPr>
          <w:color w:val="000000" w:themeColor="text1"/>
        </w:rPr>
        <w:t xml:space="preserve"> affidavit</w:t>
      </w:r>
      <w:r w:rsidR="00C61F01" w:rsidRPr="00660315">
        <w:rPr>
          <w:color w:val="000000" w:themeColor="text1"/>
        </w:rPr>
        <w:t xml:space="preserve"> </w:t>
      </w:r>
      <w:r w:rsidR="00C61F01">
        <w:rPr>
          <w:color w:val="000000" w:themeColor="text1"/>
        </w:rPr>
        <w:t>[5], a</w:t>
      </w:r>
      <w:r w:rsidR="00C61F01" w:rsidRPr="00660315">
        <w:rPr>
          <w:color w:val="000000" w:themeColor="text1"/>
        </w:rPr>
        <w:t>nnexure MH</w:t>
      </w:r>
      <w:r w:rsidR="00C61F01">
        <w:rPr>
          <w:color w:val="000000" w:themeColor="text1"/>
        </w:rPr>
        <w:t>-3,</w:t>
      </w:r>
      <w:r w:rsidR="00C61F01" w:rsidRPr="00660315">
        <w:rPr>
          <w:color w:val="000000" w:themeColor="text1"/>
        </w:rPr>
        <w:t xml:space="preserve"> </w:t>
      </w:r>
      <w:r w:rsidR="00C61F01">
        <w:rPr>
          <w:color w:val="000000" w:themeColor="text1"/>
        </w:rPr>
        <w:t xml:space="preserve">and </w:t>
      </w:r>
      <w:r w:rsidR="00C61F01" w:rsidRPr="00660315">
        <w:rPr>
          <w:color w:val="000000" w:themeColor="text1"/>
        </w:rPr>
        <w:t>that</w:t>
      </w:r>
      <w:r w:rsidR="00C61F01">
        <w:rPr>
          <w:color w:val="000000" w:themeColor="text1"/>
        </w:rPr>
        <w:t xml:space="preserve"> as</w:t>
      </w:r>
      <w:r w:rsidR="00C61F01" w:rsidRPr="00660315">
        <w:rPr>
          <w:color w:val="000000" w:themeColor="text1"/>
        </w:rPr>
        <w:t xml:space="preserve"> the defendant was under Westpac ownership </w:t>
      </w:r>
      <w:r w:rsidR="00C61F01">
        <w:rPr>
          <w:color w:val="000000" w:themeColor="text1"/>
        </w:rPr>
        <w:t>at the time, it was therefore</w:t>
      </w:r>
      <w:r w:rsidR="00C61F01" w:rsidRPr="00660315">
        <w:rPr>
          <w:color w:val="000000" w:themeColor="text1"/>
        </w:rPr>
        <w:t xml:space="preserve"> likely informed by ASIC and/or Barton. </w:t>
      </w:r>
    </w:p>
    <w:p w:rsidR="00C61F01" w:rsidRDefault="00C61F01" w:rsidP="00C61F01">
      <w:pPr>
        <w:pStyle w:val="Heading3"/>
      </w:pPr>
      <w:r>
        <w:t>Documents 1(r) and (s)</w:t>
      </w:r>
    </w:p>
    <w:p w:rsidR="00C61F01" w:rsidRDefault="004402EC" w:rsidP="004402EC">
      <w:pPr>
        <w:pStyle w:val="ParaNumbering"/>
        <w:numPr>
          <w:ilvl w:val="0"/>
          <w:numId w:val="0"/>
        </w:numPr>
        <w:tabs>
          <w:tab w:val="left" w:pos="720"/>
        </w:tabs>
        <w:ind w:hanging="720"/>
      </w:pPr>
      <w:r>
        <w:rPr>
          <w:sz w:val="20"/>
        </w:rPr>
        <w:t>56</w:t>
      </w:r>
      <w:r>
        <w:rPr>
          <w:sz w:val="20"/>
        </w:rPr>
        <w:tab/>
      </w:r>
      <w:r w:rsidR="00C61F01">
        <w:t xml:space="preserve">These documents comprise: </w:t>
      </w:r>
    </w:p>
    <w:p w:rsidR="00C61F01" w:rsidRDefault="004402EC" w:rsidP="004402EC">
      <w:pPr>
        <w:pStyle w:val="ListNo2"/>
        <w:numPr>
          <w:ilvl w:val="0"/>
          <w:numId w:val="0"/>
        </w:numPr>
        <w:tabs>
          <w:tab w:val="left" w:pos="1571"/>
        </w:tabs>
        <w:ind w:left="1571" w:hanging="720"/>
      </w:pPr>
      <w:r>
        <w:t>(r)</w:t>
      </w:r>
      <w:r>
        <w:tab/>
      </w:r>
      <w:r w:rsidR="00C61F01" w:rsidRPr="006954BD">
        <w:t>Bank statements or payment advices or correspond</w:t>
      </w:r>
      <w:r w:rsidR="00C61F01">
        <w:t>ence including, where possible, da</w:t>
      </w:r>
      <w:r w:rsidR="00C61F01" w:rsidRPr="006954BD">
        <w:t>tes and amounts of all commission paid to any o</w:t>
      </w:r>
      <w:r w:rsidR="00C61F01">
        <w:t xml:space="preserve">f Peter Bennett, Barton Capital </w:t>
      </w:r>
      <w:r w:rsidR="00C61F01" w:rsidRPr="006954BD">
        <w:t>Securities, Centec Securities, Diversa, A.C.N. 008 082 157 Pty Ltd</w:t>
      </w:r>
      <w:r w:rsidR="00C75CDC">
        <w:t>,</w:t>
      </w:r>
      <w:r w:rsidR="00C61F01" w:rsidRPr="006954BD">
        <w:t xml:space="preserve"> or a</w:t>
      </w:r>
      <w:r w:rsidR="00C61F01">
        <w:t xml:space="preserve">ny other </w:t>
      </w:r>
      <w:r w:rsidR="00C61F01" w:rsidRPr="006954BD">
        <w:t xml:space="preserve">entity on behalf of the </w:t>
      </w:r>
      <w:r w:rsidR="00C61F01">
        <w:t>Mr Holland’s margin loan; and</w:t>
      </w:r>
    </w:p>
    <w:p w:rsidR="00C61F01" w:rsidRPr="00660315" w:rsidRDefault="004402EC" w:rsidP="004402EC">
      <w:pPr>
        <w:pStyle w:val="ListNo2"/>
        <w:numPr>
          <w:ilvl w:val="0"/>
          <w:numId w:val="0"/>
        </w:numPr>
        <w:tabs>
          <w:tab w:val="left" w:pos="1571"/>
        </w:tabs>
        <w:ind w:left="1571" w:hanging="720"/>
        <w:rPr>
          <w:color w:val="000000" w:themeColor="text1"/>
        </w:rPr>
      </w:pPr>
      <w:r w:rsidRPr="00660315">
        <w:rPr>
          <w:color w:val="000000" w:themeColor="text1"/>
        </w:rPr>
        <w:t>(s)</w:t>
      </w:r>
      <w:r w:rsidRPr="00660315">
        <w:rPr>
          <w:color w:val="000000" w:themeColor="text1"/>
        </w:rPr>
        <w:tab/>
      </w:r>
      <w:r w:rsidR="00C61F01" w:rsidRPr="006954BD">
        <w:t>Correspondence held by the defendant (including correspondence received and s</w:t>
      </w:r>
      <w:r w:rsidR="00C61F01">
        <w:t xml:space="preserve">ent) concerning registration of </w:t>
      </w:r>
      <w:r w:rsidR="00C61F01" w:rsidRPr="006954BD">
        <w:t>any of Peter Bennett, Kerry Clough, Barton Capital Securities, Centec Securities, Diversa, A.C.N. 008 082 157</w:t>
      </w:r>
      <w:r w:rsidR="00C61F01">
        <w:t xml:space="preserve"> </w:t>
      </w:r>
      <w:r w:rsidR="00C61F01" w:rsidRPr="006954BD">
        <w:t>Pty Ltd</w:t>
      </w:r>
      <w:r w:rsidR="00C75CDC">
        <w:t>,</w:t>
      </w:r>
      <w:r w:rsidR="00C61F01" w:rsidRPr="006954BD">
        <w:t xml:space="preserve"> or any other entity</w:t>
      </w:r>
      <w:r w:rsidR="00C61F01">
        <w:t xml:space="preserve"> </w:t>
      </w:r>
      <w:r w:rsidR="00C61F01" w:rsidRPr="006954BD">
        <w:t xml:space="preserve">as financial advisors, brokers, stockbrokers or recipients of </w:t>
      </w:r>
      <w:r w:rsidR="00C61F01" w:rsidRPr="00034555">
        <w:rPr>
          <w:color w:val="000000" w:themeColor="text1"/>
        </w:rPr>
        <w:t xml:space="preserve">commission registered </w:t>
      </w:r>
      <w:r w:rsidR="00C61F01" w:rsidRPr="00660315">
        <w:rPr>
          <w:color w:val="000000" w:themeColor="text1"/>
        </w:rPr>
        <w:t>on the plaintiff’s margin loan.</w:t>
      </w:r>
    </w:p>
    <w:p w:rsidR="00C61F01" w:rsidRPr="00660315" w:rsidRDefault="004402EC" w:rsidP="004402EC">
      <w:pPr>
        <w:pStyle w:val="ParaNumbering"/>
        <w:numPr>
          <w:ilvl w:val="0"/>
          <w:numId w:val="0"/>
        </w:numPr>
        <w:tabs>
          <w:tab w:val="left" w:pos="720"/>
        </w:tabs>
        <w:ind w:hanging="720"/>
        <w:rPr>
          <w:color w:val="000000" w:themeColor="text1"/>
        </w:rPr>
      </w:pPr>
      <w:r w:rsidRPr="00660315">
        <w:rPr>
          <w:color w:val="000000" w:themeColor="text1"/>
          <w:sz w:val="20"/>
        </w:rPr>
        <w:t>57</w:t>
      </w:r>
      <w:r w:rsidRPr="00660315">
        <w:rPr>
          <w:color w:val="000000" w:themeColor="text1"/>
          <w:sz w:val="20"/>
        </w:rPr>
        <w:tab/>
      </w:r>
      <w:r w:rsidR="00C61F01" w:rsidRPr="00660315">
        <w:rPr>
          <w:color w:val="000000" w:themeColor="text1"/>
        </w:rPr>
        <w:t>The plaintiffs assert that they do not know a person by the name of Kerry Clough or an entity named Diversa, although Kerry Clough appears as a financial advisor registered against Mr</w:t>
      </w:r>
      <w:r w:rsidR="00C61F01">
        <w:rPr>
          <w:color w:val="000000" w:themeColor="text1"/>
        </w:rPr>
        <w:t> </w:t>
      </w:r>
      <w:r w:rsidR="00C61F01" w:rsidRPr="00660315">
        <w:rPr>
          <w:color w:val="000000" w:themeColor="text1"/>
        </w:rPr>
        <w:t>Holland’s margin loan on the defendant</w:t>
      </w:r>
      <w:r w:rsidR="00C61F01">
        <w:rPr>
          <w:color w:val="000000" w:themeColor="text1"/>
        </w:rPr>
        <w:t>’s systems:</w:t>
      </w:r>
      <w:r w:rsidR="00C61F01" w:rsidRPr="00660315">
        <w:rPr>
          <w:color w:val="000000" w:themeColor="text1"/>
        </w:rPr>
        <w:t xml:space="preserve"> </w:t>
      </w:r>
      <w:r w:rsidR="00C61F01">
        <w:rPr>
          <w:color w:val="000000" w:themeColor="text1"/>
        </w:rPr>
        <w:t xml:space="preserve"> f</w:t>
      </w:r>
      <w:r w:rsidR="00C61F01" w:rsidRPr="00660315">
        <w:rPr>
          <w:color w:val="000000" w:themeColor="text1"/>
        </w:rPr>
        <w:t>irst Holland affidavit [13]</w:t>
      </w:r>
      <w:r w:rsidR="00C61F01">
        <w:rPr>
          <w:color w:val="000000" w:themeColor="text1"/>
        </w:rPr>
        <w:t>, a</w:t>
      </w:r>
      <w:r w:rsidR="00C61F01" w:rsidRPr="00660315">
        <w:rPr>
          <w:color w:val="000000" w:themeColor="text1"/>
        </w:rPr>
        <w:t>nnexure MWH</w:t>
      </w:r>
      <w:r w:rsidR="00C61F01">
        <w:rPr>
          <w:color w:val="000000" w:themeColor="text1"/>
        </w:rPr>
        <w:t>-</w:t>
      </w:r>
      <w:r w:rsidR="00C61F01" w:rsidRPr="00660315">
        <w:rPr>
          <w:color w:val="000000" w:themeColor="text1"/>
        </w:rPr>
        <w:t xml:space="preserve">4. </w:t>
      </w:r>
      <w:r w:rsidR="00C61F01">
        <w:rPr>
          <w:color w:val="000000" w:themeColor="text1"/>
        </w:rPr>
        <w:t xml:space="preserve"> </w:t>
      </w:r>
      <w:r w:rsidR="00C61F01" w:rsidRPr="00660315">
        <w:rPr>
          <w:color w:val="000000" w:themeColor="text1"/>
        </w:rPr>
        <w:t xml:space="preserve">The plaintiffs allege that these details have been maintained without the plaintiffs’ knowledge and consent. </w:t>
      </w:r>
    </w:p>
    <w:p w:rsidR="00C61F01" w:rsidRDefault="004402EC" w:rsidP="004402EC">
      <w:pPr>
        <w:pStyle w:val="ParaNumbering"/>
        <w:numPr>
          <w:ilvl w:val="0"/>
          <w:numId w:val="0"/>
        </w:numPr>
        <w:tabs>
          <w:tab w:val="left" w:pos="720"/>
        </w:tabs>
        <w:ind w:hanging="720"/>
      </w:pPr>
      <w:r>
        <w:rPr>
          <w:sz w:val="20"/>
        </w:rPr>
        <w:t>58</w:t>
      </w:r>
      <w:r>
        <w:rPr>
          <w:sz w:val="20"/>
        </w:rPr>
        <w:tab/>
      </w:r>
      <w:r w:rsidR="00C61F01" w:rsidRPr="00314631">
        <w:t xml:space="preserve">The </w:t>
      </w:r>
      <w:r w:rsidR="00C61F01">
        <w:t>plaintiffs assert that they do</w:t>
      </w:r>
      <w:r w:rsidR="00C61F01" w:rsidRPr="00314631">
        <w:t xml:space="preserve"> not know what other entities have been listed as financial advisors, brokers, stockbrokers or recipients of commission on the </w:t>
      </w:r>
      <w:r w:rsidR="00C61F01">
        <w:t>defendant</w:t>
      </w:r>
      <w:r w:rsidR="00C61F01" w:rsidRPr="00314631">
        <w:t>’s systems, relating to the margin loa</w:t>
      </w:r>
      <w:r w:rsidR="00C61F01">
        <w:t>n and</w:t>
      </w:r>
      <w:r w:rsidR="00C61F01" w:rsidRPr="00314631">
        <w:t xml:space="preserve"> requests copies of documents of all correspondence between the </w:t>
      </w:r>
      <w:r w:rsidR="00C61F01">
        <w:t xml:space="preserve">defendant and entities </w:t>
      </w:r>
      <w:r w:rsidR="00C61F01" w:rsidRPr="00314631">
        <w:t xml:space="preserve">recorded on the </w:t>
      </w:r>
      <w:r w:rsidR="00C61F01">
        <w:t>defendant</w:t>
      </w:r>
      <w:r w:rsidR="00C61F01" w:rsidRPr="00314631">
        <w:t xml:space="preserve">’s </w:t>
      </w:r>
      <w:r w:rsidR="00C75CDC">
        <w:t>systems.</w:t>
      </w:r>
    </w:p>
    <w:p w:rsidR="00C61F01" w:rsidRPr="00D47620" w:rsidRDefault="00C61F01" w:rsidP="00C61F01">
      <w:pPr>
        <w:pStyle w:val="Heading2"/>
      </w:pPr>
      <w:r>
        <w:t>Defendant’s submissions</w:t>
      </w:r>
    </w:p>
    <w:p w:rsidR="00C61F01" w:rsidRPr="00D47620" w:rsidRDefault="004402EC" w:rsidP="004402EC">
      <w:pPr>
        <w:pStyle w:val="ParaNumbering"/>
        <w:numPr>
          <w:ilvl w:val="0"/>
          <w:numId w:val="0"/>
        </w:numPr>
        <w:tabs>
          <w:tab w:val="left" w:pos="720"/>
        </w:tabs>
        <w:ind w:hanging="720"/>
      </w:pPr>
      <w:r w:rsidRPr="00D47620">
        <w:rPr>
          <w:sz w:val="20"/>
        </w:rPr>
        <w:t>59</w:t>
      </w:r>
      <w:r w:rsidRPr="00D47620">
        <w:rPr>
          <w:sz w:val="20"/>
        </w:rPr>
        <w:tab/>
      </w:r>
      <w:r w:rsidR="00C61F01" w:rsidRPr="00D47620">
        <w:t xml:space="preserve">The </w:t>
      </w:r>
      <w:r w:rsidR="00C61F01">
        <w:t>defendant</w:t>
      </w:r>
      <w:r w:rsidR="00C61F01" w:rsidRPr="00D47620">
        <w:t xml:space="preserve"> opposes the </w:t>
      </w:r>
      <w:r w:rsidR="00C61F01">
        <w:t>plaintiff</w:t>
      </w:r>
      <w:r w:rsidR="00C75CDC">
        <w:t>s’ application for discovery.</w:t>
      </w:r>
    </w:p>
    <w:p w:rsidR="00C61F01" w:rsidRPr="00D47620" w:rsidRDefault="004402EC" w:rsidP="004402EC">
      <w:pPr>
        <w:pStyle w:val="ParaNumbering"/>
        <w:numPr>
          <w:ilvl w:val="0"/>
          <w:numId w:val="0"/>
        </w:numPr>
        <w:tabs>
          <w:tab w:val="left" w:pos="720"/>
        </w:tabs>
        <w:ind w:hanging="720"/>
      </w:pPr>
      <w:r w:rsidRPr="00D47620">
        <w:rPr>
          <w:sz w:val="20"/>
        </w:rPr>
        <w:t>60</w:t>
      </w:r>
      <w:r w:rsidRPr="00D47620">
        <w:rPr>
          <w:sz w:val="20"/>
        </w:rPr>
        <w:tab/>
      </w:r>
      <w:r w:rsidR="00C61F01">
        <w:t>On t</w:t>
      </w:r>
      <w:r w:rsidR="00C61F01" w:rsidRPr="00D47620">
        <w:t xml:space="preserve">he </w:t>
      </w:r>
      <w:r w:rsidR="00C61F01">
        <w:t xml:space="preserve">defendant’s case, the </w:t>
      </w:r>
      <w:r w:rsidR="00C61F01" w:rsidRPr="00D47620">
        <w:t xml:space="preserve">documents sought by the </w:t>
      </w:r>
      <w:r w:rsidR="00C61F01">
        <w:t>plaintiff</w:t>
      </w:r>
      <w:r w:rsidR="00C61F01" w:rsidRPr="00D47620">
        <w:t xml:space="preserve">s can be categorised as follows: </w:t>
      </w:r>
    </w:p>
    <w:p w:rsidR="00C61F01" w:rsidRPr="00D47620" w:rsidRDefault="004402EC" w:rsidP="004402EC">
      <w:pPr>
        <w:pStyle w:val="ListNo1alt"/>
        <w:numPr>
          <w:ilvl w:val="0"/>
          <w:numId w:val="0"/>
        </w:numPr>
        <w:tabs>
          <w:tab w:val="left" w:pos="1004"/>
        </w:tabs>
        <w:ind w:left="1004" w:hanging="720"/>
      </w:pPr>
      <w:r w:rsidRPr="00D47620">
        <w:t>(a)</w:t>
      </w:r>
      <w:r w:rsidRPr="00D47620">
        <w:tab/>
      </w:r>
      <w:r w:rsidR="00C61F01">
        <w:t>Documents that are relevant on</w:t>
      </w:r>
      <w:r w:rsidR="00C61F01" w:rsidRPr="00D47620">
        <w:t xml:space="preserve"> the pleadings, but which the </w:t>
      </w:r>
      <w:r w:rsidR="00C61F01">
        <w:t>defendant</w:t>
      </w:r>
      <w:r w:rsidR="00C61F01" w:rsidRPr="00D47620">
        <w:t xml:space="preserve"> no longer has in its po</w:t>
      </w:r>
      <w:r w:rsidR="00C61F01">
        <w:t>ssession or is unable to locate;</w:t>
      </w:r>
    </w:p>
    <w:p w:rsidR="00C61F01" w:rsidRDefault="004402EC" w:rsidP="004402EC">
      <w:pPr>
        <w:pStyle w:val="ListNo1alt"/>
        <w:numPr>
          <w:ilvl w:val="0"/>
          <w:numId w:val="0"/>
        </w:numPr>
        <w:tabs>
          <w:tab w:val="left" w:pos="1004"/>
        </w:tabs>
        <w:ind w:left="1004" w:hanging="720"/>
      </w:pPr>
      <w:r>
        <w:t>(b)</w:t>
      </w:r>
      <w:r>
        <w:tab/>
      </w:r>
      <w:r w:rsidR="00C61F01" w:rsidRPr="00D47620">
        <w:t>Documents not relevant to the pleadings and the provision of which will not result in the</w:t>
      </w:r>
      <w:r w:rsidR="00C61F01">
        <w:t xml:space="preserve"> </w:t>
      </w:r>
      <w:r w:rsidR="00C61F01" w:rsidRPr="00D47620">
        <w:t>just resolution of the proceeding as quickly, inexpensively and efficiently as possible</w:t>
      </w:r>
      <w:r w:rsidR="00C61F01">
        <w:t xml:space="preserve"> </w:t>
      </w:r>
      <w:r w:rsidR="00C61F01" w:rsidRPr="00D47620">
        <w:t>and/or are not sig</w:t>
      </w:r>
      <w:r w:rsidR="00C61F01">
        <w:t>nificantly probative in nature; and</w:t>
      </w:r>
    </w:p>
    <w:p w:rsidR="00C61F01" w:rsidRPr="00E925C8" w:rsidRDefault="004402EC" w:rsidP="004402EC">
      <w:pPr>
        <w:pStyle w:val="ListNo1alt"/>
        <w:numPr>
          <w:ilvl w:val="0"/>
          <w:numId w:val="0"/>
        </w:numPr>
        <w:tabs>
          <w:tab w:val="left" w:pos="1004"/>
        </w:tabs>
        <w:ind w:left="1004" w:hanging="720"/>
      </w:pPr>
      <w:r w:rsidRPr="00E925C8">
        <w:t>(c)</w:t>
      </w:r>
      <w:r w:rsidRPr="00E925C8">
        <w:tab/>
      </w:r>
      <w:r w:rsidR="00C61F01">
        <w:t>Documents which</w:t>
      </w:r>
      <w:r w:rsidR="00C61F01" w:rsidRPr="00D47620">
        <w:t xml:space="preserve"> do not exist.</w:t>
      </w:r>
    </w:p>
    <w:p w:rsidR="00C61F01" w:rsidRDefault="00C61F01" w:rsidP="00C61F01">
      <w:pPr>
        <w:pStyle w:val="Heading3"/>
        <w:rPr>
          <w:lang w:eastAsia="en-AU"/>
        </w:rPr>
      </w:pPr>
      <w:r>
        <w:rPr>
          <w:lang w:eastAsia="en-AU"/>
        </w:rPr>
        <w:t>Documents that are relevant, but no longer in the defendant’s possession or the defendant has been unable to locate</w:t>
      </w:r>
    </w:p>
    <w:p w:rsidR="00C61F01" w:rsidRPr="005C0E1D" w:rsidRDefault="004402EC" w:rsidP="004402EC">
      <w:pPr>
        <w:pStyle w:val="ParaNumbering"/>
        <w:numPr>
          <w:ilvl w:val="0"/>
          <w:numId w:val="0"/>
        </w:numPr>
        <w:tabs>
          <w:tab w:val="left" w:pos="720"/>
        </w:tabs>
        <w:ind w:hanging="720"/>
      </w:pPr>
      <w:r w:rsidRPr="005C0E1D">
        <w:rPr>
          <w:sz w:val="20"/>
        </w:rPr>
        <w:t>61</w:t>
      </w:r>
      <w:r w:rsidRPr="005C0E1D">
        <w:rPr>
          <w:sz w:val="20"/>
        </w:rPr>
        <w:tab/>
      </w:r>
      <w:r w:rsidR="00C61F01">
        <w:t>Documents 1(a), (b), and (q)</w:t>
      </w:r>
      <w:r w:rsidR="00C61F01" w:rsidRPr="005C0E1D">
        <w:t xml:space="preserve"> fall within this objection category.</w:t>
      </w:r>
    </w:p>
    <w:p w:rsidR="00C61F01" w:rsidRDefault="004402EC" w:rsidP="004402EC">
      <w:pPr>
        <w:pStyle w:val="ParaNumbering"/>
        <w:numPr>
          <w:ilvl w:val="0"/>
          <w:numId w:val="0"/>
        </w:numPr>
        <w:tabs>
          <w:tab w:val="left" w:pos="720"/>
        </w:tabs>
        <w:ind w:hanging="720"/>
        <w:rPr>
          <w:lang w:eastAsia="en-AU"/>
        </w:rPr>
      </w:pPr>
      <w:r>
        <w:rPr>
          <w:sz w:val="20"/>
          <w:lang w:eastAsia="en-AU"/>
        </w:rPr>
        <w:t>62</w:t>
      </w:r>
      <w:r>
        <w:rPr>
          <w:sz w:val="20"/>
          <w:lang w:eastAsia="en-AU"/>
        </w:rPr>
        <w:tab/>
      </w:r>
      <w:r w:rsidR="00C61F01" w:rsidRPr="00BD664F">
        <w:t xml:space="preserve">The </w:t>
      </w:r>
      <w:r w:rsidR="00C61F01">
        <w:t>defendant</w:t>
      </w:r>
      <w:r w:rsidR="00C61F01" w:rsidRPr="00BD664F">
        <w:t xml:space="preserve"> submits that documents 1(a) and (b) are documents that </w:t>
      </w:r>
      <w:r w:rsidR="00C61F01">
        <w:t>Mr Holland</w:t>
      </w:r>
      <w:r w:rsidR="00C61F01" w:rsidRPr="00BD664F">
        <w:t xml:space="preserve"> completed and sent to the </w:t>
      </w:r>
      <w:r w:rsidR="00C61F01">
        <w:t>defendant</w:t>
      </w:r>
      <w:r w:rsidR="00C61F01" w:rsidRPr="00BD664F">
        <w:t xml:space="preserve"> in 1997 in order to establish the</w:t>
      </w:r>
      <w:r w:rsidR="00C61F01">
        <w:t xml:space="preserve"> facility. </w:t>
      </w:r>
    </w:p>
    <w:p w:rsidR="00C61F01" w:rsidRPr="00B572FE" w:rsidRDefault="004402EC" w:rsidP="004402EC">
      <w:pPr>
        <w:pStyle w:val="ParaNumbering"/>
        <w:numPr>
          <w:ilvl w:val="0"/>
          <w:numId w:val="0"/>
        </w:numPr>
        <w:tabs>
          <w:tab w:val="left" w:pos="720"/>
        </w:tabs>
        <w:ind w:hanging="720"/>
      </w:pPr>
      <w:r w:rsidRPr="00B572FE">
        <w:rPr>
          <w:sz w:val="20"/>
        </w:rPr>
        <w:t>63</w:t>
      </w:r>
      <w:r w:rsidRPr="00B572FE">
        <w:rPr>
          <w:sz w:val="20"/>
        </w:rPr>
        <w:tab/>
      </w:r>
      <w:r w:rsidR="00C61F01">
        <w:t xml:space="preserve">Mr Morrissey, </w:t>
      </w:r>
      <w:r w:rsidR="00C61F01" w:rsidRPr="00B572FE">
        <w:t>the head of Margin Lending and Online Products for the defendant, has deposed to conducting and co</w:t>
      </w:r>
      <w:r w:rsidR="00C61F01">
        <w:t>-</w:t>
      </w:r>
      <w:r w:rsidR="00C61F01" w:rsidRPr="00B572FE">
        <w:t xml:space="preserve">ordinating searches of the defendant’s records and has been unable to locate any original document for the facility executed by </w:t>
      </w:r>
      <w:r w:rsidR="00C61F01">
        <w:t>Mr Holland</w:t>
      </w:r>
      <w:r w:rsidR="00C61F01" w:rsidRPr="00B572FE">
        <w:t xml:space="preserve">. </w:t>
      </w:r>
      <w:r w:rsidR="00C61F01">
        <w:t xml:space="preserve"> </w:t>
      </w:r>
      <w:r w:rsidR="00C61F01" w:rsidRPr="00B572FE">
        <w:t>Those searches included searches of the defendant’s physical records and archived materials as well as searching for electronic records held by the defendant’s ‘imaging systems’</w:t>
      </w:r>
      <w:r w:rsidR="00C61F01">
        <w:t xml:space="preserve">:  </w:t>
      </w:r>
      <w:r w:rsidR="00C61F01" w:rsidRPr="00EE058F">
        <w:rPr>
          <w:color w:val="000000" w:themeColor="text1"/>
        </w:rPr>
        <w:t>Morrissey affidavit, [10]</w:t>
      </w:r>
      <w:r w:rsidR="00C61F01">
        <w:rPr>
          <w:color w:val="000000" w:themeColor="text1"/>
        </w:rPr>
        <w:t>, [16], [23] and [32]</w:t>
      </w:r>
      <w:r w:rsidR="00C61F01" w:rsidRPr="00EE058F">
        <w:rPr>
          <w:color w:val="000000" w:themeColor="text1"/>
        </w:rPr>
        <w:t>.</w:t>
      </w:r>
    </w:p>
    <w:p w:rsidR="00C61F01" w:rsidRPr="00B572FE" w:rsidRDefault="004402EC" w:rsidP="004402EC">
      <w:pPr>
        <w:pStyle w:val="ParaNumbering"/>
        <w:numPr>
          <w:ilvl w:val="0"/>
          <w:numId w:val="0"/>
        </w:numPr>
        <w:tabs>
          <w:tab w:val="left" w:pos="720"/>
        </w:tabs>
        <w:ind w:hanging="720"/>
        <w:rPr>
          <w:lang w:eastAsia="en-AU"/>
        </w:rPr>
      </w:pPr>
      <w:r w:rsidRPr="00B572FE">
        <w:rPr>
          <w:sz w:val="20"/>
          <w:lang w:eastAsia="en-AU"/>
        </w:rPr>
        <w:t>64</w:t>
      </w:r>
      <w:r w:rsidRPr="00B572FE">
        <w:rPr>
          <w:sz w:val="20"/>
          <w:lang w:eastAsia="en-AU"/>
        </w:rPr>
        <w:tab/>
      </w:r>
      <w:r w:rsidR="00C61F01" w:rsidRPr="00B572FE">
        <w:rPr>
          <w:lang w:eastAsia="en-AU"/>
        </w:rPr>
        <w:t xml:space="preserve">In relation to document 1(q), </w:t>
      </w:r>
      <w:r w:rsidR="00C61F01" w:rsidRPr="00B572FE">
        <w:t>the defendant admits commission was paid to Centec between April 2013 and November 2020.</w:t>
      </w:r>
      <w:r w:rsidR="00C61F01">
        <w:t xml:space="preserve"> </w:t>
      </w:r>
      <w:r w:rsidR="00C61F01" w:rsidRPr="00B572FE">
        <w:t xml:space="preserve"> The defendant’s records do not go back further than 2013 in respect of commission paid in respect of the facility. </w:t>
      </w:r>
      <w:r w:rsidR="00C61F01">
        <w:t xml:space="preserve"> </w:t>
      </w:r>
      <w:r w:rsidR="00C61F01" w:rsidRPr="00B572FE">
        <w:t xml:space="preserve">Mr Morrissey has searched the defendant’s records and has been unable to locate any record of commission paid to Barton in respect of the facility and does not know whether any commission was so paid. </w:t>
      </w:r>
      <w:r w:rsidR="00C61F01">
        <w:t xml:space="preserve"> </w:t>
      </w:r>
      <w:r w:rsidR="00C61F01" w:rsidRPr="00B572FE">
        <w:t xml:space="preserve">Mr Morrissey is not aware of any leading commission ever having been paid in respect of the facility. </w:t>
      </w:r>
      <w:r w:rsidR="00C61F01">
        <w:t xml:space="preserve"> </w:t>
      </w:r>
      <w:r w:rsidR="00C61F01" w:rsidRPr="00B572FE">
        <w:t>There are no records that support</w:t>
      </w:r>
      <w:r w:rsidR="00C61F01">
        <w:t>s</w:t>
      </w:r>
      <w:r w:rsidR="00C61F01" w:rsidRPr="00B572FE">
        <w:t xml:space="preserve"> that leading </w:t>
      </w:r>
      <w:r w:rsidR="00C61F01" w:rsidRPr="003F0EC0">
        <w:rPr>
          <w:color w:val="000000" w:themeColor="text1"/>
        </w:rPr>
        <w:t>commission was paid</w:t>
      </w:r>
      <w:r w:rsidR="00C61F01">
        <w:rPr>
          <w:color w:val="000000" w:themeColor="text1"/>
        </w:rPr>
        <w:t xml:space="preserve">: </w:t>
      </w:r>
      <w:r w:rsidR="00C61F01" w:rsidRPr="003F0EC0">
        <w:rPr>
          <w:color w:val="000000" w:themeColor="text1"/>
        </w:rPr>
        <w:t xml:space="preserve"> Morrissey affidavit [53]-[54]</w:t>
      </w:r>
      <w:r w:rsidR="00C61F01">
        <w:rPr>
          <w:color w:val="000000" w:themeColor="text1"/>
        </w:rPr>
        <w:t xml:space="preserve"> and [62]. </w:t>
      </w:r>
    </w:p>
    <w:p w:rsidR="00C61F01" w:rsidRPr="00984F09" w:rsidRDefault="00C61F01" w:rsidP="00C61F01">
      <w:pPr>
        <w:pStyle w:val="Heading3"/>
        <w:rPr>
          <w:lang w:eastAsia="en-AU"/>
        </w:rPr>
      </w:pPr>
      <w:r>
        <w:rPr>
          <w:lang w:eastAsia="en-AU"/>
        </w:rPr>
        <w:t xml:space="preserve">The provision of the documents are not relevant and will not result in the just resolution of the proceeding as quickly, inexpensively and efficiently as possible and/ or are not significantly </w:t>
      </w:r>
      <w:r w:rsidRPr="008872BC">
        <w:rPr>
          <w:lang w:eastAsia="en-AU"/>
        </w:rPr>
        <w:t>probative in nature</w:t>
      </w:r>
    </w:p>
    <w:p w:rsidR="00C61F01" w:rsidRDefault="004402EC" w:rsidP="004402EC">
      <w:pPr>
        <w:pStyle w:val="ParaNumbering"/>
        <w:numPr>
          <w:ilvl w:val="0"/>
          <w:numId w:val="0"/>
        </w:numPr>
        <w:tabs>
          <w:tab w:val="left" w:pos="720"/>
        </w:tabs>
        <w:ind w:hanging="720"/>
        <w:rPr>
          <w:lang w:eastAsia="en-AU"/>
        </w:rPr>
      </w:pPr>
      <w:r>
        <w:rPr>
          <w:sz w:val="20"/>
          <w:lang w:eastAsia="en-AU"/>
        </w:rPr>
        <w:t>65</w:t>
      </w:r>
      <w:r>
        <w:rPr>
          <w:sz w:val="20"/>
          <w:lang w:eastAsia="en-AU"/>
        </w:rPr>
        <w:tab/>
      </w:r>
      <w:r w:rsidR="00C61F01">
        <w:rPr>
          <w:lang w:eastAsia="en-AU"/>
        </w:rPr>
        <w:t>Documents 1(c), (d), (i), (k), (l), (m), (n) (o), (p), (q), (r) and (s) fall into this category.</w:t>
      </w:r>
    </w:p>
    <w:p w:rsidR="00C61F01" w:rsidRDefault="004402EC" w:rsidP="004402EC">
      <w:pPr>
        <w:pStyle w:val="ParaNumbering"/>
        <w:numPr>
          <w:ilvl w:val="0"/>
          <w:numId w:val="0"/>
        </w:numPr>
        <w:tabs>
          <w:tab w:val="left" w:pos="720"/>
        </w:tabs>
        <w:ind w:hanging="720"/>
      </w:pPr>
      <w:r>
        <w:rPr>
          <w:sz w:val="20"/>
        </w:rPr>
        <w:t>66</w:t>
      </w:r>
      <w:r>
        <w:rPr>
          <w:sz w:val="20"/>
        </w:rPr>
        <w:tab/>
      </w:r>
      <w:r w:rsidR="00C61F01">
        <w:t xml:space="preserve">The defendant submits that document 1(c) </w:t>
      </w:r>
      <w:r w:rsidR="00C61F01" w:rsidRPr="00BD664F">
        <w:t>is not relevant for the following reasons:</w:t>
      </w:r>
      <w:r w:rsidR="00C61F01">
        <w:t xml:space="preserve"> </w:t>
      </w:r>
    </w:p>
    <w:p w:rsidR="00C61F01" w:rsidRDefault="004402EC" w:rsidP="004402EC">
      <w:pPr>
        <w:pStyle w:val="ListNo1alt"/>
        <w:numPr>
          <w:ilvl w:val="0"/>
          <w:numId w:val="0"/>
        </w:numPr>
        <w:tabs>
          <w:tab w:val="left" w:pos="1004"/>
        </w:tabs>
        <w:ind w:left="1004" w:hanging="720"/>
      </w:pPr>
      <w:r>
        <w:t>(a)</w:t>
      </w:r>
      <w:r>
        <w:tab/>
      </w:r>
      <w:r w:rsidR="00C61F01">
        <w:t>T</w:t>
      </w:r>
      <w:r w:rsidR="00C61F01" w:rsidRPr="00BD664F">
        <w:t xml:space="preserve">here is </w:t>
      </w:r>
      <w:r w:rsidR="00C61F01">
        <w:t>no allegation contained in the statement of c</w:t>
      </w:r>
      <w:r w:rsidR="00C61F01" w:rsidRPr="00BD664F">
        <w:t xml:space="preserve">laim that the </w:t>
      </w:r>
      <w:r w:rsidR="00C61F01">
        <w:t>defendant</w:t>
      </w:r>
      <w:r w:rsidR="00C61F01" w:rsidRPr="00BD664F">
        <w:t xml:space="preserve"> executed </w:t>
      </w:r>
      <w:r w:rsidR="00C61F01">
        <w:t>any documents on behalf of Mr Holland</w:t>
      </w:r>
      <w:r w:rsidR="00C61F01" w:rsidRPr="00BD664F">
        <w:t>;</w:t>
      </w:r>
    </w:p>
    <w:p w:rsidR="00C61F01" w:rsidRDefault="004402EC" w:rsidP="004402EC">
      <w:pPr>
        <w:pStyle w:val="ListNo1alt"/>
        <w:numPr>
          <w:ilvl w:val="0"/>
          <w:numId w:val="0"/>
        </w:numPr>
        <w:tabs>
          <w:tab w:val="left" w:pos="1004"/>
        </w:tabs>
        <w:ind w:left="1004" w:hanging="720"/>
      </w:pPr>
      <w:r>
        <w:t>(b)</w:t>
      </w:r>
      <w:r>
        <w:tab/>
      </w:r>
      <w:r w:rsidR="00C61F01">
        <w:t>T</w:t>
      </w:r>
      <w:r w:rsidR="00C61F01" w:rsidRPr="00BD664F">
        <w:t xml:space="preserve">he </w:t>
      </w:r>
      <w:r w:rsidR="00C61F01">
        <w:t>defendant</w:t>
      </w:r>
      <w:r w:rsidR="00C61F01" w:rsidRPr="00BD664F">
        <w:t xml:space="preserve"> does not rely on any document executed using</w:t>
      </w:r>
      <w:r w:rsidR="00C61F01">
        <w:t xml:space="preserve"> a Power of Attorney in defence </w:t>
      </w:r>
      <w:r w:rsidR="00C61F01" w:rsidRPr="00BD664F">
        <w:t xml:space="preserve">of the </w:t>
      </w:r>
      <w:r w:rsidR="00C61F01">
        <w:t>plaintiff</w:t>
      </w:r>
      <w:r w:rsidR="00C61F01" w:rsidRPr="00BD664F">
        <w:t>s’ claim;</w:t>
      </w:r>
    </w:p>
    <w:p w:rsidR="00C61F01" w:rsidRDefault="004402EC" w:rsidP="004402EC">
      <w:pPr>
        <w:pStyle w:val="ListNo1alt"/>
        <w:numPr>
          <w:ilvl w:val="0"/>
          <w:numId w:val="0"/>
        </w:numPr>
        <w:tabs>
          <w:tab w:val="left" w:pos="1004"/>
        </w:tabs>
        <w:ind w:left="1004" w:hanging="720"/>
      </w:pPr>
      <w:r>
        <w:t>(c)</w:t>
      </w:r>
      <w:r>
        <w:tab/>
      </w:r>
      <w:r w:rsidR="00C61F01">
        <w:t>T</w:t>
      </w:r>
      <w:r w:rsidR="00C61F01" w:rsidRPr="00BD664F">
        <w:t xml:space="preserve">here is no evidence to support the </w:t>
      </w:r>
      <w:r w:rsidR="00C61F01">
        <w:t>plaintiff</w:t>
      </w:r>
      <w:r w:rsidR="00C61F01" w:rsidRPr="00BD664F">
        <w:t xml:space="preserve">s’ suspicion that any document was </w:t>
      </w:r>
      <w:r w:rsidR="00C61F01">
        <w:t>executed using a Power of A</w:t>
      </w:r>
      <w:r w:rsidR="00C61F01" w:rsidRPr="00BD664F">
        <w:t xml:space="preserve">ttorney in page 8 of the </w:t>
      </w:r>
      <w:r w:rsidR="00C61F01">
        <w:t>plaintiff</w:t>
      </w:r>
      <w:r w:rsidR="00C61F01" w:rsidRPr="00BD664F">
        <w:t>s’</w:t>
      </w:r>
      <w:r w:rsidR="00C61F01">
        <w:t xml:space="preserve"> submissions; and </w:t>
      </w:r>
    </w:p>
    <w:p w:rsidR="00C61F01" w:rsidRDefault="004402EC" w:rsidP="004402EC">
      <w:pPr>
        <w:pStyle w:val="ListNo1alt"/>
        <w:numPr>
          <w:ilvl w:val="0"/>
          <w:numId w:val="0"/>
        </w:numPr>
        <w:tabs>
          <w:tab w:val="left" w:pos="1004"/>
        </w:tabs>
        <w:ind w:left="1004" w:hanging="720"/>
      </w:pPr>
      <w:r>
        <w:t>(d)</w:t>
      </w:r>
      <w:r>
        <w:tab/>
      </w:r>
      <w:r w:rsidR="00C61F01">
        <w:t>The use or otherwise of a Power of A</w:t>
      </w:r>
      <w:r w:rsidR="00C61F01" w:rsidRPr="00BD664F">
        <w:t>ttorney is not i</w:t>
      </w:r>
      <w:r w:rsidR="00C61F01">
        <w:t>n issue in the proceedings.</w:t>
      </w:r>
    </w:p>
    <w:p w:rsidR="00C61F01" w:rsidRPr="00BD664F" w:rsidRDefault="004402EC" w:rsidP="004402EC">
      <w:pPr>
        <w:pStyle w:val="ParaNumbering"/>
        <w:numPr>
          <w:ilvl w:val="0"/>
          <w:numId w:val="0"/>
        </w:numPr>
        <w:tabs>
          <w:tab w:val="left" w:pos="720"/>
        </w:tabs>
        <w:ind w:hanging="720"/>
      </w:pPr>
      <w:r w:rsidRPr="00BD664F">
        <w:rPr>
          <w:sz w:val="20"/>
        </w:rPr>
        <w:t>67</w:t>
      </w:r>
      <w:r w:rsidRPr="00BD664F">
        <w:rPr>
          <w:sz w:val="20"/>
        </w:rPr>
        <w:tab/>
      </w:r>
      <w:r w:rsidR="00C61F01">
        <w:t xml:space="preserve">The defendant submits that document 1(d) </w:t>
      </w:r>
      <w:r w:rsidR="00C61F01" w:rsidRPr="00BD664F">
        <w:t>is not relevant for the following reasons:</w:t>
      </w:r>
    </w:p>
    <w:p w:rsidR="00C61F01" w:rsidRDefault="004402EC" w:rsidP="004402EC">
      <w:pPr>
        <w:pStyle w:val="ListNo1alt"/>
        <w:numPr>
          <w:ilvl w:val="0"/>
          <w:numId w:val="0"/>
        </w:numPr>
        <w:tabs>
          <w:tab w:val="left" w:pos="1004"/>
        </w:tabs>
        <w:ind w:left="1004" w:hanging="720"/>
      </w:pPr>
      <w:r>
        <w:t>(a)</w:t>
      </w:r>
      <w:r>
        <w:tab/>
      </w:r>
      <w:r w:rsidR="00C61F01">
        <w:t>T</w:t>
      </w:r>
      <w:r w:rsidR="00C61F01" w:rsidRPr="00BD664F">
        <w:t xml:space="preserve">he purpose of </w:t>
      </w:r>
      <w:r w:rsidR="009F659A">
        <w:t>the ‘Declaration of Purpose’</w:t>
      </w:r>
      <w:r w:rsidR="00C61F01" w:rsidRPr="00BD664F">
        <w:t xml:space="preserve"> document is to enable the borrower to declare </w:t>
      </w:r>
      <w:r w:rsidR="00C61F01">
        <w:t xml:space="preserve">to the lender that the facility </w:t>
      </w:r>
      <w:r w:rsidR="00C61F01" w:rsidRPr="00BD664F">
        <w:t xml:space="preserve">is to be applied wholly or predominately for </w:t>
      </w:r>
      <w:r w:rsidR="00C61F01">
        <w:t>business or investment purposes;</w:t>
      </w:r>
    </w:p>
    <w:p w:rsidR="00C61F01" w:rsidRDefault="004402EC" w:rsidP="004402EC">
      <w:pPr>
        <w:pStyle w:val="ListNo1alt"/>
        <w:numPr>
          <w:ilvl w:val="0"/>
          <w:numId w:val="0"/>
        </w:numPr>
        <w:tabs>
          <w:tab w:val="left" w:pos="1004"/>
        </w:tabs>
        <w:ind w:left="1004" w:hanging="720"/>
      </w:pPr>
      <w:r>
        <w:t>(b)</w:t>
      </w:r>
      <w:r>
        <w:tab/>
      </w:r>
      <w:r w:rsidR="00C61F01">
        <w:t>T</w:t>
      </w:r>
      <w:r w:rsidR="00C61F01" w:rsidRPr="00BD664F">
        <w:t xml:space="preserve">he </w:t>
      </w:r>
      <w:r w:rsidR="00C61F01">
        <w:t>document can have no bearing on the question of commission and the plaintiff</w:t>
      </w:r>
      <w:r w:rsidR="00C61F01" w:rsidRPr="00BD664F">
        <w:t xml:space="preserve">s have not explained why that document </w:t>
      </w:r>
      <w:r w:rsidR="00C61F01">
        <w:t>is otherwise relevant; and</w:t>
      </w:r>
    </w:p>
    <w:p w:rsidR="00C61F01" w:rsidRPr="00BD664F" w:rsidRDefault="004402EC" w:rsidP="004402EC">
      <w:pPr>
        <w:pStyle w:val="ListNo1alt"/>
        <w:numPr>
          <w:ilvl w:val="0"/>
          <w:numId w:val="0"/>
        </w:numPr>
        <w:tabs>
          <w:tab w:val="left" w:pos="1004"/>
        </w:tabs>
        <w:ind w:left="1004" w:hanging="720"/>
      </w:pPr>
      <w:r w:rsidRPr="00BD664F">
        <w:t>(c)</w:t>
      </w:r>
      <w:r w:rsidRPr="00BD664F">
        <w:tab/>
      </w:r>
      <w:r w:rsidR="00C61F01">
        <w:t>T</w:t>
      </w:r>
      <w:r w:rsidR="00C61F01" w:rsidRPr="00BD664F">
        <w:t xml:space="preserve">he issue as to whether the </w:t>
      </w:r>
      <w:r w:rsidR="00C61F01">
        <w:t xml:space="preserve">facility </w:t>
      </w:r>
      <w:r w:rsidR="00C61F01" w:rsidRPr="00BD664F">
        <w:t>was for business and investm</w:t>
      </w:r>
      <w:r w:rsidR="00C61F01">
        <w:t xml:space="preserve">ent purposes is not an issue in the </w:t>
      </w:r>
      <w:r w:rsidR="009F659A">
        <w:t xml:space="preserve">pleadings. </w:t>
      </w:r>
    </w:p>
    <w:p w:rsidR="00C61F01" w:rsidRPr="00BD664F" w:rsidRDefault="004402EC" w:rsidP="004402EC">
      <w:pPr>
        <w:pStyle w:val="ParaNumbering"/>
        <w:numPr>
          <w:ilvl w:val="0"/>
          <w:numId w:val="0"/>
        </w:numPr>
        <w:tabs>
          <w:tab w:val="left" w:pos="720"/>
        </w:tabs>
        <w:ind w:hanging="720"/>
      </w:pPr>
      <w:r w:rsidRPr="00BD664F">
        <w:rPr>
          <w:sz w:val="20"/>
        </w:rPr>
        <w:t>68</w:t>
      </w:r>
      <w:r w:rsidRPr="00BD664F">
        <w:rPr>
          <w:sz w:val="20"/>
        </w:rPr>
        <w:tab/>
      </w:r>
      <w:r w:rsidR="00C61F01" w:rsidRPr="00BD664F">
        <w:t>Mr Morrissey has conducted searches and has been unable to locate any of the orig</w:t>
      </w:r>
      <w:r w:rsidR="00C61F01">
        <w:t xml:space="preserve">inal documents executed by Mr Holland in relation to the facility. </w:t>
      </w:r>
    </w:p>
    <w:p w:rsidR="00C61F01" w:rsidRDefault="004402EC" w:rsidP="004402EC">
      <w:pPr>
        <w:pStyle w:val="ParaNumbering"/>
        <w:numPr>
          <w:ilvl w:val="0"/>
          <w:numId w:val="0"/>
        </w:numPr>
        <w:tabs>
          <w:tab w:val="left" w:pos="720"/>
        </w:tabs>
        <w:ind w:hanging="720"/>
      </w:pPr>
      <w:r>
        <w:rPr>
          <w:sz w:val="20"/>
        </w:rPr>
        <w:t>69</w:t>
      </w:r>
      <w:r>
        <w:rPr>
          <w:sz w:val="20"/>
        </w:rPr>
        <w:tab/>
      </w:r>
      <w:r w:rsidR="00C61F01">
        <w:t>In relation to document 1(i), the defendant submits that:</w:t>
      </w:r>
    </w:p>
    <w:p w:rsidR="00C61F01" w:rsidRDefault="004402EC" w:rsidP="004402EC">
      <w:pPr>
        <w:pStyle w:val="ListNo1alt"/>
        <w:numPr>
          <w:ilvl w:val="0"/>
          <w:numId w:val="0"/>
        </w:numPr>
        <w:tabs>
          <w:tab w:val="left" w:pos="1004"/>
        </w:tabs>
        <w:ind w:left="1004" w:hanging="720"/>
      </w:pPr>
      <w:r>
        <w:t>(a)</w:t>
      </w:r>
      <w:r>
        <w:tab/>
      </w:r>
      <w:r w:rsidR="00C61F01">
        <w:t>The plaintiffs’ submission that all of the terms and conditions that have applied to the facility over the previous 24 years are relevant, is not maintainable and will not resolve a matter in issue on the pleadings;</w:t>
      </w:r>
    </w:p>
    <w:p w:rsidR="00C61F01" w:rsidRPr="00BD664F" w:rsidRDefault="004402EC" w:rsidP="004402EC">
      <w:pPr>
        <w:pStyle w:val="ListNo1alt"/>
        <w:numPr>
          <w:ilvl w:val="0"/>
          <w:numId w:val="0"/>
        </w:numPr>
        <w:tabs>
          <w:tab w:val="left" w:pos="1004"/>
        </w:tabs>
        <w:ind w:left="1004" w:hanging="720"/>
      </w:pPr>
      <w:r w:rsidRPr="00BD664F">
        <w:t>(b)</w:t>
      </w:r>
      <w:r w:rsidRPr="00BD664F">
        <w:tab/>
      </w:r>
      <w:r w:rsidR="00C61F01">
        <w:t>T</w:t>
      </w:r>
      <w:r w:rsidR="00C61F01" w:rsidRPr="00BD664F">
        <w:t xml:space="preserve">he </w:t>
      </w:r>
      <w:r w:rsidR="00C61F01">
        <w:t>defendant</w:t>
      </w:r>
      <w:r w:rsidR="00C61F01" w:rsidRPr="00BD664F">
        <w:t xml:space="preserve"> relies on the application documents in use in about 1996/1997, and the margin loan </w:t>
      </w:r>
      <w:r w:rsidR="00C61F01">
        <w:t xml:space="preserve">facility </w:t>
      </w:r>
      <w:r w:rsidR="00C61F01" w:rsidRPr="00BD664F">
        <w:t>terms which applied from May 1</w:t>
      </w:r>
      <w:r w:rsidR="00C61F01">
        <w:t>997,</w:t>
      </w:r>
      <w:r w:rsidR="00C61F01" w:rsidRPr="00BD664F">
        <w:t xml:space="preserve"> in support of its po</w:t>
      </w:r>
      <w:r w:rsidR="00C61F01">
        <w:t>sition that a term relating to c</w:t>
      </w:r>
      <w:r w:rsidR="00C61F01" w:rsidRPr="00BD664F">
        <w:t>ommissio</w:t>
      </w:r>
      <w:r w:rsidR="00C61F01">
        <w:t>n applied to the facility.  The plaintiff</w:t>
      </w:r>
      <w:r w:rsidR="00C61F01" w:rsidRPr="00BD664F">
        <w:t>s deny</w:t>
      </w:r>
      <w:r w:rsidR="00C61F01">
        <w:t xml:space="preserve"> that those terms apply to the facility</w:t>
      </w:r>
      <w:r w:rsidR="00C61F01" w:rsidRPr="00BD664F">
        <w:t xml:space="preserve">. </w:t>
      </w:r>
      <w:r w:rsidR="00C61F01">
        <w:t xml:space="preserve"> </w:t>
      </w:r>
      <w:r w:rsidR="00C61F01" w:rsidRPr="00BD664F">
        <w:t>There is no other dispute as to the terms and c</w:t>
      </w:r>
      <w:r w:rsidR="00C61F01">
        <w:t>onditions which applied to the facility</w:t>
      </w:r>
      <w:r w:rsidR="00C61F01" w:rsidRPr="00BD664F">
        <w:t>, and the provision of other sets of terms and conditions will not res</w:t>
      </w:r>
      <w:r w:rsidR="00C61F01">
        <w:t>olve any issue on the pleadings;</w:t>
      </w:r>
    </w:p>
    <w:p w:rsidR="00C61F01" w:rsidRDefault="004402EC" w:rsidP="004402EC">
      <w:pPr>
        <w:pStyle w:val="ListNo1alt"/>
        <w:numPr>
          <w:ilvl w:val="0"/>
          <w:numId w:val="0"/>
        </w:numPr>
        <w:tabs>
          <w:tab w:val="left" w:pos="1004"/>
        </w:tabs>
        <w:ind w:left="1004" w:hanging="720"/>
      </w:pPr>
      <w:r>
        <w:t>(c)</w:t>
      </w:r>
      <w:r>
        <w:tab/>
      </w:r>
      <w:r w:rsidR="00C61F01">
        <w:t>O</w:t>
      </w:r>
      <w:r w:rsidR="00C61F01" w:rsidRPr="00BD664F">
        <w:t>btaining the last 24 years of terms and conditions is disproportionate to the probative value of t</w:t>
      </w:r>
      <w:r w:rsidR="00C61F01">
        <w:t>hose terms and conditions, and i</w:t>
      </w:r>
      <w:r w:rsidR="00C61F01" w:rsidRPr="00BD664F">
        <w:t>n those circumstances the request for thos</w:t>
      </w:r>
      <w:r w:rsidR="00C61F01">
        <w:t xml:space="preserve">e documents ought to be refused; and </w:t>
      </w:r>
    </w:p>
    <w:p w:rsidR="00C61F01" w:rsidRDefault="004402EC" w:rsidP="004402EC">
      <w:pPr>
        <w:pStyle w:val="ListNo1alt"/>
        <w:numPr>
          <w:ilvl w:val="0"/>
          <w:numId w:val="0"/>
        </w:numPr>
        <w:tabs>
          <w:tab w:val="left" w:pos="1004"/>
        </w:tabs>
        <w:ind w:left="1004" w:hanging="720"/>
      </w:pPr>
      <w:r>
        <w:t>(d)</w:t>
      </w:r>
      <w:r>
        <w:tab/>
      </w:r>
      <w:r w:rsidR="00C61F01">
        <w:t>T</w:t>
      </w:r>
      <w:r w:rsidR="00C61F01" w:rsidRPr="00BD664F">
        <w:t xml:space="preserve">he request appears to be for documents that are not referred to in the pleadings. </w:t>
      </w:r>
    </w:p>
    <w:p w:rsidR="00C61F01" w:rsidRDefault="004402EC" w:rsidP="004402EC">
      <w:pPr>
        <w:pStyle w:val="ParaNumbering"/>
        <w:numPr>
          <w:ilvl w:val="0"/>
          <w:numId w:val="0"/>
        </w:numPr>
        <w:tabs>
          <w:tab w:val="left" w:pos="720"/>
        </w:tabs>
        <w:ind w:hanging="720"/>
      </w:pPr>
      <w:r>
        <w:rPr>
          <w:sz w:val="20"/>
        </w:rPr>
        <w:t>70</w:t>
      </w:r>
      <w:r>
        <w:rPr>
          <w:sz w:val="20"/>
        </w:rPr>
        <w:tab/>
      </w:r>
      <w:r w:rsidR="00C61F01">
        <w:t xml:space="preserve">In relation to documents 1(k), (l), (m), (n), (o) and (p), the defendant submits that: </w:t>
      </w:r>
    </w:p>
    <w:p w:rsidR="00C61F01" w:rsidRPr="00BD664F" w:rsidRDefault="004402EC" w:rsidP="004402EC">
      <w:pPr>
        <w:pStyle w:val="ListNo1alt"/>
        <w:numPr>
          <w:ilvl w:val="0"/>
          <w:numId w:val="0"/>
        </w:numPr>
        <w:tabs>
          <w:tab w:val="left" w:pos="1004"/>
        </w:tabs>
        <w:ind w:left="1004" w:hanging="720"/>
      </w:pPr>
      <w:r w:rsidRPr="00BD664F">
        <w:t>(a)</w:t>
      </w:r>
      <w:r w:rsidRPr="00BD664F">
        <w:tab/>
      </w:r>
      <w:r w:rsidR="00C61F01">
        <w:t>Whether or not the defendant</w:t>
      </w:r>
      <w:r w:rsidR="00C61F01" w:rsidRPr="00BD664F">
        <w:t xml:space="preserve"> c</w:t>
      </w:r>
      <w:r w:rsidR="00C61F01">
        <w:t>orresponded with ASIC or Barton about compliance issues at Barton</w:t>
      </w:r>
      <w:r w:rsidR="00C61F01" w:rsidRPr="00BD664F">
        <w:t xml:space="preserve">, </w:t>
      </w:r>
      <w:r w:rsidR="00C61F01">
        <w:t xml:space="preserve">they </w:t>
      </w:r>
      <w:r w:rsidR="00C61F01" w:rsidRPr="00BD664F">
        <w:t xml:space="preserve">are not relevant to the pleaded claim. </w:t>
      </w:r>
      <w:r w:rsidR="00C61F01">
        <w:t xml:space="preserve"> </w:t>
      </w:r>
      <w:r w:rsidR="00C61F01" w:rsidRPr="00BD664F">
        <w:t xml:space="preserve">The </w:t>
      </w:r>
      <w:r w:rsidR="00C61F01">
        <w:t>plaintiffs’ claim is about the defendant</w:t>
      </w:r>
      <w:r w:rsidR="00C61F01" w:rsidRPr="00BD664F">
        <w:t xml:space="preserve"> paying commission to Barton and Centec allegedl</w:t>
      </w:r>
      <w:r w:rsidR="00C61F01">
        <w:t>y without the knowledge of Mr Holland</w:t>
      </w:r>
      <w:r w:rsidR="00C61F01" w:rsidRPr="00BD664F">
        <w:t xml:space="preserve">. </w:t>
      </w:r>
      <w:r w:rsidR="00C61F01">
        <w:t xml:space="preserve"> </w:t>
      </w:r>
      <w:r w:rsidR="00C61F01" w:rsidRPr="00BD664F">
        <w:t>Issu</w:t>
      </w:r>
      <w:r w:rsidR="00C61F01">
        <w:t xml:space="preserve">es internally at Barton </w:t>
      </w:r>
      <w:r w:rsidR="00C61F01" w:rsidRPr="00BD664F">
        <w:t>ca</w:t>
      </w:r>
      <w:r w:rsidR="00C61F01">
        <w:t>n have no bearing on that issue;</w:t>
      </w:r>
    </w:p>
    <w:p w:rsidR="00C61F01" w:rsidRDefault="004402EC" w:rsidP="004402EC">
      <w:pPr>
        <w:pStyle w:val="ListNo1alt"/>
        <w:numPr>
          <w:ilvl w:val="0"/>
          <w:numId w:val="0"/>
        </w:numPr>
        <w:tabs>
          <w:tab w:val="left" w:pos="1004"/>
        </w:tabs>
        <w:ind w:left="1004" w:hanging="720"/>
      </w:pPr>
      <w:r>
        <w:t>(b)</w:t>
      </w:r>
      <w:r>
        <w:tab/>
      </w:r>
      <w:r w:rsidR="00C61F01">
        <w:t>Th</w:t>
      </w:r>
      <w:r w:rsidR="00C61F01" w:rsidRPr="00BD664F">
        <w:t xml:space="preserve">ere is nothing in the pleaded case that would make the </w:t>
      </w:r>
      <w:r w:rsidR="00C61F01">
        <w:t>defendant</w:t>
      </w:r>
      <w:r w:rsidR="00C61F01" w:rsidRPr="00BD664F">
        <w:t xml:space="preserve">’s communications with ASIC in 1992 or 2002 (even if they existed) about Barton relevant to the issues </w:t>
      </w:r>
      <w:r w:rsidR="00C61F01">
        <w:t>in these proceedings;</w:t>
      </w:r>
    </w:p>
    <w:p w:rsidR="00C61F01" w:rsidRPr="00BD664F" w:rsidRDefault="004402EC" w:rsidP="004402EC">
      <w:pPr>
        <w:pStyle w:val="ListNo1alt"/>
        <w:numPr>
          <w:ilvl w:val="0"/>
          <w:numId w:val="0"/>
        </w:numPr>
        <w:tabs>
          <w:tab w:val="left" w:pos="1004"/>
        </w:tabs>
        <w:ind w:left="1004" w:hanging="720"/>
      </w:pPr>
      <w:r w:rsidRPr="00BD664F">
        <w:t>(c)</w:t>
      </w:r>
      <w:r w:rsidRPr="00BD664F">
        <w:tab/>
      </w:r>
      <w:r w:rsidR="00C61F01">
        <w:t>T</w:t>
      </w:r>
      <w:r w:rsidR="00C61F01" w:rsidRPr="00BD664F">
        <w:t xml:space="preserve">here is no evidence before the Court that the ASIC investigation related to Barton </w:t>
      </w:r>
      <w:r w:rsidR="00C61F01">
        <w:t xml:space="preserve">or Mr </w:t>
      </w:r>
      <w:r w:rsidR="00C61F01" w:rsidRPr="00BD664F">
        <w:t>Bennett allegedly receiving commissions whic</w:t>
      </w:r>
      <w:r w:rsidR="00C61F01">
        <w:t>h they did not disclose to Mr Holland</w:t>
      </w:r>
      <w:r w:rsidR="00C61F01" w:rsidRPr="00BD664F">
        <w:t xml:space="preserve"> (or anyone else) in alleged breach</w:t>
      </w:r>
      <w:r w:rsidR="00C61F01">
        <w:t xml:space="preserve"> of fiduciary duty or otherwise;</w:t>
      </w:r>
    </w:p>
    <w:p w:rsidR="00C61F01" w:rsidRPr="00BD664F" w:rsidRDefault="004402EC" w:rsidP="004402EC">
      <w:pPr>
        <w:pStyle w:val="ListNo1alt"/>
        <w:numPr>
          <w:ilvl w:val="0"/>
          <w:numId w:val="0"/>
        </w:numPr>
        <w:tabs>
          <w:tab w:val="left" w:pos="1004"/>
        </w:tabs>
        <w:ind w:left="1004" w:hanging="720"/>
      </w:pPr>
      <w:r w:rsidRPr="00BD664F">
        <w:t>(d)</w:t>
      </w:r>
      <w:r w:rsidRPr="00BD664F">
        <w:tab/>
      </w:r>
      <w:r w:rsidR="00C61F01">
        <w:t>T</w:t>
      </w:r>
      <w:r w:rsidR="00C61F01" w:rsidRPr="00BD664F">
        <w:t>here is no evidence that would suggest that these documents ex</w:t>
      </w:r>
      <w:r w:rsidR="00C61F01">
        <w:t xml:space="preserve">ist or existed at the relevant </w:t>
      </w:r>
      <w:r w:rsidR="00C61F01" w:rsidRPr="00BD664F">
        <w:t xml:space="preserve">time. </w:t>
      </w:r>
      <w:r w:rsidR="00C61F01">
        <w:t xml:space="preserve"> </w:t>
      </w:r>
      <w:r w:rsidR="00C61F01" w:rsidRPr="00BD664F">
        <w:t>The request is tanta</w:t>
      </w:r>
      <w:r w:rsidR="00C61F01">
        <w:t>mount to a ‘fishing expedition’;</w:t>
      </w:r>
    </w:p>
    <w:p w:rsidR="00C61F01" w:rsidRPr="00BD664F" w:rsidRDefault="004402EC" w:rsidP="004402EC">
      <w:pPr>
        <w:pStyle w:val="ListNo1alt"/>
        <w:numPr>
          <w:ilvl w:val="0"/>
          <w:numId w:val="0"/>
        </w:numPr>
        <w:tabs>
          <w:tab w:val="left" w:pos="1004"/>
        </w:tabs>
        <w:ind w:left="1004" w:hanging="720"/>
      </w:pPr>
      <w:r w:rsidRPr="00BD664F">
        <w:t>(e)</w:t>
      </w:r>
      <w:r w:rsidRPr="00BD664F">
        <w:tab/>
      </w:r>
      <w:r w:rsidR="00C61F01">
        <w:t>C</w:t>
      </w:r>
      <w:r w:rsidR="00C61F01" w:rsidRPr="00BD664F">
        <w:t>ommission paid by th</w:t>
      </w:r>
      <w:r w:rsidR="00C61F01">
        <w:t xml:space="preserve">e defendant in respect of the facility </w:t>
      </w:r>
      <w:r w:rsidR="00C61F01" w:rsidRPr="00BD664F">
        <w:t xml:space="preserve">was not paid to Mr Bennett personally, it was paid to Barton. </w:t>
      </w:r>
      <w:r w:rsidR="00C61F01">
        <w:t xml:space="preserve"> </w:t>
      </w:r>
      <w:r w:rsidR="00C61F01" w:rsidRPr="00BD664F">
        <w:t>It is not a</w:t>
      </w:r>
      <w:r w:rsidR="00C61F01">
        <w:t>pparent why the plaintiff</w:t>
      </w:r>
      <w:r w:rsidR="00C61F01" w:rsidRPr="00BD664F">
        <w:t>s say that any ban on Mr Bennett (assuming that it is the same Mr Bennett that was banned</w:t>
      </w:r>
      <w:r w:rsidR="00C61F01">
        <w:t xml:space="preserve"> by ASIC and assuming that the defendant knew of the ban) put the defendant</w:t>
      </w:r>
      <w:r w:rsidR="00C61F01" w:rsidRPr="00BD664F">
        <w:t xml:space="preserve"> on inquiry that Barton, an entity over which it had no con</w:t>
      </w:r>
      <w:r w:rsidR="00C61F01">
        <w:t>trol, had not disclosed to Mr Holland</w:t>
      </w:r>
      <w:r w:rsidR="00C61F01" w:rsidRPr="00BD664F">
        <w:t xml:space="preserve"> that it was receivin</w:t>
      </w:r>
      <w:r w:rsidR="00C61F01">
        <w:t xml:space="preserve">g commission in respect of the facility, </w:t>
      </w:r>
      <w:r w:rsidR="00C61F01" w:rsidRPr="00BD664F">
        <w:t>nor why or how the requested documents would prove the allegations in paragraph 5</w:t>
      </w:r>
      <w:r w:rsidR="00C61F01">
        <w:t>6(c) and 57(d) of the claim;</w:t>
      </w:r>
    </w:p>
    <w:p w:rsidR="00C61F01" w:rsidRPr="00BD664F" w:rsidRDefault="004402EC" w:rsidP="004402EC">
      <w:pPr>
        <w:pStyle w:val="ListNo1alt"/>
        <w:numPr>
          <w:ilvl w:val="0"/>
          <w:numId w:val="0"/>
        </w:numPr>
        <w:tabs>
          <w:tab w:val="left" w:pos="1004"/>
        </w:tabs>
        <w:ind w:left="1004" w:hanging="720"/>
      </w:pPr>
      <w:r w:rsidRPr="00BD664F">
        <w:t>(f)</w:t>
      </w:r>
      <w:r w:rsidRPr="00BD664F">
        <w:tab/>
      </w:r>
      <w:r w:rsidR="00C61F01">
        <w:t>The plaintiff</w:t>
      </w:r>
      <w:r w:rsidR="00C61F01" w:rsidRPr="00BD664F">
        <w:t xml:space="preserve">s’ submissions appear to be based on supposition that if a compliance lawyer realised certain things about </w:t>
      </w:r>
      <w:r w:rsidR="00C61F01">
        <w:t>Mr</w:t>
      </w:r>
      <w:r w:rsidR="00C61F01" w:rsidRPr="00BD664F">
        <w:t xml:space="preserve"> Bennett’s alleged conduct and notified ASIC, ASIC would in turn notify the </w:t>
      </w:r>
      <w:r w:rsidR="00C61F01">
        <w:t>defendant</w:t>
      </w:r>
      <w:r w:rsidR="00C61F01" w:rsidRPr="00BD664F">
        <w:t xml:space="preserve"> of those matters. </w:t>
      </w:r>
      <w:r w:rsidR="00C61F01">
        <w:t xml:space="preserve"> </w:t>
      </w:r>
      <w:r w:rsidR="00C61F01" w:rsidRPr="00BD664F">
        <w:t>That is highly speculative, without any foundation, not pleaded</w:t>
      </w:r>
      <w:r w:rsidR="00936F53">
        <w:t>,</w:t>
      </w:r>
      <w:r w:rsidR="00C61F01" w:rsidRPr="00BD664F">
        <w:t xml:space="preserve"> and </w:t>
      </w:r>
      <w:r w:rsidR="00C61F01">
        <w:t>should</w:t>
      </w:r>
      <w:r w:rsidR="00C61F01" w:rsidRPr="00BD664F">
        <w:t xml:space="preserve"> not be entertained</w:t>
      </w:r>
      <w:r w:rsidR="00C61F01">
        <w:t>;</w:t>
      </w:r>
    </w:p>
    <w:p w:rsidR="00C61F01" w:rsidRPr="00BD664F" w:rsidRDefault="004402EC" w:rsidP="004402EC">
      <w:pPr>
        <w:pStyle w:val="ListNo1alt"/>
        <w:numPr>
          <w:ilvl w:val="0"/>
          <w:numId w:val="0"/>
        </w:numPr>
        <w:tabs>
          <w:tab w:val="left" w:pos="1004"/>
        </w:tabs>
        <w:ind w:left="1004" w:hanging="720"/>
      </w:pPr>
      <w:r w:rsidRPr="00BD664F">
        <w:t>(g)</w:t>
      </w:r>
      <w:r w:rsidRPr="00BD664F">
        <w:tab/>
      </w:r>
      <w:r w:rsidR="00C61F01">
        <w:t>W</w:t>
      </w:r>
      <w:r w:rsidR="00C61F01" w:rsidRPr="00BD664F">
        <w:t xml:space="preserve">hatever conduct may have been engaged in by Mr Bennett in 2002 that caused ASIC to ban him is of no relevance to the </w:t>
      </w:r>
      <w:r w:rsidR="00C61F01">
        <w:t>facility that was granted by the defendant</w:t>
      </w:r>
      <w:r w:rsidR="00C61F01" w:rsidRPr="00BD664F">
        <w:t xml:space="preserve"> some 5</w:t>
      </w:r>
      <w:r w:rsidR="00C61F01">
        <w:t> </w:t>
      </w:r>
      <w:r w:rsidR="00C61F01" w:rsidRPr="00BD664F">
        <w:t xml:space="preserve">years earlier, nor to the pleaded claim. </w:t>
      </w:r>
      <w:r w:rsidR="00C61F01">
        <w:t xml:space="preserve"> </w:t>
      </w:r>
      <w:r w:rsidR="00C61F01" w:rsidRPr="00BD664F">
        <w:t xml:space="preserve">This is particularly so in circumstances where the </w:t>
      </w:r>
      <w:r w:rsidR="00C61F01">
        <w:t>plaintiff</w:t>
      </w:r>
      <w:r w:rsidR="00C61F01" w:rsidRPr="00BD664F">
        <w:t>s</w:t>
      </w:r>
      <w:r w:rsidR="00C61F01">
        <w:t xml:space="preserve"> have pleaded that neither Mr</w:t>
      </w:r>
      <w:r w:rsidR="00C61F01" w:rsidRPr="00BD664F">
        <w:t xml:space="preserve"> Bennett nor Barton </w:t>
      </w:r>
      <w:r w:rsidR="00C61F01">
        <w:t>sold the facility to Mr Holland;</w:t>
      </w:r>
    </w:p>
    <w:p w:rsidR="00C61F01" w:rsidRDefault="004402EC" w:rsidP="004402EC">
      <w:pPr>
        <w:pStyle w:val="ListNo1alt"/>
        <w:numPr>
          <w:ilvl w:val="0"/>
          <w:numId w:val="0"/>
        </w:numPr>
        <w:tabs>
          <w:tab w:val="left" w:pos="1004"/>
        </w:tabs>
        <w:ind w:left="1004" w:hanging="720"/>
      </w:pPr>
      <w:r>
        <w:t>(h)</w:t>
      </w:r>
      <w:r>
        <w:tab/>
      </w:r>
      <w:r w:rsidR="00C61F01">
        <w:t>E</w:t>
      </w:r>
      <w:r w:rsidR="00C61F01" w:rsidRPr="00BD664F">
        <w:t xml:space="preserve">ven if the </w:t>
      </w:r>
      <w:r w:rsidR="00C61F01">
        <w:t>defendant</w:t>
      </w:r>
      <w:r w:rsidR="00C61F01" w:rsidRPr="00BD664F">
        <w:t xml:space="preserve"> knew (which is not al</w:t>
      </w:r>
      <w:r w:rsidR="00C61F01">
        <w:t xml:space="preserve">leged in the claim) that Barton </w:t>
      </w:r>
      <w:r w:rsidR="00C61F01" w:rsidRPr="00BD664F">
        <w:t>had sought to surrender or did surrender its dealer’s licence in 20</w:t>
      </w:r>
      <w:r w:rsidR="00C61F01">
        <w:t>02, that is not relevant to the plaintiff</w:t>
      </w:r>
      <w:r w:rsidR="00C61F01" w:rsidRPr="00BD664F">
        <w:t xml:space="preserve">s’ allegation that the </w:t>
      </w:r>
      <w:r w:rsidR="00C61F01">
        <w:t>defendant</w:t>
      </w:r>
      <w:r w:rsidR="00C61F01" w:rsidRPr="00BD664F">
        <w:t xml:space="preserve"> was, or ought to have been, aware that B</w:t>
      </w:r>
      <w:r w:rsidR="00C61F01">
        <w:t>arton had not disclosed to Mr Holland</w:t>
      </w:r>
      <w:r w:rsidR="00C61F01" w:rsidRPr="00BD664F">
        <w:t xml:space="preserve"> </w:t>
      </w:r>
      <w:r w:rsidR="00C61F01">
        <w:t>that it had received commission;</w:t>
      </w:r>
      <w:r w:rsidR="00C61F01" w:rsidRPr="008E14EA">
        <w:t xml:space="preserve"> </w:t>
      </w:r>
      <w:r w:rsidR="00C61F01">
        <w:t>and</w:t>
      </w:r>
    </w:p>
    <w:p w:rsidR="00C61F01" w:rsidRDefault="004402EC" w:rsidP="004402EC">
      <w:pPr>
        <w:pStyle w:val="ListNo1alt"/>
        <w:numPr>
          <w:ilvl w:val="0"/>
          <w:numId w:val="0"/>
        </w:numPr>
        <w:tabs>
          <w:tab w:val="left" w:pos="1004"/>
        </w:tabs>
        <w:ind w:left="1004" w:hanging="720"/>
      </w:pPr>
      <w:r>
        <w:t>(i)</w:t>
      </w:r>
      <w:r>
        <w:tab/>
      </w:r>
      <w:r w:rsidR="00C61F01">
        <w:t>A</w:t>
      </w:r>
      <w:r w:rsidR="00C61F01" w:rsidRPr="00BD664F">
        <w:t>n order granting the requests would not facilitate the just resolution of a</w:t>
      </w:r>
      <w:r w:rsidR="00C61F01">
        <w:t xml:space="preserve">ny issue in the proceeding. </w:t>
      </w:r>
    </w:p>
    <w:p w:rsidR="00C61F01" w:rsidRPr="00BD664F" w:rsidRDefault="004402EC" w:rsidP="004402EC">
      <w:pPr>
        <w:pStyle w:val="ParaNumbering"/>
        <w:numPr>
          <w:ilvl w:val="0"/>
          <w:numId w:val="0"/>
        </w:numPr>
        <w:tabs>
          <w:tab w:val="left" w:pos="720"/>
        </w:tabs>
        <w:ind w:hanging="720"/>
      </w:pPr>
      <w:r w:rsidRPr="00BD664F">
        <w:rPr>
          <w:sz w:val="20"/>
        </w:rPr>
        <w:t>71</w:t>
      </w:r>
      <w:r w:rsidRPr="00BD664F">
        <w:rPr>
          <w:sz w:val="20"/>
        </w:rPr>
        <w:tab/>
      </w:r>
      <w:r w:rsidR="00C61F01">
        <w:t xml:space="preserve">In relation to document 1(q), the defendant submits that this category of </w:t>
      </w:r>
      <w:r w:rsidR="00C61F01" w:rsidRPr="00BD664F">
        <w:t>documents is not relevant to the pleaded claim and the production of those documents (should they exist) will not resolve any issue i</w:t>
      </w:r>
      <w:r w:rsidR="00C61F01">
        <w:t xml:space="preserve">n dispute on the pleadings. </w:t>
      </w:r>
    </w:p>
    <w:p w:rsidR="00C61F01" w:rsidRDefault="004402EC" w:rsidP="004402EC">
      <w:pPr>
        <w:pStyle w:val="ParaNumbering"/>
        <w:numPr>
          <w:ilvl w:val="0"/>
          <w:numId w:val="0"/>
        </w:numPr>
        <w:tabs>
          <w:tab w:val="left" w:pos="720"/>
        </w:tabs>
        <w:ind w:hanging="720"/>
      </w:pPr>
      <w:r>
        <w:rPr>
          <w:sz w:val="20"/>
        </w:rPr>
        <w:t>72</w:t>
      </w:r>
      <w:r>
        <w:rPr>
          <w:sz w:val="20"/>
        </w:rPr>
        <w:tab/>
      </w:r>
      <w:r w:rsidR="00C61F01">
        <w:t xml:space="preserve">In relation to document 1(r), the defendant submits that: </w:t>
      </w:r>
    </w:p>
    <w:p w:rsidR="00C61F01" w:rsidRPr="00BD664F" w:rsidRDefault="004402EC" w:rsidP="004402EC">
      <w:pPr>
        <w:pStyle w:val="ListNo1alt"/>
        <w:numPr>
          <w:ilvl w:val="0"/>
          <w:numId w:val="0"/>
        </w:numPr>
        <w:tabs>
          <w:tab w:val="left" w:pos="1004"/>
        </w:tabs>
        <w:ind w:left="1004" w:hanging="720"/>
      </w:pPr>
      <w:r w:rsidRPr="00BD664F">
        <w:t>(a)</w:t>
      </w:r>
      <w:r w:rsidRPr="00BD664F">
        <w:tab/>
      </w:r>
      <w:r w:rsidR="00C61F01">
        <w:t>P</w:t>
      </w:r>
      <w:r w:rsidR="00C61F01" w:rsidRPr="00BD664F">
        <w:t xml:space="preserve">ages 24 - 25 of the </w:t>
      </w:r>
      <w:r w:rsidR="00C61F01">
        <w:t>plaintiffs’ submission</w:t>
      </w:r>
      <w:r w:rsidR="00C61F01" w:rsidRPr="00BD664F">
        <w:t xml:space="preserve">s assert that this category of documents is relevant because “it is likely in addition to any commission assigned to Centec by way of assignment of product sales remuneration </w:t>
      </w:r>
      <w:r w:rsidR="00C61F01">
        <w:t>from other stockbroker(s)”.  There is no pleading to this effect</w:t>
      </w:r>
      <w:r w:rsidR="00C61F01" w:rsidRPr="00BD664F">
        <w:t xml:space="preserve"> </w:t>
      </w:r>
      <w:r w:rsidR="00C61F01">
        <w:t>by the plaintiffs;</w:t>
      </w:r>
    </w:p>
    <w:p w:rsidR="00C61F01" w:rsidRDefault="004402EC" w:rsidP="004402EC">
      <w:pPr>
        <w:pStyle w:val="ListNo1alt"/>
        <w:numPr>
          <w:ilvl w:val="0"/>
          <w:numId w:val="0"/>
        </w:numPr>
        <w:tabs>
          <w:tab w:val="left" w:pos="1004"/>
        </w:tabs>
        <w:ind w:left="1004" w:hanging="720"/>
      </w:pPr>
      <w:r>
        <w:t>(b)</w:t>
      </w:r>
      <w:r>
        <w:tab/>
      </w:r>
      <w:r w:rsidR="00C61F01">
        <w:t>P</w:t>
      </w:r>
      <w:r w:rsidR="00C61F01" w:rsidRPr="00BD664F">
        <w:t xml:space="preserve">aragraph 25 of the </w:t>
      </w:r>
      <w:r w:rsidR="00C61F01">
        <w:t>plaintiff</w:t>
      </w:r>
      <w:r w:rsidR="00C61F01" w:rsidRPr="00BD664F">
        <w:t xml:space="preserve">s’ submissions attempt to justify the request for this category of documents on the basis that “the </w:t>
      </w:r>
      <w:r w:rsidR="00C61F01">
        <w:t>plaintiff</w:t>
      </w:r>
      <w:r w:rsidR="00C61F01" w:rsidRPr="00BD664F">
        <w:t xml:space="preserve"> is not sure that Mr Morrisey [sic] has fully and correctly investigated the issues and interrogated the </w:t>
      </w:r>
      <w:r w:rsidR="00C61F01">
        <w:t>defendant</w:t>
      </w:r>
      <w:r w:rsidR="00C61F01" w:rsidRPr="00BD664F">
        <w:t>’s sy</w:t>
      </w:r>
      <w:r w:rsidR="00C61F01">
        <w:t>stems” and as a result</w:t>
      </w:r>
      <w:r w:rsidR="00936F53">
        <w:t>,</w:t>
      </w:r>
      <w:r w:rsidR="00C61F01">
        <w:t xml:space="preserve"> Mr Holland</w:t>
      </w:r>
      <w:r w:rsidR="00C61F01" w:rsidRPr="00BD664F">
        <w:t xml:space="preserve"> “has concerns that leading</w:t>
      </w:r>
      <w:r w:rsidR="00C61F01">
        <w:t xml:space="preserve"> </w:t>
      </w:r>
      <w:r w:rsidR="00C61F01" w:rsidRPr="00BD664F">
        <w:t>… commission is omitted, deleted or filtered out entirely of the data reported in M</w:t>
      </w:r>
      <w:r w:rsidR="00C61F01">
        <w:t>r Morrissey’s true spreadsheet”;</w:t>
      </w:r>
    </w:p>
    <w:p w:rsidR="00C61F01" w:rsidRPr="00BD664F" w:rsidRDefault="004402EC" w:rsidP="004402EC">
      <w:pPr>
        <w:pStyle w:val="ListNo1alt"/>
        <w:numPr>
          <w:ilvl w:val="0"/>
          <w:numId w:val="0"/>
        </w:numPr>
        <w:tabs>
          <w:tab w:val="left" w:pos="1004"/>
        </w:tabs>
        <w:ind w:left="1004" w:hanging="720"/>
      </w:pPr>
      <w:r w:rsidRPr="00BD664F">
        <w:t>(c)</w:t>
      </w:r>
      <w:r w:rsidRPr="00BD664F">
        <w:tab/>
      </w:r>
      <w:r w:rsidR="00C61F01">
        <w:t>Th</w:t>
      </w:r>
      <w:r w:rsidR="00C61F01" w:rsidRPr="00BD664F">
        <w:t xml:space="preserve">e </w:t>
      </w:r>
      <w:r w:rsidR="00C61F01">
        <w:t>plaintiff</w:t>
      </w:r>
      <w:r w:rsidR="00C61F01" w:rsidRPr="00BD664F">
        <w:t>s’ submissions make it clear that they are seeking this category of documents to find “documents that will agree with or highlight deficiencies in Mr</w:t>
      </w:r>
      <w:r w:rsidR="00C61F01">
        <w:t> </w:t>
      </w:r>
      <w:r w:rsidR="00C61F01" w:rsidRPr="00BD664F">
        <w:t>Morrissey’s numbers, provide a degree of external assurance</w:t>
      </w:r>
      <w:r w:rsidR="00C61F01">
        <w:t xml:space="preserve"> </w:t>
      </w:r>
      <w:r w:rsidR="00C61F01" w:rsidRPr="00BD664F">
        <w:t>…”</w:t>
      </w:r>
      <w:r w:rsidR="00C61F01">
        <w:t xml:space="preserve"> </w:t>
      </w:r>
      <w:r w:rsidR="00C61F01" w:rsidRPr="00BD664F">
        <w:t xml:space="preserve"> It is clear that the request for these documents is a fishing expedit</w:t>
      </w:r>
      <w:r w:rsidR="00C61F01">
        <w:t>ion that should not be permitted;</w:t>
      </w:r>
    </w:p>
    <w:p w:rsidR="00C61F01" w:rsidRDefault="004402EC" w:rsidP="004402EC">
      <w:pPr>
        <w:pStyle w:val="ListNo1alt"/>
        <w:numPr>
          <w:ilvl w:val="0"/>
          <w:numId w:val="0"/>
        </w:numPr>
        <w:tabs>
          <w:tab w:val="left" w:pos="1004"/>
        </w:tabs>
        <w:ind w:left="1004" w:hanging="720"/>
      </w:pPr>
      <w:r>
        <w:t>(d)</w:t>
      </w:r>
      <w:r>
        <w:tab/>
      </w:r>
      <w:r w:rsidR="00C61F01">
        <w:t>T</w:t>
      </w:r>
      <w:r w:rsidR="00C61F01" w:rsidRPr="00BD664F">
        <w:t>here is no basis to suggest that Mr Morrissey’s evid</w:t>
      </w:r>
      <w:r w:rsidR="00C61F01">
        <w:t>ence is incomplete or incorrect;</w:t>
      </w:r>
    </w:p>
    <w:p w:rsidR="00C61F01" w:rsidRDefault="004402EC" w:rsidP="004402EC">
      <w:pPr>
        <w:pStyle w:val="ListNo1alt"/>
        <w:numPr>
          <w:ilvl w:val="0"/>
          <w:numId w:val="0"/>
        </w:numPr>
        <w:tabs>
          <w:tab w:val="left" w:pos="1004"/>
        </w:tabs>
        <w:ind w:left="1004" w:hanging="720"/>
      </w:pPr>
      <w:r>
        <w:t>(e)</w:t>
      </w:r>
      <w:r>
        <w:tab/>
      </w:r>
      <w:r w:rsidR="00C61F01">
        <w:t>W</w:t>
      </w:r>
      <w:r w:rsidR="00C61F01" w:rsidRPr="00BD664F">
        <w:t xml:space="preserve">hilst it is correct that the right to receive commission under an EDA was assignable (noting that this is not pleaded), it is not apparent why, if another entity decided to assign its entitlement to commission to Centec, that would be relevant to the </w:t>
      </w:r>
      <w:r w:rsidR="00C61F01">
        <w:t>plaintiff</w:t>
      </w:r>
      <w:r w:rsidR="00C61F01" w:rsidRPr="00BD664F">
        <w:t xml:space="preserve">s’ claim. </w:t>
      </w:r>
      <w:r w:rsidR="00C61F01">
        <w:t xml:space="preserve"> </w:t>
      </w:r>
      <w:r w:rsidR="00C61F01" w:rsidRPr="00BD664F">
        <w:t>The provision of these documents (if in fact they exist or existed at the time) will not resolve any mat</w:t>
      </w:r>
      <w:r w:rsidR="00C61F01">
        <w:t>ter in dispute on the pleadings; and</w:t>
      </w:r>
    </w:p>
    <w:p w:rsidR="00C61F01" w:rsidRPr="00BD664F" w:rsidRDefault="004402EC" w:rsidP="004402EC">
      <w:pPr>
        <w:pStyle w:val="ListNo1alt"/>
        <w:numPr>
          <w:ilvl w:val="0"/>
          <w:numId w:val="0"/>
        </w:numPr>
        <w:tabs>
          <w:tab w:val="left" w:pos="1004"/>
        </w:tabs>
        <w:ind w:left="1004" w:hanging="720"/>
      </w:pPr>
      <w:r w:rsidRPr="00BD664F">
        <w:t>(f)</w:t>
      </w:r>
      <w:r w:rsidRPr="00BD664F">
        <w:tab/>
      </w:r>
      <w:r w:rsidR="00C61F01">
        <w:t>The request is also</w:t>
      </w:r>
      <w:r w:rsidR="00C61F01" w:rsidRPr="00BD664F">
        <w:t xml:space="preserve"> particularly onerous</w:t>
      </w:r>
      <w:r w:rsidR="00C61F01">
        <w:t xml:space="preserve"> and disproportionate </w:t>
      </w:r>
      <w:r w:rsidR="00C61F01" w:rsidRPr="00BD664F">
        <w:t xml:space="preserve">in </w:t>
      </w:r>
      <w:r w:rsidR="00C61F01">
        <w:t>view</w:t>
      </w:r>
      <w:r w:rsidR="00C61F01" w:rsidRPr="00BD664F">
        <w:t xml:space="preserve"> of the evidence deposed to by Mr Morrissey, given the schedule attached to his affidavit setting out the commission paid records maintained by the </w:t>
      </w:r>
      <w:r w:rsidR="00C61F01">
        <w:t>defendant in respect of the facility</w:t>
      </w:r>
      <w:r w:rsidR="00C61F01" w:rsidRPr="00BD664F">
        <w:t xml:space="preserve">. </w:t>
      </w:r>
    </w:p>
    <w:p w:rsidR="00C61F01" w:rsidRPr="00BD664F" w:rsidRDefault="004402EC" w:rsidP="004402EC">
      <w:pPr>
        <w:pStyle w:val="ParaNumbering"/>
        <w:numPr>
          <w:ilvl w:val="0"/>
          <w:numId w:val="0"/>
        </w:numPr>
        <w:tabs>
          <w:tab w:val="left" w:pos="720"/>
        </w:tabs>
        <w:ind w:hanging="720"/>
      </w:pPr>
      <w:r w:rsidRPr="00BD664F">
        <w:rPr>
          <w:sz w:val="20"/>
        </w:rPr>
        <w:t>73</w:t>
      </w:r>
      <w:r w:rsidRPr="00BD664F">
        <w:rPr>
          <w:sz w:val="20"/>
        </w:rPr>
        <w:tab/>
      </w:r>
      <w:r w:rsidR="00C61F01">
        <w:t xml:space="preserve">In relation to category 1(s), the defendant submits that: </w:t>
      </w:r>
    </w:p>
    <w:p w:rsidR="00C61F01" w:rsidRPr="00DE25A8" w:rsidRDefault="004402EC" w:rsidP="004402EC">
      <w:pPr>
        <w:pStyle w:val="ListNo1alt"/>
        <w:numPr>
          <w:ilvl w:val="0"/>
          <w:numId w:val="0"/>
        </w:numPr>
        <w:tabs>
          <w:tab w:val="left" w:pos="1004"/>
        </w:tabs>
        <w:ind w:left="1004" w:hanging="720"/>
      </w:pPr>
      <w:r w:rsidRPr="00DE25A8">
        <w:t>(a)</w:t>
      </w:r>
      <w:r w:rsidRPr="00DE25A8">
        <w:tab/>
      </w:r>
      <w:r w:rsidR="00C61F01">
        <w:t>Th</w:t>
      </w:r>
      <w:r w:rsidR="00C61F01" w:rsidRPr="00DE25A8">
        <w:t>e claim makes no allegations in relation to Kerry Clough, Diversa</w:t>
      </w:r>
      <w:r w:rsidR="00C61F01">
        <w:t>, and A.C.N. 008 082 157 Pty Ltd,</w:t>
      </w:r>
      <w:r w:rsidR="00C61F01" w:rsidRPr="00DE25A8">
        <w:t xml:space="preserve"> consequently any documents in respect of those entities (should they in fact exist) are </w:t>
      </w:r>
      <w:r w:rsidR="00C61F01">
        <w:t>irrelevant to the pleaded claim;</w:t>
      </w:r>
    </w:p>
    <w:p w:rsidR="00C61F01" w:rsidRDefault="004402EC" w:rsidP="004402EC">
      <w:pPr>
        <w:pStyle w:val="ListNo1alt"/>
        <w:numPr>
          <w:ilvl w:val="0"/>
          <w:numId w:val="0"/>
        </w:numPr>
        <w:tabs>
          <w:tab w:val="left" w:pos="1004"/>
        </w:tabs>
        <w:ind w:left="1004" w:hanging="720"/>
      </w:pPr>
      <w:r>
        <w:t>(b)</w:t>
      </w:r>
      <w:r>
        <w:tab/>
      </w:r>
      <w:r w:rsidR="00C61F01">
        <w:t>T</w:t>
      </w:r>
      <w:r w:rsidR="00C61F01" w:rsidRPr="00BD664F">
        <w:t>he request for documents in respect of “any other entity” is too broad and is</w:t>
      </w:r>
      <w:r w:rsidR="00C61F01">
        <w:t xml:space="preserve"> cle</w:t>
      </w:r>
      <w:r w:rsidR="00936F53">
        <w:t>arly a fishing expedition</w:t>
      </w:r>
      <w:r w:rsidR="00C61F01">
        <w:t>;</w:t>
      </w:r>
    </w:p>
    <w:p w:rsidR="00C61F01" w:rsidRPr="00BD664F" w:rsidRDefault="004402EC" w:rsidP="004402EC">
      <w:pPr>
        <w:pStyle w:val="ListNo1alt"/>
        <w:numPr>
          <w:ilvl w:val="0"/>
          <w:numId w:val="0"/>
        </w:numPr>
        <w:tabs>
          <w:tab w:val="left" w:pos="1004"/>
        </w:tabs>
        <w:ind w:left="1004" w:hanging="720"/>
      </w:pPr>
      <w:r w:rsidRPr="00BD664F">
        <w:t>(c)</w:t>
      </w:r>
      <w:r w:rsidRPr="00BD664F">
        <w:tab/>
      </w:r>
      <w:r w:rsidR="00C61F01">
        <w:t>D</w:t>
      </w:r>
      <w:r w:rsidR="00C61F01" w:rsidRPr="00BD664F">
        <w:t xml:space="preserve">ocuments in relation to the recording of </w:t>
      </w:r>
      <w:r w:rsidR="00C61F01">
        <w:t>Mr Bennett of Barton as Mr Holland’</w:t>
      </w:r>
      <w:r w:rsidR="00C61F01" w:rsidRPr="00BD664F">
        <w:t>s bro</w:t>
      </w:r>
      <w:r w:rsidR="00C61F01">
        <w:t>ker have already been disclosed;</w:t>
      </w:r>
    </w:p>
    <w:p w:rsidR="00C61F01" w:rsidRPr="00BD664F" w:rsidRDefault="004402EC" w:rsidP="004402EC">
      <w:pPr>
        <w:pStyle w:val="ListNo1alt"/>
        <w:numPr>
          <w:ilvl w:val="0"/>
          <w:numId w:val="0"/>
        </w:numPr>
        <w:tabs>
          <w:tab w:val="left" w:pos="1004"/>
        </w:tabs>
        <w:ind w:left="1004" w:hanging="720"/>
      </w:pPr>
      <w:r w:rsidRPr="00BD664F">
        <w:t>(d)</w:t>
      </w:r>
      <w:r w:rsidRPr="00BD664F">
        <w:tab/>
      </w:r>
      <w:r w:rsidR="00C61F01">
        <w:t>I</w:t>
      </w:r>
      <w:r w:rsidR="00C61F01" w:rsidRPr="00BD664F">
        <w:t xml:space="preserve">t is not pleaded that the </w:t>
      </w:r>
      <w:r w:rsidR="00C61F01">
        <w:t>defendant had an obligation to Mr Holland</w:t>
      </w:r>
      <w:r w:rsidR="00C61F01" w:rsidRPr="00BD664F">
        <w:t xml:space="preserve"> to provide</w:t>
      </w:r>
      <w:r w:rsidR="00C61F01">
        <w:t xml:space="preserve"> </w:t>
      </w:r>
      <w:r w:rsidR="00C61F01" w:rsidRPr="00BD664F">
        <w:t xml:space="preserve">him with notice of the change to </w:t>
      </w:r>
      <w:r w:rsidR="00936F53">
        <w:t>any adviser</w:t>
      </w:r>
      <w:r w:rsidR="00C61F01">
        <w:t xml:space="preserve"> recorded on the defendant’s system;</w:t>
      </w:r>
    </w:p>
    <w:p w:rsidR="00C61F01" w:rsidRDefault="004402EC" w:rsidP="004402EC">
      <w:pPr>
        <w:pStyle w:val="ListNo1alt"/>
        <w:numPr>
          <w:ilvl w:val="0"/>
          <w:numId w:val="0"/>
        </w:numPr>
        <w:tabs>
          <w:tab w:val="left" w:pos="1004"/>
        </w:tabs>
        <w:ind w:left="1004" w:hanging="720"/>
      </w:pPr>
      <w:r>
        <w:t>(e)</w:t>
      </w:r>
      <w:r>
        <w:tab/>
      </w:r>
      <w:r w:rsidR="00C61F01">
        <w:t>C</w:t>
      </w:r>
      <w:r w:rsidR="00C61F01" w:rsidRPr="00BD664F">
        <w:t>ommission was paid to t</w:t>
      </w:r>
      <w:r w:rsidR="00936F53">
        <w:t>he entity recorded as the ‘Commission Party’</w:t>
      </w:r>
      <w:r w:rsidR="00C61F01" w:rsidRPr="00BD664F">
        <w:t xml:space="preserve"> in the</w:t>
      </w:r>
      <w:r w:rsidR="00C61F01">
        <w:t xml:space="preserve"> defendant</w:t>
      </w:r>
      <w:r w:rsidR="00C61F01" w:rsidRPr="00BD664F">
        <w:t xml:space="preserve">’s internal records for a particular </w:t>
      </w:r>
      <w:r w:rsidR="00C61F01">
        <w:t>facility</w:t>
      </w:r>
      <w:r w:rsidR="00C61F01" w:rsidRPr="00BD664F">
        <w:t xml:space="preserve">. </w:t>
      </w:r>
      <w:r w:rsidR="00C61F01">
        <w:t xml:space="preserve"> </w:t>
      </w:r>
      <w:r w:rsidR="00C61F01" w:rsidRPr="00BD664F">
        <w:t>There is no basis to suggest</w:t>
      </w:r>
      <w:r w:rsidR="00C61F01">
        <w:t xml:space="preserve"> </w:t>
      </w:r>
      <w:r w:rsidR="00C61F01" w:rsidRPr="00BD664F">
        <w:t>tha</w:t>
      </w:r>
      <w:r w:rsidR="00C61F01">
        <w:t xml:space="preserve">t the recording of a particular </w:t>
      </w:r>
      <w:r w:rsidR="00C61F01" w:rsidRPr="00BD664F">
        <w:t>person a</w:t>
      </w:r>
      <w:r w:rsidR="00936F53">
        <w:t>s broker or advisor</w:t>
      </w:r>
      <w:r w:rsidR="00C61F01" w:rsidRPr="00BD664F">
        <w:t xml:space="preserve"> on the </w:t>
      </w:r>
      <w:r w:rsidR="00C61F01">
        <w:t>defendant</w:t>
      </w:r>
      <w:r w:rsidR="00C61F01" w:rsidRPr="00BD664F">
        <w:t>’s</w:t>
      </w:r>
      <w:r w:rsidR="00C61F01">
        <w:t xml:space="preserve"> </w:t>
      </w:r>
      <w:r w:rsidR="00C61F01" w:rsidRPr="00BD664F">
        <w:t>internal records (rat</w:t>
      </w:r>
      <w:r w:rsidR="00936F53">
        <w:t>her than as a Commission Party</w:t>
      </w:r>
      <w:r w:rsidR="00C61F01" w:rsidRPr="00BD664F">
        <w:t>) has any relevance to the</w:t>
      </w:r>
      <w:r w:rsidR="00C61F01">
        <w:t xml:space="preserve"> </w:t>
      </w:r>
      <w:r w:rsidR="00C61F01" w:rsidRPr="00BD664F">
        <w:t>payment of commission or otherwise to t</w:t>
      </w:r>
      <w:r w:rsidR="00C61F01">
        <w:t xml:space="preserve">he alleged breach of </w:t>
      </w:r>
      <w:r w:rsidR="00C61F01" w:rsidRPr="00BD664F">
        <w:t xml:space="preserve">fiduciary duty, or why the </w:t>
      </w:r>
      <w:r w:rsidR="00C61F01">
        <w:t>defendant</w:t>
      </w:r>
      <w:r w:rsidR="00C61F01" w:rsidRPr="00BD664F">
        <w:t xml:space="preserve"> would be required to obtain </w:t>
      </w:r>
      <w:r w:rsidR="00C61F01">
        <w:t xml:space="preserve">Mr Holland’s consent to </w:t>
      </w:r>
      <w:r w:rsidR="00C61F01" w:rsidRPr="00BD664F">
        <w:t>maintain those records;</w:t>
      </w:r>
      <w:r w:rsidR="00C61F01">
        <w:t xml:space="preserve"> and </w:t>
      </w:r>
    </w:p>
    <w:p w:rsidR="00C61F01" w:rsidRDefault="004402EC" w:rsidP="004402EC">
      <w:pPr>
        <w:pStyle w:val="ListNo1alt"/>
        <w:numPr>
          <w:ilvl w:val="0"/>
          <w:numId w:val="0"/>
        </w:numPr>
        <w:tabs>
          <w:tab w:val="left" w:pos="1004"/>
        </w:tabs>
        <w:ind w:left="1004" w:hanging="720"/>
      </w:pPr>
      <w:r>
        <w:t>(f)</w:t>
      </w:r>
      <w:r>
        <w:tab/>
      </w:r>
      <w:r w:rsidR="00C61F01">
        <w:t>C</w:t>
      </w:r>
      <w:r w:rsidR="00C61F01" w:rsidRPr="00BD664F">
        <w:t>onsequently</w:t>
      </w:r>
      <w:r w:rsidR="00C61F01">
        <w:t>,</w:t>
      </w:r>
      <w:r w:rsidR="00C61F01" w:rsidRPr="00BD664F">
        <w:t xml:space="preserve"> the provision of this category of documents (if in fact they exist or existed at the time) will not facilitate the just resolution of the proceeding as quickly, inexpensively, and efficiently as possible, nor will it resolve a matter in dispute</w:t>
      </w:r>
      <w:r w:rsidR="00C61F01">
        <w:t xml:space="preserve"> on the pleadings. </w:t>
      </w:r>
    </w:p>
    <w:p w:rsidR="00C61F01" w:rsidRPr="0075455C" w:rsidRDefault="00C61F01" w:rsidP="00C61F01">
      <w:pPr>
        <w:pStyle w:val="Heading3"/>
      </w:pPr>
      <w:r w:rsidRPr="0075455C">
        <w:t>Documents that do not exist</w:t>
      </w:r>
    </w:p>
    <w:p w:rsidR="00C61F01" w:rsidRDefault="004402EC" w:rsidP="004402EC">
      <w:pPr>
        <w:pStyle w:val="ParaNumbering"/>
        <w:numPr>
          <w:ilvl w:val="0"/>
          <w:numId w:val="0"/>
        </w:numPr>
        <w:tabs>
          <w:tab w:val="left" w:pos="720"/>
        </w:tabs>
        <w:ind w:hanging="720"/>
      </w:pPr>
      <w:r>
        <w:rPr>
          <w:sz w:val="20"/>
        </w:rPr>
        <w:t>74</w:t>
      </w:r>
      <w:r>
        <w:rPr>
          <w:sz w:val="20"/>
        </w:rPr>
        <w:tab/>
      </w:r>
      <w:r w:rsidR="00C61F01">
        <w:t xml:space="preserve">Documents 1(e), (f) (g) (h), (i) and (j) fall into </w:t>
      </w:r>
      <w:r w:rsidR="00C61F01" w:rsidRPr="0075455C">
        <w:t>this category</w:t>
      </w:r>
      <w:r w:rsidR="00C61F01">
        <w:t xml:space="preserve">. </w:t>
      </w:r>
    </w:p>
    <w:p w:rsidR="00C61F01" w:rsidRPr="00BD664F" w:rsidRDefault="004402EC" w:rsidP="004402EC">
      <w:pPr>
        <w:pStyle w:val="ParaNumbering"/>
        <w:numPr>
          <w:ilvl w:val="0"/>
          <w:numId w:val="0"/>
        </w:numPr>
        <w:tabs>
          <w:tab w:val="left" w:pos="720"/>
        </w:tabs>
        <w:ind w:hanging="720"/>
      </w:pPr>
      <w:r w:rsidRPr="00BD664F">
        <w:rPr>
          <w:sz w:val="20"/>
        </w:rPr>
        <w:t>75</w:t>
      </w:r>
      <w:r w:rsidRPr="00BD664F">
        <w:rPr>
          <w:sz w:val="20"/>
        </w:rPr>
        <w:tab/>
      </w:r>
      <w:r w:rsidR="00C61F01">
        <w:t>In relation to document 1(e), the defendant submits that t</w:t>
      </w:r>
      <w:r w:rsidR="00C61F01" w:rsidRPr="00BD664F">
        <w:t>he reference to</w:t>
      </w:r>
      <w:r w:rsidR="00C61F01">
        <w:t xml:space="preserve"> a “</w:t>
      </w:r>
      <w:r w:rsidR="00C61F01" w:rsidRPr="00BD664F">
        <w:t>margin l</w:t>
      </w:r>
      <w:r w:rsidR="00C61F01">
        <w:t>oan facility agreement” in the defendant</w:t>
      </w:r>
      <w:r w:rsidR="00C61F01" w:rsidRPr="00BD664F">
        <w:t>’s letter is presumably a reference to the terms which generally applied as at May 2021 to margin</w:t>
      </w:r>
      <w:r w:rsidR="00C61F01">
        <w:t xml:space="preserve"> loan facilities held with the defendant</w:t>
      </w:r>
      <w:r w:rsidR="00421412">
        <w:t>,</w:t>
      </w:r>
      <w:r w:rsidR="00C61F01">
        <w:t xml:space="preserve"> rather than a reference to the facility </w:t>
      </w:r>
      <w:r w:rsidR="00C61F01" w:rsidRPr="00BD664F">
        <w:t>itself</w:t>
      </w:r>
      <w:r w:rsidR="00C61F01">
        <w:t>,</w:t>
      </w:r>
      <w:r w:rsidR="00C61F01" w:rsidRPr="00BD664F">
        <w:t xml:space="preserve"> or to a differe</w:t>
      </w:r>
      <w:r w:rsidR="00C61F01">
        <w:t>nt facility agreement that the f</w:t>
      </w:r>
      <w:r w:rsidR="00C61F01" w:rsidRPr="00BD664F">
        <w:t>irst</w:t>
      </w:r>
      <w:r w:rsidR="00421412">
        <w:t xml:space="preserve"> defendant had executed. </w:t>
      </w:r>
      <w:r w:rsidR="00C61F01">
        <w:t xml:space="preserve"> </w:t>
      </w:r>
      <w:r w:rsidR="00C61F01" w:rsidRPr="00BD664F">
        <w:t>There is no allega</w:t>
      </w:r>
      <w:r w:rsidR="00C61F01">
        <w:t>tion in the pleadings that the first defendant</w:t>
      </w:r>
      <w:r w:rsidR="00C61F01" w:rsidRPr="00BD664F">
        <w:t xml:space="preserve"> executed any agreement othe</w:t>
      </w:r>
      <w:r w:rsidR="00C61F01">
        <w:t xml:space="preserve">r than that in </w:t>
      </w:r>
      <w:r w:rsidR="00421412">
        <w:t xml:space="preserve">relation to the facility. </w:t>
      </w:r>
      <w:r w:rsidR="00C61F01">
        <w:t xml:space="preserve"> </w:t>
      </w:r>
      <w:r w:rsidR="00C61F01" w:rsidRPr="00BD664F">
        <w:t xml:space="preserve">There are no other margin lending </w:t>
      </w:r>
      <w:r w:rsidR="00C61F01">
        <w:t xml:space="preserve">facility </w:t>
      </w:r>
      <w:r w:rsidR="00C61F01" w:rsidRPr="00BD664F">
        <w:t xml:space="preserve">agreements executed by </w:t>
      </w:r>
      <w:r w:rsidR="00C61F01">
        <w:t>Mr Holland in the possession of the defendant</w:t>
      </w:r>
      <w:r w:rsidR="00C61F01" w:rsidRPr="00BD664F">
        <w:t xml:space="preserve"> (nor</w:t>
      </w:r>
      <w:r w:rsidR="00C61F01">
        <w:t xml:space="preserve"> does the defendant</w:t>
      </w:r>
      <w:r w:rsidR="00C61F01" w:rsidRPr="00BD664F">
        <w:t xml:space="preserve"> plead that there are any such documents). </w:t>
      </w:r>
      <w:r w:rsidR="00C61F01">
        <w:t xml:space="preserve"> Therefore, there are no Power of A</w:t>
      </w:r>
      <w:r w:rsidR="00C61F01" w:rsidRPr="00BD664F">
        <w:t>ttorney documents (tha</w:t>
      </w:r>
      <w:r w:rsidR="00C61F01">
        <w:t>t are requested at 1(f) of the a</w:t>
      </w:r>
      <w:r w:rsidR="00C61F01" w:rsidRPr="00BD664F">
        <w:t xml:space="preserve">pplication) relevant to the non-existent other ‘executed’ margin lending </w:t>
      </w:r>
      <w:r w:rsidR="00C61F01">
        <w:t>facility agreement.</w:t>
      </w:r>
    </w:p>
    <w:p w:rsidR="00C61F01" w:rsidRPr="00BD664F" w:rsidRDefault="004402EC" w:rsidP="004402EC">
      <w:pPr>
        <w:pStyle w:val="ParaNumbering"/>
        <w:numPr>
          <w:ilvl w:val="0"/>
          <w:numId w:val="0"/>
        </w:numPr>
        <w:tabs>
          <w:tab w:val="left" w:pos="720"/>
        </w:tabs>
        <w:ind w:hanging="720"/>
      </w:pPr>
      <w:r w:rsidRPr="00BD664F">
        <w:rPr>
          <w:sz w:val="20"/>
        </w:rPr>
        <w:t>76</w:t>
      </w:r>
      <w:r w:rsidRPr="00BD664F">
        <w:rPr>
          <w:sz w:val="20"/>
        </w:rPr>
        <w:tab/>
      </w:r>
      <w:r w:rsidR="00C61F01">
        <w:t>In relation to documents 1(g), (h), (i), and (j), the defendants submit that the plaintiff</w:t>
      </w:r>
      <w:r w:rsidR="00C61F01" w:rsidRPr="00BD664F">
        <w:t xml:space="preserve">s appear </w:t>
      </w:r>
      <w:r w:rsidR="00C61F01">
        <w:t xml:space="preserve">to have misunderstood both the defence, and the evidence in Mr </w:t>
      </w:r>
      <w:r w:rsidR="00C61F01" w:rsidRPr="00BD664F">
        <w:t>Morrissey</w:t>
      </w:r>
      <w:r w:rsidR="00C61F01">
        <w:t>’s a</w:t>
      </w:r>
      <w:r w:rsidR="00C61F01" w:rsidRPr="00BD664F">
        <w:t xml:space="preserve">ffidavit. </w:t>
      </w:r>
      <w:r w:rsidR="00C61F01">
        <w:t xml:space="preserve"> </w:t>
      </w:r>
      <w:r w:rsidR="00C61F01" w:rsidRPr="00BD664F">
        <w:t xml:space="preserve">In particular: </w:t>
      </w:r>
    </w:p>
    <w:p w:rsidR="00C61F01" w:rsidRDefault="004402EC" w:rsidP="004402EC">
      <w:pPr>
        <w:pStyle w:val="ListNo1alt"/>
        <w:numPr>
          <w:ilvl w:val="0"/>
          <w:numId w:val="0"/>
        </w:numPr>
        <w:tabs>
          <w:tab w:val="left" w:pos="1004"/>
        </w:tabs>
        <w:ind w:left="1004" w:hanging="720"/>
      </w:pPr>
      <w:r>
        <w:t>(a)</w:t>
      </w:r>
      <w:r>
        <w:tab/>
      </w:r>
      <w:r w:rsidR="00C61F01">
        <w:t>Th</w:t>
      </w:r>
      <w:r w:rsidR="00C61F01" w:rsidRPr="00BD664F">
        <w:t xml:space="preserve">e </w:t>
      </w:r>
      <w:r w:rsidR="00C61F01">
        <w:t>defendant</w:t>
      </w:r>
      <w:r w:rsidR="00C61F01" w:rsidRPr="00BD664F">
        <w:t xml:space="preserve"> pleads that </w:t>
      </w:r>
      <w:r w:rsidR="00C61F01" w:rsidRPr="00B77A23">
        <w:t xml:space="preserve">the </w:t>
      </w:r>
      <w:r w:rsidR="00421412">
        <w:t>‘</w:t>
      </w:r>
      <w:r w:rsidR="00C61F01" w:rsidRPr="00B77A23">
        <w:t>BT Margin Lending Terms and Conditions</w:t>
      </w:r>
      <w:r w:rsidR="00421412">
        <w:t>’</w:t>
      </w:r>
      <w:r w:rsidR="00C61F01" w:rsidRPr="00B77A23">
        <w:t xml:space="preserve"> (</w:t>
      </w:r>
      <w:r w:rsidR="00C61F01" w:rsidRPr="0009206B">
        <w:rPr>
          <w:b/>
          <w:bCs/>
        </w:rPr>
        <w:t>May 1997</w:t>
      </w:r>
      <w:r w:rsidR="00C61F01" w:rsidRPr="0009206B">
        <w:rPr>
          <w:b/>
        </w:rPr>
        <w:t xml:space="preserve"> </w:t>
      </w:r>
      <w:r w:rsidR="00C61F01" w:rsidRPr="0009206B">
        <w:rPr>
          <w:b/>
          <w:bCs/>
        </w:rPr>
        <w:t>Terms</w:t>
      </w:r>
      <w:r w:rsidR="00C61F01" w:rsidRPr="00B77A23">
        <w:t xml:space="preserve">) applied to the </w:t>
      </w:r>
      <w:r w:rsidR="00C61F01">
        <w:t>f</w:t>
      </w:r>
      <w:r w:rsidR="00C61F01" w:rsidRPr="00B77A23">
        <w:t>acility</w:t>
      </w:r>
      <w:r w:rsidR="00C61F01">
        <w:t>;</w:t>
      </w:r>
    </w:p>
    <w:p w:rsidR="00C61F01" w:rsidRDefault="004402EC" w:rsidP="004402EC">
      <w:pPr>
        <w:pStyle w:val="ListNo1alt"/>
        <w:numPr>
          <w:ilvl w:val="0"/>
          <w:numId w:val="0"/>
        </w:numPr>
        <w:tabs>
          <w:tab w:val="left" w:pos="1004"/>
        </w:tabs>
        <w:ind w:left="1004" w:hanging="720"/>
      </w:pPr>
      <w:r>
        <w:t>(b)</w:t>
      </w:r>
      <w:r>
        <w:tab/>
      </w:r>
      <w:r w:rsidR="00C61F01" w:rsidRPr="00BD664F">
        <w:t xml:space="preserve">Mr Morrissey deposes that based on his enquiries, the May 1997 Terms were used from about May 1997 for margin lending facilities and that based on his experience as to how the </w:t>
      </w:r>
      <w:r w:rsidR="00C61F01">
        <w:t>defendant</w:t>
      </w:r>
      <w:r w:rsidR="00C61F01" w:rsidRPr="00BD664F">
        <w:t xml:space="preserve"> updates i</w:t>
      </w:r>
      <w:r w:rsidR="00C61F01">
        <w:t>ts terms, he expected that the defendant</w:t>
      </w:r>
      <w:r w:rsidR="00C61F01" w:rsidRPr="00BD664F">
        <w:t xml:space="preserve"> sent the May 1997 Terms to customers with existi</w:t>
      </w:r>
      <w:r w:rsidR="00C61F01">
        <w:t>ng facilities in about May 1997;</w:t>
      </w:r>
    </w:p>
    <w:p w:rsidR="00C61F01" w:rsidRPr="00BD664F" w:rsidRDefault="004402EC" w:rsidP="004402EC">
      <w:pPr>
        <w:pStyle w:val="ListNo1alt"/>
        <w:numPr>
          <w:ilvl w:val="0"/>
          <w:numId w:val="0"/>
        </w:numPr>
        <w:tabs>
          <w:tab w:val="left" w:pos="1004"/>
        </w:tabs>
        <w:ind w:left="1004" w:hanging="720"/>
      </w:pPr>
      <w:r w:rsidRPr="00BD664F">
        <w:t>(c)</w:t>
      </w:r>
      <w:r w:rsidRPr="00BD664F">
        <w:tab/>
      </w:r>
      <w:r w:rsidR="00C61F01">
        <w:t>The defendant</w:t>
      </w:r>
      <w:r w:rsidR="00C61F01" w:rsidRPr="00BD664F">
        <w:t xml:space="preserve"> has not pleaded or filed evidence that the May 199</w:t>
      </w:r>
      <w:r w:rsidR="00C61F01">
        <w:t xml:space="preserve">7 Terms applied to the facility </w:t>
      </w:r>
      <w:r w:rsidR="00C61F01" w:rsidRPr="00BD664F">
        <w:t xml:space="preserve">by reason </w:t>
      </w:r>
      <w:r w:rsidR="00C61F01">
        <w:t>of having been executed by the defendant</w:t>
      </w:r>
      <w:r w:rsidR="00C87411">
        <w:t xml:space="preserve"> using a P</w:t>
      </w:r>
      <w:r w:rsidR="00C61F01" w:rsidRPr="00BD664F">
        <w:t>o</w:t>
      </w:r>
      <w:r w:rsidR="00C87411">
        <w:t>wer of A</w:t>
      </w:r>
      <w:r w:rsidR="00C61F01">
        <w:t>ttorney (or otherwise);</w:t>
      </w:r>
    </w:p>
    <w:p w:rsidR="00C61F01" w:rsidRPr="00BD664F" w:rsidRDefault="004402EC" w:rsidP="004402EC">
      <w:pPr>
        <w:pStyle w:val="ListNo1alt"/>
        <w:numPr>
          <w:ilvl w:val="0"/>
          <w:numId w:val="0"/>
        </w:numPr>
        <w:tabs>
          <w:tab w:val="left" w:pos="1004"/>
        </w:tabs>
        <w:ind w:left="1004" w:hanging="720"/>
      </w:pPr>
      <w:r w:rsidRPr="00BD664F">
        <w:t>(d)</w:t>
      </w:r>
      <w:r w:rsidRPr="00BD664F">
        <w:tab/>
      </w:r>
      <w:r w:rsidR="00C61F01">
        <w:t>T</w:t>
      </w:r>
      <w:r w:rsidR="00C61F01" w:rsidRPr="00BD664F">
        <w:t>he existence of an ‘executed’ version of those terms is not in issue;</w:t>
      </w:r>
      <w:r w:rsidR="00C61F01">
        <w:t xml:space="preserve"> and</w:t>
      </w:r>
    </w:p>
    <w:p w:rsidR="00C61F01" w:rsidRDefault="004402EC" w:rsidP="004402EC">
      <w:pPr>
        <w:pStyle w:val="ListNo1alt"/>
        <w:numPr>
          <w:ilvl w:val="0"/>
          <w:numId w:val="0"/>
        </w:numPr>
        <w:tabs>
          <w:tab w:val="left" w:pos="1004"/>
        </w:tabs>
        <w:ind w:left="1004" w:hanging="720"/>
      </w:pPr>
      <w:r>
        <w:t>(e)</w:t>
      </w:r>
      <w:r>
        <w:tab/>
      </w:r>
      <w:r w:rsidR="00C61F01">
        <w:t>It is the defe</w:t>
      </w:r>
      <w:r w:rsidR="00C87411">
        <w:t>ndant’s case that the May 1997 T</w:t>
      </w:r>
      <w:r w:rsidR="00C61F01" w:rsidRPr="00BD664F">
        <w:t xml:space="preserve">erms </w:t>
      </w:r>
      <w:r w:rsidR="00C61F01">
        <w:t xml:space="preserve">applied to the facility </w:t>
      </w:r>
      <w:r w:rsidR="00C61F01" w:rsidRPr="00BD664F">
        <w:t>on the basis tha</w:t>
      </w:r>
      <w:r w:rsidR="00C61F01">
        <w:t>t they were likely sent to Mr Holland in about May 1997</w:t>
      </w:r>
      <w:r w:rsidR="00C61F01" w:rsidRPr="00BD664F">
        <w:t>.</w:t>
      </w:r>
    </w:p>
    <w:p w:rsidR="00C61F01" w:rsidRDefault="004402EC" w:rsidP="004402EC">
      <w:pPr>
        <w:pStyle w:val="ParaNumbering"/>
        <w:numPr>
          <w:ilvl w:val="0"/>
          <w:numId w:val="0"/>
        </w:numPr>
        <w:tabs>
          <w:tab w:val="left" w:pos="720"/>
        </w:tabs>
        <w:ind w:hanging="720"/>
      </w:pPr>
      <w:r>
        <w:rPr>
          <w:sz w:val="20"/>
        </w:rPr>
        <w:t>77</w:t>
      </w:r>
      <w:r>
        <w:rPr>
          <w:sz w:val="20"/>
        </w:rPr>
        <w:tab/>
      </w:r>
      <w:r w:rsidR="00C61F01">
        <w:t>The defendant also submits that t</w:t>
      </w:r>
      <w:r w:rsidR="00C61F01" w:rsidRPr="00BD664F">
        <w:t>he existence of an ‘exe</w:t>
      </w:r>
      <w:r w:rsidR="00C61F01">
        <w:t xml:space="preserve">cuted’ version of the May 1997 Terms and any Power of Attorney used to </w:t>
      </w:r>
      <w:r w:rsidR="00C61F01" w:rsidRPr="00BD664F">
        <w:t>execute i</w:t>
      </w:r>
      <w:r w:rsidR="00C61F01">
        <w:t>s unfounded speculation by Mr Holland.</w:t>
      </w:r>
    </w:p>
    <w:p w:rsidR="00C61F01" w:rsidRPr="002C4586" w:rsidRDefault="004402EC" w:rsidP="004402EC">
      <w:pPr>
        <w:pStyle w:val="ParaNumbering"/>
        <w:numPr>
          <w:ilvl w:val="0"/>
          <w:numId w:val="0"/>
        </w:numPr>
        <w:tabs>
          <w:tab w:val="left" w:pos="720"/>
        </w:tabs>
        <w:ind w:hanging="720"/>
      </w:pPr>
      <w:r w:rsidRPr="002C4586">
        <w:rPr>
          <w:sz w:val="20"/>
        </w:rPr>
        <w:t>78</w:t>
      </w:r>
      <w:r w:rsidRPr="002C4586">
        <w:rPr>
          <w:sz w:val="20"/>
        </w:rPr>
        <w:tab/>
      </w:r>
      <w:r w:rsidR="00C61F01" w:rsidRPr="00BD664F">
        <w:t xml:space="preserve">In </w:t>
      </w:r>
      <w:r w:rsidR="00C61F01">
        <w:t xml:space="preserve">relation to document 1(g), the May 1997 Terms </w:t>
      </w:r>
      <w:r w:rsidR="00C87411">
        <w:t>are included in exhibit</w:t>
      </w:r>
      <w:r w:rsidR="00C61F01" w:rsidRPr="00BD664F">
        <w:t xml:space="preserve"> DMM-2 t</w:t>
      </w:r>
      <w:r w:rsidR="00C87411">
        <w:t>o the Morrissey affidavit</w:t>
      </w:r>
      <w:r w:rsidR="00C61F01">
        <w:t xml:space="preserve">.  Similarly, </w:t>
      </w:r>
      <w:r w:rsidR="00C61F01" w:rsidRPr="00BD664F">
        <w:t xml:space="preserve">in relation to </w:t>
      </w:r>
      <w:r w:rsidR="00C61F01">
        <w:t>document 1(i)</w:t>
      </w:r>
      <w:r w:rsidR="00C61F01" w:rsidRPr="00BD664F">
        <w:t xml:space="preserve">, </w:t>
      </w:r>
      <w:r w:rsidR="00C61F01">
        <w:t xml:space="preserve">the defendant submits that </w:t>
      </w:r>
      <w:r w:rsidR="00C61F01" w:rsidRPr="00BD664F">
        <w:t>there are no</w:t>
      </w:r>
      <w:r w:rsidR="00C61F01" w:rsidRPr="003439C4">
        <w:t xml:space="preserve"> </w:t>
      </w:r>
      <w:r w:rsidR="00C61F01" w:rsidRPr="003439C4">
        <w:rPr>
          <w:iCs/>
        </w:rPr>
        <w:t>executed</w:t>
      </w:r>
      <w:r w:rsidR="00C61F01" w:rsidRPr="00BD664F">
        <w:rPr>
          <w:i/>
          <w:iCs/>
        </w:rPr>
        <w:t xml:space="preserve"> </w:t>
      </w:r>
      <w:r w:rsidR="00C61F01" w:rsidRPr="00BD664F">
        <w:t>“</w:t>
      </w:r>
      <w:r w:rsidR="00C61F01">
        <w:t>other” terms as alleged in the plaintiff</w:t>
      </w:r>
      <w:r w:rsidR="00C61F01" w:rsidRPr="00BD664F">
        <w:t>s’ submissions, nor is there any pleading that such</w:t>
      </w:r>
      <w:r w:rsidR="00C61F01" w:rsidRPr="00BD664F">
        <w:rPr>
          <w:i/>
          <w:iCs/>
        </w:rPr>
        <w:t xml:space="preserve"> </w:t>
      </w:r>
      <w:r w:rsidR="00C61F01" w:rsidRPr="00BD664F">
        <w:t xml:space="preserve">terms exist. </w:t>
      </w:r>
    </w:p>
    <w:p w:rsidR="00C61F01" w:rsidRDefault="004402EC" w:rsidP="004402EC">
      <w:pPr>
        <w:pStyle w:val="ParaNumbering"/>
        <w:numPr>
          <w:ilvl w:val="0"/>
          <w:numId w:val="0"/>
        </w:numPr>
        <w:tabs>
          <w:tab w:val="left" w:pos="720"/>
        </w:tabs>
        <w:ind w:hanging="720"/>
      </w:pPr>
      <w:r>
        <w:rPr>
          <w:sz w:val="20"/>
        </w:rPr>
        <w:t>79</w:t>
      </w:r>
      <w:r>
        <w:rPr>
          <w:sz w:val="20"/>
        </w:rPr>
        <w:tab/>
      </w:r>
      <w:r w:rsidR="00C61F01">
        <w:t>In relation to category 1(</w:t>
      </w:r>
      <w:r w:rsidR="00C87411">
        <w:t>j), the defendant submits that:</w:t>
      </w:r>
    </w:p>
    <w:p w:rsidR="00C61F01" w:rsidRDefault="004402EC" w:rsidP="004402EC">
      <w:pPr>
        <w:pStyle w:val="ListNo1alt"/>
        <w:numPr>
          <w:ilvl w:val="0"/>
          <w:numId w:val="0"/>
        </w:numPr>
        <w:tabs>
          <w:tab w:val="left" w:pos="1004"/>
        </w:tabs>
        <w:ind w:left="1004" w:hanging="720"/>
      </w:pPr>
      <w:r>
        <w:t>(a)</w:t>
      </w:r>
      <w:r>
        <w:tab/>
      </w:r>
      <w:r w:rsidR="00C61F01">
        <w:t>T</w:t>
      </w:r>
      <w:r w:rsidR="00C61F01" w:rsidRPr="00BD664F">
        <w:t>he request appears to be based on speculation that becau</w:t>
      </w:r>
      <w:r w:rsidR="00C61F01">
        <w:t>se Mr Holland</w:t>
      </w:r>
      <w:r w:rsidR="00C61F01" w:rsidRPr="00BD664F">
        <w:t xml:space="preserve"> did not execute any other loan documents, any ot</w:t>
      </w:r>
      <w:r w:rsidR="00C61F01">
        <w:t>her terms said to apply to the facility must have been executed by the defendant on his behalf, using a Power of A</w:t>
      </w:r>
      <w:r w:rsidR="00C61F01" w:rsidRPr="00BD664F">
        <w:t>ttorney;</w:t>
      </w:r>
      <w:r w:rsidR="00C61F01">
        <w:t xml:space="preserve"> and </w:t>
      </w:r>
    </w:p>
    <w:p w:rsidR="00C61F01" w:rsidRDefault="004402EC" w:rsidP="004402EC">
      <w:pPr>
        <w:pStyle w:val="ListNo1alt"/>
        <w:numPr>
          <w:ilvl w:val="0"/>
          <w:numId w:val="0"/>
        </w:numPr>
        <w:tabs>
          <w:tab w:val="left" w:pos="1004"/>
        </w:tabs>
        <w:ind w:left="1004" w:hanging="720"/>
      </w:pPr>
      <w:r>
        <w:t>(b)</w:t>
      </w:r>
      <w:r>
        <w:tab/>
      </w:r>
      <w:r w:rsidR="00C61F01">
        <w:t xml:space="preserve">No </w:t>
      </w:r>
      <w:r w:rsidR="00C61F01" w:rsidRPr="00BD664F">
        <w:t>party alleges that any document was exec</w:t>
      </w:r>
      <w:r w:rsidR="00C61F01">
        <w:t>uted under a Power of Attorney.</w:t>
      </w:r>
    </w:p>
    <w:p w:rsidR="00C61F01" w:rsidRDefault="00C61F01" w:rsidP="00C61F01">
      <w:pPr>
        <w:pStyle w:val="Heading2"/>
      </w:pPr>
      <w:r>
        <w:t>Consideration</w:t>
      </w:r>
    </w:p>
    <w:p w:rsidR="00C61F01" w:rsidRDefault="00C61F01" w:rsidP="00C61F01">
      <w:pPr>
        <w:pStyle w:val="Heading3"/>
      </w:pPr>
      <w:r w:rsidRPr="00B84102">
        <w:t xml:space="preserve">Documents that are </w:t>
      </w:r>
      <w:r>
        <w:t>relevant, but no longer in the defendant’s possession or the d</w:t>
      </w:r>
      <w:r w:rsidRPr="00B84102">
        <w:t>efendant has been unable to locate</w:t>
      </w:r>
    </w:p>
    <w:p w:rsidR="00C61F01" w:rsidRDefault="00C61F01" w:rsidP="00C61F01">
      <w:pPr>
        <w:pStyle w:val="Heading4"/>
      </w:pPr>
      <w:r w:rsidRPr="001F20E0">
        <w:t xml:space="preserve">Documents 1(a), (b), </w:t>
      </w:r>
      <w:r>
        <w:t xml:space="preserve">(g) </w:t>
      </w:r>
      <w:r w:rsidRPr="001F20E0">
        <w:t>and (q)</w:t>
      </w:r>
    </w:p>
    <w:p w:rsidR="00C61F01" w:rsidRPr="008224BB" w:rsidRDefault="004402EC" w:rsidP="004402EC">
      <w:pPr>
        <w:pStyle w:val="ParaNumbering"/>
        <w:numPr>
          <w:ilvl w:val="0"/>
          <w:numId w:val="0"/>
        </w:numPr>
        <w:tabs>
          <w:tab w:val="left" w:pos="720"/>
        </w:tabs>
        <w:ind w:hanging="720"/>
      </w:pPr>
      <w:r w:rsidRPr="008224BB">
        <w:rPr>
          <w:sz w:val="20"/>
        </w:rPr>
        <w:t>80</w:t>
      </w:r>
      <w:r w:rsidRPr="008224BB">
        <w:rPr>
          <w:sz w:val="20"/>
        </w:rPr>
        <w:tab/>
      </w:r>
      <w:r w:rsidR="00C61F01">
        <w:t xml:space="preserve">The defendant discovered and produced the 2021 document to the plaintiffs.  </w:t>
      </w:r>
      <w:r w:rsidR="00C61F01">
        <w:rPr>
          <w:szCs w:val="24"/>
        </w:rPr>
        <w:t>After due search and inquiry, the defendant was unable to locate any other</w:t>
      </w:r>
      <w:r w:rsidR="00C61F01" w:rsidRPr="008224BB">
        <w:rPr>
          <w:szCs w:val="24"/>
        </w:rPr>
        <w:t xml:space="preserve"> documents </w:t>
      </w:r>
      <w:r w:rsidR="00C61F01">
        <w:rPr>
          <w:szCs w:val="24"/>
        </w:rPr>
        <w:t>of this category</w:t>
      </w:r>
      <w:r w:rsidR="00C61F01" w:rsidRPr="008224BB">
        <w:rPr>
          <w:szCs w:val="24"/>
        </w:rPr>
        <w:t xml:space="preserve"> and </w:t>
      </w:r>
      <w:r w:rsidR="00C61F01">
        <w:rPr>
          <w:szCs w:val="24"/>
        </w:rPr>
        <w:t xml:space="preserve">Mr Morrissey has </w:t>
      </w:r>
      <w:r w:rsidR="00C61F01" w:rsidRPr="008224BB">
        <w:rPr>
          <w:szCs w:val="24"/>
        </w:rPr>
        <w:t xml:space="preserve">deposed that they do not exist. </w:t>
      </w:r>
      <w:r w:rsidR="00C61F01">
        <w:rPr>
          <w:szCs w:val="24"/>
        </w:rPr>
        <w:t xml:space="preserve"> The plaintiffs have not elected to cross-examine Mr Morrissey on his affidavit for the purpose of the interlocutory application.  </w:t>
      </w:r>
      <w:r w:rsidR="00C61F01">
        <w:t xml:space="preserve">The plaintiffs may challenge the credibility or reliability of Mr Morrissey’s affidavit at trial but in the circumstances nothing can be gained by making any further orders for discovery. </w:t>
      </w:r>
    </w:p>
    <w:p w:rsidR="00C61F01" w:rsidRDefault="00C61F01" w:rsidP="00C61F01">
      <w:pPr>
        <w:pStyle w:val="Heading3"/>
      </w:pPr>
      <w:r w:rsidRPr="0076737D">
        <w:t>The provision of the documents are not relevant and will not result in the just resolution of the proceeding as quickly, inexpensively and efficiently as possible and/ or are not significantly probative in nature</w:t>
      </w:r>
    </w:p>
    <w:p w:rsidR="00C61F01" w:rsidRDefault="00C61F01" w:rsidP="00C61F01">
      <w:pPr>
        <w:pStyle w:val="Heading4"/>
        <w:rPr>
          <w:lang w:eastAsia="en-AU"/>
        </w:rPr>
      </w:pPr>
      <w:r>
        <w:rPr>
          <w:lang w:eastAsia="en-AU"/>
        </w:rPr>
        <w:t>Documents 1(c), (d), (i), (k), (l), (m), (n) (o), (p), (q), (r) and (s)</w:t>
      </w:r>
    </w:p>
    <w:p w:rsidR="00C61F01" w:rsidRPr="0076737D" w:rsidRDefault="004402EC" w:rsidP="004402EC">
      <w:pPr>
        <w:pStyle w:val="ParaNumbering"/>
        <w:numPr>
          <w:ilvl w:val="0"/>
          <w:numId w:val="0"/>
        </w:numPr>
        <w:tabs>
          <w:tab w:val="left" w:pos="720"/>
        </w:tabs>
        <w:ind w:hanging="720"/>
        <w:rPr>
          <w:lang w:eastAsia="en-AU"/>
        </w:rPr>
      </w:pPr>
      <w:r w:rsidRPr="0076737D">
        <w:rPr>
          <w:sz w:val="20"/>
          <w:lang w:eastAsia="en-AU"/>
        </w:rPr>
        <w:t>81</w:t>
      </w:r>
      <w:r w:rsidRPr="0076737D">
        <w:rPr>
          <w:sz w:val="20"/>
          <w:lang w:eastAsia="en-AU"/>
        </w:rPr>
        <w:tab/>
      </w:r>
      <w:r w:rsidR="00C61F01">
        <w:rPr>
          <w:lang w:eastAsia="en-AU"/>
        </w:rPr>
        <w:t xml:space="preserve">None of the criteria for direct relevance are satisfied. </w:t>
      </w:r>
    </w:p>
    <w:p w:rsidR="00C61F01" w:rsidRDefault="00C61F01" w:rsidP="00C61F01">
      <w:pPr>
        <w:pStyle w:val="Heading3"/>
      </w:pPr>
      <w:r w:rsidRPr="0075455C">
        <w:t>Documents that do not exist</w:t>
      </w:r>
    </w:p>
    <w:p w:rsidR="00C61F01" w:rsidRPr="002E6D10" w:rsidRDefault="00C61F01" w:rsidP="00C61F01">
      <w:pPr>
        <w:pStyle w:val="Heading4"/>
      </w:pPr>
      <w:r w:rsidRPr="002E6D10">
        <w:t xml:space="preserve">Documents 1(e), (f) (g) (h), (i) and (j) </w:t>
      </w:r>
    </w:p>
    <w:p w:rsidR="00C61F01" w:rsidRPr="00E85847" w:rsidRDefault="004402EC" w:rsidP="004402EC">
      <w:pPr>
        <w:pStyle w:val="ParaNumbering"/>
        <w:numPr>
          <w:ilvl w:val="0"/>
          <w:numId w:val="0"/>
        </w:numPr>
        <w:tabs>
          <w:tab w:val="left" w:pos="720"/>
        </w:tabs>
        <w:ind w:hanging="720"/>
        <w:rPr>
          <w:i/>
          <w:szCs w:val="24"/>
        </w:rPr>
      </w:pPr>
      <w:r w:rsidRPr="00E85847">
        <w:rPr>
          <w:sz w:val="20"/>
          <w:szCs w:val="24"/>
        </w:rPr>
        <w:t>82</w:t>
      </w:r>
      <w:r w:rsidRPr="00E85847">
        <w:rPr>
          <w:sz w:val="20"/>
          <w:szCs w:val="24"/>
        </w:rPr>
        <w:tab/>
      </w:r>
      <w:r w:rsidR="00C61F01">
        <w:rPr>
          <w:szCs w:val="24"/>
        </w:rPr>
        <w:t xml:space="preserve">I repeat my reasons given for refusing any further order in respect of the first category of </w:t>
      </w:r>
      <w:r w:rsidR="00C61F01" w:rsidRPr="005B1C03">
        <w:rPr>
          <w:szCs w:val="24"/>
        </w:rPr>
        <w:t xml:space="preserve">documents. </w:t>
      </w:r>
    </w:p>
    <w:p w:rsidR="00C61F01" w:rsidRPr="005B1C03" w:rsidRDefault="004402EC" w:rsidP="00A14F47">
      <w:pPr>
        <w:pStyle w:val="Heading1"/>
      </w:pPr>
      <w:r>
        <w:rPr>
          <w:caps w:val="0"/>
        </w:rPr>
        <w:t>APPLICATION FOR LEAVE TO FILE AN AMENDED STATEMENT OF CLAIM</w:t>
      </w:r>
    </w:p>
    <w:p w:rsidR="00C61F01" w:rsidRDefault="004402EC" w:rsidP="004402EC">
      <w:pPr>
        <w:pStyle w:val="ParaNumbering"/>
        <w:numPr>
          <w:ilvl w:val="0"/>
          <w:numId w:val="0"/>
        </w:numPr>
        <w:tabs>
          <w:tab w:val="left" w:pos="720"/>
        </w:tabs>
        <w:ind w:hanging="720"/>
      </w:pPr>
      <w:r>
        <w:rPr>
          <w:sz w:val="20"/>
        </w:rPr>
        <w:t>83</w:t>
      </w:r>
      <w:r>
        <w:rPr>
          <w:sz w:val="20"/>
        </w:rPr>
        <w:tab/>
      </w:r>
      <w:r w:rsidR="00C61F01">
        <w:t xml:space="preserve">The plaintiffs filed an interlocutory </w:t>
      </w:r>
      <w:r w:rsidR="00C61F01" w:rsidRPr="002651D9">
        <w:t xml:space="preserve">application on 23 March 2022 seeking a number of orders. At a case management hearing on 30 March 2022, I declined to entertain the orders sought save for </w:t>
      </w:r>
      <w:r w:rsidR="00C61F01">
        <w:t>paragraph</w:t>
      </w:r>
      <w:r w:rsidR="00C61F01" w:rsidRPr="002651D9">
        <w:t xml:space="preserve"> 5, which seek</w:t>
      </w:r>
      <w:r w:rsidR="00C61F01">
        <w:t>s</w:t>
      </w:r>
      <w:r w:rsidR="00C61F01" w:rsidRPr="002651D9">
        <w:t xml:space="preserve"> leave of the Court to amend the statement of claim</w:t>
      </w:r>
      <w:r w:rsidR="00C61F01">
        <w:t xml:space="preserve">.  </w:t>
      </w:r>
      <w:r w:rsidR="00C61F01" w:rsidRPr="002651D9">
        <w:t>The plaintiffs subsequently</w:t>
      </w:r>
      <w:r w:rsidR="00C61F01">
        <w:t xml:space="preserve"> filed an interlocutory application on 1 April 2022 which contained within it a draft proposed amended statement of claim.</w:t>
      </w:r>
    </w:p>
    <w:p w:rsidR="00C61F01" w:rsidRDefault="004402EC" w:rsidP="004402EC">
      <w:pPr>
        <w:pStyle w:val="ParaNumbering"/>
        <w:numPr>
          <w:ilvl w:val="0"/>
          <w:numId w:val="0"/>
        </w:numPr>
        <w:tabs>
          <w:tab w:val="left" w:pos="720"/>
        </w:tabs>
        <w:ind w:hanging="720"/>
      </w:pPr>
      <w:r>
        <w:rPr>
          <w:sz w:val="20"/>
        </w:rPr>
        <w:t>84</w:t>
      </w:r>
      <w:r>
        <w:rPr>
          <w:sz w:val="20"/>
        </w:rPr>
        <w:tab/>
      </w:r>
      <w:r w:rsidR="00C61F01">
        <w:t xml:space="preserve">On 5 April 2022, the defendant advised the plaintiffs and the Court of the paragraphs it did and did not oppose. </w:t>
      </w:r>
    </w:p>
    <w:p w:rsidR="00C61F01" w:rsidRDefault="004402EC" w:rsidP="004402EC">
      <w:pPr>
        <w:pStyle w:val="ParaNumbering"/>
        <w:numPr>
          <w:ilvl w:val="0"/>
          <w:numId w:val="0"/>
        </w:numPr>
        <w:tabs>
          <w:tab w:val="left" w:pos="720"/>
        </w:tabs>
        <w:ind w:hanging="720"/>
      </w:pPr>
      <w:r>
        <w:rPr>
          <w:sz w:val="20"/>
        </w:rPr>
        <w:t>85</w:t>
      </w:r>
      <w:r>
        <w:rPr>
          <w:sz w:val="20"/>
        </w:rPr>
        <w:tab/>
      </w:r>
      <w:r w:rsidR="00C61F01">
        <w:t xml:space="preserve">The plaintiffs filed written submissions in support of the application on 8 April 2022 and the defendant filed written submissions in response on 14 April 2022. </w:t>
      </w:r>
    </w:p>
    <w:p w:rsidR="00C61F01" w:rsidRPr="00CF0149" w:rsidRDefault="004402EC" w:rsidP="004402EC">
      <w:pPr>
        <w:pStyle w:val="ParaNumbering"/>
        <w:numPr>
          <w:ilvl w:val="0"/>
          <w:numId w:val="0"/>
        </w:numPr>
        <w:tabs>
          <w:tab w:val="left" w:pos="720"/>
        </w:tabs>
        <w:ind w:hanging="720"/>
        <w:rPr>
          <w:i/>
          <w:szCs w:val="24"/>
        </w:rPr>
      </w:pPr>
      <w:r w:rsidRPr="00CF0149">
        <w:rPr>
          <w:sz w:val="20"/>
          <w:szCs w:val="24"/>
        </w:rPr>
        <w:t>86</w:t>
      </w:r>
      <w:r w:rsidRPr="00CF0149">
        <w:rPr>
          <w:sz w:val="20"/>
          <w:szCs w:val="24"/>
        </w:rPr>
        <w:tab/>
      </w:r>
      <w:r w:rsidR="00C61F01">
        <w:t xml:space="preserve">Paragraphs 4 to 6 and paragraph 12 of the proposed amended statement of claim are not opposed by the defendant.  I allow those amendments. </w:t>
      </w:r>
    </w:p>
    <w:p w:rsidR="00C61F01" w:rsidRPr="002A1A59" w:rsidRDefault="004402EC" w:rsidP="004402EC">
      <w:pPr>
        <w:pStyle w:val="ParaNumbering"/>
        <w:numPr>
          <w:ilvl w:val="0"/>
          <w:numId w:val="0"/>
        </w:numPr>
        <w:tabs>
          <w:tab w:val="left" w:pos="720"/>
        </w:tabs>
        <w:ind w:hanging="720"/>
        <w:rPr>
          <w:i/>
          <w:szCs w:val="24"/>
        </w:rPr>
      </w:pPr>
      <w:r w:rsidRPr="002A1A59">
        <w:rPr>
          <w:sz w:val="20"/>
          <w:szCs w:val="24"/>
        </w:rPr>
        <w:t>87</w:t>
      </w:r>
      <w:r w:rsidRPr="002A1A59">
        <w:rPr>
          <w:sz w:val="20"/>
          <w:szCs w:val="24"/>
        </w:rPr>
        <w:tab/>
      </w:r>
      <w:r w:rsidR="00C61F01" w:rsidRPr="002A1A59">
        <w:rPr>
          <w:color w:val="000000" w:themeColor="text1"/>
          <w:szCs w:val="24"/>
        </w:rPr>
        <w:t xml:space="preserve">The remaining amendments </w:t>
      </w:r>
      <w:r w:rsidR="00C61F01">
        <w:rPr>
          <w:color w:val="000000" w:themeColor="text1"/>
          <w:szCs w:val="24"/>
        </w:rPr>
        <w:t xml:space="preserve">pleaded in paragraphs 7 to 11 and 13 </w:t>
      </w:r>
      <w:r w:rsidR="00C61F01" w:rsidRPr="002A1A59">
        <w:rPr>
          <w:color w:val="000000" w:themeColor="text1"/>
          <w:szCs w:val="24"/>
        </w:rPr>
        <w:t xml:space="preserve">to 19 </w:t>
      </w:r>
      <w:r w:rsidR="00C61F01" w:rsidRPr="00EC45CB">
        <w:rPr>
          <w:color w:val="000000" w:themeColor="text1"/>
          <w:szCs w:val="24"/>
        </w:rPr>
        <w:t xml:space="preserve">are opposed. </w:t>
      </w:r>
    </w:p>
    <w:p w:rsidR="00C61F01" w:rsidRPr="00925049" w:rsidRDefault="00C61F01" w:rsidP="00A14F47">
      <w:pPr>
        <w:pStyle w:val="Heading2"/>
      </w:pPr>
      <w:r w:rsidRPr="00925049">
        <w:t>Principles</w:t>
      </w:r>
    </w:p>
    <w:p w:rsidR="00C61F01" w:rsidRPr="005623A8" w:rsidRDefault="004402EC" w:rsidP="004402EC">
      <w:pPr>
        <w:pStyle w:val="ParaNumbering"/>
        <w:numPr>
          <w:ilvl w:val="0"/>
          <w:numId w:val="0"/>
        </w:numPr>
        <w:tabs>
          <w:tab w:val="left" w:pos="720"/>
        </w:tabs>
        <w:ind w:hanging="720"/>
      </w:pPr>
      <w:r w:rsidRPr="005623A8">
        <w:rPr>
          <w:sz w:val="20"/>
        </w:rPr>
        <w:t>88</w:t>
      </w:r>
      <w:r w:rsidRPr="005623A8">
        <w:rPr>
          <w:sz w:val="20"/>
        </w:rPr>
        <w:tab/>
      </w:r>
      <w:r w:rsidR="00C61F01" w:rsidRPr="005623A8">
        <w:t>The party seeking leave to amend</w:t>
      </w:r>
      <w:r w:rsidR="00C61F01">
        <w:t>,</w:t>
      </w:r>
      <w:r w:rsidR="00C61F01" w:rsidRPr="005623A8">
        <w:t xml:space="preserve"> bea</w:t>
      </w:r>
      <w:r w:rsidR="00C61F01" w:rsidRPr="00DB6F8D">
        <w:rPr>
          <w:color w:val="000000" w:themeColor="text1"/>
        </w:rPr>
        <w:t>rs the onus of satisfying the Court that grounds exist for exercising the discretion in his or her favour</w:t>
      </w:r>
      <w:r w:rsidR="00C61F01">
        <w:rPr>
          <w:color w:val="000000" w:themeColor="text1"/>
        </w:rPr>
        <w:t>:</w:t>
      </w:r>
      <w:r w:rsidR="00C61F01" w:rsidRPr="00DB6F8D">
        <w:rPr>
          <w:color w:val="000000" w:themeColor="text1"/>
        </w:rPr>
        <w:t xml:space="preserve"> </w:t>
      </w:r>
      <w:r w:rsidR="00C61F01">
        <w:rPr>
          <w:color w:val="000000" w:themeColor="text1"/>
        </w:rPr>
        <w:t xml:space="preserve"> </w:t>
      </w:r>
      <w:r w:rsidR="00C61F01" w:rsidRPr="00DB6F8D">
        <w:rPr>
          <w:i/>
          <w:color w:val="000000" w:themeColor="text1"/>
        </w:rPr>
        <w:t>Dye v Commonwealth Securities Ltd</w:t>
      </w:r>
      <w:r w:rsidR="00C61F01" w:rsidRPr="00DB6F8D">
        <w:rPr>
          <w:color w:val="000000" w:themeColor="text1"/>
        </w:rPr>
        <w:t xml:space="preserve"> [2010] FCA 720. </w:t>
      </w:r>
    </w:p>
    <w:p w:rsidR="00C61F01" w:rsidRPr="00DB6F8D" w:rsidRDefault="004402EC" w:rsidP="004402EC">
      <w:pPr>
        <w:pStyle w:val="ParaNumbering"/>
        <w:numPr>
          <w:ilvl w:val="0"/>
          <w:numId w:val="0"/>
        </w:numPr>
        <w:tabs>
          <w:tab w:val="left" w:pos="720"/>
        </w:tabs>
        <w:ind w:hanging="720"/>
        <w:rPr>
          <w:color w:val="000000" w:themeColor="text1"/>
        </w:rPr>
      </w:pPr>
      <w:r w:rsidRPr="00DB6F8D">
        <w:rPr>
          <w:color w:val="000000" w:themeColor="text1"/>
          <w:sz w:val="20"/>
        </w:rPr>
        <w:t>89</w:t>
      </w:r>
      <w:r w:rsidRPr="00DB6F8D">
        <w:rPr>
          <w:color w:val="000000" w:themeColor="text1"/>
          <w:sz w:val="20"/>
        </w:rPr>
        <w:tab/>
      </w:r>
      <w:r w:rsidR="00C61F01" w:rsidRPr="005623A8">
        <w:t xml:space="preserve">A </w:t>
      </w:r>
      <w:r w:rsidR="00C61F01" w:rsidRPr="00DB6F8D">
        <w:rPr>
          <w:color w:val="000000" w:themeColor="text1"/>
        </w:rPr>
        <w:t>ground on which leave to amend may be refused is that a proposed amendment is “obviously futile” or “plainly demurrable”</w:t>
      </w:r>
      <w:r w:rsidR="00C61F01">
        <w:rPr>
          <w:color w:val="000000" w:themeColor="text1"/>
        </w:rPr>
        <w:t>:</w:t>
      </w:r>
      <w:r w:rsidR="00C61F01" w:rsidRPr="00DB6F8D">
        <w:rPr>
          <w:color w:val="000000" w:themeColor="text1"/>
        </w:rPr>
        <w:t xml:space="preserve"> </w:t>
      </w:r>
      <w:r w:rsidR="00C61F01">
        <w:rPr>
          <w:color w:val="000000" w:themeColor="text1"/>
        </w:rPr>
        <w:t xml:space="preserve"> </w:t>
      </w:r>
      <w:r w:rsidR="00C61F01" w:rsidRPr="00DB6F8D">
        <w:rPr>
          <w:i/>
          <w:color w:val="000000" w:themeColor="text1"/>
        </w:rPr>
        <w:t xml:space="preserve">Allstate Life Insurance Co v Australian &amp; New Zealand Banking Group Ltd </w:t>
      </w:r>
      <w:r w:rsidR="00C61F01" w:rsidRPr="00DB6F8D">
        <w:rPr>
          <w:color w:val="000000" w:themeColor="text1"/>
        </w:rPr>
        <w:t xml:space="preserve">(1995) </w:t>
      </w:r>
      <w:r w:rsidR="00C61F01">
        <w:rPr>
          <w:color w:val="000000" w:themeColor="text1"/>
        </w:rPr>
        <w:t xml:space="preserve">58 FCR 26; </w:t>
      </w:r>
      <w:r w:rsidR="00C61F01" w:rsidRPr="00DB6F8D">
        <w:rPr>
          <w:color w:val="000000" w:themeColor="text1"/>
        </w:rPr>
        <w:t>130 ALR 469 (</w:t>
      </w:r>
      <w:r w:rsidR="00C61F01">
        <w:rPr>
          <w:color w:val="000000" w:themeColor="text1"/>
        </w:rPr>
        <w:t>“</w:t>
      </w:r>
      <w:r w:rsidR="00C61F01" w:rsidRPr="000874D5">
        <w:rPr>
          <w:b/>
          <w:i/>
          <w:color w:val="000000" w:themeColor="text1"/>
        </w:rPr>
        <w:t>Allstate</w:t>
      </w:r>
      <w:r w:rsidR="00C61F01">
        <w:rPr>
          <w:i/>
          <w:color w:val="000000" w:themeColor="text1"/>
        </w:rPr>
        <w:t>”</w:t>
      </w:r>
      <w:r w:rsidR="00C61F01" w:rsidRPr="00DB6F8D">
        <w:rPr>
          <w:color w:val="000000" w:themeColor="text1"/>
        </w:rPr>
        <w:t xml:space="preserve">), 478 per Lindgren J citing </w:t>
      </w:r>
      <w:r w:rsidR="00C61F01" w:rsidRPr="00DB6F8D">
        <w:rPr>
          <w:i/>
          <w:color w:val="000000" w:themeColor="text1"/>
        </w:rPr>
        <w:t>Dennis v Brownlee</w:t>
      </w:r>
      <w:r w:rsidR="00C61F01" w:rsidRPr="00DB6F8D">
        <w:rPr>
          <w:color w:val="000000" w:themeColor="text1"/>
        </w:rPr>
        <w:t xml:space="preserve"> (1963) 80 WN (NSW) 1239; </w:t>
      </w:r>
      <w:r w:rsidR="00C61F01" w:rsidRPr="00DB6F8D">
        <w:rPr>
          <w:i/>
          <w:color w:val="000000" w:themeColor="text1"/>
        </w:rPr>
        <w:t>Abela v Giew</w:t>
      </w:r>
      <w:r w:rsidR="00C61F01" w:rsidRPr="00DB6F8D">
        <w:rPr>
          <w:color w:val="000000" w:themeColor="text1"/>
        </w:rPr>
        <w:t xml:space="preserve"> (1964) 81 WN (Pt 1) (NSW) 344</w:t>
      </w:r>
      <w:r w:rsidR="00C61F01">
        <w:rPr>
          <w:color w:val="000000" w:themeColor="text1"/>
        </w:rPr>
        <w:t>.</w:t>
      </w:r>
    </w:p>
    <w:p w:rsidR="00C61F01" w:rsidRPr="00DB6F8D" w:rsidRDefault="004402EC" w:rsidP="004402EC">
      <w:pPr>
        <w:pStyle w:val="ParaNumbering"/>
        <w:numPr>
          <w:ilvl w:val="0"/>
          <w:numId w:val="0"/>
        </w:numPr>
        <w:tabs>
          <w:tab w:val="left" w:pos="720"/>
        </w:tabs>
        <w:ind w:hanging="720"/>
        <w:rPr>
          <w:color w:val="000000" w:themeColor="text1"/>
        </w:rPr>
      </w:pPr>
      <w:r w:rsidRPr="00DB6F8D">
        <w:rPr>
          <w:color w:val="000000" w:themeColor="text1"/>
          <w:sz w:val="20"/>
        </w:rPr>
        <w:t>90</w:t>
      </w:r>
      <w:r w:rsidRPr="00DB6F8D">
        <w:rPr>
          <w:color w:val="000000" w:themeColor="text1"/>
          <w:sz w:val="20"/>
        </w:rPr>
        <w:tab/>
      </w:r>
      <w:r w:rsidR="00C61F01" w:rsidRPr="00DB6F8D">
        <w:rPr>
          <w:color w:val="000000" w:themeColor="text1"/>
        </w:rPr>
        <w:t>It would be futile to allow an amendment which “discloses</w:t>
      </w:r>
      <w:r w:rsidR="00C61F01">
        <w:rPr>
          <w:color w:val="000000" w:themeColor="text1"/>
        </w:rPr>
        <w:t xml:space="preserve"> no reasonable cause of action”:</w:t>
      </w:r>
      <w:r w:rsidR="00C61F01" w:rsidRPr="00DB6F8D">
        <w:rPr>
          <w:color w:val="000000" w:themeColor="text1"/>
        </w:rPr>
        <w:t xml:space="preserve"> </w:t>
      </w:r>
      <w:r w:rsidR="00C61F01">
        <w:rPr>
          <w:color w:val="000000" w:themeColor="text1"/>
        </w:rPr>
        <w:t xml:space="preserve"> </w:t>
      </w:r>
      <w:r w:rsidR="00C61F01" w:rsidRPr="00DB6F8D">
        <w:rPr>
          <w:i/>
          <w:color w:val="000000" w:themeColor="text1"/>
        </w:rPr>
        <w:t>Allstate</w:t>
      </w:r>
      <w:r w:rsidR="00C61F01" w:rsidRPr="00DB6F8D">
        <w:rPr>
          <w:color w:val="000000" w:themeColor="text1"/>
        </w:rPr>
        <w:t xml:space="preserve">, 478, considering the then r 16(a) of </w:t>
      </w:r>
      <w:r w:rsidR="00C61F01" w:rsidRPr="000874D5">
        <w:rPr>
          <w:color w:val="000000" w:themeColor="text1"/>
        </w:rPr>
        <w:t>O 11</w:t>
      </w:r>
      <w:r w:rsidR="00C61F01" w:rsidRPr="00DB6F8D">
        <w:rPr>
          <w:color w:val="000000" w:themeColor="text1"/>
        </w:rPr>
        <w:t xml:space="preserve"> of the </w:t>
      </w:r>
      <w:r w:rsidR="00C61F01" w:rsidRPr="00DB6F8D">
        <w:rPr>
          <w:i/>
          <w:color w:val="000000" w:themeColor="text1"/>
        </w:rPr>
        <w:t>Federal Court Rules 1979</w:t>
      </w:r>
      <w:r w:rsidR="00C61F01" w:rsidRPr="00DB6F8D">
        <w:rPr>
          <w:color w:val="000000" w:themeColor="text1"/>
        </w:rPr>
        <w:t xml:space="preserve"> (Cth), now FCR 16.21(e) of the </w:t>
      </w:r>
      <w:r w:rsidR="00C61F01" w:rsidRPr="00DB6F8D">
        <w:rPr>
          <w:i/>
          <w:color w:val="000000" w:themeColor="text1"/>
        </w:rPr>
        <w:t>Federal Court Rules 2011</w:t>
      </w:r>
      <w:r w:rsidR="00C61F01" w:rsidRPr="00DB6F8D">
        <w:rPr>
          <w:color w:val="000000" w:themeColor="text1"/>
        </w:rPr>
        <w:t xml:space="preserve"> (Cth)</w:t>
      </w:r>
      <w:r w:rsidR="00C61F01">
        <w:rPr>
          <w:color w:val="000000" w:themeColor="text1"/>
        </w:rPr>
        <w:t>.</w:t>
      </w:r>
    </w:p>
    <w:p w:rsidR="00C61F01" w:rsidRPr="0002565A" w:rsidRDefault="008E1556" w:rsidP="00A14F47">
      <w:pPr>
        <w:pStyle w:val="Heading2"/>
      </w:pPr>
      <w:r>
        <w:t>The p</w:t>
      </w:r>
      <w:r w:rsidR="00C61F01" w:rsidRPr="0002565A">
        <w:t>arties’</w:t>
      </w:r>
      <w:r w:rsidR="00C61F01">
        <w:t xml:space="preserve"> submissions</w:t>
      </w:r>
    </w:p>
    <w:p w:rsidR="00C61F01" w:rsidRDefault="00C61F01" w:rsidP="00A14F47">
      <w:pPr>
        <w:pStyle w:val="Heading3"/>
      </w:pPr>
      <w:r>
        <w:t>Paragraphs 7 to 11, 13 and 14</w:t>
      </w:r>
    </w:p>
    <w:p w:rsidR="00C61F01" w:rsidRDefault="004402EC" w:rsidP="004402EC">
      <w:pPr>
        <w:pStyle w:val="ParaNumbering"/>
        <w:numPr>
          <w:ilvl w:val="0"/>
          <w:numId w:val="0"/>
        </w:numPr>
        <w:tabs>
          <w:tab w:val="left" w:pos="720"/>
        </w:tabs>
        <w:ind w:hanging="720"/>
      </w:pPr>
      <w:r>
        <w:rPr>
          <w:sz w:val="20"/>
        </w:rPr>
        <w:t>91</w:t>
      </w:r>
      <w:r>
        <w:rPr>
          <w:sz w:val="20"/>
        </w:rPr>
        <w:tab/>
      </w:r>
      <w:r w:rsidR="00304D5F">
        <w:t>The plaintiffs plead that the ‘How to Establish Your Loan’</w:t>
      </w:r>
      <w:r w:rsidR="00C61F01">
        <w:t xml:space="preserve"> procedure req</w:t>
      </w:r>
      <w:r w:rsidR="00304D5F">
        <w:t>uired Mr Holland to retain the ‘</w:t>
      </w:r>
      <w:r w:rsidR="00C61F01">
        <w:t>Loan Ag</w:t>
      </w:r>
      <w:r w:rsidR="00304D5F">
        <w:t>reement’, ‘Deed of Mortgage’, ‘Nominee Deed’ and ‘CHESS Sponsorship Agreement’</w:t>
      </w:r>
      <w:r w:rsidR="00C61F01">
        <w:t xml:space="preserve"> forms and that the defendant executed these documents on Mr Holland’s behalf using the Power of Attorney. </w:t>
      </w:r>
    </w:p>
    <w:p w:rsidR="00C61F01" w:rsidRDefault="004402EC" w:rsidP="004402EC">
      <w:pPr>
        <w:pStyle w:val="ParaNumbering"/>
        <w:numPr>
          <w:ilvl w:val="0"/>
          <w:numId w:val="0"/>
        </w:numPr>
        <w:tabs>
          <w:tab w:val="left" w:pos="720"/>
        </w:tabs>
        <w:ind w:hanging="720"/>
      </w:pPr>
      <w:r>
        <w:rPr>
          <w:sz w:val="20"/>
        </w:rPr>
        <w:t>92</w:t>
      </w:r>
      <w:r>
        <w:rPr>
          <w:sz w:val="20"/>
        </w:rPr>
        <w:tab/>
      </w:r>
      <w:r w:rsidR="00C61F01">
        <w:t>The plaintiffs plead further that they never received copies of the executed documents from the defendant and that it was the defendant’s duty to retain them purs</w:t>
      </w:r>
      <w:r w:rsidR="0075608A">
        <w:t>uant to an implied term in the Loan A</w:t>
      </w:r>
      <w:r w:rsidR="00C61F01">
        <w:t xml:space="preserve">greement and the </w:t>
      </w:r>
      <w:r w:rsidR="00C61F01" w:rsidRPr="00304D5F">
        <w:t xml:space="preserve">ASIC Act </w:t>
      </w:r>
      <w:r w:rsidR="00C61F01">
        <w:t xml:space="preserve">requirements of due care and skill. </w:t>
      </w:r>
    </w:p>
    <w:p w:rsidR="00C61F01" w:rsidRDefault="004402EC" w:rsidP="004402EC">
      <w:pPr>
        <w:pStyle w:val="ParaNumbering"/>
        <w:numPr>
          <w:ilvl w:val="0"/>
          <w:numId w:val="0"/>
        </w:numPr>
        <w:tabs>
          <w:tab w:val="left" w:pos="720"/>
        </w:tabs>
        <w:ind w:hanging="720"/>
      </w:pPr>
      <w:r>
        <w:rPr>
          <w:sz w:val="20"/>
        </w:rPr>
        <w:t>93</w:t>
      </w:r>
      <w:r>
        <w:rPr>
          <w:sz w:val="20"/>
        </w:rPr>
        <w:tab/>
      </w:r>
      <w:r w:rsidR="00C61F01">
        <w:t xml:space="preserve">The plaintiffs do not identify how the proposed pleading in these paragraphs relate to or establish in whole or in part, a reasonable cause of action. </w:t>
      </w:r>
    </w:p>
    <w:p w:rsidR="00C61F01" w:rsidRDefault="004402EC" w:rsidP="004402EC">
      <w:pPr>
        <w:pStyle w:val="ParaNumbering"/>
        <w:numPr>
          <w:ilvl w:val="0"/>
          <w:numId w:val="0"/>
        </w:numPr>
        <w:tabs>
          <w:tab w:val="left" w:pos="720"/>
        </w:tabs>
        <w:ind w:hanging="720"/>
      </w:pPr>
      <w:r>
        <w:rPr>
          <w:sz w:val="20"/>
        </w:rPr>
        <w:t>94</w:t>
      </w:r>
      <w:r>
        <w:rPr>
          <w:sz w:val="20"/>
        </w:rPr>
        <w:tab/>
      </w:r>
      <w:r w:rsidR="00C61F01" w:rsidRPr="00C521C4">
        <w:t xml:space="preserve">The defendant submits that </w:t>
      </w:r>
      <w:r w:rsidR="00C61F01">
        <w:t xml:space="preserve">the plaintiffs’ allegations about the retention, non-retention or execution of documents, do not relate to any </w:t>
      </w:r>
      <w:r w:rsidR="00C61F01" w:rsidRPr="00C521C4">
        <w:t>cause of action raised on the pleadings</w:t>
      </w:r>
      <w:r w:rsidR="00C61F01">
        <w:t xml:space="preserve"> as they stand nor do they raise a reasonable cause of action. </w:t>
      </w:r>
    </w:p>
    <w:p w:rsidR="00C61F01" w:rsidRPr="008E1556" w:rsidRDefault="00C61F01" w:rsidP="00A14F47">
      <w:pPr>
        <w:pStyle w:val="Heading2"/>
      </w:pPr>
      <w:r w:rsidRPr="008E1556">
        <w:t xml:space="preserve">Consideration </w:t>
      </w:r>
    </w:p>
    <w:p w:rsidR="00C61F01" w:rsidRPr="00C840D3" w:rsidRDefault="004402EC" w:rsidP="004402EC">
      <w:pPr>
        <w:pStyle w:val="ParaNumbering"/>
        <w:numPr>
          <w:ilvl w:val="0"/>
          <w:numId w:val="0"/>
        </w:numPr>
        <w:tabs>
          <w:tab w:val="left" w:pos="720"/>
        </w:tabs>
        <w:ind w:hanging="720"/>
      </w:pPr>
      <w:r w:rsidRPr="00C840D3">
        <w:rPr>
          <w:sz w:val="20"/>
        </w:rPr>
        <w:t>95</w:t>
      </w:r>
      <w:r w:rsidRPr="00C840D3">
        <w:rPr>
          <w:sz w:val="20"/>
        </w:rPr>
        <w:tab/>
      </w:r>
      <w:r w:rsidR="00C61F01" w:rsidRPr="005E09AC">
        <w:t xml:space="preserve">I accept the defendant’s submissions. </w:t>
      </w:r>
      <w:r w:rsidR="00C61F01">
        <w:t xml:space="preserve"> </w:t>
      </w:r>
      <w:r w:rsidR="00C61F01" w:rsidRPr="005E09AC">
        <w:t>The proposed amendments</w:t>
      </w:r>
      <w:r w:rsidR="00C61F01">
        <w:t xml:space="preserve"> in paragraphs 7 to 11 and 13 </w:t>
      </w:r>
      <w:r w:rsidR="00C61F01" w:rsidRPr="005E09AC">
        <w:t xml:space="preserve">do not relate to an existing cause of action nor do they raise a reasonable cause of action. </w:t>
      </w:r>
      <w:r w:rsidR="00C61F01">
        <w:t xml:space="preserve"> </w:t>
      </w:r>
      <w:r w:rsidR="00C61F01" w:rsidRPr="005E09AC">
        <w:t xml:space="preserve">I </w:t>
      </w:r>
      <w:r w:rsidR="00C61F01" w:rsidRPr="00C840D3">
        <w:t>decline to grant leave to amend.</w:t>
      </w:r>
    </w:p>
    <w:p w:rsidR="00C61F01" w:rsidRPr="003404F7" w:rsidRDefault="004402EC" w:rsidP="004402EC">
      <w:pPr>
        <w:pStyle w:val="ParaNumbering"/>
        <w:numPr>
          <w:ilvl w:val="0"/>
          <w:numId w:val="0"/>
        </w:numPr>
        <w:tabs>
          <w:tab w:val="left" w:pos="720"/>
        </w:tabs>
        <w:ind w:hanging="720"/>
        <w:rPr>
          <w:i/>
          <w:szCs w:val="24"/>
        </w:rPr>
      </w:pPr>
      <w:r w:rsidRPr="003404F7">
        <w:rPr>
          <w:sz w:val="20"/>
          <w:szCs w:val="24"/>
        </w:rPr>
        <w:t>96</w:t>
      </w:r>
      <w:r w:rsidRPr="003404F7">
        <w:rPr>
          <w:sz w:val="20"/>
          <w:szCs w:val="24"/>
        </w:rPr>
        <w:tab/>
      </w:r>
      <w:r w:rsidR="00C61F01" w:rsidRPr="00C840D3">
        <w:rPr>
          <w:szCs w:val="24"/>
        </w:rPr>
        <w:t xml:space="preserve">Paragraph 14 of the proposed amended statement of claim is already pleaded </w:t>
      </w:r>
      <w:r w:rsidR="00C61F01">
        <w:rPr>
          <w:szCs w:val="24"/>
        </w:rPr>
        <w:t>in the statement of claim and is</w:t>
      </w:r>
      <w:r w:rsidR="00C61F01" w:rsidRPr="00C840D3">
        <w:rPr>
          <w:szCs w:val="24"/>
        </w:rPr>
        <w:t xml:space="preserve"> the subject of the defence</w:t>
      </w:r>
      <w:r w:rsidR="00C61F01">
        <w:rPr>
          <w:color w:val="000000" w:themeColor="text1"/>
          <w:szCs w:val="24"/>
        </w:rPr>
        <w:t>:</w:t>
      </w:r>
      <w:r w:rsidR="00C61F01" w:rsidRPr="00C840D3">
        <w:rPr>
          <w:color w:val="000000" w:themeColor="text1"/>
          <w:szCs w:val="24"/>
        </w:rPr>
        <w:t xml:space="preserve"> </w:t>
      </w:r>
      <w:r w:rsidR="00C61F01">
        <w:rPr>
          <w:color w:val="000000" w:themeColor="text1"/>
          <w:szCs w:val="24"/>
        </w:rPr>
        <w:t xml:space="preserve"> d</w:t>
      </w:r>
      <w:r w:rsidR="00C61F01" w:rsidRPr="00C840D3">
        <w:rPr>
          <w:color w:val="000000" w:themeColor="text1"/>
          <w:szCs w:val="24"/>
        </w:rPr>
        <w:t xml:space="preserve">efence filed on 23 November 2021, [6(a)-(b)]. </w:t>
      </w:r>
      <w:r w:rsidR="00C61F01">
        <w:rPr>
          <w:color w:val="000000" w:themeColor="text1"/>
          <w:szCs w:val="24"/>
        </w:rPr>
        <w:t xml:space="preserve"> </w:t>
      </w:r>
      <w:r w:rsidR="00C61F01" w:rsidRPr="00C840D3">
        <w:rPr>
          <w:color w:val="000000" w:themeColor="text1"/>
          <w:szCs w:val="24"/>
        </w:rPr>
        <w:t xml:space="preserve">It introduced no new material. </w:t>
      </w:r>
      <w:r w:rsidR="00C61F01">
        <w:rPr>
          <w:color w:val="000000" w:themeColor="text1"/>
          <w:szCs w:val="24"/>
        </w:rPr>
        <w:t xml:space="preserve"> </w:t>
      </w:r>
      <w:r w:rsidR="00C61F01" w:rsidRPr="00C840D3">
        <w:rPr>
          <w:color w:val="000000" w:themeColor="text1"/>
          <w:szCs w:val="24"/>
        </w:rPr>
        <w:t>I disallow</w:t>
      </w:r>
      <w:r w:rsidR="00C61F01" w:rsidRPr="002A1A59">
        <w:rPr>
          <w:color w:val="000000" w:themeColor="text1"/>
          <w:szCs w:val="24"/>
        </w:rPr>
        <w:t xml:space="preserve"> the </w:t>
      </w:r>
      <w:r w:rsidR="00C61F01">
        <w:rPr>
          <w:color w:val="000000" w:themeColor="text1"/>
          <w:szCs w:val="24"/>
        </w:rPr>
        <w:t xml:space="preserve">proposed </w:t>
      </w:r>
      <w:r w:rsidR="00C61F01" w:rsidRPr="002A1A59">
        <w:rPr>
          <w:color w:val="000000" w:themeColor="text1"/>
          <w:szCs w:val="24"/>
        </w:rPr>
        <w:t xml:space="preserve">amendment. </w:t>
      </w:r>
    </w:p>
    <w:p w:rsidR="00C61F01" w:rsidRDefault="00C61F01" w:rsidP="00A14F47">
      <w:pPr>
        <w:pStyle w:val="Heading3"/>
      </w:pPr>
      <w:r>
        <w:t>Paragraphs 15 and 16</w:t>
      </w:r>
    </w:p>
    <w:p w:rsidR="00C61F01" w:rsidRDefault="004402EC" w:rsidP="004402EC">
      <w:pPr>
        <w:pStyle w:val="ParaNumbering"/>
        <w:numPr>
          <w:ilvl w:val="0"/>
          <w:numId w:val="0"/>
        </w:numPr>
        <w:tabs>
          <w:tab w:val="left" w:pos="720"/>
        </w:tabs>
        <w:ind w:hanging="720"/>
      </w:pPr>
      <w:r>
        <w:rPr>
          <w:sz w:val="20"/>
        </w:rPr>
        <w:t>97</w:t>
      </w:r>
      <w:r>
        <w:rPr>
          <w:sz w:val="20"/>
        </w:rPr>
        <w:tab/>
      </w:r>
      <w:r w:rsidR="00E9163A">
        <w:t>The plaintiffs plead that the ‘Declaration of Purpose’</w:t>
      </w:r>
      <w:r w:rsidR="00C61F01">
        <w:t xml:space="preserve"> form is a “business purposes declaration for credit contracts” in a form satisfying s 11(2) of the </w:t>
      </w:r>
      <w:r w:rsidR="00C61F01" w:rsidRPr="008147CF">
        <w:t>Consumer Credit Code that</w:t>
      </w:r>
      <w:r w:rsidR="00C61F01">
        <w:t xml:space="preserve"> this declares the loan as being wholly or predominantly for business or investment purposes and that it is in the form required to be effective for regs 10(1) and 10(2) of the Consumer Credit Code. </w:t>
      </w:r>
    </w:p>
    <w:p w:rsidR="00C61F01" w:rsidRDefault="004402EC" w:rsidP="004402EC">
      <w:pPr>
        <w:pStyle w:val="ParaNumbering"/>
        <w:numPr>
          <w:ilvl w:val="0"/>
          <w:numId w:val="0"/>
        </w:numPr>
        <w:tabs>
          <w:tab w:val="left" w:pos="720"/>
        </w:tabs>
        <w:ind w:hanging="720"/>
      </w:pPr>
      <w:r>
        <w:rPr>
          <w:sz w:val="20"/>
        </w:rPr>
        <w:t>98</w:t>
      </w:r>
      <w:r>
        <w:rPr>
          <w:sz w:val="20"/>
        </w:rPr>
        <w:tab/>
      </w:r>
      <w:r w:rsidR="00C61F01">
        <w:t xml:space="preserve">The plaintiffs further plead that the Loan Agreement contains a warranty that “all moneys advanced hereunder will be used by the borrower wholly or predominantly for business and/or investment purposes as agreed from </w:t>
      </w:r>
      <w:r w:rsidR="00E9163A">
        <w:t>time to time with BTS” at cl</w:t>
      </w:r>
      <w:r w:rsidR="00C61F01">
        <w:t xml:space="preserve"> 9.1(b). </w:t>
      </w:r>
    </w:p>
    <w:p w:rsidR="00C61F01" w:rsidRDefault="004402EC" w:rsidP="004402EC">
      <w:pPr>
        <w:pStyle w:val="ParaNumbering"/>
        <w:numPr>
          <w:ilvl w:val="0"/>
          <w:numId w:val="0"/>
        </w:numPr>
        <w:tabs>
          <w:tab w:val="left" w:pos="720"/>
        </w:tabs>
        <w:ind w:hanging="720"/>
      </w:pPr>
      <w:r>
        <w:rPr>
          <w:sz w:val="20"/>
        </w:rPr>
        <w:t>99</w:t>
      </w:r>
      <w:r>
        <w:rPr>
          <w:sz w:val="20"/>
        </w:rPr>
        <w:tab/>
      </w:r>
      <w:r w:rsidR="00C61F01">
        <w:t xml:space="preserve">The defendants submit that there is no cause of action relating to any Consumer Credit Code and that it is not clear to which Code the plaintiffs refer. </w:t>
      </w:r>
    </w:p>
    <w:p w:rsidR="00C61F01" w:rsidRPr="008E1556" w:rsidRDefault="00C61F01" w:rsidP="00A14F47">
      <w:pPr>
        <w:pStyle w:val="Heading2"/>
      </w:pPr>
      <w:r w:rsidRPr="008E1556">
        <w:t xml:space="preserve">Consideration </w:t>
      </w:r>
    </w:p>
    <w:p w:rsidR="00C61F01" w:rsidRPr="005E09AC" w:rsidRDefault="004402EC" w:rsidP="004402EC">
      <w:pPr>
        <w:pStyle w:val="ParaNumbering"/>
        <w:numPr>
          <w:ilvl w:val="0"/>
          <w:numId w:val="0"/>
        </w:numPr>
        <w:tabs>
          <w:tab w:val="left" w:pos="720"/>
        </w:tabs>
        <w:ind w:hanging="720"/>
      </w:pPr>
      <w:r w:rsidRPr="005E09AC">
        <w:rPr>
          <w:sz w:val="20"/>
        </w:rPr>
        <w:t>100</w:t>
      </w:r>
      <w:r w:rsidRPr="005E09AC">
        <w:rPr>
          <w:sz w:val="20"/>
        </w:rPr>
        <w:tab/>
      </w:r>
      <w:r w:rsidR="00C61F01" w:rsidRPr="005E09AC">
        <w:t xml:space="preserve">I accept the defendant’s submissions. </w:t>
      </w:r>
      <w:r w:rsidR="00C61F01">
        <w:t xml:space="preserve"> </w:t>
      </w:r>
      <w:r w:rsidR="00C61F01" w:rsidRPr="005E09AC">
        <w:t>The proposed amendments do not relate to an existing cause of action nor do they raise a reasonable cause of action.</w:t>
      </w:r>
      <w:r w:rsidR="00C61F01">
        <w:t xml:space="preserve"> </w:t>
      </w:r>
      <w:r w:rsidR="00C61F01" w:rsidRPr="005E09AC">
        <w:t xml:space="preserve"> I decline to grant leave to amend.</w:t>
      </w:r>
    </w:p>
    <w:p w:rsidR="00C61F01" w:rsidRDefault="00C61F01" w:rsidP="00A14F47">
      <w:pPr>
        <w:pStyle w:val="Heading3"/>
      </w:pPr>
      <w:r>
        <w:t>Paragraphs 17 to 19</w:t>
      </w:r>
    </w:p>
    <w:p w:rsidR="00C61F01" w:rsidRDefault="004402EC" w:rsidP="004402EC">
      <w:pPr>
        <w:pStyle w:val="ParaNumbering"/>
        <w:numPr>
          <w:ilvl w:val="0"/>
          <w:numId w:val="0"/>
        </w:numPr>
        <w:tabs>
          <w:tab w:val="left" w:pos="720"/>
        </w:tabs>
        <w:ind w:hanging="720"/>
      </w:pPr>
      <w:r>
        <w:rPr>
          <w:sz w:val="20"/>
        </w:rPr>
        <w:t>101</w:t>
      </w:r>
      <w:r>
        <w:rPr>
          <w:sz w:val="20"/>
        </w:rPr>
        <w:tab/>
      </w:r>
      <w:r w:rsidR="00C61F01">
        <w:t>The plaintiffs plead that the defendant charged $17.00 of N</w:t>
      </w:r>
      <w:r w:rsidR="00E9163A">
        <w:t xml:space="preserve">ew South Wales </w:t>
      </w:r>
      <w:r w:rsidR="00C61F01">
        <w:t xml:space="preserve">stamp duty paid on the loan on 22 May 1997; $10.00 on the CHESS agreement on 12 </w:t>
      </w:r>
      <w:r w:rsidR="00E9163A">
        <w:t>May 1997; and $1,336.00 on the Loan A</w:t>
      </w:r>
      <w:r w:rsidR="00C61F01">
        <w:t xml:space="preserve">greement as new advances were made on 13 July 2007. </w:t>
      </w:r>
    </w:p>
    <w:p w:rsidR="00C61F01" w:rsidRDefault="004402EC" w:rsidP="004402EC">
      <w:pPr>
        <w:pStyle w:val="ParaNumbering"/>
        <w:numPr>
          <w:ilvl w:val="0"/>
          <w:numId w:val="0"/>
        </w:numPr>
        <w:tabs>
          <w:tab w:val="left" w:pos="720"/>
        </w:tabs>
        <w:ind w:hanging="720"/>
      </w:pPr>
      <w:r>
        <w:rPr>
          <w:sz w:val="20"/>
        </w:rPr>
        <w:t>102</w:t>
      </w:r>
      <w:r>
        <w:rPr>
          <w:sz w:val="20"/>
        </w:rPr>
        <w:tab/>
      </w:r>
      <w:r w:rsidR="00C61F01">
        <w:t>The plaintiffs submit that:</w:t>
      </w:r>
    </w:p>
    <w:p w:rsidR="00C61F01" w:rsidRPr="00843B5F" w:rsidRDefault="004402EC" w:rsidP="004402EC">
      <w:pPr>
        <w:pStyle w:val="ListNo1alt"/>
        <w:numPr>
          <w:ilvl w:val="0"/>
          <w:numId w:val="0"/>
        </w:numPr>
        <w:tabs>
          <w:tab w:val="left" w:pos="1004"/>
        </w:tabs>
        <w:ind w:left="1004" w:hanging="720"/>
      </w:pPr>
      <w:r w:rsidRPr="00843B5F">
        <w:t>(a)</w:t>
      </w:r>
      <w:r w:rsidRPr="00843B5F">
        <w:tab/>
      </w:r>
      <w:r w:rsidR="00C61F01">
        <w:t xml:space="preserve">It is a requirement that loan documents executed in New South Wales </w:t>
      </w:r>
      <w:r w:rsidR="00C61F01" w:rsidRPr="00600788">
        <w:t>in April 1997 be executed and stamped in ord</w:t>
      </w:r>
      <w:r w:rsidR="00C61F01">
        <w:t>er to be admitted into evidence:</w:t>
      </w:r>
      <w:r w:rsidR="00C61F01" w:rsidRPr="00600788">
        <w:t xml:space="preserve"> </w:t>
      </w:r>
      <w:r w:rsidR="00C61F01">
        <w:t xml:space="preserve"> </w:t>
      </w:r>
      <w:r w:rsidR="00C61F01" w:rsidRPr="008147CF">
        <w:rPr>
          <w:i/>
        </w:rPr>
        <w:t xml:space="preserve">Stamp Duties Act 1920 </w:t>
      </w:r>
      <w:r w:rsidR="00C61F01" w:rsidRPr="00600788">
        <w:t>(NSW) s</w:t>
      </w:r>
      <w:r w:rsidR="00C61F01">
        <w:t> </w:t>
      </w:r>
      <w:r w:rsidR="00C61F01" w:rsidRPr="00600788">
        <w:t xml:space="preserve">29; </w:t>
      </w:r>
      <w:r w:rsidR="00C61F01" w:rsidRPr="008147CF">
        <w:rPr>
          <w:i/>
        </w:rPr>
        <w:t>Pitman v Johnson</w:t>
      </w:r>
      <w:r w:rsidR="00C61F01" w:rsidRPr="00600788">
        <w:t xml:space="preserve"> [2017] FCA 945</w:t>
      </w:r>
      <w:r w:rsidR="00C61F01">
        <w:t>.</w:t>
      </w:r>
    </w:p>
    <w:p w:rsidR="00C61F01" w:rsidRPr="00511F7A" w:rsidRDefault="004402EC" w:rsidP="004402EC">
      <w:pPr>
        <w:pStyle w:val="ListNo1alt"/>
        <w:numPr>
          <w:ilvl w:val="0"/>
          <w:numId w:val="0"/>
        </w:numPr>
        <w:tabs>
          <w:tab w:val="left" w:pos="1004"/>
        </w:tabs>
        <w:ind w:left="1004" w:hanging="720"/>
      </w:pPr>
      <w:r w:rsidRPr="00511F7A">
        <w:t>(b)</w:t>
      </w:r>
      <w:r w:rsidRPr="00511F7A">
        <w:tab/>
      </w:r>
      <w:r w:rsidR="00C61F01">
        <w:t>The loan documents were subject to New South Wales stamp duty because they were executed by the defendant, on Mr Holland’s behalf, in New South Wales on 28 April 1997; and</w:t>
      </w:r>
    </w:p>
    <w:p w:rsidR="00C61F01" w:rsidRDefault="004402EC" w:rsidP="004402EC">
      <w:pPr>
        <w:pStyle w:val="ListNo1alt"/>
        <w:numPr>
          <w:ilvl w:val="0"/>
          <w:numId w:val="0"/>
        </w:numPr>
        <w:tabs>
          <w:tab w:val="left" w:pos="1004"/>
        </w:tabs>
        <w:ind w:left="1004" w:hanging="720"/>
      </w:pPr>
      <w:r>
        <w:t>(c)</w:t>
      </w:r>
      <w:r>
        <w:tab/>
      </w:r>
      <w:r w:rsidR="00C61F01">
        <w:t xml:space="preserve">The terms of the contract provided that the defendant would charge stamp duty incurred on Mr Holland’s behalf to the plaintiff. </w:t>
      </w:r>
    </w:p>
    <w:p w:rsidR="00C61F01" w:rsidRDefault="004402EC" w:rsidP="004402EC">
      <w:pPr>
        <w:pStyle w:val="ParaNumbering"/>
        <w:numPr>
          <w:ilvl w:val="0"/>
          <w:numId w:val="0"/>
        </w:numPr>
        <w:tabs>
          <w:tab w:val="left" w:pos="720"/>
        </w:tabs>
        <w:ind w:hanging="720"/>
      </w:pPr>
      <w:r>
        <w:rPr>
          <w:sz w:val="20"/>
        </w:rPr>
        <w:t>103</w:t>
      </w:r>
      <w:r>
        <w:rPr>
          <w:sz w:val="20"/>
        </w:rPr>
        <w:tab/>
      </w:r>
      <w:r w:rsidR="00C61F01">
        <w:t xml:space="preserve">The defendants submit that there is no cause of action relating to stamp duty. </w:t>
      </w:r>
    </w:p>
    <w:p w:rsidR="00C61F01" w:rsidRPr="00ED2F59" w:rsidRDefault="004402EC" w:rsidP="004402EC">
      <w:pPr>
        <w:pStyle w:val="ParaNumbering"/>
        <w:numPr>
          <w:ilvl w:val="0"/>
          <w:numId w:val="0"/>
        </w:numPr>
        <w:tabs>
          <w:tab w:val="left" w:pos="720"/>
        </w:tabs>
        <w:ind w:hanging="720"/>
      </w:pPr>
      <w:r w:rsidRPr="00ED2F59">
        <w:rPr>
          <w:sz w:val="20"/>
        </w:rPr>
        <w:t>104</w:t>
      </w:r>
      <w:r w:rsidRPr="00ED2F59">
        <w:rPr>
          <w:sz w:val="20"/>
        </w:rPr>
        <w:tab/>
      </w:r>
      <w:r w:rsidR="00C61F01">
        <w:t xml:space="preserve">The defendants submit further that the amendments appear to be directed at the admissibility of documents which cannot be located.  The defendant has filed evidence containing examples of the application documents in use around the time the facility commenced.  These documents </w:t>
      </w:r>
      <w:r w:rsidR="00C61F01" w:rsidRPr="00ED2F59">
        <w:t xml:space="preserve">did not affect any transaction or conveyance and their admissibility is not affected by stamp duty legislation. </w:t>
      </w:r>
    </w:p>
    <w:p w:rsidR="00C61F01" w:rsidRPr="008E1556" w:rsidRDefault="00C61F01" w:rsidP="00A14F47">
      <w:pPr>
        <w:pStyle w:val="Heading2"/>
      </w:pPr>
      <w:r w:rsidRPr="008E1556">
        <w:t xml:space="preserve">Consideration </w:t>
      </w:r>
    </w:p>
    <w:p w:rsidR="00C61F01" w:rsidRPr="00ED2F59" w:rsidRDefault="004402EC" w:rsidP="004402EC">
      <w:pPr>
        <w:pStyle w:val="ParaNumbering"/>
        <w:numPr>
          <w:ilvl w:val="0"/>
          <w:numId w:val="0"/>
        </w:numPr>
        <w:tabs>
          <w:tab w:val="left" w:pos="720"/>
        </w:tabs>
        <w:ind w:hanging="720"/>
      </w:pPr>
      <w:r w:rsidRPr="00ED2F59">
        <w:rPr>
          <w:sz w:val="20"/>
        </w:rPr>
        <w:t>105</w:t>
      </w:r>
      <w:r w:rsidRPr="00ED2F59">
        <w:rPr>
          <w:sz w:val="20"/>
        </w:rPr>
        <w:tab/>
      </w:r>
      <w:r w:rsidR="00C61F01" w:rsidRPr="00ED2F59">
        <w:t xml:space="preserve">I accept the defendant’s submissions. </w:t>
      </w:r>
      <w:r w:rsidR="00C61F01">
        <w:t xml:space="preserve"> </w:t>
      </w:r>
      <w:r w:rsidR="00C61F01" w:rsidRPr="00ED2F59">
        <w:t>The proposed amendments do not relate to an existing cause of action nor do they raise a reasonable cause of action.</w:t>
      </w:r>
      <w:r w:rsidR="00C61F01">
        <w:t xml:space="preserve"> </w:t>
      </w:r>
      <w:r w:rsidR="00C61F01" w:rsidRPr="00ED2F59">
        <w:t xml:space="preserve"> I decline to grant leave to amend.</w:t>
      </w:r>
    </w:p>
    <w:p w:rsidR="00C61F01" w:rsidRDefault="004402EC" w:rsidP="00C61F01">
      <w:pPr>
        <w:pStyle w:val="Heading1"/>
      </w:pPr>
      <w:r>
        <w:rPr>
          <w:caps w:val="0"/>
        </w:rPr>
        <w:t>CONCLUSION</w:t>
      </w:r>
    </w:p>
    <w:p w:rsidR="00C61F01" w:rsidRDefault="004402EC" w:rsidP="004402EC">
      <w:pPr>
        <w:pStyle w:val="ParaNumbering"/>
        <w:numPr>
          <w:ilvl w:val="0"/>
          <w:numId w:val="0"/>
        </w:numPr>
        <w:tabs>
          <w:tab w:val="left" w:pos="720"/>
        </w:tabs>
        <w:ind w:hanging="720"/>
      </w:pPr>
      <w:r>
        <w:rPr>
          <w:sz w:val="20"/>
        </w:rPr>
        <w:t>106</w:t>
      </w:r>
      <w:r>
        <w:rPr>
          <w:sz w:val="20"/>
        </w:rPr>
        <w:tab/>
      </w:r>
      <w:r w:rsidR="00C61F01">
        <w:t xml:space="preserve">I allow amendments to be made to the statement of claim in the terms of paragraphs 4 to 6 and paragraph 12. </w:t>
      </w:r>
    </w:p>
    <w:p w:rsidR="00C61F01" w:rsidRDefault="004402EC" w:rsidP="004402EC">
      <w:pPr>
        <w:pStyle w:val="ParaNumbering"/>
        <w:numPr>
          <w:ilvl w:val="0"/>
          <w:numId w:val="0"/>
        </w:numPr>
        <w:tabs>
          <w:tab w:val="left" w:pos="720"/>
        </w:tabs>
        <w:ind w:hanging="720"/>
      </w:pPr>
      <w:r>
        <w:rPr>
          <w:sz w:val="20"/>
        </w:rPr>
        <w:t>107</w:t>
      </w:r>
      <w:r>
        <w:rPr>
          <w:sz w:val="20"/>
        </w:rPr>
        <w:tab/>
      </w:r>
      <w:r w:rsidR="00C61F01">
        <w:t xml:space="preserve">I refuse leave to the plaintiffs to amend the statement of claim in terms of the proposed paragraphs 7 to 11 and 13 to 19. </w:t>
      </w:r>
    </w:p>
    <w:p w:rsidR="00C61F01" w:rsidRDefault="004402EC" w:rsidP="00C61F01">
      <w:pPr>
        <w:pStyle w:val="Heading1"/>
      </w:pPr>
      <w:r>
        <w:rPr>
          <w:caps w:val="0"/>
        </w:rPr>
        <w:t>ORIGINATING APPLICATION</w:t>
      </w:r>
    </w:p>
    <w:p w:rsidR="003B1F72" w:rsidRDefault="004402EC" w:rsidP="004402EC">
      <w:pPr>
        <w:pStyle w:val="ParaNumbering"/>
        <w:numPr>
          <w:ilvl w:val="0"/>
          <w:numId w:val="0"/>
        </w:numPr>
        <w:tabs>
          <w:tab w:val="left" w:pos="720"/>
        </w:tabs>
        <w:ind w:hanging="720"/>
      </w:pPr>
      <w:r>
        <w:rPr>
          <w:sz w:val="20"/>
        </w:rPr>
        <w:t>108</w:t>
      </w:r>
      <w:r>
        <w:rPr>
          <w:sz w:val="20"/>
        </w:rPr>
        <w:tab/>
      </w:r>
      <w:r w:rsidR="00C61F01">
        <w:t xml:space="preserve">The plaintiffs also sought leave in their interlocutory application filed 7 February 2022 at paragraph 6 and 7 for leave to amend their originating application filed 23 August 2021. </w:t>
      </w:r>
    </w:p>
    <w:p w:rsidR="003B1F72" w:rsidRDefault="004402EC" w:rsidP="004402EC">
      <w:pPr>
        <w:pStyle w:val="ParaNumbering"/>
        <w:numPr>
          <w:ilvl w:val="0"/>
          <w:numId w:val="0"/>
        </w:numPr>
        <w:tabs>
          <w:tab w:val="left" w:pos="720"/>
        </w:tabs>
        <w:ind w:hanging="720"/>
      </w:pPr>
      <w:r>
        <w:rPr>
          <w:sz w:val="20"/>
        </w:rPr>
        <w:t>109</w:t>
      </w:r>
      <w:r>
        <w:rPr>
          <w:sz w:val="20"/>
        </w:rPr>
        <w:tab/>
      </w:r>
      <w:r w:rsidR="00C61F01">
        <w:t xml:space="preserve">That application was not opposed. </w:t>
      </w:r>
    </w:p>
    <w:p w:rsidR="00C61F01" w:rsidRDefault="004402EC" w:rsidP="004402EC">
      <w:pPr>
        <w:pStyle w:val="ParaNumbering"/>
        <w:numPr>
          <w:ilvl w:val="0"/>
          <w:numId w:val="0"/>
        </w:numPr>
        <w:tabs>
          <w:tab w:val="left" w:pos="720"/>
        </w:tabs>
        <w:ind w:hanging="720"/>
      </w:pPr>
      <w:r>
        <w:rPr>
          <w:sz w:val="20"/>
        </w:rPr>
        <w:t>110</w:t>
      </w:r>
      <w:r>
        <w:rPr>
          <w:sz w:val="20"/>
        </w:rPr>
        <w:tab/>
      </w:r>
      <w:r w:rsidR="00C61F01">
        <w:t>Accordingly, I grant leave to the plaintiffs to amend the originating application in terms of paragraphs 6 and 7 of their interlocutory application filed 7</w:t>
      </w:r>
      <w:r w:rsidR="00CB3580">
        <w:t> </w:t>
      </w:r>
      <w:r w:rsidR="003B1F72">
        <w:t>February 2022.</w:t>
      </w:r>
    </w:p>
    <w:p w:rsidR="00C61F01" w:rsidRDefault="00C61F01" w:rsidP="00672F6E">
      <w:pPr>
        <w:pStyle w:val="BodyText"/>
      </w:pPr>
      <w:bookmarkStart w:id="22" w:name="Certification"/>
    </w:p>
    <w:tbl>
      <w:tblPr>
        <w:tblW w:w="0" w:type="auto"/>
        <w:tblLook w:val="04A0" w:firstRow="1" w:lastRow="0" w:firstColumn="1" w:lastColumn="0" w:noHBand="0" w:noVBand="1"/>
      </w:tblPr>
      <w:tblGrid>
        <w:gridCol w:w="3794"/>
      </w:tblGrid>
      <w:tr w:rsidR="00C61F01" w:rsidRPr="00C61F01">
        <w:tc>
          <w:tcPr>
            <w:tcW w:w="3794" w:type="dxa"/>
            <w:shd w:val="clear" w:color="auto" w:fill="auto"/>
          </w:tcPr>
          <w:p w:rsidR="00C61F01" w:rsidRPr="00C61F01" w:rsidRDefault="00C61F01" w:rsidP="00C61F01">
            <w:pPr>
              <w:pStyle w:val="Normal1linespace"/>
            </w:pPr>
            <w:r w:rsidRPr="00C61F01">
              <w:t xml:space="preserve">I certify that the preceding </w:t>
            </w:r>
            <w:bookmarkStart w:id="23" w:name="NumberWord"/>
            <w:r w:rsidR="009F5A3B">
              <w:t>one hundred and ten</w:t>
            </w:r>
            <w:bookmarkEnd w:id="23"/>
            <w:r w:rsidRPr="00C61F01">
              <w:t xml:space="preserve"> (</w:t>
            </w:r>
            <w:bookmarkStart w:id="24" w:name="NumberNumeral"/>
            <w:r w:rsidR="009F5A3B">
              <w:t>110</w:t>
            </w:r>
            <w:bookmarkEnd w:id="24"/>
            <w:r w:rsidRPr="00C61F01">
              <w:t xml:space="preserve">) numbered </w:t>
            </w:r>
            <w:bookmarkStart w:id="25" w:name="CertPara"/>
            <w:r w:rsidR="009F5A3B">
              <w:t>paragraphs are</w:t>
            </w:r>
            <w:bookmarkEnd w:id="25"/>
            <w:r w:rsidRPr="00C61F01">
              <w:t xml:space="preserve"> a true copy of the Reasons for Judgment of </w:t>
            </w:r>
            <w:bookmarkStart w:id="26" w:name="bkHonourable"/>
            <w:r w:rsidRPr="00C61F01">
              <w:t xml:space="preserve">the Honourable </w:t>
            </w:r>
            <w:bookmarkStart w:id="27" w:name="Justice"/>
            <w:bookmarkEnd w:id="26"/>
            <w:r w:rsidR="009F5A3B">
              <w:t>Justice O'Sullivan</w:t>
            </w:r>
            <w:bookmarkEnd w:id="27"/>
            <w:r w:rsidRPr="00C61F01">
              <w:t>.</w:t>
            </w:r>
          </w:p>
        </w:tc>
        <w:bookmarkStart w:id="28" w:name="_GoBack"/>
        <w:bookmarkEnd w:id="28"/>
      </w:tr>
    </w:tbl>
    <w:p w:rsidR="00C61F01" w:rsidRDefault="00C61F01" w:rsidP="00672F6E">
      <w:pPr>
        <w:pStyle w:val="BodyText"/>
      </w:pPr>
    </w:p>
    <w:p w:rsidR="00C61F01" w:rsidRDefault="00C61F01" w:rsidP="00672F6E">
      <w:pPr>
        <w:pStyle w:val="BodyText"/>
      </w:pPr>
    </w:p>
    <w:p w:rsidR="00C61F01" w:rsidRDefault="00C61F01" w:rsidP="00672F6E">
      <w:pPr>
        <w:pStyle w:val="BodyText"/>
      </w:pPr>
    </w:p>
    <w:p w:rsidR="00C61F01" w:rsidRDefault="00C61F01" w:rsidP="00672F6E">
      <w:pPr>
        <w:pStyle w:val="BodyText"/>
      </w:pPr>
      <w:r>
        <w:t>Associate:</w:t>
      </w:r>
      <w:r w:rsidR="008C536A">
        <w:t xml:space="preserve">  </w:t>
      </w:r>
    </w:p>
    <w:p w:rsidR="00C61F01" w:rsidRDefault="00C61F01" w:rsidP="00672F6E">
      <w:pPr>
        <w:pStyle w:val="BodyText"/>
      </w:pPr>
    </w:p>
    <w:p w:rsidR="00C61F01" w:rsidRDefault="00C61F01" w:rsidP="00672F6E">
      <w:pPr>
        <w:pStyle w:val="BodyText"/>
        <w:tabs>
          <w:tab w:val="left" w:pos="1134"/>
        </w:tabs>
      </w:pPr>
      <w:r>
        <w:t>Dated:</w:t>
      </w:r>
      <w:r>
        <w:tab/>
      </w:r>
      <w:r w:rsidR="003B1F72">
        <w:t>13 May 2022</w:t>
      </w:r>
    </w:p>
    <w:bookmarkEnd w:id="22"/>
    <w:p w:rsidR="00CD1346" w:rsidRDefault="00CD1346" w:rsidP="00C61F01">
      <w:pPr>
        <w:pStyle w:val="BodyText"/>
      </w:pPr>
    </w:p>
    <w:sectPr w:rsidR="00CD1346"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F6E" w:rsidRDefault="00672F6E">
      <w:pPr>
        <w:spacing w:line="20" w:lineRule="exact"/>
      </w:pPr>
    </w:p>
    <w:p w:rsidR="00672F6E" w:rsidRDefault="00672F6E"/>
    <w:p w:rsidR="00672F6E" w:rsidRDefault="00672F6E"/>
  </w:endnote>
  <w:endnote w:type="continuationSeparator" w:id="0">
    <w:p w:rsidR="00672F6E" w:rsidRDefault="00672F6E">
      <w:r>
        <w:t xml:space="preserve"> </w:t>
      </w:r>
    </w:p>
    <w:p w:rsidR="00672F6E" w:rsidRDefault="00672F6E"/>
    <w:p w:rsidR="00672F6E" w:rsidRDefault="00672F6E"/>
  </w:endnote>
  <w:endnote w:type="continuationNotice" w:id="1">
    <w:p w:rsidR="00672F6E" w:rsidRDefault="00672F6E">
      <w:r>
        <w:t xml:space="preserve"> </w:t>
      </w:r>
    </w:p>
    <w:p w:rsidR="00672F6E" w:rsidRDefault="00672F6E"/>
    <w:p w:rsidR="00672F6E" w:rsidRDefault="00672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6E" w:rsidRDefault="00672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6E" w:rsidRPr="00C47B9D" w:rsidRDefault="00672F6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93E66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Holland v BT Securities Limited [2022] FCA 539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6E" w:rsidRPr="00C61F01" w:rsidRDefault="00672F6E" w:rsidP="00C61F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6E" w:rsidRPr="00C47B9D" w:rsidRDefault="00672F6E"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41923F"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EA9AF70BA0C84BF097D702497AB95772"/>
        </w:placeholder>
        <w:dataBinding w:prefixMappings="xmlns:ns0='http://schemas.globalmacros.com/FCA'" w:xpath="/ns0:root[1]/ns0:Name[1]" w:storeItemID="{687E7CCB-4AA5-44E7-B148-17BA2B6F57C0}"/>
        <w:text w:multiLine="1"/>
      </w:sdtPr>
      <w:sdtEndPr/>
      <w:sdtContent>
        <w:r>
          <w:rPr>
            <w:bCs/>
            <w:sz w:val="18"/>
            <w:szCs w:val="18"/>
          </w:rPr>
          <w:t>Holland v BT Securities Limited [2022] FCA 539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6E" w:rsidRPr="00C47B9D" w:rsidRDefault="00672F6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F3BA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7CD3105BA3524C0F8E1B04B017E8267E"/>
        </w:placeholder>
        <w:dataBinding w:prefixMappings="xmlns:ns0='http://schemas.globalmacros.com/FCA'" w:xpath="/ns0:root[1]/ns0:Name[1]" w:storeItemID="{687E7CCB-4AA5-44E7-B148-17BA2B6F57C0}"/>
        <w:text w:multiLine="1"/>
      </w:sdtPr>
      <w:sdtEndPr/>
      <w:sdtContent>
        <w:r>
          <w:rPr>
            <w:bCs/>
            <w:sz w:val="18"/>
            <w:szCs w:val="18"/>
          </w:rPr>
          <w:t>Holland v BT Securities Limited [2022] FCA 539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402EC">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6E" w:rsidRPr="00C47B9D" w:rsidRDefault="00672F6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20C729"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91404F5D668B4B93AFA5449C236C28BC"/>
        </w:placeholder>
        <w:dataBinding w:prefixMappings="xmlns:ns0='http://schemas.globalmacros.com/FCA'" w:xpath="/ns0:root[1]/ns0:Name[1]" w:storeItemID="{687E7CCB-4AA5-44E7-B148-17BA2B6F57C0}"/>
        <w:text w:multiLine="1"/>
      </w:sdtPr>
      <w:sdtEndPr/>
      <w:sdtContent>
        <w:r>
          <w:rPr>
            <w:bCs/>
            <w:sz w:val="18"/>
            <w:szCs w:val="18"/>
          </w:rPr>
          <w:t>Holland v BT Securities Limited [2022] FCA 539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402EC">
      <w:rPr>
        <w:bCs/>
        <w:noProof/>
        <w:sz w:val="20"/>
      </w:rPr>
      <w:t>23</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6E" w:rsidRPr="00C47B9D" w:rsidRDefault="00672F6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04502"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5F503417A7C442F393727B147E6A4987"/>
        </w:placeholder>
        <w:dataBinding w:prefixMappings="xmlns:ns0='http://schemas.globalmacros.com/FCA'" w:xpath="/ns0:root[1]/ns0:Name[1]" w:storeItemID="{687E7CCB-4AA5-44E7-B148-17BA2B6F57C0}"/>
        <w:text w:multiLine="1"/>
      </w:sdtPr>
      <w:sdtEndPr/>
      <w:sdtContent>
        <w:r>
          <w:rPr>
            <w:bCs/>
            <w:sz w:val="18"/>
            <w:szCs w:val="18"/>
          </w:rPr>
          <w:t>Holland v BT Securities Limited [2022] FCA 539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402EC">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F6E" w:rsidRDefault="00672F6E"/>
  </w:footnote>
  <w:footnote w:type="continuationSeparator" w:id="0">
    <w:p w:rsidR="00672F6E" w:rsidRDefault="00672F6E">
      <w:r>
        <w:continuationSeparator/>
      </w:r>
    </w:p>
    <w:p w:rsidR="00672F6E" w:rsidRDefault="00672F6E"/>
    <w:p w:rsidR="00672F6E" w:rsidRDefault="00672F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6E" w:rsidRDefault="00672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6E" w:rsidRDefault="00672F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6E" w:rsidRDefault="00672F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6E" w:rsidRDefault="00672F6E">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6E" w:rsidRDefault="00672F6E">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6E" w:rsidRDefault="00672F6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6E" w:rsidRDefault="00672F6E">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6E" w:rsidRDefault="00672F6E"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1004"/>
        </w:tabs>
        <w:ind w:left="1004"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97A2A240"/>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F3721786"/>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571"/>
        </w:tabs>
        <w:ind w:left="1571"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9"/>
    <w:lvlOverride w:ilvl="0">
      <w:startOverride w:val="1"/>
    </w:lvlOverride>
    <w:lvlOverride w:ilvl="1">
      <w:startOverride w:val="7"/>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0"/>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5"/>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01"/>
    <w:rsid w:val="00000747"/>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7768"/>
    <w:rsid w:val="00081497"/>
    <w:rsid w:val="00081A89"/>
    <w:rsid w:val="000831EC"/>
    <w:rsid w:val="00084126"/>
    <w:rsid w:val="00085255"/>
    <w:rsid w:val="000A2E76"/>
    <w:rsid w:val="000A4807"/>
    <w:rsid w:val="000A4BE4"/>
    <w:rsid w:val="000C023E"/>
    <w:rsid w:val="000C405D"/>
    <w:rsid w:val="000C5195"/>
    <w:rsid w:val="000C62EF"/>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44978"/>
    <w:rsid w:val="00155CD2"/>
    <w:rsid w:val="001727A4"/>
    <w:rsid w:val="0017376C"/>
    <w:rsid w:val="001738AB"/>
    <w:rsid w:val="001765E0"/>
    <w:rsid w:val="00177759"/>
    <w:rsid w:val="00180BB3"/>
    <w:rsid w:val="00185DD6"/>
    <w:rsid w:val="00185E6B"/>
    <w:rsid w:val="00187BBC"/>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20262C"/>
    <w:rsid w:val="00202723"/>
    <w:rsid w:val="00211A3E"/>
    <w:rsid w:val="00213F20"/>
    <w:rsid w:val="00214055"/>
    <w:rsid w:val="00215BCA"/>
    <w:rsid w:val="002160F5"/>
    <w:rsid w:val="00217AC4"/>
    <w:rsid w:val="00221461"/>
    <w:rsid w:val="00224537"/>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3779"/>
    <w:rsid w:val="002E5BF9"/>
    <w:rsid w:val="002E6A7A"/>
    <w:rsid w:val="002F1E49"/>
    <w:rsid w:val="002F4E9C"/>
    <w:rsid w:val="002F6E15"/>
    <w:rsid w:val="00302F4E"/>
    <w:rsid w:val="00304D5F"/>
    <w:rsid w:val="0031256C"/>
    <w:rsid w:val="00314D6C"/>
    <w:rsid w:val="00316D2A"/>
    <w:rsid w:val="00322A7C"/>
    <w:rsid w:val="00322EEC"/>
    <w:rsid w:val="00323061"/>
    <w:rsid w:val="003402D3"/>
    <w:rsid w:val="0034068E"/>
    <w:rsid w:val="00343ABC"/>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22F8"/>
    <w:rsid w:val="00395B24"/>
    <w:rsid w:val="003A2A6D"/>
    <w:rsid w:val="003A2D38"/>
    <w:rsid w:val="003A7ECC"/>
    <w:rsid w:val="003B1F72"/>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031D8"/>
    <w:rsid w:val="00404274"/>
    <w:rsid w:val="004104B6"/>
    <w:rsid w:val="00411AE8"/>
    <w:rsid w:val="00413B74"/>
    <w:rsid w:val="00421412"/>
    <w:rsid w:val="004342F3"/>
    <w:rsid w:val="00435C5F"/>
    <w:rsid w:val="00436155"/>
    <w:rsid w:val="00436460"/>
    <w:rsid w:val="004402EC"/>
    <w:rsid w:val="00441E98"/>
    <w:rsid w:val="00450F3A"/>
    <w:rsid w:val="004532F7"/>
    <w:rsid w:val="00464D51"/>
    <w:rsid w:val="00472027"/>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128A"/>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72F6E"/>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507"/>
    <w:rsid w:val="006D4C92"/>
    <w:rsid w:val="006D4EB6"/>
    <w:rsid w:val="006D7FBC"/>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7B"/>
    <w:rsid w:val="007470BD"/>
    <w:rsid w:val="0075608A"/>
    <w:rsid w:val="00760EC0"/>
    <w:rsid w:val="007711BD"/>
    <w:rsid w:val="0078003A"/>
    <w:rsid w:val="00780771"/>
    <w:rsid w:val="007929CF"/>
    <w:rsid w:val="00797BA8"/>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1C5"/>
    <w:rsid w:val="007E4DB6"/>
    <w:rsid w:val="007E6733"/>
    <w:rsid w:val="007E7CD4"/>
    <w:rsid w:val="007F12AC"/>
    <w:rsid w:val="007F4501"/>
    <w:rsid w:val="007F60DF"/>
    <w:rsid w:val="00801800"/>
    <w:rsid w:val="00801861"/>
    <w:rsid w:val="00801B5B"/>
    <w:rsid w:val="00805A30"/>
    <w:rsid w:val="008216E7"/>
    <w:rsid w:val="00825BE6"/>
    <w:rsid w:val="008276B4"/>
    <w:rsid w:val="00831927"/>
    <w:rsid w:val="00837288"/>
    <w:rsid w:val="00841BD3"/>
    <w:rsid w:val="0084273D"/>
    <w:rsid w:val="00844E3F"/>
    <w:rsid w:val="00845A83"/>
    <w:rsid w:val="00846BB9"/>
    <w:rsid w:val="008649D5"/>
    <w:rsid w:val="008712BB"/>
    <w:rsid w:val="008737DE"/>
    <w:rsid w:val="008830E7"/>
    <w:rsid w:val="00890EDE"/>
    <w:rsid w:val="00892B38"/>
    <w:rsid w:val="008A1741"/>
    <w:rsid w:val="008A2484"/>
    <w:rsid w:val="008A52F3"/>
    <w:rsid w:val="008B3E0C"/>
    <w:rsid w:val="008C26D9"/>
    <w:rsid w:val="008C536A"/>
    <w:rsid w:val="008C6D50"/>
    <w:rsid w:val="008C7167"/>
    <w:rsid w:val="008C7503"/>
    <w:rsid w:val="008D1617"/>
    <w:rsid w:val="008D330F"/>
    <w:rsid w:val="008D48C1"/>
    <w:rsid w:val="008E1556"/>
    <w:rsid w:val="008E6315"/>
    <w:rsid w:val="008F0480"/>
    <w:rsid w:val="008F07FC"/>
    <w:rsid w:val="008F11E0"/>
    <w:rsid w:val="008F3EA7"/>
    <w:rsid w:val="008F78BC"/>
    <w:rsid w:val="008F7B63"/>
    <w:rsid w:val="008F7D6A"/>
    <w:rsid w:val="00901C86"/>
    <w:rsid w:val="00903603"/>
    <w:rsid w:val="009054CB"/>
    <w:rsid w:val="00907757"/>
    <w:rsid w:val="00911F8D"/>
    <w:rsid w:val="00912F94"/>
    <w:rsid w:val="009171BC"/>
    <w:rsid w:val="0092497E"/>
    <w:rsid w:val="0092590B"/>
    <w:rsid w:val="00925BF3"/>
    <w:rsid w:val="00925E60"/>
    <w:rsid w:val="009264B3"/>
    <w:rsid w:val="00931E4C"/>
    <w:rsid w:val="009365E0"/>
    <w:rsid w:val="00936F53"/>
    <w:rsid w:val="00942BA2"/>
    <w:rsid w:val="009432B7"/>
    <w:rsid w:val="00944C86"/>
    <w:rsid w:val="00947C02"/>
    <w:rsid w:val="00950BE6"/>
    <w:rsid w:val="00957DE8"/>
    <w:rsid w:val="00960ECB"/>
    <w:rsid w:val="009615D6"/>
    <w:rsid w:val="00967855"/>
    <w:rsid w:val="00971CD1"/>
    <w:rsid w:val="00974709"/>
    <w:rsid w:val="009801AE"/>
    <w:rsid w:val="00980736"/>
    <w:rsid w:val="00981A39"/>
    <w:rsid w:val="00982D56"/>
    <w:rsid w:val="00983DBF"/>
    <w:rsid w:val="00986E00"/>
    <w:rsid w:val="00987097"/>
    <w:rsid w:val="00991123"/>
    <w:rsid w:val="00991CAB"/>
    <w:rsid w:val="009A3A9C"/>
    <w:rsid w:val="009B046C"/>
    <w:rsid w:val="009B13FA"/>
    <w:rsid w:val="009B1E2D"/>
    <w:rsid w:val="009C59FB"/>
    <w:rsid w:val="009C6F3B"/>
    <w:rsid w:val="009D1467"/>
    <w:rsid w:val="009D328D"/>
    <w:rsid w:val="009E4FA6"/>
    <w:rsid w:val="009E7D93"/>
    <w:rsid w:val="009F3C34"/>
    <w:rsid w:val="009F462C"/>
    <w:rsid w:val="009F5A3B"/>
    <w:rsid w:val="009F5C33"/>
    <w:rsid w:val="009F659A"/>
    <w:rsid w:val="00A026F0"/>
    <w:rsid w:val="00A03EAC"/>
    <w:rsid w:val="00A04DBB"/>
    <w:rsid w:val="00A07EA0"/>
    <w:rsid w:val="00A11CA6"/>
    <w:rsid w:val="00A14F47"/>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92E79"/>
    <w:rsid w:val="00A950B6"/>
    <w:rsid w:val="00A95D45"/>
    <w:rsid w:val="00AA3EA8"/>
    <w:rsid w:val="00AB41C1"/>
    <w:rsid w:val="00AB4CF2"/>
    <w:rsid w:val="00AB6CCA"/>
    <w:rsid w:val="00AC223F"/>
    <w:rsid w:val="00AC33B1"/>
    <w:rsid w:val="00AD12A8"/>
    <w:rsid w:val="00AE023F"/>
    <w:rsid w:val="00AF32CC"/>
    <w:rsid w:val="00AF3577"/>
    <w:rsid w:val="00AF35F9"/>
    <w:rsid w:val="00B0424C"/>
    <w:rsid w:val="00B05C7D"/>
    <w:rsid w:val="00B15D57"/>
    <w:rsid w:val="00B16347"/>
    <w:rsid w:val="00B17D6E"/>
    <w:rsid w:val="00B2435E"/>
    <w:rsid w:val="00B346C3"/>
    <w:rsid w:val="00B4005C"/>
    <w:rsid w:val="00B4227E"/>
    <w:rsid w:val="00B43B53"/>
    <w:rsid w:val="00B4471C"/>
    <w:rsid w:val="00B451A6"/>
    <w:rsid w:val="00B56D6E"/>
    <w:rsid w:val="00B64347"/>
    <w:rsid w:val="00B65DC6"/>
    <w:rsid w:val="00B66030"/>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E183D"/>
    <w:rsid w:val="00BF24C2"/>
    <w:rsid w:val="00BF2922"/>
    <w:rsid w:val="00BF5D7A"/>
    <w:rsid w:val="00C01C2E"/>
    <w:rsid w:val="00C02D33"/>
    <w:rsid w:val="00C04B53"/>
    <w:rsid w:val="00C1232C"/>
    <w:rsid w:val="00C27C6B"/>
    <w:rsid w:val="00C3594D"/>
    <w:rsid w:val="00C36442"/>
    <w:rsid w:val="00C400CE"/>
    <w:rsid w:val="00C410FD"/>
    <w:rsid w:val="00C457DE"/>
    <w:rsid w:val="00C47DD3"/>
    <w:rsid w:val="00C5316F"/>
    <w:rsid w:val="00C53562"/>
    <w:rsid w:val="00C539FB"/>
    <w:rsid w:val="00C61F01"/>
    <w:rsid w:val="00C66AA3"/>
    <w:rsid w:val="00C66E57"/>
    <w:rsid w:val="00C724D7"/>
    <w:rsid w:val="00C72DD2"/>
    <w:rsid w:val="00C74150"/>
    <w:rsid w:val="00C75594"/>
    <w:rsid w:val="00C75CDC"/>
    <w:rsid w:val="00C85982"/>
    <w:rsid w:val="00C87411"/>
    <w:rsid w:val="00CA0466"/>
    <w:rsid w:val="00CA246D"/>
    <w:rsid w:val="00CA50D9"/>
    <w:rsid w:val="00CB1605"/>
    <w:rsid w:val="00CB3054"/>
    <w:rsid w:val="00CB3580"/>
    <w:rsid w:val="00CB5636"/>
    <w:rsid w:val="00CB5F30"/>
    <w:rsid w:val="00CC3EE5"/>
    <w:rsid w:val="00CC6E47"/>
    <w:rsid w:val="00CD1346"/>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0CC6"/>
    <w:rsid w:val="00D55AE8"/>
    <w:rsid w:val="00D56056"/>
    <w:rsid w:val="00D6085F"/>
    <w:rsid w:val="00D62699"/>
    <w:rsid w:val="00D73FEA"/>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045BE"/>
    <w:rsid w:val="00E10F0D"/>
    <w:rsid w:val="00E14EA5"/>
    <w:rsid w:val="00E2070E"/>
    <w:rsid w:val="00E21133"/>
    <w:rsid w:val="00E2327E"/>
    <w:rsid w:val="00E23577"/>
    <w:rsid w:val="00E266EF"/>
    <w:rsid w:val="00E326A8"/>
    <w:rsid w:val="00E427F2"/>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63A"/>
    <w:rsid w:val="00E91A0F"/>
    <w:rsid w:val="00E94A71"/>
    <w:rsid w:val="00E94CBF"/>
    <w:rsid w:val="00EA03CE"/>
    <w:rsid w:val="00EA23E5"/>
    <w:rsid w:val="00EA3A89"/>
    <w:rsid w:val="00EA4E2E"/>
    <w:rsid w:val="00EB2417"/>
    <w:rsid w:val="00EB2CCB"/>
    <w:rsid w:val="00EB7A25"/>
    <w:rsid w:val="00EC0F3E"/>
    <w:rsid w:val="00EC57A7"/>
    <w:rsid w:val="00ED0817"/>
    <w:rsid w:val="00ED7DD9"/>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775AC"/>
    <w:rsid w:val="00F8792F"/>
    <w:rsid w:val="00F9214D"/>
    <w:rsid w:val="00F92355"/>
    <w:rsid w:val="00F93963"/>
    <w:rsid w:val="00F94291"/>
    <w:rsid w:val="00F97B89"/>
    <w:rsid w:val="00FA298A"/>
    <w:rsid w:val="00FA5B66"/>
    <w:rsid w:val="00FB0B9C"/>
    <w:rsid w:val="00FB30EB"/>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44"/>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tabs>
        <w:tab w:val="clear" w:pos="1004"/>
        <w:tab w:val="num" w:pos="720"/>
      </w:tabs>
      <w:spacing w:before="60" w:after="60"/>
      <w:ind w:left="72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7"/>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ListParagraph">
    <w:name w:val="List Paragraph"/>
    <w:basedOn w:val="Normal"/>
    <w:uiPriority w:val="34"/>
    <w:qFormat/>
    <w:rsid w:val="00C61F01"/>
    <w:pPr>
      <w:spacing w:after="160" w:line="259" w:lineRule="auto"/>
      <w:ind w:left="720"/>
      <w:contextualSpacing/>
      <w:jc w:val="left"/>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C61F01"/>
    <w:rPr>
      <w:b/>
      <w:sz w:val="24"/>
      <w:szCs w:val="24"/>
      <w:lang w:eastAsia="en-US"/>
    </w:rPr>
  </w:style>
  <w:style w:type="character" w:customStyle="1" w:styleId="Heading3Char">
    <w:name w:val="Heading 3 Char"/>
    <w:basedOn w:val="DefaultParagraphFont"/>
    <w:link w:val="Heading3"/>
    <w:rsid w:val="00C61F01"/>
    <w:rPr>
      <w:b/>
      <w:i/>
      <w:sz w:val="24"/>
      <w:lang w:eastAsia="en-US"/>
    </w:rPr>
  </w:style>
  <w:style w:type="paragraph" w:customStyle="1" w:styleId="Default">
    <w:name w:val="Default"/>
    <w:rsid w:val="00C61F0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07863">
      <w:bodyDiv w:val="1"/>
      <w:marLeft w:val="0"/>
      <w:marRight w:val="0"/>
      <w:marTop w:val="0"/>
      <w:marBottom w:val="0"/>
      <w:divBdr>
        <w:top w:val="none" w:sz="0" w:space="0" w:color="auto"/>
        <w:left w:val="none" w:sz="0" w:space="0" w:color="auto"/>
        <w:bottom w:val="none" w:sz="0" w:space="0" w:color="auto"/>
        <w:right w:val="none" w:sz="0" w:space="0" w:color="auto"/>
      </w:divBdr>
    </w:div>
    <w:div w:id="1029643790">
      <w:bodyDiv w:val="1"/>
      <w:marLeft w:val="0"/>
      <w:marRight w:val="0"/>
      <w:marTop w:val="0"/>
      <w:marBottom w:val="0"/>
      <w:divBdr>
        <w:top w:val="none" w:sz="0" w:space="0" w:color="auto"/>
        <w:left w:val="none" w:sz="0" w:space="0" w:color="auto"/>
        <w:bottom w:val="none" w:sz="0" w:space="0" w:color="auto"/>
        <w:right w:val="none" w:sz="0" w:space="0" w:color="auto"/>
      </w:divBdr>
    </w:div>
    <w:div w:id="206263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DCC1D4A0F1473DA44EA6C6845AE9CD"/>
        <w:category>
          <w:name w:val="General"/>
          <w:gallery w:val="placeholder"/>
        </w:category>
        <w:types>
          <w:type w:val="bbPlcHdr"/>
        </w:types>
        <w:behaviors>
          <w:behavior w:val="content"/>
        </w:behaviors>
        <w:guid w:val="{C762D82B-9A49-4F5F-85C0-6C06469EAAB6}"/>
      </w:docPartPr>
      <w:docPartBody>
        <w:p w:rsidR="00277908" w:rsidRDefault="00277908">
          <w:pPr>
            <w:pStyle w:val="17DCC1D4A0F1473DA44EA6C6845AE9CD"/>
          </w:pPr>
          <w:r>
            <w:rPr>
              <w:rStyle w:val="PlaceholderText"/>
            </w:rPr>
            <w:t>MNC Text</w:t>
          </w:r>
        </w:p>
      </w:docPartBody>
    </w:docPart>
    <w:docPart>
      <w:docPartPr>
        <w:name w:val="EA9AF70BA0C84BF097D702497AB95772"/>
        <w:category>
          <w:name w:val="General"/>
          <w:gallery w:val="placeholder"/>
        </w:category>
        <w:types>
          <w:type w:val="bbPlcHdr"/>
        </w:types>
        <w:behaviors>
          <w:behavior w:val="content"/>
        </w:behaviors>
        <w:guid w:val="{B1EB8B33-6B36-4A60-9C4D-673C82985778}"/>
      </w:docPartPr>
      <w:docPartBody>
        <w:p w:rsidR="00277908" w:rsidRDefault="00277908">
          <w:pPr>
            <w:pStyle w:val="EA9AF70BA0C84BF097D702497AB95772"/>
          </w:pPr>
          <w:r w:rsidRPr="005C44BE">
            <w:rPr>
              <w:rStyle w:val="PlaceholderText"/>
            </w:rPr>
            <w:t>Click or tap here to enter text.</w:t>
          </w:r>
        </w:p>
      </w:docPartBody>
    </w:docPart>
    <w:docPart>
      <w:docPartPr>
        <w:name w:val="7CD3105BA3524C0F8E1B04B017E8267E"/>
        <w:category>
          <w:name w:val="General"/>
          <w:gallery w:val="placeholder"/>
        </w:category>
        <w:types>
          <w:type w:val="bbPlcHdr"/>
        </w:types>
        <w:behaviors>
          <w:behavior w:val="content"/>
        </w:behaviors>
        <w:guid w:val="{E9170D1A-D412-4BCC-83C3-700899447A70}"/>
      </w:docPartPr>
      <w:docPartBody>
        <w:p w:rsidR="00277908" w:rsidRDefault="00277908">
          <w:pPr>
            <w:pStyle w:val="7CD3105BA3524C0F8E1B04B017E8267E"/>
          </w:pPr>
          <w:r w:rsidRPr="005C44BE">
            <w:rPr>
              <w:rStyle w:val="PlaceholderText"/>
            </w:rPr>
            <w:t>Click or tap here to enter text.</w:t>
          </w:r>
        </w:p>
      </w:docPartBody>
    </w:docPart>
    <w:docPart>
      <w:docPartPr>
        <w:name w:val="91404F5D668B4B93AFA5449C236C28BC"/>
        <w:category>
          <w:name w:val="General"/>
          <w:gallery w:val="placeholder"/>
        </w:category>
        <w:types>
          <w:type w:val="bbPlcHdr"/>
        </w:types>
        <w:behaviors>
          <w:behavior w:val="content"/>
        </w:behaviors>
        <w:guid w:val="{8FA7E138-E798-4B91-AF90-28D5144E206C}"/>
      </w:docPartPr>
      <w:docPartBody>
        <w:p w:rsidR="00277908" w:rsidRDefault="00277908">
          <w:pPr>
            <w:pStyle w:val="91404F5D668B4B93AFA5449C236C28BC"/>
          </w:pPr>
          <w:r w:rsidRPr="005C44BE">
            <w:rPr>
              <w:rStyle w:val="PlaceholderText"/>
            </w:rPr>
            <w:t>Click or tap here to enter text.</w:t>
          </w:r>
        </w:p>
      </w:docPartBody>
    </w:docPart>
    <w:docPart>
      <w:docPartPr>
        <w:name w:val="5F503417A7C442F393727B147E6A4987"/>
        <w:category>
          <w:name w:val="General"/>
          <w:gallery w:val="placeholder"/>
        </w:category>
        <w:types>
          <w:type w:val="bbPlcHdr"/>
        </w:types>
        <w:behaviors>
          <w:behavior w:val="content"/>
        </w:behaviors>
        <w:guid w:val="{2A895C61-9B01-421E-94F4-A02D1308FF85}"/>
      </w:docPartPr>
      <w:docPartBody>
        <w:p w:rsidR="00277908" w:rsidRDefault="00277908">
          <w:pPr>
            <w:pStyle w:val="5F503417A7C442F393727B147E6A4987"/>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08"/>
    <w:rsid w:val="002779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DCC1D4A0F1473DA44EA6C6845AE9CD">
    <w:name w:val="17DCC1D4A0F1473DA44EA6C6845AE9CD"/>
  </w:style>
  <w:style w:type="paragraph" w:customStyle="1" w:styleId="EA9AF70BA0C84BF097D702497AB95772">
    <w:name w:val="EA9AF70BA0C84BF097D702497AB95772"/>
  </w:style>
  <w:style w:type="paragraph" w:customStyle="1" w:styleId="7CD3105BA3524C0F8E1B04B017E8267E">
    <w:name w:val="7CD3105BA3524C0F8E1B04B017E8267E"/>
  </w:style>
  <w:style w:type="paragraph" w:customStyle="1" w:styleId="91404F5D668B4B93AFA5449C236C28BC">
    <w:name w:val="91404F5D668B4B93AFA5449C236C28BC"/>
  </w:style>
  <w:style w:type="paragraph" w:customStyle="1" w:styleId="5F503417A7C442F393727B147E6A4987">
    <w:name w:val="5F503417A7C442F393727B147E6A4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Holland v BT Securities Limited [2022] FCA 539</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7763AE5F-B498-48BE-9D0E-9D17779B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26</Pages>
  <Words>8158</Words>
  <Characters>41610</Characters>
  <Application>Microsoft Office Word</Application>
  <DocSecurity>0</DocSecurity>
  <PresentationFormat/>
  <Lines>815</Lines>
  <Paragraphs>391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Holland v BT Securities Limited [2022] FCA 539</vt:lpstr>
    </vt:vector>
  </TitlesOfParts>
  <Manager/>
  <Company/>
  <LinksUpToDate>false</LinksUpToDate>
  <CharactersWithSpaces>49377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2006-02-06T01:31:00Z</cp:lastPrinted>
  <dcterms:created xsi:type="dcterms:W3CDTF">2022-05-15T23:39:00Z</dcterms:created>
  <dcterms:modified xsi:type="dcterms:W3CDTF">2022-05-15T23:39:00Z</dcterms:modified>
  <cp:category/>
  <cp:contentStatus/>
  <dc:language/>
  <cp:version/>
</cp:coreProperties>
</file>