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A56E77" w:rsidP="00A22932">
      <w:pPr>
        <w:pStyle w:val="CourtTitle"/>
      </w:pPr>
      <w:r>
        <w:fldChar w:fldCharType="begin"/>
      </w:r>
      <w:r>
        <w:instrText xml:space="preserve"> DOCPROPERTY  Court  \* MERGEFORMAT </w:instrText>
      </w:r>
      <w:r>
        <w:fldChar w:fldCharType="separate"/>
      </w:r>
      <w:r w:rsidR="00292451">
        <w:t>Federal Court of Australia</w:t>
      </w:r>
      <w:r>
        <w:fldChar w:fldCharType="end"/>
      </w:r>
    </w:p>
    <w:p w:rsidR="004D7950" w:rsidRDefault="004D7950">
      <w:pPr>
        <w:pStyle w:val="NormalHeadings"/>
        <w:jc w:val="center"/>
        <w:rPr>
          <w:sz w:val="32"/>
        </w:rPr>
      </w:pPr>
    </w:p>
    <w:bookmarkStart w:id="0" w:name="MNC"/>
    <w:p w:rsidR="00374CC4" w:rsidRDefault="00FE42E9" w:rsidP="001A2B40">
      <w:pPr>
        <w:pStyle w:val="MNC"/>
      </w:pPr>
      <w:sdt>
        <w:sdtPr>
          <w:rPr>
            <w:rFonts w:eastAsia="Times New Roman"/>
          </w:rPr>
          <w:alias w:val="MNC"/>
          <w:tag w:val="MNC"/>
          <w:id w:val="343289786"/>
          <w:lock w:val="sdtLocked"/>
          <w:placeholder>
            <w:docPart w:val="0EF089CD0D8441D6B2692DC4D0B74F77"/>
          </w:placeholder>
          <w:dataBinding w:prefixMappings="xmlns:ns0='http://schemas.globalmacros.com/FCA'" w:xpath="/ns0:root[1]/ns0:Name[1]" w:storeItemID="{687E7CCB-4AA5-44E7-B148-17BA2B6F57C0}"/>
          <w:text w:multiLine="1"/>
        </w:sdtPr>
        <w:sdtEndPr/>
        <w:sdtContent>
          <w:proofErr w:type="spellStart"/>
          <w:r w:rsidR="00815079" w:rsidRPr="00815079">
            <w:rPr>
              <w:rFonts w:eastAsia="Times New Roman"/>
            </w:rPr>
            <w:t>Airco</w:t>
          </w:r>
          <w:proofErr w:type="spellEnd"/>
          <w:r w:rsidR="00815079" w:rsidRPr="00815079">
            <w:rPr>
              <w:rFonts w:eastAsia="Times New Roman"/>
            </w:rPr>
            <w:t xml:space="preserve"> Fasteners Pty Ltd v Commissioner of Patents [2021]</w:t>
          </w:r>
          <w:r w:rsidR="00815079">
            <w:rPr>
              <w:rFonts w:eastAsia="Times New Roman"/>
            </w:rPr>
            <w:t xml:space="preserve"> FCA 1594</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11161A">
        <w:tc>
          <w:tcPr>
            <w:tcW w:w="3084" w:type="dxa"/>
            <w:shd w:val="clear" w:color="auto" w:fill="auto"/>
          </w:tcPr>
          <w:p w:rsidR="00395B24" w:rsidRDefault="002C7385" w:rsidP="00663878">
            <w:pPr>
              <w:pStyle w:val="Normal1linespace"/>
              <w:widowControl w:val="0"/>
              <w:jc w:val="left"/>
            </w:pPr>
            <w:r>
              <w:t>File number(s):</w:t>
            </w:r>
          </w:p>
        </w:tc>
        <w:tc>
          <w:tcPr>
            <w:tcW w:w="5989" w:type="dxa"/>
            <w:shd w:val="clear" w:color="auto" w:fill="auto"/>
          </w:tcPr>
          <w:p w:rsidR="00292451" w:rsidRPr="00292451" w:rsidRDefault="00A56E77" w:rsidP="00292451">
            <w:pPr>
              <w:pStyle w:val="Normal1linespace"/>
              <w:jc w:val="left"/>
            </w:pPr>
            <w:r w:rsidRPr="00292451">
              <w:fldChar w:fldCharType="begin" w:fldLock="1"/>
            </w:r>
            <w:r w:rsidRPr="00292451">
              <w:instrText xml:space="preserve"> REF  FileNo  \* MERGEFORMAT </w:instrText>
            </w:r>
            <w:r w:rsidRPr="00292451">
              <w:fldChar w:fldCharType="separate"/>
            </w:r>
            <w:r w:rsidR="00292451" w:rsidRPr="00292451">
              <w:t>VID 711 of 2021</w:t>
            </w:r>
          </w:p>
          <w:p w:rsidR="00395B24" w:rsidRPr="001B1053" w:rsidRDefault="00292451" w:rsidP="00292451">
            <w:pPr>
              <w:pStyle w:val="Normal1linespace"/>
              <w:jc w:val="left"/>
            </w:pPr>
            <w:r w:rsidRPr="00292451">
              <w:t>VID</w:t>
            </w:r>
            <w:r w:rsidR="00815079">
              <w:t xml:space="preserve"> </w:t>
            </w:r>
            <w:r w:rsidRPr="00292451">
              <w:t>716 of 2021</w:t>
            </w:r>
            <w:r w:rsidR="00A56E77" w:rsidRPr="00292451">
              <w:fldChar w:fldCharType="end"/>
            </w:r>
          </w:p>
        </w:tc>
      </w:tr>
      <w:tr w:rsidR="00395B24" w:rsidTr="0011161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1161A">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292451">
              <w:rPr>
                <w:b/>
              </w:rPr>
              <w:fldChar w:fldCharType="begin" w:fldLock="1"/>
            </w:r>
            <w:r w:rsidRPr="00292451">
              <w:rPr>
                <w:b/>
              </w:rPr>
              <w:instrText xml:space="preserve"> REF  Judge  \* MERGEFORMAT </w:instrText>
            </w:r>
            <w:r w:rsidRPr="00292451">
              <w:rPr>
                <w:b/>
              </w:rPr>
              <w:fldChar w:fldCharType="separate"/>
            </w:r>
            <w:r w:rsidR="00292451" w:rsidRPr="00292451">
              <w:rPr>
                <w:b/>
                <w:caps/>
                <w:szCs w:val="24"/>
              </w:rPr>
              <w:t>ROFE J</w:t>
            </w:r>
            <w:r w:rsidRPr="00292451">
              <w:rPr>
                <w:b/>
              </w:rPr>
              <w:fldChar w:fldCharType="end"/>
            </w:r>
          </w:p>
        </w:tc>
      </w:tr>
      <w:tr w:rsidR="00395B24" w:rsidTr="0011161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1161A">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292451" w:rsidP="00663878">
            <w:pPr>
              <w:pStyle w:val="Normal1linespace"/>
              <w:widowControl w:val="0"/>
              <w:jc w:val="left"/>
            </w:pPr>
            <w:bookmarkStart w:id="1" w:name="JudgmentDate"/>
            <w:r>
              <w:t>16 December 2021</w:t>
            </w:r>
            <w:bookmarkEnd w:id="1"/>
          </w:p>
        </w:tc>
      </w:tr>
      <w:tr w:rsidR="00395B24" w:rsidTr="0011161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1161A">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AB3860" w:rsidP="00AB3860">
            <w:pPr>
              <w:pStyle w:val="Normal1linespace"/>
              <w:widowControl w:val="0"/>
              <w:jc w:val="left"/>
            </w:pPr>
            <w:bookmarkStart w:id="2" w:name="Catchwords"/>
            <w:r w:rsidRPr="00AB3860">
              <w:rPr>
                <w:b/>
              </w:rPr>
              <w:t>PRACTICE AND PROCEDURE</w:t>
            </w:r>
            <w:r w:rsidRPr="00AB3860">
              <w:t xml:space="preserve"> - notice to produce - legal professional privilege - whether privilege has been waived - whether conduct of second respondents is consistent with the maintenance of the privilege</w:t>
            </w:r>
            <w:r w:rsidR="002C7385">
              <w:t xml:space="preserve"> </w:t>
            </w:r>
            <w:bookmarkEnd w:id="2"/>
          </w:p>
        </w:tc>
      </w:tr>
      <w:tr w:rsidR="00395B24" w:rsidTr="0011161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1161A">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Pr="00407CDA" w:rsidRDefault="00407CDA" w:rsidP="00407CDA">
            <w:pPr>
              <w:pStyle w:val="CasesLegislationAppealFrom"/>
              <w:spacing w:after="60"/>
            </w:pPr>
            <w:bookmarkStart w:id="3" w:name="Legislation"/>
            <w:r w:rsidRPr="00407CDA">
              <w:rPr>
                <w:i/>
              </w:rPr>
              <w:t>Patents Act 1990</w:t>
            </w:r>
            <w:r w:rsidRPr="00407CDA">
              <w:t xml:space="preserve"> (</w:t>
            </w:r>
            <w:proofErr w:type="spellStart"/>
            <w:r w:rsidRPr="00407CDA">
              <w:t>Cth</w:t>
            </w:r>
            <w:proofErr w:type="spellEnd"/>
            <w:r w:rsidRPr="00407CDA">
              <w:t>)</w:t>
            </w:r>
            <w:bookmarkEnd w:id="3"/>
          </w:p>
        </w:tc>
      </w:tr>
      <w:tr w:rsidR="00395B24" w:rsidTr="0011161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11161A">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407CDA" w:rsidRPr="00407CDA" w:rsidRDefault="00407CDA" w:rsidP="00407CDA">
            <w:pPr>
              <w:pStyle w:val="CasesLegislationAppealFrom"/>
              <w:spacing w:after="60"/>
            </w:pPr>
            <w:bookmarkStart w:id="4" w:name="Cases_Cited"/>
            <w:r w:rsidRPr="00407CDA">
              <w:rPr>
                <w:i/>
              </w:rPr>
              <w:t xml:space="preserve">GR Capital Group Pty Ltd v </w:t>
            </w:r>
            <w:proofErr w:type="spellStart"/>
            <w:r w:rsidRPr="00407CDA">
              <w:rPr>
                <w:i/>
              </w:rPr>
              <w:t>Xinfeng</w:t>
            </w:r>
            <w:proofErr w:type="spellEnd"/>
            <w:r w:rsidRPr="00407CDA">
              <w:rPr>
                <w:i/>
              </w:rPr>
              <w:t xml:space="preserve"> Australia International Investment Pty Ltd</w:t>
            </w:r>
            <w:r w:rsidRPr="00407CDA">
              <w:t xml:space="preserve"> [2020] NSWCA 266</w:t>
            </w:r>
          </w:p>
          <w:p w:rsidR="00407CDA" w:rsidRPr="00407CDA" w:rsidRDefault="00407CDA" w:rsidP="00407CDA">
            <w:pPr>
              <w:pStyle w:val="CasesLegislationAppealFrom"/>
              <w:spacing w:after="60"/>
            </w:pPr>
            <w:r w:rsidRPr="00407CDA">
              <w:rPr>
                <w:i/>
              </w:rPr>
              <w:t xml:space="preserve">Macquarie Bank Limited v Arup Pty Limited </w:t>
            </w:r>
            <w:r w:rsidRPr="00407CDA">
              <w:t>[2016] FCAFC 117</w:t>
            </w:r>
            <w:bookmarkEnd w:id="4"/>
          </w:p>
        </w:tc>
      </w:tr>
      <w:tr w:rsidR="00292451" w:rsidTr="0011161A">
        <w:tc>
          <w:tcPr>
            <w:tcW w:w="3084" w:type="dxa"/>
            <w:shd w:val="clear" w:color="auto" w:fill="auto"/>
          </w:tcPr>
          <w:p w:rsidR="00292451" w:rsidRDefault="00292451" w:rsidP="002F7154">
            <w:pPr>
              <w:pStyle w:val="Normal1linespace"/>
              <w:widowControl w:val="0"/>
            </w:pPr>
          </w:p>
        </w:tc>
        <w:tc>
          <w:tcPr>
            <w:tcW w:w="5989" w:type="dxa"/>
            <w:shd w:val="clear" w:color="auto" w:fill="auto"/>
          </w:tcPr>
          <w:p w:rsidR="00292451" w:rsidRDefault="00292451" w:rsidP="002F7154">
            <w:pPr>
              <w:pStyle w:val="Normal1linespace"/>
              <w:widowControl w:val="0"/>
              <w:jc w:val="left"/>
            </w:pPr>
          </w:p>
        </w:tc>
      </w:tr>
      <w:tr w:rsidR="00292451" w:rsidTr="0011161A">
        <w:tc>
          <w:tcPr>
            <w:tcW w:w="3084" w:type="dxa"/>
            <w:shd w:val="clear" w:color="auto" w:fill="auto"/>
          </w:tcPr>
          <w:p w:rsidR="00292451" w:rsidRDefault="00292451" w:rsidP="00501A12">
            <w:pPr>
              <w:pStyle w:val="Normal1linespace"/>
              <w:widowControl w:val="0"/>
            </w:pPr>
            <w:r>
              <w:t>Division:</w:t>
            </w:r>
          </w:p>
        </w:tc>
        <w:tc>
          <w:tcPr>
            <w:tcW w:w="5989" w:type="dxa"/>
            <w:shd w:val="clear" w:color="auto" w:fill="auto"/>
          </w:tcPr>
          <w:p w:rsidR="00292451" w:rsidRPr="00F17599" w:rsidRDefault="00FE42E9" w:rsidP="00501A12">
            <w:pPr>
              <w:pStyle w:val="Normal1linespace"/>
              <w:widowControl w:val="0"/>
              <w:jc w:val="left"/>
            </w:pPr>
            <w:r>
              <w:fldChar w:fldCharType="begin"/>
            </w:r>
            <w:r>
              <w:instrText xml:space="preserve"> DOCPROPERTY  Division </w:instrText>
            </w:r>
            <w:r>
              <w:fldChar w:fldCharType="separate"/>
            </w:r>
            <w:r w:rsidR="00292451">
              <w:t>General Division</w:t>
            </w:r>
            <w:r>
              <w:fldChar w:fldCharType="end"/>
            </w:r>
          </w:p>
        </w:tc>
      </w:tr>
      <w:tr w:rsidR="00292451" w:rsidTr="0011161A">
        <w:tc>
          <w:tcPr>
            <w:tcW w:w="3084" w:type="dxa"/>
            <w:shd w:val="clear" w:color="auto" w:fill="auto"/>
          </w:tcPr>
          <w:p w:rsidR="00292451" w:rsidRDefault="00292451" w:rsidP="00501A12">
            <w:pPr>
              <w:pStyle w:val="Normal1linespace"/>
              <w:widowControl w:val="0"/>
            </w:pPr>
            <w:bookmarkStart w:id="5" w:name="Registry_rows" w:colFirst="0" w:colLast="1"/>
          </w:p>
        </w:tc>
        <w:tc>
          <w:tcPr>
            <w:tcW w:w="5989" w:type="dxa"/>
            <w:shd w:val="clear" w:color="auto" w:fill="auto"/>
          </w:tcPr>
          <w:p w:rsidR="00292451" w:rsidRDefault="00292451" w:rsidP="00501A12">
            <w:pPr>
              <w:pStyle w:val="Normal1linespace"/>
              <w:widowControl w:val="0"/>
              <w:jc w:val="left"/>
            </w:pPr>
          </w:p>
        </w:tc>
      </w:tr>
      <w:tr w:rsidR="00292451" w:rsidTr="0011161A">
        <w:tc>
          <w:tcPr>
            <w:tcW w:w="3084" w:type="dxa"/>
            <w:shd w:val="clear" w:color="auto" w:fill="auto"/>
          </w:tcPr>
          <w:p w:rsidR="00292451" w:rsidRDefault="00292451" w:rsidP="00501A12">
            <w:pPr>
              <w:pStyle w:val="Normal1linespace"/>
              <w:widowControl w:val="0"/>
            </w:pPr>
            <w:r>
              <w:t>Registry:</w:t>
            </w:r>
          </w:p>
        </w:tc>
        <w:tc>
          <w:tcPr>
            <w:tcW w:w="5989" w:type="dxa"/>
            <w:shd w:val="clear" w:color="auto" w:fill="auto"/>
          </w:tcPr>
          <w:p w:rsidR="00292451" w:rsidRPr="00F17599" w:rsidRDefault="00FE42E9" w:rsidP="00501A12">
            <w:pPr>
              <w:pStyle w:val="Normal1linespace"/>
              <w:widowControl w:val="0"/>
              <w:jc w:val="left"/>
            </w:pPr>
            <w:r>
              <w:fldChar w:fldCharType="begin"/>
            </w:r>
            <w:r>
              <w:instrText xml:space="preserve"> DOCPROPERTY  Registry </w:instrText>
            </w:r>
            <w:r>
              <w:fldChar w:fldCharType="separate"/>
            </w:r>
            <w:r w:rsidR="00292451">
              <w:t>Victoria</w:t>
            </w:r>
            <w:r>
              <w:fldChar w:fldCharType="end"/>
            </w:r>
          </w:p>
        </w:tc>
      </w:tr>
      <w:tr w:rsidR="00292451" w:rsidTr="0011161A">
        <w:tc>
          <w:tcPr>
            <w:tcW w:w="3084" w:type="dxa"/>
            <w:shd w:val="clear" w:color="auto" w:fill="auto"/>
          </w:tcPr>
          <w:p w:rsidR="00292451" w:rsidRDefault="00292451" w:rsidP="00501A12">
            <w:pPr>
              <w:pStyle w:val="Normal1linespace"/>
              <w:widowControl w:val="0"/>
            </w:pPr>
            <w:bookmarkStart w:id="6" w:name="NPARow" w:colFirst="0" w:colLast="1"/>
            <w:bookmarkEnd w:id="5"/>
          </w:p>
        </w:tc>
        <w:tc>
          <w:tcPr>
            <w:tcW w:w="5989" w:type="dxa"/>
            <w:shd w:val="clear" w:color="auto" w:fill="auto"/>
          </w:tcPr>
          <w:p w:rsidR="00292451" w:rsidRPr="00F17599" w:rsidRDefault="00292451" w:rsidP="00501A12">
            <w:pPr>
              <w:pStyle w:val="Normal1linespace"/>
              <w:widowControl w:val="0"/>
              <w:jc w:val="left"/>
              <w:rPr>
                <w:b/>
              </w:rPr>
            </w:pPr>
          </w:p>
        </w:tc>
      </w:tr>
      <w:tr w:rsidR="00292451" w:rsidTr="0011161A">
        <w:tc>
          <w:tcPr>
            <w:tcW w:w="3084" w:type="dxa"/>
            <w:shd w:val="clear" w:color="auto" w:fill="auto"/>
          </w:tcPr>
          <w:p w:rsidR="00292451" w:rsidRDefault="00292451" w:rsidP="00501A12">
            <w:pPr>
              <w:pStyle w:val="Normal1linespace"/>
              <w:widowControl w:val="0"/>
            </w:pPr>
            <w:r>
              <w:t>National Practice Area:</w:t>
            </w:r>
          </w:p>
        </w:tc>
        <w:tc>
          <w:tcPr>
            <w:tcW w:w="5989" w:type="dxa"/>
            <w:shd w:val="clear" w:color="auto" w:fill="auto"/>
          </w:tcPr>
          <w:p w:rsidR="00292451" w:rsidRPr="00F17599" w:rsidRDefault="009F20AF" w:rsidP="00171DBB">
            <w:pPr>
              <w:pStyle w:val="Normal1linespace"/>
              <w:widowControl w:val="0"/>
              <w:jc w:val="left"/>
              <w:rPr>
                <w:b/>
              </w:rPr>
            </w:pPr>
            <w:fldSimple w:instr=" DOCPROPERTY  &quot;Practice Area&quot;  \* MERGEFORMAT ">
              <w:r w:rsidR="00292451">
                <w:t>Intellectual Property</w:t>
              </w:r>
            </w:fldSimple>
          </w:p>
        </w:tc>
      </w:tr>
      <w:tr w:rsidR="00292451" w:rsidTr="0011161A">
        <w:tc>
          <w:tcPr>
            <w:tcW w:w="3084" w:type="dxa"/>
            <w:shd w:val="clear" w:color="auto" w:fill="auto"/>
          </w:tcPr>
          <w:p w:rsidR="00292451" w:rsidRDefault="00292451" w:rsidP="00501A12">
            <w:pPr>
              <w:pStyle w:val="Normal1linespace"/>
              <w:widowControl w:val="0"/>
            </w:pPr>
            <w:bookmarkStart w:id="7" w:name="SubAreaRow" w:colFirst="0" w:colLast="1"/>
            <w:bookmarkEnd w:id="6"/>
          </w:p>
        </w:tc>
        <w:tc>
          <w:tcPr>
            <w:tcW w:w="5989" w:type="dxa"/>
            <w:shd w:val="clear" w:color="auto" w:fill="auto"/>
          </w:tcPr>
          <w:p w:rsidR="00292451" w:rsidRDefault="00292451" w:rsidP="00171DBB">
            <w:pPr>
              <w:pStyle w:val="Normal1linespace"/>
              <w:widowControl w:val="0"/>
              <w:jc w:val="left"/>
            </w:pPr>
          </w:p>
        </w:tc>
      </w:tr>
      <w:tr w:rsidR="00292451" w:rsidTr="0011161A">
        <w:tc>
          <w:tcPr>
            <w:tcW w:w="3084" w:type="dxa"/>
            <w:shd w:val="clear" w:color="auto" w:fill="auto"/>
          </w:tcPr>
          <w:p w:rsidR="00292451" w:rsidRDefault="00292451" w:rsidP="00501A12">
            <w:pPr>
              <w:pStyle w:val="Normal1linespace"/>
              <w:widowControl w:val="0"/>
            </w:pPr>
            <w:r>
              <w:t>Sub-area:</w:t>
            </w:r>
          </w:p>
        </w:tc>
        <w:tc>
          <w:tcPr>
            <w:tcW w:w="5989" w:type="dxa"/>
            <w:shd w:val="clear" w:color="auto" w:fill="auto"/>
          </w:tcPr>
          <w:p w:rsidR="00292451" w:rsidRPr="00837288" w:rsidRDefault="009F20AF" w:rsidP="00435936">
            <w:pPr>
              <w:pStyle w:val="Normal1linespace"/>
              <w:widowControl w:val="0"/>
              <w:jc w:val="left"/>
            </w:pPr>
            <w:fldSimple w:instr=" DOCPROPERTY  &quot;Sub Area&quot;  \* MERGEFORMAT ">
              <w:r w:rsidR="00292451" w:rsidRPr="00292451">
                <w:rPr>
                  <w:lang w:val="en-US"/>
                </w:rPr>
                <w:t>Patents and associated</w:t>
              </w:r>
              <w:r w:rsidR="00292451">
                <w:t xml:space="preserve"> Statutes</w:t>
              </w:r>
            </w:fldSimple>
          </w:p>
        </w:tc>
      </w:tr>
      <w:bookmarkEnd w:id="7"/>
      <w:tr w:rsidR="00292451" w:rsidTr="0011161A">
        <w:tc>
          <w:tcPr>
            <w:tcW w:w="3084" w:type="dxa"/>
            <w:shd w:val="clear" w:color="auto" w:fill="auto"/>
          </w:tcPr>
          <w:p w:rsidR="00292451" w:rsidRDefault="00292451" w:rsidP="00501A12">
            <w:pPr>
              <w:pStyle w:val="Normal1linespace"/>
              <w:widowControl w:val="0"/>
            </w:pPr>
          </w:p>
        </w:tc>
        <w:tc>
          <w:tcPr>
            <w:tcW w:w="5989" w:type="dxa"/>
            <w:shd w:val="clear" w:color="auto" w:fill="auto"/>
          </w:tcPr>
          <w:p w:rsidR="00292451" w:rsidRDefault="00292451" w:rsidP="00501A12">
            <w:pPr>
              <w:pStyle w:val="Normal1linespace"/>
              <w:widowControl w:val="0"/>
              <w:jc w:val="left"/>
            </w:pPr>
          </w:p>
        </w:tc>
      </w:tr>
      <w:tr w:rsidR="00292451" w:rsidTr="0011161A">
        <w:tc>
          <w:tcPr>
            <w:tcW w:w="3084" w:type="dxa"/>
            <w:shd w:val="clear" w:color="auto" w:fill="auto"/>
          </w:tcPr>
          <w:p w:rsidR="00292451" w:rsidRDefault="00292451" w:rsidP="00501A12">
            <w:pPr>
              <w:pStyle w:val="Normal1linespace"/>
              <w:widowControl w:val="0"/>
            </w:pPr>
            <w:r>
              <w:t>Number of paragraphs:</w:t>
            </w:r>
          </w:p>
        </w:tc>
        <w:tc>
          <w:tcPr>
            <w:tcW w:w="5989" w:type="dxa"/>
            <w:shd w:val="clear" w:color="auto" w:fill="auto"/>
          </w:tcPr>
          <w:p w:rsidR="00292451" w:rsidRDefault="00CC2DDB" w:rsidP="00501A12">
            <w:pPr>
              <w:pStyle w:val="Normal1linespace"/>
              <w:widowControl w:val="0"/>
              <w:jc w:val="left"/>
            </w:pPr>
            <w:bookmarkStart w:id="8" w:name="PlaceCategoryParagraphs"/>
            <w:r>
              <w:t>18</w:t>
            </w:r>
            <w:bookmarkEnd w:id="8"/>
          </w:p>
        </w:tc>
      </w:tr>
      <w:tr w:rsidR="00292451" w:rsidTr="0011161A">
        <w:tc>
          <w:tcPr>
            <w:tcW w:w="3084" w:type="dxa"/>
            <w:shd w:val="clear" w:color="auto" w:fill="auto"/>
          </w:tcPr>
          <w:p w:rsidR="00292451" w:rsidRDefault="00292451" w:rsidP="00292451">
            <w:pPr>
              <w:pStyle w:val="Normal1linespace"/>
              <w:widowControl w:val="0"/>
              <w:jc w:val="left"/>
            </w:pPr>
          </w:p>
        </w:tc>
        <w:tc>
          <w:tcPr>
            <w:tcW w:w="5989" w:type="dxa"/>
            <w:shd w:val="clear" w:color="auto" w:fill="auto"/>
          </w:tcPr>
          <w:p w:rsidR="00292451" w:rsidRDefault="00292451" w:rsidP="00292451">
            <w:pPr>
              <w:pStyle w:val="Normal1linespace"/>
              <w:widowControl w:val="0"/>
              <w:jc w:val="left"/>
            </w:pPr>
          </w:p>
        </w:tc>
      </w:tr>
      <w:tr w:rsidR="00292451" w:rsidTr="0011161A">
        <w:tc>
          <w:tcPr>
            <w:tcW w:w="3084" w:type="dxa"/>
            <w:shd w:val="clear" w:color="auto" w:fill="auto"/>
          </w:tcPr>
          <w:p w:rsidR="00292451" w:rsidRDefault="00292451" w:rsidP="00292451">
            <w:pPr>
              <w:pStyle w:val="Normal1linespace"/>
              <w:widowControl w:val="0"/>
              <w:jc w:val="left"/>
            </w:pPr>
            <w:bookmarkStart w:id="9" w:name="CounselDate" w:colFirst="0" w:colLast="2"/>
            <w:r w:rsidRPr="006A24E3">
              <w:t>Date of hearing:</w:t>
            </w:r>
          </w:p>
        </w:tc>
        <w:tc>
          <w:tcPr>
            <w:tcW w:w="5989" w:type="dxa"/>
            <w:shd w:val="clear" w:color="auto" w:fill="auto"/>
          </w:tcPr>
          <w:p w:rsidR="00292451" w:rsidRDefault="00292451" w:rsidP="00292451">
            <w:pPr>
              <w:pStyle w:val="Normal1linespace"/>
              <w:widowControl w:val="0"/>
              <w:jc w:val="left"/>
            </w:pPr>
            <w:bookmarkStart w:id="10" w:name="HearingDate"/>
            <w:r>
              <w:t xml:space="preserve">15 December 2021 </w:t>
            </w:r>
            <w:bookmarkEnd w:id="10"/>
          </w:p>
        </w:tc>
      </w:tr>
      <w:tr w:rsidR="00292451" w:rsidTr="0011161A">
        <w:tc>
          <w:tcPr>
            <w:tcW w:w="3084" w:type="dxa"/>
            <w:shd w:val="clear" w:color="auto" w:fill="auto"/>
          </w:tcPr>
          <w:p w:rsidR="00292451" w:rsidRDefault="00292451" w:rsidP="00292451">
            <w:pPr>
              <w:pStyle w:val="Normal1linespace"/>
              <w:widowControl w:val="0"/>
              <w:jc w:val="left"/>
            </w:pPr>
          </w:p>
        </w:tc>
        <w:tc>
          <w:tcPr>
            <w:tcW w:w="5989" w:type="dxa"/>
            <w:shd w:val="clear" w:color="auto" w:fill="auto"/>
          </w:tcPr>
          <w:p w:rsidR="00292451" w:rsidRDefault="00292451" w:rsidP="00292451">
            <w:pPr>
              <w:pStyle w:val="Normal1linespace"/>
              <w:widowControl w:val="0"/>
              <w:jc w:val="left"/>
            </w:pPr>
          </w:p>
        </w:tc>
      </w:tr>
      <w:tr w:rsidR="0011161A" w:rsidTr="0011161A">
        <w:tc>
          <w:tcPr>
            <w:tcW w:w="3084" w:type="dxa"/>
            <w:shd w:val="clear" w:color="auto" w:fill="auto"/>
          </w:tcPr>
          <w:p w:rsidR="0011161A" w:rsidRDefault="00CC2DDB" w:rsidP="0011161A">
            <w:pPr>
              <w:pStyle w:val="Normal1linespace"/>
              <w:widowControl w:val="0"/>
              <w:jc w:val="left"/>
            </w:pPr>
            <w:bookmarkStart w:id="11" w:name="Counsel" w:colFirst="0" w:colLast="2"/>
            <w:bookmarkEnd w:id="9"/>
            <w:r>
              <w:t>Counsel for the Applicant:</w:t>
            </w:r>
          </w:p>
        </w:tc>
        <w:tc>
          <w:tcPr>
            <w:tcW w:w="5989" w:type="dxa"/>
            <w:shd w:val="clear" w:color="auto" w:fill="auto"/>
          </w:tcPr>
          <w:p w:rsidR="0011161A" w:rsidRDefault="00CC2DDB" w:rsidP="00CC2DDB">
            <w:pPr>
              <w:pStyle w:val="Normal1linespace"/>
              <w:widowControl w:val="0"/>
              <w:jc w:val="left"/>
            </w:pPr>
            <w:bookmarkStart w:id="12" w:name="AppCounsel"/>
            <w:bookmarkEnd w:id="12"/>
            <w:r>
              <w:t>Mr E Heerey QC with Mr P Creighton-Selvay and Mr T Wood</w:t>
            </w:r>
          </w:p>
        </w:tc>
      </w:tr>
      <w:tr w:rsidR="0011161A" w:rsidTr="0011161A">
        <w:tc>
          <w:tcPr>
            <w:tcW w:w="3084" w:type="dxa"/>
            <w:shd w:val="clear" w:color="auto" w:fill="auto"/>
          </w:tcPr>
          <w:p w:rsidR="0011161A" w:rsidRDefault="0011161A" w:rsidP="0011161A">
            <w:pPr>
              <w:pStyle w:val="Normal1linespace"/>
              <w:widowControl w:val="0"/>
              <w:jc w:val="left"/>
            </w:pPr>
          </w:p>
        </w:tc>
        <w:tc>
          <w:tcPr>
            <w:tcW w:w="5989" w:type="dxa"/>
            <w:shd w:val="clear" w:color="auto" w:fill="auto"/>
          </w:tcPr>
          <w:p w:rsidR="0011161A" w:rsidRDefault="0011161A" w:rsidP="0011161A">
            <w:pPr>
              <w:pStyle w:val="Normal1linespace"/>
              <w:widowControl w:val="0"/>
              <w:jc w:val="left"/>
            </w:pPr>
          </w:p>
        </w:tc>
      </w:tr>
      <w:tr w:rsidR="0011161A" w:rsidTr="0011161A">
        <w:tc>
          <w:tcPr>
            <w:tcW w:w="3084" w:type="dxa"/>
            <w:shd w:val="clear" w:color="auto" w:fill="auto"/>
          </w:tcPr>
          <w:p w:rsidR="0011161A" w:rsidRDefault="00CC2DDB" w:rsidP="0011161A">
            <w:pPr>
              <w:pStyle w:val="Normal1linespace"/>
              <w:widowControl w:val="0"/>
              <w:jc w:val="left"/>
            </w:pPr>
            <w:r>
              <w:t>Solicitor for the Applicant:</w:t>
            </w:r>
          </w:p>
        </w:tc>
        <w:tc>
          <w:tcPr>
            <w:tcW w:w="5989" w:type="dxa"/>
            <w:shd w:val="clear" w:color="auto" w:fill="auto"/>
          </w:tcPr>
          <w:p w:rsidR="0011161A" w:rsidRDefault="00CC2DDB" w:rsidP="0011161A">
            <w:pPr>
              <w:pStyle w:val="Normal1linespace"/>
              <w:widowControl w:val="0"/>
              <w:jc w:val="left"/>
            </w:pPr>
            <w:r>
              <w:t xml:space="preserve">Hall &amp; </w:t>
            </w:r>
            <w:proofErr w:type="spellStart"/>
            <w:r>
              <w:t>Willcox</w:t>
            </w:r>
            <w:proofErr w:type="spellEnd"/>
          </w:p>
        </w:tc>
      </w:tr>
      <w:tr w:rsidR="00CC2DDB" w:rsidTr="0011161A">
        <w:tc>
          <w:tcPr>
            <w:tcW w:w="3084" w:type="dxa"/>
            <w:shd w:val="clear" w:color="auto" w:fill="auto"/>
          </w:tcPr>
          <w:p w:rsidR="00CC2DDB" w:rsidRDefault="00CC2DDB" w:rsidP="0011161A">
            <w:pPr>
              <w:pStyle w:val="Normal1linespace"/>
              <w:widowControl w:val="0"/>
              <w:jc w:val="left"/>
            </w:pPr>
          </w:p>
        </w:tc>
        <w:tc>
          <w:tcPr>
            <w:tcW w:w="5989" w:type="dxa"/>
            <w:shd w:val="clear" w:color="auto" w:fill="auto"/>
          </w:tcPr>
          <w:p w:rsidR="00CC2DDB" w:rsidRDefault="00CC2DDB" w:rsidP="0011161A">
            <w:pPr>
              <w:pStyle w:val="Normal1linespace"/>
              <w:widowControl w:val="0"/>
              <w:jc w:val="left"/>
            </w:pPr>
          </w:p>
        </w:tc>
      </w:tr>
      <w:tr w:rsidR="00CC2DDB" w:rsidTr="0011161A">
        <w:tc>
          <w:tcPr>
            <w:tcW w:w="3084" w:type="dxa"/>
            <w:shd w:val="clear" w:color="auto" w:fill="auto"/>
          </w:tcPr>
          <w:p w:rsidR="00CC2DDB" w:rsidRDefault="00CC2DDB" w:rsidP="0011161A">
            <w:pPr>
              <w:pStyle w:val="Normal1linespace"/>
              <w:widowControl w:val="0"/>
              <w:jc w:val="left"/>
            </w:pPr>
            <w:r>
              <w:t>Counsel for the Second Respondent:</w:t>
            </w:r>
          </w:p>
        </w:tc>
        <w:tc>
          <w:tcPr>
            <w:tcW w:w="5989" w:type="dxa"/>
            <w:shd w:val="clear" w:color="auto" w:fill="auto"/>
          </w:tcPr>
          <w:p w:rsidR="00CC2DDB" w:rsidRDefault="00CC2DDB" w:rsidP="0011161A">
            <w:pPr>
              <w:pStyle w:val="Normal1linespace"/>
              <w:widowControl w:val="0"/>
              <w:jc w:val="left"/>
            </w:pPr>
            <w:r>
              <w:t xml:space="preserve">Mr C </w:t>
            </w:r>
            <w:proofErr w:type="spellStart"/>
            <w:r>
              <w:t>Dimitriadis</w:t>
            </w:r>
            <w:proofErr w:type="spellEnd"/>
            <w:r>
              <w:t xml:space="preserve"> SC with Mr B Fitzpatrick and Ms C Cunliffe</w:t>
            </w:r>
          </w:p>
        </w:tc>
      </w:tr>
      <w:tr w:rsidR="00CC2DDB" w:rsidTr="0011161A">
        <w:tc>
          <w:tcPr>
            <w:tcW w:w="3084" w:type="dxa"/>
            <w:shd w:val="clear" w:color="auto" w:fill="auto"/>
          </w:tcPr>
          <w:p w:rsidR="00CC2DDB" w:rsidRDefault="00CC2DDB" w:rsidP="0011161A">
            <w:pPr>
              <w:pStyle w:val="Normal1linespace"/>
              <w:widowControl w:val="0"/>
              <w:jc w:val="left"/>
            </w:pPr>
          </w:p>
        </w:tc>
        <w:tc>
          <w:tcPr>
            <w:tcW w:w="5989" w:type="dxa"/>
            <w:shd w:val="clear" w:color="auto" w:fill="auto"/>
          </w:tcPr>
          <w:p w:rsidR="00CC2DDB" w:rsidRDefault="00CC2DDB" w:rsidP="0011161A">
            <w:pPr>
              <w:pStyle w:val="Normal1linespace"/>
              <w:widowControl w:val="0"/>
              <w:jc w:val="left"/>
            </w:pPr>
          </w:p>
        </w:tc>
      </w:tr>
      <w:tr w:rsidR="00CC2DDB" w:rsidTr="0011161A">
        <w:tc>
          <w:tcPr>
            <w:tcW w:w="3084" w:type="dxa"/>
            <w:shd w:val="clear" w:color="auto" w:fill="auto"/>
          </w:tcPr>
          <w:p w:rsidR="00CC2DDB" w:rsidRDefault="00CC2DDB" w:rsidP="0011161A">
            <w:pPr>
              <w:pStyle w:val="Normal1linespace"/>
              <w:widowControl w:val="0"/>
              <w:jc w:val="left"/>
            </w:pPr>
            <w:r>
              <w:t>Solicitor for the Second Respondent:</w:t>
            </w:r>
          </w:p>
        </w:tc>
        <w:tc>
          <w:tcPr>
            <w:tcW w:w="5989" w:type="dxa"/>
            <w:shd w:val="clear" w:color="auto" w:fill="auto"/>
          </w:tcPr>
          <w:p w:rsidR="00CC2DDB" w:rsidRDefault="00CC2DDB" w:rsidP="0011161A">
            <w:pPr>
              <w:pStyle w:val="Normal1linespace"/>
              <w:widowControl w:val="0"/>
              <w:jc w:val="left"/>
            </w:pPr>
            <w:r>
              <w:t>Davies Collison Cave Law</w:t>
            </w:r>
          </w:p>
        </w:tc>
      </w:tr>
      <w:bookmarkEnd w:id="11"/>
    </w:tbl>
    <w:p w:rsidR="007470BD" w:rsidRDefault="007470BD">
      <w:pPr>
        <w:pStyle w:val="Normal1linespace"/>
      </w:pPr>
    </w:p>
    <w:p w:rsidR="00E94CBF" w:rsidRDefault="00E94CBF">
      <w:pPr>
        <w:pStyle w:val="Normal1linespace"/>
      </w:pPr>
    </w:p>
    <w:p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292451" w:rsidRDefault="00292451" w:rsidP="00F92355">
            <w:pPr>
              <w:pStyle w:val="NormalHeadings"/>
              <w:jc w:val="right"/>
            </w:pPr>
            <w:bookmarkStart w:id="13" w:name="FileNo"/>
            <w:r>
              <w:t>VID 711 of 2021</w:t>
            </w:r>
          </w:p>
          <w:p w:rsidR="00A46CCC" w:rsidRDefault="00292451" w:rsidP="00F92355">
            <w:pPr>
              <w:pStyle w:val="NormalHeadings"/>
              <w:jc w:val="right"/>
            </w:pPr>
            <w:r>
              <w:t>VID716 of 2021</w:t>
            </w:r>
            <w:bookmarkEnd w:id="13"/>
          </w:p>
        </w:tc>
      </w:tr>
      <w:tr w:rsidR="00A76C13" w:rsidTr="00F461A4">
        <w:tc>
          <w:tcPr>
            <w:tcW w:w="9242" w:type="dxa"/>
            <w:gridSpan w:val="3"/>
          </w:tcPr>
          <w:p w:rsidR="00A76C13" w:rsidRPr="00A76C13" w:rsidRDefault="00292451" w:rsidP="00292451">
            <w:pPr>
              <w:pStyle w:val="NormalHeadings"/>
              <w:jc w:val="left"/>
            </w:pPr>
            <w:bookmarkStart w:id="14" w:name="InTheMatterOf"/>
            <w:r>
              <w:t xml:space="preserve"> </w:t>
            </w:r>
            <w:bookmarkEnd w:id="14"/>
          </w:p>
        </w:tc>
      </w:tr>
      <w:tr w:rsidR="00A46CCC" w:rsidTr="005041F0">
        <w:trPr>
          <w:trHeight w:val="386"/>
        </w:trPr>
        <w:tc>
          <w:tcPr>
            <w:tcW w:w="2376" w:type="dxa"/>
          </w:tcPr>
          <w:p w:rsidR="00A46CCC" w:rsidRDefault="00A46CCC" w:rsidP="005041F0">
            <w:pPr>
              <w:pStyle w:val="NormalHeadings"/>
              <w:jc w:val="left"/>
              <w:rPr>
                <w:caps/>
                <w:szCs w:val="24"/>
              </w:rPr>
            </w:pPr>
            <w:bookmarkStart w:id="15" w:name="Parties"/>
            <w:r>
              <w:rPr>
                <w:caps/>
                <w:szCs w:val="24"/>
              </w:rPr>
              <w:t>BETWEEN:</w:t>
            </w:r>
          </w:p>
        </w:tc>
        <w:tc>
          <w:tcPr>
            <w:tcW w:w="6866" w:type="dxa"/>
            <w:gridSpan w:val="2"/>
          </w:tcPr>
          <w:p w:rsidR="00292451" w:rsidRDefault="00292451" w:rsidP="00292451">
            <w:pPr>
              <w:pStyle w:val="NormalHeadings"/>
              <w:jc w:val="left"/>
            </w:pPr>
            <w:bookmarkStart w:id="16" w:name="Applicant"/>
            <w:r>
              <w:t>AIRCO FASTENERS PTY LTD</w:t>
            </w:r>
          </w:p>
          <w:p w:rsidR="00292451" w:rsidRDefault="00292451" w:rsidP="00292451">
            <w:pPr>
              <w:pStyle w:val="PartyType"/>
            </w:pPr>
            <w:r>
              <w:t>Applicant</w:t>
            </w:r>
          </w:p>
          <w:bookmarkEnd w:id="16"/>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292451" w:rsidRDefault="00292451" w:rsidP="00292451">
            <w:pPr>
              <w:pStyle w:val="NormalHeadings"/>
              <w:jc w:val="left"/>
            </w:pPr>
            <w:bookmarkStart w:id="17" w:name="Respondent"/>
            <w:r>
              <w:t>THE COMMISSIONER OF PATENTS</w:t>
            </w:r>
          </w:p>
          <w:p w:rsidR="00292451" w:rsidRDefault="00292451" w:rsidP="00292451">
            <w:pPr>
              <w:pStyle w:val="PartyType"/>
            </w:pPr>
            <w:r>
              <w:t>First Respondent</w:t>
            </w:r>
          </w:p>
          <w:p w:rsidR="00292451" w:rsidRDefault="00292451" w:rsidP="005041F0">
            <w:pPr>
              <w:pStyle w:val="NormalHeadings"/>
              <w:jc w:val="left"/>
              <w:rPr>
                <w:szCs w:val="24"/>
              </w:rPr>
            </w:pPr>
          </w:p>
          <w:p w:rsidR="00292451" w:rsidRDefault="00292451" w:rsidP="00292451">
            <w:pPr>
              <w:pStyle w:val="NormalHeadings"/>
              <w:jc w:val="left"/>
            </w:pPr>
            <w:r>
              <w:t>ILLINOIS TOOL WORKS INC.</w:t>
            </w:r>
          </w:p>
          <w:p w:rsidR="00292451" w:rsidRDefault="00292451" w:rsidP="00292451">
            <w:pPr>
              <w:pStyle w:val="PartyType"/>
            </w:pPr>
            <w:r>
              <w:t>Second Respondent</w:t>
            </w:r>
          </w:p>
          <w:bookmarkEnd w:id="17"/>
          <w:p w:rsidR="00A46CCC" w:rsidRPr="006555B4" w:rsidRDefault="00A46CCC" w:rsidP="005041F0">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292451">
            <w:pPr>
              <w:pStyle w:val="NormalHeadings"/>
              <w:jc w:val="left"/>
              <w:rPr>
                <w:caps/>
                <w:szCs w:val="24"/>
              </w:rPr>
            </w:pPr>
            <w:bookmarkStart w:id="20" w:name="Judge"/>
            <w:r>
              <w:rPr>
                <w:caps/>
                <w:szCs w:val="24"/>
              </w:rPr>
              <w:t>ROFE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292451">
            <w:pPr>
              <w:pStyle w:val="NormalHeadings"/>
              <w:jc w:val="left"/>
              <w:rPr>
                <w:caps/>
                <w:szCs w:val="24"/>
              </w:rPr>
            </w:pPr>
            <w:bookmarkStart w:id="21" w:name="Judgment_Dated"/>
            <w:r>
              <w:rPr>
                <w:caps/>
                <w:szCs w:val="24"/>
              </w:rPr>
              <w:t>16 DECEMBER 2021</w:t>
            </w:r>
            <w:bookmarkEnd w:id="21"/>
          </w:p>
        </w:tc>
      </w:tr>
    </w:tbl>
    <w:p w:rsidR="00395B24" w:rsidRDefault="00395B24">
      <w:pPr>
        <w:pStyle w:val="NormalHeadings"/>
        <w:rPr>
          <w:b w:val="0"/>
        </w:rPr>
      </w:pPr>
    </w:p>
    <w:p w:rsidR="008D1617" w:rsidRDefault="008D1617">
      <w:pPr>
        <w:pStyle w:val="NormalHeadings"/>
        <w:rPr>
          <w:b w:val="0"/>
        </w:rPr>
      </w:pPr>
    </w:p>
    <w:p w:rsidR="00292451" w:rsidRDefault="002C7385" w:rsidP="00292451">
      <w:pPr>
        <w:pStyle w:val="NormalHeadings"/>
        <w:spacing w:before="120" w:after="120" w:line="360" w:lineRule="auto"/>
      </w:pPr>
      <w:r>
        <w:t>THE COURT ORDERS THAT:</w:t>
      </w:r>
    </w:p>
    <w:p w:rsidR="00292451" w:rsidRPr="00292451" w:rsidRDefault="00292451" w:rsidP="00292451">
      <w:pPr>
        <w:pStyle w:val="Default"/>
        <w:numPr>
          <w:ilvl w:val="0"/>
          <w:numId w:val="29"/>
        </w:numPr>
        <w:spacing w:before="120" w:after="120" w:line="360" w:lineRule="auto"/>
      </w:pPr>
      <w:r w:rsidRPr="00292451">
        <w:t xml:space="preserve">The applicant produce to the second respondent all documents produced, received or sent on 25 and 26 November 2021 by or on behalf of </w:t>
      </w:r>
      <w:proofErr w:type="spellStart"/>
      <w:r w:rsidRPr="00292451">
        <w:t>Airco</w:t>
      </w:r>
      <w:proofErr w:type="spellEnd"/>
      <w:r w:rsidRPr="00292451">
        <w:t xml:space="preserve"> and their current legal representatives recording or evidencing: </w:t>
      </w:r>
    </w:p>
    <w:p w:rsidR="00292451" w:rsidRPr="00292451" w:rsidRDefault="00292451" w:rsidP="00292451">
      <w:pPr>
        <w:pStyle w:val="Default"/>
        <w:numPr>
          <w:ilvl w:val="1"/>
          <w:numId w:val="29"/>
        </w:numPr>
        <w:spacing w:before="120" w:after="120" w:line="360" w:lineRule="auto"/>
      </w:pPr>
      <w:r w:rsidRPr="00292451">
        <w:t>The reasons for the filing of the Applications (as defined in the affidavit of Kathryn Howard dated 29 November 2021 (</w:t>
      </w:r>
      <w:r w:rsidRPr="00292451">
        <w:rPr>
          <w:b/>
          <w:bCs/>
        </w:rPr>
        <w:t>Howard Affidavit</w:t>
      </w:r>
      <w:r w:rsidRPr="00292451">
        <w:t xml:space="preserve">)) by </w:t>
      </w:r>
      <w:proofErr w:type="spellStart"/>
      <w:r w:rsidRPr="00292451">
        <w:t>Airco</w:t>
      </w:r>
      <w:proofErr w:type="spellEnd"/>
      <w:r w:rsidRPr="00292451">
        <w:t xml:space="preserve">; or </w:t>
      </w:r>
    </w:p>
    <w:p w:rsidR="00A431E6" w:rsidRDefault="00292451" w:rsidP="00292451">
      <w:pPr>
        <w:pStyle w:val="Default"/>
        <w:numPr>
          <w:ilvl w:val="1"/>
          <w:numId w:val="29"/>
        </w:numPr>
        <w:spacing w:before="120" w:after="120" w:line="360" w:lineRule="auto"/>
      </w:pPr>
      <w:r w:rsidRPr="00292451">
        <w:t xml:space="preserve">The issues necessitating the Applications referred to in paragraph 13 of the Howard Affidavit. </w:t>
      </w:r>
    </w:p>
    <w:p w:rsidR="0050309C" w:rsidRDefault="00292451" w:rsidP="004D53E5">
      <w:pPr>
        <w:pStyle w:val="SingleSpace"/>
      </w:pPr>
      <w:bookmarkStart w:id="22" w:name="OrdersStatement"/>
      <w:r>
        <w:t>Note:</w:t>
      </w:r>
      <w:r>
        <w:tab/>
        <w:t xml:space="preserve">Entry of orders is dealt with in Rule 39.32 of the </w:t>
      </w:r>
      <w:r>
        <w:rPr>
          <w:i/>
        </w:rPr>
        <w:t>Federal Court Rules 2011</w:t>
      </w:r>
      <w:r>
        <w:t>.</w:t>
      </w:r>
      <w:bookmarkEnd w:id="22"/>
    </w:p>
    <w:p w:rsidR="00E23577" w:rsidRDefault="00E23577" w:rsidP="002B0E91">
      <w:pPr>
        <w:pStyle w:val="BodyText"/>
      </w:pPr>
    </w:p>
    <w:p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3" w:name="ReasonsPage"/>
      <w:bookmarkEnd w:id="23"/>
      <w:r w:rsidRPr="00045BB7">
        <w:rPr>
          <w:sz w:val="28"/>
          <w:szCs w:val="28"/>
        </w:rPr>
        <w:lastRenderedPageBreak/>
        <w:t>REASONS FOR JUDGMENT</w:t>
      </w:r>
    </w:p>
    <w:p w:rsidR="00694BEB" w:rsidRDefault="00292451" w:rsidP="005E0510">
      <w:pPr>
        <w:pStyle w:val="NormalHeadings"/>
        <w:spacing w:line="360" w:lineRule="auto"/>
        <w:jc w:val="left"/>
        <w:rPr>
          <w:sz w:val="26"/>
          <w:szCs w:val="26"/>
        </w:rPr>
      </w:pPr>
      <w:r>
        <w:rPr>
          <w:sz w:val="26"/>
          <w:szCs w:val="26"/>
        </w:rPr>
        <w:t>ROFE J:</w:t>
      </w:r>
    </w:p>
    <w:p w:rsidR="001E7E2A" w:rsidRPr="00FE6AFF" w:rsidRDefault="001E7E2A" w:rsidP="001E7E2A">
      <w:pPr>
        <w:pStyle w:val="Heading1"/>
      </w:pPr>
      <w:r>
        <w:t>Background</w:t>
      </w:r>
    </w:p>
    <w:p w:rsidR="001E7E2A" w:rsidRDefault="001E7E2A" w:rsidP="001E7E2A">
      <w:pPr>
        <w:pStyle w:val="ParaNumbering"/>
      </w:pPr>
      <w:r>
        <w:t xml:space="preserve">On 15 December 2021 I made orders for the production of certain documents. These are my reasons for making those orders. </w:t>
      </w:r>
    </w:p>
    <w:p w:rsidR="001E7E2A" w:rsidRDefault="001E7E2A" w:rsidP="001E7E2A">
      <w:pPr>
        <w:pStyle w:val="ParaNumbering"/>
      </w:pPr>
      <w:r>
        <w:t xml:space="preserve">In </w:t>
      </w:r>
      <w:r w:rsidR="00F66FE4">
        <w:t>these</w:t>
      </w:r>
      <w:r>
        <w:t xml:space="preserve"> proceeding</w:t>
      </w:r>
      <w:r w:rsidR="00F66FE4">
        <w:t>s</w:t>
      </w:r>
      <w:r>
        <w:t>, the applicant (</w:t>
      </w:r>
      <w:proofErr w:type="spellStart"/>
      <w:r>
        <w:rPr>
          <w:b/>
        </w:rPr>
        <w:t>Airco</w:t>
      </w:r>
      <w:proofErr w:type="spellEnd"/>
      <w:r>
        <w:t xml:space="preserve">) seeks judicial review of the decision of the Commissioner of Patents to allow certain amendments to the 970 Patent (the </w:t>
      </w:r>
      <w:r>
        <w:rPr>
          <w:b/>
        </w:rPr>
        <w:t>judicial review proceedings</w:t>
      </w:r>
      <w:r>
        <w:t xml:space="preserve">). These proceedings are related to proceedings in which </w:t>
      </w:r>
      <w:proofErr w:type="spellStart"/>
      <w:r>
        <w:t>Airco</w:t>
      </w:r>
      <w:proofErr w:type="spellEnd"/>
      <w:r>
        <w:t xml:space="preserve"> is alleged to have infringed the 970 Patent (the </w:t>
      </w:r>
      <w:r>
        <w:rPr>
          <w:b/>
        </w:rPr>
        <w:t>infringement proceedings</w:t>
      </w:r>
      <w:r>
        <w:t>). The infringement proceedings have been brought by the owner of the 970 Patent, Illinois Tool Works (</w:t>
      </w:r>
      <w:r w:rsidRPr="00EC1EC1">
        <w:rPr>
          <w:b/>
        </w:rPr>
        <w:t>ITW</w:t>
      </w:r>
      <w:r>
        <w:t xml:space="preserve">). ITW is the second respondent in the judicial review proceedings. </w:t>
      </w:r>
    </w:p>
    <w:p w:rsidR="00F66FE4" w:rsidRDefault="00F66FE4" w:rsidP="001E7E2A">
      <w:pPr>
        <w:pStyle w:val="ParaNumbering"/>
      </w:pPr>
      <w:proofErr w:type="spellStart"/>
      <w:r>
        <w:t>Airco</w:t>
      </w:r>
      <w:proofErr w:type="spellEnd"/>
      <w:r>
        <w:t xml:space="preserve"> relied on the affidavit of Ms Kathryn Howard made on 29 November 202</w:t>
      </w:r>
      <w:r w:rsidR="002C0495">
        <w:t>1 in support of its application for extension</w:t>
      </w:r>
      <w:r>
        <w:t xml:space="preserve"> of time in the judicial review proceedings. In her affidavit, Ms Howard stated, amongst other things:</w:t>
      </w:r>
    </w:p>
    <w:p w:rsidR="00F66FE4" w:rsidRDefault="00F66FE4" w:rsidP="00F66FE4">
      <w:pPr>
        <w:pStyle w:val="Quote1"/>
        <w:ind w:left="1437" w:hanging="700"/>
      </w:pPr>
      <w:r>
        <w:t>[7]</w:t>
      </w:r>
      <w:r>
        <w:tab/>
        <w:t xml:space="preserve">The issue necessitating the present Applications is a concern that, even if the Court finds that the amendments to the patent were not lawfully allowable under sections 102(2)(a) and 104(5) of the Patents Act, it will be contended by the Applicant/Cross-Respondent that the priority date of the amended claims is not affected and those claims will remain enforceable as amended. </w:t>
      </w:r>
    </w:p>
    <w:p w:rsidR="00F66FE4" w:rsidRDefault="00F66FE4" w:rsidP="00F66FE4">
      <w:pPr>
        <w:pStyle w:val="Quote1"/>
        <w:ind w:left="1437" w:hanging="700"/>
      </w:pPr>
      <w:r>
        <w:tab/>
        <w:t>...</w:t>
      </w:r>
    </w:p>
    <w:p w:rsidR="00F66FE4" w:rsidRPr="005674E4" w:rsidRDefault="00F66FE4" w:rsidP="00F66FE4">
      <w:pPr>
        <w:pStyle w:val="Quote1"/>
        <w:ind w:left="1437" w:hanging="700"/>
        <w:rPr>
          <w:b/>
        </w:rPr>
      </w:pPr>
      <w:r>
        <w:tab/>
      </w:r>
      <w:r>
        <w:rPr>
          <w:b/>
        </w:rPr>
        <w:t>Identification of the issue</w:t>
      </w:r>
    </w:p>
    <w:p w:rsidR="00F66FE4" w:rsidRDefault="00F66FE4" w:rsidP="00F66FE4">
      <w:pPr>
        <w:pStyle w:val="Quote1"/>
        <w:ind w:left="1437" w:hanging="700"/>
      </w:pPr>
      <w:r>
        <w:t xml:space="preserve">[13] </w:t>
      </w:r>
      <w:r>
        <w:tab/>
        <w:t>On 25 November 2021, in the course of preparing the proceeding for trial, Counsel brought to my attention the issues which necessitate the Application.</w:t>
      </w:r>
    </w:p>
    <w:p w:rsidR="00F66FE4" w:rsidRDefault="00F66FE4" w:rsidP="00F66FE4">
      <w:pPr>
        <w:pStyle w:val="Quote1"/>
        <w:ind w:left="1437" w:hanging="700"/>
      </w:pPr>
      <w:r w:rsidRPr="007F53EA">
        <w:t>[14]</w:t>
      </w:r>
      <w:r w:rsidRPr="007F53EA">
        <w:tab/>
        <w:t xml:space="preserve">These issues have occurred through no fault of </w:t>
      </w:r>
      <w:proofErr w:type="spellStart"/>
      <w:r w:rsidRPr="007F53EA">
        <w:t>Airco</w:t>
      </w:r>
      <w:proofErr w:type="spellEnd"/>
      <w:r w:rsidRPr="007F53EA">
        <w:t xml:space="preserve"> and if not rectified, may cause irremediable prejudice to </w:t>
      </w:r>
      <w:proofErr w:type="spellStart"/>
      <w:r w:rsidRPr="007F53EA">
        <w:t>Airco</w:t>
      </w:r>
      <w:proofErr w:type="spellEnd"/>
      <w:r w:rsidRPr="007F53EA">
        <w:t>…</w:t>
      </w:r>
    </w:p>
    <w:p w:rsidR="001E7E2A" w:rsidRDefault="001E7E2A" w:rsidP="001E7E2A">
      <w:pPr>
        <w:pStyle w:val="ParaNumbering"/>
      </w:pPr>
      <w:r>
        <w:t xml:space="preserve">On 7 December 2021, ITW (as second respondent in the judicial review proceedings) filed and served a notice to produce on </w:t>
      </w:r>
      <w:proofErr w:type="spellStart"/>
      <w:r>
        <w:t>Airco</w:t>
      </w:r>
      <w:proofErr w:type="spellEnd"/>
      <w:r w:rsidR="00F66FE4">
        <w:t xml:space="preserve"> (the </w:t>
      </w:r>
      <w:r w:rsidR="00F66FE4">
        <w:rPr>
          <w:b/>
        </w:rPr>
        <w:t>Notice</w:t>
      </w:r>
      <w:r w:rsidR="00F66FE4">
        <w:t>)</w:t>
      </w:r>
      <w:r>
        <w:t xml:space="preserve">. Broadly speaking, the categories of documents sought relate to legal advice concerning the amendments to the patent and the commencement of the judicial review proceedings. </w:t>
      </w:r>
    </w:p>
    <w:p w:rsidR="001E7E2A" w:rsidRDefault="001E7E2A" w:rsidP="001E7E2A">
      <w:pPr>
        <w:pStyle w:val="ParaNumbering"/>
      </w:pPr>
      <w:r>
        <w:t xml:space="preserve">Specifically, the </w:t>
      </w:r>
      <w:r w:rsidR="00F66FE4">
        <w:t>Notice</w:t>
      </w:r>
      <w:r>
        <w:t xml:space="preserve"> seeks four categories of document:</w:t>
      </w:r>
    </w:p>
    <w:p w:rsidR="001E7E2A" w:rsidRDefault="001E7E2A" w:rsidP="001E7E2A">
      <w:pPr>
        <w:pStyle w:val="ListNo1alt"/>
        <w:numPr>
          <w:ilvl w:val="0"/>
          <w:numId w:val="23"/>
        </w:numPr>
      </w:pPr>
      <w:r>
        <w:t>documents regarding the amendments to the patent;</w:t>
      </w:r>
    </w:p>
    <w:p w:rsidR="001E7E2A" w:rsidRDefault="001E7E2A" w:rsidP="001E7E2A">
      <w:pPr>
        <w:pStyle w:val="ListNo1alt"/>
        <w:numPr>
          <w:ilvl w:val="0"/>
          <w:numId w:val="23"/>
        </w:numPr>
      </w:pPr>
      <w:r>
        <w:t>documents regarding grounds for challenging the amendments or the amended claims;</w:t>
      </w:r>
    </w:p>
    <w:p w:rsidR="001E7E2A" w:rsidRDefault="001E7E2A" w:rsidP="001E7E2A">
      <w:pPr>
        <w:pStyle w:val="ListNo1alt"/>
        <w:numPr>
          <w:ilvl w:val="0"/>
          <w:numId w:val="23"/>
        </w:numPr>
      </w:pPr>
      <w:r>
        <w:lastRenderedPageBreak/>
        <w:t>documents regarding the reasons for filing the current claims, or the ‘issue’ referred to in the evidence that necessitated the current claims; and</w:t>
      </w:r>
    </w:p>
    <w:p w:rsidR="001E7E2A" w:rsidRDefault="001E7E2A" w:rsidP="001E7E2A">
      <w:pPr>
        <w:pStyle w:val="ListNo1alt"/>
        <w:numPr>
          <w:ilvl w:val="0"/>
          <w:numId w:val="23"/>
        </w:numPr>
      </w:pPr>
      <w:r>
        <w:t xml:space="preserve">documents relating to the role of </w:t>
      </w:r>
      <w:proofErr w:type="spellStart"/>
      <w:r>
        <w:t>ss</w:t>
      </w:r>
      <w:proofErr w:type="spellEnd"/>
      <w:r>
        <w:t xml:space="preserve"> 26 or 114 of the </w:t>
      </w:r>
      <w:r w:rsidRPr="00407CDA">
        <w:rPr>
          <w:i/>
        </w:rPr>
        <w:t>Patents Act 1990</w:t>
      </w:r>
      <w:r w:rsidRPr="00407CDA">
        <w:t xml:space="preserve"> (</w:t>
      </w:r>
      <w:proofErr w:type="spellStart"/>
      <w:r w:rsidRPr="00407CDA">
        <w:t>Cth</w:t>
      </w:r>
      <w:proofErr w:type="spellEnd"/>
      <w:r w:rsidRPr="00407CDA">
        <w:t>)</w:t>
      </w:r>
      <w:r>
        <w:t xml:space="preserve"> (the </w:t>
      </w:r>
      <w:r>
        <w:rPr>
          <w:b/>
        </w:rPr>
        <w:t>Act</w:t>
      </w:r>
      <w:r>
        <w:t>).</w:t>
      </w:r>
    </w:p>
    <w:p w:rsidR="00F66FE4" w:rsidRDefault="00F66FE4" w:rsidP="001E7E2A">
      <w:pPr>
        <w:pStyle w:val="ParaNumbering"/>
      </w:pPr>
      <w:r>
        <w:t>The Notice sought production of documents which, in some categories, would go back to July 2020.</w:t>
      </w:r>
    </w:p>
    <w:p w:rsidR="001E7E2A" w:rsidRDefault="001E7E2A" w:rsidP="001E7E2A">
      <w:pPr>
        <w:pStyle w:val="ParaNumbering"/>
      </w:pPr>
      <w:r>
        <w:t xml:space="preserve">The managing director of </w:t>
      </w:r>
      <w:proofErr w:type="spellStart"/>
      <w:r>
        <w:t>Airco</w:t>
      </w:r>
      <w:proofErr w:type="spellEnd"/>
      <w:r>
        <w:t xml:space="preserve">, Mr Brett Jamieson, affirmed an affidavit on 10 December 2021 outlining </w:t>
      </w:r>
      <w:proofErr w:type="spellStart"/>
      <w:r>
        <w:t>Airco’s</w:t>
      </w:r>
      <w:proofErr w:type="spellEnd"/>
      <w:r>
        <w:t xml:space="preserve"> response to the </w:t>
      </w:r>
      <w:r w:rsidR="006B2778">
        <w:t>Notice</w:t>
      </w:r>
      <w:r>
        <w:t xml:space="preserve">. In his affidavit, Mr Jamieson states that to the extent that </w:t>
      </w:r>
      <w:proofErr w:type="spellStart"/>
      <w:r>
        <w:t>Airco</w:t>
      </w:r>
      <w:proofErr w:type="spellEnd"/>
      <w:r>
        <w:t xml:space="preserve"> or its solicitors have in their possession any responsive documents, those documents are privileged communications arising for the dominant purpose of either legal advice or litigation.</w:t>
      </w:r>
      <w:r w:rsidR="006E323F">
        <w:t xml:space="preserve"> He also states that privilege is not waived. </w:t>
      </w:r>
    </w:p>
    <w:p w:rsidR="001E7E2A" w:rsidRDefault="001E7E2A" w:rsidP="001E7E2A">
      <w:pPr>
        <w:pStyle w:val="ParaNumbering"/>
      </w:pPr>
      <w:r>
        <w:t xml:space="preserve">There </w:t>
      </w:r>
      <w:r w:rsidR="00F66FE4">
        <w:t>was</w:t>
      </w:r>
      <w:r>
        <w:t xml:space="preserve"> no dispute between the parties that the documents </w:t>
      </w:r>
      <w:r w:rsidR="00F66FE4">
        <w:t xml:space="preserve">the subject of the Notice </w:t>
      </w:r>
      <w:r>
        <w:t xml:space="preserve">attract legal professional privilege. However, ITW asserts that </w:t>
      </w:r>
      <w:proofErr w:type="spellStart"/>
      <w:r>
        <w:t>Airco</w:t>
      </w:r>
      <w:proofErr w:type="spellEnd"/>
      <w:r>
        <w:t xml:space="preserve"> has waived privilege by acting inconsistently with the maintenance of confidentiality</w:t>
      </w:r>
      <w:r w:rsidR="00F66FE4">
        <w:t xml:space="preserve"> in the communications</w:t>
      </w:r>
      <w:r>
        <w:t xml:space="preserve">. </w:t>
      </w:r>
    </w:p>
    <w:p w:rsidR="001E7E2A" w:rsidRDefault="001E7E2A" w:rsidP="001E7E2A">
      <w:pPr>
        <w:pStyle w:val="Heading1"/>
      </w:pPr>
      <w:r>
        <w:t>Legal principles</w:t>
      </w:r>
    </w:p>
    <w:p w:rsidR="009B6737" w:rsidRDefault="001E7E2A" w:rsidP="006B2778">
      <w:pPr>
        <w:pStyle w:val="ParaNumbering"/>
      </w:pPr>
      <w:r>
        <w:t xml:space="preserve">Waiver of privilege will occur where a client entitled to the benefit of the confidentiality acts in such a way that is inconsistent with the maintenance of </w:t>
      </w:r>
      <w:r w:rsidR="006E323F">
        <w:t xml:space="preserve">that </w:t>
      </w:r>
      <w:r>
        <w:t xml:space="preserve">confidentiality. Waiver of privilege can occur even where it was not the subjective intention of the client to do so. </w:t>
      </w:r>
    </w:p>
    <w:p w:rsidR="001E7E2A" w:rsidRPr="00233F09" w:rsidRDefault="009B6737" w:rsidP="006B2778">
      <w:pPr>
        <w:pStyle w:val="ParaNumbering"/>
        <w:rPr>
          <w:i/>
        </w:rPr>
      </w:pPr>
      <w:r>
        <w:t>There was some dispute as to the relevant principles and the extent of any divergence between the authorit</w:t>
      </w:r>
      <w:r w:rsidR="00407CDA">
        <w:t>ies in this Court and in NSW (as</w:t>
      </w:r>
      <w:r>
        <w:t xml:space="preserve"> ITW sought to rely on the </w:t>
      </w:r>
      <w:r w:rsidR="006B2778">
        <w:t>principles expressed in</w:t>
      </w:r>
      <w:r>
        <w:t xml:space="preserve"> </w:t>
      </w:r>
      <w:r w:rsidRPr="00407CDA">
        <w:rPr>
          <w:i/>
        </w:rPr>
        <w:t xml:space="preserve">GR Capital Group Pty Ltd v </w:t>
      </w:r>
      <w:proofErr w:type="spellStart"/>
      <w:r w:rsidRPr="00407CDA">
        <w:rPr>
          <w:i/>
        </w:rPr>
        <w:t>Xinfeng</w:t>
      </w:r>
      <w:proofErr w:type="spellEnd"/>
      <w:r w:rsidRPr="00407CDA">
        <w:rPr>
          <w:i/>
        </w:rPr>
        <w:t xml:space="preserve"> Australia International Investment Pty Ltd</w:t>
      </w:r>
      <w:r w:rsidRPr="00407CDA">
        <w:t xml:space="preserve"> [2020] NSWCA 266</w:t>
      </w:r>
      <w:r>
        <w:t xml:space="preserve">). </w:t>
      </w:r>
      <w:r w:rsidRPr="00F66FE4">
        <w:t xml:space="preserve">It is sufficient to refer to </w:t>
      </w:r>
      <w:r>
        <w:t xml:space="preserve">the </w:t>
      </w:r>
      <w:r w:rsidR="00F66FE4">
        <w:t>approach</w:t>
      </w:r>
      <w:r>
        <w:t xml:space="preserve"> in this Court, as expressed in </w:t>
      </w:r>
      <w:r w:rsidR="001E7E2A" w:rsidRPr="00407CDA">
        <w:rPr>
          <w:i/>
        </w:rPr>
        <w:t xml:space="preserve">Macquarie Bank Limited v Arup Pty Limited </w:t>
      </w:r>
      <w:r w:rsidR="001E7E2A" w:rsidRPr="00407CDA">
        <w:t>[2016] FCAFC 117</w:t>
      </w:r>
      <w:r>
        <w:t>. In that case</w:t>
      </w:r>
      <w:r w:rsidR="008F25D2">
        <w:t xml:space="preserve"> the Full Court </w:t>
      </w:r>
      <w:r>
        <w:t>summarised the position and previous authorities at [28]–[30]</w:t>
      </w:r>
      <w:r w:rsidR="008F25D2">
        <w:t>:</w:t>
      </w:r>
    </w:p>
    <w:p w:rsidR="001E7E2A" w:rsidRDefault="001E7E2A" w:rsidP="001E7E2A">
      <w:pPr>
        <w:pStyle w:val="Quote1"/>
      </w:pPr>
      <w:r>
        <w:t xml:space="preserve">The correct approach was succinctly described by Yates J in </w:t>
      </w:r>
      <w:proofErr w:type="spellStart"/>
      <w:r>
        <w:rPr>
          <w:i/>
        </w:rPr>
        <w:t>Ferella</w:t>
      </w:r>
      <w:proofErr w:type="spellEnd"/>
      <w:r>
        <w:rPr>
          <w:i/>
        </w:rPr>
        <w:t xml:space="preserve"> &amp; Anor v Official Trustee in Bankruptcy </w:t>
      </w:r>
      <w:r>
        <w:t>(2010) 188 FCR 68 at [65] in the following terms:</w:t>
      </w:r>
    </w:p>
    <w:p w:rsidR="001E7E2A" w:rsidRPr="00F66FE4" w:rsidRDefault="001E7E2A" w:rsidP="001E7E2A">
      <w:pPr>
        <w:pStyle w:val="Quote2"/>
        <w:rPr>
          <w:iCs/>
        </w:rPr>
      </w:pPr>
      <w:r w:rsidRPr="00F66FE4">
        <w:rPr>
          <w:iCs/>
        </w:rPr>
        <w:t>...</w:t>
      </w:r>
      <w:r w:rsidR="004B37C1">
        <w:rPr>
          <w:iCs/>
        </w:rPr>
        <w:t xml:space="preserve"> </w:t>
      </w:r>
      <w:r w:rsidRPr="00F66FE4">
        <w:rPr>
          <w:iCs/>
        </w:rPr>
        <w:t>However the question is not simply whether the holder of the privilege has put that person’s state of mind in issue but whether that person has directly or indirectly put the contents of the otherwise privileged communication in issue: see </w:t>
      </w:r>
      <w:r w:rsidRPr="00F66FE4">
        <w:t>[Rio Tinto]</w:t>
      </w:r>
      <w:r w:rsidRPr="00F66FE4">
        <w:rPr>
          <w:iCs/>
        </w:rPr>
        <w:t> at [65]. Indeed, even the fact that the holder of the privilege makes clear that the advice was relevant or contributed to a particular course of conduct would not be sufficient to waive the privilege unless, possibly, the contents of the legal advice (and not merely the fact of the advice) are specifically put in issue by relying on the contents of the advice to vindicate a claimed state of mind: </w:t>
      </w:r>
      <w:r w:rsidRPr="00F66FE4">
        <w:t>[Rio Tinto]</w:t>
      </w:r>
      <w:r w:rsidRPr="00F66FE4">
        <w:rPr>
          <w:iCs/>
        </w:rPr>
        <w:t> at [67].</w:t>
      </w:r>
    </w:p>
    <w:p w:rsidR="00C60639" w:rsidRPr="00407CDA" w:rsidRDefault="00C60639" w:rsidP="00001669">
      <w:pPr>
        <w:pStyle w:val="Quote1"/>
      </w:pPr>
      <w:r w:rsidRPr="00407CDA">
        <w:lastRenderedPageBreak/>
        <w:t>…</w:t>
      </w:r>
    </w:p>
    <w:p w:rsidR="00C60639" w:rsidRPr="00407CDA" w:rsidRDefault="00C60639" w:rsidP="00001669">
      <w:pPr>
        <w:pStyle w:val="Quote1"/>
        <w:rPr>
          <w:lang w:eastAsia="en-AU"/>
        </w:rPr>
      </w:pPr>
      <w:r w:rsidRPr="00407CDA">
        <w:rPr>
          <w:lang w:eastAsia="en-AU"/>
        </w:rPr>
        <w:t xml:space="preserve">Whilst not to be treated as a statutory formulation, in </w:t>
      </w:r>
      <w:r w:rsidRPr="00407CDA">
        <w:rPr>
          <w:i/>
          <w:iCs/>
          <w:lang w:eastAsia="en-AU"/>
        </w:rPr>
        <w:t xml:space="preserve">DSE (Holdings) Pty Ltd v </w:t>
      </w:r>
      <w:proofErr w:type="spellStart"/>
      <w:r w:rsidRPr="00407CDA">
        <w:rPr>
          <w:i/>
          <w:iCs/>
          <w:lang w:eastAsia="en-AU"/>
        </w:rPr>
        <w:t>Intertan</w:t>
      </w:r>
      <w:proofErr w:type="spellEnd"/>
      <w:r w:rsidRPr="00407CDA">
        <w:rPr>
          <w:i/>
          <w:iCs/>
          <w:lang w:eastAsia="en-AU"/>
        </w:rPr>
        <w:t xml:space="preserve"> </w:t>
      </w:r>
      <w:proofErr w:type="spellStart"/>
      <w:r w:rsidRPr="00407CDA">
        <w:rPr>
          <w:i/>
          <w:iCs/>
          <w:lang w:eastAsia="en-AU"/>
        </w:rPr>
        <w:t>Inc</w:t>
      </w:r>
      <w:proofErr w:type="spellEnd"/>
      <w:r w:rsidRPr="00407CDA">
        <w:rPr>
          <w:i/>
          <w:iCs/>
          <w:lang w:eastAsia="en-AU"/>
        </w:rPr>
        <w:t xml:space="preserve"> </w:t>
      </w:r>
      <w:r w:rsidRPr="00407CDA">
        <w:rPr>
          <w:lang w:eastAsia="en-AU"/>
        </w:rPr>
        <w:t>(2003) 127 FCR 499 (‘</w:t>
      </w:r>
      <w:r w:rsidRPr="00407CDA">
        <w:rPr>
          <w:b/>
          <w:bCs/>
          <w:i/>
          <w:iCs/>
          <w:lang w:eastAsia="en-AU"/>
        </w:rPr>
        <w:t>DSE</w:t>
      </w:r>
      <w:r w:rsidRPr="00407CDA">
        <w:rPr>
          <w:lang w:eastAsia="en-AU"/>
        </w:rPr>
        <w:t>’), Allsop J (as his Honour then was) described (at [58]) an implied waiver as arising when:</w:t>
      </w:r>
    </w:p>
    <w:p w:rsidR="00001669" w:rsidRPr="00407CDA" w:rsidRDefault="00C60639" w:rsidP="00001669">
      <w:pPr>
        <w:pStyle w:val="Quote2"/>
      </w:pPr>
      <w:r w:rsidRPr="00407CDA">
        <w:t>… the party entitled to the privilege makes an assertion (express or implied), or brings a case, which is either about the contents of the confidential communication or which necessarily lays open the confidential communication to scrutiny and, by such conduct, an inconsistency arises between the act and the maintenance of the confidence, informed partly by the forensic unfairness of allowing the claim to proceed without disclosure of the communication.</w:t>
      </w:r>
    </w:p>
    <w:p w:rsidR="001E7E2A" w:rsidRPr="00407CDA" w:rsidRDefault="001E7E2A" w:rsidP="00001669">
      <w:pPr>
        <w:pStyle w:val="Heading1"/>
      </w:pPr>
      <w:r w:rsidRPr="00407CDA">
        <w:t>Inconsistency</w:t>
      </w:r>
    </w:p>
    <w:p w:rsidR="001E7E2A" w:rsidRPr="00407CDA" w:rsidRDefault="001E7E2A" w:rsidP="001E7E2A">
      <w:pPr>
        <w:pStyle w:val="ParaNumbering"/>
      </w:pPr>
      <w:r w:rsidRPr="00407CDA">
        <w:t xml:space="preserve">ITW alleges that </w:t>
      </w:r>
      <w:r w:rsidR="00F66FE4" w:rsidRPr="00407CDA">
        <w:t>the</w:t>
      </w:r>
      <w:r w:rsidRPr="00407CDA">
        <w:t xml:space="preserve"> affidavits </w:t>
      </w:r>
      <w:r w:rsidR="00F66FE4" w:rsidRPr="00407CDA">
        <w:t>of Ms Howard and Mr Jamieson</w:t>
      </w:r>
      <w:r w:rsidRPr="00407CDA">
        <w:t xml:space="preserve"> demonstrate conduct that is inconsistent with the maintenance of privilege, by making express and implied assertions about the contents </w:t>
      </w:r>
      <w:r w:rsidR="00F66FE4" w:rsidRPr="00407CDA">
        <w:t>of confidential communications.</w:t>
      </w:r>
    </w:p>
    <w:p w:rsidR="001E7E2A" w:rsidRPr="00407CDA" w:rsidRDefault="001E7E2A" w:rsidP="00F66FE4">
      <w:pPr>
        <w:pStyle w:val="ParaNumbering"/>
      </w:pPr>
      <w:r w:rsidRPr="00407CDA">
        <w:t xml:space="preserve">ITW submits that Ms Howard’s evidence makes assertions that lay open for scrutiny the contents of certain communications between </w:t>
      </w:r>
      <w:proofErr w:type="spellStart"/>
      <w:r w:rsidRPr="00407CDA">
        <w:t>Airco</w:t>
      </w:r>
      <w:proofErr w:type="spellEnd"/>
      <w:r w:rsidRPr="00407CDA">
        <w:t xml:space="preserve"> and their legal representatives. In particular, ITW submits that the paragraphs </w:t>
      </w:r>
      <w:r w:rsidR="00F66FE4" w:rsidRPr="00407CDA">
        <w:t xml:space="preserve">set out above </w:t>
      </w:r>
      <w:r w:rsidRPr="00407CDA">
        <w:t xml:space="preserve">defining the “issue” and recounting its discovery assert that the issue only came to the attention of </w:t>
      </w:r>
      <w:proofErr w:type="spellStart"/>
      <w:r w:rsidRPr="00407CDA">
        <w:t>Airco</w:t>
      </w:r>
      <w:proofErr w:type="spellEnd"/>
      <w:r w:rsidRPr="00407CDA">
        <w:t xml:space="preserve"> in late November (some three weeks before the trial o</w:t>
      </w:r>
      <w:r w:rsidR="00F66FE4" w:rsidRPr="00407CDA">
        <w:t>f the infringement proceedings).</w:t>
      </w:r>
    </w:p>
    <w:p w:rsidR="001E7E2A" w:rsidRPr="00407CDA" w:rsidRDefault="001E7E2A" w:rsidP="001E7E2A">
      <w:pPr>
        <w:pStyle w:val="ParaNumbering"/>
      </w:pPr>
      <w:proofErr w:type="spellStart"/>
      <w:r w:rsidRPr="00407CDA">
        <w:t>Airco</w:t>
      </w:r>
      <w:proofErr w:type="spellEnd"/>
      <w:r w:rsidRPr="00407CDA">
        <w:t xml:space="preserve"> submits that the </w:t>
      </w:r>
      <w:r w:rsidR="00F66FE4" w:rsidRPr="00407CDA">
        <w:t>relevant</w:t>
      </w:r>
      <w:r w:rsidRPr="00407CDA">
        <w:t xml:space="preserve"> paragraphs are no more than a reference to the fact of advice being given, rather than any assertion regarding the contents of the legal advice. Therefore, </w:t>
      </w:r>
      <w:proofErr w:type="spellStart"/>
      <w:r w:rsidRPr="00407CDA">
        <w:t>Airco</w:t>
      </w:r>
      <w:proofErr w:type="spellEnd"/>
      <w:r w:rsidRPr="00407CDA">
        <w:t xml:space="preserve"> submits the material in Ms Howard’s affidavit does not constitute waiver or put the contents of privileged communication in issue.</w:t>
      </w:r>
    </w:p>
    <w:p w:rsidR="001E7E2A" w:rsidRPr="00407CDA" w:rsidRDefault="001E7E2A" w:rsidP="001E7E2A">
      <w:pPr>
        <w:pStyle w:val="ParaNumbering"/>
      </w:pPr>
      <w:r w:rsidRPr="00407CDA">
        <w:t xml:space="preserve">Similarly, Mr Jamieson’s affidavit states he was not aware of the “issue” about whether the Court has power under the Act to revoke the amendments to the patent until 26 November 2021. Mr Jamieson then says he caused the judicial review proceedings to be filed the next business day. </w:t>
      </w:r>
    </w:p>
    <w:p w:rsidR="001E7E2A" w:rsidRPr="00407CDA" w:rsidRDefault="001E7E2A" w:rsidP="001E7E2A">
      <w:pPr>
        <w:pStyle w:val="ParaNumbering"/>
      </w:pPr>
      <w:r w:rsidRPr="00407CDA">
        <w:t>Counsel for ITW submits that Mr Jamieson’s conduct impliedly assert</w:t>
      </w:r>
      <w:r w:rsidR="006B2778">
        <w:t>s</w:t>
      </w:r>
      <w:r w:rsidRPr="00407CDA">
        <w:t xml:space="preserve"> that he had not received advice in relation to the issue prior to that time, or advice on the manner in which non-compliance with s 102(2) of the Act could be challenged. </w:t>
      </w:r>
    </w:p>
    <w:p w:rsidR="001E7E2A" w:rsidRPr="00407CDA" w:rsidRDefault="001E7E2A" w:rsidP="001E7E2A">
      <w:pPr>
        <w:pStyle w:val="Heading1"/>
      </w:pPr>
      <w:r w:rsidRPr="00407CDA">
        <w:t>Disposition</w:t>
      </w:r>
    </w:p>
    <w:p w:rsidR="001E7E2A" w:rsidRPr="00407CDA" w:rsidRDefault="001E7E2A" w:rsidP="001E7E2A">
      <w:pPr>
        <w:pStyle w:val="ParaNumbering"/>
      </w:pPr>
      <w:r w:rsidRPr="00407CDA">
        <w:t>I consider that privilege has been waived</w:t>
      </w:r>
      <w:r w:rsidR="00F66FE4" w:rsidRPr="00407CDA">
        <w:t>, but only</w:t>
      </w:r>
      <w:r w:rsidRPr="00407CDA">
        <w:t xml:space="preserve"> in respect of the communications on 25 </w:t>
      </w:r>
      <w:r w:rsidR="00F66FE4" w:rsidRPr="00407CDA">
        <w:t xml:space="preserve">and 26 </w:t>
      </w:r>
      <w:r w:rsidRPr="00407CDA">
        <w:t xml:space="preserve">November 2021. Ms Howard and Mr Jamieson’s affidavits </w:t>
      </w:r>
      <w:r w:rsidR="00F66FE4" w:rsidRPr="00407CDA">
        <w:t xml:space="preserve">put the contents of the privileged </w:t>
      </w:r>
      <w:r w:rsidR="00F66FE4" w:rsidRPr="00407CDA">
        <w:lastRenderedPageBreak/>
        <w:t xml:space="preserve">communications in issue in the proceeding: </w:t>
      </w:r>
      <w:r w:rsidRPr="00407CDA">
        <w:t>the substance of the “issue” which they were alerted to on t</w:t>
      </w:r>
      <w:r w:rsidR="00F66FE4" w:rsidRPr="00407CDA">
        <w:t>hose dates</w:t>
      </w:r>
      <w:r w:rsidRPr="00407CDA">
        <w:t>.</w:t>
      </w:r>
      <w:r w:rsidR="00F66FE4" w:rsidRPr="00407CDA">
        <w:t xml:space="preserve"> This conduct </w:t>
      </w:r>
      <w:r w:rsidR="00407CDA" w:rsidRPr="00407CDA">
        <w:t>is inconsistent with the maintenance of privilege over these communications.</w:t>
      </w:r>
    </w:p>
    <w:p w:rsidR="001E7E2A" w:rsidRPr="00407CDA" w:rsidRDefault="001E7E2A" w:rsidP="001E7E2A">
      <w:pPr>
        <w:pStyle w:val="ParaNumbering"/>
      </w:pPr>
      <w:r w:rsidRPr="00407CDA">
        <w:t xml:space="preserve">I do not accept that privilege has been waived in respect of documents created prior to 25 November 2021, to the extent that any relevant documents exist.  </w:t>
      </w:r>
    </w:p>
    <w:p w:rsidR="00CD1346" w:rsidRDefault="001E7E2A" w:rsidP="00407CDA">
      <w:pPr>
        <w:pStyle w:val="ParaNumbering"/>
      </w:pPr>
      <w:r w:rsidRPr="00407CDA">
        <w:t xml:space="preserve">Furthermore, the parties made brief submissions on oppression and relevance. As I consider privilege has only been waived in respect of a confined category of documents, I do not </w:t>
      </w:r>
      <w:r w:rsidR="00407CDA" w:rsidRPr="00407CDA">
        <w:t>consider</w:t>
      </w:r>
      <w:r w:rsidRPr="00407CDA">
        <w:t xml:space="preserve"> that compliance with the notice would be unduly burdensome or </w:t>
      </w:r>
      <w:r w:rsidR="00530D9E">
        <w:t xml:space="preserve">an </w:t>
      </w:r>
      <w:r w:rsidR="00407CDA" w:rsidRPr="00407CDA">
        <w:t xml:space="preserve">oppressive </w:t>
      </w:r>
      <w:r w:rsidRPr="00407CDA">
        <w:t xml:space="preserve">expedition. The documents so defined by the confined category are relevant to the exercise of the Court’s discretion in the extension of time application for the judicial review proceedings. </w:t>
      </w:r>
    </w:p>
    <w:p w:rsidR="00CC2DDB" w:rsidRDefault="00CC2DDB" w:rsidP="00815065">
      <w:pPr>
        <w:pStyle w:val="BodyText"/>
      </w:pPr>
      <w:bookmarkStart w:id="24" w:name="Certification"/>
    </w:p>
    <w:tbl>
      <w:tblPr>
        <w:tblW w:w="0" w:type="auto"/>
        <w:tblLook w:val="04A0" w:firstRow="1" w:lastRow="0" w:firstColumn="1" w:lastColumn="0" w:noHBand="0" w:noVBand="1"/>
      </w:tblPr>
      <w:tblGrid>
        <w:gridCol w:w="3794"/>
      </w:tblGrid>
      <w:tr w:rsidR="00CC2DDB" w:rsidRPr="00CC2DDB">
        <w:tc>
          <w:tcPr>
            <w:tcW w:w="3794" w:type="dxa"/>
            <w:shd w:val="clear" w:color="auto" w:fill="auto"/>
          </w:tcPr>
          <w:p w:rsidR="00CC2DDB" w:rsidRPr="00CC2DDB" w:rsidRDefault="00CC2DDB" w:rsidP="00CC2DDB">
            <w:pPr>
              <w:pStyle w:val="Normal1linespace"/>
            </w:pPr>
            <w:r w:rsidRPr="00CC2DDB">
              <w:t xml:space="preserve">I certify that the preceding </w:t>
            </w:r>
            <w:bookmarkStart w:id="25" w:name="NumberWord"/>
            <w:r>
              <w:t>eighteen</w:t>
            </w:r>
            <w:bookmarkEnd w:id="25"/>
            <w:r w:rsidRPr="00CC2DDB">
              <w:t xml:space="preserve"> (</w:t>
            </w:r>
            <w:bookmarkStart w:id="26" w:name="NumberNumeral"/>
            <w:r>
              <w:t>18</w:t>
            </w:r>
            <w:bookmarkEnd w:id="26"/>
            <w:r w:rsidRPr="00CC2DDB">
              <w:t xml:space="preserve">) numbered </w:t>
            </w:r>
            <w:bookmarkStart w:id="27" w:name="CertPara"/>
            <w:r>
              <w:t>paragraphs are</w:t>
            </w:r>
            <w:bookmarkEnd w:id="27"/>
            <w:r w:rsidRPr="00CC2DDB">
              <w:t xml:space="preserve"> a true copy of the Reasons for Judgment of </w:t>
            </w:r>
            <w:bookmarkStart w:id="28" w:name="bkHonourable"/>
            <w:r w:rsidRPr="00CC2DDB">
              <w:t xml:space="preserve">the Honourable </w:t>
            </w:r>
            <w:bookmarkStart w:id="29" w:name="Justice"/>
            <w:bookmarkEnd w:id="28"/>
            <w:r>
              <w:t>Justice Rofe</w:t>
            </w:r>
            <w:bookmarkEnd w:id="29"/>
            <w:r w:rsidRPr="00CC2DDB">
              <w:t>.</w:t>
            </w:r>
          </w:p>
        </w:tc>
      </w:tr>
    </w:tbl>
    <w:p w:rsidR="00CC2DDB" w:rsidRDefault="00CC2DDB" w:rsidP="00815065">
      <w:pPr>
        <w:pStyle w:val="BodyText"/>
      </w:pPr>
    </w:p>
    <w:p w:rsidR="00CC2DDB" w:rsidRDefault="00CC2DDB" w:rsidP="00815065">
      <w:pPr>
        <w:pStyle w:val="BodyText"/>
      </w:pPr>
    </w:p>
    <w:p w:rsidR="00CC2DDB" w:rsidRDefault="00CC2DDB" w:rsidP="00815065">
      <w:pPr>
        <w:pStyle w:val="BodyText"/>
      </w:pPr>
    </w:p>
    <w:p w:rsidR="00CC2DDB" w:rsidRDefault="00CC2DDB" w:rsidP="00815065">
      <w:pPr>
        <w:pStyle w:val="BodyText"/>
      </w:pPr>
      <w:r>
        <w:t xml:space="preserve">Associate: </w:t>
      </w:r>
      <w:bookmarkStart w:id="30" w:name="_GoBack"/>
      <w:bookmarkEnd w:id="30"/>
    </w:p>
    <w:p w:rsidR="00CC2DDB" w:rsidRDefault="00CC2DDB" w:rsidP="00815065">
      <w:pPr>
        <w:pStyle w:val="BodyText"/>
      </w:pPr>
    </w:p>
    <w:p w:rsidR="00CC2DDB" w:rsidRDefault="00CC2DDB" w:rsidP="00815065">
      <w:pPr>
        <w:pStyle w:val="BodyText"/>
        <w:tabs>
          <w:tab w:val="left" w:pos="1134"/>
        </w:tabs>
      </w:pPr>
      <w:r>
        <w:t>Dated:</w:t>
      </w:r>
      <w:r>
        <w:tab/>
      </w:r>
      <w:bookmarkStart w:id="31" w:name="CertifyDated"/>
      <w:r>
        <w:t>16 December 2021</w:t>
      </w:r>
      <w:bookmarkEnd w:id="31"/>
    </w:p>
    <w:p w:rsidR="00CC2DDB" w:rsidRDefault="00CC2DDB" w:rsidP="00815065">
      <w:pPr>
        <w:pStyle w:val="BodyText"/>
      </w:pPr>
    </w:p>
    <w:bookmarkEnd w:id="24"/>
    <w:p w:rsidR="00CC2DDB" w:rsidRDefault="00CC2DDB" w:rsidP="00CC2DDB">
      <w:pPr>
        <w:pStyle w:val="BodyText"/>
      </w:pPr>
    </w:p>
    <w:sectPr w:rsidR="00CC2DDB"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DF" w:rsidRDefault="001579DF">
      <w:pPr>
        <w:spacing w:line="20" w:lineRule="exact"/>
      </w:pPr>
    </w:p>
    <w:p w:rsidR="001579DF" w:rsidRDefault="001579DF"/>
    <w:p w:rsidR="001579DF" w:rsidRDefault="001579DF"/>
  </w:endnote>
  <w:endnote w:type="continuationSeparator" w:id="0">
    <w:p w:rsidR="001579DF" w:rsidRDefault="001579DF">
      <w:r>
        <w:t xml:space="preserve"> </w:t>
      </w:r>
    </w:p>
    <w:p w:rsidR="001579DF" w:rsidRDefault="001579DF"/>
    <w:p w:rsidR="001579DF" w:rsidRDefault="001579DF"/>
  </w:endnote>
  <w:endnote w:type="continuationNotice" w:id="1">
    <w:p w:rsidR="001579DF" w:rsidRDefault="001579DF">
      <w:r>
        <w:t xml:space="preserve"> </w:t>
      </w:r>
    </w:p>
    <w:p w:rsidR="001579DF" w:rsidRDefault="001579DF"/>
    <w:p w:rsidR="001579DF" w:rsidRDefault="001579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9A" w:rsidRDefault="00E062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6B75A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proofErr w:type="spellStart"/>
        <w:r w:rsidR="00815079">
          <w:rPr>
            <w:bCs/>
            <w:sz w:val="18"/>
            <w:szCs w:val="18"/>
          </w:rPr>
          <w:t>Airco</w:t>
        </w:r>
        <w:proofErr w:type="spellEnd"/>
        <w:r w:rsidR="00815079">
          <w:rPr>
            <w:bCs/>
            <w:sz w:val="18"/>
            <w:szCs w:val="18"/>
          </w:rPr>
          <w:t xml:space="preserve"> Fasteners Pty Ltd v Commissioner of Patents [2021] FCA 1594</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E0629A" w:rsidRDefault="00395B24" w:rsidP="00E062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41A88"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06CD471299F47ACA8C0573BF743EE95"/>
        </w:placeholder>
        <w:dataBinding w:prefixMappings="xmlns:ns0='http://schemas.globalmacros.com/FCA'" w:xpath="/ns0:root[1]/ns0:Name[1]" w:storeItemID="{687E7CCB-4AA5-44E7-B148-17BA2B6F57C0}"/>
        <w:text w:multiLine="1"/>
      </w:sdtPr>
      <w:sdtEndPr/>
      <w:sdtContent>
        <w:proofErr w:type="spellStart"/>
        <w:r w:rsidR="00815079">
          <w:rPr>
            <w:bCs/>
            <w:sz w:val="18"/>
            <w:szCs w:val="18"/>
          </w:rPr>
          <w:t>Airco</w:t>
        </w:r>
        <w:proofErr w:type="spellEnd"/>
        <w:r w:rsidR="00815079">
          <w:rPr>
            <w:bCs/>
            <w:sz w:val="18"/>
            <w:szCs w:val="18"/>
          </w:rPr>
          <w:t xml:space="preserve"> Fasteners Pty Ltd v Commissioner of Patents [2021] FCA 1594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AD01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F083DD6662714CAAB8AB44E130A57E12"/>
        </w:placeholder>
        <w:dataBinding w:prefixMappings="xmlns:ns0='http://schemas.globalmacros.com/FCA'" w:xpath="/ns0:root[1]/ns0:Name[1]" w:storeItemID="{687E7CCB-4AA5-44E7-B148-17BA2B6F57C0}"/>
        <w:text w:multiLine="1"/>
      </w:sdtPr>
      <w:sdtEndPr/>
      <w:sdtContent>
        <w:proofErr w:type="spellStart"/>
        <w:r w:rsidR="00815079">
          <w:rPr>
            <w:bCs/>
            <w:sz w:val="18"/>
            <w:szCs w:val="18"/>
          </w:rPr>
          <w:t>Airco</w:t>
        </w:r>
        <w:proofErr w:type="spellEnd"/>
        <w:r w:rsidR="00815079">
          <w:rPr>
            <w:bCs/>
            <w:sz w:val="18"/>
            <w:szCs w:val="18"/>
          </w:rPr>
          <w:t xml:space="preserve"> Fasteners Pty Ltd v Commissioner of Patents [2021] FCA 1594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E42E9">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AED7D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43621DB8DE0F451ABE74C9D0B92B78FE"/>
        </w:placeholder>
        <w:dataBinding w:prefixMappings="xmlns:ns0='http://schemas.globalmacros.com/FCA'" w:xpath="/ns0:root[1]/ns0:Name[1]" w:storeItemID="{687E7CCB-4AA5-44E7-B148-17BA2B6F57C0}"/>
        <w:text w:multiLine="1"/>
      </w:sdtPr>
      <w:sdtEndPr/>
      <w:sdtContent>
        <w:proofErr w:type="spellStart"/>
        <w:r w:rsidR="00815079">
          <w:rPr>
            <w:bCs/>
            <w:sz w:val="18"/>
            <w:szCs w:val="18"/>
          </w:rPr>
          <w:t>Airco</w:t>
        </w:r>
        <w:proofErr w:type="spellEnd"/>
        <w:r w:rsidR="00815079">
          <w:rPr>
            <w:bCs/>
            <w:sz w:val="18"/>
            <w:szCs w:val="18"/>
          </w:rPr>
          <w:t xml:space="preserve"> Fasteners Pty Ltd v Commissioner of Patents [2021] FCA 1594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E42E9">
      <w:rPr>
        <w:bCs/>
        <w:noProof/>
        <w:sz w:val="20"/>
      </w:rPr>
      <w:t>4</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7974B"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B6FA927D2D1341F784CA7B1A3BD9489A"/>
        </w:placeholder>
        <w:dataBinding w:prefixMappings="xmlns:ns0='http://schemas.globalmacros.com/FCA'" w:xpath="/ns0:root[1]/ns0:Name[1]" w:storeItemID="{687E7CCB-4AA5-44E7-B148-17BA2B6F57C0}"/>
        <w:text w:multiLine="1"/>
      </w:sdtPr>
      <w:sdtEndPr/>
      <w:sdtContent>
        <w:proofErr w:type="spellStart"/>
        <w:r w:rsidR="00815079">
          <w:rPr>
            <w:bCs/>
            <w:sz w:val="18"/>
            <w:szCs w:val="18"/>
          </w:rPr>
          <w:t>Airco</w:t>
        </w:r>
        <w:proofErr w:type="spellEnd"/>
        <w:r w:rsidR="00815079">
          <w:rPr>
            <w:bCs/>
            <w:sz w:val="18"/>
            <w:szCs w:val="18"/>
          </w:rPr>
          <w:t xml:space="preserve"> Fasteners Pty Ltd v Commissioner of Patents [2021] FCA 1594</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FE42E9">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DF" w:rsidRDefault="001579DF"/>
  </w:footnote>
  <w:footnote w:type="continuationSeparator" w:id="0">
    <w:p w:rsidR="001579DF" w:rsidRDefault="001579DF">
      <w:r>
        <w:continuationSeparator/>
      </w:r>
    </w:p>
    <w:p w:rsidR="001579DF" w:rsidRDefault="001579DF"/>
    <w:p w:rsidR="001579DF" w:rsidRDefault="001579D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9A" w:rsidRDefault="00E062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9A" w:rsidRDefault="00E062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29A" w:rsidRDefault="00E062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EE46B9F"/>
    <w:multiLevelType w:val="hybridMultilevel"/>
    <w:tmpl w:val="ABF8E570"/>
    <w:lvl w:ilvl="0" w:tplc="9D7C11B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9AE3DD1"/>
    <w:multiLevelType w:val="singleLevel"/>
    <w:tmpl w:val="69F204A6"/>
    <w:lvl w:ilvl="0">
      <w:start w:val="1"/>
      <w:numFmt w:val="decimal"/>
      <w:lvlRestart w:val="0"/>
      <w:pStyle w:val="ParaNumbering"/>
      <w:lvlText w:val="%1"/>
      <w:lvlJc w:val="left"/>
      <w:pPr>
        <w:tabs>
          <w:tab w:val="num" w:pos="720"/>
        </w:tabs>
        <w:ind w:left="0" w:hanging="720"/>
      </w:pPr>
      <w:rPr>
        <w:rFonts w:hint="default"/>
        <w:i w:val="0"/>
        <w:sz w:val="20"/>
      </w:rPr>
    </w:lvl>
  </w:abstractNum>
  <w:abstractNum w:abstractNumId="16"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7"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2B2C6920"/>
    <w:multiLevelType w:val="multilevel"/>
    <w:tmpl w:val="86F4AF1A"/>
    <w:lvl w:ilvl="0">
      <w:start w:val="1"/>
      <w:numFmt w:val="decimal"/>
      <w:lvlText w:val="%1."/>
      <w:lvlJc w:val="left"/>
      <w:pPr>
        <w:ind w:left="360" w:hanging="360"/>
      </w:pPr>
      <w:rPr>
        <w:rFonts w:ascii="Times New Roman" w:eastAsia="Batang"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36261999"/>
    <w:multiLevelType w:val="hybridMultilevel"/>
    <w:tmpl w:val="BF34C61A"/>
    <w:lvl w:ilvl="0" w:tplc="0C09000F">
      <w:start w:val="1"/>
      <w:numFmt w:val="decimal"/>
      <w:lvlText w:val="%1."/>
      <w:lvlJc w:val="left"/>
      <w:pPr>
        <w:ind w:left="720" w:hanging="360"/>
      </w:pPr>
      <w:rPr>
        <w:rFonts w:hint="default"/>
      </w:rPr>
    </w:lvl>
    <w:lvl w:ilvl="1" w:tplc="5ED8F5A0">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94817A7"/>
    <w:multiLevelType w:val="multilevel"/>
    <w:tmpl w:val="0F0EC90E"/>
    <w:numStyleLink w:val="FCListNo"/>
  </w:abstractNum>
  <w:abstractNum w:abstractNumId="23"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23"/>
  </w:num>
  <w:num w:numId="14">
    <w:abstractNumId w:val="24"/>
  </w:num>
  <w:num w:numId="15">
    <w:abstractNumId w:val="27"/>
  </w:num>
  <w:num w:numId="16">
    <w:abstractNumId w:val="14"/>
  </w:num>
  <w:num w:numId="17">
    <w:abstractNumId w:val="26"/>
  </w:num>
  <w:num w:numId="18">
    <w:abstractNumId w:val="11"/>
  </w:num>
  <w:num w:numId="19">
    <w:abstractNumId w:val="20"/>
  </w:num>
  <w:num w:numId="20">
    <w:abstractNumId w:val="16"/>
  </w:num>
  <w:num w:numId="21">
    <w:abstractNumId w:val="17"/>
  </w:num>
  <w:num w:numId="22">
    <w:abstractNumId w:val="22"/>
  </w:num>
  <w:num w:numId="23">
    <w:abstractNumId w:val="10"/>
  </w:num>
  <w:num w:numId="24">
    <w:abstractNumId w:val="10"/>
  </w:num>
  <w:num w:numId="25">
    <w:abstractNumId w:val="13"/>
  </w:num>
  <w:num w:numId="26">
    <w:abstractNumId w:val="19"/>
  </w:num>
  <w:num w:numId="27">
    <w:abstractNumId w:val="19"/>
  </w:num>
  <w:num w:numId="28">
    <w:abstractNumId w:val="19"/>
  </w:num>
  <w:num w:numId="29">
    <w:abstractNumId w:val="18"/>
  </w:num>
  <w:num w:numId="30">
    <w:abstractNumId w:val="21"/>
  </w:num>
  <w:num w:numId="31">
    <w:abstractNumId w:val="12"/>
  </w:num>
  <w:num w:numId="32">
    <w:abstractNumId w:val="1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Airco Fasteners Pty Ltd"/>
    <w:docVar w:name="CounselParties" w:val="Applicant"/>
    <w:docVar w:name="CounselType" w:val="Counsel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ivision" w:val="FCA General Division"/>
    <w:docVar w:name="DocCreated" w:val="True"/>
    <w:docVar w:name="EntryList" w:val="Solicitor for the Applicant"/>
    <w:docVar w:name="FileNumbers" w:val="VID 711 of 2021_x000d_VID716 of 2021"/>
    <w:docVar w:name="Initiators" w:val="(and another named in the Schedule)"/>
    <w:docVar w:name="Judgdate" w:val="16 December 2021"/>
    <w:docVar w:name="Judge" w:val="Rofe"/>
    <w:docVar w:name="JudgeType" w:val="Justice"/>
    <w:docVar w:name="lstEntryList" w:val="3"/>
    <w:docVar w:name="myEntryList" w:val="Counsel for the Applicant=Mr E Heerey QC|Counsel for the Applicant=Mr P Creighton-Selvay|Counsel for the Applicant=Mr T Wood|Solicitor for the Applicant=Hall &amp; Willcox|Counsel for the Second Respondent=Mr C Dimitriadis SC|Counsel for the Second Respondent=Mr B Fitzpatrick|Counsel for the Second Respondent=Ms C Cunliffe|Solicitor for the Second Respondent=Davies Collison Cave Law"/>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Intellectual Property"/>
    <w:docVar w:name="RESAndAnother" w:val="True"/>
    <w:docVar w:name="RESAndOthers" w:val="False"/>
    <w:docVar w:name="Respondent" w:val="The Commissioner of Patents|Illinois Tool Works Inc."/>
    <w:docVar w:name="ResState" w:val="Victoria"/>
    <w:docVar w:name="SubArea" w:val="Patents and associated Statutes (IP)"/>
  </w:docVars>
  <w:rsids>
    <w:rsidRoot w:val="00292451"/>
    <w:rsid w:val="00000747"/>
    <w:rsid w:val="00001669"/>
    <w:rsid w:val="000115C5"/>
    <w:rsid w:val="0001469E"/>
    <w:rsid w:val="00015993"/>
    <w:rsid w:val="00021CCB"/>
    <w:rsid w:val="00022289"/>
    <w:rsid w:val="000237E9"/>
    <w:rsid w:val="00027398"/>
    <w:rsid w:val="0003201A"/>
    <w:rsid w:val="0003207A"/>
    <w:rsid w:val="00032F9F"/>
    <w:rsid w:val="00041C07"/>
    <w:rsid w:val="00045BB7"/>
    <w:rsid w:val="00055719"/>
    <w:rsid w:val="0005641B"/>
    <w:rsid w:val="0006196A"/>
    <w:rsid w:val="000650F0"/>
    <w:rsid w:val="00071FB3"/>
    <w:rsid w:val="00077768"/>
    <w:rsid w:val="00081497"/>
    <w:rsid w:val="000831EC"/>
    <w:rsid w:val="00084126"/>
    <w:rsid w:val="00085255"/>
    <w:rsid w:val="000A2E76"/>
    <w:rsid w:val="000A4807"/>
    <w:rsid w:val="000A4BE4"/>
    <w:rsid w:val="000C023E"/>
    <w:rsid w:val="000C405D"/>
    <w:rsid w:val="000C5195"/>
    <w:rsid w:val="000C62EF"/>
    <w:rsid w:val="000D2137"/>
    <w:rsid w:val="000D3FD2"/>
    <w:rsid w:val="000D4B2E"/>
    <w:rsid w:val="000E3FC8"/>
    <w:rsid w:val="000E7BAE"/>
    <w:rsid w:val="000F133D"/>
    <w:rsid w:val="0010536B"/>
    <w:rsid w:val="0011145C"/>
    <w:rsid w:val="0011161A"/>
    <w:rsid w:val="001128BD"/>
    <w:rsid w:val="0011419D"/>
    <w:rsid w:val="00114B02"/>
    <w:rsid w:val="001226C0"/>
    <w:rsid w:val="00126EC8"/>
    <w:rsid w:val="0012731C"/>
    <w:rsid w:val="00132054"/>
    <w:rsid w:val="00134964"/>
    <w:rsid w:val="001351B9"/>
    <w:rsid w:val="00155CD2"/>
    <w:rsid w:val="001579DF"/>
    <w:rsid w:val="001727A4"/>
    <w:rsid w:val="0017376C"/>
    <w:rsid w:val="001738AB"/>
    <w:rsid w:val="001765E0"/>
    <w:rsid w:val="00177759"/>
    <w:rsid w:val="00180BB3"/>
    <w:rsid w:val="00185DD6"/>
    <w:rsid w:val="00185E6B"/>
    <w:rsid w:val="00187BBC"/>
    <w:rsid w:val="001932F3"/>
    <w:rsid w:val="001A2B40"/>
    <w:rsid w:val="001A4309"/>
    <w:rsid w:val="001A46AE"/>
    <w:rsid w:val="001A6C52"/>
    <w:rsid w:val="001B1053"/>
    <w:rsid w:val="001B14AC"/>
    <w:rsid w:val="001B7940"/>
    <w:rsid w:val="001C171A"/>
    <w:rsid w:val="001C2FE0"/>
    <w:rsid w:val="001C37CA"/>
    <w:rsid w:val="001C4085"/>
    <w:rsid w:val="001D4303"/>
    <w:rsid w:val="001D6746"/>
    <w:rsid w:val="001D79C3"/>
    <w:rsid w:val="001E0C61"/>
    <w:rsid w:val="001E3B49"/>
    <w:rsid w:val="001E4A05"/>
    <w:rsid w:val="001E6A19"/>
    <w:rsid w:val="001E7388"/>
    <w:rsid w:val="001E7E2A"/>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4F5B"/>
    <w:rsid w:val="00280836"/>
    <w:rsid w:val="00282E1A"/>
    <w:rsid w:val="002840F1"/>
    <w:rsid w:val="00285922"/>
    <w:rsid w:val="0029113B"/>
    <w:rsid w:val="00292451"/>
    <w:rsid w:val="002934C0"/>
    <w:rsid w:val="00293E1F"/>
    <w:rsid w:val="0029764C"/>
    <w:rsid w:val="002A1B50"/>
    <w:rsid w:val="002B0E91"/>
    <w:rsid w:val="002B132C"/>
    <w:rsid w:val="002B3F23"/>
    <w:rsid w:val="002B4EB5"/>
    <w:rsid w:val="002B5AF5"/>
    <w:rsid w:val="002B6779"/>
    <w:rsid w:val="002B71C0"/>
    <w:rsid w:val="002B7A34"/>
    <w:rsid w:val="002C0495"/>
    <w:rsid w:val="002C31AD"/>
    <w:rsid w:val="002C7385"/>
    <w:rsid w:val="002D2DBB"/>
    <w:rsid w:val="002D37D8"/>
    <w:rsid w:val="002D54A6"/>
    <w:rsid w:val="002E3779"/>
    <w:rsid w:val="002E5BF9"/>
    <w:rsid w:val="002E6A7A"/>
    <w:rsid w:val="002F1E49"/>
    <w:rsid w:val="002F4E9C"/>
    <w:rsid w:val="002F6E15"/>
    <w:rsid w:val="00302F4E"/>
    <w:rsid w:val="0031256C"/>
    <w:rsid w:val="00314D6C"/>
    <w:rsid w:val="00316D2A"/>
    <w:rsid w:val="00322A7C"/>
    <w:rsid w:val="00322EEC"/>
    <w:rsid w:val="00323061"/>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07CDA"/>
    <w:rsid w:val="004104B6"/>
    <w:rsid w:val="00411AE8"/>
    <w:rsid w:val="00413B74"/>
    <w:rsid w:val="004342F3"/>
    <w:rsid w:val="00435C5F"/>
    <w:rsid w:val="00436155"/>
    <w:rsid w:val="00436460"/>
    <w:rsid w:val="00441E98"/>
    <w:rsid w:val="00450F3A"/>
    <w:rsid w:val="004532F7"/>
    <w:rsid w:val="00464D51"/>
    <w:rsid w:val="00472027"/>
    <w:rsid w:val="004804CF"/>
    <w:rsid w:val="00483314"/>
    <w:rsid w:val="00484962"/>
    <w:rsid w:val="00484F6D"/>
    <w:rsid w:val="00484FB7"/>
    <w:rsid w:val="0048554D"/>
    <w:rsid w:val="0049338A"/>
    <w:rsid w:val="0049417F"/>
    <w:rsid w:val="00496D41"/>
    <w:rsid w:val="00497407"/>
    <w:rsid w:val="004A6602"/>
    <w:rsid w:val="004B37C1"/>
    <w:rsid w:val="004B3EFA"/>
    <w:rsid w:val="004C2A87"/>
    <w:rsid w:val="004C4D7B"/>
    <w:rsid w:val="004C4ED3"/>
    <w:rsid w:val="004C59C2"/>
    <w:rsid w:val="004C667B"/>
    <w:rsid w:val="004C7ECD"/>
    <w:rsid w:val="004D2EA5"/>
    <w:rsid w:val="004D32A6"/>
    <w:rsid w:val="004D53E5"/>
    <w:rsid w:val="004D7950"/>
    <w:rsid w:val="004E6DC4"/>
    <w:rsid w:val="004F21C1"/>
    <w:rsid w:val="00501A12"/>
    <w:rsid w:val="0050309C"/>
    <w:rsid w:val="0051327C"/>
    <w:rsid w:val="0051346D"/>
    <w:rsid w:val="00513EAE"/>
    <w:rsid w:val="0051434F"/>
    <w:rsid w:val="00516806"/>
    <w:rsid w:val="0052098C"/>
    <w:rsid w:val="00525A49"/>
    <w:rsid w:val="005262D1"/>
    <w:rsid w:val="00527B41"/>
    <w:rsid w:val="00530876"/>
    <w:rsid w:val="00530D9E"/>
    <w:rsid w:val="00535613"/>
    <w:rsid w:val="005359EB"/>
    <w:rsid w:val="0054254A"/>
    <w:rsid w:val="0054500B"/>
    <w:rsid w:val="005466B5"/>
    <w:rsid w:val="00554314"/>
    <w:rsid w:val="00562829"/>
    <w:rsid w:val="005629B3"/>
    <w:rsid w:val="0057128A"/>
    <w:rsid w:val="005724F6"/>
    <w:rsid w:val="00573AC4"/>
    <w:rsid w:val="005801FC"/>
    <w:rsid w:val="00585BA9"/>
    <w:rsid w:val="00587359"/>
    <w:rsid w:val="00595016"/>
    <w:rsid w:val="00597AAE"/>
    <w:rsid w:val="005A222C"/>
    <w:rsid w:val="005A4DF8"/>
    <w:rsid w:val="005A78C8"/>
    <w:rsid w:val="005B1426"/>
    <w:rsid w:val="005C0A8E"/>
    <w:rsid w:val="005C1767"/>
    <w:rsid w:val="005C185C"/>
    <w:rsid w:val="005C42EF"/>
    <w:rsid w:val="005C4DBE"/>
    <w:rsid w:val="005E02F5"/>
    <w:rsid w:val="005E0510"/>
    <w:rsid w:val="005E176E"/>
    <w:rsid w:val="005E218E"/>
    <w:rsid w:val="005E35A0"/>
    <w:rsid w:val="005F0D1B"/>
    <w:rsid w:val="005F1865"/>
    <w:rsid w:val="006007BD"/>
    <w:rsid w:val="006013C8"/>
    <w:rsid w:val="0060270D"/>
    <w:rsid w:val="00604342"/>
    <w:rsid w:val="00604611"/>
    <w:rsid w:val="00611586"/>
    <w:rsid w:val="00612D26"/>
    <w:rsid w:val="00615855"/>
    <w:rsid w:val="00620DA8"/>
    <w:rsid w:val="00621887"/>
    <w:rsid w:val="00624520"/>
    <w:rsid w:val="006271F5"/>
    <w:rsid w:val="00632300"/>
    <w:rsid w:val="00632BB7"/>
    <w:rsid w:val="006336A8"/>
    <w:rsid w:val="00635B36"/>
    <w:rsid w:val="00636871"/>
    <w:rsid w:val="00640EE1"/>
    <w:rsid w:val="00640F4E"/>
    <w:rsid w:val="00643DE0"/>
    <w:rsid w:val="0064437D"/>
    <w:rsid w:val="00644E85"/>
    <w:rsid w:val="006516D8"/>
    <w:rsid w:val="00652C52"/>
    <w:rsid w:val="0066063F"/>
    <w:rsid w:val="00662BB0"/>
    <w:rsid w:val="00663878"/>
    <w:rsid w:val="00667773"/>
    <w:rsid w:val="00670743"/>
    <w:rsid w:val="00680A85"/>
    <w:rsid w:val="00681ADF"/>
    <w:rsid w:val="00690EE2"/>
    <w:rsid w:val="00693854"/>
    <w:rsid w:val="00694BEB"/>
    <w:rsid w:val="006A0E20"/>
    <w:rsid w:val="006A24E3"/>
    <w:rsid w:val="006A5695"/>
    <w:rsid w:val="006B0439"/>
    <w:rsid w:val="006B2778"/>
    <w:rsid w:val="006B3904"/>
    <w:rsid w:val="006B5B7D"/>
    <w:rsid w:val="006C5B46"/>
    <w:rsid w:val="006C6E39"/>
    <w:rsid w:val="006D0ECF"/>
    <w:rsid w:val="006D3D5B"/>
    <w:rsid w:val="006D4C92"/>
    <w:rsid w:val="006D4EB6"/>
    <w:rsid w:val="006D7FBC"/>
    <w:rsid w:val="006E323F"/>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4667B"/>
    <w:rsid w:val="007470BD"/>
    <w:rsid w:val="00760EC0"/>
    <w:rsid w:val="007711BD"/>
    <w:rsid w:val="0078003A"/>
    <w:rsid w:val="00780771"/>
    <w:rsid w:val="007929CF"/>
    <w:rsid w:val="00797BA8"/>
    <w:rsid w:val="007A081D"/>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15079"/>
    <w:rsid w:val="008216E7"/>
    <w:rsid w:val="00825BE6"/>
    <w:rsid w:val="008276B4"/>
    <w:rsid w:val="00831927"/>
    <w:rsid w:val="00837288"/>
    <w:rsid w:val="00841BD3"/>
    <w:rsid w:val="0084273D"/>
    <w:rsid w:val="00844E3F"/>
    <w:rsid w:val="00845A83"/>
    <w:rsid w:val="00846BB9"/>
    <w:rsid w:val="008649D5"/>
    <w:rsid w:val="008712BB"/>
    <w:rsid w:val="008830E7"/>
    <w:rsid w:val="00890EDE"/>
    <w:rsid w:val="00892B38"/>
    <w:rsid w:val="008A1741"/>
    <w:rsid w:val="008A2484"/>
    <w:rsid w:val="008A52F3"/>
    <w:rsid w:val="008C26D9"/>
    <w:rsid w:val="008C6D50"/>
    <w:rsid w:val="008C7167"/>
    <w:rsid w:val="008C7503"/>
    <w:rsid w:val="008D1617"/>
    <w:rsid w:val="008D330F"/>
    <w:rsid w:val="008D48C1"/>
    <w:rsid w:val="008E6315"/>
    <w:rsid w:val="008F0480"/>
    <w:rsid w:val="008F07FC"/>
    <w:rsid w:val="008F11E0"/>
    <w:rsid w:val="008F25D2"/>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70D"/>
    <w:rsid w:val="00950BE6"/>
    <w:rsid w:val="00957DE8"/>
    <w:rsid w:val="00960ECB"/>
    <w:rsid w:val="009615D6"/>
    <w:rsid w:val="00967855"/>
    <w:rsid w:val="00971CD1"/>
    <w:rsid w:val="00974709"/>
    <w:rsid w:val="009801AE"/>
    <w:rsid w:val="00980736"/>
    <w:rsid w:val="00981A39"/>
    <w:rsid w:val="00982D56"/>
    <w:rsid w:val="00983DBF"/>
    <w:rsid w:val="00987097"/>
    <w:rsid w:val="00991123"/>
    <w:rsid w:val="00991CAB"/>
    <w:rsid w:val="009A3A9C"/>
    <w:rsid w:val="009B046C"/>
    <w:rsid w:val="009B13FA"/>
    <w:rsid w:val="009B1E2D"/>
    <w:rsid w:val="009B6737"/>
    <w:rsid w:val="009C59FB"/>
    <w:rsid w:val="009C6F3B"/>
    <w:rsid w:val="009D1467"/>
    <w:rsid w:val="009D328D"/>
    <w:rsid w:val="009E4FA6"/>
    <w:rsid w:val="009E7D93"/>
    <w:rsid w:val="009F20AF"/>
    <w:rsid w:val="009F3C34"/>
    <w:rsid w:val="009F462C"/>
    <w:rsid w:val="009F5C33"/>
    <w:rsid w:val="00A026F0"/>
    <w:rsid w:val="00A03EAC"/>
    <w:rsid w:val="00A04DBB"/>
    <w:rsid w:val="00A07EA0"/>
    <w:rsid w:val="00A11CA6"/>
    <w:rsid w:val="00A13AF0"/>
    <w:rsid w:val="00A20C49"/>
    <w:rsid w:val="00A22932"/>
    <w:rsid w:val="00A269CA"/>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5F97"/>
    <w:rsid w:val="00A73B04"/>
    <w:rsid w:val="00A75765"/>
    <w:rsid w:val="00A76C13"/>
    <w:rsid w:val="00A84FD0"/>
    <w:rsid w:val="00A92E79"/>
    <w:rsid w:val="00A950B6"/>
    <w:rsid w:val="00A95D45"/>
    <w:rsid w:val="00AA3EA8"/>
    <w:rsid w:val="00AB3860"/>
    <w:rsid w:val="00AB41C1"/>
    <w:rsid w:val="00AB4CF2"/>
    <w:rsid w:val="00AB6CCA"/>
    <w:rsid w:val="00AC223F"/>
    <w:rsid w:val="00AC33B1"/>
    <w:rsid w:val="00AD12A8"/>
    <w:rsid w:val="00AE023F"/>
    <w:rsid w:val="00AF3577"/>
    <w:rsid w:val="00AF35F9"/>
    <w:rsid w:val="00B0424C"/>
    <w:rsid w:val="00B05C7D"/>
    <w:rsid w:val="00B15D57"/>
    <w:rsid w:val="00B16347"/>
    <w:rsid w:val="00B17D6E"/>
    <w:rsid w:val="00B2435E"/>
    <w:rsid w:val="00B346C3"/>
    <w:rsid w:val="00B37BA9"/>
    <w:rsid w:val="00B4005C"/>
    <w:rsid w:val="00B4227E"/>
    <w:rsid w:val="00B4471C"/>
    <w:rsid w:val="00B451A6"/>
    <w:rsid w:val="00B56D6E"/>
    <w:rsid w:val="00B61750"/>
    <w:rsid w:val="00B64347"/>
    <w:rsid w:val="00B65DC6"/>
    <w:rsid w:val="00B67AC2"/>
    <w:rsid w:val="00B722DE"/>
    <w:rsid w:val="00B751E3"/>
    <w:rsid w:val="00B75BA6"/>
    <w:rsid w:val="00B76C44"/>
    <w:rsid w:val="00B8184A"/>
    <w:rsid w:val="00B82283"/>
    <w:rsid w:val="00B828D8"/>
    <w:rsid w:val="00B83F87"/>
    <w:rsid w:val="00B84587"/>
    <w:rsid w:val="00B87CDC"/>
    <w:rsid w:val="00B910C1"/>
    <w:rsid w:val="00B95535"/>
    <w:rsid w:val="00BA2CA4"/>
    <w:rsid w:val="00BA2EFA"/>
    <w:rsid w:val="00BA3DBC"/>
    <w:rsid w:val="00BA707A"/>
    <w:rsid w:val="00BB1AFB"/>
    <w:rsid w:val="00BB27AE"/>
    <w:rsid w:val="00BB2DA2"/>
    <w:rsid w:val="00BB56DC"/>
    <w:rsid w:val="00BE183D"/>
    <w:rsid w:val="00BF24C2"/>
    <w:rsid w:val="00BF2922"/>
    <w:rsid w:val="00BF5D7A"/>
    <w:rsid w:val="00C01C2E"/>
    <w:rsid w:val="00C02D33"/>
    <w:rsid w:val="00C04B53"/>
    <w:rsid w:val="00C1232C"/>
    <w:rsid w:val="00C27C6B"/>
    <w:rsid w:val="00C3594D"/>
    <w:rsid w:val="00C36442"/>
    <w:rsid w:val="00C400CE"/>
    <w:rsid w:val="00C410FD"/>
    <w:rsid w:val="00C457DE"/>
    <w:rsid w:val="00C46C2F"/>
    <w:rsid w:val="00C47DD3"/>
    <w:rsid w:val="00C5316F"/>
    <w:rsid w:val="00C53562"/>
    <w:rsid w:val="00C539FB"/>
    <w:rsid w:val="00C60639"/>
    <w:rsid w:val="00C66AA3"/>
    <w:rsid w:val="00C66E57"/>
    <w:rsid w:val="00C724D7"/>
    <w:rsid w:val="00C74150"/>
    <w:rsid w:val="00C75594"/>
    <w:rsid w:val="00C85982"/>
    <w:rsid w:val="00CA0466"/>
    <w:rsid w:val="00CA246D"/>
    <w:rsid w:val="00CA50D9"/>
    <w:rsid w:val="00CB3054"/>
    <w:rsid w:val="00CB5636"/>
    <w:rsid w:val="00CB5F30"/>
    <w:rsid w:val="00CC2DDB"/>
    <w:rsid w:val="00CC3EE5"/>
    <w:rsid w:val="00CC6E47"/>
    <w:rsid w:val="00CD1346"/>
    <w:rsid w:val="00CE425C"/>
    <w:rsid w:val="00CE58AC"/>
    <w:rsid w:val="00CF5A80"/>
    <w:rsid w:val="00D045EE"/>
    <w:rsid w:val="00D05091"/>
    <w:rsid w:val="00D10CA6"/>
    <w:rsid w:val="00D10F21"/>
    <w:rsid w:val="00D134CF"/>
    <w:rsid w:val="00D1573B"/>
    <w:rsid w:val="00D24806"/>
    <w:rsid w:val="00D34040"/>
    <w:rsid w:val="00D34E69"/>
    <w:rsid w:val="00D36C78"/>
    <w:rsid w:val="00D375EE"/>
    <w:rsid w:val="00D55AE8"/>
    <w:rsid w:val="00D56056"/>
    <w:rsid w:val="00D6085F"/>
    <w:rsid w:val="00D62699"/>
    <w:rsid w:val="00D778E9"/>
    <w:rsid w:val="00D812BF"/>
    <w:rsid w:val="00D816A6"/>
    <w:rsid w:val="00D82620"/>
    <w:rsid w:val="00D85707"/>
    <w:rsid w:val="00D9725F"/>
    <w:rsid w:val="00DA01B1"/>
    <w:rsid w:val="00DA11A2"/>
    <w:rsid w:val="00DA14ED"/>
    <w:rsid w:val="00DA26D6"/>
    <w:rsid w:val="00DB2EF1"/>
    <w:rsid w:val="00DB3DE1"/>
    <w:rsid w:val="00DB5DA0"/>
    <w:rsid w:val="00DB716C"/>
    <w:rsid w:val="00DC5C85"/>
    <w:rsid w:val="00DC7C5D"/>
    <w:rsid w:val="00DD4236"/>
    <w:rsid w:val="00DD44F1"/>
    <w:rsid w:val="00DD6957"/>
    <w:rsid w:val="00DD6E7A"/>
    <w:rsid w:val="00DE3067"/>
    <w:rsid w:val="00DF3EEE"/>
    <w:rsid w:val="00DF75E1"/>
    <w:rsid w:val="00E027BC"/>
    <w:rsid w:val="00E045BE"/>
    <w:rsid w:val="00E0629A"/>
    <w:rsid w:val="00E10F0D"/>
    <w:rsid w:val="00E14EA5"/>
    <w:rsid w:val="00E2070E"/>
    <w:rsid w:val="00E21133"/>
    <w:rsid w:val="00E2327E"/>
    <w:rsid w:val="00E23577"/>
    <w:rsid w:val="00E266EF"/>
    <w:rsid w:val="00E326A8"/>
    <w:rsid w:val="00E47428"/>
    <w:rsid w:val="00E5201C"/>
    <w:rsid w:val="00E56C8E"/>
    <w:rsid w:val="00E5716B"/>
    <w:rsid w:val="00E57F1F"/>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16CF7"/>
    <w:rsid w:val="00F176AC"/>
    <w:rsid w:val="00F26F28"/>
    <w:rsid w:val="00F27714"/>
    <w:rsid w:val="00F3276E"/>
    <w:rsid w:val="00F33D3C"/>
    <w:rsid w:val="00F37A91"/>
    <w:rsid w:val="00F408A0"/>
    <w:rsid w:val="00F45CF5"/>
    <w:rsid w:val="00F47DB0"/>
    <w:rsid w:val="00F50C3F"/>
    <w:rsid w:val="00F50E34"/>
    <w:rsid w:val="00F51AFB"/>
    <w:rsid w:val="00F53EF7"/>
    <w:rsid w:val="00F54BF2"/>
    <w:rsid w:val="00F66FE4"/>
    <w:rsid w:val="00F775AC"/>
    <w:rsid w:val="00F8792F"/>
    <w:rsid w:val="00F9214D"/>
    <w:rsid w:val="00F92355"/>
    <w:rsid w:val="00F93963"/>
    <w:rsid w:val="00F94291"/>
    <w:rsid w:val="00FA298A"/>
    <w:rsid w:val="00FA5B66"/>
    <w:rsid w:val="00FB0B9C"/>
    <w:rsid w:val="00FB30EB"/>
    <w:rsid w:val="00FB7982"/>
    <w:rsid w:val="00FC0734"/>
    <w:rsid w:val="00FC0FC5"/>
    <w:rsid w:val="00FC588F"/>
    <w:rsid w:val="00FC6879"/>
    <w:rsid w:val="00FD43C2"/>
    <w:rsid w:val="00FD57CC"/>
    <w:rsid w:val="00FE1B30"/>
    <w:rsid w:val="00FE42E9"/>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7D4282D-D2FC-4F01-A538-97384BB3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8"/>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paragraph" w:customStyle="1" w:styleId="Default">
    <w:name w:val="Default"/>
    <w:rsid w:val="00292451"/>
    <w:pPr>
      <w:autoSpaceDE w:val="0"/>
      <w:autoSpaceDN w:val="0"/>
      <w:adjustRightInd w:val="0"/>
    </w:pPr>
    <w:rPr>
      <w:color w:val="000000"/>
      <w:sz w:val="24"/>
      <w:szCs w:val="24"/>
    </w:rPr>
  </w:style>
  <w:style w:type="character" w:customStyle="1" w:styleId="Heading1Char">
    <w:name w:val="Heading 1 Char"/>
    <w:basedOn w:val="DefaultParagraphFont"/>
    <w:link w:val="Heading1"/>
    <w:rsid w:val="001E7E2A"/>
    <w:rPr>
      <w:b/>
      <w:caps/>
      <w:kern w:val="28"/>
      <w:sz w:val="24"/>
      <w:lang w:eastAsia="en-US"/>
    </w:rPr>
  </w:style>
  <w:style w:type="paragraph" w:styleId="Revision">
    <w:name w:val="Revision"/>
    <w:hidden/>
    <w:uiPriority w:val="99"/>
    <w:semiHidden/>
    <w:rsid w:val="0000166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F089CD0D8441D6B2692DC4D0B74F77"/>
        <w:category>
          <w:name w:val="General"/>
          <w:gallery w:val="placeholder"/>
        </w:category>
        <w:types>
          <w:type w:val="bbPlcHdr"/>
        </w:types>
        <w:behaviors>
          <w:behavior w:val="content"/>
        </w:behaviors>
        <w:guid w:val="{53102E40-C05C-4261-8AD9-3AEC63C64E8D}"/>
      </w:docPartPr>
      <w:docPartBody>
        <w:p w:rsidR="001D7C4A" w:rsidRDefault="003E5D05">
          <w:pPr>
            <w:pStyle w:val="0EF089CD0D8441D6B2692DC4D0B74F77"/>
          </w:pPr>
          <w:r>
            <w:rPr>
              <w:rStyle w:val="PlaceholderText"/>
            </w:rPr>
            <w:t>MNC Text</w:t>
          </w:r>
        </w:p>
      </w:docPartBody>
    </w:docPart>
    <w:docPart>
      <w:docPartPr>
        <w:name w:val="406CD471299F47ACA8C0573BF743EE95"/>
        <w:category>
          <w:name w:val="General"/>
          <w:gallery w:val="placeholder"/>
        </w:category>
        <w:types>
          <w:type w:val="bbPlcHdr"/>
        </w:types>
        <w:behaviors>
          <w:behavior w:val="content"/>
        </w:behaviors>
        <w:guid w:val="{9ECD6577-F6C2-4675-86B2-6BD014B16DC9}"/>
      </w:docPartPr>
      <w:docPartBody>
        <w:p w:rsidR="001D7C4A" w:rsidRDefault="003E5D05">
          <w:pPr>
            <w:pStyle w:val="406CD471299F47ACA8C0573BF743EE95"/>
          </w:pPr>
          <w:r w:rsidRPr="005C44BE">
            <w:rPr>
              <w:rStyle w:val="PlaceholderText"/>
            </w:rPr>
            <w:t>Click or tap here to enter text.</w:t>
          </w:r>
        </w:p>
      </w:docPartBody>
    </w:docPart>
    <w:docPart>
      <w:docPartPr>
        <w:name w:val="F083DD6662714CAAB8AB44E130A57E12"/>
        <w:category>
          <w:name w:val="General"/>
          <w:gallery w:val="placeholder"/>
        </w:category>
        <w:types>
          <w:type w:val="bbPlcHdr"/>
        </w:types>
        <w:behaviors>
          <w:behavior w:val="content"/>
        </w:behaviors>
        <w:guid w:val="{91434C08-200F-44CF-AEEF-8D381F776B80}"/>
      </w:docPartPr>
      <w:docPartBody>
        <w:p w:rsidR="001D7C4A" w:rsidRDefault="003E5D05">
          <w:pPr>
            <w:pStyle w:val="F083DD6662714CAAB8AB44E130A57E12"/>
          </w:pPr>
          <w:r w:rsidRPr="005C44BE">
            <w:rPr>
              <w:rStyle w:val="PlaceholderText"/>
            </w:rPr>
            <w:t>Click or tap here to enter text.</w:t>
          </w:r>
        </w:p>
      </w:docPartBody>
    </w:docPart>
    <w:docPart>
      <w:docPartPr>
        <w:name w:val="43621DB8DE0F451ABE74C9D0B92B78FE"/>
        <w:category>
          <w:name w:val="General"/>
          <w:gallery w:val="placeholder"/>
        </w:category>
        <w:types>
          <w:type w:val="bbPlcHdr"/>
        </w:types>
        <w:behaviors>
          <w:behavior w:val="content"/>
        </w:behaviors>
        <w:guid w:val="{0B81E8EB-0AF5-43DC-A5D5-686E5B13263D}"/>
      </w:docPartPr>
      <w:docPartBody>
        <w:p w:rsidR="001D7C4A" w:rsidRDefault="003E5D05">
          <w:pPr>
            <w:pStyle w:val="43621DB8DE0F451ABE74C9D0B92B78FE"/>
          </w:pPr>
          <w:r w:rsidRPr="005C44BE">
            <w:rPr>
              <w:rStyle w:val="PlaceholderText"/>
            </w:rPr>
            <w:t>Click or tap here to enter text.</w:t>
          </w:r>
        </w:p>
      </w:docPartBody>
    </w:docPart>
    <w:docPart>
      <w:docPartPr>
        <w:name w:val="B6FA927D2D1341F784CA7B1A3BD9489A"/>
        <w:category>
          <w:name w:val="General"/>
          <w:gallery w:val="placeholder"/>
        </w:category>
        <w:types>
          <w:type w:val="bbPlcHdr"/>
        </w:types>
        <w:behaviors>
          <w:behavior w:val="content"/>
        </w:behaviors>
        <w:guid w:val="{1BA13334-2B49-40FD-92C0-99137FA67780}"/>
      </w:docPartPr>
      <w:docPartBody>
        <w:p w:rsidR="001D7C4A" w:rsidRDefault="003E5D05">
          <w:pPr>
            <w:pStyle w:val="B6FA927D2D1341F784CA7B1A3BD9489A"/>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Arial Unicode MS"/>
    <w:panose1 w:val="02030600000101010101"/>
    <w:charset w:val="81"/>
    <w:family w:val="roman"/>
    <w:pitch w:val="variable"/>
    <w:sig w:usb0="B00002AF" w:usb1="69D77CFB" w:usb2="00000030" w:usb3="00000000" w:csb0="002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05"/>
    <w:rsid w:val="001D7C4A"/>
    <w:rsid w:val="003E5D05"/>
    <w:rsid w:val="00794D3B"/>
    <w:rsid w:val="0096748D"/>
    <w:rsid w:val="009A6420"/>
    <w:rsid w:val="00BB7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EF089CD0D8441D6B2692DC4D0B74F77">
    <w:name w:val="0EF089CD0D8441D6B2692DC4D0B74F77"/>
  </w:style>
  <w:style w:type="paragraph" w:customStyle="1" w:styleId="406CD471299F47ACA8C0573BF743EE95">
    <w:name w:val="406CD471299F47ACA8C0573BF743EE95"/>
  </w:style>
  <w:style w:type="paragraph" w:customStyle="1" w:styleId="F083DD6662714CAAB8AB44E130A57E12">
    <w:name w:val="F083DD6662714CAAB8AB44E130A57E12"/>
  </w:style>
  <w:style w:type="paragraph" w:customStyle="1" w:styleId="43621DB8DE0F451ABE74C9D0B92B78FE">
    <w:name w:val="43621DB8DE0F451ABE74C9D0B92B78FE"/>
  </w:style>
  <w:style w:type="paragraph" w:customStyle="1" w:styleId="B6FA927D2D1341F784CA7B1A3BD9489A">
    <w:name w:val="B6FA927D2D1341F784CA7B1A3BD948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Airco Fasteners Pty Ltd v Commissioner of Patents [2021] FCA 1594</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F7EE6A47-E4F3-4944-9C15-06357E2E7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6</Pages>
  <Words>1641</Words>
  <Characters>8728</Characters>
  <Application>Microsoft Office Word</Application>
  <DocSecurity>0</DocSecurity>
  <Lines>249</Lines>
  <Paragraphs>119</Paragraphs>
  <ScaleCrop>false</ScaleCrop>
  <HeadingPairs>
    <vt:vector size="2" baseType="variant">
      <vt:variant>
        <vt:lpstr>Title</vt:lpstr>
      </vt:variant>
      <vt:variant>
        <vt:i4>1</vt:i4>
      </vt:variant>
    </vt:vector>
  </HeadingPairs>
  <TitlesOfParts>
    <vt:vector size="1" baseType="lpstr">
      <vt:lpstr>Airco Fasteners Pty Ltd v Commissioner of Patents [2021] FCA 1594</vt:lpstr>
    </vt:vector>
  </TitlesOfParts>
  <Company>Federal Court of Australia</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Airco Fasteners Pty Ltd v Commissioner of Patents [2021] FCA 1594</dc:title>
  <dc:creator>Federal Court of Australia</dc:creator>
  <dc:description>v1.3</dc:description>
  <cp:lastModifiedBy>Federal Court of Australia</cp:lastModifiedBy>
  <cp:revision>3</cp:revision>
  <cp:lastPrinted>2021-12-15T23:51:00Z</cp:lastPrinted>
  <dcterms:created xsi:type="dcterms:W3CDTF">2021-12-16T02:23:00Z</dcterms:created>
  <dcterms:modified xsi:type="dcterms:W3CDTF">2021-12-16T02:23:00Z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Victoria</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Intellectual Property</vt:lpwstr>
  </property>
  <property fmtid="{D5CDD505-2E9C-101B-9397-08002B2CF9AE}" pid="16" name="Court">
    <vt:lpwstr>Federal Court of Australia</vt:lpwstr>
  </property>
  <property fmtid="{D5CDD505-2E9C-101B-9397-08002B2CF9AE}" pid="17" name="Sub Area">
    <vt:lpwstr>Patents and associated Statutes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