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61C07" w14:textId="2969F57B" w:rsidR="00395B24" w:rsidRDefault="00831FBB" w:rsidP="00A22932">
      <w:pPr>
        <w:pStyle w:val="CourtTitle"/>
      </w:pPr>
      <w:r>
        <w:fldChar w:fldCharType="begin"/>
      </w:r>
      <w:r>
        <w:instrText xml:space="preserve"> DOCPROPERTY  Court  \* MERGEFORMAT </w:instrText>
      </w:r>
      <w:r>
        <w:fldChar w:fldCharType="separate"/>
      </w:r>
      <w:r w:rsidR="003D3BC3">
        <w:t>Federal Court of Australia</w:t>
      </w:r>
      <w:r>
        <w:fldChar w:fldCharType="end"/>
      </w:r>
    </w:p>
    <w:p w14:paraId="157E09C5" w14:textId="77777777" w:rsidR="00395B24" w:rsidRDefault="00395B24">
      <w:pPr>
        <w:pStyle w:val="NormalHeadings"/>
        <w:jc w:val="center"/>
        <w:rPr>
          <w:sz w:val="32"/>
        </w:rPr>
      </w:pPr>
    </w:p>
    <w:bookmarkStart w:id="0" w:name="MNC"/>
    <w:p w14:paraId="1F497A26" w14:textId="10FF5F59" w:rsidR="00374CC4" w:rsidRDefault="00C66068" w:rsidP="001A2B40">
      <w:pPr>
        <w:pStyle w:val="MNC"/>
      </w:pPr>
      <w:sdt>
        <w:sdtPr>
          <w:alias w:val="MNC"/>
          <w:tag w:val="MNC"/>
          <w:id w:val="343289786"/>
          <w:lock w:val="sdtLocked"/>
          <w:placeholder>
            <w:docPart w:val="5A700EC543984071A600663F2DEC134F"/>
          </w:placeholder>
          <w:dataBinding w:prefixMappings="xmlns:ns0='http://schemas.globalmacros.com/FCA'" w:xpath="/ns0:root[1]/ns0:Name[1]" w:storeItemID="{687E7CCB-4AA5-44E7-B148-17BA2B6F57C0}"/>
          <w:text w:multiLine="1"/>
        </w:sdtPr>
        <w:sdtEndPr/>
        <w:sdtContent>
          <w:r w:rsidR="00E44F98">
            <w:t xml:space="preserve">Seven Network v Cricket Australia (No 2) [2021] FCA 1032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18A5FF46" w14:textId="77777777" w:rsidTr="002938D8">
        <w:tc>
          <w:tcPr>
            <w:tcW w:w="3084" w:type="dxa"/>
            <w:shd w:val="clear" w:color="auto" w:fill="auto"/>
          </w:tcPr>
          <w:p w14:paraId="60DFC464" w14:textId="77777777" w:rsidR="00395B24" w:rsidRDefault="00492E25" w:rsidP="00663878">
            <w:pPr>
              <w:pStyle w:val="Normal1linespace"/>
              <w:widowControl w:val="0"/>
              <w:jc w:val="left"/>
            </w:pPr>
            <w:r>
              <w:t>File number</w:t>
            </w:r>
            <w:r w:rsidR="002C7385">
              <w:t>:</w:t>
            </w:r>
          </w:p>
        </w:tc>
        <w:tc>
          <w:tcPr>
            <w:tcW w:w="5989" w:type="dxa"/>
            <w:shd w:val="clear" w:color="auto" w:fill="auto"/>
          </w:tcPr>
          <w:p w14:paraId="037E2033" w14:textId="6CFEAC48" w:rsidR="00395B24" w:rsidRPr="003D3BC3" w:rsidRDefault="00C66068" w:rsidP="003D3BC3">
            <w:pPr>
              <w:pStyle w:val="Normal1linespace"/>
              <w:jc w:val="left"/>
            </w:pPr>
            <w:r>
              <w:fldChar w:fldCharType="begin" w:fldLock="1"/>
            </w:r>
            <w:r>
              <w:instrText xml:space="preserve"> REF  FileNo  \* MERGEFORMAT </w:instrText>
            </w:r>
            <w:r>
              <w:fldChar w:fldCharType="separate"/>
            </w:r>
            <w:r w:rsidR="003D3BC3" w:rsidRPr="003D3BC3">
              <w:t>VID 764 of 2020</w:t>
            </w:r>
            <w:r>
              <w:fldChar w:fldCharType="end"/>
            </w:r>
          </w:p>
        </w:tc>
      </w:tr>
      <w:tr w:rsidR="00395B24" w14:paraId="2FE93F4A" w14:textId="77777777" w:rsidTr="002938D8">
        <w:tc>
          <w:tcPr>
            <w:tcW w:w="3084" w:type="dxa"/>
            <w:shd w:val="clear" w:color="auto" w:fill="auto"/>
          </w:tcPr>
          <w:p w14:paraId="333EE37E" w14:textId="77777777" w:rsidR="00395B24" w:rsidRDefault="00395B24" w:rsidP="00663878">
            <w:pPr>
              <w:pStyle w:val="Normal1linespace"/>
              <w:widowControl w:val="0"/>
              <w:jc w:val="left"/>
            </w:pPr>
          </w:p>
        </w:tc>
        <w:tc>
          <w:tcPr>
            <w:tcW w:w="5989" w:type="dxa"/>
            <w:shd w:val="clear" w:color="auto" w:fill="auto"/>
          </w:tcPr>
          <w:p w14:paraId="0EAA220F" w14:textId="77777777" w:rsidR="00395B24" w:rsidRDefault="00395B24" w:rsidP="00663878">
            <w:pPr>
              <w:pStyle w:val="Normal1linespace"/>
              <w:widowControl w:val="0"/>
              <w:jc w:val="left"/>
            </w:pPr>
          </w:p>
        </w:tc>
      </w:tr>
      <w:tr w:rsidR="00395B24" w14:paraId="34EADF54" w14:textId="77777777" w:rsidTr="002938D8">
        <w:tc>
          <w:tcPr>
            <w:tcW w:w="3084" w:type="dxa"/>
            <w:shd w:val="clear" w:color="auto" w:fill="auto"/>
          </w:tcPr>
          <w:p w14:paraId="222DC94F"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5190A3DB" w14:textId="50FC5858" w:rsidR="00395B24" w:rsidRDefault="002C7385" w:rsidP="00663878">
            <w:pPr>
              <w:pStyle w:val="Normal1linespace"/>
              <w:widowControl w:val="0"/>
              <w:jc w:val="left"/>
              <w:rPr>
                <w:b/>
              </w:rPr>
            </w:pPr>
            <w:r w:rsidRPr="003D3BC3">
              <w:rPr>
                <w:b/>
              </w:rPr>
              <w:fldChar w:fldCharType="begin" w:fldLock="1"/>
            </w:r>
            <w:r w:rsidRPr="003D3BC3">
              <w:rPr>
                <w:b/>
              </w:rPr>
              <w:instrText xml:space="preserve"> REF  Judge  \* MERGEFORMAT </w:instrText>
            </w:r>
            <w:r w:rsidRPr="003D3BC3">
              <w:rPr>
                <w:b/>
              </w:rPr>
              <w:fldChar w:fldCharType="separate"/>
            </w:r>
            <w:r w:rsidR="003D3BC3" w:rsidRPr="003D3BC3">
              <w:rPr>
                <w:b/>
                <w:caps/>
                <w:szCs w:val="24"/>
              </w:rPr>
              <w:t>ANASTASSIOU J</w:t>
            </w:r>
            <w:r w:rsidRPr="003D3BC3">
              <w:rPr>
                <w:b/>
              </w:rPr>
              <w:fldChar w:fldCharType="end"/>
            </w:r>
          </w:p>
        </w:tc>
      </w:tr>
      <w:tr w:rsidR="00395B24" w14:paraId="3A7C7F48" w14:textId="77777777" w:rsidTr="002938D8">
        <w:tc>
          <w:tcPr>
            <w:tcW w:w="3084" w:type="dxa"/>
            <w:shd w:val="clear" w:color="auto" w:fill="auto"/>
          </w:tcPr>
          <w:p w14:paraId="31865A08" w14:textId="77777777" w:rsidR="00395B24" w:rsidRDefault="00395B24" w:rsidP="00663878">
            <w:pPr>
              <w:pStyle w:val="Normal1linespace"/>
              <w:widowControl w:val="0"/>
              <w:jc w:val="left"/>
            </w:pPr>
          </w:p>
        </w:tc>
        <w:tc>
          <w:tcPr>
            <w:tcW w:w="5989" w:type="dxa"/>
            <w:shd w:val="clear" w:color="auto" w:fill="auto"/>
          </w:tcPr>
          <w:p w14:paraId="0A38A772" w14:textId="77777777" w:rsidR="00395B24" w:rsidRDefault="00395B24" w:rsidP="00663878">
            <w:pPr>
              <w:pStyle w:val="Normal1linespace"/>
              <w:widowControl w:val="0"/>
              <w:jc w:val="left"/>
            </w:pPr>
          </w:p>
        </w:tc>
      </w:tr>
      <w:tr w:rsidR="00395B24" w14:paraId="5F613DDF" w14:textId="77777777" w:rsidTr="002938D8">
        <w:tc>
          <w:tcPr>
            <w:tcW w:w="3084" w:type="dxa"/>
            <w:shd w:val="clear" w:color="auto" w:fill="auto"/>
          </w:tcPr>
          <w:p w14:paraId="552BAFD7" w14:textId="77777777" w:rsidR="00395B24" w:rsidRDefault="002C7385" w:rsidP="00663878">
            <w:pPr>
              <w:pStyle w:val="Normal1linespace"/>
              <w:widowControl w:val="0"/>
              <w:jc w:val="left"/>
            </w:pPr>
            <w:r>
              <w:t>Date of judgment:</w:t>
            </w:r>
          </w:p>
        </w:tc>
        <w:tc>
          <w:tcPr>
            <w:tcW w:w="5989" w:type="dxa"/>
            <w:shd w:val="clear" w:color="auto" w:fill="auto"/>
          </w:tcPr>
          <w:p w14:paraId="0805BE46" w14:textId="7552C792" w:rsidR="00395B24" w:rsidRDefault="003D3BC3" w:rsidP="00663878">
            <w:pPr>
              <w:pStyle w:val="Normal1linespace"/>
              <w:widowControl w:val="0"/>
              <w:jc w:val="left"/>
            </w:pPr>
            <w:bookmarkStart w:id="1" w:name="JudgmentDate"/>
            <w:r>
              <w:t>27 August 2021</w:t>
            </w:r>
            <w:bookmarkEnd w:id="1"/>
          </w:p>
        </w:tc>
      </w:tr>
      <w:tr w:rsidR="00395B24" w14:paraId="79E9B0FC" w14:textId="77777777" w:rsidTr="002938D8">
        <w:tc>
          <w:tcPr>
            <w:tcW w:w="3084" w:type="dxa"/>
            <w:shd w:val="clear" w:color="auto" w:fill="auto"/>
          </w:tcPr>
          <w:p w14:paraId="308F87ED" w14:textId="77777777" w:rsidR="00395B24" w:rsidRDefault="00395B24" w:rsidP="00663878">
            <w:pPr>
              <w:pStyle w:val="Normal1linespace"/>
              <w:widowControl w:val="0"/>
              <w:jc w:val="left"/>
            </w:pPr>
          </w:p>
        </w:tc>
        <w:tc>
          <w:tcPr>
            <w:tcW w:w="5989" w:type="dxa"/>
            <w:shd w:val="clear" w:color="auto" w:fill="auto"/>
          </w:tcPr>
          <w:p w14:paraId="0D5E68DD" w14:textId="77777777" w:rsidR="00395B24" w:rsidRDefault="00395B24" w:rsidP="00663878">
            <w:pPr>
              <w:pStyle w:val="Normal1linespace"/>
              <w:widowControl w:val="0"/>
              <w:jc w:val="left"/>
            </w:pPr>
          </w:p>
        </w:tc>
      </w:tr>
      <w:tr w:rsidR="00395B24" w14:paraId="78E98787" w14:textId="77777777" w:rsidTr="002938D8">
        <w:tc>
          <w:tcPr>
            <w:tcW w:w="3084" w:type="dxa"/>
            <w:shd w:val="clear" w:color="auto" w:fill="auto"/>
          </w:tcPr>
          <w:p w14:paraId="1537B76C" w14:textId="77777777" w:rsidR="00395B24" w:rsidRDefault="002C7385" w:rsidP="00663878">
            <w:pPr>
              <w:pStyle w:val="Normal1linespace"/>
              <w:widowControl w:val="0"/>
              <w:jc w:val="left"/>
            </w:pPr>
            <w:r>
              <w:t>Catchwords:</w:t>
            </w:r>
          </w:p>
        </w:tc>
        <w:tc>
          <w:tcPr>
            <w:tcW w:w="5989" w:type="dxa"/>
            <w:shd w:val="clear" w:color="auto" w:fill="auto"/>
          </w:tcPr>
          <w:p w14:paraId="0D8D184A" w14:textId="5A2B0936" w:rsidR="002C4EE1" w:rsidRDefault="00974429" w:rsidP="00BF451A">
            <w:pPr>
              <w:pStyle w:val="Normal1linespace"/>
              <w:widowControl w:val="0"/>
              <w:jc w:val="left"/>
            </w:pPr>
            <w:bookmarkStart w:id="2" w:name="Catchwords"/>
            <w:r>
              <w:rPr>
                <w:b/>
              </w:rPr>
              <w:t>PRACTICE AND PROCEDURE</w:t>
            </w:r>
            <w:r w:rsidR="00050966">
              <w:rPr>
                <w:b/>
              </w:rPr>
              <w:t xml:space="preserve"> –</w:t>
            </w:r>
            <w:r w:rsidR="007E73DE">
              <w:t xml:space="preserve"> </w:t>
            </w:r>
            <w:r w:rsidR="00050966">
              <w:t xml:space="preserve">whether non-party is entitled to inspect documents pursuant to r 2.32 of the </w:t>
            </w:r>
            <w:r w:rsidR="00050966">
              <w:rPr>
                <w:i/>
              </w:rPr>
              <w:t>Federal Court Rules 2011</w:t>
            </w:r>
            <w:r w:rsidR="00050966">
              <w:t xml:space="preserve"> (</w:t>
            </w:r>
            <w:proofErr w:type="spellStart"/>
            <w:r w:rsidR="00050966">
              <w:t>Cth</w:t>
            </w:r>
            <w:proofErr w:type="spellEnd"/>
            <w:r w:rsidR="00050966">
              <w:t xml:space="preserve">) – whether </w:t>
            </w:r>
            <w:r w:rsidR="00BF451A">
              <w:t xml:space="preserve">granting access to restricted </w:t>
            </w:r>
            <w:r w:rsidR="00707337">
              <w:t>documents</w:t>
            </w:r>
            <w:r w:rsidR="00050966">
              <w:t xml:space="preserve"> would do irreparable harm to a party’s </w:t>
            </w:r>
            <w:r w:rsidR="002C4EE1">
              <w:t xml:space="preserve">commercial </w:t>
            </w:r>
            <w:r w:rsidR="00050966">
              <w:t>interests –</w:t>
            </w:r>
            <w:r w:rsidR="007E73DE">
              <w:t xml:space="preserve"> request for access granted, subject to making of confidentiality order </w:t>
            </w:r>
            <w:r w:rsidR="007F3C07">
              <w:t xml:space="preserve">pursuant to </w:t>
            </w:r>
            <w:r w:rsidR="007E73DE">
              <w:t xml:space="preserve">s 37AF of the </w:t>
            </w:r>
            <w:r w:rsidR="007E73DE" w:rsidRPr="007E73DE">
              <w:rPr>
                <w:i/>
              </w:rPr>
              <w:t xml:space="preserve">Federal Court of Australia Act 1976 </w:t>
            </w:r>
            <w:r w:rsidR="007E73DE" w:rsidRPr="004223C9">
              <w:t>(</w:t>
            </w:r>
            <w:proofErr w:type="spellStart"/>
            <w:r w:rsidR="007E73DE" w:rsidRPr="004223C9">
              <w:t>Cth</w:t>
            </w:r>
            <w:proofErr w:type="spellEnd"/>
            <w:r w:rsidR="007E73DE" w:rsidRPr="004223C9">
              <w:t>)</w:t>
            </w:r>
            <w:r w:rsidR="007E73DE">
              <w:t xml:space="preserve">  </w:t>
            </w:r>
            <w:r w:rsidR="00050966">
              <w:t xml:space="preserve"> </w:t>
            </w:r>
            <w:bookmarkEnd w:id="2"/>
          </w:p>
        </w:tc>
      </w:tr>
      <w:tr w:rsidR="00395B24" w14:paraId="45FD2542" w14:textId="77777777" w:rsidTr="002938D8">
        <w:tc>
          <w:tcPr>
            <w:tcW w:w="3084" w:type="dxa"/>
            <w:shd w:val="clear" w:color="auto" w:fill="auto"/>
          </w:tcPr>
          <w:p w14:paraId="32012C2C" w14:textId="77777777" w:rsidR="00395B24" w:rsidRDefault="00395B24" w:rsidP="00663878">
            <w:pPr>
              <w:pStyle w:val="Normal1linespace"/>
              <w:widowControl w:val="0"/>
              <w:jc w:val="left"/>
            </w:pPr>
          </w:p>
        </w:tc>
        <w:tc>
          <w:tcPr>
            <w:tcW w:w="5989" w:type="dxa"/>
            <w:shd w:val="clear" w:color="auto" w:fill="auto"/>
          </w:tcPr>
          <w:p w14:paraId="72085DA3" w14:textId="77777777" w:rsidR="00395B24" w:rsidRDefault="00395B24" w:rsidP="00663878">
            <w:pPr>
              <w:pStyle w:val="Normal1linespace"/>
              <w:widowControl w:val="0"/>
              <w:jc w:val="left"/>
            </w:pPr>
          </w:p>
        </w:tc>
      </w:tr>
      <w:tr w:rsidR="00395B24" w14:paraId="488AC1F5" w14:textId="77777777" w:rsidTr="002938D8">
        <w:tc>
          <w:tcPr>
            <w:tcW w:w="3084" w:type="dxa"/>
            <w:shd w:val="clear" w:color="auto" w:fill="auto"/>
          </w:tcPr>
          <w:p w14:paraId="1B8B3650" w14:textId="77777777" w:rsidR="00395B24" w:rsidRDefault="002C7385" w:rsidP="00663878">
            <w:pPr>
              <w:pStyle w:val="Normal1linespace"/>
              <w:widowControl w:val="0"/>
              <w:jc w:val="left"/>
            </w:pPr>
            <w:r>
              <w:t>Legislation:</w:t>
            </w:r>
          </w:p>
        </w:tc>
        <w:tc>
          <w:tcPr>
            <w:tcW w:w="5989" w:type="dxa"/>
            <w:shd w:val="clear" w:color="auto" w:fill="auto"/>
          </w:tcPr>
          <w:p w14:paraId="1B0755DB" w14:textId="45D17093" w:rsidR="007E73DE" w:rsidRDefault="007E73DE" w:rsidP="00D82620">
            <w:pPr>
              <w:pStyle w:val="CasesLegislationAppealFrom"/>
              <w:spacing w:after="60"/>
              <w:rPr>
                <w:i/>
              </w:rPr>
            </w:pPr>
            <w:bookmarkStart w:id="3" w:name="Legislation"/>
            <w:r w:rsidRPr="007E73DE">
              <w:rPr>
                <w:i/>
              </w:rPr>
              <w:t xml:space="preserve">Federal Court of Australia Act 1976 </w:t>
            </w:r>
            <w:r w:rsidRPr="00362767">
              <w:t>(</w:t>
            </w:r>
            <w:proofErr w:type="spellStart"/>
            <w:r w:rsidRPr="00362767">
              <w:t>Cth</w:t>
            </w:r>
            <w:proofErr w:type="spellEnd"/>
            <w:r w:rsidRPr="00362767">
              <w:t>)</w:t>
            </w:r>
            <w:r>
              <w:t xml:space="preserve">, </w:t>
            </w:r>
            <w:proofErr w:type="spellStart"/>
            <w:r>
              <w:t>ss</w:t>
            </w:r>
            <w:proofErr w:type="spellEnd"/>
            <w:r>
              <w:t xml:space="preserve"> 37AE, 37AF, 37AG</w:t>
            </w:r>
          </w:p>
          <w:p w14:paraId="4E1CF90A" w14:textId="4D00EC89" w:rsidR="00395B24" w:rsidRDefault="002938D8" w:rsidP="00D82620">
            <w:pPr>
              <w:pStyle w:val="CasesLegislationAppealFrom"/>
              <w:spacing w:after="60"/>
            </w:pPr>
            <w:r>
              <w:rPr>
                <w:i/>
              </w:rPr>
              <w:t>Federal Court Rules 2011</w:t>
            </w:r>
            <w:r>
              <w:t xml:space="preserve"> (</w:t>
            </w:r>
            <w:proofErr w:type="spellStart"/>
            <w:r>
              <w:t>Cth</w:t>
            </w:r>
            <w:proofErr w:type="spellEnd"/>
            <w:r>
              <w:t>)</w:t>
            </w:r>
            <w:r w:rsidR="002C4EE1">
              <w:t>,</w:t>
            </w:r>
            <w:r>
              <w:t xml:space="preserve"> r 2.32</w:t>
            </w:r>
            <w:bookmarkEnd w:id="3"/>
          </w:p>
        </w:tc>
      </w:tr>
      <w:tr w:rsidR="00395B24" w14:paraId="65247A19" w14:textId="77777777" w:rsidTr="002938D8">
        <w:tc>
          <w:tcPr>
            <w:tcW w:w="3084" w:type="dxa"/>
            <w:shd w:val="clear" w:color="auto" w:fill="auto"/>
          </w:tcPr>
          <w:p w14:paraId="0E3FBF3B" w14:textId="77777777" w:rsidR="00395B24" w:rsidRDefault="00395B24" w:rsidP="00663878">
            <w:pPr>
              <w:pStyle w:val="Normal1linespace"/>
              <w:widowControl w:val="0"/>
              <w:jc w:val="left"/>
            </w:pPr>
          </w:p>
        </w:tc>
        <w:tc>
          <w:tcPr>
            <w:tcW w:w="5989" w:type="dxa"/>
            <w:shd w:val="clear" w:color="auto" w:fill="auto"/>
          </w:tcPr>
          <w:p w14:paraId="3E97EB23" w14:textId="77777777" w:rsidR="00395B24" w:rsidRDefault="00395B24" w:rsidP="00663878">
            <w:pPr>
              <w:pStyle w:val="Normal1linespace"/>
              <w:widowControl w:val="0"/>
              <w:jc w:val="left"/>
            </w:pPr>
          </w:p>
        </w:tc>
      </w:tr>
      <w:tr w:rsidR="00395B24" w14:paraId="6F772844" w14:textId="77777777" w:rsidTr="002938D8">
        <w:tc>
          <w:tcPr>
            <w:tcW w:w="3084" w:type="dxa"/>
            <w:shd w:val="clear" w:color="auto" w:fill="auto"/>
          </w:tcPr>
          <w:p w14:paraId="436D0FDC" w14:textId="77777777" w:rsidR="00395B24" w:rsidRDefault="002C7385" w:rsidP="00663878">
            <w:pPr>
              <w:pStyle w:val="Normal1linespace"/>
              <w:widowControl w:val="0"/>
              <w:jc w:val="left"/>
            </w:pPr>
            <w:r>
              <w:t>Cases cited:</w:t>
            </w:r>
          </w:p>
        </w:tc>
        <w:tc>
          <w:tcPr>
            <w:tcW w:w="5989" w:type="dxa"/>
            <w:shd w:val="clear" w:color="auto" w:fill="auto"/>
          </w:tcPr>
          <w:p w14:paraId="1738F49C" w14:textId="77777777" w:rsidR="007E73DE" w:rsidRDefault="007E73DE" w:rsidP="007E73DE">
            <w:pPr>
              <w:pStyle w:val="CasesLegislationAppealFrom"/>
              <w:spacing w:after="60"/>
            </w:pPr>
            <w:proofErr w:type="spellStart"/>
            <w:r w:rsidRPr="00362767">
              <w:rPr>
                <w:i/>
              </w:rPr>
              <w:t>Appleroth</w:t>
            </w:r>
            <w:proofErr w:type="spellEnd"/>
            <w:r w:rsidRPr="00362767">
              <w:rPr>
                <w:i/>
              </w:rPr>
              <w:t xml:space="preserve"> v Ferrari Australasia Pty Limited</w:t>
            </w:r>
            <w:r>
              <w:t xml:space="preserve"> [2020] FCA 756</w:t>
            </w:r>
          </w:p>
          <w:p w14:paraId="7F0CC7CE" w14:textId="49306302" w:rsidR="007E73DE" w:rsidRDefault="000F5800" w:rsidP="00D82620">
            <w:pPr>
              <w:pStyle w:val="CasesLegislationAppealFrom"/>
              <w:spacing w:after="60"/>
            </w:pPr>
            <w:r w:rsidRPr="00362767">
              <w:rPr>
                <w:i/>
              </w:rPr>
              <w:t>A</w:t>
            </w:r>
            <w:r>
              <w:rPr>
                <w:i/>
              </w:rPr>
              <w:t xml:space="preserve">ustralian </w:t>
            </w:r>
            <w:r w:rsidRPr="00362767">
              <w:rPr>
                <w:i/>
              </w:rPr>
              <w:t>S</w:t>
            </w:r>
            <w:r>
              <w:rPr>
                <w:i/>
              </w:rPr>
              <w:t xml:space="preserve">ecurities and </w:t>
            </w:r>
            <w:r w:rsidRPr="00362767">
              <w:rPr>
                <w:i/>
              </w:rPr>
              <w:t>I</w:t>
            </w:r>
            <w:r>
              <w:rPr>
                <w:i/>
              </w:rPr>
              <w:t xml:space="preserve">nvestments </w:t>
            </w:r>
            <w:r w:rsidRPr="00362767">
              <w:rPr>
                <w:i/>
              </w:rPr>
              <w:t>C</w:t>
            </w:r>
            <w:r>
              <w:rPr>
                <w:i/>
              </w:rPr>
              <w:t>ommission</w:t>
            </w:r>
            <w:r w:rsidR="007E73DE" w:rsidRPr="002C4EE1">
              <w:rPr>
                <w:i/>
              </w:rPr>
              <w:t xml:space="preserve"> v </w:t>
            </w:r>
            <w:proofErr w:type="spellStart"/>
            <w:r w:rsidR="007E73DE" w:rsidRPr="002C4EE1">
              <w:rPr>
                <w:i/>
              </w:rPr>
              <w:t>Cassimatis</w:t>
            </w:r>
            <w:proofErr w:type="spellEnd"/>
            <w:r w:rsidR="007E73DE" w:rsidRPr="002C4EE1">
              <w:rPr>
                <w:i/>
              </w:rPr>
              <w:t xml:space="preserve"> (No 4)</w:t>
            </w:r>
            <w:r w:rsidR="007E73DE">
              <w:t xml:space="preserve"> [2015] FCA 465</w:t>
            </w:r>
          </w:p>
          <w:p w14:paraId="285A2073" w14:textId="018A2E3E" w:rsidR="007E73DE" w:rsidRDefault="007E73DE" w:rsidP="007E73DE">
            <w:pPr>
              <w:pStyle w:val="CasesLegislationAppealFrom"/>
              <w:spacing w:after="60"/>
            </w:pPr>
            <w:r w:rsidRPr="00362767">
              <w:rPr>
                <w:i/>
              </w:rPr>
              <w:t>Australian Broadcasting Commission v Parish</w:t>
            </w:r>
            <w:r>
              <w:t xml:space="preserve"> </w:t>
            </w:r>
            <w:r w:rsidR="00DC7268">
              <w:t>[1980] FCA 33,</w:t>
            </w:r>
            <w:r>
              <w:t xml:space="preserve"> 29 ALR 228</w:t>
            </w:r>
          </w:p>
          <w:p w14:paraId="249BA3EF" w14:textId="77777777" w:rsidR="007E73DE" w:rsidRDefault="007E73DE" w:rsidP="007E73DE">
            <w:pPr>
              <w:pStyle w:val="CasesLegislationAppealFrom"/>
              <w:spacing w:after="60"/>
            </w:pPr>
            <w:r w:rsidRPr="00362767">
              <w:rPr>
                <w:i/>
              </w:rPr>
              <w:t>Baptist Union v Roberts</w:t>
            </w:r>
            <w:r>
              <w:t xml:space="preserve"> [2015] FCA 1068; 241 FCR 135</w:t>
            </w:r>
          </w:p>
          <w:p w14:paraId="01ECDE98" w14:textId="77777777" w:rsidR="007E73DE" w:rsidRDefault="007E73DE" w:rsidP="007E73DE">
            <w:pPr>
              <w:pStyle w:val="CasesLegislationAppealFrom"/>
              <w:spacing w:after="60"/>
            </w:pPr>
            <w:r w:rsidRPr="00362767">
              <w:rPr>
                <w:i/>
              </w:rPr>
              <w:t>Central Equity Ltd v Chua</w:t>
            </w:r>
            <w:r>
              <w:t xml:space="preserve"> [1999] FCA 1067</w:t>
            </w:r>
          </w:p>
          <w:p w14:paraId="77242DBB" w14:textId="77777777" w:rsidR="007E73DE" w:rsidRDefault="007E73DE" w:rsidP="007E73DE">
            <w:pPr>
              <w:pStyle w:val="CasesLegislationAppealFrom"/>
              <w:spacing w:after="60"/>
            </w:pPr>
            <w:proofErr w:type="spellStart"/>
            <w:r w:rsidRPr="00362767">
              <w:rPr>
                <w:i/>
              </w:rPr>
              <w:t>Churche</w:t>
            </w:r>
            <w:proofErr w:type="spellEnd"/>
            <w:r w:rsidRPr="00362767">
              <w:rPr>
                <w:i/>
              </w:rPr>
              <w:t xml:space="preserve"> v Australian Prudential Regulation Authority (No 3) </w:t>
            </w:r>
            <w:r>
              <w:t>[2006] FCA 1168</w:t>
            </w:r>
          </w:p>
          <w:p w14:paraId="41FB47D6" w14:textId="369825C8" w:rsidR="007E73DE" w:rsidRDefault="007E73DE" w:rsidP="007E73DE">
            <w:pPr>
              <w:pStyle w:val="CasesLegislationAppealFrom"/>
              <w:spacing w:after="60"/>
            </w:pPr>
            <w:r w:rsidRPr="00362767">
              <w:rPr>
                <w:i/>
              </w:rPr>
              <w:t xml:space="preserve">Isaac v Dargan Financial Pty Ltd </w:t>
            </w:r>
            <w:r>
              <w:t>[2018] NSWCA 16</w:t>
            </w:r>
            <w:r w:rsidR="00DC7268">
              <w:t>3</w:t>
            </w:r>
            <w:r>
              <w:t>; 98 NSWLR 343</w:t>
            </w:r>
          </w:p>
          <w:p w14:paraId="5FFFB2AF" w14:textId="14542C35" w:rsidR="007E73DE" w:rsidRDefault="007E73DE" w:rsidP="00D82620">
            <w:pPr>
              <w:pStyle w:val="CasesLegislationAppealFrom"/>
              <w:spacing w:after="60"/>
            </w:pPr>
            <w:r w:rsidRPr="00362767">
              <w:rPr>
                <w:i/>
              </w:rPr>
              <w:t xml:space="preserve">Mobil Oil Australia Ltd &amp; McDonalds Australia Ltd v </w:t>
            </w:r>
            <w:proofErr w:type="spellStart"/>
            <w:r w:rsidRPr="00362767">
              <w:rPr>
                <w:i/>
              </w:rPr>
              <w:t>Guina</w:t>
            </w:r>
            <w:proofErr w:type="spellEnd"/>
            <w:r w:rsidRPr="00362767">
              <w:rPr>
                <w:i/>
              </w:rPr>
              <w:t xml:space="preserve"> Developments Pty Ltd</w:t>
            </w:r>
            <w:r>
              <w:t xml:space="preserve"> [1996] 2 VR 34</w:t>
            </w:r>
          </w:p>
          <w:p w14:paraId="6F76CA86" w14:textId="77777777" w:rsidR="007E73DE" w:rsidRDefault="007E73DE" w:rsidP="007E73DE">
            <w:pPr>
              <w:pStyle w:val="CasesLegislationAppealFrom"/>
              <w:spacing w:after="60"/>
            </w:pPr>
            <w:r w:rsidRPr="00362767">
              <w:rPr>
                <w:i/>
              </w:rPr>
              <w:t xml:space="preserve">Pfizer Ireland Pharmaceuticals v Samsung </w:t>
            </w:r>
            <w:proofErr w:type="spellStart"/>
            <w:r w:rsidRPr="00362767">
              <w:rPr>
                <w:i/>
              </w:rPr>
              <w:t>Bioepis</w:t>
            </w:r>
            <w:proofErr w:type="spellEnd"/>
            <w:r w:rsidRPr="00362767">
              <w:rPr>
                <w:i/>
              </w:rPr>
              <w:t xml:space="preserve"> AU Pty Ltd </w:t>
            </w:r>
            <w:r>
              <w:t>[2017] FCAFC 193; 257 FCR 62</w:t>
            </w:r>
          </w:p>
          <w:p w14:paraId="4A0651A6" w14:textId="0F6ED455" w:rsidR="007E73DE" w:rsidRDefault="007E73DE" w:rsidP="00D82620">
            <w:pPr>
              <w:pStyle w:val="CasesLegislationAppealFrom"/>
              <w:spacing w:after="60"/>
            </w:pPr>
            <w:r w:rsidRPr="00362767">
              <w:rPr>
                <w:i/>
              </w:rPr>
              <w:t>Strategic Management Australia AFL Pty Ltd v Precision Sports and Entertainment Group Pty Ltd</w:t>
            </w:r>
            <w:r>
              <w:t xml:space="preserve"> [2015] VSC 717</w:t>
            </w:r>
          </w:p>
        </w:tc>
      </w:tr>
      <w:tr w:rsidR="008F2A9B" w14:paraId="4B107A3C" w14:textId="77777777" w:rsidTr="002938D8">
        <w:tc>
          <w:tcPr>
            <w:tcW w:w="3084" w:type="dxa"/>
            <w:shd w:val="clear" w:color="auto" w:fill="auto"/>
          </w:tcPr>
          <w:p w14:paraId="4950A62C" w14:textId="77777777" w:rsidR="008F2A9B" w:rsidRDefault="008F2A9B" w:rsidP="00501A12">
            <w:pPr>
              <w:pStyle w:val="Normal1linespace"/>
              <w:widowControl w:val="0"/>
            </w:pPr>
            <w:bookmarkStart w:id="4" w:name="NPARow" w:colFirst="0" w:colLast="1"/>
          </w:p>
        </w:tc>
        <w:tc>
          <w:tcPr>
            <w:tcW w:w="5989" w:type="dxa"/>
            <w:shd w:val="clear" w:color="auto" w:fill="auto"/>
          </w:tcPr>
          <w:p w14:paraId="3603CE5C" w14:textId="77777777" w:rsidR="008F2A9B" w:rsidRPr="00F17599" w:rsidRDefault="008F2A9B" w:rsidP="00501A12">
            <w:pPr>
              <w:pStyle w:val="Normal1linespace"/>
              <w:widowControl w:val="0"/>
              <w:jc w:val="left"/>
              <w:rPr>
                <w:b/>
              </w:rPr>
            </w:pPr>
          </w:p>
        </w:tc>
      </w:tr>
      <w:bookmarkEnd w:id="4"/>
      <w:tr w:rsidR="003D3BC3" w14:paraId="0C655293" w14:textId="77777777" w:rsidTr="002938D8">
        <w:tc>
          <w:tcPr>
            <w:tcW w:w="3084" w:type="dxa"/>
            <w:shd w:val="clear" w:color="auto" w:fill="auto"/>
          </w:tcPr>
          <w:p w14:paraId="2DCA4714" w14:textId="1737096F" w:rsidR="003D3BC3" w:rsidRDefault="003D3BC3" w:rsidP="003D3BC3">
            <w:pPr>
              <w:pStyle w:val="Normal1linespace"/>
              <w:widowControl w:val="0"/>
            </w:pPr>
            <w:r>
              <w:t>Division:</w:t>
            </w:r>
          </w:p>
        </w:tc>
        <w:tc>
          <w:tcPr>
            <w:tcW w:w="5989" w:type="dxa"/>
            <w:shd w:val="clear" w:color="auto" w:fill="auto"/>
          </w:tcPr>
          <w:p w14:paraId="44159E43" w14:textId="3571A2D1" w:rsidR="003D3BC3" w:rsidRDefault="00C66068" w:rsidP="003D3BC3">
            <w:pPr>
              <w:pStyle w:val="Normal1linespace"/>
              <w:widowControl w:val="0"/>
              <w:jc w:val="left"/>
            </w:pPr>
            <w:r>
              <w:fldChar w:fldCharType="begin"/>
            </w:r>
            <w:r>
              <w:instrText xml:space="preserve"> DOCPROPERTY  Division </w:instrText>
            </w:r>
            <w:r>
              <w:fldChar w:fldCharType="separate"/>
            </w:r>
            <w:r w:rsidR="003D3BC3">
              <w:t>General Division</w:t>
            </w:r>
            <w:r>
              <w:fldChar w:fldCharType="end"/>
            </w:r>
          </w:p>
        </w:tc>
      </w:tr>
      <w:tr w:rsidR="003D3BC3" w14:paraId="1F5B9396" w14:textId="77777777" w:rsidTr="002938D8">
        <w:tc>
          <w:tcPr>
            <w:tcW w:w="3084" w:type="dxa"/>
            <w:shd w:val="clear" w:color="auto" w:fill="auto"/>
          </w:tcPr>
          <w:p w14:paraId="31E1D39B" w14:textId="77777777" w:rsidR="003D3BC3" w:rsidRDefault="003D3BC3" w:rsidP="003D3BC3">
            <w:pPr>
              <w:pStyle w:val="Normal1linespace"/>
              <w:widowControl w:val="0"/>
            </w:pPr>
          </w:p>
        </w:tc>
        <w:tc>
          <w:tcPr>
            <w:tcW w:w="5989" w:type="dxa"/>
            <w:shd w:val="clear" w:color="auto" w:fill="auto"/>
          </w:tcPr>
          <w:p w14:paraId="3F7FA7F7" w14:textId="77777777" w:rsidR="003D3BC3" w:rsidRDefault="003D3BC3" w:rsidP="003D3BC3">
            <w:pPr>
              <w:pStyle w:val="Normal1linespace"/>
              <w:widowControl w:val="0"/>
              <w:jc w:val="left"/>
            </w:pPr>
          </w:p>
        </w:tc>
      </w:tr>
      <w:tr w:rsidR="003D3BC3" w14:paraId="72102F57" w14:textId="77777777" w:rsidTr="002938D8">
        <w:tc>
          <w:tcPr>
            <w:tcW w:w="3084" w:type="dxa"/>
            <w:shd w:val="clear" w:color="auto" w:fill="auto"/>
          </w:tcPr>
          <w:p w14:paraId="18FC2FD4" w14:textId="63800E4E" w:rsidR="003D3BC3" w:rsidRDefault="003D3BC3" w:rsidP="003D3BC3">
            <w:pPr>
              <w:pStyle w:val="Normal1linespace"/>
              <w:widowControl w:val="0"/>
            </w:pPr>
            <w:r>
              <w:t>Registry:</w:t>
            </w:r>
          </w:p>
        </w:tc>
        <w:tc>
          <w:tcPr>
            <w:tcW w:w="5989" w:type="dxa"/>
            <w:shd w:val="clear" w:color="auto" w:fill="auto"/>
          </w:tcPr>
          <w:p w14:paraId="1DC38D4B" w14:textId="42B1B322" w:rsidR="003D3BC3" w:rsidRDefault="00C66068" w:rsidP="003D3BC3">
            <w:pPr>
              <w:pStyle w:val="Normal1linespace"/>
              <w:widowControl w:val="0"/>
              <w:jc w:val="left"/>
            </w:pPr>
            <w:r>
              <w:fldChar w:fldCharType="begin"/>
            </w:r>
            <w:r>
              <w:instrText xml:space="preserve"> DOCPROPERTY  Registry </w:instrText>
            </w:r>
            <w:r>
              <w:fldChar w:fldCharType="separate"/>
            </w:r>
            <w:r w:rsidR="003D3BC3">
              <w:t>Victoria</w:t>
            </w:r>
            <w:r>
              <w:fldChar w:fldCharType="end"/>
            </w:r>
          </w:p>
        </w:tc>
      </w:tr>
      <w:tr w:rsidR="003D3BC3" w14:paraId="39D3BC33" w14:textId="77777777" w:rsidTr="002938D8">
        <w:tc>
          <w:tcPr>
            <w:tcW w:w="3084" w:type="dxa"/>
            <w:shd w:val="clear" w:color="auto" w:fill="auto"/>
          </w:tcPr>
          <w:p w14:paraId="19C84DED" w14:textId="77777777" w:rsidR="003D3BC3" w:rsidRDefault="003D3BC3" w:rsidP="003D3BC3">
            <w:pPr>
              <w:pStyle w:val="Normal1linespace"/>
              <w:widowControl w:val="0"/>
            </w:pPr>
          </w:p>
        </w:tc>
        <w:tc>
          <w:tcPr>
            <w:tcW w:w="5989" w:type="dxa"/>
            <w:shd w:val="clear" w:color="auto" w:fill="auto"/>
          </w:tcPr>
          <w:p w14:paraId="34624A93" w14:textId="77777777" w:rsidR="003D3BC3" w:rsidRDefault="003D3BC3" w:rsidP="003D3BC3">
            <w:pPr>
              <w:pStyle w:val="Normal1linespace"/>
              <w:widowControl w:val="0"/>
              <w:jc w:val="left"/>
            </w:pPr>
          </w:p>
        </w:tc>
      </w:tr>
      <w:tr w:rsidR="003D3BC3" w14:paraId="6D55048B" w14:textId="77777777" w:rsidTr="002938D8">
        <w:tc>
          <w:tcPr>
            <w:tcW w:w="3084" w:type="dxa"/>
            <w:shd w:val="clear" w:color="auto" w:fill="auto"/>
          </w:tcPr>
          <w:p w14:paraId="522E2F54" w14:textId="77777777" w:rsidR="003D3BC3" w:rsidRDefault="003D3BC3" w:rsidP="003D3BC3">
            <w:pPr>
              <w:pStyle w:val="Normal1linespace"/>
              <w:widowControl w:val="0"/>
            </w:pPr>
            <w:r>
              <w:t>National Practice Area:</w:t>
            </w:r>
          </w:p>
        </w:tc>
        <w:tc>
          <w:tcPr>
            <w:tcW w:w="5989" w:type="dxa"/>
            <w:shd w:val="clear" w:color="auto" w:fill="auto"/>
          </w:tcPr>
          <w:p w14:paraId="50DA9A0F" w14:textId="5EB69559" w:rsidR="003D3BC3" w:rsidRPr="00F17599" w:rsidRDefault="00831FBB" w:rsidP="003D3BC3">
            <w:pPr>
              <w:pStyle w:val="Normal1linespace"/>
              <w:widowControl w:val="0"/>
              <w:jc w:val="left"/>
              <w:rPr>
                <w:b/>
              </w:rPr>
            </w:pPr>
            <w:fldSimple w:instr=" DOCPROPERTY  &quot;Practice Area&quot;  \* MERGEFORMAT ">
              <w:r w:rsidR="003D3BC3">
                <w:t>Commercial and Corporations</w:t>
              </w:r>
            </w:fldSimple>
          </w:p>
        </w:tc>
      </w:tr>
      <w:tr w:rsidR="003D3BC3" w14:paraId="06D211E0" w14:textId="77777777" w:rsidTr="002938D8">
        <w:tc>
          <w:tcPr>
            <w:tcW w:w="3084" w:type="dxa"/>
            <w:shd w:val="clear" w:color="auto" w:fill="auto"/>
          </w:tcPr>
          <w:p w14:paraId="719C3331" w14:textId="77777777" w:rsidR="003D3BC3" w:rsidRDefault="003D3BC3" w:rsidP="003D3BC3">
            <w:pPr>
              <w:pStyle w:val="Normal1linespace"/>
              <w:widowControl w:val="0"/>
            </w:pPr>
            <w:bookmarkStart w:id="5" w:name="SubAreaRow" w:colFirst="0" w:colLast="1"/>
          </w:p>
        </w:tc>
        <w:tc>
          <w:tcPr>
            <w:tcW w:w="5989" w:type="dxa"/>
            <w:shd w:val="clear" w:color="auto" w:fill="auto"/>
          </w:tcPr>
          <w:p w14:paraId="1064D1D2" w14:textId="77777777" w:rsidR="003D3BC3" w:rsidRDefault="003D3BC3" w:rsidP="003D3BC3">
            <w:pPr>
              <w:pStyle w:val="Normal1linespace"/>
              <w:widowControl w:val="0"/>
              <w:jc w:val="left"/>
            </w:pPr>
          </w:p>
        </w:tc>
      </w:tr>
      <w:tr w:rsidR="003D3BC3" w14:paraId="05C004C7" w14:textId="77777777" w:rsidTr="002938D8">
        <w:tc>
          <w:tcPr>
            <w:tcW w:w="3084" w:type="dxa"/>
            <w:shd w:val="clear" w:color="auto" w:fill="auto"/>
          </w:tcPr>
          <w:p w14:paraId="440474C6" w14:textId="77777777" w:rsidR="003D3BC3" w:rsidRDefault="003D3BC3" w:rsidP="003D3BC3">
            <w:pPr>
              <w:pStyle w:val="Normal1linespace"/>
              <w:widowControl w:val="0"/>
            </w:pPr>
            <w:r>
              <w:t>Sub-area:</w:t>
            </w:r>
          </w:p>
        </w:tc>
        <w:tc>
          <w:tcPr>
            <w:tcW w:w="5989" w:type="dxa"/>
            <w:shd w:val="clear" w:color="auto" w:fill="auto"/>
          </w:tcPr>
          <w:p w14:paraId="7A00A4D2" w14:textId="2EC1AC3D" w:rsidR="003D3BC3" w:rsidRPr="00837288" w:rsidRDefault="00831FBB" w:rsidP="003D3BC3">
            <w:pPr>
              <w:pStyle w:val="Normal1linespace"/>
              <w:widowControl w:val="0"/>
              <w:jc w:val="left"/>
            </w:pPr>
            <w:fldSimple w:instr=" DOCPROPERTY  &quot;Sub Area&quot;  \* MERGEFORMAT ">
              <w:r w:rsidR="003D3BC3" w:rsidRPr="003D3BC3">
                <w:rPr>
                  <w:lang w:val="en-US"/>
                </w:rPr>
                <w:t xml:space="preserve">Commercial Contracts, </w:t>
              </w:r>
              <w:r w:rsidR="003D3BC3">
                <w:t>Banking, Finance and Insurance</w:t>
              </w:r>
            </w:fldSimple>
          </w:p>
        </w:tc>
      </w:tr>
      <w:bookmarkEnd w:id="5"/>
      <w:tr w:rsidR="003D3BC3" w14:paraId="5CD5A52D" w14:textId="77777777" w:rsidTr="002938D8">
        <w:tc>
          <w:tcPr>
            <w:tcW w:w="3084" w:type="dxa"/>
            <w:shd w:val="clear" w:color="auto" w:fill="auto"/>
          </w:tcPr>
          <w:p w14:paraId="3283FCC4" w14:textId="77777777" w:rsidR="003D3BC3" w:rsidRDefault="003D3BC3" w:rsidP="003D3BC3">
            <w:pPr>
              <w:pStyle w:val="Normal1linespace"/>
              <w:widowControl w:val="0"/>
            </w:pPr>
          </w:p>
        </w:tc>
        <w:tc>
          <w:tcPr>
            <w:tcW w:w="5989" w:type="dxa"/>
            <w:shd w:val="clear" w:color="auto" w:fill="auto"/>
          </w:tcPr>
          <w:p w14:paraId="0C84C712" w14:textId="77777777" w:rsidR="003D3BC3" w:rsidRDefault="003D3BC3" w:rsidP="003D3BC3">
            <w:pPr>
              <w:pStyle w:val="Normal1linespace"/>
              <w:widowControl w:val="0"/>
              <w:jc w:val="left"/>
            </w:pPr>
          </w:p>
        </w:tc>
      </w:tr>
      <w:tr w:rsidR="003D3BC3" w14:paraId="25D750A5" w14:textId="77777777" w:rsidTr="002938D8">
        <w:tc>
          <w:tcPr>
            <w:tcW w:w="3084" w:type="dxa"/>
            <w:shd w:val="clear" w:color="auto" w:fill="auto"/>
          </w:tcPr>
          <w:p w14:paraId="0B2E8C90" w14:textId="77777777" w:rsidR="003D3BC3" w:rsidRDefault="003D3BC3" w:rsidP="003D3BC3">
            <w:pPr>
              <w:pStyle w:val="Normal1linespace"/>
              <w:widowControl w:val="0"/>
            </w:pPr>
            <w:r>
              <w:t>Number of paragraphs:</w:t>
            </w:r>
          </w:p>
        </w:tc>
        <w:tc>
          <w:tcPr>
            <w:tcW w:w="5989" w:type="dxa"/>
            <w:shd w:val="clear" w:color="auto" w:fill="auto"/>
          </w:tcPr>
          <w:p w14:paraId="13D3224B" w14:textId="286E2458" w:rsidR="003D3BC3" w:rsidRDefault="003D3BC3" w:rsidP="003D3BC3">
            <w:pPr>
              <w:pStyle w:val="Normal1linespace"/>
              <w:widowControl w:val="0"/>
              <w:jc w:val="left"/>
            </w:pPr>
            <w:bookmarkStart w:id="6" w:name="PlaceCategoryParagraphs"/>
            <w:r>
              <w:t>40</w:t>
            </w:r>
            <w:bookmarkEnd w:id="6"/>
          </w:p>
        </w:tc>
      </w:tr>
      <w:tr w:rsidR="003D3BC3" w14:paraId="0CC9F93C" w14:textId="77777777" w:rsidTr="002938D8">
        <w:tc>
          <w:tcPr>
            <w:tcW w:w="3084" w:type="dxa"/>
            <w:shd w:val="clear" w:color="auto" w:fill="auto"/>
          </w:tcPr>
          <w:p w14:paraId="503D82A9" w14:textId="77777777" w:rsidR="003D3BC3" w:rsidRDefault="003D3BC3" w:rsidP="003D3BC3">
            <w:pPr>
              <w:pStyle w:val="Normal1linespace"/>
              <w:widowControl w:val="0"/>
              <w:jc w:val="left"/>
            </w:pPr>
          </w:p>
        </w:tc>
        <w:tc>
          <w:tcPr>
            <w:tcW w:w="5989" w:type="dxa"/>
            <w:shd w:val="clear" w:color="auto" w:fill="auto"/>
          </w:tcPr>
          <w:p w14:paraId="62CA7A7D" w14:textId="77777777" w:rsidR="003D3BC3" w:rsidRDefault="003D3BC3" w:rsidP="003D3BC3">
            <w:pPr>
              <w:pStyle w:val="Normal1linespace"/>
              <w:widowControl w:val="0"/>
              <w:jc w:val="left"/>
            </w:pPr>
          </w:p>
        </w:tc>
      </w:tr>
      <w:tr w:rsidR="003D3BC3" w14:paraId="0BFEC283" w14:textId="77777777" w:rsidTr="002938D8">
        <w:tc>
          <w:tcPr>
            <w:tcW w:w="3084" w:type="dxa"/>
            <w:shd w:val="clear" w:color="auto" w:fill="auto"/>
          </w:tcPr>
          <w:p w14:paraId="3B6B34E2" w14:textId="77777777" w:rsidR="003D3BC3" w:rsidRDefault="003D3BC3" w:rsidP="003D3BC3">
            <w:pPr>
              <w:pStyle w:val="Normal1linespace"/>
              <w:widowControl w:val="0"/>
              <w:jc w:val="left"/>
            </w:pPr>
            <w:r>
              <w:t>Date of last submissions:</w:t>
            </w:r>
          </w:p>
        </w:tc>
        <w:tc>
          <w:tcPr>
            <w:tcW w:w="5989" w:type="dxa"/>
            <w:shd w:val="clear" w:color="auto" w:fill="auto"/>
          </w:tcPr>
          <w:p w14:paraId="0413F085" w14:textId="7CC42C9C" w:rsidR="003D3BC3" w:rsidRDefault="007F3C07">
            <w:pPr>
              <w:pStyle w:val="Normal1linespace"/>
              <w:widowControl w:val="0"/>
              <w:jc w:val="left"/>
            </w:pPr>
            <w:r>
              <w:t>23</w:t>
            </w:r>
            <w:r w:rsidR="003D3BC3">
              <w:t xml:space="preserve"> March 2021 </w:t>
            </w:r>
          </w:p>
        </w:tc>
      </w:tr>
      <w:tr w:rsidR="003D3BC3" w14:paraId="738F0333" w14:textId="77777777" w:rsidTr="002938D8">
        <w:tc>
          <w:tcPr>
            <w:tcW w:w="3084" w:type="dxa"/>
            <w:shd w:val="clear" w:color="auto" w:fill="auto"/>
          </w:tcPr>
          <w:p w14:paraId="4778C4CD" w14:textId="77777777" w:rsidR="003D3BC3" w:rsidRDefault="003D3BC3" w:rsidP="003D3BC3">
            <w:pPr>
              <w:pStyle w:val="Normal1linespace"/>
              <w:widowControl w:val="0"/>
              <w:jc w:val="left"/>
            </w:pPr>
          </w:p>
        </w:tc>
        <w:tc>
          <w:tcPr>
            <w:tcW w:w="5989" w:type="dxa"/>
            <w:shd w:val="clear" w:color="auto" w:fill="auto"/>
          </w:tcPr>
          <w:p w14:paraId="7F22C290" w14:textId="77777777" w:rsidR="003D3BC3" w:rsidRDefault="003D3BC3" w:rsidP="003D3BC3">
            <w:pPr>
              <w:pStyle w:val="Normal1linespace"/>
              <w:widowControl w:val="0"/>
              <w:jc w:val="left"/>
            </w:pPr>
          </w:p>
        </w:tc>
      </w:tr>
      <w:tr w:rsidR="003D3BC3" w14:paraId="101B356F" w14:textId="77777777" w:rsidTr="002938D8">
        <w:tc>
          <w:tcPr>
            <w:tcW w:w="3084" w:type="dxa"/>
            <w:shd w:val="clear" w:color="auto" w:fill="auto"/>
          </w:tcPr>
          <w:p w14:paraId="507AA327" w14:textId="29D467B2" w:rsidR="003D3BC3" w:rsidRDefault="003D3BC3" w:rsidP="003D3BC3">
            <w:pPr>
              <w:pStyle w:val="Normal1linespace"/>
              <w:widowControl w:val="0"/>
              <w:jc w:val="left"/>
            </w:pPr>
            <w:bookmarkStart w:id="7" w:name="CounselDate" w:colFirst="0" w:colLast="2"/>
            <w:r>
              <w:t>Date of hearing</w:t>
            </w:r>
            <w:r w:rsidRPr="006A24E3">
              <w:t>:</w:t>
            </w:r>
          </w:p>
        </w:tc>
        <w:tc>
          <w:tcPr>
            <w:tcW w:w="5989" w:type="dxa"/>
            <w:shd w:val="clear" w:color="auto" w:fill="auto"/>
          </w:tcPr>
          <w:p w14:paraId="0BD1F11A" w14:textId="549ACE96" w:rsidR="003D3BC3" w:rsidRDefault="003D3BC3" w:rsidP="003D3BC3">
            <w:pPr>
              <w:pStyle w:val="Normal1linespace"/>
              <w:widowControl w:val="0"/>
              <w:jc w:val="left"/>
            </w:pPr>
            <w:bookmarkStart w:id="8" w:name="HearingDate"/>
            <w:r>
              <w:t>Determined on the papers</w:t>
            </w:r>
            <w:bookmarkEnd w:id="8"/>
          </w:p>
        </w:tc>
      </w:tr>
      <w:tr w:rsidR="003D3BC3" w14:paraId="588E332E" w14:textId="77777777" w:rsidTr="002938D8">
        <w:tc>
          <w:tcPr>
            <w:tcW w:w="3084" w:type="dxa"/>
            <w:shd w:val="clear" w:color="auto" w:fill="auto"/>
          </w:tcPr>
          <w:p w14:paraId="7EDDA5A2" w14:textId="77777777" w:rsidR="003D3BC3" w:rsidRDefault="003D3BC3" w:rsidP="003D3BC3">
            <w:pPr>
              <w:pStyle w:val="Normal1linespace"/>
              <w:widowControl w:val="0"/>
              <w:jc w:val="left"/>
            </w:pPr>
          </w:p>
        </w:tc>
        <w:tc>
          <w:tcPr>
            <w:tcW w:w="5989" w:type="dxa"/>
            <w:shd w:val="clear" w:color="auto" w:fill="auto"/>
          </w:tcPr>
          <w:p w14:paraId="18282E8A" w14:textId="77777777" w:rsidR="003D3BC3" w:rsidRDefault="003D3BC3" w:rsidP="003D3BC3">
            <w:pPr>
              <w:pStyle w:val="Normal1linespace"/>
              <w:widowControl w:val="0"/>
              <w:jc w:val="left"/>
            </w:pPr>
          </w:p>
        </w:tc>
      </w:tr>
      <w:tr w:rsidR="003D3BC3" w14:paraId="16ACDC45" w14:textId="77777777" w:rsidTr="003D3BC3">
        <w:tc>
          <w:tcPr>
            <w:tcW w:w="3084" w:type="dxa"/>
            <w:shd w:val="clear" w:color="auto" w:fill="auto"/>
          </w:tcPr>
          <w:p w14:paraId="624E5DC0" w14:textId="77777777" w:rsidR="003D3BC3" w:rsidRDefault="003D3BC3" w:rsidP="003D3BC3">
            <w:pPr>
              <w:pStyle w:val="Normal1linespace"/>
              <w:widowControl w:val="0"/>
              <w:jc w:val="left"/>
            </w:pPr>
            <w:bookmarkStart w:id="9" w:name="Counsel" w:colFirst="0" w:colLast="2"/>
            <w:bookmarkEnd w:id="7"/>
            <w:r>
              <w:t>Counsel for the Prospective Applicant:</w:t>
            </w:r>
          </w:p>
        </w:tc>
        <w:tc>
          <w:tcPr>
            <w:tcW w:w="5989" w:type="dxa"/>
            <w:shd w:val="clear" w:color="auto" w:fill="auto"/>
          </w:tcPr>
          <w:p w14:paraId="736F7A1F" w14:textId="77777777" w:rsidR="003D3BC3" w:rsidRDefault="003D3BC3" w:rsidP="003D3BC3">
            <w:pPr>
              <w:pStyle w:val="Normal1linespace"/>
              <w:widowControl w:val="0"/>
              <w:jc w:val="left"/>
            </w:pPr>
            <w:bookmarkStart w:id="10" w:name="AppCounsel"/>
            <w:bookmarkEnd w:id="10"/>
            <w:r>
              <w:t>Mr D. Thomas SC with Mr H. Atkin</w:t>
            </w:r>
          </w:p>
        </w:tc>
      </w:tr>
      <w:tr w:rsidR="003D3BC3" w14:paraId="46C24F52" w14:textId="77777777" w:rsidTr="003D3BC3">
        <w:tc>
          <w:tcPr>
            <w:tcW w:w="3084" w:type="dxa"/>
            <w:shd w:val="clear" w:color="auto" w:fill="auto"/>
          </w:tcPr>
          <w:p w14:paraId="008AF0DA" w14:textId="77777777" w:rsidR="003D3BC3" w:rsidRDefault="003D3BC3" w:rsidP="003D3BC3">
            <w:pPr>
              <w:pStyle w:val="Normal1linespace"/>
              <w:widowControl w:val="0"/>
              <w:jc w:val="left"/>
            </w:pPr>
          </w:p>
        </w:tc>
        <w:tc>
          <w:tcPr>
            <w:tcW w:w="5989" w:type="dxa"/>
            <w:shd w:val="clear" w:color="auto" w:fill="auto"/>
          </w:tcPr>
          <w:p w14:paraId="6D468DFF" w14:textId="77777777" w:rsidR="003D3BC3" w:rsidRDefault="003D3BC3" w:rsidP="003D3BC3">
            <w:pPr>
              <w:pStyle w:val="Normal1linespace"/>
              <w:widowControl w:val="0"/>
              <w:jc w:val="left"/>
            </w:pPr>
          </w:p>
        </w:tc>
      </w:tr>
      <w:tr w:rsidR="003D3BC3" w14:paraId="0ED087DB" w14:textId="77777777" w:rsidTr="003D3BC3">
        <w:tc>
          <w:tcPr>
            <w:tcW w:w="3084" w:type="dxa"/>
            <w:shd w:val="clear" w:color="auto" w:fill="auto"/>
          </w:tcPr>
          <w:p w14:paraId="2769E085" w14:textId="77777777" w:rsidR="003D3BC3" w:rsidRDefault="003D3BC3" w:rsidP="003D3BC3">
            <w:pPr>
              <w:pStyle w:val="Normal1linespace"/>
              <w:widowControl w:val="0"/>
              <w:jc w:val="left"/>
            </w:pPr>
            <w:r>
              <w:t>Solicitor for the Prospective Applicant:</w:t>
            </w:r>
          </w:p>
        </w:tc>
        <w:tc>
          <w:tcPr>
            <w:tcW w:w="5989" w:type="dxa"/>
            <w:shd w:val="clear" w:color="auto" w:fill="auto"/>
          </w:tcPr>
          <w:p w14:paraId="23D71F17" w14:textId="77777777" w:rsidR="003D3BC3" w:rsidRDefault="003D3BC3" w:rsidP="003D3BC3">
            <w:pPr>
              <w:pStyle w:val="Normal1linespace"/>
              <w:widowControl w:val="0"/>
              <w:jc w:val="left"/>
            </w:pPr>
            <w:proofErr w:type="spellStart"/>
            <w:r>
              <w:t>Atanaskovic</w:t>
            </w:r>
            <w:proofErr w:type="spellEnd"/>
            <w:r>
              <w:t xml:space="preserve"> </w:t>
            </w:r>
            <w:proofErr w:type="spellStart"/>
            <w:r>
              <w:t>Hartnell</w:t>
            </w:r>
            <w:proofErr w:type="spellEnd"/>
          </w:p>
        </w:tc>
      </w:tr>
      <w:tr w:rsidR="003D3BC3" w14:paraId="2B1E63C8" w14:textId="77777777" w:rsidTr="003D3BC3">
        <w:tc>
          <w:tcPr>
            <w:tcW w:w="3084" w:type="dxa"/>
            <w:shd w:val="clear" w:color="auto" w:fill="auto"/>
          </w:tcPr>
          <w:p w14:paraId="70F88F82" w14:textId="77777777" w:rsidR="003D3BC3" w:rsidRDefault="003D3BC3" w:rsidP="003D3BC3">
            <w:pPr>
              <w:pStyle w:val="Normal1linespace"/>
              <w:widowControl w:val="0"/>
              <w:jc w:val="left"/>
            </w:pPr>
          </w:p>
        </w:tc>
        <w:tc>
          <w:tcPr>
            <w:tcW w:w="5989" w:type="dxa"/>
            <w:shd w:val="clear" w:color="auto" w:fill="auto"/>
          </w:tcPr>
          <w:p w14:paraId="0AA65BDA" w14:textId="77777777" w:rsidR="003D3BC3" w:rsidRDefault="003D3BC3" w:rsidP="003D3BC3">
            <w:pPr>
              <w:pStyle w:val="Normal1linespace"/>
              <w:widowControl w:val="0"/>
              <w:jc w:val="left"/>
            </w:pPr>
          </w:p>
        </w:tc>
      </w:tr>
      <w:tr w:rsidR="003D3BC3" w14:paraId="34DE6532" w14:textId="77777777" w:rsidTr="003D3BC3">
        <w:tc>
          <w:tcPr>
            <w:tcW w:w="3084" w:type="dxa"/>
            <w:shd w:val="clear" w:color="auto" w:fill="auto"/>
          </w:tcPr>
          <w:p w14:paraId="47E6C23A" w14:textId="77777777" w:rsidR="003D3BC3" w:rsidRDefault="003D3BC3" w:rsidP="003D3BC3">
            <w:pPr>
              <w:pStyle w:val="Normal1linespace"/>
              <w:widowControl w:val="0"/>
              <w:jc w:val="left"/>
            </w:pPr>
            <w:r>
              <w:t>Counsel for the Prospective Respondent:</w:t>
            </w:r>
          </w:p>
        </w:tc>
        <w:tc>
          <w:tcPr>
            <w:tcW w:w="5989" w:type="dxa"/>
            <w:shd w:val="clear" w:color="auto" w:fill="auto"/>
          </w:tcPr>
          <w:p w14:paraId="7AB60B5A" w14:textId="77777777" w:rsidR="003D3BC3" w:rsidRDefault="003D3BC3" w:rsidP="003D3BC3">
            <w:pPr>
              <w:pStyle w:val="Normal1linespace"/>
              <w:widowControl w:val="0"/>
              <w:jc w:val="left"/>
            </w:pPr>
            <w:r>
              <w:t xml:space="preserve">Mr J. Gleeson with Mr A. </w:t>
            </w:r>
            <w:proofErr w:type="spellStart"/>
            <w:r>
              <w:t>Dinelli</w:t>
            </w:r>
            <w:proofErr w:type="spellEnd"/>
          </w:p>
        </w:tc>
      </w:tr>
      <w:tr w:rsidR="003D3BC3" w14:paraId="2E9069A8" w14:textId="77777777" w:rsidTr="003D3BC3">
        <w:tc>
          <w:tcPr>
            <w:tcW w:w="3084" w:type="dxa"/>
            <w:shd w:val="clear" w:color="auto" w:fill="auto"/>
          </w:tcPr>
          <w:p w14:paraId="52DCFF69" w14:textId="77777777" w:rsidR="003D3BC3" w:rsidRDefault="003D3BC3" w:rsidP="003D3BC3">
            <w:pPr>
              <w:pStyle w:val="Normal1linespace"/>
              <w:widowControl w:val="0"/>
              <w:jc w:val="left"/>
            </w:pPr>
          </w:p>
        </w:tc>
        <w:tc>
          <w:tcPr>
            <w:tcW w:w="5989" w:type="dxa"/>
            <w:shd w:val="clear" w:color="auto" w:fill="auto"/>
          </w:tcPr>
          <w:p w14:paraId="033F4D98" w14:textId="77777777" w:rsidR="003D3BC3" w:rsidRDefault="003D3BC3" w:rsidP="003D3BC3">
            <w:pPr>
              <w:pStyle w:val="Normal1linespace"/>
              <w:widowControl w:val="0"/>
              <w:jc w:val="left"/>
            </w:pPr>
          </w:p>
        </w:tc>
      </w:tr>
      <w:tr w:rsidR="003D3BC3" w14:paraId="16990B5B" w14:textId="77777777" w:rsidTr="003D3BC3">
        <w:tc>
          <w:tcPr>
            <w:tcW w:w="3084" w:type="dxa"/>
            <w:shd w:val="clear" w:color="auto" w:fill="auto"/>
          </w:tcPr>
          <w:p w14:paraId="753216AA" w14:textId="77777777" w:rsidR="003D3BC3" w:rsidRDefault="003D3BC3" w:rsidP="003D3BC3">
            <w:pPr>
              <w:pStyle w:val="Normal1linespace"/>
              <w:widowControl w:val="0"/>
              <w:jc w:val="left"/>
            </w:pPr>
            <w:r>
              <w:t>Solicitor for the Prospective Respondent:</w:t>
            </w:r>
          </w:p>
        </w:tc>
        <w:tc>
          <w:tcPr>
            <w:tcW w:w="5989" w:type="dxa"/>
            <w:shd w:val="clear" w:color="auto" w:fill="auto"/>
          </w:tcPr>
          <w:p w14:paraId="1D9C774A" w14:textId="77777777" w:rsidR="003D3BC3" w:rsidRDefault="003D3BC3" w:rsidP="003D3BC3">
            <w:pPr>
              <w:pStyle w:val="Normal1linespace"/>
              <w:widowControl w:val="0"/>
              <w:jc w:val="left"/>
            </w:pPr>
            <w:r>
              <w:t>K&amp;L Gates</w:t>
            </w:r>
          </w:p>
        </w:tc>
      </w:tr>
      <w:bookmarkEnd w:id="9"/>
    </w:tbl>
    <w:p w14:paraId="085561C0" w14:textId="77777777" w:rsidR="007470BD" w:rsidRDefault="007470BD">
      <w:pPr>
        <w:pStyle w:val="Normal1linespace"/>
      </w:pPr>
    </w:p>
    <w:p w14:paraId="4E93C55C" w14:textId="77777777" w:rsidR="00E94CBF" w:rsidRDefault="00E94CBF">
      <w:pPr>
        <w:pStyle w:val="Normal1linespace"/>
      </w:pPr>
    </w:p>
    <w:p w14:paraId="1607469F" w14:textId="77777777" w:rsidR="00395B24" w:rsidRDefault="00395B24">
      <w:pPr>
        <w:pStyle w:val="Normal1linespace"/>
        <w:sectPr w:rsidR="00395B24" w:rsidSect="001F2473">
          <w:footerReference w:type="default" r:id="rId8"/>
          <w:endnotePr>
            <w:numFmt w:val="decimal"/>
          </w:endnotePr>
          <w:type w:val="continuous"/>
          <w:pgSz w:w="11907" w:h="16840" w:code="9"/>
          <w:pgMar w:top="1440" w:right="1440" w:bottom="1440" w:left="1440" w:header="851" w:footer="768" w:gutter="0"/>
          <w:pgNumType w:start="1"/>
          <w:cols w:space="720"/>
          <w:noEndnote/>
          <w:titlePg/>
        </w:sectPr>
      </w:pPr>
    </w:p>
    <w:p w14:paraId="302D0054"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4C0B0BCD" w14:textId="77777777" w:rsidTr="00E81DA6">
        <w:tc>
          <w:tcPr>
            <w:tcW w:w="6912" w:type="dxa"/>
            <w:gridSpan w:val="2"/>
          </w:tcPr>
          <w:p w14:paraId="497263B1" w14:textId="77777777" w:rsidR="00A46CCC" w:rsidRPr="001765E0" w:rsidRDefault="00A46CCC" w:rsidP="00525A49">
            <w:pPr>
              <w:pStyle w:val="NormalHeadings"/>
            </w:pPr>
          </w:p>
        </w:tc>
        <w:tc>
          <w:tcPr>
            <w:tcW w:w="2330" w:type="dxa"/>
          </w:tcPr>
          <w:p w14:paraId="44675A96" w14:textId="1F8F5D5B" w:rsidR="00A46CCC" w:rsidRDefault="003D3BC3" w:rsidP="00F92355">
            <w:pPr>
              <w:pStyle w:val="NormalHeadings"/>
              <w:jc w:val="right"/>
            </w:pPr>
            <w:bookmarkStart w:id="11" w:name="FileNo"/>
            <w:r>
              <w:t>VID 764 of 2020</w:t>
            </w:r>
            <w:bookmarkEnd w:id="11"/>
          </w:p>
        </w:tc>
      </w:tr>
      <w:tr w:rsidR="00A76C13" w14:paraId="02A878A2" w14:textId="77777777" w:rsidTr="002C4EE1">
        <w:tc>
          <w:tcPr>
            <w:tcW w:w="9242" w:type="dxa"/>
            <w:gridSpan w:val="3"/>
          </w:tcPr>
          <w:p w14:paraId="5ED0931C" w14:textId="34C2D02F" w:rsidR="00A76C13" w:rsidRPr="00A76C13" w:rsidRDefault="003D3BC3" w:rsidP="003D3BC3">
            <w:pPr>
              <w:pStyle w:val="NormalHeadings"/>
              <w:jc w:val="left"/>
            </w:pPr>
            <w:bookmarkStart w:id="12" w:name="InTheMatterOf"/>
            <w:r>
              <w:t xml:space="preserve"> </w:t>
            </w:r>
            <w:bookmarkEnd w:id="12"/>
          </w:p>
        </w:tc>
      </w:tr>
      <w:tr w:rsidR="00A46CCC" w14:paraId="6B3AF8F0" w14:textId="77777777" w:rsidTr="002C4EE1">
        <w:trPr>
          <w:trHeight w:val="386"/>
        </w:trPr>
        <w:tc>
          <w:tcPr>
            <w:tcW w:w="2376" w:type="dxa"/>
          </w:tcPr>
          <w:p w14:paraId="1428A211" w14:textId="77777777" w:rsidR="00A46CCC" w:rsidRDefault="00A46CCC" w:rsidP="002C4EE1">
            <w:pPr>
              <w:pStyle w:val="NormalHeadings"/>
              <w:jc w:val="left"/>
              <w:rPr>
                <w:caps/>
                <w:szCs w:val="24"/>
              </w:rPr>
            </w:pPr>
            <w:bookmarkStart w:id="13" w:name="Parties"/>
            <w:r>
              <w:rPr>
                <w:caps/>
                <w:szCs w:val="24"/>
              </w:rPr>
              <w:t>BETWEEN:</w:t>
            </w:r>
          </w:p>
        </w:tc>
        <w:tc>
          <w:tcPr>
            <w:tcW w:w="6866" w:type="dxa"/>
            <w:gridSpan w:val="2"/>
          </w:tcPr>
          <w:p w14:paraId="75DE1707" w14:textId="3786A17F" w:rsidR="008F2A9B" w:rsidRDefault="008F2A9B" w:rsidP="003D3BC3">
            <w:pPr>
              <w:pStyle w:val="NormalHeadings"/>
              <w:jc w:val="left"/>
            </w:pPr>
            <w:bookmarkStart w:id="14" w:name="Applicant"/>
            <w:r>
              <w:t>SEVEN NETWORK</w:t>
            </w:r>
            <w:r w:rsidR="002938D8">
              <w:t xml:space="preserve"> (OPERATIONS) LIMITED (A</w:t>
            </w:r>
            <w:r w:rsidR="00E44F98">
              <w:t>C</w:t>
            </w:r>
            <w:r w:rsidR="002938D8">
              <w:t>N 65 052 845 262)</w:t>
            </w:r>
          </w:p>
          <w:p w14:paraId="642668DE" w14:textId="77777777" w:rsidR="008F2A9B" w:rsidRDefault="002938D8" w:rsidP="003D3BC3">
            <w:pPr>
              <w:pStyle w:val="PartyType"/>
            </w:pPr>
            <w:r>
              <w:t xml:space="preserve">Prospective </w:t>
            </w:r>
            <w:r w:rsidR="008F2A9B">
              <w:t>Applicant</w:t>
            </w:r>
          </w:p>
          <w:bookmarkEnd w:id="14"/>
          <w:p w14:paraId="3091FA45" w14:textId="77777777" w:rsidR="00A46CCC" w:rsidRPr="006555B4" w:rsidRDefault="00A46CCC" w:rsidP="002C4EE1">
            <w:pPr>
              <w:pStyle w:val="NormalHeadings"/>
              <w:jc w:val="left"/>
            </w:pPr>
          </w:p>
        </w:tc>
      </w:tr>
      <w:tr w:rsidR="00A46CCC" w14:paraId="40FB9EEF" w14:textId="77777777" w:rsidTr="002C4EE1">
        <w:trPr>
          <w:trHeight w:val="386"/>
        </w:trPr>
        <w:tc>
          <w:tcPr>
            <w:tcW w:w="2376" w:type="dxa"/>
          </w:tcPr>
          <w:p w14:paraId="506D0127" w14:textId="77777777" w:rsidR="00A46CCC" w:rsidRDefault="00A46CCC" w:rsidP="002C4EE1">
            <w:pPr>
              <w:pStyle w:val="NormalHeadings"/>
              <w:jc w:val="left"/>
              <w:rPr>
                <w:caps/>
                <w:szCs w:val="24"/>
              </w:rPr>
            </w:pPr>
            <w:r>
              <w:rPr>
                <w:caps/>
                <w:szCs w:val="24"/>
              </w:rPr>
              <w:t>AND:</w:t>
            </w:r>
          </w:p>
        </w:tc>
        <w:tc>
          <w:tcPr>
            <w:tcW w:w="6866" w:type="dxa"/>
            <w:gridSpan w:val="2"/>
          </w:tcPr>
          <w:p w14:paraId="00D219A7" w14:textId="42EE5396" w:rsidR="008F2A9B" w:rsidRDefault="008F2A9B" w:rsidP="003D3BC3">
            <w:pPr>
              <w:pStyle w:val="NormalHeadings"/>
              <w:jc w:val="left"/>
            </w:pPr>
            <w:bookmarkStart w:id="15" w:name="Respondent"/>
            <w:r>
              <w:t>CRICKET AUSTRALIA</w:t>
            </w:r>
            <w:r w:rsidR="002938D8">
              <w:t xml:space="preserve"> (A</w:t>
            </w:r>
            <w:r w:rsidR="00E44F98">
              <w:t>C</w:t>
            </w:r>
            <w:r w:rsidR="002938D8">
              <w:t>N 53 006 089 130)</w:t>
            </w:r>
          </w:p>
          <w:p w14:paraId="172EBF09" w14:textId="77777777" w:rsidR="008F2A9B" w:rsidRDefault="002938D8" w:rsidP="003D3BC3">
            <w:pPr>
              <w:pStyle w:val="PartyType"/>
            </w:pPr>
            <w:r>
              <w:t xml:space="preserve">Prospective </w:t>
            </w:r>
            <w:r w:rsidR="008F2A9B">
              <w:t>Respondent</w:t>
            </w:r>
          </w:p>
          <w:bookmarkEnd w:id="15"/>
          <w:p w14:paraId="77638BEB" w14:textId="77777777" w:rsidR="00A46CCC" w:rsidRPr="006555B4" w:rsidRDefault="00A46CCC" w:rsidP="002C4EE1">
            <w:pPr>
              <w:pStyle w:val="NormalHeadings"/>
              <w:jc w:val="left"/>
            </w:pPr>
          </w:p>
        </w:tc>
      </w:tr>
    </w:tbl>
    <w:p w14:paraId="100D0FEB"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6E963CE4" w14:textId="77777777">
        <w:tc>
          <w:tcPr>
            <w:tcW w:w="2376" w:type="dxa"/>
          </w:tcPr>
          <w:p w14:paraId="60285CB9" w14:textId="77777777"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14:paraId="077A0173" w14:textId="49BA80ED" w:rsidR="00395B24" w:rsidRDefault="003D3BC3">
            <w:pPr>
              <w:pStyle w:val="NormalHeadings"/>
              <w:jc w:val="left"/>
              <w:rPr>
                <w:caps/>
                <w:szCs w:val="24"/>
              </w:rPr>
            </w:pPr>
            <w:bookmarkStart w:id="18" w:name="Judge"/>
            <w:r>
              <w:rPr>
                <w:caps/>
                <w:szCs w:val="24"/>
              </w:rPr>
              <w:t>ANASTASSIOU J</w:t>
            </w:r>
            <w:bookmarkEnd w:id="18"/>
          </w:p>
        </w:tc>
      </w:tr>
      <w:tr w:rsidR="00395B24" w14:paraId="2C29272D" w14:textId="77777777">
        <w:tc>
          <w:tcPr>
            <w:tcW w:w="2376" w:type="dxa"/>
          </w:tcPr>
          <w:p w14:paraId="14AAE5CD" w14:textId="77777777" w:rsidR="00395B24" w:rsidRDefault="002C7385">
            <w:pPr>
              <w:pStyle w:val="NormalHeadings"/>
              <w:spacing w:after="120"/>
              <w:jc w:val="left"/>
              <w:rPr>
                <w:caps/>
                <w:szCs w:val="24"/>
              </w:rPr>
            </w:pPr>
            <w:r>
              <w:rPr>
                <w:caps/>
                <w:szCs w:val="24"/>
              </w:rPr>
              <w:t>DATE OF ORDER:</w:t>
            </w:r>
          </w:p>
        </w:tc>
        <w:tc>
          <w:tcPr>
            <w:tcW w:w="6866" w:type="dxa"/>
          </w:tcPr>
          <w:p w14:paraId="7B3E9D65" w14:textId="17A2367E" w:rsidR="00395B24" w:rsidRDefault="003D3BC3">
            <w:pPr>
              <w:pStyle w:val="NormalHeadings"/>
              <w:jc w:val="left"/>
              <w:rPr>
                <w:caps/>
                <w:szCs w:val="24"/>
              </w:rPr>
            </w:pPr>
            <w:bookmarkStart w:id="19" w:name="Judgment_Dated"/>
            <w:r>
              <w:rPr>
                <w:caps/>
                <w:szCs w:val="24"/>
              </w:rPr>
              <w:t>27 AUGUST 2021</w:t>
            </w:r>
            <w:bookmarkEnd w:id="19"/>
          </w:p>
        </w:tc>
      </w:tr>
    </w:tbl>
    <w:p w14:paraId="41D0AA03" w14:textId="77777777" w:rsidR="00395B24" w:rsidRDefault="00395B24">
      <w:pPr>
        <w:pStyle w:val="NormalHeadings"/>
        <w:rPr>
          <w:b w:val="0"/>
        </w:rPr>
      </w:pPr>
    </w:p>
    <w:p w14:paraId="7D17058F" w14:textId="77777777" w:rsidR="008D1617" w:rsidRDefault="008D1617">
      <w:pPr>
        <w:pStyle w:val="NormalHeadings"/>
        <w:rPr>
          <w:b w:val="0"/>
        </w:rPr>
      </w:pPr>
    </w:p>
    <w:p w14:paraId="773D424C" w14:textId="77777777" w:rsidR="00395B24" w:rsidRDefault="002C7385">
      <w:pPr>
        <w:pStyle w:val="NormalHeadings"/>
      </w:pPr>
      <w:r>
        <w:t>THE COURT ORDERS THAT:</w:t>
      </w:r>
    </w:p>
    <w:p w14:paraId="0425477D" w14:textId="77777777" w:rsidR="007F60DF" w:rsidRDefault="007F60DF" w:rsidP="00243E5E">
      <w:pPr>
        <w:pStyle w:val="NormalHeadings"/>
      </w:pPr>
    </w:p>
    <w:p w14:paraId="25342CDA" w14:textId="4F19DFAE" w:rsidR="00226F7B" w:rsidRDefault="0026097D" w:rsidP="0026097D">
      <w:pPr>
        <w:pStyle w:val="Order1"/>
      </w:pPr>
      <w:r>
        <w:t xml:space="preserve">Pursuant to s 37AF of the </w:t>
      </w:r>
      <w:r w:rsidRPr="009B5AC0">
        <w:rPr>
          <w:i/>
        </w:rPr>
        <w:t>Federal Court of</w:t>
      </w:r>
      <w:r w:rsidRPr="002C4EE1">
        <w:rPr>
          <w:i/>
        </w:rPr>
        <w:t xml:space="preserve"> Australia </w:t>
      </w:r>
      <w:r w:rsidRPr="00BF451A">
        <w:rPr>
          <w:i/>
        </w:rPr>
        <w:t>Act</w:t>
      </w:r>
      <w:r w:rsidRPr="002C4EE1">
        <w:rPr>
          <w:b/>
          <w:i/>
        </w:rPr>
        <w:t xml:space="preserve"> </w:t>
      </w:r>
      <w:r w:rsidRPr="002C4EE1">
        <w:rPr>
          <w:i/>
        </w:rPr>
        <w:t>1976</w:t>
      </w:r>
      <w:r>
        <w:t xml:space="preserve"> (</w:t>
      </w:r>
      <w:proofErr w:type="spellStart"/>
      <w:r>
        <w:t>Cth</w:t>
      </w:r>
      <w:proofErr w:type="spellEnd"/>
      <w:r>
        <w:t>)</w:t>
      </w:r>
      <w:r w:rsidRPr="0026097D">
        <w:t>,</w:t>
      </w:r>
      <w:r>
        <w:rPr>
          <w:i/>
        </w:rPr>
        <w:t xml:space="preserve"> </w:t>
      </w:r>
      <w:r>
        <w:t xml:space="preserve">until further order of the Court, </w:t>
      </w:r>
      <w:r w:rsidR="00226F7B">
        <w:t xml:space="preserve">the following </w:t>
      </w:r>
      <w:r>
        <w:t xml:space="preserve">documents </w:t>
      </w:r>
      <w:r w:rsidR="00226F7B">
        <w:t xml:space="preserve">be redacted or marked as confidential (as the case may be) and not be capable of inspection </w:t>
      </w:r>
      <w:r>
        <w:t xml:space="preserve">pursuant to r 2.32 of the </w:t>
      </w:r>
      <w:r w:rsidRPr="00226F7B">
        <w:rPr>
          <w:i/>
        </w:rPr>
        <w:t>Federal Court Rules 2011</w:t>
      </w:r>
      <w:r>
        <w:t xml:space="preserve"> (</w:t>
      </w:r>
      <w:proofErr w:type="spellStart"/>
      <w:r>
        <w:t>Cth</w:t>
      </w:r>
      <w:proofErr w:type="spellEnd"/>
      <w:r>
        <w:t xml:space="preserve">) </w:t>
      </w:r>
      <w:r w:rsidR="00226F7B">
        <w:t>by a person who is not a party to the pro</w:t>
      </w:r>
      <w:r w:rsidR="002532BF">
        <w:t>ceeding</w:t>
      </w:r>
      <w:r w:rsidR="00226F7B">
        <w:t>:</w:t>
      </w:r>
    </w:p>
    <w:p w14:paraId="5DA961A3" w14:textId="77777777" w:rsidR="00226F7B" w:rsidRDefault="00226F7B" w:rsidP="00226F7B">
      <w:pPr>
        <w:pStyle w:val="Order2"/>
      </w:pPr>
      <w:r>
        <w:t xml:space="preserve">in the affidavit of Lewis Martin affirmed on 30 November 2020 (the </w:t>
      </w:r>
      <w:r w:rsidRPr="00226F7B">
        <w:rPr>
          <w:b/>
        </w:rPr>
        <w:t>First Martin Affidavit</w:t>
      </w:r>
      <w:r>
        <w:t>):</w:t>
      </w:r>
    </w:p>
    <w:p w14:paraId="46139E21" w14:textId="16B07B08" w:rsidR="00226F7B" w:rsidRDefault="00226F7B" w:rsidP="00226F7B">
      <w:pPr>
        <w:pStyle w:val="Order3"/>
      </w:pPr>
      <w:r>
        <w:t>sub-paragraphs (a) and (b) of paragraph 10 [CB 84]; and</w:t>
      </w:r>
    </w:p>
    <w:p w14:paraId="79A631C0" w14:textId="0B6CA5DF" w:rsidR="00226F7B" w:rsidRDefault="00226F7B" w:rsidP="00226F7B">
      <w:pPr>
        <w:pStyle w:val="Order3"/>
      </w:pPr>
      <w:r>
        <w:t>that sub-paragraph of paragraph 65, beginning "I am therefore … " and ending “the prior year’s cricket Season” [CB 104];</w:t>
      </w:r>
    </w:p>
    <w:p w14:paraId="77CF83D0" w14:textId="77777777" w:rsidR="00226F7B" w:rsidRDefault="00226F7B" w:rsidP="00226F7B">
      <w:pPr>
        <w:pStyle w:val="Order2"/>
      </w:pPr>
      <w:r>
        <w:t>in Annexure LM-1 to the First Martin Affidavit:</w:t>
      </w:r>
    </w:p>
    <w:p w14:paraId="6F00C682" w14:textId="62241CD3" w:rsidR="00226F7B" w:rsidRDefault="00226F7B" w:rsidP="00226F7B">
      <w:pPr>
        <w:pStyle w:val="Order3"/>
      </w:pPr>
      <w:r>
        <w:t>pages 1 to 178 [CB 108-275];</w:t>
      </w:r>
    </w:p>
    <w:p w14:paraId="0BCC647D" w14:textId="1E72A910" w:rsidR="00226F7B" w:rsidRDefault="00226F7B" w:rsidP="00226F7B">
      <w:pPr>
        <w:pStyle w:val="Order3"/>
      </w:pPr>
      <w:r>
        <w:t>pages 229 to 231 [CB 336-338];</w:t>
      </w:r>
    </w:p>
    <w:p w14:paraId="3B37BB3E" w14:textId="2FCC9F8F" w:rsidR="00226F7B" w:rsidRDefault="00226F7B" w:rsidP="00226F7B">
      <w:pPr>
        <w:pStyle w:val="Order3"/>
      </w:pPr>
      <w:r>
        <w:t>on pages 234 to 235 [CB 341-342], the paragraphs under the heading "Additional impacts of the Force Majeure Events";</w:t>
      </w:r>
    </w:p>
    <w:p w14:paraId="64171D53" w14:textId="5811F522" w:rsidR="00226F7B" w:rsidRDefault="00226F7B" w:rsidP="00226F7B">
      <w:pPr>
        <w:pStyle w:val="Order3"/>
      </w:pPr>
      <w:r>
        <w:t>on pages 243 to 244 [CB 350-351], paragraph 19 including its subparagraphs;</w:t>
      </w:r>
    </w:p>
    <w:p w14:paraId="65CCF741" w14:textId="43F5FE6E" w:rsidR="00226F7B" w:rsidRDefault="00226F7B" w:rsidP="00226F7B">
      <w:pPr>
        <w:pStyle w:val="Order3"/>
      </w:pPr>
      <w:r>
        <w:t>page 250 [CB 357];</w:t>
      </w:r>
    </w:p>
    <w:p w14:paraId="03366D5B" w14:textId="4F2E9D13" w:rsidR="00226F7B" w:rsidRDefault="00226F7B" w:rsidP="00226F7B">
      <w:pPr>
        <w:pStyle w:val="Order3"/>
      </w:pPr>
      <w:r>
        <w:t>page 251 to 255 [CB 358-362];</w:t>
      </w:r>
    </w:p>
    <w:p w14:paraId="5A0DEF62" w14:textId="4A4CB6F2" w:rsidR="00226F7B" w:rsidRDefault="00226F7B" w:rsidP="00226F7B">
      <w:pPr>
        <w:pStyle w:val="Order3"/>
      </w:pPr>
      <w:r>
        <w:t>page 284 [CB 391];</w:t>
      </w:r>
    </w:p>
    <w:p w14:paraId="63A56CB3" w14:textId="7C1341F8" w:rsidR="00226F7B" w:rsidRDefault="00226F7B" w:rsidP="00226F7B">
      <w:pPr>
        <w:pStyle w:val="Order3"/>
      </w:pPr>
      <w:r>
        <w:lastRenderedPageBreak/>
        <w:t>on page 285 [CB 392], the paragraph numbered 5;</w:t>
      </w:r>
    </w:p>
    <w:p w14:paraId="5C4807A9" w14:textId="09D6C20E" w:rsidR="00226F7B" w:rsidRDefault="00226F7B" w:rsidP="00226F7B">
      <w:pPr>
        <w:pStyle w:val="Order3"/>
      </w:pPr>
      <w:r>
        <w:t>on page 289 [CB 396], paragraphs 11(A) and 11(B);</w:t>
      </w:r>
    </w:p>
    <w:p w14:paraId="525AC92B" w14:textId="0EDF496A" w:rsidR="00226F7B" w:rsidRDefault="00226F7B" w:rsidP="00226F7B">
      <w:pPr>
        <w:pStyle w:val="Order3"/>
      </w:pPr>
      <w:r>
        <w:t>on pages 289 to 290 [CB 396-397], the paragraph numbered 12;</w:t>
      </w:r>
    </w:p>
    <w:p w14:paraId="7FE44A3D" w14:textId="27100F12" w:rsidR="00226F7B" w:rsidRDefault="00226F7B" w:rsidP="00226F7B">
      <w:pPr>
        <w:pStyle w:val="Order3"/>
      </w:pPr>
      <w:r>
        <w:t>on page 292 [CB 399], the paragraph numbered 5;</w:t>
      </w:r>
    </w:p>
    <w:p w14:paraId="7400FB45" w14:textId="75AE041D" w:rsidR="00226F7B" w:rsidRDefault="00226F7B" w:rsidP="00226F7B">
      <w:pPr>
        <w:pStyle w:val="Order3"/>
      </w:pPr>
      <w:r>
        <w:t>on pages 295 to 296 [CB 402-403], the paragraph numbered 9;</w:t>
      </w:r>
    </w:p>
    <w:p w14:paraId="64B482AC" w14:textId="5EEFF6D6" w:rsidR="00226F7B" w:rsidRDefault="00226F7B" w:rsidP="00226F7B">
      <w:pPr>
        <w:pStyle w:val="Order3"/>
      </w:pPr>
      <w:r>
        <w:t>on pages 303 and 305 [CB 410 and 412], the monetary amount following the passage "2. CA has allocated a budget of over … ";</w:t>
      </w:r>
    </w:p>
    <w:p w14:paraId="7C05DD04" w14:textId="77777777" w:rsidR="00226F7B" w:rsidRDefault="00226F7B" w:rsidP="00226F7B">
      <w:pPr>
        <w:pStyle w:val="Order2"/>
      </w:pPr>
      <w:r>
        <w:t xml:space="preserve">in the affidavit of Stephanie Helen </w:t>
      </w:r>
      <w:proofErr w:type="spellStart"/>
      <w:r>
        <w:t>Beltrame</w:t>
      </w:r>
      <w:proofErr w:type="spellEnd"/>
      <w:r>
        <w:t xml:space="preserve"> </w:t>
      </w:r>
      <w:proofErr w:type="spellStart"/>
      <w:r>
        <w:t>Sturrock</w:t>
      </w:r>
      <w:proofErr w:type="spellEnd"/>
      <w:r>
        <w:t xml:space="preserve"> affirmed on 16 February 2021 (the </w:t>
      </w:r>
      <w:r>
        <w:rPr>
          <w:b/>
        </w:rPr>
        <w:t xml:space="preserve">First </w:t>
      </w:r>
      <w:proofErr w:type="spellStart"/>
      <w:r w:rsidRPr="00226F7B">
        <w:rPr>
          <w:b/>
        </w:rPr>
        <w:t>Beltrame</w:t>
      </w:r>
      <w:proofErr w:type="spellEnd"/>
      <w:r w:rsidRPr="00226F7B">
        <w:rPr>
          <w:b/>
        </w:rPr>
        <w:t xml:space="preserve"> Affidavit</w:t>
      </w:r>
      <w:r>
        <w:t>):</w:t>
      </w:r>
    </w:p>
    <w:p w14:paraId="07FCEF2C" w14:textId="36DD520D" w:rsidR="00226F7B" w:rsidRDefault="00226F7B" w:rsidP="00226F7B">
      <w:pPr>
        <w:pStyle w:val="Order3"/>
      </w:pPr>
      <w:r>
        <w:t>on page 8 [CB 628], the paragraphs 20 and 21;</w:t>
      </w:r>
    </w:p>
    <w:p w14:paraId="0D702342" w14:textId="63A17C2F" w:rsidR="00226F7B" w:rsidRDefault="00226F7B" w:rsidP="00226F7B">
      <w:pPr>
        <w:pStyle w:val="Order3"/>
      </w:pPr>
      <w:r>
        <w:t>on page 8 [CB 628], the paragraph numbered 22;</w:t>
      </w:r>
    </w:p>
    <w:p w14:paraId="22055E44" w14:textId="45261182" w:rsidR="00226F7B" w:rsidRDefault="00226F7B" w:rsidP="00226F7B">
      <w:pPr>
        <w:pStyle w:val="Order3"/>
      </w:pPr>
      <w:r>
        <w:t>on pages 11 to 12 [CB 631-632], the paragraph numbered 35;</w:t>
      </w:r>
    </w:p>
    <w:p w14:paraId="42FE0E86" w14:textId="607A7A6C" w:rsidR="00226F7B" w:rsidRDefault="00226F7B" w:rsidP="00226F7B">
      <w:pPr>
        <w:pStyle w:val="Order3"/>
      </w:pPr>
      <w:r>
        <w:t>in paragraph 56, the comments on page 18 [CB 638] attributed to Mr Warburton;</w:t>
      </w:r>
    </w:p>
    <w:p w14:paraId="278010E2" w14:textId="55B7650A" w:rsidR="00226F7B" w:rsidRDefault="00226F7B" w:rsidP="00226F7B">
      <w:pPr>
        <w:pStyle w:val="Order3"/>
      </w:pPr>
      <w:r>
        <w:t>the Confidential Schedule [CB 646-647];</w:t>
      </w:r>
    </w:p>
    <w:p w14:paraId="77147EA5" w14:textId="2812E46E" w:rsidR="00226F7B" w:rsidRDefault="00226F7B" w:rsidP="00226F7B">
      <w:pPr>
        <w:pStyle w:val="Order2"/>
      </w:pPr>
      <w:r>
        <w:t>in Annexure SBS-1 to the</w:t>
      </w:r>
      <w:r w:rsidR="00FE16D9">
        <w:t xml:space="preserve"> First</w:t>
      </w:r>
      <w:r>
        <w:t xml:space="preserve"> </w:t>
      </w:r>
      <w:proofErr w:type="spellStart"/>
      <w:r>
        <w:t>Beltrame</w:t>
      </w:r>
      <w:proofErr w:type="spellEnd"/>
      <w:r>
        <w:t xml:space="preserve"> Affidavit:</w:t>
      </w:r>
    </w:p>
    <w:p w14:paraId="684B8A42" w14:textId="77AC085F" w:rsidR="00226F7B" w:rsidRDefault="00226F7B" w:rsidP="00226F7B">
      <w:pPr>
        <w:pStyle w:val="Order3"/>
      </w:pPr>
      <w:r>
        <w:t>pages 072 to 075 [CB 720-723];</w:t>
      </w:r>
    </w:p>
    <w:p w14:paraId="3503EBCE" w14:textId="1DCA1941" w:rsidR="00226F7B" w:rsidRDefault="00226F7B" w:rsidP="00226F7B">
      <w:pPr>
        <w:pStyle w:val="Order3"/>
      </w:pPr>
      <w:r>
        <w:t>on page 107 [CB 755], the paragraphs under the heading "Relevant contractual obligations";</w:t>
      </w:r>
    </w:p>
    <w:p w14:paraId="727A11E7" w14:textId="6D378616" w:rsidR="00226F7B" w:rsidRDefault="00226F7B" w:rsidP="00226F7B">
      <w:pPr>
        <w:pStyle w:val="Order3"/>
      </w:pPr>
      <w:r>
        <w:t>on pages 113 to 114 [CB 761-762], the paragraphs under the heading "Relevant contractual obligations";</w:t>
      </w:r>
    </w:p>
    <w:p w14:paraId="500DC37A" w14:textId="061FF208" w:rsidR="00226F7B" w:rsidRDefault="00226F7B" w:rsidP="00226F7B">
      <w:pPr>
        <w:pStyle w:val="Order3"/>
      </w:pPr>
      <w:r>
        <w:t>on page 125 [CB 773], the paragraph beginning with "To that end …";</w:t>
      </w:r>
    </w:p>
    <w:p w14:paraId="3B110333" w14:textId="1294D016" w:rsidR="00226F7B" w:rsidRDefault="00226F7B" w:rsidP="00226F7B">
      <w:pPr>
        <w:pStyle w:val="Order3"/>
      </w:pPr>
      <w:r>
        <w:t>on page 127 [CB 775], the paragraph beginning with "To that end …";</w:t>
      </w:r>
    </w:p>
    <w:p w14:paraId="16B49A3D" w14:textId="71FF91CA" w:rsidR="00226F7B" w:rsidRDefault="00226F7B" w:rsidP="00226F7B">
      <w:pPr>
        <w:pStyle w:val="Order3"/>
      </w:pPr>
      <w:r>
        <w:t>on page 129 [CB 777], the sentence beginning with "To that end …";</w:t>
      </w:r>
    </w:p>
    <w:p w14:paraId="298DE06A" w14:textId="7488DC41" w:rsidR="00226F7B" w:rsidRDefault="00226F7B" w:rsidP="00226F7B">
      <w:pPr>
        <w:pStyle w:val="Order3"/>
      </w:pPr>
      <w:r>
        <w:t>pages 136 to 139 [CB 784-787];</w:t>
      </w:r>
    </w:p>
    <w:p w14:paraId="42E71C92" w14:textId="41769CC7" w:rsidR="00226F7B" w:rsidRDefault="00226F7B" w:rsidP="00226F7B">
      <w:pPr>
        <w:pStyle w:val="Order3"/>
      </w:pPr>
      <w:r>
        <w:t>on page 145 [CB 793], the paragraph beginning "As you know …";</w:t>
      </w:r>
    </w:p>
    <w:p w14:paraId="373FF39E" w14:textId="7E695F2C" w:rsidR="00226F7B" w:rsidRDefault="00226F7B" w:rsidP="00226F7B">
      <w:pPr>
        <w:pStyle w:val="Order3"/>
      </w:pPr>
      <w:r>
        <w:t>on pages 147 to 148 [CB 795-796], the paragraph beginning "change the proposed quarantine … ";</w:t>
      </w:r>
    </w:p>
    <w:p w14:paraId="2B71C16D" w14:textId="2B7515DE" w:rsidR="00226F7B" w:rsidRDefault="00226F7B" w:rsidP="00226F7B">
      <w:pPr>
        <w:pStyle w:val="Order3"/>
      </w:pPr>
      <w:r>
        <w:t>on page 148 [CB 796], the paragraph beginning "The reasons why …";</w:t>
      </w:r>
    </w:p>
    <w:p w14:paraId="461641F2" w14:textId="45D4BB4B" w:rsidR="00226F7B" w:rsidRDefault="00226F7B" w:rsidP="00226F7B">
      <w:pPr>
        <w:pStyle w:val="Order3"/>
      </w:pPr>
      <w:r>
        <w:t>page 150 [CB 798];</w:t>
      </w:r>
    </w:p>
    <w:p w14:paraId="5EECC877" w14:textId="0D21F754" w:rsidR="00226F7B" w:rsidRDefault="00226F7B" w:rsidP="00226F7B">
      <w:pPr>
        <w:pStyle w:val="Order3"/>
      </w:pPr>
      <w:r>
        <w:lastRenderedPageBreak/>
        <w:t>on pages 151 to 153 [CB 799-801], the paragraphs under the heading "Damages/Rights Fee reduction pursuant to clauses 6.3(b)(ii) and 6.3(d)(ii)";</w:t>
      </w:r>
    </w:p>
    <w:p w14:paraId="3CD3581E" w14:textId="6B1A0524" w:rsidR="00226F7B" w:rsidRDefault="00226F7B" w:rsidP="00226F7B">
      <w:pPr>
        <w:pStyle w:val="Order3"/>
      </w:pPr>
      <w:r>
        <w:t>pages 155 to 157 [CB 803-805];</w:t>
      </w:r>
    </w:p>
    <w:p w14:paraId="12E85D67" w14:textId="604415AF" w:rsidR="00226F7B" w:rsidRDefault="00226F7B" w:rsidP="00226F7B">
      <w:pPr>
        <w:pStyle w:val="Order3"/>
      </w:pPr>
      <w:r>
        <w:t>pages 158 to 159 [CB 806-807];</w:t>
      </w:r>
    </w:p>
    <w:p w14:paraId="7753FE79" w14:textId="2F00D216" w:rsidR="00226F7B" w:rsidRDefault="00226F7B" w:rsidP="00226F7B">
      <w:pPr>
        <w:pStyle w:val="Order3"/>
      </w:pPr>
      <w:r>
        <w:t>pages 162 to 163 [CB 810-811];</w:t>
      </w:r>
    </w:p>
    <w:p w14:paraId="6C5661CA" w14:textId="4D8864F7" w:rsidR="00226F7B" w:rsidRDefault="00226F7B" w:rsidP="00226F7B">
      <w:pPr>
        <w:pStyle w:val="Order3"/>
      </w:pPr>
      <w:r>
        <w:t>on pages 164 to 165 [CB 812-813], the paragraphs under the heading "23 September Notice";</w:t>
      </w:r>
    </w:p>
    <w:p w14:paraId="48F269B5" w14:textId="049642CF" w:rsidR="00226F7B" w:rsidRDefault="00226F7B" w:rsidP="00226F7B">
      <w:pPr>
        <w:pStyle w:val="Order3"/>
      </w:pPr>
      <w:r>
        <w:t>page 167 [CB 815];</w:t>
      </w:r>
    </w:p>
    <w:p w14:paraId="16CE312E" w14:textId="138DA1F8" w:rsidR="00226F7B" w:rsidRDefault="00226F7B" w:rsidP="00226F7B">
      <w:pPr>
        <w:pStyle w:val="Order3"/>
      </w:pPr>
      <w:r>
        <w:t>page 174 [CB 822];</w:t>
      </w:r>
    </w:p>
    <w:p w14:paraId="7F415ED0" w14:textId="3B8B655C" w:rsidR="00226F7B" w:rsidRDefault="00226F7B" w:rsidP="00226F7B">
      <w:pPr>
        <w:pStyle w:val="Order3"/>
      </w:pPr>
      <w:r>
        <w:t>on pages 194 to 195 [CB 842-843], the paragraph numbered 1.2 including its subparagraphs;</w:t>
      </w:r>
    </w:p>
    <w:p w14:paraId="09DF5F1B" w14:textId="6DBC5216" w:rsidR="00226F7B" w:rsidRDefault="00226F7B" w:rsidP="00226F7B">
      <w:pPr>
        <w:pStyle w:val="Order3"/>
      </w:pPr>
      <w:r>
        <w:t>on pages 201 to 202 [CB 849-850], the paragraph numbered 6;</w:t>
      </w:r>
    </w:p>
    <w:p w14:paraId="595046EE" w14:textId="6CA603C2" w:rsidR="00226F7B" w:rsidRDefault="00226F7B" w:rsidP="00226F7B">
      <w:pPr>
        <w:pStyle w:val="Order3"/>
      </w:pPr>
      <w:r>
        <w:t>on pages 203 to 204 [CB 851-852], the paragraph numbered 9;</w:t>
      </w:r>
    </w:p>
    <w:p w14:paraId="77BDF42C" w14:textId="37EB2DBA" w:rsidR="00226F7B" w:rsidRDefault="00226F7B" w:rsidP="00226F7B">
      <w:pPr>
        <w:pStyle w:val="Order3"/>
      </w:pPr>
      <w:r>
        <w:t>on page 206 [CB 854], that sub-paragraph of the paragraph numbered 16(B) beginning “each of those” and ending with “in issuing them”;</w:t>
      </w:r>
    </w:p>
    <w:p w14:paraId="4D4D2269" w14:textId="544602F9" w:rsidR="00226F7B" w:rsidRDefault="00226F7B" w:rsidP="00226F7B">
      <w:pPr>
        <w:pStyle w:val="Order3"/>
      </w:pPr>
      <w:r>
        <w:t>pages 215 to 216 [CB 863-864];</w:t>
      </w:r>
    </w:p>
    <w:p w14:paraId="232DFBAD" w14:textId="1CECF276" w:rsidR="00226F7B" w:rsidRDefault="00226F7B" w:rsidP="00226F7B">
      <w:pPr>
        <w:pStyle w:val="Order3"/>
      </w:pPr>
      <w:r>
        <w:t>on page 218 [CB 866], the first paragraph;</w:t>
      </w:r>
    </w:p>
    <w:p w14:paraId="361CD40B" w14:textId="491E50D7" w:rsidR="00226F7B" w:rsidRDefault="00226F7B" w:rsidP="00226F7B">
      <w:pPr>
        <w:pStyle w:val="Order3"/>
      </w:pPr>
      <w:r>
        <w:t>on pages 220 to 221 [CB 868-869], the paragraphs under the heading "Determining breach before the end of the 2020/2021 season";</w:t>
      </w:r>
    </w:p>
    <w:p w14:paraId="0AFF8CAE" w14:textId="77777777" w:rsidR="00226F7B" w:rsidRDefault="00226F7B" w:rsidP="00226F7B">
      <w:pPr>
        <w:pStyle w:val="Order2"/>
      </w:pPr>
      <w:r>
        <w:t xml:space="preserve">in the affidavit of </w:t>
      </w:r>
      <w:proofErr w:type="spellStart"/>
      <w:r>
        <w:t>Christien</w:t>
      </w:r>
      <w:proofErr w:type="spellEnd"/>
      <w:r>
        <w:t xml:space="preserve"> William Corns sworn 15 December 2020 (including the Confidential Schedule filed on 15 December 2020) (the </w:t>
      </w:r>
      <w:r>
        <w:rPr>
          <w:b/>
        </w:rPr>
        <w:t>First Corns Affidavit</w:t>
      </w:r>
      <w:r>
        <w:t>):</w:t>
      </w:r>
    </w:p>
    <w:p w14:paraId="08C4AB28" w14:textId="2B1015E2" w:rsidR="00226F7B" w:rsidRDefault="00226F7B" w:rsidP="00226F7B">
      <w:pPr>
        <w:pStyle w:val="Order3"/>
      </w:pPr>
      <w:r>
        <w:t>on pages 021 to 022 [CB 596-597], the paragraph numbered 1.2 including its subparagraphs;</w:t>
      </w:r>
    </w:p>
    <w:p w14:paraId="7BE6DCFE" w14:textId="23244769" w:rsidR="00226F7B" w:rsidRDefault="00226F7B" w:rsidP="00226F7B">
      <w:pPr>
        <w:pStyle w:val="Order3"/>
      </w:pPr>
      <w:r>
        <w:t>on pages 029 to 030 [CB 604-605], the paragraph numbered 6;</w:t>
      </w:r>
    </w:p>
    <w:p w14:paraId="62B8F6B4" w14:textId="41D4457C" w:rsidR="00226F7B" w:rsidRDefault="00226F7B" w:rsidP="00226F7B">
      <w:pPr>
        <w:pStyle w:val="Order3"/>
      </w:pPr>
      <w:r>
        <w:t>on pages 031 to 032 [CB 606-607], the paragraph numbered 9;</w:t>
      </w:r>
    </w:p>
    <w:p w14:paraId="6CDD5019" w14:textId="077A84AF" w:rsidR="00226F7B" w:rsidRDefault="00226F7B" w:rsidP="00226F7B">
      <w:pPr>
        <w:pStyle w:val="Order3"/>
      </w:pPr>
      <w:r>
        <w:t>on page 034 [CB 609], the paragraph beginning that sub-paragraph of the paragraph numbered 16(B) beginning “each of those” and ending with “in issuing them”;</w:t>
      </w:r>
    </w:p>
    <w:p w14:paraId="0156C0D4" w14:textId="0240F0DD" w:rsidR="00226F7B" w:rsidRDefault="00226F7B" w:rsidP="00226F7B">
      <w:pPr>
        <w:pStyle w:val="Order3"/>
      </w:pPr>
      <w:r>
        <w:t>the Confidential Schedule [CB 619-620];</w:t>
      </w:r>
    </w:p>
    <w:p w14:paraId="3824EB29" w14:textId="2059C1AA" w:rsidR="00226F7B" w:rsidRDefault="00226F7B" w:rsidP="00226F7B">
      <w:pPr>
        <w:pStyle w:val="Order2"/>
      </w:pPr>
      <w:r>
        <w:lastRenderedPageBreak/>
        <w:t xml:space="preserve">in the affidavit of Stephanie Helen </w:t>
      </w:r>
      <w:proofErr w:type="spellStart"/>
      <w:r>
        <w:t>Beltrame</w:t>
      </w:r>
      <w:proofErr w:type="spellEnd"/>
      <w:r>
        <w:t xml:space="preserve"> </w:t>
      </w:r>
      <w:proofErr w:type="spellStart"/>
      <w:r>
        <w:t>Sturrock</w:t>
      </w:r>
      <w:proofErr w:type="spellEnd"/>
      <w:r>
        <w:t xml:space="preserve"> affirmed on 12 March 2021 (the </w:t>
      </w:r>
      <w:r w:rsidRPr="00226F7B">
        <w:rPr>
          <w:b/>
        </w:rPr>
        <w:t xml:space="preserve">Second </w:t>
      </w:r>
      <w:proofErr w:type="spellStart"/>
      <w:r w:rsidRPr="00226F7B">
        <w:rPr>
          <w:b/>
        </w:rPr>
        <w:t>Beltrame</w:t>
      </w:r>
      <w:proofErr w:type="spellEnd"/>
      <w:r w:rsidRPr="00226F7B">
        <w:rPr>
          <w:b/>
        </w:rPr>
        <w:t xml:space="preserve"> Affidavit</w:t>
      </w:r>
      <w:r>
        <w:t>), the Confidential Schedule;</w:t>
      </w:r>
    </w:p>
    <w:p w14:paraId="7B5E61ED" w14:textId="2E674D88" w:rsidR="00226F7B" w:rsidRDefault="00226F7B" w:rsidP="00226F7B">
      <w:pPr>
        <w:pStyle w:val="Order2"/>
      </w:pPr>
      <w:r>
        <w:t xml:space="preserve">Annexure SBS-2 to the Second </w:t>
      </w:r>
      <w:proofErr w:type="spellStart"/>
      <w:r>
        <w:t>Beltrame</w:t>
      </w:r>
      <w:proofErr w:type="spellEnd"/>
      <w:r>
        <w:t xml:space="preserve"> Affidavit; and</w:t>
      </w:r>
    </w:p>
    <w:p w14:paraId="6EDFBFB9" w14:textId="03CEDEEC" w:rsidR="001A6C52" w:rsidRDefault="00226F7B" w:rsidP="00226F7B">
      <w:pPr>
        <w:pStyle w:val="Order2"/>
      </w:pPr>
      <w:r>
        <w:t>in the Court Book, the materials referred to in paragraphs 1(a) to</w:t>
      </w:r>
      <w:r w:rsidR="00FE16D9">
        <w:t xml:space="preserve"> </w:t>
      </w:r>
      <w:r>
        <w:t>1(</w:t>
      </w:r>
      <w:r w:rsidR="00EE157A">
        <w:t>g</w:t>
      </w:r>
      <w:r>
        <w:t>) above as they appear in the Court Book.</w:t>
      </w:r>
    </w:p>
    <w:p w14:paraId="18CB1B83" w14:textId="77777777" w:rsidR="001A6C52" w:rsidRDefault="001A6C52" w:rsidP="001A6C52">
      <w:pPr>
        <w:pStyle w:val="BodyText"/>
      </w:pPr>
    </w:p>
    <w:p w14:paraId="42EB3B71" w14:textId="77777777" w:rsidR="00A431E6" w:rsidRDefault="00A431E6" w:rsidP="001A6C52">
      <w:pPr>
        <w:pStyle w:val="BodyText"/>
      </w:pPr>
    </w:p>
    <w:p w14:paraId="5554497F" w14:textId="54A1D0F1" w:rsidR="0050309C" w:rsidRDefault="003D3BC3" w:rsidP="004D53E5">
      <w:pPr>
        <w:pStyle w:val="SingleSpace"/>
      </w:pPr>
      <w:bookmarkStart w:id="20" w:name="OrdersStatement"/>
      <w:r>
        <w:t>Note:</w:t>
      </w:r>
      <w:r>
        <w:tab/>
        <w:t xml:space="preserve">Entry of orders is dealt with in Rule 39.32 of the </w:t>
      </w:r>
      <w:r>
        <w:rPr>
          <w:i/>
        </w:rPr>
        <w:t>Federal Court Rules 2011</w:t>
      </w:r>
      <w:r>
        <w:t>.</w:t>
      </w:r>
      <w:bookmarkEnd w:id="20"/>
    </w:p>
    <w:p w14:paraId="1D94791C" w14:textId="77777777" w:rsidR="009D328D" w:rsidRDefault="009D328D" w:rsidP="002B0E91">
      <w:pPr>
        <w:pStyle w:val="BodyText"/>
      </w:pPr>
    </w:p>
    <w:p w14:paraId="63F6F732" w14:textId="77777777" w:rsidR="00395B24" w:rsidRDefault="00395B24">
      <w:pPr>
        <w:pStyle w:val="NormalHeadings"/>
        <w:spacing w:before="240" w:after="120"/>
        <w:rPr>
          <w:b w:val="0"/>
        </w:rPr>
        <w:sectPr w:rsidR="00395B24" w:rsidSect="0092590B">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fmt="lowerRoman" w:start="1"/>
          <w:cols w:space="720"/>
          <w:noEndnote/>
          <w:titlePg/>
        </w:sectPr>
      </w:pPr>
    </w:p>
    <w:p w14:paraId="147612B5"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10B85F8E" w14:textId="77777777" w:rsidR="00694BEB" w:rsidRDefault="002938D8" w:rsidP="005E0510">
      <w:pPr>
        <w:pStyle w:val="NormalHeadings"/>
        <w:spacing w:line="360" w:lineRule="auto"/>
        <w:jc w:val="left"/>
        <w:rPr>
          <w:sz w:val="26"/>
          <w:szCs w:val="26"/>
        </w:rPr>
      </w:pPr>
      <w:r>
        <w:rPr>
          <w:sz w:val="26"/>
          <w:szCs w:val="26"/>
        </w:rPr>
        <w:t>ANASTASSIOU J:</w:t>
      </w:r>
    </w:p>
    <w:p w14:paraId="0C368E1A" w14:textId="77777777" w:rsidR="00890C04" w:rsidRDefault="00890C04" w:rsidP="00890C04">
      <w:pPr>
        <w:pStyle w:val="Heading1"/>
      </w:pPr>
      <w:r>
        <w:t>Introduction</w:t>
      </w:r>
    </w:p>
    <w:p w14:paraId="23F621D0" w14:textId="456C8F81" w:rsidR="00890C04" w:rsidRPr="00362767" w:rsidRDefault="00890C04" w:rsidP="00890C04">
      <w:pPr>
        <w:pStyle w:val="ParaNumbering"/>
      </w:pPr>
      <w:r w:rsidRPr="00362767">
        <w:t xml:space="preserve">These reasons are to be read alongside the background matters </w:t>
      </w:r>
      <w:r w:rsidR="007E0A6D" w:rsidRPr="00362767">
        <w:t>set out</w:t>
      </w:r>
      <w:r w:rsidRPr="00362767">
        <w:t xml:space="preserve"> in </w:t>
      </w:r>
      <w:r w:rsidRPr="00362767">
        <w:rPr>
          <w:i/>
        </w:rPr>
        <w:t>Seven Network v Cricket Australia</w:t>
      </w:r>
      <w:r w:rsidRPr="00362767">
        <w:t xml:space="preserve"> [2021] FCA </w:t>
      </w:r>
      <w:r w:rsidR="003D3BC3">
        <w:t>1031</w:t>
      </w:r>
      <w:r w:rsidRPr="00362767">
        <w:t xml:space="preserve"> at [</w:t>
      </w:r>
      <w:r w:rsidR="003D3BC3">
        <w:t>1</w:t>
      </w:r>
      <w:r w:rsidRPr="00362767">
        <w:t>]-[</w:t>
      </w:r>
      <w:r w:rsidR="003D3BC3">
        <w:t>35</w:t>
      </w:r>
      <w:r w:rsidRPr="00362767">
        <w:t>]</w:t>
      </w:r>
      <w:r w:rsidR="00422BE4" w:rsidRPr="00362767">
        <w:t xml:space="preserve"> (the </w:t>
      </w:r>
      <w:r w:rsidR="00422BE4" w:rsidRPr="00362767">
        <w:rPr>
          <w:b/>
        </w:rPr>
        <w:t>Preliminary Discovery Reasons</w:t>
      </w:r>
      <w:r w:rsidR="00422BE4" w:rsidRPr="00362767">
        <w:t>)</w:t>
      </w:r>
      <w:r w:rsidRPr="00362767">
        <w:t>.</w:t>
      </w:r>
      <w:r w:rsidR="006373DC" w:rsidRPr="00362767">
        <w:t xml:space="preserve"> </w:t>
      </w:r>
      <w:r w:rsidR="00274086">
        <w:t xml:space="preserve"> </w:t>
      </w:r>
      <w:r w:rsidR="00422BE4" w:rsidRPr="00362767">
        <w:t xml:space="preserve">For convenience, I adopt the abbreviations and definitions in the Preliminary Discovery Reasons in these reasons. </w:t>
      </w:r>
    </w:p>
    <w:p w14:paraId="347BDC0A" w14:textId="1CA71FAA" w:rsidR="00651B44" w:rsidRPr="00362767" w:rsidRDefault="007E43C0" w:rsidP="007E43C0">
      <w:pPr>
        <w:pStyle w:val="ParaNumbering"/>
      </w:pPr>
      <w:r w:rsidRPr="00362767">
        <w:t xml:space="preserve">By a request dated 16 March 2021, </w:t>
      </w:r>
      <w:r w:rsidR="00651B44" w:rsidRPr="00362767">
        <w:t xml:space="preserve">a journalist from </w:t>
      </w:r>
      <w:r w:rsidR="002532BF">
        <w:t>T</w:t>
      </w:r>
      <w:r w:rsidRPr="00362767">
        <w:t xml:space="preserve">he Australian newspaper requested access to various restricted documents on the Court file in this proceeding (the </w:t>
      </w:r>
      <w:r w:rsidRPr="00362767">
        <w:rPr>
          <w:b/>
        </w:rPr>
        <w:t>Request</w:t>
      </w:r>
      <w:r w:rsidRPr="00362767">
        <w:t>).</w:t>
      </w:r>
      <w:r w:rsidR="006373DC" w:rsidRPr="00362767">
        <w:t xml:space="preserve"> </w:t>
      </w:r>
      <w:r w:rsidR="00274086">
        <w:t xml:space="preserve"> </w:t>
      </w:r>
      <w:r w:rsidRPr="00362767">
        <w:t xml:space="preserve">The Request is </w:t>
      </w:r>
      <w:r w:rsidR="00651B44" w:rsidRPr="00362767">
        <w:t xml:space="preserve">a ‘non-party search request’ </w:t>
      </w:r>
      <w:r w:rsidRPr="00362767">
        <w:t xml:space="preserve">made </w:t>
      </w:r>
      <w:r w:rsidR="00651B44" w:rsidRPr="00362767">
        <w:t xml:space="preserve">pursuant to r 2.32(4) of </w:t>
      </w:r>
      <w:r w:rsidR="00651B44" w:rsidRPr="00362767">
        <w:rPr>
          <w:i/>
        </w:rPr>
        <w:t xml:space="preserve">Federal Court </w:t>
      </w:r>
      <w:r w:rsidR="00651B44" w:rsidRPr="00362767">
        <w:rPr>
          <w:b/>
          <w:i/>
        </w:rPr>
        <w:t>Rules</w:t>
      </w:r>
      <w:r w:rsidR="00651B44" w:rsidRPr="00362767">
        <w:rPr>
          <w:i/>
        </w:rPr>
        <w:t xml:space="preserve"> 2011 </w:t>
      </w:r>
      <w:r w:rsidR="00651B44" w:rsidRPr="00362767">
        <w:t>(</w:t>
      </w:r>
      <w:proofErr w:type="spellStart"/>
      <w:r w:rsidR="00651B44" w:rsidRPr="00362767">
        <w:t>Cth</w:t>
      </w:r>
      <w:proofErr w:type="spellEnd"/>
      <w:r w:rsidR="00651B44" w:rsidRPr="00362767">
        <w:t xml:space="preserve">) </w:t>
      </w:r>
      <w:r w:rsidR="00422BE4" w:rsidRPr="00362767">
        <w:t xml:space="preserve">to </w:t>
      </w:r>
      <w:r w:rsidR="00651B44" w:rsidRPr="00362767">
        <w:t>“</w:t>
      </w:r>
      <w:r w:rsidR="00422BE4" w:rsidRPr="00362767">
        <w:t xml:space="preserve">assist </w:t>
      </w:r>
      <w:r w:rsidRPr="00362767">
        <w:t>in the fair and accurate reporting of matters of journalistic interest</w:t>
      </w:r>
      <w:r w:rsidR="00651B44" w:rsidRPr="00362767">
        <w:t>”</w:t>
      </w:r>
      <w:r w:rsidR="009649F6">
        <w:t>.</w:t>
      </w:r>
    </w:p>
    <w:p w14:paraId="0EB53D4F" w14:textId="2EFB3A21" w:rsidR="007E43C0" w:rsidRDefault="005A07B0" w:rsidP="007E43C0">
      <w:pPr>
        <w:pStyle w:val="ParaNumbering"/>
      </w:pPr>
      <w:r>
        <w:t xml:space="preserve">It is likely that other </w:t>
      </w:r>
      <w:r w:rsidR="004E024D">
        <w:t>persons, including other media organisations</w:t>
      </w:r>
      <w:r w:rsidR="00430188">
        <w:t>,</w:t>
      </w:r>
      <w:r w:rsidR="004E024D">
        <w:t xml:space="preserve"> will be interested in </w:t>
      </w:r>
      <w:r w:rsidR="006E1A71">
        <w:t>like material</w:t>
      </w:r>
      <w:r w:rsidR="00430188">
        <w:t>s</w:t>
      </w:r>
      <w:r w:rsidR="006E1A71">
        <w:t xml:space="preserve">. </w:t>
      </w:r>
      <w:r w:rsidR="002434C8">
        <w:t xml:space="preserve"> I invited the parties to make submissions in relation to the Request, </w:t>
      </w:r>
      <w:r w:rsidR="000B7C03">
        <w:t xml:space="preserve">given that the requested documents contain commercially sensitive information.  </w:t>
      </w:r>
    </w:p>
    <w:p w14:paraId="59FDB2B9" w14:textId="7BEB97DC" w:rsidR="002434C8" w:rsidRPr="00362767" w:rsidRDefault="002434C8" w:rsidP="002434C8">
      <w:pPr>
        <w:pStyle w:val="ParaNumbering"/>
      </w:pPr>
      <w:r w:rsidRPr="00362767">
        <w:t>Briefly stated, Seven’s position is that any interested non-party should be granted leave to inspect the</w:t>
      </w:r>
      <w:r w:rsidR="003A1102" w:rsidRPr="00362767">
        <w:t xml:space="preserve"> restricted</w:t>
      </w:r>
      <w:r w:rsidR="00430188" w:rsidRPr="00362767">
        <w:t xml:space="preserve"> </w:t>
      </w:r>
      <w:r w:rsidRPr="00362767">
        <w:t>documents, except any documents covered by a suppression order, in accordance with the overarching public interest in open justice</w:t>
      </w:r>
      <w:r w:rsidR="009649F6">
        <w:t>.</w:t>
      </w:r>
    </w:p>
    <w:p w14:paraId="74BE57CB" w14:textId="77777777" w:rsidR="002434C8" w:rsidRDefault="002434C8" w:rsidP="007E43C0">
      <w:pPr>
        <w:pStyle w:val="ParaNumbering"/>
      </w:pPr>
      <w:r>
        <w:t>Conversely, Cricket Australia opposes leave being granted to inspect the restricted documents in the Request unless appropriate redactions are made to suppress:</w:t>
      </w:r>
    </w:p>
    <w:p w14:paraId="453AF8DD" w14:textId="77777777" w:rsidR="00050966" w:rsidRDefault="00890C04" w:rsidP="00890C04">
      <w:pPr>
        <w:pStyle w:val="ListNo1"/>
      </w:pPr>
      <w:r>
        <w:t>the terms</w:t>
      </w:r>
      <w:r w:rsidR="00422BE4">
        <w:t xml:space="preserve"> of the </w:t>
      </w:r>
      <w:r w:rsidR="00422BE4" w:rsidRPr="00422BE4">
        <w:t>MRA</w:t>
      </w:r>
      <w:r w:rsidR="00422BE4">
        <w:t xml:space="preserve"> between Seven and Cricket Australia</w:t>
      </w:r>
      <w:r>
        <w:t xml:space="preserve">; </w:t>
      </w:r>
    </w:p>
    <w:p w14:paraId="026A0257" w14:textId="77777777" w:rsidR="00890C04" w:rsidRDefault="00890C04" w:rsidP="00890C04">
      <w:pPr>
        <w:pStyle w:val="ListNo1"/>
      </w:pPr>
      <w:r>
        <w:t>the Expert Determination</w:t>
      </w:r>
      <w:r w:rsidR="00422BE4">
        <w:t xml:space="preserve"> conducted pursuant to the MRA</w:t>
      </w:r>
      <w:r>
        <w:t xml:space="preserve">; </w:t>
      </w:r>
    </w:p>
    <w:p w14:paraId="37E88518" w14:textId="77777777" w:rsidR="00890C04" w:rsidRDefault="00890C04" w:rsidP="00890C04">
      <w:pPr>
        <w:pStyle w:val="ListNo1"/>
      </w:pPr>
      <w:r>
        <w:t xml:space="preserve">draft schedules prepared </w:t>
      </w:r>
      <w:r w:rsidR="00422BE4">
        <w:t xml:space="preserve">by Cricket Australia </w:t>
      </w:r>
      <w:r>
        <w:t xml:space="preserve">for the </w:t>
      </w:r>
      <w:r w:rsidR="00422BE4">
        <w:t xml:space="preserve">conduct of the </w:t>
      </w:r>
      <w:r>
        <w:t>2020-21 cricket season; and</w:t>
      </w:r>
    </w:p>
    <w:p w14:paraId="6E46BA1E" w14:textId="5DBC0BE5" w:rsidR="00890C04" w:rsidRDefault="00890C04" w:rsidP="00890C04">
      <w:pPr>
        <w:pStyle w:val="ListNo1"/>
      </w:pPr>
      <w:r>
        <w:t>other commercially sensitive information, disclosure of which may prejudice Cricket Australia in future dealings</w:t>
      </w:r>
      <w:r w:rsidR="009649F6">
        <w:t>.</w:t>
      </w:r>
      <w:r>
        <w:t xml:space="preserve"> </w:t>
      </w:r>
    </w:p>
    <w:p w14:paraId="2A5EFDEC" w14:textId="1728B25B" w:rsidR="008A19FF" w:rsidRPr="00A864A9" w:rsidRDefault="008A19FF" w:rsidP="0051434F">
      <w:pPr>
        <w:pStyle w:val="ParaNumbering"/>
      </w:pPr>
      <w:r w:rsidRPr="00A864A9">
        <w:t xml:space="preserve">For the reasons that follow, I shall grant leave pursuant to r 2.32(4) </w:t>
      </w:r>
      <w:r w:rsidR="009649F6">
        <w:t xml:space="preserve">of the Rules </w:t>
      </w:r>
      <w:r w:rsidRPr="00A864A9">
        <w:t xml:space="preserve">for non-parties to inspect the relevant documents, subject to </w:t>
      </w:r>
      <w:r w:rsidR="00A864A9" w:rsidRPr="00A864A9">
        <w:t>certain documents being redacted or marked confidential, as the case may be</w:t>
      </w:r>
      <w:r w:rsidRPr="00A864A9">
        <w:t xml:space="preserve">. </w:t>
      </w:r>
      <w:r w:rsidR="00274086">
        <w:t xml:space="preserve"> </w:t>
      </w:r>
      <w:r w:rsidRPr="00A864A9">
        <w:t>Those redactions</w:t>
      </w:r>
      <w:r w:rsidR="00A864A9" w:rsidRPr="00A864A9">
        <w:t xml:space="preserve"> and confidentiality orders</w:t>
      </w:r>
      <w:r w:rsidRPr="00A864A9">
        <w:t xml:space="preserve"> are substantially, but not entirely, in the form</w:t>
      </w:r>
      <w:r w:rsidR="000B7658" w:rsidRPr="00A864A9">
        <w:t xml:space="preserve"> proposed by Cricket Australia</w:t>
      </w:r>
      <w:r w:rsidR="002434C8" w:rsidRPr="00A864A9">
        <w:t xml:space="preserve"> and subject to one matter of </w:t>
      </w:r>
      <w:r w:rsidR="002434C8" w:rsidRPr="00A864A9">
        <w:lastRenderedPageBreak/>
        <w:t>principle</w:t>
      </w:r>
      <w:r w:rsidR="00A864A9" w:rsidRPr="00A864A9">
        <w:t xml:space="preserve">, namely, that the orders shall be made pursuant to s 37AF of the </w:t>
      </w:r>
      <w:r w:rsidR="00A864A9" w:rsidRPr="00A864A9">
        <w:rPr>
          <w:i/>
        </w:rPr>
        <w:t xml:space="preserve">Federal Court of Australia </w:t>
      </w:r>
      <w:r w:rsidR="00A864A9" w:rsidRPr="00A864A9">
        <w:rPr>
          <w:b/>
          <w:i/>
        </w:rPr>
        <w:t xml:space="preserve">Act </w:t>
      </w:r>
      <w:r w:rsidR="00A864A9" w:rsidRPr="00A864A9">
        <w:rPr>
          <w:i/>
        </w:rPr>
        <w:t>1976</w:t>
      </w:r>
      <w:r w:rsidR="00A864A9" w:rsidRPr="00A864A9">
        <w:t xml:space="preserve"> (</w:t>
      </w:r>
      <w:proofErr w:type="spellStart"/>
      <w:r w:rsidR="00A864A9" w:rsidRPr="00A864A9">
        <w:t>Cth</w:t>
      </w:r>
      <w:proofErr w:type="spellEnd"/>
      <w:r w:rsidR="00A864A9" w:rsidRPr="00A864A9">
        <w:t>) for the reasons I explain below</w:t>
      </w:r>
      <w:r w:rsidR="000B7658" w:rsidRPr="00A864A9">
        <w:t>.</w:t>
      </w:r>
    </w:p>
    <w:p w14:paraId="1940054D" w14:textId="724D11DC" w:rsidR="001F6F1F" w:rsidRDefault="00981A74" w:rsidP="00951F21">
      <w:pPr>
        <w:pStyle w:val="Heading1"/>
      </w:pPr>
      <w:r>
        <w:t>B</w:t>
      </w:r>
      <w:r w:rsidR="00E77853">
        <w:t xml:space="preserve">ackground </w:t>
      </w:r>
    </w:p>
    <w:p w14:paraId="48182826" w14:textId="086E1946" w:rsidR="002434C8" w:rsidRDefault="00707337" w:rsidP="002434C8">
      <w:pPr>
        <w:pStyle w:val="ParaNumbering"/>
      </w:pPr>
      <w:r>
        <w:t>Mr David Ross of T</w:t>
      </w:r>
      <w:r w:rsidR="002434C8">
        <w:t xml:space="preserve">he Australian newspaper seeks leave to inspect the following restricted documents (as defined in the Preliminary Discovery Reasons): </w:t>
      </w:r>
    </w:p>
    <w:p w14:paraId="61C91717" w14:textId="77777777" w:rsidR="002434C8" w:rsidRDefault="002434C8" w:rsidP="002434C8">
      <w:pPr>
        <w:pStyle w:val="ListNo1"/>
        <w:numPr>
          <w:ilvl w:val="0"/>
          <w:numId w:val="26"/>
        </w:numPr>
      </w:pPr>
      <w:r>
        <w:t xml:space="preserve">the First Martin Affidavit; </w:t>
      </w:r>
    </w:p>
    <w:p w14:paraId="7A87ACA9" w14:textId="77777777" w:rsidR="002434C8" w:rsidRDefault="002434C8" w:rsidP="002434C8">
      <w:pPr>
        <w:pStyle w:val="ListNo1"/>
        <w:numPr>
          <w:ilvl w:val="0"/>
          <w:numId w:val="26"/>
        </w:numPr>
      </w:pPr>
      <w:r>
        <w:t xml:space="preserve">the Second Martin Affidavit; </w:t>
      </w:r>
    </w:p>
    <w:p w14:paraId="41F7D165" w14:textId="77777777" w:rsidR="002434C8" w:rsidRDefault="002434C8" w:rsidP="002434C8">
      <w:pPr>
        <w:pStyle w:val="ListNo1"/>
        <w:numPr>
          <w:ilvl w:val="0"/>
          <w:numId w:val="26"/>
        </w:numPr>
      </w:pPr>
      <w:r>
        <w:t xml:space="preserve">the First Corns Affidavit, including the Confidential Schedule; </w:t>
      </w:r>
    </w:p>
    <w:p w14:paraId="5B28EF39" w14:textId="77777777" w:rsidR="002434C8" w:rsidRDefault="002434C8" w:rsidP="002434C8">
      <w:pPr>
        <w:pStyle w:val="ListNo1"/>
        <w:numPr>
          <w:ilvl w:val="0"/>
          <w:numId w:val="26"/>
        </w:numPr>
      </w:pPr>
      <w:r>
        <w:t xml:space="preserve">the First </w:t>
      </w:r>
      <w:proofErr w:type="spellStart"/>
      <w:r>
        <w:t>Beltrame</w:t>
      </w:r>
      <w:proofErr w:type="spellEnd"/>
      <w:r>
        <w:t xml:space="preserve"> Affidavit; </w:t>
      </w:r>
    </w:p>
    <w:p w14:paraId="4C6E4E40" w14:textId="77777777" w:rsidR="002434C8" w:rsidRDefault="002434C8" w:rsidP="002434C8">
      <w:pPr>
        <w:pStyle w:val="ListNo1"/>
        <w:numPr>
          <w:ilvl w:val="0"/>
          <w:numId w:val="26"/>
        </w:numPr>
      </w:pPr>
      <w:r>
        <w:t xml:space="preserve">the Second </w:t>
      </w:r>
      <w:proofErr w:type="spellStart"/>
      <w:r>
        <w:t>Beltrame</w:t>
      </w:r>
      <w:proofErr w:type="spellEnd"/>
      <w:r>
        <w:t xml:space="preserve"> Affidavit; </w:t>
      </w:r>
    </w:p>
    <w:p w14:paraId="3EBCC059" w14:textId="7E123232" w:rsidR="002434C8" w:rsidRDefault="002434C8" w:rsidP="002434C8">
      <w:pPr>
        <w:pStyle w:val="ListNo1"/>
        <w:numPr>
          <w:ilvl w:val="0"/>
          <w:numId w:val="26"/>
        </w:numPr>
      </w:pPr>
      <w:r>
        <w:t>Seven’s Outline of Submissions dated 26 February 2021</w:t>
      </w:r>
      <w:r w:rsidR="00732473">
        <w:t>;</w:t>
      </w:r>
    </w:p>
    <w:p w14:paraId="6A2BDAAA" w14:textId="12212A55" w:rsidR="002434C8" w:rsidRDefault="002434C8" w:rsidP="002434C8">
      <w:pPr>
        <w:pStyle w:val="ListNo1"/>
        <w:numPr>
          <w:ilvl w:val="0"/>
          <w:numId w:val="26"/>
        </w:numPr>
      </w:pPr>
      <w:r w:rsidRPr="00EB251C">
        <w:t>Cricket Australia’s Outline of Submissions</w:t>
      </w:r>
      <w:r>
        <w:t xml:space="preserve"> dated </w:t>
      </w:r>
      <w:r w:rsidR="00732473">
        <w:t>5</w:t>
      </w:r>
      <w:r>
        <w:t xml:space="preserve"> March 2021; </w:t>
      </w:r>
    </w:p>
    <w:p w14:paraId="2F709EC6" w14:textId="4AF81CB8" w:rsidR="002434C8" w:rsidRDefault="002434C8" w:rsidP="002434C8">
      <w:pPr>
        <w:pStyle w:val="ListNo1"/>
        <w:numPr>
          <w:ilvl w:val="0"/>
          <w:numId w:val="26"/>
        </w:numPr>
      </w:pPr>
      <w:r>
        <w:t xml:space="preserve">Cricket Australia’s Submissions on Confidentiality dated </w:t>
      </w:r>
      <w:r w:rsidR="00732473">
        <w:t>5</w:t>
      </w:r>
      <w:r>
        <w:t xml:space="preserve"> March 2021; </w:t>
      </w:r>
    </w:p>
    <w:p w14:paraId="0E87E4CE" w14:textId="77777777" w:rsidR="002434C8" w:rsidRDefault="002434C8" w:rsidP="002434C8">
      <w:pPr>
        <w:pStyle w:val="ListNo1"/>
        <w:numPr>
          <w:ilvl w:val="0"/>
          <w:numId w:val="26"/>
        </w:numPr>
      </w:pPr>
      <w:r>
        <w:t xml:space="preserve">Seven’s Reply Outline of Submissions dated 10 March 2021; </w:t>
      </w:r>
    </w:p>
    <w:p w14:paraId="165862A7" w14:textId="77777777" w:rsidR="004A66E2" w:rsidRDefault="002434C8" w:rsidP="002434C8">
      <w:pPr>
        <w:pStyle w:val="ListNo1"/>
        <w:numPr>
          <w:ilvl w:val="0"/>
          <w:numId w:val="26"/>
        </w:numPr>
      </w:pPr>
      <w:r w:rsidRPr="007F3C07">
        <w:t>Seven’s Submissions on Confidentiality dated</w:t>
      </w:r>
      <w:r>
        <w:t xml:space="preserve"> 11 March 2021; </w:t>
      </w:r>
    </w:p>
    <w:p w14:paraId="5B7075F4" w14:textId="77777777" w:rsidR="004A66E2" w:rsidRPr="007F3C07" w:rsidRDefault="004A66E2" w:rsidP="002434C8">
      <w:pPr>
        <w:pStyle w:val="ListNo1"/>
        <w:numPr>
          <w:ilvl w:val="0"/>
          <w:numId w:val="26"/>
        </w:numPr>
      </w:pPr>
      <w:r>
        <w:t xml:space="preserve">the Court Book filed on </w:t>
      </w:r>
      <w:r w:rsidRPr="007F3C07">
        <w:t xml:space="preserve">15 March 2021; </w:t>
      </w:r>
    </w:p>
    <w:p w14:paraId="0E616245" w14:textId="65BFA4F5" w:rsidR="002434C8" w:rsidRPr="002F12ED" w:rsidRDefault="004A66E2" w:rsidP="002434C8">
      <w:pPr>
        <w:pStyle w:val="ListNo1"/>
        <w:numPr>
          <w:ilvl w:val="0"/>
          <w:numId w:val="26"/>
        </w:numPr>
      </w:pPr>
      <w:r w:rsidRPr="002F12ED">
        <w:t xml:space="preserve">a list of authorities filed on 15 March 2021; </w:t>
      </w:r>
      <w:r w:rsidR="002434C8" w:rsidRPr="002F12ED">
        <w:t>and</w:t>
      </w:r>
    </w:p>
    <w:p w14:paraId="2BAC9B98" w14:textId="70265ED9" w:rsidR="002434C8" w:rsidRPr="002F12ED" w:rsidRDefault="002434C8" w:rsidP="00362767">
      <w:pPr>
        <w:pStyle w:val="ListNo1"/>
        <w:numPr>
          <w:ilvl w:val="0"/>
          <w:numId w:val="26"/>
        </w:numPr>
      </w:pPr>
      <w:r w:rsidRPr="002F12ED">
        <w:t xml:space="preserve">a joint bundle of authorities filed </w:t>
      </w:r>
      <w:r w:rsidR="004A66E2" w:rsidRPr="002F12ED">
        <w:t xml:space="preserve">on </w:t>
      </w:r>
      <w:r w:rsidRPr="002F12ED">
        <w:t xml:space="preserve">15 March 2021. </w:t>
      </w:r>
    </w:p>
    <w:p w14:paraId="17D9D037" w14:textId="77777777" w:rsidR="00050966" w:rsidRDefault="001F6F1F" w:rsidP="0051434F">
      <w:pPr>
        <w:pStyle w:val="ParaNumbering"/>
      </w:pPr>
      <w:r>
        <w:t>R</w:t>
      </w:r>
      <w:r w:rsidR="00422BE4">
        <w:t>ule 2.</w:t>
      </w:r>
      <w:r>
        <w:t>3</w:t>
      </w:r>
      <w:r w:rsidR="00422BE4">
        <w:t>2</w:t>
      </w:r>
      <w:r>
        <w:t xml:space="preserve"> of the </w:t>
      </w:r>
      <w:r w:rsidRPr="00651B44">
        <w:t>Rules</w:t>
      </w:r>
      <w:r>
        <w:rPr>
          <w:i/>
        </w:rPr>
        <w:t xml:space="preserve"> </w:t>
      </w:r>
      <w:r>
        <w:t>provides:</w:t>
      </w:r>
    </w:p>
    <w:p w14:paraId="1A159816" w14:textId="77777777" w:rsidR="001F6F1F" w:rsidRDefault="001F6F1F" w:rsidP="001F6F1F">
      <w:pPr>
        <w:pStyle w:val="Quote1"/>
      </w:pPr>
      <w:r>
        <w:t>(1)</w:t>
      </w:r>
      <w:r>
        <w:tab/>
        <w:t>A party may inspect any document in the proceeding except:</w:t>
      </w:r>
    </w:p>
    <w:p w14:paraId="4978501E" w14:textId="27651F86" w:rsidR="001F6F1F" w:rsidRDefault="001F6F1F" w:rsidP="001F6F1F">
      <w:pPr>
        <w:pStyle w:val="Quote2"/>
      </w:pPr>
      <w:r>
        <w:t>(a)</w:t>
      </w:r>
      <w:r w:rsidR="00707337">
        <w:tab/>
      </w:r>
      <w:r>
        <w:t>a document for which a claim of privilege has been made:</w:t>
      </w:r>
    </w:p>
    <w:p w14:paraId="27A67DB8" w14:textId="18F65972" w:rsidR="001F6F1F" w:rsidRDefault="00707337" w:rsidP="001F6F1F">
      <w:pPr>
        <w:pStyle w:val="Quote3"/>
      </w:pPr>
      <w:r>
        <w:t>(</w:t>
      </w:r>
      <w:proofErr w:type="spellStart"/>
      <w:r>
        <w:t>i</w:t>
      </w:r>
      <w:proofErr w:type="spellEnd"/>
      <w:r>
        <w:t>)</w:t>
      </w:r>
      <w:r>
        <w:tab/>
      </w:r>
      <w:r w:rsidR="001F6F1F">
        <w:t>but not decided by the Court; or</w:t>
      </w:r>
    </w:p>
    <w:p w14:paraId="3931C81F" w14:textId="2B380402" w:rsidR="001F6F1F" w:rsidRDefault="00707337" w:rsidP="001F6F1F">
      <w:pPr>
        <w:pStyle w:val="Quote3"/>
      </w:pPr>
      <w:r>
        <w:t>(ii)</w:t>
      </w:r>
      <w:r>
        <w:tab/>
      </w:r>
      <w:r w:rsidR="001F6F1F">
        <w:t>that the Court has decided is privileged; or</w:t>
      </w:r>
    </w:p>
    <w:p w14:paraId="45D723A7" w14:textId="10EFBEF3" w:rsidR="001F6F1F" w:rsidRDefault="00707337" w:rsidP="001F6F1F">
      <w:pPr>
        <w:pStyle w:val="Quote2"/>
      </w:pPr>
      <w:r>
        <w:t>(b)</w:t>
      </w:r>
      <w:r>
        <w:tab/>
      </w:r>
      <w:r w:rsidR="001F6F1F">
        <w:t>a document that the Court has ordered be confidential.</w:t>
      </w:r>
    </w:p>
    <w:p w14:paraId="697FA810" w14:textId="77777777" w:rsidR="001F6F1F" w:rsidRDefault="001F6F1F" w:rsidP="001F6F1F">
      <w:pPr>
        <w:pStyle w:val="Quote1"/>
        <w:ind w:left="1440" w:hanging="703"/>
      </w:pPr>
      <w:r>
        <w:t>(2)</w:t>
      </w:r>
      <w:r>
        <w:tab/>
        <w:t>A person who is not a party may inspect the following documents in a proceeding in the proper Registry:</w:t>
      </w:r>
    </w:p>
    <w:p w14:paraId="615F6B51" w14:textId="0BEF45A8" w:rsidR="001F6F1F" w:rsidRDefault="00707337" w:rsidP="001F6F1F">
      <w:pPr>
        <w:pStyle w:val="Quote2"/>
      </w:pPr>
      <w:r>
        <w:t>(a)</w:t>
      </w:r>
      <w:r>
        <w:tab/>
      </w:r>
      <w:r w:rsidR="001F6F1F">
        <w:t>an originating application or cross‑claim;</w:t>
      </w:r>
    </w:p>
    <w:p w14:paraId="24A4E5C8" w14:textId="62753C99" w:rsidR="001F6F1F" w:rsidRDefault="00707337" w:rsidP="001F6F1F">
      <w:pPr>
        <w:pStyle w:val="Quote2"/>
      </w:pPr>
      <w:r>
        <w:t>(b)</w:t>
      </w:r>
      <w:r>
        <w:tab/>
      </w:r>
      <w:r w:rsidR="001F6F1F">
        <w:t>a notice of address for service;</w:t>
      </w:r>
    </w:p>
    <w:p w14:paraId="650FFDF3" w14:textId="1BE0487B" w:rsidR="001F6F1F" w:rsidRDefault="00707337" w:rsidP="001F6F1F">
      <w:pPr>
        <w:pStyle w:val="Quote2"/>
      </w:pPr>
      <w:r>
        <w:t>(c)</w:t>
      </w:r>
      <w:r>
        <w:tab/>
      </w:r>
      <w:r w:rsidR="001F6F1F">
        <w:t>a pleading or particulars of a pleading or similar document;</w:t>
      </w:r>
    </w:p>
    <w:p w14:paraId="318E3A61" w14:textId="74DC1CC1" w:rsidR="001F6F1F" w:rsidRDefault="00707337" w:rsidP="001F6F1F">
      <w:pPr>
        <w:pStyle w:val="Quote2"/>
      </w:pPr>
      <w:r>
        <w:t>(d)</w:t>
      </w:r>
      <w:r>
        <w:tab/>
      </w:r>
      <w:r w:rsidR="001F6F1F">
        <w:t>a statement of agreed facts or an agreed statement of facts;</w:t>
      </w:r>
    </w:p>
    <w:p w14:paraId="386272AE" w14:textId="2881E100" w:rsidR="001F6F1F" w:rsidRDefault="00707337" w:rsidP="001F6F1F">
      <w:pPr>
        <w:pStyle w:val="Quote2"/>
      </w:pPr>
      <w:r>
        <w:lastRenderedPageBreak/>
        <w:t>(e)</w:t>
      </w:r>
      <w:r>
        <w:tab/>
      </w:r>
      <w:r w:rsidR="001F6F1F">
        <w:t>an interlocutory application;</w:t>
      </w:r>
    </w:p>
    <w:p w14:paraId="33D65614" w14:textId="2BE6794E" w:rsidR="001F6F1F" w:rsidRDefault="00707337" w:rsidP="001F6F1F">
      <w:pPr>
        <w:pStyle w:val="Quote2"/>
      </w:pPr>
      <w:r>
        <w:t>(f)</w:t>
      </w:r>
      <w:r>
        <w:tab/>
      </w:r>
      <w:r w:rsidR="001F6F1F">
        <w:t>a judgment or an order of the Court;</w:t>
      </w:r>
    </w:p>
    <w:p w14:paraId="40B10113" w14:textId="4E6A5C8B" w:rsidR="001F6F1F" w:rsidRDefault="00707337" w:rsidP="001F6F1F">
      <w:pPr>
        <w:pStyle w:val="Quote2"/>
      </w:pPr>
      <w:r>
        <w:t>(g)</w:t>
      </w:r>
      <w:r>
        <w:tab/>
      </w:r>
      <w:r w:rsidR="001F6F1F">
        <w:t>a notice of appeal or cross‑appeal;</w:t>
      </w:r>
    </w:p>
    <w:p w14:paraId="61831E80" w14:textId="3D9C01C9" w:rsidR="001F6F1F" w:rsidRDefault="00707337" w:rsidP="001F6F1F">
      <w:pPr>
        <w:pStyle w:val="Quote2"/>
      </w:pPr>
      <w:r>
        <w:t>(h)</w:t>
      </w:r>
      <w:r>
        <w:tab/>
      </w:r>
      <w:r w:rsidR="001F6F1F">
        <w:t>a notice of discontinuance;</w:t>
      </w:r>
    </w:p>
    <w:p w14:paraId="7E360437" w14:textId="2F456E56" w:rsidR="001F6F1F" w:rsidRDefault="00707337" w:rsidP="001F6F1F">
      <w:pPr>
        <w:pStyle w:val="Quote2"/>
      </w:pPr>
      <w:r>
        <w:t>(</w:t>
      </w:r>
      <w:proofErr w:type="spellStart"/>
      <w:r>
        <w:t>i</w:t>
      </w:r>
      <w:proofErr w:type="spellEnd"/>
      <w:r>
        <w:t>)</w:t>
      </w:r>
      <w:r>
        <w:tab/>
      </w:r>
      <w:r w:rsidR="001F6F1F">
        <w:t>a notice of change of lawyer;</w:t>
      </w:r>
    </w:p>
    <w:p w14:paraId="794CAB83" w14:textId="012352C4" w:rsidR="001F6F1F" w:rsidRDefault="00707337" w:rsidP="001F6F1F">
      <w:pPr>
        <w:pStyle w:val="Quote2"/>
      </w:pPr>
      <w:r>
        <w:t>(j)</w:t>
      </w:r>
      <w:r>
        <w:tab/>
      </w:r>
      <w:r w:rsidR="001F6F1F">
        <w:t>a notice of ceasing to act;</w:t>
      </w:r>
    </w:p>
    <w:p w14:paraId="0D5CB269" w14:textId="15D61FBF" w:rsidR="001F6F1F" w:rsidRDefault="00707337" w:rsidP="001F6F1F">
      <w:pPr>
        <w:pStyle w:val="Quote2"/>
      </w:pPr>
      <w:r>
        <w:t>(k)</w:t>
      </w:r>
      <w:r>
        <w:tab/>
      </w:r>
      <w:r w:rsidR="001F6F1F">
        <w:t>in a proceeding to which Division 34.7 applies:</w:t>
      </w:r>
    </w:p>
    <w:p w14:paraId="38351653" w14:textId="4581C24E" w:rsidR="001F6F1F" w:rsidRDefault="00707337" w:rsidP="00707337">
      <w:pPr>
        <w:pStyle w:val="Quote3"/>
        <w:ind w:left="2880" w:hanging="720"/>
      </w:pPr>
      <w:r>
        <w:t>(</w:t>
      </w:r>
      <w:proofErr w:type="spellStart"/>
      <w:r>
        <w:t>i</w:t>
      </w:r>
      <w:proofErr w:type="spellEnd"/>
      <w:r>
        <w:t>)</w:t>
      </w:r>
      <w:r>
        <w:tab/>
      </w:r>
      <w:r w:rsidR="001F6F1F">
        <w:t>an affidavit accompanying an application, or an amended application, under section 61 of the Native Title Act 1993; or</w:t>
      </w:r>
    </w:p>
    <w:p w14:paraId="67A6401F" w14:textId="46C26541" w:rsidR="001F6F1F" w:rsidRDefault="00707337" w:rsidP="00707337">
      <w:pPr>
        <w:pStyle w:val="Quote3"/>
        <w:ind w:left="2880" w:hanging="720"/>
      </w:pPr>
      <w:r>
        <w:t>(ii)</w:t>
      </w:r>
      <w:r>
        <w:tab/>
      </w:r>
      <w:r w:rsidR="001F6F1F">
        <w:t>an extract from the Register of Native Title Claims received by the Court from the Native Title Registrar;</w:t>
      </w:r>
    </w:p>
    <w:p w14:paraId="6FF6DA86" w14:textId="02C8F01A" w:rsidR="001F6F1F" w:rsidRDefault="00707337" w:rsidP="001F6F1F">
      <w:pPr>
        <w:pStyle w:val="Quote2"/>
      </w:pPr>
      <w:r>
        <w:t>(l)</w:t>
      </w:r>
      <w:r>
        <w:tab/>
      </w:r>
      <w:r w:rsidR="001F6F1F">
        <w:t>reasons for judgment;</w:t>
      </w:r>
    </w:p>
    <w:p w14:paraId="6C2A2AC8" w14:textId="38CB6FBA" w:rsidR="001F6F1F" w:rsidRDefault="00707337" w:rsidP="001F6F1F">
      <w:pPr>
        <w:pStyle w:val="Quote2"/>
      </w:pPr>
      <w:r>
        <w:t>(m)</w:t>
      </w:r>
      <w:r>
        <w:tab/>
      </w:r>
      <w:r w:rsidR="001F6F1F">
        <w:t>a transcript of a hearing heard in open Court.</w:t>
      </w:r>
    </w:p>
    <w:p w14:paraId="28B82E46" w14:textId="77777777" w:rsidR="001F6F1F" w:rsidRDefault="001F6F1F" w:rsidP="001F6F1F">
      <w:pPr>
        <w:pStyle w:val="Quote2"/>
      </w:pPr>
      <w:r>
        <w:t>…</w:t>
      </w:r>
    </w:p>
    <w:p w14:paraId="3CD3F165" w14:textId="77777777" w:rsidR="001F6F1F" w:rsidRDefault="001F6F1F" w:rsidP="001F6F1F">
      <w:pPr>
        <w:pStyle w:val="Quote1"/>
        <w:ind w:left="1440" w:hanging="703"/>
      </w:pPr>
      <w:r>
        <w:t>(3)</w:t>
      </w:r>
      <w:r>
        <w:tab/>
        <w:t>However, a person who is not a party is not entitled to inspect a document that the Court has ordered:</w:t>
      </w:r>
    </w:p>
    <w:p w14:paraId="29E091D9" w14:textId="2D7131D1" w:rsidR="001F6F1F" w:rsidRDefault="00707337" w:rsidP="001F6F1F">
      <w:pPr>
        <w:pStyle w:val="Quote2"/>
      </w:pPr>
      <w:r>
        <w:t>(a)</w:t>
      </w:r>
      <w:r>
        <w:tab/>
      </w:r>
      <w:r w:rsidR="001F6F1F">
        <w:t>be confidential; or</w:t>
      </w:r>
    </w:p>
    <w:p w14:paraId="274809BA" w14:textId="47A8F154" w:rsidR="001F6F1F" w:rsidRDefault="00707337" w:rsidP="00707337">
      <w:pPr>
        <w:pStyle w:val="Quote2"/>
        <w:ind w:left="2160" w:hanging="720"/>
      </w:pPr>
      <w:r>
        <w:t>(b)</w:t>
      </w:r>
      <w:r>
        <w:tab/>
      </w:r>
      <w:r w:rsidR="001F6F1F">
        <w:t>is forbidden from, or restricted from publication to, the person or a class of persons of which the person is a member.</w:t>
      </w:r>
    </w:p>
    <w:p w14:paraId="11A9DA86" w14:textId="77777777" w:rsidR="001F6F1F" w:rsidRDefault="001F6F1F" w:rsidP="00951F21">
      <w:pPr>
        <w:pStyle w:val="Quote2"/>
        <w:ind w:left="2160" w:hanging="720"/>
      </w:pPr>
      <w:r>
        <w:t>Note:</w:t>
      </w:r>
      <w:r>
        <w:tab/>
        <w:t>For the prohibition of publication of evidence or of the name of a party or witness, see sections 37AF and 37AI of the Act.</w:t>
      </w:r>
    </w:p>
    <w:p w14:paraId="3C30F1C4" w14:textId="77777777" w:rsidR="001F6F1F" w:rsidRDefault="001F6F1F" w:rsidP="001F6F1F">
      <w:pPr>
        <w:pStyle w:val="Quote1"/>
        <w:ind w:left="1440" w:hanging="703"/>
      </w:pPr>
      <w:r>
        <w:t>(4)</w:t>
      </w:r>
      <w:r>
        <w:tab/>
        <w:t>A person may apply to the Court for leave to inspect a document that the person is not otherwise entitled to inspect.</w:t>
      </w:r>
    </w:p>
    <w:p w14:paraId="3CB7B0B0" w14:textId="77777777" w:rsidR="00951F21" w:rsidRDefault="00951F21" w:rsidP="001F6F1F">
      <w:pPr>
        <w:pStyle w:val="Quote1"/>
        <w:ind w:left="1440" w:hanging="703"/>
      </w:pPr>
      <w:r>
        <w:t xml:space="preserve">… </w:t>
      </w:r>
    </w:p>
    <w:p w14:paraId="6E022A86" w14:textId="77A9AF0F" w:rsidR="002434C8" w:rsidRDefault="0022491B" w:rsidP="00050966">
      <w:pPr>
        <w:pStyle w:val="ParaNumbering"/>
      </w:pPr>
      <w:r>
        <w:t>Rule 2.32(3) prevents a person who is not a party from inspecting a document if the Court has ordered the document be “confidential” or “is forbidden from</w:t>
      </w:r>
      <w:r w:rsidR="00F01DB5">
        <w:t>,</w:t>
      </w:r>
      <w:r>
        <w:t xml:space="preserve"> or restricted from publication to, the person or a class of persons of which the person is a member”; that is, where the document is subject to a suppression or non-publication order: </w:t>
      </w:r>
      <w:r w:rsidRPr="001B1570">
        <w:rPr>
          <w:b/>
          <w:i/>
        </w:rPr>
        <w:t>Porter</w:t>
      </w:r>
      <w:r>
        <w:rPr>
          <w:i/>
        </w:rPr>
        <w:t xml:space="preserve"> v Australian Broadcasting Corporation </w:t>
      </w:r>
      <w:r>
        <w:t>[2021] FCA 863 at [91] (Jagot J).</w:t>
      </w:r>
      <w:r w:rsidR="006373DC">
        <w:t xml:space="preserve"> </w:t>
      </w:r>
      <w:r w:rsidR="00274086">
        <w:t xml:space="preserve"> </w:t>
      </w:r>
      <w:r>
        <w:t>A suppression or non-publication order is an order made pursuant to Division 2 of Part VAA of the</w:t>
      </w:r>
      <w:r w:rsidR="00A864A9">
        <w:t xml:space="preserve"> Act</w:t>
      </w:r>
      <w:r>
        <w:t xml:space="preserve">. </w:t>
      </w:r>
    </w:p>
    <w:p w14:paraId="642647AB" w14:textId="77777777" w:rsidR="0022491B" w:rsidRDefault="0022491B" w:rsidP="00050966">
      <w:pPr>
        <w:pStyle w:val="ParaNumbering"/>
      </w:pPr>
      <w:r>
        <w:t xml:space="preserve">Relevantly within Part VAA, s 37AE of the Act provides: </w:t>
      </w:r>
    </w:p>
    <w:p w14:paraId="2B986807" w14:textId="20E5872D" w:rsidR="0022491B" w:rsidRDefault="0022491B" w:rsidP="0022491B">
      <w:pPr>
        <w:pStyle w:val="Quote1"/>
      </w:pPr>
      <w:r w:rsidRPr="0022491B">
        <w:t>In deciding whether to make a suppression order or non‑publication order, the Court must take into account that a primary objective of the administration of justice is to safeguard the public interest in open justice</w:t>
      </w:r>
      <w:r w:rsidR="00413966">
        <w:t>.</w:t>
      </w:r>
    </w:p>
    <w:p w14:paraId="10DBA685" w14:textId="540EF16F" w:rsidR="0022491B" w:rsidRPr="0022491B" w:rsidRDefault="0022491B" w:rsidP="0022491B">
      <w:pPr>
        <w:pStyle w:val="ParaNumbering"/>
      </w:pPr>
      <w:r w:rsidRPr="0022491B">
        <w:lastRenderedPageBreak/>
        <w:t>By s 37AF</w:t>
      </w:r>
      <w:r w:rsidR="00413966">
        <w:t xml:space="preserve"> of the Act</w:t>
      </w:r>
      <w:r>
        <w:t>,</w:t>
      </w:r>
      <w:r w:rsidRPr="0022491B">
        <w:t xml:space="preserve"> the Cour</w:t>
      </w:r>
      <w:r>
        <w:t>t may make a suppression or non-</w:t>
      </w:r>
      <w:r w:rsidRPr="0022491B">
        <w:t>publication o</w:t>
      </w:r>
      <w:r>
        <w:t>rder in respect of “information</w:t>
      </w:r>
      <w:r w:rsidRPr="0022491B">
        <w:t xml:space="preserve"> </w:t>
      </w:r>
      <w:r>
        <w:t xml:space="preserve">that relates to a proceeding before the Court”, </w:t>
      </w:r>
      <w:r w:rsidRPr="0022491B">
        <w:t>including “information lodged with or filed in the Court”: s 37AF(1)(b)(iv).</w:t>
      </w:r>
    </w:p>
    <w:p w14:paraId="558FE4DA" w14:textId="1D921AA0" w:rsidR="001B1570" w:rsidRDefault="001B1570" w:rsidP="001B1570">
      <w:pPr>
        <w:pStyle w:val="ParaNumbering"/>
      </w:pPr>
      <w:r>
        <w:t>A suppression or non</w:t>
      </w:r>
      <w:r w:rsidR="00362767">
        <w:t>-</w:t>
      </w:r>
      <w:r>
        <w:t>publication order under s 37AF of the Act can only be made on the basis of one of the grounds in s 37AG(1).</w:t>
      </w:r>
      <w:r w:rsidR="006373DC">
        <w:t xml:space="preserve"> </w:t>
      </w:r>
      <w:r w:rsidR="00274086">
        <w:t xml:space="preserve"> </w:t>
      </w:r>
      <w:r>
        <w:t>Those grounds include that the “order is necessary to prevent prejudice to the proper administration of justice”: s 37AG(1)(a).</w:t>
      </w:r>
    </w:p>
    <w:p w14:paraId="0C4B634E" w14:textId="64D434B4" w:rsidR="001B1570" w:rsidRDefault="001B1570" w:rsidP="001B1570">
      <w:pPr>
        <w:pStyle w:val="ParaNumbering"/>
      </w:pPr>
      <w:r>
        <w:t xml:space="preserve">One of the ways in which the administration of justice may be prejudiced is if people cannot come to the Court with confidence that commercially sensitive </w:t>
      </w:r>
      <w:r w:rsidR="00CC57D1">
        <w:t>information (that</w:t>
      </w:r>
      <w:r>
        <w:t xml:space="preserve"> might either be valuable to that party or to a third party</w:t>
      </w:r>
      <w:r w:rsidR="00CC57D1">
        <w:t>)</w:t>
      </w:r>
      <w:r>
        <w:t xml:space="preserve"> won’t be disclosed: see, </w:t>
      </w:r>
      <w:proofErr w:type="spellStart"/>
      <w:r>
        <w:t>eg</w:t>
      </w:r>
      <w:proofErr w:type="spellEnd"/>
      <w:r>
        <w:t xml:space="preserve">, </w:t>
      </w:r>
      <w:r>
        <w:rPr>
          <w:i/>
        </w:rPr>
        <w:t xml:space="preserve">Porter </w:t>
      </w:r>
      <w:r>
        <w:t xml:space="preserve">at [84]. </w:t>
      </w:r>
    </w:p>
    <w:p w14:paraId="432D4E39" w14:textId="650BCC7B" w:rsidR="00755D02" w:rsidRPr="00362767" w:rsidRDefault="00755D02" w:rsidP="00755D02">
      <w:pPr>
        <w:pStyle w:val="ParaNumbering"/>
      </w:pPr>
      <w:r w:rsidRPr="00362767">
        <w:t>Cricket Australia does not expressly seek an order pursuant to s 37AF of the Act.</w:t>
      </w:r>
      <w:r w:rsidR="00274086">
        <w:t xml:space="preserve"> </w:t>
      </w:r>
      <w:r w:rsidR="006373DC" w:rsidRPr="00362767">
        <w:t xml:space="preserve"> </w:t>
      </w:r>
      <w:r w:rsidRPr="00362767">
        <w:t xml:space="preserve">However, it does so </w:t>
      </w:r>
      <w:r w:rsidR="0020755C" w:rsidRPr="00362767">
        <w:t xml:space="preserve">impliedly </w:t>
      </w:r>
      <w:r w:rsidRPr="00362767">
        <w:t>by submitting that the requested documents, or parts of such documents, be redacted or marked as confidential and not be capable of inspection by a</w:t>
      </w:r>
      <w:r w:rsidR="002C5387" w:rsidRPr="00362767">
        <w:t>ny person</w:t>
      </w:r>
      <w:r w:rsidRPr="00362767">
        <w:t xml:space="preserve"> who is not a party to the proceeding</w:t>
      </w:r>
      <w:r w:rsidR="00CC57D1">
        <w:t>.</w:t>
      </w:r>
    </w:p>
    <w:p w14:paraId="3C1EC4F6" w14:textId="77777777" w:rsidR="000C6F9D" w:rsidRDefault="000C6F9D" w:rsidP="000C6F9D">
      <w:pPr>
        <w:pStyle w:val="Heading1"/>
      </w:pPr>
      <w:r>
        <w:t xml:space="preserve">Seven’s position in relation to the </w:t>
      </w:r>
      <w:r w:rsidR="0022491B">
        <w:t>R</w:t>
      </w:r>
      <w:r>
        <w:t>equest</w:t>
      </w:r>
    </w:p>
    <w:p w14:paraId="0376EC8F" w14:textId="233D4A98" w:rsidR="009B5AC0" w:rsidRPr="00362767" w:rsidRDefault="002C4EE1" w:rsidP="009B5AC0">
      <w:pPr>
        <w:pStyle w:val="ParaNumbering"/>
      </w:pPr>
      <w:r w:rsidRPr="00362767">
        <w:t>Seven submitted that the non-party should be granted access to inspect the specified documents</w:t>
      </w:r>
      <w:r w:rsidR="00755D02" w:rsidRPr="00362767">
        <w:t xml:space="preserve"> sought</w:t>
      </w:r>
      <w:r w:rsidRPr="00362767">
        <w:t>.</w:t>
      </w:r>
      <w:r w:rsidR="00274086">
        <w:t xml:space="preserve"> </w:t>
      </w:r>
      <w:r w:rsidR="006373DC" w:rsidRPr="00362767">
        <w:t xml:space="preserve"> </w:t>
      </w:r>
      <w:r w:rsidRPr="00362767">
        <w:t xml:space="preserve">In particular, Seven submitted that the affidavits and exhibits have </w:t>
      </w:r>
      <w:r w:rsidR="00755D02" w:rsidRPr="00362767">
        <w:t xml:space="preserve">already </w:t>
      </w:r>
      <w:r w:rsidRPr="00362767">
        <w:t xml:space="preserve">been adduced in evidence </w:t>
      </w:r>
      <w:r w:rsidR="00755D02" w:rsidRPr="00362767">
        <w:t xml:space="preserve">and are therefore to be regarded as having been read aloud </w:t>
      </w:r>
      <w:r w:rsidRPr="00362767">
        <w:t>in open court</w:t>
      </w:r>
      <w:r w:rsidR="00755D02" w:rsidRPr="00362767">
        <w:t xml:space="preserve">: </w:t>
      </w:r>
      <w:r w:rsidR="009B5AC0" w:rsidRPr="00362767">
        <w:rPr>
          <w:i/>
        </w:rPr>
        <w:t>A</w:t>
      </w:r>
      <w:r w:rsidR="000F5800">
        <w:rPr>
          <w:i/>
        </w:rPr>
        <w:t xml:space="preserve">ustralian </w:t>
      </w:r>
      <w:r w:rsidR="009B5AC0" w:rsidRPr="00362767">
        <w:rPr>
          <w:i/>
        </w:rPr>
        <w:t>S</w:t>
      </w:r>
      <w:r w:rsidR="000F5800">
        <w:rPr>
          <w:i/>
        </w:rPr>
        <w:t xml:space="preserve">ecurities and </w:t>
      </w:r>
      <w:r w:rsidR="009B5AC0" w:rsidRPr="00362767">
        <w:rPr>
          <w:i/>
        </w:rPr>
        <w:t>I</w:t>
      </w:r>
      <w:r w:rsidR="000F5800">
        <w:rPr>
          <w:i/>
        </w:rPr>
        <w:t xml:space="preserve">nvestments </w:t>
      </w:r>
      <w:r w:rsidR="009B5AC0" w:rsidRPr="00362767">
        <w:rPr>
          <w:i/>
        </w:rPr>
        <w:t>C</w:t>
      </w:r>
      <w:r w:rsidR="000F5800">
        <w:rPr>
          <w:i/>
        </w:rPr>
        <w:t>ommission</w:t>
      </w:r>
      <w:r w:rsidR="009B5AC0" w:rsidRPr="00362767">
        <w:rPr>
          <w:i/>
        </w:rPr>
        <w:t xml:space="preserve"> v </w:t>
      </w:r>
      <w:proofErr w:type="spellStart"/>
      <w:r w:rsidR="009B5AC0" w:rsidRPr="00362767">
        <w:rPr>
          <w:i/>
        </w:rPr>
        <w:t>Cassimatis</w:t>
      </w:r>
      <w:proofErr w:type="spellEnd"/>
      <w:r w:rsidR="009B5AC0" w:rsidRPr="00362767">
        <w:rPr>
          <w:i/>
        </w:rPr>
        <w:t xml:space="preserve"> (No 4)</w:t>
      </w:r>
      <w:r w:rsidR="009B5AC0" w:rsidRPr="00362767">
        <w:t xml:space="preserve"> [2015] FCA 465 at [9]-[10] (Edelman J)</w:t>
      </w:r>
      <w:r w:rsidR="00755D02" w:rsidRPr="00362767">
        <w:t>.</w:t>
      </w:r>
      <w:r w:rsidR="006373DC" w:rsidRPr="00362767">
        <w:t xml:space="preserve"> </w:t>
      </w:r>
      <w:r w:rsidR="00274086">
        <w:t xml:space="preserve"> </w:t>
      </w:r>
      <w:r w:rsidR="00755D02" w:rsidRPr="00362767">
        <w:t xml:space="preserve">Seven further submitted that once adduced in this way, the documents have entered </w:t>
      </w:r>
      <w:r w:rsidRPr="00362767">
        <w:t>the public domain</w:t>
      </w:r>
      <w:r w:rsidR="00755D02" w:rsidRPr="00362767">
        <w:t xml:space="preserve">: </w:t>
      </w:r>
      <w:r w:rsidRPr="00362767">
        <w:rPr>
          <w:i/>
        </w:rPr>
        <w:t>Isaac v Dargan Financial Pty Ltd</w:t>
      </w:r>
      <w:r w:rsidRPr="00362767">
        <w:t xml:space="preserve"> [2018] NSWCA 16</w:t>
      </w:r>
      <w:r w:rsidR="00DC7268">
        <w:t>3</w:t>
      </w:r>
      <w:r w:rsidRPr="00362767">
        <w:t>; 98 NSWLR 343 at [174]</w:t>
      </w:r>
      <w:r w:rsidR="009B5AC0" w:rsidRPr="00362767">
        <w:t xml:space="preserve"> (Gleeson JA, Bath</w:t>
      </w:r>
      <w:r w:rsidR="00755D02" w:rsidRPr="00362767">
        <w:t>urst CJ and Beazley P agreeing)</w:t>
      </w:r>
      <w:r w:rsidRPr="00362767">
        <w:t>.</w:t>
      </w:r>
      <w:r w:rsidR="006373DC" w:rsidRPr="00362767">
        <w:t xml:space="preserve"> </w:t>
      </w:r>
    </w:p>
    <w:p w14:paraId="045DDF9A" w14:textId="511BF2A9" w:rsidR="002C4EE1" w:rsidRPr="00362767" w:rsidRDefault="009B5AC0" w:rsidP="009B5AC0">
      <w:pPr>
        <w:pStyle w:val="ParaNumbering"/>
      </w:pPr>
      <w:r w:rsidRPr="00362767">
        <w:t xml:space="preserve">Seven </w:t>
      </w:r>
      <w:r w:rsidR="00046BD5">
        <w:t xml:space="preserve">also </w:t>
      </w:r>
      <w:r w:rsidRPr="00362767">
        <w:t xml:space="preserve">submitted that there is a strong presumption in favour of allowing inspection of anything adduced into evidence and inspection should only be refused in exceptional circumstances: </w:t>
      </w:r>
      <w:r w:rsidRPr="00362767">
        <w:rPr>
          <w:i/>
        </w:rPr>
        <w:t>Baptist Union v Roberts</w:t>
      </w:r>
      <w:r w:rsidRPr="00362767">
        <w:t xml:space="preserve"> [2015] FCA 1068; 241 FCR 135 at [33]-[36] (</w:t>
      </w:r>
      <w:proofErr w:type="spellStart"/>
      <w:r w:rsidRPr="00362767">
        <w:t>Rangiah</w:t>
      </w:r>
      <w:proofErr w:type="spellEnd"/>
      <w:r w:rsidRPr="00362767">
        <w:t xml:space="preserve"> J).</w:t>
      </w:r>
      <w:r w:rsidR="006373DC" w:rsidRPr="00362767">
        <w:t xml:space="preserve"> </w:t>
      </w:r>
      <w:r w:rsidR="00274086">
        <w:t xml:space="preserve"> </w:t>
      </w:r>
      <w:r w:rsidRPr="00362767">
        <w:t>Accordingly, Seven submitted that the specified documents ought to be made available to non-parties unless the Court prohibits their disclosure or otherwise makes suppression and non-publication orders in respect of the documents under s 37AF of the</w:t>
      </w:r>
      <w:r w:rsidRPr="0031073E">
        <w:t xml:space="preserve"> Act</w:t>
      </w:r>
      <w:r w:rsidRPr="00362767">
        <w:t>.</w:t>
      </w:r>
    </w:p>
    <w:p w14:paraId="2057CC85" w14:textId="3C9C7064" w:rsidR="002C4EE1" w:rsidRPr="00362767" w:rsidRDefault="009B5AC0" w:rsidP="002C4EE1">
      <w:pPr>
        <w:pStyle w:val="ParaNumbering"/>
      </w:pPr>
      <w:r w:rsidRPr="00362767">
        <w:rPr>
          <w:sz w:val="22"/>
        </w:rPr>
        <w:t xml:space="preserve">In this respect, </w:t>
      </w:r>
      <w:r w:rsidRPr="00362767">
        <w:t xml:space="preserve">Seven’s position was </w:t>
      </w:r>
      <w:r w:rsidR="002C4EE1" w:rsidRPr="00362767">
        <w:t xml:space="preserve">that if Cricket Australia wanted to prevent public access to documents referred to in open court, it ought to have sought suppression or non-publication orders under Part VAA of </w:t>
      </w:r>
      <w:r w:rsidRPr="00362767">
        <w:t>the Act</w:t>
      </w:r>
      <w:r w:rsidR="002C4EE1" w:rsidRPr="00362767">
        <w:t>.</w:t>
      </w:r>
      <w:r w:rsidR="006373DC" w:rsidRPr="00362767">
        <w:t xml:space="preserve"> </w:t>
      </w:r>
      <w:r w:rsidR="001429A2">
        <w:t xml:space="preserve"> </w:t>
      </w:r>
      <w:r w:rsidR="002C4EE1" w:rsidRPr="00362767">
        <w:t xml:space="preserve">Seven submitted that Cricket Australia has not made such </w:t>
      </w:r>
      <w:r w:rsidR="002C4EE1" w:rsidRPr="00362767">
        <w:lastRenderedPageBreak/>
        <w:t xml:space="preserve">an application, nor has it put before the Court any evidence which might justify the making of </w:t>
      </w:r>
      <w:r w:rsidR="00755D02" w:rsidRPr="00362767">
        <w:t xml:space="preserve">such </w:t>
      </w:r>
      <w:r w:rsidR="002C4EE1" w:rsidRPr="00362767">
        <w:t>a</w:t>
      </w:r>
      <w:r w:rsidR="00755D02" w:rsidRPr="00362767">
        <w:t>n</w:t>
      </w:r>
      <w:r w:rsidR="002C4EE1" w:rsidRPr="00362767">
        <w:t xml:space="preserve"> order in relation to the specified documents</w:t>
      </w:r>
      <w:r w:rsidR="002F12ED">
        <w:t>.</w:t>
      </w:r>
    </w:p>
    <w:p w14:paraId="634DDF49" w14:textId="77777777" w:rsidR="000C6F9D" w:rsidRDefault="000C6F9D" w:rsidP="000C6F9D">
      <w:pPr>
        <w:pStyle w:val="Heading1"/>
      </w:pPr>
      <w:r>
        <w:t xml:space="preserve">Cricket Australia’s position in relation to the </w:t>
      </w:r>
      <w:r w:rsidR="00755D02">
        <w:t>R</w:t>
      </w:r>
      <w:r>
        <w:t>equest</w:t>
      </w:r>
    </w:p>
    <w:p w14:paraId="3D7BCC9C" w14:textId="4774DF04" w:rsidR="00755D02" w:rsidRPr="00362767" w:rsidRDefault="00422BE4" w:rsidP="000B7658">
      <w:pPr>
        <w:pStyle w:val="ParaNumbering"/>
      </w:pPr>
      <w:r w:rsidRPr="00362767">
        <w:t>Cricket Australia conc</w:t>
      </w:r>
      <w:r w:rsidR="009B5AC0" w:rsidRPr="00362767">
        <w:t xml:space="preserve">eded that under the </w:t>
      </w:r>
      <w:r w:rsidR="009B5AC0" w:rsidRPr="00362767">
        <w:rPr>
          <w:i/>
        </w:rPr>
        <w:t>General Practice Note on Access to Documents and Transcripts</w:t>
      </w:r>
      <w:r w:rsidR="009B5AC0" w:rsidRPr="00362767">
        <w:t>, access to a restricted document</w:t>
      </w:r>
      <w:r w:rsidR="00755D02" w:rsidRPr="00362767">
        <w:t xml:space="preserve"> </w:t>
      </w:r>
      <w:r w:rsidR="009B5AC0" w:rsidRPr="00362767">
        <w:t>is generally to be granted where the document (or the relevant parts of the document) has been admitt</w:t>
      </w:r>
      <w:r w:rsidR="000B7658" w:rsidRPr="00362767">
        <w:t xml:space="preserve">ed into evidence or read out in </w:t>
      </w:r>
      <w:r w:rsidR="009B5AC0" w:rsidRPr="00362767">
        <w:t>open court</w:t>
      </w:r>
      <w:r w:rsidR="002F12ED">
        <w:t>.</w:t>
      </w:r>
    </w:p>
    <w:p w14:paraId="51655563" w14:textId="4DED3193" w:rsidR="00422BE4" w:rsidRPr="00362767" w:rsidRDefault="000E2E3A" w:rsidP="00755D02">
      <w:pPr>
        <w:pStyle w:val="ParaNumbering"/>
      </w:pPr>
      <w:r w:rsidRPr="00362767">
        <w:t>Notwithstanding</w:t>
      </w:r>
      <w:r w:rsidR="00755D02" w:rsidRPr="00362767">
        <w:t xml:space="preserve"> the above</w:t>
      </w:r>
      <w:r w:rsidRPr="00362767">
        <w:t xml:space="preserve">, Cricket Australia rightly identified that the Court </w:t>
      </w:r>
      <w:r w:rsidR="00755D02" w:rsidRPr="00362767">
        <w:t xml:space="preserve">has a discretion </w:t>
      </w:r>
      <w:r w:rsidR="00755D02" w:rsidRPr="007F3C07">
        <w:t>under r 2.32</w:t>
      </w:r>
      <w:r w:rsidR="00755D02" w:rsidRPr="00D73CA6">
        <w:t xml:space="preserve"> of</w:t>
      </w:r>
      <w:r w:rsidR="00755D02" w:rsidRPr="00362767">
        <w:t xml:space="preserve"> the Rules to determine </w:t>
      </w:r>
      <w:r w:rsidRPr="00362767">
        <w:t>what access there should be to documents filed with the Registry</w:t>
      </w:r>
      <w:r w:rsidR="00755D02" w:rsidRPr="00362767">
        <w:t>:</w:t>
      </w:r>
      <w:r w:rsidRPr="00362767">
        <w:t xml:space="preserve"> </w:t>
      </w:r>
      <w:r w:rsidR="00046BD5">
        <w:t xml:space="preserve">see, </w:t>
      </w:r>
      <w:proofErr w:type="spellStart"/>
      <w:r w:rsidR="00046BD5">
        <w:t>eg</w:t>
      </w:r>
      <w:proofErr w:type="spellEnd"/>
      <w:r w:rsidR="00046BD5">
        <w:t xml:space="preserve">, </w:t>
      </w:r>
      <w:r w:rsidR="00755D02" w:rsidRPr="00362767">
        <w:rPr>
          <w:i/>
        </w:rPr>
        <w:t>Central Equity Ltd v Chua</w:t>
      </w:r>
      <w:r w:rsidR="00755D02" w:rsidRPr="00362767">
        <w:t xml:space="preserve"> [1999] FCA 1067 at [20] (Weinberg J)</w:t>
      </w:r>
      <w:r w:rsidR="00046BD5">
        <w:t xml:space="preserve"> in relation to the old rule</w:t>
      </w:r>
      <w:r w:rsidR="00755D02" w:rsidRPr="00362767">
        <w:t xml:space="preserve">; </w:t>
      </w:r>
      <w:r w:rsidR="00046BD5">
        <w:t xml:space="preserve">cited in </w:t>
      </w:r>
      <w:proofErr w:type="spellStart"/>
      <w:r w:rsidR="00755D02" w:rsidRPr="00362767">
        <w:rPr>
          <w:i/>
        </w:rPr>
        <w:t>Appleroth</w:t>
      </w:r>
      <w:proofErr w:type="spellEnd"/>
      <w:r w:rsidR="00755D02" w:rsidRPr="00362767">
        <w:rPr>
          <w:i/>
        </w:rPr>
        <w:t xml:space="preserve"> v Ferrari Australasia Pty Limited</w:t>
      </w:r>
      <w:r w:rsidR="00755D02" w:rsidRPr="00362767">
        <w:t xml:space="preserve"> [2020] FCA 756 at [9] (Snaden J)</w:t>
      </w:r>
      <w:r w:rsidR="00046BD5">
        <w:t xml:space="preserve"> in relation to the current rule</w:t>
      </w:r>
      <w:r w:rsidR="00755D02" w:rsidRPr="00362767">
        <w:t>.</w:t>
      </w:r>
      <w:r w:rsidR="00430188" w:rsidRPr="00362767">
        <w:t xml:space="preserve"> </w:t>
      </w:r>
      <w:r w:rsidR="00274086">
        <w:t xml:space="preserve"> </w:t>
      </w:r>
      <w:r w:rsidR="00755D02" w:rsidRPr="00362767">
        <w:t xml:space="preserve">Accordingly, </w:t>
      </w:r>
      <w:r w:rsidR="00430188" w:rsidRPr="00362767">
        <w:t xml:space="preserve">Cricket Australia submitted that </w:t>
      </w:r>
      <w:r w:rsidRPr="00362767">
        <w:t>there may be a proper reason that pursuant to r 2.32(3), or otherwise, the Court would make an order that specified documents, or parts thereof, remain confidential.</w:t>
      </w:r>
      <w:r w:rsidR="002E7A38" w:rsidRPr="00362767">
        <w:t xml:space="preserve">  As I have said above, the source of the power to make any of the restricted documents confidential is s 37AF of the Act, </w:t>
      </w:r>
      <w:r w:rsidR="00046BD5">
        <w:t xml:space="preserve">and </w:t>
      </w:r>
      <w:r w:rsidR="002E7A38" w:rsidRPr="00362767">
        <w:t xml:space="preserve">I shall treat the application </w:t>
      </w:r>
      <w:r w:rsidR="00046BD5">
        <w:t xml:space="preserve">made by Cricket Australia </w:t>
      </w:r>
      <w:r w:rsidR="002E7A38" w:rsidRPr="00362767">
        <w:t>as one made pursuant to that section.</w:t>
      </w:r>
    </w:p>
    <w:p w14:paraId="37899334" w14:textId="58731AFF" w:rsidR="000E2E3A" w:rsidRPr="00362767" w:rsidRDefault="000E2E3A" w:rsidP="000B7658">
      <w:pPr>
        <w:pStyle w:val="ParaNumbering"/>
      </w:pPr>
      <w:r w:rsidRPr="00362767">
        <w:t xml:space="preserve">Cricket Australia contended that the relevant reason for the Court to restrict access to the specified documents is the potential for full publication to lead to irreparable harm to Cricket Australia’s business interests </w:t>
      </w:r>
      <w:r w:rsidR="00EE5238" w:rsidRPr="00362767">
        <w:t xml:space="preserve">by disclosing commercially sensitive information, causing </w:t>
      </w:r>
      <w:r w:rsidRPr="00362767">
        <w:t xml:space="preserve">Cricket Australia to suffer financial loss </w:t>
      </w:r>
      <w:r w:rsidR="00046BD5">
        <w:t>and/</w:t>
      </w:r>
      <w:r w:rsidRPr="00362767">
        <w:t xml:space="preserve">or </w:t>
      </w:r>
      <w:r w:rsidR="00EE5238" w:rsidRPr="00362767">
        <w:t xml:space="preserve">a </w:t>
      </w:r>
      <w:r w:rsidRPr="00362767">
        <w:t xml:space="preserve">commercial disadvantage </w:t>
      </w:r>
      <w:r w:rsidR="00EE5238" w:rsidRPr="00362767">
        <w:t>in future commercial dealings and negotiations</w:t>
      </w:r>
      <w:r w:rsidR="00296FC3">
        <w:t>.</w:t>
      </w:r>
      <w:r w:rsidRPr="00362767">
        <w:t xml:space="preserve"> </w:t>
      </w:r>
    </w:p>
    <w:p w14:paraId="33E0FC5F" w14:textId="77777777" w:rsidR="000C6F9D" w:rsidRDefault="000C6F9D" w:rsidP="000B7658">
      <w:pPr>
        <w:pStyle w:val="ParaNumbering"/>
      </w:pPr>
      <w:r>
        <w:t xml:space="preserve">Cricket Australia’s objections </w:t>
      </w:r>
      <w:r w:rsidR="00EE5238">
        <w:t xml:space="preserve">to the Request </w:t>
      </w:r>
      <w:r>
        <w:t xml:space="preserve">were both general and specific. </w:t>
      </w:r>
    </w:p>
    <w:p w14:paraId="593E911E" w14:textId="77777777" w:rsidR="000C6F9D" w:rsidRDefault="000C6F9D" w:rsidP="000C6F9D">
      <w:pPr>
        <w:pStyle w:val="Heading2"/>
      </w:pPr>
      <w:r>
        <w:t xml:space="preserve">Cricket Australia’s general objections </w:t>
      </w:r>
    </w:p>
    <w:p w14:paraId="5052061D" w14:textId="77777777" w:rsidR="000C6F9D" w:rsidRDefault="000C6F9D" w:rsidP="000B7658">
      <w:pPr>
        <w:pStyle w:val="ParaNumbering"/>
      </w:pPr>
      <w:r>
        <w:t xml:space="preserve">Cricket Australia submitted that the following general matters support the proposed redaction of the specified documents. </w:t>
      </w:r>
    </w:p>
    <w:p w14:paraId="1C020EF8" w14:textId="1B9EF2A5" w:rsidR="006A31B6" w:rsidRDefault="000C6F9D" w:rsidP="000C6F9D">
      <w:pPr>
        <w:pStyle w:val="ParaNumbering"/>
      </w:pPr>
      <w:r>
        <w:t xml:space="preserve">First, Cricket Australia submitted that much of the material has not been revealed to anyone other than </w:t>
      </w:r>
      <w:r w:rsidR="0033326E">
        <w:t xml:space="preserve">to Seven </w:t>
      </w:r>
      <w:r>
        <w:t>and the Court.</w:t>
      </w:r>
      <w:r w:rsidR="006373DC">
        <w:t xml:space="preserve"> </w:t>
      </w:r>
    </w:p>
    <w:p w14:paraId="75C154AF" w14:textId="6E89CD7D" w:rsidR="000C6F9D" w:rsidRPr="00362767" w:rsidRDefault="006A31B6" w:rsidP="000C6F9D">
      <w:pPr>
        <w:pStyle w:val="ParaNumbering"/>
      </w:pPr>
      <w:r w:rsidRPr="00362767">
        <w:t>Cricket Australia submitted that</w:t>
      </w:r>
      <w:r w:rsidR="00B34734" w:rsidRPr="00362767">
        <w:t xml:space="preserve"> if the information contained in the requested documents were disclosed, it is </w:t>
      </w:r>
      <w:r w:rsidR="000C6F9D" w:rsidRPr="00362767">
        <w:t xml:space="preserve">likely to prejudice Cricket Australia’s ability to negotiate future media rights agreements with broadcast partners, </w:t>
      </w:r>
      <w:r w:rsidR="00430188" w:rsidRPr="00362767">
        <w:t>as</w:t>
      </w:r>
      <w:r w:rsidR="000C6F9D" w:rsidRPr="00362767">
        <w:t xml:space="preserve"> potential </w:t>
      </w:r>
      <w:r w:rsidR="009B37F2" w:rsidRPr="00362767">
        <w:t>counterparties</w:t>
      </w:r>
      <w:r w:rsidR="000C6F9D" w:rsidRPr="00362767">
        <w:t xml:space="preserve"> would become aware of the terms that Cricket Australia had agreed with Seven</w:t>
      </w:r>
      <w:r w:rsidR="009B37F2" w:rsidRPr="00362767">
        <w:t>.</w:t>
      </w:r>
      <w:r w:rsidR="003B5B12" w:rsidRPr="00362767">
        <w:t xml:space="preserve"> </w:t>
      </w:r>
      <w:r w:rsidR="00274086">
        <w:t xml:space="preserve"> </w:t>
      </w:r>
      <w:r w:rsidR="00E11101">
        <w:t>Cricket Australia</w:t>
      </w:r>
      <w:r w:rsidR="003B5B12" w:rsidRPr="00362767">
        <w:t xml:space="preserve"> submitted that</w:t>
      </w:r>
      <w:r w:rsidR="0013706A" w:rsidRPr="00362767">
        <w:t xml:space="preserve"> disclosure </w:t>
      </w:r>
      <w:r w:rsidR="0013706A" w:rsidRPr="00362767">
        <w:lastRenderedPageBreak/>
        <w:t xml:space="preserve">of this information </w:t>
      </w:r>
      <w:r w:rsidR="007F3C07">
        <w:t xml:space="preserve">would </w:t>
      </w:r>
      <w:r w:rsidR="00046BD5">
        <w:t xml:space="preserve">also </w:t>
      </w:r>
      <w:r w:rsidR="007F3C07">
        <w:t xml:space="preserve">lead to </w:t>
      </w:r>
      <w:r w:rsidR="0083559A" w:rsidRPr="00362767">
        <w:t xml:space="preserve">counterparties </w:t>
      </w:r>
      <w:r w:rsidR="007F3C07">
        <w:t xml:space="preserve">having a potential and/or perceived advantage </w:t>
      </w:r>
      <w:r w:rsidR="007F3C07" w:rsidRPr="00E11101">
        <w:t>over Cricket Australia in</w:t>
      </w:r>
      <w:r w:rsidR="007F3C07">
        <w:t xml:space="preserve"> future media rights negotiations</w:t>
      </w:r>
      <w:r w:rsidR="00E13AB1" w:rsidRPr="00362767">
        <w:t>.</w:t>
      </w:r>
    </w:p>
    <w:p w14:paraId="14DAA8BA" w14:textId="15E0638A" w:rsidR="000C6F9D" w:rsidRDefault="000C6F9D" w:rsidP="000C6F9D">
      <w:pPr>
        <w:pStyle w:val="ParaNumbering"/>
      </w:pPr>
      <w:r>
        <w:t xml:space="preserve">Second, the </w:t>
      </w:r>
      <w:r w:rsidR="00EE5238">
        <w:t xml:space="preserve">essence </w:t>
      </w:r>
      <w:r>
        <w:t xml:space="preserve">of Seven’s </w:t>
      </w:r>
      <w:r w:rsidR="00EE5238">
        <w:t xml:space="preserve">contention </w:t>
      </w:r>
      <w:r>
        <w:t xml:space="preserve">is that it may have a right to obtain relief as a result of </w:t>
      </w:r>
      <w:r w:rsidR="00EE5238">
        <w:t xml:space="preserve">Cricket Australia’s putative breach </w:t>
      </w:r>
      <w:r>
        <w:t>of cl 6.9(b) of the MRA.</w:t>
      </w:r>
      <w:r w:rsidR="006373DC">
        <w:t xml:space="preserve"> </w:t>
      </w:r>
      <w:r w:rsidR="00274086">
        <w:t xml:space="preserve"> </w:t>
      </w:r>
      <w:r w:rsidR="00177A69">
        <w:t>Accordingly,</w:t>
      </w:r>
      <w:r w:rsidR="00020CA9">
        <w:t xml:space="preserve"> Cricket Australia submitted that d</w:t>
      </w:r>
      <w:r>
        <w:t xml:space="preserve">isclosure of the affidavits and exhibits </w:t>
      </w:r>
      <w:r w:rsidR="00EE5238">
        <w:t xml:space="preserve">specified in the Request </w:t>
      </w:r>
      <w:r>
        <w:t>would not assist the public in a full and frank understanding of such a case.</w:t>
      </w:r>
      <w:r w:rsidR="006373DC">
        <w:t xml:space="preserve"> </w:t>
      </w:r>
      <w:r w:rsidR="00274086">
        <w:t xml:space="preserve"> </w:t>
      </w:r>
      <w:r w:rsidR="00020CA9">
        <w:t xml:space="preserve">This position </w:t>
      </w:r>
      <w:r>
        <w:t xml:space="preserve">was analogous to </w:t>
      </w:r>
      <w:r w:rsidR="00EE5238">
        <w:t xml:space="preserve">the conclusion reached </w:t>
      </w:r>
      <w:r w:rsidR="00020CA9">
        <w:t xml:space="preserve">in </w:t>
      </w:r>
      <w:r w:rsidRPr="000C6F9D">
        <w:rPr>
          <w:i/>
        </w:rPr>
        <w:t>Strategic Management Australia AFL Pty Ltd v Precision Sports and Entertainment Group Pty Ltd</w:t>
      </w:r>
      <w:r>
        <w:t xml:space="preserve"> [2015] VSC 717 at [31], where </w:t>
      </w:r>
      <w:proofErr w:type="spellStart"/>
      <w:r>
        <w:t>Sifris</w:t>
      </w:r>
      <w:proofErr w:type="spellEnd"/>
      <w:r>
        <w:t xml:space="preserve"> J explained: </w:t>
      </w:r>
    </w:p>
    <w:p w14:paraId="23879175" w14:textId="77777777" w:rsidR="000C6F9D" w:rsidRDefault="000C6F9D" w:rsidP="000C6F9D">
      <w:pPr>
        <w:pStyle w:val="Quote1"/>
      </w:pPr>
      <w:r w:rsidRPr="000C6F9D">
        <w:t>Finally, and in summary, restricting the disclosure of the Private Information does not impinge on the jurisprudential basis which underpins the principle of open justice.</w:t>
      </w:r>
      <w:r w:rsidR="006373DC">
        <w:t xml:space="preserve"> </w:t>
      </w:r>
      <w:r w:rsidRPr="000C6F9D">
        <w:t>As stated, the ability to comprehend the case and evaluate the court’s decision and conduct is not compromised.</w:t>
      </w:r>
      <w:r w:rsidR="006373DC">
        <w:t xml:space="preserve"> </w:t>
      </w:r>
      <w:r w:rsidRPr="000C6F9D">
        <w:t>Full scrutiny to detect any abuse of power, arbitrariness, or idiosyncratic behaviour, is not affected.</w:t>
      </w:r>
      <w:r w:rsidR="006373DC">
        <w:t xml:space="preserve"> </w:t>
      </w:r>
      <w:r w:rsidRPr="000C6F9D">
        <w:t>Accordingly, preserving the confidentiality of the Private Information is, in my opinion, in the public interest for the reasons given.</w:t>
      </w:r>
    </w:p>
    <w:p w14:paraId="22E3FD96" w14:textId="21A63453" w:rsidR="000C6F9D" w:rsidRDefault="000C6F9D" w:rsidP="00EE5238">
      <w:pPr>
        <w:pStyle w:val="ParaNumbering"/>
      </w:pPr>
      <w:r>
        <w:t xml:space="preserve">Third, Cricket Australia </w:t>
      </w:r>
      <w:r w:rsidR="00EE5238">
        <w:t xml:space="preserve">submitted </w:t>
      </w:r>
      <w:r>
        <w:t xml:space="preserve">that </w:t>
      </w:r>
      <w:r w:rsidR="00EE5238">
        <w:t xml:space="preserve">much of the material before the Court has not yet been tested, or completely tested, </w:t>
      </w:r>
      <w:r>
        <w:t>given the nature of the pr</w:t>
      </w:r>
      <w:r w:rsidR="00EE5238">
        <w:t>eliminary discovery application</w:t>
      </w:r>
      <w:r>
        <w:t xml:space="preserve"> </w:t>
      </w:r>
      <w:r w:rsidR="00EE5238">
        <w:t>and the importance of that applic</w:t>
      </w:r>
      <w:r w:rsidR="0031073E">
        <w:t>ation not being conducted as a “mini-trial”</w:t>
      </w:r>
      <w:r w:rsidR="00EE5238">
        <w:t xml:space="preserve">: see, </w:t>
      </w:r>
      <w:proofErr w:type="spellStart"/>
      <w:r w:rsidR="00EE5238">
        <w:t>eg</w:t>
      </w:r>
      <w:proofErr w:type="spellEnd"/>
      <w:r w:rsidR="00EE5238">
        <w:t xml:space="preserve">, </w:t>
      </w:r>
      <w:r w:rsidR="00EE5238" w:rsidRPr="00EE5238">
        <w:rPr>
          <w:i/>
        </w:rPr>
        <w:t xml:space="preserve">Pfizer Ireland Pharmaceuticals v Samsung </w:t>
      </w:r>
      <w:proofErr w:type="spellStart"/>
      <w:r w:rsidR="00EE5238" w:rsidRPr="00EE5238">
        <w:rPr>
          <w:i/>
        </w:rPr>
        <w:t>Bioepis</w:t>
      </w:r>
      <w:proofErr w:type="spellEnd"/>
      <w:r w:rsidR="00EE5238" w:rsidRPr="00EE5238">
        <w:rPr>
          <w:i/>
        </w:rPr>
        <w:t xml:space="preserve"> AU Pty Ltd</w:t>
      </w:r>
      <w:r w:rsidR="00EE5238" w:rsidRPr="00EE5238">
        <w:t xml:space="preserve"> [2017] FCAFC 193; 257 FCR 62, Allsop CJ (at [2]) and Perram J (at [119], [126])</w:t>
      </w:r>
      <w:r w:rsidR="00EE5238">
        <w:t>.</w:t>
      </w:r>
      <w:r w:rsidR="006373DC">
        <w:t xml:space="preserve"> </w:t>
      </w:r>
    </w:p>
    <w:p w14:paraId="1F84334B" w14:textId="6C7568F5" w:rsidR="000C6F9D" w:rsidRDefault="000C6F9D" w:rsidP="00020CA9">
      <w:pPr>
        <w:pStyle w:val="ParaNumbering"/>
      </w:pPr>
      <w:r>
        <w:t xml:space="preserve">Fourth, Cricket Australia submitted that it is otherwise not in the interests of justice for specific confidential and sensitive information to be </w:t>
      </w:r>
      <w:r w:rsidR="00EE5238">
        <w:t xml:space="preserve">disclosed </w:t>
      </w:r>
      <w:r>
        <w:t>in circumstances where Cricket Australia relied on much of that material in opposition to an application in respect of a proc</w:t>
      </w:r>
      <w:r w:rsidR="00020CA9">
        <w:t xml:space="preserve">eeding </w:t>
      </w:r>
      <w:r>
        <w:t>which may never be commenced.</w:t>
      </w:r>
      <w:r w:rsidR="006373DC">
        <w:t xml:space="preserve"> </w:t>
      </w:r>
      <w:r w:rsidR="00274086">
        <w:t xml:space="preserve"> </w:t>
      </w:r>
      <w:r w:rsidR="00020CA9">
        <w:t>Cricket Australia submitted that t</w:t>
      </w:r>
      <w:r>
        <w:t xml:space="preserve">o find otherwise </w:t>
      </w:r>
      <w:r w:rsidR="00EE5238">
        <w:t>might not only signal that the Court was not paying proper regard to confidentiality but also “</w:t>
      </w:r>
      <w:r w:rsidR="00020CA9">
        <w:t xml:space="preserve">might open the way to abuse”: </w:t>
      </w:r>
      <w:r w:rsidR="00020CA9" w:rsidRPr="00020CA9">
        <w:rPr>
          <w:i/>
        </w:rPr>
        <w:t>Australian Broadcasting Commission v Parish</w:t>
      </w:r>
      <w:r w:rsidR="00EE5238">
        <w:t xml:space="preserve"> </w:t>
      </w:r>
      <w:r w:rsidR="00716A5E">
        <w:t>[</w:t>
      </w:r>
      <w:r w:rsidR="00EE5238">
        <w:t>1980</w:t>
      </w:r>
      <w:r w:rsidR="00716A5E">
        <w:t>] FCA 33,</w:t>
      </w:r>
      <w:r w:rsidR="00EE5238">
        <w:t xml:space="preserve"> </w:t>
      </w:r>
      <w:r w:rsidR="00020CA9">
        <w:t>29 ALR 228 at 235 (</w:t>
      </w:r>
      <w:r w:rsidR="00EE5238">
        <w:t>Bowen CJ</w:t>
      </w:r>
      <w:r w:rsidR="00020CA9">
        <w:t xml:space="preserve">). </w:t>
      </w:r>
    </w:p>
    <w:p w14:paraId="2DB088E2" w14:textId="77777777" w:rsidR="000C6F9D" w:rsidRDefault="000C6F9D" w:rsidP="000C6F9D">
      <w:pPr>
        <w:pStyle w:val="Heading2"/>
      </w:pPr>
      <w:r>
        <w:t>Cricket Australia’s specific objections</w:t>
      </w:r>
    </w:p>
    <w:p w14:paraId="68800843" w14:textId="62DEEC57" w:rsidR="000C6F9D" w:rsidRPr="00362767" w:rsidRDefault="000C6F9D" w:rsidP="000C6F9D">
      <w:pPr>
        <w:pStyle w:val="ParaNumbering"/>
      </w:pPr>
      <w:r w:rsidRPr="00362767">
        <w:t xml:space="preserve">Cricket Australia also identified four </w:t>
      </w:r>
      <w:r w:rsidR="00EE5238" w:rsidRPr="00362767">
        <w:t xml:space="preserve">specific </w:t>
      </w:r>
      <w:r w:rsidRPr="00362767">
        <w:t xml:space="preserve">matters in relation to which it said </w:t>
      </w:r>
      <w:r w:rsidR="00EE5238" w:rsidRPr="00362767">
        <w:t>redactions and/or confidentiality</w:t>
      </w:r>
      <w:r w:rsidR="00046BD5">
        <w:t xml:space="preserve"> orders were necessary</w:t>
      </w:r>
      <w:r w:rsidR="004C6A3B">
        <w:t xml:space="preserve">.  </w:t>
      </w:r>
      <w:r w:rsidR="00DA339B" w:rsidRPr="00362767">
        <w:t xml:space="preserve">I paraphrase </w:t>
      </w:r>
      <w:r w:rsidR="00046BD5">
        <w:t xml:space="preserve">those </w:t>
      </w:r>
      <w:r w:rsidR="00DA339B" w:rsidRPr="00362767">
        <w:t xml:space="preserve">four bases below. </w:t>
      </w:r>
    </w:p>
    <w:p w14:paraId="12C9DB18" w14:textId="6E714606" w:rsidR="00DA339B" w:rsidRDefault="000C6F9D" w:rsidP="000C6F9D">
      <w:pPr>
        <w:pStyle w:val="ParaNumbering"/>
      </w:pPr>
      <w:r>
        <w:t>First</w:t>
      </w:r>
      <w:r w:rsidR="00DA339B">
        <w:t>, Cricket Australia submitted that the MRA and its contents are confidential and many aspects of the document are commercially sensitive.</w:t>
      </w:r>
      <w:r w:rsidR="006373DC">
        <w:t xml:space="preserve"> </w:t>
      </w:r>
      <w:r w:rsidR="00274086">
        <w:t xml:space="preserve"> </w:t>
      </w:r>
      <w:r w:rsidR="00DA339B">
        <w:t>Public disclosure of those terms is capable of prejudicing Cricket Australia’s ability to negotiate media rights agreements in the future.</w:t>
      </w:r>
    </w:p>
    <w:p w14:paraId="64E6D8A5" w14:textId="74BACB04" w:rsidR="000C6F9D" w:rsidRDefault="00DA339B" w:rsidP="000C6F9D">
      <w:pPr>
        <w:pStyle w:val="ParaNumbering"/>
      </w:pPr>
      <w:r>
        <w:lastRenderedPageBreak/>
        <w:t>Second, Cricket Australia submitted that the Expert Determination process undertaken by the parties is subject to the MRA’s confidentiality clause.</w:t>
      </w:r>
      <w:r w:rsidR="006373DC">
        <w:t xml:space="preserve"> </w:t>
      </w:r>
      <w:r w:rsidR="00274086">
        <w:t xml:space="preserve"> </w:t>
      </w:r>
      <w:r>
        <w:t>The appointed expert is also subject to a confidentiality obligation.</w:t>
      </w:r>
      <w:r w:rsidR="006373DC">
        <w:t xml:space="preserve"> </w:t>
      </w:r>
      <w:r w:rsidR="001429A2">
        <w:t xml:space="preserve"> </w:t>
      </w:r>
      <w:r>
        <w:t>Cricket Australia submitted that confidentiality is proper and necessary, as the Expert Determination process involves a detailed assessment of the value of rights granted by Cricket Australia to Seven under the MRA.</w:t>
      </w:r>
      <w:r w:rsidR="006373DC">
        <w:t xml:space="preserve"> </w:t>
      </w:r>
      <w:r w:rsidR="00274086">
        <w:t xml:space="preserve"> </w:t>
      </w:r>
      <w:r>
        <w:t xml:space="preserve">As above, disclosure of such commercially sensitive information would undermine Cricket Australia’s ability to negotiate future media rights agreements. </w:t>
      </w:r>
    </w:p>
    <w:p w14:paraId="0712233D" w14:textId="1F79336A" w:rsidR="00DA339B" w:rsidRDefault="00DA339B" w:rsidP="000C6F9D">
      <w:pPr>
        <w:pStyle w:val="ParaNumbering"/>
      </w:pPr>
      <w:r>
        <w:t>Third, Cricket Australia submitted that public disclosure of draft schedule</w:t>
      </w:r>
      <w:r w:rsidR="004C6A3B">
        <w:t>s</w:t>
      </w:r>
      <w:r>
        <w:t xml:space="preserve"> proposed by Cricket Australia would prejudice Cricket Australia’s ability to negotiate with stadium management and other relevant stakeholders.</w:t>
      </w:r>
      <w:r w:rsidR="006373DC">
        <w:t xml:space="preserve"> </w:t>
      </w:r>
      <w:r w:rsidR="00274086">
        <w:t xml:space="preserve"> </w:t>
      </w:r>
      <w:r>
        <w:t xml:space="preserve">Cricket Australia submitted that these are, in effect, commercial working papers, which are exploratory in nature and not Board-endorsed positions and it would </w:t>
      </w:r>
      <w:r w:rsidR="004C6A3B">
        <w:t xml:space="preserve">therefore </w:t>
      </w:r>
      <w:r>
        <w:t xml:space="preserve">be improper that they be made public. </w:t>
      </w:r>
    </w:p>
    <w:p w14:paraId="5DDE80D9" w14:textId="66949BA2" w:rsidR="00DA339B" w:rsidRDefault="00DA339B" w:rsidP="000C6F9D">
      <w:pPr>
        <w:pStyle w:val="ParaNumbering"/>
      </w:pPr>
      <w:r>
        <w:t>Fourth, Cricket Australia submitted that there are other materials containing commercially sensitive information.</w:t>
      </w:r>
      <w:r w:rsidR="006373DC">
        <w:t xml:space="preserve"> </w:t>
      </w:r>
      <w:r w:rsidR="00274086">
        <w:t xml:space="preserve"> </w:t>
      </w:r>
      <w:r>
        <w:t xml:space="preserve">Amongst other things, that includes information about financial support provided to BBL teams and information regarding the performance of the BBL, </w:t>
      </w:r>
      <w:r w:rsidR="00274086">
        <w:t xml:space="preserve">in </w:t>
      </w:r>
      <w:r>
        <w:t xml:space="preserve">relation to which it is prudent to say less rather than more. </w:t>
      </w:r>
      <w:r w:rsidR="00274086">
        <w:t xml:space="preserve"> </w:t>
      </w:r>
      <w:r>
        <w:t xml:space="preserve">I have also considered </w:t>
      </w:r>
      <w:r w:rsidR="001429A2">
        <w:t>the</w:t>
      </w:r>
      <w:r w:rsidR="00046BD5">
        <w:t>se</w:t>
      </w:r>
      <w:r w:rsidR="001429A2">
        <w:t xml:space="preserve"> </w:t>
      </w:r>
      <w:r>
        <w:t xml:space="preserve">specific objections to the disclosure of </w:t>
      </w:r>
      <w:r w:rsidR="001429A2">
        <w:t>the restricted documents</w:t>
      </w:r>
      <w:r>
        <w:t xml:space="preserve">. </w:t>
      </w:r>
    </w:p>
    <w:p w14:paraId="3C01ECAF" w14:textId="17A2CC38" w:rsidR="000E2E3A" w:rsidRDefault="00981A74" w:rsidP="000E2E3A">
      <w:pPr>
        <w:pStyle w:val="Heading1"/>
      </w:pPr>
      <w:r>
        <w:t>C</w:t>
      </w:r>
      <w:r w:rsidR="000E2E3A">
        <w:t xml:space="preserve">onsideration </w:t>
      </w:r>
    </w:p>
    <w:p w14:paraId="30E1C5F9" w14:textId="6ADE437F" w:rsidR="000E2E3A" w:rsidRDefault="000E2E3A" w:rsidP="000B7658">
      <w:pPr>
        <w:pStyle w:val="ParaNumbering"/>
      </w:pPr>
      <w:r>
        <w:t xml:space="preserve">During the course of the preliminary discovery hearing, I observed that the principles applicable to protecting </w:t>
      </w:r>
      <w:r w:rsidR="00651B44">
        <w:t xml:space="preserve">confidential information </w:t>
      </w:r>
      <w:r>
        <w:t xml:space="preserve">might be expected to operate more favourably </w:t>
      </w:r>
      <w:r w:rsidR="00651B44">
        <w:t xml:space="preserve">in the context of a preliminary discovery application </w:t>
      </w:r>
      <w:r>
        <w:t xml:space="preserve">for a party seeking to suppress </w:t>
      </w:r>
      <w:r w:rsidR="00651B44">
        <w:t xml:space="preserve">commercially sensitive </w:t>
      </w:r>
      <w:r>
        <w:t>material.</w:t>
      </w:r>
      <w:r w:rsidR="006373DC">
        <w:t xml:space="preserve"> </w:t>
      </w:r>
      <w:r w:rsidR="00274086">
        <w:t xml:space="preserve"> </w:t>
      </w:r>
      <w:r>
        <w:t>There are good reasons for such an approach, including that</w:t>
      </w:r>
      <w:r w:rsidR="00651B44">
        <w:t xml:space="preserve"> at this stage</w:t>
      </w:r>
      <w:r w:rsidR="00DA339B">
        <w:t>,</w:t>
      </w:r>
      <w:r>
        <w:t xml:space="preserve"> the proceeding is putative only and the prospective respondent is not yet subjec</w:t>
      </w:r>
      <w:r w:rsidR="00762B51">
        <w:t>t</w:t>
      </w:r>
      <w:r w:rsidR="00430188">
        <w:t xml:space="preserve"> </w:t>
      </w:r>
      <w:r>
        <w:t>to the full coercive powers of the Court</w:t>
      </w:r>
      <w:r w:rsidR="00762B51">
        <w:t xml:space="preserve"> in relation to discovery between parties to a proceeding. </w:t>
      </w:r>
    </w:p>
    <w:p w14:paraId="6074B779" w14:textId="02AF0BDB" w:rsidR="000E2E3A" w:rsidRDefault="000E2E3A" w:rsidP="000E2E3A">
      <w:pPr>
        <w:pStyle w:val="ParaNumbering"/>
      </w:pPr>
      <w:r>
        <w:t xml:space="preserve">This </w:t>
      </w:r>
      <w:r w:rsidR="00DA339B">
        <w:t xml:space="preserve">observation </w:t>
      </w:r>
      <w:r>
        <w:t>is consistent with</w:t>
      </w:r>
      <w:r w:rsidR="006843E4">
        <w:t xml:space="preserve"> observations by</w:t>
      </w:r>
      <w:r>
        <w:t xml:space="preserve"> </w:t>
      </w:r>
      <w:proofErr w:type="spellStart"/>
      <w:r>
        <w:t>Cowdroy</w:t>
      </w:r>
      <w:proofErr w:type="spellEnd"/>
      <w:r>
        <w:t xml:space="preserve"> J in </w:t>
      </w:r>
      <w:proofErr w:type="spellStart"/>
      <w:r w:rsidRPr="000E2E3A">
        <w:rPr>
          <w:i/>
        </w:rPr>
        <w:t>Churche</w:t>
      </w:r>
      <w:proofErr w:type="spellEnd"/>
      <w:r w:rsidRPr="000E2E3A">
        <w:rPr>
          <w:i/>
        </w:rPr>
        <w:t xml:space="preserve"> v Australian Prudential Regulation Authority (No 3)</w:t>
      </w:r>
      <w:r w:rsidRPr="000E2E3A">
        <w:t xml:space="preserve"> [2006] FCA 1168</w:t>
      </w:r>
      <w:r>
        <w:t xml:space="preserve"> at [19], in which his Honour said: </w:t>
      </w:r>
    </w:p>
    <w:p w14:paraId="78AF8AE0" w14:textId="77777777" w:rsidR="000E2E3A" w:rsidRDefault="000E2E3A" w:rsidP="000E2E3A">
      <w:pPr>
        <w:pStyle w:val="Quote1"/>
      </w:pPr>
      <w:r w:rsidRPr="000E2E3A">
        <w:t>It is important to bear in mind that the application before this Court is an application for preliminary discovery. Further, only an interlocutory hearing has taken place, so the ultimate merits of the applicant’s preliminary discovery claim have not yet been considered and much of the evidence filed in the proceedings has not yet been read in open court.</w:t>
      </w:r>
      <w:r>
        <w:t xml:space="preserve"> </w:t>
      </w:r>
    </w:p>
    <w:p w14:paraId="016F9F20" w14:textId="601DE6A4" w:rsidR="006373DC" w:rsidRDefault="006373DC" w:rsidP="006373DC">
      <w:pPr>
        <w:pStyle w:val="ParaNumbering"/>
      </w:pPr>
      <w:r>
        <w:t>I am satisfied that Cricket Australia has proposed a regime which</w:t>
      </w:r>
      <w:r w:rsidR="00384AC7">
        <w:t xml:space="preserve"> is proportionate and adapted to the </w:t>
      </w:r>
      <w:r w:rsidR="00A35153">
        <w:t xml:space="preserve">commercial risks upon which its application is founded. </w:t>
      </w:r>
      <w:r>
        <w:t xml:space="preserve"> As Hayne JA (as he then was) </w:t>
      </w:r>
      <w:r>
        <w:lastRenderedPageBreak/>
        <w:t xml:space="preserve">explained in </w:t>
      </w:r>
      <w:r w:rsidRPr="006373DC">
        <w:rPr>
          <w:i/>
        </w:rPr>
        <w:t xml:space="preserve">Mobil Oil Australia Ltd &amp; McDonalds Australia Ltd v </w:t>
      </w:r>
      <w:proofErr w:type="spellStart"/>
      <w:r w:rsidRPr="006373DC">
        <w:rPr>
          <w:i/>
        </w:rPr>
        <w:t>Guina</w:t>
      </w:r>
      <w:proofErr w:type="spellEnd"/>
      <w:r w:rsidRPr="006373DC">
        <w:rPr>
          <w:i/>
        </w:rPr>
        <w:t xml:space="preserve"> Developments Pty Ltd</w:t>
      </w:r>
      <w:r>
        <w:t xml:space="preserve"> [1996] 2 VR 34 at 38 (</w:t>
      </w:r>
      <w:proofErr w:type="spellStart"/>
      <w:r>
        <w:t>Winneke</w:t>
      </w:r>
      <w:proofErr w:type="spellEnd"/>
      <w:r>
        <w:t xml:space="preserve"> P and Phillips JA agreeing at 35)</w:t>
      </w:r>
      <w:r w:rsidR="00274086">
        <w:t>:</w:t>
      </w:r>
    </w:p>
    <w:p w14:paraId="323849E5" w14:textId="77777777" w:rsidR="006373DC" w:rsidRDefault="006373DC" w:rsidP="006373DC">
      <w:pPr>
        <w:pStyle w:val="Quote1"/>
      </w:pPr>
      <w:bookmarkStart w:id="22" w:name="PastedTemp70"/>
      <w:r w:rsidRPr="006373DC">
        <w:t>Once the documents are inspected by the principals of the trade rival the information which is revealed is known to the trade rival and cannot he forgotten. Confidentiality is destroyed once and for all (at least so far as the particular trade rival is concerned). To say that the trade rival is bound not to use the documents except for the purposes of the action concerned is, in a case such as this, to impose upon that trade rival an obligation that is impossible of performance by him and impossible of enforcement by the party w</w:t>
      </w:r>
      <w:r>
        <w:t>hose secrets have been revealed.</w:t>
      </w:r>
      <w:r w:rsidRPr="006373DC">
        <w:t xml:space="preserve"> How is the trade rival to forget what internal rate of return the competitor seeks to achieve on a new investment of the kind in question? How is the party whose hurdle rate has been revealed to know whether the rival has used the information in framing a tender? Thus, if the trade rival may inspect the documents concerned, </w:t>
      </w:r>
      <w:r>
        <w:t>the confidentiality of the inform</w:t>
      </w:r>
      <w:r w:rsidRPr="006373DC">
        <w:t xml:space="preserve">ation in them is </w:t>
      </w:r>
      <w:r>
        <w:t>at once destroyed.</w:t>
      </w:r>
      <w:r w:rsidRPr="006373DC">
        <w:t xml:space="preserve"> </w:t>
      </w:r>
      <w:r w:rsidRPr="006373DC">
        <w:rPr>
          <w:b/>
        </w:rPr>
        <w:t>Is that necessary for the attainment of justice in the particular case?</w:t>
      </w:r>
      <w:r>
        <w:t xml:space="preserve"> </w:t>
      </w:r>
      <w:bookmarkEnd w:id="22"/>
    </w:p>
    <w:p w14:paraId="3477A3AB" w14:textId="77777777" w:rsidR="006373DC" w:rsidRDefault="006373DC" w:rsidP="006373DC">
      <w:pPr>
        <w:pStyle w:val="Quote1"/>
      </w:pPr>
      <w:r>
        <w:t>[Emphasis added]</w:t>
      </w:r>
    </w:p>
    <w:p w14:paraId="2CAD59EC" w14:textId="4BCD77BE" w:rsidR="004B0570" w:rsidRDefault="006373DC" w:rsidP="006373DC">
      <w:pPr>
        <w:pStyle w:val="ParaNumbering"/>
      </w:pPr>
      <w:r>
        <w:t>In th</w:t>
      </w:r>
      <w:r w:rsidR="00BE1579">
        <w:t xml:space="preserve">e present </w:t>
      </w:r>
      <w:r>
        <w:t>case, the orders</w:t>
      </w:r>
      <w:r w:rsidR="00BD2B04">
        <w:t xml:space="preserve"> sought by Cricket Australia</w:t>
      </w:r>
      <w:r>
        <w:t xml:space="preserve"> are directed to maintaining the confidentiality of only those parts of affidavits and exhibits that contain sensitive commercial information.</w:t>
      </w:r>
      <w:r w:rsidR="00BD2B04">
        <w:t xml:space="preserve"> </w:t>
      </w:r>
      <w:r w:rsidR="00274086">
        <w:t xml:space="preserve"> </w:t>
      </w:r>
      <w:r w:rsidR="001F0AEE">
        <w:t xml:space="preserve">For the reasons I have given above, I am satisfied that </w:t>
      </w:r>
      <w:r w:rsidR="001949D0">
        <w:t xml:space="preserve">it is in the interests of justice that </w:t>
      </w:r>
      <w:r w:rsidR="00792307">
        <w:t xml:space="preserve">Cricket Australia’s legitimate commercial interests in protecting sensitive commercial information </w:t>
      </w:r>
      <w:r w:rsidR="00235F6F">
        <w:t xml:space="preserve">should be recognised.  </w:t>
      </w:r>
      <w:r w:rsidR="00E87B50">
        <w:t>In particular</w:t>
      </w:r>
      <w:r w:rsidR="00046BD5">
        <w:t>,</w:t>
      </w:r>
      <w:r w:rsidR="00E87B50">
        <w:t xml:space="preserve"> Cricket Australia</w:t>
      </w:r>
      <w:r w:rsidR="009D4708">
        <w:t xml:space="preserve">’s bargaining position </w:t>
      </w:r>
      <w:r w:rsidR="009C5DDE">
        <w:t xml:space="preserve">in future negotiations with other potential </w:t>
      </w:r>
      <w:r w:rsidR="00977877">
        <w:t>counterparties</w:t>
      </w:r>
      <w:r w:rsidR="009C5DDE">
        <w:t xml:space="preserve"> should not be </w:t>
      </w:r>
      <w:r w:rsidR="00B4215D">
        <w:t xml:space="preserve">put at risk of prejudice by the disclosure of the documents in </w:t>
      </w:r>
      <w:proofErr w:type="spellStart"/>
      <w:r w:rsidR="00B4215D">
        <w:t>unredacted</w:t>
      </w:r>
      <w:proofErr w:type="spellEnd"/>
      <w:r w:rsidR="00B4215D">
        <w:t xml:space="preserve"> form.</w:t>
      </w:r>
    </w:p>
    <w:p w14:paraId="6CCEB56A" w14:textId="286578F3" w:rsidR="006373DC" w:rsidRDefault="004B0570" w:rsidP="006373DC">
      <w:pPr>
        <w:pStyle w:val="ParaNumbering"/>
      </w:pPr>
      <w:r>
        <w:t xml:space="preserve">Accordingly, I shall make the orders sought by Cricket Australia, save in respect of </w:t>
      </w:r>
      <w:r w:rsidR="00302EB6">
        <w:t xml:space="preserve">the redactions it sought in relation to its written submissions. </w:t>
      </w:r>
      <w:r w:rsidR="00274086">
        <w:t xml:space="preserve"> </w:t>
      </w:r>
      <w:r w:rsidR="00302EB6">
        <w:t>I am not satisfied tha</w:t>
      </w:r>
      <w:r w:rsidR="00377FDF">
        <w:t xml:space="preserve">t the submissions contain </w:t>
      </w:r>
      <w:r w:rsidR="007E2703">
        <w:t>information which</w:t>
      </w:r>
      <w:r w:rsidR="00430188">
        <w:t>,</w:t>
      </w:r>
      <w:r w:rsidR="007E2703">
        <w:t xml:space="preserve"> if disclosed</w:t>
      </w:r>
      <w:r w:rsidR="00430188">
        <w:t>,</w:t>
      </w:r>
      <w:r w:rsidR="007E2703">
        <w:t xml:space="preserve"> woul</w:t>
      </w:r>
      <w:r w:rsidR="005B2B71">
        <w:t>d risk causing commercial prejudice to Cri</w:t>
      </w:r>
      <w:r w:rsidR="00AC040D">
        <w:t>cket Australia.</w:t>
      </w:r>
    </w:p>
    <w:p w14:paraId="3888CB29" w14:textId="77777777" w:rsidR="00981A74" w:rsidRDefault="006373DC" w:rsidP="006373DC">
      <w:pPr>
        <w:pStyle w:val="ParaNumbering"/>
      </w:pPr>
      <w:r>
        <w:t xml:space="preserve">Further, as alluded to above, I have made those orders pursuant to s 37AF of the Act, as I accept Seven’s submission that it is proper and necessary to do so.  For the avoidance of doubt, I do not, however, accept Seven’s submission that because the documents have been ventilated in open court, it would now undermine the legislative scheme, and the primacy it places on the public interest in open justice in s 37AE, by making those orders.  </w:t>
      </w:r>
    </w:p>
    <w:p w14:paraId="3517AB4D" w14:textId="7270B682" w:rsidR="00981A74" w:rsidRDefault="006373DC" w:rsidP="006373DC">
      <w:pPr>
        <w:pStyle w:val="ParaNumbering"/>
      </w:pPr>
      <w:r>
        <w:t xml:space="preserve">The issue of confidentiality was a live one during the hearing and </w:t>
      </w:r>
      <w:r w:rsidR="00981A74">
        <w:t xml:space="preserve">Cricket Australia foreshadowed that it might seek confidentiality </w:t>
      </w:r>
      <w:r>
        <w:t xml:space="preserve">orders </w:t>
      </w:r>
      <w:r w:rsidR="002E7A38" w:rsidRPr="002E7A38">
        <w:t>if a request</w:t>
      </w:r>
      <w:r w:rsidR="002E7A38">
        <w:t xml:space="preserve"> for access by a non-party were to be made.  Subsequent to the hearing of the substantive application, the Request was </w:t>
      </w:r>
      <w:r w:rsidR="002E7A38">
        <w:lastRenderedPageBreak/>
        <w:t>made and</w:t>
      </w:r>
      <w:r w:rsidR="001429A2">
        <w:t xml:space="preserve"> </w:t>
      </w:r>
      <w:r w:rsidR="002E7A38">
        <w:t xml:space="preserve">Cricket Australia made </w:t>
      </w:r>
      <w:r w:rsidR="00981A74">
        <w:t xml:space="preserve">its </w:t>
      </w:r>
      <w:r w:rsidR="002E7A38">
        <w:t>foreshadowed application.</w:t>
      </w:r>
      <w:r w:rsidR="00DE4627">
        <w:t xml:space="preserve"> </w:t>
      </w:r>
      <w:r w:rsidR="00274086">
        <w:t xml:space="preserve"> </w:t>
      </w:r>
      <w:r w:rsidR="00981A74">
        <w:t>T</w:t>
      </w:r>
      <w:r w:rsidR="00DE4627">
        <w:t xml:space="preserve">he parties were </w:t>
      </w:r>
      <w:r w:rsidR="001429A2">
        <w:t xml:space="preserve">also </w:t>
      </w:r>
      <w:r w:rsidR="00823D56">
        <w:t>given the opportunity</w:t>
      </w:r>
      <w:r w:rsidR="00DE4627">
        <w:t xml:space="preserve"> to make written submissions concerning </w:t>
      </w:r>
      <w:r w:rsidR="001429A2">
        <w:t>this Request</w:t>
      </w:r>
      <w:r w:rsidR="0056470A">
        <w:t>.</w:t>
      </w:r>
    </w:p>
    <w:p w14:paraId="62DCA97C" w14:textId="584DF5D9" w:rsidR="00981A74" w:rsidRDefault="00981A74" w:rsidP="00362767">
      <w:pPr>
        <w:pStyle w:val="Heading1"/>
      </w:pPr>
      <w:r>
        <w:t xml:space="preserve">Disposition </w:t>
      </w:r>
    </w:p>
    <w:p w14:paraId="25304385" w14:textId="634DABDD" w:rsidR="00981A74" w:rsidRPr="00981A74" w:rsidRDefault="00981A74" w:rsidP="00981A74">
      <w:pPr>
        <w:pStyle w:val="ParaNumbering"/>
      </w:pPr>
      <w:r w:rsidRPr="00981A74">
        <w:t xml:space="preserve">For the </w:t>
      </w:r>
      <w:r>
        <w:t xml:space="preserve">above </w:t>
      </w:r>
      <w:r w:rsidRPr="00981A74">
        <w:t>reasons, I shall grant leave pursuant to r 2.32(4) for non-parties to inspect the relevant documents, subject to certain documents being redacted or marked confidential</w:t>
      </w:r>
      <w:r>
        <w:t xml:space="preserve"> pursuant to s 37AF of the Act</w:t>
      </w:r>
      <w:r w:rsidRPr="00981A74">
        <w:t xml:space="preserve">, as the case may be. </w:t>
      </w:r>
    </w:p>
    <w:p w14:paraId="53AAB88E" w14:textId="77777777" w:rsidR="00422BE4" w:rsidRDefault="00422BE4">
      <w:pPr>
        <w:pStyle w:val="BodyText"/>
      </w:pPr>
    </w:p>
    <w:p w14:paraId="5776F467" w14:textId="77777777" w:rsidR="00422BE4" w:rsidRDefault="00422BE4">
      <w:pPr>
        <w:pStyle w:val="BodyText"/>
      </w:pPr>
    </w:p>
    <w:p w14:paraId="441104A6" w14:textId="77777777" w:rsidR="00422BE4" w:rsidRDefault="00422BE4">
      <w:pPr>
        <w:pStyle w:val="BodyText"/>
      </w:pPr>
    </w:p>
    <w:p w14:paraId="5BEC3543" w14:textId="77777777" w:rsidR="00050966" w:rsidRDefault="00050966" w:rsidP="002C4EE1">
      <w:pPr>
        <w:pStyle w:val="BodyText"/>
      </w:pPr>
      <w:bookmarkStart w:id="23" w:name="Certification"/>
    </w:p>
    <w:tbl>
      <w:tblPr>
        <w:tblW w:w="0" w:type="auto"/>
        <w:tblLook w:val="04A0" w:firstRow="1" w:lastRow="0" w:firstColumn="1" w:lastColumn="0" w:noHBand="0" w:noVBand="1"/>
      </w:tblPr>
      <w:tblGrid>
        <w:gridCol w:w="3794"/>
      </w:tblGrid>
      <w:tr w:rsidR="00050966" w:rsidRPr="00050966" w14:paraId="73126489" w14:textId="77777777">
        <w:tc>
          <w:tcPr>
            <w:tcW w:w="3794" w:type="dxa"/>
            <w:shd w:val="clear" w:color="auto" w:fill="auto"/>
          </w:tcPr>
          <w:p w14:paraId="0FC426D5" w14:textId="2AA3B9E7" w:rsidR="00050966" w:rsidRPr="00050966" w:rsidRDefault="00050966" w:rsidP="00050966">
            <w:pPr>
              <w:pStyle w:val="Normal1linespace"/>
            </w:pPr>
            <w:r w:rsidRPr="00050966">
              <w:t xml:space="preserve">I certify that the preceding </w:t>
            </w:r>
            <w:bookmarkStart w:id="24" w:name="NumberWord"/>
            <w:r w:rsidR="00362767">
              <w:t>forty</w:t>
            </w:r>
            <w:bookmarkEnd w:id="24"/>
            <w:r w:rsidRPr="00050966">
              <w:t xml:space="preserve"> (</w:t>
            </w:r>
            <w:bookmarkStart w:id="25" w:name="NumberNumeral"/>
            <w:r w:rsidR="00362767">
              <w:t>40</w:t>
            </w:r>
            <w:bookmarkEnd w:id="25"/>
            <w:r w:rsidRPr="00050966">
              <w:t xml:space="preserve">) numbered </w:t>
            </w:r>
            <w:bookmarkStart w:id="26" w:name="CertPara"/>
            <w:r w:rsidR="00362767">
              <w:t>paragraphs are</w:t>
            </w:r>
            <w:bookmarkEnd w:id="26"/>
            <w:r w:rsidRPr="00050966">
              <w:t xml:space="preserve"> a true copy of the Reasons for Judgment of </w:t>
            </w:r>
            <w:bookmarkStart w:id="27" w:name="bkHonourable"/>
            <w:r w:rsidRPr="00050966">
              <w:t xml:space="preserve">the Honourable </w:t>
            </w:r>
            <w:bookmarkStart w:id="28" w:name="Justice"/>
            <w:bookmarkEnd w:id="27"/>
            <w:r w:rsidR="00362767">
              <w:t>Justice Anastassiou</w:t>
            </w:r>
            <w:bookmarkEnd w:id="28"/>
            <w:r w:rsidRPr="00050966">
              <w:t>.</w:t>
            </w:r>
          </w:p>
        </w:tc>
      </w:tr>
    </w:tbl>
    <w:p w14:paraId="23A7CD96" w14:textId="77777777" w:rsidR="00050966" w:rsidRDefault="00050966" w:rsidP="002C4EE1">
      <w:pPr>
        <w:pStyle w:val="BodyText"/>
      </w:pPr>
    </w:p>
    <w:p w14:paraId="7786CA08" w14:textId="77777777" w:rsidR="00050966" w:rsidRDefault="00050966" w:rsidP="002C4EE1">
      <w:pPr>
        <w:pStyle w:val="BodyText"/>
      </w:pPr>
    </w:p>
    <w:p w14:paraId="1B945293" w14:textId="77777777" w:rsidR="00050966" w:rsidRDefault="00050966" w:rsidP="002C4EE1">
      <w:pPr>
        <w:pStyle w:val="BodyText"/>
      </w:pPr>
      <w:r>
        <w:t>Associate:</w:t>
      </w:r>
    </w:p>
    <w:p w14:paraId="24309D15" w14:textId="11FE974E" w:rsidR="00050966" w:rsidRDefault="00050966" w:rsidP="002C4EE1">
      <w:pPr>
        <w:pStyle w:val="BodyText"/>
      </w:pPr>
    </w:p>
    <w:p w14:paraId="7806F3A3" w14:textId="65E6A137" w:rsidR="00050966" w:rsidRDefault="00050966" w:rsidP="002C4EE1">
      <w:pPr>
        <w:pStyle w:val="BodyText"/>
        <w:tabs>
          <w:tab w:val="left" w:pos="1134"/>
        </w:tabs>
      </w:pPr>
      <w:bookmarkStart w:id="29" w:name="_GoBack"/>
      <w:bookmarkEnd w:id="29"/>
      <w:r>
        <w:t>Dated:</w:t>
      </w:r>
      <w:r>
        <w:tab/>
      </w:r>
      <w:bookmarkStart w:id="30" w:name="CertifyDated"/>
      <w:r w:rsidR="00362767">
        <w:t>27 August 2021</w:t>
      </w:r>
      <w:bookmarkEnd w:id="30"/>
    </w:p>
    <w:p w14:paraId="3DBD9938" w14:textId="77777777" w:rsidR="00050966" w:rsidRDefault="00050966" w:rsidP="002C4EE1">
      <w:pPr>
        <w:pStyle w:val="BodyText"/>
      </w:pPr>
    </w:p>
    <w:bookmarkEnd w:id="23"/>
    <w:p w14:paraId="2DABCD7D" w14:textId="77777777" w:rsidR="00050966" w:rsidRDefault="00050966" w:rsidP="00050966">
      <w:pPr>
        <w:pStyle w:val="BodyText"/>
      </w:pPr>
    </w:p>
    <w:sectPr w:rsidR="00050966" w:rsidSect="00A84FD0">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EAFFE" w14:textId="77777777" w:rsidR="00C7057A" w:rsidRDefault="00C7057A">
      <w:pPr>
        <w:spacing w:line="20" w:lineRule="exact"/>
      </w:pPr>
    </w:p>
    <w:p w14:paraId="21A26B22" w14:textId="77777777" w:rsidR="00C7057A" w:rsidRDefault="00C7057A"/>
    <w:p w14:paraId="6EF4B23E" w14:textId="77777777" w:rsidR="00C7057A" w:rsidRDefault="00C7057A"/>
  </w:endnote>
  <w:endnote w:type="continuationSeparator" w:id="0">
    <w:p w14:paraId="53742494" w14:textId="77777777" w:rsidR="00C7057A" w:rsidRDefault="00C7057A">
      <w:r>
        <w:t xml:space="preserve"> </w:t>
      </w:r>
    </w:p>
    <w:p w14:paraId="29AC15B0" w14:textId="77777777" w:rsidR="00C7057A" w:rsidRDefault="00C7057A"/>
    <w:p w14:paraId="49C8C532" w14:textId="77777777" w:rsidR="00C7057A" w:rsidRDefault="00C7057A"/>
  </w:endnote>
  <w:endnote w:type="continuationNotice" w:id="1">
    <w:p w14:paraId="1C4F1D9D" w14:textId="77777777" w:rsidR="00C7057A" w:rsidRDefault="00C7057A">
      <w:r>
        <w:t xml:space="preserve"> </w:t>
      </w:r>
    </w:p>
    <w:p w14:paraId="222FBF18" w14:textId="77777777" w:rsidR="00C7057A" w:rsidRDefault="00C7057A"/>
    <w:p w14:paraId="1CC2B1E5" w14:textId="77777777" w:rsidR="00C7057A" w:rsidRDefault="00C70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98B48" w14:textId="1D93D26A" w:rsidR="002C4EE1" w:rsidRPr="00C47B9D" w:rsidRDefault="002C4EE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2868EA44" wp14:editId="5BEFFBFB">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78A308"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E44F98">
          <w:rPr>
            <w:bCs/>
            <w:sz w:val="18"/>
            <w:szCs w:val="18"/>
          </w:rPr>
          <w:t xml:space="preserve">Seven Network v Cricket Australia (No 2) [2021] FCA 1032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2AE0A" w14:textId="29C8E451" w:rsidR="002C4EE1" w:rsidRPr="00C47B9D" w:rsidRDefault="002C4EE1"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A2BEC0" wp14:editId="1E7C9B2D">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A10E1C"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C6D42750A3A942FDA5364D46DC7071A4"/>
        </w:placeholder>
        <w:dataBinding w:prefixMappings="xmlns:ns0='http://schemas.globalmacros.com/FCA'" w:xpath="/ns0:root[1]/ns0:Name[1]" w:storeItemID="{687E7CCB-4AA5-44E7-B148-17BA2B6F57C0}"/>
        <w:text w:multiLine="1"/>
      </w:sdtPr>
      <w:sdtEndPr/>
      <w:sdtContent>
        <w:r w:rsidR="00E44F98">
          <w:rPr>
            <w:bCs/>
            <w:sz w:val="18"/>
            <w:szCs w:val="18"/>
          </w:rPr>
          <w:t xml:space="preserve">Seven Network v Cricket Australia (No 2) [2021] FCA 1032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66068">
      <w:rPr>
        <w:bCs/>
        <w:noProof/>
        <w:sz w:val="20"/>
      </w:rPr>
      <w:t>iv</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E5292" w14:textId="07CBCE20" w:rsidR="002C4EE1" w:rsidRPr="00C47B9D" w:rsidRDefault="002C4EE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2D59D581" wp14:editId="6A608CA1">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9D5CA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794F94B2DC2A4F0CA5B6E088C8F409D4"/>
        </w:placeholder>
        <w:dataBinding w:prefixMappings="xmlns:ns0='http://schemas.globalmacros.com/FCA'" w:xpath="/ns0:root[1]/ns0:Name[1]" w:storeItemID="{687E7CCB-4AA5-44E7-B148-17BA2B6F57C0}"/>
        <w:text w:multiLine="1"/>
      </w:sdtPr>
      <w:sdtEndPr/>
      <w:sdtContent>
        <w:r w:rsidR="00E44F98">
          <w:rPr>
            <w:bCs/>
            <w:sz w:val="18"/>
            <w:szCs w:val="18"/>
          </w:rPr>
          <w:t xml:space="preserve">Seven Network v Cricket Australia (No 2) [2021] FCA 1032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66068">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C87A7" w14:textId="5FA1BA54" w:rsidR="002C4EE1" w:rsidRPr="00C47B9D" w:rsidRDefault="002C4EE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14FFE35E" wp14:editId="37C24FB0">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918849"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C4710FA0C19F490CA0370DB2132C5A42"/>
        </w:placeholder>
        <w:dataBinding w:prefixMappings="xmlns:ns0='http://schemas.globalmacros.com/FCA'" w:xpath="/ns0:root[1]/ns0:Name[1]" w:storeItemID="{687E7CCB-4AA5-44E7-B148-17BA2B6F57C0}"/>
        <w:text w:multiLine="1"/>
      </w:sdtPr>
      <w:sdtEndPr/>
      <w:sdtContent>
        <w:r w:rsidR="00E44F98">
          <w:rPr>
            <w:bCs/>
            <w:sz w:val="18"/>
            <w:szCs w:val="18"/>
          </w:rPr>
          <w:t xml:space="preserve">Seven Network v Cricket Australia (No 2) [2021] FCA 1032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66068">
      <w:rPr>
        <w:bCs/>
        <w:noProof/>
        <w:sz w:val="20"/>
      </w:rPr>
      <w:t>9</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5AE07" w14:textId="629FDCB2" w:rsidR="002C4EE1" w:rsidRPr="00C47B9D" w:rsidRDefault="002C4EE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3477D1CE" wp14:editId="73B88E85">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FF8064"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1452DC7F28744A739589A2C710E6777B"/>
        </w:placeholder>
        <w:dataBinding w:prefixMappings="xmlns:ns0='http://schemas.globalmacros.com/FCA'" w:xpath="/ns0:root[1]/ns0:Name[1]" w:storeItemID="{687E7CCB-4AA5-44E7-B148-17BA2B6F57C0}"/>
        <w:text w:multiLine="1"/>
      </w:sdtPr>
      <w:sdtEndPr/>
      <w:sdtContent>
        <w:r w:rsidR="00E44F98">
          <w:rPr>
            <w:bCs/>
            <w:sz w:val="18"/>
            <w:szCs w:val="18"/>
          </w:rPr>
          <w:t xml:space="preserve">Seven Network v Cricket Australia (No 2) [2021] FCA 1032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66068">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ACEE9" w14:textId="77777777" w:rsidR="00C7057A" w:rsidRDefault="00C7057A"/>
    <w:p w14:paraId="0050A19B" w14:textId="77777777" w:rsidR="00C7057A" w:rsidRDefault="00C7057A"/>
    <w:p w14:paraId="30546C6F" w14:textId="77777777" w:rsidR="00C7057A" w:rsidRDefault="00C7057A"/>
  </w:footnote>
  <w:footnote w:type="continuationSeparator" w:id="0">
    <w:p w14:paraId="2DF6F1AC" w14:textId="77777777" w:rsidR="00C7057A" w:rsidRDefault="00C7057A">
      <w:r>
        <w:continuationSeparator/>
      </w:r>
    </w:p>
    <w:p w14:paraId="75A22527" w14:textId="77777777" w:rsidR="00C7057A" w:rsidRDefault="00C7057A"/>
    <w:p w14:paraId="687848EB" w14:textId="77777777" w:rsidR="00C7057A" w:rsidRDefault="00C705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CFA7" w14:textId="77777777" w:rsidR="002C4EE1" w:rsidRDefault="002C4EE1">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FCFD0" w14:textId="77777777" w:rsidR="002C4EE1" w:rsidRDefault="002C4EE1">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0F589" w14:textId="77777777" w:rsidR="002C4EE1" w:rsidRDefault="002C4EE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CA3FF" w14:textId="77777777" w:rsidR="002C4EE1" w:rsidRDefault="002C4EE1">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BFAA5" w14:textId="77777777" w:rsidR="002C4EE1" w:rsidRDefault="002C4EE1"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7"/>
  </w:num>
  <w:num w:numId="21">
    <w:abstractNumId w:val="15"/>
  </w:num>
  <w:num w:numId="22">
    <w:abstractNumId w:val="16"/>
  </w:num>
  <w:num w:numId="23">
    <w:abstractNumId w:val="18"/>
  </w:num>
  <w:num w:numId="24">
    <w:abstractNumId w:val="10"/>
  </w:num>
  <w:num w:numId="25">
    <w:abstractNumId w:val="10"/>
  </w:num>
  <w:num w:numId="2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Seven Network"/>
    <w:docVar w:name="CounselParties" w:val="Applic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VID 764 of 2020"/>
    <w:docVar w:name="grpRadioJudges" w:val="Justice"/>
    <w:docVar w:name="Initiators" w:val="(and another named in the Schedule)"/>
    <w:docVar w:name="Judgdate" w:val="27 August 2021"/>
    <w:docVar w:name="Judge" w:val="Anastassiou"/>
    <w:docVar w:name="lstEntryList" w:val="-1"/>
    <w:docVar w:name="myEntryList" w:val="Counsel for the Applicant=Mr D. Thomas SC with Mr H. Atkin|Solicitor for the Applicant=Atanaskovic Hartnell|Counsel for the Respondent=Mr J. Gleeson with Mr A. Dinelli|Solicitor for the Respondent=K&amp;L Gates"/>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Commercial and Corporations"/>
    <w:docVar w:name="RadioJudge" w:val="False"/>
    <w:docVar w:name="RadioJustice" w:val="True"/>
    <w:docVar w:name="RadioJustices" w:val="False"/>
    <w:docVar w:name="RESAndAnother" w:val="True"/>
    <w:docVar w:name="RESAndOthers" w:val="False"/>
    <w:docVar w:name="Respondent" w:val="Cricket Australia"/>
    <w:docVar w:name="ResState" w:val="Australian Capital Territory"/>
    <w:docVar w:name="SubArea" w:val="Commercial Contracts, Banking, Finance and Insurance  (C &amp; C)"/>
  </w:docVars>
  <w:rsids>
    <w:rsidRoot w:val="008F2A9B"/>
    <w:rsid w:val="00000747"/>
    <w:rsid w:val="000115C5"/>
    <w:rsid w:val="0001469E"/>
    <w:rsid w:val="00014FE7"/>
    <w:rsid w:val="00015993"/>
    <w:rsid w:val="00020CA9"/>
    <w:rsid w:val="00021CCB"/>
    <w:rsid w:val="00022289"/>
    <w:rsid w:val="00026C13"/>
    <w:rsid w:val="00027398"/>
    <w:rsid w:val="0003201A"/>
    <w:rsid w:val="0003207A"/>
    <w:rsid w:val="00032F9F"/>
    <w:rsid w:val="00041C07"/>
    <w:rsid w:val="00045BB7"/>
    <w:rsid w:val="00046BD5"/>
    <w:rsid w:val="00050966"/>
    <w:rsid w:val="00055719"/>
    <w:rsid w:val="0005641B"/>
    <w:rsid w:val="0006196A"/>
    <w:rsid w:val="00081497"/>
    <w:rsid w:val="00085255"/>
    <w:rsid w:val="00097EA6"/>
    <w:rsid w:val="000A2E76"/>
    <w:rsid w:val="000A4807"/>
    <w:rsid w:val="000A4BE4"/>
    <w:rsid w:val="000B7658"/>
    <w:rsid w:val="000B7C03"/>
    <w:rsid w:val="000C023E"/>
    <w:rsid w:val="000C5195"/>
    <w:rsid w:val="000C62EF"/>
    <w:rsid w:val="000C6F9D"/>
    <w:rsid w:val="000D2137"/>
    <w:rsid w:val="000D3FD2"/>
    <w:rsid w:val="000D4B2E"/>
    <w:rsid w:val="000E2E3A"/>
    <w:rsid w:val="000E3FC8"/>
    <w:rsid w:val="000E7BAE"/>
    <w:rsid w:val="000F133D"/>
    <w:rsid w:val="000F5800"/>
    <w:rsid w:val="0010536B"/>
    <w:rsid w:val="0011145C"/>
    <w:rsid w:val="001128BD"/>
    <w:rsid w:val="0011419D"/>
    <w:rsid w:val="00114B02"/>
    <w:rsid w:val="00121D3E"/>
    <w:rsid w:val="001226C0"/>
    <w:rsid w:val="00126EC8"/>
    <w:rsid w:val="0012731C"/>
    <w:rsid w:val="00132054"/>
    <w:rsid w:val="00134964"/>
    <w:rsid w:val="001351B9"/>
    <w:rsid w:val="0013706A"/>
    <w:rsid w:val="001429A2"/>
    <w:rsid w:val="00155CD2"/>
    <w:rsid w:val="001727A4"/>
    <w:rsid w:val="0017376C"/>
    <w:rsid w:val="001738AB"/>
    <w:rsid w:val="001765E0"/>
    <w:rsid w:val="00177759"/>
    <w:rsid w:val="00177A69"/>
    <w:rsid w:val="00180BB3"/>
    <w:rsid w:val="00185E6B"/>
    <w:rsid w:val="00187BBC"/>
    <w:rsid w:val="001932F3"/>
    <w:rsid w:val="001949D0"/>
    <w:rsid w:val="001A2B40"/>
    <w:rsid w:val="001A4309"/>
    <w:rsid w:val="001A46AE"/>
    <w:rsid w:val="001A6C52"/>
    <w:rsid w:val="001B1053"/>
    <w:rsid w:val="001B14AC"/>
    <w:rsid w:val="001B1570"/>
    <w:rsid w:val="001B7940"/>
    <w:rsid w:val="001C171A"/>
    <w:rsid w:val="001C37CA"/>
    <w:rsid w:val="001C4085"/>
    <w:rsid w:val="001D4303"/>
    <w:rsid w:val="001D6746"/>
    <w:rsid w:val="001E3B49"/>
    <w:rsid w:val="001E4A05"/>
    <w:rsid w:val="001E7388"/>
    <w:rsid w:val="001F0AEE"/>
    <w:rsid w:val="001F13DD"/>
    <w:rsid w:val="001F2473"/>
    <w:rsid w:val="001F2DBC"/>
    <w:rsid w:val="001F6F1F"/>
    <w:rsid w:val="001F73E8"/>
    <w:rsid w:val="0020262C"/>
    <w:rsid w:val="00202723"/>
    <w:rsid w:val="0020755C"/>
    <w:rsid w:val="00211A3E"/>
    <w:rsid w:val="00215BCA"/>
    <w:rsid w:val="00217AC4"/>
    <w:rsid w:val="0022084A"/>
    <w:rsid w:val="00221461"/>
    <w:rsid w:val="00224537"/>
    <w:rsid w:val="0022491B"/>
    <w:rsid w:val="00226F7B"/>
    <w:rsid w:val="00235956"/>
    <w:rsid w:val="00235F6F"/>
    <w:rsid w:val="002434C8"/>
    <w:rsid w:val="00243E5E"/>
    <w:rsid w:val="00247C9A"/>
    <w:rsid w:val="0025160C"/>
    <w:rsid w:val="002532BF"/>
    <w:rsid w:val="002535D0"/>
    <w:rsid w:val="002539B3"/>
    <w:rsid w:val="00256336"/>
    <w:rsid w:val="00257C3E"/>
    <w:rsid w:val="002602C2"/>
    <w:rsid w:val="0026097D"/>
    <w:rsid w:val="002666C9"/>
    <w:rsid w:val="00270136"/>
    <w:rsid w:val="00270FD7"/>
    <w:rsid w:val="00274086"/>
    <w:rsid w:val="00274F5B"/>
    <w:rsid w:val="00280836"/>
    <w:rsid w:val="00282E1A"/>
    <w:rsid w:val="002840F1"/>
    <w:rsid w:val="00286B95"/>
    <w:rsid w:val="002906E1"/>
    <w:rsid w:val="0029113B"/>
    <w:rsid w:val="002934C0"/>
    <w:rsid w:val="002938D8"/>
    <w:rsid w:val="00295209"/>
    <w:rsid w:val="00296FC3"/>
    <w:rsid w:val="0029764C"/>
    <w:rsid w:val="002A1B50"/>
    <w:rsid w:val="002B0E91"/>
    <w:rsid w:val="002B132C"/>
    <w:rsid w:val="002B2D9E"/>
    <w:rsid w:val="002B3F23"/>
    <w:rsid w:val="002B4EB5"/>
    <w:rsid w:val="002B5AF5"/>
    <w:rsid w:val="002B6779"/>
    <w:rsid w:val="002B71C0"/>
    <w:rsid w:val="002B7A34"/>
    <w:rsid w:val="002C31AD"/>
    <w:rsid w:val="002C4EE1"/>
    <w:rsid w:val="002C5387"/>
    <w:rsid w:val="002C7385"/>
    <w:rsid w:val="002D2DBB"/>
    <w:rsid w:val="002D37D8"/>
    <w:rsid w:val="002D54A6"/>
    <w:rsid w:val="002E5BF9"/>
    <w:rsid w:val="002E6A7A"/>
    <w:rsid w:val="002E7A38"/>
    <w:rsid w:val="002F12ED"/>
    <w:rsid w:val="002F1E49"/>
    <w:rsid w:val="002F4E9C"/>
    <w:rsid w:val="00302DE5"/>
    <w:rsid w:val="00302EB6"/>
    <w:rsid w:val="00302F4E"/>
    <w:rsid w:val="0031073E"/>
    <w:rsid w:val="0031256C"/>
    <w:rsid w:val="00314D6C"/>
    <w:rsid w:val="00316D2A"/>
    <w:rsid w:val="00322A7C"/>
    <w:rsid w:val="00322EEC"/>
    <w:rsid w:val="00323061"/>
    <w:rsid w:val="0033326E"/>
    <w:rsid w:val="003402D3"/>
    <w:rsid w:val="00343ABC"/>
    <w:rsid w:val="003463FE"/>
    <w:rsid w:val="00347D41"/>
    <w:rsid w:val="003554B3"/>
    <w:rsid w:val="00356632"/>
    <w:rsid w:val="00357C7E"/>
    <w:rsid w:val="00362767"/>
    <w:rsid w:val="003653B6"/>
    <w:rsid w:val="00374CC4"/>
    <w:rsid w:val="003774B2"/>
    <w:rsid w:val="00377FDF"/>
    <w:rsid w:val="00380F2D"/>
    <w:rsid w:val="003845A9"/>
    <w:rsid w:val="00384AC7"/>
    <w:rsid w:val="003850C9"/>
    <w:rsid w:val="00390883"/>
    <w:rsid w:val="003922F8"/>
    <w:rsid w:val="00395B24"/>
    <w:rsid w:val="003A1102"/>
    <w:rsid w:val="003A2D38"/>
    <w:rsid w:val="003A5E09"/>
    <w:rsid w:val="003A7ECC"/>
    <w:rsid w:val="003B2C72"/>
    <w:rsid w:val="003B58B4"/>
    <w:rsid w:val="003B5B12"/>
    <w:rsid w:val="003C1333"/>
    <w:rsid w:val="003C20FF"/>
    <w:rsid w:val="003C550A"/>
    <w:rsid w:val="003C6055"/>
    <w:rsid w:val="003D2650"/>
    <w:rsid w:val="003D3BC3"/>
    <w:rsid w:val="003D560C"/>
    <w:rsid w:val="003D5C00"/>
    <w:rsid w:val="003E3154"/>
    <w:rsid w:val="003E5874"/>
    <w:rsid w:val="003E72D3"/>
    <w:rsid w:val="003F193E"/>
    <w:rsid w:val="003F242C"/>
    <w:rsid w:val="003F34F1"/>
    <w:rsid w:val="00405614"/>
    <w:rsid w:val="004104B6"/>
    <w:rsid w:val="00411AE8"/>
    <w:rsid w:val="00413966"/>
    <w:rsid w:val="00413B74"/>
    <w:rsid w:val="00422BE4"/>
    <w:rsid w:val="00430188"/>
    <w:rsid w:val="004342F3"/>
    <w:rsid w:val="00435C5F"/>
    <w:rsid w:val="00436155"/>
    <w:rsid w:val="00441E98"/>
    <w:rsid w:val="00450F3A"/>
    <w:rsid w:val="004532F7"/>
    <w:rsid w:val="004557FC"/>
    <w:rsid w:val="00464D51"/>
    <w:rsid w:val="00472027"/>
    <w:rsid w:val="004804CF"/>
    <w:rsid w:val="00484962"/>
    <w:rsid w:val="00484F6D"/>
    <w:rsid w:val="00484FB7"/>
    <w:rsid w:val="0048554D"/>
    <w:rsid w:val="00492E25"/>
    <w:rsid w:val="0049338A"/>
    <w:rsid w:val="0049417F"/>
    <w:rsid w:val="00496D41"/>
    <w:rsid w:val="004A6602"/>
    <w:rsid w:val="004A66E2"/>
    <w:rsid w:val="004B0570"/>
    <w:rsid w:val="004B3EFA"/>
    <w:rsid w:val="004C2A87"/>
    <w:rsid w:val="004C3376"/>
    <w:rsid w:val="004C4D7B"/>
    <w:rsid w:val="004C4ED3"/>
    <w:rsid w:val="004C667B"/>
    <w:rsid w:val="004C6A3B"/>
    <w:rsid w:val="004C7ECD"/>
    <w:rsid w:val="004D2EA5"/>
    <w:rsid w:val="004D32A6"/>
    <w:rsid w:val="004D53E5"/>
    <w:rsid w:val="004E024D"/>
    <w:rsid w:val="004E6DC4"/>
    <w:rsid w:val="004F21C1"/>
    <w:rsid w:val="00501A12"/>
    <w:rsid w:val="00501B53"/>
    <w:rsid w:val="0050309C"/>
    <w:rsid w:val="0051327C"/>
    <w:rsid w:val="0051346D"/>
    <w:rsid w:val="00513EAE"/>
    <w:rsid w:val="0051434F"/>
    <w:rsid w:val="00516806"/>
    <w:rsid w:val="0052098C"/>
    <w:rsid w:val="00525A49"/>
    <w:rsid w:val="005262D1"/>
    <w:rsid w:val="00530876"/>
    <w:rsid w:val="005326C1"/>
    <w:rsid w:val="00535613"/>
    <w:rsid w:val="005359EB"/>
    <w:rsid w:val="0054254A"/>
    <w:rsid w:val="0054500B"/>
    <w:rsid w:val="005466B5"/>
    <w:rsid w:val="00554314"/>
    <w:rsid w:val="00562829"/>
    <w:rsid w:val="005629B3"/>
    <w:rsid w:val="0056470A"/>
    <w:rsid w:val="005724F6"/>
    <w:rsid w:val="00573AC4"/>
    <w:rsid w:val="0057587B"/>
    <w:rsid w:val="005801FC"/>
    <w:rsid w:val="00585BA9"/>
    <w:rsid w:val="00587359"/>
    <w:rsid w:val="00595016"/>
    <w:rsid w:val="00597AAE"/>
    <w:rsid w:val="005A07B0"/>
    <w:rsid w:val="005A222C"/>
    <w:rsid w:val="005A4DF8"/>
    <w:rsid w:val="005A6ECB"/>
    <w:rsid w:val="005A78C8"/>
    <w:rsid w:val="005B1426"/>
    <w:rsid w:val="005B2B71"/>
    <w:rsid w:val="005C0A8E"/>
    <w:rsid w:val="005C1767"/>
    <w:rsid w:val="005C185C"/>
    <w:rsid w:val="005C42EF"/>
    <w:rsid w:val="005E02F5"/>
    <w:rsid w:val="005E0510"/>
    <w:rsid w:val="005E176E"/>
    <w:rsid w:val="005E218E"/>
    <w:rsid w:val="005E35A0"/>
    <w:rsid w:val="005F0792"/>
    <w:rsid w:val="005F0D1B"/>
    <w:rsid w:val="005F1865"/>
    <w:rsid w:val="006007BD"/>
    <w:rsid w:val="006013C8"/>
    <w:rsid w:val="0060270D"/>
    <w:rsid w:val="00604611"/>
    <w:rsid w:val="00611586"/>
    <w:rsid w:val="00612D26"/>
    <w:rsid w:val="00615855"/>
    <w:rsid w:val="00620DA8"/>
    <w:rsid w:val="00621887"/>
    <w:rsid w:val="00624520"/>
    <w:rsid w:val="006271F5"/>
    <w:rsid w:val="00632300"/>
    <w:rsid w:val="00632BB7"/>
    <w:rsid w:val="00635B36"/>
    <w:rsid w:val="00636871"/>
    <w:rsid w:val="006373DC"/>
    <w:rsid w:val="00640EE1"/>
    <w:rsid w:val="00640F4E"/>
    <w:rsid w:val="00643DE0"/>
    <w:rsid w:val="0064437D"/>
    <w:rsid w:val="00644E85"/>
    <w:rsid w:val="00651B44"/>
    <w:rsid w:val="00652C52"/>
    <w:rsid w:val="0066063F"/>
    <w:rsid w:val="00662BB0"/>
    <w:rsid w:val="00663878"/>
    <w:rsid w:val="00667773"/>
    <w:rsid w:val="00670743"/>
    <w:rsid w:val="00680A85"/>
    <w:rsid w:val="00681ADF"/>
    <w:rsid w:val="006843E4"/>
    <w:rsid w:val="00687DE0"/>
    <w:rsid w:val="00690EE2"/>
    <w:rsid w:val="00693854"/>
    <w:rsid w:val="00694BEB"/>
    <w:rsid w:val="006A0E20"/>
    <w:rsid w:val="006A24E3"/>
    <w:rsid w:val="006A31B6"/>
    <w:rsid w:val="006A5695"/>
    <w:rsid w:val="006B0439"/>
    <w:rsid w:val="006B3904"/>
    <w:rsid w:val="006B5B7D"/>
    <w:rsid w:val="006C1173"/>
    <w:rsid w:val="006C5B46"/>
    <w:rsid w:val="006C6E39"/>
    <w:rsid w:val="006D0ECF"/>
    <w:rsid w:val="006D3D5B"/>
    <w:rsid w:val="006D4C92"/>
    <w:rsid w:val="006D4EB6"/>
    <w:rsid w:val="006E0CEB"/>
    <w:rsid w:val="006E1A71"/>
    <w:rsid w:val="006E35BF"/>
    <w:rsid w:val="006E7850"/>
    <w:rsid w:val="006F46D6"/>
    <w:rsid w:val="007028D9"/>
    <w:rsid w:val="00707218"/>
    <w:rsid w:val="00707337"/>
    <w:rsid w:val="00710D04"/>
    <w:rsid w:val="00712B1D"/>
    <w:rsid w:val="00715370"/>
    <w:rsid w:val="00715751"/>
    <w:rsid w:val="00716A5E"/>
    <w:rsid w:val="007171BA"/>
    <w:rsid w:val="00717616"/>
    <w:rsid w:val="00732473"/>
    <w:rsid w:val="007325D9"/>
    <w:rsid w:val="0073583B"/>
    <w:rsid w:val="007360CA"/>
    <w:rsid w:val="0074667B"/>
    <w:rsid w:val="007470BD"/>
    <w:rsid w:val="00752A66"/>
    <w:rsid w:val="00755D02"/>
    <w:rsid w:val="00760EC0"/>
    <w:rsid w:val="00762B51"/>
    <w:rsid w:val="007711BD"/>
    <w:rsid w:val="0078003A"/>
    <w:rsid w:val="00780771"/>
    <w:rsid w:val="00792307"/>
    <w:rsid w:val="007929CF"/>
    <w:rsid w:val="007A49E7"/>
    <w:rsid w:val="007A6F28"/>
    <w:rsid w:val="007B03C6"/>
    <w:rsid w:val="007B0DB1"/>
    <w:rsid w:val="007B0FE3"/>
    <w:rsid w:val="007B5673"/>
    <w:rsid w:val="007B7238"/>
    <w:rsid w:val="007B76FF"/>
    <w:rsid w:val="007C3BF6"/>
    <w:rsid w:val="007C67B3"/>
    <w:rsid w:val="007D0983"/>
    <w:rsid w:val="007D0FD2"/>
    <w:rsid w:val="007D2EF8"/>
    <w:rsid w:val="007D561F"/>
    <w:rsid w:val="007D7FD2"/>
    <w:rsid w:val="007E0A6D"/>
    <w:rsid w:val="007E13D9"/>
    <w:rsid w:val="007E2703"/>
    <w:rsid w:val="007E2AEC"/>
    <w:rsid w:val="007E41BE"/>
    <w:rsid w:val="007E43C0"/>
    <w:rsid w:val="007E4DB6"/>
    <w:rsid w:val="007E6733"/>
    <w:rsid w:val="007E73DE"/>
    <w:rsid w:val="007E7CD4"/>
    <w:rsid w:val="007F12AC"/>
    <w:rsid w:val="007F3C07"/>
    <w:rsid w:val="007F4501"/>
    <w:rsid w:val="007F60DF"/>
    <w:rsid w:val="00801800"/>
    <w:rsid w:val="00801861"/>
    <w:rsid w:val="00801B5B"/>
    <w:rsid w:val="008177D8"/>
    <w:rsid w:val="008216E7"/>
    <w:rsid w:val="00823D56"/>
    <w:rsid w:val="00825BE6"/>
    <w:rsid w:val="008276B4"/>
    <w:rsid w:val="00831927"/>
    <w:rsid w:val="00831FBB"/>
    <w:rsid w:val="0083559A"/>
    <w:rsid w:val="00837288"/>
    <w:rsid w:val="00841BD3"/>
    <w:rsid w:val="0084273D"/>
    <w:rsid w:val="00844E3F"/>
    <w:rsid w:val="00845A83"/>
    <w:rsid w:val="00846BB9"/>
    <w:rsid w:val="008608FB"/>
    <w:rsid w:val="008649D5"/>
    <w:rsid w:val="008712BB"/>
    <w:rsid w:val="008830E7"/>
    <w:rsid w:val="00890C04"/>
    <w:rsid w:val="00890EDE"/>
    <w:rsid w:val="00892B38"/>
    <w:rsid w:val="008A1741"/>
    <w:rsid w:val="008A19FF"/>
    <w:rsid w:val="008A2484"/>
    <w:rsid w:val="008A52F3"/>
    <w:rsid w:val="008A7266"/>
    <w:rsid w:val="008C26D9"/>
    <w:rsid w:val="008C6D50"/>
    <w:rsid w:val="008C7167"/>
    <w:rsid w:val="008C7503"/>
    <w:rsid w:val="008D1617"/>
    <w:rsid w:val="008D330F"/>
    <w:rsid w:val="008D48C1"/>
    <w:rsid w:val="008E6315"/>
    <w:rsid w:val="008F07FC"/>
    <w:rsid w:val="008F11E0"/>
    <w:rsid w:val="008F2A9B"/>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65E0"/>
    <w:rsid w:val="00942BA2"/>
    <w:rsid w:val="009432B7"/>
    <w:rsid w:val="00944C86"/>
    <w:rsid w:val="00947C02"/>
    <w:rsid w:val="00950BE6"/>
    <w:rsid w:val="00951F21"/>
    <w:rsid w:val="00957DE8"/>
    <w:rsid w:val="00960ECB"/>
    <w:rsid w:val="009615D6"/>
    <w:rsid w:val="009649F6"/>
    <w:rsid w:val="00967855"/>
    <w:rsid w:val="00974429"/>
    <w:rsid w:val="00974709"/>
    <w:rsid w:val="00977877"/>
    <w:rsid w:val="00980736"/>
    <w:rsid w:val="00981A39"/>
    <w:rsid w:val="00981A74"/>
    <w:rsid w:val="00982D56"/>
    <w:rsid w:val="00983DBF"/>
    <w:rsid w:val="00987097"/>
    <w:rsid w:val="00991123"/>
    <w:rsid w:val="00991CAB"/>
    <w:rsid w:val="00995C47"/>
    <w:rsid w:val="009A3A9C"/>
    <w:rsid w:val="009B046C"/>
    <w:rsid w:val="009B13FA"/>
    <w:rsid w:val="009B1E2D"/>
    <w:rsid w:val="009B37F2"/>
    <w:rsid w:val="009B5AC0"/>
    <w:rsid w:val="009C59FB"/>
    <w:rsid w:val="009C5DDE"/>
    <w:rsid w:val="009C6F3B"/>
    <w:rsid w:val="009D1467"/>
    <w:rsid w:val="009D328D"/>
    <w:rsid w:val="009D4708"/>
    <w:rsid w:val="009E4FA6"/>
    <w:rsid w:val="009E7D93"/>
    <w:rsid w:val="009F3A9F"/>
    <w:rsid w:val="009F3C34"/>
    <w:rsid w:val="009F462C"/>
    <w:rsid w:val="009F5C33"/>
    <w:rsid w:val="00A026F0"/>
    <w:rsid w:val="00A03EAC"/>
    <w:rsid w:val="00A04DBB"/>
    <w:rsid w:val="00A055E3"/>
    <w:rsid w:val="00A07EA0"/>
    <w:rsid w:val="00A11CA6"/>
    <w:rsid w:val="00A20C49"/>
    <w:rsid w:val="00A22932"/>
    <w:rsid w:val="00A269CA"/>
    <w:rsid w:val="00A336EE"/>
    <w:rsid w:val="00A33F46"/>
    <w:rsid w:val="00A3427E"/>
    <w:rsid w:val="00A35153"/>
    <w:rsid w:val="00A359AC"/>
    <w:rsid w:val="00A40F83"/>
    <w:rsid w:val="00A410FB"/>
    <w:rsid w:val="00A41413"/>
    <w:rsid w:val="00A431E6"/>
    <w:rsid w:val="00A436E8"/>
    <w:rsid w:val="00A43BCB"/>
    <w:rsid w:val="00A45FB1"/>
    <w:rsid w:val="00A46CCC"/>
    <w:rsid w:val="00A47996"/>
    <w:rsid w:val="00A51CFE"/>
    <w:rsid w:val="00A5204D"/>
    <w:rsid w:val="00A61605"/>
    <w:rsid w:val="00A65F97"/>
    <w:rsid w:val="00A76C13"/>
    <w:rsid w:val="00A84FD0"/>
    <w:rsid w:val="00A864A9"/>
    <w:rsid w:val="00A92E79"/>
    <w:rsid w:val="00A950B6"/>
    <w:rsid w:val="00A95D45"/>
    <w:rsid w:val="00AB41C1"/>
    <w:rsid w:val="00AB4CF2"/>
    <w:rsid w:val="00AB6CCA"/>
    <w:rsid w:val="00AC040D"/>
    <w:rsid w:val="00AC223F"/>
    <w:rsid w:val="00AC33B1"/>
    <w:rsid w:val="00AC6F52"/>
    <w:rsid w:val="00AD12A8"/>
    <w:rsid w:val="00AE023F"/>
    <w:rsid w:val="00AF3577"/>
    <w:rsid w:val="00AF35F9"/>
    <w:rsid w:val="00B0424C"/>
    <w:rsid w:val="00B05C7D"/>
    <w:rsid w:val="00B15D57"/>
    <w:rsid w:val="00B16347"/>
    <w:rsid w:val="00B17D6E"/>
    <w:rsid w:val="00B2435E"/>
    <w:rsid w:val="00B346C3"/>
    <w:rsid w:val="00B34734"/>
    <w:rsid w:val="00B4005C"/>
    <w:rsid w:val="00B4215D"/>
    <w:rsid w:val="00B4227E"/>
    <w:rsid w:val="00B4471C"/>
    <w:rsid w:val="00B451A6"/>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D2B04"/>
    <w:rsid w:val="00BE1579"/>
    <w:rsid w:val="00BE183D"/>
    <w:rsid w:val="00BE53C1"/>
    <w:rsid w:val="00BF451A"/>
    <w:rsid w:val="00BF5D7A"/>
    <w:rsid w:val="00C01C2E"/>
    <w:rsid w:val="00C02D33"/>
    <w:rsid w:val="00C04B53"/>
    <w:rsid w:val="00C1232C"/>
    <w:rsid w:val="00C27A88"/>
    <w:rsid w:val="00C27C6B"/>
    <w:rsid w:val="00C3594D"/>
    <w:rsid w:val="00C36442"/>
    <w:rsid w:val="00C400CE"/>
    <w:rsid w:val="00C410FD"/>
    <w:rsid w:val="00C457DE"/>
    <w:rsid w:val="00C47DD3"/>
    <w:rsid w:val="00C53562"/>
    <w:rsid w:val="00C539FB"/>
    <w:rsid w:val="00C66068"/>
    <w:rsid w:val="00C66E57"/>
    <w:rsid w:val="00C7057A"/>
    <w:rsid w:val="00C74150"/>
    <w:rsid w:val="00C75594"/>
    <w:rsid w:val="00C85982"/>
    <w:rsid w:val="00C96FF2"/>
    <w:rsid w:val="00CA0466"/>
    <w:rsid w:val="00CA246D"/>
    <w:rsid w:val="00CA50D9"/>
    <w:rsid w:val="00CB3054"/>
    <w:rsid w:val="00CB5636"/>
    <w:rsid w:val="00CB5AB1"/>
    <w:rsid w:val="00CC3EE5"/>
    <w:rsid w:val="00CC57D1"/>
    <w:rsid w:val="00CE3896"/>
    <w:rsid w:val="00CE425C"/>
    <w:rsid w:val="00CE58AC"/>
    <w:rsid w:val="00CF5A80"/>
    <w:rsid w:val="00D045EE"/>
    <w:rsid w:val="00D05091"/>
    <w:rsid w:val="00D10CA6"/>
    <w:rsid w:val="00D10F21"/>
    <w:rsid w:val="00D134CF"/>
    <w:rsid w:val="00D1573B"/>
    <w:rsid w:val="00D24806"/>
    <w:rsid w:val="00D34040"/>
    <w:rsid w:val="00D34E69"/>
    <w:rsid w:val="00D36C78"/>
    <w:rsid w:val="00D375EE"/>
    <w:rsid w:val="00D55AE8"/>
    <w:rsid w:val="00D56056"/>
    <w:rsid w:val="00D577B8"/>
    <w:rsid w:val="00D6085F"/>
    <w:rsid w:val="00D62699"/>
    <w:rsid w:val="00D73CA6"/>
    <w:rsid w:val="00D778E9"/>
    <w:rsid w:val="00D812BF"/>
    <w:rsid w:val="00D82620"/>
    <w:rsid w:val="00D85707"/>
    <w:rsid w:val="00D9725F"/>
    <w:rsid w:val="00DA01B1"/>
    <w:rsid w:val="00DA11A2"/>
    <w:rsid w:val="00DA14ED"/>
    <w:rsid w:val="00DA26D6"/>
    <w:rsid w:val="00DA339B"/>
    <w:rsid w:val="00DB2EF1"/>
    <w:rsid w:val="00DB3DE1"/>
    <w:rsid w:val="00DB5DA0"/>
    <w:rsid w:val="00DB716C"/>
    <w:rsid w:val="00DC5C85"/>
    <w:rsid w:val="00DC7268"/>
    <w:rsid w:val="00DC7C5D"/>
    <w:rsid w:val="00DD4236"/>
    <w:rsid w:val="00DD44F1"/>
    <w:rsid w:val="00DD6957"/>
    <w:rsid w:val="00DD6E7A"/>
    <w:rsid w:val="00DE3067"/>
    <w:rsid w:val="00DE4627"/>
    <w:rsid w:val="00DF3EEE"/>
    <w:rsid w:val="00DF75E1"/>
    <w:rsid w:val="00E027BC"/>
    <w:rsid w:val="00E10F0D"/>
    <w:rsid w:val="00E11101"/>
    <w:rsid w:val="00E13AB1"/>
    <w:rsid w:val="00E14EA5"/>
    <w:rsid w:val="00E2070E"/>
    <w:rsid w:val="00E21133"/>
    <w:rsid w:val="00E2327E"/>
    <w:rsid w:val="00E266EF"/>
    <w:rsid w:val="00E326A8"/>
    <w:rsid w:val="00E33CB8"/>
    <w:rsid w:val="00E44F98"/>
    <w:rsid w:val="00E47428"/>
    <w:rsid w:val="00E56C8E"/>
    <w:rsid w:val="00E5716B"/>
    <w:rsid w:val="00E57F1F"/>
    <w:rsid w:val="00E66B9F"/>
    <w:rsid w:val="00E70A6A"/>
    <w:rsid w:val="00E710D6"/>
    <w:rsid w:val="00E73DA4"/>
    <w:rsid w:val="00E76E45"/>
    <w:rsid w:val="00E777C9"/>
    <w:rsid w:val="00E77853"/>
    <w:rsid w:val="00E81DA6"/>
    <w:rsid w:val="00E84212"/>
    <w:rsid w:val="00E87B50"/>
    <w:rsid w:val="00E9086C"/>
    <w:rsid w:val="00E90AAA"/>
    <w:rsid w:val="00E91A0F"/>
    <w:rsid w:val="00E94A71"/>
    <w:rsid w:val="00E94CBF"/>
    <w:rsid w:val="00EA03CE"/>
    <w:rsid w:val="00EA23E5"/>
    <w:rsid w:val="00EA4E2E"/>
    <w:rsid w:val="00EB2417"/>
    <w:rsid w:val="00EB251C"/>
    <w:rsid w:val="00EB2CCB"/>
    <w:rsid w:val="00EB7A25"/>
    <w:rsid w:val="00EC0F3E"/>
    <w:rsid w:val="00EC57A7"/>
    <w:rsid w:val="00EC5E97"/>
    <w:rsid w:val="00EC7985"/>
    <w:rsid w:val="00ED0817"/>
    <w:rsid w:val="00ED2AEE"/>
    <w:rsid w:val="00ED7DD9"/>
    <w:rsid w:val="00EE157A"/>
    <w:rsid w:val="00EE445B"/>
    <w:rsid w:val="00EE5238"/>
    <w:rsid w:val="00EF3113"/>
    <w:rsid w:val="00EF3F84"/>
    <w:rsid w:val="00F01DB5"/>
    <w:rsid w:val="00F048DA"/>
    <w:rsid w:val="00F10019"/>
    <w:rsid w:val="00F1615A"/>
    <w:rsid w:val="00F176AC"/>
    <w:rsid w:val="00F26F28"/>
    <w:rsid w:val="00F27714"/>
    <w:rsid w:val="00F3276E"/>
    <w:rsid w:val="00F33D3C"/>
    <w:rsid w:val="00F37A91"/>
    <w:rsid w:val="00F408A0"/>
    <w:rsid w:val="00F45CF5"/>
    <w:rsid w:val="00F47DB0"/>
    <w:rsid w:val="00F50C3F"/>
    <w:rsid w:val="00F50E34"/>
    <w:rsid w:val="00F53EF7"/>
    <w:rsid w:val="00F54BF2"/>
    <w:rsid w:val="00F677E4"/>
    <w:rsid w:val="00F775AC"/>
    <w:rsid w:val="00F92355"/>
    <w:rsid w:val="00F93963"/>
    <w:rsid w:val="00F94291"/>
    <w:rsid w:val="00FA298A"/>
    <w:rsid w:val="00FA5B66"/>
    <w:rsid w:val="00FB00FD"/>
    <w:rsid w:val="00FB30EB"/>
    <w:rsid w:val="00FB7982"/>
    <w:rsid w:val="00FC0734"/>
    <w:rsid w:val="00FC0FC5"/>
    <w:rsid w:val="00FC588F"/>
    <w:rsid w:val="00FC6879"/>
    <w:rsid w:val="00FE16D9"/>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6348A90"/>
  <w15:docId w15:val="{3E6F793A-0E76-49AE-A54B-02C360D8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810423">
      <w:bodyDiv w:val="1"/>
      <w:marLeft w:val="0"/>
      <w:marRight w:val="0"/>
      <w:marTop w:val="0"/>
      <w:marBottom w:val="0"/>
      <w:divBdr>
        <w:top w:val="none" w:sz="0" w:space="0" w:color="auto"/>
        <w:left w:val="none" w:sz="0" w:space="0" w:color="auto"/>
        <w:bottom w:val="none" w:sz="0" w:space="0" w:color="auto"/>
        <w:right w:val="none" w:sz="0" w:space="0" w:color="auto"/>
      </w:divBdr>
    </w:div>
    <w:div w:id="1337726183">
      <w:bodyDiv w:val="1"/>
      <w:marLeft w:val="0"/>
      <w:marRight w:val="0"/>
      <w:marTop w:val="0"/>
      <w:marBottom w:val="0"/>
      <w:divBdr>
        <w:top w:val="none" w:sz="0" w:space="0" w:color="auto"/>
        <w:left w:val="none" w:sz="0" w:space="0" w:color="auto"/>
        <w:bottom w:val="none" w:sz="0" w:space="0" w:color="auto"/>
        <w:right w:val="none" w:sz="0" w:space="0" w:color="auto"/>
      </w:divBdr>
    </w:div>
    <w:div w:id="16499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700EC543984071A600663F2DEC134F"/>
        <w:category>
          <w:name w:val="General"/>
          <w:gallery w:val="placeholder"/>
        </w:category>
        <w:types>
          <w:type w:val="bbPlcHdr"/>
        </w:types>
        <w:behaviors>
          <w:behavior w:val="content"/>
        </w:behaviors>
        <w:guid w:val="{123ECC3A-34CC-47A0-B761-4F96D881B342}"/>
      </w:docPartPr>
      <w:docPartBody>
        <w:p w:rsidR="009968C4" w:rsidRDefault="009968C4">
          <w:pPr>
            <w:pStyle w:val="5A700EC543984071A600663F2DEC134F"/>
          </w:pPr>
          <w:r>
            <w:rPr>
              <w:rStyle w:val="PlaceholderText"/>
            </w:rPr>
            <w:t>MNC Text</w:t>
          </w:r>
        </w:p>
      </w:docPartBody>
    </w:docPart>
    <w:docPart>
      <w:docPartPr>
        <w:name w:val="C6D42750A3A942FDA5364D46DC7071A4"/>
        <w:category>
          <w:name w:val="General"/>
          <w:gallery w:val="placeholder"/>
        </w:category>
        <w:types>
          <w:type w:val="bbPlcHdr"/>
        </w:types>
        <w:behaviors>
          <w:behavior w:val="content"/>
        </w:behaviors>
        <w:guid w:val="{ABE9ED14-89A1-4411-ABA2-7EAE140BB8FE}"/>
      </w:docPartPr>
      <w:docPartBody>
        <w:p w:rsidR="009968C4" w:rsidRDefault="009968C4">
          <w:pPr>
            <w:pStyle w:val="C6D42750A3A942FDA5364D46DC7071A4"/>
          </w:pPr>
          <w:r w:rsidRPr="005C44BE">
            <w:rPr>
              <w:rStyle w:val="PlaceholderText"/>
            </w:rPr>
            <w:t>Click or tap here to enter text.</w:t>
          </w:r>
        </w:p>
      </w:docPartBody>
    </w:docPart>
    <w:docPart>
      <w:docPartPr>
        <w:name w:val="794F94B2DC2A4F0CA5B6E088C8F409D4"/>
        <w:category>
          <w:name w:val="General"/>
          <w:gallery w:val="placeholder"/>
        </w:category>
        <w:types>
          <w:type w:val="bbPlcHdr"/>
        </w:types>
        <w:behaviors>
          <w:behavior w:val="content"/>
        </w:behaviors>
        <w:guid w:val="{BCBA3ABF-7F3E-4516-9863-DFD4E29E0E5B}"/>
      </w:docPartPr>
      <w:docPartBody>
        <w:p w:rsidR="009968C4" w:rsidRDefault="009968C4">
          <w:pPr>
            <w:pStyle w:val="794F94B2DC2A4F0CA5B6E088C8F409D4"/>
          </w:pPr>
          <w:r w:rsidRPr="005C44BE">
            <w:rPr>
              <w:rStyle w:val="PlaceholderText"/>
            </w:rPr>
            <w:t>Click or tap here to enter text.</w:t>
          </w:r>
        </w:p>
      </w:docPartBody>
    </w:docPart>
    <w:docPart>
      <w:docPartPr>
        <w:name w:val="C4710FA0C19F490CA0370DB2132C5A42"/>
        <w:category>
          <w:name w:val="General"/>
          <w:gallery w:val="placeholder"/>
        </w:category>
        <w:types>
          <w:type w:val="bbPlcHdr"/>
        </w:types>
        <w:behaviors>
          <w:behavior w:val="content"/>
        </w:behaviors>
        <w:guid w:val="{1096A3CF-1911-4785-B96A-25844466A7E8}"/>
      </w:docPartPr>
      <w:docPartBody>
        <w:p w:rsidR="009968C4" w:rsidRDefault="009968C4">
          <w:pPr>
            <w:pStyle w:val="C4710FA0C19F490CA0370DB2132C5A42"/>
          </w:pPr>
          <w:r w:rsidRPr="005C44BE">
            <w:rPr>
              <w:rStyle w:val="PlaceholderText"/>
            </w:rPr>
            <w:t>Click or tap here to enter text.</w:t>
          </w:r>
        </w:p>
      </w:docPartBody>
    </w:docPart>
    <w:docPart>
      <w:docPartPr>
        <w:name w:val="1452DC7F28744A739589A2C710E6777B"/>
        <w:category>
          <w:name w:val="General"/>
          <w:gallery w:val="placeholder"/>
        </w:category>
        <w:types>
          <w:type w:val="bbPlcHdr"/>
        </w:types>
        <w:behaviors>
          <w:behavior w:val="content"/>
        </w:behaviors>
        <w:guid w:val="{BC95B398-3DDA-48B4-9F16-71F585269D4F}"/>
      </w:docPartPr>
      <w:docPartBody>
        <w:p w:rsidR="009968C4" w:rsidRDefault="009968C4">
          <w:pPr>
            <w:pStyle w:val="1452DC7F28744A739589A2C710E6777B"/>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C4"/>
    <w:rsid w:val="002E583C"/>
    <w:rsid w:val="00495DD2"/>
    <w:rsid w:val="00792A16"/>
    <w:rsid w:val="009968C4"/>
    <w:rsid w:val="00A313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A700EC543984071A600663F2DEC134F">
    <w:name w:val="5A700EC543984071A600663F2DEC134F"/>
  </w:style>
  <w:style w:type="paragraph" w:customStyle="1" w:styleId="C6D42750A3A942FDA5364D46DC7071A4">
    <w:name w:val="C6D42750A3A942FDA5364D46DC7071A4"/>
  </w:style>
  <w:style w:type="paragraph" w:customStyle="1" w:styleId="794F94B2DC2A4F0CA5B6E088C8F409D4">
    <w:name w:val="794F94B2DC2A4F0CA5B6E088C8F409D4"/>
  </w:style>
  <w:style w:type="paragraph" w:customStyle="1" w:styleId="C4710FA0C19F490CA0370DB2132C5A42">
    <w:name w:val="C4710FA0C19F490CA0370DB2132C5A42"/>
  </w:style>
  <w:style w:type="paragraph" w:customStyle="1" w:styleId="1452DC7F28744A739589A2C710E6777B">
    <w:name w:val="1452DC7F28744A739589A2C710E67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Seven Network v Cricket Australia (No 2) [2021] FCA 1032 </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15</Pages>
  <Words>4307</Words>
  <Characters>22140</Characters>
  <Application>Microsoft Office Word</Application>
  <DocSecurity>0</DocSecurity>
  <Lines>492</Lines>
  <Paragraphs>264</Paragraphs>
  <ScaleCrop>false</ScaleCrop>
  <HeadingPairs>
    <vt:vector size="2" baseType="variant">
      <vt:variant>
        <vt:lpstr>Title</vt:lpstr>
      </vt:variant>
      <vt:variant>
        <vt:i4>1</vt:i4>
      </vt:variant>
    </vt:vector>
  </HeadingPairs>
  <TitlesOfParts>
    <vt:vector size="1" baseType="lpstr">
      <vt:lpstr>Seven Network v Cricket Australia (No 2) [2021] FCA 1032 </vt:lpstr>
    </vt:vector>
  </TitlesOfParts>
  <Company>Federal Court of Australia</Company>
  <LinksUpToDate>false</LinksUpToDate>
  <CharactersWithSpaces>26183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Network v Cricket Australia (No 2) [2021] FCA 1032</dc:title>
  <dc:creator>Federal Court of Australia</dc:creator>
  <cp:lastModifiedBy>Federal Court of Australia</cp:lastModifiedBy>
  <cp:revision>3</cp:revision>
  <cp:lastPrinted>2006-02-06T01:31:00Z</cp:lastPrinted>
  <dcterms:created xsi:type="dcterms:W3CDTF">2021-08-27T02:39:00Z</dcterms:created>
  <dcterms:modified xsi:type="dcterms:W3CDTF">2021-08-27T02:39:00Z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15</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Australian Capital Territory</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Commercial Contracts, Banking, Finance and Insurance</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