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C0AC1" w14:textId="77777777" w:rsidR="00395B24" w:rsidRPr="00057DB7" w:rsidRDefault="00CC304D" w:rsidP="00A22932">
      <w:pPr>
        <w:pStyle w:val="CourtTitle"/>
      </w:pPr>
      <w:r>
        <w:fldChar w:fldCharType="begin"/>
      </w:r>
      <w:r>
        <w:instrText xml:space="preserve"> DOCPROPERTY  Court  \* MERGEFORMAT </w:instrText>
      </w:r>
      <w:r>
        <w:fldChar w:fldCharType="separate"/>
      </w:r>
      <w:r w:rsidR="00570DA8" w:rsidRPr="00057DB7">
        <w:t>Federal Court of Australia</w:t>
      </w:r>
      <w:r>
        <w:fldChar w:fldCharType="end"/>
      </w:r>
    </w:p>
    <w:p w14:paraId="13C54B2F" w14:textId="77777777" w:rsidR="00395B24" w:rsidRPr="00057DB7" w:rsidRDefault="00395B24">
      <w:pPr>
        <w:pStyle w:val="NormalHeadings"/>
        <w:jc w:val="center"/>
        <w:rPr>
          <w:sz w:val="32"/>
        </w:rPr>
      </w:pPr>
    </w:p>
    <w:bookmarkStart w:id="0" w:name="MNC"/>
    <w:p w14:paraId="12E1FEFA" w14:textId="2461BC93" w:rsidR="00374CC4" w:rsidRPr="00057DB7" w:rsidRDefault="007F6173" w:rsidP="001A2B40">
      <w:pPr>
        <w:pStyle w:val="MNC"/>
      </w:pPr>
      <w:sdt>
        <w:sdtPr>
          <w:alias w:val="MNC"/>
          <w:tag w:val="MNC"/>
          <w:id w:val="343289786"/>
          <w:lock w:val="sdtLocked"/>
          <w:placeholder>
            <w:docPart w:val="F0D8047EA2BD4DACB1FF3195C553249C"/>
          </w:placeholder>
          <w:dataBinding w:prefixMappings="xmlns:ns0='http://schemas.globalmacros.com/FCA'" w:xpath="/ns0:root[1]/ns0:Name[1]" w:storeItemID="{687E7CCB-4AA5-44E7-B148-17BA2B6F57C0}"/>
          <w:text w:multiLine="1"/>
        </w:sdtPr>
        <w:sdtEndPr/>
        <w:sdtContent>
          <w:r w:rsidR="00570DA8" w:rsidRPr="00057DB7">
            <w:t>Murphy v Natio</w:t>
          </w:r>
          <w:r w:rsidR="00794808">
            <w:t>nwide News Pty Ltd [2021] FCA 381</w:t>
          </w:r>
          <w:r w:rsidR="00570DA8" w:rsidRPr="00057DB7">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RPr="00057DB7" w14:paraId="188E4B36" w14:textId="77777777" w:rsidTr="00A861F7">
        <w:tc>
          <w:tcPr>
            <w:tcW w:w="3084" w:type="dxa"/>
            <w:shd w:val="clear" w:color="auto" w:fill="auto"/>
          </w:tcPr>
          <w:p w14:paraId="02FF7971" w14:textId="77777777" w:rsidR="00395B24" w:rsidRPr="00057DB7" w:rsidRDefault="00570DA8" w:rsidP="00663878">
            <w:pPr>
              <w:pStyle w:val="Normal1linespace"/>
              <w:widowControl w:val="0"/>
              <w:jc w:val="left"/>
            </w:pPr>
            <w:r w:rsidRPr="00057DB7">
              <w:t>File number</w:t>
            </w:r>
            <w:r w:rsidR="002C7385" w:rsidRPr="00057DB7">
              <w:t>:</w:t>
            </w:r>
          </w:p>
        </w:tc>
        <w:tc>
          <w:tcPr>
            <w:tcW w:w="5989" w:type="dxa"/>
            <w:shd w:val="clear" w:color="auto" w:fill="auto"/>
          </w:tcPr>
          <w:p w14:paraId="1DE29582" w14:textId="77777777" w:rsidR="00395B24" w:rsidRPr="00057DB7" w:rsidRDefault="002A0507" w:rsidP="00570DA8">
            <w:pPr>
              <w:pStyle w:val="Normal1linespace"/>
              <w:jc w:val="left"/>
            </w:pPr>
            <w:fldSimple w:instr=" REF  FileNo  \* MERGEFORMAT " w:fldLock="1">
              <w:r w:rsidR="00570DA8" w:rsidRPr="00057DB7">
                <w:t>NSD 1246 of 2020</w:t>
              </w:r>
            </w:fldSimple>
          </w:p>
        </w:tc>
      </w:tr>
      <w:tr w:rsidR="00395B24" w:rsidRPr="00057DB7" w14:paraId="19239A63" w14:textId="77777777" w:rsidTr="00A861F7">
        <w:tc>
          <w:tcPr>
            <w:tcW w:w="3084" w:type="dxa"/>
            <w:shd w:val="clear" w:color="auto" w:fill="auto"/>
          </w:tcPr>
          <w:p w14:paraId="25E81CD4" w14:textId="77777777" w:rsidR="00395B24" w:rsidRPr="00057DB7" w:rsidRDefault="00395B24" w:rsidP="00663878">
            <w:pPr>
              <w:pStyle w:val="Normal1linespace"/>
              <w:widowControl w:val="0"/>
              <w:jc w:val="left"/>
            </w:pPr>
          </w:p>
        </w:tc>
        <w:tc>
          <w:tcPr>
            <w:tcW w:w="5989" w:type="dxa"/>
            <w:shd w:val="clear" w:color="auto" w:fill="auto"/>
          </w:tcPr>
          <w:p w14:paraId="54A6AC0F" w14:textId="77777777" w:rsidR="00395B24" w:rsidRPr="00057DB7" w:rsidRDefault="00395B24" w:rsidP="00663878">
            <w:pPr>
              <w:pStyle w:val="Normal1linespace"/>
              <w:widowControl w:val="0"/>
              <w:jc w:val="left"/>
            </w:pPr>
          </w:p>
        </w:tc>
      </w:tr>
      <w:tr w:rsidR="00395B24" w:rsidRPr="00057DB7" w14:paraId="04C443D6" w14:textId="77777777" w:rsidTr="00A861F7">
        <w:tc>
          <w:tcPr>
            <w:tcW w:w="3084" w:type="dxa"/>
            <w:shd w:val="clear" w:color="auto" w:fill="auto"/>
          </w:tcPr>
          <w:p w14:paraId="05E680C4" w14:textId="77777777" w:rsidR="00395B24" w:rsidRPr="00057DB7" w:rsidRDefault="002C7385" w:rsidP="00663878">
            <w:pPr>
              <w:pStyle w:val="Normal1linespace"/>
              <w:widowControl w:val="0"/>
              <w:jc w:val="left"/>
            </w:pPr>
            <w:r w:rsidRPr="00057DB7">
              <w:t>Judg</w:t>
            </w:r>
            <w:r w:rsidR="005724F6" w:rsidRPr="00057DB7">
              <w:t>ment of</w:t>
            </w:r>
            <w:r w:rsidRPr="00057DB7">
              <w:t>:</w:t>
            </w:r>
          </w:p>
        </w:tc>
        <w:tc>
          <w:tcPr>
            <w:tcW w:w="5989" w:type="dxa"/>
            <w:shd w:val="clear" w:color="auto" w:fill="auto"/>
          </w:tcPr>
          <w:p w14:paraId="76E6868A" w14:textId="77777777" w:rsidR="00395B24" w:rsidRPr="00057DB7" w:rsidRDefault="002C7385" w:rsidP="00663878">
            <w:pPr>
              <w:pStyle w:val="Normal1linespace"/>
              <w:widowControl w:val="0"/>
              <w:jc w:val="left"/>
              <w:rPr>
                <w:b/>
              </w:rPr>
            </w:pPr>
            <w:r w:rsidRPr="00057DB7">
              <w:rPr>
                <w:b/>
              </w:rPr>
              <w:fldChar w:fldCharType="begin" w:fldLock="1"/>
            </w:r>
            <w:r w:rsidRPr="00057DB7">
              <w:rPr>
                <w:b/>
              </w:rPr>
              <w:instrText xml:space="preserve"> REF  Judge  \* MERGEFORMAT </w:instrText>
            </w:r>
            <w:r w:rsidRPr="00057DB7">
              <w:rPr>
                <w:b/>
              </w:rPr>
              <w:fldChar w:fldCharType="separate"/>
            </w:r>
            <w:r w:rsidR="00570DA8" w:rsidRPr="00057DB7">
              <w:rPr>
                <w:b/>
                <w:caps/>
                <w:szCs w:val="24"/>
              </w:rPr>
              <w:t>LEE J</w:t>
            </w:r>
            <w:r w:rsidRPr="00057DB7">
              <w:rPr>
                <w:b/>
              </w:rPr>
              <w:fldChar w:fldCharType="end"/>
            </w:r>
          </w:p>
        </w:tc>
      </w:tr>
      <w:tr w:rsidR="00395B24" w:rsidRPr="00057DB7" w14:paraId="428DC720" w14:textId="77777777" w:rsidTr="00A861F7">
        <w:tc>
          <w:tcPr>
            <w:tcW w:w="3084" w:type="dxa"/>
            <w:shd w:val="clear" w:color="auto" w:fill="auto"/>
          </w:tcPr>
          <w:p w14:paraId="786B2B33" w14:textId="77777777" w:rsidR="00395B24" w:rsidRPr="00057DB7" w:rsidRDefault="00395B24" w:rsidP="00663878">
            <w:pPr>
              <w:pStyle w:val="Normal1linespace"/>
              <w:widowControl w:val="0"/>
              <w:jc w:val="left"/>
            </w:pPr>
          </w:p>
        </w:tc>
        <w:tc>
          <w:tcPr>
            <w:tcW w:w="5989" w:type="dxa"/>
            <w:shd w:val="clear" w:color="auto" w:fill="auto"/>
          </w:tcPr>
          <w:p w14:paraId="42654827" w14:textId="77777777" w:rsidR="00395B24" w:rsidRPr="00057DB7" w:rsidRDefault="00395B24" w:rsidP="00663878">
            <w:pPr>
              <w:pStyle w:val="Normal1linespace"/>
              <w:widowControl w:val="0"/>
              <w:jc w:val="left"/>
            </w:pPr>
          </w:p>
        </w:tc>
      </w:tr>
      <w:tr w:rsidR="00395B24" w:rsidRPr="00057DB7" w14:paraId="7DCB1A8A" w14:textId="77777777" w:rsidTr="00A861F7">
        <w:tc>
          <w:tcPr>
            <w:tcW w:w="3084" w:type="dxa"/>
            <w:shd w:val="clear" w:color="auto" w:fill="auto"/>
          </w:tcPr>
          <w:p w14:paraId="541CF0FD" w14:textId="77777777" w:rsidR="00395B24" w:rsidRPr="00057DB7" w:rsidRDefault="002C7385" w:rsidP="00663878">
            <w:pPr>
              <w:pStyle w:val="Normal1linespace"/>
              <w:widowControl w:val="0"/>
              <w:jc w:val="left"/>
            </w:pPr>
            <w:r w:rsidRPr="00057DB7">
              <w:t>Date of judgment:</w:t>
            </w:r>
          </w:p>
        </w:tc>
        <w:tc>
          <w:tcPr>
            <w:tcW w:w="5989" w:type="dxa"/>
            <w:shd w:val="clear" w:color="auto" w:fill="auto"/>
          </w:tcPr>
          <w:p w14:paraId="7555F5FE" w14:textId="7AB27B18" w:rsidR="00395B24" w:rsidRPr="00057DB7" w:rsidRDefault="00201BF7" w:rsidP="00663878">
            <w:pPr>
              <w:pStyle w:val="Normal1linespace"/>
              <w:widowControl w:val="0"/>
              <w:jc w:val="left"/>
            </w:pPr>
            <w:r>
              <w:t>19 April 2021</w:t>
            </w:r>
          </w:p>
        </w:tc>
      </w:tr>
      <w:tr w:rsidR="00395B24" w:rsidRPr="00057DB7" w14:paraId="1F6EAB77" w14:textId="77777777" w:rsidTr="00A861F7">
        <w:tc>
          <w:tcPr>
            <w:tcW w:w="3084" w:type="dxa"/>
            <w:shd w:val="clear" w:color="auto" w:fill="auto"/>
          </w:tcPr>
          <w:p w14:paraId="73C61757" w14:textId="77777777" w:rsidR="00395B24" w:rsidRPr="00057DB7" w:rsidRDefault="00395B24" w:rsidP="00663878">
            <w:pPr>
              <w:pStyle w:val="Normal1linespace"/>
              <w:widowControl w:val="0"/>
              <w:jc w:val="left"/>
            </w:pPr>
          </w:p>
        </w:tc>
        <w:tc>
          <w:tcPr>
            <w:tcW w:w="5989" w:type="dxa"/>
            <w:shd w:val="clear" w:color="auto" w:fill="auto"/>
          </w:tcPr>
          <w:p w14:paraId="117A6483" w14:textId="77777777" w:rsidR="00395B24" w:rsidRPr="00057DB7" w:rsidRDefault="00395B24" w:rsidP="00663878">
            <w:pPr>
              <w:pStyle w:val="Normal1linespace"/>
              <w:widowControl w:val="0"/>
              <w:jc w:val="left"/>
            </w:pPr>
          </w:p>
        </w:tc>
      </w:tr>
      <w:tr w:rsidR="00395B24" w:rsidRPr="00057DB7" w14:paraId="75F8D77E" w14:textId="77777777" w:rsidTr="00A861F7">
        <w:tc>
          <w:tcPr>
            <w:tcW w:w="3084" w:type="dxa"/>
            <w:shd w:val="clear" w:color="auto" w:fill="auto"/>
          </w:tcPr>
          <w:p w14:paraId="73B4BEB5" w14:textId="77777777" w:rsidR="00395B24" w:rsidRPr="00057DB7" w:rsidRDefault="002C7385" w:rsidP="00663878">
            <w:pPr>
              <w:pStyle w:val="Normal1linespace"/>
              <w:widowControl w:val="0"/>
              <w:jc w:val="left"/>
            </w:pPr>
            <w:r w:rsidRPr="00057DB7">
              <w:t>Catchwords:</w:t>
            </w:r>
          </w:p>
        </w:tc>
        <w:tc>
          <w:tcPr>
            <w:tcW w:w="5989" w:type="dxa"/>
            <w:shd w:val="clear" w:color="auto" w:fill="auto"/>
          </w:tcPr>
          <w:p w14:paraId="05D9C79E" w14:textId="50881BE2" w:rsidR="00021581" w:rsidRDefault="00021581" w:rsidP="00021581">
            <w:pPr>
              <w:pStyle w:val="Normal1linespace"/>
              <w:widowControl w:val="0"/>
              <w:jc w:val="left"/>
            </w:pPr>
            <w:bookmarkStart w:id="1" w:name="Catchwords"/>
            <w:r>
              <w:rPr>
                <w:b/>
              </w:rPr>
              <w:t xml:space="preserve">DEFAMATION </w:t>
            </w:r>
            <w:r>
              <w:t xml:space="preserve">– proceeding against journalist and publisher of </w:t>
            </w:r>
            <w:r w:rsidRPr="00057DB7">
              <w:rPr>
                <w:i/>
              </w:rPr>
              <w:t>The Daily Telegraph</w:t>
            </w:r>
            <w:r w:rsidRPr="00057DB7">
              <w:t xml:space="preserve"> </w:t>
            </w:r>
            <w:r>
              <w:t>in respect of two publications – applicant a high profile solicitor</w:t>
            </w:r>
            <w:r w:rsidR="00C33619">
              <w:t xml:space="preserve"> specialising in criminal</w:t>
            </w:r>
            <w:r>
              <w:t xml:space="preserve"> </w:t>
            </w:r>
            <w:r w:rsidR="00C33619">
              <w:t xml:space="preserve">law </w:t>
            </w:r>
            <w:r>
              <w:t xml:space="preserve">– five imputations alleged to have been conveyed – one imputation found to have been conveyed – journalist alleged applicant was </w:t>
            </w:r>
            <w:r w:rsidRPr="00057DB7">
              <w:t>incap</w:t>
            </w:r>
            <w:r w:rsidR="00C33619">
              <w:t>able of representing his client</w:t>
            </w:r>
            <w:r w:rsidRPr="00057DB7">
              <w:t>s</w:t>
            </w:r>
            <w:r w:rsidR="00C33619">
              <w:t>’</w:t>
            </w:r>
            <w:r w:rsidRPr="00057DB7">
              <w:t xml:space="preserve"> interests in court by reason of the ravages of age and associated deafness</w:t>
            </w:r>
            <w:r>
              <w:t xml:space="preserve"> – </w:t>
            </w:r>
            <w:r w:rsidR="00C73DCE">
              <w:t>considerati</w:t>
            </w:r>
            <w:r w:rsidR="005A7CDD">
              <w:t xml:space="preserve">on of any “variant” imputation </w:t>
            </w:r>
            <w:r w:rsidR="00C73DCE">
              <w:t xml:space="preserve">– </w:t>
            </w:r>
            <w:r w:rsidR="00C33619">
              <w:t>no such thing as a separate “</w:t>
            </w:r>
            <w:proofErr w:type="spellStart"/>
            <w:r w:rsidR="00C33619" w:rsidRPr="00C33619">
              <w:rPr>
                <w:i/>
              </w:rPr>
              <w:t>Hore</w:t>
            </w:r>
            <w:proofErr w:type="spellEnd"/>
            <w:r w:rsidR="00C33619" w:rsidRPr="00C33619">
              <w:rPr>
                <w:i/>
              </w:rPr>
              <w:t>-Lacy</w:t>
            </w:r>
            <w:r w:rsidR="00C33619">
              <w:t xml:space="preserve"> defence” – </w:t>
            </w:r>
            <w:r w:rsidRPr="00C73DCE">
              <w:t>justification</w:t>
            </w:r>
            <w:r>
              <w:t xml:space="preserve"> defence – whether imputatio</w:t>
            </w:r>
            <w:r w:rsidR="00C33619">
              <w:t xml:space="preserve">n was substantially true </w:t>
            </w:r>
            <w:r w:rsidR="003D04A0">
              <w:t>– applicant’s absence of appearance in court one of choice</w:t>
            </w:r>
            <w:r w:rsidR="00C33619">
              <w:t xml:space="preserve"> not because of being unable to appear</w:t>
            </w:r>
            <w:r w:rsidR="003D04A0">
              <w:t xml:space="preserve"> –</w:t>
            </w:r>
            <w:r>
              <w:t xml:space="preserve"> </w:t>
            </w:r>
            <w:r w:rsidR="003D04A0">
              <w:t>defence unsuccessful</w:t>
            </w:r>
          </w:p>
          <w:p w14:paraId="675E590F" w14:textId="085DD315" w:rsidR="003D04A0" w:rsidRDefault="003D04A0" w:rsidP="00021581">
            <w:pPr>
              <w:pStyle w:val="Normal1linespace"/>
              <w:widowControl w:val="0"/>
              <w:jc w:val="left"/>
            </w:pPr>
          </w:p>
          <w:p w14:paraId="127775D8" w14:textId="7563DE45" w:rsidR="003D04A0" w:rsidRDefault="003D04A0" w:rsidP="00021581">
            <w:pPr>
              <w:pStyle w:val="Normal1linespace"/>
              <w:widowControl w:val="0"/>
              <w:jc w:val="left"/>
            </w:pPr>
            <w:r w:rsidRPr="003D04A0">
              <w:rPr>
                <w:b/>
              </w:rPr>
              <w:t>PRACTICE AND PROCEDURE</w:t>
            </w:r>
            <w:r>
              <w:t xml:space="preserve"> – </w:t>
            </w:r>
            <w:r w:rsidR="00F161DC">
              <w:t>r</w:t>
            </w:r>
            <w:r>
              <w:t xml:space="preserve">eferee appointed to inquire into and report on hearing of applicant – referee reports adopted – efficient use of court time </w:t>
            </w:r>
          </w:p>
          <w:p w14:paraId="71083B99" w14:textId="2678FA17" w:rsidR="00021581" w:rsidRDefault="00021581" w:rsidP="00021581">
            <w:pPr>
              <w:pStyle w:val="Normal1linespace"/>
              <w:widowControl w:val="0"/>
              <w:jc w:val="left"/>
            </w:pPr>
          </w:p>
          <w:p w14:paraId="780514B8" w14:textId="2F50805F" w:rsidR="00395B24" w:rsidRPr="00057DB7" w:rsidRDefault="00021581" w:rsidP="00C33619">
            <w:pPr>
              <w:pStyle w:val="Normal1linespace"/>
              <w:widowControl w:val="0"/>
              <w:jc w:val="left"/>
            </w:pPr>
            <w:r>
              <w:rPr>
                <w:b/>
              </w:rPr>
              <w:t xml:space="preserve">DAMAGES </w:t>
            </w:r>
            <w:r>
              <w:t>– w</w:t>
            </w:r>
            <w:r w:rsidRPr="00E12043">
              <w:t>here applicant sought general damages for non-economic loss – where applicant sought aggravated damages – assessment of general damages –</w:t>
            </w:r>
            <w:r>
              <w:t xml:space="preserve"> where alleged unjustifiable conduct said to support award of aggravated damages –</w:t>
            </w:r>
            <w:r w:rsidR="00C33619">
              <w:t xml:space="preserve"> </w:t>
            </w:r>
            <w:r w:rsidR="003D04A0" w:rsidRPr="00057DB7">
              <w:rPr>
                <w:lang w:eastAsia="en-AU"/>
              </w:rPr>
              <w:t>no</w:t>
            </w:r>
            <w:r w:rsidR="003D04A0">
              <w:rPr>
                <w:lang w:eastAsia="en-AU"/>
              </w:rPr>
              <w:t xml:space="preserve"> circumstances</w:t>
            </w:r>
            <w:r w:rsidR="003D04A0" w:rsidRPr="00E46198">
              <w:rPr>
                <w:lang w:eastAsia="en-AU"/>
              </w:rPr>
              <w:t xml:space="preserve"> </w:t>
            </w:r>
            <w:r w:rsidR="003D04A0">
              <w:rPr>
                <w:lang w:eastAsia="en-AU"/>
              </w:rPr>
              <w:t xml:space="preserve">either individually or in a combination sufficient to warrant aggravated </w:t>
            </w:r>
            <w:r w:rsidR="00C33619">
              <w:rPr>
                <w:lang w:eastAsia="en-AU"/>
              </w:rPr>
              <w:t xml:space="preserve">compensatory </w:t>
            </w:r>
            <w:r w:rsidR="003D04A0">
              <w:rPr>
                <w:lang w:eastAsia="en-AU"/>
              </w:rPr>
              <w:t>damages</w:t>
            </w:r>
            <w:r w:rsidR="002C7385" w:rsidRPr="00057DB7">
              <w:t xml:space="preserve"> </w:t>
            </w:r>
            <w:bookmarkEnd w:id="1"/>
          </w:p>
        </w:tc>
      </w:tr>
      <w:tr w:rsidR="00395B24" w:rsidRPr="00057DB7" w14:paraId="5D01F9D0" w14:textId="77777777" w:rsidTr="00A861F7">
        <w:tc>
          <w:tcPr>
            <w:tcW w:w="3084" w:type="dxa"/>
            <w:shd w:val="clear" w:color="auto" w:fill="auto"/>
          </w:tcPr>
          <w:p w14:paraId="666FF854" w14:textId="77777777" w:rsidR="00395B24" w:rsidRPr="00057DB7" w:rsidRDefault="00395B24" w:rsidP="00663878">
            <w:pPr>
              <w:pStyle w:val="Normal1linespace"/>
              <w:widowControl w:val="0"/>
              <w:jc w:val="left"/>
            </w:pPr>
          </w:p>
        </w:tc>
        <w:tc>
          <w:tcPr>
            <w:tcW w:w="5989" w:type="dxa"/>
            <w:shd w:val="clear" w:color="auto" w:fill="auto"/>
          </w:tcPr>
          <w:p w14:paraId="70969C95" w14:textId="77777777" w:rsidR="00395B24" w:rsidRPr="00057DB7" w:rsidRDefault="00395B24" w:rsidP="00663878">
            <w:pPr>
              <w:pStyle w:val="Normal1linespace"/>
              <w:widowControl w:val="0"/>
              <w:jc w:val="left"/>
            </w:pPr>
          </w:p>
        </w:tc>
      </w:tr>
      <w:tr w:rsidR="00395B24" w:rsidRPr="00057DB7" w14:paraId="5A99639E" w14:textId="77777777" w:rsidTr="00A861F7">
        <w:tc>
          <w:tcPr>
            <w:tcW w:w="3084" w:type="dxa"/>
            <w:shd w:val="clear" w:color="auto" w:fill="auto"/>
          </w:tcPr>
          <w:p w14:paraId="2FD979CE" w14:textId="77777777" w:rsidR="00395B24" w:rsidRPr="00057DB7" w:rsidRDefault="002C7385" w:rsidP="00663878">
            <w:pPr>
              <w:pStyle w:val="Normal1linespace"/>
              <w:widowControl w:val="0"/>
              <w:jc w:val="left"/>
            </w:pPr>
            <w:r w:rsidRPr="00057DB7">
              <w:t>Legislation:</w:t>
            </w:r>
          </w:p>
        </w:tc>
        <w:tc>
          <w:tcPr>
            <w:tcW w:w="5989" w:type="dxa"/>
            <w:shd w:val="clear" w:color="auto" w:fill="auto"/>
          </w:tcPr>
          <w:p w14:paraId="209886E8" w14:textId="77777777" w:rsidR="004838C5" w:rsidRPr="00057DB7" w:rsidRDefault="004838C5" w:rsidP="00201BF7">
            <w:pPr>
              <w:pStyle w:val="CasesLegislationAppealFrom"/>
              <w:spacing w:after="60"/>
            </w:pPr>
            <w:bookmarkStart w:id="2" w:name="Legislation"/>
            <w:r w:rsidRPr="00057DB7">
              <w:rPr>
                <w:i/>
              </w:rPr>
              <w:t>Defamation</w:t>
            </w:r>
            <w:r w:rsidRPr="00057DB7">
              <w:rPr>
                <w:i/>
                <w:spacing w:val="-13"/>
              </w:rPr>
              <w:t xml:space="preserve"> </w:t>
            </w:r>
            <w:r w:rsidRPr="00057DB7">
              <w:rPr>
                <w:i/>
              </w:rPr>
              <w:t>Act</w:t>
            </w:r>
            <w:r w:rsidRPr="00057DB7">
              <w:rPr>
                <w:i/>
                <w:spacing w:val="-13"/>
              </w:rPr>
              <w:t xml:space="preserve"> </w:t>
            </w:r>
            <w:r w:rsidRPr="00057DB7">
              <w:rPr>
                <w:i/>
              </w:rPr>
              <w:t>2005</w:t>
            </w:r>
            <w:r w:rsidRPr="00057DB7">
              <w:t xml:space="preserve"> (NSW)</w:t>
            </w:r>
            <w:r>
              <w:t xml:space="preserve"> </w:t>
            </w:r>
            <w:proofErr w:type="spellStart"/>
            <w:r>
              <w:t>ss</w:t>
            </w:r>
            <w:proofErr w:type="spellEnd"/>
            <w:r>
              <w:t xml:space="preserve"> 25, 34, 35</w:t>
            </w:r>
            <w:r w:rsidRPr="00057DB7">
              <w:t xml:space="preserve"> </w:t>
            </w:r>
          </w:p>
          <w:p w14:paraId="167C3844" w14:textId="11B100DA" w:rsidR="004838C5" w:rsidRDefault="004838C5" w:rsidP="00D82620">
            <w:pPr>
              <w:pStyle w:val="CasesLegislationAppealFrom"/>
              <w:spacing w:after="60"/>
            </w:pPr>
            <w:r w:rsidRPr="00057DB7">
              <w:rPr>
                <w:i/>
              </w:rPr>
              <w:t>Evidence Act 1995</w:t>
            </w:r>
            <w:r w:rsidRPr="00057DB7">
              <w:t xml:space="preserve"> (</w:t>
            </w:r>
            <w:proofErr w:type="spellStart"/>
            <w:r w:rsidRPr="00057DB7">
              <w:t>Cth</w:t>
            </w:r>
            <w:proofErr w:type="spellEnd"/>
            <w:r w:rsidRPr="00057DB7">
              <w:t>)</w:t>
            </w:r>
            <w:r>
              <w:t xml:space="preserve"> </w:t>
            </w:r>
            <w:proofErr w:type="spellStart"/>
            <w:r w:rsidR="00CB16A2">
              <w:t>ss</w:t>
            </w:r>
            <w:proofErr w:type="spellEnd"/>
            <w:r w:rsidR="00CB16A2">
              <w:t xml:space="preserve"> </w:t>
            </w:r>
            <w:r>
              <w:t>140, 191</w:t>
            </w:r>
          </w:p>
          <w:p w14:paraId="36875535" w14:textId="77777777" w:rsidR="004838C5" w:rsidRDefault="004838C5" w:rsidP="00D82620">
            <w:pPr>
              <w:pStyle w:val="CasesLegislationAppealFrom"/>
              <w:spacing w:after="60"/>
            </w:pPr>
            <w:r w:rsidRPr="00057DB7">
              <w:rPr>
                <w:i/>
              </w:rPr>
              <w:t>Federal Court of Australia Act 1976</w:t>
            </w:r>
            <w:r w:rsidRPr="00057DB7">
              <w:t> (</w:t>
            </w:r>
            <w:proofErr w:type="spellStart"/>
            <w:r w:rsidRPr="00057DB7">
              <w:t>Cth</w:t>
            </w:r>
            <w:proofErr w:type="spellEnd"/>
            <w:r w:rsidRPr="00057DB7">
              <w:t>)</w:t>
            </w:r>
            <w:r>
              <w:t xml:space="preserve"> s 54A</w:t>
            </w:r>
          </w:p>
          <w:bookmarkEnd w:id="2"/>
          <w:p w14:paraId="45229420" w14:textId="00DC9731" w:rsidR="00395B24" w:rsidRPr="00057DB7" w:rsidRDefault="004838C5" w:rsidP="00201BF7">
            <w:pPr>
              <w:pStyle w:val="CasesLegislationAppealFrom"/>
              <w:spacing w:after="60"/>
            </w:pPr>
            <w:r w:rsidRPr="00057DB7">
              <w:rPr>
                <w:i/>
                <w:iCs/>
              </w:rPr>
              <w:t xml:space="preserve">Federal Court Rules 2011 </w:t>
            </w:r>
            <w:r w:rsidRPr="00057DB7">
              <w:t>(</w:t>
            </w:r>
            <w:proofErr w:type="spellStart"/>
            <w:r w:rsidRPr="00057DB7">
              <w:t>Cth</w:t>
            </w:r>
            <w:proofErr w:type="spellEnd"/>
            <w:r w:rsidRPr="00057DB7">
              <w:t xml:space="preserve">) </w:t>
            </w:r>
            <w:proofErr w:type="spellStart"/>
            <w:r>
              <w:t>Div</w:t>
            </w:r>
            <w:proofErr w:type="spellEnd"/>
            <w:r>
              <w:t xml:space="preserve"> 28.6</w:t>
            </w:r>
            <w:r w:rsidRPr="00057DB7">
              <w:t xml:space="preserve"> </w:t>
            </w:r>
          </w:p>
        </w:tc>
      </w:tr>
      <w:tr w:rsidR="00395B24" w:rsidRPr="00057DB7" w14:paraId="7565D31B" w14:textId="77777777" w:rsidTr="00A861F7">
        <w:tc>
          <w:tcPr>
            <w:tcW w:w="3084" w:type="dxa"/>
            <w:shd w:val="clear" w:color="auto" w:fill="auto"/>
          </w:tcPr>
          <w:p w14:paraId="498F95FD" w14:textId="77777777" w:rsidR="00395B24" w:rsidRPr="00057DB7" w:rsidRDefault="00395B24" w:rsidP="00663878">
            <w:pPr>
              <w:pStyle w:val="Normal1linespace"/>
              <w:widowControl w:val="0"/>
              <w:jc w:val="left"/>
            </w:pPr>
          </w:p>
        </w:tc>
        <w:tc>
          <w:tcPr>
            <w:tcW w:w="5989" w:type="dxa"/>
            <w:shd w:val="clear" w:color="auto" w:fill="auto"/>
          </w:tcPr>
          <w:p w14:paraId="2479F2D6" w14:textId="77777777" w:rsidR="00395B24" w:rsidRPr="00057DB7" w:rsidRDefault="00395B24" w:rsidP="00663878">
            <w:pPr>
              <w:pStyle w:val="Normal1linespace"/>
              <w:widowControl w:val="0"/>
              <w:jc w:val="left"/>
            </w:pPr>
          </w:p>
        </w:tc>
      </w:tr>
      <w:tr w:rsidR="00395B24" w:rsidRPr="00057DB7" w14:paraId="490258B0" w14:textId="77777777" w:rsidTr="00A861F7">
        <w:tc>
          <w:tcPr>
            <w:tcW w:w="3084" w:type="dxa"/>
            <w:shd w:val="clear" w:color="auto" w:fill="auto"/>
          </w:tcPr>
          <w:p w14:paraId="5E60AB11" w14:textId="77777777" w:rsidR="00395B24" w:rsidRPr="00057DB7" w:rsidRDefault="002C7385" w:rsidP="00663878">
            <w:pPr>
              <w:pStyle w:val="Normal1linespace"/>
              <w:widowControl w:val="0"/>
              <w:jc w:val="left"/>
            </w:pPr>
            <w:r w:rsidRPr="00057DB7">
              <w:t>Cases cited:</w:t>
            </w:r>
          </w:p>
        </w:tc>
        <w:tc>
          <w:tcPr>
            <w:tcW w:w="5989" w:type="dxa"/>
            <w:shd w:val="clear" w:color="auto" w:fill="auto"/>
          </w:tcPr>
          <w:p w14:paraId="245F9C11" w14:textId="77777777" w:rsidR="004838C5" w:rsidRDefault="004838C5" w:rsidP="00D82620">
            <w:pPr>
              <w:pStyle w:val="CasesLegislationAppealFrom"/>
              <w:spacing w:after="60"/>
            </w:pPr>
            <w:bookmarkStart w:id="3" w:name="Cases_Cited"/>
            <w:r w:rsidRPr="00057DB7">
              <w:rPr>
                <w:i/>
              </w:rPr>
              <w:t xml:space="preserve">Australian Broadcasting Corporation v Chau </w:t>
            </w:r>
            <w:proofErr w:type="spellStart"/>
            <w:r w:rsidRPr="00057DB7">
              <w:rPr>
                <w:i/>
              </w:rPr>
              <w:t>Chak</w:t>
            </w:r>
            <w:proofErr w:type="spellEnd"/>
            <w:r w:rsidRPr="00057DB7">
              <w:rPr>
                <w:i/>
                <w:spacing w:val="-43"/>
              </w:rPr>
              <w:t xml:space="preserve">  </w:t>
            </w:r>
            <w:r w:rsidRPr="00057DB7">
              <w:rPr>
                <w:i/>
              </w:rPr>
              <w:t xml:space="preserve">Wing </w:t>
            </w:r>
            <w:r w:rsidRPr="00057DB7">
              <w:t>[2019] FCA</w:t>
            </w:r>
            <w:r>
              <w:t>FC</w:t>
            </w:r>
            <w:r w:rsidRPr="00057DB7">
              <w:t xml:space="preserve"> 125</w:t>
            </w:r>
            <w:r>
              <w:t xml:space="preserve">; </w:t>
            </w:r>
            <w:r w:rsidRPr="00057DB7">
              <w:t>(2019) 271 FCR 632</w:t>
            </w:r>
          </w:p>
          <w:p w14:paraId="02F300A3" w14:textId="3326C1EB" w:rsidR="004838C5" w:rsidRDefault="004838C5" w:rsidP="00D82620">
            <w:pPr>
              <w:pStyle w:val="CasesLegislationAppealFrom"/>
              <w:spacing w:after="60"/>
            </w:pPr>
            <w:r w:rsidRPr="00057DB7">
              <w:rPr>
                <w:i/>
              </w:rPr>
              <w:t>Axon v Axon</w:t>
            </w:r>
            <w:r w:rsidRPr="00057DB7">
              <w:t> (1937) 59 CLR 395</w:t>
            </w:r>
          </w:p>
          <w:bookmarkEnd w:id="3"/>
          <w:p w14:paraId="3F6C1321" w14:textId="77777777" w:rsidR="004838C5" w:rsidRDefault="004838C5" w:rsidP="00D82620">
            <w:pPr>
              <w:pStyle w:val="CasesLegislationAppealFrom"/>
              <w:spacing w:after="60"/>
            </w:pPr>
            <w:r>
              <w:fldChar w:fldCharType="begin"/>
            </w:r>
            <w:r>
              <w:instrText xml:space="preserve"> HYPERLINK "https://jade.io/article/64045" </w:instrText>
            </w:r>
            <w:r>
              <w:fldChar w:fldCharType="separate"/>
            </w:r>
            <w:proofErr w:type="spellStart"/>
            <w:r w:rsidRPr="00057DB7">
              <w:rPr>
                <w:i/>
              </w:rPr>
              <w:t>Briginshaw</w:t>
            </w:r>
            <w:proofErr w:type="spellEnd"/>
            <w:r w:rsidRPr="00057DB7">
              <w:rPr>
                <w:i/>
              </w:rPr>
              <w:t> v </w:t>
            </w:r>
            <w:proofErr w:type="spellStart"/>
            <w:r w:rsidRPr="00057DB7">
              <w:rPr>
                <w:i/>
              </w:rPr>
              <w:t>Briginshaw</w:t>
            </w:r>
            <w:proofErr w:type="spellEnd"/>
            <w:r>
              <w:rPr>
                <w:i/>
              </w:rPr>
              <w:fldChar w:fldCharType="end"/>
            </w:r>
            <w:r w:rsidRPr="00057DB7">
              <w:rPr>
                <w:i/>
              </w:rPr>
              <w:t> </w:t>
            </w:r>
            <w:r w:rsidRPr="00057DB7">
              <w:t>(1938) 60 CLR 336</w:t>
            </w:r>
          </w:p>
          <w:p w14:paraId="3026AF62" w14:textId="77777777" w:rsidR="004838C5" w:rsidRPr="00057DB7" w:rsidRDefault="004838C5" w:rsidP="00D82620">
            <w:pPr>
              <w:pStyle w:val="CasesLegislationAppealFrom"/>
              <w:spacing w:after="60"/>
            </w:pPr>
            <w:r w:rsidRPr="00057DB7">
              <w:rPr>
                <w:i/>
              </w:rPr>
              <w:t xml:space="preserve">CPB Contractors Pty Limited v </w:t>
            </w:r>
            <w:proofErr w:type="spellStart"/>
            <w:r w:rsidRPr="00057DB7">
              <w:rPr>
                <w:i/>
              </w:rPr>
              <w:t>Celsus</w:t>
            </w:r>
            <w:proofErr w:type="spellEnd"/>
            <w:r w:rsidRPr="00057DB7">
              <w:rPr>
                <w:i/>
              </w:rPr>
              <w:t xml:space="preserve"> Pty </w:t>
            </w:r>
            <w:r>
              <w:rPr>
                <w:i/>
              </w:rPr>
              <w:t>Ltd</w:t>
            </w:r>
            <w:r w:rsidRPr="00057DB7">
              <w:rPr>
                <w:i/>
              </w:rPr>
              <w:t xml:space="preserve"> (No 2)</w:t>
            </w:r>
            <w:r w:rsidRPr="00057DB7">
              <w:t xml:space="preserve"> [2018] FCA 2112; 268 FCR 590</w:t>
            </w:r>
          </w:p>
          <w:p w14:paraId="57231DA3" w14:textId="77777777" w:rsidR="004838C5" w:rsidRDefault="004838C5" w:rsidP="00D82620">
            <w:pPr>
              <w:pStyle w:val="CasesLegislationAppealFrom"/>
              <w:spacing w:after="60"/>
            </w:pPr>
            <w:r w:rsidRPr="00057DB7">
              <w:rPr>
                <w:i/>
              </w:rPr>
              <w:lastRenderedPageBreak/>
              <w:t xml:space="preserve">David </w:t>
            </w:r>
            <w:proofErr w:type="spellStart"/>
            <w:r w:rsidRPr="00057DB7">
              <w:rPr>
                <w:i/>
              </w:rPr>
              <w:t>Syme</w:t>
            </w:r>
            <w:proofErr w:type="spellEnd"/>
            <w:r w:rsidRPr="00057DB7">
              <w:rPr>
                <w:i/>
              </w:rPr>
              <w:t xml:space="preserve"> &amp; Co Ltd v </w:t>
            </w:r>
            <w:proofErr w:type="spellStart"/>
            <w:r w:rsidRPr="00057DB7">
              <w:rPr>
                <w:i/>
              </w:rPr>
              <w:t>Hore</w:t>
            </w:r>
            <w:proofErr w:type="spellEnd"/>
            <w:r w:rsidRPr="00057DB7">
              <w:rPr>
                <w:i/>
              </w:rPr>
              <w:t xml:space="preserve">-Lacy </w:t>
            </w:r>
            <w:r>
              <w:t xml:space="preserve">[2000] VSCA 24; </w:t>
            </w:r>
            <w:r w:rsidRPr="00057DB7">
              <w:t>(2000) 1 VR 667</w:t>
            </w:r>
          </w:p>
          <w:p w14:paraId="7934EAA6" w14:textId="77777777" w:rsidR="004838C5" w:rsidRDefault="004838C5" w:rsidP="00D82620">
            <w:pPr>
              <w:pStyle w:val="CasesLegislationAppealFrom"/>
              <w:spacing w:after="60"/>
            </w:pPr>
            <w:r w:rsidRPr="00057DB7">
              <w:rPr>
                <w:i/>
                <w:iCs/>
              </w:rPr>
              <w:t xml:space="preserve">John Fairfax Publications Pty Ltd v </w:t>
            </w:r>
            <w:proofErr w:type="spellStart"/>
            <w:r w:rsidRPr="00057DB7">
              <w:rPr>
                <w:i/>
                <w:iCs/>
              </w:rPr>
              <w:t>Gacic</w:t>
            </w:r>
            <w:proofErr w:type="spellEnd"/>
            <w:r w:rsidRPr="00057DB7">
              <w:t xml:space="preserve"> </w:t>
            </w:r>
            <w:r>
              <w:t xml:space="preserve">[2007] HCA 28; </w:t>
            </w:r>
            <w:r w:rsidRPr="00057DB7">
              <w:t>(2007) 230 CLR 291</w:t>
            </w:r>
          </w:p>
          <w:p w14:paraId="7E1AECD8" w14:textId="5E895280" w:rsidR="004838C5" w:rsidRDefault="004838C5" w:rsidP="00D82620">
            <w:pPr>
              <w:pStyle w:val="CasesLegislationAppealFrom"/>
              <w:spacing w:after="60"/>
            </w:pPr>
            <w:r w:rsidRPr="00057DB7">
              <w:rPr>
                <w:i/>
              </w:rPr>
              <w:t>Jones v </w:t>
            </w:r>
            <w:proofErr w:type="spellStart"/>
            <w:r w:rsidRPr="00057DB7">
              <w:rPr>
                <w:i/>
              </w:rPr>
              <w:t>Dunkel</w:t>
            </w:r>
            <w:proofErr w:type="spellEnd"/>
            <w:r w:rsidRPr="00057DB7">
              <w:t> (1959) 101 CLR 298</w:t>
            </w:r>
          </w:p>
          <w:p w14:paraId="69FD1520" w14:textId="77777777" w:rsidR="004838C5" w:rsidRDefault="004838C5" w:rsidP="00D82620">
            <w:pPr>
              <w:pStyle w:val="CasesLegislationAppealFrom"/>
              <w:spacing w:after="60"/>
            </w:pPr>
            <w:r w:rsidRPr="00057DB7">
              <w:rPr>
                <w:i/>
                <w:iCs/>
              </w:rPr>
              <w:t xml:space="preserve">JWR Productions Australia Pty Ltd v Duncan-Watt (No 2) </w:t>
            </w:r>
            <w:r w:rsidRPr="00057DB7">
              <w:t>[2020] FCA 236;</w:t>
            </w:r>
            <w:r>
              <w:t xml:space="preserve"> (2020)</w:t>
            </w:r>
            <w:r w:rsidRPr="00057DB7">
              <w:t xml:space="preserve"> 377 ALR 467</w:t>
            </w:r>
          </w:p>
          <w:p w14:paraId="2D2053CD" w14:textId="77777777" w:rsidR="004838C5" w:rsidRDefault="004838C5" w:rsidP="00D82620">
            <w:pPr>
              <w:pStyle w:val="CasesLegislationAppealFrom"/>
              <w:spacing w:after="60"/>
            </w:pPr>
            <w:r w:rsidRPr="00057DB7">
              <w:rPr>
                <w:i/>
                <w:iCs/>
              </w:rPr>
              <w:t>Lewis v Daily Telegraph</w:t>
            </w:r>
            <w:r>
              <w:rPr>
                <w:i/>
                <w:iCs/>
              </w:rPr>
              <w:t xml:space="preserve"> Ltd</w:t>
            </w:r>
            <w:r w:rsidRPr="00057DB7">
              <w:rPr>
                <w:i/>
                <w:iCs/>
              </w:rPr>
              <w:t xml:space="preserve"> </w:t>
            </w:r>
            <w:r w:rsidRPr="00057DB7">
              <w:t>[1964] AC 234</w:t>
            </w:r>
          </w:p>
          <w:p w14:paraId="4C3BBDE2" w14:textId="77777777" w:rsidR="004838C5" w:rsidRDefault="004838C5" w:rsidP="00D82620">
            <w:pPr>
              <w:pStyle w:val="CasesLegislationAppealFrom"/>
              <w:spacing w:after="60"/>
            </w:pPr>
            <w:r w:rsidRPr="008F7856">
              <w:rPr>
                <w:i/>
                <w:iCs/>
              </w:rPr>
              <w:t>Radio 2UE Pty Ltd v Chesterton</w:t>
            </w:r>
            <w:r w:rsidRPr="008F7856">
              <w:t xml:space="preserve"> [2009] HCA 16; (2009) 238 CLR 460</w:t>
            </w:r>
          </w:p>
          <w:p w14:paraId="2AF05BD9" w14:textId="77777777" w:rsidR="004838C5" w:rsidRDefault="004838C5" w:rsidP="00D82620">
            <w:pPr>
              <w:pStyle w:val="CasesLegislationAppealFrom"/>
              <w:spacing w:after="60"/>
            </w:pPr>
            <w:proofErr w:type="spellStart"/>
            <w:r w:rsidRPr="00057DB7">
              <w:rPr>
                <w:i/>
              </w:rPr>
              <w:t>Setka</w:t>
            </w:r>
            <w:proofErr w:type="spellEnd"/>
            <w:r w:rsidRPr="00057DB7">
              <w:rPr>
                <w:i/>
              </w:rPr>
              <w:t xml:space="preserve"> v Abbott</w:t>
            </w:r>
            <w:r w:rsidRPr="00057DB7">
              <w:t> [2014] VSCA 287; (2014) 44 VR 352</w:t>
            </w:r>
          </w:p>
          <w:p w14:paraId="3D8F998C" w14:textId="62005804" w:rsidR="00201BF7" w:rsidRPr="00057DB7" w:rsidRDefault="004838C5" w:rsidP="00D82620">
            <w:pPr>
              <w:pStyle w:val="CasesLegislationAppealFrom"/>
              <w:spacing w:after="60"/>
            </w:pPr>
            <w:r w:rsidRPr="008F7856">
              <w:rPr>
                <w:i/>
              </w:rPr>
              <w:t>Stead v Fairfax Media Publications Pty Ltd</w:t>
            </w:r>
            <w:r w:rsidRPr="008F7856">
              <w:t xml:space="preserve"> [2021] FCA 15</w:t>
            </w:r>
          </w:p>
        </w:tc>
      </w:tr>
      <w:tr w:rsidR="00570DA8" w:rsidRPr="00057DB7" w14:paraId="3BAB0638" w14:textId="77777777" w:rsidTr="00A861F7">
        <w:tc>
          <w:tcPr>
            <w:tcW w:w="3084" w:type="dxa"/>
            <w:shd w:val="clear" w:color="auto" w:fill="auto"/>
          </w:tcPr>
          <w:p w14:paraId="7A11470E" w14:textId="77777777" w:rsidR="00570DA8" w:rsidRPr="00057DB7" w:rsidRDefault="00570DA8" w:rsidP="00B77E08">
            <w:pPr>
              <w:pStyle w:val="Normal1linespace"/>
              <w:widowControl w:val="0"/>
            </w:pPr>
          </w:p>
        </w:tc>
        <w:tc>
          <w:tcPr>
            <w:tcW w:w="5989" w:type="dxa"/>
            <w:shd w:val="clear" w:color="auto" w:fill="auto"/>
          </w:tcPr>
          <w:p w14:paraId="03DFCC3E" w14:textId="77777777" w:rsidR="00570DA8" w:rsidRPr="00057DB7" w:rsidRDefault="00570DA8" w:rsidP="00B77E08">
            <w:pPr>
              <w:pStyle w:val="Normal1linespace"/>
              <w:widowControl w:val="0"/>
              <w:jc w:val="left"/>
            </w:pPr>
          </w:p>
        </w:tc>
      </w:tr>
      <w:tr w:rsidR="00570DA8" w:rsidRPr="00057DB7" w14:paraId="34220812" w14:textId="77777777" w:rsidTr="00A861F7">
        <w:tc>
          <w:tcPr>
            <w:tcW w:w="3084" w:type="dxa"/>
            <w:shd w:val="clear" w:color="auto" w:fill="auto"/>
          </w:tcPr>
          <w:p w14:paraId="2B1A65D1" w14:textId="77777777" w:rsidR="00570DA8" w:rsidRPr="00057DB7" w:rsidRDefault="00570DA8" w:rsidP="00501A12">
            <w:pPr>
              <w:pStyle w:val="Normal1linespace"/>
              <w:widowControl w:val="0"/>
            </w:pPr>
            <w:r w:rsidRPr="00057DB7">
              <w:t>Division:</w:t>
            </w:r>
          </w:p>
        </w:tc>
        <w:tc>
          <w:tcPr>
            <w:tcW w:w="5989" w:type="dxa"/>
            <w:shd w:val="clear" w:color="auto" w:fill="auto"/>
          </w:tcPr>
          <w:p w14:paraId="2EC0C3BD" w14:textId="77777777" w:rsidR="00570DA8" w:rsidRPr="00057DB7" w:rsidRDefault="002A0507" w:rsidP="00501A12">
            <w:pPr>
              <w:pStyle w:val="Normal1linespace"/>
              <w:widowControl w:val="0"/>
              <w:jc w:val="left"/>
            </w:pPr>
            <w:fldSimple w:instr=" DOCPROPERTY  Division ">
              <w:r w:rsidR="00570DA8" w:rsidRPr="00057DB7">
                <w:t>General Division</w:t>
              </w:r>
            </w:fldSimple>
          </w:p>
        </w:tc>
      </w:tr>
      <w:tr w:rsidR="00570DA8" w:rsidRPr="00057DB7" w14:paraId="19426979" w14:textId="77777777" w:rsidTr="00A861F7">
        <w:tc>
          <w:tcPr>
            <w:tcW w:w="3084" w:type="dxa"/>
            <w:shd w:val="clear" w:color="auto" w:fill="auto"/>
          </w:tcPr>
          <w:p w14:paraId="189C6F49" w14:textId="77777777" w:rsidR="00570DA8" w:rsidRPr="00057DB7" w:rsidRDefault="00570DA8" w:rsidP="00501A12">
            <w:pPr>
              <w:pStyle w:val="Normal1linespace"/>
              <w:widowControl w:val="0"/>
            </w:pPr>
            <w:bookmarkStart w:id="4" w:name="Registry_rows" w:colFirst="0" w:colLast="1"/>
          </w:p>
        </w:tc>
        <w:tc>
          <w:tcPr>
            <w:tcW w:w="5989" w:type="dxa"/>
            <w:shd w:val="clear" w:color="auto" w:fill="auto"/>
          </w:tcPr>
          <w:p w14:paraId="446607B4" w14:textId="77777777" w:rsidR="00570DA8" w:rsidRPr="00057DB7" w:rsidRDefault="00570DA8" w:rsidP="00501A12">
            <w:pPr>
              <w:pStyle w:val="Normal1linespace"/>
              <w:widowControl w:val="0"/>
              <w:jc w:val="left"/>
            </w:pPr>
          </w:p>
        </w:tc>
      </w:tr>
      <w:tr w:rsidR="00570DA8" w:rsidRPr="00057DB7" w14:paraId="0B6F292C" w14:textId="77777777" w:rsidTr="00A861F7">
        <w:tc>
          <w:tcPr>
            <w:tcW w:w="3084" w:type="dxa"/>
            <w:shd w:val="clear" w:color="auto" w:fill="auto"/>
          </w:tcPr>
          <w:p w14:paraId="23D4FBB5" w14:textId="77777777" w:rsidR="00570DA8" w:rsidRPr="00057DB7" w:rsidRDefault="00570DA8" w:rsidP="00501A12">
            <w:pPr>
              <w:pStyle w:val="Normal1linespace"/>
              <w:widowControl w:val="0"/>
            </w:pPr>
            <w:r w:rsidRPr="00057DB7">
              <w:t>Registry:</w:t>
            </w:r>
          </w:p>
        </w:tc>
        <w:tc>
          <w:tcPr>
            <w:tcW w:w="5989" w:type="dxa"/>
            <w:shd w:val="clear" w:color="auto" w:fill="auto"/>
          </w:tcPr>
          <w:p w14:paraId="3CC923CC" w14:textId="77777777" w:rsidR="00570DA8" w:rsidRPr="00057DB7" w:rsidRDefault="002A0507" w:rsidP="00501A12">
            <w:pPr>
              <w:pStyle w:val="Normal1linespace"/>
              <w:widowControl w:val="0"/>
              <w:jc w:val="left"/>
            </w:pPr>
            <w:fldSimple w:instr=" DOCPROPERTY  Registry ">
              <w:r w:rsidR="00570DA8" w:rsidRPr="00057DB7">
                <w:t>New South Wales</w:t>
              </w:r>
            </w:fldSimple>
          </w:p>
        </w:tc>
      </w:tr>
      <w:bookmarkEnd w:id="4"/>
      <w:tr w:rsidR="00570DA8" w:rsidRPr="00057DB7" w14:paraId="26ADC32D" w14:textId="77777777" w:rsidTr="00A861F7">
        <w:tc>
          <w:tcPr>
            <w:tcW w:w="3084" w:type="dxa"/>
            <w:shd w:val="clear" w:color="auto" w:fill="auto"/>
          </w:tcPr>
          <w:p w14:paraId="428B2B37" w14:textId="77777777" w:rsidR="00570DA8" w:rsidRPr="00057DB7" w:rsidRDefault="00570DA8" w:rsidP="00501A12">
            <w:pPr>
              <w:pStyle w:val="Normal1linespace"/>
              <w:widowControl w:val="0"/>
            </w:pPr>
          </w:p>
        </w:tc>
        <w:tc>
          <w:tcPr>
            <w:tcW w:w="5989" w:type="dxa"/>
            <w:shd w:val="clear" w:color="auto" w:fill="auto"/>
          </w:tcPr>
          <w:p w14:paraId="7005B997" w14:textId="77777777" w:rsidR="00570DA8" w:rsidRPr="00057DB7" w:rsidRDefault="00570DA8" w:rsidP="00501A12">
            <w:pPr>
              <w:pStyle w:val="Normal1linespace"/>
              <w:widowControl w:val="0"/>
              <w:jc w:val="left"/>
            </w:pPr>
          </w:p>
        </w:tc>
      </w:tr>
      <w:tr w:rsidR="0090324E" w:rsidRPr="00057DB7" w14:paraId="577CEF02" w14:textId="77777777" w:rsidTr="00A861F7">
        <w:tc>
          <w:tcPr>
            <w:tcW w:w="3084" w:type="dxa"/>
            <w:shd w:val="clear" w:color="auto" w:fill="auto"/>
          </w:tcPr>
          <w:p w14:paraId="4CE435CD" w14:textId="54856417" w:rsidR="0090324E" w:rsidRPr="00057DB7" w:rsidRDefault="0090324E" w:rsidP="0090324E">
            <w:pPr>
              <w:pStyle w:val="Normal1linespace"/>
              <w:widowControl w:val="0"/>
            </w:pPr>
            <w:r>
              <w:t>National Practice Area:</w:t>
            </w:r>
          </w:p>
        </w:tc>
        <w:tc>
          <w:tcPr>
            <w:tcW w:w="5989" w:type="dxa"/>
            <w:shd w:val="clear" w:color="auto" w:fill="auto"/>
          </w:tcPr>
          <w:p w14:paraId="69F0D735" w14:textId="1C5DBB9F" w:rsidR="0090324E" w:rsidRPr="00057DB7" w:rsidRDefault="002A0507" w:rsidP="0090324E">
            <w:pPr>
              <w:pStyle w:val="Normal1linespace"/>
              <w:widowControl w:val="0"/>
              <w:jc w:val="left"/>
            </w:pPr>
            <w:fldSimple w:instr=" DOCPROPERTY  &quot;Practice Area&quot;  \* MERGEFORMAT ">
              <w:r w:rsidR="0090324E">
                <w:t>Other Federal Jurisdiction</w:t>
              </w:r>
            </w:fldSimple>
          </w:p>
        </w:tc>
      </w:tr>
      <w:tr w:rsidR="0090324E" w:rsidRPr="00057DB7" w14:paraId="74DB5151" w14:textId="77777777" w:rsidTr="00A861F7">
        <w:tc>
          <w:tcPr>
            <w:tcW w:w="3084" w:type="dxa"/>
            <w:shd w:val="clear" w:color="auto" w:fill="auto"/>
          </w:tcPr>
          <w:p w14:paraId="79DF9213" w14:textId="77777777" w:rsidR="0090324E" w:rsidRPr="00057DB7" w:rsidRDefault="0090324E" w:rsidP="0090324E">
            <w:pPr>
              <w:pStyle w:val="Normal1linespace"/>
              <w:widowControl w:val="0"/>
            </w:pPr>
          </w:p>
        </w:tc>
        <w:tc>
          <w:tcPr>
            <w:tcW w:w="5989" w:type="dxa"/>
            <w:shd w:val="clear" w:color="auto" w:fill="auto"/>
          </w:tcPr>
          <w:p w14:paraId="10F3D266" w14:textId="77777777" w:rsidR="0090324E" w:rsidRPr="00057DB7" w:rsidRDefault="0090324E" w:rsidP="0090324E">
            <w:pPr>
              <w:pStyle w:val="Normal1linespace"/>
              <w:widowControl w:val="0"/>
              <w:jc w:val="left"/>
            </w:pPr>
          </w:p>
        </w:tc>
      </w:tr>
      <w:tr w:rsidR="0090324E" w:rsidRPr="00057DB7" w14:paraId="385298D6" w14:textId="77777777" w:rsidTr="00A861F7">
        <w:tc>
          <w:tcPr>
            <w:tcW w:w="3084" w:type="dxa"/>
            <w:shd w:val="clear" w:color="auto" w:fill="auto"/>
          </w:tcPr>
          <w:p w14:paraId="73256FC9" w14:textId="77777777" w:rsidR="0090324E" w:rsidRPr="00057DB7" w:rsidRDefault="0090324E" w:rsidP="0090324E">
            <w:pPr>
              <w:pStyle w:val="Normal1linespace"/>
              <w:widowControl w:val="0"/>
            </w:pPr>
            <w:r w:rsidRPr="00057DB7">
              <w:t>Number of paragraphs:</w:t>
            </w:r>
          </w:p>
        </w:tc>
        <w:tc>
          <w:tcPr>
            <w:tcW w:w="5989" w:type="dxa"/>
            <w:shd w:val="clear" w:color="auto" w:fill="auto"/>
          </w:tcPr>
          <w:p w14:paraId="7E3E5512" w14:textId="3B17A6A2" w:rsidR="0090324E" w:rsidRPr="00057DB7" w:rsidRDefault="0090324E" w:rsidP="0090324E">
            <w:pPr>
              <w:pStyle w:val="Normal1linespace"/>
              <w:widowControl w:val="0"/>
              <w:jc w:val="left"/>
            </w:pPr>
            <w:bookmarkStart w:id="5" w:name="PlaceCategoryParagraphs"/>
            <w:r>
              <w:t>11</w:t>
            </w:r>
            <w:bookmarkEnd w:id="5"/>
            <w:r>
              <w:t>4</w:t>
            </w:r>
          </w:p>
        </w:tc>
      </w:tr>
      <w:tr w:rsidR="0090324E" w:rsidRPr="00057DB7" w14:paraId="6F5C45FD" w14:textId="77777777" w:rsidTr="00A861F7">
        <w:tc>
          <w:tcPr>
            <w:tcW w:w="3084" w:type="dxa"/>
            <w:shd w:val="clear" w:color="auto" w:fill="auto"/>
          </w:tcPr>
          <w:p w14:paraId="53BE28FA" w14:textId="77777777" w:rsidR="0090324E" w:rsidRPr="00057DB7" w:rsidRDefault="0090324E" w:rsidP="0090324E">
            <w:pPr>
              <w:pStyle w:val="Normal1linespace"/>
              <w:widowControl w:val="0"/>
              <w:jc w:val="left"/>
            </w:pPr>
          </w:p>
        </w:tc>
        <w:tc>
          <w:tcPr>
            <w:tcW w:w="5989" w:type="dxa"/>
            <w:shd w:val="clear" w:color="auto" w:fill="auto"/>
          </w:tcPr>
          <w:p w14:paraId="4136D37D" w14:textId="77777777" w:rsidR="0090324E" w:rsidRPr="00057DB7" w:rsidRDefault="0090324E" w:rsidP="0090324E">
            <w:pPr>
              <w:pStyle w:val="Normal1linespace"/>
              <w:widowControl w:val="0"/>
              <w:jc w:val="left"/>
            </w:pPr>
          </w:p>
        </w:tc>
      </w:tr>
      <w:tr w:rsidR="0090324E" w:rsidRPr="00057DB7" w14:paraId="0E4B95CF" w14:textId="77777777" w:rsidTr="00A861F7">
        <w:tc>
          <w:tcPr>
            <w:tcW w:w="3084" w:type="dxa"/>
            <w:shd w:val="clear" w:color="auto" w:fill="auto"/>
          </w:tcPr>
          <w:p w14:paraId="710EAEA8" w14:textId="77777777" w:rsidR="0090324E" w:rsidRPr="00057DB7" w:rsidRDefault="0090324E" w:rsidP="0090324E">
            <w:pPr>
              <w:pStyle w:val="Normal1linespace"/>
              <w:widowControl w:val="0"/>
              <w:jc w:val="left"/>
            </w:pPr>
            <w:bookmarkStart w:id="6" w:name="CounselDate" w:colFirst="0" w:colLast="2"/>
            <w:r w:rsidRPr="00057DB7">
              <w:t>Date of hearing:</w:t>
            </w:r>
          </w:p>
        </w:tc>
        <w:tc>
          <w:tcPr>
            <w:tcW w:w="5989" w:type="dxa"/>
            <w:shd w:val="clear" w:color="auto" w:fill="auto"/>
          </w:tcPr>
          <w:p w14:paraId="5B4F5A64" w14:textId="1A836B7C" w:rsidR="0090324E" w:rsidRPr="00057DB7" w:rsidRDefault="0090324E" w:rsidP="0090324E">
            <w:pPr>
              <w:pStyle w:val="Normal1linespace"/>
              <w:widowControl w:val="0"/>
              <w:jc w:val="left"/>
            </w:pPr>
            <w:bookmarkStart w:id="7" w:name="HearingDate"/>
            <w:r>
              <w:t>16-19 March 2021</w:t>
            </w:r>
            <w:r w:rsidRPr="00057DB7">
              <w:t xml:space="preserve"> </w:t>
            </w:r>
            <w:bookmarkEnd w:id="7"/>
          </w:p>
        </w:tc>
      </w:tr>
      <w:tr w:rsidR="005A7CDD" w:rsidRPr="00057DB7" w14:paraId="181F804A" w14:textId="77777777" w:rsidTr="00A861F7">
        <w:tc>
          <w:tcPr>
            <w:tcW w:w="3084" w:type="dxa"/>
            <w:shd w:val="clear" w:color="auto" w:fill="auto"/>
          </w:tcPr>
          <w:p w14:paraId="020A378A" w14:textId="77777777" w:rsidR="005A7CDD" w:rsidRPr="00057DB7" w:rsidRDefault="005A7CDD" w:rsidP="0090324E">
            <w:pPr>
              <w:pStyle w:val="Normal1linespace"/>
              <w:widowControl w:val="0"/>
              <w:jc w:val="left"/>
            </w:pPr>
          </w:p>
        </w:tc>
        <w:tc>
          <w:tcPr>
            <w:tcW w:w="5989" w:type="dxa"/>
            <w:shd w:val="clear" w:color="auto" w:fill="auto"/>
          </w:tcPr>
          <w:p w14:paraId="5D015B7C" w14:textId="77777777" w:rsidR="005A7CDD" w:rsidRDefault="005A7CDD" w:rsidP="0090324E">
            <w:pPr>
              <w:pStyle w:val="Normal1linespace"/>
              <w:widowControl w:val="0"/>
              <w:jc w:val="left"/>
            </w:pPr>
          </w:p>
        </w:tc>
      </w:tr>
      <w:bookmarkEnd w:id="6"/>
      <w:tr w:rsidR="005A7CDD" w:rsidRPr="00057DB7" w14:paraId="4FA07759" w14:textId="77777777" w:rsidTr="00A861F7">
        <w:tc>
          <w:tcPr>
            <w:tcW w:w="3084" w:type="dxa"/>
            <w:shd w:val="clear" w:color="auto" w:fill="auto"/>
          </w:tcPr>
          <w:p w14:paraId="02B7DC2C" w14:textId="4A662235" w:rsidR="005A7CDD" w:rsidRPr="00057DB7" w:rsidRDefault="005A7CDD" w:rsidP="005A7CDD">
            <w:pPr>
              <w:pStyle w:val="Normal1linespace"/>
              <w:widowControl w:val="0"/>
              <w:jc w:val="left"/>
            </w:pPr>
            <w:r>
              <w:t>Counsel for the Applicant:</w:t>
            </w:r>
          </w:p>
        </w:tc>
        <w:tc>
          <w:tcPr>
            <w:tcW w:w="5989" w:type="dxa"/>
            <w:shd w:val="clear" w:color="auto" w:fill="auto"/>
          </w:tcPr>
          <w:p w14:paraId="62862759" w14:textId="4B3B18BB" w:rsidR="005A7CDD" w:rsidRDefault="005A7CDD" w:rsidP="005A7CDD">
            <w:pPr>
              <w:pStyle w:val="Normal1linespace"/>
              <w:widowControl w:val="0"/>
              <w:jc w:val="left"/>
            </w:pPr>
            <w:r>
              <w:t xml:space="preserve">Ms S </w:t>
            </w:r>
            <w:r w:rsidRPr="004838C5">
              <w:t xml:space="preserve">T </w:t>
            </w:r>
            <w:proofErr w:type="spellStart"/>
            <w:r w:rsidRPr="004838C5">
              <w:t>Chrysanthou</w:t>
            </w:r>
            <w:proofErr w:type="spellEnd"/>
            <w:r>
              <w:t xml:space="preserve"> SC with Mr C </w:t>
            </w:r>
            <w:proofErr w:type="spellStart"/>
            <w:r>
              <w:t>Parkin</w:t>
            </w:r>
            <w:proofErr w:type="spellEnd"/>
          </w:p>
        </w:tc>
      </w:tr>
      <w:tr w:rsidR="005A7CDD" w:rsidRPr="00057DB7" w14:paraId="37BA8158" w14:textId="77777777" w:rsidTr="00A861F7">
        <w:tc>
          <w:tcPr>
            <w:tcW w:w="3084" w:type="dxa"/>
            <w:shd w:val="clear" w:color="auto" w:fill="auto"/>
          </w:tcPr>
          <w:p w14:paraId="04BED3C2" w14:textId="77777777" w:rsidR="005A7CDD" w:rsidRPr="00057DB7" w:rsidRDefault="005A7CDD" w:rsidP="005A7CDD">
            <w:pPr>
              <w:pStyle w:val="Normal1linespace"/>
              <w:widowControl w:val="0"/>
              <w:jc w:val="left"/>
            </w:pPr>
          </w:p>
        </w:tc>
        <w:tc>
          <w:tcPr>
            <w:tcW w:w="5989" w:type="dxa"/>
            <w:shd w:val="clear" w:color="auto" w:fill="auto"/>
          </w:tcPr>
          <w:p w14:paraId="27CE7DBD" w14:textId="77777777" w:rsidR="005A7CDD" w:rsidRPr="00057DB7" w:rsidRDefault="005A7CDD" w:rsidP="005A7CDD">
            <w:pPr>
              <w:pStyle w:val="Normal1linespace"/>
              <w:widowControl w:val="0"/>
              <w:jc w:val="left"/>
            </w:pPr>
          </w:p>
        </w:tc>
      </w:tr>
      <w:tr w:rsidR="005A7CDD" w:rsidRPr="00057DB7" w14:paraId="72EDE08E" w14:textId="77777777" w:rsidTr="007F6B42">
        <w:tc>
          <w:tcPr>
            <w:tcW w:w="3084" w:type="dxa"/>
            <w:shd w:val="clear" w:color="auto" w:fill="auto"/>
          </w:tcPr>
          <w:p w14:paraId="0900E3F7" w14:textId="77777777" w:rsidR="005A7CDD" w:rsidRPr="00057DB7" w:rsidRDefault="005A7CDD" w:rsidP="005A7CDD">
            <w:pPr>
              <w:pStyle w:val="Normal1linespace"/>
              <w:widowControl w:val="0"/>
              <w:jc w:val="left"/>
            </w:pPr>
            <w:bookmarkStart w:id="8" w:name="Counsel" w:colFirst="0" w:colLast="2"/>
            <w:r w:rsidRPr="00057DB7">
              <w:t>Solicitor for the Applicant:</w:t>
            </w:r>
          </w:p>
        </w:tc>
        <w:tc>
          <w:tcPr>
            <w:tcW w:w="5989" w:type="dxa"/>
            <w:shd w:val="clear" w:color="auto" w:fill="auto"/>
          </w:tcPr>
          <w:p w14:paraId="023629CA" w14:textId="77777777" w:rsidR="005A7CDD" w:rsidRPr="00057DB7" w:rsidRDefault="005A7CDD" w:rsidP="005A7CDD">
            <w:pPr>
              <w:pStyle w:val="Normal1linespace"/>
              <w:widowControl w:val="0"/>
              <w:jc w:val="left"/>
            </w:pPr>
            <w:bookmarkStart w:id="9" w:name="AppCounsel"/>
            <w:bookmarkEnd w:id="9"/>
            <w:r w:rsidRPr="00057DB7">
              <w:t>Mark O’Brien Legal</w:t>
            </w:r>
          </w:p>
        </w:tc>
      </w:tr>
      <w:tr w:rsidR="005A7CDD" w:rsidRPr="00057DB7" w14:paraId="3C15BCD1" w14:textId="77777777" w:rsidTr="007F6B42">
        <w:tc>
          <w:tcPr>
            <w:tcW w:w="3084" w:type="dxa"/>
            <w:shd w:val="clear" w:color="auto" w:fill="auto"/>
          </w:tcPr>
          <w:p w14:paraId="40433444" w14:textId="77777777" w:rsidR="005A7CDD" w:rsidRPr="00057DB7" w:rsidRDefault="005A7CDD" w:rsidP="005A7CDD">
            <w:pPr>
              <w:pStyle w:val="Normal1linespace"/>
              <w:widowControl w:val="0"/>
              <w:jc w:val="left"/>
            </w:pPr>
          </w:p>
        </w:tc>
        <w:tc>
          <w:tcPr>
            <w:tcW w:w="5989" w:type="dxa"/>
            <w:shd w:val="clear" w:color="auto" w:fill="auto"/>
          </w:tcPr>
          <w:p w14:paraId="6D38EE2A" w14:textId="77777777" w:rsidR="005A7CDD" w:rsidRPr="00057DB7" w:rsidRDefault="005A7CDD" w:rsidP="005A7CDD">
            <w:pPr>
              <w:pStyle w:val="Normal1linespace"/>
              <w:widowControl w:val="0"/>
              <w:jc w:val="left"/>
            </w:pPr>
          </w:p>
        </w:tc>
      </w:tr>
      <w:tr w:rsidR="005A7CDD" w:rsidRPr="00057DB7" w14:paraId="1BA89045" w14:textId="77777777" w:rsidTr="007F6B42">
        <w:tc>
          <w:tcPr>
            <w:tcW w:w="3084" w:type="dxa"/>
            <w:shd w:val="clear" w:color="auto" w:fill="auto"/>
          </w:tcPr>
          <w:p w14:paraId="0FB641DA" w14:textId="7968567B" w:rsidR="005A7CDD" w:rsidRPr="00057DB7" w:rsidRDefault="005A7CDD" w:rsidP="005A7CDD">
            <w:pPr>
              <w:pStyle w:val="Normal1linespace"/>
              <w:widowControl w:val="0"/>
              <w:jc w:val="left"/>
            </w:pPr>
            <w:r>
              <w:t>Counsel for the Respondents:</w:t>
            </w:r>
          </w:p>
        </w:tc>
        <w:tc>
          <w:tcPr>
            <w:tcW w:w="5989" w:type="dxa"/>
            <w:shd w:val="clear" w:color="auto" w:fill="auto"/>
          </w:tcPr>
          <w:p w14:paraId="5E0908EF" w14:textId="24B62DDF" w:rsidR="005A7CDD" w:rsidRPr="00057DB7" w:rsidRDefault="005A7CDD" w:rsidP="005A7CDD">
            <w:pPr>
              <w:pStyle w:val="Normal1linespace"/>
              <w:widowControl w:val="0"/>
              <w:jc w:val="left"/>
            </w:pPr>
            <w:r>
              <w:t xml:space="preserve">Mr D R </w:t>
            </w:r>
            <w:proofErr w:type="spellStart"/>
            <w:r>
              <w:t>Sibtain</w:t>
            </w:r>
            <w:proofErr w:type="spellEnd"/>
            <w:r>
              <w:t xml:space="preserve"> with Ms C M Roberts</w:t>
            </w:r>
          </w:p>
        </w:tc>
      </w:tr>
      <w:tr w:rsidR="005A7CDD" w:rsidRPr="00057DB7" w14:paraId="10AB105E" w14:textId="77777777" w:rsidTr="007F6B42">
        <w:tc>
          <w:tcPr>
            <w:tcW w:w="3084" w:type="dxa"/>
            <w:shd w:val="clear" w:color="auto" w:fill="auto"/>
          </w:tcPr>
          <w:p w14:paraId="2ACC8DF1" w14:textId="77777777" w:rsidR="005A7CDD" w:rsidRPr="00057DB7" w:rsidRDefault="005A7CDD" w:rsidP="005A7CDD">
            <w:pPr>
              <w:pStyle w:val="Normal1linespace"/>
              <w:widowControl w:val="0"/>
              <w:jc w:val="left"/>
            </w:pPr>
          </w:p>
        </w:tc>
        <w:tc>
          <w:tcPr>
            <w:tcW w:w="5989" w:type="dxa"/>
            <w:shd w:val="clear" w:color="auto" w:fill="auto"/>
          </w:tcPr>
          <w:p w14:paraId="046E25C1" w14:textId="77777777" w:rsidR="005A7CDD" w:rsidRPr="00057DB7" w:rsidRDefault="005A7CDD" w:rsidP="005A7CDD">
            <w:pPr>
              <w:pStyle w:val="Normal1linespace"/>
              <w:widowControl w:val="0"/>
              <w:jc w:val="left"/>
            </w:pPr>
          </w:p>
        </w:tc>
      </w:tr>
      <w:tr w:rsidR="005A7CDD" w:rsidRPr="00057DB7" w14:paraId="050A95F2" w14:textId="77777777" w:rsidTr="007F6B42">
        <w:tc>
          <w:tcPr>
            <w:tcW w:w="3084" w:type="dxa"/>
            <w:shd w:val="clear" w:color="auto" w:fill="auto"/>
          </w:tcPr>
          <w:p w14:paraId="0D9FA2EB" w14:textId="77777777" w:rsidR="005A7CDD" w:rsidRPr="00057DB7" w:rsidRDefault="005A7CDD" w:rsidP="005A7CDD">
            <w:pPr>
              <w:pStyle w:val="Normal1linespace"/>
              <w:widowControl w:val="0"/>
              <w:jc w:val="left"/>
            </w:pPr>
            <w:r w:rsidRPr="00057DB7">
              <w:t>Solicitor for the Respondents:</w:t>
            </w:r>
          </w:p>
        </w:tc>
        <w:tc>
          <w:tcPr>
            <w:tcW w:w="5989" w:type="dxa"/>
            <w:shd w:val="clear" w:color="auto" w:fill="auto"/>
          </w:tcPr>
          <w:p w14:paraId="4039D0C3" w14:textId="2E17D57B" w:rsidR="005A7CDD" w:rsidRPr="00057DB7" w:rsidRDefault="005A7CDD" w:rsidP="005A7CDD">
            <w:pPr>
              <w:pStyle w:val="Normal1linespace"/>
              <w:widowControl w:val="0"/>
              <w:jc w:val="left"/>
            </w:pPr>
            <w:proofErr w:type="spellStart"/>
            <w:r w:rsidRPr="00057DB7">
              <w:t>Ashurst</w:t>
            </w:r>
            <w:proofErr w:type="spellEnd"/>
            <w:r w:rsidRPr="00057DB7">
              <w:t xml:space="preserve"> </w:t>
            </w:r>
          </w:p>
        </w:tc>
      </w:tr>
      <w:bookmarkEnd w:id="8"/>
    </w:tbl>
    <w:p w14:paraId="022714DF" w14:textId="77777777" w:rsidR="007470BD" w:rsidRPr="00057DB7" w:rsidRDefault="007470BD">
      <w:pPr>
        <w:pStyle w:val="Normal1linespace"/>
      </w:pPr>
    </w:p>
    <w:p w14:paraId="30586C14" w14:textId="77777777" w:rsidR="00E94CBF" w:rsidRPr="00057DB7" w:rsidRDefault="00E94CBF">
      <w:pPr>
        <w:pStyle w:val="Normal1linespace"/>
      </w:pPr>
    </w:p>
    <w:p w14:paraId="4B371688" w14:textId="77777777" w:rsidR="00395B24" w:rsidRPr="00057DB7" w:rsidRDefault="0057330F">
      <w:pPr>
        <w:pStyle w:val="Normal1linespace"/>
        <w:sectPr w:rsidR="00395B24" w:rsidRPr="00057DB7"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r w:rsidRPr="00057DB7">
        <w:t xml:space="preserve">  </w:t>
      </w:r>
    </w:p>
    <w:p w14:paraId="1B683307" w14:textId="77777777" w:rsidR="008C7167" w:rsidRPr="00057DB7" w:rsidRDefault="0011419D" w:rsidP="00045BB7">
      <w:pPr>
        <w:pStyle w:val="NormalHeadings"/>
        <w:spacing w:line="480" w:lineRule="auto"/>
        <w:jc w:val="center"/>
        <w:rPr>
          <w:sz w:val="28"/>
          <w:szCs w:val="28"/>
        </w:rPr>
      </w:pPr>
      <w:r w:rsidRPr="00057D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057DB7" w14:paraId="5D1E9100" w14:textId="77777777" w:rsidTr="00E81DA6">
        <w:tc>
          <w:tcPr>
            <w:tcW w:w="6912" w:type="dxa"/>
            <w:gridSpan w:val="2"/>
          </w:tcPr>
          <w:p w14:paraId="077A624C" w14:textId="77777777" w:rsidR="00A46CCC" w:rsidRPr="00057DB7" w:rsidRDefault="00A46CCC" w:rsidP="00525A49">
            <w:pPr>
              <w:pStyle w:val="NormalHeadings"/>
            </w:pPr>
          </w:p>
        </w:tc>
        <w:tc>
          <w:tcPr>
            <w:tcW w:w="2330" w:type="dxa"/>
          </w:tcPr>
          <w:p w14:paraId="7D19AD69" w14:textId="77777777" w:rsidR="00A46CCC" w:rsidRPr="00057DB7" w:rsidRDefault="00570DA8" w:rsidP="00F92355">
            <w:pPr>
              <w:pStyle w:val="NormalHeadings"/>
              <w:jc w:val="right"/>
            </w:pPr>
            <w:bookmarkStart w:id="10" w:name="FileNo"/>
            <w:r w:rsidRPr="00057DB7">
              <w:t>NSD 1246 of 2020</w:t>
            </w:r>
            <w:bookmarkEnd w:id="10"/>
          </w:p>
        </w:tc>
      </w:tr>
      <w:tr w:rsidR="00A76C13" w:rsidRPr="00057DB7" w14:paraId="359066F7" w14:textId="77777777" w:rsidTr="00B77E08">
        <w:tc>
          <w:tcPr>
            <w:tcW w:w="9242" w:type="dxa"/>
            <w:gridSpan w:val="3"/>
          </w:tcPr>
          <w:p w14:paraId="78AD9094" w14:textId="77777777" w:rsidR="00A76C13" w:rsidRPr="00057DB7" w:rsidRDefault="00570DA8" w:rsidP="00570DA8">
            <w:pPr>
              <w:pStyle w:val="NormalHeadings"/>
              <w:jc w:val="left"/>
            </w:pPr>
            <w:bookmarkStart w:id="11" w:name="InTheMatterOf"/>
            <w:r w:rsidRPr="00057DB7">
              <w:t xml:space="preserve"> </w:t>
            </w:r>
            <w:bookmarkEnd w:id="11"/>
          </w:p>
        </w:tc>
      </w:tr>
      <w:tr w:rsidR="00A46CCC" w:rsidRPr="00057DB7" w14:paraId="311D4B1B" w14:textId="77777777" w:rsidTr="00B77E08">
        <w:trPr>
          <w:trHeight w:val="386"/>
        </w:trPr>
        <w:tc>
          <w:tcPr>
            <w:tcW w:w="2376" w:type="dxa"/>
          </w:tcPr>
          <w:p w14:paraId="7FCAEC77" w14:textId="77777777" w:rsidR="00A46CCC" w:rsidRPr="00057DB7" w:rsidRDefault="00A46CCC" w:rsidP="00B77E08">
            <w:pPr>
              <w:pStyle w:val="NormalHeadings"/>
              <w:jc w:val="left"/>
              <w:rPr>
                <w:caps/>
                <w:szCs w:val="24"/>
              </w:rPr>
            </w:pPr>
            <w:bookmarkStart w:id="12" w:name="Parties"/>
            <w:r w:rsidRPr="00057DB7">
              <w:rPr>
                <w:caps/>
                <w:szCs w:val="24"/>
              </w:rPr>
              <w:t>BETWEEN:</w:t>
            </w:r>
          </w:p>
        </w:tc>
        <w:tc>
          <w:tcPr>
            <w:tcW w:w="6866" w:type="dxa"/>
            <w:gridSpan w:val="2"/>
          </w:tcPr>
          <w:p w14:paraId="26DE9029" w14:textId="77777777" w:rsidR="00570DA8" w:rsidRPr="00057DB7" w:rsidRDefault="00570DA8" w:rsidP="00570DA8">
            <w:pPr>
              <w:pStyle w:val="NormalHeadings"/>
              <w:jc w:val="left"/>
            </w:pPr>
            <w:bookmarkStart w:id="13" w:name="Applicant"/>
            <w:r w:rsidRPr="00057DB7">
              <w:t>MR CHRISTOPHER MURPHY</w:t>
            </w:r>
          </w:p>
          <w:p w14:paraId="434D4358" w14:textId="77777777" w:rsidR="00570DA8" w:rsidRPr="00057DB7" w:rsidRDefault="00570DA8" w:rsidP="00570DA8">
            <w:pPr>
              <w:pStyle w:val="PartyType"/>
            </w:pPr>
            <w:r w:rsidRPr="00057DB7">
              <w:t>Applicant</w:t>
            </w:r>
          </w:p>
          <w:bookmarkEnd w:id="13"/>
          <w:p w14:paraId="061D67A1" w14:textId="77777777" w:rsidR="00A46CCC" w:rsidRPr="00057DB7" w:rsidRDefault="00A46CCC" w:rsidP="00B77E08">
            <w:pPr>
              <w:pStyle w:val="NormalHeadings"/>
              <w:jc w:val="left"/>
            </w:pPr>
          </w:p>
        </w:tc>
      </w:tr>
      <w:tr w:rsidR="00A46CCC" w:rsidRPr="00057DB7" w14:paraId="36383103" w14:textId="77777777" w:rsidTr="00B77E08">
        <w:trPr>
          <w:trHeight w:val="386"/>
        </w:trPr>
        <w:tc>
          <w:tcPr>
            <w:tcW w:w="2376" w:type="dxa"/>
          </w:tcPr>
          <w:p w14:paraId="4BD70673" w14:textId="77777777" w:rsidR="00A46CCC" w:rsidRPr="00057DB7" w:rsidRDefault="00A46CCC" w:rsidP="00B77E08">
            <w:pPr>
              <w:pStyle w:val="NormalHeadings"/>
              <w:jc w:val="left"/>
              <w:rPr>
                <w:caps/>
                <w:szCs w:val="24"/>
              </w:rPr>
            </w:pPr>
            <w:r w:rsidRPr="00057DB7">
              <w:rPr>
                <w:caps/>
                <w:szCs w:val="24"/>
              </w:rPr>
              <w:t>AND:</w:t>
            </w:r>
          </w:p>
        </w:tc>
        <w:tc>
          <w:tcPr>
            <w:tcW w:w="6866" w:type="dxa"/>
            <w:gridSpan w:val="2"/>
          </w:tcPr>
          <w:p w14:paraId="131F5A19" w14:textId="77777777" w:rsidR="00570DA8" w:rsidRPr="00057DB7" w:rsidRDefault="00570DA8" w:rsidP="00570DA8">
            <w:pPr>
              <w:pStyle w:val="NormalHeadings"/>
              <w:jc w:val="left"/>
            </w:pPr>
            <w:bookmarkStart w:id="14" w:name="Respondent"/>
            <w:r w:rsidRPr="00057DB7">
              <w:t>NATIONWIDE NEWS PTY LTD ACN 008 438 828</w:t>
            </w:r>
          </w:p>
          <w:p w14:paraId="34D02F46" w14:textId="77777777" w:rsidR="00570DA8" w:rsidRPr="00057DB7" w:rsidRDefault="00570DA8" w:rsidP="00570DA8">
            <w:pPr>
              <w:pStyle w:val="PartyType"/>
            </w:pPr>
            <w:r w:rsidRPr="00057DB7">
              <w:t>First Respondent</w:t>
            </w:r>
          </w:p>
          <w:p w14:paraId="31B26121" w14:textId="77777777" w:rsidR="00570DA8" w:rsidRPr="00057DB7" w:rsidRDefault="00570DA8" w:rsidP="00B77E08">
            <w:pPr>
              <w:pStyle w:val="NormalHeadings"/>
              <w:jc w:val="left"/>
              <w:rPr>
                <w:szCs w:val="24"/>
              </w:rPr>
            </w:pPr>
          </w:p>
          <w:p w14:paraId="2344FA85" w14:textId="77777777" w:rsidR="00570DA8" w:rsidRPr="00057DB7" w:rsidRDefault="00570DA8" w:rsidP="00570DA8">
            <w:pPr>
              <w:pStyle w:val="NormalHeadings"/>
              <w:jc w:val="left"/>
            </w:pPr>
            <w:r w:rsidRPr="00057DB7">
              <w:t>MS ANNETTE SHARP</w:t>
            </w:r>
          </w:p>
          <w:p w14:paraId="284B7764" w14:textId="77777777" w:rsidR="00570DA8" w:rsidRPr="00057DB7" w:rsidRDefault="00570DA8" w:rsidP="00570DA8">
            <w:pPr>
              <w:pStyle w:val="PartyType"/>
            </w:pPr>
            <w:r w:rsidRPr="00057DB7">
              <w:t>Second Respondent</w:t>
            </w:r>
          </w:p>
          <w:bookmarkEnd w:id="14"/>
          <w:p w14:paraId="722FFE35" w14:textId="77777777" w:rsidR="00A46CCC" w:rsidRPr="00057DB7" w:rsidRDefault="00A46CCC" w:rsidP="00B77E08">
            <w:pPr>
              <w:pStyle w:val="NormalHeadings"/>
              <w:jc w:val="left"/>
            </w:pPr>
          </w:p>
        </w:tc>
      </w:tr>
    </w:tbl>
    <w:p w14:paraId="24BD2060" w14:textId="77777777" w:rsidR="00395B24" w:rsidRPr="00057DB7"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rsidRPr="00057DB7" w14:paraId="6CED9EAF" w14:textId="77777777">
        <w:tc>
          <w:tcPr>
            <w:tcW w:w="2376" w:type="dxa"/>
          </w:tcPr>
          <w:p w14:paraId="068FC604" w14:textId="77777777" w:rsidR="00395B24" w:rsidRPr="00057DB7" w:rsidRDefault="00974709">
            <w:pPr>
              <w:pStyle w:val="NormalHeadings"/>
              <w:spacing w:after="120"/>
              <w:jc w:val="left"/>
              <w:rPr>
                <w:caps/>
                <w:szCs w:val="24"/>
              </w:rPr>
            </w:pPr>
            <w:bookmarkStart w:id="16" w:name="JudgeText"/>
            <w:r w:rsidRPr="00057DB7">
              <w:rPr>
                <w:caps/>
                <w:szCs w:val="24"/>
              </w:rPr>
              <w:t>order made by</w:t>
            </w:r>
            <w:bookmarkEnd w:id="16"/>
            <w:r w:rsidR="002C7385" w:rsidRPr="00057DB7">
              <w:rPr>
                <w:caps/>
                <w:szCs w:val="24"/>
              </w:rPr>
              <w:t>:</w:t>
            </w:r>
          </w:p>
        </w:tc>
        <w:tc>
          <w:tcPr>
            <w:tcW w:w="6866" w:type="dxa"/>
          </w:tcPr>
          <w:p w14:paraId="54AC3156" w14:textId="77777777" w:rsidR="00395B24" w:rsidRPr="00057DB7" w:rsidRDefault="00570DA8">
            <w:pPr>
              <w:pStyle w:val="NormalHeadings"/>
              <w:jc w:val="left"/>
              <w:rPr>
                <w:caps/>
                <w:szCs w:val="24"/>
              </w:rPr>
            </w:pPr>
            <w:bookmarkStart w:id="17" w:name="Judge"/>
            <w:r w:rsidRPr="00057DB7">
              <w:rPr>
                <w:caps/>
                <w:szCs w:val="24"/>
              </w:rPr>
              <w:t>LEE J</w:t>
            </w:r>
            <w:bookmarkEnd w:id="17"/>
          </w:p>
        </w:tc>
      </w:tr>
      <w:tr w:rsidR="00395B24" w:rsidRPr="00057DB7" w14:paraId="60FD5DB7" w14:textId="77777777">
        <w:tc>
          <w:tcPr>
            <w:tcW w:w="2376" w:type="dxa"/>
          </w:tcPr>
          <w:p w14:paraId="72ED95BC" w14:textId="77777777" w:rsidR="00395B24" w:rsidRPr="00057DB7" w:rsidRDefault="002C7385">
            <w:pPr>
              <w:pStyle w:val="NormalHeadings"/>
              <w:spacing w:after="120"/>
              <w:jc w:val="left"/>
              <w:rPr>
                <w:caps/>
                <w:szCs w:val="24"/>
              </w:rPr>
            </w:pPr>
            <w:r w:rsidRPr="00057DB7">
              <w:rPr>
                <w:caps/>
                <w:szCs w:val="24"/>
              </w:rPr>
              <w:t>DATE OF ORDER:</w:t>
            </w:r>
          </w:p>
        </w:tc>
        <w:tc>
          <w:tcPr>
            <w:tcW w:w="6866" w:type="dxa"/>
          </w:tcPr>
          <w:p w14:paraId="1F96385F" w14:textId="4402CE0E" w:rsidR="00395B24" w:rsidRPr="00057DB7" w:rsidRDefault="00FD6433">
            <w:pPr>
              <w:pStyle w:val="NormalHeadings"/>
              <w:jc w:val="left"/>
              <w:rPr>
                <w:caps/>
                <w:szCs w:val="24"/>
              </w:rPr>
            </w:pPr>
            <w:r>
              <w:rPr>
                <w:caps/>
                <w:szCs w:val="24"/>
              </w:rPr>
              <w:t>19 April 2021</w:t>
            </w:r>
          </w:p>
        </w:tc>
      </w:tr>
    </w:tbl>
    <w:p w14:paraId="73012113" w14:textId="77777777" w:rsidR="00395B24" w:rsidRPr="00057DB7" w:rsidRDefault="00395B24">
      <w:pPr>
        <w:pStyle w:val="NormalHeadings"/>
        <w:rPr>
          <w:b w:val="0"/>
        </w:rPr>
      </w:pPr>
    </w:p>
    <w:p w14:paraId="0D5ECFD0" w14:textId="77777777" w:rsidR="008D1617" w:rsidRPr="00057DB7" w:rsidRDefault="008D1617">
      <w:pPr>
        <w:pStyle w:val="NormalHeadings"/>
        <w:rPr>
          <w:b w:val="0"/>
        </w:rPr>
      </w:pPr>
    </w:p>
    <w:p w14:paraId="0957266C" w14:textId="77777777" w:rsidR="00395B24" w:rsidRPr="00057DB7" w:rsidRDefault="002C7385">
      <w:pPr>
        <w:pStyle w:val="NormalHeadings"/>
      </w:pPr>
      <w:r w:rsidRPr="00057DB7">
        <w:t>THE COURT ORDERS THAT:</w:t>
      </w:r>
    </w:p>
    <w:p w14:paraId="6F69B820" w14:textId="77777777" w:rsidR="007F60DF" w:rsidRPr="00057DB7" w:rsidRDefault="007F60DF" w:rsidP="00243E5E">
      <w:pPr>
        <w:pStyle w:val="NormalHeadings"/>
      </w:pPr>
    </w:p>
    <w:p w14:paraId="45C99AFC" w14:textId="5C592B3D" w:rsidR="001A6C52" w:rsidRPr="00057DB7" w:rsidRDefault="00467FE6" w:rsidP="001A6C52">
      <w:pPr>
        <w:pStyle w:val="Order1"/>
      </w:pPr>
      <w:r w:rsidRPr="00057DB7">
        <w:t xml:space="preserve">The matter be listed for </w:t>
      </w:r>
      <w:r w:rsidR="00305FB3">
        <w:t>further hearing and entry of orders at 10</w:t>
      </w:r>
      <w:r w:rsidRPr="00057DB7">
        <w:t xml:space="preserve">am </w:t>
      </w:r>
      <w:r w:rsidR="00E862AF">
        <w:t xml:space="preserve">on </w:t>
      </w:r>
      <w:r w:rsidR="00305FB3">
        <w:t>21</w:t>
      </w:r>
      <w:r w:rsidRPr="00057DB7">
        <w:t xml:space="preserve"> April 2021</w:t>
      </w:r>
      <w:r w:rsidR="003846D4" w:rsidRPr="00057DB7">
        <w:t>.</w:t>
      </w:r>
      <w:r w:rsidR="0092410D">
        <w:t xml:space="preserve"> </w:t>
      </w:r>
    </w:p>
    <w:p w14:paraId="09D3C31A" w14:textId="77777777" w:rsidR="001A6C52" w:rsidRPr="00057DB7" w:rsidRDefault="001A6C52" w:rsidP="001A6C52">
      <w:pPr>
        <w:pStyle w:val="BodyText"/>
      </w:pPr>
    </w:p>
    <w:p w14:paraId="1BF080B5" w14:textId="77777777" w:rsidR="00A431E6" w:rsidRPr="00057DB7" w:rsidRDefault="00A431E6" w:rsidP="001A6C52">
      <w:pPr>
        <w:pStyle w:val="BodyText"/>
      </w:pPr>
    </w:p>
    <w:p w14:paraId="7486656F" w14:textId="77777777" w:rsidR="0050309C" w:rsidRPr="00057DB7" w:rsidRDefault="00570DA8" w:rsidP="004D53E5">
      <w:pPr>
        <w:pStyle w:val="SingleSpace"/>
      </w:pPr>
      <w:bookmarkStart w:id="18" w:name="OrdersStatement"/>
      <w:r w:rsidRPr="00057DB7">
        <w:t>Note:</w:t>
      </w:r>
      <w:r w:rsidRPr="00057DB7">
        <w:tab/>
        <w:t xml:space="preserve">Entry of orders is dealt with in Rule 39.32 of the </w:t>
      </w:r>
      <w:r w:rsidRPr="00057DB7">
        <w:rPr>
          <w:i/>
        </w:rPr>
        <w:t>Federal Court Rules 2011</w:t>
      </w:r>
      <w:r w:rsidRPr="00057DB7">
        <w:t>.</w:t>
      </w:r>
      <w:bookmarkEnd w:id="18"/>
    </w:p>
    <w:p w14:paraId="62EE50AD" w14:textId="77777777" w:rsidR="0092590B" w:rsidRPr="00057DB7" w:rsidRDefault="0092590B" w:rsidP="002B0E91">
      <w:pPr>
        <w:pStyle w:val="BodyText"/>
      </w:pPr>
    </w:p>
    <w:p w14:paraId="6B99F8B4" w14:textId="77777777" w:rsidR="00395B24" w:rsidRPr="00057DB7" w:rsidRDefault="00395B24">
      <w:pPr>
        <w:pStyle w:val="NormalHeadings"/>
        <w:spacing w:before="240" w:after="120"/>
        <w:rPr>
          <w:b w:val="0"/>
        </w:rPr>
        <w:sectPr w:rsidR="00395B24" w:rsidRPr="00057DB7"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0CE6F4E6" w14:textId="77777777" w:rsidR="00484F6D" w:rsidRPr="00057DB7" w:rsidRDefault="00484F6D" w:rsidP="00045BB7">
      <w:pPr>
        <w:pStyle w:val="NormalHeadings"/>
        <w:spacing w:line="480" w:lineRule="auto"/>
        <w:jc w:val="center"/>
        <w:rPr>
          <w:sz w:val="28"/>
          <w:szCs w:val="28"/>
        </w:rPr>
      </w:pPr>
      <w:bookmarkStart w:id="19" w:name="ReasonsPage"/>
      <w:bookmarkEnd w:id="19"/>
      <w:r w:rsidRPr="00057D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2276E2" w:rsidRPr="00D326DB" w14:paraId="2046C4C1" w14:textId="77777777" w:rsidTr="002276E2">
        <w:tc>
          <w:tcPr>
            <w:tcW w:w="8291" w:type="dxa"/>
            <w:shd w:val="clear" w:color="auto" w:fill="auto"/>
          </w:tcPr>
          <w:bookmarkStart w:id="20" w:name="PTOC"/>
          <w:p w14:paraId="4C68045A" w14:textId="51CCC18A"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_Ref69479623 \h </w:instrText>
            </w:r>
            <w:r>
              <w:rPr>
                <w:lang w:eastAsia="en-AU"/>
              </w:rPr>
            </w:r>
            <w:r>
              <w:rPr>
                <w:lang w:eastAsia="en-AU"/>
              </w:rPr>
              <w:fldChar w:fldCharType="separate"/>
            </w:r>
            <w:r w:rsidRPr="00057DB7">
              <w:t>A</w:t>
            </w:r>
            <w:r w:rsidRPr="00057DB7">
              <w:tab/>
              <w:t>INTRODUCTION</w:t>
            </w:r>
            <w:r>
              <w:rPr>
                <w:lang w:eastAsia="en-AU"/>
              </w:rPr>
              <w:fldChar w:fldCharType="end"/>
            </w:r>
          </w:p>
        </w:tc>
        <w:tc>
          <w:tcPr>
            <w:tcW w:w="1000" w:type="dxa"/>
            <w:shd w:val="clear" w:color="auto" w:fill="auto"/>
            <w:vAlign w:val="bottom"/>
          </w:tcPr>
          <w:p w14:paraId="4D7BC524" w14:textId="27AE3972" w:rsidR="002276E2" w:rsidRDefault="002276E2" w:rsidP="00640103">
            <w:pPr>
              <w:spacing w:before="120" w:after="60" w:line="240" w:lineRule="auto"/>
              <w:jc w:val="right"/>
              <w:rPr>
                <w:szCs w:val="24"/>
              </w:rPr>
            </w:pPr>
            <w:r>
              <w:rPr>
                <w:szCs w:val="24"/>
              </w:rPr>
              <w:t>[1]</w:t>
            </w:r>
          </w:p>
        </w:tc>
      </w:tr>
      <w:tr w:rsidR="002276E2" w:rsidRPr="00D326DB" w14:paraId="6848C13A" w14:textId="77777777" w:rsidTr="002276E2">
        <w:tc>
          <w:tcPr>
            <w:tcW w:w="8291" w:type="dxa"/>
            <w:shd w:val="clear" w:color="auto" w:fill="auto"/>
          </w:tcPr>
          <w:p w14:paraId="4418D710" w14:textId="548B3E81"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_Ref69479624 \h </w:instrText>
            </w:r>
            <w:r>
              <w:rPr>
                <w:lang w:eastAsia="en-AU"/>
              </w:rPr>
            </w:r>
            <w:r>
              <w:rPr>
                <w:lang w:eastAsia="en-AU"/>
              </w:rPr>
              <w:fldChar w:fldCharType="separate"/>
            </w:r>
            <w:r>
              <w:t>B</w:t>
            </w:r>
            <w:r>
              <w:tab/>
              <w:t xml:space="preserve">THE IMPUTATIONS </w:t>
            </w:r>
            <w:r w:rsidRPr="00057DB7">
              <w:t>AND THE “VARIANT” IMPUTATION</w:t>
            </w:r>
            <w:r>
              <w:rPr>
                <w:lang w:eastAsia="en-AU"/>
              </w:rPr>
              <w:fldChar w:fldCharType="end"/>
            </w:r>
          </w:p>
        </w:tc>
        <w:tc>
          <w:tcPr>
            <w:tcW w:w="1000" w:type="dxa"/>
            <w:shd w:val="clear" w:color="auto" w:fill="auto"/>
            <w:vAlign w:val="bottom"/>
          </w:tcPr>
          <w:p w14:paraId="07FF4D65" w14:textId="3569C0F8" w:rsidR="002276E2" w:rsidRDefault="002276E2" w:rsidP="00640103">
            <w:pPr>
              <w:spacing w:before="120" w:after="60" w:line="240" w:lineRule="auto"/>
              <w:jc w:val="right"/>
              <w:rPr>
                <w:szCs w:val="24"/>
              </w:rPr>
            </w:pPr>
            <w:r>
              <w:rPr>
                <w:szCs w:val="24"/>
              </w:rPr>
              <w:t>[5]</w:t>
            </w:r>
          </w:p>
        </w:tc>
      </w:tr>
      <w:tr w:rsidR="002276E2" w:rsidRPr="00D326DB" w14:paraId="74537EA0" w14:textId="77777777" w:rsidTr="002276E2">
        <w:tc>
          <w:tcPr>
            <w:tcW w:w="8291" w:type="dxa"/>
            <w:shd w:val="clear" w:color="auto" w:fill="auto"/>
          </w:tcPr>
          <w:p w14:paraId="3D4D2808" w14:textId="0FA4019C"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_Ref69479625 \h </w:instrText>
            </w:r>
            <w:r>
              <w:rPr>
                <w:lang w:eastAsia="en-AU"/>
              </w:rPr>
            </w:r>
            <w:r>
              <w:rPr>
                <w:lang w:eastAsia="en-AU"/>
              </w:rPr>
              <w:fldChar w:fldCharType="separate"/>
            </w:r>
            <w:r w:rsidRPr="00057DB7">
              <w:t>c</w:t>
            </w:r>
            <w:r w:rsidRPr="00057DB7">
              <w:tab/>
              <w:t>THE ISSUE OF MEANING</w:t>
            </w:r>
            <w:r>
              <w:rPr>
                <w:lang w:eastAsia="en-AU"/>
              </w:rPr>
              <w:fldChar w:fldCharType="end"/>
            </w:r>
          </w:p>
        </w:tc>
        <w:tc>
          <w:tcPr>
            <w:tcW w:w="1000" w:type="dxa"/>
            <w:shd w:val="clear" w:color="auto" w:fill="auto"/>
            <w:vAlign w:val="bottom"/>
          </w:tcPr>
          <w:p w14:paraId="54058F33" w14:textId="13AA42C7" w:rsidR="002276E2" w:rsidRDefault="002276E2" w:rsidP="00640103">
            <w:pPr>
              <w:spacing w:before="120" w:after="60" w:line="240" w:lineRule="auto"/>
              <w:jc w:val="right"/>
              <w:rPr>
                <w:szCs w:val="24"/>
              </w:rPr>
            </w:pPr>
            <w:r>
              <w:rPr>
                <w:szCs w:val="24"/>
              </w:rPr>
              <w:t>[11]</w:t>
            </w:r>
          </w:p>
        </w:tc>
      </w:tr>
      <w:tr w:rsidR="002276E2" w:rsidRPr="00D326DB" w14:paraId="3E72B8CB" w14:textId="77777777" w:rsidTr="002276E2">
        <w:tc>
          <w:tcPr>
            <w:tcW w:w="8291" w:type="dxa"/>
            <w:shd w:val="clear" w:color="auto" w:fill="auto"/>
          </w:tcPr>
          <w:p w14:paraId="01E5850B" w14:textId="7F98356D"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_Ref69479626 \h </w:instrText>
            </w:r>
            <w:r>
              <w:rPr>
                <w:lang w:eastAsia="en-AU"/>
              </w:rPr>
            </w:r>
            <w:r>
              <w:rPr>
                <w:lang w:eastAsia="en-AU"/>
              </w:rPr>
              <w:fldChar w:fldCharType="separate"/>
            </w:r>
            <w:r w:rsidRPr="00057DB7">
              <w:t>C</w:t>
            </w:r>
            <w:r>
              <w:t>.</w:t>
            </w:r>
            <w:r w:rsidRPr="00057DB7">
              <w:t>1</w:t>
            </w:r>
            <w:r w:rsidRPr="00057DB7">
              <w:tab/>
              <w:t>What was Conveyed?</w:t>
            </w:r>
            <w:r>
              <w:rPr>
                <w:lang w:eastAsia="en-AU"/>
              </w:rPr>
              <w:fldChar w:fldCharType="end"/>
            </w:r>
          </w:p>
        </w:tc>
        <w:tc>
          <w:tcPr>
            <w:tcW w:w="1000" w:type="dxa"/>
            <w:shd w:val="clear" w:color="auto" w:fill="auto"/>
            <w:vAlign w:val="bottom"/>
          </w:tcPr>
          <w:p w14:paraId="5D2DBB2E" w14:textId="1087E295" w:rsidR="002276E2" w:rsidRDefault="002276E2" w:rsidP="00640103">
            <w:pPr>
              <w:spacing w:before="120" w:after="60" w:line="240" w:lineRule="auto"/>
              <w:jc w:val="right"/>
              <w:rPr>
                <w:szCs w:val="24"/>
              </w:rPr>
            </w:pPr>
            <w:r>
              <w:rPr>
                <w:szCs w:val="24"/>
              </w:rPr>
              <w:t>[11]</w:t>
            </w:r>
          </w:p>
        </w:tc>
      </w:tr>
      <w:tr w:rsidR="002276E2" w:rsidRPr="00D326DB" w14:paraId="76614907" w14:textId="77777777" w:rsidTr="002276E2">
        <w:tc>
          <w:tcPr>
            <w:tcW w:w="8291" w:type="dxa"/>
            <w:shd w:val="clear" w:color="auto" w:fill="auto"/>
          </w:tcPr>
          <w:p w14:paraId="4FD037E7" w14:textId="3F277471"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_Ref69479627 \h </w:instrText>
            </w:r>
            <w:r>
              <w:rPr>
                <w:lang w:eastAsia="en-AU"/>
              </w:rPr>
            </w:r>
            <w:r>
              <w:rPr>
                <w:lang w:eastAsia="en-AU"/>
              </w:rPr>
              <w:fldChar w:fldCharType="separate"/>
            </w:r>
            <w:r w:rsidRPr="00423C1D">
              <w:t>Imputations A &amp; B</w:t>
            </w:r>
            <w:r>
              <w:rPr>
                <w:lang w:eastAsia="en-AU"/>
              </w:rPr>
              <w:fldChar w:fldCharType="end"/>
            </w:r>
          </w:p>
        </w:tc>
        <w:tc>
          <w:tcPr>
            <w:tcW w:w="1000" w:type="dxa"/>
            <w:shd w:val="clear" w:color="auto" w:fill="auto"/>
            <w:vAlign w:val="bottom"/>
          </w:tcPr>
          <w:p w14:paraId="01FD8844" w14:textId="46AA54AB" w:rsidR="002276E2" w:rsidRDefault="002276E2" w:rsidP="00640103">
            <w:pPr>
              <w:spacing w:before="120" w:after="60" w:line="240" w:lineRule="auto"/>
              <w:jc w:val="right"/>
              <w:rPr>
                <w:szCs w:val="24"/>
              </w:rPr>
            </w:pPr>
            <w:r>
              <w:rPr>
                <w:szCs w:val="24"/>
              </w:rPr>
              <w:t>[15]</w:t>
            </w:r>
          </w:p>
        </w:tc>
      </w:tr>
      <w:tr w:rsidR="002276E2" w:rsidRPr="00D326DB" w14:paraId="6F137883" w14:textId="77777777" w:rsidTr="002276E2">
        <w:tc>
          <w:tcPr>
            <w:tcW w:w="8291" w:type="dxa"/>
            <w:shd w:val="clear" w:color="auto" w:fill="auto"/>
          </w:tcPr>
          <w:p w14:paraId="34214949" w14:textId="735F85C5"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_Ref69479628 \h </w:instrText>
            </w:r>
            <w:r>
              <w:rPr>
                <w:lang w:eastAsia="en-AU"/>
              </w:rPr>
            </w:r>
            <w:r>
              <w:rPr>
                <w:lang w:eastAsia="en-AU"/>
              </w:rPr>
              <w:fldChar w:fldCharType="separate"/>
            </w:r>
            <w:r w:rsidRPr="00423C1D">
              <w:t>Imputation E</w:t>
            </w:r>
            <w:r>
              <w:rPr>
                <w:lang w:eastAsia="en-AU"/>
              </w:rPr>
              <w:fldChar w:fldCharType="end"/>
            </w:r>
          </w:p>
        </w:tc>
        <w:tc>
          <w:tcPr>
            <w:tcW w:w="1000" w:type="dxa"/>
            <w:shd w:val="clear" w:color="auto" w:fill="auto"/>
            <w:vAlign w:val="bottom"/>
          </w:tcPr>
          <w:p w14:paraId="7C0536C7" w14:textId="5FF50C1C" w:rsidR="002276E2" w:rsidRDefault="002276E2" w:rsidP="00640103">
            <w:pPr>
              <w:spacing w:before="120" w:after="60" w:line="240" w:lineRule="auto"/>
              <w:jc w:val="right"/>
              <w:rPr>
                <w:szCs w:val="24"/>
              </w:rPr>
            </w:pPr>
            <w:r>
              <w:rPr>
                <w:szCs w:val="24"/>
              </w:rPr>
              <w:t>[21]</w:t>
            </w:r>
          </w:p>
        </w:tc>
      </w:tr>
      <w:tr w:rsidR="002276E2" w:rsidRPr="00D326DB" w14:paraId="5F04C01E" w14:textId="77777777" w:rsidTr="002276E2">
        <w:tc>
          <w:tcPr>
            <w:tcW w:w="8291" w:type="dxa"/>
            <w:shd w:val="clear" w:color="auto" w:fill="auto"/>
          </w:tcPr>
          <w:p w14:paraId="7C7B0A2B" w14:textId="265E683C"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_Ref69479629 \h </w:instrText>
            </w:r>
            <w:r>
              <w:rPr>
                <w:lang w:eastAsia="en-AU"/>
              </w:rPr>
            </w:r>
            <w:r>
              <w:rPr>
                <w:lang w:eastAsia="en-AU"/>
              </w:rPr>
              <w:fldChar w:fldCharType="separate"/>
            </w:r>
            <w:r w:rsidRPr="00423C1D">
              <w:t>Imputations C &amp; D</w:t>
            </w:r>
            <w:r>
              <w:rPr>
                <w:lang w:eastAsia="en-AU"/>
              </w:rPr>
              <w:fldChar w:fldCharType="end"/>
            </w:r>
          </w:p>
        </w:tc>
        <w:tc>
          <w:tcPr>
            <w:tcW w:w="1000" w:type="dxa"/>
            <w:shd w:val="clear" w:color="auto" w:fill="auto"/>
            <w:vAlign w:val="bottom"/>
          </w:tcPr>
          <w:p w14:paraId="17422150" w14:textId="6885F112" w:rsidR="002276E2" w:rsidRDefault="002276E2" w:rsidP="00640103">
            <w:pPr>
              <w:spacing w:before="120" w:after="60" w:line="240" w:lineRule="auto"/>
              <w:jc w:val="right"/>
              <w:rPr>
                <w:szCs w:val="24"/>
              </w:rPr>
            </w:pPr>
            <w:r>
              <w:rPr>
                <w:szCs w:val="24"/>
              </w:rPr>
              <w:t>[24]</w:t>
            </w:r>
          </w:p>
        </w:tc>
      </w:tr>
      <w:tr w:rsidR="002276E2" w:rsidRPr="00D326DB" w14:paraId="48E988D3" w14:textId="77777777" w:rsidTr="002276E2">
        <w:tc>
          <w:tcPr>
            <w:tcW w:w="8291" w:type="dxa"/>
            <w:shd w:val="clear" w:color="auto" w:fill="auto"/>
          </w:tcPr>
          <w:p w14:paraId="526AE236" w14:textId="55AC24F4"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_Ref69479630 \h </w:instrText>
            </w:r>
            <w:r>
              <w:rPr>
                <w:lang w:eastAsia="en-AU"/>
              </w:rPr>
            </w:r>
            <w:r>
              <w:rPr>
                <w:lang w:eastAsia="en-AU"/>
              </w:rPr>
              <w:fldChar w:fldCharType="separate"/>
            </w:r>
            <w:r w:rsidRPr="00057DB7">
              <w:t>C.2</w:t>
            </w:r>
            <w:r w:rsidRPr="00057DB7">
              <w:tab/>
              <w:t>Was it Defamatory?</w:t>
            </w:r>
            <w:r>
              <w:rPr>
                <w:lang w:eastAsia="en-AU"/>
              </w:rPr>
              <w:fldChar w:fldCharType="end"/>
            </w:r>
          </w:p>
        </w:tc>
        <w:tc>
          <w:tcPr>
            <w:tcW w:w="1000" w:type="dxa"/>
            <w:shd w:val="clear" w:color="auto" w:fill="auto"/>
            <w:vAlign w:val="bottom"/>
          </w:tcPr>
          <w:p w14:paraId="69750263" w14:textId="0E45EE87" w:rsidR="002276E2" w:rsidRDefault="002276E2" w:rsidP="00640103">
            <w:pPr>
              <w:spacing w:before="120" w:after="60" w:line="240" w:lineRule="auto"/>
              <w:jc w:val="right"/>
              <w:rPr>
                <w:szCs w:val="24"/>
              </w:rPr>
            </w:pPr>
            <w:r>
              <w:rPr>
                <w:szCs w:val="24"/>
              </w:rPr>
              <w:t>[34]</w:t>
            </w:r>
          </w:p>
        </w:tc>
      </w:tr>
      <w:tr w:rsidR="002276E2" w:rsidRPr="00D326DB" w14:paraId="59620491" w14:textId="77777777" w:rsidTr="002276E2">
        <w:tc>
          <w:tcPr>
            <w:tcW w:w="8291" w:type="dxa"/>
            <w:shd w:val="clear" w:color="auto" w:fill="auto"/>
          </w:tcPr>
          <w:p w14:paraId="7567F338" w14:textId="350FC20D"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_Ref69479631 \h </w:instrText>
            </w:r>
            <w:r>
              <w:rPr>
                <w:lang w:eastAsia="en-AU"/>
              </w:rPr>
            </w:r>
            <w:r>
              <w:rPr>
                <w:lang w:eastAsia="en-AU"/>
              </w:rPr>
              <w:fldChar w:fldCharType="separate"/>
            </w:r>
            <w:r w:rsidRPr="00057DB7">
              <w:t>D</w:t>
            </w:r>
            <w:r w:rsidRPr="00057DB7">
              <w:tab/>
              <w:t>THE DEFENCE</w:t>
            </w:r>
            <w:r>
              <w:rPr>
                <w:lang w:eastAsia="en-AU"/>
              </w:rPr>
              <w:fldChar w:fldCharType="end"/>
            </w:r>
          </w:p>
        </w:tc>
        <w:tc>
          <w:tcPr>
            <w:tcW w:w="1000" w:type="dxa"/>
            <w:shd w:val="clear" w:color="auto" w:fill="auto"/>
            <w:vAlign w:val="bottom"/>
          </w:tcPr>
          <w:p w14:paraId="2FEAAFAB" w14:textId="62DF2749" w:rsidR="002276E2" w:rsidRDefault="002276E2" w:rsidP="00640103">
            <w:pPr>
              <w:spacing w:before="120" w:after="60" w:line="240" w:lineRule="auto"/>
              <w:jc w:val="right"/>
              <w:rPr>
                <w:szCs w:val="24"/>
              </w:rPr>
            </w:pPr>
            <w:r>
              <w:rPr>
                <w:szCs w:val="24"/>
              </w:rPr>
              <w:t>[38]</w:t>
            </w:r>
          </w:p>
        </w:tc>
      </w:tr>
      <w:tr w:rsidR="002276E2" w:rsidRPr="00D326DB" w14:paraId="30A53A0D" w14:textId="77777777" w:rsidTr="002276E2">
        <w:tc>
          <w:tcPr>
            <w:tcW w:w="8291" w:type="dxa"/>
            <w:shd w:val="clear" w:color="auto" w:fill="auto"/>
          </w:tcPr>
          <w:p w14:paraId="6B214ADC" w14:textId="3AB42FFA"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_Ref69479632 \h </w:instrText>
            </w:r>
            <w:r>
              <w:rPr>
                <w:lang w:eastAsia="en-AU"/>
              </w:rPr>
            </w:r>
            <w:r>
              <w:rPr>
                <w:lang w:eastAsia="en-AU"/>
              </w:rPr>
              <w:fldChar w:fldCharType="separate"/>
            </w:r>
            <w:r w:rsidRPr="00057DB7">
              <w:t>D.1</w:t>
            </w:r>
            <w:r w:rsidRPr="00057DB7">
              <w:tab/>
              <w:t>The Particulars of the Justification Defence</w:t>
            </w:r>
            <w:r>
              <w:rPr>
                <w:lang w:eastAsia="en-AU"/>
              </w:rPr>
              <w:fldChar w:fldCharType="end"/>
            </w:r>
          </w:p>
        </w:tc>
        <w:tc>
          <w:tcPr>
            <w:tcW w:w="1000" w:type="dxa"/>
            <w:shd w:val="clear" w:color="auto" w:fill="auto"/>
            <w:vAlign w:val="bottom"/>
          </w:tcPr>
          <w:p w14:paraId="7741C165" w14:textId="683D3882" w:rsidR="002276E2" w:rsidRDefault="002276E2" w:rsidP="00640103">
            <w:pPr>
              <w:spacing w:before="120" w:after="60" w:line="240" w:lineRule="auto"/>
              <w:jc w:val="right"/>
              <w:rPr>
                <w:szCs w:val="24"/>
              </w:rPr>
            </w:pPr>
            <w:r>
              <w:rPr>
                <w:szCs w:val="24"/>
              </w:rPr>
              <w:t>[39]</w:t>
            </w:r>
          </w:p>
        </w:tc>
      </w:tr>
      <w:tr w:rsidR="002276E2" w:rsidRPr="00D326DB" w14:paraId="10A994B0" w14:textId="77777777" w:rsidTr="002276E2">
        <w:tc>
          <w:tcPr>
            <w:tcW w:w="8291" w:type="dxa"/>
            <w:shd w:val="clear" w:color="auto" w:fill="auto"/>
          </w:tcPr>
          <w:p w14:paraId="36F70F9B" w14:textId="2EE239A3"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_Ref69479633 \h </w:instrText>
            </w:r>
            <w:r>
              <w:rPr>
                <w:lang w:eastAsia="en-AU"/>
              </w:rPr>
            </w:r>
            <w:r>
              <w:rPr>
                <w:lang w:eastAsia="en-AU"/>
              </w:rPr>
              <w:fldChar w:fldCharType="separate"/>
            </w:r>
            <w:r w:rsidRPr="00057DB7">
              <w:t>D.2</w:t>
            </w:r>
            <w:r w:rsidRPr="00057DB7">
              <w:tab/>
              <w:t>Five Preliminary Observations</w:t>
            </w:r>
            <w:r>
              <w:rPr>
                <w:lang w:eastAsia="en-AU"/>
              </w:rPr>
              <w:fldChar w:fldCharType="end"/>
            </w:r>
          </w:p>
        </w:tc>
        <w:tc>
          <w:tcPr>
            <w:tcW w:w="1000" w:type="dxa"/>
            <w:shd w:val="clear" w:color="auto" w:fill="auto"/>
            <w:vAlign w:val="bottom"/>
          </w:tcPr>
          <w:p w14:paraId="3F1E838D" w14:textId="1A1D3DBE" w:rsidR="002276E2" w:rsidRDefault="002276E2" w:rsidP="00640103">
            <w:pPr>
              <w:spacing w:before="120" w:after="60" w:line="240" w:lineRule="auto"/>
              <w:jc w:val="right"/>
              <w:rPr>
                <w:szCs w:val="24"/>
              </w:rPr>
            </w:pPr>
            <w:r>
              <w:rPr>
                <w:szCs w:val="24"/>
              </w:rPr>
              <w:t>[40]</w:t>
            </w:r>
          </w:p>
        </w:tc>
      </w:tr>
      <w:tr w:rsidR="002276E2" w:rsidRPr="00D326DB" w14:paraId="0EB61C06" w14:textId="77777777" w:rsidTr="002276E2">
        <w:tc>
          <w:tcPr>
            <w:tcW w:w="8291" w:type="dxa"/>
            <w:shd w:val="clear" w:color="auto" w:fill="auto"/>
          </w:tcPr>
          <w:p w14:paraId="78724CF7" w14:textId="55548190"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_Ref69479634 \h </w:instrText>
            </w:r>
            <w:r>
              <w:rPr>
                <w:lang w:eastAsia="en-AU"/>
              </w:rPr>
            </w:r>
            <w:r>
              <w:rPr>
                <w:lang w:eastAsia="en-AU"/>
              </w:rPr>
              <w:fldChar w:fldCharType="separate"/>
            </w:r>
            <w:r w:rsidRPr="00057DB7">
              <w:t>D.3</w:t>
            </w:r>
            <w:r w:rsidRPr="00057DB7">
              <w:tab/>
              <w:t>The Evidence Generally Relevant to Justification</w:t>
            </w:r>
            <w:r>
              <w:rPr>
                <w:lang w:eastAsia="en-AU"/>
              </w:rPr>
              <w:fldChar w:fldCharType="end"/>
            </w:r>
          </w:p>
        </w:tc>
        <w:tc>
          <w:tcPr>
            <w:tcW w:w="1000" w:type="dxa"/>
            <w:shd w:val="clear" w:color="auto" w:fill="auto"/>
            <w:vAlign w:val="bottom"/>
          </w:tcPr>
          <w:p w14:paraId="53FF92F8" w14:textId="5707B7C4" w:rsidR="002276E2" w:rsidRDefault="002276E2" w:rsidP="00640103">
            <w:pPr>
              <w:spacing w:before="120" w:after="60" w:line="240" w:lineRule="auto"/>
              <w:jc w:val="right"/>
              <w:rPr>
                <w:szCs w:val="24"/>
              </w:rPr>
            </w:pPr>
            <w:r>
              <w:rPr>
                <w:szCs w:val="24"/>
              </w:rPr>
              <w:t>[47]</w:t>
            </w:r>
          </w:p>
        </w:tc>
      </w:tr>
      <w:tr w:rsidR="002276E2" w:rsidRPr="00D326DB" w14:paraId="52BBA76B" w14:textId="77777777" w:rsidTr="002276E2">
        <w:tc>
          <w:tcPr>
            <w:tcW w:w="8291" w:type="dxa"/>
            <w:shd w:val="clear" w:color="auto" w:fill="auto"/>
          </w:tcPr>
          <w:p w14:paraId="71B60EAB" w14:textId="4A0DFAF7"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_Ref69479635 \h </w:instrText>
            </w:r>
            <w:r>
              <w:rPr>
                <w:lang w:eastAsia="en-AU"/>
              </w:rPr>
            </w:r>
            <w:r>
              <w:rPr>
                <w:lang w:eastAsia="en-AU"/>
              </w:rPr>
              <w:fldChar w:fldCharType="separate"/>
            </w:r>
            <w:r w:rsidRPr="00423C1D">
              <w:t>The Referee’s Reports</w:t>
            </w:r>
            <w:r>
              <w:rPr>
                <w:lang w:eastAsia="en-AU"/>
              </w:rPr>
              <w:fldChar w:fldCharType="end"/>
            </w:r>
          </w:p>
        </w:tc>
        <w:tc>
          <w:tcPr>
            <w:tcW w:w="1000" w:type="dxa"/>
            <w:shd w:val="clear" w:color="auto" w:fill="auto"/>
            <w:vAlign w:val="bottom"/>
          </w:tcPr>
          <w:p w14:paraId="705D9F78" w14:textId="1B01AC02" w:rsidR="002276E2" w:rsidRDefault="002276E2" w:rsidP="00640103">
            <w:pPr>
              <w:spacing w:before="120" w:after="60" w:line="240" w:lineRule="auto"/>
              <w:jc w:val="right"/>
              <w:rPr>
                <w:szCs w:val="24"/>
              </w:rPr>
            </w:pPr>
            <w:r>
              <w:rPr>
                <w:szCs w:val="24"/>
              </w:rPr>
              <w:t>[47]</w:t>
            </w:r>
          </w:p>
        </w:tc>
      </w:tr>
      <w:tr w:rsidR="002276E2" w:rsidRPr="00D326DB" w14:paraId="7ADD42CE" w14:textId="77777777" w:rsidTr="002276E2">
        <w:tc>
          <w:tcPr>
            <w:tcW w:w="8291" w:type="dxa"/>
            <w:shd w:val="clear" w:color="auto" w:fill="auto"/>
          </w:tcPr>
          <w:p w14:paraId="5A0D7109" w14:textId="555C6584"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_Ref69479636 \h </w:instrText>
            </w:r>
            <w:r>
              <w:rPr>
                <w:lang w:eastAsia="en-AU"/>
              </w:rPr>
            </w:r>
            <w:r>
              <w:rPr>
                <w:lang w:eastAsia="en-AU"/>
              </w:rPr>
              <w:fldChar w:fldCharType="separate"/>
            </w:r>
            <w:r w:rsidRPr="00423C1D">
              <w:t>Further Findings as to the Incapacity Issue</w:t>
            </w:r>
            <w:r>
              <w:rPr>
                <w:lang w:eastAsia="en-AU"/>
              </w:rPr>
              <w:fldChar w:fldCharType="end"/>
            </w:r>
          </w:p>
        </w:tc>
        <w:tc>
          <w:tcPr>
            <w:tcW w:w="1000" w:type="dxa"/>
            <w:shd w:val="clear" w:color="auto" w:fill="auto"/>
            <w:vAlign w:val="bottom"/>
          </w:tcPr>
          <w:p w14:paraId="50B640B5" w14:textId="3D9A0CE7" w:rsidR="002276E2" w:rsidRDefault="002276E2" w:rsidP="00640103">
            <w:pPr>
              <w:spacing w:before="120" w:after="60" w:line="240" w:lineRule="auto"/>
              <w:jc w:val="right"/>
              <w:rPr>
                <w:szCs w:val="24"/>
              </w:rPr>
            </w:pPr>
            <w:r>
              <w:rPr>
                <w:szCs w:val="24"/>
              </w:rPr>
              <w:t>[50]</w:t>
            </w:r>
          </w:p>
        </w:tc>
      </w:tr>
      <w:tr w:rsidR="002276E2" w:rsidRPr="00D326DB" w14:paraId="2BA00894" w14:textId="77777777" w:rsidTr="002276E2">
        <w:tc>
          <w:tcPr>
            <w:tcW w:w="8291" w:type="dxa"/>
            <w:shd w:val="clear" w:color="auto" w:fill="auto"/>
          </w:tcPr>
          <w:p w14:paraId="317F8374" w14:textId="591F799B"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_Ref69479637 \h </w:instrText>
            </w:r>
            <w:r>
              <w:rPr>
                <w:lang w:eastAsia="en-AU"/>
              </w:rPr>
            </w:r>
            <w:r>
              <w:rPr>
                <w:lang w:eastAsia="en-AU"/>
              </w:rPr>
              <w:fldChar w:fldCharType="separate"/>
            </w:r>
            <w:r w:rsidRPr="00423C1D">
              <w:t>Findings as to</w:t>
            </w:r>
            <w:r>
              <w:t xml:space="preserve"> the</w:t>
            </w:r>
            <w:r w:rsidRPr="00423C1D">
              <w:t xml:space="preserve"> Non Appearance Issue</w:t>
            </w:r>
            <w:r>
              <w:rPr>
                <w:lang w:eastAsia="en-AU"/>
              </w:rPr>
              <w:fldChar w:fldCharType="end"/>
            </w:r>
          </w:p>
        </w:tc>
        <w:tc>
          <w:tcPr>
            <w:tcW w:w="1000" w:type="dxa"/>
            <w:shd w:val="clear" w:color="auto" w:fill="auto"/>
            <w:vAlign w:val="bottom"/>
          </w:tcPr>
          <w:p w14:paraId="03E2B756" w14:textId="3F5FC334" w:rsidR="002276E2" w:rsidRDefault="002276E2" w:rsidP="00640103">
            <w:pPr>
              <w:spacing w:before="120" w:after="60" w:line="240" w:lineRule="auto"/>
              <w:jc w:val="right"/>
              <w:rPr>
                <w:szCs w:val="24"/>
              </w:rPr>
            </w:pPr>
            <w:r>
              <w:rPr>
                <w:szCs w:val="24"/>
              </w:rPr>
              <w:t>[64]</w:t>
            </w:r>
          </w:p>
        </w:tc>
      </w:tr>
      <w:tr w:rsidR="002276E2" w:rsidRPr="00D326DB" w14:paraId="4AF43ED1" w14:textId="77777777" w:rsidTr="002276E2">
        <w:tc>
          <w:tcPr>
            <w:tcW w:w="8291" w:type="dxa"/>
            <w:shd w:val="clear" w:color="auto" w:fill="auto"/>
          </w:tcPr>
          <w:p w14:paraId="628C2D6F" w14:textId="6D1A5EB6"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_Ref69479638 \h </w:instrText>
            </w:r>
            <w:r>
              <w:rPr>
                <w:lang w:eastAsia="en-AU"/>
              </w:rPr>
            </w:r>
            <w:r>
              <w:rPr>
                <w:lang w:eastAsia="en-AU"/>
              </w:rPr>
              <w:fldChar w:fldCharType="separate"/>
            </w:r>
            <w:r w:rsidRPr="00423C1D">
              <w:t>Conclusion on</w:t>
            </w:r>
            <w:r>
              <w:t xml:space="preserve"> the</w:t>
            </w:r>
            <w:r w:rsidRPr="00423C1D">
              <w:t xml:space="preserve"> Disputed Particulars</w:t>
            </w:r>
            <w:r>
              <w:rPr>
                <w:lang w:eastAsia="en-AU"/>
              </w:rPr>
              <w:fldChar w:fldCharType="end"/>
            </w:r>
          </w:p>
        </w:tc>
        <w:tc>
          <w:tcPr>
            <w:tcW w:w="1000" w:type="dxa"/>
            <w:shd w:val="clear" w:color="auto" w:fill="auto"/>
            <w:vAlign w:val="bottom"/>
          </w:tcPr>
          <w:p w14:paraId="36B7F9BB" w14:textId="5FEB99C2" w:rsidR="002276E2" w:rsidRDefault="002276E2" w:rsidP="00640103">
            <w:pPr>
              <w:spacing w:before="120" w:after="60" w:line="240" w:lineRule="auto"/>
              <w:jc w:val="right"/>
              <w:rPr>
                <w:szCs w:val="24"/>
              </w:rPr>
            </w:pPr>
            <w:r>
              <w:rPr>
                <w:szCs w:val="24"/>
              </w:rPr>
              <w:t>[70]</w:t>
            </w:r>
          </w:p>
        </w:tc>
      </w:tr>
      <w:tr w:rsidR="002276E2" w:rsidRPr="00D326DB" w14:paraId="3655AD69" w14:textId="77777777" w:rsidTr="002276E2">
        <w:tc>
          <w:tcPr>
            <w:tcW w:w="8291" w:type="dxa"/>
            <w:shd w:val="clear" w:color="auto" w:fill="auto"/>
          </w:tcPr>
          <w:p w14:paraId="0B7F34B9" w14:textId="303EAFBD"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_Ref69479639 \h </w:instrText>
            </w:r>
            <w:r>
              <w:rPr>
                <w:lang w:eastAsia="en-AU"/>
              </w:rPr>
            </w:r>
            <w:r>
              <w:rPr>
                <w:lang w:eastAsia="en-AU"/>
              </w:rPr>
              <w:fldChar w:fldCharType="separate"/>
            </w:r>
            <w:r w:rsidRPr="00423C1D">
              <w:t>E</w:t>
            </w:r>
            <w:r w:rsidRPr="00423C1D">
              <w:tab/>
              <w:t>RELIEF</w:t>
            </w:r>
            <w:r>
              <w:rPr>
                <w:lang w:eastAsia="en-AU"/>
              </w:rPr>
              <w:fldChar w:fldCharType="end"/>
            </w:r>
          </w:p>
        </w:tc>
        <w:tc>
          <w:tcPr>
            <w:tcW w:w="1000" w:type="dxa"/>
            <w:shd w:val="clear" w:color="auto" w:fill="auto"/>
            <w:vAlign w:val="bottom"/>
          </w:tcPr>
          <w:p w14:paraId="2A1658B4" w14:textId="0537E84B" w:rsidR="002276E2" w:rsidRDefault="002276E2" w:rsidP="00640103">
            <w:pPr>
              <w:spacing w:before="120" w:after="60" w:line="240" w:lineRule="auto"/>
              <w:jc w:val="right"/>
              <w:rPr>
                <w:szCs w:val="24"/>
              </w:rPr>
            </w:pPr>
            <w:r>
              <w:rPr>
                <w:szCs w:val="24"/>
              </w:rPr>
              <w:t>[77]</w:t>
            </w:r>
          </w:p>
        </w:tc>
      </w:tr>
      <w:tr w:rsidR="002276E2" w:rsidRPr="00D326DB" w14:paraId="45B39110" w14:textId="77777777" w:rsidTr="002276E2">
        <w:tc>
          <w:tcPr>
            <w:tcW w:w="8291" w:type="dxa"/>
            <w:shd w:val="clear" w:color="auto" w:fill="auto"/>
          </w:tcPr>
          <w:p w14:paraId="6FA51DFF" w14:textId="7CC8B10C"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_Ref69479640 \h </w:instrText>
            </w:r>
            <w:r>
              <w:rPr>
                <w:lang w:eastAsia="en-AU"/>
              </w:rPr>
            </w:r>
            <w:r>
              <w:rPr>
                <w:lang w:eastAsia="en-AU"/>
              </w:rPr>
              <w:fldChar w:fldCharType="separate"/>
            </w:r>
            <w:r w:rsidRPr="00057DB7">
              <w:t>E.1</w:t>
            </w:r>
            <w:r w:rsidRPr="00057DB7">
              <w:tab/>
            </w:r>
            <w:r w:rsidRPr="00057DB7">
              <w:rPr>
                <w:rFonts w:eastAsia="Times New Roman"/>
                <w:bCs/>
                <w:lang w:eastAsia="en-AU"/>
              </w:rPr>
              <w:t>Damages</w:t>
            </w:r>
            <w:r>
              <w:rPr>
                <w:lang w:eastAsia="en-AU"/>
              </w:rPr>
              <w:fldChar w:fldCharType="end"/>
            </w:r>
          </w:p>
        </w:tc>
        <w:tc>
          <w:tcPr>
            <w:tcW w:w="1000" w:type="dxa"/>
            <w:shd w:val="clear" w:color="auto" w:fill="auto"/>
            <w:vAlign w:val="bottom"/>
          </w:tcPr>
          <w:p w14:paraId="2C7CAADC" w14:textId="1204C278" w:rsidR="002276E2" w:rsidRDefault="002276E2" w:rsidP="00640103">
            <w:pPr>
              <w:spacing w:before="120" w:after="60" w:line="240" w:lineRule="auto"/>
              <w:jc w:val="right"/>
              <w:rPr>
                <w:szCs w:val="24"/>
              </w:rPr>
            </w:pPr>
            <w:r>
              <w:rPr>
                <w:szCs w:val="24"/>
              </w:rPr>
              <w:t>[77]</w:t>
            </w:r>
          </w:p>
        </w:tc>
      </w:tr>
      <w:tr w:rsidR="002276E2" w:rsidRPr="00D326DB" w14:paraId="79882FB8" w14:textId="77777777" w:rsidTr="002276E2">
        <w:tc>
          <w:tcPr>
            <w:tcW w:w="8291" w:type="dxa"/>
            <w:shd w:val="clear" w:color="auto" w:fill="auto"/>
          </w:tcPr>
          <w:p w14:paraId="0E91FDBA" w14:textId="23F67AC8"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_Ref69729125 \h </w:instrText>
            </w:r>
            <w:r>
              <w:rPr>
                <w:lang w:eastAsia="en-AU"/>
              </w:rPr>
            </w:r>
            <w:r>
              <w:rPr>
                <w:lang w:eastAsia="en-AU"/>
              </w:rPr>
              <w:fldChar w:fldCharType="separate"/>
            </w:r>
            <w:r w:rsidRPr="00057DB7">
              <w:rPr>
                <w:lang w:eastAsia="en-AU"/>
              </w:rPr>
              <w:t>Principles and Preliminary Observations</w:t>
            </w:r>
            <w:r>
              <w:rPr>
                <w:lang w:eastAsia="en-AU"/>
              </w:rPr>
              <w:fldChar w:fldCharType="end"/>
            </w:r>
          </w:p>
        </w:tc>
        <w:tc>
          <w:tcPr>
            <w:tcW w:w="1000" w:type="dxa"/>
            <w:shd w:val="clear" w:color="auto" w:fill="auto"/>
            <w:vAlign w:val="bottom"/>
          </w:tcPr>
          <w:p w14:paraId="11BF78C1" w14:textId="3BCBE423" w:rsidR="002276E2" w:rsidRDefault="002276E2" w:rsidP="00640103">
            <w:pPr>
              <w:spacing w:before="120" w:after="60" w:line="240" w:lineRule="auto"/>
              <w:jc w:val="right"/>
              <w:rPr>
                <w:szCs w:val="24"/>
              </w:rPr>
            </w:pPr>
            <w:r>
              <w:rPr>
                <w:szCs w:val="24"/>
              </w:rPr>
              <w:t>[77]</w:t>
            </w:r>
          </w:p>
        </w:tc>
      </w:tr>
      <w:tr w:rsidR="002276E2" w:rsidRPr="00D326DB" w14:paraId="7183D868" w14:textId="77777777" w:rsidTr="002276E2">
        <w:tc>
          <w:tcPr>
            <w:tcW w:w="8291" w:type="dxa"/>
            <w:shd w:val="clear" w:color="auto" w:fill="auto"/>
          </w:tcPr>
          <w:p w14:paraId="3C4A6B00" w14:textId="642F9644"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_Ref69479641 \h </w:instrText>
            </w:r>
            <w:r>
              <w:rPr>
                <w:lang w:eastAsia="en-AU"/>
              </w:rPr>
            </w:r>
            <w:r>
              <w:rPr>
                <w:lang w:eastAsia="en-AU"/>
              </w:rPr>
              <w:fldChar w:fldCharType="separate"/>
            </w:r>
            <w:r w:rsidRPr="00057DB7">
              <w:t>Findings</w:t>
            </w:r>
            <w:r w:rsidRPr="00057DB7">
              <w:rPr>
                <w:rFonts w:eastAsia="Times New Roman"/>
                <w:bCs/>
                <w:iCs/>
                <w:szCs w:val="24"/>
                <w:lang w:eastAsia="en-AU"/>
              </w:rPr>
              <w:t xml:space="preserve"> Relevant to General Damages</w:t>
            </w:r>
            <w:r>
              <w:rPr>
                <w:lang w:eastAsia="en-AU"/>
              </w:rPr>
              <w:fldChar w:fldCharType="end"/>
            </w:r>
          </w:p>
        </w:tc>
        <w:tc>
          <w:tcPr>
            <w:tcW w:w="1000" w:type="dxa"/>
            <w:shd w:val="clear" w:color="auto" w:fill="auto"/>
            <w:vAlign w:val="bottom"/>
          </w:tcPr>
          <w:p w14:paraId="0DF7ABBB" w14:textId="3FC6D9D2" w:rsidR="002276E2" w:rsidRDefault="002276E2" w:rsidP="00640103">
            <w:pPr>
              <w:spacing w:before="120" w:after="60" w:line="240" w:lineRule="auto"/>
              <w:jc w:val="right"/>
              <w:rPr>
                <w:szCs w:val="24"/>
              </w:rPr>
            </w:pPr>
            <w:r>
              <w:rPr>
                <w:szCs w:val="24"/>
              </w:rPr>
              <w:t>[83]</w:t>
            </w:r>
          </w:p>
        </w:tc>
      </w:tr>
      <w:tr w:rsidR="002276E2" w:rsidRPr="00D326DB" w14:paraId="2A2B284F" w14:textId="77777777" w:rsidTr="002276E2">
        <w:tc>
          <w:tcPr>
            <w:tcW w:w="8291" w:type="dxa"/>
            <w:shd w:val="clear" w:color="auto" w:fill="auto"/>
          </w:tcPr>
          <w:p w14:paraId="44D5C079" w14:textId="1702D247"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_Ref69485113 \h </w:instrText>
            </w:r>
            <w:r>
              <w:rPr>
                <w:lang w:eastAsia="en-AU"/>
              </w:rPr>
            </w:r>
            <w:r>
              <w:rPr>
                <w:lang w:eastAsia="en-AU"/>
              </w:rPr>
              <w:fldChar w:fldCharType="separate"/>
            </w:r>
            <w:r w:rsidRPr="00057DB7">
              <w:rPr>
                <w:lang w:eastAsia="en-AU"/>
              </w:rPr>
              <w:t>Hurt to Feelings</w:t>
            </w:r>
            <w:r>
              <w:rPr>
                <w:lang w:eastAsia="en-AU"/>
              </w:rPr>
              <w:fldChar w:fldCharType="end"/>
            </w:r>
          </w:p>
        </w:tc>
        <w:tc>
          <w:tcPr>
            <w:tcW w:w="1000" w:type="dxa"/>
            <w:shd w:val="clear" w:color="auto" w:fill="auto"/>
            <w:vAlign w:val="bottom"/>
          </w:tcPr>
          <w:p w14:paraId="5745C1DD" w14:textId="54989F5A" w:rsidR="002276E2" w:rsidRDefault="002276E2" w:rsidP="00640103">
            <w:pPr>
              <w:spacing w:before="120" w:after="60" w:line="240" w:lineRule="auto"/>
              <w:jc w:val="right"/>
              <w:rPr>
                <w:szCs w:val="24"/>
              </w:rPr>
            </w:pPr>
            <w:r>
              <w:rPr>
                <w:szCs w:val="24"/>
              </w:rPr>
              <w:t>[83]</w:t>
            </w:r>
          </w:p>
        </w:tc>
      </w:tr>
      <w:tr w:rsidR="002276E2" w:rsidRPr="00D326DB" w14:paraId="52F98258" w14:textId="77777777" w:rsidTr="002276E2">
        <w:tc>
          <w:tcPr>
            <w:tcW w:w="8291" w:type="dxa"/>
            <w:shd w:val="clear" w:color="auto" w:fill="auto"/>
          </w:tcPr>
          <w:p w14:paraId="7A0043B2" w14:textId="256C593F"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_Ref69485114 \h </w:instrText>
            </w:r>
            <w:r>
              <w:rPr>
                <w:lang w:eastAsia="en-AU"/>
              </w:rPr>
            </w:r>
            <w:r>
              <w:rPr>
                <w:lang w:eastAsia="en-AU"/>
              </w:rPr>
              <w:fldChar w:fldCharType="separate"/>
            </w:r>
            <w:r w:rsidRPr="002A17C2">
              <w:rPr>
                <w:lang w:eastAsia="en-AU"/>
              </w:rPr>
              <w:t>Mr Murphy’s Reputation</w:t>
            </w:r>
            <w:r>
              <w:rPr>
                <w:lang w:eastAsia="en-AU"/>
              </w:rPr>
              <w:fldChar w:fldCharType="end"/>
            </w:r>
          </w:p>
        </w:tc>
        <w:tc>
          <w:tcPr>
            <w:tcW w:w="1000" w:type="dxa"/>
            <w:shd w:val="clear" w:color="auto" w:fill="auto"/>
            <w:vAlign w:val="bottom"/>
          </w:tcPr>
          <w:p w14:paraId="7731F7BA" w14:textId="066B73F6" w:rsidR="002276E2" w:rsidRDefault="002276E2" w:rsidP="00640103">
            <w:pPr>
              <w:spacing w:before="120" w:after="60" w:line="240" w:lineRule="auto"/>
              <w:jc w:val="right"/>
              <w:rPr>
                <w:szCs w:val="24"/>
              </w:rPr>
            </w:pPr>
            <w:r>
              <w:rPr>
                <w:szCs w:val="24"/>
              </w:rPr>
              <w:t>[91]</w:t>
            </w:r>
          </w:p>
        </w:tc>
      </w:tr>
      <w:tr w:rsidR="002276E2" w:rsidRPr="00D326DB" w14:paraId="15F2B912" w14:textId="77777777" w:rsidTr="002276E2">
        <w:tc>
          <w:tcPr>
            <w:tcW w:w="8291" w:type="dxa"/>
            <w:shd w:val="clear" w:color="auto" w:fill="auto"/>
          </w:tcPr>
          <w:p w14:paraId="60DC68AC" w14:textId="3CF617CC"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_Ref69485115 \h </w:instrText>
            </w:r>
            <w:r>
              <w:rPr>
                <w:lang w:eastAsia="en-AU"/>
              </w:rPr>
            </w:r>
            <w:r>
              <w:rPr>
                <w:lang w:eastAsia="en-AU"/>
              </w:rPr>
              <w:fldChar w:fldCharType="separate"/>
            </w:r>
            <w:r w:rsidRPr="002A17C2">
              <w:rPr>
                <w:lang w:eastAsia="en-AU"/>
              </w:rPr>
              <w:t>The Nature and Gravity of Imputation D</w:t>
            </w:r>
            <w:r>
              <w:rPr>
                <w:lang w:eastAsia="en-AU"/>
              </w:rPr>
              <w:fldChar w:fldCharType="end"/>
            </w:r>
          </w:p>
        </w:tc>
        <w:tc>
          <w:tcPr>
            <w:tcW w:w="1000" w:type="dxa"/>
            <w:shd w:val="clear" w:color="auto" w:fill="auto"/>
            <w:vAlign w:val="bottom"/>
          </w:tcPr>
          <w:p w14:paraId="02A88493" w14:textId="6EADB7EE" w:rsidR="002276E2" w:rsidRDefault="002276E2" w:rsidP="00640103">
            <w:pPr>
              <w:spacing w:before="120" w:after="60" w:line="240" w:lineRule="auto"/>
              <w:jc w:val="right"/>
              <w:rPr>
                <w:szCs w:val="24"/>
              </w:rPr>
            </w:pPr>
            <w:r>
              <w:rPr>
                <w:szCs w:val="24"/>
              </w:rPr>
              <w:t>[97]</w:t>
            </w:r>
          </w:p>
        </w:tc>
      </w:tr>
      <w:tr w:rsidR="002276E2" w:rsidRPr="00D326DB" w14:paraId="02F06F28" w14:textId="77777777" w:rsidTr="002276E2">
        <w:tc>
          <w:tcPr>
            <w:tcW w:w="8291" w:type="dxa"/>
            <w:shd w:val="clear" w:color="auto" w:fill="auto"/>
          </w:tcPr>
          <w:p w14:paraId="6D7D4ADE" w14:textId="3203AE38"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_Ref69485116 \h </w:instrText>
            </w:r>
            <w:r>
              <w:rPr>
                <w:lang w:eastAsia="en-AU"/>
              </w:rPr>
            </w:r>
            <w:r>
              <w:rPr>
                <w:lang w:eastAsia="en-AU"/>
              </w:rPr>
              <w:fldChar w:fldCharType="separate"/>
            </w:r>
            <w:r w:rsidRPr="002A17C2">
              <w:rPr>
                <w:lang w:eastAsia="en-AU"/>
              </w:rPr>
              <w:t>The Extent of Publication</w:t>
            </w:r>
            <w:r>
              <w:rPr>
                <w:lang w:eastAsia="en-AU"/>
              </w:rPr>
              <w:fldChar w:fldCharType="end"/>
            </w:r>
          </w:p>
        </w:tc>
        <w:tc>
          <w:tcPr>
            <w:tcW w:w="1000" w:type="dxa"/>
            <w:shd w:val="clear" w:color="auto" w:fill="auto"/>
            <w:vAlign w:val="bottom"/>
          </w:tcPr>
          <w:p w14:paraId="7AAE11DE" w14:textId="10D4B370" w:rsidR="002276E2" w:rsidRDefault="002276E2" w:rsidP="00640103">
            <w:pPr>
              <w:spacing w:before="120" w:after="60" w:line="240" w:lineRule="auto"/>
              <w:jc w:val="right"/>
              <w:rPr>
                <w:szCs w:val="24"/>
              </w:rPr>
            </w:pPr>
            <w:r>
              <w:rPr>
                <w:szCs w:val="24"/>
              </w:rPr>
              <w:t>[98]</w:t>
            </w:r>
          </w:p>
        </w:tc>
      </w:tr>
      <w:tr w:rsidR="002276E2" w:rsidRPr="00D326DB" w14:paraId="36A8C3DC" w14:textId="77777777" w:rsidTr="002276E2">
        <w:tc>
          <w:tcPr>
            <w:tcW w:w="8291" w:type="dxa"/>
            <w:shd w:val="clear" w:color="auto" w:fill="auto"/>
          </w:tcPr>
          <w:p w14:paraId="35DD6EE0" w14:textId="4262C40C"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_Ref69571659 \h </w:instrText>
            </w:r>
            <w:r>
              <w:rPr>
                <w:lang w:eastAsia="en-AU"/>
              </w:rPr>
            </w:r>
            <w:r>
              <w:rPr>
                <w:lang w:eastAsia="en-AU"/>
              </w:rPr>
              <w:fldChar w:fldCharType="separate"/>
            </w:r>
            <w:r w:rsidRPr="00057DB7">
              <w:t xml:space="preserve">Findings </w:t>
            </w:r>
            <w:r>
              <w:rPr>
                <w:rFonts w:eastAsia="Times New Roman"/>
                <w:bCs/>
                <w:iCs/>
                <w:szCs w:val="24"/>
                <w:lang w:eastAsia="en-AU"/>
              </w:rPr>
              <w:t>Relevant to Aggravated Damages</w:t>
            </w:r>
            <w:r>
              <w:rPr>
                <w:lang w:eastAsia="en-AU"/>
              </w:rPr>
              <w:fldChar w:fldCharType="end"/>
            </w:r>
          </w:p>
        </w:tc>
        <w:tc>
          <w:tcPr>
            <w:tcW w:w="1000" w:type="dxa"/>
            <w:shd w:val="clear" w:color="auto" w:fill="auto"/>
            <w:vAlign w:val="bottom"/>
          </w:tcPr>
          <w:p w14:paraId="0AF36650" w14:textId="64C7CF71" w:rsidR="002276E2" w:rsidRDefault="002276E2" w:rsidP="00640103">
            <w:pPr>
              <w:spacing w:before="120" w:after="60" w:line="240" w:lineRule="auto"/>
              <w:jc w:val="right"/>
              <w:rPr>
                <w:szCs w:val="24"/>
              </w:rPr>
            </w:pPr>
            <w:r>
              <w:rPr>
                <w:szCs w:val="24"/>
              </w:rPr>
              <w:t>[100]</w:t>
            </w:r>
          </w:p>
        </w:tc>
      </w:tr>
      <w:tr w:rsidR="002276E2" w:rsidRPr="00D326DB" w14:paraId="3EAC7069" w14:textId="77777777" w:rsidTr="002276E2">
        <w:tc>
          <w:tcPr>
            <w:tcW w:w="8291" w:type="dxa"/>
            <w:shd w:val="clear" w:color="auto" w:fill="auto"/>
          </w:tcPr>
          <w:p w14:paraId="341AA9A6" w14:textId="36EFF5D2"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_Ref69571660 \h </w:instrText>
            </w:r>
            <w:r>
              <w:rPr>
                <w:lang w:eastAsia="en-AU"/>
              </w:rPr>
            </w:r>
            <w:r>
              <w:rPr>
                <w:lang w:eastAsia="en-AU"/>
              </w:rPr>
              <w:fldChar w:fldCharType="separate"/>
            </w:r>
            <w:r w:rsidRPr="00057DB7">
              <w:rPr>
                <w:lang w:eastAsia="en-AU"/>
              </w:rPr>
              <w:t>Alleged Unjustifiable Conduct</w:t>
            </w:r>
            <w:r>
              <w:rPr>
                <w:lang w:eastAsia="en-AU"/>
              </w:rPr>
              <w:fldChar w:fldCharType="end"/>
            </w:r>
          </w:p>
        </w:tc>
        <w:tc>
          <w:tcPr>
            <w:tcW w:w="1000" w:type="dxa"/>
            <w:shd w:val="clear" w:color="auto" w:fill="auto"/>
            <w:vAlign w:val="bottom"/>
          </w:tcPr>
          <w:p w14:paraId="7DEB15B3" w14:textId="0B4AABFC" w:rsidR="002276E2" w:rsidRDefault="002276E2" w:rsidP="00640103">
            <w:pPr>
              <w:spacing w:before="120" w:after="60" w:line="240" w:lineRule="auto"/>
              <w:jc w:val="right"/>
              <w:rPr>
                <w:szCs w:val="24"/>
              </w:rPr>
            </w:pPr>
            <w:r>
              <w:rPr>
                <w:szCs w:val="24"/>
              </w:rPr>
              <w:t>[100]</w:t>
            </w:r>
          </w:p>
        </w:tc>
      </w:tr>
      <w:tr w:rsidR="002276E2" w:rsidRPr="00D326DB" w14:paraId="07A98203" w14:textId="77777777" w:rsidTr="002276E2">
        <w:tc>
          <w:tcPr>
            <w:tcW w:w="8291" w:type="dxa"/>
            <w:shd w:val="clear" w:color="auto" w:fill="auto"/>
          </w:tcPr>
          <w:p w14:paraId="6D188899" w14:textId="2B285EC7" w:rsidR="002276E2" w:rsidRPr="002276E2" w:rsidRDefault="002276E2" w:rsidP="002276E2">
            <w:pPr>
              <w:pStyle w:val="FTOC4"/>
              <w:tabs>
                <w:tab w:val="clear" w:pos="9072"/>
              </w:tabs>
              <w:rPr>
                <w:i w:val="0"/>
                <w:lang w:eastAsia="en-AU"/>
              </w:rPr>
            </w:pPr>
            <w:r>
              <w:rPr>
                <w:lang w:eastAsia="en-AU"/>
              </w:rPr>
              <w:fldChar w:fldCharType="begin"/>
            </w:r>
            <w:r>
              <w:rPr>
                <w:lang w:eastAsia="en-AU"/>
              </w:rPr>
              <w:instrText xml:space="preserve"> REF _Ref69479643 \h </w:instrText>
            </w:r>
            <w:r>
              <w:rPr>
                <w:lang w:eastAsia="en-AU"/>
              </w:rPr>
            </w:r>
            <w:r>
              <w:rPr>
                <w:lang w:eastAsia="en-AU"/>
              </w:rPr>
              <w:fldChar w:fldCharType="separate"/>
            </w:r>
            <w:r>
              <w:rPr>
                <w:lang w:eastAsia="en-AU"/>
              </w:rPr>
              <w:t>Consideration</w:t>
            </w:r>
            <w:r>
              <w:rPr>
                <w:lang w:eastAsia="en-AU"/>
              </w:rPr>
              <w:fldChar w:fldCharType="end"/>
            </w:r>
          </w:p>
        </w:tc>
        <w:tc>
          <w:tcPr>
            <w:tcW w:w="1000" w:type="dxa"/>
            <w:shd w:val="clear" w:color="auto" w:fill="auto"/>
            <w:vAlign w:val="bottom"/>
          </w:tcPr>
          <w:p w14:paraId="613D4C6B" w14:textId="3782B714" w:rsidR="002276E2" w:rsidRDefault="002276E2" w:rsidP="00640103">
            <w:pPr>
              <w:spacing w:before="120" w:after="60" w:line="240" w:lineRule="auto"/>
              <w:jc w:val="right"/>
              <w:rPr>
                <w:szCs w:val="24"/>
              </w:rPr>
            </w:pPr>
            <w:r>
              <w:rPr>
                <w:szCs w:val="24"/>
              </w:rPr>
              <w:t>[104]</w:t>
            </w:r>
          </w:p>
        </w:tc>
      </w:tr>
      <w:tr w:rsidR="002276E2" w:rsidRPr="00D326DB" w14:paraId="240A542D" w14:textId="77777777" w:rsidTr="002276E2">
        <w:tc>
          <w:tcPr>
            <w:tcW w:w="8291" w:type="dxa"/>
            <w:shd w:val="clear" w:color="auto" w:fill="auto"/>
          </w:tcPr>
          <w:p w14:paraId="188620D0" w14:textId="4D0E94E7" w:rsidR="002276E2" w:rsidRPr="002276E2" w:rsidRDefault="002276E2" w:rsidP="002276E2">
            <w:pPr>
              <w:pStyle w:val="FTOC3"/>
              <w:tabs>
                <w:tab w:val="clear" w:pos="9072"/>
              </w:tabs>
              <w:rPr>
                <w:i w:val="0"/>
                <w:lang w:eastAsia="en-AU"/>
              </w:rPr>
            </w:pPr>
            <w:r>
              <w:rPr>
                <w:lang w:eastAsia="en-AU"/>
              </w:rPr>
              <w:fldChar w:fldCharType="begin"/>
            </w:r>
            <w:r>
              <w:rPr>
                <w:lang w:eastAsia="en-AU"/>
              </w:rPr>
              <w:instrText xml:space="preserve"> REF _Ref69479644 \h </w:instrText>
            </w:r>
            <w:r>
              <w:rPr>
                <w:lang w:eastAsia="en-AU"/>
              </w:rPr>
            </w:r>
            <w:r>
              <w:rPr>
                <w:lang w:eastAsia="en-AU"/>
              </w:rPr>
              <w:fldChar w:fldCharType="separate"/>
            </w:r>
            <w:r w:rsidRPr="00057DB7">
              <w:t>Assessment</w:t>
            </w:r>
            <w:r>
              <w:rPr>
                <w:lang w:eastAsia="en-AU"/>
              </w:rPr>
              <w:fldChar w:fldCharType="end"/>
            </w:r>
          </w:p>
        </w:tc>
        <w:tc>
          <w:tcPr>
            <w:tcW w:w="1000" w:type="dxa"/>
            <w:shd w:val="clear" w:color="auto" w:fill="auto"/>
            <w:vAlign w:val="bottom"/>
          </w:tcPr>
          <w:p w14:paraId="6CA57F1C" w14:textId="2EADEB62" w:rsidR="002276E2" w:rsidRDefault="002276E2" w:rsidP="00640103">
            <w:pPr>
              <w:spacing w:before="120" w:after="60" w:line="240" w:lineRule="auto"/>
              <w:jc w:val="right"/>
              <w:rPr>
                <w:szCs w:val="24"/>
              </w:rPr>
            </w:pPr>
            <w:r>
              <w:rPr>
                <w:szCs w:val="24"/>
              </w:rPr>
              <w:t>[107]</w:t>
            </w:r>
          </w:p>
        </w:tc>
      </w:tr>
      <w:tr w:rsidR="002276E2" w:rsidRPr="00D326DB" w14:paraId="51807EF5" w14:textId="77777777" w:rsidTr="002276E2">
        <w:tc>
          <w:tcPr>
            <w:tcW w:w="8291" w:type="dxa"/>
            <w:shd w:val="clear" w:color="auto" w:fill="auto"/>
          </w:tcPr>
          <w:p w14:paraId="67CB3F82" w14:textId="45532467" w:rsidR="002276E2" w:rsidRPr="002276E2" w:rsidRDefault="002276E2" w:rsidP="002276E2">
            <w:pPr>
              <w:pStyle w:val="FTOC2"/>
              <w:tabs>
                <w:tab w:val="clear" w:pos="9072"/>
              </w:tabs>
              <w:rPr>
                <w:lang w:eastAsia="en-AU"/>
              </w:rPr>
            </w:pPr>
            <w:r>
              <w:rPr>
                <w:lang w:eastAsia="en-AU"/>
              </w:rPr>
              <w:fldChar w:fldCharType="begin"/>
            </w:r>
            <w:r>
              <w:rPr>
                <w:lang w:eastAsia="en-AU"/>
              </w:rPr>
              <w:instrText xml:space="preserve"> REF _Ref69479645 \h </w:instrText>
            </w:r>
            <w:r>
              <w:rPr>
                <w:lang w:eastAsia="en-AU"/>
              </w:rPr>
            </w:r>
            <w:r>
              <w:rPr>
                <w:lang w:eastAsia="en-AU"/>
              </w:rPr>
              <w:fldChar w:fldCharType="separate"/>
            </w:r>
            <w:r w:rsidRPr="00057DB7">
              <w:t>E.2</w:t>
            </w:r>
            <w:r w:rsidRPr="00057DB7">
              <w:tab/>
              <w:t>Interest</w:t>
            </w:r>
            <w:r>
              <w:rPr>
                <w:lang w:eastAsia="en-AU"/>
              </w:rPr>
              <w:fldChar w:fldCharType="end"/>
            </w:r>
          </w:p>
        </w:tc>
        <w:tc>
          <w:tcPr>
            <w:tcW w:w="1000" w:type="dxa"/>
            <w:shd w:val="clear" w:color="auto" w:fill="auto"/>
            <w:vAlign w:val="bottom"/>
          </w:tcPr>
          <w:p w14:paraId="7B504553" w14:textId="1528CB7B" w:rsidR="002276E2" w:rsidRDefault="002276E2" w:rsidP="00640103">
            <w:pPr>
              <w:spacing w:before="120" w:after="60" w:line="240" w:lineRule="auto"/>
              <w:jc w:val="right"/>
              <w:rPr>
                <w:szCs w:val="24"/>
              </w:rPr>
            </w:pPr>
            <w:r>
              <w:rPr>
                <w:szCs w:val="24"/>
              </w:rPr>
              <w:t>[111]</w:t>
            </w:r>
          </w:p>
        </w:tc>
      </w:tr>
      <w:tr w:rsidR="002276E2" w:rsidRPr="00D326DB" w14:paraId="390C8645" w14:textId="77777777" w:rsidTr="002276E2">
        <w:tc>
          <w:tcPr>
            <w:tcW w:w="8291" w:type="dxa"/>
            <w:shd w:val="clear" w:color="auto" w:fill="auto"/>
          </w:tcPr>
          <w:p w14:paraId="00040562" w14:textId="26B1795B" w:rsidR="002276E2" w:rsidRPr="002276E2" w:rsidRDefault="002276E2" w:rsidP="002276E2">
            <w:pPr>
              <w:pStyle w:val="FTOC2"/>
              <w:tabs>
                <w:tab w:val="clear" w:pos="9072"/>
              </w:tabs>
              <w:rPr>
                <w:lang w:eastAsia="en-AU"/>
              </w:rPr>
            </w:pPr>
            <w:r>
              <w:rPr>
                <w:lang w:eastAsia="en-AU"/>
              </w:rPr>
              <w:lastRenderedPageBreak/>
              <w:fldChar w:fldCharType="begin"/>
            </w:r>
            <w:r>
              <w:rPr>
                <w:lang w:eastAsia="en-AU"/>
              </w:rPr>
              <w:instrText xml:space="preserve"> REF _Ref69479646 \h </w:instrText>
            </w:r>
            <w:r>
              <w:rPr>
                <w:lang w:eastAsia="en-AU"/>
              </w:rPr>
            </w:r>
            <w:r>
              <w:rPr>
                <w:lang w:eastAsia="en-AU"/>
              </w:rPr>
              <w:fldChar w:fldCharType="separate"/>
            </w:r>
            <w:r w:rsidRPr="00057DB7">
              <w:t>E.3</w:t>
            </w:r>
            <w:r w:rsidRPr="00057DB7">
              <w:tab/>
              <w:t>Injunction</w:t>
            </w:r>
            <w:r>
              <w:rPr>
                <w:lang w:eastAsia="en-AU"/>
              </w:rPr>
              <w:fldChar w:fldCharType="end"/>
            </w:r>
          </w:p>
        </w:tc>
        <w:tc>
          <w:tcPr>
            <w:tcW w:w="1000" w:type="dxa"/>
            <w:shd w:val="clear" w:color="auto" w:fill="auto"/>
            <w:vAlign w:val="bottom"/>
          </w:tcPr>
          <w:p w14:paraId="354F2A0A" w14:textId="35CEB7ED" w:rsidR="002276E2" w:rsidRDefault="002276E2" w:rsidP="00640103">
            <w:pPr>
              <w:spacing w:before="120" w:after="60" w:line="240" w:lineRule="auto"/>
              <w:jc w:val="right"/>
              <w:rPr>
                <w:szCs w:val="24"/>
              </w:rPr>
            </w:pPr>
            <w:r>
              <w:rPr>
                <w:szCs w:val="24"/>
              </w:rPr>
              <w:t>[112]</w:t>
            </w:r>
          </w:p>
        </w:tc>
      </w:tr>
      <w:tr w:rsidR="002276E2" w:rsidRPr="00D326DB" w14:paraId="7966CACF" w14:textId="77777777" w:rsidTr="002276E2">
        <w:tc>
          <w:tcPr>
            <w:tcW w:w="8291" w:type="dxa"/>
            <w:shd w:val="clear" w:color="auto" w:fill="auto"/>
          </w:tcPr>
          <w:p w14:paraId="768B2A41" w14:textId="16D043EB" w:rsidR="002276E2" w:rsidRPr="002276E2" w:rsidRDefault="002276E2" w:rsidP="002276E2">
            <w:pPr>
              <w:pStyle w:val="FTOC1"/>
              <w:tabs>
                <w:tab w:val="clear" w:pos="9072"/>
              </w:tabs>
              <w:rPr>
                <w:lang w:eastAsia="en-AU"/>
              </w:rPr>
            </w:pPr>
            <w:r>
              <w:rPr>
                <w:lang w:eastAsia="en-AU"/>
              </w:rPr>
              <w:fldChar w:fldCharType="begin"/>
            </w:r>
            <w:r>
              <w:rPr>
                <w:lang w:eastAsia="en-AU"/>
              </w:rPr>
              <w:instrText xml:space="preserve"> REF _Ref69479647 \h </w:instrText>
            </w:r>
            <w:r>
              <w:rPr>
                <w:lang w:eastAsia="en-AU"/>
              </w:rPr>
            </w:r>
            <w:r>
              <w:rPr>
                <w:lang w:eastAsia="en-AU"/>
              </w:rPr>
              <w:fldChar w:fldCharType="separate"/>
            </w:r>
            <w:r w:rsidRPr="00057DB7">
              <w:t>F</w:t>
            </w:r>
            <w:r w:rsidRPr="00057DB7">
              <w:tab/>
              <w:t>ORDERS</w:t>
            </w:r>
            <w:r>
              <w:rPr>
                <w:lang w:eastAsia="en-AU"/>
              </w:rPr>
              <w:fldChar w:fldCharType="end"/>
            </w:r>
          </w:p>
        </w:tc>
        <w:tc>
          <w:tcPr>
            <w:tcW w:w="1000" w:type="dxa"/>
            <w:shd w:val="clear" w:color="auto" w:fill="auto"/>
            <w:vAlign w:val="bottom"/>
          </w:tcPr>
          <w:p w14:paraId="53E0FD6B" w14:textId="36415C9C" w:rsidR="002276E2" w:rsidRDefault="002276E2" w:rsidP="00640103">
            <w:pPr>
              <w:spacing w:before="120" w:after="60" w:line="240" w:lineRule="auto"/>
              <w:jc w:val="right"/>
              <w:rPr>
                <w:szCs w:val="24"/>
              </w:rPr>
            </w:pPr>
            <w:r>
              <w:rPr>
                <w:szCs w:val="24"/>
              </w:rPr>
              <w:t>[113]</w:t>
            </w:r>
          </w:p>
        </w:tc>
      </w:tr>
      <w:bookmarkEnd w:id="20"/>
    </w:tbl>
    <w:p w14:paraId="2036F150" w14:textId="3E9AFAAE" w:rsidR="005E4C2F" w:rsidRDefault="005E4C2F" w:rsidP="005E0510">
      <w:pPr>
        <w:pStyle w:val="NormalHeadings"/>
        <w:spacing w:line="360" w:lineRule="auto"/>
        <w:jc w:val="left"/>
        <w:rPr>
          <w:sz w:val="26"/>
          <w:szCs w:val="26"/>
        </w:rPr>
      </w:pPr>
    </w:p>
    <w:p w14:paraId="134DD76D" w14:textId="5CD63187" w:rsidR="00694BEB" w:rsidRPr="00057DB7" w:rsidRDefault="00393E9F" w:rsidP="005E0510">
      <w:pPr>
        <w:pStyle w:val="NormalHeadings"/>
        <w:spacing w:line="360" w:lineRule="auto"/>
        <w:jc w:val="left"/>
        <w:rPr>
          <w:sz w:val="26"/>
          <w:szCs w:val="26"/>
        </w:rPr>
      </w:pPr>
      <w:r w:rsidRPr="00057DB7">
        <w:rPr>
          <w:sz w:val="26"/>
          <w:szCs w:val="26"/>
        </w:rPr>
        <w:t>LEE J:</w:t>
      </w:r>
    </w:p>
    <w:p w14:paraId="2C4E2918" w14:textId="77777777" w:rsidR="00A861F7" w:rsidRPr="00057DB7" w:rsidRDefault="00601ACF" w:rsidP="00601ACF">
      <w:pPr>
        <w:pStyle w:val="Heading1"/>
      </w:pPr>
      <w:bookmarkStart w:id="21" w:name="_Ref69479623"/>
      <w:r w:rsidRPr="00057DB7">
        <w:t>A</w:t>
      </w:r>
      <w:r w:rsidRPr="00057DB7">
        <w:tab/>
        <w:t>INTRODUCTION</w:t>
      </w:r>
      <w:bookmarkEnd w:id="21"/>
    </w:p>
    <w:p w14:paraId="4D8B55E9" w14:textId="2DE54DD3" w:rsidR="00601ACF" w:rsidRPr="00057DB7" w:rsidRDefault="00601ACF" w:rsidP="00601ACF">
      <w:pPr>
        <w:pStyle w:val="ParaNumbering"/>
      </w:pPr>
      <w:r w:rsidRPr="00057DB7">
        <w:t>On 10 October last</w:t>
      </w:r>
      <w:r w:rsidR="00CE16AF">
        <w:t xml:space="preserve"> year</w:t>
      </w:r>
      <w:r w:rsidRPr="00057DB7">
        <w:t xml:space="preserve"> the second respondent, Ms Annette Sharp, wrote an article published by the first respondent (</w:t>
      </w:r>
      <w:r w:rsidRPr="00057DB7">
        <w:rPr>
          <w:b/>
        </w:rPr>
        <w:t>News</w:t>
      </w:r>
      <w:r w:rsidRPr="00057DB7">
        <w:t xml:space="preserve">) in </w:t>
      </w:r>
      <w:r w:rsidRPr="00057DB7">
        <w:rPr>
          <w:i/>
        </w:rPr>
        <w:t>The Daily Telegraph</w:t>
      </w:r>
      <w:r w:rsidRPr="00057DB7">
        <w:t xml:space="preserve"> newspaper (</w:t>
      </w:r>
      <w:r w:rsidRPr="00057DB7">
        <w:rPr>
          <w:b/>
        </w:rPr>
        <w:t>print</w:t>
      </w:r>
      <w:r w:rsidRPr="00057DB7">
        <w:t xml:space="preserve"> </w:t>
      </w:r>
      <w:r w:rsidRPr="00057DB7">
        <w:rPr>
          <w:b/>
        </w:rPr>
        <w:t>article</w:t>
      </w:r>
      <w:r w:rsidR="00F5178D">
        <w:t xml:space="preserve">) and on associated websites. </w:t>
      </w:r>
      <w:r w:rsidRPr="00057DB7">
        <w:t>When published on the internet, the</w:t>
      </w:r>
      <w:r w:rsidRPr="00057DB7">
        <w:rPr>
          <w:spacing w:val="-7"/>
        </w:rPr>
        <w:t xml:space="preserve"> article </w:t>
      </w:r>
      <w:r w:rsidRPr="00057DB7">
        <w:t>had a different title and lead paragraph, and included additional</w:t>
      </w:r>
      <w:r w:rsidRPr="00057DB7">
        <w:rPr>
          <w:spacing w:val="-6"/>
        </w:rPr>
        <w:t xml:space="preserve"> </w:t>
      </w:r>
      <w:r w:rsidRPr="00057DB7">
        <w:t>photographs (</w:t>
      </w:r>
      <w:r w:rsidRPr="00057DB7">
        <w:rPr>
          <w:b/>
        </w:rPr>
        <w:t>internet article</w:t>
      </w:r>
      <w:r w:rsidRPr="00057DB7">
        <w:t>), but unless it is necessary to distinguish between the two publications, I will refer to them below collectively as the “</w:t>
      </w:r>
      <w:r w:rsidRPr="00057DB7">
        <w:rPr>
          <w:b/>
        </w:rPr>
        <w:t>article</w:t>
      </w:r>
      <w:r w:rsidRPr="00057DB7">
        <w:t>”.</w:t>
      </w:r>
    </w:p>
    <w:p w14:paraId="756B9D77" w14:textId="709C8CC3" w:rsidR="00601ACF" w:rsidRPr="00057DB7" w:rsidRDefault="00601ACF" w:rsidP="00601ACF">
      <w:pPr>
        <w:pStyle w:val="ParaNumbering"/>
      </w:pPr>
      <w:r w:rsidRPr="00057DB7">
        <w:t>The print article was entitled “</w:t>
      </w:r>
      <w:r w:rsidRPr="00057DB7">
        <w:rPr>
          <w:i/>
        </w:rPr>
        <w:t>Portrait of the artist as an estranged wife</w:t>
      </w:r>
      <w:r w:rsidRPr="00057DB7">
        <w:t>”.  To anyone familiar with the early work of James Joyce (before, as Evelyn Waugh memorably said, that “poor, dotty Irishman” descended into gibberish) the nod in the print article’s heading to the seminal portrait o</w:t>
      </w:r>
      <w:r w:rsidR="00443905">
        <w:t xml:space="preserve">f a renegade Catholic artist </w:t>
      </w:r>
      <w:r w:rsidR="00993BC2">
        <w:t xml:space="preserve">is </w:t>
      </w:r>
      <w:r w:rsidRPr="00057DB7">
        <w:t xml:space="preserve">discordant and </w:t>
      </w:r>
      <w:r w:rsidR="00B77E08" w:rsidRPr="00057DB7">
        <w:t xml:space="preserve">somewhat </w:t>
      </w:r>
      <w:r w:rsidR="00344C09">
        <w:t>perplexing.</w:t>
      </w:r>
      <w:r w:rsidR="008F1541">
        <w:t xml:space="preserve"> </w:t>
      </w:r>
      <w:r w:rsidR="00443905">
        <w:t xml:space="preserve">Upon examination, </w:t>
      </w:r>
      <w:r w:rsidRPr="00057DB7">
        <w:t xml:space="preserve">the article was largely a gossipy and </w:t>
      </w:r>
      <w:r w:rsidR="008008E8">
        <w:t>intrusive</w:t>
      </w:r>
      <w:r w:rsidRPr="00057DB7">
        <w:t xml:space="preserve"> piece about the applicant, Mr Christopher Murphy and his separated, painter wife.  For reasons not explained in the evidence, the internet article had a more prosaic and accurate title: “</w:t>
      </w:r>
      <w:r w:rsidRPr="00057DB7">
        <w:rPr>
          <w:i/>
        </w:rPr>
        <w:t xml:space="preserve">Annette Sharp: Lawyer Chris Murphy and artist Agnes </w:t>
      </w:r>
      <w:proofErr w:type="spellStart"/>
      <w:r w:rsidRPr="00057DB7">
        <w:rPr>
          <w:i/>
        </w:rPr>
        <w:t>Bruck</w:t>
      </w:r>
      <w:proofErr w:type="spellEnd"/>
      <w:r w:rsidRPr="00057DB7">
        <w:rPr>
          <w:i/>
        </w:rPr>
        <w:t xml:space="preserve"> call</w:t>
      </w:r>
      <w:r w:rsidRPr="00057DB7">
        <w:rPr>
          <w:i/>
          <w:spacing w:val="-6"/>
        </w:rPr>
        <w:t xml:space="preserve"> </w:t>
      </w:r>
      <w:r w:rsidRPr="00057DB7">
        <w:rPr>
          <w:i/>
        </w:rPr>
        <w:t>it</w:t>
      </w:r>
      <w:r w:rsidRPr="00057DB7">
        <w:rPr>
          <w:i/>
          <w:spacing w:val="-6"/>
        </w:rPr>
        <w:t xml:space="preserve"> </w:t>
      </w:r>
      <w:r w:rsidRPr="00057DB7">
        <w:rPr>
          <w:i/>
        </w:rPr>
        <w:t>quits</w:t>
      </w:r>
      <w:r w:rsidRPr="00057DB7">
        <w:t>”.</w:t>
      </w:r>
    </w:p>
    <w:p w14:paraId="3C84C58F" w14:textId="13E5939D" w:rsidR="00601ACF" w:rsidRPr="00057DB7" w:rsidRDefault="00601ACF" w:rsidP="00601ACF">
      <w:pPr>
        <w:pStyle w:val="ParaNumbering"/>
      </w:pPr>
      <w:r w:rsidRPr="00057DB7">
        <w:t xml:space="preserve">Mr Murphy, a well-known Sydney solicitor, says the article conveyed a number of defamatory imputations, and he seeks relief by way of damages and an order that News and Ms Sharp be enjoined from continuing </w:t>
      </w:r>
      <w:r w:rsidR="00CE16AF">
        <w:t>to</w:t>
      </w:r>
      <w:r w:rsidRPr="00057DB7">
        <w:t xml:space="preserve"> publish the imputations or </w:t>
      </w:r>
      <w:r w:rsidR="00CE16AF">
        <w:t xml:space="preserve">from </w:t>
      </w:r>
      <w:r w:rsidRPr="00057DB7">
        <w:t>publishing them in the future.</w:t>
      </w:r>
    </w:p>
    <w:p w14:paraId="4C9BC502" w14:textId="77777777" w:rsidR="00601ACF" w:rsidRPr="00057DB7" w:rsidRDefault="00601ACF" w:rsidP="00601ACF">
      <w:pPr>
        <w:pStyle w:val="ParaNumbering"/>
      </w:pPr>
      <w:r w:rsidRPr="00057DB7">
        <w:t xml:space="preserve">Mr Murphy is entitled to some relief and in explaining why this is so, the balance of my reasons will be divided into the following headings: </w:t>
      </w:r>
    </w:p>
    <w:p w14:paraId="0EE1B133" w14:textId="3631EA77" w:rsidR="00601ACF" w:rsidRPr="00057DB7" w:rsidRDefault="00CE16AF" w:rsidP="00CC304D">
      <w:pPr>
        <w:pStyle w:val="FCBullets"/>
      </w:pPr>
      <w:r>
        <w:t>B</w:t>
      </w:r>
      <w:r>
        <w:tab/>
        <w:t xml:space="preserve">The Imputations </w:t>
      </w:r>
      <w:r w:rsidR="00601ACF" w:rsidRPr="00057DB7">
        <w:t>and the “Variant” Imputation;</w:t>
      </w:r>
    </w:p>
    <w:p w14:paraId="0357B258" w14:textId="77777777" w:rsidR="00601ACF" w:rsidRPr="00057DB7" w:rsidRDefault="00601ACF" w:rsidP="00CC304D">
      <w:pPr>
        <w:pStyle w:val="FCBullets"/>
      </w:pPr>
      <w:r w:rsidRPr="00057DB7">
        <w:t>C</w:t>
      </w:r>
      <w:r w:rsidRPr="00057DB7">
        <w:tab/>
        <w:t>The Issue of Meaning;</w:t>
      </w:r>
    </w:p>
    <w:p w14:paraId="56619204" w14:textId="77777777" w:rsidR="00601ACF" w:rsidRPr="00057DB7" w:rsidRDefault="00601ACF" w:rsidP="00CC304D">
      <w:pPr>
        <w:pStyle w:val="FCBullets"/>
      </w:pPr>
      <w:r w:rsidRPr="00057DB7">
        <w:t xml:space="preserve">D </w:t>
      </w:r>
      <w:r w:rsidRPr="00057DB7">
        <w:tab/>
        <w:t>The Defence;</w:t>
      </w:r>
    </w:p>
    <w:p w14:paraId="782B7832" w14:textId="6BA76E54" w:rsidR="00601ACF" w:rsidRPr="00057DB7" w:rsidRDefault="00601ACF" w:rsidP="00CC304D">
      <w:pPr>
        <w:pStyle w:val="FCBullets"/>
      </w:pPr>
      <w:r w:rsidRPr="00057DB7">
        <w:t>E</w:t>
      </w:r>
      <w:r w:rsidRPr="00057DB7">
        <w:tab/>
        <w:t>Relief;</w:t>
      </w:r>
      <w:r w:rsidR="008F1541">
        <w:t xml:space="preserve"> and</w:t>
      </w:r>
    </w:p>
    <w:p w14:paraId="36AF00B7" w14:textId="77777777" w:rsidR="00601ACF" w:rsidRPr="00057DB7" w:rsidRDefault="00601ACF" w:rsidP="00CC304D">
      <w:pPr>
        <w:pStyle w:val="FCBullets"/>
      </w:pPr>
      <w:r w:rsidRPr="00057DB7">
        <w:t>F</w:t>
      </w:r>
      <w:r w:rsidRPr="00057DB7">
        <w:tab/>
        <w:t>Orders.</w:t>
      </w:r>
    </w:p>
    <w:p w14:paraId="72BB2B58" w14:textId="4975AC34" w:rsidR="00A861F7" w:rsidRPr="00057DB7" w:rsidRDefault="00CE16AF" w:rsidP="001530E0">
      <w:pPr>
        <w:pStyle w:val="Heading1"/>
      </w:pPr>
      <w:bookmarkStart w:id="22" w:name="_Ref69479624"/>
      <w:r>
        <w:lastRenderedPageBreak/>
        <w:t>B</w:t>
      </w:r>
      <w:r>
        <w:tab/>
        <w:t xml:space="preserve">THE IMPUTATIONS </w:t>
      </w:r>
      <w:r w:rsidR="00601ACF" w:rsidRPr="00057DB7">
        <w:t>AND THE “VARIANT” IMPUTATION</w:t>
      </w:r>
      <w:bookmarkEnd w:id="22"/>
    </w:p>
    <w:p w14:paraId="117AB805" w14:textId="507458D6" w:rsidR="00601ACF" w:rsidRPr="00057DB7" w:rsidRDefault="00601ACF" w:rsidP="00601ACF">
      <w:pPr>
        <w:pStyle w:val="ParaNumbering"/>
      </w:pPr>
      <w:r w:rsidRPr="00057DB7">
        <w:t xml:space="preserve">Both the print article and the internet article are reproduced </w:t>
      </w:r>
      <w:r w:rsidR="00CE16AF">
        <w:t>at</w:t>
      </w:r>
      <w:r w:rsidRPr="00057DB7">
        <w:t xml:space="preserve"> Schedule A and Schedule</w:t>
      </w:r>
      <w:r w:rsidR="00033124" w:rsidRPr="00057DB7">
        <w:t xml:space="preserve"> B to these reasons</w:t>
      </w:r>
      <w:r w:rsidRPr="00057DB7">
        <w:t>.</w:t>
      </w:r>
    </w:p>
    <w:p w14:paraId="2BF264C5" w14:textId="77777777" w:rsidR="00601ACF" w:rsidRPr="00057DB7" w:rsidRDefault="00601ACF" w:rsidP="00601ACF">
      <w:pPr>
        <w:pStyle w:val="ParaNumbering"/>
      </w:pPr>
      <w:r w:rsidRPr="00057DB7">
        <w:t>Mr</w:t>
      </w:r>
      <w:r w:rsidRPr="00057DB7">
        <w:rPr>
          <w:spacing w:val="-5"/>
        </w:rPr>
        <w:t xml:space="preserve"> </w:t>
      </w:r>
      <w:r w:rsidRPr="00057DB7">
        <w:t>Murphy</w:t>
      </w:r>
      <w:r w:rsidRPr="00057DB7">
        <w:rPr>
          <w:spacing w:val="-4"/>
        </w:rPr>
        <w:t xml:space="preserve"> </w:t>
      </w:r>
      <w:r w:rsidRPr="00057DB7">
        <w:t>alleges</w:t>
      </w:r>
      <w:r w:rsidRPr="00057DB7">
        <w:rPr>
          <w:spacing w:val="-4"/>
        </w:rPr>
        <w:t xml:space="preserve"> </w:t>
      </w:r>
      <w:r w:rsidRPr="00057DB7">
        <w:t>that</w:t>
      </w:r>
      <w:r w:rsidRPr="00057DB7">
        <w:rPr>
          <w:spacing w:val="-4"/>
        </w:rPr>
        <w:t xml:space="preserve"> </w:t>
      </w:r>
      <w:r w:rsidRPr="00057DB7">
        <w:t>the</w:t>
      </w:r>
      <w:r w:rsidRPr="00057DB7">
        <w:rPr>
          <w:spacing w:val="-4"/>
        </w:rPr>
        <w:t xml:space="preserve"> </w:t>
      </w:r>
      <w:r w:rsidRPr="00057DB7">
        <w:t>article</w:t>
      </w:r>
      <w:r w:rsidRPr="00057DB7">
        <w:rPr>
          <w:spacing w:val="-5"/>
        </w:rPr>
        <w:t xml:space="preserve"> </w:t>
      </w:r>
      <w:r w:rsidRPr="00057DB7">
        <w:t>carried</w:t>
      </w:r>
      <w:r w:rsidRPr="00057DB7">
        <w:rPr>
          <w:spacing w:val="-4"/>
        </w:rPr>
        <w:t xml:space="preserve"> </w:t>
      </w:r>
      <w:r w:rsidRPr="00057DB7">
        <w:t>the</w:t>
      </w:r>
      <w:r w:rsidRPr="00057DB7">
        <w:rPr>
          <w:spacing w:val="-4"/>
        </w:rPr>
        <w:t xml:space="preserve"> </w:t>
      </w:r>
      <w:r w:rsidRPr="00057DB7">
        <w:t>following</w:t>
      </w:r>
      <w:r w:rsidRPr="00057DB7">
        <w:rPr>
          <w:spacing w:val="-4"/>
        </w:rPr>
        <w:t xml:space="preserve"> five </w:t>
      </w:r>
      <w:r w:rsidRPr="00057DB7">
        <w:t>imputations,</w:t>
      </w:r>
      <w:r w:rsidRPr="00057DB7">
        <w:rPr>
          <w:spacing w:val="-4"/>
        </w:rPr>
        <w:t xml:space="preserve"> </w:t>
      </w:r>
      <w:r w:rsidRPr="00057DB7">
        <w:t>each</w:t>
      </w:r>
      <w:r w:rsidRPr="00057DB7">
        <w:rPr>
          <w:spacing w:val="-5"/>
        </w:rPr>
        <w:t xml:space="preserve"> </w:t>
      </w:r>
      <w:r w:rsidRPr="00057DB7">
        <w:t>of</w:t>
      </w:r>
      <w:r w:rsidRPr="00057DB7">
        <w:rPr>
          <w:spacing w:val="-4"/>
        </w:rPr>
        <w:t xml:space="preserve"> </w:t>
      </w:r>
      <w:r w:rsidRPr="00057DB7">
        <w:t>which</w:t>
      </w:r>
      <w:r w:rsidRPr="00057DB7">
        <w:rPr>
          <w:spacing w:val="-4"/>
        </w:rPr>
        <w:t xml:space="preserve"> </w:t>
      </w:r>
      <w:r w:rsidRPr="00057DB7">
        <w:t>he</w:t>
      </w:r>
      <w:r w:rsidRPr="00057DB7">
        <w:rPr>
          <w:spacing w:val="-4"/>
        </w:rPr>
        <w:t xml:space="preserve"> </w:t>
      </w:r>
      <w:r w:rsidRPr="00057DB7">
        <w:t>says is defamatory of</w:t>
      </w:r>
      <w:r w:rsidRPr="00057DB7">
        <w:rPr>
          <w:spacing w:val="-1"/>
        </w:rPr>
        <w:t xml:space="preserve"> </w:t>
      </w:r>
      <w:r w:rsidRPr="00057DB7">
        <w:t>him:</w:t>
      </w:r>
    </w:p>
    <w:p w14:paraId="0D10A1F3" w14:textId="77777777" w:rsidR="00601ACF" w:rsidRPr="00057DB7" w:rsidRDefault="00601ACF" w:rsidP="00601ACF">
      <w:pPr>
        <w:pStyle w:val="ListNo1"/>
        <w:numPr>
          <w:ilvl w:val="0"/>
          <w:numId w:val="23"/>
        </w:numPr>
      </w:pPr>
      <w:r w:rsidRPr="00057DB7">
        <w:t>Mr</w:t>
      </w:r>
      <w:r w:rsidRPr="00057DB7">
        <w:rPr>
          <w:spacing w:val="-8"/>
        </w:rPr>
        <w:t xml:space="preserve"> </w:t>
      </w:r>
      <w:r w:rsidRPr="00057DB7">
        <w:t>Murphy,</w:t>
      </w:r>
      <w:r w:rsidRPr="00057DB7">
        <w:rPr>
          <w:spacing w:val="-7"/>
        </w:rPr>
        <w:t xml:space="preserve"> </w:t>
      </w:r>
      <w:r w:rsidRPr="00057DB7">
        <w:t>despite</w:t>
      </w:r>
      <w:r w:rsidRPr="00057DB7">
        <w:rPr>
          <w:spacing w:val="-7"/>
        </w:rPr>
        <w:t xml:space="preserve"> </w:t>
      </w:r>
      <w:r w:rsidRPr="00057DB7">
        <w:t>holding</w:t>
      </w:r>
      <w:r w:rsidRPr="00057DB7">
        <w:rPr>
          <w:spacing w:val="-8"/>
        </w:rPr>
        <w:t xml:space="preserve"> </w:t>
      </w:r>
      <w:r w:rsidRPr="00057DB7">
        <w:t>himself</w:t>
      </w:r>
      <w:r w:rsidRPr="00057DB7">
        <w:rPr>
          <w:spacing w:val="-7"/>
        </w:rPr>
        <w:t xml:space="preserve"> </w:t>
      </w:r>
      <w:r w:rsidRPr="00057DB7">
        <w:t>out</w:t>
      </w:r>
      <w:r w:rsidRPr="00057DB7">
        <w:rPr>
          <w:spacing w:val="-7"/>
        </w:rPr>
        <w:t xml:space="preserve"> </w:t>
      </w:r>
      <w:r w:rsidRPr="00057DB7">
        <w:t>as</w:t>
      </w:r>
      <w:r w:rsidRPr="00057DB7">
        <w:rPr>
          <w:spacing w:val="-8"/>
        </w:rPr>
        <w:t xml:space="preserve"> </w:t>
      </w:r>
      <w:r w:rsidRPr="00057DB7">
        <w:t>a</w:t>
      </w:r>
      <w:r w:rsidRPr="00057DB7">
        <w:rPr>
          <w:spacing w:val="-7"/>
        </w:rPr>
        <w:t xml:space="preserve"> </w:t>
      </w:r>
      <w:r w:rsidRPr="00057DB7">
        <w:t>competent</w:t>
      </w:r>
      <w:r w:rsidRPr="00057DB7">
        <w:rPr>
          <w:spacing w:val="-7"/>
        </w:rPr>
        <w:t xml:space="preserve"> </w:t>
      </w:r>
      <w:r w:rsidRPr="00057DB7">
        <w:t>lawyer,</w:t>
      </w:r>
      <w:r w:rsidRPr="00057DB7">
        <w:rPr>
          <w:spacing w:val="-8"/>
        </w:rPr>
        <w:t xml:space="preserve"> </w:t>
      </w:r>
      <w:r w:rsidRPr="00057DB7">
        <w:t>was</w:t>
      </w:r>
      <w:r w:rsidRPr="00057DB7">
        <w:rPr>
          <w:spacing w:val="-7"/>
        </w:rPr>
        <w:t xml:space="preserve"> </w:t>
      </w:r>
      <w:r w:rsidRPr="00057DB7">
        <w:t>in</w:t>
      </w:r>
      <w:r w:rsidRPr="00057DB7">
        <w:rPr>
          <w:spacing w:val="-7"/>
        </w:rPr>
        <w:t xml:space="preserve"> </w:t>
      </w:r>
      <w:r w:rsidRPr="00057DB7">
        <w:t>fact</w:t>
      </w:r>
      <w:r w:rsidRPr="00057DB7">
        <w:rPr>
          <w:spacing w:val="-8"/>
        </w:rPr>
        <w:t xml:space="preserve"> </w:t>
      </w:r>
      <w:r w:rsidRPr="00057DB7">
        <w:t>so</w:t>
      </w:r>
      <w:r w:rsidRPr="00057DB7">
        <w:rPr>
          <w:spacing w:val="-7"/>
        </w:rPr>
        <w:t xml:space="preserve"> </w:t>
      </w:r>
      <w:r w:rsidRPr="00057DB7">
        <w:t>ravaged by age and deafness as to be unfit to</w:t>
      </w:r>
      <w:r w:rsidRPr="00057DB7">
        <w:rPr>
          <w:spacing w:val="-4"/>
        </w:rPr>
        <w:t xml:space="preserve"> </w:t>
      </w:r>
      <w:r w:rsidRPr="00057DB7">
        <w:t>practice (</w:t>
      </w:r>
      <w:r w:rsidRPr="00057DB7">
        <w:rPr>
          <w:b/>
        </w:rPr>
        <w:t>Imputation A</w:t>
      </w:r>
      <w:r w:rsidRPr="00057DB7">
        <w:t>);</w:t>
      </w:r>
    </w:p>
    <w:p w14:paraId="5221AC96" w14:textId="77777777" w:rsidR="00601ACF" w:rsidRPr="00057DB7" w:rsidRDefault="00601ACF" w:rsidP="00601ACF">
      <w:pPr>
        <w:pStyle w:val="ListNo1"/>
        <w:numPr>
          <w:ilvl w:val="0"/>
          <w:numId w:val="23"/>
        </w:numPr>
      </w:pPr>
      <w:r w:rsidRPr="00057DB7">
        <w:t>Mr Murphy, despite holding himself out as a competent lawyer, was in fact so ravaged by age and deafness as to be unable to represent his clients in court (</w:t>
      </w:r>
      <w:r w:rsidRPr="00057DB7">
        <w:rPr>
          <w:b/>
        </w:rPr>
        <w:t>Imputation B</w:t>
      </w:r>
      <w:r w:rsidRPr="00057DB7">
        <w:t>);</w:t>
      </w:r>
    </w:p>
    <w:p w14:paraId="70E6D101" w14:textId="77777777" w:rsidR="00601ACF" w:rsidRPr="00057DB7" w:rsidRDefault="00601ACF" w:rsidP="00601ACF">
      <w:pPr>
        <w:pStyle w:val="ListNo1"/>
        <w:numPr>
          <w:ilvl w:val="0"/>
          <w:numId w:val="23"/>
        </w:numPr>
      </w:pPr>
      <w:r w:rsidRPr="00057DB7">
        <w:t>Mr Murphy as a lawyer was incapable of representing his client’s interests by reason of the ravages of age and associated deafness (</w:t>
      </w:r>
      <w:r w:rsidRPr="00057DB7">
        <w:rPr>
          <w:b/>
        </w:rPr>
        <w:t>Imputation C</w:t>
      </w:r>
      <w:r w:rsidRPr="00057DB7">
        <w:t>);</w:t>
      </w:r>
    </w:p>
    <w:p w14:paraId="61ECFD63" w14:textId="77777777" w:rsidR="00601ACF" w:rsidRPr="00057DB7" w:rsidRDefault="00601ACF" w:rsidP="00601ACF">
      <w:pPr>
        <w:pStyle w:val="ListNo1"/>
        <w:numPr>
          <w:ilvl w:val="0"/>
          <w:numId w:val="23"/>
        </w:numPr>
      </w:pPr>
      <w:r w:rsidRPr="00057DB7">
        <w:t>Mr Murphy as a lawyer was incapable of representing his client’s interests in court by reason of the ravages of age and associated deafness (</w:t>
      </w:r>
      <w:r w:rsidRPr="00057DB7">
        <w:rPr>
          <w:b/>
        </w:rPr>
        <w:t>Imputation D</w:t>
      </w:r>
      <w:r w:rsidRPr="00057DB7">
        <w:t>);</w:t>
      </w:r>
    </w:p>
    <w:p w14:paraId="5BC199B4" w14:textId="77777777" w:rsidR="00601ACF" w:rsidRPr="00057DB7" w:rsidRDefault="00601ACF" w:rsidP="00601ACF">
      <w:pPr>
        <w:pStyle w:val="ListNo1"/>
        <w:numPr>
          <w:ilvl w:val="0"/>
          <w:numId w:val="23"/>
        </w:numPr>
      </w:pPr>
      <w:r w:rsidRPr="00057DB7">
        <w:t>Mr</w:t>
      </w:r>
      <w:r w:rsidRPr="00057DB7">
        <w:rPr>
          <w:spacing w:val="-16"/>
        </w:rPr>
        <w:t xml:space="preserve"> </w:t>
      </w:r>
      <w:r w:rsidRPr="00057DB7">
        <w:t>Murphy</w:t>
      </w:r>
      <w:r w:rsidRPr="00057DB7">
        <w:rPr>
          <w:spacing w:val="-16"/>
        </w:rPr>
        <w:t xml:space="preserve"> </w:t>
      </w:r>
      <w:r w:rsidRPr="00057DB7">
        <w:t>has</w:t>
      </w:r>
      <w:r w:rsidRPr="00057DB7">
        <w:rPr>
          <w:spacing w:val="-16"/>
        </w:rPr>
        <w:t xml:space="preserve"> </w:t>
      </w:r>
      <w:r w:rsidRPr="00057DB7">
        <w:t>so</w:t>
      </w:r>
      <w:r w:rsidRPr="00057DB7">
        <w:rPr>
          <w:spacing w:val="-16"/>
        </w:rPr>
        <w:t xml:space="preserve"> </w:t>
      </w:r>
      <w:r w:rsidRPr="00057DB7">
        <w:t>physically</w:t>
      </w:r>
      <w:r w:rsidRPr="00057DB7">
        <w:rPr>
          <w:spacing w:val="-15"/>
        </w:rPr>
        <w:t xml:space="preserve"> </w:t>
      </w:r>
      <w:r w:rsidRPr="00057DB7">
        <w:t>deteriorated</w:t>
      </w:r>
      <w:r w:rsidRPr="00057DB7">
        <w:rPr>
          <w:spacing w:val="-16"/>
        </w:rPr>
        <w:t xml:space="preserve"> </w:t>
      </w:r>
      <w:r w:rsidRPr="00057DB7">
        <w:t>that</w:t>
      </w:r>
      <w:r w:rsidRPr="00057DB7">
        <w:rPr>
          <w:spacing w:val="-16"/>
        </w:rPr>
        <w:t xml:space="preserve"> </w:t>
      </w:r>
      <w:r w:rsidRPr="00057DB7">
        <w:t>he</w:t>
      </w:r>
      <w:r w:rsidRPr="00057DB7">
        <w:rPr>
          <w:spacing w:val="-16"/>
        </w:rPr>
        <w:t xml:space="preserve"> </w:t>
      </w:r>
      <w:r w:rsidRPr="00057DB7">
        <w:t>is</w:t>
      </w:r>
      <w:r w:rsidRPr="00057DB7">
        <w:rPr>
          <w:spacing w:val="-16"/>
        </w:rPr>
        <w:t xml:space="preserve"> </w:t>
      </w:r>
      <w:r w:rsidRPr="00057DB7">
        <w:t>no</w:t>
      </w:r>
      <w:r w:rsidRPr="00057DB7">
        <w:rPr>
          <w:spacing w:val="-15"/>
        </w:rPr>
        <w:t xml:space="preserve"> </w:t>
      </w:r>
      <w:r w:rsidRPr="00057DB7">
        <w:t>longer</w:t>
      </w:r>
      <w:r w:rsidRPr="00057DB7">
        <w:rPr>
          <w:spacing w:val="-16"/>
        </w:rPr>
        <w:t xml:space="preserve"> </w:t>
      </w:r>
      <w:r w:rsidRPr="00057DB7">
        <w:t>fit</w:t>
      </w:r>
      <w:r w:rsidRPr="00057DB7">
        <w:rPr>
          <w:spacing w:val="-16"/>
        </w:rPr>
        <w:t xml:space="preserve"> </w:t>
      </w:r>
      <w:r w:rsidRPr="00057DB7">
        <w:t>to</w:t>
      </w:r>
      <w:r w:rsidRPr="00057DB7">
        <w:rPr>
          <w:spacing w:val="-16"/>
        </w:rPr>
        <w:t xml:space="preserve"> </w:t>
      </w:r>
      <w:r w:rsidRPr="00057DB7">
        <w:t>practice</w:t>
      </w:r>
      <w:r w:rsidRPr="00057DB7">
        <w:rPr>
          <w:spacing w:val="-15"/>
        </w:rPr>
        <w:t xml:space="preserve"> </w:t>
      </w:r>
      <w:r w:rsidRPr="00057DB7">
        <w:t>as</w:t>
      </w:r>
      <w:r w:rsidRPr="00057DB7">
        <w:rPr>
          <w:spacing w:val="-16"/>
        </w:rPr>
        <w:t xml:space="preserve"> </w:t>
      </w:r>
      <w:r w:rsidRPr="00057DB7">
        <w:t>a</w:t>
      </w:r>
      <w:r w:rsidRPr="00057DB7">
        <w:rPr>
          <w:spacing w:val="-16"/>
        </w:rPr>
        <w:t xml:space="preserve"> </w:t>
      </w:r>
      <w:r w:rsidRPr="00057DB7">
        <w:t>lawyer (</w:t>
      </w:r>
      <w:r w:rsidRPr="00057DB7">
        <w:rPr>
          <w:b/>
        </w:rPr>
        <w:t>Imputation E</w:t>
      </w:r>
      <w:r w:rsidRPr="00057DB7">
        <w:t xml:space="preserve">). </w:t>
      </w:r>
    </w:p>
    <w:p w14:paraId="2D3266F5" w14:textId="77777777" w:rsidR="00601ACF" w:rsidRPr="00057DB7" w:rsidRDefault="00601ACF" w:rsidP="00601ACF">
      <w:pPr>
        <w:pStyle w:val="ParaNumbering"/>
      </w:pPr>
      <w:r w:rsidRPr="00057DB7">
        <w:t>News and Ms Sharp deny that any of these imputations were conveyed.  They further contend that if conveyed:</w:t>
      </w:r>
    </w:p>
    <w:p w14:paraId="01A4934F" w14:textId="77777777" w:rsidR="00601ACF" w:rsidRPr="00057DB7" w:rsidRDefault="00601ACF" w:rsidP="00601ACF">
      <w:pPr>
        <w:pStyle w:val="ListNo1"/>
        <w:numPr>
          <w:ilvl w:val="0"/>
          <w:numId w:val="28"/>
        </w:numPr>
      </w:pPr>
      <w:r w:rsidRPr="00057DB7">
        <w:rPr>
          <w:i/>
        </w:rPr>
        <w:t>as to all imputations</w:t>
      </w:r>
      <w:r w:rsidRPr="00057DB7">
        <w:t>, no imputation is defamatory;</w:t>
      </w:r>
    </w:p>
    <w:p w14:paraId="21B3EA0F" w14:textId="77777777" w:rsidR="00601ACF" w:rsidRPr="00057DB7" w:rsidRDefault="00601ACF" w:rsidP="00601ACF">
      <w:pPr>
        <w:pStyle w:val="ListNo1"/>
        <w:numPr>
          <w:ilvl w:val="0"/>
          <w:numId w:val="28"/>
        </w:numPr>
      </w:pPr>
      <w:r w:rsidRPr="00057DB7">
        <w:rPr>
          <w:i/>
        </w:rPr>
        <w:t>as to Imputation B, Imputation C and Imputation D</w:t>
      </w:r>
      <w:r w:rsidRPr="00057DB7">
        <w:t>, that if defamatory, the imputation is substantially true, giving rise to a defence</w:t>
      </w:r>
      <w:r w:rsidRPr="00057DB7">
        <w:rPr>
          <w:spacing w:val="-13"/>
        </w:rPr>
        <w:t xml:space="preserve"> </w:t>
      </w:r>
      <w:r w:rsidRPr="00057DB7">
        <w:t>under</w:t>
      </w:r>
      <w:r w:rsidRPr="00057DB7">
        <w:rPr>
          <w:spacing w:val="-13"/>
        </w:rPr>
        <w:t xml:space="preserve"> </w:t>
      </w:r>
      <w:r w:rsidRPr="00057DB7">
        <w:t>s 25</w:t>
      </w:r>
      <w:r w:rsidRPr="00057DB7">
        <w:rPr>
          <w:spacing w:val="-13"/>
        </w:rPr>
        <w:t xml:space="preserve"> </w:t>
      </w:r>
      <w:r w:rsidRPr="00057DB7">
        <w:t>of</w:t>
      </w:r>
      <w:r w:rsidRPr="00057DB7">
        <w:rPr>
          <w:spacing w:val="-13"/>
        </w:rPr>
        <w:t xml:space="preserve"> </w:t>
      </w:r>
      <w:r w:rsidRPr="00057DB7">
        <w:t>the</w:t>
      </w:r>
      <w:r w:rsidRPr="00057DB7">
        <w:rPr>
          <w:spacing w:val="-13"/>
        </w:rPr>
        <w:t xml:space="preserve"> </w:t>
      </w:r>
      <w:r w:rsidRPr="00057DB7">
        <w:rPr>
          <w:i/>
        </w:rPr>
        <w:t>Defamation</w:t>
      </w:r>
      <w:r w:rsidRPr="00057DB7">
        <w:rPr>
          <w:i/>
          <w:spacing w:val="-13"/>
        </w:rPr>
        <w:t xml:space="preserve"> </w:t>
      </w:r>
      <w:r w:rsidRPr="00057DB7">
        <w:rPr>
          <w:i/>
        </w:rPr>
        <w:t>Act</w:t>
      </w:r>
      <w:r w:rsidRPr="00057DB7">
        <w:rPr>
          <w:i/>
          <w:spacing w:val="-13"/>
        </w:rPr>
        <w:t xml:space="preserve"> </w:t>
      </w:r>
      <w:r w:rsidRPr="00057DB7">
        <w:rPr>
          <w:i/>
        </w:rPr>
        <w:t>2005</w:t>
      </w:r>
      <w:r w:rsidRPr="00057DB7">
        <w:t xml:space="preserve"> (NSW) (</w:t>
      </w:r>
      <w:r w:rsidRPr="00057DB7">
        <w:rPr>
          <w:b/>
        </w:rPr>
        <w:t>Act</w:t>
      </w:r>
      <w:r w:rsidRPr="00057DB7">
        <w:t>); and</w:t>
      </w:r>
    </w:p>
    <w:p w14:paraId="0E27094F" w14:textId="3DA2D2F1" w:rsidR="00601ACF" w:rsidRPr="00057DB7" w:rsidRDefault="00601ACF" w:rsidP="00601ACF">
      <w:pPr>
        <w:pStyle w:val="ListNo1"/>
        <w:numPr>
          <w:ilvl w:val="0"/>
          <w:numId w:val="28"/>
        </w:numPr>
      </w:pPr>
      <w:r w:rsidRPr="00057DB7">
        <w:rPr>
          <w:i/>
        </w:rPr>
        <w:t>as to all imputations</w:t>
      </w:r>
      <w:r w:rsidRPr="00057DB7">
        <w:t xml:space="preserve">, that if defamatory, the imputation is </w:t>
      </w:r>
      <w:r w:rsidR="00CE16AF">
        <w:t>defensible</w:t>
      </w:r>
      <w:r w:rsidRPr="00057DB7">
        <w:t xml:space="preserve"> at common law because the article carried a “variant imputation that is not substantially different from, nor more injurious than” t</w:t>
      </w:r>
      <w:r w:rsidR="009D1A63">
        <w:t>he imputation conveyed</w:t>
      </w:r>
      <w:r w:rsidR="004E3667">
        <w:t>,</w:t>
      </w:r>
      <w:r w:rsidR="009D1A63">
        <w:t xml:space="preserve"> being: “[t]</w:t>
      </w:r>
      <w:r w:rsidRPr="00057DB7">
        <w:t>he Applicant, a lawyer, has been affected by deafness in the past year that has kept him from representing his clients in court” (</w:t>
      </w:r>
      <w:r w:rsidRPr="00057DB7">
        <w:rPr>
          <w:b/>
        </w:rPr>
        <w:t>Variant Imputation</w:t>
      </w:r>
      <w:r w:rsidRPr="00057DB7">
        <w:t>).</w:t>
      </w:r>
    </w:p>
    <w:p w14:paraId="0A9CE219" w14:textId="14CE6435" w:rsidR="00601ACF" w:rsidRPr="00057DB7" w:rsidRDefault="00601ACF" w:rsidP="00601ACF">
      <w:pPr>
        <w:pStyle w:val="ParaNumbering"/>
      </w:pPr>
      <w:r w:rsidRPr="00057DB7">
        <w:t>Before turning to the logically anterior questions as to what pleaded imputation was conveyed and its character, it is convenient</w:t>
      </w:r>
      <w:r w:rsidR="00E862AF">
        <w:t xml:space="preserve"> to pause to say something </w:t>
      </w:r>
      <w:r w:rsidRPr="00057DB7">
        <w:t>about the Variant Imputation</w:t>
      </w:r>
      <w:r w:rsidR="00E862AF">
        <w:t xml:space="preserve"> and the apparent legal premise upon which it has been pleaded</w:t>
      </w:r>
      <w:r w:rsidRPr="00057DB7">
        <w:t xml:space="preserve">.  </w:t>
      </w:r>
    </w:p>
    <w:p w14:paraId="3F9A925D" w14:textId="65F3142D" w:rsidR="00601ACF" w:rsidRPr="00057DB7" w:rsidRDefault="007F6173" w:rsidP="00601ACF">
      <w:pPr>
        <w:pStyle w:val="ParaNumbering"/>
      </w:pPr>
      <w:r>
        <w:lastRenderedPageBreak/>
        <w:t>The Full Court (Besan</w:t>
      </w:r>
      <w:bookmarkStart w:id="23" w:name="_GoBack"/>
      <w:bookmarkEnd w:id="23"/>
      <w:r w:rsidR="005242DB">
        <w:t>ko, Bro</w:t>
      </w:r>
      <w:r w:rsidR="00601ACF" w:rsidRPr="00057DB7">
        <w:t xml:space="preserve">mwich and Wheelahan JJ) made it plain in </w:t>
      </w:r>
      <w:r w:rsidR="00601ACF" w:rsidRPr="00057DB7">
        <w:rPr>
          <w:i/>
        </w:rPr>
        <w:t xml:space="preserve">Australian Broadcasting Corporation v Chau </w:t>
      </w:r>
      <w:proofErr w:type="spellStart"/>
      <w:r w:rsidR="00601ACF" w:rsidRPr="00057DB7">
        <w:rPr>
          <w:i/>
        </w:rPr>
        <w:t>Chak</w:t>
      </w:r>
      <w:proofErr w:type="spellEnd"/>
      <w:r w:rsidR="00601ACF" w:rsidRPr="00057DB7">
        <w:rPr>
          <w:i/>
          <w:spacing w:val="-43"/>
        </w:rPr>
        <w:t xml:space="preserve">  </w:t>
      </w:r>
      <w:r w:rsidR="00601ACF" w:rsidRPr="00057DB7">
        <w:rPr>
          <w:i/>
        </w:rPr>
        <w:t xml:space="preserve">Wing </w:t>
      </w:r>
      <w:r w:rsidR="008F1541" w:rsidRPr="00057DB7">
        <w:t>[2019] FCA</w:t>
      </w:r>
      <w:r w:rsidR="008F1541">
        <w:t>FC</w:t>
      </w:r>
      <w:r w:rsidR="008F1541" w:rsidRPr="00057DB7">
        <w:t xml:space="preserve"> 125</w:t>
      </w:r>
      <w:r w:rsidR="008F1541">
        <w:t xml:space="preserve">; </w:t>
      </w:r>
      <w:r w:rsidR="00601ACF" w:rsidRPr="00057DB7">
        <w:t>(2019) 271 FCR 632</w:t>
      </w:r>
      <w:r w:rsidR="008F1541">
        <w:t xml:space="preserve"> (</w:t>
      </w:r>
      <w:r w:rsidR="00601ACF" w:rsidRPr="00057DB7">
        <w:t xml:space="preserve">at </w:t>
      </w:r>
      <w:r w:rsidR="008F1541">
        <w:t xml:space="preserve">642–3 </w:t>
      </w:r>
      <w:r w:rsidR="00601ACF" w:rsidRPr="00057DB7">
        <w:t>[22]</w:t>
      </w:r>
      <w:r w:rsidR="00CE16AF">
        <w:t>)</w:t>
      </w:r>
      <w:r w:rsidR="00601ACF" w:rsidRPr="00057DB7">
        <w:t>, that contrary to the decision of the majority of the Victorian Court of Appeal (</w:t>
      </w:r>
      <w:r w:rsidR="008F1541">
        <w:t>Warren</w:t>
      </w:r>
      <w:r w:rsidR="00601ACF" w:rsidRPr="00057DB7">
        <w:t xml:space="preserve"> CJ and Ashley JJA) in </w:t>
      </w:r>
      <w:proofErr w:type="spellStart"/>
      <w:r w:rsidR="00601ACF" w:rsidRPr="00057DB7">
        <w:rPr>
          <w:i/>
        </w:rPr>
        <w:t>Setka</w:t>
      </w:r>
      <w:proofErr w:type="spellEnd"/>
      <w:r w:rsidR="00601ACF" w:rsidRPr="00057DB7">
        <w:rPr>
          <w:i/>
        </w:rPr>
        <w:t xml:space="preserve"> v Abbott</w:t>
      </w:r>
      <w:r w:rsidR="00601ACF" w:rsidRPr="00057DB7">
        <w:t> [2014] VSCA 287; (2014) 44 VR 352, there never was any separate “</w:t>
      </w:r>
      <w:proofErr w:type="spellStart"/>
      <w:r w:rsidR="00CC304D">
        <w:fldChar w:fldCharType="begin"/>
      </w:r>
      <w:r w:rsidR="00CC304D">
        <w:instrText xml:space="preserve"> HYPERLINK "https://jade.io/article/70403" </w:instrText>
      </w:r>
      <w:r w:rsidR="00CC304D">
        <w:fldChar w:fldCharType="separate"/>
      </w:r>
      <w:r w:rsidR="00601ACF" w:rsidRPr="00057DB7">
        <w:rPr>
          <w:i/>
        </w:rPr>
        <w:t>Hore</w:t>
      </w:r>
      <w:proofErr w:type="spellEnd"/>
      <w:r w:rsidR="00601ACF" w:rsidRPr="00057DB7">
        <w:rPr>
          <w:i/>
        </w:rPr>
        <w:t>-Lacy</w:t>
      </w:r>
      <w:r w:rsidR="00CC304D">
        <w:rPr>
          <w:i/>
        </w:rPr>
        <w:fldChar w:fldCharType="end"/>
      </w:r>
      <w:r w:rsidR="00601ACF" w:rsidRPr="00057DB7">
        <w:t> [</w:t>
      </w:r>
      <w:r w:rsidR="00601ACF" w:rsidRPr="00057DB7">
        <w:rPr>
          <w:i/>
        </w:rPr>
        <w:t xml:space="preserve">David </w:t>
      </w:r>
      <w:proofErr w:type="spellStart"/>
      <w:r w:rsidR="00601ACF" w:rsidRPr="00057DB7">
        <w:rPr>
          <w:i/>
        </w:rPr>
        <w:t>Syme</w:t>
      </w:r>
      <w:proofErr w:type="spellEnd"/>
      <w:r w:rsidR="00601ACF" w:rsidRPr="00057DB7">
        <w:rPr>
          <w:i/>
        </w:rPr>
        <w:t xml:space="preserve"> &amp; Co Ltd v </w:t>
      </w:r>
      <w:proofErr w:type="spellStart"/>
      <w:r w:rsidR="00601ACF" w:rsidRPr="00057DB7">
        <w:rPr>
          <w:i/>
        </w:rPr>
        <w:t>Hore</w:t>
      </w:r>
      <w:proofErr w:type="spellEnd"/>
      <w:r w:rsidR="00601ACF" w:rsidRPr="00057DB7">
        <w:rPr>
          <w:i/>
        </w:rPr>
        <w:t xml:space="preserve">-Lacy </w:t>
      </w:r>
      <w:r w:rsidR="00201BF7">
        <w:t xml:space="preserve">[2000] VSCA 24; </w:t>
      </w:r>
      <w:r w:rsidR="00601ACF" w:rsidRPr="00057DB7">
        <w:t>(2000) 1 VR 667] defence” and there i</w:t>
      </w:r>
      <w:r w:rsidR="00344C09">
        <w:t>s no such separate defence now.</w:t>
      </w:r>
      <w:r w:rsidR="00601ACF" w:rsidRPr="00057DB7">
        <w:t xml:space="preserve"> As the Full Court explained (at </w:t>
      </w:r>
      <w:r w:rsidR="008F1541">
        <w:t>643 [22]–</w:t>
      </w:r>
      <w:r w:rsidR="00601ACF" w:rsidRPr="00057DB7">
        <w:t>[23]):</w:t>
      </w:r>
    </w:p>
    <w:p w14:paraId="27EDE19A" w14:textId="263EE4A8" w:rsidR="00601ACF" w:rsidRPr="00057DB7" w:rsidRDefault="00601ACF" w:rsidP="00601ACF">
      <w:pPr>
        <w:pStyle w:val="Quote1"/>
        <w:rPr>
          <w:lang w:eastAsia="en-AU"/>
        </w:rPr>
      </w:pPr>
      <w:r w:rsidRPr="00057DB7">
        <w:rPr>
          <w:lang w:eastAsia="en-AU"/>
        </w:rPr>
        <w:t xml:space="preserve">The foundation for pleading justification of permissible variant imputations is statute, namely the rules of pleading which in this Court relevantly include </w:t>
      </w:r>
      <w:proofErr w:type="spellStart"/>
      <w:r w:rsidRPr="00057DB7">
        <w:rPr>
          <w:lang w:eastAsia="en-AU"/>
        </w:rPr>
        <w:t>rr</w:t>
      </w:r>
      <w:proofErr w:type="spellEnd"/>
      <w:r w:rsidRPr="00057DB7">
        <w:rPr>
          <w:lang w:eastAsia="en-AU"/>
        </w:rPr>
        <w:t xml:space="preserve"> 16.02, 16.08, and 16.41 of the </w:t>
      </w:r>
      <w:r w:rsidRPr="00057DB7">
        <w:rPr>
          <w:i/>
          <w:iCs/>
          <w:lang w:eastAsia="en-AU"/>
        </w:rPr>
        <w:t>Federal Court Rules</w:t>
      </w:r>
      <w:r w:rsidRPr="00057DB7">
        <w:rPr>
          <w:lang w:eastAsia="en-AU"/>
        </w:rPr>
        <w:t>. Those rules are calculated to avoid trial by ambush, and to promote the precise identification of the issues that are before the Court, and as such, may require a respondent to plead any variant of a meaning alleged by an applicant that the responde</w:t>
      </w:r>
      <w:r w:rsidR="00867662">
        <w:rPr>
          <w:lang w:eastAsia="en-AU"/>
        </w:rPr>
        <w:t>nt proposes to justify at trial.</w:t>
      </w:r>
      <w:r w:rsidRPr="00057DB7">
        <w:rPr>
          <w:lang w:eastAsia="en-AU"/>
        </w:rPr>
        <w:t xml:space="preserve"> However, whatever the shape of a defence of justification as permissibly pleaded, in order that a justification defence succeed at trial in respect of the publication of a matter, the common law requires that a respondent establish the substantial truth of all the meanings that are fairly within the imputations that are the subject of the applicant’s claim and which are found by the Court to have been conveyed and to have been defamatory of the applicant.</w:t>
      </w:r>
    </w:p>
    <w:p w14:paraId="6BF48AA3" w14:textId="19FB7054" w:rsidR="00601ACF" w:rsidRDefault="00601ACF" w:rsidP="00601ACF">
      <w:pPr>
        <w:pStyle w:val="Quote1"/>
        <w:rPr>
          <w:lang w:eastAsia="en-AU"/>
        </w:rPr>
      </w:pPr>
      <w:r w:rsidRPr="00057DB7">
        <w:rPr>
          <w:lang w:eastAsia="en-AU"/>
        </w:rPr>
        <w:t>In this case, the parties accepted that it was open to a respondent in this Court to plead a common law justification defence consistently with the principles essayed in </w:t>
      </w:r>
      <w:proofErr w:type="spellStart"/>
      <w:r w:rsidRPr="00057DB7">
        <w:rPr>
          <w:i/>
          <w:sz w:val="24"/>
        </w:rPr>
        <w:t>Hore</w:t>
      </w:r>
      <w:proofErr w:type="spellEnd"/>
      <w:r w:rsidRPr="00057DB7">
        <w:rPr>
          <w:i/>
          <w:sz w:val="24"/>
        </w:rPr>
        <w:t>-Lacy</w:t>
      </w:r>
      <w:r w:rsidRPr="00057DB7">
        <w:rPr>
          <w:sz w:val="24"/>
        </w:rPr>
        <w:t>.</w:t>
      </w:r>
      <w:r w:rsidRPr="00057DB7">
        <w:rPr>
          <w:lang w:eastAsia="en-AU"/>
        </w:rPr>
        <w:t xml:space="preserve"> The dispute, however, turned on whether in applying those principles the respondents’ variant imputations of the existence of reasonable grounds for belief were permissible variants of, and therefore responsive to the applicant’s pleaded meanings.</w:t>
      </w:r>
    </w:p>
    <w:p w14:paraId="5E10F844" w14:textId="77FF34B6" w:rsidR="00867662" w:rsidRPr="00057DB7" w:rsidRDefault="00867662" w:rsidP="00601ACF">
      <w:pPr>
        <w:pStyle w:val="Quote1"/>
        <w:rPr>
          <w:lang w:eastAsia="en-AU"/>
        </w:rPr>
      </w:pPr>
      <w:r>
        <w:rPr>
          <w:lang w:eastAsia="en-AU"/>
        </w:rPr>
        <w:t>(Citation omitted).</w:t>
      </w:r>
    </w:p>
    <w:p w14:paraId="1F778A2D" w14:textId="7B1903E7" w:rsidR="00601ACF" w:rsidRPr="00057DB7" w:rsidRDefault="00601ACF" w:rsidP="00601ACF">
      <w:pPr>
        <w:pStyle w:val="ParaNumbering"/>
        <w:rPr>
          <w:lang w:eastAsia="en-AU"/>
        </w:rPr>
      </w:pPr>
      <w:r w:rsidRPr="00057DB7">
        <w:t>The requirements of pleadings are informed by considerations of procedural fairness which, obviously enough, depend upon</w:t>
      </w:r>
      <w:r w:rsidR="008F771F">
        <w:t xml:space="preserve"> the circumstances of the case.</w:t>
      </w:r>
      <w:r w:rsidRPr="00057DB7">
        <w:t xml:space="preserve"> </w:t>
      </w:r>
      <w:r w:rsidR="00E862AF">
        <w:t>The Variant Imputation is o</w:t>
      </w:r>
      <w:r w:rsidR="008F771F">
        <w:t>f no utility in this case.</w:t>
      </w:r>
      <w:r w:rsidR="00E862AF">
        <w:t xml:space="preserve"> </w:t>
      </w:r>
      <w:r w:rsidRPr="00057DB7">
        <w:rPr>
          <w:lang w:eastAsia="en-AU"/>
        </w:rPr>
        <w:t xml:space="preserve">For reasons explained below, </w:t>
      </w:r>
      <w:r w:rsidRPr="00057DB7">
        <w:t xml:space="preserve">Imputation D was conveyed; it was defamatory; and News and Ms Sharp have failed to establish that it was substantially true.  When it is borne in mind that </w:t>
      </w:r>
      <w:r w:rsidRPr="00057DB7">
        <w:rPr>
          <w:lang w:eastAsia="en-AU"/>
        </w:rPr>
        <w:t>the common law requires that the substantial truth of all the meanings fairly w</w:t>
      </w:r>
      <w:r w:rsidR="00D57562">
        <w:rPr>
          <w:lang w:eastAsia="en-AU"/>
        </w:rPr>
        <w:t>ithin the pleaded imputations is</w:t>
      </w:r>
      <w:r w:rsidRPr="00057DB7">
        <w:rPr>
          <w:lang w:eastAsia="en-AU"/>
        </w:rPr>
        <w:t xml:space="preserve"> to be proved, this finding is not only </w:t>
      </w:r>
      <w:r w:rsidRPr="00057DB7">
        <w:t>determinative of the defence under</w:t>
      </w:r>
      <w:r w:rsidRPr="00057DB7">
        <w:rPr>
          <w:spacing w:val="-13"/>
        </w:rPr>
        <w:t xml:space="preserve"> </w:t>
      </w:r>
      <w:r w:rsidRPr="00057DB7">
        <w:t>s 25</w:t>
      </w:r>
      <w:r w:rsidRPr="00057DB7">
        <w:rPr>
          <w:spacing w:val="-13"/>
        </w:rPr>
        <w:t xml:space="preserve"> </w:t>
      </w:r>
      <w:r w:rsidRPr="00057DB7">
        <w:t>of</w:t>
      </w:r>
      <w:r w:rsidRPr="00057DB7">
        <w:rPr>
          <w:spacing w:val="-13"/>
        </w:rPr>
        <w:t xml:space="preserve"> </w:t>
      </w:r>
      <w:r w:rsidRPr="00057DB7">
        <w:t xml:space="preserve">the Act, but also the common law justification defence </w:t>
      </w:r>
      <w:r w:rsidR="00B77E08" w:rsidRPr="00057DB7">
        <w:t xml:space="preserve">as </w:t>
      </w:r>
      <w:r w:rsidRPr="00057DB7">
        <w:t>pleaded.</w:t>
      </w:r>
    </w:p>
    <w:p w14:paraId="47FC96AC" w14:textId="77777777" w:rsidR="00601ACF" w:rsidRPr="00057DB7" w:rsidRDefault="003B555D" w:rsidP="003B555D">
      <w:pPr>
        <w:pStyle w:val="Heading1"/>
      </w:pPr>
      <w:bookmarkStart w:id="24" w:name="_Ref69479625"/>
      <w:r w:rsidRPr="00057DB7">
        <w:t>c</w:t>
      </w:r>
      <w:r w:rsidRPr="00057DB7">
        <w:tab/>
        <w:t>THE ISSUE OF MEANING</w:t>
      </w:r>
      <w:bookmarkEnd w:id="24"/>
    </w:p>
    <w:p w14:paraId="402D1269" w14:textId="12F49782" w:rsidR="003B555D" w:rsidRPr="00057DB7" w:rsidRDefault="003B555D" w:rsidP="003B555D">
      <w:pPr>
        <w:pStyle w:val="Heading2"/>
      </w:pPr>
      <w:bookmarkStart w:id="25" w:name="_Ref69479626"/>
      <w:r w:rsidRPr="00057DB7">
        <w:t>C</w:t>
      </w:r>
      <w:r w:rsidR="00D842D0">
        <w:t>.</w:t>
      </w:r>
      <w:r w:rsidRPr="00057DB7">
        <w:t>1</w:t>
      </w:r>
      <w:r w:rsidRPr="00057DB7">
        <w:tab/>
        <w:t>What was Conveyed?</w:t>
      </w:r>
      <w:bookmarkEnd w:id="25"/>
    </w:p>
    <w:p w14:paraId="1C281C64" w14:textId="77777777" w:rsidR="003B555D" w:rsidRPr="00057DB7" w:rsidRDefault="003B555D" w:rsidP="003B555D">
      <w:pPr>
        <w:pStyle w:val="ParaNumbering"/>
      </w:pPr>
      <w:r w:rsidRPr="00057DB7">
        <w:t>Mr Murphy submits that the most important aspects of the print article were the photographs and the “key paragraphs” being:</w:t>
      </w:r>
    </w:p>
    <w:p w14:paraId="49D5DE6D" w14:textId="435880D5" w:rsidR="003B555D" w:rsidRPr="00057DB7" w:rsidRDefault="00867662" w:rsidP="00867662">
      <w:pPr>
        <w:pStyle w:val="Quote1"/>
        <w:ind w:left="1440" w:hanging="703"/>
      </w:pPr>
      <w:r>
        <w:t>[3]</w:t>
      </w:r>
      <w:r>
        <w:tab/>
      </w:r>
      <w:r w:rsidR="003B555D" w:rsidRPr="00057DB7">
        <w:t xml:space="preserve">Notoriously prickly Sydney lawyer Chris Murphy and his artist wife Agnes </w:t>
      </w:r>
      <w:proofErr w:type="spellStart"/>
      <w:r w:rsidR="003B555D" w:rsidRPr="00057DB7">
        <w:lastRenderedPageBreak/>
        <w:t>Bruck</w:t>
      </w:r>
      <w:proofErr w:type="spellEnd"/>
      <w:r w:rsidR="003B555D" w:rsidRPr="00057DB7">
        <w:t xml:space="preserve"> have separated after 25 years.</w:t>
      </w:r>
    </w:p>
    <w:p w14:paraId="2CC2DAFC" w14:textId="160E62BE" w:rsidR="003B555D" w:rsidRPr="00057DB7" w:rsidRDefault="00867662" w:rsidP="00867662">
      <w:pPr>
        <w:pStyle w:val="Quote1"/>
        <w:ind w:left="1440" w:hanging="703"/>
      </w:pPr>
      <w:r>
        <w:t>[8]</w:t>
      </w:r>
      <w:r>
        <w:tab/>
      </w:r>
      <w:r w:rsidR="003B555D" w:rsidRPr="00057DB7">
        <w:t xml:space="preserve">According to well-placed sources, contributing further to the collapse of the couple’s rocky union has been the recent poor health of both Murphy and </w:t>
      </w:r>
      <w:proofErr w:type="spellStart"/>
      <w:r w:rsidR="003B555D" w:rsidRPr="00057DB7">
        <w:t>Bruck</w:t>
      </w:r>
      <w:proofErr w:type="spellEnd"/>
      <w:r w:rsidR="003B555D" w:rsidRPr="00057DB7">
        <w:t>.</w:t>
      </w:r>
    </w:p>
    <w:p w14:paraId="4A57B1CA" w14:textId="11C9D358" w:rsidR="003B555D" w:rsidRPr="00057DB7" w:rsidRDefault="00867662" w:rsidP="00867662">
      <w:pPr>
        <w:pStyle w:val="Quote1"/>
        <w:ind w:left="1440" w:hanging="703"/>
      </w:pPr>
      <w:r>
        <w:t>[10]</w:t>
      </w:r>
      <w:r>
        <w:tab/>
      </w:r>
      <w:r w:rsidR="003B555D" w:rsidRPr="00057DB7">
        <w:t>Murphy, who will be 72 this month, continues to battle the ravages of age and with it the associated deafness that has kept him from representing his famous clients in court during the past year.</w:t>
      </w:r>
    </w:p>
    <w:p w14:paraId="214C6DB9" w14:textId="44DCD903" w:rsidR="003B555D" w:rsidRPr="00057DB7" w:rsidRDefault="00867662" w:rsidP="00867662">
      <w:pPr>
        <w:pStyle w:val="Quote1"/>
        <w:ind w:left="1440" w:hanging="703"/>
      </w:pPr>
      <w:r>
        <w:t>[11]</w:t>
      </w:r>
      <w:r>
        <w:tab/>
      </w:r>
      <w:r w:rsidR="003B555D" w:rsidRPr="00057DB7">
        <w:t>That responsibility has increasingly gone to his less-bullish second-in-command, Bryan Wrench who this week was in court for another of Murphy’s clients, one-time South Sydney pin-up boy Sam Burgess.</w:t>
      </w:r>
    </w:p>
    <w:p w14:paraId="0C1A15CC" w14:textId="3C466677" w:rsidR="003B555D" w:rsidRPr="00057DB7" w:rsidRDefault="00033124" w:rsidP="003B555D">
      <w:pPr>
        <w:pStyle w:val="ParaNumbering"/>
      </w:pPr>
      <w:r w:rsidRPr="00057DB7">
        <w:t>T</w:t>
      </w:r>
      <w:r w:rsidR="003B555D" w:rsidRPr="00057DB7">
        <w:t xml:space="preserve">he internet </w:t>
      </w:r>
      <w:r w:rsidR="00CE16AF">
        <w:t xml:space="preserve">article </w:t>
      </w:r>
      <w:r w:rsidR="003B555D" w:rsidRPr="00057DB7">
        <w:t>is in substantially identical terms (including each of the impugned paragraphs) and also refers to Mr Murphy’s “poor health” in the</w:t>
      </w:r>
      <w:r w:rsidR="003B555D" w:rsidRPr="00057DB7">
        <w:rPr>
          <w:spacing w:val="-10"/>
        </w:rPr>
        <w:t xml:space="preserve"> </w:t>
      </w:r>
      <w:r w:rsidR="003B555D" w:rsidRPr="00057DB7">
        <w:t>subheading.</w:t>
      </w:r>
    </w:p>
    <w:p w14:paraId="5FC2E070" w14:textId="28BF571B" w:rsidR="003B555D" w:rsidRPr="00057DB7" w:rsidRDefault="003B555D" w:rsidP="003B555D">
      <w:pPr>
        <w:pStyle w:val="ParaNumbering"/>
      </w:pPr>
      <w:r w:rsidRPr="00057DB7">
        <w:t>The notion that Mr Murphy holds himself out as a competent lawyer (see Impu</w:t>
      </w:r>
      <w:r w:rsidR="00033124" w:rsidRPr="00057DB7">
        <w:t>tation A and Imputation</w:t>
      </w:r>
      <w:r w:rsidRPr="00057DB7">
        <w:t xml:space="preserve"> B) is said to be carried by the references to Mr Murphy’s practice, including his list of </w:t>
      </w:r>
      <w:r w:rsidR="00033124" w:rsidRPr="00057DB7">
        <w:t>what were described as his “</w:t>
      </w:r>
      <w:r w:rsidRPr="00057DB7">
        <w:t>famous</w:t>
      </w:r>
      <w:r w:rsidR="00033124" w:rsidRPr="00057DB7">
        <w:t>”</w:t>
      </w:r>
      <w:r w:rsidR="0095344F">
        <w:t xml:space="preserve"> clients.</w:t>
      </w:r>
      <w:r w:rsidR="00033124" w:rsidRPr="00057DB7">
        <w:t xml:space="preserve"> </w:t>
      </w:r>
      <w:r w:rsidRPr="00057DB7">
        <w:t xml:space="preserve">It was </w:t>
      </w:r>
      <w:r w:rsidR="00033124" w:rsidRPr="00057DB7">
        <w:t xml:space="preserve">further </w:t>
      </w:r>
      <w:r w:rsidRPr="00057DB7">
        <w:t>submitted that it should be inferred “that a person with such a practice holds himself out as competent – as every lawyer must”.</w:t>
      </w:r>
    </w:p>
    <w:p w14:paraId="522924C5" w14:textId="3B439EF9" w:rsidR="003B555D" w:rsidRPr="008F7856" w:rsidRDefault="003B555D" w:rsidP="003B555D">
      <w:pPr>
        <w:pStyle w:val="ParaNumbering"/>
      </w:pPr>
      <w:r w:rsidRPr="008F7856">
        <w:t>There is no need to detail, yet again, the well-known rele</w:t>
      </w:r>
      <w:r w:rsidR="003E130B" w:rsidRPr="008F7856">
        <w:t xml:space="preserve">vant principles as to meaning. </w:t>
      </w:r>
      <w:r w:rsidRPr="008F7856">
        <w:t xml:space="preserve">I recently summarised them in </w:t>
      </w:r>
      <w:r w:rsidRPr="008F7856">
        <w:rPr>
          <w:i/>
        </w:rPr>
        <w:t>Stead v Fairfax Media Publications Pty Ltd</w:t>
      </w:r>
      <w:r w:rsidRPr="008F7856">
        <w:t xml:space="preserve"> [2021] FCA 15 </w:t>
      </w:r>
      <w:r w:rsidR="005B67BE" w:rsidRPr="008F7856">
        <w:t>(</w:t>
      </w:r>
      <w:r w:rsidRPr="008F7856">
        <w:t>at</w:t>
      </w:r>
      <w:r w:rsidR="005B67BE" w:rsidRPr="008F7856">
        <w:t xml:space="preserve"> [14]–</w:t>
      </w:r>
      <w:r w:rsidRPr="008F7856">
        <w:t>[15]</w:t>
      </w:r>
      <w:r w:rsidR="005B67BE" w:rsidRPr="008F7856">
        <w:t>).</w:t>
      </w:r>
      <w:r w:rsidRPr="008F7856">
        <w:t xml:space="preserve"> Each party accepted the correctne</w:t>
      </w:r>
      <w:r w:rsidR="005B67BE" w:rsidRPr="008F7856">
        <w:t>ss of that summary.</w:t>
      </w:r>
      <w:r w:rsidRPr="008F7856">
        <w:t xml:space="preserve"> It is appropriate to move directly to the imputations. </w:t>
      </w:r>
    </w:p>
    <w:p w14:paraId="0F746B9E" w14:textId="77777777" w:rsidR="003B555D" w:rsidRPr="00423C1D" w:rsidRDefault="003B555D" w:rsidP="00423C1D">
      <w:pPr>
        <w:pStyle w:val="Heading3"/>
      </w:pPr>
      <w:bookmarkStart w:id="26" w:name="_Ref69479627"/>
      <w:r w:rsidRPr="00423C1D">
        <w:t>Imputations A &amp; B</w:t>
      </w:r>
      <w:bookmarkEnd w:id="26"/>
    </w:p>
    <w:p w14:paraId="00513BE8" w14:textId="77777777" w:rsidR="003B555D" w:rsidRPr="00057DB7" w:rsidRDefault="003B555D" w:rsidP="003B555D">
      <w:pPr>
        <w:pStyle w:val="ParaNumbering"/>
      </w:pPr>
      <w:r w:rsidRPr="00057DB7">
        <w:t>These imputations can be dealt with together because they suffer the same vice.</w:t>
      </w:r>
    </w:p>
    <w:p w14:paraId="4773ECE7" w14:textId="0F003855" w:rsidR="003B555D" w:rsidRPr="00057DB7" w:rsidRDefault="003B555D" w:rsidP="003B555D">
      <w:pPr>
        <w:pStyle w:val="ParaNumbering"/>
      </w:pPr>
      <w:r w:rsidRPr="00057DB7">
        <w:t>The notion that the article conveyed facts “despite” Mr Murphy</w:t>
      </w:r>
      <w:r w:rsidRPr="00057DB7">
        <w:rPr>
          <w:spacing w:val="-7"/>
        </w:rPr>
        <w:t xml:space="preserve"> “</w:t>
      </w:r>
      <w:r w:rsidRPr="00057DB7">
        <w:t>holding</w:t>
      </w:r>
      <w:r w:rsidRPr="00057DB7">
        <w:rPr>
          <w:spacing w:val="-8"/>
        </w:rPr>
        <w:t xml:space="preserve"> </w:t>
      </w:r>
      <w:r w:rsidRPr="00057DB7">
        <w:t>himself</w:t>
      </w:r>
      <w:r w:rsidRPr="00057DB7">
        <w:rPr>
          <w:spacing w:val="-7"/>
        </w:rPr>
        <w:t xml:space="preserve"> </w:t>
      </w:r>
      <w:r w:rsidRPr="00057DB7">
        <w:t>out</w:t>
      </w:r>
      <w:r w:rsidRPr="00057DB7">
        <w:rPr>
          <w:spacing w:val="-7"/>
        </w:rPr>
        <w:t xml:space="preserve"> </w:t>
      </w:r>
      <w:r w:rsidRPr="00057DB7">
        <w:t>as</w:t>
      </w:r>
      <w:r w:rsidRPr="00057DB7">
        <w:rPr>
          <w:spacing w:val="-8"/>
        </w:rPr>
        <w:t xml:space="preserve"> </w:t>
      </w:r>
      <w:r w:rsidRPr="00057DB7">
        <w:t>a</w:t>
      </w:r>
      <w:r w:rsidRPr="00057DB7">
        <w:rPr>
          <w:spacing w:val="-7"/>
        </w:rPr>
        <w:t xml:space="preserve"> </w:t>
      </w:r>
      <w:r w:rsidRPr="00057DB7">
        <w:t>competent</w:t>
      </w:r>
      <w:r w:rsidRPr="00057DB7">
        <w:rPr>
          <w:spacing w:val="-7"/>
        </w:rPr>
        <w:t xml:space="preserve"> </w:t>
      </w:r>
      <w:r w:rsidRPr="00057DB7">
        <w:t xml:space="preserve">lawyer” carries with it the </w:t>
      </w:r>
      <w:r w:rsidR="00CE16AF">
        <w:t>idea</w:t>
      </w:r>
      <w:r w:rsidRPr="00057DB7">
        <w:t xml:space="preserve"> that what was conveyed by the article was that there was an implied or inferred representation being made by Mr Murphy as to his competence that was somehow falsified by the true position.  Nothing was conveyed about how Mr Murphy h</w:t>
      </w:r>
      <w:r w:rsidR="00CE16AF">
        <w:t xml:space="preserve">eld himself out to the public. </w:t>
      </w:r>
      <w:r w:rsidRPr="00057DB7">
        <w:t>The hypothetical referee does not engage in over-elaborate analysis in search of hidden meanings</w:t>
      </w:r>
      <w:r w:rsidR="00CE16AF">
        <w:t>,</w:t>
      </w:r>
      <w:r w:rsidRPr="00057DB7">
        <w:t xml:space="preserve"> nor</w:t>
      </w:r>
      <w:r w:rsidR="00CE16AF">
        <w:t xml:space="preserve"> do they</w:t>
      </w:r>
      <w:r w:rsidRPr="00057DB7">
        <w:t xml:space="preserve"> engage in a complicated pr</w:t>
      </w:r>
      <w:r w:rsidR="00CE16AF">
        <w:t xml:space="preserve">ocess of inferential reasoning. </w:t>
      </w:r>
      <w:r w:rsidRPr="00057DB7">
        <w:t xml:space="preserve">The meanings alleged are, in this respect, strained or forced interpretations. </w:t>
      </w:r>
    </w:p>
    <w:p w14:paraId="4554278C" w14:textId="688D32AE" w:rsidR="003B555D" w:rsidRPr="00057DB7" w:rsidRDefault="003B555D" w:rsidP="003B555D">
      <w:pPr>
        <w:pStyle w:val="ParaNumbering"/>
      </w:pPr>
      <w:r w:rsidRPr="00057DB7">
        <w:t>Further, as to Imputation A, the notion that the article conveyed that Mr Murphy was “unfit to</w:t>
      </w:r>
      <w:r w:rsidRPr="00057DB7">
        <w:rPr>
          <w:spacing w:val="-4"/>
        </w:rPr>
        <w:t xml:space="preserve"> </w:t>
      </w:r>
      <w:r w:rsidRPr="00057DB7">
        <w:t xml:space="preserve">practice” </w:t>
      </w:r>
      <w:r w:rsidR="0014641D">
        <w:t>puts the matter far too highly.</w:t>
      </w:r>
      <w:r w:rsidRPr="00057DB7">
        <w:t xml:space="preserve"> This seems to suggest that he could not do </w:t>
      </w:r>
      <w:r w:rsidRPr="00057DB7">
        <w:rPr>
          <w:i/>
        </w:rPr>
        <w:t>any work</w:t>
      </w:r>
      <w:r w:rsidRPr="00057DB7">
        <w:t xml:space="preserve"> as </w:t>
      </w:r>
      <w:r w:rsidR="00993BC2">
        <w:lastRenderedPageBreak/>
        <w:t xml:space="preserve">a </w:t>
      </w:r>
      <w:r w:rsidRPr="00057DB7">
        <w:t xml:space="preserve">solicitor at all and, it would necessarily follow, should not be able to hold himself out as a lawyer. As [10] makes clear, the difficulties said to be suffered by Mr Murphy had kept him, </w:t>
      </w:r>
      <w:r w:rsidR="00283DF1">
        <w:t>it was said, from appearing in c</w:t>
      </w:r>
      <w:r w:rsidRPr="00057DB7">
        <w:t>ourt.  This aspect of his work was, it was suggested, taken over by his “</w:t>
      </w:r>
      <w:r w:rsidR="00CE16AF">
        <w:t>second-in-</w:t>
      </w:r>
      <w:r w:rsidR="003E130B" w:rsidRPr="00057DB7">
        <w:t xml:space="preserve">command”; </w:t>
      </w:r>
      <w:r w:rsidR="00993BC2">
        <w:t xml:space="preserve">obviously enough, </w:t>
      </w:r>
      <w:r w:rsidR="003E130B" w:rsidRPr="00057DB7">
        <w:t>a second-in-</w:t>
      </w:r>
      <w:r w:rsidRPr="00057DB7">
        <w:t xml:space="preserve">command necessarily implies that Mr Murphy remained the lawyer primarily in command </w:t>
      </w:r>
      <w:r w:rsidR="00B77E08" w:rsidRPr="00057DB7">
        <w:t>(</w:t>
      </w:r>
      <w:r w:rsidRPr="00057DB7">
        <w:t>or, as Mr Murphy would put it, the “boss”</w:t>
      </w:r>
      <w:r w:rsidR="00B77E08" w:rsidRPr="00057DB7">
        <w:t>)</w:t>
      </w:r>
      <w:r w:rsidRPr="00057DB7">
        <w:t>.  The reference to “his famous clients” (</w:t>
      </w:r>
      <w:r w:rsidR="004E3667">
        <w:t>at</w:t>
      </w:r>
      <w:r w:rsidRPr="00057DB7">
        <w:t xml:space="preserve"> [10]) suggests an ongoing and continuing relationship with those clients whereby Mr Murphy does play a role, albeit one that </w:t>
      </w:r>
      <w:r w:rsidR="00B77E08" w:rsidRPr="00057DB7">
        <w:t xml:space="preserve">does not involve </w:t>
      </w:r>
      <w:r w:rsidR="00CE16AF">
        <w:t xml:space="preserve">him </w:t>
      </w:r>
      <w:r w:rsidR="00283DF1">
        <w:t>appearing in c</w:t>
      </w:r>
      <w:r w:rsidRPr="00057DB7">
        <w:t xml:space="preserve">ourt.  </w:t>
      </w:r>
    </w:p>
    <w:p w14:paraId="487DEE9D" w14:textId="77777777" w:rsidR="003B555D" w:rsidRPr="00057DB7" w:rsidRDefault="003B555D" w:rsidP="003B555D">
      <w:pPr>
        <w:pStyle w:val="ParaNumbering"/>
      </w:pPr>
      <w:r w:rsidRPr="00057DB7">
        <w:t>The</w:t>
      </w:r>
      <w:r w:rsidRPr="00057DB7">
        <w:rPr>
          <w:spacing w:val="-7"/>
        </w:rPr>
        <w:t xml:space="preserve"> </w:t>
      </w:r>
      <w:r w:rsidRPr="00057DB7">
        <w:t>additional</w:t>
      </w:r>
      <w:r w:rsidRPr="00057DB7">
        <w:rPr>
          <w:spacing w:val="-6"/>
        </w:rPr>
        <w:t xml:space="preserve"> </w:t>
      </w:r>
      <w:r w:rsidRPr="00057DB7">
        <w:t>headline,</w:t>
      </w:r>
      <w:r w:rsidRPr="00057DB7">
        <w:rPr>
          <w:spacing w:val="-5"/>
        </w:rPr>
        <w:t xml:space="preserve"> </w:t>
      </w:r>
      <w:r w:rsidRPr="00057DB7">
        <w:t>lead</w:t>
      </w:r>
      <w:r w:rsidRPr="00057DB7">
        <w:rPr>
          <w:spacing w:val="-6"/>
        </w:rPr>
        <w:t xml:space="preserve"> </w:t>
      </w:r>
      <w:r w:rsidRPr="00057DB7">
        <w:t>paragraph</w:t>
      </w:r>
      <w:r w:rsidRPr="00057DB7">
        <w:rPr>
          <w:spacing w:val="-4"/>
        </w:rPr>
        <w:t xml:space="preserve"> </w:t>
      </w:r>
      <w:r w:rsidRPr="00057DB7">
        <w:t>and</w:t>
      </w:r>
      <w:r w:rsidRPr="00057DB7">
        <w:rPr>
          <w:spacing w:val="-5"/>
        </w:rPr>
        <w:t xml:space="preserve"> </w:t>
      </w:r>
      <w:r w:rsidRPr="00057DB7">
        <w:t>images</w:t>
      </w:r>
      <w:r w:rsidRPr="00057DB7">
        <w:rPr>
          <w:spacing w:val="-6"/>
        </w:rPr>
        <w:t xml:space="preserve"> </w:t>
      </w:r>
      <w:r w:rsidRPr="00057DB7">
        <w:t>in</w:t>
      </w:r>
      <w:r w:rsidRPr="00057DB7">
        <w:rPr>
          <w:spacing w:val="-6"/>
        </w:rPr>
        <w:t xml:space="preserve"> </w:t>
      </w:r>
      <w:r w:rsidRPr="00057DB7">
        <w:t>the</w:t>
      </w:r>
      <w:r w:rsidRPr="00057DB7">
        <w:rPr>
          <w:spacing w:val="-6"/>
        </w:rPr>
        <w:t xml:space="preserve"> </w:t>
      </w:r>
      <w:r w:rsidRPr="00057DB7">
        <w:t>internet</w:t>
      </w:r>
      <w:r w:rsidRPr="00057DB7">
        <w:rPr>
          <w:spacing w:val="-6"/>
        </w:rPr>
        <w:t xml:space="preserve"> </w:t>
      </w:r>
      <w:r w:rsidRPr="00057DB7">
        <w:t>article,</w:t>
      </w:r>
      <w:r w:rsidRPr="00057DB7">
        <w:rPr>
          <w:spacing w:val="-6"/>
        </w:rPr>
        <w:t xml:space="preserve"> </w:t>
      </w:r>
      <w:r w:rsidRPr="00057DB7">
        <w:t>which</w:t>
      </w:r>
      <w:r w:rsidRPr="00057DB7">
        <w:rPr>
          <w:spacing w:val="-5"/>
        </w:rPr>
        <w:t xml:space="preserve"> </w:t>
      </w:r>
      <w:r w:rsidRPr="00057DB7">
        <w:t>are</w:t>
      </w:r>
      <w:r w:rsidRPr="00057DB7">
        <w:rPr>
          <w:spacing w:val="-7"/>
        </w:rPr>
        <w:t xml:space="preserve"> </w:t>
      </w:r>
      <w:r w:rsidRPr="00057DB7">
        <w:t xml:space="preserve">said in some way to convey the notion of some unfitness to </w:t>
      </w:r>
      <w:r w:rsidR="00B77E08" w:rsidRPr="00057DB7">
        <w:t xml:space="preserve">work </w:t>
      </w:r>
      <w:r w:rsidRPr="00057DB7">
        <w:t>generally, make no mention of Mr Murphy’s capacity to</w:t>
      </w:r>
      <w:r w:rsidRPr="00057DB7">
        <w:rPr>
          <w:spacing w:val="-10"/>
        </w:rPr>
        <w:t xml:space="preserve"> </w:t>
      </w:r>
      <w:r w:rsidRPr="00057DB7">
        <w:t xml:space="preserve">practice law </w:t>
      </w:r>
      <w:r w:rsidR="00033124" w:rsidRPr="00057DB7">
        <w:t>simpliciter</w:t>
      </w:r>
      <w:r w:rsidRPr="00057DB7">
        <w:t xml:space="preserve"> and do not distinguish the position from the print article.</w:t>
      </w:r>
    </w:p>
    <w:p w14:paraId="2237E530" w14:textId="146200CA" w:rsidR="003B555D" w:rsidRPr="00057DB7" w:rsidRDefault="003B555D" w:rsidP="003B555D">
      <w:pPr>
        <w:pStyle w:val="ParaNumbering"/>
      </w:pPr>
      <w:r w:rsidRPr="00057DB7">
        <w:t xml:space="preserve">Taken as a whole, the article does not convey the suggestion </w:t>
      </w:r>
      <w:r w:rsidR="00CE16AF">
        <w:t xml:space="preserve">that </w:t>
      </w:r>
      <w:r w:rsidRPr="00057DB7">
        <w:t xml:space="preserve">Mr Murphy is unable (or unfit) to continue as a legal practitioner at all; rather it conveys something about his present ability to perform </w:t>
      </w:r>
      <w:r w:rsidR="00B77E08" w:rsidRPr="00057DB7">
        <w:t xml:space="preserve">what would be perceived </w:t>
      </w:r>
      <w:r w:rsidR="000E5B55" w:rsidRPr="00057DB7">
        <w:t xml:space="preserve">by an ordinary reader </w:t>
      </w:r>
      <w:r w:rsidR="00B77E08" w:rsidRPr="00057DB7">
        <w:t xml:space="preserve">to be </w:t>
      </w:r>
      <w:r w:rsidRPr="00057DB7">
        <w:t xml:space="preserve">an </w:t>
      </w:r>
      <w:r w:rsidR="00B77E08" w:rsidRPr="00057DB7">
        <w:t xml:space="preserve">important </w:t>
      </w:r>
      <w:r w:rsidRPr="00057DB7">
        <w:t>aspect or function of his work, being representing his clients in court.</w:t>
      </w:r>
    </w:p>
    <w:p w14:paraId="55602858" w14:textId="77777777" w:rsidR="003B555D" w:rsidRPr="00057DB7" w:rsidRDefault="003B555D" w:rsidP="003B555D">
      <w:pPr>
        <w:pStyle w:val="ParaNumbering"/>
      </w:pPr>
      <w:r w:rsidRPr="00057DB7">
        <w:t xml:space="preserve">Neither of these imputations were conveyed. </w:t>
      </w:r>
    </w:p>
    <w:p w14:paraId="64F8A3DD" w14:textId="77777777" w:rsidR="003B555D" w:rsidRPr="00423C1D" w:rsidRDefault="003B555D" w:rsidP="001530E0">
      <w:pPr>
        <w:pStyle w:val="Heading3"/>
      </w:pPr>
      <w:bookmarkStart w:id="27" w:name="_Ref69479628"/>
      <w:r w:rsidRPr="00423C1D">
        <w:t>Imputation E</w:t>
      </w:r>
      <w:bookmarkEnd w:id="27"/>
    </w:p>
    <w:p w14:paraId="31B344B4" w14:textId="77F286B3" w:rsidR="003B555D" w:rsidRPr="00423C1D" w:rsidRDefault="003B555D" w:rsidP="003B555D">
      <w:pPr>
        <w:pStyle w:val="ParaNumbering"/>
      </w:pPr>
      <w:r w:rsidRPr="00423C1D">
        <w:t>It is worth dealing next with this imputation because, like Imputation A, it carries with</w:t>
      </w:r>
      <w:r w:rsidR="00CE16AF">
        <w:t xml:space="preserve"> it</w:t>
      </w:r>
      <w:r w:rsidRPr="00423C1D">
        <w:t xml:space="preserve"> the notion that the article conveyed that Mr Murphy “is</w:t>
      </w:r>
      <w:r w:rsidRPr="00423C1D">
        <w:rPr>
          <w:spacing w:val="-16"/>
        </w:rPr>
        <w:t xml:space="preserve"> </w:t>
      </w:r>
      <w:r w:rsidRPr="00423C1D">
        <w:t>no</w:t>
      </w:r>
      <w:r w:rsidRPr="00423C1D">
        <w:rPr>
          <w:spacing w:val="-15"/>
        </w:rPr>
        <w:t xml:space="preserve"> </w:t>
      </w:r>
      <w:r w:rsidRPr="00423C1D">
        <w:t>longer</w:t>
      </w:r>
      <w:r w:rsidRPr="00423C1D">
        <w:rPr>
          <w:spacing w:val="-16"/>
        </w:rPr>
        <w:t xml:space="preserve"> </w:t>
      </w:r>
      <w:r w:rsidRPr="00423C1D">
        <w:t>fit</w:t>
      </w:r>
      <w:r w:rsidRPr="00423C1D">
        <w:rPr>
          <w:spacing w:val="-16"/>
        </w:rPr>
        <w:t xml:space="preserve"> </w:t>
      </w:r>
      <w:r w:rsidRPr="00423C1D">
        <w:t>to</w:t>
      </w:r>
      <w:r w:rsidRPr="00423C1D">
        <w:rPr>
          <w:spacing w:val="-16"/>
        </w:rPr>
        <w:t xml:space="preserve"> </w:t>
      </w:r>
      <w:r w:rsidRPr="00423C1D">
        <w:t>practice</w:t>
      </w:r>
      <w:r w:rsidRPr="00423C1D">
        <w:rPr>
          <w:spacing w:val="-15"/>
        </w:rPr>
        <w:t xml:space="preserve"> </w:t>
      </w:r>
      <w:r w:rsidRPr="00423C1D">
        <w:t>as</w:t>
      </w:r>
      <w:r w:rsidRPr="00423C1D">
        <w:rPr>
          <w:spacing w:val="-16"/>
        </w:rPr>
        <w:t xml:space="preserve"> </w:t>
      </w:r>
      <w:r w:rsidRPr="00423C1D">
        <w:t>a</w:t>
      </w:r>
      <w:r w:rsidRPr="00423C1D">
        <w:rPr>
          <w:spacing w:val="-16"/>
        </w:rPr>
        <w:t xml:space="preserve"> </w:t>
      </w:r>
      <w:r w:rsidRPr="00423C1D">
        <w:t xml:space="preserve">lawyer”.   </w:t>
      </w:r>
    </w:p>
    <w:p w14:paraId="455F8B0D" w14:textId="5A1F8893" w:rsidR="003B555D" w:rsidRPr="00423C1D" w:rsidRDefault="00CE16AF" w:rsidP="003B555D">
      <w:pPr>
        <w:pStyle w:val="ParaNumbering"/>
      </w:pPr>
      <w:r>
        <w:t>Imputation E was</w:t>
      </w:r>
      <w:r w:rsidR="003B555D" w:rsidRPr="00423C1D">
        <w:t xml:space="preserve"> said to be carried because “</w:t>
      </w:r>
      <w:r w:rsidR="003B555D" w:rsidRPr="00423C1D">
        <w:rPr>
          <w:iCs/>
        </w:rPr>
        <w:t>age</w:t>
      </w:r>
      <w:r w:rsidR="003B555D" w:rsidRPr="00423C1D">
        <w:t>” and “</w:t>
      </w:r>
      <w:r w:rsidR="003B555D" w:rsidRPr="00423C1D">
        <w:rPr>
          <w:iCs/>
        </w:rPr>
        <w:t>associated deafness</w:t>
      </w:r>
      <w:r>
        <w:t xml:space="preserve">” are permanent conditions and </w:t>
      </w:r>
      <w:r w:rsidR="003B555D" w:rsidRPr="00423C1D">
        <w:t>the juxtaposition of the photos of a younger Mr Murphy with a recent photo</w:t>
      </w:r>
      <w:r w:rsidR="000E5B55" w:rsidRPr="00423C1D">
        <w:t>graph</w:t>
      </w:r>
      <w:r w:rsidR="003B555D" w:rsidRPr="00423C1D">
        <w:t xml:space="preserve"> of a </w:t>
      </w:r>
      <w:r w:rsidR="000E5B55" w:rsidRPr="00423C1D">
        <w:t xml:space="preserve">dishevelled and </w:t>
      </w:r>
      <w:r w:rsidR="003B555D" w:rsidRPr="00423C1D">
        <w:t xml:space="preserve">considerably older </w:t>
      </w:r>
      <w:r w:rsidR="000E5B55" w:rsidRPr="00423C1D">
        <w:t xml:space="preserve">man </w:t>
      </w:r>
      <w:r w:rsidR="003B555D" w:rsidRPr="00423C1D">
        <w:t>con</w:t>
      </w:r>
      <w:r w:rsidR="003E130B" w:rsidRPr="00423C1D">
        <w:t xml:space="preserve">veys a physical deterioration. </w:t>
      </w:r>
      <w:r>
        <w:t>Further, t</w:t>
      </w:r>
      <w:r w:rsidR="003B555D" w:rsidRPr="00423C1D">
        <w:t>he suggestion that he is “</w:t>
      </w:r>
      <w:r w:rsidR="003B555D" w:rsidRPr="00423C1D">
        <w:rPr>
          <w:iCs/>
        </w:rPr>
        <w:t>no longer fit to practice as a lawyer</w:t>
      </w:r>
      <w:r w:rsidR="00443905">
        <w:t>” was</w:t>
      </w:r>
      <w:r w:rsidR="003B555D" w:rsidRPr="00423C1D">
        <w:t xml:space="preserve"> said to be carried by reason of the c</w:t>
      </w:r>
      <w:r>
        <w:t>ontents of [10] of the article.</w:t>
      </w:r>
      <w:r w:rsidR="003B555D" w:rsidRPr="00423C1D">
        <w:t xml:space="preserve"> Mr Murphy submits that the central point is that he is said to have been “</w:t>
      </w:r>
      <w:r w:rsidR="003B555D" w:rsidRPr="00423C1D">
        <w:rPr>
          <w:iCs/>
        </w:rPr>
        <w:t>kept</w:t>
      </w:r>
      <w:r w:rsidR="003B555D" w:rsidRPr="00423C1D">
        <w:t>” from his practice in court (and therefore, as a lawyer) by reason of matters that the ordinary reasonable reader would consider permanent and irreversible.</w:t>
      </w:r>
    </w:p>
    <w:p w14:paraId="7D664D82" w14:textId="14AC70D6" w:rsidR="003B555D" w:rsidRPr="00423C1D" w:rsidRDefault="003B555D" w:rsidP="003B555D">
      <w:pPr>
        <w:pStyle w:val="ParaNumbering"/>
      </w:pPr>
      <w:r w:rsidRPr="00423C1D">
        <w:t xml:space="preserve">For the reasons identified </w:t>
      </w:r>
      <w:r w:rsidR="00923E89" w:rsidRPr="00423C1D">
        <w:t>(</w:t>
      </w:r>
      <w:r w:rsidRPr="00423C1D">
        <w:t xml:space="preserve">at </w:t>
      </w:r>
      <w:r w:rsidR="00E1606A" w:rsidRPr="00423C1D">
        <w:t>[17]–</w:t>
      </w:r>
      <w:r w:rsidRPr="00423C1D">
        <w:t>[19]</w:t>
      </w:r>
      <w:r w:rsidR="00923E89" w:rsidRPr="00423C1D">
        <w:t>) above</w:t>
      </w:r>
      <w:r w:rsidRPr="00423C1D">
        <w:t>, I do not consider Imputation E was conveyed.</w:t>
      </w:r>
    </w:p>
    <w:p w14:paraId="58B8619F" w14:textId="77777777" w:rsidR="003B555D" w:rsidRPr="00423C1D" w:rsidRDefault="003B555D" w:rsidP="001530E0">
      <w:pPr>
        <w:pStyle w:val="Heading3"/>
      </w:pPr>
      <w:bookmarkStart w:id="28" w:name="_Ref69479629"/>
      <w:r w:rsidRPr="00423C1D">
        <w:t>Imputations C &amp; D</w:t>
      </w:r>
      <w:bookmarkEnd w:id="28"/>
      <w:r w:rsidRPr="00423C1D">
        <w:t xml:space="preserve"> </w:t>
      </w:r>
    </w:p>
    <w:p w14:paraId="3485F218" w14:textId="35430ECC" w:rsidR="003B555D" w:rsidRPr="008F7856" w:rsidRDefault="003B555D" w:rsidP="003B555D">
      <w:pPr>
        <w:pStyle w:val="ParaNumbering"/>
      </w:pPr>
      <w:r w:rsidRPr="00423C1D">
        <w:t>These imputations do not</w:t>
      </w:r>
      <w:r w:rsidRPr="008F7856">
        <w:t xml:space="preserve"> contain the vice identified </w:t>
      </w:r>
      <w:r w:rsidR="00923E89" w:rsidRPr="008F7856">
        <w:t>(</w:t>
      </w:r>
      <w:r w:rsidRPr="008F7856">
        <w:t>at [16]</w:t>
      </w:r>
      <w:r w:rsidR="00923E89" w:rsidRPr="008F7856">
        <w:t>)</w:t>
      </w:r>
      <w:r w:rsidRPr="008F7856">
        <w:t xml:space="preserve"> above.</w:t>
      </w:r>
    </w:p>
    <w:p w14:paraId="11A55AB0" w14:textId="374DB5D6" w:rsidR="003B555D" w:rsidRPr="00057DB7" w:rsidRDefault="003B555D" w:rsidP="003B555D">
      <w:pPr>
        <w:pStyle w:val="ParaNumbering"/>
      </w:pPr>
      <w:r w:rsidRPr="00057DB7">
        <w:lastRenderedPageBreak/>
        <w:t>Mr Murphy submits that Imputation D is the most straightforward</w:t>
      </w:r>
      <w:r w:rsidR="00E1606A">
        <w:t xml:space="preserve"> and</w:t>
      </w:r>
      <w:r w:rsidRPr="00057DB7">
        <w:t xml:space="preserve"> can be sourced directly from [10] of the print article, which is repeated in the internet article. That passage refers specifically to Mr Murphy</w:t>
      </w:r>
      <w:r w:rsidR="00CE16AF">
        <w:t xml:space="preserve"> being</w:t>
      </w:r>
      <w:r w:rsidR="00D57562">
        <w:t>: (a) a lawyer;</w:t>
      </w:r>
      <w:r w:rsidRPr="00057DB7">
        <w:t xml:space="preserve"> (b) “ravaged by age and associated deafness”; and (c) “kept” from representing his clients </w:t>
      </w:r>
      <w:r w:rsidR="00CE16AF">
        <w:t>in</w:t>
      </w:r>
      <w:r w:rsidRPr="00057DB7">
        <w:t xml:space="preserve"> court by reason of (b). </w:t>
      </w:r>
    </w:p>
    <w:p w14:paraId="0F94CEDC" w14:textId="7FB9ED3A" w:rsidR="00033124" w:rsidRPr="008F7856" w:rsidRDefault="008F1B4E" w:rsidP="003B555D">
      <w:pPr>
        <w:pStyle w:val="ParaNumbering"/>
      </w:pPr>
      <w:r>
        <w:t>It was</w:t>
      </w:r>
      <w:r w:rsidR="003B555D" w:rsidRPr="008F7856">
        <w:t xml:space="preserve"> accepted by Mr Murphy that Imputation C differs from Imputation D in that it is broader and is not limited in its concern with Mr Murphy’s ability to represent his client’s interests in court, but </w:t>
      </w:r>
      <w:r w:rsidR="004E3667">
        <w:t>rather in a more general sense.</w:t>
      </w:r>
      <w:r w:rsidR="003B555D" w:rsidRPr="008F7856">
        <w:t xml:space="preserve"> </w:t>
      </w:r>
      <w:r w:rsidR="00033124" w:rsidRPr="008F7856">
        <w:t xml:space="preserve">Although I have largely dealt with this point </w:t>
      </w:r>
      <w:r w:rsidR="00E1606A" w:rsidRPr="008F7856">
        <w:t>(at [17]–</w:t>
      </w:r>
      <w:r w:rsidR="00033124" w:rsidRPr="008F7856">
        <w:t>[19]</w:t>
      </w:r>
      <w:r w:rsidR="00E1606A" w:rsidRPr="008F7856">
        <w:t>)</w:t>
      </w:r>
      <w:r w:rsidR="00033124" w:rsidRPr="008F7856">
        <w:t xml:space="preserve"> above, it is appropriate to descend </w:t>
      </w:r>
      <w:r w:rsidR="00CE16AF">
        <w:t>in</w:t>
      </w:r>
      <w:r w:rsidR="00033124" w:rsidRPr="008F7856">
        <w:t>to some further detail here to do justice to the s</w:t>
      </w:r>
      <w:r w:rsidR="00DA2909" w:rsidRPr="008F7856">
        <w:t xml:space="preserve">ubmissions </w:t>
      </w:r>
      <w:r w:rsidR="00033124" w:rsidRPr="008F7856">
        <w:t>made in support of Imputation C</w:t>
      </w:r>
      <w:r w:rsidR="00DA2909" w:rsidRPr="008F7856">
        <w:t xml:space="preserve"> being conveyed</w:t>
      </w:r>
      <w:r w:rsidR="00033124" w:rsidRPr="008F7856">
        <w:t>.</w:t>
      </w:r>
    </w:p>
    <w:p w14:paraId="5AD074E2" w14:textId="246BDF4C" w:rsidR="003B555D" w:rsidRPr="00057DB7" w:rsidRDefault="003B555D" w:rsidP="003B555D">
      <w:pPr>
        <w:pStyle w:val="ParaNumbering"/>
      </w:pPr>
      <w:r w:rsidRPr="00057DB7">
        <w:t>Mr Murphy is identifi</w:t>
      </w:r>
      <w:r w:rsidR="001A154E">
        <w:t xml:space="preserve">ed as a criminal lawyer in [12]–[13] of the </w:t>
      </w:r>
      <w:r w:rsidR="00CE16AF">
        <w:t xml:space="preserve">print </w:t>
      </w:r>
      <w:r w:rsidR="001A154E">
        <w:t>article.</w:t>
      </w:r>
      <w:r w:rsidRPr="00057DB7">
        <w:t xml:space="preserve"> It was submitted by Mr Murphy that the ordinary reasonable reader (being a layman and not a lawyer) is a person whose knowledge of the legal system, and specifically the criminal justice element of the legal system, associates criminal lawyers with in-court</w:t>
      </w:r>
      <w:r w:rsidR="00CE16AF">
        <w:t xml:space="preserve"> advocacy of the kind seen in </w:t>
      </w:r>
      <w:r w:rsidRPr="00057DB7">
        <w:t>the television programmes “Law and Order”, “</w:t>
      </w:r>
      <w:proofErr w:type="spellStart"/>
      <w:r w:rsidRPr="00057DB7">
        <w:t>Rumpole</w:t>
      </w:r>
      <w:proofErr w:type="spellEnd"/>
      <w:r w:rsidRPr="00057DB7">
        <w:t xml:space="preserve"> of the Bailey” or “Perry Mason”, or the film “A Few Good Men” (depending on the vintage of the ordinary reasonable reader).   </w:t>
      </w:r>
    </w:p>
    <w:p w14:paraId="0A20ED54" w14:textId="38B6FF89" w:rsidR="003B555D" w:rsidRPr="00057DB7" w:rsidRDefault="003B555D" w:rsidP="003B555D">
      <w:pPr>
        <w:pStyle w:val="ParaNumbering"/>
      </w:pPr>
      <w:r w:rsidRPr="00057DB7">
        <w:t xml:space="preserve">Reference was </w:t>
      </w:r>
      <w:r w:rsidR="008F1B4E">
        <w:t>made to the oft-quoted words of</w:t>
      </w:r>
      <w:r w:rsidRPr="00057DB7">
        <w:t xml:space="preserve"> Lord Devlin in </w:t>
      </w:r>
      <w:r w:rsidRPr="00057DB7">
        <w:rPr>
          <w:i/>
          <w:iCs/>
        </w:rPr>
        <w:t>Lewis v Daily Telegraph</w:t>
      </w:r>
      <w:r w:rsidR="001A154E">
        <w:rPr>
          <w:i/>
          <w:iCs/>
        </w:rPr>
        <w:t xml:space="preserve"> Ltd</w:t>
      </w:r>
      <w:r w:rsidRPr="00057DB7">
        <w:rPr>
          <w:i/>
          <w:iCs/>
        </w:rPr>
        <w:t xml:space="preserve"> </w:t>
      </w:r>
      <w:r w:rsidRPr="00057DB7">
        <w:t xml:space="preserve">[1964] AC 234 </w:t>
      </w:r>
      <w:r w:rsidR="001A154E">
        <w:t>(</w:t>
      </w:r>
      <w:r w:rsidRPr="00057DB7">
        <w:t>at 277</w:t>
      </w:r>
      <w:r w:rsidR="001A154E">
        <w:t>)</w:t>
      </w:r>
      <w:r w:rsidRPr="00057DB7">
        <w:t>:</w:t>
      </w:r>
    </w:p>
    <w:p w14:paraId="2C3D6038" w14:textId="61945C60" w:rsidR="003B555D" w:rsidRPr="00057DB7" w:rsidRDefault="003B555D" w:rsidP="003B555D">
      <w:pPr>
        <w:pStyle w:val="Quote1"/>
      </w:pPr>
      <w:r w:rsidRPr="00057DB7">
        <w:t>…</w:t>
      </w:r>
      <w:r w:rsidR="001A154E">
        <w:t xml:space="preserve"> </w:t>
      </w:r>
      <w:r w:rsidRPr="00057DB7">
        <w:t>the natural and ordinary meaning of words ought in theory to be the same for the lawyer as for</w:t>
      </w:r>
      <w:r w:rsidR="001A154E">
        <w:t xml:space="preserve"> the layman, because the lawyer’</w:t>
      </w:r>
      <w:r w:rsidRPr="00057DB7">
        <w:t xml:space="preserve">s first rule of construction is that words are to be given their natural and ordinary meaning as popularly understood. The proposition that ordinary words are the same for the lawyer as for the layman is as a matter of pure construction undoubtedly true. But it is very difficult to draw the line between pure construction and implication, and </w:t>
      </w:r>
      <w:r w:rsidRPr="00057DB7">
        <w:rPr>
          <w:b/>
        </w:rPr>
        <w:t>the layma</w:t>
      </w:r>
      <w:r w:rsidR="001A154E">
        <w:rPr>
          <w:b/>
        </w:rPr>
        <w:t>n’</w:t>
      </w:r>
      <w:r w:rsidRPr="00057DB7">
        <w:rPr>
          <w:b/>
        </w:rPr>
        <w:t>s capacity for implication is much greate</w:t>
      </w:r>
      <w:r w:rsidR="00CE16AF">
        <w:rPr>
          <w:b/>
        </w:rPr>
        <w:t>r than the lawyer’</w:t>
      </w:r>
      <w:r w:rsidR="001A154E">
        <w:rPr>
          <w:b/>
        </w:rPr>
        <w:t>s. The lawyer’</w:t>
      </w:r>
      <w:r w:rsidRPr="00057DB7">
        <w:rPr>
          <w:b/>
        </w:rPr>
        <w:t>s rule is that the implication must be necessary as well as reasonable. The layman reads in an implication much more freely; and unfortunately, as the law of defamation has to take into account, is especially prone to do so when it is derogatory.</w:t>
      </w:r>
      <w:r w:rsidRPr="00057DB7">
        <w:t xml:space="preserve">” </w:t>
      </w:r>
    </w:p>
    <w:p w14:paraId="49A120BB" w14:textId="17EEF3E8" w:rsidR="003B555D" w:rsidRPr="00057DB7" w:rsidRDefault="003B555D" w:rsidP="003B555D">
      <w:pPr>
        <w:pStyle w:val="Quote1"/>
      </w:pPr>
      <w:r w:rsidRPr="00057DB7">
        <w:t>(Emphasis added)</w:t>
      </w:r>
      <w:r w:rsidR="001A154E">
        <w:t>.</w:t>
      </w:r>
    </w:p>
    <w:p w14:paraId="45717E59" w14:textId="77777777" w:rsidR="003B555D" w:rsidRPr="00057DB7" w:rsidRDefault="003B555D" w:rsidP="003B555D">
      <w:pPr>
        <w:pStyle w:val="ParaNumbering"/>
      </w:pPr>
      <w:r w:rsidRPr="00057DB7">
        <w:t>I</w:t>
      </w:r>
      <w:r w:rsidR="00B77E08" w:rsidRPr="00057DB7">
        <w:t>t was submitted that i</w:t>
      </w:r>
      <w:r w:rsidRPr="00057DB7">
        <w:t>f sufficient regard is had to the attributes of the ordinary reasonable reader, a reference to a criminal lawyer who is being “</w:t>
      </w:r>
      <w:r w:rsidRPr="00057DB7">
        <w:rPr>
          <w:iCs/>
        </w:rPr>
        <w:t>kept</w:t>
      </w:r>
      <w:r w:rsidRPr="00057DB7">
        <w:t xml:space="preserve">” from representing </w:t>
      </w:r>
      <w:r w:rsidR="00B77E08" w:rsidRPr="00057DB7">
        <w:t>his</w:t>
      </w:r>
      <w:r w:rsidRPr="00057DB7">
        <w:t xml:space="preserve"> clients in court, is a reference to a criminal lawyer who is being “</w:t>
      </w:r>
      <w:r w:rsidRPr="00057DB7">
        <w:rPr>
          <w:iCs/>
        </w:rPr>
        <w:t>kept</w:t>
      </w:r>
      <w:r w:rsidRPr="00057DB7">
        <w:t>” from representing</w:t>
      </w:r>
      <w:r w:rsidR="00B77E08" w:rsidRPr="00057DB7">
        <w:t xml:space="preserve"> his client’s</w:t>
      </w:r>
      <w:r w:rsidRPr="00057DB7">
        <w:t xml:space="preserve"> interests </w:t>
      </w:r>
      <w:r w:rsidRPr="00057DB7">
        <w:rPr>
          <w:i/>
        </w:rPr>
        <w:t>at all</w:t>
      </w:r>
      <w:r w:rsidRPr="00057DB7">
        <w:t xml:space="preserve">. To find otherwise, Mr Murphy submitted, would be to make far too much of the use of the word “court” in the article.  </w:t>
      </w:r>
    </w:p>
    <w:p w14:paraId="2E09030F" w14:textId="23B90056" w:rsidR="003B555D" w:rsidRPr="00057DB7" w:rsidRDefault="003B555D" w:rsidP="003B555D">
      <w:pPr>
        <w:pStyle w:val="ParaNumbering"/>
      </w:pPr>
      <w:r w:rsidRPr="00057DB7">
        <w:t>Much emphasis was placed on the notion that an ordinary reasonable reader would not know</w:t>
      </w:r>
      <w:r w:rsidR="00CE16AF">
        <w:t xml:space="preserve"> that</w:t>
      </w:r>
      <w:r w:rsidRPr="00057DB7">
        <w:t xml:space="preserve"> the scope of a solicitor’s work </w:t>
      </w:r>
      <w:r w:rsidR="00CE16AF">
        <w:t>extends</w:t>
      </w:r>
      <w:r w:rsidRPr="00057DB7">
        <w:t xml:space="preserve">, </w:t>
      </w:r>
      <w:r w:rsidR="00B77E08" w:rsidRPr="00057DB7">
        <w:t>as it does, to a wide range of tasks</w:t>
      </w:r>
      <w:r w:rsidRPr="00057DB7">
        <w:t xml:space="preserve"> beyond appearing </w:t>
      </w:r>
      <w:r w:rsidRPr="00057DB7">
        <w:lastRenderedPageBreak/>
        <w:t xml:space="preserve">in a </w:t>
      </w:r>
      <w:r w:rsidR="00CE0F75">
        <w:t>c</w:t>
      </w:r>
      <w:r w:rsidRPr="00057DB7">
        <w:t>ourt</w:t>
      </w:r>
      <w:r w:rsidR="000E5B55" w:rsidRPr="00057DB7">
        <w:t xml:space="preserve"> </w:t>
      </w:r>
      <w:r w:rsidR="002C288B">
        <w:t>room.</w:t>
      </w:r>
      <w:r w:rsidRPr="00057DB7">
        <w:t xml:space="preserve"> It was </w:t>
      </w:r>
      <w:r w:rsidR="001D3281" w:rsidRPr="00057DB7">
        <w:t>stressed</w:t>
      </w:r>
      <w:r w:rsidRPr="00057DB7">
        <w:t xml:space="preserve"> that nowhere in the article was the word “solicitor” used and that it would be artificial to consider that an ordinary reasonable reader would understand that Mr Murphy, as a solicitor, would be understood to </w:t>
      </w:r>
      <w:r w:rsidRPr="001A2C9E">
        <w:t xml:space="preserve">have work away from the perceived essence of his role as a criminal lawyer – appearing </w:t>
      </w:r>
      <w:r w:rsidR="00D57562" w:rsidRPr="001A2C9E">
        <w:t xml:space="preserve">primarily </w:t>
      </w:r>
      <w:r w:rsidRPr="001A2C9E">
        <w:t xml:space="preserve">in the Local </w:t>
      </w:r>
      <w:r w:rsidR="00D57562" w:rsidRPr="001A2C9E">
        <w:t xml:space="preserve">or District </w:t>
      </w:r>
      <w:r w:rsidRPr="001A2C9E">
        <w:t>Court</w:t>
      </w:r>
      <w:r w:rsidR="00D57562" w:rsidRPr="001A2C9E">
        <w:t>s</w:t>
      </w:r>
      <w:r w:rsidRPr="001A2C9E">
        <w:t xml:space="preserve"> doing </w:t>
      </w:r>
      <w:r w:rsidR="001A2C9E" w:rsidRPr="001A2C9E">
        <w:t>mentions</w:t>
      </w:r>
      <w:r w:rsidR="00D57562" w:rsidRPr="001A2C9E">
        <w:t xml:space="preserve">, </w:t>
      </w:r>
      <w:r w:rsidRPr="001A2C9E">
        <w:t>pleas</w:t>
      </w:r>
      <w:r w:rsidR="00D57562" w:rsidRPr="001A2C9E">
        <w:t xml:space="preserve"> and summary hearings</w:t>
      </w:r>
      <w:r w:rsidRPr="001A2C9E">
        <w:t>.</w:t>
      </w:r>
      <w:r w:rsidRPr="00057DB7">
        <w:t xml:space="preserve">  </w:t>
      </w:r>
    </w:p>
    <w:p w14:paraId="2AC7316A" w14:textId="5CCA3784" w:rsidR="003B555D" w:rsidRPr="00057DB7" w:rsidRDefault="003B555D" w:rsidP="003B555D">
      <w:pPr>
        <w:pStyle w:val="ParaNumbering"/>
      </w:pPr>
      <w:r w:rsidRPr="00057DB7">
        <w:t xml:space="preserve">I accept the true scope and nature of the work done by </w:t>
      </w:r>
      <w:r w:rsidR="001D3281" w:rsidRPr="00057DB7">
        <w:t>solicitors</w:t>
      </w:r>
      <w:r w:rsidRPr="00057DB7">
        <w:t xml:space="preserve"> acting </w:t>
      </w:r>
      <w:r w:rsidR="001D3281" w:rsidRPr="00057DB7">
        <w:t xml:space="preserve">exclusively </w:t>
      </w:r>
      <w:r w:rsidRPr="00057DB7">
        <w:t xml:space="preserve">in criminal matters may be somewhat obscure to an ordinary reader. </w:t>
      </w:r>
      <w:r w:rsidR="001D3281" w:rsidRPr="00057DB7">
        <w:t>Further, the hypothetical referee would not have a lawyer’s appreciation of distinctions betw</w:t>
      </w:r>
      <w:r w:rsidR="002C288B">
        <w:t>een the work of barristers and</w:t>
      </w:r>
      <w:r w:rsidR="001D3281" w:rsidRPr="00057DB7">
        <w:t xml:space="preserve"> solicitors and it is noteworthy that the word used throughout the article to describe Mr Murphy was “lawyer”.  </w:t>
      </w:r>
      <w:r w:rsidRPr="00057DB7">
        <w:t>Despite this, as I have already explained in the context of Imputation A above, when one reads the article as a whole, including [10] and [11] together</w:t>
      </w:r>
      <w:r w:rsidR="00CE0F75">
        <w:t xml:space="preserve"> (as it appears in the print article)</w:t>
      </w:r>
      <w:r w:rsidR="000E5B55" w:rsidRPr="00057DB7">
        <w:t>,</w:t>
      </w:r>
      <w:r w:rsidRPr="00057DB7">
        <w:t xml:space="preserve"> what is said </w:t>
      </w:r>
      <w:r w:rsidR="001D3281" w:rsidRPr="00057DB7">
        <w:t xml:space="preserve">to the ordinary reasonable reader </w:t>
      </w:r>
      <w:r w:rsidRPr="00057DB7">
        <w:t xml:space="preserve">is that: (a) Mr Murphy’s difficulties had kept him from appearing </w:t>
      </w:r>
      <w:r w:rsidRPr="00057DB7">
        <w:rPr>
          <w:i/>
        </w:rPr>
        <w:t>in court</w:t>
      </w:r>
      <w:r w:rsidRPr="00D57562">
        <w:t>;</w:t>
      </w:r>
      <w:r w:rsidRPr="00057DB7">
        <w:t xml:space="preserve"> (b) he had a role </w:t>
      </w:r>
      <w:r w:rsidR="00B77E08" w:rsidRPr="00057DB7">
        <w:t xml:space="preserve">which included him </w:t>
      </w:r>
      <w:r w:rsidR="001D3281" w:rsidRPr="00057DB7">
        <w:t xml:space="preserve">presently </w:t>
      </w:r>
      <w:r w:rsidR="00B77E08" w:rsidRPr="00057DB7">
        <w:t>having</w:t>
      </w:r>
      <w:r w:rsidR="00CE16AF">
        <w:t xml:space="preserve"> a “second-in-</w:t>
      </w:r>
      <w:r w:rsidRPr="00057DB7">
        <w:t xml:space="preserve">command”; </w:t>
      </w:r>
      <w:r w:rsidR="00B77E08" w:rsidRPr="00057DB7">
        <w:t xml:space="preserve">and </w:t>
      </w:r>
      <w:r w:rsidRPr="00057DB7">
        <w:t xml:space="preserve">(c) he continued to have clients </w:t>
      </w:r>
      <w:r w:rsidR="001D3281" w:rsidRPr="00057DB7">
        <w:t>(</w:t>
      </w:r>
      <w:r w:rsidRPr="00057DB7">
        <w:t xml:space="preserve">and hence </w:t>
      </w:r>
      <w:r w:rsidR="000E5B55" w:rsidRPr="00057DB7">
        <w:t xml:space="preserve">some </w:t>
      </w:r>
      <w:r w:rsidR="00B77E08" w:rsidRPr="00057DB7">
        <w:t>work as a lawyer</w:t>
      </w:r>
      <w:r w:rsidR="001D3281" w:rsidRPr="00057DB7">
        <w:t>)</w:t>
      </w:r>
      <w:r w:rsidRPr="00057DB7">
        <w:t xml:space="preserve">.  </w:t>
      </w:r>
    </w:p>
    <w:p w14:paraId="36BF769E" w14:textId="77777777" w:rsidR="003B555D" w:rsidRPr="00057DB7" w:rsidRDefault="003B555D" w:rsidP="003B555D">
      <w:pPr>
        <w:pStyle w:val="ParaNumbering"/>
      </w:pPr>
      <w:r w:rsidRPr="00057DB7">
        <w:t xml:space="preserve">Although I consider Imputation D was clearly conveyed, Imputation C </w:t>
      </w:r>
      <w:r w:rsidR="00690F1D" w:rsidRPr="00057DB7">
        <w:t xml:space="preserve">was </w:t>
      </w:r>
      <w:r w:rsidR="00DA2909" w:rsidRPr="00057DB7">
        <w:t xml:space="preserve">not </w:t>
      </w:r>
      <w:r w:rsidR="00690F1D" w:rsidRPr="00057DB7">
        <w:t>conveyed</w:t>
      </w:r>
      <w:r w:rsidRPr="00057DB7">
        <w:t>.</w:t>
      </w:r>
    </w:p>
    <w:p w14:paraId="6A364D55" w14:textId="2E7115AF" w:rsidR="003B555D" w:rsidRPr="00057DB7" w:rsidRDefault="003B555D" w:rsidP="003B555D">
      <w:pPr>
        <w:pStyle w:val="ParaNumbering"/>
      </w:pPr>
      <w:r w:rsidRPr="00057DB7">
        <w:t>It follows</w:t>
      </w:r>
      <w:r w:rsidR="00CE16AF">
        <w:t xml:space="preserve"> that</w:t>
      </w:r>
      <w:r w:rsidRPr="00057DB7">
        <w:t xml:space="preserve"> it is next necessary to determine whether the only imputation that was conveyed (Imputation D) was defamatory.</w:t>
      </w:r>
    </w:p>
    <w:p w14:paraId="4041B016" w14:textId="77777777" w:rsidR="003B555D" w:rsidRPr="00057DB7" w:rsidRDefault="003B555D" w:rsidP="003B555D">
      <w:pPr>
        <w:pStyle w:val="Heading2"/>
      </w:pPr>
      <w:bookmarkStart w:id="29" w:name="_Ref69479630"/>
      <w:r w:rsidRPr="00057DB7">
        <w:t>C.2</w:t>
      </w:r>
      <w:r w:rsidRPr="00057DB7">
        <w:tab/>
        <w:t>Was it Defamatory?</w:t>
      </w:r>
      <w:bookmarkEnd w:id="29"/>
    </w:p>
    <w:p w14:paraId="330D1FA6" w14:textId="02A57468" w:rsidR="003B555D" w:rsidRPr="00057DB7" w:rsidRDefault="003B555D" w:rsidP="003B555D">
      <w:pPr>
        <w:pStyle w:val="ParaNumbering"/>
      </w:pPr>
      <w:r w:rsidRPr="00057DB7">
        <w:t xml:space="preserve">An imputation will be defamatory of a person if it would cause the ordinary reasonable reader to think the less of the person when applying the ordinary reader’s general knowledge and their knowledge of standards held by the general community: </w:t>
      </w:r>
      <w:r w:rsidRPr="00057DB7">
        <w:rPr>
          <w:i/>
          <w:iCs/>
        </w:rPr>
        <w:t xml:space="preserve">JWR Productions Australia Pty Ltd v Duncan-Watt (No 2) </w:t>
      </w:r>
      <w:r w:rsidRPr="00057DB7">
        <w:t>[2020] FCA 236;</w:t>
      </w:r>
      <w:r w:rsidR="002C288B">
        <w:t xml:space="preserve"> (2020)</w:t>
      </w:r>
      <w:r w:rsidRPr="00057DB7">
        <w:t xml:space="preserve"> 377 ALR 467 </w:t>
      </w:r>
      <w:r w:rsidR="002C288B">
        <w:t>(</w:t>
      </w:r>
      <w:r w:rsidRPr="00057DB7">
        <w:t>at 541</w:t>
      </w:r>
      <w:r w:rsidR="002C288B">
        <w:t xml:space="preserve"> </w:t>
      </w:r>
      <w:r w:rsidRPr="00057DB7">
        <w:t>[387] per Thawley J</w:t>
      </w:r>
      <w:r w:rsidR="002C288B">
        <w:t>)</w:t>
      </w:r>
      <w:r w:rsidRPr="00057DB7">
        <w:t>.</w:t>
      </w:r>
    </w:p>
    <w:p w14:paraId="1983ED1D" w14:textId="77853F95" w:rsidR="003B555D" w:rsidRPr="00057DB7" w:rsidRDefault="003B555D" w:rsidP="003B555D">
      <w:pPr>
        <w:pStyle w:val="ParaNumbering"/>
      </w:pPr>
      <w:r w:rsidRPr="00057DB7">
        <w:t xml:space="preserve">More particularly, given the nature of Imputation D, a person’s business or professional reputation can be damaged without reflecting on his character, as is the case here.  This issue was discussed by Gleeson CJ and </w:t>
      </w:r>
      <w:proofErr w:type="spellStart"/>
      <w:r w:rsidRPr="00057DB7">
        <w:t>Crennan</w:t>
      </w:r>
      <w:proofErr w:type="spellEnd"/>
      <w:r w:rsidRPr="00057DB7">
        <w:t xml:space="preserve"> J in </w:t>
      </w:r>
      <w:r w:rsidRPr="00057DB7">
        <w:rPr>
          <w:i/>
          <w:iCs/>
        </w:rPr>
        <w:t xml:space="preserve">John Fairfax Publications Pty Ltd v </w:t>
      </w:r>
      <w:proofErr w:type="spellStart"/>
      <w:r w:rsidRPr="00057DB7">
        <w:rPr>
          <w:i/>
          <w:iCs/>
        </w:rPr>
        <w:t>Gacic</w:t>
      </w:r>
      <w:proofErr w:type="spellEnd"/>
      <w:r w:rsidRPr="00057DB7">
        <w:t xml:space="preserve"> </w:t>
      </w:r>
      <w:r w:rsidR="002C288B">
        <w:t xml:space="preserve">[2007] HCA 28; </w:t>
      </w:r>
      <w:r w:rsidRPr="00057DB7">
        <w:t xml:space="preserve">(2007) 230 CLR 291 </w:t>
      </w:r>
      <w:r w:rsidR="002C288B">
        <w:t>(</w:t>
      </w:r>
      <w:r w:rsidRPr="00057DB7">
        <w:t>at 294</w:t>
      </w:r>
      <w:r w:rsidR="002C288B">
        <w:t xml:space="preserve"> [2], </w:t>
      </w:r>
      <w:r w:rsidR="008F1B4E">
        <w:t>see also</w:t>
      </w:r>
      <w:r w:rsidRPr="00057DB7">
        <w:t xml:space="preserve"> 295</w:t>
      </w:r>
      <w:r w:rsidR="007833F8">
        <w:t xml:space="preserve"> </w:t>
      </w:r>
      <w:r w:rsidRPr="00057DB7">
        <w:t>[6])</w:t>
      </w:r>
      <w:r w:rsidR="00690F1D" w:rsidRPr="00057DB7">
        <w:t>,</w:t>
      </w:r>
      <w:r w:rsidRPr="00057DB7">
        <w:t xml:space="preserve"> which was a case that: </w:t>
      </w:r>
    </w:p>
    <w:p w14:paraId="76DB9B7F" w14:textId="2F090DDD" w:rsidR="002C288B" w:rsidRDefault="007833F8" w:rsidP="003B555D">
      <w:pPr>
        <w:pStyle w:val="Quote1"/>
        <w:rPr>
          <w:b/>
          <w:bCs/>
        </w:rPr>
      </w:pPr>
      <w:r>
        <w:t>… concern[</w:t>
      </w:r>
      <w:proofErr w:type="spellStart"/>
      <w:r>
        <w:t>ed</w:t>
      </w:r>
      <w:proofErr w:type="spellEnd"/>
      <w:r>
        <w:t>]</w:t>
      </w:r>
      <w:r w:rsidR="003B555D" w:rsidRPr="00057DB7">
        <w:t xml:space="preserve"> that form of defamation which involves injury to business reputation, that is, the publication of imputations that have a tendency to injure a person in his or her business, trade, or profession. That the law of defamation affords such protection is not surprising. </w:t>
      </w:r>
      <w:r w:rsidR="003B555D" w:rsidRPr="00057DB7">
        <w:rPr>
          <w:b/>
          <w:bCs/>
        </w:rPr>
        <w:t xml:space="preserve">Suppose someone says: “X is a thoroughly decent person, but he is showing signs of age; his eyesight is poor, and his hands tremble.” That would not be a reflection on X’s character. It would be likely to evoke sympathy rather than hatred, ridicule or contempt. If, however, X were a surgeon, the statement </w:t>
      </w:r>
      <w:r w:rsidR="003B555D" w:rsidRPr="00057DB7">
        <w:rPr>
          <w:b/>
          <w:bCs/>
        </w:rPr>
        <w:lastRenderedPageBreak/>
        <w:t xml:space="preserve">could be damaging. To say that someone is a good person, but a dangerously incompetent surgeon, is clearly likely to injure the person’s professional reputation. That is an established form of defamation, and it was not called in question by the parties to the present appeal. </w:t>
      </w:r>
    </w:p>
    <w:p w14:paraId="752C21C9" w14:textId="799BED8C" w:rsidR="003B555D" w:rsidRPr="00057DB7" w:rsidRDefault="003B555D" w:rsidP="003B555D">
      <w:pPr>
        <w:pStyle w:val="Quote1"/>
      </w:pPr>
      <w:r w:rsidRPr="00057DB7">
        <w:t>(Emphasis added)</w:t>
      </w:r>
      <w:r w:rsidR="002C288B">
        <w:t>.</w:t>
      </w:r>
    </w:p>
    <w:p w14:paraId="39191B53" w14:textId="5E25E5CD" w:rsidR="003B555D" w:rsidRPr="008F7856" w:rsidRDefault="003B555D" w:rsidP="007833F8">
      <w:pPr>
        <w:pStyle w:val="ParaNumbering"/>
      </w:pPr>
      <w:bookmarkStart w:id="30" w:name="_Ref66832608"/>
      <w:r w:rsidRPr="008F7856">
        <w:t xml:space="preserve">As Mr Murphy notes, these observations were cited with apparent approval and further explained by French CJ, </w:t>
      </w:r>
      <w:proofErr w:type="spellStart"/>
      <w:r w:rsidRPr="008F7856">
        <w:t>Gummow</w:t>
      </w:r>
      <w:proofErr w:type="spellEnd"/>
      <w:r w:rsidRPr="008F7856">
        <w:t xml:space="preserve">, </w:t>
      </w:r>
      <w:proofErr w:type="spellStart"/>
      <w:r w:rsidRPr="008F7856">
        <w:t>Kiefel</w:t>
      </w:r>
      <w:proofErr w:type="spellEnd"/>
      <w:r w:rsidRPr="008F7856">
        <w:t xml:space="preserve"> and Bell JJ in </w:t>
      </w:r>
      <w:r w:rsidRPr="008F7856">
        <w:rPr>
          <w:i/>
          <w:iCs/>
        </w:rPr>
        <w:t xml:space="preserve">Radio 2UE Pty </w:t>
      </w:r>
      <w:r w:rsidR="002C288B" w:rsidRPr="008F7856">
        <w:rPr>
          <w:i/>
          <w:iCs/>
        </w:rPr>
        <w:t>Ltd</w:t>
      </w:r>
      <w:r w:rsidRPr="008F7856">
        <w:rPr>
          <w:i/>
          <w:iCs/>
        </w:rPr>
        <w:t xml:space="preserve"> v Chesterton</w:t>
      </w:r>
      <w:r w:rsidRPr="008F7856">
        <w:t xml:space="preserve"> </w:t>
      </w:r>
      <w:r w:rsidR="002C288B" w:rsidRPr="008F7856">
        <w:t xml:space="preserve">[2009] HCA 16; </w:t>
      </w:r>
      <w:r w:rsidRPr="008F7856">
        <w:t xml:space="preserve">(2009) 238 CLR 460 </w:t>
      </w:r>
      <w:r w:rsidR="002C288B" w:rsidRPr="008F7856">
        <w:t>(at 472–</w:t>
      </w:r>
      <w:r w:rsidRPr="008F7856">
        <w:t>3</w:t>
      </w:r>
      <w:r w:rsidR="002C288B" w:rsidRPr="008F7856">
        <w:t xml:space="preserve"> </w:t>
      </w:r>
      <w:r w:rsidRPr="008F7856">
        <w:t>[23], see also 477</w:t>
      </w:r>
      <w:r w:rsidR="002C288B" w:rsidRPr="008F7856">
        <w:t xml:space="preserve"> [36] and</w:t>
      </w:r>
      <w:r w:rsidRPr="008F7856">
        <w:t xml:space="preserve"> 479</w:t>
      </w:r>
      <w:r w:rsidR="002C288B" w:rsidRPr="008F7856">
        <w:t>–81 [45]–</w:t>
      </w:r>
      <w:r w:rsidRPr="008F7856">
        <w:t>[50]</w:t>
      </w:r>
      <w:bookmarkEnd w:id="30"/>
      <w:r w:rsidR="00663E90">
        <w:t>)</w:t>
      </w:r>
      <w:r w:rsidRPr="008F7856">
        <w:t>. Counsel</w:t>
      </w:r>
      <w:r w:rsidR="00F00A4D">
        <w:t xml:space="preserve"> for News and Ms Sharp, Mr </w:t>
      </w:r>
      <w:proofErr w:type="spellStart"/>
      <w:r w:rsidR="00F00A4D">
        <w:t>Sibt</w:t>
      </w:r>
      <w:r w:rsidRPr="008F7856">
        <w:t>a</w:t>
      </w:r>
      <w:r w:rsidR="00F00A4D">
        <w:t>i</w:t>
      </w:r>
      <w:r w:rsidRPr="008F7856">
        <w:t>n</w:t>
      </w:r>
      <w:proofErr w:type="spellEnd"/>
      <w:r w:rsidRPr="008F7856">
        <w:t xml:space="preserve">, correctly accepted that an imputation that a professional person was associated with a condition which the ordinary reasonable reader might regard as sufficient to render that professional </w:t>
      </w:r>
      <w:r w:rsidRPr="00B0345C">
        <w:t>less competent, capable, or effective than other professionals in their field</w:t>
      </w:r>
      <w:r w:rsidR="00690F1D" w:rsidRPr="00B0345C">
        <w:t>,</w:t>
      </w:r>
      <w:r w:rsidR="00663E90" w:rsidRPr="00B0345C">
        <w:t xml:space="preserve"> would be defamatory.</w:t>
      </w:r>
      <w:r w:rsidRPr="00B0345C">
        <w:t xml:space="preserve"> </w:t>
      </w:r>
      <w:r w:rsidR="0057518D" w:rsidRPr="00B0345C">
        <w:t xml:space="preserve">However, it was submitted that </w:t>
      </w:r>
      <w:r w:rsidR="007833F8" w:rsidRPr="00B0345C">
        <w:rPr>
          <w:szCs w:val="24"/>
        </w:rPr>
        <w:t>the attributes of</w:t>
      </w:r>
      <w:r w:rsidR="0057518D" w:rsidRPr="00B0345C">
        <w:rPr>
          <w:szCs w:val="24"/>
        </w:rPr>
        <w:t xml:space="preserve"> age and deafness do not strike at the capacity of Mr Murphy to perform the functions required of him in his profession. I disagree. </w:t>
      </w:r>
      <w:r w:rsidRPr="00B0345C">
        <w:t xml:space="preserve">Imputation D was an imputation of </w:t>
      </w:r>
      <w:r w:rsidR="0057518D" w:rsidRPr="00B0345C">
        <w:t xml:space="preserve">the type contemplated in </w:t>
      </w:r>
      <w:proofErr w:type="spellStart"/>
      <w:r w:rsidR="0057518D" w:rsidRPr="00B0345C">
        <w:rPr>
          <w:i/>
          <w:iCs/>
        </w:rPr>
        <w:t>Gacic</w:t>
      </w:r>
      <w:proofErr w:type="spellEnd"/>
      <w:r w:rsidR="00663E90" w:rsidRPr="00B0345C">
        <w:t>.</w:t>
      </w:r>
      <w:r w:rsidR="0057518D" w:rsidRPr="00B0345C">
        <w:t xml:space="preserve"> </w:t>
      </w:r>
      <w:r w:rsidR="00DA2909" w:rsidRPr="00B0345C">
        <w:t>A</w:t>
      </w:r>
      <w:r w:rsidR="00D57562" w:rsidRPr="00B0345C">
        <w:t>lthough not reflecting on</w:t>
      </w:r>
      <w:r w:rsidR="00D57562">
        <w:t xml:space="preserve"> Mr Murphy’s character, </w:t>
      </w:r>
      <w:r w:rsidR="00DA2909" w:rsidRPr="008F7856">
        <w:t xml:space="preserve">what was conveyed would be perceived by the hypothetical referee to go to an important aspect or function of his professional work, and </w:t>
      </w:r>
      <w:r w:rsidRPr="008F7856">
        <w:t xml:space="preserve">was defamatory of </w:t>
      </w:r>
      <w:r w:rsidR="00D57562">
        <w:t>him</w:t>
      </w:r>
      <w:r w:rsidRPr="008F7856">
        <w:t xml:space="preserve"> as a professional.</w:t>
      </w:r>
      <w:r w:rsidR="004C4F7E" w:rsidRPr="008F7856">
        <w:t xml:space="preserve"> </w:t>
      </w:r>
    </w:p>
    <w:p w14:paraId="133A0A02" w14:textId="77777777" w:rsidR="003B555D" w:rsidRPr="00057DB7" w:rsidRDefault="003B555D" w:rsidP="003B555D">
      <w:pPr>
        <w:pStyle w:val="ParaNumbering"/>
      </w:pPr>
      <w:r w:rsidRPr="00057DB7">
        <w:t>It follows it is necessary to deal with the defence of News and Ms Sharp.</w:t>
      </w:r>
    </w:p>
    <w:p w14:paraId="349EB3D0" w14:textId="77777777" w:rsidR="003B555D" w:rsidRPr="00057DB7" w:rsidRDefault="003B555D" w:rsidP="003B555D">
      <w:pPr>
        <w:pStyle w:val="Heading1"/>
      </w:pPr>
      <w:bookmarkStart w:id="31" w:name="_Ref69479631"/>
      <w:r w:rsidRPr="00057DB7">
        <w:t>D</w:t>
      </w:r>
      <w:r w:rsidRPr="00057DB7">
        <w:tab/>
        <w:t>THE DEFENCE</w:t>
      </w:r>
      <w:bookmarkEnd w:id="31"/>
    </w:p>
    <w:p w14:paraId="4764F82C" w14:textId="77777777" w:rsidR="003B555D" w:rsidRPr="00057DB7" w:rsidRDefault="003B555D" w:rsidP="003B555D">
      <w:pPr>
        <w:pStyle w:val="ParaNumbering"/>
      </w:pPr>
      <w:r w:rsidRPr="00057DB7">
        <w:t xml:space="preserve">News and Ms Sharp </w:t>
      </w:r>
      <w:r w:rsidR="00DA2909" w:rsidRPr="00057DB7">
        <w:t xml:space="preserve">contend </w:t>
      </w:r>
      <w:r w:rsidRPr="00057DB7">
        <w:t>that Imputation D (Mr Murphy as a lawyer was incapable of representing his client’s interests in court by reason of the ravages of age and associated deafness) was true in substance.</w:t>
      </w:r>
    </w:p>
    <w:p w14:paraId="07918003" w14:textId="77777777" w:rsidR="003B555D" w:rsidRPr="00057DB7" w:rsidRDefault="003B555D" w:rsidP="003B555D">
      <w:pPr>
        <w:pStyle w:val="Heading2"/>
      </w:pPr>
      <w:bookmarkStart w:id="32" w:name="_Ref69479632"/>
      <w:r w:rsidRPr="00057DB7">
        <w:t>D.1</w:t>
      </w:r>
      <w:r w:rsidRPr="00057DB7">
        <w:tab/>
        <w:t>The Particulars of the Justification Defence</w:t>
      </w:r>
      <w:bookmarkEnd w:id="32"/>
    </w:p>
    <w:p w14:paraId="73E8A643" w14:textId="460EAD22" w:rsidR="003B555D" w:rsidRPr="00057DB7" w:rsidRDefault="000E5B55" w:rsidP="000E5B55">
      <w:pPr>
        <w:pStyle w:val="ParaNumbering"/>
      </w:pPr>
      <w:r w:rsidRPr="00057DB7">
        <w:t>P</w:t>
      </w:r>
      <w:r w:rsidR="003B555D" w:rsidRPr="00057DB7">
        <w:t>articulars of justification were pleaded</w:t>
      </w:r>
      <w:r w:rsidRPr="00057DB7">
        <w:t>.  Out of these particulars of justification set out below, it w</w:t>
      </w:r>
      <w:r w:rsidR="00DA2909" w:rsidRPr="00057DB7">
        <w:t>a</w:t>
      </w:r>
      <w:r w:rsidR="008F1B4E">
        <w:t>s only the underlined H2, I1(b)</w:t>
      </w:r>
      <w:r w:rsidR="008F1B4E" w:rsidRPr="00423C1D">
        <w:t>–</w:t>
      </w:r>
      <w:r w:rsidR="00DA2909" w:rsidRPr="00057DB7">
        <w:t xml:space="preserve">(g), J and K </w:t>
      </w:r>
      <w:r w:rsidRPr="00057DB7">
        <w:t>that remained in dispute by the end of the trial</w:t>
      </w:r>
      <w:r w:rsidR="003B555D" w:rsidRPr="00057DB7">
        <w:t>:</w:t>
      </w:r>
    </w:p>
    <w:p w14:paraId="3F3F5ADE" w14:textId="77777777" w:rsidR="003B555D" w:rsidRPr="00057DB7" w:rsidRDefault="003B555D" w:rsidP="003B555D">
      <w:pPr>
        <w:pStyle w:val="Quote1"/>
      </w:pPr>
      <w:r w:rsidRPr="00057DB7">
        <w:t>A.</w:t>
      </w:r>
      <w:r w:rsidRPr="00057DB7">
        <w:tab/>
        <w:t>At all material times, [Mr Murphy] has been a lawyer.</w:t>
      </w:r>
    </w:p>
    <w:p w14:paraId="7C8DBA4E" w14:textId="2E19C67F" w:rsidR="003B555D" w:rsidRPr="00057DB7" w:rsidRDefault="003B555D" w:rsidP="003B555D">
      <w:pPr>
        <w:pStyle w:val="Quote1"/>
      </w:pPr>
      <w:r w:rsidRPr="00057DB7">
        <w:t>B.</w:t>
      </w:r>
      <w:r w:rsidRPr="00057DB7">
        <w:tab/>
        <w:t>[Mr Murphy] is the founder of a law firm now</w:t>
      </w:r>
      <w:r w:rsidR="00AB7264">
        <w:t xml:space="preserve"> trading under the name </w:t>
      </w:r>
      <w:r w:rsidR="00AB7264">
        <w:tab/>
        <w:t>Murphy’</w:t>
      </w:r>
      <w:r w:rsidRPr="00057DB7">
        <w:t xml:space="preserve">s Lawyers </w:t>
      </w:r>
      <w:proofErr w:type="spellStart"/>
      <w:r w:rsidRPr="00057DB7">
        <w:t>Inc</w:t>
      </w:r>
      <w:proofErr w:type="spellEnd"/>
      <w:r w:rsidRPr="00057DB7">
        <w:t xml:space="preserve"> (</w:t>
      </w:r>
      <w:r w:rsidRPr="00057DB7">
        <w:rPr>
          <w:b/>
        </w:rPr>
        <w:t>MLI</w:t>
      </w:r>
      <w:r w:rsidRPr="00057DB7">
        <w:t>).</w:t>
      </w:r>
    </w:p>
    <w:p w14:paraId="6431435C" w14:textId="77777777" w:rsidR="003B555D" w:rsidRPr="00057DB7" w:rsidRDefault="003B555D" w:rsidP="003B555D">
      <w:pPr>
        <w:pStyle w:val="Quote1"/>
      </w:pPr>
      <w:r w:rsidRPr="00057DB7">
        <w:t>C.</w:t>
      </w:r>
      <w:r w:rsidRPr="00057DB7">
        <w:tab/>
        <w:t xml:space="preserve">[Mr Murphy] has provided legal services as a principal of MLI, or its </w:t>
      </w:r>
      <w:r w:rsidRPr="00057DB7">
        <w:tab/>
        <w:t>predecessors, since about 1972.</w:t>
      </w:r>
    </w:p>
    <w:p w14:paraId="50F21888" w14:textId="77777777" w:rsidR="003B555D" w:rsidRPr="00057DB7" w:rsidRDefault="003B555D" w:rsidP="003B555D">
      <w:pPr>
        <w:pStyle w:val="Quote1"/>
      </w:pPr>
      <w:r w:rsidRPr="00057DB7">
        <w:t>D.</w:t>
      </w:r>
      <w:r w:rsidRPr="00057DB7">
        <w:tab/>
        <w:t>Since at least 2012, Mr Bryan Wrench has been a lawyer at MLI.</w:t>
      </w:r>
    </w:p>
    <w:p w14:paraId="72A3F9C3" w14:textId="371DB73B" w:rsidR="003B555D" w:rsidRPr="00057DB7" w:rsidRDefault="003B555D" w:rsidP="003B555D">
      <w:pPr>
        <w:pStyle w:val="Quote1"/>
      </w:pPr>
      <w:r w:rsidRPr="00057DB7">
        <w:t>E.</w:t>
      </w:r>
      <w:r w:rsidRPr="00057DB7">
        <w:tab/>
        <w:t xml:space="preserve">Since at least August 2019, Mr Wrench has been the lawyer at MLI responsible </w:t>
      </w:r>
      <w:r w:rsidRPr="00057DB7">
        <w:lastRenderedPageBreak/>
        <w:tab/>
        <w:t xml:space="preserve">for the </w:t>
      </w:r>
      <w:r w:rsidR="00AB7264">
        <w:t>management and oversight of MLI’s clients’</w:t>
      </w:r>
      <w:r w:rsidRPr="00057DB7">
        <w:t xml:space="preserve"> cases in court. Mr Wrench </w:t>
      </w:r>
      <w:r w:rsidRPr="00057DB7">
        <w:tab/>
        <w:t>is described in promotional material for that firm as its Managing Lawyer.</w:t>
      </w:r>
    </w:p>
    <w:p w14:paraId="17B19E4F" w14:textId="77777777" w:rsidR="003B555D" w:rsidRPr="00057DB7" w:rsidRDefault="003B555D" w:rsidP="003B555D">
      <w:pPr>
        <w:pStyle w:val="Quote1"/>
      </w:pPr>
      <w:r w:rsidRPr="00057DB7">
        <w:t>F.</w:t>
      </w:r>
      <w:r w:rsidRPr="00057DB7">
        <w:tab/>
        <w:t xml:space="preserve">Since at least 2016, Mr Wrench has appeared for and/or represented clients of </w:t>
      </w:r>
      <w:r w:rsidRPr="00057DB7">
        <w:tab/>
        <w:t xml:space="preserve">MLI in numerous court proceedings.  Reports of those appearances and/or that </w:t>
      </w:r>
      <w:r w:rsidRPr="00057DB7">
        <w:tab/>
        <w:t>representation have been published on the website operated by MLI.</w:t>
      </w:r>
    </w:p>
    <w:p w14:paraId="141308E8" w14:textId="77777777" w:rsidR="003B555D" w:rsidRPr="00057DB7" w:rsidRDefault="003B555D" w:rsidP="003B555D">
      <w:pPr>
        <w:pStyle w:val="Quote1"/>
      </w:pPr>
      <w:r w:rsidRPr="00057DB7">
        <w:t>G.</w:t>
      </w:r>
      <w:r w:rsidRPr="00057DB7">
        <w:tab/>
        <w:t xml:space="preserve">MLI has not published on its website any reports of [Mr Murphy] appearing in </w:t>
      </w:r>
      <w:r w:rsidRPr="00057DB7">
        <w:tab/>
        <w:t>court for clients of MLI since at least 12 April 2017.</w:t>
      </w:r>
    </w:p>
    <w:p w14:paraId="39495558" w14:textId="77777777" w:rsidR="003B555D" w:rsidRPr="00057DB7" w:rsidRDefault="003B555D" w:rsidP="003B555D">
      <w:pPr>
        <w:pStyle w:val="Quote1"/>
      </w:pPr>
      <w:r w:rsidRPr="00057DB7">
        <w:t>H.</w:t>
      </w:r>
      <w:r w:rsidRPr="00057DB7">
        <w:tab/>
        <w:t xml:space="preserve">At all material times, but since at least 2012, [Mr Murphy] has suffered from </w:t>
      </w:r>
      <w:r w:rsidRPr="00057DB7">
        <w:tab/>
        <w:t xml:space="preserve">severe to profound hearing loss. Since at least 2014, [Mr Murphy] has used </w:t>
      </w:r>
      <w:r w:rsidRPr="00057DB7">
        <w:tab/>
        <w:t xml:space="preserve">powerful hearing aids to assist him with his hearing, without which he is able </w:t>
      </w:r>
      <w:r w:rsidRPr="00057DB7">
        <w:tab/>
        <w:t>to hear very little.</w:t>
      </w:r>
    </w:p>
    <w:p w14:paraId="4D5BD920" w14:textId="77777777" w:rsidR="003B555D" w:rsidRPr="00057DB7" w:rsidRDefault="003B555D" w:rsidP="003B555D">
      <w:pPr>
        <w:pStyle w:val="Quote1"/>
      </w:pPr>
      <w:r w:rsidRPr="00057DB7">
        <w:t>H1.</w:t>
      </w:r>
      <w:r w:rsidRPr="00057DB7">
        <w:tab/>
        <w:t>Since at least 2014, [Mr Murphy] has experienced difficulties hearing:</w:t>
      </w:r>
    </w:p>
    <w:p w14:paraId="57A57764" w14:textId="77777777" w:rsidR="003B555D" w:rsidRPr="00057DB7" w:rsidRDefault="003B555D" w:rsidP="00CC304D">
      <w:pPr>
        <w:pStyle w:val="Quote2"/>
      </w:pPr>
      <w:r w:rsidRPr="00057DB7">
        <w:t>(a)</w:t>
      </w:r>
      <w:r w:rsidRPr="00057DB7">
        <w:tab/>
        <w:t>from a distance; or</w:t>
      </w:r>
    </w:p>
    <w:p w14:paraId="01E21E35" w14:textId="5753CF00" w:rsidR="003B555D" w:rsidRPr="00057DB7" w:rsidRDefault="003B555D" w:rsidP="00CC304D">
      <w:pPr>
        <w:pStyle w:val="Quote2"/>
      </w:pPr>
      <w:r w:rsidRPr="00057DB7">
        <w:t>(b)</w:t>
      </w:r>
      <w:r w:rsidRPr="00057DB7">
        <w:tab/>
        <w:t>with softly spoken people; or</w:t>
      </w:r>
    </w:p>
    <w:p w14:paraId="5AAD99CA" w14:textId="09175691" w:rsidR="003B555D" w:rsidRPr="00057DB7" w:rsidRDefault="003B555D" w:rsidP="00CC304D">
      <w:pPr>
        <w:pStyle w:val="Quote2"/>
      </w:pPr>
      <w:r w:rsidRPr="00057DB7">
        <w:t>(c)</w:t>
      </w:r>
      <w:r w:rsidRPr="00057DB7">
        <w:tab/>
        <w:t>in background noise,</w:t>
      </w:r>
    </w:p>
    <w:p w14:paraId="50F1BF9D" w14:textId="376E0919" w:rsidR="003B555D" w:rsidRPr="00057DB7" w:rsidRDefault="003B555D" w:rsidP="00CC304D">
      <w:pPr>
        <w:pStyle w:val="Quote2"/>
      </w:pPr>
      <w:r w:rsidRPr="00057DB7">
        <w:t>with the use of his behind-the-ear hearing devices.</w:t>
      </w:r>
    </w:p>
    <w:p w14:paraId="6550C3B9" w14:textId="77777777" w:rsidR="003B555D" w:rsidRPr="00057DB7" w:rsidRDefault="003B555D" w:rsidP="003B555D">
      <w:pPr>
        <w:pStyle w:val="Quote1"/>
        <w:rPr>
          <w:u w:val="single"/>
        </w:rPr>
      </w:pPr>
      <w:r w:rsidRPr="00AB7264">
        <w:rPr>
          <w:u w:val="single"/>
        </w:rPr>
        <w:t>H2.</w:t>
      </w:r>
      <w:r w:rsidRPr="00AB7264">
        <w:rPr>
          <w:u w:val="single"/>
        </w:rPr>
        <w:tab/>
        <w:t>At</w:t>
      </w:r>
      <w:r w:rsidRPr="00057DB7">
        <w:rPr>
          <w:u w:val="single"/>
        </w:rPr>
        <w:t xml:space="preserve"> some time prior to April 2020, [Mr Murphy] began using remote </w:t>
      </w:r>
      <w:r w:rsidRPr="00AB7264">
        <w:tab/>
      </w:r>
      <w:r w:rsidRPr="00057DB7">
        <w:rPr>
          <w:u w:val="single"/>
        </w:rPr>
        <w:t xml:space="preserve">microphone devices to assist his hearing at distances of greater than one metre. </w:t>
      </w:r>
      <w:r w:rsidRPr="00AB7264">
        <w:tab/>
      </w:r>
      <w:r w:rsidRPr="00057DB7">
        <w:rPr>
          <w:u w:val="single"/>
        </w:rPr>
        <w:t>However, [Mr Murphy] has continued to experience difficulties hearing:</w:t>
      </w:r>
    </w:p>
    <w:p w14:paraId="66717A4E" w14:textId="1E48EACF" w:rsidR="003B555D" w:rsidRPr="00057DB7" w:rsidRDefault="003B555D" w:rsidP="00CC304D">
      <w:pPr>
        <w:pStyle w:val="Quote2"/>
      </w:pPr>
      <w:r w:rsidRPr="00057DB7">
        <w:t>(a)</w:t>
      </w:r>
      <w:r w:rsidRPr="00057DB7">
        <w:tab/>
        <w:t>where there is background noise; or</w:t>
      </w:r>
    </w:p>
    <w:p w14:paraId="2A6DE3F8" w14:textId="56BE8221" w:rsidR="003B555D" w:rsidRPr="00057DB7" w:rsidRDefault="003B555D" w:rsidP="00CC304D">
      <w:pPr>
        <w:pStyle w:val="Quote2"/>
      </w:pPr>
      <w:r w:rsidRPr="00057DB7">
        <w:t>(b)</w:t>
      </w:r>
      <w:r w:rsidRPr="00057DB7">
        <w:tab/>
        <w:t>when he is unable to follow visual cues; or</w:t>
      </w:r>
    </w:p>
    <w:p w14:paraId="54CF6E92" w14:textId="79B6243D" w:rsidR="003B555D" w:rsidRPr="00057DB7" w:rsidRDefault="003B555D" w:rsidP="00CC304D">
      <w:pPr>
        <w:pStyle w:val="Quote2"/>
      </w:pPr>
      <w:r w:rsidRPr="00057DB7">
        <w:t>(c)</w:t>
      </w:r>
      <w:r w:rsidRPr="00057DB7">
        <w:tab/>
        <w:t>where the speaker does not have a clear voice; or</w:t>
      </w:r>
    </w:p>
    <w:p w14:paraId="34D1A9D6" w14:textId="02107BB8" w:rsidR="003B555D" w:rsidRPr="00057DB7" w:rsidRDefault="003B555D" w:rsidP="00CC304D">
      <w:pPr>
        <w:pStyle w:val="Quote2"/>
      </w:pPr>
      <w:r w:rsidRPr="00057DB7">
        <w:t>(d)</w:t>
      </w:r>
      <w:r w:rsidRPr="00057DB7">
        <w:tab/>
        <w:t>where the speaker has an accent.</w:t>
      </w:r>
    </w:p>
    <w:p w14:paraId="6A6D4591" w14:textId="77777777" w:rsidR="003B555D" w:rsidRPr="00057DB7" w:rsidRDefault="003B555D" w:rsidP="003B555D">
      <w:pPr>
        <w:pStyle w:val="Quote1"/>
      </w:pPr>
      <w:r w:rsidRPr="00057DB7">
        <w:t>H3.</w:t>
      </w:r>
      <w:r w:rsidRPr="00057DB7">
        <w:tab/>
        <w:t xml:space="preserve">Since around March 2020, many courts in New South Wales have conducted </w:t>
      </w:r>
      <w:r w:rsidRPr="00057DB7">
        <w:tab/>
        <w:t xml:space="preserve">hearings via audio visual or telephone link in response to the COVID-19 </w:t>
      </w:r>
      <w:r w:rsidRPr="00057DB7">
        <w:tab/>
        <w:t>(coronavirus) pandemic.</w:t>
      </w:r>
    </w:p>
    <w:p w14:paraId="7D12A8CF" w14:textId="77777777" w:rsidR="003B555D" w:rsidRPr="00057DB7" w:rsidRDefault="003B555D" w:rsidP="003B555D">
      <w:pPr>
        <w:pStyle w:val="Quote1"/>
      </w:pPr>
      <w:r w:rsidRPr="00057DB7">
        <w:t>H4.</w:t>
      </w:r>
      <w:r w:rsidRPr="00057DB7">
        <w:tab/>
        <w:t xml:space="preserve">During the period since March 2020, [Mr Murphy] has had risk factors for </w:t>
      </w:r>
      <w:r w:rsidRPr="00057DB7">
        <w:tab/>
        <w:t xml:space="preserve">severe illness from COVID-19 being his age, the fact that he suffers from type </w:t>
      </w:r>
      <w:r w:rsidRPr="00057DB7">
        <w:tab/>
        <w:t>II diabetes and the fact that he has advanced heart disease.</w:t>
      </w:r>
    </w:p>
    <w:p w14:paraId="4FE304EF" w14:textId="77777777" w:rsidR="003B555D" w:rsidRPr="00057DB7" w:rsidRDefault="003B555D" w:rsidP="003B555D">
      <w:pPr>
        <w:pStyle w:val="Quote1"/>
      </w:pPr>
      <w:r w:rsidRPr="00057DB7">
        <w:t>I.</w:t>
      </w:r>
      <w:r w:rsidRPr="00057DB7">
        <w:tab/>
        <w:t xml:space="preserve">In or about April 2020, [Mr Murphy] applied for the adjournment of </w:t>
      </w:r>
      <w:r w:rsidRPr="00057DB7">
        <w:tab/>
        <w:t xml:space="preserve">proceedings to which he was a party, being proceedings 2017/00327881 in the </w:t>
      </w:r>
      <w:r w:rsidRPr="00057DB7">
        <w:tab/>
        <w:t xml:space="preserve">District Court of New South Wales. In support of that application, [Mr </w:t>
      </w:r>
      <w:r w:rsidRPr="00057DB7">
        <w:tab/>
        <w:t xml:space="preserve">Murphy] sought an adjournment of a hearing using an audio visual link for </w:t>
      </w:r>
      <w:r w:rsidRPr="00057DB7">
        <w:tab/>
        <w:t xml:space="preserve">reasons that included that he was suffering from severe to profound hearing </w:t>
      </w:r>
      <w:r w:rsidRPr="00057DB7">
        <w:tab/>
        <w:t>loss in both ears that would prevent him from participating in that hearing.</w:t>
      </w:r>
    </w:p>
    <w:p w14:paraId="534128DA" w14:textId="77777777" w:rsidR="003B555D" w:rsidRPr="00057DB7" w:rsidRDefault="003B555D" w:rsidP="003B555D">
      <w:pPr>
        <w:pStyle w:val="Quote1"/>
      </w:pPr>
      <w:r w:rsidRPr="00057DB7">
        <w:t>I1.</w:t>
      </w:r>
      <w:r w:rsidRPr="00057DB7">
        <w:tab/>
        <w:t xml:space="preserve">In or about February 2021, the hearing of the proceedings referred to in </w:t>
      </w:r>
      <w:r w:rsidRPr="00057DB7">
        <w:tab/>
        <w:t xml:space="preserve">particular I above was conducted in person in the District Court of New South </w:t>
      </w:r>
      <w:r w:rsidRPr="00057DB7">
        <w:tab/>
        <w:t>Wales. At that hearing:</w:t>
      </w:r>
    </w:p>
    <w:p w14:paraId="05C91FD8" w14:textId="6FBA4F85" w:rsidR="003B555D" w:rsidRDefault="003B555D" w:rsidP="00CC304D">
      <w:pPr>
        <w:pStyle w:val="Quote2"/>
        <w:ind w:left="2160" w:hanging="720"/>
      </w:pPr>
      <w:r w:rsidRPr="00057DB7">
        <w:t>(a)</w:t>
      </w:r>
      <w:r w:rsidRPr="00057DB7">
        <w:tab/>
        <w:t>[Mr Murphy], by his legal representativ</w:t>
      </w:r>
      <w:r w:rsidR="00D956CF">
        <w:t xml:space="preserve">es, requested various persons, </w:t>
      </w:r>
      <w:r w:rsidRPr="00057DB7">
        <w:t>including his instructing solicitor, t</w:t>
      </w:r>
      <w:r w:rsidR="00D956CF">
        <w:t xml:space="preserve">he barristers and the presiding Judge, to put on </w:t>
      </w:r>
      <w:r w:rsidRPr="00057DB7">
        <w:t xml:space="preserve">or use amplification devices and submitted that </w:t>
      </w:r>
      <w:r w:rsidR="00D956CF">
        <w:t xml:space="preserve">[Mr Murphy] had severe </w:t>
      </w:r>
      <w:r w:rsidRPr="00057DB7">
        <w:t xml:space="preserve">hearing loss and could not hear from 1 to 1.5 </w:t>
      </w:r>
      <w:r w:rsidR="00E00BF1">
        <w:lastRenderedPageBreak/>
        <w:t>metres</w:t>
      </w:r>
      <w:r w:rsidR="00C26ECD" w:rsidRPr="00057DB7">
        <w:tab/>
      </w:r>
      <w:r w:rsidR="00D956CF">
        <w:t xml:space="preserve">away, even with high </w:t>
      </w:r>
      <w:r w:rsidRPr="00057DB7">
        <w:t>powered hearing devices;</w:t>
      </w:r>
    </w:p>
    <w:p w14:paraId="12AE1076" w14:textId="77777777" w:rsidR="00D956CF" w:rsidRPr="00057DB7" w:rsidRDefault="00D956CF" w:rsidP="00CC304D">
      <w:pPr>
        <w:pStyle w:val="Quote2"/>
        <w:ind w:left="2160" w:hanging="720"/>
      </w:pPr>
    </w:p>
    <w:p w14:paraId="0FD7637C" w14:textId="5CD5B1C3" w:rsidR="003B555D" w:rsidRPr="00057DB7" w:rsidRDefault="003B555D" w:rsidP="00CC304D">
      <w:pPr>
        <w:pStyle w:val="Quote2"/>
        <w:ind w:left="2160" w:hanging="720"/>
        <w:rPr>
          <w:u w:val="single"/>
        </w:rPr>
      </w:pPr>
      <w:r w:rsidRPr="00AB7264">
        <w:rPr>
          <w:u w:val="single"/>
        </w:rPr>
        <w:t>(b)</w:t>
      </w:r>
      <w:r w:rsidRPr="00AB7264">
        <w:rPr>
          <w:u w:val="single"/>
        </w:rPr>
        <w:tab/>
        <w:t>[</w:t>
      </w:r>
      <w:r w:rsidRPr="00057DB7">
        <w:rPr>
          <w:u w:val="single"/>
        </w:rPr>
        <w:t>Mr Murphy] complained, during the he</w:t>
      </w:r>
      <w:r w:rsidR="00D956CF">
        <w:rPr>
          <w:u w:val="single"/>
        </w:rPr>
        <w:t>aring, that the Judge could not</w:t>
      </w:r>
      <w:r w:rsidR="00CC304D">
        <w:rPr>
          <w:u w:val="single"/>
        </w:rPr>
        <w:t xml:space="preserve"> </w:t>
      </w:r>
      <w:r w:rsidR="00D956CF">
        <w:rPr>
          <w:u w:val="single"/>
        </w:rPr>
        <w:t xml:space="preserve"> </w:t>
      </w:r>
      <w:r w:rsidRPr="00057DB7">
        <w:rPr>
          <w:u w:val="single"/>
        </w:rPr>
        <w:t>be heard because of the way in which he was wearing his amplification device;</w:t>
      </w:r>
    </w:p>
    <w:p w14:paraId="5510407F" w14:textId="6E4BD49A" w:rsidR="003B555D" w:rsidRPr="00057DB7" w:rsidRDefault="003B555D" w:rsidP="00CC304D">
      <w:pPr>
        <w:pStyle w:val="Quote2"/>
        <w:ind w:left="2160" w:hanging="720"/>
        <w:rPr>
          <w:u w:val="single"/>
        </w:rPr>
      </w:pPr>
      <w:r w:rsidRPr="00057DB7">
        <w:rPr>
          <w:u w:val="single"/>
        </w:rPr>
        <w:t>(c)</w:t>
      </w:r>
      <w:r w:rsidRPr="00057DB7">
        <w:rPr>
          <w:u w:val="single"/>
        </w:rPr>
        <w:tab/>
        <w:t>[Mr Murphy], by his counsel, requested the return of an amplification</w:t>
      </w:r>
      <w:r w:rsidR="00CC304D">
        <w:rPr>
          <w:u w:val="single"/>
        </w:rPr>
        <w:t xml:space="preserve"> </w:t>
      </w:r>
      <w:r w:rsidRPr="00057DB7">
        <w:rPr>
          <w:u w:val="single"/>
        </w:rPr>
        <w:t xml:space="preserve"> device </w:t>
      </w:r>
      <w:r w:rsidRPr="00057DB7">
        <w:rPr>
          <w:u w:val="single"/>
        </w:rPr>
        <w:tab/>
        <w:t xml:space="preserve">which was losing its charge and said that the amplification device </w:t>
      </w:r>
      <w:r w:rsidR="00C26ECD" w:rsidRPr="00057DB7">
        <w:rPr>
          <w:u w:val="single"/>
        </w:rPr>
        <w:tab/>
      </w:r>
      <w:r w:rsidRPr="00057DB7">
        <w:rPr>
          <w:u w:val="single"/>
        </w:rPr>
        <w:t xml:space="preserve">needed to </w:t>
      </w:r>
      <w:r w:rsidR="00D956CF">
        <w:rPr>
          <w:u w:val="single"/>
        </w:rPr>
        <w:t>be charged after an hour or two’</w:t>
      </w:r>
      <w:r w:rsidRPr="00057DB7">
        <w:rPr>
          <w:u w:val="single"/>
        </w:rPr>
        <w:t>s use;</w:t>
      </w:r>
    </w:p>
    <w:p w14:paraId="6B8727AB" w14:textId="7B38BE37" w:rsidR="003B555D" w:rsidRPr="00057DB7" w:rsidRDefault="003B555D" w:rsidP="00CC304D">
      <w:pPr>
        <w:pStyle w:val="Quote2"/>
        <w:ind w:left="2160" w:hanging="720"/>
        <w:rPr>
          <w:u w:val="single"/>
        </w:rPr>
      </w:pPr>
      <w:r w:rsidRPr="00057DB7">
        <w:rPr>
          <w:u w:val="single"/>
        </w:rPr>
        <w:t>(d)</w:t>
      </w:r>
      <w:r w:rsidRPr="00057DB7">
        <w:rPr>
          <w:u w:val="single"/>
        </w:rPr>
        <w:tab/>
        <w:t xml:space="preserve">[Mr Murphy] required the return of the amplification devices on several </w:t>
      </w:r>
      <w:r w:rsidRPr="00057DB7">
        <w:rPr>
          <w:u w:val="single"/>
        </w:rPr>
        <w:tab/>
        <w:t>occasions so that the devices could be recharged;</w:t>
      </w:r>
    </w:p>
    <w:p w14:paraId="3B09BBAA" w14:textId="2CD6CF4E" w:rsidR="003B555D" w:rsidRPr="00057DB7" w:rsidRDefault="003B555D" w:rsidP="00CC304D">
      <w:pPr>
        <w:pStyle w:val="Quote2"/>
        <w:ind w:left="2160" w:hanging="720"/>
        <w:rPr>
          <w:u w:val="single"/>
        </w:rPr>
      </w:pPr>
      <w:r w:rsidRPr="00057DB7">
        <w:rPr>
          <w:u w:val="single"/>
        </w:rPr>
        <w:t>(e)</w:t>
      </w:r>
      <w:r w:rsidRPr="00057DB7">
        <w:rPr>
          <w:u w:val="single"/>
        </w:rPr>
        <w:tab/>
        <w:t>[Mr Murphy] did not notice that his mobile telephone emitted a loud noise which was heard by others in Court;</w:t>
      </w:r>
    </w:p>
    <w:p w14:paraId="7F713C00" w14:textId="363A8B01" w:rsidR="003B555D" w:rsidRPr="00057DB7" w:rsidRDefault="003B555D" w:rsidP="00CC304D">
      <w:pPr>
        <w:pStyle w:val="Quote2"/>
        <w:ind w:left="2160" w:hanging="720"/>
        <w:rPr>
          <w:u w:val="single"/>
        </w:rPr>
      </w:pPr>
      <w:r w:rsidRPr="00057DB7">
        <w:rPr>
          <w:u w:val="single"/>
        </w:rPr>
        <w:t>(f)</w:t>
      </w:r>
      <w:r w:rsidRPr="00057DB7">
        <w:rPr>
          <w:u w:val="single"/>
        </w:rPr>
        <w:tab/>
        <w:t>[Mr Murphy] experienced hearing difficulties when communicating with his instructing solicitor when the latter was not wearing</w:t>
      </w:r>
      <w:r w:rsidR="00CC304D">
        <w:t xml:space="preserve"> </w:t>
      </w:r>
      <w:r w:rsidRPr="00057DB7">
        <w:rPr>
          <w:u w:val="single"/>
        </w:rPr>
        <w:t>or using an amplification device;</w:t>
      </w:r>
    </w:p>
    <w:p w14:paraId="3617C4A3" w14:textId="3696EA63" w:rsidR="003B555D" w:rsidRPr="00057DB7" w:rsidRDefault="003B555D" w:rsidP="00CC304D">
      <w:pPr>
        <w:pStyle w:val="Quote2"/>
        <w:ind w:left="2160" w:hanging="720"/>
        <w:rPr>
          <w:u w:val="single"/>
        </w:rPr>
      </w:pPr>
      <w:r w:rsidRPr="00057DB7">
        <w:rPr>
          <w:u w:val="single"/>
        </w:rPr>
        <w:t>(g)</w:t>
      </w:r>
      <w:r w:rsidRPr="00057DB7">
        <w:rPr>
          <w:u w:val="single"/>
        </w:rPr>
        <w:tab/>
        <w:t>the Court officer administering the oath did not have an amplification</w:t>
      </w:r>
      <w:r w:rsidR="00CC304D">
        <w:rPr>
          <w:u w:val="single"/>
        </w:rPr>
        <w:t xml:space="preserve"> </w:t>
      </w:r>
      <w:r w:rsidRPr="00057DB7">
        <w:rPr>
          <w:u w:val="single"/>
        </w:rPr>
        <w:t xml:space="preserve"> device and had to speak loudly and close to [Mr Murphy].</w:t>
      </w:r>
    </w:p>
    <w:p w14:paraId="48DF65C6" w14:textId="77777777" w:rsidR="003B555D" w:rsidRPr="00057DB7" w:rsidRDefault="003B555D" w:rsidP="003B555D">
      <w:pPr>
        <w:pStyle w:val="Quote1"/>
        <w:rPr>
          <w:u w:val="single"/>
        </w:rPr>
      </w:pPr>
      <w:r w:rsidRPr="00D956CF">
        <w:rPr>
          <w:u w:val="single"/>
        </w:rPr>
        <w:t>J.</w:t>
      </w:r>
      <w:r w:rsidRPr="00D956CF">
        <w:rPr>
          <w:u w:val="single"/>
        </w:rPr>
        <w:tab/>
      </w:r>
      <w:r w:rsidRPr="00057DB7">
        <w:rPr>
          <w:u w:val="single"/>
        </w:rPr>
        <w:t xml:space="preserve">It may be inferred from the foregoing that, since at least August 2019, [Mr </w:t>
      </w:r>
      <w:r w:rsidRPr="00AB7264">
        <w:tab/>
      </w:r>
      <w:r w:rsidRPr="00057DB7">
        <w:rPr>
          <w:u w:val="single"/>
        </w:rPr>
        <w:t xml:space="preserve">Murphy] has refrained from representing clients of MLI in court because of </w:t>
      </w:r>
      <w:r w:rsidRPr="00AB7264">
        <w:tab/>
      </w:r>
      <w:r w:rsidRPr="00057DB7">
        <w:rPr>
          <w:u w:val="single"/>
        </w:rPr>
        <w:t xml:space="preserve">the difficulties experienced by him arising from his hearing loss, and, since </w:t>
      </w:r>
      <w:r w:rsidRPr="00AB7264">
        <w:tab/>
      </w:r>
      <w:r w:rsidRPr="00057DB7">
        <w:rPr>
          <w:u w:val="single"/>
        </w:rPr>
        <w:t xml:space="preserve">March </w:t>
      </w:r>
      <w:r w:rsidRPr="00057DB7">
        <w:rPr>
          <w:u w:val="single"/>
        </w:rPr>
        <w:tab/>
        <w:t>2020, his age.</w:t>
      </w:r>
    </w:p>
    <w:p w14:paraId="3D503E7D" w14:textId="77777777" w:rsidR="003B555D" w:rsidRPr="00057DB7" w:rsidRDefault="003B555D" w:rsidP="003B555D">
      <w:pPr>
        <w:pStyle w:val="Quote1"/>
        <w:rPr>
          <w:u w:val="single"/>
        </w:rPr>
      </w:pPr>
      <w:r w:rsidRPr="00057DB7">
        <w:rPr>
          <w:u w:val="single"/>
        </w:rPr>
        <w:t>K.</w:t>
      </w:r>
      <w:r w:rsidRPr="00057DB7">
        <w:rPr>
          <w:u w:val="single"/>
        </w:rPr>
        <w:tab/>
        <w:t xml:space="preserve">Further, it may be inferred from the foregoing that, since at least August 2019, </w:t>
      </w:r>
      <w:r w:rsidRPr="00AB7264">
        <w:tab/>
      </w:r>
      <w:r w:rsidRPr="00057DB7">
        <w:rPr>
          <w:u w:val="single"/>
        </w:rPr>
        <w:t xml:space="preserve">[Mr Murphy] has been unable or unwilling to represent clients of MLI in court </w:t>
      </w:r>
      <w:r w:rsidRPr="00AB7264">
        <w:tab/>
      </w:r>
      <w:r w:rsidRPr="00057DB7">
        <w:rPr>
          <w:u w:val="single"/>
        </w:rPr>
        <w:t>because of his age and hearing loss.</w:t>
      </w:r>
    </w:p>
    <w:p w14:paraId="4A7A07EB" w14:textId="77777777" w:rsidR="003B555D" w:rsidRPr="00057DB7" w:rsidRDefault="0004008F" w:rsidP="0004008F">
      <w:pPr>
        <w:pStyle w:val="Heading2"/>
      </w:pPr>
      <w:bookmarkStart w:id="33" w:name="_Ref69479633"/>
      <w:r w:rsidRPr="00057DB7">
        <w:t>D.2</w:t>
      </w:r>
      <w:r w:rsidRPr="00057DB7">
        <w:tab/>
        <w:t>Five Preliminary Observations</w:t>
      </w:r>
      <w:bookmarkEnd w:id="33"/>
      <w:r w:rsidRPr="00057DB7">
        <w:t xml:space="preserve">  </w:t>
      </w:r>
    </w:p>
    <w:p w14:paraId="468E994A" w14:textId="77777777" w:rsidR="0004008F" w:rsidRPr="00057DB7" w:rsidRDefault="0004008F" w:rsidP="0004008F">
      <w:pPr>
        <w:pStyle w:val="ParaNumbering"/>
      </w:pPr>
      <w:r w:rsidRPr="00057DB7">
        <w:t>Before coming to the specific contest as to whether those remaining parts of the particulars were made out, it is appropriate to frame the inquiry by making five important preliminary points.</w:t>
      </w:r>
    </w:p>
    <w:p w14:paraId="679B7A55" w14:textId="77777777" w:rsidR="0004008F" w:rsidRPr="00057DB7" w:rsidRDefault="0004008F" w:rsidP="0004008F">
      <w:pPr>
        <w:pStyle w:val="ParaNumbering"/>
      </w:pPr>
      <w:r w:rsidRPr="00057DB7">
        <w:rPr>
          <w:i/>
        </w:rPr>
        <w:t>First</w:t>
      </w:r>
      <w:r w:rsidRPr="00057DB7">
        <w:t>, News and Ms Sharp bear the onus of proving that every material part of the imputations pleaded by Mr Murphy is substantially</w:t>
      </w:r>
      <w:r w:rsidRPr="00057DB7">
        <w:rPr>
          <w:i/>
        </w:rPr>
        <w:t xml:space="preserve"> </w:t>
      </w:r>
      <w:r w:rsidRPr="00057DB7">
        <w:t>true.</w:t>
      </w:r>
    </w:p>
    <w:p w14:paraId="52B0EF89" w14:textId="6266773D" w:rsidR="0004008F" w:rsidRPr="00057DB7" w:rsidRDefault="0004008F" w:rsidP="0004008F">
      <w:pPr>
        <w:pStyle w:val="ParaNumbering"/>
      </w:pPr>
      <w:r w:rsidRPr="00057DB7">
        <w:rPr>
          <w:i/>
        </w:rPr>
        <w:t>Secondly</w:t>
      </w:r>
      <w:r w:rsidRPr="00057DB7">
        <w:t xml:space="preserve">, </w:t>
      </w:r>
      <w:r w:rsidR="00B0345C">
        <w:t xml:space="preserve">consistently with s 140 of the </w:t>
      </w:r>
      <w:r w:rsidR="00B0345C" w:rsidRPr="00B0345C">
        <w:rPr>
          <w:i/>
        </w:rPr>
        <w:t>Evidence Act 1995</w:t>
      </w:r>
      <w:r w:rsidR="00B0345C">
        <w:t xml:space="preserve"> (</w:t>
      </w:r>
      <w:proofErr w:type="spellStart"/>
      <w:r w:rsidR="00B0345C">
        <w:t>Cth</w:t>
      </w:r>
      <w:proofErr w:type="spellEnd"/>
      <w:r w:rsidR="00B0345C">
        <w:t xml:space="preserve">), </w:t>
      </w:r>
      <w:r w:rsidRPr="00057DB7">
        <w:t>when the law requires proof of any fact, the tribunal of fact “must feel an actual persuasion of its occurrence or exi</w:t>
      </w:r>
      <w:r w:rsidR="000F340E">
        <w:t xml:space="preserve">stence before it can be found”: </w:t>
      </w:r>
      <w:proofErr w:type="spellStart"/>
      <w:r w:rsidR="007833F8">
        <w:rPr>
          <w:i/>
        </w:rPr>
        <w:t>Briginshaw</w:t>
      </w:r>
      <w:proofErr w:type="spellEnd"/>
      <w:r w:rsidR="007833F8">
        <w:rPr>
          <w:i/>
        </w:rPr>
        <w:t xml:space="preserve"> v </w:t>
      </w:r>
      <w:proofErr w:type="spellStart"/>
      <w:r w:rsidRPr="00057DB7">
        <w:rPr>
          <w:i/>
        </w:rPr>
        <w:t>Briginshaw</w:t>
      </w:r>
      <w:proofErr w:type="spellEnd"/>
      <w:r w:rsidR="007833F8">
        <w:rPr>
          <w:i/>
        </w:rPr>
        <w:t xml:space="preserve"> </w:t>
      </w:r>
      <w:r w:rsidR="007833F8">
        <w:t xml:space="preserve">(1938) </w:t>
      </w:r>
      <w:r w:rsidRPr="00057DB7">
        <w:t>60 CLR 336 (at 361)</w:t>
      </w:r>
      <w:r w:rsidR="000F340E">
        <w:t>.</w:t>
      </w:r>
      <w:r w:rsidRPr="00057DB7">
        <w:t xml:space="preserve"> It follows that News and Ms Sharp, as the parties bearing the onus, will not succeed unless the whole of the evidence establishes a “reasonable satisfaction” on the preponderance of probabilities such as to sustain the relevant issue (</w:t>
      </w:r>
      <w:r w:rsidRPr="00057DB7">
        <w:rPr>
          <w:i/>
        </w:rPr>
        <w:t>Axon v Axon</w:t>
      </w:r>
      <w:r w:rsidRPr="00057DB7">
        <w:t> (1937) 59 CLR 395 (at 403</w:t>
      </w:r>
      <w:r w:rsidR="00F1662A">
        <w:t xml:space="preserve"> and</w:t>
      </w:r>
      <w:r w:rsidRPr="00057DB7">
        <w:t xml:space="preserve"> 407)); and the “facts proved must form a reasonable basis for a definite conclusion affirmatively drawn of the truth </w:t>
      </w:r>
      <w:r w:rsidRPr="00057DB7">
        <w:lastRenderedPageBreak/>
        <w:t>of which the tribunal of fac</w:t>
      </w:r>
      <w:r w:rsidR="000F340E">
        <w:t xml:space="preserve">t may reasonably be satisfied”: </w:t>
      </w:r>
      <w:r w:rsidRPr="00057DB7">
        <w:rPr>
          <w:i/>
        </w:rPr>
        <w:t>Jones v </w:t>
      </w:r>
      <w:proofErr w:type="spellStart"/>
      <w:r w:rsidRPr="00057DB7">
        <w:rPr>
          <w:i/>
        </w:rPr>
        <w:t>Dunkel</w:t>
      </w:r>
      <w:proofErr w:type="spellEnd"/>
      <w:r w:rsidRPr="00057DB7">
        <w:t> (1959) 101 CLR 298 (at 305</w:t>
      </w:r>
      <w:r w:rsidR="000F340E">
        <w:t>)</w:t>
      </w:r>
      <w:r w:rsidRPr="00057DB7">
        <w:t xml:space="preserve">. </w:t>
      </w:r>
    </w:p>
    <w:p w14:paraId="68E240BF" w14:textId="1AB51AF3" w:rsidR="0004008F" w:rsidRPr="00057DB7" w:rsidRDefault="0004008F" w:rsidP="0004008F">
      <w:pPr>
        <w:pStyle w:val="ParaNumbering"/>
      </w:pPr>
      <w:r w:rsidRPr="00057DB7">
        <w:rPr>
          <w:i/>
        </w:rPr>
        <w:t>Thirdly</w:t>
      </w:r>
      <w:r w:rsidRPr="00057DB7">
        <w:t xml:space="preserve">, News and Ms Sharp are bound by their pleaded case, set out </w:t>
      </w:r>
      <w:r w:rsidR="00B0345C">
        <w:t xml:space="preserve">at [39] </w:t>
      </w:r>
      <w:r w:rsidRPr="00057DB7">
        <w:t xml:space="preserve">above, in relation to justifying </w:t>
      </w:r>
      <w:r w:rsidRPr="00057DB7">
        <w:rPr>
          <w:lang w:eastAsia="en-AU"/>
        </w:rPr>
        <w:t xml:space="preserve">all the meanings that are fairly within </w:t>
      </w:r>
      <w:r w:rsidRPr="00057DB7">
        <w:t xml:space="preserve">Imputation D. </w:t>
      </w:r>
    </w:p>
    <w:p w14:paraId="4ADAC165" w14:textId="237467E1" w:rsidR="0004008F" w:rsidRPr="00057DB7" w:rsidRDefault="0004008F" w:rsidP="0004008F">
      <w:pPr>
        <w:pStyle w:val="ParaNumbering"/>
      </w:pPr>
      <w:r w:rsidRPr="00057DB7">
        <w:rPr>
          <w:i/>
        </w:rPr>
        <w:t>Fourthly</w:t>
      </w:r>
      <w:r w:rsidRPr="00057DB7">
        <w:t>, it is convenient to break down the factual contest on the justification defence into two related aspects of Imputation D</w:t>
      </w:r>
      <w:r w:rsidR="00417F67">
        <w:t>,</w:t>
      </w:r>
      <w:r w:rsidRPr="00057DB7">
        <w:t xml:space="preserve"> being:</w:t>
      </w:r>
    </w:p>
    <w:p w14:paraId="453A09A5" w14:textId="6D337594" w:rsidR="0004008F" w:rsidRPr="00057DB7" w:rsidRDefault="0004008F" w:rsidP="00CC304D">
      <w:pPr>
        <w:pStyle w:val="ListNo1"/>
        <w:numPr>
          <w:ilvl w:val="0"/>
          <w:numId w:val="48"/>
        </w:numPr>
      </w:pPr>
      <w:r w:rsidRPr="00057DB7">
        <w:t>Mr Murphy’s alleged incapacity of representing his client’s interests in court (</w:t>
      </w:r>
      <w:r w:rsidRPr="00CC304D">
        <w:rPr>
          <w:b/>
        </w:rPr>
        <w:t>Incapacity Issue</w:t>
      </w:r>
      <w:r w:rsidRPr="00057DB7">
        <w:t>);</w:t>
      </w:r>
      <w:r w:rsidR="00417F67">
        <w:t xml:space="preserve"> and</w:t>
      </w:r>
    </w:p>
    <w:p w14:paraId="5E90E37E" w14:textId="77777777" w:rsidR="0004008F" w:rsidRPr="00057DB7" w:rsidRDefault="0004008F" w:rsidP="00CC304D">
      <w:pPr>
        <w:pStyle w:val="ListNo1"/>
        <w:numPr>
          <w:ilvl w:val="0"/>
          <w:numId w:val="48"/>
        </w:numPr>
      </w:pPr>
      <w:r w:rsidRPr="00057DB7">
        <w:t>Whether Mr Murphy not appearing for clients in court was the result of “the ravages of age and associated deafness” (</w:t>
      </w:r>
      <w:r w:rsidRPr="00CC304D">
        <w:rPr>
          <w:b/>
        </w:rPr>
        <w:t>Non Appearance Issue</w:t>
      </w:r>
      <w:r w:rsidRPr="00057DB7">
        <w:t>).</w:t>
      </w:r>
    </w:p>
    <w:p w14:paraId="77744FD5" w14:textId="7CD972C8" w:rsidR="0004008F" w:rsidRPr="00057DB7" w:rsidRDefault="009603D0" w:rsidP="0004008F">
      <w:pPr>
        <w:pStyle w:val="ParaNumbering"/>
      </w:pPr>
      <w:r>
        <w:rPr>
          <w:i/>
        </w:rPr>
        <w:t>Fifthly</w:t>
      </w:r>
      <w:r w:rsidRPr="00057DB7">
        <w:t>,</w:t>
      </w:r>
      <w:r w:rsidR="0004008F" w:rsidRPr="00057DB7">
        <w:t xml:space="preserve"> directly relevant to </w:t>
      </w:r>
      <w:r w:rsidR="00820C5E" w:rsidRPr="00057DB7">
        <w:t>both issues</w:t>
      </w:r>
      <w:r w:rsidR="0004008F" w:rsidRPr="00057DB7">
        <w:t xml:space="preserve">, is that when one comes to a consideration of the evidence, it must be assessed against the reality that in this case a special jury, in the form a referee, has inquired into and reported upon questions as to Mr Murphy’s hearing and the reports of the referee have been adopted </w:t>
      </w:r>
      <w:r w:rsidR="007D1657">
        <w:t>(ultimately without objection).</w:t>
      </w:r>
      <w:r w:rsidR="0004008F" w:rsidRPr="00057DB7">
        <w:t xml:space="preserve"> As I explained in </w:t>
      </w:r>
      <w:r w:rsidR="0004008F" w:rsidRPr="00057DB7">
        <w:rPr>
          <w:i/>
        </w:rPr>
        <w:t xml:space="preserve">CPB Contractors Pty Limited v </w:t>
      </w:r>
      <w:proofErr w:type="spellStart"/>
      <w:r w:rsidR="0004008F" w:rsidRPr="00057DB7">
        <w:rPr>
          <w:i/>
        </w:rPr>
        <w:t>Celsus</w:t>
      </w:r>
      <w:proofErr w:type="spellEnd"/>
      <w:r w:rsidR="0004008F" w:rsidRPr="00057DB7">
        <w:rPr>
          <w:i/>
        </w:rPr>
        <w:t xml:space="preserve"> Pty </w:t>
      </w:r>
      <w:r w:rsidR="00F1662A">
        <w:rPr>
          <w:i/>
        </w:rPr>
        <w:t>Ltd</w:t>
      </w:r>
      <w:r w:rsidR="0004008F" w:rsidRPr="00057DB7">
        <w:rPr>
          <w:i/>
        </w:rPr>
        <w:t xml:space="preserve"> (No 2)</w:t>
      </w:r>
      <w:r w:rsidR="0004008F" w:rsidRPr="00057DB7">
        <w:t xml:space="preserve"> [2018] FCA 2112; 268 FCR 590 </w:t>
      </w:r>
      <w:r w:rsidR="00F1662A">
        <w:t>(</w:t>
      </w:r>
      <w:r w:rsidR="0004008F" w:rsidRPr="00057DB7">
        <w:t xml:space="preserve">at </w:t>
      </w:r>
      <w:r w:rsidR="00F1662A">
        <w:t>604–5 [55]–</w:t>
      </w:r>
      <w:r w:rsidR="0004008F" w:rsidRPr="00057DB7">
        <w:t>[62]</w:t>
      </w:r>
      <w:r w:rsidR="00F1662A">
        <w:t>)</w:t>
      </w:r>
      <w:r w:rsidR="0004008F" w:rsidRPr="00057DB7">
        <w:t>, the reference procedure provided for by s 54A of the </w:t>
      </w:r>
      <w:r w:rsidR="0004008F" w:rsidRPr="00057DB7">
        <w:rPr>
          <w:i/>
        </w:rPr>
        <w:t>Federal Court of Australia Act 1976</w:t>
      </w:r>
      <w:r w:rsidR="0004008F" w:rsidRPr="00057DB7">
        <w:t> (</w:t>
      </w:r>
      <w:proofErr w:type="spellStart"/>
      <w:r w:rsidR="0004008F" w:rsidRPr="00057DB7">
        <w:t>Cth</w:t>
      </w:r>
      <w:proofErr w:type="spellEnd"/>
      <w:r w:rsidR="0004008F" w:rsidRPr="00057DB7">
        <w:t xml:space="preserve">) and </w:t>
      </w:r>
      <w:proofErr w:type="spellStart"/>
      <w:r w:rsidR="00201BF7">
        <w:t>Div</w:t>
      </w:r>
      <w:proofErr w:type="spellEnd"/>
      <w:r w:rsidR="00B548EA" w:rsidRPr="00057DB7">
        <w:t xml:space="preserve"> 28</w:t>
      </w:r>
      <w:r w:rsidR="00E27A9C">
        <w:t>.6</w:t>
      </w:r>
      <w:r w:rsidR="00B548EA" w:rsidRPr="00057DB7">
        <w:t xml:space="preserve"> of the </w:t>
      </w:r>
      <w:r w:rsidR="00B548EA" w:rsidRPr="00057DB7">
        <w:rPr>
          <w:i/>
          <w:iCs/>
        </w:rPr>
        <w:t xml:space="preserve">Federal Court Rules 2011 </w:t>
      </w:r>
      <w:r w:rsidR="00B548EA" w:rsidRPr="00057DB7">
        <w:t>(</w:t>
      </w:r>
      <w:proofErr w:type="spellStart"/>
      <w:r w:rsidR="00B548EA" w:rsidRPr="00057DB7">
        <w:t>Cth</w:t>
      </w:r>
      <w:proofErr w:type="spellEnd"/>
      <w:r w:rsidR="00B548EA" w:rsidRPr="00057DB7">
        <w:t>) (</w:t>
      </w:r>
      <w:r w:rsidR="00B548EA" w:rsidRPr="00057DB7">
        <w:rPr>
          <w:b/>
          <w:bCs/>
        </w:rPr>
        <w:t>FCR</w:t>
      </w:r>
      <w:r w:rsidR="00B548EA" w:rsidRPr="00057DB7">
        <w:t xml:space="preserve">) </w:t>
      </w:r>
      <w:r w:rsidR="0004008F" w:rsidRPr="00057DB7">
        <w:t>creates a procedure</w:t>
      </w:r>
      <w:r w:rsidR="00417F67">
        <w:t>, which has as a central aspect</w:t>
      </w:r>
      <w:r w:rsidR="0004008F" w:rsidRPr="00057DB7">
        <w:t xml:space="preserve"> the necessity for a report of the referee to be adopted in whole or</w:t>
      </w:r>
      <w:r w:rsidR="00417F67">
        <w:t xml:space="preserve"> in</w:t>
      </w:r>
      <w:r w:rsidR="0004008F" w:rsidRPr="00057DB7">
        <w:t xml:space="preserve"> part </w:t>
      </w:r>
      <w:r w:rsidR="004C04F7">
        <w:t>before it has any legal effect.</w:t>
      </w:r>
      <w:r w:rsidR="0004008F" w:rsidRPr="00057DB7">
        <w:t xml:space="preserve"> The process provides for the referee, under the control of a judge, participating in a special mode of inquiry and</w:t>
      </w:r>
      <w:r w:rsidR="00690F1D" w:rsidRPr="00057DB7">
        <w:t>,</w:t>
      </w:r>
      <w:r w:rsidR="0004008F" w:rsidRPr="00057DB7">
        <w:t xml:space="preserve"> upon adoption of a report emerging from the inquiry, it is the court wh</w:t>
      </w:r>
      <w:r w:rsidR="00B35579">
        <w:t>ich makes findings of fact</w:t>
      </w:r>
      <w:r w:rsidR="0004008F" w:rsidRPr="00057DB7">
        <w:t xml:space="preserve">, either explicitly or implicitly, by adopting the report. </w:t>
      </w:r>
    </w:p>
    <w:p w14:paraId="44279045" w14:textId="61A36C2C" w:rsidR="0004008F" w:rsidRPr="00057DB7" w:rsidRDefault="0004008F" w:rsidP="0004008F">
      <w:pPr>
        <w:pStyle w:val="ParaNumbering"/>
      </w:pPr>
      <w:r w:rsidRPr="00057DB7">
        <w:t xml:space="preserve">With these matters in mind, I will proceed </w:t>
      </w:r>
      <w:r w:rsidR="00820C5E" w:rsidRPr="00057DB7">
        <w:t xml:space="preserve">initially to record </w:t>
      </w:r>
      <w:r w:rsidRPr="00057DB7">
        <w:t xml:space="preserve">findings </w:t>
      </w:r>
      <w:r w:rsidR="00820C5E" w:rsidRPr="00057DB7">
        <w:t xml:space="preserve">resulting from the reference, then make some further findings (particularly </w:t>
      </w:r>
      <w:r w:rsidRPr="00057DB7">
        <w:t>relevant to the Non Appearance Issue</w:t>
      </w:r>
      <w:r w:rsidR="00820C5E" w:rsidRPr="00057DB7">
        <w:t>)</w:t>
      </w:r>
      <w:r w:rsidRPr="00057DB7">
        <w:t xml:space="preserve"> and finally consider whether </w:t>
      </w:r>
      <w:r w:rsidR="00820C5E" w:rsidRPr="00057DB7">
        <w:t xml:space="preserve">News and Ms Sharp </w:t>
      </w:r>
      <w:r w:rsidRPr="00057DB7">
        <w:t>have made out those parts</w:t>
      </w:r>
      <w:r w:rsidR="00417F67">
        <w:t xml:space="preserve"> of</w:t>
      </w:r>
      <w:r w:rsidRPr="00057DB7">
        <w:t xml:space="preserve"> their justification particulars that remain in dispute.</w:t>
      </w:r>
    </w:p>
    <w:p w14:paraId="3CD68481" w14:textId="77777777" w:rsidR="0004008F" w:rsidRPr="00057DB7" w:rsidRDefault="0004008F" w:rsidP="0004008F">
      <w:pPr>
        <w:pStyle w:val="Heading2"/>
      </w:pPr>
      <w:bookmarkStart w:id="34" w:name="_Ref69479634"/>
      <w:r w:rsidRPr="00057DB7">
        <w:t>D.3</w:t>
      </w:r>
      <w:r w:rsidRPr="00057DB7">
        <w:tab/>
        <w:t>The Evidence Generally Relevant to Justification</w:t>
      </w:r>
      <w:bookmarkEnd w:id="34"/>
    </w:p>
    <w:p w14:paraId="0CA60FC0" w14:textId="77777777" w:rsidR="0004008F" w:rsidRPr="00423C1D" w:rsidRDefault="00921D0B" w:rsidP="00423C1D">
      <w:pPr>
        <w:pStyle w:val="Heading3"/>
      </w:pPr>
      <w:bookmarkStart w:id="35" w:name="_Ref69479635"/>
      <w:r w:rsidRPr="00423C1D">
        <w:t>The Referee’s Reports</w:t>
      </w:r>
      <w:bookmarkEnd w:id="35"/>
    </w:p>
    <w:p w14:paraId="59B6E5C8" w14:textId="141479AA" w:rsidR="00685A78" w:rsidRPr="00417F67" w:rsidRDefault="00755C46" w:rsidP="00685A78">
      <w:pPr>
        <w:pStyle w:val="ParaNumbering"/>
        <w:rPr>
          <w:szCs w:val="24"/>
        </w:rPr>
      </w:pPr>
      <w:r w:rsidRPr="00057DB7">
        <w:t>As noted above, o</w:t>
      </w:r>
      <w:r w:rsidR="00921D0B" w:rsidRPr="00057DB7">
        <w:t>n 18 December 2020</w:t>
      </w:r>
      <w:r w:rsidRPr="00057DB7">
        <w:t>,</w:t>
      </w:r>
      <w:r w:rsidR="00921D0B" w:rsidRPr="00057DB7">
        <w:t xml:space="preserve"> an order was made that a referee audiologist</w:t>
      </w:r>
      <w:r w:rsidR="002B29D3" w:rsidRPr="00057DB7">
        <w:t>, Ms Sarah Platt-</w:t>
      </w:r>
      <w:r w:rsidR="002B29D3" w:rsidRPr="00417F67">
        <w:rPr>
          <w:szCs w:val="24"/>
        </w:rPr>
        <w:t>Hepworth,</w:t>
      </w:r>
      <w:r w:rsidR="00921D0B" w:rsidRPr="00417F67">
        <w:rPr>
          <w:szCs w:val="24"/>
        </w:rPr>
        <w:t xml:space="preserve"> inquire into and report upon </w:t>
      </w:r>
      <w:r w:rsidRPr="00417F67">
        <w:rPr>
          <w:szCs w:val="24"/>
        </w:rPr>
        <w:t xml:space="preserve">four questions relevant to Mr Murphy’s hearing </w:t>
      </w:r>
      <w:r w:rsidRPr="00417F67">
        <w:rPr>
          <w:szCs w:val="24"/>
        </w:rPr>
        <w:lastRenderedPageBreak/>
        <w:t>and his hearing capacity</w:t>
      </w:r>
      <w:r w:rsidR="00C30537" w:rsidRPr="00417F67">
        <w:rPr>
          <w:szCs w:val="24"/>
        </w:rPr>
        <w:t>.</w:t>
      </w:r>
      <w:r w:rsidRPr="00417F67">
        <w:rPr>
          <w:szCs w:val="24"/>
        </w:rPr>
        <w:t xml:space="preserve"> </w:t>
      </w:r>
      <w:r w:rsidR="002B29D3" w:rsidRPr="00417F67">
        <w:rPr>
          <w:szCs w:val="24"/>
        </w:rPr>
        <w:t xml:space="preserve">The </w:t>
      </w:r>
      <w:r w:rsidRPr="00417F67">
        <w:rPr>
          <w:szCs w:val="24"/>
        </w:rPr>
        <w:t>inquiry</w:t>
      </w:r>
      <w:r w:rsidR="00685A78" w:rsidRPr="00417F67">
        <w:rPr>
          <w:szCs w:val="24"/>
        </w:rPr>
        <w:t xml:space="preserve"> was to be conducted in such a manner as the referee considered would</w:t>
      </w:r>
      <w:r w:rsidRPr="00417F67">
        <w:rPr>
          <w:szCs w:val="24"/>
        </w:rPr>
        <w:t>, without undue formality or delay, enable a just, efficient, timely and co</w:t>
      </w:r>
      <w:r w:rsidR="00685A78" w:rsidRPr="00417F67">
        <w:rPr>
          <w:szCs w:val="24"/>
        </w:rPr>
        <w:t>st-effective resolution of the r</w:t>
      </w:r>
      <w:r w:rsidRPr="00417F67">
        <w:rPr>
          <w:szCs w:val="24"/>
        </w:rPr>
        <w:t>eference</w:t>
      </w:r>
      <w:r w:rsidR="00685A78" w:rsidRPr="00417F67">
        <w:rPr>
          <w:szCs w:val="24"/>
        </w:rPr>
        <w:t xml:space="preserve">, and Mr Murphy was directed </w:t>
      </w:r>
      <w:r w:rsidRPr="00417F67">
        <w:rPr>
          <w:szCs w:val="24"/>
        </w:rPr>
        <w:t>to make himself available for an examination or e</w:t>
      </w:r>
      <w:r w:rsidR="00685A78" w:rsidRPr="00417F67">
        <w:rPr>
          <w:szCs w:val="24"/>
        </w:rPr>
        <w:t xml:space="preserve">xaminations as directed by the referee and to </w:t>
      </w:r>
      <w:r w:rsidR="00993BC2" w:rsidRPr="00417F67">
        <w:rPr>
          <w:szCs w:val="24"/>
        </w:rPr>
        <w:t>provide to the r</w:t>
      </w:r>
      <w:r w:rsidRPr="00417F67">
        <w:rPr>
          <w:szCs w:val="24"/>
        </w:rPr>
        <w:t xml:space="preserve">eferee any medical records or other information </w:t>
      </w:r>
      <w:r w:rsidR="00685A78" w:rsidRPr="00417F67">
        <w:rPr>
          <w:szCs w:val="24"/>
        </w:rPr>
        <w:t>or document</w:t>
      </w:r>
      <w:r w:rsidR="00417F67" w:rsidRPr="00417F67">
        <w:rPr>
          <w:szCs w:val="24"/>
        </w:rPr>
        <w:t>s</w:t>
      </w:r>
      <w:r w:rsidR="00685A78" w:rsidRPr="00417F67">
        <w:rPr>
          <w:szCs w:val="24"/>
        </w:rPr>
        <w:t xml:space="preserve"> as directed by the r</w:t>
      </w:r>
      <w:r w:rsidRPr="00417F67">
        <w:rPr>
          <w:szCs w:val="24"/>
        </w:rPr>
        <w:t xml:space="preserve">eferee. </w:t>
      </w:r>
    </w:p>
    <w:p w14:paraId="589A09DD" w14:textId="2FA455AC" w:rsidR="00921D0B" w:rsidRPr="008F7856" w:rsidRDefault="00685A78" w:rsidP="00685A78">
      <w:pPr>
        <w:pStyle w:val="ParaNumbering"/>
      </w:pPr>
      <w:r w:rsidRPr="00417F67">
        <w:rPr>
          <w:szCs w:val="24"/>
        </w:rPr>
        <w:t xml:space="preserve">The process of the inquiry occurred </w:t>
      </w:r>
      <w:r w:rsidR="00DA2909" w:rsidRPr="00417F67">
        <w:rPr>
          <w:szCs w:val="24"/>
        </w:rPr>
        <w:t xml:space="preserve">efficiently and </w:t>
      </w:r>
      <w:r w:rsidRPr="00417F67">
        <w:rPr>
          <w:szCs w:val="24"/>
        </w:rPr>
        <w:t>without incident</w:t>
      </w:r>
      <w:r w:rsidR="00B548EA" w:rsidRPr="00417F67">
        <w:rPr>
          <w:szCs w:val="24"/>
        </w:rPr>
        <w:t>,</w:t>
      </w:r>
      <w:r w:rsidRPr="00417F67">
        <w:rPr>
          <w:szCs w:val="24"/>
        </w:rPr>
        <w:t xml:space="preserve"> but when the </w:t>
      </w:r>
      <w:r w:rsidR="002B29D3" w:rsidRPr="00417F67">
        <w:rPr>
          <w:szCs w:val="24"/>
        </w:rPr>
        <w:t>report</w:t>
      </w:r>
      <w:r w:rsidR="00755C46" w:rsidRPr="00417F67">
        <w:rPr>
          <w:szCs w:val="24"/>
        </w:rPr>
        <w:t xml:space="preserve"> of the referee (</w:t>
      </w:r>
      <w:r w:rsidR="00755C46" w:rsidRPr="00417F67">
        <w:rPr>
          <w:b/>
          <w:szCs w:val="24"/>
        </w:rPr>
        <w:t>Report</w:t>
      </w:r>
      <w:r w:rsidR="00755C46" w:rsidRPr="00417F67">
        <w:rPr>
          <w:szCs w:val="24"/>
        </w:rPr>
        <w:t>)</w:t>
      </w:r>
      <w:r w:rsidRPr="00417F67">
        <w:rPr>
          <w:szCs w:val="24"/>
        </w:rPr>
        <w:t xml:space="preserve"> was</w:t>
      </w:r>
      <w:r w:rsidR="00921D0B" w:rsidRPr="00417F67">
        <w:rPr>
          <w:szCs w:val="24"/>
        </w:rPr>
        <w:t xml:space="preserve"> provided </w:t>
      </w:r>
      <w:r w:rsidR="002B29D3" w:rsidRPr="00417F67">
        <w:rPr>
          <w:szCs w:val="24"/>
        </w:rPr>
        <w:t xml:space="preserve">to the Court and the parties, </w:t>
      </w:r>
      <w:r w:rsidRPr="00417F67">
        <w:rPr>
          <w:szCs w:val="24"/>
        </w:rPr>
        <w:t xml:space="preserve">it </w:t>
      </w:r>
      <w:r w:rsidR="00921D0B" w:rsidRPr="00417F67">
        <w:rPr>
          <w:szCs w:val="24"/>
        </w:rPr>
        <w:t xml:space="preserve">left open the possibility </w:t>
      </w:r>
      <w:r w:rsidRPr="00417F67">
        <w:rPr>
          <w:szCs w:val="24"/>
        </w:rPr>
        <w:t>that the r</w:t>
      </w:r>
      <w:r w:rsidR="00921D0B" w:rsidRPr="00417F67">
        <w:rPr>
          <w:szCs w:val="24"/>
        </w:rPr>
        <w:t xml:space="preserve">eferee had not been provided with some relevant </w:t>
      </w:r>
      <w:r w:rsidR="004C04F7" w:rsidRPr="00417F67">
        <w:rPr>
          <w:szCs w:val="24"/>
        </w:rPr>
        <w:t>recent</w:t>
      </w:r>
      <w:r w:rsidR="00755C46" w:rsidRPr="00417F67">
        <w:rPr>
          <w:szCs w:val="24"/>
        </w:rPr>
        <w:t xml:space="preserve"> </w:t>
      </w:r>
      <w:r w:rsidR="00921D0B" w:rsidRPr="00417F67">
        <w:rPr>
          <w:szCs w:val="24"/>
        </w:rPr>
        <w:t>reports from Mr Murphy’s audiologist</w:t>
      </w:r>
      <w:r w:rsidRPr="00417F67">
        <w:rPr>
          <w:szCs w:val="24"/>
        </w:rPr>
        <w:t>,</w:t>
      </w:r>
      <w:r w:rsidR="00921D0B" w:rsidRPr="00417F67">
        <w:rPr>
          <w:szCs w:val="24"/>
        </w:rPr>
        <w:t xml:space="preserve"> and noted the history o</w:t>
      </w:r>
      <w:r w:rsidR="002B29D3" w:rsidRPr="00417F67">
        <w:rPr>
          <w:szCs w:val="24"/>
        </w:rPr>
        <w:t>f</w:t>
      </w:r>
      <w:r w:rsidR="00921D0B" w:rsidRPr="00417F67">
        <w:rPr>
          <w:szCs w:val="24"/>
        </w:rPr>
        <w:t xml:space="preserve"> Mr Murphy’s</w:t>
      </w:r>
      <w:r w:rsidR="00921D0B" w:rsidRPr="008F7856">
        <w:t xml:space="preserve"> use of two different type</w:t>
      </w:r>
      <w:r w:rsidR="00C30537" w:rsidRPr="008F7856">
        <w:t xml:space="preserve">s of hearing aids during 2020. </w:t>
      </w:r>
      <w:r w:rsidR="00921D0B" w:rsidRPr="008F7856">
        <w:t xml:space="preserve">Accordingly, on 11 February 2021, pursuant to </w:t>
      </w:r>
      <w:r w:rsidR="00B548EA" w:rsidRPr="008F7856">
        <w:t xml:space="preserve">FCR </w:t>
      </w:r>
      <w:r w:rsidR="00921D0B" w:rsidRPr="008F7856">
        <w:t xml:space="preserve">28.67(1), </w:t>
      </w:r>
      <w:r w:rsidR="00DA2909" w:rsidRPr="008F7856">
        <w:t xml:space="preserve">without opposition, </w:t>
      </w:r>
      <w:r w:rsidR="00921D0B" w:rsidRPr="008F7856">
        <w:t>the</w:t>
      </w:r>
      <w:r w:rsidR="00755C46" w:rsidRPr="008F7856">
        <w:t xml:space="preserve"> R</w:t>
      </w:r>
      <w:r w:rsidR="00921D0B" w:rsidRPr="008F7856">
        <w:t>eport was adopted subject to the preparation of a supplementary report</w:t>
      </w:r>
      <w:r w:rsidR="00755C46" w:rsidRPr="008F7856">
        <w:t xml:space="preserve"> (</w:t>
      </w:r>
      <w:r w:rsidR="00755C46" w:rsidRPr="008F7856">
        <w:rPr>
          <w:b/>
        </w:rPr>
        <w:t>Supplementary Report</w:t>
      </w:r>
      <w:r w:rsidR="00755C46" w:rsidRPr="008F7856">
        <w:t>) by the referee</w:t>
      </w:r>
      <w:r w:rsidR="00921D0B" w:rsidRPr="008F7856">
        <w:t xml:space="preserve">. The </w:t>
      </w:r>
      <w:r w:rsidR="00755C46" w:rsidRPr="008F7856">
        <w:t xml:space="preserve">Supplementary Report </w:t>
      </w:r>
      <w:r w:rsidR="00921D0B" w:rsidRPr="008F7856">
        <w:t>was prepared promptly, and without any opposition by the</w:t>
      </w:r>
      <w:r w:rsidR="00993BC2" w:rsidRPr="008F7856">
        <w:t xml:space="preserve"> parties, on 2 March 2021, the Supplementary R</w:t>
      </w:r>
      <w:r w:rsidR="00921D0B" w:rsidRPr="008F7856">
        <w:t xml:space="preserve">eport was adopted. </w:t>
      </w:r>
      <w:r w:rsidR="00B548EA" w:rsidRPr="008F7856">
        <w:t>Relevantly, u</w:t>
      </w:r>
      <w:r w:rsidR="00921D0B" w:rsidRPr="008F7856">
        <w:t xml:space="preserve">pon (and by the process of) adoption, </w:t>
      </w:r>
      <w:r w:rsidR="00B548EA" w:rsidRPr="008F7856">
        <w:t>the following was found by the Court:</w:t>
      </w:r>
    </w:p>
    <w:p w14:paraId="13145502" w14:textId="45B416B7" w:rsidR="00C30537" w:rsidRPr="00C30537" w:rsidRDefault="002B29D3" w:rsidP="00C30537">
      <w:pPr>
        <w:pStyle w:val="Quote1"/>
        <w:numPr>
          <w:ilvl w:val="0"/>
          <w:numId w:val="46"/>
        </w:numPr>
        <w:rPr>
          <w:b/>
        </w:rPr>
      </w:pPr>
      <w:r w:rsidRPr="00C30537">
        <w:rPr>
          <w:b/>
        </w:rPr>
        <w:t>What is the current state of hearing of Mr Murphy</w:t>
      </w:r>
      <w:r w:rsidR="00C30537" w:rsidRPr="00C30537">
        <w:rPr>
          <w:b/>
        </w:rPr>
        <w:t>?</w:t>
      </w:r>
    </w:p>
    <w:p w14:paraId="51EE2651" w14:textId="64F3979C" w:rsidR="002B29D3" w:rsidRPr="00057DB7" w:rsidRDefault="002B29D3" w:rsidP="00C30537">
      <w:pPr>
        <w:pStyle w:val="Quote1"/>
        <w:ind w:left="1097"/>
      </w:pPr>
      <w:r w:rsidRPr="00057DB7">
        <w:t>Mr Murphy has a severe to profound sensorineural hearing loss in both ears. The hearing loss is permanent. When compared with previous hearing test results (conducted by Sydney Adult and Children’s Ear Nose Throat Centre) provided by Mr Murphy, there has been no significant change in hearing levels since 2012. Without the use of hearing aids it would be expected that Mr Murphy would have great difficulty with auditory c</w:t>
      </w:r>
      <w:r w:rsidR="00C30537">
        <w:t>ommunication in all situations.</w:t>
      </w:r>
    </w:p>
    <w:p w14:paraId="3840C4BF" w14:textId="3574F8E2" w:rsidR="002B29D3" w:rsidRPr="00C30537" w:rsidRDefault="002B29D3" w:rsidP="00C30537">
      <w:pPr>
        <w:pStyle w:val="Quote1"/>
        <w:numPr>
          <w:ilvl w:val="0"/>
          <w:numId w:val="46"/>
        </w:numPr>
        <w:rPr>
          <w:b/>
        </w:rPr>
      </w:pPr>
      <w:r w:rsidRPr="00C30537">
        <w:rPr>
          <w:b/>
        </w:rPr>
        <w:t>Without limiting question 1, with the assistance of any hearing assistance technology to which Mr Murphy has access, what is the state of Mr Murphy’s ability to hear in a room of the size and configuration of a standard courtroom?</w:t>
      </w:r>
    </w:p>
    <w:p w14:paraId="27C8ACA1" w14:textId="77777777" w:rsidR="002B29D3" w:rsidRPr="00057DB7" w:rsidRDefault="002B29D3" w:rsidP="00C30537">
      <w:pPr>
        <w:pStyle w:val="Quote1"/>
        <w:ind w:left="1097"/>
      </w:pPr>
      <w:r w:rsidRPr="00057DB7">
        <w:t>Mr Murphy has access to hearing aids and other technology that has been shown to be appropriate for the degree of hearing loss. Mr Murphy has demonstrated proficiency in the use of this equipment. Aided speech tests demonstrate that with the use of his hearing aids it is likely that Mr Murphy can communicate effectively in a room the size and configuration of a standard courtroom. This is particularly the case when Mr Murphy utilises the remote microphone devices that he is in possession of. Using live voice rather than a recording which is closer in replicating the sound environment of the court Mr Murphy was able to score 100% in the auditory visual condition and in the auditory alone condition, using his hearing aids alone. His ability to hear clearly at a distance was demonstrated when using the Roger clip. Mr Murphy was able to score 90% correct. It must be emphasised that the material used for test purposes, places more focus on auditory ability alone than would be the case in a courtroom. In the courtroom Mr Murphy would also have the advantage of understanding the context of what is being communicated.</w:t>
      </w:r>
    </w:p>
    <w:p w14:paraId="58935CC7" w14:textId="5C531816" w:rsidR="002B29D3" w:rsidRPr="00C30537" w:rsidRDefault="002B29D3" w:rsidP="00C30537">
      <w:pPr>
        <w:pStyle w:val="Quote1"/>
        <w:numPr>
          <w:ilvl w:val="0"/>
          <w:numId w:val="46"/>
        </w:numPr>
        <w:rPr>
          <w:b/>
        </w:rPr>
      </w:pPr>
      <w:r w:rsidRPr="00C30537">
        <w:rPr>
          <w:b/>
        </w:rPr>
        <w:t>How would the answer to question 2 be affected by the acoustics and level of ambient noise in a courtroom.</w:t>
      </w:r>
    </w:p>
    <w:p w14:paraId="285B124A" w14:textId="77777777" w:rsidR="002B29D3" w:rsidRPr="00057DB7" w:rsidRDefault="002B29D3" w:rsidP="00C30537">
      <w:pPr>
        <w:pStyle w:val="Quote1"/>
        <w:ind w:left="1097"/>
      </w:pPr>
      <w:r w:rsidRPr="00057DB7">
        <w:lastRenderedPageBreak/>
        <w:t>Mr Murphy utilises a Roger Pen or Roger Clip to overcome the increased challenges provided by poor acoustics, reverberation, ambient noise and increased distance from the speaker.</w:t>
      </w:r>
    </w:p>
    <w:p w14:paraId="58155619" w14:textId="57090325" w:rsidR="002B29D3" w:rsidRPr="00057DB7" w:rsidRDefault="002B29D3" w:rsidP="00C30537">
      <w:pPr>
        <w:pStyle w:val="Quote1"/>
        <w:ind w:left="1097"/>
      </w:pPr>
      <w:r w:rsidRPr="00057DB7">
        <w:t>The main purpose of the Roger Pen or Clip is to pick up the speaker’s voice by being placed close to the sound source (in most cases the mouth), and in this way reduce the ambient noise. The Roger device transmits the speech closest to it directly to the hearing aids and is capable of transmitting the signal for up to 10 metres. Mr Murphy reports that he frequently either places the Roger device close to the sound source or gives it to the speaker. It can therefore be concluded that the acoustics and ambient noise in the court room have very little effect on Mr Murphy’s ability to hear, provided that he uses the Roger device(s) as he has reported. This was also demonstrated in the clinic wi</w:t>
      </w:r>
      <w:r w:rsidR="00C30537">
        <w:t>th standardised test sentences.</w:t>
      </w:r>
    </w:p>
    <w:p w14:paraId="79A711AC" w14:textId="6FA3FCA2" w:rsidR="002B29D3" w:rsidRPr="00057DB7" w:rsidRDefault="002B29D3" w:rsidP="00C30537">
      <w:pPr>
        <w:pStyle w:val="Quote1"/>
        <w:ind w:left="1097"/>
      </w:pPr>
      <w:r w:rsidRPr="00057DB7">
        <w:t>In the event that Mr Murphy does not use the Roger devices when in court and is relying on his hearing aids alone, it is my opinion that Mr Murphy may experience more difficulty hearing and understanding speech. It is likely that Mr Murphy would need to focus more effort in understanding speech particularly if the speaker does not have a clear voice, is not clearly visible or is at a considerable distance. Ambient noise may also interfere with Mr Murphy’s ability to understand speech when not using the Roger devices. However, Mr Murphy’s hearing aids do have the ability to enhance any speech signal above the level of ambient noise. Hearing aids such as those worn by Mr Murphy contain multi-adaptive directional microphones which are automatically activated in</w:t>
      </w:r>
      <w:r w:rsidR="00755C46" w:rsidRPr="00057DB7">
        <w:t xml:space="preserve"> </w:t>
      </w:r>
      <w:r w:rsidRPr="00057DB7">
        <w:t>noisy situations. Test results demonstrated that Mr Murphy’s aided hearing is sufficient for effective communication in various conditions with his hearing aids alone. It is also likely that given Mr Murphy’s long standing hearing loss he has become adept at utilising visual cues to aid communication. His familiarity with the Court environment and his knowledge of the context of the material being discussed would also lessen the disability associated w</w:t>
      </w:r>
      <w:r w:rsidR="00C30537">
        <w:t>ith the degree of hearing loss.</w:t>
      </w:r>
    </w:p>
    <w:p w14:paraId="195DE1C8" w14:textId="70DB9B82" w:rsidR="002B29D3" w:rsidRPr="00C30537" w:rsidRDefault="002B29D3" w:rsidP="00C30537">
      <w:pPr>
        <w:pStyle w:val="Quote1"/>
        <w:numPr>
          <w:ilvl w:val="0"/>
          <w:numId w:val="46"/>
        </w:numPr>
        <w:rPr>
          <w:b/>
        </w:rPr>
      </w:pPr>
      <w:r w:rsidRPr="00C30537">
        <w:rPr>
          <w:b/>
        </w:rPr>
        <w:t>Is Mr Murphy’s current state of hearing (including his ability to hear in a room of the size and configuration of a standard courtroom), likely to have been materially different at an earlier date during 2020 and, if so, in what way?</w:t>
      </w:r>
    </w:p>
    <w:p w14:paraId="41AB7785" w14:textId="77777777" w:rsidR="00921D0B" w:rsidRPr="00057DB7" w:rsidRDefault="002B29D3" w:rsidP="00C30537">
      <w:pPr>
        <w:pStyle w:val="Quote1"/>
        <w:ind w:left="1097"/>
      </w:pPr>
      <w:r w:rsidRPr="00057DB7">
        <w:t>Mr Murphy provided copies of previous hearing test results dating from 2012 to 2020. These tests were carried out by Sydney Adult and Children’s Ear Nose and Throat Centre. There has been no significant change in Mr Murphy’s hearing levels during this period or when compared to tests carried out for the purposes of this report. On this basis, I consider that it is unlikely that Mr Murphy’s hearing was materially different at any earlier date in 2020.</w:t>
      </w:r>
    </w:p>
    <w:p w14:paraId="6A14F631" w14:textId="4F236307" w:rsidR="00755C46" w:rsidRPr="00057DB7" w:rsidRDefault="00755C46" w:rsidP="00C30537">
      <w:pPr>
        <w:pStyle w:val="ParaNumbering"/>
      </w:pPr>
      <w:r w:rsidRPr="00057DB7">
        <w:t>As to th</w:t>
      </w:r>
      <w:r w:rsidR="00417F67">
        <w:t>e questions the subject of the Supplementary R</w:t>
      </w:r>
      <w:r w:rsidRPr="00057DB7">
        <w:t>eport:</w:t>
      </w:r>
      <w:r w:rsidR="00921D0B" w:rsidRPr="00057DB7">
        <w:t xml:space="preserve"> </w:t>
      </w:r>
      <w:r w:rsidRPr="00057DB7">
        <w:t xml:space="preserve"> </w:t>
      </w:r>
    </w:p>
    <w:p w14:paraId="41359D94" w14:textId="18EE2785" w:rsidR="00755C46" w:rsidRPr="00C30537" w:rsidRDefault="00755C46" w:rsidP="00C30537">
      <w:pPr>
        <w:pStyle w:val="Quote1"/>
        <w:numPr>
          <w:ilvl w:val="0"/>
          <w:numId w:val="46"/>
        </w:numPr>
        <w:rPr>
          <w:b/>
        </w:rPr>
      </w:pPr>
      <w:r w:rsidRPr="00C30537">
        <w:rPr>
          <w:b/>
        </w:rPr>
        <w:t xml:space="preserve">What differences in use or effectiveness, if any, exist in the ordinary use by a person with Mr Murphy’s current state of hearing between the </w:t>
      </w:r>
      <w:proofErr w:type="spellStart"/>
      <w:r w:rsidRPr="00C30537">
        <w:rPr>
          <w:b/>
        </w:rPr>
        <w:t>Phonak</w:t>
      </w:r>
      <w:proofErr w:type="spellEnd"/>
      <w:r w:rsidRPr="00C30537">
        <w:rPr>
          <w:b/>
        </w:rPr>
        <w:t xml:space="preserve"> </w:t>
      </w:r>
      <w:proofErr w:type="spellStart"/>
      <w:r w:rsidRPr="00C30537">
        <w:rPr>
          <w:b/>
        </w:rPr>
        <w:t>Naida</w:t>
      </w:r>
      <w:proofErr w:type="spellEnd"/>
      <w:r w:rsidRPr="00C30537">
        <w:rPr>
          <w:b/>
        </w:rPr>
        <w:t xml:space="preserve"> M90 SP BTE (Behind-the-ear) hearing aids (second device) and the </w:t>
      </w:r>
      <w:proofErr w:type="spellStart"/>
      <w:r w:rsidRPr="00C30537">
        <w:rPr>
          <w:b/>
        </w:rPr>
        <w:t>Phonak</w:t>
      </w:r>
      <w:proofErr w:type="spellEnd"/>
      <w:r w:rsidRPr="00C30537">
        <w:rPr>
          <w:b/>
        </w:rPr>
        <w:t xml:space="preserve"> </w:t>
      </w:r>
      <w:proofErr w:type="spellStart"/>
      <w:r w:rsidRPr="00C30537">
        <w:rPr>
          <w:b/>
        </w:rPr>
        <w:t>Naida</w:t>
      </w:r>
      <w:proofErr w:type="spellEnd"/>
      <w:r w:rsidRPr="00C30537">
        <w:rPr>
          <w:b/>
        </w:rPr>
        <w:t xml:space="preserve"> Q90-UP hearing aids (first device)?</w:t>
      </w:r>
    </w:p>
    <w:p w14:paraId="1273584E" w14:textId="48D501B0" w:rsidR="00755C46" w:rsidRPr="00057DB7" w:rsidRDefault="00755C46" w:rsidP="00C30537">
      <w:pPr>
        <w:pStyle w:val="Quote1"/>
        <w:ind w:left="1097"/>
      </w:pPr>
      <w:r w:rsidRPr="00057DB7">
        <w:t xml:space="preserve">The </w:t>
      </w:r>
      <w:proofErr w:type="spellStart"/>
      <w:r w:rsidRPr="00057DB7">
        <w:t>Naida</w:t>
      </w:r>
      <w:proofErr w:type="spellEnd"/>
      <w:r w:rsidRPr="00057DB7">
        <w:t xml:space="preserve"> Q90 UP and M90 SP are both suitable devices for Mr Murphy’s degree of hearing loss. They are premium devices with comparable high power outputs and 20 digital channels. There are some technical differences in performance of the hearing aids. These differences relate to the introduction of enhanced digital processing and more sophisticated algorithms enabling the automatic functioning of the hearing aids. In addition the </w:t>
      </w:r>
      <w:proofErr w:type="spellStart"/>
      <w:r w:rsidRPr="00057DB7">
        <w:t>Naida</w:t>
      </w:r>
      <w:proofErr w:type="spellEnd"/>
      <w:r w:rsidRPr="00057DB7">
        <w:t xml:space="preserve"> M90 SP introduced the use of direct </w:t>
      </w:r>
      <w:r w:rsidRPr="00057DB7">
        <w:lastRenderedPageBreak/>
        <w:t xml:space="preserve">Bluetooth wireless technology as opposed to the </w:t>
      </w:r>
      <w:proofErr w:type="spellStart"/>
      <w:r w:rsidRPr="00057DB7">
        <w:t>Naida</w:t>
      </w:r>
      <w:proofErr w:type="spellEnd"/>
      <w:r w:rsidRPr="00057DB7">
        <w:t xml:space="preserve"> Q90 which required the use of an additional</w:t>
      </w:r>
      <w:r w:rsidR="00C30537">
        <w:t xml:space="preserve"> Bluetooth streaming accessory.</w:t>
      </w:r>
    </w:p>
    <w:p w14:paraId="23B44407" w14:textId="77777777" w:rsidR="00357D2A" w:rsidRDefault="00755C46" w:rsidP="00C30537">
      <w:pPr>
        <w:pStyle w:val="Quote1"/>
        <w:ind w:left="1097"/>
      </w:pPr>
      <w:r w:rsidRPr="00057DB7">
        <w:t xml:space="preserve">It is my opinion that the </w:t>
      </w:r>
      <w:proofErr w:type="spellStart"/>
      <w:r w:rsidRPr="00057DB7">
        <w:t>Naida</w:t>
      </w:r>
      <w:proofErr w:type="spellEnd"/>
      <w:r w:rsidRPr="00057DB7">
        <w:t xml:space="preserve"> Q90 and M90s are essentially equally effective in quiet situations when used by a person with Mr Murphy’s degree of hearing loss and listening skills. Both devices would give appropriate amplification to enable the user to hear speech. In situations where there is a significant amount of background noise it is likely that the </w:t>
      </w:r>
      <w:proofErr w:type="spellStart"/>
      <w:r w:rsidRPr="00057DB7">
        <w:t>Naida</w:t>
      </w:r>
      <w:proofErr w:type="spellEnd"/>
      <w:r w:rsidRPr="00057DB7">
        <w:t xml:space="preserve"> M90 SP would provide enhanced noise reduction, improving the clarity of speech in noise and therefore reducing the listening effort required. It is likely that the </w:t>
      </w:r>
      <w:proofErr w:type="spellStart"/>
      <w:r w:rsidRPr="00057DB7">
        <w:t>Naida</w:t>
      </w:r>
      <w:proofErr w:type="spellEnd"/>
      <w:r w:rsidRPr="00057DB7">
        <w:t xml:space="preserve"> Q90 UP would require more use of visual and contextual cues. In summary it is my opinion that it may be easier and require less auditory effort for someone with Mr Murphy’s degree of hearing loss to hear speech when using the </w:t>
      </w:r>
      <w:proofErr w:type="spellStart"/>
      <w:r w:rsidRPr="00057DB7">
        <w:t>Naida</w:t>
      </w:r>
      <w:proofErr w:type="spellEnd"/>
      <w:r w:rsidRPr="00057DB7">
        <w:t xml:space="preserve"> M90 SP compared to the </w:t>
      </w:r>
      <w:proofErr w:type="spellStart"/>
      <w:r w:rsidRPr="00057DB7">
        <w:t>Naida</w:t>
      </w:r>
      <w:proofErr w:type="spellEnd"/>
      <w:r w:rsidRPr="00057DB7">
        <w:t xml:space="preserve"> Q90 UP.</w:t>
      </w:r>
      <w:r w:rsidR="00685A78" w:rsidRPr="00057DB7">
        <w:t xml:space="preserve"> </w:t>
      </w:r>
    </w:p>
    <w:p w14:paraId="6E0F6F84" w14:textId="00836DFD" w:rsidR="00755C46" w:rsidRPr="00357D2A" w:rsidRDefault="00755C46" w:rsidP="00357D2A">
      <w:pPr>
        <w:pStyle w:val="Quote1"/>
        <w:numPr>
          <w:ilvl w:val="0"/>
          <w:numId w:val="46"/>
        </w:numPr>
        <w:rPr>
          <w:b/>
        </w:rPr>
      </w:pPr>
      <w:r w:rsidRPr="00357D2A">
        <w:rPr>
          <w:b/>
        </w:rPr>
        <w:t xml:space="preserve">Is there any difference between the first device and second device as to how they can operate effectively with the </w:t>
      </w:r>
      <w:proofErr w:type="spellStart"/>
      <w:r w:rsidRPr="00357D2A">
        <w:rPr>
          <w:b/>
        </w:rPr>
        <w:t>Phonak</w:t>
      </w:r>
      <w:proofErr w:type="spellEnd"/>
      <w:r w:rsidRPr="00357D2A">
        <w:rPr>
          <w:b/>
        </w:rPr>
        <w:t xml:space="preserve"> Roger Remote Microphone Pens and the Roger Remote Microphone Clip referred to in the Report?</w:t>
      </w:r>
    </w:p>
    <w:p w14:paraId="7132FC81" w14:textId="78791073" w:rsidR="00755C46" w:rsidRPr="00057DB7" w:rsidRDefault="00755C46" w:rsidP="00C30537">
      <w:pPr>
        <w:pStyle w:val="Quote1"/>
        <w:ind w:left="1097"/>
      </w:pPr>
      <w:r w:rsidRPr="00057DB7">
        <w:t xml:space="preserve">There is a difference in the practical use of the Roger devices between the </w:t>
      </w:r>
      <w:proofErr w:type="spellStart"/>
      <w:r w:rsidRPr="00057DB7">
        <w:t>Naida</w:t>
      </w:r>
      <w:proofErr w:type="spellEnd"/>
      <w:r w:rsidRPr="00057DB7">
        <w:t xml:space="preserve"> Q90 and the </w:t>
      </w:r>
      <w:proofErr w:type="spellStart"/>
      <w:r w:rsidRPr="00057DB7">
        <w:t>Naida</w:t>
      </w:r>
      <w:proofErr w:type="spellEnd"/>
      <w:r w:rsidRPr="00057DB7">
        <w:t xml:space="preserve"> M90. The Q90 series requires the use of a Bluetooth streaming accessory to be worn by the hearing impaired person in addition to their hearing aids. It also requires the manual activation of a streaming program by pushing a button on the accessory. The M90 series has the Bluetooth receiver built into the hearing aid. There is no requirement to wear an additional accessory or to manually activate the device. Once the Roger transmitter (Roger remote microphone pen or microphone clip) is switched on it will stream the signal directly to the hearing aids.</w:t>
      </w:r>
    </w:p>
    <w:p w14:paraId="6383C5E0" w14:textId="77777777" w:rsidR="00C30537" w:rsidRDefault="00755C46" w:rsidP="00C30537">
      <w:pPr>
        <w:pStyle w:val="Quote1"/>
        <w:ind w:left="1097"/>
      </w:pPr>
      <w:r w:rsidRPr="00057DB7">
        <w:t xml:space="preserve">The aim of the Roger devices is to reduce interference from noise by essentially improving the proximity to the sound source. This occurs equally when the Roger devices are used correctly with either the </w:t>
      </w:r>
      <w:proofErr w:type="spellStart"/>
      <w:r w:rsidRPr="00057DB7">
        <w:t>Naida</w:t>
      </w:r>
      <w:proofErr w:type="spellEnd"/>
      <w:r w:rsidRPr="00057DB7">
        <w:t xml:space="preserve"> Q90 or the </w:t>
      </w:r>
      <w:proofErr w:type="spellStart"/>
      <w:r w:rsidRPr="00057DB7">
        <w:t>Naida</w:t>
      </w:r>
      <w:proofErr w:type="spellEnd"/>
      <w:r w:rsidRPr="00057DB7">
        <w:t xml:space="preserve"> M90. Therefore in my opinion there is likely to be no significant difference in the effectiveness of the Roger devices when used with the first device and the second device.</w:t>
      </w:r>
    </w:p>
    <w:p w14:paraId="24BBC12A" w14:textId="0F6AE802" w:rsidR="00755C46" w:rsidRPr="00C30537" w:rsidRDefault="00755C46" w:rsidP="00C30537">
      <w:pPr>
        <w:pStyle w:val="Quote1"/>
        <w:numPr>
          <w:ilvl w:val="0"/>
          <w:numId w:val="46"/>
        </w:numPr>
        <w:rPr>
          <w:b/>
        </w:rPr>
      </w:pPr>
      <w:r w:rsidRPr="00C30537">
        <w:rPr>
          <w:b/>
        </w:rPr>
        <w:t>Was the Referee provided with, and took into account in the preparation of the Report, the Sydney Audiology reports annexed to this order dated 29 April 2020 and 18 December 2020 (Sydney Audiology Reports) and if they were not taken into account by the Referee, do the tests and opinions expressed in the Sydney Audiology Reports alter the opinions expressed in the Report and, if so, how?</w:t>
      </w:r>
    </w:p>
    <w:p w14:paraId="51EE3F8C" w14:textId="77777777" w:rsidR="00755C46" w:rsidRPr="00057DB7" w:rsidRDefault="00755C46" w:rsidP="00C30537">
      <w:pPr>
        <w:pStyle w:val="Quote1"/>
        <w:ind w:left="1097"/>
      </w:pPr>
      <w:r w:rsidRPr="00057DB7">
        <w:t>I was not provided with and therefore did not take into account the Sydney Audiology reports dated 29 April 2020 and 18 December 2020. The tests and opinions expressed in the Sydney Audiology Reports do not alter the opinions I expressed in the Report provided to the Court.</w:t>
      </w:r>
    </w:p>
    <w:p w14:paraId="5363EB0B" w14:textId="77777777" w:rsidR="00C30537" w:rsidRDefault="00755C46" w:rsidP="00C30537">
      <w:pPr>
        <w:pStyle w:val="Quote1"/>
        <w:ind w:left="1097"/>
      </w:pPr>
      <w:r w:rsidRPr="00057DB7">
        <w:t>The Sydney Audiology report is in keeping with the opinions I have previously expressed. It states that Mr Murphy has a severe to profound sensorineural hearing loss bilaterally. To summarise both Sydney Audiology reports also state that his hearing devices will assist him to communicate 1:1, he will have more difficulty in noise, benefits from visual cues and that he utilises Bluetooth streaming and remote microphones. Other than the Audiogram there are no test results in the Sydney Audiology reports to directly support the views expressed (although these views are consistent with the degree of hearing loss).</w:t>
      </w:r>
    </w:p>
    <w:p w14:paraId="49F06732" w14:textId="0ED0031C" w:rsidR="00755C46" w:rsidRDefault="00755C46" w:rsidP="00C30537">
      <w:pPr>
        <w:pStyle w:val="Quote1"/>
        <w:ind w:left="1097"/>
      </w:pPr>
      <w:r w:rsidRPr="00057DB7">
        <w:t xml:space="preserve">In summary, having reviewed the Sydney Audiology reports, there is no change to the opinions I have expressed in the original report provided to the </w:t>
      </w:r>
      <w:r w:rsidR="00685A78" w:rsidRPr="00057DB7">
        <w:t>Court.</w:t>
      </w:r>
    </w:p>
    <w:p w14:paraId="685CB9AD" w14:textId="1C384504" w:rsidR="00357D2A" w:rsidRPr="00057DB7" w:rsidRDefault="00E42E88" w:rsidP="004C04F7">
      <w:pPr>
        <w:pStyle w:val="Quote1"/>
        <w:ind w:left="1097"/>
      </w:pPr>
      <w:r>
        <w:lastRenderedPageBreak/>
        <w:t>(Numbering adjusted to be consecutive).</w:t>
      </w:r>
    </w:p>
    <w:p w14:paraId="26B3B990" w14:textId="77777777" w:rsidR="00DA2909" w:rsidRPr="00423C1D" w:rsidRDefault="00DA2909" w:rsidP="00423C1D">
      <w:pPr>
        <w:pStyle w:val="Heading3"/>
      </w:pPr>
      <w:bookmarkStart w:id="36" w:name="_Ref69479636"/>
      <w:r w:rsidRPr="00423C1D">
        <w:t>Further Findings as to the Incapacity Issue</w:t>
      </w:r>
      <w:bookmarkEnd w:id="36"/>
      <w:r w:rsidRPr="00423C1D">
        <w:t xml:space="preserve">  </w:t>
      </w:r>
    </w:p>
    <w:p w14:paraId="57E29F54" w14:textId="4021A4E5" w:rsidR="00D13BE9" w:rsidRPr="00057DB7" w:rsidRDefault="00777368" w:rsidP="00A861F7">
      <w:pPr>
        <w:pStyle w:val="ParaNumbering"/>
      </w:pPr>
      <w:r w:rsidRPr="00057DB7">
        <w:t xml:space="preserve">In addition to these findings, as was noted above </w:t>
      </w:r>
      <w:r w:rsidR="00417F67">
        <w:t xml:space="preserve">(at </w:t>
      </w:r>
      <w:r w:rsidRPr="00057DB7">
        <w:t>[39]</w:t>
      </w:r>
      <w:r w:rsidR="00657E4A">
        <w:t>)</w:t>
      </w:r>
      <w:r w:rsidRPr="00057DB7">
        <w:t xml:space="preserve">, there was </w:t>
      </w:r>
      <w:r w:rsidR="00D13BE9" w:rsidRPr="00057DB7">
        <w:t>little left in any</w:t>
      </w:r>
      <w:r w:rsidRPr="00057DB7">
        <w:t xml:space="preserve"> dispute as to the Incapacity Issue</w:t>
      </w:r>
      <w:r w:rsidR="00D13BE9" w:rsidRPr="00057DB7">
        <w:t xml:space="preserve"> by the end of the trial</w:t>
      </w:r>
      <w:r w:rsidRPr="00057DB7">
        <w:t xml:space="preserve">.  </w:t>
      </w:r>
      <w:r w:rsidR="00563356" w:rsidRPr="00057DB7">
        <w:t xml:space="preserve">It was an agreed fact pursuant to s 191 of the </w:t>
      </w:r>
      <w:r w:rsidR="00B0345C">
        <w:rPr>
          <w:i/>
        </w:rPr>
        <w:t>Evidence Act</w:t>
      </w:r>
      <w:r w:rsidR="00563356" w:rsidRPr="00057DB7">
        <w:t xml:space="preserve"> that Mr Murphy was not capable of appearing as an advocate in court, or as an instructing solicitor in court, without the use of his hearin</w:t>
      </w:r>
      <w:r w:rsidR="00657E4A">
        <w:t>g aids and Roger devices:</w:t>
      </w:r>
      <w:r w:rsidR="00563356" w:rsidRPr="00057DB7">
        <w:t xml:space="preserve"> T93.19</w:t>
      </w:r>
      <w:r w:rsidR="00657E4A">
        <w:t>–</w:t>
      </w:r>
      <w:r w:rsidR="00563356" w:rsidRPr="00057DB7">
        <w:t>2</w:t>
      </w:r>
      <w:r w:rsidR="00657E4A">
        <w:t>2 and</w:t>
      </w:r>
      <w:r w:rsidR="00563356" w:rsidRPr="00057DB7">
        <w:t xml:space="preserve"> T95.35</w:t>
      </w:r>
      <w:r w:rsidR="00657E4A">
        <w:t>–</w:t>
      </w:r>
      <w:r w:rsidR="00B35579">
        <w:t>45</w:t>
      </w:r>
      <w:r w:rsidR="00563356" w:rsidRPr="00057DB7">
        <w:t xml:space="preserve">. </w:t>
      </w:r>
      <w:r w:rsidR="00D13BE9" w:rsidRPr="00057DB7">
        <w:t xml:space="preserve"> </w:t>
      </w:r>
    </w:p>
    <w:p w14:paraId="2C074770" w14:textId="2178F91B" w:rsidR="00D13BE9" w:rsidRPr="008F7856" w:rsidRDefault="00D13BE9" w:rsidP="000E5B55">
      <w:pPr>
        <w:pStyle w:val="ParaNumbering"/>
      </w:pPr>
      <w:r w:rsidRPr="008F7856">
        <w:t>On each occasion he has appeared in court since 2014, Mr</w:t>
      </w:r>
      <w:r w:rsidR="00657E4A" w:rsidRPr="008F7856">
        <w:t xml:space="preserve"> </w:t>
      </w:r>
      <w:r w:rsidR="007F567F" w:rsidRPr="008F7856">
        <w:t>Murphy has used Roger devices: a</w:t>
      </w:r>
      <w:r w:rsidR="00657E4A" w:rsidRPr="008F7856">
        <w:t>ffidavit of Mr Murphy affirmed 26 February 2021 (</w:t>
      </w:r>
      <w:r w:rsidR="00657E4A" w:rsidRPr="008F7856">
        <w:rPr>
          <w:b/>
        </w:rPr>
        <w:t>Murphy 2</w:t>
      </w:r>
      <w:r w:rsidR="00657E4A" w:rsidRPr="008F7856">
        <w:t xml:space="preserve">) (at </w:t>
      </w:r>
      <w:r w:rsidR="004B3FD0" w:rsidRPr="008F7856">
        <w:t xml:space="preserve">[12]). </w:t>
      </w:r>
      <w:r w:rsidRPr="008F7856">
        <w:t xml:space="preserve">When he takes part in legal proceedings, he or </w:t>
      </w:r>
      <w:r w:rsidR="00417F67">
        <w:t xml:space="preserve">his </w:t>
      </w:r>
      <w:r w:rsidRPr="008F7856">
        <w:t xml:space="preserve">Counsel will seek permission to utilise the Roger devices and </w:t>
      </w:r>
      <w:r w:rsidR="009E14D2" w:rsidRPr="008F7856">
        <w:t>these requests have</w:t>
      </w:r>
      <w:r w:rsidRPr="008F7856">
        <w:t xml:space="preserve"> never been met with resistance from the judiciary. They are recharged during breaks and he brings additional charged </w:t>
      </w:r>
      <w:r w:rsidRPr="00B0345C">
        <w:t xml:space="preserve">devices to Court in case one runs out </w:t>
      </w:r>
      <w:r w:rsidR="00417F67" w:rsidRPr="00B0345C">
        <w:t xml:space="preserve">of power: </w:t>
      </w:r>
      <w:r w:rsidR="004417D1" w:rsidRPr="00B0345C">
        <w:t xml:space="preserve">Murphy 2 </w:t>
      </w:r>
      <w:r w:rsidR="00417F67" w:rsidRPr="00B0345C">
        <w:t xml:space="preserve">(at </w:t>
      </w:r>
      <w:r w:rsidR="004417D1" w:rsidRPr="00B0345C">
        <w:t>[15]–</w:t>
      </w:r>
      <w:r w:rsidR="004B3FD0" w:rsidRPr="00B0345C">
        <w:t xml:space="preserve">[16]). </w:t>
      </w:r>
      <w:r w:rsidR="0022604B" w:rsidRPr="00B0345C">
        <w:t xml:space="preserve">Other than </w:t>
      </w:r>
      <w:r w:rsidR="00B0345C">
        <w:t xml:space="preserve">by </w:t>
      </w:r>
      <w:r w:rsidR="001623FF" w:rsidRPr="00B0345C">
        <w:t>News</w:t>
      </w:r>
      <w:r w:rsidR="0022604B" w:rsidRPr="00B0345C">
        <w:t xml:space="preserve"> and Ms Sharp’s attempt to isolate exchanges with the judge overseeing </w:t>
      </w:r>
      <w:r w:rsidR="00D220E9">
        <w:t xml:space="preserve">a District Court proceeding in which Mr Murphy was </w:t>
      </w:r>
      <w:r w:rsidR="00422AD1">
        <w:t>a</w:t>
      </w:r>
      <w:r w:rsidR="00D220E9">
        <w:t xml:space="preserve"> plaintiff (</w:t>
      </w:r>
      <w:r w:rsidR="00D220E9" w:rsidRPr="00D220E9">
        <w:rPr>
          <w:b/>
        </w:rPr>
        <w:t>Mould proceeding</w:t>
      </w:r>
      <w:r w:rsidR="00D220E9">
        <w:t xml:space="preserve">) </w:t>
      </w:r>
      <w:r w:rsidR="0022604B" w:rsidRPr="00B0345C">
        <w:t xml:space="preserve">in order to construct a narrative of “practical challenges” occasioned by the use of the </w:t>
      </w:r>
      <w:r w:rsidR="006E6FFB" w:rsidRPr="00B0345C">
        <w:t xml:space="preserve">Roger </w:t>
      </w:r>
      <w:r w:rsidR="0022604B" w:rsidRPr="00B0345C">
        <w:t>devices in court, t</w:t>
      </w:r>
      <w:r w:rsidRPr="00B0345C">
        <w:t>his</w:t>
      </w:r>
      <w:r w:rsidRPr="0022604B">
        <w:t xml:space="preserve"> </w:t>
      </w:r>
      <w:r w:rsidR="00B548EA" w:rsidRPr="0022604B">
        <w:t xml:space="preserve">evidence </w:t>
      </w:r>
      <w:r w:rsidRPr="0022604B">
        <w:t xml:space="preserve">was not </w:t>
      </w:r>
      <w:r w:rsidR="0022604B" w:rsidRPr="0022604B">
        <w:t>the subject of challenge</w:t>
      </w:r>
      <w:r w:rsidRPr="0022604B">
        <w:t xml:space="preserve"> and I accept it. Mr </w:t>
      </w:r>
      <w:proofErr w:type="spellStart"/>
      <w:r w:rsidRPr="0022604B">
        <w:t>Laycock</w:t>
      </w:r>
      <w:proofErr w:type="spellEnd"/>
      <w:r w:rsidRPr="0022604B">
        <w:t xml:space="preserve"> also gave uncontested evidence that Mr Murphy will always use the available technology where neces</w:t>
      </w:r>
      <w:r w:rsidR="002C73E2" w:rsidRPr="0022604B">
        <w:t>s</w:t>
      </w:r>
      <w:r w:rsidR="00417F67" w:rsidRPr="0022604B">
        <w:t>ary</w:t>
      </w:r>
      <w:r w:rsidR="00417F67">
        <w:t xml:space="preserve"> to facilitate his hearing: a</w:t>
      </w:r>
      <w:r w:rsidR="002C73E2" w:rsidRPr="008F7856">
        <w:t xml:space="preserve">ffidavit of Mr </w:t>
      </w:r>
      <w:proofErr w:type="spellStart"/>
      <w:r w:rsidRPr="008F7856">
        <w:t>Laycock</w:t>
      </w:r>
      <w:proofErr w:type="spellEnd"/>
      <w:r w:rsidRPr="008F7856">
        <w:t xml:space="preserve"> </w:t>
      </w:r>
      <w:r w:rsidR="002C73E2" w:rsidRPr="008F7856">
        <w:t xml:space="preserve">affirmed 2 February 2021 (at </w:t>
      </w:r>
      <w:r w:rsidRPr="008F7856">
        <w:t xml:space="preserve">[15]). </w:t>
      </w:r>
    </w:p>
    <w:p w14:paraId="2E4C5913" w14:textId="70074A9F" w:rsidR="00D13BE9" w:rsidRPr="00057DB7" w:rsidRDefault="00B1667B" w:rsidP="00D13BE9">
      <w:pPr>
        <w:pStyle w:val="ParaNumbering"/>
      </w:pPr>
      <w:r w:rsidRPr="00057DB7">
        <w:t xml:space="preserve">With respect, there was a good deal of irrelevant </w:t>
      </w:r>
      <w:r w:rsidR="00417F67">
        <w:t>cross-examination</w:t>
      </w:r>
      <w:r w:rsidRPr="00057DB7">
        <w:t xml:space="preserve"> of Mr Murphy as to the question of incapacity in </w:t>
      </w:r>
      <w:r w:rsidR="00417F67">
        <w:t xml:space="preserve">the </w:t>
      </w:r>
      <w:r w:rsidRPr="00057DB7">
        <w:t xml:space="preserve">light of the adoption of the reports of the referee and the </w:t>
      </w:r>
      <w:r w:rsidR="00B0345C">
        <w:t xml:space="preserve">consistent position of </w:t>
      </w:r>
      <w:r w:rsidRPr="00057DB7">
        <w:t>Mr Murphy as to the state of his hearing</w:t>
      </w:r>
      <w:r w:rsidR="00D13BE9" w:rsidRPr="00057DB7">
        <w:t xml:space="preserve"> and the unchallenged evidence as to the use of his devices</w:t>
      </w:r>
      <w:r w:rsidRPr="00057DB7">
        <w:t>.</w:t>
      </w:r>
      <w:r w:rsidR="00283DF1">
        <w:t xml:space="preserve"> </w:t>
      </w:r>
      <w:r w:rsidR="00B0345C">
        <w:t>In fairness to</w:t>
      </w:r>
      <w:r w:rsidR="00F00A4D">
        <w:t xml:space="preserve"> Mr </w:t>
      </w:r>
      <w:proofErr w:type="spellStart"/>
      <w:r w:rsidR="00F00A4D">
        <w:t>Sibt</w:t>
      </w:r>
      <w:r w:rsidR="00B0345C">
        <w:t>a</w:t>
      </w:r>
      <w:r w:rsidR="00F00A4D">
        <w:t>i</w:t>
      </w:r>
      <w:r w:rsidR="00B0345C">
        <w:t>n</w:t>
      </w:r>
      <w:proofErr w:type="spellEnd"/>
      <w:r w:rsidR="00B0345C">
        <w:t>, however, the position as to the extent of Mr Murphy’s unassisted incap</w:t>
      </w:r>
      <w:r w:rsidR="00283DF1">
        <w:t>acity to appear or instruct in c</w:t>
      </w:r>
      <w:r w:rsidR="00B0345C">
        <w:t>ourt was clarified, during the cross-examination, by Mr Murphy accepting the terms of the agreed fact.</w:t>
      </w:r>
    </w:p>
    <w:p w14:paraId="4201E905" w14:textId="2FCD3B85" w:rsidR="00755C46" w:rsidRPr="00057DB7" w:rsidRDefault="005F34D2" w:rsidP="00D13BE9">
      <w:pPr>
        <w:pStyle w:val="ParaNumbering"/>
      </w:pPr>
      <w:r>
        <w:t>Residual i</w:t>
      </w:r>
      <w:r w:rsidR="00597B9A" w:rsidRPr="00057DB7">
        <w:t>ssues were raised about “fragmenting” and “body block”</w:t>
      </w:r>
      <w:r w:rsidR="00D13BE9" w:rsidRPr="00057DB7">
        <w:t xml:space="preserve"> being occasione</w:t>
      </w:r>
      <w:r w:rsidR="002C73E2">
        <w:t>d by the use of the technology.</w:t>
      </w:r>
      <w:r w:rsidR="00D13BE9" w:rsidRPr="00057DB7">
        <w:t xml:space="preserve"> No doubt th</w:t>
      </w:r>
      <w:r w:rsidR="002C73E2">
        <w:t xml:space="preserve">ere are some limitations. </w:t>
      </w:r>
      <w:r w:rsidR="00A862E8" w:rsidRPr="00057DB7">
        <w:t>It may involve Mr Murphy missing some words if participants in a hearing talk simultaneously</w:t>
      </w:r>
      <w:r w:rsidR="009E14D2" w:rsidRPr="00057DB7">
        <w:t>,</w:t>
      </w:r>
      <w:r w:rsidR="00A862E8" w:rsidRPr="00057DB7">
        <w:t xml:space="preserve"> and it is conceivable that</w:t>
      </w:r>
      <w:r w:rsidR="00F70690" w:rsidRPr="00057DB7">
        <w:t xml:space="preserve"> if someone wearing a R</w:t>
      </w:r>
      <w:r w:rsidR="00A862E8" w:rsidRPr="00057DB7">
        <w:t>oger device is blocked by another person Mr Murphy may experienc</w:t>
      </w:r>
      <w:r w:rsidR="00417F67">
        <w:t>e some transient</w:t>
      </w:r>
      <w:r>
        <w:t>, mild</w:t>
      </w:r>
      <w:r w:rsidR="00417F67">
        <w:t xml:space="preserve"> difficulties. </w:t>
      </w:r>
    </w:p>
    <w:p w14:paraId="5E554AB8" w14:textId="539C57C5" w:rsidR="00563356" w:rsidRPr="00057DB7" w:rsidRDefault="00563356" w:rsidP="00A861F7">
      <w:pPr>
        <w:pStyle w:val="ParaNumbering"/>
      </w:pPr>
      <w:r w:rsidRPr="00057DB7">
        <w:t xml:space="preserve">It is not only in Equity </w:t>
      </w:r>
      <w:r w:rsidR="00A862E8" w:rsidRPr="00057DB7">
        <w:t>that one comes across whispering practitioners</w:t>
      </w:r>
      <w:r w:rsidRPr="00057DB7">
        <w:t xml:space="preserve">.  </w:t>
      </w:r>
      <w:r w:rsidR="005F34D2">
        <w:t>Diffident, timorous and maffling practitioners and witnesses are not unknown –</w:t>
      </w:r>
      <w:r w:rsidR="006C532B">
        <w:t xml:space="preserve"> </w:t>
      </w:r>
      <w:r w:rsidR="005F34D2">
        <w:t xml:space="preserve">even in the more robust surrounds of </w:t>
      </w:r>
      <w:r w:rsidR="00D220E9">
        <w:lastRenderedPageBreak/>
        <w:t>the criminal law.</w:t>
      </w:r>
      <w:r w:rsidR="005F34D2">
        <w:t xml:space="preserve"> The acoustics of some courtrooms are</w:t>
      </w:r>
      <w:r w:rsidR="006C532B">
        <w:t>, to put it mildly,</w:t>
      </w:r>
      <w:r w:rsidR="005F34D2">
        <w:t xml:space="preserve"> suboptimal</w:t>
      </w:r>
      <w:r w:rsidR="00EE36C2">
        <w:t>. I</w:t>
      </w:r>
      <w:r w:rsidR="006C532B">
        <w:t>n country New South Wales, it might be thought there is an inverse relationship between the age and beauty of the courthouse and the ease by which an advocate can</w:t>
      </w:r>
      <w:r w:rsidR="00283DF1">
        <w:t xml:space="preserve"> hear the judge or magistrate. </w:t>
      </w:r>
      <w:r w:rsidR="006C532B">
        <w:t>In any event, i</w:t>
      </w:r>
      <w:r w:rsidR="005F34D2">
        <w:t xml:space="preserve">t is a commonplace </w:t>
      </w:r>
      <w:r w:rsidR="00283DF1">
        <w:t>that participants in c</w:t>
      </w:r>
      <w:r w:rsidR="005F34D2" w:rsidRPr="00057DB7">
        <w:t>ourt proceedings, be they litigants or practitioners,</w:t>
      </w:r>
      <w:r w:rsidR="005F34D2">
        <w:t xml:space="preserve"> will</w:t>
      </w:r>
      <w:r w:rsidR="005F34D2" w:rsidRPr="00057DB7">
        <w:t xml:space="preserve"> miss words spoken by the Bench, a witness or a fellow practitioner from time to time.</w:t>
      </w:r>
      <w:r w:rsidR="005F34D2">
        <w:t xml:space="preserve"> </w:t>
      </w:r>
      <w:r w:rsidR="00993BC2">
        <w:t xml:space="preserve">If words are sometimes missed, they can be repeated.  </w:t>
      </w:r>
      <w:r w:rsidRPr="00057DB7">
        <w:t xml:space="preserve">The </w:t>
      </w:r>
      <w:r w:rsidR="00A862E8" w:rsidRPr="00057DB7">
        <w:t>notion that Mr Murphy could a</w:t>
      </w:r>
      <w:r w:rsidR="00283DF1">
        <w:t>ppear and represent clients in c</w:t>
      </w:r>
      <w:r w:rsidR="00A862E8" w:rsidRPr="00057DB7">
        <w:t xml:space="preserve">ourt </w:t>
      </w:r>
      <w:r w:rsidR="00A862E8" w:rsidRPr="00057DB7">
        <w:rPr>
          <w:i/>
        </w:rPr>
        <w:t>provided</w:t>
      </w:r>
      <w:r w:rsidR="00A862E8" w:rsidRPr="00057DB7">
        <w:t xml:space="preserve"> he obtained the assistance of hearing aid</w:t>
      </w:r>
      <w:r w:rsidR="00C06B1A" w:rsidRPr="00057DB7">
        <w:t>s</w:t>
      </w:r>
      <w:r w:rsidR="00285C0C" w:rsidRPr="00057DB7">
        <w:t xml:space="preserve"> and R</w:t>
      </w:r>
      <w:r w:rsidR="00A862E8" w:rsidRPr="00057DB7">
        <w:t>oge</w:t>
      </w:r>
      <w:r w:rsidR="00D13BE9" w:rsidRPr="00057DB7">
        <w:t xml:space="preserve">r devices is one I find </w:t>
      </w:r>
      <w:r w:rsidR="00A862E8" w:rsidRPr="00057DB7">
        <w:t>persuasive.</w:t>
      </w:r>
      <w:r w:rsidR="000D1D71" w:rsidRPr="00057DB7">
        <w:t xml:space="preserve">  </w:t>
      </w:r>
      <w:r w:rsidRPr="00057DB7">
        <w:t xml:space="preserve"> </w:t>
      </w:r>
    </w:p>
    <w:p w14:paraId="09204FE3" w14:textId="04B0A819" w:rsidR="00563356" w:rsidRPr="008F7856" w:rsidRDefault="005F3F92" w:rsidP="00A861F7">
      <w:pPr>
        <w:pStyle w:val="ParaNumbering"/>
      </w:pPr>
      <w:r w:rsidRPr="008F7856">
        <w:t>In this regard</w:t>
      </w:r>
      <w:r w:rsidR="00563356" w:rsidRPr="008F7856">
        <w:t xml:space="preserve">, the fact that Mr Murphy wears his hearing aids was </w:t>
      </w:r>
      <w:r w:rsidRPr="008F7856">
        <w:t xml:space="preserve">again </w:t>
      </w:r>
      <w:r w:rsidR="00563356" w:rsidRPr="008F7856">
        <w:t xml:space="preserve">not really disputed. Mr Murphy gave </w:t>
      </w:r>
      <w:r w:rsidR="00912B45" w:rsidRPr="008F7856">
        <w:t>evidence he wore</w:t>
      </w:r>
      <w:r w:rsidR="00D13BE9" w:rsidRPr="008F7856">
        <w:t xml:space="preserve"> the </w:t>
      </w:r>
      <w:proofErr w:type="spellStart"/>
      <w:r w:rsidR="00912B45" w:rsidRPr="008F7856">
        <w:t>Phonak</w:t>
      </w:r>
      <w:proofErr w:type="spellEnd"/>
      <w:r w:rsidR="00912B45" w:rsidRPr="008F7856">
        <w:t xml:space="preserve"> </w:t>
      </w:r>
      <w:proofErr w:type="spellStart"/>
      <w:r w:rsidR="00563356" w:rsidRPr="008F7856">
        <w:t>Na</w:t>
      </w:r>
      <w:r w:rsidR="00FD0755" w:rsidRPr="008F7856">
        <w:t>ida</w:t>
      </w:r>
      <w:proofErr w:type="spellEnd"/>
      <w:r w:rsidR="00FD0755" w:rsidRPr="008F7856">
        <w:t xml:space="preserve"> Q90-UP BTE hearing aid</w:t>
      </w:r>
      <w:r w:rsidR="00417F67">
        <w:t>s</w:t>
      </w:r>
      <w:r w:rsidR="00FD0755" w:rsidRPr="008F7856">
        <w:t xml:space="preserve"> from</w:t>
      </w:r>
      <w:r w:rsidR="00912B45" w:rsidRPr="008F7856">
        <w:t xml:space="preserve"> 2018 until November 2020. </w:t>
      </w:r>
      <w:r w:rsidR="00563356" w:rsidRPr="008F7856">
        <w:t>He found the device worked well and allowed him to hear people and participate in conversations</w:t>
      </w:r>
      <w:r w:rsidR="00912B45" w:rsidRPr="008F7856">
        <w:t>: Murphy 2 (at [10]).</w:t>
      </w:r>
      <w:r w:rsidR="00417F67">
        <w:t xml:space="preserve"> Since November 2020 Mr Murphy</w:t>
      </w:r>
      <w:r w:rsidR="00563356" w:rsidRPr="008F7856">
        <w:t xml:space="preserve"> has worn th</w:t>
      </w:r>
      <w:r w:rsidR="00D13BE9" w:rsidRPr="008F7856">
        <w:t xml:space="preserve">e </w:t>
      </w:r>
      <w:proofErr w:type="spellStart"/>
      <w:r w:rsidR="007D1657" w:rsidRPr="008F7856">
        <w:t>Phonak</w:t>
      </w:r>
      <w:proofErr w:type="spellEnd"/>
      <w:r w:rsidR="007D1657" w:rsidRPr="008F7856">
        <w:t xml:space="preserve"> </w:t>
      </w:r>
      <w:proofErr w:type="spellStart"/>
      <w:r w:rsidR="00475E68">
        <w:t>Naida</w:t>
      </w:r>
      <w:proofErr w:type="spellEnd"/>
      <w:r w:rsidR="00475E68">
        <w:t xml:space="preserve"> M90 </w:t>
      </w:r>
      <w:r w:rsidR="00563356" w:rsidRPr="008F7856">
        <w:t>SP BTE, which he has found works well and is equally good when used with the Roger devices</w:t>
      </w:r>
      <w:r w:rsidR="00912B45" w:rsidRPr="008F7856">
        <w:t>: Murphy 2 (at [11])</w:t>
      </w:r>
      <w:r w:rsidR="00563356" w:rsidRPr="008F7856">
        <w:t xml:space="preserve">. This was not challenged in cross-examination, is not inherently incredible, and I </w:t>
      </w:r>
      <w:r w:rsidR="00D13BE9" w:rsidRPr="008F7856">
        <w:t>accept it</w:t>
      </w:r>
      <w:r w:rsidR="00563356" w:rsidRPr="008F7856">
        <w:t xml:space="preserve">.  </w:t>
      </w:r>
    </w:p>
    <w:p w14:paraId="37A55F2D" w14:textId="1284BDBD" w:rsidR="009E14D2" w:rsidRPr="00057DB7" w:rsidRDefault="00285C0C" w:rsidP="009E14D2">
      <w:pPr>
        <w:pStyle w:val="ParaNumbering"/>
      </w:pPr>
      <w:r w:rsidRPr="00057DB7">
        <w:t>There wa</w:t>
      </w:r>
      <w:r w:rsidR="000D1D71" w:rsidRPr="00057DB7">
        <w:t xml:space="preserve">s some suggestion made from time to time by News and Ms </w:t>
      </w:r>
      <w:r w:rsidR="0058440A" w:rsidRPr="00057DB7">
        <w:t>Sharp</w:t>
      </w:r>
      <w:r w:rsidRPr="00057DB7">
        <w:t xml:space="preserve"> that because </w:t>
      </w:r>
      <w:r w:rsidR="00417F67">
        <w:t>Mr Murphy requires</w:t>
      </w:r>
      <w:r w:rsidRPr="00057DB7">
        <w:t xml:space="preserve"> R</w:t>
      </w:r>
      <w:r w:rsidR="000D1D71" w:rsidRPr="00057DB7">
        <w:t>oger devices</w:t>
      </w:r>
      <w:r w:rsidR="00FD0755">
        <w:t xml:space="preserve">, </w:t>
      </w:r>
      <w:r w:rsidRPr="00057DB7">
        <w:t>t</w:t>
      </w:r>
      <w:r w:rsidR="009E14D2" w:rsidRPr="00057DB7">
        <w:t xml:space="preserve">his </w:t>
      </w:r>
      <w:r w:rsidR="00FD0755">
        <w:t xml:space="preserve">fact, in and of itself, </w:t>
      </w:r>
      <w:r w:rsidR="009E14D2" w:rsidRPr="00057DB7">
        <w:t>meant he was “unable”</w:t>
      </w:r>
      <w:r w:rsidR="000D1D71" w:rsidRPr="00057DB7">
        <w:t xml:space="preserve"> to appear </w:t>
      </w:r>
      <w:r w:rsidR="00283DF1">
        <w:t>in c</w:t>
      </w:r>
      <w:r w:rsidR="000D1D71" w:rsidRPr="00057DB7">
        <w:t>ou</w:t>
      </w:r>
      <w:r w:rsidR="0022604B">
        <w:t xml:space="preserve">rt. </w:t>
      </w:r>
      <w:r w:rsidR="00417F67">
        <w:t xml:space="preserve">I reject that submission. </w:t>
      </w:r>
      <w:r w:rsidR="00597B9A" w:rsidRPr="00057DB7">
        <w:t>As anyone experienced in litigation would be aware, m</w:t>
      </w:r>
      <w:r w:rsidR="009E14D2" w:rsidRPr="00057DB7">
        <w:t xml:space="preserve">any </w:t>
      </w:r>
      <w:r w:rsidR="00597B9A" w:rsidRPr="00057DB7">
        <w:t xml:space="preserve">barristers and </w:t>
      </w:r>
      <w:r w:rsidR="009E14D2" w:rsidRPr="00057DB7">
        <w:t xml:space="preserve">judges, including a </w:t>
      </w:r>
      <w:r w:rsidR="00FD0755">
        <w:t xml:space="preserve">recent </w:t>
      </w:r>
      <w:r w:rsidR="009E14D2" w:rsidRPr="00057DB7">
        <w:t>highly distinguished judge of the Supreme Court of New South Wales</w:t>
      </w:r>
      <w:r w:rsidR="00AB778D" w:rsidRPr="00057DB7">
        <w:t>,</w:t>
      </w:r>
      <w:r w:rsidR="009E14D2" w:rsidRPr="00057DB7">
        <w:t xml:space="preserve"> </w:t>
      </w:r>
      <w:r w:rsidR="00417F67">
        <w:t xml:space="preserve">have </w:t>
      </w:r>
      <w:r w:rsidR="009E14D2" w:rsidRPr="00057DB7">
        <w:t>had sig</w:t>
      </w:r>
      <w:r w:rsidR="00417F67">
        <w:t xml:space="preserve">nificant hearing difficulties. </w:t>
      </w:r>
      <w:r w:rsidR="00597B9A" w:rsidRPr="00057DB7">
        <w:t>Other p</w:t>
      </w:r>
      <w:r w:rsidR="009E14D2" w:rsidRPr="00057DB7">
        <w:t xml:space="preserve">articipants </w:t>
      </w:r>
      <w:r w:rsidR="00AB778D" w:rsidRPr="00057DB7">
        <w:t xml:space="preserve">in court proceedings just </w:t>
      </w:r>
      <w:r w:rsidR="009E14D2" w:rsidRPr="00057DB7">
        <w:t xml:space="preserve">need to adjust. </w:t>
      </w:r>
      <w:r w:rsidR="00597B9A" w:rsidRPr="00057DB7">
        <w:t xml:space="preserve">To suggest persons with hearing difficulties are unable to appear </w:t>
      </w:r>
      <w:r w:rsidR="009E14D2" w:rsidRPr="00057DB7">
        <w:t>is a little like saying that someone with infirmit</w:t>
      </w:r>
      <w:r w:rsidR="00417F67">
        <w:t>y of sight is unable to appear.</w:t>
      </w:r>
      <w:r w:rsidR="009E14D2" w:rsidRPr="00057DB7">
        <w:t xml:space="preserve"> There have </w:t>
      </w:r>
      <w:r w:rsidR="00597B9A" w:rsidRPr="00057DB7">
        <w:t xml:space="preserve">also </w:t>
      </w:r>
      <w:r w:rsidR="009E14D2" w:rsidRPr="00057DB7">
        <w:t xml:space="preserve">been famous blind barristers and judges. Sir John Wall </w:t>
      </w:r>
      <w:r w:rsidR="00AB778D" w:rsidRPr="00057DB7">
        <w:t>was a </w:t>
      </w:r>
      <w:r w:rsidR="00597B9A" w:rsidRPr="00057DB7">
        <w:t xml:space="preserve">notable </w:t>
      </w:r>
      <w:r w:rsidR="00AB778D" w:rsidRPr="00057DB7">
        <w:t xml:space="preserve">Deputy Master of the Chancery Division of the High Court of Justice in the 1990s.  John Mortimer </w:t>
      </w:r>
      <w:r w:rsidR="00835AFC" w:rsidRPr="00057DB7">
        <w:t>QC in his play “A Voyage Round My Father”</w:t>
      </w:r>
      <w:r w:rsidR="00AB778D" w:rsidRPr="00057DB7">
        <w:t>, memorably describes his father, a barrister, continuing to practise after he went blind.</w:t>
      </w:r>
    </w:p>
    <w:p w14:paraId="5E412586" w14:textId="4B6D63E1" w:rsidR="00671B91" w:rsidRPr="00057DB7" w:rsidRDefault="00597B9A" w:rsidP="007C6CF9">
      <w:pPr>
        <w:pStyle w:val="ParaNumbering"/>
      </w:pPr>
      <w:r w:rsidRPr="00057DB7">
        <w:t>What Mr Murphy said about the co-opera</w:t>
      </w:r>
      <w:r w:rsidR="00283DF1">
        <w:t>tion of others involved in the c</w:t>
      </w:r>
      <w:r w:rsidRPr="00057DB7">
        <w:t>ourt process utilising the</w:t>
      </w:r>
      <w:r w:rsidR="00C11589">
        <w:t xml:space="preserve"> Roger devices is unsurprising.</w:t>
      </w:r>
      <w:r w:rsidRPr="00057DB7">
        <w:t xml:space="preserve"> </w:t>
      </w:r>
      <w:r w:rsidR="005F3F92" w:rsidRPr="00057DB7">
        <w:t>If it was drawn to the attention of a judicial officer that a pract</w:t>
      </w:r>
      <w:r w:rsidRPr="00057DB7">
        <w:t>itioner needed</w:t>
      </w:r>
      <w:r w:rsidR="005F3F92" w:rsidRPr="00057DB7">
        <w:t xml:space="preserve"> others to wear a Roger device, it seems to me inconceivable </w:t>
      </w:r>
      <w:r w:rsidR="00417F67">
        <w:t xml:space="preserve">that </w:t>
      </w:r>
      <w:r w:rsidR="00240749" w:rsidRPr="00057DB7">
        <w:t xml:space="preserve">the presiding officer would not make </w:t>
      </w:r>
      <w:r w:rsidR="005F3F92" w:rsidRPr="00057DB7">
        <w:t xml:space="preserve">the necessary </w:t>
      </w:r>
      <w:r w:rsidR="00240749" w:rsidRPr="00057DB7">
        <w:t>arrangement</w:t>
      </w:r>
      <w:r w:rsidR="00285C0C" w:rsidRPr="00057DB7">
        <w:t>s</w:t>
      </w:r>
      <w:r w:rsidR="00C11589">
        <w:t>.</w:t>
      </w:r>
      <w:r w:rsidR="00240749" w:rsidRPr="00057DB7">
        <w:t xml:space="preserve"> </w:t>
      </w:r>
      <w:r w:rsidR="005F3F92" w:rsidRPr="00057DB7">
        <w:t>This occurred during the course of the proceeding before me and caused no disrup</w:t>
      </w:r>
      <w:r w:rsidRPr="00057DB7">
        <w:t>tion or inconvenience</w:t>
      </w:r>
      <w:r w:rsidR="005F3F92" w:rsidRPr="00057DB7">
        <w:t>.</w:t>
      </w:r>
      <w:r w:rsidR="00671B91" w:rsidRPr="00057DB7">
        <w:t xml:space="preserve"> </w:t>
      </w:r>
    </w:p>
    <w:p w14:paraId="04498044" w14:textId="77A13AF7" w:rsidR="00671B91" w:rsidRPr="00057DB7" w:rsidRDefault="00671B91" w:rsidP="00671B91">
      <w:pPr>
        <w:pStyle w:val="ParaNumbering"/>
      </w:pPr>
      <w:r w:rsidRPr="00057DB7">
        <w:lastRenderedPageBreak/>
        <w:t xml:space="preserve">This conclusion, which accords with </w:t>
      </w:r>
      <w:proofErr w:type="spellStart"/>
      <w:r w:rsidRPr="00057DB7">
        <w:t>commonsense</w:t>
      </w:r>
      <w:proofErr w:type="spellEnd"/>
      <w:r w:rsidRPr="00057DB7">
        <w:t>, is also consistent with the</w:t>
      </w:r>
      <w:r w:rsidR="005F3F92" w:rsidRPr="00057DB7">
        <w:t xml:space="preserve"> </w:t>
      </w:r>
      <w:r w:rsidRPr="00057DB7">
        <w:t xml:space="preserve">evidence of Mr </w:t>
      </w:r>
      <w:proofErr w:type="spellStart"/>
      <w:r w:rsidRPr="00057DB7">
        <w:t>Kalantzis</w:t>
      </w:r>
      <w:proofErr w:type="spellEnd"/>
      <w:r w:rsidRPr="00057DB7">
        <w:t xml:space="preserve"> (a highly experienced litigator with nearly 30 years’ experience: T198.45</w:t>
      </w:r>
      <w:r w:rsidR="00C11589">
        <w:t>–</w:t>
      </w:r>
      <w:r w:rsidRPr="00057DB7">
        <w:t>1</w:t>
      </w:r>
      <w:r w:rsidR="00C11589">
        <w:t>99.9</w:t>
      </w:r>
      <w:r w:rsidR="000E6373">
        <w:t>)</w:t>
      </w:r>
      <w:r w:rsidRPr="00057DB7">
        <w:t>.  He gave ev</w:t>
      </w:r>
      <w:r w:rsidR="00530312">
        <w:t xml:space="preserve">idence of acting for Mr Murphy </w:t>
      </w:r>
      <w:r w:rsidR="00530312" w:rsidRPr="00530312">
        <w:t xml:space="preserve">in the </w:t>
      </w:r>
      <w:r w:rsidRPr="00530312">
        <w:t>Mould proceeding</w:t>
      </w:r>
      <w:r w:rsidR="00417F67" w:rsidRPr="00530312">
        <w:t>.</w:t>
      </w:r>
      <w:r w:rsidR="00417F67">
        <w:t xml:space="preserve"> He stated that he </w:t>
      </w:r>
      <w:r w:rsidRPr="00057DB7">
        <w:t xml:space="preserve">communicated in a normal fashion with Mr Murphy, </w:t>
      </w:r>
      <w:r w:rsidR="00417F67">
        <w:t xml:space="preserve">that </w:t>
      </w:r>
      <w:r w:rsidRPr="00057DB7">
        <w:t>the use of the devices did not disrupt the trial (T201.14</w:t>
      </w:r>
      <w:r w:rsidR="00017B4A">
        <w:t>–</w:t>
      </w:r>
      <w:r w:rsidRPr="00057DB7">
        <w:t xml:space="preserve">33), and </w:t>
      </w:r>
      <w:r w:rsidR="00417F67">
        <w:t xml:space="preserve">that </w:t>
      </w:r>
      <w:r w:rsidRPr="00057DB7">
        <w:t>he did not recall any relevant resistance by the judge to wearing the devices once the need for them (as opposed to</w:t>
      </w:r>
      <w:r w:rsidR="000E6373">
        <w:t xml:space="preserve"> a hearing loop) was explained: </w:t>
      </w:r>
      <w:r w:rsidRPr="00057DB7">
        <w:t>T198.27</w:t>
      </w:r>
      <w:r w:rsidR="00017B4A">
        <w:t>–</w:t>
      </w:r>
      <w:r w:rsidR="000E6373">
        <w:t>35</w:t>
      </w:r>
      <w:r w:rsidRPr="00057DB7">
        <w:t xml:space="preserve">. </w:t>
      </w:r>
      <w:r w:rsidR="005F3F92" w:rsidRPr="00057DB7">
        <w:t xml:space="preserve"> </w:t>
      </w:r>
    </w:p>
    <w:p w14:paraId="12CA6A7A" w14:textId="2E898F44" w:rsidR="005F3F92" w:rsidRPr="00057DB7" w:rsidRDefault="005F3F92" w:rsidP="00671B91">
      <w:pPr>
        <w:pStyle w:val="ParaNumbering"/>
      </w:pPr>
      <w:r w:rsidRPr="00057DB7">
        <w:t>Indeed</w:t>
      </w:r>
      <w:r w:rsidR="00417F67">
        <w:t>,</w:t>
      </w:r>
      <w:r w:rsidRPr="00057DB7">
        <w:t xml:space="preserve"> it was obvious that during the hearing</w:t>
      </w:r>
      <w:r w:rsidR="007C6CF9" w:rsidRPr="00057DB7">
        <w:t>,</w:t>
      </w:r>
      <w:r w:rsidRPr="00057DB7">
        <w:t xml:space="preserve"> Mr Murphy, when utilising his hearing aids and </w:t>
      </w:r>
      <w:r w:rsidR="00597B9A" w:rsidRPr="00057DB7">
        <w:t xml:space="preserve">through the use of </w:t>
      </w:r>
      <w:r w:rsidRPr="00057DB7">
        <w:t xml:space="preserve">Roger devices, experienced no difficulty in hearing what was going on.  In fact, he was even able to hear the </w:t>
      </w:r>
      <w:r w:rsidR="00EC057E">
        <w:t xml:space="preserve">oral </w:t>
      </w:r>
      <w:r w:rsidRPr="00057DB7">
        <w:t xml:space="preserve">evidence of the far from </w:t>
      </w:r>
      <w:r w:rsidR="00B548EA" w:rsidRPr="00057DB7">
        <w:t>cacophonous</w:t>
      </w:r>
      <w:r w:rsidR="00957F49" w:rsidRPr="00057DB7">
        <w:t xml:space="preserve"> </w:t>
      </w:r>
      <w:r w:rsidRPr="00057DB7">
        <w:t xml:space="preserve">Mr </w:t>
      </w:r>
      <w:proofErr w:type="spellStart"/>
      <w:r w:rsidRPr="00057DB7">
        <w:t>Boulten</w:t>
      </w:r>
      <w:proofErr w:type="spellEnd"/>
      <w:r w:rsidR="00597B9A" w:rsidRPr="00057DB7">
        <w:t xml:space="preserve"> SC</w:t>
      </w:r>
      <w:r w:rsidRPr="00057DB7">
        <w:t>, who did not have a Roger device in the witness box for the maj</w:t>
      </w:r>
      <w:r w:rsidR="00017B4A">
        <w:t>ority of his cross-examination: T87.21–2</w:t>
      </w:r>
      <w:r w:rsidRPr="00057DB7">
        <w:t xml:space="preserve">. </w:t>
      </w:r>
    </w:p>
    <w:p w14:paraId="7A637F84" w14:textId="2BB4FF99" w:rsidR="005F3F92" w:rsidRPr="00057DB7" w:rsidRDefault="005F3F92" w:rsidP="005F3F92">
      <w:pPr>
        <w:pStyle w:val="ParaNumbering"/>
      </w:pPr>
      <w:r w:rsidRPr="00057DB7">
        <w:t xml:space="preserve">Counsel for Mr Murphy makes the </w:t>
      </w:r>
      <w:r w:rsidR="00957F49" w:rsidRPr="00057DB7">
        <w:t xml:space="preserve">wry but accurate </w:t>
      </w:r>
      <w:r w:rsidRPr="00057DB7">
        <w:t>point that it was counsel for News and Ms Sharp</w:t>
      </w:r>
      <w:r w:rsidR="00017B4A">
        <w:t>,</w:t>
      </w:r>
      <w:r w:rsidRPr="00057DB7">
        <w:t xml:space="preserve"> who </w:t>
      </w:r>
      <w:r w:rsidR="000E6373">
        <w:t>cross-examined</w:t>
      </w:r>
      <w:r w:rsidRPr="00057DB7">
        <w:t xml:space="preserve"> Mr Murphy</w:t>
      </w:r>
      <w:r w:rsidR="00017B4A">
        <w:t>, who</w:t>
      </w:r>
      <w:r w:rsidRPr="00057DB7">
        <w:t>:</w:t>
      </w:r>
    </w:p>
    <w:p w14:paraId="561FE9CE" w14:textId="6A0DBA2C" w:rsidR="005F3F92" w:rsidRDefault="005F3F92" w:rsidP="005F3F92">
      <w:pPr>
        <w:pStyle w:val="Quote1"/>
      </w:pPr>
      <w:r w:rsidRPr="00057DB7">
        <w:t xml:space="preserve">… appeared to mishear things a number of times throughout (see, </w:t>
      </w:r>
      <w:proofErr w:type="spellStart"/>
      <w:r w:rsidRPr="00057DB7">
        <w:t>eg</w:t>
      </w:r>
      <w:proofErr w:type="spellEnd"/>
      <w:r w:rsidRPr="00057DB7">
        <w:t>, Day 2, T149.15-19, T166.46-167.11; and generally during the cross-exami</w:t>
      </w:r>
      <w:r w:rsidR="00017B4A">
        <w:t>nation of Mr Jarratt on Day 3).</w:t>
      </w:r>
      <w:r w:rsidRPr="00057DB7">
        <w:t xml:space="preserve"> To be clear, the Applicant is not suggesting (as the logic of the Respondents’ defence might appear to suggest) that Counsel for the Respondents is “</w:t>
      </w:r>
      <w:r w:rsidRPr="00017B4A">
        <w:rPr>
          <w:i/>
        </w:rPr>
        <w:t>unable</w:t>
      </w:r>
      <w:r w:rsidRPr="00057DB7">
        <w:t>” to represent clients in court.  The point is simply made that Court is a human process, in which fallible and imperfect beings participate, and where any participant can mishear or miss things – whether or not they happen to have a diagnosed condition. The respondents have simply failed to demonstrate that, with the support of his hearing aids and Roger devices, Mr Murphy is at any relevant disadvantage to practitioners without a hearing impairment that might render him “</w:t>
      </w:r>
      <w:r w:rsidRPr="00017B4A">
        <w:rPr>
          <w:i/>
        </w:rPr>
        <w:t>unable</w:t>
      </w:r>
      <w:r w:rsidRPr="00057DB7">
        <w:t>” to represent clients as a lawyer or advocate (</w:t>
      </w:r>
      <w:proofErr w:type="spellStart"/>
      <w:r w:rsidRPr="00057DB7">
        <w:t>cf</w:t>
      </w:r>
      <w:proofErr w:type="spellEnd"/>
      <w:r w:rsidRPr="00057DB7">
        <w:t xml:space="preserve"> Particular K).</w:t>
      </w:r>
    </w:p>
    <w:p w14:paraId="2BAC26E4" w14:textId="26F80D12" w:rsidR="00017B4A" w:rsidRPr="00057DB7" w:rsidRDefault="00017B4A" w:rsidP="005F3F92">
      <w:pPr>
        <w:pStyle w:val="Quote1"/>
      </w:pPr>
      <w:r>
        <w:t>(Mr Murphy’s emphasis).</w:t>
      </w:r>
    </w:p>
    <w:p w14:paraId="2159719C" w14:textId="53591997" w:rsidR="005F3F92" w:rsidRPr="00057DB7" w:rsidRDefault="00B35579" w:rsidP="005F3F92">
      <w:pPr>
        <w:pStyle w:val="ParaNumbering"/>
      </w:pPr>
      <w:r>
        <w:t xml:space="preserve">With no disrespect </w:t>
      </w:r>
      <w:r w:rsidR="00F00A4D">
        <w:t xml:space="preserve">to Mr </w:t>
      </w:r>
      <w:proofErr w:type="spellStart"/>
      <w:r w:rsidR="00F00A4D">
        <w:t>Sibt</w:t>
      </w:r>
      <w:r w:rsidR="00EC057E">
        <w:t>a</w:t>
      </w:r>
      <w:r w:rsidR="00F00A4D">
        <w:t>i</w:t>
      </w:r>
      <w:r w:rsidR="00EC057E">
        <w:t>n</w:t>
      </w:r>
      <w:proofErr w:type="spellEnd"/>
      <w:r w:rsidR="00EC057E">
        <w:t xml:space="preserve">, </w:t>
      </w:r>
      <w:r w:rsidR="005F3F92" w:rsidRPr="00057DB7">
        <w:t>I agree.</w:t>
      </w:r>
    </w:p>
    <w:p w14:paraId="7F68251E" w14:textId="0FAA4523" w:rsidR="004A5800" w:rsidRPr="00057DB7" w:rsidRDefault="005F3F92" w:rsidP="005F3F92">
      <w:pPr>
        <w:pStyle w:val="ParaNumbering"/>
      </w:pPr>
      <w:r w:rsidRPr="00057DB7">
        <w:t xml:space="preserve">For completeness, I should deal with the attempt of News and Ms Sharp </w:t>
      </w:r>
      <w:r w:rsidR="007D3945" w:rsidRPr="00057DB7">
        <w:t xml:space="preserve">to </w:t>
      </w:r>
      <w:r w:rsidRPr="00057DB7">
        <w:t>rely on</w:t>
      </w:r>
      <w:r w:rsidR="00417F67">
        <w:t xml:space="preserve"> Mr Murphy’</w:t>
      </w:r>
      <w:r w:rsidR="007D3945" w:rsidRPr="00057DB7">
        <w:t>s concern</w:t>
      </w:r>
      <w:r w:rsidR="004A5800" w:rsidRPr="00057DB7">
        <w:t>s</w:t>
      </w:r>
      <w:r w:rsidR="007D3945" w:rsidRPr="00057DB7">
        <w:t xml:space="preserve"> about using Microsoft Teams for </w:t>
      </w:r>
      <w:r w:rsidR="007F567F">
        <w:t>the Mould proceeding</w:t>
      </w:r>
      <w:r w:rsidR="00EC057E">
        <w:t>,</w:t>
      </w:r>
      <w:r w:rsidR="004A5800" w:rsidRPr="00057DB7">
        <w:t xml:space="preserve"> relatively earl</w:t>
      </w:r>
      <w:r w:rsidR="00417F67">
        <w:t>y in the period when in-person c</w:t>
      </w:r>
      <w:r w:rsidR="004A5800" w:rsidRPr="00057DB7">
        <w:t>ourt hearings were disrupted by the pandemic in early 2020.</w:t>
      </w:r>
    </w:p>
    <w:p w14:paraId="5964D99F" w14:textId="47C769B3" w:rsidR="007D3945" w:rsidRPr="00057DB7" w:rsidRDefault="004A5800" w:rsidP="00032871">
      <w:pPr>
        <w:pStyle w:val="ParaNumbering"/>
      </w:pPr>
      <w:r w:rsidRPr="00057DB7">
        <w:t>Mr Murphy gave evidence</w:t>
      </w:r>
      <w:r w:rsidR="007D3945" w:rsidRPr="00057DB7">
        <w:t xml:space="preserve"> that he </w:t>
      </w:r>
      <w:r w:rsidRPr="00057DB7">
        <w:t xml:space="preserve">experienced some </w:t>
      </w:r>
      <w:r w:rsidR="007D3945" w:rsidRPr="00057DB7">
        <w:t xml:space="preserve">technical difficulties with </w:t>
      </w:r>
      <w:r w:rsidRPr="00057DB7">
        <w:t xml:space="preserve">the </w:t>
      </w:r>
      <w:r w:rsidR="00032871">
        <w:t xml:space="preserve">video conferencing technology: </w:t>
      </w:r>
      <w:r w:rsidR="007D3945" w:rsidRPr="00057DB7">
        <w:t>Murphy</w:t>
      </w:r>
      <w:r w:rsidR="00032871">
        <w:t xml:space="preserve"> 2 </w:t>
      </w:r>
      <w:r w:rsidR="00417F67">
        <w:t xml:space="preserve">(at </w:t>
      </w:r>
      <w:r w:rsidR="00032871">
        <w:t>[20(b)]–[20(c)]</w:t>
      </w:r>
      <w:r w:rsidR="00417F67">
        <w:t>)</w:t>
      </w:r>
      <w:r w:rsidR="008F7A49">
        <w:t xml:space="preserve">. </w:t>
      </w:r>
      <w:r w:rsidR="007D3945" w:rsidRPr="00057DB7">
        <w:t xml:space="preserve">Mr </w:t>
      </w:r>
      <w:proofErr w:type="spellStart"/>
      <w:r w:rsidR="007D3945" w:rsidRPr="00057DB7">
        <w:t>Kalantzis</w:t>
      </w:r>
      <w:proofErr w:type="spellEnd"/>
      <w:r w:rsidR="007D3945" w:rsidRPr="00057DB7">
        <w:t>,</w:t>
      </w:r>
      <w:r w:rsidR="008F7A49">
        <w:t xml:space="preserve"> Mr Murphy’s solicitor in the Mould proceeding</w:t>
      </w:r>
      <w:r w:rsidR="007D3945" w:rsidRPr="00057DB7">
        <w:t xml:space="preserve"> who was present at the relevant </w:t>
      </w:r>
      <w:r w:rsidR="00417F67" w:rsidRPr="00057DB7">
        <w:t xml:space="preserve">Microsoft </w:t>
      </w:r>
      <w:r w:rsidR="007D3945" w:rsidRPr="00057DB7">
        <w:t>Teams conference</w:t>
      </w:r>
      <w:r w:rsidRPr="00057DB7">
        <w:t xml:space="preserve"> when these problems were experienced</w:t>
      </w:r>
      <w:r w:rsidR="007D3945" w:rsidRPr="00057DB7">
        <w:t xml:space="preserve">, confirmed that the problem was </w:t>
      </w:r>
      <w:r w:rsidR="00597B9A" w:rsidRPr="00057DB7">
        <w:t>with “feedback”</w:t>
      </w:r>
      <w:r w:rsidR="007F567F">
        <w:t>: T200.34 and</w:t>
      </w:r>
      <w:r w:rsidR="007D3945" w:rsidRPr="00057DB7">
        <w:t xml:space="preserve"> </w:t>
      </w:r>
      <w:r w:rsidR="000E6373">
        <w:t>T</w:t>
      </w:r>
      <w:r w:rsidR="007D3945" w:rsidRPr="00057DB7">
        <w:t>202.27</w:t>
      </w:r>
      <w:r w:rsidR="007F567F">
        <w:t>–</w:t>
      </w:r>
      <w:r w:rsidR="007D3945" w:rsidRPr="00057DB7">
        <w:t>3</w:t>
      </w:r>
      <w:r w:rsidR="007F567F">
        <w:t>0</w:t>
      </w:r>
      <w:r w:rsidR="00417F67">
        <w:t xml:space="preserve">. </w:t>
      </w:r>
      <w:r w:rsidR="00597B9A" w:rsidRPr="00057DB7">
        <w:t>It is apparent that</w:t>
      </w:r>
      <w:r w:rsidR="007D3945" w:rsidRPr="00057DB7">
        <w:t xml:space="preserve"> Mr Murphy </w:t>
      </w:r>
      <w:r w:rsidRPr="00057DB7">
        <w:t>became</w:t>
      </w:r>
      <w:r w:rsidR="007D3945" w:rsidRPr="00057DB7">
        <w:t xml:space="preserve"> capable of using videoconferencing technology </w:t>
      </w:r>
      <w:r w:rsidR="007F567F">
        <w:t>with his impairment.</w:t>
      </w:r>
      <w:r w:rsidR="00597B9A" w:rsidRPr="00057DB7">
        <w:t xml:space="preserve"> H</w:t>
      </w:r>
      <w:r w:rsidR="007D3945" w:rsidRPr="00057DB7">
        <w:t xml:space="preserve">e has attended all case management conferences in this </w:t>
      </w:r>
      <w:r w:rsidR="000E6373">
        <w:lastRenderedPageBreak/>
        <w:t>proceeding</w:t>
      </w:r>
      <w:r w:rsidR="007D3945" w:rsidRPr="00057DB7">
        <w:t xml:space="preserve"> via </w:t>
      </w:r>
      <w:r w:rsidR="00417F67" w:rsidRPr="00057DB7">
        <w:t xml:space="preserve">Microsoft </w:t>
      </w:r>
      <w:r w:rsidR="007D3945" w:rsidRPr="00057DB7">
        <w:t xml:space="preserve">Teams </w:t>
      </w:r>
      <w:r w:rsidR="007F567F">
        <w:t xml:space="preserve">without incident or difficulty: </w:t>
      </w:r>
      <w:r w:rsidR="007D3945" w:rsidRPr="00057DB7">
        <w:t xml:space="preserve">Murphy 2 </w:t>
      </w:r>
      <w:r w:rsidR="007F567F">
        <w:t xml:space="preserve">(at </w:t>
      </w:r>
      <w:r w:rsidR="00417F67">
        <w:t xml:space="preserve">[36]). </w:t>
      </w:r>
      <w:r w:rsidR="007D3945" w:rsidRPr="00057DB7">
        <w:t xml:space="preserve">In any event, </w:t>
      </w:r>
      <w:r w:rsidRPr="00057DB7">
        <w:t xml:space="preserve">as Mr Murphy correctly submits, </w:t>
      </w:r>
      <w:r w:rsidR="007D3945" w:rsidRPr="00057DB7">
        <w:t xml:space="preserve">a one-off inability to attend for a specific reason like feedback on video software would not suffice to prove the sting of the imputations which require an ongoing inability to represent clients </w:t>
      </w:r>
      <w:r w:rsidR="009D3070">
        <w:t xml:space="preserve">in court </w:t>
      </w:r>
      <w:r w:rsidR="007D3945" w:rsidRPr="00057DB7">
        <w:t>to be proved.</w:t>
      </w:r>
    </w:p>
    <w:p w14:paraId="0CFD8DFE" w14:textId="7BE15679" w:rsidR="00597B9A" w:rsidRPr="00423C1D" w:rsidRDefault="00597B9A" w:rsidP="00423C1D">
      <w:pPr>
        <w:pStyle w:val="Heading3"/>
      </w:pPr>
      <w:bookmarkStart w:id="37" w:name="_Ref69479637"/>
      <w:r w:rsidRPr="00423C1D">
        <w:t>Findings as to</w:t>
      </w:r>
      <w:r w:rsidR="008E4799">
        <w:t xml:space="preserve"> the</w:t>
      </w:r>
      <w:r w:rsidRPr="00423C1D">
        <w:t xml:space="preserve"> Non Appearance Issue</w:t>
      </w:r>
      <w:bookmarkEnd w:id="37"/>
    </w:p>
    <w:p w14:paraId="763D0BF5" w14:textId="10901975" w:rsidR="0004008F" w:rsidRPr="00057DB7" w:rsidRDefault="00ED770E" w:rsidP="00ED770E">
      <w:pPr>
        <w:pStyle w:val="ParaNumbering"/>
      </w:pPr>
      <w:r w:rsidRPr="00057DB7">
        <w:t xml:space="preserve">It is then necessary to turn to </w:t>
      </w:r>
      <w:r w:rsidR="00D01FD2" w:rsidRPr="00057DB7">
        <w:t>whether it has been established that Mr Murphy</w:t>
      </w:r>
      <w:r w:rsidR="007F567F">
        <w:t>’s</w:t>
      </w:r>
      <w:r w:rsidR="00D01FD2" w:rsidRPr="00057DB7">
        <w:t xml:space="preserve"> </w:t>
      </w:r>
      <w:r w:rsidR="00597B9A" w:rsidRPr="00057DB7">
        <w:t>absence from</w:t>
      </w:r>
      <w:r w:rsidR="00283DF1">
        <w:t xml:space="preserve"> c</w:t>
      </w:r>
      <w:r w:rsidR="00D01FD2" w:rsidRPr="00057DB7">
        <w:t xml:space="preserve">ourt was the result of “the ravages of age and associated deafness” or for some other reason.  </w:t>
      </w:r>
      <w:r w:rsidR="00835AFC" w:rsidRPr="00057DB7">
        <w:t>This</w:t>
      </w:r>
      <w:r w:rsidR="00D01FD2" w:rsidRPr="00057DB7">
        <w:t xml:space="preserve"> </w:t>
      </w:r>
      <w:r w:rsidRPr="00057DB7">
        <w:t xml:space="preserve">requires </w:t>
      </w:r>
      <w:r w:rsidR="00835AFC" w:rsidRPr="00057DB7">
        <w:t xml:space="preserve">me to either accept or reject </w:t>
      </w:r>
      <w:r w:rsidR="00D01FD2" w:rsidRPr="00057DB7">
        <w:t>the evidence of Mr Murphy.</w:t>
      </w:r>
      <w:r w:rsidRPr="00057DB7">
        <w:t xml:space="preserve"> Because of this, it is appropriate to pause and say something about the evidence of Mr Murphy generally.</w:t>
      </w:r>
    </w:p>
    <w:p w14:paraId="1F00A92C" w14:textId="0E9339A8" w:rsidR="00ED770E" w:rsidRPr="00057DB7" w:rsidRDefault="00ED770E" w:rsidP="00203F2A">
      <w:pPr>
        <w:pStyle w:val="ParaNumbering"/>
      </w:pPr>
      <w:r w:rsidRPr="00057DB7">
        <w:t xml:space="preserve">Although Mr Murphy is a highly experienced advocate who has no doubt prepared countless witnesses for cross-examination over the course of his long career, he </w:t>
      </w:r>
      <w:r w:rsidR="00050E50">
        <w:t xml:space="preserve">often </w:t>
      </w:r>
      <w:r w:rsidRPr="00057DB7">
        <w:t xml:space="preserve">seemed to either forget or to ignore </w:t>
      </w:r>
      <w:r w:rsidR="00913672" w:rsidRPr="00057DB7">
        <w:t>the advice I have l</w:t>
      </w:r>
      <w:r w:rsidR="00050E50">
        <w:t xml:space="preserve">ittle doubt he would have </w:t>
      </w:r>
      <w:r w:rsidR="000E6373">
        <w:t>conveyed.</w:t>
      </w:r>
      <w:r w:rsidR="00913672" w:rsidRPr="00057DB7">
        <w:t xml:space="preserve"> He was </w:t>
      </w:r>
      <w:r w:rsidR="00B35579">
        <w:t>often</w:t>
      </w:r>
      <w:r w:rsidR="00913672" w:rsidRPr="00057DB7">
        <w:t xml:space="preserve"> non-respons</w:t>
      </w:r>
      <w:r w:rsidR="00050E50">
        <w:t>ive, long-winded, argumentative</w:t>
      </w:r>
      <w:r w:rsidR="00913672" w:rsidRPr="00057DB7">
        <w:t xml:space="preserve"> and</w:t>
      </w:r>
      <w:r w:rsidR="00050E50">
        <w:t xml:space="preserve">, once or twice, somewhat </w:t>
      </w:r>
      <w:r w:rsidR="00913672" w:rsidRPr="00057DB7">
        <w:t xml:space="preserve">rude to the cross-examiner. Despite this, there was a certain </w:t>
      </w:r>
      <w:r w:rsidR="00B35579">
        <w:t xml:space="preserve">rakish </w:t>
      </w:r>
      <w:r w:rsidR="00913672" w:rsidRPr="00057DB7">
        <w:t>charm about his performance</w:t>
      </w:r>
      <w:r w:rsidR="00EA225C" w:rsidRPr="00057DB7">
        <w:t xml:space="preserve"> </w:t>
      </w:r>
      <w:r w:rsidR="00957F49" w:rsidRPr="00057DB7">
        <w:t xml:space="preserve">in the witness box </w:t>
      </w:r>
      <w:r w:rsidR="00EA225C" w:rsidRPr="00057DB7">
        <w:t>and despite my misgivings about his manne</w:t>
      </w:r>
      <w:r w:rsidR="00597B9A" w:rsidRPr="00057DB7">
        <w:t xml:space="preserve">r of giving evidence, </w:t>
      </w:r>
      <w:r w:rsidR="00B35579">
        <w:t xml:space="preserve">he generally told the truth and </w:t>
      </w:r>
      <w:r w:rsidR="00807CFD">
        <w:t xml:space="preserve">the </w:t>
      </w:r>
      <w:r w:rsidR="00050E50">
        <w:t xml:space="preserve">most important </w:t>
      </w:r>
      <w:r w:rsidR="00597B9A" w:rsidRPr="00057DB7">
        <w:t>aspects of his evidence</w:t>
      </w:r>
      <w:r w:rsidR="00EA225C" w:rsidRPr="00057DB7">
        <w:t xml:space="preserve"> </w:t>
      </w:r>
      <w:r w:rsidR="00597B9A" w:rsidRPr="00057DB7">
        <w:t>were</w:t>
      </w:r>
      <w:r w:rsidR="00EA225C" w:rsidRPr="00057DB7">
        <w:t xml:space="preserve"> corroborated or coincided with the inherent probabilities.</w:t>
      </w:r>
      <w:r w:rsidRPr="00057DB7">
        <w:t xml:space="preserve"> </w:t>
      </w:r>
      <w:r w:rsidR="009316B4" w:rsidRPr="00057DB7">
        <w:t>I will return to his manner of giving evidence when it comes to damages.</w:t>
      </w:r>
    </w:p>
    <w:p w14:paraId="7766B780" w14:textId="5AA92B83" w:rsidR="00397A2F" w:rsidRPr="00057DB7" w:rsidRDefault="009316B4" w:rsidP="00EA225C">
      <w:pPr>
        <w:pStyle w:val="ParaNumbering"/>
      </w:pPr>
      <w:r w:rsidRPr="00057DB7">
        <w:t>I am presently concerned, however, with th</w:t>
      </w:r>
      <w:r w:rsidR="00ED770E" w:rsidRPr="00057DB7">
        <w:t>e evidence of Mr Murphy</w:t>
      </w:r>
      <w:r w:rsidR="00EA225C" w:rsidRPr="00057DB7">
        <w:t xml:space="preserve"> </w:t>
      </w:r>
      <w:r w:rsidRPr="00057DB7">
        <w:t xml:space="preserve">by which he explained </w:t>
      </w:r>
      <w:r w:rsidR="00EA225C" w:rsidRPr="00057DB7">
        <w:t>that the reason he has appeared i</w:t>
      </w:r>
      <w:r w:rsidR="00203F2A" w:rsidRPr="00057DB7">
        <w:t xml:space="preserve">n court </w:t>
      </w:r>
      <w:r w:rsidR="00EA225C" w:rsidRPr="00057DB7">
        <w:t>very rarely in</w:t>
      </w:r>
      <w:r w:rsidR="00203F2A" w:rsidRPr="00057DB7">
        <w:t xml:space="preserve"> the last 10 years </w:t>
      </w:r>
      <w:r w:rsidR="00EA225C" w:rsidRPr="00057DB7">
        <w:t>was because he had changed</w:t>
      </w:r>
      <w:r w:rsidR="007F567F">
        <w:t xml:space="preserve"> his role in the firm: affidavit of Mr Murphy affirmed 29 January 2021 (</w:t>
      </w:r>
      <w:r w:rsidR="007F567F" w:rsidRPr="007F567F">
        <w:rPr>
          <w:b/>
        </w:rPr>
        <w:t>Murphy 1</w:t>
      </w:r>
      <w:r w:rsidR="007F567F">
        <w:t xml:space="preserve">) (at </w:t>
      </w:r>
      <w:r w:rsidR="00203F2A" w:rsidRPr="00057DB7">
        <w:t xml:space="preserve">[12]).  This </w:t>
      </w:r>
      <w:r w:rsidRPr="00057DB7">
        <w:t xml:space="preserve">aspect of his evidence </w:t>
      </w:r>
      <w:r w:rsidR="00203F2A" w:rsidRPr="00057DB7">
        <w:t xml:space="preserve">was </w:t>
      </w:r>
      <w:r w:rsidR="00EA225C" w:rsidRPr="00057DB7">
        <w:t xml:space="preserve">repeated </w:t>
      </w:r>
      <w:r w:rsidR="00397A2F" w:rsidRPr="00057DB7">
        <w:t>in a forceful manner</w:t>
      </w:r>
      <w:r w:rsidR="00EC057E">
        <w:t>,</w:t>
      </w:r>
      <w:r w:rsidR="00397A2F" w:rsidRPr="00057DB7">
        <w:t xml:space="preserve"> </w:t>
      </w:r>
      <w:r w:rsidR="00203F2A" w:rsidRPr="00057DB7">
        <w:t>numer</w:t>
      </w:r>
      <w:r w:rsidR="008C033A">
        <w:t>ous times in cross-examination: see, for example, T153.12–</w:t>
      </w:r>
      <w:r w:rsidR="00203F2A" w:rsidRPr="00057DB7">
        <w:t>7</w:t>
      </w:r>
      <w:r w:rsidR="008C033A">
        <w:t xml:space="preserve"> and</w:t>
      </w:r>
      <w:r w:rsidR="00203F2A" w:rsidRPr="00057DB7">
        <w:t xml:space="preserve"> T157.9</w:t>
      </w:r>
      <w:r w:rsidR="008C033A">
        <w:t>–</w:t>
      </w:r>
      <w:r w:rsidR="00203F2A" w:rsidRPr="00057DB7">
        <w:t>1</w:t>
      </w:r>
      <w:r w:rsidR="008C033A">
        <w:t>7</w:t>
      </w:r>
      <w:r w:rsidR="00203F2A" w:rsidRPr="00057DB7">
        <w:t xml:space="preserve">.  </w:t>
      </w:r>
    </w:p>
    <w:p w14:paraId="3A9AA462" w14:textId="7BD19543" w:rsidR="00203F2A" w:rsidRPr="00057DB7" w:rsidRDefault="00835AFC" w:rsidP="00EA225C">
      <w:pPr>
        <w:pStyle w:val="ParaNumbering"/>
      </w:pPr>
      <w:r w:rsidRPr="00057DB7">
        <w:t xml:space="preserve">This evidence was said to be corroborated, but I do not think much can be made of this.  </w:t>
      </w:r>
      <w:r w:rsidR="00EA225C" w:rsidRPr="00057DB7">
        <w:t xml:space="preserve">Mr </w:t>
      </w:r>
      <w:proofErr w:type="spellStart"/>
      <w:r w:rsidR="00203F2A" w:rsidRPr="00057DB7">
        <w:t>Boulten</w:t>
      </w:r>
      <w:proofErr w:type="spellEnd"/>
      <w:r w:rsidR="00203F2A" w:rsidRPr="00057DB7">
        <w:t xml:space="preserve"> specifically denied that Mr Murphy did</w:t>
      </w:r>
      <w:r w:rsidR="00EA225C" w:rsidRPr="00057DB7">
        <w:t xml:space="preserve"> no</w:t>
      </w:r>
      <w:r w:rsidR="00203F2A" w:rsidRPr="00057DB7">
        <w:t xml:space="preserve">t appear in court because of challenges </w:t>
      </w:r>
      <w:r w:rsidR="00EA225C" w:rsidRPr="00057DB7">
        <w:t>associated</w:t>
      </w:r>
      <w:r w:rsidR="00203F2A" w:rsidRPr="00057DB7">
        <w:t xml:space="preserve"> with his hearing (T67.3</w:t>
      </w:r>
      <w:r w:rsidR="00C63F41">
        <w:t>–</w:t>
      </w:r>
      <w:r w:rsidR="00203F2A" w:rsidRPr="00057DB7">
        <w:t>5) and</w:t>
      </w:r>
      <w:r w:rsidR="00EA225C" w:rsidRPr="00057DB7">
        <w:t>, without objection,</w:t>
      </w:r>
      <w:r w:rsidR="00203F2A" w:rsidRPr="00057DB7">
        <w:t xml:space="preserve"> </w:t>
      </w:r>
      <w:r w:rsidR="00EA225C" w:rsidRPr="00057DB7">
        <w:t xml:space="preserve">gave evidence of his understanding </w:t>
      </w:r>
      <w:r w:rsidR="00203F2A" w:rsidRPr="00057DB7">
        <w:t>that neither his health nor his age were the reasons he understood Mr Murphy did</w:t>
      </w:r>
      <w:r w:rsidR="00957F49" w:rsidRPr="00057DB7">
        <w:t xml:space="preserve"> no</w:t>
      </w:r>
      <w:r w:rsidR="00203F2A" w:rsidRPr="00057DB7">
        <w:t>t appear in cou</w:t>
      </w:r>
      <w:r w:rsidR="00F675BB">
        <w:t xml:space="preserve">rt: </w:t>
      </w:r>
      <w:r w:rsidR="00203F2A" w:rsidRPr="00057DB7">
        <w:t>T68.3</w:t>
      </w:r>
      <w:r w:rsidR="00C63F41">
        <w:t>–</w:t>
      </w:r>
      <w:r w:rsidR="00203F2A" w:rsidRPr="00057DB7">
        <w:t>5</w:t>
      </w:r>
      <w:r w:rsidR="00C63F41">
        <w:t>.</w:t>
      </w:r>
      <w:r w:rsidR="00203F2A" w:rsidRPr="00057DB7">
        <w:t xml:space="preserve"> </w:t>
      </w:r>
      <w:r w:rsidR="00EA225C" w:rsidRPr="00057DB7">
        <w:t xml:space="preserve">Similar evidence was given by </w:t>
      </w:r>
      <w:r w:rsidR="00F675BB">
        <w:t>Mr Thomas</w:t>
      </w:r>
      <w:r w:rsidR="00EA225C" w:rsidRPr="00057DB7">
        <w:t xml:space="preserve"> and Mr </w:t>
      </w:r>
      <w:proofErr w:type="spellStart"/>
      <w:r w:rsidR="00EA225C" w:rsidRPr="00057DB7">
        <w:t>Houda</w:t>
      </w:r>
      <w:proofErr w:type="spellEnd"/>
      <w:r w:rsidR="00EA225C" w:rsidRPr="00057DB7">
        <w:t xml:space="preserve"> to the effect that Mr Murphy’s </w:t>
      </w:r>
      <w:r w:rsidR="00203F2A" w:rsidRPr="00057DB7">
        <w:t>reduced appearances in court ar</w:t>
      </w:r>
      <w:r w:rsidR="00957F49" w:rsidRPr="00057DB7">
        <w:t>e the product of choice.</w:t>
      </w:r>
      <w:r w:rsidR="009316B4" w:rsidRPr="00057DB7">
        <w:t xml:space="preserve"> Having noted this, </w:t>
      </w:r>
      <w:r w:rsidR="00EA225C" w:rsidRPr="00057DB7">
        <w:t xml:space="preserve">with </w:t>
      </w:r>
      <w:r w:rsidR="00050E50">
        <w:t>no dis</w:t>
      </w:r>
      <w:r w:rsidR="00EA225C" w:rsidRPr="00057DB7">
        <w:t>respect to the</w:t>
      </w:r>
      <w:r w:rsidR="009316B4" w:rsidRPr="00057DB7">
        <w:t xml:space="preserve">se witnesses, evidence as to their subjective </w:t>
      </w:r>
      <w:r w:rsidR="00EA225C" w:rsidRPr="00057DB7">
        <w:t>understanding</w:t>
      </w:r>
      <w:r w:rsidR="00397A2F" w:rsidRPr="00057DB7">
        <w:t xml:space="preserve"> of Mr Murphy’s mental processes </w:t>
      </w:r>
      <w:r w:rsidR="00B35579">
        <w:t>is</w:t>
      </w:r>
      <w:r w:rsidR="00EA225C" w:rsidRPr="00057DB7">
        <w:t xml:space="preserve"> </w:t>
      </w:r>
      <w:r w:rsidR="00397A2F" w:rsidRPr="00057DB7">
        <w:t>beside the point</w:t>
      </w:r>
      <w:r w:rsidRPr="00057DB7">
        <w:t xml:space="preserve"> and of no real utility</w:t>
      </w:r>
      <w:r w:rsidR="00EA225C" w:rsidRPr="00057DB7">
        <w:t>.</w:t>
      </w:r>
      <w:r w:rsidR="00AD7934">
        <w:t xml:space="preserve"> </w:t>
      </w:r>
    </w:p>
    <w:p w14:paraId="59A1193E" w14:textId="73EF1B09" w:rsidR="00DF6C6C" w:rsidRPr="00057DB7" w:rsidRDefault="00FC7053" w:rsidP="00DF6C6C">
      <w:pPr>
        <w:pStyle w:val="ParaNumbering"/>
      </w:pPr>
      <w:r>
        <w:lastRenderedPageBreak/>
        <w:t xml:space="preserve">On balance, </w:t>
      </w:r>
      <w:r w:rsidRPr="00057DB7">
        <w:t xml:space="preserve">I am prepared to accept </w:t>
      </w:r>
      <w:r>
        <w:t>Mr Murphy’s</w:t>
      </w:r>
      <w:r w:rsidRPr="00057DB7">
        <w:t xml:space="preserve"> evidence as to his rationale </w:t>
      </w:r>
      <w:r>
        <w:t>for non-appearance, d</w:t>
      </w:r>
      <w:r w:rsidR="00397A2F" w:rsidRPr="00057DB7">
        <w:t>espite any general concerns I have as to</w:t>
      </w:r>
      <w:r w:rsidR="00EC057E">
        <w:t>: (a)</w:t>
      </w:r>
      <w:r w:rsidR="00397A2F" w:rsidRPr="00057DB7">
        <w:t xml:space="preserve"> </w:t>
      </w:r>
      <w:r>
        <w:t>the manner of his giving of his evidence; a</w:t>
      </w:r>
      <w:r w:rsidR="009316B4" w:rsidRPr="00057DB7">
        <w:t>nd</w:t>
      </w:r>
      <w:r w:rsidR="00EC057E">
        <w:t xml:space="preserve"> (b)</w:t>
      </w:r>
      <w:r w:rsidR="009316B4" w:rsidRPr="00057DB7">
        <w:t xml:space="preserve"> that Mr Murphy’s pattern of infrequent appearance</w:t>
      </w:r>
      <w:r w:rsidR="00957F49" w:rsidRPr="00057DB7">
        <w:t xml:space="preserve"> in court seem</w:t>
      </w:r>
      <w:r w:rsidR="009316B4" w:rsidRPr="00057DB7">
        <w:t xml:space="preserve">s to be co-incident with the diminution of </w:t>
      </w:r>
      <w:r w:rsidR="00397A2F" w:rsidRPr="00057DB7">
        <w:t>his h</w:t>
      </w:r>
      <w:r w:rsidR="009316B4" w:rsidRPr="00057DB7">
        <w:t xml:space="preserve">earing ability.  In particular, I accept </w:t>
      </w:r>
      <w:r w:rsidR="00835AFC" w:rsidRPr="00057DB7">
        <w:t xml:space="preserve">that he has chosen to assume the role of </w:t>
      </w:r>
      <w:r w:rsidR="009316B4" w:rsidRPr="00057DB7">
        <w:t>a “rainmaker”</w:t>
      </w:r>
      <w:r w:rsidR="00835AFC" w:rsidRPr="00057DB7">
        <w:t xml:space="preserve"> for his firm, </w:t>
      </w:r>
      <w:r w:rsidR="00DF6C6C" w:rsidRPr="00057DB7">
        <w:t xml:space="preserve">while continuing to be </w:t>
      </w:r>
      <w:r w:rsidR="00397A2F" w:rsidRPr="00057DB7">
        <w:t>closely</w:t>
      </w:r>
      <w:r w:rsidR="00DF6C6C" w:rsidRPr="00057DB7">
        <w:t xml:space="preserve"> involved in cases, including by conferring with counsel, conducting research, preparation</w:t>
      </w:r>
      <w:r w:rsidR="00F675BB">
        <w:t xml:space="preserve"> and making tactical decisions: </w:t>
      </w:r>
      <w:r w:rsidR="00DF6C6C" w:rsidRPr="00057DB7">
        <w:t xml:space="preserve">Murphy 1 </w:t>
      </w:r>
      <w:r w:rsidR="00F675BB">
        <w:t>(at [23]).</w:t>
      </w:r>
      <w:r w:rsidR="00DF6C6C" w:rsidRPr="00057DB7">
        <w:t xml:space="preserve"> </w:t>
      </w:r>
      <w:r w:rsidR="0000229C" w:rsidRPr="00057DB7">
        <w:t xml:space="preserve">Much was made of the fact that Mr Wrench, the second-in-command to the self-described </w:t>
      </w:r>
      <w:r w:rsidR="00F675BB">
        <w:rPr>
          <w:szCs w:val="24"/>
        </w:rPr>
        <w:t>“overlord” (T144.21–</w:t>
      </w:r>
      <w:r w:rsidR="0000229C" w:rsidRPr="00057DB7">
        <w:rPr>
          <w:szCs w:val="24"/>
        </w:rPr>
        <w:t>2)</w:t>
      </w:r>
      <w:r w:rsidR="0000229C" w:rsidRPr="00057DB7">
        <w:t xml:space="preserve">, is promoted heavily on the </w:t>
      </w:r>
      <w:r w:rsidR="00F675BB">
        <w:t>Murphy’s Lawyers website.</w:t>
      </w:r>
      <w:r w:rsidR="0000229C" w:rsidRPr="00057DB7">
        <w:t xml:space="preserve"> But this is beside the point:</w:t>
      </w:r>
      <w:r w:rsidR="00417F67">
        <w:t xml:space="preserve"> Mr Wrench is the one going to c</w:t>
      </w:r>
      <w:r w:rsidR="0000229C" w:rsidRPr="00057DB7">
        <w:t xml:space="preserve">ourt, along with two other solicitors, and Mr Murphy now considers himself </w:t>
      </w:r>
      <w:r w:rsidR="0000229C" w:rsidRPr="00057DB7">
        <w:rPr>
          <w:szCs w:val="24"/>
        </w:rPr>
        <w:t>“the strategist” and “th</w:t>
      </w:r>
      <w:r w:rsidR="00F675BB">
        <w:rPr>
          <w:szCs w:val="24"/>
        </w:rPr>
        <w:t xml:space="preserve">e tactician”: </w:t>
      </w:r>
      <w:r w:rsidR="0000229C" w:rsidRPr="00057DB7">
        <w:rPr>
          <w:szCs w:val="24"/>
        </w:rPr>
        <w:t>T144.21</w:t>
      </w:r>
      <w:r w:rsidR="00F675BB">
        <w:rPr>
          <w:szCs w:val="24"/>
        </w:rPr>
        <w:t>–2.</w:t>
      </w:r>
      <w:r w:rsidR="00F675BB">
        <w:t xml:space="preserve"> </w:t>
      </w:r>
      <w:r w:rsidR="0000229C" w:rsidRPr="00057DB7">
        <w:t>What matters is whether these arrangements were the product of inability or</w:t>
      </w:r>
      <w:r w:rsidR="005B7390" w:rsidRPr="00057DB7">
        <w:t>, as I have found,</w:t>
      </w:r>
      <w:r w:rsidR="0000229C" w:rsidRPr="00057DB7">
        <w:t xml:space="preserve"> choice.</w:t>
      </w:r>
    </w:p>
    <w:p w14:paraId="145250F8" w14:textId="1838689B" w:rsidR="00DF6C6C" w:rsidRPr="00057DB7" w:rsidRDefault="00DF6C6C" w:rsidP="00DF6C6C">
      <w:pPr>
        <w:pStyle w:val="ParaNumbering"/>
      </w:pPr>
      <w:r w:rsidRPr="00057DB7">
        <w:t>I</w:t>
      </w:r>
      <w:r w:rsidR="00397A2F" w:rsidRPr="00057DB7">
        <w:t xml:space="preserve"> am fortified in </w:t>
      </w:r>
      <w:r w:rsidR="009316B4" w:rsidRPr="00057DB7">
        <w:t>this conclusion</w:t>
      </w:r>
      <w:r w:rsidR="00397A2F" w:rsidRPr="00057DB7">
        <w:t xml:space="preserve"> by reason of the fact that when he </w:t>
      </w:r>
      <w:r w:rsidR="009316B4" w:rsidRPr="00057DB7">
        <w:t>does want</w:t>
      </w:r>
      <w:r w:rsidR="00397A2F" w:rsidRPr="00057DB7">
        <w:t xml:space="preserve"> to appear in court</w:t>
      </w:r>
      <w:r w:rsidR="009316B4" w:rsidRPr="00057DB7">
        <w:t xml:space="preserve"> for what he perceives to be an important reason</w:t>
      </w:r>
      <w:r w:rsidR="00417F67">
        <w:t xml:space="preserve">, he does so. </w:t>
      </w:r>
      <w:r w:rsidR="00397A2F" w:rsidRPr="00057DB7">
        <w:t>I</w:t>
      </w:r>
      <w:r w:rsidRPr="00057DB7">
        <w:t xml:space="preserve">t was uncontroversial that Mr Murphy </w:t>
      </w:r>
      <w:r w:rsidR="009316B4" w:rsidRPr="00057DB7">
        <w:t>has</w:t>
      </w:r>
      <w:r w:rsidRPr="00057DB7">
        <w:t xml:space="preserve"> appeared a number of times in the past 10 years for </w:t>
      </w:r>
      <w:r w:rsidR="009316B4" w:rsidRPr="00057DB7">
        <w:t>what he described as “</w:t>
      </w:r>
      <w:r w:rsidR="00397A2F" w:rsidRPr="00057DB7">
        <w:t>high-profile</w:t>
      </w:r>
      <w:r w:rsidR="009316B4" w:rsidRPr="00057DB7">
        <w:t>”</w:t>
      </w:r>
      <w:r w:rsidR="00397A2F" w:rsidRPr="00057DB7">
        <w:t xml:space="preserve"> </w:t>
      </w:r>
      <w:r w:rsidR="00F675BB">
        <w:t>matters:</w:t>
      </w:r>
      <w:r w:rsidR="009316B4" w:rsidRPr="00057DB7">
        <w:t xml:space="preserve"> </w:t>
      </w:r>
      <w:r w:rsidR="00397A2F" w:rsidRPr="00057DB7">
        <w:t xml:space="preserve">Murphy 2 </w:t>
      </w:r>
      <w:r w:rsidR="00F675BB">
        <w:t xml:space="preserve">(at </w:t>
      </w:r>
      <w:r w:rsidR="00397A2F" w:rsidRPr="00057DB7">
        <w:t>[9]).</w:t>
      </w:r>
      <w:r w:rsidR="009316B4" w:rsidRPr="00057DB7">
        <w:t xml:space="preserve"> </w:t>
      </w:r>
      <w:r w:rsidR="0061359C">
        <w:t>This appears to have been for</w:t>
      </w:r>
      <w:r w:rsidR="009316B4" w:rsidRPr="00057DB7">
        <w:t xml:space="preserve"> some sort of </w:t>
      </w:r>
      <w:r w:rsidR="0000229C" w:rsidRPr="00057DB7">
        <w:t xml:space="preserve">protective or </w:t>
      </w:r>
      <w:r w:rsidR="009316B4" w:rsidRPr="00057DB7">
        <w:t xml:space="preserve">pastoral reason </w:t>
      </w:r>
      <w:r w:rsidR="0061359C">
        <w:t xml:space="preserve">for at least some clients; for others, it may have been </w:t>
      </w:r>
      <w:r w:rsidR="009316B4" w:rsidRPr="00057DB7">
        <w:t xml:space="preserve">because of the </w:t>
      </w:r>
      <w:r w:rsidR="0000229C" w:rsidRPr="00057DB7">
        <w:t xml:space="preserve">increased </w:t>
      </w:r>
      <w:r w:rsidR="009316B4" w:rsidRPr="00057DB7">
        <w:t xml:space="preserve">publicity that these </w:t>
      </w:r>
      <w:r w:rsidR="0000229C" w:rsidRPr="00057DB7">
        <w:t>appearances</w:t>
      </w:r>
      <w:r w:rsidR="009316B4" w:rsidRPr="00057DB7">
        <w:t xml:space="preserve"> generated</w:t>
      </w:r>
      <w:r w:rsidR="0061359C">
        <w:t xml:space="preserve"> (it is unnecessary to determine the reasons for his appearance in each of these special cases)</w:t>
      </w:r>
      <w:r w:rsidR="0000229C" w:rsidRPr="00057DB7">
        <w:t>.</w:t>
      </w:r>
    </w:p>
    <w:p w14:paraId="34F8EDB8" w14:textId="41E86916" w:rsidR="00DF6C6C" w:rsidRPr="00423C1D" w:rsidRDefault="00835AFC" w:rsidP="00423C1D">
      <w:pPr>
        <w:pStyle w:val="Heading3"/>
      </w:pPr>
      <w:bookmarkStart w:id="38" w:name="_Ref69479638"/>
      <w:r w:rsidRPr="00423C1D">
        <w:t>Conclusion on</w:t>
      </w:r>
      <w:r w:rsidR="008E4799">
        <w:t xml:space="preserve"> the</w:t>
      </w:r>
      <w:r w:rsidRPr="00423C1D">
        <w:t xml:space="preserve"> Disputed Particulars</w:t>
      </w:r>
      <w:bookmarkEnd w:id="38"/>
    </w:p>
    <w:p w14:paraId="4CC48B74" w14:textId="77777777" w:rsidR="00835AFC" w:rsidRPr="00057DB7" w:rsidRDefault="00835AFC" w:rsidP="00835AFC">
      <w:pPr>
        <w:pStyle w:val="ParaNumbering"/>
      </w:pPr>
      <w:r w:rsidRPr="00057DB7">
        <w:t xml:space="preserve">The findings I have made as to the Incapacity Issue and the Non Appearance Issue are sufficient to dispose of </w:t>
      </w:r>
      <w:r w:rsidR="005F7CE9" w:rsidRPr="00057DB7">
        <w:t xml:space="preserve">most of </w:t>
      </w:r>
      <w:r w:rsidRPr="00057DB7">
        <w:t>the disputed particulars.</w:t>
      </w:r>
    </w:p>
    <w:p w14:paraId="2B26B24A" w14:textId="7576A351" w:rsidR="005F7CE9" w:rsidRPr="00057DB7" w:rsidRDefault="005F7CE9" w:rsidP="00536591">
      <w:pPr>
        <w:pStyle w:val="ParaNumbering"/>
      </w:pPr>
      <w:r w:rsidRPr="00057DB7">
        <w:t>I do accept that at some time prior to April 2020, Mr Murphy began using remote microphone devices to assist his hearing at distances of greater than one metre but that he has continued to experience some difficulties hearing: (a) where there is background noise; (b) when he is unable to follow visual cues; (c) where the speaker does not have a clear voice; or (d) w</w:t>
      </w:r>
      <w:r w:rsidR="00F675BB">
        <w:t xml:space="preserve">here the speaker has an accent: </w:t>
      </w:r>
      <w:r w:rsidRPr="00057DB7">
        <w:t xml:space="preserve">see </w:t>
      </w:r>
      <w:r w:rsidRPr="00057DB7">
        <w:rPr>
          <w:i/>
        </w:rPr>
        <w:t>Particular H2</w:t>
      </w:r>
      <w:r w:rsidR="00F675BB">
        <w:t>.</w:t>
      </w:r>
      <w:r w:rsidRPr="00057DB7">
        <w:t xml:space="preserve"> This is all consistent with the agreed fact that Mr Murphy </w:t>
      </w:r>
      <w:r w:rsidR="00417F67">
        <w:t>is</w:t>
      </w:r>
      <w:r w:rsidRPr="00057DB7">
        <w:t xml:space="preserve"> not capable of appearing as an advocate in court, or as an instructing solicitor in court, without the use of his h</w:t>
      </w:r>
      <w:r w:rsidR="00F675BB">
        <w:t xml:space="preserve">earing aids and Roger devices. </w:t>
      </w:r>
      <w:r w:rsidRPr="00057DB7">
        <w:t>But, as I found above, with the use of his hearing aids and Roger devices</w:t>
      </w:r>
      <w:r w:rsidR="00EC057E">
        <w:t>,</w:t>
      </w:r>
      <w:r w:rsidRPr="00057DB7">
        <w:t xml:space="preserve"> he is capable of appearing in court.</w:t>
      </w:r>
    </w:p>
    <w:p w14:paraId="06928FDC" w14:textId="406881FC" w:rsidR="005B043D" w:rsidRPr="00057DB7" w:rsidRDefault="005F7CE9" w:rsidP="004736EE">
      <w:pPr>
        <w:pStyle w:val="ParaNumbering"/>
      </w:pPr>
      <w:r w:rsidRPr="00057DB7">
        <w:lastRenderedPageBreak/>
        <w:t xml:space="preserve">As to </w:t>
      </w:r>
      <w:r w:rsidRPr="00057DB7">
        <w:rPr>
          <w:i/>
        </w:rPr>
        <w:t>Particular I1</w:t>
      </w:r>
      <w:r w:rsidRPr="00057DB7">
        <w:t xml:space="preserve">, it was alleged that earlier this year </w:t>
      </w:r>
      <w:r w:rsidR="004736EE" w:rsidRPr="00057DB7">
        <w:t xml:space="preserve">Mr Murphy experienced various difficulties during a </w:t>
      </w:r>
      <w:r w:rsidR="007F567F">
        <w:t>hearing of the Mould proceeding</w:t>
      </w:r>
      <w:r w:rsidR="000E6373">
        <w:t>.</w:t>
      </w:r>
      <w:r w:rsidR="005B043D" w:rsidRPr="00057DB7">
        <w:t xml:space="preserve"> The </w:t>
      </w:r>
      <w:r w:rsidR="003679ED" w:rsidRPr="00057DB7">
        <w:t xml:space="preserve">precise </w:t>
      </w:r>
      <w:r w:rsidR="00671B91" w:rsidRPr="00057DB7">
        <w:t>sub-</w:t>
      </w:r>
      <w:r w:rsidR="00EC057E">
        <w:t xml:space="preserve">particulars are set out </w:t>
      </w:r>
      <w:r w:rsidR="00417F67">
        <w:t>(</w:t>
      </w:r>
      <w:r w:rsidR="00EC057E">
        <w:t>at [39</w:t>
      </w:r>
      <w:r w:rsidR="003679ED" w:rsidRPr="00057DB7">
        <w:t>]</w:t>
      </w:r>
      <w:r w:rsidR="00417F67">
        <w:t>)</w:t>
      </w:r>
      <w:r w:rsidR="003679ED" w:rsidRPr="00057DB7">
        <w:t xml:space="preserve"> above.  As to:</w:t>
      </w:r>
    </w:p>
    <w:p w14:paraId="3FA5AFA2" w14:textId="5FE3181B" w:rsidR="005F7CE9" w:rsidRPr="00057DB7" w:rsidRDefault="003679ED" w:rsidP="00B3693B">
      <w:pPr>
        <w:pStyle w:val="ListNo1"/>
        <w:numPr>
          <w:ilvl w:val="0"/>
          <w:numId w:val="38"/>
        </w:numPr>
      </w:pPr>
      <w:r w:rsidRPr="00057DB7">
        <w:rPr>
          <w:i/>
        </w:rPr>
        <w:t>Particular (a)</w:t>
      </w:r>
      <w:r w:rsidRPr="00057DB7">
        <w:t>: I accept that Mr Murphy</w:t>
      </w:r>
      <w:r w:rsidR="005F7CE9" w:rsidRPr="00057DB7">
        <w:t xml:space="preserve">, by his legal representatives, requested </w:t>
      </w:r>
      <w:r w:rsidRPr="00057DB7">
        <w:t xml:space="preserve">participants </w:t>
      </w:r>
      <w:r w:rsidR="00EC057E">
        <w:t xml:space="preserve">use </w:t>
      </w:r>
      <w:r w:rsidRPr="00057DB7">
        <w:t xml:space="preserve">Roger devices because of </w:t>
      </w:r>
      <w:r w:rsidR="005F7CE9" w:rsidRPr="00057DB7">
        <w:t>Mr Murphy</w:t>
      </w:r>
      <w:r w:rsidRPr="00057DB7">
        <w:t xml:space="preserve">’s </w:t>
      </w:r>
      <w:r w:rsidR="005F7CE9" w:rsidRPr="00057DB7">
        <w:t>severe heari</w:t>
      </w:r>
      <w:r w:rsidRPr="00057DB7">
        <w:t>ng loss</w:t>
      </w:r>
      <w:r w:rsidR="00EC057E">
        <w:t>,</w:t>
      </w:r>
      <w:r w:rsidR="00B3693B" w:rsidRPr="00057DB7">
        <w:t xml:space="preserve"> but this is entirely consistent with the findings of the evidence as to the Incapacity Issue.</w:t>
      </w:r>
      <w:r w:rsidR="008C1A4F">
        <w:t xml:space="preserve"> In any event</w:t>
      </w:r>
      <w:r w:rsidR="00B35579">
        <w:t>,</w:t>
      </w:r>
      <w:r w:rsidR="008C1A4F">
        <w:t xml:space="preserve"> this particular was accepted by Mr Murphy: T280.32.</w:t>
      </w:r>
    </w:p>
    <w:p w14:paraId="524FA2FB" w14:textId="62B775C1" w:rsidR="00B3693B" w:rsidRPr="00057DB7" w:rsidRDefault="003679ED" w:rsidP="003679ED">
      <w:pPr>
        <w:pStyle w:val="ListNo1"/>
        <w:numPr>
          <w:ilvl w:val="0"/>
          <w:numId w:val="38"/>
        </w:numPr>
      </w:pPr>
      <w:r w:rsidRPr="00057DB7">
        <w:rPr>
          <w:i/>
        </w:rPr>
        <w:t>Particular</w:t>
      </w:r>
      <w:r w:rsidR="00417F67">
        <w:rPr>
          <w:i/>
        </w:rPr>
        <w:t>s</w:t>
      </w:r>
      <w:r w:rsidRPr="00057DB7">
        <w:rPr>
          <w:i/>
        </w:rPr>
        <w:t xml:space="preserve"> (b), (c) and (d)</w:t>
      </w:r>
      <w:r w:rsidRPr="00057DB7">
        <w:t>: although the use of Roger devices requires some instruction</w:t>
      </w:r>
      <w:r w:rsidR="00B3693B" w:rsidRPr="00057DB7">
        <w:t xml:space="preserve"> (as is evident from particular (a)</w:t>
      </w:r>
      <w:r w:rsidR="00EC057E">
        <w:t>), this</w:t>
      </w:r>
      <w:r w:rsidR="00B3693B" w:rsidRPr="00057DB7">
        <w:t xml:space="preserve"> is innocuous; similarly</w:t>
      </w:r>
      <w:r w:rsidRPr="00057DB7">
        <w:t xml:space="preserve">, the notion (that seems to be the substance of </w:t>
      </w:r>
      <w:r w:rsidR="00417F67">
        <w:t xml:space="preserve">particulars </w:t>
      </w:r>
      <w:r w:rsidRPr="00057DB7">
        <w:t>(c) and (d)</w:t>
      </w:r>
      <w:r w:rsidR="00B3693B" w:rsidRPr="00057DB7">
        <w:t>)</w:t>
      </w:r>
      <w:r w:rsidRPr="00057DB7">
        <w:t xml:space="preserve"> that</w:t>
      </w:r>
      <w:r w:rsidR="00E03221">
        <w:t xml:space="preserve"> the</w:t>
      </w:r>
      <w:r w:rsidRPr="00057DB7">
        <w:t xml:space="preserve"> Roger devices need to be charged</w:t>
      </w:r>
      <w:r w:rsidR="00B3693B" w:rsidRPr="00057DB7">
        <w:t xml:space="preserve"> is hardly surprising</w:t>
      </w:r>
      <w:r w:rsidRPr="00057DB7">
        <w:t xml:space="preserve">. Mr Murphy confirmed that the devices have an </w:t>
      </w:r>
      <w:r w:rsidR="00E03221">
        <w:t>eight hour battery life: T117.41–</w:t>
      </w:r>
      <w:r w:rsidR="00AA241F">
        <w:t>4</w:t>
      </w:r>
      <w:r w:rsidR="00B3693B" w:rsidRPr="00057DB7">
        <w:t>.</w:t>
      </w:r>
    </w:p>
    <w:p w14:paraId="542C5BD0" w14:textId="76D14F2D" w:rsidR="005F7CE9" w:rsidRPr="00057DB7" w:rsidRDefault="00B3693B" w:rsidP="00B3693B">
      <w:pPr>
        <w:pStyle w:val="ListNo1"/>
        <w:numPr>
          <w:ilvl w:val="0"/>
          <w:numId w:val="38"/>
        </w:numPr>
      </w:pPr>
      <w:r w:rsidRPr="00057DB7">
        <w:rPr>
          <w:i/>
        </w:rPr>
        <w:t>Particular (e)</w:t>
      </w:r>
      <w:r w:rsidRPr="00057DB7">
        <w:t>:</w:t>
      </w:r>
      <w:r w:rsidR="003679ED" w:rsidRPr="00057DB7">
        <w:t xml:space="preserve"> </w:t>
      </w:r>
      <w:r w:rsidR="00417F67">
        <w:t>was denied in cross-</w:t>
      </w:r>
      <w:r w:rsidR="000E6373">
        <w:t>examination;</w:t>
      </w:r>
      <w:r w:rsidRPr="00057DB7">
        <w:t xml:space="preserve"> the transcript is unclear and I do not </w:t>
      </w:r>
      <w:r w:rsidR="00AA241F">
        <w:t xml:space="preserve">think </w:t>
      </w:r>
      <w:r w:rsidRPr="00057DB7">
        <w:t xml:space="preserve">the evidence is such as to allow a finding to be made that Mr Murphy </w:t>
      </w:r>
      <w:r w:rsidR="005F7CE9" w:rsidRPr="00057DB7">
        <w:t>did not notice that his mobile telephone emitted a loud noise whi</w:t>
      </w:r>
      <w:r w:rsidRPr="00057DB7">
        <w:t>c</w:t>
      </w:r>
      <w:r w:rsidR="00417F67">
        <w:t>h was heard by others in c</w:t>
      </w:r>
      <w:r w:rsidR="00AA241F">
        <w:t>ourt: T118.3–19.</w:t>
      </w:r>
    </w:p>
    <w:p w14:paraId="44CB123B" w14:textId="0ADB2EAD" w:rsidR="005F7CE9" w:rsidRPr="00057DB7" w:rsidRDefault="00B3693B" w:rsidP="00B3693B">
      <w:pPr>
        <w:pStyle w:val="ListNo1"/>
        <w:numPr>
          <w:ilvl w:val="0"/>
          <w:numId w:val="38"/>
        </w:numPr>
      </w:pPr>
      <w:r w:rsidRPr="00057DB7">
        <w:rPr>
          <w:i/>
        </w:rPr>
        <w:t>Particular</w:t>
      </w:r>
      <w:r w:rsidR="00417F67">
        <w:rPr>
          <w:i/>
        </w:rPr>
        <w:t>s</w:t>
      </w:r>
      <w:r w:rsidRPr="00057DB7">
        <w:rPr>
          <w:i/>
        </w:rPr>
        <w:t xml:space="preserve"> (f) and (g)</w:t>
      </w:r>
      <w:r w:rsidRPr="00057DB7">
        <w:t>: that Mr Murphy</w:t>
      </w:r>
      <w:r w:rsidR="005F7CE9" w:rsidRPr="00057DB7">
        <w:t xml:space="preserve"> experienced hearing difficulties when communicating with his instructing solicitor when </w:t>
      </w:r>
      <w:r w:rsidRPr="00057DB7">
        <w:t xml:space="preserve">he was not wearing a Roger device and </w:t>
      </w:r>
      <w:r w:rsidR="005F7CE9" w:rsidRPr="00057DB7">
        <w:t>the Court officer had to speak</w:t>
      </w:r>
      <w:r w:rsidRPr="00057DB7">
        <w:t xml:space="preserve"> loudly and close to Mr Murphy</w:t>
      </w:r>
      <w:r w:rsidR="00AA241F">
        <w:t xml:space="preserve"> when administering the oath,</w:t>
      </w:r>
      <w:r w:rsidRPr="00057DB7">
        <w:t xml:space="preserve"> go</w:t>
      </w:r>
      <w:r w:rsidR="00417F67">
        <w:t>es</w:t>
      </w:r>
      <w:r w:rsidRPr="00057DB7">
        <w:t xml:space="preserve"> nowhere; the </w:t>
      </w:r>
      <w:r w:rsidRPr="00EC057E">
        <w:rPr>
          <w:i/>
        </w:rPr>
        <w:t>first</w:t>
      </w:r>
      <w:r w:rsidRPr="00057DB7">
        <w:t xml:space="preserve"> difficulty is that these allegations were not put to Mr Murphy; the </w:t>
      </w:r>
      <w:r w:rsidRPr="00EC057E">
        <w:rPr>
          <w:i/>
        </w:rPr>
        <w:t>second</w:t>
      </w:r>
      <w:r w:rsidRPr="00057DB7">
        <w:t xml:space="preserve"> is that no evidence to this effect was </w:t>
      </w:r>
      <w:r w:rsidR="00671B91" w:rsidRPr="00057DB7">
        <w:t>elicited in chief f</w:t>
      </w:r>
      <w:r w:rsidRPr="00057DB7">
        <w:t>r</w:t>
      </w:r>
      <w:r w:rsidR="00671B91" w:rsidRPr="00057DB7">
        <w:t>o</w:t>
      </w:r>
      <w:r w:rsidRPr="00057DB7">
        <w:t xml:space="preserve">m Mr </w:t>
      </w:r>
      <w:proofErr w:type="spellStart"/>
      <w:r w:rsidRPr="00057DB7">
        <w:t>Kalantzis</w:t>
      </w:r>
      <w:proofErr w:type="spellEnd"/>
      <w:r w:rsidRPr="00057DB7">
        <w:t xml:space="preserve">, Mr Murphy’s </w:t>
      </w:r>
      <w:r w:rsidR="00671B91" w:rsidRPr="00057DB7">
        <w:t>solicitor</w:t>
      </w:r>
      <w:r w:rsidRPr="00057DB7">
        <w:t>, who was called in</w:t>
      </w:r>
      <w:r w:rsidR="000E6373">
        <w:t xml:space="preserve"> the case of News and Ms Sharp; and </w:t>
      </w:r>
      <w:r w:rsidRPr="00057DB7">
        <w:t xml:space="preserve">the </w:t>
      </w:r>
      <w:r w:rsidRPr="00EC057E">
        <w:rPr>
          <w:i/>
        </w:rPr>
        <w:t>third</w:t>
      </w:r>
      <w:r w:rsidRPr="00057DB7">
        <w:t xml:space="preserve"> is that even if </w:t>
      </w:r>
      <w:r w:rsidR="00EC057E">
        <w:t>these particulars were proved</w:t>
      </w:r>
      <w:r w:rsidRPr="00057DB7">
        <w:t xml:space="preserve"> (which they were not)</w:t>
      </w:r>
      <w:r w:rsidR="00EC057E">
        <w:t>, this</w:t>
      </w:r>
      <w:r w:rsidR="00417AD0">
        <w:t xml:space="preserve"> </w:t>
      </w:r>
      <w:r w:rsidRPr="00057DB7">
        <w:t xml:space="preserve">would not be inconsistent with the agreed fact and my findings as to the Incapacity Issue – </w:t>
      </w:r>
      <w:r w:rsidR="00417F67">
        <w:t xml:space="preserve">it is uncontroversial that </w:t>
      </w:r>
      <w:r w:rsidRPr="00057DB7">
        <w:t xml:space="preserve">Mr Murphy needs </w:t>
      </w:r>
      <w:r w:rsidR="00417F67">
        <w:t xml:space="preserve">to wear </w:t>
      </w:r>
      <w:r w:rsidRPr="00057DB7">
        <w:t>Roger devices to participate fully in court proceedings (although this admission was made in the context of Mr Murphy appearing in Court, rather than participating as a litigant</w:t>
      </w:r>
      <w:r w:rsidR="00417F67">
        <w:t>)</w:t>
      </w:r>
      <w:r w:rsidR="005F7CE9" w:rsidRPr="00057DB7">
        <w:t>.</w:t>
      </w:r>
      <w:r w:rsidR="00671B91" w:rsidRPr="00057DB7">
        <w:t xml:space="preserve"> </w:t>
      </w:r>
    </w:p>
    <w:p w14:paraId="3D8728D7" w14:textId="1151D5C9" w:rsidR="005F7CE9" w:rsidRPr="00057DB7" w:rsidRDefault="00671B91" w:rsidP="00671B91">
      <w:pPr>
        <w:pStyle w:val="ParaNumbering"/>
      </w:pPr>
      <w:r w:rsidRPr="00057DB7">
        <w:t xml:space="preserve">As to </w:t>
      </w:r>
      <w:r w:rsidRPr="00057DB7">
        <w:rPr>
          <w:i/>
        </w:rPr>
        <w:t>Particulars J and K</w:t>
      </w:r>
      <w:r w:rsidRPr="00057DB7">
        <w:t xml:space="preserve">, for reasons I have explained, I do not accept that the inferences should be drawn </w:t>
      </w:r>
      <w:r w:rsidR="005F7CE9" w:rsidRPr="00057DB7">
        <w:t>that</w:t>
      </w:r>
      <w:r w:rsidRPr="00057DB7">
        <w:t xml:space="preserve"> since at least August 2019, Mr Murphy</w:t>
      </w:r>
      <w:r w:rsidR="005F7CE9" w:rsidRPr="00057DB7">
        <w:t xml:space="preserve"> has refrained from representing clients</w:t>
      </w:r>
      <w:r w:rsidR="000E6373">
        <w:t xml:space="preserve"> in court</w:t>
      </w:r>
      <w:r w:rsidR="005F7CE9" w:rsidRPr="00057DB7">
        <w:t xml:space="preserve"> b</w:t>
      </w:r>
      <w:r w:rsidRPr="00057DB7">
        <w:t xml:space="preserve">ecause of his hearing loss </w:t>
      </w:r>
      <w:r w:rsidR="002F725D">
        <w:t>or</w:t>
      </w:r>
      <w:r w:rsidRPr="00057DB7">
        <w:t xml:space="preserve"> </w:t>
      </w:r>
      <w:r w:rsidR="000E6373">
        <w:t>has been</w:t>
      </w:r>
      <w:r w:rsidRPr="00057DB7">
        <w:t xml:space="preserve"> </w:t>
      </w:r>
      <w:r w:rsidR="005F7CE9" w:rsidRPr="00057DB7">
        <w:t xml:space="preserve">unable or unwilling to </w:t>
      </w:r>
      <w:r w:rsidR="002F725D">
        <w:t xml:space="preserve">represent clients </w:t>
      </w:r>
      <w:r w:rsidR="000E6373">
        <w:t xml:space="preserve">in court </w:t>
      </w:r>
      <w:r w:rsidR="002F725D">
        <w:t>for the same reason</w:t>
      </w:r>
      <w:r w:rsidR="005F7CE9" w:rsidRPr="00057DB7">
        <w:t>.</w:t>
      </w:r>
    </w:p>
    <w:p w14:paraId="05369DEB" w14:textId="32D8601E" w:rsidR="009F2894" w:rsidRPr="00057DB7" w:rsidRDefault="009F2894" w:rsidP="009F2894">
      <w:pPr>
        <w:pStyle w:val="ParaNumbering"/>
      </w:pPr>
      <w:r w:rsidRPr="00057DB7">
        <w:lastRenderedPageBreak/>
        <w:t xml:space="preserve">Finally, </w:t>
      </w:r>
      <w:r w:rsidR="00671B91" w:rsidRPr="00057DB7">
        <w:t>I have not dealt yet directly with the issue of Mr Murphy’s age.  It will be recalled that Imputation D was that Mr Murphy as a lawyer was incapable of representing his client’s interests in court by reason of the</w:t>
      </w:r>
      <w:r w:rsidR="00671B91" w:rsidRPr="00057DB7">
        <w:rPr>
          <w:i/>
        </w:rPr>
        <w:t xml:space="preserve"> ravages of age</w:t>
      </w:r>
      <w:r w:rsidR="002F725D">
        <w:t xml:space="preserve"> and associated deafness.</w:t>
      </w:r>
      <w:r w:rsidRPr="00057DB7">
        <w:t xml:space="preserve"> The conjunc</w:t>
      </w:r>
      <w:r w:rsidR="00AA241F">
        <w:t xml:space="preserve">tion “and” is of significance. </w:t>
      </w:r>
      <w:r w:rsidR="004C06D3">
        <w:t xml:space="preserve">That is because justification of the pleaded imputation can only be </w:t>
      </w:r>
      <w:r w:rsidR="00417F67">
        <w:t>proved if the deafness element</w:t>
      </w:r>
      <w:r w:rsidR="004C06D3">
        <w:t xml:space="preserve"> is also proved, which it is not. Further, t</w:t>
      </w:r>
      <w:r w:rsidRPr="00057DB7">
        <w:t>he only attempt to p</w:t>
      </w:r>
      <w:r w:rsidR="00AA241F">
        <w:t>rove the ravages of age element</w:t>
      </w:r>
      <w:r w:rsidR="00417AD0">
        <w:t xml:space="preserve"> of the imputation </w:t>
      </w:r>
      <w:r w:rsidRPr="00057DB7">
        <w:t xml:space="preserve">was to raise Mr Murphy’s concern about attending an in-person hearing of the Mould proceeding in April 2020 (at the </w:t>
      </w:r>
      <w:r w:rsidR="00E73E47">
        <w:t xml:space="preserve">commencement of the lockdown). </w:t>
      </w:r>
      <w:r w:rsidRPr="00057DB7">
        <w:t xml:space="preserve">This does not assist </w:t>
      </w:r>
      <w:r w:rsidR="00E73E47">
        <w:t xml:space="preserve">News or Ms Sharp because I accept </w:t>
      </w:r>
      <w:r w:rsidRPr="00057DB7">
        <w:t xml:space="preserve">Mr Murphy’s evidence that he would have appeared </w:t>
      </w:r>
      <w:r w:rsidR="00417F67">
        <w:t>in</w:t>
      </w:r>
      <w:r w:rsidR="00417AD0">
        <w:t xml:space="preserve"> court if he wanted and was</w:t>
      </w:r>
      <w:r w:rsidR="00E73E47">
        <w:t xml:space="preserve"> allowed to do so: </w:t>
      </w:r>
      <w:r w:rsidRPr="00057DB7">
        <w:t>T162.28</w:t>
      </w:r>
      <w:r w:rsidR="00E73E47">
        <w:t>–</w:t>
      </w:r>
      <w:r w:rsidRPr="00057DB7">
        <w:t>3</w:t>
      </w:r>
      <w:r w:rsidR="00E73E47">
        <w:t>9.</w:t>
      </w:r>
      <w:r w:rsidRPr="00057DB7">
        <w:t xml:space="preserve"> As he correctly submits, Mr Murphy was in no different </w:t>
      </w:r>
      <w:r w:rsidR="00417F67">
        <w:t>position</w:t>
      </w:r>
      <w:r w:rsidRPr="00057DB7">
        <w:t xml:space="preserve"> to any other person in a COVID risk category – which includes a substantial number of solicitors, barristers and judges. One would not say that all such persons were “</w:t>
      </w:r>
      <w:r w:rsidRPr="00057DB7">
        <w:rPr>
          <w:iCs/>
        </w:rPr>
        <w:t>kept</w:t>
      </w:r>
      <w:r w:rsidRPr="00057DB7">
        <w:t>” from appearing in court (during part but not all of 2020) by the “</w:t>
      </w:r>
      <w:r w:rsidRPr="00057DB7">
        <w:rPr>
          <w:iCs/>
        </w:rPr>
        <w:t>ravages of age</w:t>
      </w:r>
      <w:r w:rsidRPr="00057DB7">
        <w:t>”.</w:t>
      </w:r>
    </w:p>
    <w:p w14:paraId="1B5503BC" w14:textId="74DB2C59" w:rsidR="009F2894" w:rsidRPr="00057DB7" w:rsidRDefault="009F2894" w:rsidP="009F2894">
      <w:pPr>
        <w:pStyle w:val="ParaNumbering"/>
      </w:pPr>
      <w:r w:rsidRPr="00057DB7">
        <w:t>There was some evidence as to Mr Murphy having a heart condition (described as atrial fibrillat</w:t>
      </w:r>
      <w:r w:rsidR="000E6373">
        <w:t>ion or advanced heart disease).</w:t>
      </w:r>
      <w:r w:rsidRPr="00057DB7">
        <w:t xml:space="preserve"> But the evidence is </w:t>
      </w:r>
      <w:r w:rsidR="000E6373">
        <w:t xml:space="preserve">that </w:t>
      </w:r>
      <w:r w:rsidRPr="00057DB7">
        <w:t>he has had</w:t>
      </w:r>
      <w:r w:rsidR="00417AD0">
        <w:t xml:space="preserve"> this condition since 1989 and </w:t>
      </w:r>
      <w:r w:rsidR="008E7A5B">
        <w:t>it has not kept him f</w:t>
      </w:r>
      <w:r w:rsidRPr="00057DB7">
        <w:t>r</w:t>
      </w:r>
      <w:r w:rsidR="008E7A5B">
        <w:t>o</w:t>
      </w:r>
      <w:r w:rsidRPr="00057DB7">
        <w:t>m appearing in court.</w:t>
      </w:r>
    </w:p>
    <w:p w14:paraId="277D0217" w14:textId="0F06BB5A" w:rsidR="009F2894" w:rsidRPr="00057DB7" w:rsidRDefault="00417AD0" w:rsidP="009F2894">
      <w:pPr>
        <w:pStyle w:val="ParaNumbering"/>
      </w:pPr>
      <w:r>
        <w:t>For the above reasons, t</w:t>
      </w:r>
      <w:r w:rsidR="009F2894" w:rsidRPr="00057DB7">
        <w:t xml:space="preserve">he defence </w:t>
      </w:r>
      <w:r w:rsidR="00965BE7" w:rsidRPr="00057DB7">
        <w:t>must be rejected, which requires me to turn to the issue of relief</w:t>
      </w:r>
      <w:r w:rsidR="009F2894" w:rsidRPr="00057DB7">
        <w:t xml:space="preserve">. </w:t>
      </w:r>
    </w:p>
    <w:p w14:paraId="01C5E814" w14:textId="77777777" w:rsidR="0004008F" w:rsidRPr="00423C1D" w:rsidRDefault="0004008F" w:rsidP="00423C1D">
      <w:pPr>
        <w:pStyle w:val="Heading1"/>
      </w:pPr>
      <w:bookmarkStart w:id="39" w:name="_Ref69479639"/>
      <w:r w:rsidRPr="00423C1D">
        <w:t>E</w:t>
      </w:r>
      <w:r w:rsidRPr="00423C1D">
        <w:tab/>
        <w:t>RELIEF</w:t>
      </w:r>
      <w:bookmarkEnd w:id="39"/>
    </w:p>
    <w:p w14:paraId="2064F1D4" w14:textId="77777777" w:rsidR="0004008F" w:rsidRPr="00057DB7" w:rsidRDefault="00114E03" w:rsidP="00114E03">
      <w:pPr>
        <w:pStyle w:val="Heading2"/>
        <w:rPr>
          <w:rFonts w:eastAsia="Times New Roman"/>
          <w:bCs/>
          <w:lang w:eastAsia="en-AU"/>
        </w:rPr>
      </w:pPr>
      <w:bookmarkStart w:id="40" w:name="_Ref69479640"/>
      <w:r w:rsidRPr="00057DB7">
        <w:t>E.1</w:t>
      </w:r>
      <w:r w:rsidRPr="00057DB7">
        <w:tab/>
      </w:r>
      <w:r w:rsidRPr="00057DB7">
        <w:rPr>
          <w:rFonts w:eastAsia="Times New Roman"/>
          <w:bCs/>
          <w:lang w:eastAsia="en-AU"/>
        </w:rPr>
        <w:t>Damages</w:t>
      </w:r>
      <w:bookmarkEnd w:id="40"/>
    </w:p>
    <w:p w14:paraId="5B9E0C16" w14:textId="77777777" w:rsidR="00114E03" w:rsidRPr="00057DB7" w:rsidRDefault="00114E03" w:rsidP="002276E2">
      <w:pPr>
        <w:pStyle w:val="Heading3"/>
        <w:rPr>
          <w:lang w:eastAsia="en-AU"/>
        </w:rPr>
      </w:pPr>
      <w:bookmarkStart w:id="41" w:name="_Ref69729125"/>
      <w:r w:rsidRPr="00057DB7">
        <w:rPr>
          <w:lang w:eastAsia="en-AU"/>
        </w:rPr>
        <w:t>Principles and Preliminary Observations</w:t>
      </w:r>
      <w:bookmarkEnd w:id="41"/>
      <w:r w:rsidRPr="00057DB7">
        <w:rPr>
          <w:lang w:eastAsia="en-AU"/>
        </w:rPr>
        <w:t xml:space="preserve"> </w:t>
      </w:r>
    </w:p>
    <w:p w14:paraId="59429011" w14:textId="19870BA5" w:rsidR="00114E03" w:rsidRPr="00057DB7" w:rsidRDefault="00536591" w:rsidP="00114E03">
      <w:pPr>
        <w:pStyle w:val="ParaNumbering"/>
        <w:rPr>
          <w:rFonts w:eastAsia="Times New Roman"/>
          <w:szCs w:val="24"/>
          <w:lang w:eastAsia="en-AU"/>
        </w:rPr>
      </w:pPr>
      <w:r w:rsidRPr="00057DB7">
        <w:rPr>
          <w:rFonts w:eastAsia="Times New Roman"/>
          <w:szCs w:val="24"/>
          <w:lang w:eastAsia="en-AU"/>
        </w:rPr>
        <w:t>T</w:t>
      </w:r>
      <w:r w:rsidR="00114E03" w:rsidRPr="00057DB7">
        <w:rPr>
          <w:rFonts w:eastAsia="Times New Roman"/>
          <w:szCs w:val="24"/>
          <w:lang w:eastAsia="en-AU"/>
        </w:rPr>
        <w:t>he damages</w:t>
      </w:r>
      <w:r w:rsidR="00417F67">
        <w:rPr>
          <w:rFonts w:eastAsia="Times New Roman"/>
          <w:szCs w:val="24"/>
          <w:lang w:eastAsia="en-AU"/>
        </w:rPr>
        <w:t xml:space="preserve"> sought</w:t>
      </w:r>
      <w:r w:rsidR="00114E03" w:rsidRPr="00057DB7">
        <w:rPr>
          <w:rFonts w:eastAsia="Times New Roman"/>
          <w:szCs w:val="24"/>
          <w:lang w:eastAsia="en-AU"/>
        </w:rPr>
        <w:t xml:space="preserve"> </w:t>
      </w:r>
      <w:r w:rsidRPr="00057DB7">
        <w:rPr>
          <w:rFonts w:eastAsia="Times New Roman"/>
          <w:szCs w:val="24"/>
          <w:lang w:eastAsia="en-AU"/>
        </w:rPr>
        <w:t>by Mr Murphy are</w:t>
      </w:r>
      <w:r w:rsidR="00114E03" w:rsidRPr="00057DB7">
        <w:rPr>
          <w:rFonts w:eastAsia="Times New Roman"/>
          <w:szCs w:val="24"/>
          <w:lang w:eastAsia="en-AU"/>
        </w:rPr>
        <w:t xml:space="preserve"> for non-economic loss comprising general damages (damages for injury to reputation and hurt to feelings) and, if found to be relevant, aggravated damages (damages for non-economic loss, which are said to have been increased by some illegitimate conduct of News and Ms Sharp).  </w:t>
      </w:r>
    </w:p>
    <w:p w14:paraId="699DC17A" w14:textId="29B66E34"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The relevant principles were not in dispute</w:t>
      </w:r>
      <w:r w:rsidR="009D1786" w:rsidRPr="00057DB7">
        <w:rPr>
          <w:rFonts w:eastAsia="Times New Roman"/>
          <w:szCs w:val="24"/>
          <w:lang w:eastAsia="en-AU"/>
        </w:rPr>
        <w:t>,</w:t>
      </w:r>
      <w:r w:rsidRPr="00057DB7">
        <w:rPr>
          <w:rFonts w:eastAsia="Times New Roman"/>
          <w:szCs w:val="24"/>
          <w:lang w:eastAsia="en-AU"/>
        </w:rPr>
        <w:t xml:space="preserve"> and the following explanation is taken from my recent judgment in </w:t>
      </w:r>
      <w:r w:rsidRPr="00057DB7">
        <w:rPr>
          <w:rFonts w:eastAsia="Times New Roman"/>
          <w:i/>
          <w:iCs/>
          <w:szCs w:val="24"/>
          <w:lang w:eastAsia="en-AU"/>
        </w:rPr>
        <w:t>Stead</w:t>
      </w:r>
      <w:r w:rsidR="00A76AE5">
        <w:rPr>
          <w:rFonts w:eastAsia="Times New Roman"/>
          <w:szCs w:val="24"/>
          <w:lang w:eastAsia="en-AU"/>
        </w:rPr>
        <w:t xml:space="preserve"> (at [229]</w:t>
      </w:r>
      <w:r w:rsidR="00FC790F">
        <w:rPr>
          <w:rFonts w:eastAsia="Times New Roman"/>
          <w:szCs w:val="24"/>
          <w:lang w:eastAsia="en-AU"/>
        </w:rPr>
        <w:t>–[</w:t>
      </w:r>
      <w:r w:rsidR="00A76AE5">
        <w:rPr>
          <w:rFonts w:eastAsia="Times New Roman"/>
          <w:szCs w:val="24"/>
          <w:lang w:eastAsia="en-AU"/>
        </w:rPr>
        <w:t>230] and [238]).</w:t>
      </w:r>
    </w:p>
    <w:p w14:paraId="64145556" w14:textId="77777777"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 xml:space="preserve">The award of damages is governed by the provisions of Pt 4 </w:t>
      </w:r>
      <w:proofErr w:type="spellStart"/>
      <w:r w:rsidRPr="00057DB7">
        <w:rPr>
          <w:rFonts w:eastAsia="Times New Roman"/>
          <w:szCs w:val="24"/>
          <w:lang w:eastAsia="en-AU"/>
        </w:rPr>
        <w:t>Div</w:t>
      </w:r>
      <w:proofErr w:type="spellEnd"/>
      <w:r w:rsidRPr="00057DB7">
        <w:rPr>
          <w:rFonts w:eastAsia="Times New Roman"/>
          <w:szCs w:val="24"/>
          <w:lang w:eastAsia="en-AU"/>
        </w:rPr>
        <w:t xml:space="preserve"> 3 of the Act. By s 34 of the Act, the Court is required “to ensure that there is an appropriate and rational relationship” between the harm sustained and the amount of damages awarded. Further, by reason of the operation of s 35(1) of the Act and by declaration of the Minister pursuant to s 35(3), the </w:t>
      </w:r>
      <w:r w:rsidRPr="00057DB7">
        <w:rPr>
          <w:rFonts w:eastAsia="Times New Roman"/>
          <w:szCs w:val="24"/>
          <w:lang w:eastAsia="en-AU"/>
        </w:rPr>
        <w:lastRenderedPageBreak/>
        <w:t xml:space="preserve">maximum amount of damages for non-economic loss that may be awarded – the so-called “cap” – is currently $421,000. This cap may only be exceeded if the Court is satisfied that the circumstances of the publication of the defamatory matter are such as to warrant an award of aggravated damages: s 35(2). </w:t>
      </w:r>
    </w:p>
    <w:p w14:paraId="7B1AB348" w14:textId="77777777"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 xml:space="preserve">In considering this appropriate and rational relationship, it is necessary to bear in mind that reputation is not a commodity having a market value and because the available remedy is damages, courts can and must have regard to what is allowed as damages for other kinds of non-economic injury: see </w:t>
      </w:r>
      <w:r w:rsidRPr="00057DB7">
        <w:rPr>
          <w:rFonts w:eastAsia="Times New Roman"/>
          <w:i/>
          <w:iCs/>
          <w:szCs w:val="24"/>
          <w:lang w:eastAsia="en-AU"/>
        </w:rPr>
        <w:t xml:space="preserve">Rogers v Nationwide News Pty </w:t>
      </w:r>
      <w:r w:rsidRPr="00FC790F">
        <w:rPr>
          <w:rFonts w:eastAsia="Times New Roman"/>
          <w:i/>
          <w:szCs w:val="24"/>
          <w:lang w:eastAsia="en-AU"/>
        </w:rPr>
        <w:t>Ltd</w:t>
      </w:r>
      <w:r w:rsidRPr="00057DB7">
        <w:rPr>
          <w:rFonts w:eastAsia="Times New Roman"/>
          <w:szCs w:val="24"/>
          <w:lang w:eastAsia="en-AU"/>
        </w:rPr>
        <w:t xml:space="preserve"> [2003] HCA 522; (2003) 216 CLR 327 (at 349–51 [66]–[70] per Hayne J). Because the only measure or yardstick against which the required relationship may be measured are decisions placing a value by way of an award of damages to harm to reputation (and awards of damages for other forms of non-economic loss occasioned by other types of wrongs), there is a need to have some regard to “</w:t>
      </w:r>
      <w:proofErr w:type="spellStart"/>
      <w:r w:rsidRPr="00057DB7">
        <w:rPr>
          <w:rFonts w:eastAsia="Times New Roman"/>
          <w:szCs w:val="24"/>
          <w:lang w:eastAsia="en-AU"/>
        </w:rPr>
        <w:t>comparables</w:t>
      </w:r>
      <w:proofErr w:type="spellEnd"/>
      <w:r w:rsidRPr="00057DB7">
        <w:rPr>
          <w:rFonts w:eastAsia="Times New Roman"/>
          <w:szCs w:val="24"/>
          <w:lang w:eastAsia="en-AU"/>
        </w:rPr>
        <w:t xml:space="preserve">”. This not only allows the Court to fix upon a sum which reflects the necessary statutory relationship, but serves the allied purpose of providing some consistency in damages between closely comparable cases. </w:t>
      </w:r>
    </w:p>
    <w:p w14:paraId="4A5CD8B4" w14:textId="7106EF4B" w:rsidR="00114E03" w:rsidRPr="00057DB7" w:rsidRDefault="00114E03" w:rsidP="009D1786">
      <w:pPr>
        <w:pStyle w:val="ParaNumbering"/>
        <w:rPr>
          <w:rFonts w:eastAsia="Times New Roman"/>
          <w:szCs w:val="24"/>
          <w:lang w:eastAsia="en-AU"/>
        </w:rPr>
      </w:pPr>
      <w:r w:rsidRPr="00057DB7">
        <w:rPr>
          <w:rFonts w:eastAsia="Times New Roman"/>
          <w:szCs w:val="24"/>
          <w:lang w:eastAsia="en-AU"/>
        </w:rPr>
        <w:t xml:space="preserve">The three purposes of an award are: (a) consolation for the personal distress and hurt caused by the publication; (b) reparation for the harm done to the person’s reputation; and (3) vindication of reputation. The assessment is an intuitive, evaluative process “at large”, but </w:t>
      </w:r>
      <w:r w:rsidR="00417F67">
        <w:rPr>
          <w:rFonts w:eastAsia="Times New Roman"/>
          <w:szCs w:val="24"/>
          <w:lang w:eastAsia="en-AU"/>
        </w:rPr>
        <w:t xml:space="preserve">is </w:t>
      </w:r>
      <w:r w:rsidRPr="00057DB7">
        <w:rPr>
          <w:rFonts w:eastAsia="Times New Roman"/>
          <w:szCs w:val="24"/>
          <w:lang w:eastAsia="en-AU"/>
        </w:rPr>
        <w:t xml:space="preserve">subject to the provisions of Pt 4 </w:t>
      </w:r>
      <w:proofErr w:type="spellStart"/>
      <w:r w:rsidRPr="00057DB7">
        <w:rPr>
          <w:rFonts w:eastAsia="Times New Roman"/>
          <w:szCs w:val="24"/>
          <w:lang w:eastAsia="en-AU"/>
        </w:rPr>
        <w:t>Div</w:t>
      </w:r>
      <w:proofErr w:type="spellEnd"/>
      <w:r w:rsidRPr="00057DB7">
        <w:rPr>
          <w:rFonts w:eastAsia="Times New Roman"/>
          <w:szCs w:val="24"/>
          <w:lang w:eastAsia="en-AU"/>
        </w:rPr>
        <w:t xml:space="preserve"> 3 of the Act.</w:t>
      </w:r>
      <w:r w:rsidR="009D1786" w:rsidRPr="00057DB7">
        <w:rPr>
          <w:rFonts w:eastAsia="Times New Roman"/>
          <w:szCs w:val="24"/>
          <w:lang w:eastAsia="en-AU"/>
        </w:rPr>
        <w:t xml:space="preserve"> </w:t>
      </w:r>
    </w:p>
    <w:p w14:paraId="66F23B7E" w14:textId="1CC2B74E"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 xml:space="preserve">I will deal with the evidence </w:t>
      </w:r>
      <w:r w:rsidR="00536591" w:rsidRPr="00057DB7">
        <w:rPr>
          <w:rFonts w:eastAsia="Times New Roman"/>
          <w:szCs w:val="24"/>
          <w:lang w:eastAsia="en-AU"/>
        </w:rPr>
        <w:t xml:space="preserve">and my findings </w:t>
      </w:r>
      <w:r w:rsidR="00417F67">
        <w:rPr>
          <w:rFonts w:eastAsia="Times New Roman"/>
          <w:szCs w:val="24"/>
          <w:lang w:eastAsia="en-AU"/>
        </w:rPr>
        <w:t>relevant to general damages</w:t>
      </w:r>
      <w:r w:rsidRPr="00057DB7">
        <w:rPr>
          <w:rFonts w:eastAsia="Times New Roman"/>
          <w:szCs w:val="24"/>
          <w:lang w:eastAsia="en-AU"/>
        </w:rPr>
        <w:t xml:space="preserve"> under the following headings: (a) hurt to feelings; (b) Mr Murphy’s reputation; (c) the nature and gravity of Imputation D; and (d) the extent of publication.</w:t>
      </w:r>
    </w:p>
    <w:p w14:paraId="75E14343" w14:textId="77777777" w:rsidR="0004008F" w:rsidRPr="00057DB7" w:rsidRDefault="00114E03" w:rsidP="00114E03">
      <w:pPr>
        <w:pStyle w:val="Heading3"/>
      </w:pPr>
      <w:bookmarkStart w:id="42" w:name="_Ref69479641"/>
      <w:r w:rsidRPr="00057DB7">
        <w:t>Findings</w:t>
      </w:r>
      <w:r w:rsidRPr="00057DB7">
        <w:rPr>
          <w:rFonts w:eastAsia="Times New Roman"/>
          <w:bCs/>
          <w:iCs/>
          <w:szCs w:val="24"/>
          <w:lang w:eastAsia="en-AU"/>
        </w:rPr>
        <w:t xml:space="preserve"> Relevant to General Damages</w:t>
      </w:r>
      <w:bookmarkEnd w:id="42"/>
    </w:p>
    <w:p w14:paraId="5DDE5028" w14:textId="77777777" w:rsidR="005B38A5" w:rsidRPr="00057DB7" w:rsidRDefault="00114E03" w:rsidP="002A17C2">
      <w:pPr>
        <w:pStyle w:val="Heading4"/>
        <w:rPr>
          <w:lang w:eastAsia="en-AU"/>
        </w:rPr>
      </w:pPr>
      <w:bookmarkStart w:id="43" w:name="_Ref69485113"/>
      <w:r w:rsidRPr="00057DB7">
        <w:rPr>
          <w:lang w:eastAsia="en-AU"/>
        </w:rPr>
        <w:t>Hurt to Feelings</w:t>
      </w:r>
      <w:bookmarkEnd w:id="43"/>
      <w:r w:rsidRPr="00057DB7">
        <w:rPr>
          <w:lang w:eastAsia="en-AU"/>
        </w:rPr>
        <w:t xml:space="preserve"> </w:t>
      </w:r>
      <w:bookmarkStart w:id="44" w:name="Heading644"/>
      <w:bookmarkStart w:id="45" w:name="Heading645"/>
      <w:bookmarkEnd w:id="44"/>
      <w:bookmarkEnd w:id="45"/>
    </w:p>
    <w:p w14:paraId="34B6013F" w14:textId="77777777" w:rsidR="00957F49" w:rsidRPr="00057DB7" w:rsidRDefault="00957F49" w:rsidP="00A80539">
      <w:pPr>
        <w:pStyle w:val="ParaNumbering"/>
        <w:rPr>
          <w:rFonts w:eastAsia="Times New Roman"/>
          <w:szCs w:val="24"/>
          <w:lang w:eastAsia="en-AU"/>
        </w:rPr>
      </w:pPr>
      <w:r w:rsidRPr="00057DB7">
        <w:rPr>
          <w:rFonts w:eastAsia="Times New Roman"/>
          <w:szCs w:val="24"/>
          <w:lang w:eastAsia="en-AU"/>
        </w:rPr>
        <w:t xml:space="preserve">Mr Murphy is </w:t>
      </w:r>
      <w:r w:rsidR="00A80539" w:rsidRPr="00057DB7">
        <w:rPr>
          <w:rFonts w:eastAsia="Times New Roman"/>
          <w:szCs w:val="24"/>
          <w:lang w:eastAsia="en-AU"/>
        </w:rPr>
        <w:t>a 72 year old solicitor, who has been practicing for 49 years</w:t>
      </w:r>
      <w:r w:rsidRPr="00057DB7">
        <w:rPr>
          <w:rFonts w:eastAsia="Times New Roman"/>
          <w:szCs w:val="24"/>
          <w:lang w:eastAsia="en-AU"/>
        </w:rPr>
        <w:t xml:space="preserve">.  He </w:t>
      </w:r>
      <w:r w:rsidR="00A80539" w:rsidRPr="00057DB7">
        <w:rPr>
          <w:rFonts w:eastAsia="Times New Roman"/>
          <w:szCs w:val="24"/>
          <w:lang w:eastAsia="en-AU"/>
        </w:rPr>
        <w:t xml:space="preserve">is </w:t>
      </w:r>
      <w:r w:rsidRPr="00057DB7">
        <w:rPr>
          <w:rFonts w:eastAsia="Times New Roman"/>
          <w:szCs w:val="24"/>
          <w:lang w:eastAsia="en-AU"/>
        </w:rPr>
        <w:t xml:space="preserve">not a man wracked by self-doubt or vexed by a lack of confidence in his ability as a lawyer.  </w:t>
      </w:r>
    </w:p>
    <w:p w14:paraId="455AAB3F" w14:textId="2406F1FD" w:rsidR="00A80539" w:rsidRPr="00057DB7" w:rsidRDefault="00536591" w:rsidP="00A80539">
      <w:pPr>
        <w:pStyle w:val="ParaNumbering"/>
        <w:rPr>
          <w:rFonts w:eastAsia="Times New Roman"/>
          <w:szCs w:val="24"/>
          <w:lang w:eastAsia="en-AU"/>
        </w:rPr>
      </w:pPr>
      <w:r w:rsidRPr="00057DB7">
        <w:rPr>
          <w:rFonts w:eastAsia="Times New Roman"/>
          <w:szCs w:val="24"/>
          <w:lang w:eastAsia="en-AU"/>
        </w:rPr>
        <w:t>He gave evidence that w</w:t>
      </w:r>
      <w:r w:rsidR="00A80539" w:rsidRPr="00057DB7">
        <w:rPr>
          <w:rFonts w:eastAsia="Times New Roman"/>
          <w:szCs w:val="24"/>
          <w:lang w:eastAsia="en-AU"/>
        </w:rPr>
        <w:t xml:space="preserve">hen he was informed about the </w:t>
      </w:r>
      <w:r w:rsidR="00957F49" w:rsidRPr="00057DB7">
        <w:rPr>
          <w:rFonts w:eastAsia="Times New Roman"/>
          <w:szCs w:val="24"/>
          <w:lang w:eastAsia="en-AU"/>
        </w:rPr>
        <w:t>article</w:t>
      </w:r>
      <w:r w:rsidR="00A80539" w:rsidRPr="00057DB7">
        <w:rPr>
          <w:rFonts w:eastAsia="Times New Roman"/>
          <w:szCs w:val="24"/>
          <w:lang w:eastAsia="en-AU"/>
        </w:rPr>
        <w:t xml:space="preserve">, he was immediately shocked and he is still </w:t>
      </w:r>
      <w:r w:rsidR="007145B8" w:rsidRPr="00057DB7">
        <w:rPr>
          <w:rFonts w:eastAsia="Times New Roman"/>
          <w:szCs w:val="24"/>
          <w:lang w:eastAsia="en-AU"/>
        </w:rPr>
        <w:t>upset</w:t>
      </w:r>
      <w:r w:rsidR="00A80539" w:rsidRPr="00057DB7">
        <w:rPr>
          <w:rFonts w:eastAsia="Times New Roman"/>
          <w:szCs w:val="24"/>
          <w:lang w:eastAsia="en-AU"/>
        </w:rPr>
        <w:t xml:space="preserve"> at the untruths published about him </w:t>
      </w:r>
      <w:r w:rsidR="00A76AE5">
        <w:rPr>
          <w:rFonts w:eastAsia="Times New Roman"/>
          <w:szCs w:val="24"/>
          <w:lang w:eastAsia="en-AU"/>
        </w:rPr>
        <w:t>–</w:t>
      </w:r>
      <w:r w:rsidR="00A80539" w:rsidRPr="00057DB7">
        <w:rPr>
          <w:rFonts w:eastAsia="Times New Roman"/>
          <w:szCs w:val="24"/>
          <w:lang w:eastAsia="en-AU"/>
        </w:rPr>
        <w:t xml:space="preserve"> including in the </w:t>
      </w:r>
      <w:r w:rsidRPr="00057DB7">
        <w:rPr>
          <w:rFonts w:eastAsia="Times New Roman"/>
          <w:szCs w:val="24"/>
          <w:lang w:eastAsia="en-AU"/>
        </w:rPr>
        <w:t>internet article</w:t>
      </w:r>
      <w:r w:rsidR="00A76AE5">
        <w:rPr>
          <w:rFonts w:eastAsia="Times New Roman"/>
          <w:szCs w:val="24"/>
          <w:lang w:eastAsia="en-AU"/>
        </w:rPr>
        <w:t xml:space="preserve"> (which remains online): </w:t>
      </w:r>
      <w:r w:rsidR="00A80539" w:rsidRPr="00057DB7">
        <w:rPr>
          <w:rFonts w:eastAsia="Times New Roman"/>
          <w:szCs w:val="24"/>
          <w:lang w:eastAsia="en-AU"/>
        </w:rPr>
        <w:t xml:space="preserve">Murphy 1 </w:t>
      </w:r>
      <w:r w:rsidR="00A76AE5">
        <w:rPr>
          <w:rFonts w:eastAsia="Times New Roman"/>
          <w:szCs w:val="24"/>
          <w:lang w:eastAsia="en-AU"/>
        </w:rPr>
        <w:t xml:space="preserve">(at </w:t>
      </w:r>
      <w:r w:rsidR="00A80539" w:rsidRPr="00057DB7">
        <w:rPr>
          <w:rFonts w:eastAsia="Times New Roman"/>
          <w:szCs w:val="24"/>
          <w:lang w:eastAsia="en-AU"/>
        </w:rPr>
        <w:t xml:space="preserve">[25]).  The fact that the </w:t>
      </w:r>
      <w:r w:rsidRPr="00057DB7">
        <w:rPr>
          <w:rFonts w:eastAsia="Times New Roman"/>
          <w:szCs w:val="24"/>
          <w:lang w:eastAsia="en-AU"/>
        </w:rPr>
        <w:t xml:space="preserve">internet article </w:t>
      </w:r>
      <w:r w:rsidR="00A80539" w:rsidRPr="00057DB7">
        <w:rPr>
          <w:rFonts w:eastAsia="Times New Roman"/>
          <w:szCs w:val="24"/>
          <w:lang w:eastAsia="en-AU"/>
        </w:rPr>
        <w:t>remain</w:t>
      </w:r>
      <w:r w:rsidRPr="00057DB7">
        <w:rPr>
          <w:rFonts w:eastAsia="Times New Roman"/>
          <w:szCs w:val="24"/>
          <w:lang w:eastAsia="en-AU"/>
        </w:rPr>
        <w:t>s</w:t>
      </w:r>
      <w:r w:rsidR="00A80539" w:rsidRPr="00057DB7">
        <w:rPr>
          <w:rFonts w:eastAsia="Times New Roman"/>
          <w:szCs w:val="24"/>
          <w:lang w:eastAsia="en-AU"/>
        </w:rPr>
        <w:t xml:space="preserve"> online makes Mr Murphy feel like he </w:t>
      </w:r>
      <w:r w:rsidRPr="00057DB7">
        <w:rPr>
          <w:rFonts w:eastAsia="Times New Roman"/>
          <w:szCs w:val="24"/>
          <w:lang w:eastAsia="en-AU"/>
        </w:rPr>
        <w:t>is “</w:t>
      </w:r>
      <w:r w:rsidR="00A80539" w:rsidRPr="00057DB7">
        <w:rPr>
          <w:rFonts w:eastAsia="Times New Roman"/>
          <w:szCs w:val="24"/>
          <w:lang w:eastAsia="en-AU"/>
        </w:rPr>
        <w:t>drowning in lies</w:t>
      </w:r>
      <w:r w:rsidRPr="00057DB7">
        <w:rPr>
          <w:rFonts w:eastAsia="Times New Roman"/>
          <w:szCs w:val="24"/>
          <w:lang w:eastAsia="en-AU"/>
        </w:rPr>
        <w:t>”</w:t>
      </w:r>
      <w:r w:rsidR="00A76AE5">
        <w:rPr>
          <w:rFonts w:eastAsia="Times New Roman"/>
          <w:szCs w:val="24"/>
          <w:lang w:eastAsia="en-AU"/>
        </w:rPr>
        <w:t>: T</w:t>
      </w:r>
      <w:r w:rsidR="00A80539" w:rsidRPr="00057DB7">
        <w:rPr>
          <w:rFonts w:eastAsia="Times New Roman"/>
          <w:szCs w:val="24"/>
          <w:lang w:eastAsia="en-AU"/>
        </w:rPr>
        <w:t>75.18</w:t>
      </w:r>
      <w:r w:rsidR="00A76AE5">
        <w:rPr>
          <w:rFonts w:eastAsia="Times New Roman"/>
          <w:szCs w:val="24"/>
          <w:lang w:eastAsia="en-AU"/>
        </w:rPr>
        <w:t>–</w:t>
      </w:r>
      <w:r w:rsidR="00A80539" w:rsidRPr="00057DB7">
        <w:rPr>
          <w:rFonts w:eastAsia="Times New Roman"/>
          <w:szCs w:val="24"/>
          <w:lang w:eastAsia="en-AU"/>
        </w:rPr>
        <w:t>2</w:t>
      </w:r>
      <w:r w:rsidR="00A76AE5">
        <w:rPr>
          <w:rFonts w:eastAsia="Times New Roman"/>
          <w:szCs w:val="24"/>
          <w:lang w:eastAsia="en-AU"/>
        </w:rPr>
        <w:t>0</w:t>
      </w:r>
      <w:r w:rsidR="00A80539" w:rsidRPr="00057DB7">
        <w:rPr>
          <w:rFonts w:eastAsia="Times New Roman"/>
          <w:szCs w:val="24"/>
          <w:lang w:eastAsia="en-AU"/>
        </w:rPr>
        <w:t>.</w:t>
      </w:r>
    </w:p>
    <w:p w14:paraId="4268762A" w14:textId="3437157B" w:rsidR="00A80539" w:rsidRPr="00057DB7" w:rsidRDefault="00A80539" w:rsidP="00A80539">
      <w:pPr>
        <w:pStyle w:val="ParaNumbering"/>
        <w:rPr>
          <w:rFonts w:eastAsia="Times New Roman"/>
          <w:szCs w:val="24"/>
          <w:lang w:eastAsia="en-AU"/>
        </w:rPr>
      </w:pPr>
      <w:r w:rsidRPr="00057DB7">
        <w:rPr>
          <w:rFonts w:eastAsia="Times New Roman"/>
          <w:szCs w:val="24"/>
          <w:lang w:eastAsia="en-AU"/>
        </w:rPr>
        <w:lastRenderedPageBreak/>
        <w:t xml:space="preserve">He </w:t>
      </w:r>
      <w:r w:rsidR="00536591" w:rsidRPr="00057DB7">
        <w:rPr>
          <w:rFonts w:eastAsia="Times New Roman"/>
          <w:szCs w:val="24"/>
          <w:lang w:eastAsia="en-AU"/>
        </w:rPr>
        <w:t>gave evidence</w:t>
      </w:r>
      <w:r w:rsidR="00A76AE5">
        <w:rPr>
          <w:rFonts w:eastAsia="Times New Roman"/>
          <w:szCs w:val="24"/>
          <w:lang w:eastAsia="en-AU"/>
        </w:rPr>
        <w:t xml:space="preserve"> that he</w:t>
      </w:r>
      <w:r w:rsidR="00536591" w:rsidRPr="00057DB7">
        <w:rPr>
          <w:rFonts w:eastAsia="Times New Roman"/>
          <w:szCs w:val="24"/>
          <w:lang w:eastAsia="en-AU"/>
        </w:rPr>
        <w:t xml:space="preserve"> </w:t>
      </w:r>
      <w:r w:rsidRPr="00057DB7">
        <w:rPr>
          <w:rFonts w:eastAsia="Times New Roman"/>
          <w:szCs w:val="24"/>
          <w:lang w:eastAsia="en-AU"/>
        </w:rPr>
        <w:t xml:space="preserve">fears that his </w:t>
      </w:r>
      <w:r w:rsidR="00536591" w:rsidRPr="00057DB7">
        <w:rPr>
          <w:rFonts w:eastAsia="Times New Roman"/>
          <w:szCs w:val="24"/>
          <w:lang w:eastAsia="en-AU"/>
        </w:rPr>
        <w:t>position</w:t>
      </w:r>
      <w:r w:rsidRPr="00057DB7">
        <w:rPr>
          <w:rFonts w:eastAsia="Times New Roman"/>
          <w:szCs w:val="24"/>
          <w:lang w:eastAsia="en-AU"/>
        </w:rPr>
        <w:t xml:space="preserve"> in the legal profession has been destroyed by </w:t>
      </w:r>
      <w:r w:rsidR="00536591" w:rsidRPr="00057DB7">
        <w:rPr>
          <w:rFonts w:eastAsia="Times New Roman"/>
          <w:szCs w:val="24"/>
          <w:lang w:eastAsia="en-AU"/>
        </w:rPr>
        <w:t>an</w:t>
      </w:r>
      <w:r w:rsidRPr="00057DB7">
        <w:rPr>
          <w:rFonts w:eastAsia="Times New Roman"/>
          <w:szCs w:val="24"/>
          <w:lang w:eastAsia="en-AU"/>
        </w:rPr>
        <w:t xml:space="preserve"> article </w:t>
      </w:r>
      <w:r w:rsidR="00536591" w:rsidRPr="00057DB7">
        <w:rPr>
          <w:rFonts w:eastAsia="Times New Roman"/>
          <w:szCs w:val="24"/>
          <w:lang w:eastAsia="en-AU"/>
        </w:rPr>
        <w:t xml:space="preserve">that </w:t>
      </w:r>
      <w:r w:rsidRPr="00057DB7">
        <w:rPr>
          <w:rFonts w:eastAsia="Times New Roman"/>
          <w:szCs w:val="24"/>
          <w:lang w:eastAsia="en-AU"/>
        </w:rPr>
        <w:t xml:space="preserve">described </w:t>
      </w:r>
      <w:r w:rsidR="00027C29" w:rsidRPr="00057DB7">
        <w:rPr>
          <w:rFonts w:eastAsia="Times New Roman"/>
          <w:szCs w:val="24"/>
          <w:lang w:eastAsia="en-AU"/>
        </w:rPr>
        <w:t>“a person who was not who I am”</w:t>
      </w:r>
      <w:r w:rsidR="00A76AE5">
        <w:rPr>
          <w:rFonts w:eastAsia="Times New Roman"/>
          <w:szCs w:val="24"/>
          <w:lang w:eastAsia="en-AU"/>
        </w:rPr>
        <w:t>: Murphy 1 (at [32]).</w:t>
      </w:r>
      <w:r w:rsidRPr="00057DB7">
        <w:rPr>
          <w:rFonts w:eastAsia="Times New Roman"/>
          <w:szCs w:val="24"/>
          <w:lang w:eastAsia="en-AU"/>
        </w:rPr>
        <w:t xml:space="preserve"> </w:t>
      </w:r>
      <w:r w:rsidR="00536591" w:rsidRPr="00057DB7">
        <w:rPr>
          <w:rFonts w:eastAsia="Times New Roman"/>
          <w:szCs w:val="24"/>
          <w:lang w:eastAsia="en-AU"/>
        </w:rPr>
        <w:t xml:space="preserve">Particular emphasis was placed on his evidence that nothing had upset </w:t>
      </w:r>
      <w:r w:rsidR="00417F67">
        <w:rPr>
          <w:rFonts w:eastAsia="Times New Roman"/>
          <w:szCs w:val="24"/>
          <w:lang w:eastAsia="en-AU"/>
        </w:rPr>
        <w:t>him</w:t>
      </w:r>
      <w:r w:rsidR="00C15694">
        <w:rPr>
          <w:rFonts w:eastAsia="Times New Roman"/>
          <w:szCs w:val="24"/>
          <w:lang w:eastAsia="en-AU"/>
        </w:rPr>
        <w:t xml:space="preserve"> more in his legal career: </w:t>
      </w:r>
      <w:r w:rsidR="00536591" w:rsidRPr="00057DB7">
        <w:rPr>
          <w:lang w:eastAsia="en-AU"/>
        </w:rPr>
        <w:t xml:space="preserve">Murphy 1 </w:t>
      </w:r>
      <w:r w:rsidR="00A76AE5">
        <w:rPr>
          <w:lang w:eastAsia="en-AU"/>
        </w:rPr>
        <w:t xml:space="preserve">(at </w:t>
      </w:r>
      <w:r w:rsidR="00536591" w:rsidRPr="00057DB7">
        <w:rPr>
          <w:lang w:eastAsia="en-AU"/>
        </w:rPr>
        <w:t>[4</w:t>
      </w:r>
      <w:r w:rsidR="00607260">
        <w:rPr>
          <w:lang w:eastAsia="en-AU"/>
        </w:rPr>
        <w:t>1]). He stated (</w:t>
      </w:r>
      <w:r w:rsidR="00417F67">
        <w:rPr>
          <w:lang w:eastAsia="en-AU"/>
        </w:rPr>
        <w:t>Murphy 1 (</w:t>
      </w:r>
      <w:r w:rsidR="00607260">
        <w:rPr>
          <w:lang w:eastAsia="en-AU"/>
        </w:rPr>
        <w:t>at [32]</w:t>
      </w:r>
      <w:r w:rsidR="00A63EAB">
        <w:rPr>
          <w:lang w:eastAsia="en-AU"/>
        </w:rPr>
        <w:t>)</w:t>
      </w:r>
      <w:r w:rsidR="00607260">
        <w:rPr>
          <w:lang w:eastAsia="en-AU"/>
        </w:rPr>
        <w:t>) that</w:t>
      </w:r>
      <w:r w:rsidRPr="00057DB7">
        <w:rPr>
          <w:rFonts w:eastAsia="Times New Roman"/>
          <w:szCs w:val="24"/>
          <w:lang w:eastAsia="en-AU"/>
        </w:rPr>
        <w:t>:</w:t>
      </w:r>
    </w:p>
    <w:p w14:paraId="51D6E707" w14:textId="1D7FAA78" w:rsidR="00607260" w:rsidRDefault="007C28A7" w:rsidP="00607260">
      <w:pPr>
        <w:pStyle w:val="Quote1"/>
        <w:rPr>
          <w:b/>
          <w:lang w:eastAsia="en-AU"/>
        </w:rPr>
      </w:pPr>
      <w:r w:rsidRPr="00057DB7">
        <w:rPr>
          <w:lang w:eastAsia="en-AU"/>
        </w:rPr>
        <w:t xml:space="preserve">I am not easily perturbed. I have lived with the emotions of clients and their families since 1970 and tried to calm and console the suffering they endured. However, </w:t>
      </w:r>
      <w:r w:rsidRPr="00057DB7">
        <w:rPr>
          <w:b/>
          <w:lang w:eastAsia="en-AU"/>
        </w:rPr>
        <w:t>this article hit an emotional vulnerability in an area where I could not conceive of such a blow occurring. It has caused me continuing sleeplessness and stress and still does. I had always thought my childhood inoculated me to endure the behaviour of others but for once I apply the w</w:t>
      </w:r>
      <w:r w:rsidR="00607260">
        <w:rPr>
          <w:b/>
          <w:lang w:eastAsia="en-AU"/>
        </w:rPr>
        <w:t xml:space="preserve">ord “traumatised” </w:t>
      </w:r>
      <w:r w:rsidR="00B01028">
        <w:rPr>
          <w:b/>
          <w:lang w:eastAsia="en-AU"/>
        </w:rPr>
        <w:t>to the impact this article had.</w:t>
      </w:r>
    </w:p>
    <w:p w14:paraId="7E410D08" w14:textId="2CE09A8F" w:rsidR="00607260" w:rsidRPr="00057DB7" w:rsidRDefault="00607260" w:rsidP="00607260">
      <w:pPr>
        <w:pStyle w:val="Quote1"/>
        <w:rPr>
          <w:lang w:eastAsia="en-AU"/>
        </w:rPr>
      </w:pPr>
      <w:r>
        <w:rPr>
          <w:lang w:eastAsia="en-AU"/>
        </w:rPr>
        <w:t>(Mr Murphy’s emphasis).</w:t>
      </w:r>
    </w:p>
    <w:p w14:paraId="154C8BC4" w14:textId="12EF857A" w:rsidR="00A80539" w:rsidRPr="00057DB7" w:rsidRDefault="00536591" w:rsidP="00DB5F5C">
      <w:pPr>
        <w:pStyle w:val="ParaNumbering"/>
        <w:rPr>
          <w:rFonts w:eastAsia="Times New Roman"/>
          <w:szCs w:val="24"/>
          <w:lang w:eastAsia="en-AU"/>
        </w:rPr>
      </w:pPr>
      <w:r w:rsidRPr="00057DB7">
        <w:rPr>
          <w:rFonts w:eastAsia="Times New Roman"/>
          <w:szCs w:val="24"/>
          <w:lang w:eastAsia="en-AU"/>
        </w:rPr>
        <w:t xml:space="preserve">Mr Murphy further </w:t>
      </w:r>
      <w:r w:rsidR="00943EDE">
        <w:rPr>
          <w:rFonts w:eastAsia="Times New Roman"/>
          <w:szCs w:val="24"/>
          <w:lang w:eastAsia="en-AU"/>
        </w:rPr>
        <w:t xml:space="preserve">said that </w:t>
      </w:r>
      <w:r w:rsidR="00A80539" w:rsidRPr="00057DB7">
        <w:rPr>
          <w:rFonts w:eastAsia="Times New Roman"/>
          <w:szCs w:val="24"/>
          <w:lang w:eastAsia="en-AU"/>
        </w:rPr>
        <w:t xml:space="preserve">as a </w:t>
      </w:r>
      <w:r w:rsidR="00943EDE">
        <w:rPr>
          <w:rFonts w:eastAsia="Times New Roman"/>
          <w:szCs w:val="24"/>
          <w:lang w:eastAsia="en-AU"/>
        </w:rPr>
        <w:t>boy he had grown</w:t>
      </w:r>
      <w:r w:rsidR="00A80539" w:rsidRPr="00057DB7">
        <w:rPr>
          <w:rFonts w:eastAsia="Times New Roman"/>
          <w:szCs w:val="24"/>
          <w:lang w:eastAsia="en-AU"/>
        </w:rPr>
        <w:t xml:space="preserve"> up with disabled family members, </w:t>
      </w:r>
      <w:r w:rsidR="00943EDE">
        <w:rPr>
          <w:rFonts w:eastAsia="Times New Roman"/>
          <w:szCs w:val="24"/>
          <w:lang w:eastAsia="en-AU"/>
        </w:rPr>
        <w:t xml:space="preserve">and </w:t>
      </w:r>
      <w:r w:rsidR="00A80539" w:rsidRPr="00057DB7">
        <w:rPr>
          <w:rFonts w:eastAsia="Times New Roman"/>
          <w:szCs w:val="24"/>
          <w:lang w:eastAsia="en-AU"/>
        </w:rPr>
        <w:t>th</w:t>
      </w:r>
      <w:r w:rsidR="00943EDE">
        <w:rPr>
          <w:rFonts w:eastAsia="Times New Roman"/>
          <w:szCs w:val="24"/>
          <w:lang w:eastAsia="en-AU"/>
        </w:rPr>
        <w:t>e fact</w:t>
      </w:r>
      <w:r w:rsidR="00A80539" w:rsidRPr="00057DB7">
        <w:rPr>
          <w:rFonts w:eastAsia="Times New Roman"/>
          <w:szCs w:val="24"/>
          <w:lang w:eastAsia="en-AU"/>
        </w:rPr>
        <w:t xml:space="preserve"> someone had selected his deafness as </w:t>
      </w:r>
      <w:r w:rsidR="00DB5F5C" w:rsidRPr="00057DB7">
        <w:rPr>
          <w:rFonts w:eastAsia="Times New Roman"/>
          <w:szCs w:val="24"/>
          <w:lang w:eastAsia="en-AU"/>
        </w:rPr>
        <w:t>“</w:t>
      </w:r>
      <w:r w:rsidR="00A80539" w:rsidRPr="00057DB7">
        <w:rPr>
          <w:rFonts w:eastAsia="Times New Roman"/>
          <w:szCs w:val="24"/>
          <w:lang w:eastAsia="en-AU"/>
        </w:rPr>
        <w:t>an axe for [his] career</w:t>
      </w:r>
      <w:r w:rsidR="00DB5F5C" w:rsidRPr="00057DB7">
        <w:rPr>
          <w:rFonts w:eastAsia="Times New Roman"/>
          <w:szCs w:val="24"/>
          <w:lang w:eastAsia="en-AU"/>
        </w:rPr>
        <w:t>”</w:t>
      </w:r>
      <w:r w:rsidR="00D12495">
        <w:rPr>
          <w:rFonts w:eastAsia="Times New Roman"/>
          <w:szCs w:val="24"/>
          <w:lang w:eastAsia="en-AU"/>
        </w:rPr>
        <w:t xml:space="preserve"> was </w:t>
      </w:r>
      <w:r w:rsidR="00D12495" w:rsidRPr="00057DB7">
        <w:rPr>
          <w:rFonts w:eastAsia="Times New Roman"/>
          <w:szCs w:val="24"/>
          <w:lang w:eastAsia="en-AU"/>
        </w:rPr>
        <w:t>particularly upset</w:t>
      </w:r>
      <w:r w:rsidR="00D12495">
        <w:rPr>
          <w:rFonts w:eastAsia="Times New Roman"/>
          <w:szCs w:val="24"/>
          <w:lang w:eastAsia="en-AU"/>
        </w:rPr>
        <w:t xml:space="preserve">ting: </w:t>
      </w:r>
      <w:r w:rsidR="00A80539" w:rsidRPr="00057DB7">
        <w:rPr>
          <w:rFonts w:eastAsia="Times New Roman"/>
          <w:szCs w:val="24"/>
          <w:lang w:eastAsia="en-AU"/>
        </w:rPr>
        <w:t>T70.44</w:t>
      </w:r>
      <w:r w:rsidR="00D12495">
        <w:rPr>
          <w:rFonts w:eastAsia="Times New Roman"/>
          <w:szCs w:val="24"/>
          <w:lang w:eastAsia="en-AU"/>
        </w:rPr>
        <w:t>–T</w:t>
      </w:r>
      <w:r w:rsidR="00A80539" w:rsidRPr="00057DB7">
        <w:rPr>
          <w:rFonts w:eastAsia="Times New Roman"/>
          <w:szCs w:val="24"/>
          <w:lang w:eastAsia="en-AU"/>
        </w:rPr>
        <w:t>71.</w:t>
      </w:r>
      <w:r w:rsidR="00D12495">
        <w:rPr>
          <w:rFonts w:eastAsia="Times New Roman"/>
          <w:szCs w:val="24"/>
          <w:lang w:eastAsia="en-AU"/>
        </w:rPr>
        <w:t>8 and T73.17–</w:t>
      </w:r>
      <w:r w:rsidR="00A80539" w:rsidRPr="00057DB7">
        <w:rPr>
          <w:rFonts w:eastAsia="Times New Roman"/>
          <w:szCs w:val="24"/>
          <w:lang w:eastAsia="en-AU"/>
        </w:rPr>
        <w:t>9.</w:t>
      </w:r>
    </w:p>
    <w:p w14:paraId="349A9DE5" w14:textId="3CB1C5F8" w:rsidR="00DB5F5C" w:rsidRPr="00057DB7" w:rsidRDefault="00DB5F5C" w:rsidP="00F20CF8">
      <w:pPr>
        <w:pStyle w:val="ParaNumbering"/>
        <w:rPr>
          <w:lang w:eastAsia="en-AU"/>
        </w:rPr>
      </w:pPr>
      <w:r w:rsidRPr="00057DB7">
        <w:rPr>
          <w:rFonts w:eastAsia="Times New Roman"/>
          <w:szCs w:val="24"/>
          <w:lang w:eastAsia="en-AU"/>
        </w:rPr>
        <w:t xml:space="preserve">In these circumstances, Mr Murphy </w:t>
      </w:r>
      <w:r w:rsidR="00A80539" w:rsidRPr="00057DB7">
        <w:rPr>
          <w:rFonts w:eastAsia="Times New Roman"/>
          <w:szCs w:val="24"/>
          <w:lang w:eastAsia="en-AU"/>
        </w:rPr>
        <w:t xml:space="preserve">is, and remains, worried that a person in need of a </w:t>
      </w:r>
      <w:r w:rsidR="00943EDE">
        <w:rPr>
          <w:rFonts w:eastAsia="Times New Roman"/>
          <w:szCs w:val="24"/>
          <w:lang w:eastAsia="en-AU"/>
        </w:rPr>
        <w:t xml:space="preserve">criminal solicitor </w:t>
      </w:r>
      <w:r w:rsidR="00A80539" w:rsidRPr="00057DB7">
        <w:rPr>
          <w:rFonts w:eastAsia="Times New Roman"/>
          <w:szCs w:val="24"/>
          <w:lang w:eastAsia="en-AU"/>
        </w:rPr>
        <w:t xml:space="preserve">will refrain from doing so because of the false allegations (Murphy 1 </w:t>
      </w:r>
      <w:r w:rsidR="00D12495">
        <w:rPr>
          <w:rFonts w:eastAsia="Times New Roman"/>
          <w:szCs w:val="24"/>
          <w:lang w:eastAsia="en-AU"/>
        </w:rPr>
        <w:t xml:space="preserve">(at </w:t>
      </w:r>
      <w:r w:rsidR="00A80539" w:rsidRPr="00057DB7">
        <w:rPr>
          <w:rFonts w:eastAsia="Times New Roman"/>
          <w:szCs w:val="24"/>
          <w:lang w:eastAsia="en-AU"/>
        </w:rPr>
        <w:t>[40])</w:t>
      </w:r>
      <w:r w:rsidR="00D12495">
        <w:rPr>
          <w:rFonts w:eastAsia="Times New Roman"/>
          <w:szCs w:val="24"/>
          <w:lang w:eastAsia="en-AU"/>
        </w:rPr>
        <w:t>)</w:t>
      </w:r>
      <w:r w:rsidRPr="00057DB7">
        <w:rPr>
          <w:rFonts w:eastAsia="Times New Roman"/>
          <w:szCs w:val="24"/>
          <w:lang w:eastAsia="en-AU"/>
        </w:rPr>
        <w:t xml:space="preserve"> and that</w:t>
      </w:r>
      <w:r w:rsidR="00D12495">
        <w:rPr>
          <w:rFonts w:eastAsia="Times New Roman"/>
          <w:szCs w:val="24"/>
          <w:lang w:eastAsia="en-AU"/>
        </w:rPr>
        <w:t xml:space="preserve"> (at T76.20–2)</w:t>
      </w:r>
      <w:r w:rsidRPr="00057DB7">
        <w:rPr>
          <w:rFonts w:eastAsia="Times New Roman"/>
          <w:szCs w:val="24"/>
          <w:lang w:eastAsia="en-AU"/>
        </w:rPr>
        <w:t xml:space="preserve">: </w:t>
      </w:r>
    </w:p>
    <w:p w14:paraId="2AA81CCE" w14:textId="6DE58C5C" w:rsidR="00C35958" w:rsidRPr="00057DB7" w:rsidRDefault="00C35958" w:rsidP="00DB5F5C">
      <w:pPr>
        <w:pStyle w:val="Quote1"/>
        <w:rPr>
          <w:lang w:eastAsia="en-AU"/>
        </w:rPr>
      </w:pPr>
      <w:r w:rsidRPr="00057DB7">
        <w:rPr>
          <w:lang w:eastAsia="en-AU"/>
        </w:rPr>
        <w:t>I feel very, very bad about it, and very angry still, as I sit</w:t>
      </w:r>
      <w:r w:rsidR="00D12495">
        <w:rPr>
          <w:lang w:eastAsia="en-AU"/>
        </w:rPr>
        <w:t xml:space="preserve"> here at this moment, and I don’</w:t>
      </w:r>
      <w:r w:rsidRPr="00057DB7">
        <w:rPr>
          <w:lang w:eastAsia="en-AU"/>
        </w:rPr>
        <w:t>t know how I will ever wash it away, because I have the sort of mind that focuses</w:t>
      </w:r>
      <w:r w:rsidR="00DB5F5C" w:rsidRPr="00057DB7">
        <w:rPr>
          <w:lang w:eastAsia="en-AU"/>
        </w:rPr>
        <w:t>.</w:t>
      </w:r>
      <w:r w:rsidRPr="00057DB7">
        <w:rPr>
          <w:lang w:eastAsia="en-AU"/>
        </w:rPr>
        <w:t xml:space="preserve"> </w:t>
      </w:r>
    </w:p>
    <w:p w14:paraId="0E65D0AC" w14:textId="0FA432B4" w:rsidR="00A80539" w:rsidRPr="00057DB7" w:rsidRDefault="00A80539" w:rsidP="00A80539">
      <w:pPr>
        <w:pStyle w:val="ParaNumbering"/>
        <w:rPr>
          <w:rFonts w:eastAsia="Times New Roman"/>
          <w:szCs w:val="24"/>
          <w:lang w:eastAsia="en-AU"/>
        </w:rPr>
      </w:pPr>
      <w:r w:rsidRPr="00057DB7">
        <w:rPr>
          <w:rFonts w:eastAsia="Times New Roman"/>
          <w:szCs w:val="24"/>
          <w:lang w:eastAsia="en-AU"/>
        </w:rPr>
        <w:t xml:space="preserve">He </w:t>
      </w:r>
      <w:r w:rsidR="00943EDE">
        <w:rPr>
          <w:rFonts w:eastAsia="Times New Roman"/>
          <w:szCs w:val="24"/>
          <w:lang w:eastAsia="en-AU"/>
        </w:rPr>
        <w:t xml:space="preserve">said he </w:t>
      </w:r>
      <w:r w:rsidRPr="00057DB7">
        <w:rPr>
          <w:rFonts w:eastAsia="Times New Roman"/>
          <w:szCs w:val="24"/>
          <w:lang w:eastAsia="en-AU"/>
        </w:rPr>
        <w:t xml:space="preserve">has also been disturbed by the extent of publication.  He </w:t>
      </w:r>
      <w:r w:rsidR="00943EDE">
        <w:rPr>
          <w:rFonts w:eastAsia="Times New Roman"/>
          <w:szCs w:val="24"/>
          <w:lang w:eastAsia="en-AU"/>
        </w:rPr>
        <w:t xml:space="preserve">gave evidence he </w:t>
      </w:r>
      <w:r w:rsidRPr="00057DB7">
        <w:rPr>
          <w:rFonts w:eastAsia="Times New Roman"/>
          <w:szCs w:val="24"/>
          <w:lang w:eastAsia="en-AU"/>
        </w:rPr>
        <w:t xml:space="preserve">was upset that a practitioner of the stature of </w:t>
      </w:r>
      <w:r w:rsidR="00027C29" w:rsidRPr="00057DB7">
        <w:rPr>
          <w:rFonts w:eastAsia="Times New Roman"/>
          <w:szCs w:val="24"/>
          <w:lang w:eastAsia="en-AU"/>
        </w:rPr>
        <w:t xml:space="preserve">Mr </w:t>
      </w:r>
      <w:proofErr w:type="spellStart"/>
      <w:r w:rsidR="008E7A5B">
        <w:rPr>
          <w:rFonts w:eastAsia="Times New Roman"/>
          <w:szCs w:val="24"/>
          <w:lang w:eastAsia="en-AU"/>
        </w:rPr>
        <w:t>Boulten</w:t>
      </w:r>
      <w:proofErr w:type="spellEnd"/>
      <w:r w:rsidR="00607F76">
        <w:rPr>
          <w:rFonts w:eastAsia="Times New Roman"/>
          <w:szCs w:val="24"/>
          <w:lang w:eastAsia="en-AU"/>
        </w:rPr>
        <w:t xml:space="preserve"> had read the article: </w:t>
      </w:r>
      <w:r w:rsidRPr="00057DB7">
        <w:rPr>
          <w:rFonts w:eastAsia="Times New Roman"/>
          <w:szCs w:val="24"/>
          <w:lang w:eastAsia="en-AU"/>
        </w:rPr>
        <w:t xml:space="preserve">Murphy 1 </w:t>
      </w:r>
      <w:r w:rsidR="00607F76">
        <w:rPr>
          <w:rFonts w:eastAsia="Times New Roman"/>
          <w:szCs w:val="24"/>
          <w:lang w:eastAsia="en-AU"/>
        </w:rPr>
        <w:t xml:space="preserve">(at </w:t>
      </w:r>
      <w:r w:rsidRPr="00057DB7">
        <w:rPr>
          <w:rFonts w:eastAsia="Times New Roman"/>
          <w:szCs w:val="24"/>
          <w:lang w:eastAsia="en-AU"/>
        </w:rPr>
        <w:t xml:space="preserve">[34(b)]).  Similarly, he </w:t>
      </w:r>
      <w:r w:rsidR="00943EDE">
        <w:rPr>
          <w:rFonts w:eastAsia="Times New Roman"/>
          <w:szCs w:val="24"/>
          <w:lang w:eastAsia="en-AU"/>
        </w:rPr>
        <w:t xml:space="preserve">said he </w:t>
      </w:r>
      <w:r w:rsidRPr="00057DB7">
        <w:rPr>
          <w:rFonts w:eastAsia="Times New Roman"/>
          <w:szCs w:val="24"/>
          <w:lang w:eastAsia="en-AU"/>
        </w:rPr>
        <w:t>has become upset on each occasion that he has discussed the matter with</w:t>
      </w:r>
      <w:r w:rsidR="00607F76">
        <w:rPr>
          <w:rFonts w:eastAsia="Times New Roman"/>
          <w:szCs w:val="24"/>
          <w:lang w:eastAsia="en-AU"/>
        </w:rPr>
        <w:t xml:space="preserve"> </w:t>
      </w:r>
      <w:r w:rsidR="0061359C">
        <w:rPr>
          <w:rFonts w:eastAsia="Times New Roman"/>
          <w:szCs w:val="24"/>
          <w:lang w:eastAsia="en-AU"/>
        </w:rPr>
        <w:t xml:space="preserve">Mr </w:t>
      </w:r>
      <w:proofErr w:type="spellStart"/>
      <w:r w:rsidR="00607F76">
        <w:rPr>
          <w:rFonts w:eastAsia="Times New Roman"/>
          <w:szCs w:val="24"/>
          <w:lang w:eastAsia="en-AU"/>
        </w:rPr>
        <w:t>Houda</w:t>
      </w:r>
      <w:proofErr w:type="spellEnd"/>
      <w:r w:rsidR="00607F76">
        <w:rPr>
          <w:rFonts w:eastAsia="Times New Roman"/>
          <w:szCs w:val="24"/>
          <w:lang w:eastAsia="en-AU"/>
        </w:rPr>
        <w:t xml:space="preserve">, a former employee: </w:t>
      </w:r>
      <w:r w:rsidRPr="00057DB7">
        <w:rPr>
          <w:rFonts w:eastAsia="Times New Roman"/>
          <w:szCs w:val="24"/>
          <w:lang w:eastAsia="en-AU"/>
        </w:rPr>
        <w:t xml:space="preserve">Murphy 1 </w:t>
      </w:r>
      <w:r w:rsidR="00607F76">
        <w:rPr>
          <w:rFonts w:eastAsia="Times New Roman"/>
          <w:szCs w:val="24"/>
          <w:lang w:eastAsia="en-AU"/>
        </w:rPr>
        <w:t xml:space="preserve">(at </w:t>
      </w:r>
      <w:r w:rsidRPr="00057DB7">
        <w:rPr>
          <w:rFonts w:eastAsia="Times New Roman"/>
          <w:szCs w:val="24"/>
          <w:lang w:eastAsia="en-AU"/>
        </w:rPr>
        <w:t>[34(c)])</w:t>
      </w:r>
      <w:r w:rsidR="00D12495">
        <w:rPr>
          <w:rFonts w:eastAsia="Times New Roman"/>
          <w:szCs w:val="24"/>
          <w:lang w:eastAsia="en-AU"/>
        </w:rPr>
        <w:t>.</w:t>
      </w:r>
      <w:r w:rsidRPr="00057DB7">
        <w:rPr>
          <w:rFonts w:eastAsia="Times New Roman"/>
          <w:szCs w:val="24"/>
          <w:lang w:eastAsia="en-AU"/>
        </w:rPr>
        <w:t xml:space="preserve"> He also </w:t>
      </w:r>
      <w:r w:rsidR="00943EDE">
        <w:rPr>
          <w:rFonts w:eastAsia="Times New Roman"/>
          <w:szCs w:val="24"/>
          <w:lang w:eastAsia="en-AU"/>
        </w:rPr>
        <w:t xml:space="preserve">asserted that he had </w:t>
      </w:r>
      <w:r w:rsidRPr="00057DB7">
        <w:rPr>
          <w:rFonts w:eastAsia="Times New Roman"/>
          <w:szCs w:val="24"/>
          <w:lang w:eastAsia="en-AU"/>
        </w:rPr>
        <w:t xml:space="preserve">been upset by a relatively random member of the public approaching him </w:t>
      </w:r>
      <w:r w:rsidR="00E904B0">
        <w:rPr>
          <w:rFonts w:eastAsia="Times New Roman"/>
          <w:szCs w:val="24"/>
          <w:lang w:eastAsia="en-AU"/>
        </w:rPr>
        <w:t xml:space="preserve">about the article: </w:t>
      </w:r>
      <w:r w:rsidRPr="00057DB7">
        <w:rPr>
          <w:rFonts w:eastAsia="Times New Roman"/>
          <w:szCs w:val="24"/>
          <w:lang w:eastAsia="en-AU"/>
        </w:rPr>
        <w:t xml:space="preserve">Murphy 1 </w:t>
      </w:r>
      <w:r w:rsidR="00E904B0">
        <w:rPr>
          <w:rFonts w:eastAsia="Times New Roman"/>
          <w:szCs w:val="24"/>
          <w:lang w:eastAsia="en-AU"/>
        </w:rPr>
        <w:t xml:space="preserve">(at </w:t>
      </w:r>
      <w:r w:rsidRPr="00057DB7">
        <w:rPr>
          <w:rFonts w:eastAsia="Times New Roman"/>
          <w:szCs w:val="24"/>
          <w:lang w:eastAsia="en-AU"/>
        </w:rPr>
        <w:t>[34(h)</w:t>
      </w:r>
      <w:r w:rsidR="00E904B0">
        <w:rPr>
          <w:rFonts w:eastAsia="Times New Roman"/>
          <w:szCs w:val="24"/>
          <w:lang w:eastAsia="en-AU"/>
        </w:rPr>
        <w:t>])</w:t>
      </w:r>
      <w:r w:rsidRPr="00057DB7">
        <w:rPr>
          <w:rFonts w:eastAsia="Times New Roman"/>
          <w:szCs w:val="24"/>
          <w:lang w:eastAsia="en-AU"/>
        </w:rPr>
        <w:t>.</w:t>
      </w:r>
    </w:p>
    <w:p w14:paraId="7303150C" w14:textId="170A7514" w:rsidR="00027C29" w:rsidRPr="00057DB7" w:rsidRDefault="00027C29" w:rsidP="00F20CF8">
      <w:pPr>
        <w:pStyle w:val="ParaNumbering"/>
        <w:rPr>
          <w:rFonts w:eastAsia="Times New Roman"/>
          <w:szCs w:val="24"/>
          <w:lang w:eastAsia="en-AU"/>
        </w:rPr>
      </w:pPr>
      <w:r w:rsidRPr="00057DB7">
        <w:rPr>
          <w:rFonts w:eastAsia="Times New Roman"/>
          <w:szCs w:val="24"/>
          <w:lang w:eastAsia="en-AU"/>
        </w:rPr>
        <w:t xml:space="preserve">Consistently with Mr Murphy being upset, </w:t>
      </w:r>
      <w:r w:rsidR="00A80539" w:rsidRPr="00057DB7">
        <w:rPr>
          <w:rFonts w:eastAsia="Times New Roman"/>
          <w:szCs w:val="24"/>
          <w:lang w:eastAsia="en-AU"/>
        </w:rPr>
        <w:t xml:space="preserve">Mr </w:t>
      </w:r>
      <w:proofErr w:type="spellStart"/>
      <w:r w:rsidR="00A80539" w:rsidRPr="00057DB7">
        <w:rPr>
          <w:rFonts w:eastAsia="Times New Roman"/>
          <w:szCs w:val="24"/>
          <w:lang w:eastAsia="en-AU"/>
        </w:rPr>
        <w:t>Kalantzis</w:t>
      </w:r>
      <w:proofErr w:type="spellEnd"/>
      <w:r w:rsidR="00A80539" w:rsidRPr="00057DB7">
        <w:rPr>
          <w:rFonts w:eastAsia="Times New Roman"/>
          <w:szCs w:val="24"/>
          <w:lang w:eastAsia="en-AU"/>
        </w:rPr>
        <w:t xml:space="preserve"> saw </w:t>
      </w:r>
      <w:r w:rsidRPr="00057DB7">
        <w:rPr>
          <w:rFonts w:eastAsia="Times New Roman"/>
          <w:szCs w:val="24"/>
          <w:lang w:eastAsia="en-AU"/>
        </w:rPr>
        <w:t>him</w:t>
      </w:r>
      <w:r w:rsidR="00A80539" w:rsidRPr="00057DB7">
        <w:rPr>
          <w:rFonts w:eastAsia="Times New Roman"/>
          <w:szCs w:val="24"/>
          <w:lang w:eastAsia="en-AU"/>
        </w:rPr>
        <w:t xml:space="preserve"> </w:t>
      </w:r>
      <w:r w:rsidRPr="00057DB7">
        <w:rPr>
          <w:rFonts w:eastAsia="Times New Roman"/>
          <w:szCs w:val="24"/>
          <w:lang w:eastAsia="en-AU"/>
        </w:rPr>
        <w:t>very shortly after he became aware of the article</w:t>
      </w:r>
      <w:r w:rsidR="00A80539" w:rsidRPr="00057DB7">
        <w:rPr>
          <w:rFonts w:eastAsia="Times New Roman"/>
          <w:szCs w:val="24"/>
          <w:lang w:eastAsia="en-AU"/>
        </w:rPr>
        <w:t xml:space="preserve">. He </w:t>
      </w:r>
      <w:r w:rsidRPr="00057DB7">
        <w:rPr>
          <w:rFonts w:eastAsia="Times New Roman"/>
          <w:szCs w:val="24"/>
          <w:lang w:eastAsia="en-AU"/>
        </w:rPr>
        <w:t xml:space="preserve">gave evidence that </w:t>
      </w:r>
      <w:r w:rsidR="00A80539" w:rsidRPr="00057DB7">
        <w:rPr>
          <w:rFonts w:eastAsia="Times New Roman"/>
          <w:szCs w:val="24"/>
          <w:lang w:eastAsia="en-AU"/>
        </w:rPr>
        <w:t xml:space="preserve">Mr </w:t>
      </w:r>
      <w:r w:rsidR="00943EDE">
        <w:rPr>
          <w:rFonts w:eastAsia="Times New Roman"/>
          <w:szCs w:val="24"/>
          <w:lang w:eastAsia="en-AU"/>
        </w:rPr>
        <w:t xml:space="preserve">Murphy </w:t>
      </w:r>
      <w:r w:rsidR="00607F76">
        <w:rPr>
          <w:rFonts w:eastAsia="Times New Roman"/>
          <w:szCs w:val="24"/>
          <w:lang w:eastAsia="en-AU"/>
        </w:rPr>
        <w:t>was</w:t>
      </w:r>
      <w:r w:rsidR="00943EDE">
        <w:rPr>
          <w:rFonts w:eastAsia="Times New Roman"/>
          <w:szCs w:val="24"/>
          <w:lang w:eastAsia="en-AU"/>
        </w:rPr>
        <w:t xml:space="preserve"> “quite distressed”, and upset about “</w:t>
      </w:r>
      <w:r w:rsidR="00F7214C">
        <w:rPr>
          <w:rFonts w:eastAsia="Times New Roman"/>
          <w:szCs w:val="24"/>
          <w:lang w:eastAsia="en-AU"/>
        </w:rPr>
        <w:t>the connotation that he’</w:t>
      </w:r>
      <w:r w:rsidR="00A80539" w:rsidRPr="009D3070">
        <w:rPr>
          <w:rFonts w:eastAsia="Times New Roman"/>
          <w:szCs w:val="24"/>
          <w:lang w:eastAsia="en-AU"/>
        </w:rPr>
        <w:t>s somehow past his pri</w:t>
      </w:r>
      <w:r w:rsidR="00F7214C">
        <w:rPr>
          <w:rFonts w:eastAsia="Times New Roman"/>
          <w:szCs w:val="24"/>
          <w:lang w:eastAsia="en-AU"/>
        </w:rPr>
        <w:t>me and that he can’</w:t>
      </w:r>
      <w:r w:rsidR="00943EDE">
        <w:rPr>
          <w:rFonts w:eastAsia="Times New Roman"/>
          <w:szCs w:val="24"/>
          <w:lang w:eastAsia="en-AU"/>
        </w:rPr>
        <w:t>t do his job”</w:t>
      </w:r>
      <w:r w:rsidR="00F7214C">
        <w:rPr>
          <w:rFonts w:eastAsia="Times New Roman"/>
          <w:szCs w:val="24"/>
          <w:lang w:eastAsia="en-AU"/>
        </w:rPr>
        <w:t>: T203.27–36</w:t>
      </w:r>
      <w:r w:rsidR="00A80539" w:rsidRPr="00057DB7">
        <w:rPr>
          <w:rFonts w:eastAsia="Times New Roman"/>
          <w:szCs w:val="24"/>
          <w:lang w:eastAsia="en-AU"/>
        </w:rPr>
        <w:t>.</w:t>
      </w:r>
    </w:p>
    <w:p w14:paraId="584B60E6" w14:textId="327270BE" w:rsidR="00E96A6F" w:rsidRPr="00057DB7" w:rsidRDefault="00B27D95" w:rsidP="00F20CF8">
      <w:pPr>
        <w:pStyle w:val="ParaNumbering"/>
        <w:rPr>
          <w:rFonts w:eastAsia="Times New Roman"/>
          <w:szCs w:val="24"/>
          <w:lang w:eastAsia="en-AU"/>
        </w:rPr>
      </w:pPr>
      <w:r>
        <w:rPr>
          <w:rFonts w:eastAsia="Times New Roman"/>
          <w:szCs w:val="24"/>
          <w:lang w:eastAsia="en-AU"/>
        </w:rPr>
        <w:t xml:space="preserve">Mr Murphy is a proud man. </w:t>
      </w:r>
      <w:r w:rsidR="006003AC">
        <w:rPr>
          <w:rFonts w:eastAsia="Times New Roman"/>
          <w:szCs w:val="24"/>
          <w:lang w:eastAsia="en-AU"/>
        </w:rPr>
        <w:t>Indeed, h</w:t>
      </w:r>
      <w:r w:rsidR="005A7E22">
        <w:rPr>
          <w:rFonts w:eastAsia="Times New Roman"/>
          <w:szCs w:val="24"/>
          <w:lang w:eastAsia="en-AU"/>
        </w:rPr>
        <w:t>e is a self-described “</w:t>
      </w:r>
      <w:r w:rsidR="006003AC">
        <w:rPr>
          <w:rFonts w:eastAsia="Times New Roman"/>
          <w:szCs w:val="24"/>
          <w:lang w:eastAsia="en-AU"/>
        </w:rPr>
        <w:t xml:space="preserve">robust </w:t>
      </w:r>
      <w:r w:rsidR="005A7E22">
        <w:rPr>
          <w:rFonts w:eastAsia="Times New Roman"/>
          <w:szCs w:val="24"/>
          <w:lang w:eastAsia="en-AU"/>
        </w:rPr>
        <w:t>alpha male”</w:t>
      </w:r>
      <w:r w:rsidR="00807CFD">
        <w:rPr>
          <w:rFonts w:eastAsia="Times New Roman"/>
          <w:szCs w:val="24"/>
          <w:lang w:eastAsia="en-AU"/>
        </w:rPr>
        <w:t>:</w:t>
      </w:r>
      <w:r w:rsidR="006003AC" w:rsidRPr="006003AC">
        <w:rPr>
          <w:rFonts w:eastAsia="Times New Roman"/>
          <w:szCs w:val="24"/>
          <w:lang w:eastAsia="en-AU"/>
        </w:rPr>
        <w:t xml:space="preserve"> </w:t>
      </w:r>
      <w:r w:rsidR="00807CFD">
        <w:rPr>
          <w:rFonts w:eastAsia="Times New Roman"/>
          <w:szCs w:val="24"/>
          <w:lang w:eastAsia="en-AU"/>
        </w:rPr>
        <w:t>T169.24–5</w:t>
      </w:r>
      <w:r w:rsidR="005A7E22">
        <w:rPr>
          <w:rFonts w:eastAsia="Times New Roman"/>
          <w:szCs w:val="24"/>
          <w:lang w:eastAsia="en-AU"/>
        </w:rPr>
        <w:t xml:space="preserve">.  </w:t>
      </w:r>
      <w:r w:rsidR="00271EB5">
        <w:rPr>
          <w:rFonts w:eastAsia="Times New Roman"/>
          <w:szCs w:val="24"/>
          <w:lang w:eastAsia="en-AU"/>
        </w:rPr>
        <w:t>Far from uniquely, I suspect</w:t>
      </w:r>
      <w:r>
        <w:rPr>
          <w:rFonts w:eastAsia="Times New Roman"/>
          <w:szCs w:val="24"/>
          <w:lang w:eastAsia="en-AU"/>
        </w:rPr>
        <w:t xml:space="preserve"> he feels a general sense of </w:t>
      </w:r>
      <w:r w:rsidR="00271EB5">
        <w:rPr>
          <w:rFonts w:eastAsia="Times New Roman"/>
          <w:szCs w:val="24"/>
          <w:lang w:eastAsia="en-AU"/>
        </w:rPr>
        <w:t>disquiet</w:t>
      </w:r>
      <w:r>
        <w:rPr>
          <w:rFonts w:eastAsia="Times New Roman"/>
          <w:szCs w:val="24"/>
          <w:lang w:eastAsia="en-AU"/>
        </w:rPr>
        <w:t xml:space="preserve"> </w:t>
      </w:r>
      <w:r w:rsidR="00271EB5">
        <w:rPr>
          <w:rFonts w:eastAsia="Times New Roman"/>
          <w:szCs w:val="24"/>
          <w:lang w:eastAsia="en-AU"/>
        </w:rPr>
        <w:t>arising fro</w:t>
      </w:r>
      <w:r w:rsidR="007C7692">
        <w:rPr>
          <w:rFonts w:eastAsia="Times New Roman"/>
          <w:szCs w:val="24"/>
          <w:lang w:eastAsia="en-AU"/>
        </w:rPr>
        <w:t>m the inexorable march of time.</w:t>
      </w:r>
      <w:r w:rsidR="00271EB5">
        <w:rPr>
          <w:rFonts w:eastAsia="Times New Roman"/>
          <w:szCs w:val="24"/>
          <w:lang w:eastAsia="en-AU"/>
        </w:rPr>
        <w:t xml:space="preserve"> His </w:t>
      </w:r>
      <w:r>
        <w:rPr>
          <w:rFonts w:eastAsia="Times New Roman"/>
          <w:szCs w:val="24"/>
          <w:lang w:eastAsia="en-AU"/>
        </w:rPr>
        <w:t xml:space="preserve">hearing loss </w:t>
      </w:r>
      <w:r w:rsidR="00271EB5">
        <w:rPr>
          <w:rFonts w:eastAsia="Times New Roman"/>
          <w:szCs w:val="24"/>
          <w:lang w:eastAsia="en-AU"/>
        </w:rPr>
        <w:t xml:space="preserve">understandably bothers him </w:t>
      </w:r>
      <w:r>
        <w:rPr>
          <w:rFonts w:eastAsia="Times New Roman"/>
          <w:szCs w:val="24"/>
          <w:lang w:eastAsia="en-AU"/>
        </w:rPr>
        <w:t xml:space="preserve">such that any mention of it in the media, however benign, would </w:t>
      </w:r>
      <w:r w:rsidR="00271EB5">
        <w:rPr>
          <w:rFonts w:eastAsia="Times New Roman"/>
          <w:szCs w:val="24"/>
          <w:lang w:eastAsia="en-AU"/>
        </w:rPr>
        <w:t>disturb his equilibrium</w:t>
      </w:r>
      <w:r w:rsidR="007C7692">
        <w:rPr>
          <w:rFonts w:eastAsia="Times New Roman"/>
          <w:szCs w:val="24"/>
          <w:lang w:eastAsia="en-AU"/>
        </w:rPr>
        <w:t>.</w:t>
      </w:r>
      <w:r>
        <w:rPr>
          <w:rFonts w:eastAsia="Times New Roman"/>
          <w:szCs w:val="24"/>
          <w:lang w:eastAsia="en-AU"/>
        </w:rPr>
        <w:t xml:space="preserve"> </w:t>
      </w:r>
      <w:r w:rsidR="00271EB5">
        <w:rPr>
          <w:rFonts w:eastAsia="Times New Roman"/>
          <w:szCs w:val="24"/>
          <w:lang w:eastAsia="en-AU"/>
        </w:rPr>
        <w:t>Like most people,</w:t>
      </w:r>
      <w:r>
        <w:rPr>
          <w:rFonts w:eastAsia="Times New Roman"/>
          <w:szCs w:val="24"/>
          <w:lang w:eastAsia="en-AU"/>
        </w:rPr>
        <w:t xml:space="preserve"> he would also have been upset about</w:t>
      </w:r>
      <w:r w:rsidR="007C7692">
        <w:rPr>
          <w:rFonts w:eastAsia="Times New Roman"/>
          <w:szCs w:val="24"/>
          <w:lang w:eastAsia="en-AU"/>
        </w:rPr>
        <w:t xml:space="preserve"> the</w:t>
      </w:r>
      <w:r>
        <w:rPr>
          <w:rFonts w:eastAsia="Times New Roman"/>
          <w:szCs w:val="24"/>
          <w:lang w:eastAsia="en-AU"/>
        </w:rPr>
        <w:t xml:space="preserve"> publication of </w:t>
      </w:r>
      <w:r w:rsidR="00271EB5">
        <w:rPr>
          <w:rFonts w:eastAsia="Times New Roman"/>
          <w:szCs w:val="24"/>
          <w:lang w:eastAsia="en-AU"/>
        </w:rPr>
        <w:t xml:space="preserve">details of </w:t>
      </w:r>
      <w:r w:rsidR="007C7692">
        <w:rPr>
          <w:rFonts w:eastAsia="Times New Roman"/>
          <w:szCs w:val="24"/>
          <w:lang w:eastAsia="en-AU"/>
        </w:rPr>
        <w:t>the breakdown of his marriage.</w:t>
      </w:r>
      <w:r>
        <w:rPr>
          <w:rFonts w:eastAsia="Times New Roman"/>
          <w:szCs w:val="24"/>
          <w:lang w:eastAsia="en-AU"/>
        </w:rPr>
        <w:t xml:space="preserve"> But what </w:t>
      </w:r>
      <w:r w:rsidR="00271EB5">
        <w:rPr>
          <w:rFonts w:eastAsia="Times New Roman"/>
          <w:szCs w:val="24"/>
          <w:lang w:eastAsia="en-AU"/>
        </w:rPr>
        <w:t>matters</w:t>
      </w:r>
      <w:r>
        <w:rPr>
          <w:rFonts w:eastAsia="Times New Roman"/>
          <w:szCs w:val="24"/>
          <w:lang w:eastAsia="en-AU"/>
        </w:rPr>
        <w:t xml:space="preserve"> for </w:t>
      </w:r>
      <w:r>
        <w:rPr>
          <w:rFonts w:eastAsia="Times New Roman"/>
          <w:szCs w:val="24"/>
          <w:lang w:eastAsia="en-AU"/>
        </w:rPr>
        <w:lastRenderedPageBreak/>
        <w:t xml:space="preserve">present purposes, </w:t>
      </w:r>
      <w:r w:rsidR="00271EB5">
        <w:rPr>
          <w:rFonts w:eastAsia="Times New Roman"/>
          <w:szCs w:val="24"/>
          <w:lang w:eastAsia="en-AU"/>
        </w:rPr>
        <w:t>a</w:t>
      </w:r>
      <w:r>
        <w:rPr>
          <w:rFonts w:eastAsia="Times New Roman"/>
          <w:szCs w:val="24"/>
          <w:lang w:eastAsia="en-AU"/>
        </w:rPr>
        <w:t xml:space="preserve">ssessing the evidence as a whole, </w:t>
      </w:r>
      <w:r w:rsidR="00271EB5">
        <w:rPr>
          <w:rFonts w:eastAsia="Times New Roman"/>
          <w:szCs w:val="24"/>
          <w:lang w:eastAsia="en-AU"/>
        </w:rPr>
        <w:t>is</w:t>
      </w:r>
      <w:r w:rsidR="00027C29" w:rsidRPr="00057DB7">
        <w:rPr>
          <w:rFonts w:eastAsia="Times New Roman"/>
          <w:szCs w:val="24"/>
          <w:lang w:eastAsia="en-AU"/>
        </w:rPr>
        <w:t xml:space="preserve"> that Mr Murphy was hurt and angry about the article</w:t>
      </w:r>
      <w:r w:rsidR="00271EB5" w:rsidRPr="00271EB5">
        <w:rPr>
          <w:rFonts w:eastAsia="Times New Roman"/>
          <w:szCs w:val="24"/>
          <w:lang w:eastAsia="en-AU"/>
        </w:rPr>
        <w:t xml:space="preserve"> </w:t>
      </w:r>
      <w:r w:rsidR="00271EB5">
        <w:rPr>
          <w:rFonts w:eastAsia="Times New Roman"/>
          <w:szCs w:val="24"/>
          <w:lang w:eastAsia="en-AU"/>
        </w:rPr>
        <w:t>and took particular offence at the article conveying the wrongheaded notion that he suff</w:t>
      </w:r>
      <w:r w:rsidR="007C7692">
        <w:rPr>
          <w:rFonts w:eastAsia="Times New Roman"/>
          <w:szCs w:val="24"/>
          <w:lang w:eastAsia="en-AU"/>
        </w:rPr>
        <w:t>ered an inability to appear in c</w:t>
      </w:r>
      <w:r w:rsidR="00271EB5">
        <w:rPr>
          <w:rFonts w:eastAsia="Times New Roman"/>
          <w:szCs w:val="24"/>
          <w:lang w:eastAsia="en-AU"/>
        </w:rPr>
        <w:t xml:space="preserve">ourt. </w:t>
      </w:r>
      <w:r w:rsidR="00D37131">
        <w:rPr>
          <w:rFonts w:eastAsia="Times New Roman"/>
          <w:szCs w:val="24"/>
          <w:lang w:eastAsia="en-AU"/>
        </w:rPr>
        <w:t xml:space="preserve">Having </w:t>
      </w:r>
      <w:r w:rsidR="00271EB5">
        <w:rPr>
          <w:rFonts w:eastAsia="Times New Roman"/>
          <w:szCs w:val="24"/>
          <w:lang w:eastAsia="en-AU"/>
        </w:rPr>
        <w:t>formed this impression</w:t>
      </w:r>
      <w:r w:rsidR="00D37131">
        <w:rPr>
          <w:rFonts w:eastAsia="Times New Roman"/>
          <w:szCs w:val="24"/>
          <w:lang w:eastAsia="en-AU"/>
        </w:rPr>
        <w:t xml:space="preserve">, I do consider </w:t>
      </w:r>
      <w:r w:rsidR="007145B8" w:rsidRPr="00057DB7">
        <w:rPr>
          <w:rFonts w:eastAsia="Times New Roman"/>
          <w:szCs w:val="24"/>
          <w:lang w:eastAsia="en-AU"/>
        </w:rPr>
        <w:t xml:space="preserve">that </w:t>
      </w:r>
      <w:r w:rsidR="006003AC">
        <w:rPr>
          <w:rFonts w:eastAsia="Times New Roman"/>
          <w:szCs w:val="24"/>
          <w:lang w:eastAsia="en-AU"/>
        </w:rPr>
        <w:t xml:space="preserve">some of </w:t>
      </w:r>
      <w:r w:rsidR="007145B8" w:rsidRPr="00057DB7">
        <w:rPr>
          <w:rFonts w:eastAsia="Times New Roman"/>
          <w:szCs w:val="24"/>
          <w:lang w:eastAsia="en-AU"/>
        </w:rPr>
        <w:t xml:space="preserve">the evidence he gave as to the </w:t>
      </w:r>
      <w:r w:rsidR="007145B8" w:rsidRPr="006003AC">
        <w:rPr>
          <w:rFonts w:eastAsia="Times New Roman"/>
          <w:i/>
          <w:szCs w:val="24"/>
          <w:lang w:eastAsia="en-AU"/>
        </w:rPr>
        <w:t>extent</w:t>
      </w:r>
      <w:r w:rsidR="007145B8" w:rsidRPr="00057DB7">
        <w:rPr>
          <w:rFonts w:eastAsia="Times New Roman"/>
          <w:szCs w:val="24"/>
          <w:lang w:eastAsia="en-AU"/>
        </w:rPr>
        <w:t xml:space="preserve"> of his subjective hurt was </w:t>
      </w:r>
      <w:r w:rsidR="00D37131">
        <w:rPr>
          <w:rFonts w:eastAsia="Times New Roman"/>
          <w:szCs w:val="24"/>
          <w:lang w:eastAsia="en-AU"/>
        </w:rPr>
        <w:t xml:space="preserve">a tad </w:t>
      </w:r>
      <w:r>
        <w:rPr>
          <w:rFonts w:eastAsia="Times New Roman"/>
          <w:szCs w:val="24"/>
          <w:lang w:eastAsia="en-AU"/>
        </w:rPr>
        <w:t>exaggerated.  T</w:t>
      </w:r>
      <w:r w:rsidR="0061359C">
        <w:rPr>
          <w:rFonts w:eastAsia="Times New Roman"/>
          <w:szCs w:val="24"/>
          <w:lang w:eastAsia="en-AU"/>
        </w:rPr>
        <w:t xml:space="preserve">he evidence </w:t>
      </w:r>
      <w:r w:rsidR="006003AC">
        <w:rPr>
          <w:rFonts w:eastAsia="Times New Roman"/>
          <w:szCs w:val="24"/>
          <w:lang w:eastAsia="en-AU"/>
        </w:rPr>
        <w:t>that the article affected him as</w:t>
      </w:r>
      <w:r w:rsidR="0061359C">
        <w:rPr>
          <w:rFonts w:eastAsia="Times New Roman"/>
          <w:szCs w:val="24"/>
          <w:lang w:eastAsia="en-AU"/>
        </w:rPr>
        <w:t xml:space="preserve"> profoundly as he asserted d</w:t>
      </w:r>
      <w:r w:rsidR="007145B8" w:rsidRPr="00057DB7">
        <w:rPr>
          <w:rFonts w:eastAsia="Times New Roman"/>
          <w:szCs w:val="24"/>
          <w:lang w:eastAsia="en-AU"/>
        </w:rPr>
        <w:t>id not become more compelling by the way Mr Murphy advocated for his own cause</w:t>
      </w:r>
      <w:r w:rsidR="006003AC">
        <w:rPr>
          <w:rFonts w:eastAsia="Times New Roman"/>
          <w:szCs w:val="24"/>
          <w:lang w:eastAsia="en-AU"/>
        </w:rPr>
        <w:t xml:space="preserve">; nor did it </w:t>
      </w:r>
      <w:r w:rsidR="0061359C">
        <w:rPr>
          <w:rFonts w:eastAsia="Times New Roman"/>
          <w:szCs w:val="24"/>
          <w:lang w:eastAsia="en-AU"/>
        </w:rPr>
        <w:t>get more persuasive upon</w:t>
      </w:r>
      <w:r w:rsidR="008E7A5B">
        <w:rPr>
          <w:rFonts w:eastAsia="Times New Roman"/>
          <w:szCs w:val="24"/>
          <w:lang w:eastAsia="en-AU"/>
        </w:rPr>
        <w:t xml:space="preserve"> </w:t>
      </w:r>
      <w:r w:rsidR="0061359C">
        <w:rPr>
          <w:rFonts w:eastAsia="Times New Roman"/>
          <w:szCs w:val="24"/>
          <w:lang w:eastAsia="en-AU"/>
        </w:rPr>
        <w:t>repetition.</w:t>
      </w:r>
    </w:p>
    <w:p w14:paraId="5ED134FD" w14:textId="77777777" w:rsidR="00114E03" w:rsidRPr="002A17C2" w:rsidRDefault="005030EC" w:rsidP="002A17C2">
      <w:pPr>
        <w:pStyle w:val="Heading4"/>
        <w:rPr>
          <w:lang w:eastAsia="en-AU"/>
        </w:rPr>
      </w:pPr>
      <w:bookmarkStart w:id="46" w:name="_Ref69485114"/>
      <w:r w:rsidRPr="002A17C2">
        <w:rPr>
          <w:lang w:eastAsia="en-AU"/>
        </w:rPr>
        <w:t>Mr Murphy</w:t>
      </w:r>
      <w:r w:rsidR="00114E03" w:rsidRPr="002A17C2">
        <w:rPr>
          <w:lang w:eastAsia="en-AU"/>
        </w:rPr>
        <w:t>’s Reputation</w:t>
      </w:r>
      <w:bookmarkEnd w:id="46"/>
    </w:p>
    <w:p w14:paraId="1AEABB28" w14:textId="77777777" w:rsidR="005030EC" w:rsidRPr="00057DB7" w:rsidRDefault="00114E03" w:rsidP="00114E03">
      <w:pPr>
        <w:pStyle w:val="ParaNumbering"/>
        <w:rPr>
          <w:rFonts w:eastAsia="Times New Roman"/>
          <w:szCs w:val="24"/>
          <w:lang w:eastAsia="en-AU"/>
        </w:rPr>
      </w:pPr>
      <w:bookmarkStart w:id="47" w:name="Heading659"/>
      <w:bookmarkEnd w:id="47"/>
      <w:r w:rsidRPr="00057DB7">
        <w:rPr>
          <w:rFonts w:eastAsia="Times New Roman"/>
          <w:szCs w:val="24"/>
          <w:lang w:eastAsia="en-AU"/>
        </w:rPr>
        <w:t xml:space="preserve">It was not, of course, necessary for </w:t>
      </w:r>
      <w:r w:rsidR="005030EC" w:rsidRPr="00057DB7">
        <w:rPr>
          <w:rFonts w:eastAsia="Times New Roman"/>
          <w:szCs w:val="24"/>
          <w:lang w:eastAsia="en-AU"/>
        </w:rPr>
        <w:t>Mr Murphy</w:t>
      </w:r>
      <w:r w:rsidRPr="00057DB7">
        <w:rPr>
          <w:rFonts w:eastAsia="Times New Roman"/>
          <w:szCs w:val="24"/>
          <w:lang w:eastAsia="en-AU"/>
        </w:rPr>
        <w:t xml:space="preserve"> to prove good re</w:t>
      </w:r>
      <w:r w:rsidR="005030EC" w:rsidRPr="00057DB7">
        <w:rPr>
          <w:rFonts w:eastAsia="Times New Roman"/>
          <w:szCs w:val="24"/>
          <w:lang w:eastAsia="en-AU"/>
        </w:rPr>
        <w:t>putation as it is assumed in his</w:t>
      </w:r>
      <w:r w:rsidRPr="00057DB7">
        <w:rPr>
          <w:rFonts w:eastAsia="Times New Roman"/>
          <w:szCs w:val="24"/>
          <w:lang w:eastAsia="en-AU"/>
        </w:rPr>
        <w:t xml:space="preserve"> favour; but notwithstanding </w:t>
      </w:r>
      <w:r w:rsidR="005030EC" w:rsidRPr="00057DB7">
        <w:rPr>
          <w:rFonts w:eastAsia="Times New Roman"/>
          <w:szCs w:val="24"/>
          <w:lang w:eastAsia="en-AU"/>
        </w:rPr>
        <w:t xml:space="preserve">News and Ms Sharp </w:t>
      </w:r>
      <w:r w:rsidRPr="00057DB7">
        <w:rPr>
          <w:rFonts w:eastAsia="Times New Roman"/>
          <w:szCs w:val="24"/>
          <w:lang w:eastAsia="en-AU"/>
        </w:rPr>
        <w:t xml:space="preserve">did not put reputation </w:t>
      </w:r>
      <w:r w:rsidR="006A0CAC" w:rsidRPr="00057DB7">
        <w:rPr>
          <w:rFonts w:eastAsia="Times New Roman"/>
          <w:szCs w:val="24"/>
          <w:lang w:eastAsia="en-AU"/>
        </w:rPr>
        <w:t>in issue, evidence was adduced.</w:t>
      </w:r>
      <w:r w:rsidR="005030EC" w:rsidRPr="00057DB7">
        <w:rPr>
          <w:rFonts w:eastAsia="Times New Roman"/>
          <w:szCs w:val="24"/>
          <w:lang w:eastAsia="en-AU"/>
        </w:rPr>
        <w:t xml:space="preserve"> </w:t>
      </w:r>
    </w:p>
    <w:p w14:paraId="3A1AC0ED" w14:textId="77777777" w:rsidR="00F777DE" w:rsidRPr="00057DB7" w:rsidRDefault="006A0CAC" w:rsidP="006A0CAC">
      <w:pPr>
        <w:pStyle w:val="ParaNumbering"/>
        <w:rPr>
          <w:rFonts w:eastAsia="Times New Roman"/>
          <w:szCs w:val="24"/>
          <w:lang w:eastAsia="en-AU"/>
        </w:rPr>
      </w:pPr>
      <w:r w:rsidRPr="00057DB7">
        <w:rPr>
          <w:rFonts w:eastAsia="Times New Roman"/>
          <w:szCs w:val="24"/>
          <w:lang w:eastAsia="en-AU"/>
        </w:rPr>
        <w:t xml:space="preserve">That evidence establishes that </w:t>
      </w:r>
      <w:r w:rsidR="00F777DE" w:rsidRPr="00057DB7">
        <w:rPr>
          <w:rFonts w:eastAsia="Times New Roman"/>
          <w:szCs w:val="24"/>
          <w:lang w:eastAsia="en-AU"/>
        </w:rPr>
        <w:t xml:space="preserve">Mr Murphy enjoyed a prior reputation as a </w:t>
      </w:r>
      <w:r w:rsidRPr="00057DB7">
        <w:rPr>
          <w:rFonts w:eastAsia="Times New Roman"/>
          <w:szCs w:val="24"/>
          <w:lang w:eastAsia="en-AU"/>
        </w:rPr>
        <w:t>well-known</w:t>
      </w:r>
      <w:r w:rsidR="00F777DE" w:rsidRPr="00057DB7">
        <w:rPr>
          <w:rFonts w:eastAsia="Times New Roman"/>
          <w:szCs w:val="24"/>
          <w:lang w:eastAsia="en-AU"/>
        </w:rPr>
        <w:t xml:space="preserve"> criminal defence </w:t>
      </w:r>
      <w:r w:rsidRPr="00057DB7">
        <w:rPr>
          <w:rFonts w:eastAsia="Times New Roman"/>
          <w:szCs w:val="24"/>
          <w:lang w:eastAsia="en-AU"/>
        </w:rPr>
        <w:t>solicitor</w:t>
      </w:r>
      <w:r w:rsidR="00F777DE" w:rsidRPr="00057DB7">
        <w:rPr>
          <w:rFonts w:eastAsia="Times New Roman"/>
          <w:szCs w:val="24"/>
          <w:lang w:eastAsia="en-AU"/>
        </w:rPr>
        <w:t xml:space="preserve"> </w:t>
      </w:r>
      <w:r w:rsidRPr="00057DB7">
        <w:rPr>
          <w:rFonts w:eastAsia="Times New Roman"/>
          <w:szCs w:val="24"/>
          <w:lang w:eastAsia="en-AU"/>
        </w:rPr>
        <w:t>who</w:t>
      </w:r>
      <w:r w:rsidR="00F777DE" w:rsidRPr="00057DB7">
        <w:rPr>
          <w:rFonts w:eastAsia="Times New Roman"/>
          <w:szCs w:val="24"/>
          <w:lang w:eastAsia="en-AU"/>
        </w:rPr>
        <w:t xml:space="preserve"> has acted for many high profile clients.  This reputation has </w:t>
      </w:r>
      <w:r w:rsidR="00027C29" w:rsidRPr="00057DB7">
        <w:rPr>
          <w:rFonts w:eastAsia="Times New Roman"/>
          <w:szCs w:val="24"/>
          <w:lang w:eastAsia="en-AU"/>
        </w:rPr>
        <w:t>allowed him to become the “rainmaker”</w:t>
      </w:r>
      <w:r w:rsidR="00F777DE" w:rsidRPr="00057DB7">
        <w:rPr>
          <w:rFonts w:eastAsia="Times New Roman"/>
          <w:szCs w:val="24"/>
          <w:lang w:eastAsia="en-AU"/>
        </w:rPr>
        <w:t xml:space="preserve"> for his firm, with clients engaging his f</w:t>
      </w:r>
      <w:r w:rsidRPr="00057DB7">
        <w:rPr>
          <w:rFonts w:eastAsia="Times New Roman"/>
          <w:szCs w:val="24"/>
          <w:lang w:eastAsia="en-AU"/>
        </w:rPr>
        <w:t>irm because of his reputation</w:t>
      </w:r>
      <w:r w:rsidR="00F777DE" w:rsidRPr="00057DB7">
        <w:rPr>
          <w:rFonts w:eastAsia="Times New Roman"/>
          <w:szCs w:val="24"/>
          <w:lang w:eastAsia="en-AU"/>
        </w:rPr>
        <w:t xml:space="preserve">. </w:t>
      </w:r>
    </w:p>
    <w:p w14:paraId="2F68244F" w14:textId="171F24C7" w:rsidR="00F777DE" w:rsidRPr="00057DB7" w:rsidRDefault="008E7A5B" w:rsidP="00F777DE">
      <w:pPr>
        <w:pStyle w:val="ParaNumbering"/>
        <w:rPr>
          <w:rFonts w:eastAsia="Times New Roman"/>
          <w:szCs w:val="24"/>
          <w:lang w:eastAsia="en-AU"/>
        </w:rPr>
      </w:pPr>
      <w:r>
        <w:rPr>
          <w:rFonts w:eastAsia="Times New Roman"/>
          <w:szCs w:val="24"/>
          <w:lang w:eastAsia="en-AU"/>
        </w:rPr>
        <w:t xml:space="preserve">A highly experienced leader of the New South Wales Bar, </w:t>
      </w:r>
      <w:r w:rsidR="006A0CAC" w:rsidRPr="00057DB7">
        <w:rPr>
          <w:rFonts w:eastAsia="Times New Roman"/>
          <w:szCs w:val="24"/>
          <w:lang w:eastAsia="en-AU"/>
        </w:rPr>
        <w:t xml:space="preserve">Mr </w:t>
      </w:r>
      <w:proofErr w:type="spellStart"/>
      <w:r w:rsidR="00027C29" w:rsidRPr="00057DB7">
        <w:rPr>
          <w:rFonts w:eastAsia="Times New Roman"/>
          <w:szCs w:val="24"/>
          <w:lang w:eastAsia="en-AU"/>
        </w:rPr>
        <w:t>Boulten</w:t>
      </w:r>
      <w:proofErr w:type="spellEnd"/>
      <w:r w:rsidR="00607F76">
        <w:rPr>
          <w:rFonts w:eastAsia="Times New Roman"/>
          <w:szCs w:val="24"/>
          <w:lang w:eastAsia="en-AU"/>
        </w:rPr>
        <w:t>,</w:t>
      </w:r>
      <w:r w:rsidR="00027C29" w:rsidRPr="00057DB7">
        <w:rPr>
          <w:rFonts w:eastAsia="Times New Roman"/>
          <w:szCs w:val="24"/>
          <w:lang w:eastAsia="en-AU"/>
        </w:rPr>
        <w:t xml:space="preserve"> </w:t>
      </w:r>
      <w:r w:rsidR="006A0CAC" w:rsidRPr="00057DB7">
        <w:rPr>
          <w:rFonts w:eastAsia="Times New Roman"/>
          <w:szCs w:val="24"/>
          <w:lang w:eastAsia="en-AU"/>
        </w:rPr>
        <w:t>gave the following evidence</w:t>
      </w:r>
      <w:r w:rsidR="00F7214C">
        <w:rPr>
          <w:rFonts w:eastAsia="Times New Roman"/>
          <w:szCs w:val="24"/>
          <w:lang w:eastAsia="en-AU"/>
        </w:rPr>
        <w:t xml:space="preserve"> in his affidavit affirmed 29 January 2021 (at [15])</w:t>
      </w:r>
      <w:r w:rsidR="006A0CAC" w:rsidRPr="00057DB7">
        <w:rPr>
          <w:rFonts w:eastAsia="Times New Roman"/>
          <w:szCs w:val="24"/>
          <w:lang w:eastAsia="en-AU"/>
        </w:rPr>
        <w:t>, which I accept</w:t>
      </w:r>
      <w:r w:rsidR="00F777DE" w:rsidRPr="00057DB7">
        <w:rPr>
          <w:rFonts w:eastAsia="Times New Roman"/>
          <w:szCs w:val="24"/>
          <w:lang w:eastAsia="en-AU"/>
        </w:rPr>
        <w:t>:</w:t>
      </w:r>
    </w:p>
    <w:p w14:paraId="4945A6DE" w14:textId="10B4A5FF" w:rsidR="005C3F39" w:rsidRPr="00057DB7" w:rsidRDefault="006A0CAC" w:rsidP="006A0CAC">
      <w:pPr>
        <w:pStyle w:val="Quote1"/>
        <w:rPr>
          <w:lang w:eastAsia="en-AU"/>
        </w:rPr>
      </w:pPr>
      <w:r w:rsidRPr="00057DB7">
        <w:rPr>
          <w:lang w:eastAsia="en-AU"/>
        </w:rPr>
        <w:t xml:space="preserve">[Mr] </w:t>
      </w:r>
      <w:r w:rsidR="005C3F39" w:rsidRPr="00057DB7">
        <w:rPr>
          <w:lang w:eastAsia="en-AU"/>
        </w:rPr>
        <w:t>Murphy has, for many years, ha</w:t>
      </w:r>
      <w:r w:rsidR="00C15694">
        <w:rPr>
          <w:lang w:eastAsia="en-AU"/>
        </w:rPr>
        <w:t>d a reputation as one of Sydney’</w:t>
      </w:r>
      <w:r w:rsidR="005C3F39" w:rsidRPr="00057DB7">
        <w:rPr>
          <w:lang w:eastAsia="en-AU"/>
        </w:rPr>
        <w:t xml:space="preserve">s leading criminal lawyers. His firm is a major criminal law firm, both in the sense of the number of cases that the firm undertakes and the significance of the issues involved in many of those cases. Prior to publication of the </w:t>
      </w:r>
      <w:r w:rsidRPr="00057DB7">
        <w:rPr>
          <w:lang w:eastAsia="en-AU"/>
        </w:rPr>
        <w:t>[</w:t>
      </w:r>
      <w:r w:rsidR="005C3F39" w:rsidRPr="00057DB7">
        <w:rPr>
          <w:lang w:eastAsia="en-AU"/>
        </w:rPr>
        <w:t>article</w:t>
      </w:r>
      <w:r w:rsidRPr="00057DB7">
        <w:rPr>
          <w:lang w:eastAsia="en-AU"/>
        </w:rPr>
        <w:t>]</w:t>
      </w:r>
      <w:r w:rsidR="005C3F39" w:rsidRPr="00057DB7">
        <w:rPr>
          <w:lang w:eastAsia="en-AU"/>
        </w:rPr>
        <w:t xml:space="preserve">, Mr Murphy personally had a reputation as a </w:t>
      </w:r>
      <w:r w:rsidR="00B01028">
        <w:rPr>
          <w:lang w:eastAsia="en-AU"/>
        </w:rPr>
        <w:t>ski</w:t>
      </w:r>
      <w:r w:rsidRPr="00057DB7">
        <w:rPr>
          <w:lang w:eastAsia="en-AU"/>
        </w:rPr>
        <w:t>lful</w:t>
      </w:r>
      <w:r w:rsidR="005C3F39" w:rsidRPr="00057DB7">
        <w:rPr>
          <w:lang w:eastAsia="en-AU"/>
        </w:rPr>
        <w:t xml:space="preserve"> and savvy legal adviser to people accused of the whole range of criminal offence</w:t>
      </w:r>
      <w:r w:rsidR="00116C77">
        <w:rPr>
          <w:lang w:eastAsia="en-AU"/>
        </w:rPr>
        <w:t>s</w:t>
      </w:r>
      <w:r w:rsidR="005C3F39" w:rsidRPr="00057DB7">
        <w:rPr>
          <w:lang w:eastAsia="en-AU"/>
        </w:rPr>
        <w:t xml:space="preserve"> and he was known to be an effective criminal lawyer wh</w:t>
      </w:r>
      <w:r w:rsidR="00F7214C">
        <w:rPr>
          <w:lang w:eastAsia="en-AU"/>
        </w:rPr>
        <w:t>o often succeeds on his clients’</w:t>
      </w:r>
      <w:r w:rsidR="005C3F39" w:rsidRPr="00057DB7">
        <w:rPr>
          <w:lang w:eastAsia="en-AU"/>
        </w:rPr>
        <w:t xml:space="preserve"> behalf</w:t>
      </w:r>
      <w:r w:rsidRPr="00057DB7">
        <w:rPr>
          <w:lang w:eastAsia="en-AU"/>
        </w:rPr>
        <w:t>.</w:t>
      </w:r>
    </w:p>
    <w:p w14:paraId="101F6705" w14:textId="1322AF6C" w:rsidR="00F777DE" w:rsidRPr="00057DB7" w:rsidRDefault="006A0CAC" w:rsidP="009976FA">
      <w:pPr>
        <w:pStyle w:val="ParaNumbering"/>
        <w:rPr>
          <w:rFonts w:eastAsia="Times New Roman"/>
          <w:szCs w:val="24"/>
          <w:lang w:eastAsia="en-AU"/>
        </w:rPr>
      </w:pPr>
      <w:r w:rsidRPr="00057DB7">
        <w:rPr>
          <w:rFonts w:eastAsia="Times New Roman"/>
          <w:szCs w:val="24"/>
          <w:lang w:eastAsia="en-AU"/>
        </w:rPr>
        <w:t>Other witnesses (</w:t>
      </w:r>
      <w:r w:rsidR="009976FA" w:rsidRPr="00057DB7">
        <w:rPr>
          <w:rFonts w:eastAsia="Times New Roman"/>
          <w:szCs w:val="24"/>
          <w:lang w:eastAsia="en-AU"/>
        </w:rPr>
        <w:t xml:space="preserve">Mr </w:t>
      </w:r>
      <w:proofErr w:type="spellStart"/>
      <w:r w:rsidR="009976FA" w:rsidRPr="00057DB7">
        <w:rPr>
          <w:rFonts w:eastAsia="Times New Roman"/>
          <w:szCs w:val="24"/>
          <w:lang w:eastAsia="en-AU"/>
        </w:rPr>
        <w:t>Deirmendjian</w:t>
      </w:r>
      <w:proofErr w:type="spellEnd"/>
      <w:r w:rsidR="009976FA" w:rsidRPr="00057DB7">
        <w:rPr>
          <w:rFonts w:eastAsia="Times New Roman"/>
          <w:szCs w:val="24"/>
          <w:lang w:eastAsia="en-AU"/>
        </w:rPr>
        <w:t>, an artist</w:t>
      </w:r>
      <w:r w:rsidR="00F7214C">
        <w:rPr>
          <w:rFonts w:eastAsia="Times New Roman"/>
          <w:szCs w:val="24"/>
          <w:lang w:eastAsia="en-AU"/>
        </w:rPr>
        <w:t>,</w:t>
      </w:r>
      <w:r w:rsidR="009976FA" w:rsidRPr="00057DB7">
        <w:rPr>
          <w:rFonts w:eastAsia="Times New Roman"/>
          <w:szCs w:val="24"/>
          <w:lang w:eastAsia="en-AU"/>
        </w:rPr>
        <w:t xml:space="preserve"> and </w:t>
      </w:r>
      <w:r w:rsidR="00F777DE" w:rsidRPr="00057DB7">
        <w:rPr>
          <w:rFonts w:eastAsia="Times New Roman"/>
          <w:szCs w:val="24"/>
          <w:lang w:eastAsia="en-AU"/>
        </w:rPr>
        <w:t xml:space="preserve">Mr </w:t>
      </w:r>
      <w:proofErr w:type="spellStart"/>
      <w:r w:rsidR="00F777DE" w:rsidRPr="00057DB7">
        <w:rPr>
          <w:rFonts w:eastAsia="Times New Roman"/>
          <w:szCs w:val="24"/>
          <w:lang w:eastAsia="en-AU"/>
        </w:rPr>
        <w:t>Houda</w:t>
      </w:r>
      <w:proofErr w:type="spellEnd"/>
      <w:r w:rsidR="009976FA" w:rsidRPr="00057DB7">
        <w:rPr>
          <w:rFonts w:eastAsia="Times New Roman"/>
          <w:szCs w:val="24"/>
          <w:lang w:eastAsia="en-AU"/>
        </w:rPr>
        <w:t>,</w:t>
      </w:r>
      <w:r w:rsidR="00F777DE" w:rsidRPr="00057DB7">
        <w:rPr>
          <w:rFonts w:eastAsia="Times New Roman"/>
          <w:szCs w:val="24"/>
          <w:lang w:eastAsia="en-AU"/>
        </w:rPr>
        <w:t xml:space="preserve"> another criminal defence </w:t>
      </w:r>
      <w:r w:rsidRPr="00057DB7">
        <w:rPr>
          <w:rFonts w:eastAsia="Times New Roman"/>
          <w:szCs w:val="24"/>
          <w:lang w:eastAsia="en-AU"/>
        </w:rPr>
        <w:t xml:space="preserve">solicitor) gave evidence consistent with that of Mr </w:t>
      </w:r>
      <w:proofErr w:type="spellStart"/>
      <w:r w:rsidRPr="00057DB7">
        <w:rPr>
          <w:rFonts w:eastAsia="Times New Roman"/>
          <w:szCs w:val="24"/>
          <w:lang w:eastAsia="en-AU"/>
        </w:rPr>
        <w:t>Boulten</w:t>
      </w:r>
      <w:proofErr w:type="spellEnd"/>
      <w:r w:rsidRPr="00057DB7">
        <w:rPr>
          <w:rFonts w:eastAsia="Times New Roman"/>
          <w:szCs w:val="24"/>
          <w:lang w:eastAsia="en-AU"/>
        </w:rPr>
        <w:t xml:space="preserve">.  </w:t>
      </w:r>
    </w:p>
    <w:p w14:paraId="1FBFF286" w14:textId="5A6FE0FC" w:rsidR="00F777DE" w:rsidRPr="00057DB7" w:rsidRDefault="00F777DE" w:rsidP="00F777DE">
      <w:pPr>
        <w:pStyle w:val="ParaNumbering"/>
        <w:rPr>
          <w:rFonts w:eastAsia="Times New Roman"/>
          <w:szCs w:val="24"/>
          <w:lang w:eastAsia="en-AU"/>
        </w:rPr>
      </w:pPr>
      <w:r w:rsidRPr="00057DB7">
        <w:rPr>
          <w:rFonts w:eastAsia="Times New Roman"/>
          <w:szCs w:val="24"/>
          <w:lang w:eastAsia="en-AU"/>
        </w:rPr>
        <w:t xml:space="preserve">Mr </w:t>
      </w:r>
      <w:proofErr w:type="spellStart"/>
      <w:r w:rsidRPr="00057DB7">
        <w:rPr>
          <w:rFonts w:eastAsia="Times New Roman"/>
          <w:szCs w:val="24"/>
          <w:lang w:eastAsia="en-AU"/>
        </w:rPr>
        <w:t>Kalantzis</w:t>
      </w:r>
      <w:proofErr w:type="spellEnd"/>
      <w:r w:rsidRPr="00057DB7">
        <w:rPr>
          <w:rFonts w:eastAsia="Times New Roman"/>
          <w:szCs w:val="24"/>
          <w:lang w:eastAsia="en-AU"/>
        </w:rPr>
        <w:t>, a fellow solicitor</w:t>
      </w:r>
      <w:r w:rsidR="009976FA" w:rsidRPr="00057DB7">
        <w:rPr>
          <w:rFonts w:eastAsia="Times New Roman"/>
          <w:szCs w:val="24"/>
          <w:lang w:eastAsia="en-AU"/>
        </w:rPr>
        <w:t xml:space="preserve"> </w:t>
      </w:r>
      <w:r w:rsidR="00D37131">
        <w:rPr>
          <w:rFonts w:eastAsia="Times New Roman"/>
          <w:szCs w:val="24"/>
          <w:lang w:eastAsia="en-AU"/>
        </w:rPr>
        <w:t xml:space="preserve">(being a witness called by News and Ms Sharp), </w:t>
      </w:r>
      <w:r w:rsidRPr="00057DB7">
        <w:rPr>
          <w:rFonts w:eastAsia="Times New Roman"/>
          <w:szCs w:val="24"/>
          <w:lang w:eastAsia="en-AU"/>
        </w:rPr>
        <w:t>explained that he</w:t>
      </w:r>
      <w:r w:rsidR="009976FA" w:rsidRPr="00057DB7">
        <w:rPr>
          <w:rFonts w:eastAsia="Times New Roman"/>
          <w:szCs w:val="24"/>
          <w:lang w:eastAsia="en-AU"/>
        </w:rPr>
        <w:t xml:space="preserve"> ha</w:t>
      </w:r>
      <w:r w:rsidRPr="00057DB7">
        <w:rPr>
          <w:rFonts w:eastAsia="Times New Roman"/>
          <w:szCs w:val="24"/>
          <w:lang w:eastAsia="en-AU"/>
        </w:rPr>
        <w:t>d known Mr Murphy fo</w:t>
      </w:r>
      <w:r w:rsidR="009976FA" w:rsidRPr="00057DB7">
        <w:rPr>
          <w:rFonts w:eastAsia="Times New Roman"/>
          <w:szCs w:val="24"/>
          <w:lang w:eastAsia="en-AU"/>
        </w:rPr>
        <w:t>r</w:t>
      </w:r>
      <w:r w:rsidR="00D37131">
        <w:rPr>
          <w:rFonts w:eastAsia="Times New Roman"/>
          <w:szCs w:val="24"/>
          <w:lang w:eastAsia="en-AU"/>
        </w:rPr>
        <w:t xml:space="preserve"> 15 or 16 years, saw him five to six</w:t>
      </w:r>
      <w:r w:rsidRPr="00057DB7">
        <w:rPr>
          <w:rFonts w:eastAsia="Times New Roman"/>
          <w:szCs w:val="24"/>
          <w:lang w:eastAsia="en-AU"/>
        </w:rPr>
        <w:t xml:space="preserve"> times a </w:t>
      </w:r>
      <w:r w:rsidR="00D37131">
        <w:rPr>
          <w:rFonts w:eastAsia="Times New Roman"/>
          <w:szCs w:val="24"/>
          <w:lang w:eastAsia="en-AU"/>
        </w:rPr>
        <w:t>week, and that he knew Mr Murphy’</w:t>
      </w:r>
      <w:r w:rsidRPr="00057DB7">
        <w:rPr>
          <w:rFonts w:eastAsia="Times New Roman"/>
          <w:szCs w:val="24"/>
          <w:lang w:eastAsia="en-AU"/>
        </w:rPr>
        <w:t xml:space="preserve">s reputation </w:t>
      </w:r>
      <w:r w:rsidR="00D37131">
        <w:rPr>
          <w:rFonts w:eastAsia="Times New Roman"/>
          <w:szCs w:val="24"/>
          <w:lang w:eastAsia="en-AU"/>
        </w:rPr>
        <w:t>as</w:t>
      </w:r>
      <w:r w:rsidR="009976FA" w:rsidRPr="00057DB7">
        <w:rPr>
          <w:rFonts w:eastAsia="Times New Roman"/>
          <w:szCs w:val="24"/>
          <w:lang w:eastAsia="en-AU"/>
        </w:rPr>
        <w:t xml:space="preserve"> “</w:t>
      </w:r>
      <w:r w:rsidRPr="00057DB7">
        <w:rPr>
          <w:rFonts w:eastAsia="Times New Roman"/>
          <w:szCs w:val="24"/>
          <w:lang w:eastAsia="en-AU"/>
        </w:rPr>
        <w:t>an astute, dedicated, fearless advocate and, also, a very loyal and generous man</w:t>
      </w:r>
      <w:r w:rsidR="009976FA" w:rsidRPr="00057DB7">
        <w:rPr>
          <w:rFonts w:eastAsia="Times New Roman"/>
          <w:szCs w:val="24"/>
          <w:lang w:eastAsia="en-AU"/>
        </w:rPr>
        <w:t>”</w:t>
      </w:r>
      <w:r w:rsidR="00F7214C">
        <w:rPr>
          <w:rFonts w:eastAsia="Times New Roman"/>
          <w:szCs w:val="24"/>
          <w:lang w:eastAsia="en-AU"/>
        </w:rPr>
        <w:t>: T201.35–7 and T202.13–4</w:t>
      </w:r>
      <w:r w:rsidR="009976FA" w:rsidRPr="00057DB7">
        <w:rPr>
          <w:rFonts w:eastAsia="Times New Roman"/>
          <w:szCs w:val="24"/>
          <w:lang w:eastAsia="en-AU"/>
        </w:rPr>
        <w:t>.</w:t>
      </w:r>
      <w:r w:rsidRPr="00057DB7">
        <w:rPr>
          <w:rFonts w:eastAsia="Times New Roman"/>
          <w:szCs w:val="24"/>
          <w:lang w:eastAsia="en-AU"/>
        </w:rPr>
        <w:t xml:space="preserve"> Mr </w:t>
      </w:r>
      <w:proofErr w:type="spellStart"/>
      <w:r w:rsidRPr="00057DB7">
        <w:rPr>
          <w:rFonts w:eastAsia="Times New Roman"/>
          <w:szCs w:val="24"/>
          <w:lang w:eastAsia="en-AU"/>
        </w:rPr>
        <w:t>Kalantzis</w:t>
      </w:r>
      <w:proofErr w:type="spellEnd"/>
      <w:r w:rsidRPr="00057DB7">
        <w:rPr>
          <w:rFonts w:eastAsia="Times New Roman"/>
          <w:szCs w:val="24"/>
          <w:lang w:eastAsia="en-AU"/>
        </w:rPr>
        <w:t xml:space="preserve"> told the Court that whenever his practice was approached by a client with a criminal matter, he would refer that client to Mr Murphy b</w:t>
      </w:r>
      <w:r w:rsidR="00D37131">
        <w:rPr>
          <w:rFonts w:eastAsia="Times New Roman"/>
          <w:szCs w:val="24"/>
          <w:lang w:eastAsia="en-AU"/>
        </w:rPr>
        <w:t>ecause he “</w:t>
      </w:r>
      <w:r w:rsidRPr="00057DB7">
        <w:rPr>
          <w:rFonts w:eastAsia="Times New Roman"/>
          <w:szCs w:val="24"/>
          <w:lang w:eastAsia="en-AU"/>
        </w:rPr>
        <w:t>trust[</w:t>
      </w:r>
      <w:proofErr w:type="spellStart"/>
      <w:r w:rsidRPr="00057DB7">
        <w:rPr>
          <w:rFonts w:eastAsia="Times New Roman"/>
          <w:szCs w:val="24"/>
          <w:lang w:eastAsia="en-AU"/>
        </w:rPr>
        <w:t>ed</w:t>
      </w:r>
      <w:proofErr w:type="spellEnd"/>
      <w:r w:rsidRPr="00057DB7">
        <w:rPr>
          <w:rFonts w:eastAsia="Times New Roman"/>
          <w:szCs w:val="24"/>
          <w:lang w:eastAsia="en-AU"/>
        </w:rPr>
        <w:t>] Mr Murphy and his t</w:t>
      </w:r>
      <w:r w:rsidR="00D37131">
        <w:rPr>
          <w:rFonts w:eastAsia="Times New Roman"/>
          <w:szCs w:val="24"/>
          <w:lang w:eastAsia="en-AU"/>
        </w:rPr>
        <w:t>eam to do the best job possible”</w:t>
      </w:r>
      <w:r w:rsidR="00F7214C">
        <w:rPr>
          <w:rFonts w:eastAsia="Times New Roman"/>
          <w:szCs w:val="24"/>
          <w:lang w:eastAsia="en-AU"/>
        </w:rPr>
        <w:t>: T202.20–5</w:t>
      </w:r>
      <w:r w:rsidRPr="00057DB7">
        <w:rPr>
          <w:rFonts w:eastAsia="Times New Roman"/>
          <w:szCs w:val="24"/>
          <w:lang w:eastAsia="en-AU"/>
        </w:rPr>
        <w:t>.</w:t>
      </w:r>
    </w:p>
    <w:p w14:paraId="21C7D201" w14:textId="77777777" w:rsidR="009A46AC" w:rsidRPr="00057DB7" w:rsidRDefault="007145B8" w:rsidP="009A46AC">
      <w:pPr>
        <w:pStyle w:val="ParaNumbering"/>
        <w:rPr>
          <w:lang w:eastAsia="en-AU"/>
        </w:rPr>
      </w:pPr>
      <w:r w:rsidRPr="00057DB7">
        <w:rPr>
          <w:lang w:eastAsia="en-AU"/>
        </w:rPr>
        <w:t>I find Mr Murphy had a widely known reputation as a leading and effective criminal solicitor.</w:t>
      </w:r>
    </w:p>
    <w:p w14:paraId="09D0233E" w14:textId="67C8ABA9" w:rsidR="00114E03" w:rsidRPr="002A17C2" w:rsidRDefault="00114E03" w:rsidP="002A17C2">
      <w:pPr>
        <w:pStyle w:val="Heading4"/>
        <w:rPr>
          <w:lang w:eastAsia="en-AU"/>
        </w:rPr>
      </w:pPr>
      <w:bookmarkStart w:id="48" w:name="_Ref69485115"/>
      <w:r w:rsidRPr="002A17C2">
        <w:rPr>
          <w:lang w:eastAsia="en-AU"/>
        </w:rPr>
        <w:lastRenderedPageBreak/>
        <w:t>The Natur</w:t>
      </w:r>
      <w:r w:rsidR="009976FA" w:rsidRPr="002A17C2">
        <w:rPr>
          <w:lang w:eastAsia="en-AU"/>
        </w:rPr>
        <w:t>e and Gravity of Imputation D</w:t>
      </w:r>
      <w:bookmarkEnd w:id="48"/>
    </w:p>
    <w:p w14:paraId="10E4C1D1" w14:textId="1DDFCBE6" w:rsidR="00114E03" w:rsidRPr="002A17C2" w:rsidRDefault="007145B8" w:rsidP="00114E03">
      <w:pPr>
        <w:pStyle w:val="ParaNumbering"/>
        <w:rPr>
          <w:rFonts w:eastAsia="Times New Roman"/>
          <w:szCs w:val="24"/>
          <w:lang w:eastAsia="en-AU"/>
        </w:rPr>
      </w:pPr>
      <w:bookmarkStart w:id="49" w:name="Heading672"/>
      <w:bookmarkEnd w:id="49"/>
      <w:r w:rsidRPr="002A17C2">
        <w:rPr>
          <w:rFonts w:eastAsia="Times New Roman"/>
          <w:szCs w:val="24"/>
          <w:lang w:eastAsia="en-AU"/>
        </w:rPr>
        <w:t xml:space="preserve">I have already explained why I think </w:t>
      </w:r>
      <w:r w:rsidR="00C15694">
        <w:rPr>
          <w:rFonts w:eastAsia="Times New Roman"/>
          <w:szCs w:val="24"/>
          <w:lang w:eastAsia="en-AU"/>
        </w:rPr>
        <w:t>Imputation</w:t>
      </w:r>
      <w:r w:rsidR="00114E03" w:rsidRPr="002A17C2">
        <w:rPr>
          <w:rFonts w:eastAsia="Times New Roman"/>
          <w:szCs w:val="24"/>
          <w:lang w:eastAsia="en-AU"/>
        </w:rPr>
        <w:t xml:space="preserve"> </w:t>
      </w:r>
      <w:r w:rsidR="005030EC" w:rsidRPr="002A17C2">
        <w:rPr>
          <w:rFonts w:eastAsia="Times New Roman"/>
          <w:szCs w:val="24"/>
          <w:lang w:eastAsia="en-AU"/>
        </w:rPr>
        <w:t>D</w:t>
      </w:r>
      <w:r w:rsidRPr="002A17C2">
        <w:rPr>
          <w:rFonts w:eastAsia="Times New Roman"/>
          <w:szCs w:val="24"/>
          <w:lang w:eastAsia="en-AU"/>
        </w:rPr>
        <w:t xml:space="preserve"> was conveyed and, in doing so, h</w:t>
      </w:r>
      <w:r w:rsidR="002E212D">
        <w:rPr>
          <w:rFonts w:eastAsia="Times New Roman"/>
          <w:szCs w:val="24"/>
          <w:lang w:eastAsia="en-AU"/>
        </w:rPr>
        <w:t>ave touched upon its nature</w:t>
      </w:r>
      <w:r w:rsidR="007C7692">
        <w:rPr>
          <w:rFonts w:eastAsia="Times New Roman"/>
          <w:szCs w:val="24"/>
          <w:lang w:eastAsia="en-AU"/>
        </w:rPr>
        <w:t xml:space="preserve">. </w:t>
      </w:r>
      <w:r w:rsidRPr="002A17C2">
        <w:rPr>
          <w:rFonts w:eastAsia="Times New Roman"/>
          <w:szCs w:val="24"/>
          <w:lang w:eastAsia="en-AU"/>
        </w:rPr>
        <w:t>To convey that a leading criminal solicitor</w:t>
      </w:r>
      <w:r w:rsidRPr="002A17C2">
        <w:t xml:space="preserve"> was incapable of representing his client’s interests in court by reason of the ravages of age and associated deafness is an imputation of some seriousness.</w:t>
      </w:r>
      <w:r w:rsidR="00D37131" w:rsidRPr="002A17C2">
        <w:t xml:space="preserve"> </w:t>
      </w:r>
      <w:r w:rsidR="00C63669" w:rsidRPr="002A17C2">
        <w:t xml:space="preserve">It reflected upon an important part of Mr Murphy’s professional life in </w:t>
      </w:r>
      <w:r w:rsidR="009D3070" w:rsidRPr="002A17C2">
        <w:t>an</w:t>
      </w:r>
      <w:r w:rsidR="00C63669" w:rsidRPr="002A17C2">
        <w:t xml:space="preserve"> inaccurate </w:t>
      </w:r>
      <w:r w:rsidR="009D3070" w:rsidRPr="002A17C2">
        <w:t xml:space="preserve">and misleading </w:t>
      </w:r>
      <w:r w:rsidR="00C63669" w:rsidRPr="002A17C2">
        <w:t>way.</w:t>
      </w:r>
      <w:r w:rsidR="00D37131" w:rsidRPr="002A17C2">
        <w:t xml:space="preserve"> It is possible to conceive </w:t>
      </w:r>
      <w:r w:rsidR="002276C8" w:rsidRPr="002A17C2">
        <w:t xml:space="preserve">easily </w:t>
      </w:r>
      <w:r w:rsidR="008E7A5B">
        <w:t>of far worse</w:t>
      </w:r>
      <w:r w:rsidR="00D37131" w:rsidRPr="002A17C2">
        <w:t xml:space="preserve"> defamations than saying </w:t>
      </w:r>
      <w:r w:rsidR="002E212D">
        <w:t>a</w:t>
      </w:r>
      <w:r w:rsidR="00D37131" w:rsidRPr="002A17C2">
        <w:t xml:space="preserve"> solicitor was rendered incapable of performing an impor</w:t>
      </w:r>
      <w:r w:rsidR="002E212D">
        <w:t>tant part of his</w:t>
      </w:r>
      <w:r w:rsidR="00607F76">
        <w:t xml:space="preserve"> function by</w:t>
      </w:r>
      <w:r w:rsidR="00D37131" w:rsidRPr="002A17C2">
        <w:t xml:space="preserve"> reason of factors outside the solicitor’s control</w:t>
      </w:r>
      <w:r w:rsidR="002E212D">
        <w:t>.  The article did not suggest Mr Murphy was incompetent (in the sense of being negligent or lacking professional skill); n</w:t>
      </w:r>
      <w:r w:rsidR="002276C8" w:rsidRPr="002A17C2">
        <w:t>or</w:t>
      </w:r>
      <w:r w:rsidR="002E212D">
        <w:t xml:space="preserve"> did it suggest </w:t>
      </w:r>
      <w:r w:rsidR="002276C8" w:rsidRPr="002A17C2">
        <w:t xml:space="preserve">any </w:t>
      </w:r>
      <w:r w:rsidR="008E7A5B">
        <w:t xml:space="preserve">character flaw or </w:t>
      </w:r>
      <w:r w:rsidR="00D37131" w:rsidRPr="002A17C2">
        <w:t xml:space="preserve">moral </w:t>
      </w:r>
      <w:r w:rsidR="002E212D">
        <w:t>turpitude</w:t>
      </w:r>
      <w:r w:rsidR="007C7692">
        <w:t xml:space="preserve">. </w:t>
      </w:r>
      <w:r w:rsidR="00D37131" w:rsidRPr="002A17C2">
        <w:t>But notwithstanding this, it is a</w:t>
      </w:r>
      <w:r w:rsidR="002E212D">
        <w:t xml:space="preserve"> far from trivial thing to convey about a person such as Mr Murphy</w:t>
      </w:r>
      <w:r w:rsidR="002276C8" w:rsidRPr="002A17C2">
        <w:t>.</w:t>
      </w:r>
      <w:r w:rsidR="00D37131" w:rsidRPr="002A17C2">
        <w:t xml:space="preserve">  </w:t>
      </w:r>
      <w:r w:rsidR="00C63669" w:rsidRPr="002A17C2">
        <w:t xml:space="preserve"> </w:t>
      </w:r>
      <w:r w:rsidRPr="002A17C2">
        <w:rPr>
          <w:rFonts w:eastAsia="Times New Roman"/>
          <w:szCs w:val="24"/>
          <w:lang w:eastAsia="en-AU"/>
        </w:rPr>
        <w:t xml:space="preserve"> </w:t>
      </w:r>
      <w:r w:rsidR="00114E03" w:rsidRPr="002A17C2">
        <w:rPr>
          <w:rFonts w:eastAsia="Times New Roman"/>
          <w:szCs w:val="24"/>
          <w:lang w:eastAsia="en-AU"/>
        </w:rPr>
        <w:t xml:space="preserve"> </w:t>
      </w:r>
    </w:p>
    <w:p w14:paraId="32EC1C8F" w14:textId="77777777" w:rsidR="00114E03" w:rsidRPr="002A17C2" w:rsidRDefault="00114E03" w:rsidP="002A17C2">
      <w:pPr>
        <w:pStyle w:val="Heading4"/>
        <w:rPr>
          <w:lang w:eastAsia="en-AU"/>
        </w:rPr>
      </w:pPr>
      <w:bookmarkStart w:id="50" w:name="_Ref69485116"/>
      <w:r w:rsidRPr="002A17C2">
        <w:rPr>
          <w:lang w:eastAsia="en-AU"/>
        </w:rPr>
        <w:t>The Extent of Publication</w:t>
      </w:r>
      <w:bookmarkEnd w:id="50"/>
      <w:r w:rsidRPr="002A17C2">
        <w:rPr>
          <w:lang w:eastAsia="en-AU"/>
        </w:rPr>
        <w:t xml:space="preserve"> </w:t>
      </w:r>
    </w:p>
    <w:p w14:paraId="2710652E" w14:textId="384B255A" w:rsidR="009976FA" w:rsidRPr="008F7856" w:rsidRDefault="002211C5" w:rsidP="009976FA">
      <w:pPr>
        <w:pStyle w:val="ParaNumbering"/>
        <w:rPr>
          <w:lang w:eastAsia="en-AU"/>
        </w:rPr>
      </w:pPr>
      <w:bookmarkStart w:id="51" w:name="Heading676"/>
      <w:bookmarkEnd w:id="51"/>
      <w:r w:rsidRPr="002A17C2">
        <w:rPr>
          <w:lang w:eastAsia="en-AU"/>
        </w:rPr>
        <w:t xml:space="preserve">Attached to </w:t>
      </w:r>
      <w:r w:rsidR="00607F76">
        <w:rPr>
          <w:lang w:eastAsia="en-AU"/>
        </w:rPr>
        <w:t>these reasons</w:t>
      </w:r>
      <w:r w:rsidR="009976FA" w:rsidRPr="002A17C2">
        <w:rPr>
          <w:lang w:eastAsia="en-AU"/>
        </w:rPr>
        <w:t xml:space="preserve"> is</w:t>
      </w:r>
      <w:r w:rsidR="009976FA" w:rsidRPr="008F7856">
        <w:rPr>
          <w:lang w:eastAsia="en-AU"/>
        </w:rPr>
        <w:t xml:space="preserve"> Schedule C. </w:t>
      </w:r>
      <w:r w:rsidRPr="008F7856">
        <w:rPr>
          <w:lang w:eastAsia="en-AU"/>
        </w:rPr>
        <w:t xml:space="preserve">This sets out the uncontested facts concerning the extent of the publication of both the </w:t>
      </w:r>
      <w:r w:rsidR="00CE0F75" w:rsidRPr="008F7856">
        <w:rPr>
          <w:lang w:eastAsia="en-AU"/>
        </w:rPr>
        <w:t xml:space="preserve">print </w:t>
      </w:r>
      <w:r w:rsidRPr="008F7856">
        <w:rPr>
          <w:lang w:eastAsia="en-AU"/>
        </w:rPr>
        <w:t>article and the internet article.</w:t>
      </w:r>
      <w:r w:rsidR="004417D1">
        <w:rPr>
          <w:lang w:eastAsia="en-AU"/>
        </w:rPr>
        <w:t xml:space="preserve"> </w:t>
      </w:r>
      <w:r w:rsidR="009976FA" w:rsidRPr="008F7856">
        <w:rPr>
          <w:lang w:eastAsia="en-AU"/>
        </w:rPr>
        <w:t xml:space="preserve">It demonstrates that publication was very extensive.  </w:t>
      </w:r>
    </w:p>
    <w:p w14:paraId="3B065746" w14:textId="253EECE2" w:rsidR="00114E03" w:rsidRPr="008F7856" w:rsidRDefault="009D3070" w:rsidP="009976FA">
      <w:pPr>
        <w:pStyle w:val="ParaNumbering"/>
        <w:rPr>
          <w:rFonts w:eastAsia="Times New Roman"/>
          <w:szCs w:val="24"/>
          <w:lang w:eastAsia="en-AU"/>
        </w:rPr>
      </w:pPr>
      <w:r w:rsidRPr="008F7856">
        <w:rPr>
          <w:rFonts w:eastAsia="Times New Roman"/>
          <w:szCs w:val="24"/>
          <w:lang w:eastAsia="en-AU"/>
        </w:rPr>
        <w:t>A bowdlerised version of t</w:t>
      </w:r>
      <w:r w:rsidR="00114E03" w:rsidRPr="008F7856">
        <w:rPr>
          <w:rFonts w:eastAsia="Times New Roman"/>
          <w:szCs w:val="24"/>
          <w:lang w:eastAsia="en-AU"/>
        </w:rPr>
        <w:t xml:space="preserve">he </w:t>
      </w:r>
      <w:r w:rsidR="005030EC" w:rsidRPr="008F7856">
        <w:rPr>
          <w:rFonts w:eastAsia="Times New Roman"/>
          <w:szCs w:val="24"/>
          <w:lang w:eastAsia="en-AU"/>
        </w:rPr>
        <w:t>internet article</w:t>
      </w:r>
      <w:r w:rsidR="00114E03" w:rsidRPr="008F7856">
        <w:rPr>
          <w:rFonts w:eastAsia="Times New Roman"/>
          <w:szCs w:val="24"/>
          <w:lang w:eastAsia="en-AU"/>
        </w:rPr>
        <w:t xml:space="preserve"> remain</w:t>
      </w:r>
      <w:r w:rsidR="005030EC" w:rsidRPr="008F7856">
        <w:rPr>
          <w:rFonts w:eastAsia="Times New Roman"/>
          <w:szCs w:val="24"/>
          <w:lang w:eastAsia="en-AU"/>
        </w:rPr>
        <w:t>s</w:t>
      </w:r>
      <w:r w:rsidR="00114E03" w:rsidRPr="008F7856">
        <w:rPr>
          <w:rFonts w:eastAsia="Times New Roman"/>
          <w:szCs w:val="24"/>
          <w:lang w:eastAsia="en-AU"/>
        </w:rPr>
        <w:t xml:space="preserve"> accessible</w:t>
      </w:r>
      <w:r w:rsidRPr="008F7856">
        <w:rPr>
          <w:rFonts w:eastAsia="Times New Roman"/>
          <w:szCs w:val="24"/>
          <w:lang w:eastAsia="en-AU"/>
        </w:rPr>
        <w:t>.</w:t>
      </w:r>
    </w:p>
    <w:p w14:paraId="5DB9E5BC" w14:textId="77777777" w:rsidR="00F77088" w:rsidRDefault="00114E03" w:rsidP="00114E03">
      <w:pPr>
        <w:pStyle w:val="Heading3"/>
        <w:rPr>
          <w:rFonts w:eastAsia="Times New Roman"/>
          <w:bCs/>
          <w:iCs/>
          <w:szCs w:val="24"/>
          <w:lang w:eastAsia="en-AU"/>
        </w:rPr>
      </w:pPr>
      <w:bookmarkStart w:id="52" w:name="_Ref69571659"/>
      <w:bookmarkStart w:id="53" w:name="_Ref69479642"/>
      <w:r w:rsidRPr="00057DB7">
        <w:t xml:space="preserve">Findings </w:t>
      </w:r>
      <w:r w:rsidR="00F77088">
        <w:rPr>
          <w:rFonts w:eastAsia="Times New Roman"/>
          <w:bCs/>
          <w:iCs/>
          <w:szCs w:val="24"/>
          <w:lang w:eastAsia="en-AU"/>
        </w:rPr>
        <w:t>Relevant to Aggravated Damages</w:t>
      </w:r>
      <w:bookmarkEnd w:id="52"/>
    </w:p>
    <w:p w14:paraId="7D4EEFCB" w14:textId="4A389A5D" w:rsidR="0004008F" w:rsidRPr="00057DB7" w:rsidRDefault="00114E03" w:rsidP="00F77088">
      <w:pPr>
        <w:pStyle w:val="Heading4"/>
      </w:pPr>
      <w:bookmarkStart w:id="54" w:name="_Ref69571660"/>
      <w:r w:rsidRPr="00057DB7">
        <w:rPr>
          <w:lang w:eastAsia="en-AU"/>
        </w:rPr>
        <w:t>Alleged Unjustifiable Conduct</w:t>
      </w:r>
      <w:bookmarkEnd w:id="53"/>
      <w:bookmarkEnd w:id="54"/>
    </w:p>
    <w:p w14:paraId="58523701" w14:textId="38072C4D" w:rsidR="000D3160" w:rsidRPr="00057DB7" w:rsidRDefault="00526ED9" w:rsidP="000D3160">
      <w:pPr>
        <w:pStyle w:val="ParaNumbering"/>
        <w:rPr>
          <w:lang w:eastAsia="en-AU"/>
        </w:rPr>
      </w:pPr>
      <w:r>
        <w:rPr>
          <w:lang w:eastAsia="en-AU"/>
        </w:rPr>
        <w:t>The</w:t>
      </w:r>
      <w:r w:rsidR="000D3160" w:rsidRPr="00057DB7">
        <w:rPr>
          <w:lang w:eastAsia="en-AU"/>
        </w:rPr>
        <w:t xml:space="preserve"> nature of </w:t>
      </w:r>
      <w:r w:rsidR="00831C20">
        <w:rPr>
          <w:lang w:eastAsia="en-AU"/>
        </w:rPr>
        <w:t>defamation</w:t>
      </w:r>
      <w:r w:rsidR="000D3160" w:rsidRPr="00057DB7">
        <w:rPr>
          <w:lang w:eastAsia="en-AU"/>
        </w:rPr>
        <w:t xml:space="preserve">, </w:t>
      </w:r>
      <w:r w:rsidR="00F20CF8" w:rsidRPr="00057DB7">
        <w:rPr>
          <w:lang w:eastAsia="en-AU"/>
        </w:rPr>
        <w:t xml:space="preserve">formalism and the accumulated lore of defamation practice has </w:t>
      </w:r>
      <w:r w:rsidR="000D3160" w:rsidRPr="00057DB7">
        <w:rPr>
          <w:lang w:eastAsia="en-AU"/>
        </w:rPr>
        <w:t>detached this area of the law f</w:t>
      </w:r>
      <w:r w:rsidR="00F20CF8" w:rsidRPr="00057DB7">
        <w:rPr>
          <w:lang w:eastAsia="en-AU"/>
        </w:rPr>
        <w:t>r</w:t>
      </w:r>
      <w:r w:rsidR="000D3160" w:rsidRPr="00057DB7">
        <w:rPr>
          <w:lang w:eastAsia="en-AU"/>
        </w:rPr>
        <w:t>o</w:t>
      </w:r>
      <w:r w:rsidR="00F20CF8" w:rsidRPr="00057DB7">
        <w:rPr>
          <w:lang w:eastAsia="en-AU"/>
        </w:rPr>
        <w:t>m the m</w:t>
      </w:r>
      <w:r w:rsidR="000D3160" w:rsidRPr="00057DB7">
        <w:rPr>
          <w:lang w:eastAsia="en-AU"/>
        </w:rPr>
        <w:t>ainstream of the law of torts</w:t>
      </w:r>
      <w:r>
        <w:rPr>
          <w:lang w:eastAsia="en-AU"/>
        </w:rPr>
        <w:t xml:space="preserve"> in a number of respects</w:t>
      </w:r>
      <w:r w:rsidR="000D3160" w:rsidRPr="00057DB7">
        <w:rPr>
          <w:lang w:eastAsia="en-AU"/>
        </w:rPr>
        <w:t xml:space="preserve">. </w:t>
      </w:r>
      <w:r w:rsidR="008E7A5B">
        <w:rPr>
          <w:lang w:eastAsia="en-AU"/>
        </w:rPr>
        <w:t>One aspect</w:t>
      </w:r>
      <w:r w:rsidR="00831C20">
        <w:rPr>
          <w:lang w:eastAsia="en-AU"/>
        </w:rPr>
        <w:t xml:space="preserve"> where this is evident is </w:t>
      </w:r>
      <w:r w:rsidR="009C71A7" w:rsidRPr="00057DB7">
        <w:rPr>
          <w:lang w:eastAsia="en-AU"/>
        </w:rPr>
        <w:t xml:space="preserve">the </w:t>
      </w:r>
      <w:r w:rsidR="008E7A5B">
        <w:rPr>
          <w:lang w:eastAsia="en-AU"/>
        </w:rPr>
        <w:t xml:space="preserve">laser-like </w:t>
      </w:r>
      <w:r w:rsidR="009C71A7" w:rsidRPr="00057DB7">
        <w:rPr>
          <w:lang w:eastAsia="en-AU"/>
        </w:rPr>
        <w:t xml:space="preserve">focus on </w:t>
      </w:r>
      <w:r w:rsidR="008E7A5B">
        <w:rPr>
          <w:lang w:eastAsia="en-AU"/>
        </w:rPr>
        <w:t>seeking aggravated damages. The</w:t>
      </w:r>
      <w:r w:rsidR="000D3160" w:rsidRPr="00057DB7">
        <w:rPr>
          <w:lang w:eastAsia="en-AU"/>
        </w:rPr>
        <w:t xml:space="preserve"> reason is obvious and has already been touched upon: the statutory cap of damages can be exceeded if the Court is satisfied that the circumstances of the publication are such as to call for aggravated damages: s 35(2). </w:t>
      </w:r>
    </w:p>
    <w:p w14:paraId="65150FBB" w14:textId="6836A6A3" w:rsidR="000D3160" w:rsidRPr="00057DB7" w:rsidRDefault="009C71A7" w:rsidP="009C71A7">
      <w:pPr>
        <w:pStyle w:val="ParaNumbering"/>
        <w:rPr>
          <w:rFonts w:eastAsia="Times New Roman"/>
          <w:szCs w:val="24"/>
          <w:lang w:eastAsia="en-AU"/>
        </w:rPr>
      </w:pPr>
      <w:r w:rsidRPr="00057DB7">
        <w:rPr>
          <w:rFonts w:eastAsia="Times New Roman"/>
          <w:szCs w:val="24"/>
          <w:lang w:eastAsia="en-AU"/>
        </w:rPr>
        <w:t xml:space="preserve">At the risk of stating the obvious, it is useful to start with </w:t>
      </w:r>
      <w:r w:rsidRPr="00057DB7">
        <w:rPr>
          <w:lang w:eastAsia="en-AU"/>
        </w:rPr>
        <w:t xml:space="preserve">some fundamentals: </w:t>
      </w:r>
      <w:r w:rsidR="000D3160" w:rsidRPr="00057DB7">
        <w:rPr>
          <w:lang w:eastAsia="en-AU"/>
        </w:rPr>
        <w:t xml:space="preserve">(a) </w:t>
      </w:r>
      <w:r w:rsidRPr="00057DB7">
        <w:rPr>
          <w:lang w:eastAsia="en-AU"/>
        </w:rPr>
        <w:t>aggravated compensatory damages do not const</w:t>
      </w:r>
      <w:r w:rsidR="008E7A5B">
        <w:rPr>
          <w:lang w:eastAsia="en-AU"/>
        </w:rPr>
        <w:t>itute a separate head of damage</w:t>
      </w:r>
      <w:r w:rsidRPr="00057DB7">
        <w:rPr>
          <w:lang w:eastAsia="en-AU"/>
        </w:rPr>
        <w:t xml:space="preserve"> but involve an increase in compensatory damages as a result of conduct by the wrongdoer inc</w:t>
      </w:r>
      <w:r w:rsidR="00F7214C">
        <w:rPr>
          <w:lang w:eastAsia="en-AU"/>
        </w:rPr>
        <w:t xml:space="preserve">reasing the harm suffered; (b) </w:t>
      </w:r>
      <w:r w:rsidRPr="00057DB7">
        <w:rPr>
          <w:lang w:eastAsia="en-AU"/>
        </w:rPr>
        <w:t xml:space="preserve">in defamation, </w:t>
      </w:r>
      <w:r w:rsidR="000D3160" w:rsidRPr="00057DB7">
        <w:rPr>
          <w:lang w:eastAsia="en-AU"/>
        </w:rPr>
        <w:t>they may be awarded by way of compensation for injury resulting from the circumstances and manner of a re</w:t>
      </w:r>
      <w:r w:rsidRPr="00057DB7">
        <w:rPr>
          <w:lang w:eastAsia="en-AU"/>
        </w:rPr>
        <w:t>spondent publisher’s wrongdoing</w:t>
      </w:r>
      <w:r w:rsidR="000D3160" w:rsidRPr="00057DB7">
        <w:rPr>
          <w:lang w:eastAsia="en-AU"/>
        </w:rPr>
        <w:t xml:space="preserve"> </w:t>
      </w:r>
      <w:r w:rsidR="002E4A25" w:rsidRPr="00057DB7">
        <w:rPr>
          <w:lang w:eastAsia="en-AU"/>
        </w:rPr>
        <w:t>but</w:t>
      </w:r>
      <w:r w:rsidR="000D3160" w:rsidRPr="00057DB7">
        <w:rPr>
          <w:lang w:eastAsia="en-AU"/>
        </w:rPr>
        <w:t xml:space="preserve"> a respondent’s conduct after publication may </w:t>
      </w:r>
      <w:r w:rsidR="002E4A25" w:rsidRPr="00057DB7">
        <w:rPr>
          <w:lang w:eastAsia="en-AU"/>
        </w:rPr>
        <w:t xml:space="preserve">also be relevantly </w:t>
      </w:r>
      <w:r w:rsidR="000D3160" w:rsidRPr="00057DB7">
        <w:rPr>
          <w:lang w:eastAsia="en-AU"/>
        </w:rPr>
        <w:t xml:space="preserve">taken into account as improperly aggravating </w:t>
      </w:r>
      <w:r w:rsidR="000D3160" w:rsidRPr="00057DB7">
        <w:rPr>
          <w:lang w:eastAsia="en-AU"/>
        </w:rPr>
        <w:lastRenderedPageBreak/>
        <w:t>injury done to the applicant</w:t>
      </w:r>
      <w:r w:rsidRPr="00057DB7">
        <w:rPr>
          <w:lang w:eastAsia="en-AU"/>
        </w:rPr>
        <w:t xml:space="preserve">; and (c) </w:t>
      </w:r>
      <w:r w:rsidR="002E4A25" w:rsidRPr="00057DB7">
        <w:rPr>
          <w:lang w:eastAsia="en-AU"/>
        </w:rPr>
        <w:t>they</w:t>
      </w:r>
      <w:r w:rsidRPr="00057DB7">
        <w:rPr>
          <w:lang w:eastAsia="en-AU"/>
        </w:rPr>
        <w:t xml:space="preserve"> can only be awarded where the relevant </w:t>
      </w:r>
      <w:r w:rsidR="000D3160" w:rsidRPr="00057DB7">
        <w:rPr>
          <w:lang w:eastAsia="en-AU"/>
        </w:rPr>
        <w:t xml:space="preserve">conduct meets the threshold of being unjustified, improper or lacking </w:t>
      </w:r>
      <w:r w:rsidR="000D3160" w:rsidRPr="00057DB7">
        <w:rPr>
          <w:i/>
          <w:iCs/>
          <w:lang w:eastAsia="en-AU"/>
        </w:rPr>
        <w:t>bona fides</w:t>
      </w:r>
      <w:r w:rsidR="000D3160" w:rsidRPr="00057DB7">
        <w:rPr>
          <w:lang w:eastAsia="en-AU"/>
        </w:rPr>
        <w:t xml:space="preserve">. </w:t>
      </w:r>
    </w:p>
    <w:p w14:paraId="74096820" w14:textId="6EE2E816" w:rsidR="002211C5" w:rsidRPr="00057DB7" w:rsidRDefault="002211C5" w:rsidP="002E4A25">
      <w:pPr>
        <w:pStyle w:val="ParaNumbering"/>
        <w:rPr>
          <w:rFonts w:eastAsia="Times New Roman"/>
          <w:szCs w:val="24"/>
          <w:lang w:eastAsia="en-AU"/>
        </w:rPr>
      </w:pPr>
      <w:r w:rsidRPr="00057DB7">
        <w:rPr>
          <w:rFonts w:eastAsia="Times New Roman"/>
          <w:szCs w:val="24"/>
          <w:lang w:eastAsia="en-AU"/>
        </w:rPr>
        <w:t xml:space="preserve">Mr Murphy relies upon </w:t>
      </w:r>
      <w:r w:rsidR="002E4A25" w:rsidRPr="00057DB7">
        <w:rPr>
          <w:rFonts w:eastAsia="Times New Roman"/>
          <w:szCs w:val="24"/>
          <w:lang w:eastAsia="en-AU"/>
        </w:rPr>
        <w:t xml:space="preserve">no less that thirteen matters which can be broken down as between </w:t>
      </w:r>
      <w:r w:rsidR="00F7214C">
        <w:rPr>
          <w:rFonts w:eastAsia="Times New Roman"/>
          <w:szCs w:val="24"/>
          <w:lang w:eastAsia="en-AU"/>
        </w:rPr>
        <w:t xml:space="preserve">the </w:t>
      </w:r>
      <w:r w:rsidRPr="00057DB7">
        <w:rPr>
          <w:rFonts w:eastAsia="Times New Roman"/>
          <w:szCs w:val="24"/>
          <w:lang w:eastAsia="en-AU"/>
        </w:rPr>
        <w:t xml:space="preserve">circumstances of publication </w:t>
      </w:r>
      <w:r w:rsidR="002E4A25" w:rsidRPr="00057DB7">
        <w:rPr>
          <w:rFonts w:eastAsia="Times New Roman"/>
          <w:szCs w:val="24"/>
          <w:lang w:eastAsia="en-AU"/>
        </w:rPr>
        <w:t>and post-publication conduct.  As to the former, Mr Murphy relies upon the following circumstances</w:t>
      </w:r>
      <w:r w:rsidRPr="00057DB7">
        <w:rPr>
          <w:rFonts w:eastAsia="Times New Roman"/>
          <w:szCs w:val="24"/>
          <w:lang w:eastAsia="en-AU"/>
        </w:rPr>
        <w:t>:</w:t>
      </w:r>
    </w:p>
    <w:p w14:paraId="27EC82BF" w14:textId="23CB6FD8"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failure to make proper inquiries or in</w:t>
      </w:r>
      <w:r>
        <w:rPr>
          <w:lang w:eastAsia="en-AU"/>
        </w:rPr>
        <w:t xml:space="preserve">vestigate prior to publication; </w:t>
      </w:r>
    </w:p>
    <w:p w14:paraId="37609B40" w14:textId="5D3E43B0"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 xml:space="preserve">promotion of the matters complained of on social media to boost publication (Murphy 1 </w:t>
      </w:r>
      <w:r w:rsidR="00981438">
        <w:rPr>
          <w:lang w:eastAsia="en-AU"/>
        </w:rPr>
        <w:t xml:space="preserve">(at </w:t>
      </w:r>
      <w:r w:rsidR="002211C5" w:rsidRPr="00057DB7">
        <w:rPr>
          <w:lang w:eastAsia="en-AU"/>
        </w:rPr>
        <w:t>[37])</w:t>
      </w:r>
      <w:r w:rsidR="00981438">
        <w:rPr>
          <w:lang w:eastAsia="en-AU"/>
        </w:rPr>
        <w:t>)</w:t>
      </w:r>
      <w:r w:rsidR="002211C5" w:rsidRPr="00057DB7">
        <w:rPr>
          <w:lang w:eastAsia="en-AU"/>
        </w:rPr>
        <w:t>;</w:t>
      </w:r>
    </w:p>
    <w:p w14:paraId="1030B321" w14:textId="5D8FCEE6"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 xml:space="preserve">republication of the </w:t>
      </w:r>
      <w:r>
        <w:rPr>
          <w:lang w:eastAsia="en-AU"/>
        </w:rPr>
        <w:t>internet article</w:t>
      </w:r>
      <w:r w:rsidR="002211C5" w:rsidRPr="00057DB7">
        <w:rPr>
          <w:lang w:eastAsia="en-AU"/>
        </w:rPr>
        <w:t xml:space="preserve"> by News on the websites of its interstate newspapers (Murphy 2 </w:t>
      </w:r>
      <w:r w:rsidR="00981438">
        <w:rPr>
          <w:lang w:eastAsia="en-AU"/>
        </w:rPr>
        <w:t xml:space="preserve">(at </w:t>
      </w:r>
      <w:r w:rsidR="002211C5" w:rsidRPr="00057DB7">
        <w:rPr>
          <w:lang w:eastAsia="en-AU"/>
        </w:rPr>
        <w:t>[8]</w:t>
      </w:r>
      <w:r w:rsidR="00981438">
        <w:rPr>
          <w:lang w:eastAsia="en-AU"/>
        </w:rPr>
        <w:t>)</w:t>
      </w:r>
      <w:r w:rsidR="002211C5" w:rsidRPr="00057DB7">
        <w:rPr>
          <w:lang w:eastAsia="en-AU"/>
        </w:rPr>
        <w:t>);</w:t>
      </w:r>
    </w:p>
    <w:p w14:paraId="3754BA67" w14:textId="263BCC10" w:rsidR="002211C5" w:rsidRPr="00057DB7" w:rsidRDefault="002211C5" w:rsidP="0052163E">
      <w:pPr>
        <w:pStyle w:val="ListNo1"/>
        <w:numPr>
          <w:ilvl w:val="0"/>
          <w:numId w:val="41"/>
        </w:numPr>
        <w:rPr>
          <w:lang w:eastAsia="en-AU"/>
        </w:rPr>
      </w:pPr>
      <w:r w:rsidRPr="00057DB7">
        <w:rPr>
          <w:lang w:eastAsia="en-AU"/>
        </w:rPr>
        <w:t xml:space="preserve">the motivation of </w:t>
      </w:r>
      <w:r w:rsidR="00C15694">
        <w:rPr>
          <w:lang w:eastAsia="en-AU"/>
        </w:rPr>
        <w:t>Ms</w:t>
      </w:r>
      <w:r w:rsidRPr="00057DB7">
        <w:rPr>
          <w:lang w:eastAsia="en-AU"/>
        </w:rPr>
        <w:t xml:space="preserve"> Sharp to seek retribution for earlier proceedings brough</w:t>
      </w:r>
      <w:r w:rsidR="0052163E" w:rsidRPr="00057DB7">
        <w:rPr>
          <w:lang w:eastAsia="en-AU"/>
        </w:rPr>
        <w:t xml:space="preserve">t by Mr Murphy (Murphy 1 </w:t>
      </w:r>
      <w:r w:rsidR="00343F5A">
        <w:rPr>
          <w:lang w:eastAsia="en-AU"/>
        </w:rPr>
        <w:t xml:space="preserve">(at </w:t>
      </w:r>
      <w:r w:rsidR="0052163E" w:rsidRPr="00057DB7">
        <w:rPr>
          <w:lang w:eastAsia="en-AU"/>
        </w:rPr>
        <w:t>[36]</w:t>
      </w:r>
      <w:r w:rsidR="00343F5A">
        <w:rPr>
          <w:lang w:eastAsia="en-AU"/>
        </w:rPr>
        <w:t>)</w:t>
      </w:r>
      <w:r w:rsidR="0052163E" w:rsidRPr="00057DB7">
        <w:rPr>
          <w:lang w:eastAsia="en-AU"/>
        </w:rPr>
        <w:t xml:space="preserve">); this was alleged to be </w:t>
      </w:r>
      <w:r w:rsidRPr="00057DB7">
        <w:rPr>
          <w:lang w:eastAsia="en-AU"/>
        </w:rPr>
        <w:t>malicious and improper;</w:t>
      </w:r>
    </w:p>
    <w:p w14:paraId="487FCAD9" w14:textId="20CC5B78"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presentation of the matters complained of in an over sensationalised manner indicating an intent to injure Mr Mu</w:t>
      </w:r>
      <w:r w:rsidR="00343F5A">
        <w:rPr>
          <w:lang w:eastAsia="en-AU"/>
        </w:rPr>
        <w:t>rphy</w:t>
      </w:r>
      <w:r w:rsidR="002211C5" w:rsidRPr="00057DB7">
        <w:rPr>
          <w:lang w:eastAsia="en-AU"/>
        </w:rPr>
        <w:t>;</w:t>
      </w:r>
    </w:p>
    <w:p w14:paraId="6995C0F8" w14:textId="39F5755D"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 xml:space="preserve">failure of News and Ms Sharp to ever respond to, or act upon, the letter of demand (Murphy 1 </w:t>
      </w:r>
      <w:r w:rsidR="004B503D">
        <w:rPr>
          <w:lang w:eastAsia="en-AU"/>
        </w:rPr>
        <w:t xml:space="preserve">(at </w:t>
      </w:r>
      <w:r w:rsidR="002211C5" w:rsidRPr="00057DB7">
        <w:rPr>
          <w:lang w:eastAsia="en-AU"/>
        </w:rPr>
        <w:t>[39])</w:t>
      </w:r>
      <w:r w:rsidR="00607F76">
        <w:rPr>
          <w:lang w:eastAsia="en-AU"/>
        </w:rPr>
        <w:t>)</w:t>
      </w:r>
      <w:r w:rsidR="002211C5" w:rsidRPr="00057DB7">
        <w:rPr>
          <w:lang w:eastAsia="en-AU"/>
        </w:rPr>
        <w:t>; and</w:t>
      </w:r>
    </w:p>
    <w:p w14:paraId="3118D7A4" w14:textId="681BAEFC" w:rsidR="002211C5" w:rsidRPr="00057DB7" w:rsidRDefault="00831C20" w:rsidP="0052163E">
      <w:pPr>
        <w:pStyle w:val="ListNo1"/>
        <w:numPr>
          <w:ilvl w:val="0"/>
          <w:numId w:val="41"/>
        </w:numPr>
        <w:rPr>
          <w:lang w:eastAsia="en-AU"/>
        </w:rPr>
      </w:pPr>
      <w:r>
        <w:rPr>
          <w:lang w:eastAsia="en-AU"/>
        </w:rPr>
        <w:t xml:space="preserve">the </w:t>
      </w:r>
      <w:r w:rsidR="002211C5" w:rsidRPr="00057DB7">
        <w:rPr>
          <w:lang w:eastAsia="en-AU"/>
        </w:rPr>
        <w:t>continued</w:t>
      </w:r>
      <w:r w:rsidR="002211C5" w:rsidRPr="00057DB7">
        <w:rPr>
          <w:rFonts w:eastAsia="Times New Roman"/>
          <w:szCs w:val="24"/>
          <w:lang w:eastAsia="en-AU"/>
        </w:rPr>
        <w:t xml:space="preserve"> publication online. </w:t>
      </w:r>
    </w:p>
    <w:p w14:paraId="2115777C" w14:textId="15CB6B28" w:rsidR="002211C5" w:rsidRPr="00057DB7" w:rsidRDefault="002211C5" w:rsidP="002211C5">
      <w:pPr>
        <w:pStyle w:val="ParaNumbering"/>
        <w:rPr>
          <w:rFonts w:eastAsia="Times New Roman"/>
          <w:szCs w:val="24"/>
          <w:lang w:eastAsia="en-AU"/>
        </w:rPr>
      </w:pPr>
      <w:r w:rsidRPr="00057DB7">
        <w:rPr>
          <w:rFonts w:eastAsia="Times New Roman"/>
          <w:szCs w:val="24"/>
          <w:lang w:eastAsia="en-AU"/>
        </w:rPr>
        <w:t xml:space="preserve">Additionally, the following post-publication matters </w:t>
      </w:r>
      <w:r w:rsidR="002E4A25" w:rsidRPr="00057DB7">
        <w:rPr>
          <w:rFonts w:eastAsia="Times New Roman"/>
          <w:szCs w:val="24"/>
          <w:lang w:eastAsia="en-AU"/>
        </w:rPr>
        <w:t xml:space="preserve">are </w:t>
      </w:r>
      <w:r w:rsidR="00526ED9">
        <w:rPr>
          <w:rFonts w:eastAsia="Times New Roman"/>
          <w:szCs w:val="24"/>
          <w:lang w:eastAsia="en-AU"/>
        </w:rPr>
        <w:t>relied upon</w:t>
      </w:r>
      <w:r w:rsidRPr="00057DB7">
        <w:rPr>
          <w:rFonts w:eastAsia="Times New Roman"/>
          <w:szCs w:val="24"/>
          <w:lang w:eastAsia="en-AU"/>
        </w:rPr>
        <w:t xml:space="preserve">:  </w:t>
      </w:r>
    </w:p>
    <w:p w14:paraId="4F959FC5" w14:textId="0C25AC29" w:rsidR="002211C5" w:rsidRPr="00057DB7" w:rsidRDefault="00831C20" w:rsidP="0052163E">
      <w:pPr>
        <w:pStyle w:val="ListNo1"/>
        <w:numPr>
          <w:ilvl w:val="0"/>
          <w:numId w:val="41"/>
        </w:numPr>
        <w:rPr>
          <w:lang w:eastAsia="en-AU"/>
        </w:rPr>
      </w:pPr>
      <w:r>
        <w:rPr>
          <w:lang w:eastAsia="en-AU"/>
        </w:rPr>
        <w:t>the</w:t>
      </w:r>
      <w:r w:rsidR="002211C5" w:rsidRPr="00057DB7">
        <w:rPr>
          <w:lang w:eastAsia="en-AU"/>
        </w:rPr>
        <w:t xml:space="preserve"> denial of publication </w:t>
      </w:r>
      <w:r w:rsidR="00526ED9" w:rsidRPr="00057DB7">
        <w:rPr>
          <w:lang w:eastAsia="en-AU"/>
        </w:rPr>
        <w:t xml:space="preserve">by Ms Sharp </w:t>
      </w:r>
      <w:r w:rsidR="00526ED9">
        <w:rPr>
          <w:lang w:eastAsia="en-AU"/>
        </w:rPr>
        <w:t>(even during the trial when</w:t>
      </w:r>
      <w:r w:rsidR="002E4A25" w:rsidRPr="00057DB7">
        <w:rPr>
          <w:lang w:eastAsia="en-AU"/>
        </w:rPr>
        <w:t xml:space="preserve"> a further amended d</w:t>
      </w:r>
      <w:r w:rsidR="002211C5" w:rsidRPr="00057DB7">
        <w:rPr>
          <w:lang w:eastAsia="en-AU"/>
        </w:rPr>
        <w:t xml:space="preserve">efence was filed) despite admitting to authoring almost the entirety of the </w:t>
      </w:r>
      <w:r w:rsidR="002E4A25" w:rsidRPr="00057DB7">
        <w:rPr>
          <w:lang w:eastAsia="en-AU"/>
        </w:rPr>
        <w:t>article</w:t>
      </w:r>
      <w:r>
        <w:rPr>
          <w:lang w:eastAsia="en-AU"/>
        </w:rPr>
        <w:t>;</w:t>
      </w:r>
      <w:r w:rsidR="002211C5" w:rsidRPr="00057DB7">
        <w:rPr>
          <w:lang w:eastAsia="en-AU"/>
        </w:rPr>
        <w:t xml:space="preserve"> </w:t>
      </w:r>
    </w:p>
    <w:p w14:paraId="3A1F2C99" w14:textId="5D540A45" w:rsidR="002211C5" w:rsidRPr="00057DB7" w:rsidRDefault="00831C20" w:rsidP="0052163E">
      <w:pPr>
        <w:pStyle w:val="ListNo1"/>
        <w:numPr>
          <w:ilvl w:val="0"/>
          <w:numId w:val="41"/>
        </w:numPr>
        <w:rPr>
          <w:lang w:eastAsia="en-AU"/>
        </w:rPr>
      </w:pPr>
      <w:r>
        <w:rPr>
          <w:lang w:eastAsia="en-AU"/>
        </w:rPr>
        <w:t>the</w:t>
      </w:r>
      <w:r w:rsidR="002211C5" w:rsidRPr="00057DB7">
        <w:rPr>
          <w:lang w:eastAsia="en-AU"/>
        </w:rPr>
        <w:t xml:space="preserve"> maintenance of a so-called </w:t>
      </w:r>
      <w:proofErr w:type="spellStart"/>
      <w:r w:rsidR="002211C5" w:rsidRPr="00057DB7">
        <w:rPr>
          <w:i/>
          <w:lang w:eastAsia="en-AU"/>
        </w:rPr>
        <w:t>Hore</w:t>
      </w:r>
      <w:proofErr w:type="spellEnd"/>
      <w:r w:rsidR="002211C5" w:rsidRPr="00057DB7">
        <w:rPr>
          <w:i/>
          <w:lang w:eastAsia="en-AU"/>
        </w:rPr>
        <w:t>-Lacy</w:t>
      </w:r>
      <w:r w:rsidR="002211C5" w:rsidRPr="00057DB7">
        <w:rPr>
          <w:lang w:eastAsia="en-AU"/>
        </w:rPr>
        <w:t xml:space="preserve"> defence </w:t>
      </w:r>
      <w:r w:rsidR="002E4A25" w:rsidRPr="00057DB7">
        <w:rPr>
          <w:lang w:eastAsia="en-AU"/>
        </w:rPr>
        <w:t xml:space="preserve">seeking to </w:t>
      </w:r>
      <w:r w:rsidR="002211C5" w:rsidRPr="00057DB7">
        <w:rPr>
          <w:lang w:eastAsia="en-AU"/>
        </w:rPr>
        <w:t xml:space="preserve">prove an </w:t>
      </w:r>
      <w:proofErr w:type="spellStart"/>
      <w:r>
        <w:rPr>
          <w:lang w:eastAsia="en-AU"/>
        </w:rPr>
        <w:t>unpleaded</w:t>
      </w:r>
      <w:proofErr w:type="spellEnd"/>
      <w:r>
        <w:rPr>
          <w:lang w:eastAsia="en-AU"/>
        </w:rPr>
        <w:t xml:space="preserve"> defamatory imputation;</w:t>
      </w:r>
    </w:p>
    <w:p w14:paraId="58FEAFDD" w14:textId="278A0790" w:rsidR="00320E24" w:rsidRPr="00057DB7" w:rsidRDefault="00831C20" w:rsidP="002E4A25">
      <w:pPr>
        <w:pStyle w:val="ListNo1"/>
        <w:numPr>
          <w:ilvl w:val="0"/>
          <w:numId w:val="41"/>
        </w:numPr>
        <w:rPr>
          <w:lang w:eastAsia="en-AU"/>
        </w:rPr>
      </w:pPr>
      <w:r>
        <w:rPr>
          <w:lang w:eastAsia="en-AU"/>
        </w:rPr>
        <w:t>the</w:t>
      </w:r>
      <w:r w:rsidR="002211C5" w:rsidRPr="00057DB7">
        <w:rPr>
          <w:lang w:eastAsia="en-AU"/>
        </w:rPr>
        <w:t xml:space="preserve"> maintenance of the justification defence despite the </w:t>
      </w:r>
      <w:r w:rsidR="00B82879">
        <w:rPr>
          <w:lang w:eastAsia="en-AU"/>
        </w:rPr>
        <w:t>adoption of the r</w:t>
      </w:r>
      <w:r w:rsidR="002211C5" w:rsidRPr="00057DB7">
        <w:rPr>
          <w:lang w:eastAsia="en-AU"/>
        </w:rPr>
        <w:t>eferee reports and i</w:t>
      </w:r>
      <w:r w:rsidR="002E4A25" w:rsidRPr="00057DB7">
        <w:rPr>
          <w:lang w:eastAsia="en-AU"/>
        </w:rPr>
        <w:t>t being self-evidently hopeless</w:t>
      </w:r>
      <w:r>
        <w:rPr>
          <w:lang w:eastAsia="en-AU"/>
        </w:rPr>
        <w:t>;</w:t>
      </w:r>
      <w:r w:rsidR="002211C5" w:rsidRPr="00057DB7">
        <w:rPr>
          <w:lang w:eastAsia="en-AU"/>
        </w:rPr>
        <w:t xml:space="preserve"> </w:t>
      </w:r>
    </w:p>
    <w:p w14:paraId="3DAD99A9" w14:textId="7BAADADD" w:rsidR="009D64B0" w:rsidRPr="00057DB7" w:rsidRDefault="00831C20" w:rsidP="0052163E">
      <w:pPr>
        <w:pStyle w:val="ListNo1"/>
        <w:numPr>
          <w:ilvl w:val="0"/>
          <w:numId w:val="41"/>
        </w:numPr>
        <w:rPr>
          <w:lang w:eastAsia="en-AU"/>
        </w:rPr>
      </w:pPr>
      <w:r>
        <w:rPr>
          <w:lang w:eastAsia="en-AU"/>
        </w:rPr>
        <w:t>the</w:t>
      </w:r>
      <w:r w:rsidR="002211C5" w:rsidRPr="00057DB7">
        <w:rPr>
          <w:lang w:eastAsia="en-AU"/>
        </w:rPr>
        <w:t xml:space="preserve"> failure </w:t>
      </w:r>
      <w:r w:rsidR="0052163E" w:rsidRPr="00057DB7">
        <w:rPr>
          <w:lang w:eastAsia="en-AU"/>
        </w:rPr>
        <w:t>t</w:t>
      </w:r>
      <w:r w:rsidR="00B82879">
        <w:rPr>
          <w:lang w:eastAsia="en-AU"/>
        </w:rPr>
        <w:t>o apologise</w:t>
      </w:r>
      <w:r>
        <w:rPr>
          <w:lang w:eastAsia="en-AU"/>
        </w:rPr>
        <w:t>;</w:t>
      </w:r>
    </w:p>
    <w:p w14:paraId="47ECC335" w14:textId="345A2517" w:rsidR="002211C5" w:rsidRPr="00057DB7" w:rsidRDefault="00831C20" w:rsidP="0052163E">
      <w:pPr>
        <w:pStyle w:val="ListNo1"/>
        <w:numPr>
          <w:ilvl w:val="0"/>
          <w:numId w:val="41"/>
        </w:numPr>
        <w:rPr>
          <w:lang w:eastAsia="en-AU"/>
        </w:rPr>
      </w:pPr>
      <w:r>
        <w:rPr>
          <w:lang w:eastAsia="en-AU"/>
        </w:rPr>
        <w:t>the</w:t>
      </w:r>
      <w:r w:rsidR="002211C5" w:rsidRPr="00057DB7">
        <w:rPr>
          <w:lang w:eastAsia="en-AU"/>
        </w:rPr>
        <w:t xml:space="preserve"> conduct of Ms Sharp in publishing the allegations in circumstances where, it</w:t>
      </w:r>
      <w:r w:rsidR="002211C5" w:rsidRPr="00057DB7">
        <w:rPr>
          <w:rFonts w:eastAsia="Times New Roman"/>
          <w:szCs w:val="24"/>
          <w:lang w:eastAsia="en-AU"/>
        </w:rPr>
        <w:t xml:space="preserve"> can be inferred from drafts of the </w:t>
      </w:r>
      <w:r>
        <w:rPr>
          <w:rFonts w:eastAsia="Times New Roman"/>
          <w:szCs w:val="24"/>
          <w:lang w:eastAsia="en-AU"/>
        </w:rPr>
        <w:t>article</w:t>
      </w:r>
      <w:r w:rsidR="002211C5" w:rsidRPr="00057DB7">
        <w:rPr>
          <w:rFonts w:eastAsia="Times New Roman"/>
          <w:szCs w:val="24"/>
          <w:lang w:eastAsia="en-AU"/>
        </w:rPr>
        <w:t xml:space="preserve">, that the opinion of Ms Sharp was contrary to, or inconsistent with, </w:t>
      </w:r>
      <w:r w:rsidR="00C15694">
        <w:rPr>
          <w:rFonts w:eastAsia="Times New Roman"/>
          <w:szCs w:val="24"/>
          <w:lang w:eastAsia="en-AU"/>
        </w:rPr>
        <w:t xml:space="preserve">the </w:t>
      </w:r>
      <w:r w:rsidR="002211C5" w:rsidRPr="00057DB7">
        <w:rPr>
          <w:rFonts w:eastAsia="Times New Roman"/>
          <w:szCs w:val="24"/>
          <w:lang w:eastAsia="en-AU"/>
        </w:rPr>
        <w:t xml:space="preserve">allegations made about </w:t>
      </w:r>
      <w:r>
        <w:rPr>
          <w:rFonts w:eastAsia="Times New Roman"/>
          <w:szCs w:val="24"/>
          <w:lang w:eastAsia="en-AU"/>
        </w:rPr>
        <w:t>Mr Murphy;</w:t>
      </w:r>
    </w:p>
    <w:p w14:paraId="6109A7C9" w14:textId="7DA4B049" w:rsidR="006A3394" w:rsidRPr="008533E3" w:rsidRDefault="002211C5" w:rsidP="008533E3">
      <w:pPr>
        <w:pStyle w:val="ListNo1"/>
        <w:numPr>
          <w:ilvl w:val="0"/>
          <w:numId w:val="41"/>
        </w:numPr>
        <w:rPr>
          <w:rFonts w:eastAsia="Times New Roman"/>
          <w:szCs w:val="24"/>
          <w:lang w:eastAsia="en-AU"/>
        </w:rPr>
      </w:pPr>
      <w:r w:rsidRPr="00057DB7">
        <w:rPr>
          <w:rFonts w:eastAsia="Times New Roman"/>
          <w:szCs w:val="24"/>
          <w:lang w:eastAsia="en-AU"/>
        </w:rPr>
        <w:t xml:space="preserve">the affidavit of </w:t>
      </w:r>
      <w:proofErr w:type="spellStart"/>
      <w:r w:rsidRPr="00057DB7">
        <w:rPr>
          <w:rFonts w:eastAsia="Times New Roman"/>
          <w:szCs w:val="24"/>
          <w:lang w:eastAsia="en-AU"/>
        </w:rPr>
        <w:t>Marlia</w:t>
      </w:r>
      <w:proofErr w:type="spellEnd"/>
      <w:r w:rsidRPr="00057DB7">
        <w:rPr>
          <w:rFonts w:eastAsia="Times New Roman"/>
          <w:szCs w:val="24"/>
          <w:lang w:eastAsia="en-AU"/>
        </w:rPr>
        <w:t xml:space="preserve"> Saunders </w:t>
      </w:r>
      <w:r w:rsidR="002C7256">
        <w:rPr>
          <w:rFonts w:eastAsia="Times New Roman"/>
          <w:szCs w:val="24"/>
          <w:lang w:eastAsia="en-AU"/>
        </w:rPr>
        <w:t>affirmed</w:t>
      </w:r>
      <w:r w:rsidRPr="00057DB7">
        <w:rPr>
          <w:rFonts w:eastAsia="Times New Roman"/>
          <w:szCs w:val="24"/>
          <w:lang w:eastAsia="en-AU"/>
        </w:rPr>
        <w:t xml:space="preserve"> 18 March 2020, that deposes to the fact that the </w:t>
      </w:r>
      <w:r w:rsidR="002E4A25" w:rsidRPr="00057DB7">
        <w:rPr>
          <w:rFonts w:eastAsia="Times New Roman"/>
          <w:szCs w:val="24"/>
          <w:lang w:eastAsia="en-AU"/>
        </w:rPr>
        <w:t>internet article</w:t>
      </w:r>
      <w:r w:rsidRPr="00057DB7">
        <w:rPr>
          <w:rFonts w:eastAsia="Times New Roman"/>
          <w:szCs w:val="24"/>
          <w:lang w:eastAsia="en-AU"/>
        </w:rPr>
        <w:t xml:space="preserve"> (and the various instances of republication on other websites </w:t>
      </w:r>
      <w:r w:rsidRPr="00057DB7">
        <w:rPr>
          <w:rFonts w:eastAsia="Times New Roman"/>
          <w:szCs w:val="24"/>
          <w:lang w:eastAsia="en-AU"/>
        </w:rPr>
        <w:lastRenderedPageBreak/>
        <w:t>controlled by News) was amended on 9 March 2021</w:t>
      </w:r>
      <w:r w:rsidR="002E4A25" w:rsidRPr="00057DB7">
        <w:rPr>
          <w:rFonts w:eastAsia="Times New Roman"/>
          <w:szCs w:val="24"/>
          <w:lang w:eastAsia="en-AU"/>
        </w:rPr>
        <w:t>; r</w:t>
      </w:r>
      <w:r w:rsidRPr="00057DB7">
        <w:rPr>
          <w:rFonts w:eastAsia="Times New Roman"/>
          <w:szCs w:val="24"/>
          <w:lang w:eastAsia="en-AU"/>
        </w:rPr>
        <w:t xml:space="preserve">elevantly, the revisions remove any reference to the </w:t>
      </w:r>
      <w:r w:rsidR="002E4A25" w:rsidRPr="00057DB7">
        <w:rPr>
          <w:rFonts w:eastAsia="Times New Roman"/>
          <w:szCs w:val="24"/>
          <w:lang w:eastAsia="en-AU"/>
        </w:rPr>
        <w:t>“</w:t>
      </w:r>
      <w:r w:rsidRPr="00057DB7">
        <w:rPr>
          <w:rFonts w:eastAsia="Times New Roman"/>
          <w:szCs w:val="24"/>
          <w:lang w:eastAsia="en-AU"/>
        </w:rPr>
        <w:t>critical paragraph</w:t>
      </w:r>
      <w:r w:rsidR="002E4A25" w:rsidRPr="00057DB7">
        <w:rPr>
          <w:rFonts w:eastAsia="Times New Roman"/>
          <w:szCs w:val="24"/>
          <w:lang w:eastAsia="en-AU"/>
        </w:rPr>
        <w:t>”</w:t>
      </w:r>
      <w:r w:rsidRPr="00057DB7">
        <w:rPr>
          <w:rFonts w:eastAsia="Times New Roman"/>
          <w:szCs w:val="24"/>
          <w:lang w:eastAsia="en-AU"/>
        </w:rPr>
        <w:t xml:space="preserve"> ([10] of the </w:t>
      </w:r>
      <w:r w:rsidR="002E4A25" w:rsidRPr="00057DB7">
        <w:rPr>
          <w:rFonts w:eastAsia="Times New Roman"/>
          <w:szCs w:val="24"/>
          <w:lang w:eastAsia="en-AU"/>
        </w:rPr>
        <w:t>print article</w:t>
      </w:r>
      <w:r w:rsidRPr="00057DB7">
        <w:rPr>
          <w:rFonts w:eastAsia="Times New Roman"/>
          <w:szCs w:val="24"/>
          <w:lang w:eastAsia="en-AU"/>
        </w:rPr>
        <w:t xml:space="preserve"> and [12] </w:t>
      </w:r>
      <w:r w:rsidR="002E4A25" w:rsidRPr="00057DB7">
        <w:rPr>
          <w:rFonts w:eastAsia="Times New Roman"/>
          <w:szCs w:val="24"/>
          <w:lang w:eastAsia="en-AU"/>
        </w:rPr>
        <w:t xml:space="preserve">in the internet article); in particular, the </w:t>
      </w:r>
      <w:r w:rsidRPr="00057DB7">
        <w:rPr>
          <w:rFonts w:eastAsia="Times New Roman"/>
          <w:szCs w:val="24"/>
          <w:lang w:eastAsia="en-AU"/>
        </w:rPr>
        <w:t xml:space="preserve">original version </w:t>
      </w:r>
      <w:r w:rsidR="002E4A25" w:rsidRPr="00057DB7">
        <w:rPr>
          <w:rFonts w:eastAsia="Times New Roman"/>
          <w:szCs w:val="24"/>
          <w:lang w:eastAsia="en-AU"/>
        </w:rPr>
        <w:t>was:</w:t>
      </w:r>
      <w:r w:rsidRPr="00057DB7">
        <w:rPr>
          <w:rFonts w:eastAsia="Times New Roman"/>
          <w:szCs w:val="24"/>
          <w:lang w:eastAsia="en-AU"/>
        </w:rPr>
        <w:t xml:space="preserve"> </w:t>
      </w:r>
      <w:r w:rsidR="002E4A25" w:rsidRPr="00057DB7">
        <w:rPr>
          <w:rFonts w:eastAsia="Times New Roman"/>
          <w:szCs w:val="24"/>
          <w:lang w:eastAsia="en-AU"/>
        </w:rPr>
        <w:t>“</w:t>
      </w:r>
      <w:r w:rsidRPr="00057DB7">
        <w:rPr>
          <w:rFonts w:eastAsia="Times New Roman"/>
          <w:szCs w:val="24"/>
          <w:lang w:eastAsia="en-AU"/>
        </w:rPr>
        <w:t>Murphy, who will be 72 this month, continues to battle the ravages of age and with it the associated deafness that has kept him from representing his famous client</w:t>
      </w:r>
      <w:r w:rsidR="002E4A25" w:rsidRPr="00057DB7">
        <w:rPr>
          <w:rFonts w:eastAsia="Times New Roman"/>
          <w:szCs w:val="24"/>
          <w:lang w:eastAsia="en-AU"/>
        </w:rPr>
        <w:t>s in court during the past year”; whereas the revised version now reads: “</w:t>
      </w:r>
      <w:r w:rsidRPr="00057DB7">
        <w:rPr>
          <w:rFonts w:eastAsia="Times New Roman"/>
          <w:szCs w:val="24"/>
          <w:lang w:eastAsia="en-AU"/>
        </w:rPr>
        <w:t>Murphy, who will be 72 this month, continues</w:t>
      </w:r>
      <w:r w:rsidR="00831C20">
        <w:rPr>
          <w:rFonts w:eastAsia="Times New Roman"/>
          <w:szCs w:val="24"/>
          <w:lang w:eastAsia="en-AU"/>
        </w:rPr>
        <w:t xml:space="preserve"> to manage matters for his firm’</w:t>
      </w:r>
      <w:r w:rsidR="00607F76">
        <w:rPr>
          <w:rFonts w:eastAsia="Times New Roman"/>
          <w:szCs w:val="24"/>
          <w:lang w:eastAsia="en-AU"/>
        </w:rPr>
        <w:t>s famous clients, but hasn’</w:t>
      </w:r>
      <w:r w:rsidRPr="00057DB7">
        <w:rPr>
          <w:rFonts w:eastAsia="Times New Roman"/>
          <w:szCs w:val="24"/>
          <w:lang w:eastAsia="en-AU"/>
        </w:rPr>
        <w:t>t been seen to represent them in court as much in recent times</w:t>
      </w:r>
      <w:r w:rsidR="002E4A25" w:rsidRPr="00057DB7">
        <w:rPr>
          <w:rFonts w:eastAsia="Times New Roman"/>
          <w:szCs w:val="24"/>
          <w:lang w:eastAsia="en-AU"/>
        </w:rPr>
        <w:t>”</w:t>
      </w:r>
      <w:r w:rsidR="00A43D66" w:rsidRPr="00057DB7">
        <w:rPr>
          <w:rFonts w:eastAsia="Times New Roman"/>
          <w:szCs w:val="24"/>
          <w:lang w:eastAsia="en-AU"/>
        </w:rPr>
        <w:t xml:space="preserve">; it is said </w:t>
      </w:r>
      <w:r w:rsidR="00C15694">
        <w:rPr>
          <w:rFonts w:eastAsia="Times New Roman"/>
          <w:szCs w:val="24"/>
          <w:lang w:eastAsia="en-AU"/>
        </w:rPr>
        <w:t xml:space="preserve">that </w:t>
      </w:r>
      <w:r w:rsidRPr="00057DB7">
        <w:rPr>
          <w:rFonts w:eastAsia="Times New Roman"/>
          <w:szCs w:val="24"/>
          <w:lang w:eastAsia="en-AU"/>
        </w:rPr>
        <w:t xml:space="preserve">this revision constitutes </w:t>
      </w:r>
      <w:r w:rsidR="00A43D66" w:rsidRPr="00057DB7">
        <w:rPr>
          <w:rFonts w:eastAsia="Times New Roman"/>
          <w:szCs w:val="24"/>
          <w:lang w:eastAsia="en-AU"/>
        </w:rPr>
        <w:t>an</w:t>
      </w:r>
      <w:r w:rsidRPr="00057DB7">
        <w:rPr>
          <w:rFonts w:eastAsia="Times New Roman"/>
          <w:szCs w:val="24"/>
          <w:lang w:eastAsia="en-AU"/>
        </w:rPr>
        <w:t xml:space="preserve"> admission by News </w:t>
      </w:r>
      <w:r w:rsidR="00A43D66" w:rsidRPr="00057DB7">
        <w:rPr>
          <w:rFonts w:eastAsia="Times New Roman"/>
          <w:szCs w:val="24"/>
          <w:lang w:eastAsia="en-AU"/>
        </w:rPr>
        <w:t xml:space="preserve">which is </w:t>
      </w:r>
      <w:r w:rsidRPr="00057DB7">
        <w:rPr>
          <w:rFonts w:eastAsia="Times New Roman"/>
          <w:szCs w:val="24"/>
          <w:lang w:eastAsia="en-AU"/>
        </w:rPr>
        <w:t>aggravating in two respects</w:t>
      </w:r>
      <w:r w:rsidR="00A43D66" w:rsidRPr="00057DB7">
        <w:rPr>
          <w:rFonts w:eastAsia="Times New Roman"/>
          <w:szCs w:val="24"/>
          <w:lang w:eastAsia="en-AU"/>
        </w:rPr>
        <w:t xml:space="preserve">: (a) </w:t>
      </w:r>
      <w:r w:rsidRPr="00057DB7">
        <w:rPr>
          <w:rFonts w:eastAsia="Times New Roman"/>
          <w:szCs w:val="24"/>
          <w:lang w:eastAsia="en-AU"/>
        </w:rPr>
        <w:t>delay</w:t>
      </w:r>
      <w:r w:rsidR="00A43D66" w:rsidRPr="00057DB7">
        <w:rPr>
          <w:rFonts w:eastAsia="Times New Roman"/>
          <w:szCs w:val="24"/>
          <w:lang w:eastAsia="en-AU"/>
        </w:rPr>
        <w:t xml:space="preserve">; and (b) </w:t>
      </w:r>
      <w:r w:rsidRPr="00057DB7">
        <w:rPr>
          <w:rFonts w:eastAsia="Times New Roman"/>
          <w:szCs w:val="24"/>
          <w:lang w:eastAsia="en-AU"/>
        </w:rPr>
        <w:t>the persistence with the justification defence</w:t>
      </w:r>
      <w:r w:rsidR="00A43D66" w:rsidRPr="00057DB7">
        <w:rPr>
          <w:rFonts w:eastAsia="Times New Roman"/>
          <w:szCs w:val="24"/>
          <w:lang w:eastAsia="en-AU"/>
        </w:rPr>
        <w:t xml:space="preserve"> which was said</w:t>
      </w:r>
      <w:r w:rsidR="002C7256">
        <w:rPr>
          <w:rFonts w:eastAsia="Times New Roman"/>
          <w:szCs w:val="24"/>
          <w:lang w:eastAsia="en-AU"/>
        </w:rPr>
        <w:t xml:space="preserve"> to be </w:t>
      </w:r>
      <w:r w:rsidR="00A43D66" w:rsidRPr="00057DB7">
        <w:rPr>
          <w:rFonts w:eastAsia="Times New Roman"/>
          <w:szCs w:val="24"/>
          <w:lang w:eastAsia="en-AU"/>
        </w:rPr>
        <w:t xml:space="preserve"> “</w:t>
      </w:r>
      <w:r w:rsidRPr="00057DB7">
        <w:rPr>
          <w:rFonts w:eastAsia="Times New Roman"/>
          <w:szCs w:val="24"/>
          <w:lang w:eastAsia="en-AU"/>
        </w:rPr>
        <w:t>in many respects indistinguishable from an exercise in disability shaming</w:t>
      </w:r>
      <w:r w:rsidR="00A43D66" w:rsidRPr="00057DB7">
        <w:rPr>
          <w:rFonts w:eastAsia="Times New Roman"/>
          <w:szCs w:val="24"/>
          <w:lang w:eastAsia="en-AU"/>
        </w:rPr>
        <w:t>” and</w:t>
      </w:r>
      <w:r w:rsidRPr="00057DB7">
        <w:rPr>
          <w:rFonts w:eastAsia="Times New Roman"/>
          <w:szCs w:val="24"/>
          <w:lang w:eastAsia="en-AU"/>
        </w:rPr>
        <w:t xml:space="preserve">, in the face of </w:t>
      </w:r>
      <w:r w:rsidR="00A43D66" w:rsidRPr="00057DB7">
        <w:rPr>
          <w:rFonts w:eastAsia="Times New Roman"/>
          <w:szCs w:val="24"/>
          <w:lang w:eastAsia="en-AU"/>
        </w:rPr>
        <w:t>the</w:t>
      </w:r>
      <w:r w:rsidRPr="00057DB7">
        <w:rPr>
          <w:rFonts w:eastAsia="Times New Roman"/>
          <w:szCs w:val="24"/>
          <w:lang w:eastAsia="en-AU"/>
        </w:rPr>
        <w:t xml:space="preserve"> effective admission as to the defamatory nature of the article, </w:t>
      </w:r>
      <w:r w:rsidR="00A43D66" w:rsidRPr="00057DB7">
        <w:rPr>
          <w:rFonts w:eastAsia="Times New Roman"/>
          <w:szCs w:val="24"/>
          <w:lang w:eastAsia="en-AU"/>
        </w:rPr>
        <w:t>“</w:t>
      </w:r>
      <w:r w:rsidRPr="00057DB7">
        <w:rPr>
          <w:rFonts w:eastAsia="Times New Roman"/>
          <w:szCs w:val="24"/>
          <w:lang w:eastAsia="en-AU"/>
        </w:rPr>
        <w:t>is baffling</w:t>
      </w:r>
      <w:r w:rsidR="00A43D66" w:rsidRPr="00057DB7">
        <w:rPr>
          <w:rFonts w:eastAsia="Times New Roman"/>
          <w:szCs w:val="24"/>
          <w:lang w:eastAsia="en-AU"/>
        </w:rPr>
        <w:t>”.</w:t>
      </w:r>
    </w:p>
    <w:p w14:paraId="465A0E6F" w14:textId="4B51B475" w:rsidR="001F2570" w:rsidRPr="001F2570" w:rsidRDefault="001F2570" w:rsidP="00F77088">
      <w:pPr>
        <w:pStyle w:val="Heading4"/>
      </w:pPr>
      <w:bookmarkStart w:id="55" w:name="_Ref69479643"/>
      <w:r>
        <w:rPr>
          <w:lang w:eastAsia="en-AU"/>
        </w:rPr>
        <w:t>Consideration</w:t>
      </w:r>
      <w:bookmarkEnd w:id="55"/>
      <w:r>
        <w:rPr>
          <w:lang w:eastAsia="en-AU"/>
        </w:rPr>
        <w:t xml:space="preserve"> </w:t>
      </w:r>
    </w:p>
    <w:p w14:paraId="47DFF968" w14:textId="77494FAE" w:rsidR="006A3394" w:rsidRPr="00057DB7" w:rsidRDefault="00831C20" w:rsidP="006A3394">
      <w:pPr>
        <w:pStyle w:val="ParaNumbering"/>
        <w:rPr>
          <w:rFonts w:eastAsia="Times New Roman"/>
          <w:szCs w:val="24"/>
          <w:lang w:eastAsia="en-AU"/>
        </w:rPr>
      </w:pPr>
      <w:r>
        <w:rPr>
          <w:rFonts w:eastAsia="Times New Roman"/>
          <w:szCs w:val="24"/>
          <w:lang w:eastAsia="en-AU"/>
        </w:rPr>
        <w:t xml:space="preserve">I accept that Mr Murphy gave evidence that </w:t>
      </w:r>
      <w:r w:rsidR="00B82879">
        <w:rPr>
          <w:rFonts w:eastAsia="Times New Roman"/>
          <w:szCs w:val="24"/>
          <w:lang w:eastAsia="en-AU"/>
        </w:rPr>
        <w:t xml:space="preserve">each of </w:t>
      </w:r>
      <w:r>
        <w:rPr>
          <w:rFonts w:eastAsia="Times New Roman"/>
          <w:szCs w:val="24"/>
          <w:lang w:eastAsia="en-AU"/>
        </w:rPr>
        <w:t>these circumstances a</w:t>
      </w:r>
      <w:r w:rsidR="008E7A5B">
        <w:rPr>
          <w:rFonts w:eastAsia="Times New Roman"/>
          <w:szCs w:val="24"/>
          <w:lang w:eastAsia="en-AU"/>
        </w:rPr>
        <w:t xml:space="preserve">ggravated his subjective hurt. </w:t>
      </w:r>
      <w:r>
        <w:rPr>
          <w:rFonts w:eastAsia="Times New Roman"/>
          <w:szCs w:val="24"/>
          <w:lang w:eastAsia="en-AU"/>
        </w:rPr>
        <w:t>But this aspect of Mr Murphy’s claim can be resolved even without determining whether that evidence can be accepted in all respects.  T</w:t>
      </w:r>
      <w:r w:rsidR="006A3394" w:rsidRPr="00057DB7">
        <w:rPr>
          <w:rFonts w:eastAsia="Times New Roman"/>
          <w:szCs w:val="24"/>
          <w:lang w:eastAsia="en-AU"/>
        </w:rPr>
        <w:t>here are two overriding difficulties with the thirteen circumst</w:t>
      </w:r>
      <w:r w:rsidR="00A84090">
        <w:rPr>
          <w:rFonts w:eastAsia="Times New Roman"/>
          <w:szCs w:val="24"/>
          <w:lang w:eastAsia="en-AU"/>
        </w:rPr>
        <w:t>ances relied upon by Mr Murphy</w:t>
      </w:r>
      <w:r w:rsidR="006A3394" w:rsidRPr="00057DB7">
        <w:rPr>
          <w:rFonts w:eastAsia="Times New Roman"/>
          <w:szCs w:val="24"/>
          <w:lang w:eastAsia="en-AU"/>
        </w:rPr>
        <w:t xml:space="preserve">: </w:t>
      </w:r>
      <w:r w:rsidR="006A3394" w:rsidRPr="00831C20">
        <w:rPr>
          <w:rFonts w:eastAsia="Times New Roman"/>
          <w:i/>
          <w:szCs w:val="24"/>
          <w:lang w:eastAsia="en-AU"/>
        </w:rPr>
        <w:t>first</w:t>
      </w:r>
      <w:r w:rsidR="006A3394" w:rsidRPr="00057DB7">
        <w:rPr>
          <w:rFonts w:eastAsia="Times New Roman"/>
          <w:szCs w:val="24"/>
          <w:lang w:eastAsia="en-AU"/>
        </w:rPr>
        <w:t xml:space="preserve">, </w:t>
      </w:r>
      <w:r w:rsidR="003055C9" w:rsidRPr="00057DB7">
        <w:rPr>
          <w:rFonts w:eastAsia="Times New Roman"/>
          <w:szCs w:val="24"/>
          <w:lang w:eastAsia="en-AU"/>
        </w:rPr>
        <w:t>in significant respects</w:t>
      </w:r>
      <w:r>
        <w:rPr>
          <w:rFonts w:eastAsia="Times New Roman"/>
          <w:szCs w:val="24"/>
          <w:lang w:eastAsia="en-AU"/>
        </w:rPr>
        <w:t>,</w:t>
      </w:r>
      <w:r w:rsidR="003055C9" w:rsidRPr="00057DB7">
        <w:rPr>
          <w:rFonts w:eastAsia="Times New Roman"/>
          <w:szCs w:val="24"/>
          <w:lang w:eastAsia="en-AU"/>
        </w:rPr>
        <w:t xml:space="preserve"> Mr Murphy overstates the significance of the conduct that </w:t>
      </w:r>
      <w:r>
        <w:rPr>
          <w:rFonts w:eastAsia="Times New Roman"/>
          <w:szCs w:val="24"/>
          <w:lang w:eastAsia="en-AU"/>
        </w:rPr>
        <w:t>he relies upon (or mischaracteris</w:t>
      </w:r>
      <w:r w:rsidR="003055C9" w:rsidRPr="00057DB7">
        <w:rPr>
          <w:rFonts w:eastAsia="Times New Roman"/>
          <w:szCs w:val="24"/>
          <w:lang w:eastAsia="en-AU"/>
        </w:rPr>
        <w:t>es an ordinary incident of contested litigation as something more</w:t>
      </w:r>
      <w:r>
        <w:rPr>
          <w:rFonts w:eastAsia="Times New Roman"/>
          <w:szCs w:val="24"/>
          <w:lang w:eastAsia="en-AU"/>
        </w:rPr>
        <w:t>)</w:t>
      </w:r>
      <w:r w:rsidR="003055C9" w:rsidRPr="00057DB7">
        <w:rPr>
          <w:rFonts w:eastAsia="Times New Roman"/>
          <w:szCs w:val="24"/>
          <w:lang w:eastAsia="en-AU"/>
        </w:rPr>
        <w:t xml:space="preserve">; and </w:t>
      </w:r>
      <w:r w:rsidR="003055C9" w:rsidRPr="00831C20">
        <w:rPr>
          <w:rFonts w:eastAsia="Times New Roman"/>
          <w:i/>
          <w:szCs w:val="24"/>
          <w:lang w:eastAsia="en-AU"/>
        </w:rPr>
        <w:t>secondly</w:t>
      </w:r>
      <w:r w:rsidR="003055C9" w:rsidRPr="00057DB7">
        <w:rPr>
          <w:rFonts w:eastAsia="Times New Roman"/>
          <w:szCs w:val="24"/>
          <w:lang w:eastAsia="en-AU"/>
        </w:rPr>
        <w:t xml:space="preserve">, none of the conduct, properly </w:t>
      </w:r>
      <w:r w:rsidR="00057DB7" w:rsidRPr="00057DB7">
        <w:rPr>
          <w:rFonts w:eastAsia="Times New Roman"/>
          <w:szCs w:val="24"/>
          <w:lang w:eastAsia="en-AU"/>
        </w:rPr>
        <w:t>analysed</w:t>
      </w:r>
      <w:r w:rsidR="003055C9" w:rsidRPr="00057DB7">
        <w:rPr>
          <w:rFonts w:eastAsia="Times New Roman"/>
          <w:szCs w:val="24"/>
          <w:lang w:eastAsia="en-AU"/>
        </w:rPr>
        <w:t xml:space="preserve">, reaches the requisite level of </w:t>
      </w:r>
      <w:r>
        <w:rPr>
          <w:rFonts w:eastAsia="Times New Roman"/>
          <w:szCs w:val="24"/>
          <w:lang w:eastAsia="en-AU"/>
        </w:rPr>
        <w:t>being conduct which was</w:t>
      </w:r>
      <w:r w:rsidR="003055C9" w:rsidRPr="00057DB7">
        <w:rPr>
          <w:rFonts w:eastAsia="Times New Roman"/>
          <w:szCs w:val="24"/>
          <w:lang w:eastAsia="en-AU"/>
        </w:rPr>
        <w:t xml:space="preserve"> unjustified, improper or lacking in </w:t>
      </w:r>
      <w:r w:rsidR="003055C9" w:rsidRPr="00057DB7">
        <w:rPr>
          <w:rFonts w:eastAsia="Times New Roman"/>
          <w:i/>
          <w:szCs w:val="24"/>
          <w:lang w:eastAsia="en-AU"/>
        </w:rPr>
        <w:t>bona fides</w:t>
      </w:r>
      <w:r w:rsidR="003055C9" w:rsidRPr="00057DB7">
        <w:rPr>
          <w:rFonts w:eastAsia="Times New Roman"/>
          <w:szCs w:val="24"/>
          <w:lang w:eastAsia="en-AU"/>
        </w:rPr>
        <w:t>.</w:t>
      </w:r>
    </w:p>
    <w:p w14:paraId="766FF57A" w14:textId="77777777" w:rsidR="003055C9" w:rsidRPr="00057DB7" w:rsidRDefault="003055C9" w:rsidP="006A3394">
      <w:pPr>
        <w:pStyle w:val="ParaNumbering"/>
        <w:rPr>
          <w:rFonts w:eastAsia="Times New Roman"/>
          <w:szCs w:val="24"/>
          <w:lang w:eastAsia="en-AU"/>
        </w:rPr>
      </w:pPr>
      <w:r w:rsidRPr="00057DB7">
        <w:rPr>
          <w:rFonts w:eastAsia="Times New Roman"/>
          <w:szCs w:val="24"/>
          <w:lang w:eastAsia="en-AU"/>
        </w:rPr>
        <w:t>Taking the circumstances in turn, I find as follows:</w:t>
      </w:r>
    </w:p>
    <w:p w14:paraId="40293C56" w14:textId="64D710C6" w:rsidR="003055C9" w:rsidRPr="00057DB7" w:rsidRDefault="003055C9" w:rsidP="003055C9">
      <w:pPr>
        <w:pStyle w:val="ListNo1"/>
        <w:numPr>
          <w:ilvl w:val="0"/>
          <w:numId w:val="45"/>
        </w:numPr>
        <w:rPr>
          <w:lang w:eastAsia="en-AU"/>
        </w:rPr>
      </w:pPr>
      <w:r w:rsidRPr="00057DB7">
        <w:rPr>
          <w:lang w:eastAsia="en-AU"/>
        </w:rPr>
        <w:t xml:space="preserve">As to </w:t>
      </w:r>
      <w:r w:rsidR="00607F76">
        <w:rPr>
          <w:lang w:eastAsia="en-AU"/>
        </w:rPr>
        <w:t xml:space="preserve">the </w:t>
      </w:r>
      <w:r w:rsidR="00831C20" w:rsidRPr="00057DB7">
        <w:rPr>
          <w:lang w:eastAsia="en-AU"/>
        </w:rPr>
        <w:t>failure to make proper inquiries</w:t>
      </w:r>
      <w:r w:rsidRPr="00057DB7">
        <w:rPr>
          <w:lang w:eastAsia="en-AU"/>
        </w:rPr>
        <w:t xml:space="preserve">, there was nothing unjustifiable, improper or </w:t>
      </w:r>
      <w:r w:rsidRPr="000C7F91">
        <w:rPr>
          <w:lang w:eastAsia="en-AU"/>
        </w:rPr>
        <w:t>lacking in</w:t>
      </w:r>
      <w:r w:rsidRPr="00057DB7">
        <w:rPr>
          <w:i/>
          <w:lang w:eastAsia="en-AU"/>
        </w:rPr>
        <w:t xml:space="preserve"> bona fides</w:t>
      </w:r>
      <w:r w:rsidR="000C7F91">
        <w:rPr>
          <w:lang w:eastAsia="en-AU"/>
        </w:rPr>
        <w:t xml:space="preserve"> in Ms Sharp</w:t>
      </w:r>
      <w:r w:rsidRPr="00057DB7">
        <w:rPr>
          <w:lang w:eastAsia="en-AU"/>
        </w:rPr>
        <w:t xml:space="preserve"> not undertaking further investigation prior to publication; the article was inaccurate in an important and material sense</w:t>
      </w:r>
      <w:r w:rsidR="000C7F91">
        <w:rPr>
          <w:lang w:eastAsia="en-AU"/>
        </w:rPr>
        <w:t xml:space="preserve">; but not every </w:t>
      </w:r>
      <w:r w:rsidR="00600086">
        <w:rPr>
          <w:lang w:eastAsia="en-AU"/>
        </w:rPr>
        <w:t xml:space="preserve">such </w:t>
      </w:r>
      <w:r w:rsidR="000C7F91">
        <w:rPr>
          <w:lang w:eastAsia="en-AU"/>
        </w:rPr>
        <w:t xml:space="preserve">mistake is relevantly </w:t>
      </w:r>
      <w:r w:rsidR="000C7F91">
        <w:rPr>
          <w:rFonts w:eastAsia="Times New Roman"/>
          <w:szCs w:val="24"/>
          <w:lang w:eastAsia="en-AU"/>
        </w:rPr>
        <w:t xml:space="preserve">unjustified or </w:t>
      </w:r>
      <w:r w:rsidR="000C7F91" w:rsidRPr="00057DB7">
        <w:rPr>
          <w:rFonts w:eastAsia="Times New Roman"/>
          <w:szCs w:val="24"/>
          <w:lang w:eastAsia="en-AU"/>
        </w:rPr>
        <w:t>improper</w:t>
      </w:r>
      <w:r w:rsidR="00A179D8">
        <w:rPr>
          <w:lang w:eastAsia="en-AU"/>
        </w:rPr>
        <w:t>.</w:t>
      </w:r>
    </w:p>
    <w:p w14:paraId="08FC8231" w14:textId="05710AC0" w:rsidR="003055C9" w:rsidRPr="00057DB7" w:rsidRDefault="003055C9" w:rsidP="003055C9">
      <w:pPr>
        <w:pStyle w:val="ListNo1"/>
        <w:numPr>
          <w:ilvl w:val="0"/>
          <w:numId w:val="45"/>
        </w:numPr>
        <w:rPr>
          <w:lang w:eastAsia="en-AU"/>
        </w:rPr>
      </w:pPr>
      <w:r w:rsidRPr="00057DB7">
        <w:rPr>
          <w:lang w:eastAsia="en-AU"/>
        </w:rPr>
        <w:t xml:space="preserve">As to </w:t>
      </w:r>
      <w:r w:rsidR="00B65CB6" w:rsidRPr="00057DB7">
        <w:rPr>
          <w:lang w:eastAsia="en-AU"/>
        </w:rPr>
        <w:t>publicis</w:t>
      </w:r>
      <w:r w:rsidR="00AD3DE7">
        <w:rPr>
          <w:lang w:eastAsia="en-AU"/>
        </w:rPr>
        <w:t xml:space="preserve">ing the article </w:t>
      </w:r>
      <w:r w:rsidRPr="00057DB7">
        <w:rPr>
          <w:lang w:eastAsia="en-AU"/>
        </w:rPr>
        <w:t>on social media</w:t>
      </w:r>
      <w:r w:rsidR="00AD3DE7">
        <w:rPr>
          <w:lang w:eastAsia="en-AU"/>
        </w:rPr>
        <w:t xml:space="preserve"> or “interstate” websites</w:t>
      </w:r>
      <w:r w:rsidRPr="00057DB7">
        <w:rPr>
          <w:lang w:eastAsia="en-AU"/>
        </w:rPr>
        <w:t xml:space="preserve">, this </w:t>
      </w:r>
      <w:r w:rsidR="00AD3DE7">
        <w:rPr>
          <w:lang w:eastAsia="en-AU"/>
        </w:rPr>
        <w:t xml:space="preserve">conduct, </w:t>
      </w:r>
      <w:r w:rsidRPr="00057DB7">
        <w:rPr>
          <w:lang w:eastAsia="en-AU"/>
        </w:rPr>
        <w:t>by itself</w:t>
      </w:r>
      <w:r w:rsidR="00AD3DE7">
        <w:rPr>
          <w:lang w:eastAsia="en-AU"/>
        </w:rPr>
        <w:t>,</w:t>
      </w:r>
      <w:r w:rsidRPr="00057DB7">
        <w:rPr>
          <w:lang w:eastAsia="en-AU"/>
        </w:rPr>
        <w:t xml:space="preserve"> is not improper </w:t>
      </w:r>
      <w:r w:rsidR="00B82879">
        <w:rPr>
          <w:lang w:eastAsia="en-AU"/>
        </w:rPr>
        <w:t>n</w:t>
      </w:r>
      <w:r w:rsidRPr="00057DB7">
        <w:rPr>
          <w:lang w:eastAsia="en-AU"/>
        </w:rPr>
        <w:t xml:space="preserve">or unjustifiable, it is an ordinary incident of the way in which newspapers seek to </w:t>
      </w:r>
      <w:r w:rsidR="00B65CB6" w:rsidRPr="00057DB7">
        <w:rPr>
          <w:lang w:eastAsia="en-AU"/>
        </w:rPr>
        <w:t>publicis</w:t>
      </w:r>
      <w:r w:rsidR="00B82879">
        <w:rPr>
          <w:lang w:eastAsia="en-AU"/>
        </w:rPr>
        <w:t xml:space="preserve">e </w:t>
      </w:r>
      <w:r w:rsidR="00600086">
        <w:rPr>
          <w:lang w:eastAsia="en-AU"/>
        </w:rPr>
        <w:t xml:space="preserve">published </w:t>
      </w:r>
      <w:r w:rsidR="00B82879">
        <w:rPr>
          <w:lang w:eastAsia="en-AU"/>
        </w:rPr>
        <w:t>material</w:t>
      </w:r>
      <w:r w:rsidR="00A179D8">
        <w:rPr>
          <w:lang w:eastAsia="en-AU"/>
        </w:rPr>
        <w:t>.</w:t>
      </w:r>
    </w:p>
    <w:p w14:paraId="5A1B4833" w14:textId="4EFBDF62" w:rsidR="00A42EAA" w:rsidRPr="00057DB7" w:rsidRDefault="00A42EAA" w:rsidP="003055C9">
      <w:pPr>
        <w:pStyle w:val="ListNo1"/>
        <w:numPr>
          <w:ilvl w:val="0"/>
          <w:numId w:val="45"/>
        </w:numPr>
        <w:rPr>
          <w:lang w:eastAsia="en-AU"/>
        </w:rPr>
      </w:pPr>
      <w:r w:rsidRPr="00057DB7">
        <w:rPr>
          <w:lang w:eastAsia="en-AU"/>
        </w:rPr>
        <w:t xml:space="preserve">As to the motivations of Ms </w:t>
      </w:r>
      <w:r w:rsidR="0058440A" w:rsidRPr="00057DB7">
        <w:rPr>
          <w:lang w:eastAsia="en-AU"/>
        </w:rPr>
        <w:t>Sharp</w:t>
      </w:r>
      <w:r w:rsidRPr="00057DB7">
        <w:rPr>
          <w:lang w:eastAsia="en-AU"/>
        </w:rPr>
        <w:t xml:space="preserve">, I am not satisfied in accordance with s 140(1) of the </w:t>
      </w:r>
      <w:r w:rsidR="00B0345C">
        <w:rPr>
          <w:i/>
          <w:lang w:eastAsia="en-AU"/>
        </w:rPr>
        <w:t>Evidence Act</w:t>
      </w:r>
      <w:r w:rsidRPr="00057DB7">
        <w:rPr>
          <w:lang w:eastAsia="en-AU"/>
        </w:rPr>
        <w:t xml:space="preserve"> that Ms </w:t>
      </w:r>
      <w:r w:rsidR="0058440A" w:rsidRPr="00057DB7">
        <w:rPr>
          <w:lang w:eastAsia="en-AU"/>
        </w:rPr>
        <w:t>Sharp</w:t>
      </w:r>
      <w:r w:rsidRPr="00057DB7">
        <w:rPr>
          <w:lang w:eastAsia="en-AU"/>
        </w:rPr>
        <w:t xml:space="preserve"> was motivated by any malicious or impro</w:t>
      </w:r>
      <w:r w:rsidR="00CD0DB4">
        <w:rPr>
          <w:lang w:eastAsia="en-AU"/>
        </w:rPr>
        <w:t xml:space="preserve">per intention as submitted. </w:t>
      </w:r>
      <w:r w:rsidR="00AD3DE7">
        <w:rPr>
          <w:lang w:eastAsia="en-AU"/>
        </w:rPr>
        <w:t>A</w:t>
      </w:r>
      <w:r w:rsidRPr="00057DB7">
        <w:rPr>
          <w:lang w:eastAsia="en-AU"/>
        </w:rPr>
        <w:t xml:space="preserve"> deliberately unattractive photo of Mr Murphy </w:t>
      </w:r>
      <w:r w:rsidR="00AD3DE7">
        <w:rPr>
          <w:lang w:eastAsia="en-AU"/>
        </w:rPr>
        <w:t xml:space="preserve">was selected </w:t>
      </w:r>
      <w:r w:rsidRPr="00057DB7">
        <w:rPr>
          <w:lang w:eastAsia="en-AU"/>
        </w:rPr>
        <w:t xml:space="preserve">and </w:t>
      </w:r>
      <w:r w:rsidR="00AD3DE7">
        <w:rPr>
          <w:lang w:eastAsia="en-AU"/>
        </w:rPr>
        <w:t xml:space="preserve">the article </w:t>
      </w:r>
      <w:r w:rsidRPr="00057DB7">
        <w:rPr>
          <w:lang w:eastAsia="en-AU"/>
        </w:rPr>
        <w:lastRenderedPageBreak/>
        <w:t xml:space="preserve">publicised aspects of Mr Murphy’s life which </w:t>
      </w:r>
      <w:r w:rsidR="00607F76">
        <w:rPr>
          <w:lang w:eastAsia="en-AU"/>
        </w:rPr>
        <w:t>it is</w:t>
      </w:r>
      <w:r w:rsidRPr="00057DB7">
        <w:rPr>
          <w:lang w:eastAsia="en-AU"/>
        </w:rPr>
        <w:t xml:space="preserve"> difficult to </w:t>
      </w:r>
      <w:r w:rsidR="00AD3DE7">
        <w:rPr>
          <w:lang w:eastAsia="en-AU"/>
        </w:rPr>
        <w:t>see had</w:t>
      </w:r>
      <w:r w:rsidRPr="00057DB7">
        <w:rPr>
          <w:lang w:eastAsia="en-AU"/>
        </w:rPr>
        <w:t xml:space="preserve"> any real public interest</w:t>
      </w:r>
      <w:r w:rsidR="00AD3DE7">
        <w:rPr>
          <w:lang w:eastAsia="en-AU"/>
        </w:rPr>
        <w:t xml:space="preserve">.  Among other things, it was an unpleasant and </w:t>
      </w:r>
      <w:r w:rsidR="00B82879">
        <w:rPr>
          <w:lang w:eastAsia="en-AU"/>
        </w:rPr>
        <w:t xml:space="preserve">invasive </w:t>
      </w:r>
      <w:r w:rsidR="00AD3DE7">
        <w:rPr>
          <w:lang w:eastAsia="en-AU"/>
        </w:rPr>
        <w:t xml:space="preserve">article.  But despite this, a </w:t>
      </w:r>
      <w:r w:rsidR="00AD3DE7" w:rsidRPr="00920E06">
        <w:rPr>
          <w:lang w:eastAsia="en-AU"/>
        </w:rPr>
        <w:t xml:space="preserve">party bearing the onus will </w:t>
      </w:r>
      <w:r w:rsidR="00AD3DE7" w:rsidRPr="00AD3DE7">
        <w:rPr>
          <w:lang w:eastAsia="en-AU"/>
        </w:rPr>
        <w:t>not succeed unless the whole of the evidence establishes a reasonable satisfaction on the preponderance of probabilities</w:t>
      </w:r>
      <w:r w:rsidR="008E7A5B">
        <w:rPr>
          <w:lang w:eastAsia="en-AU"/>
        </w:rPr>
        <w:t xml:space="preserve">. </w:t>
      </w:r>
      <w:r w:rsidR="00600086">
        <w:rPr>
          <w:lang w:eastAsia="en-AU"/>
        </w:rPr>
        <w:t xml:space="preserve">I am a long way short of having </w:t>
      </w:r>
      <w:r w:rsidR="00AD3DE7" w:rsidRPr="00AD3DE7">
        <w:rPr>
          <w:lang w:eastAsia="en-AU"/>
        </w:rPr>
        <w:t xml:space="preserve">a reasonable basis for a conclusion affirmatively drawn that Ms Sharp was </w:t>
      </w:r>
      <w:r w:rsidR="00600086">
        <w:rPr>
          <w:lang w:eastAsia="en-AU"/>
        </w:rPr>
        <w:t>motivated as alleged</w:t>
      </w:r>
      <w:r w:rsidR="00AD3DE7" w:rsidRPr="00AD3DE7">
        <w:rPr>
          <w:lang w:eastAsia="en-AU"/>
        </w:rPr>
        <w:t>.</w:t>
      </w:r>
      <w:r w:rsidR="00AD3DE7" w:rsidRPr="00057DB7">
        <w:rPr>
          <w:lang w:eastAsia="en-AU"/>
        </w:rPr>
        <w:t xml:space="preserve"> </w:t>
      </w:r>
      <w:r w:rsidR="00AD3DE7">
        <w:rPr>
          <w:lang w:eastAsia="en-AU"/>
        </w:rPr>
        <w:t xml:space="preserve">As it happens, </w:t>
      </w:r>
      <w:r w:rsidRPr="00057DB7">
        <w:rPr>
          <w:lang w:eastAsia="en-AU"/>
        </w:rPr>
        <w:t>to the extent that there is any real evidence of motivation</w:t>
      </w:r>
      <w:r w:rsidR="00AD3DE7">
        <w:rPr>
          <w:lang w:eastAsia="en-AU"/>
        </w:rPr>
        <w:t>,</w:t>
      </w:r>
      <w:r w:rsidRPr="00057DB7">
        <w:rPr>
          <w:lang w:eastAsia="en-AU"/>
        </w:rPr>
        <w:t xml:space="preserve"> it tends to point in a</w:t>
      </w:r>
      <w:r w:rsidR="00AD3DE7">
        <w:rPr>
          <w:lang w:eastAsia="en-AU"/>
        </w:rPr>
        <w:t xml:space="preserve"> different direction: the initial</w:t>
      </w:r>
      <w:r w:rsidRPr="00057DB7">
        <w:rPr>
          <w:lang w:eastAsia="en-AU"/>
        </w:rPr>
        <w:t xml:space="preserve"> version</w:t>
      </w:r>
      <w:r w:rsidR="00AD3DE7">
        <w:rPr>
          <w:lang w:eastAsia="en-AU"/>
        </w:rPr>
        <w:t>s</w:t>
      </w:r>
      <w:r w:rsidRPr="00057DB7">
        <w:rPr>
          <w:lang w:eastAsia="en-AU"/>
        </w:rPr>
        <w:t xml:space="preserve"> of the article </w:t>
      </w:r>
      <w:r w:rsidR="00AD3DE7">
        <w:rPr>
          <w:lang w:eastAsia="en-AU"/>
        </w:rPr>
        <w:t xml:space="preserve">were </w:t>
      </w:r>
      <w:r w:rsidRPr="00057DB7">
        <w:rPr>
          <w:lang w:eastAsia="en-AU"/>
        </w:rPr>
        <w:t>more anodyne</w:t>
      </w:r>
      <w:r w:rsidR="00AD3DE7">
        <w:rPr>
          <w:lang w:eastAsia="en-AU"/>
        </w:rPr>
        <w:t>. I</w:t>
      </w:r>
      <w:r w:rsidRPr="00057DB7">
        <w:rPr>
          <w:lang w:eastAsia="en-AU"/>
        </w:rPr>
        <w:t>n the absence of any other evidence</w:t>
      </w:r>
      <w:r w:rsidR="00AD3DE7">
        <w:rPr>
          <w:lang w:eastAsia="en-AU"/>
        </w:rPr>
        <w:t>, this</w:t>
      </w:r>
      <w:r w:rsidRPr="00057DB7">
        <w:rPr>
          <w:lang w:eastAsia="en-AU"/>
        </w:rPr>
        <w:t xml:space="preserve"> seems to be </w:t>
      </w:r>
      <w:r w:rsidR="00AD3DE7">
        <w:rPr>
          <w:lang w:eastAsia="en-AU"/>
        </w:rPr>
        <w:t xml:space="preserve">arguably </w:t>
      </w:r>
      <w:r w:rsidRPr="00057DB7">
        <w:rPr>
          <w:lang w:eastAsia="en-AU"/>
        </w:rPr>
        <w:t>inconsistent with the notion that the author was mot</w:t>
      </w:r>
      <w:r w:rsidR="00B765DA">
        <w:rPr>
          <w:lang w:eastAsia="en-AU"/>
        </w:rPr>
        <w:t xml:space="preserve">ivated by some </w:t>
      </w:r>
      <w:r w:rsidR="00AD3DE7">
        <w:rPr>
          <w:lang w:eastAsia="en-AU"/>
        </w:rPr>
        <w:t xml:space="preserve">prior </w:t>
      </w:r>
      <w:r w:rsidR="00B765DA">
        <w:rPr>
          <w:lang w:eastAsia="en-AU"/>
        </w:rPr>
        <w:t>mal</w:t>
      </w:r>
      <w:r w:rsidR="00A179D8">
        <w:rPr>
          <w:lang w:eastAsia="en-AU"/>
        </w:rPr>
        <w:t>icious intent.</w:t>
      </w:r>
    </w:p>
    <w:p w14:paraId="63ADA16B" w14:textId="0A66FC9B" w:rsidR="00D75873" w:rsidRPr="00057DB7" w:rsidRDefault="00D75873" w:rsidP="003055C9">
      <w:pPr>
        <w:pStyle w:val="ListNo1"/>
        <w:numPr>
          <w:ilvl w:val="0"/>
          <w:numId w:val="45"/>
        </w:numPr>
        <w:rPr>
          <w:lang w:eastAsia="en-AU"/>
        </w:rPr>
      </w:pPr>
      <w:r w:rsidRPr="00057DB7">
        <w:rPr>
          <w:lang w:eastAsia="en-AU"/>
        </w:rPr>
        <w:t xml:space="preserve">As to the notion that the article was </w:t>
      </w:r>
      <w:r w:rsidR="00AD3DE7">
        <w:rPr>
          <w:lang w:eastAsia="en-AU"/>
        </w:rPr>
        <w:t>“</w:t>
      </w:r>
      <w:r w:rsidR="00600086">
        <w:rPr>
          <w:lang w:eastAsia="en-AU"/>
        </w:rPr>
        <w:t>over-</w:t>
      </w:r>
      <w:r w:rsidRPr="00057DB7">
        <w:rPr>
          <w:lang w:eastAsia="en-AU"/>
        </w:rPr>
        <w:t>sensationalised</w:t>
      </w:r>
      <w:r w:rsidR="00014122">
        <w:rPr>
          <w:lang w:eastAsia="en-AU"/>
        </w:rPr>
        <w:t xml:space="preserve">”, </w:t>
      </w:r>
      <w:r w:rsidR="00920E06" w:rsidRPr="00014122">
        <w:rPr>
          <w:lang w:eastAsia="en-AU"/>
        </w:rPr>
        <w:t xml:space="preserve">although </w:t>
      </w:r>
      <w:r w:rsidR="00014122" w:rsidRPr="00014122">
        <w:rPr>
          <w:lang w:eastAsia="en-AU"/>
        </w:rPr>
        <w:t xml:space="preserve">the article is </w:t>
      </w:r>
      <w:r w:rsidR="00920E06" w:rsidRPr="00014122">
        <w:rPr>
          <w:lang w:eastAsia="en-AU"/>
        </w:rPr>
        <w:t>an appropriate target of the criticism I have made of it</w:t>
      </w:r>
      <w:r w:rsidR="00600086" w:rsidRPr="00014122">
        <w:rPr>
          <w:lang w:eastAsia="en-AU"/>
        </w:rPr>
        <w:t xml:space="preserve">, </w:t>
      </w:r>
      <w:r w:rsidR="00014122" w:rsidRPr="00014122">
        <w:rPr>
          <w:lang w:eastAsia="en-AU"/>
        </w:rPr>
        <w:t xml:space="preserve">it </w:t>
      </w:r>
      <w:r w:rsidR="00600086" w:rsidRPr="00014122">
        <w:rPr>
          <w:lang w:eastAsia="en-AU"/>
        </w:rPr>
        <w:t>does</w:t>
      </w:r>
      <w:r w:rsidRPr="00014122">
        <w:rPr>
          <w:lang w:eastAsia="en-AU"/>
        </w:rPr>
        <w:t xml:space="preserve"> not present as </w:t>
      </w:r>
      <w:r w:rsidR="00014122" w:rsidRPr="00014122">
        <w:rPr>
          <w:lang w:eastAsia="en-AU"/>
        </w:rPr>
        <w:t xml:space="preserve">being </w:t>
      </w:r>
      <w:r w:rsidR="00920E06" w:rsidRPr="00014122">
        <w:rPr>
          <w:lang w:eastAsia="en-AU"/>
        </w:rPr>
        <w:t xml:space="preserve">very </w:t>
      </w:r>
      <w:r w:rsidRPr="00014122">
        <w:rPr>
          <w:lang w:eastAsia="en-AU"/>
        </w:rPr>
        <w:t xml:space="preserve">different from articles of </w:t>
      </w:r>
      <w:r w:rsidR="00A179D8" w:rsidRPr="00014122">
        <w:rPr>
          <w:lang w:eastAsia="en-AU"/>
        </w:rPr>
        <w:t>a similar</w:t>
      </w:r>
      <w:r w:rsidRPr="00014122">
        <w:rPr>
          <w:lang w:eastAsia="en-AU"/>
        </w:rPr>
        <w:t xml:space="preserve"> nature published in tabloid newspapers; it would </w:t>
      </w:r>
      <w:r w:rsidR="00600086" w:rsidRPr="00014122">
        <w:rPr>
          <w:lang w:eastAsia="en-AU"/>
        </w:rPr>
        <w:t>be going too far</w:t>
      </w:r>
      <w:r w:rsidRPr="00014122">
        <w:rPr>
          <w:lang w:eastAsia="en-AU"/>
        </w:rPr>
        <w:t xml:space="preserve"> to regard its manner of p</w:t>
      </w:r>
      <w:r w:rsidR="002E212D">
        <w:rPr>
          <w:lang w:eastAsia="en-AU"/>
        </w:rPr>
        <w:t>resentation as relevantly</w:t>
      </w:r>
      <w:r w:rsidR="00A179D8" w:rsidRPr="00014122">
        <w:rPr>
          <w:lang w:eastAsia="en-AU"/>
        </w:rPr>
        <w:t xml:space="preserve"> improper.</w:t>
      </w:r>
    </w:p>
    <w:p w14:paraId="17167E5C" w14:textId="465A0447" w:rsidR="00D75873" w:rsidRPr="00057DB7" w:rsidRDefault="00D75873" w:rsidP="003055C9">
      <w:pPr>
        <w:pStyle w:val="ListNo1"/>
        <w:numPr>
          <w:ilvl w:val="0"/>
          <w:numId w:val="45"/>
        </w:numPr>
        <w:rPr>
          <w:lang w:eastAsia="en-AU"/>
        </w:rPr>
      </w:pPr>
      <w:r w:rsidRPr="00057DB7">
        <w:rPr>
          <w:lang w:eastAsia="en-AU"/>
        </w:rPr>
        <w:t>The failure to respond to the letter of demand does not</w:t>
      </w:r>
      <w:r w:rsidR="00920E06">
        <w:rPr>
          <w:lang w:eastAsia="en-AU"/>
        </w:rPr>
        <w:t>,</w:t>
      </w:r>
      <w:r w:rsidRPr="00057DB7">
        <w:rPr>
          <w:lang w:eastAsia="en-AU"/>
        </w:rPr>
        <w:t xml:space="preserve"> in and of itself</w:t>
      </w:r>
      <w:r w:rsidR="00920E06">
        <w:rPr>
          <w:lang w:eastAsia="en-AU"/>
        </w:rPr>
        <w:t>,</w:t>
      </w:r>
      <w:r w:rsidRPr="00057DB7">
        <w:rPr>
          <w:lang w:eastAsia="en-AU"/>
        </w:rPr>
        <w:t xml:space="preserve"> provide a circumstance which is of a character to warrant an award of aggravated damages; News and Ms </w:t>
      </w:r>
      <w:r w:rsidR="0058440A" w:rsidRPr="00057DB7">
        <w:rPr>
          <w:lang w:eastAsia="en-AU"/>
        </w:rPr>
        <w:t>Sharp</w:t>
      </w:r>
      <w:r w:rsidRPr="00057DB7">
        <w:rPr>
          <w:lang w:eastAsia="en-AU"/>
        </w:rPr>
        <w:t xml:space="preserve"> took the view, which was not irrational, that the article could </w:t>
      </w:r>
      <w:r w:rsidR="00920E06">
        <w:rPr>
          <w:lang w:eastAsia="en-AU"/>
        </w:rPr>
        <w:t xml:space="preserve">arguably </w:t>
      </w:r>
      <w:r w:rsidRPr="00057DB7">
        <w:rPr>
          <w:lang w:eastAsia="en-AU"/>
        </w:rPr>
        <w:t>be defensible.</w:t>
      </w:r>
      <w:r w:rsidR="00600086">
        <w:rPr>
          <w:lang w:eastAsia="en-AU"/>
        </w:rPr>
        <w:t xml:space="preserve"> </w:t>
      </w:r>
      <w:r w:rsidR="00920E06">
        <w:rPr>
          <w:lang w:eastAsia="en-AU"/>
        </w:rPr>
        <w:t xml:space="preserve">In this regard, there was no suggestion </w:t>
      </w:r>
      <w:r w:rsidR="00C15694">
        <w:rPr>
          <w:lang w:eastAsia="en-AU"/>
        </w:rPr>
        <w:t xml:space="preserve">that </w:t>
      </w:r>
      <w:r w:rsidR="00920E06">
        <w:rPr>
          <w:lang w:eastAsia="en-AU"/>
        </w:rPr>
        <w:t>the defence was pleaded improperly (the maintenance of the defence will be considered separately below)</w:t>
      </w:r>
      <w:r w:rsidR="00F770C9" w:rsidRPr="00057DB7">
        <w:rPr>
          <w:lang w:eastAsia="en-AU"/>
        </w:rPr>
        <w:t>.</w:t>
      </w:r>
    </w:p>
    <w:p w14:paraId="54FA45E5" w14:textId="4A597B40" w:rsidR="00F770C9" w:rsidRPr="00057DB7" w:rsidRDefault="0078026E" w:rsidP="003055C9">
      <w:pPr>
        <w:pStyle w:val="ListNo1"/>
        <w:numPr>
          <w:ilvl w:val="0"/>
          <w:numId w:val="45"/>
        </w:numPr>
        <w:rPr>
          <w:lang w:eastAsia="en-AU"/>
        </w:rPr>
      </w:pPr>
      <w:r w:rsidRPr="00057DB7">
        <w:rPr>
          <w:lang w:eastAsia="en-AU"/>
        </w:rPr>
        <w:t>As to the denial of publication, this always seemed to me to be a tempest in a teapot.</w:t>
      </w:r>
      <w:r w:rsidR="00362B08" w:rsidRPr="00057DB7">
        <w:rPr>
          <w:lang w:eastAsia="en-AU"/>
        </w:rPr>
        <w:t xml:space="preserve">  It is unclear as to why Ms </w:t>
      </w:r>
      <w:r w:rsidR="0058440A" w:rsidRPr="00057DB7">
        <w:rPr>
          <w:lang w:eastAsia="en-AU"/>
        </w:rPr>
        <w:t>Sharp</w:t>
      </w:r>
      <w:r w:rsidR="00362B08" w:rsidRPr="00057DB7">
        <w:rPr>
          <w:lang w:eastAsia="en-AU"/>
        </w:rPr>
        <w:t xml:space="preserve"> denied that she was a publisher</w:t>
      </w:r>
      <w:r w:rsidR="00920E06">
        <w:rPr>
          <w:lang w:eastAsia="en-AU"/>
        </w:rPr>
        <w:t>,</w:t>
      </w:r>
      <w:r w:rsidR="00362B08" w:rsidRPr="00057DB7">
        <w:rPr>
          <w:lang w:eastAsia="en-AU"/>
        </w:rPr>
        <w:t xml:space="preserve"> save as to provide some specificity </w:t>
      </w:r>
      <w:r w:rsidR="00EE629C">
        <w:rPr>
          <w:lang w:eastAsia="en-AU"/>
        </w:rPr>
        <w:t xml:space="preserve">as </w:t>
      </w:r>
      <w:r w:rsidR="00362B08" w:rsidRPr="00057DB7">
        <w:rPr>
          <w:lang w:eastAsia="en-AU"/>
        </w:rPr>
        <w:t>to those parts of the article for which she was directly responsible and those parts</w:t>
      </w:r>
      <w:r w:rsidR="00920E06">
        <w:rPr>
          <w:lang w:eastAsia="en-AU"/>
        </w:rPr>
        <w:t xml:space="preserve"> </w:t>
      </w:r>
      <w:r w:rsidR="00611F69">
        <w:rPr>
          <w:lang w:eastAsia="en-AU"/>
        </w:rPr>
        <w:t xml:space="preserve">that were a product of others. </w:t>
      </w:r>
      <w:r w:rsidR="00920E06">
        <w:rPr>
          <w:lang w:eastAsia="en-AU"/>
        </w:rPr>
        <w:t xml:space="preserve">It may be accepted that </w:t>
      </w:r>
      <w:r w:rsidR="00362B08" w:rsidRPr="00057DB7">
        <w:rPr>
          <w:lang w:eastAsia="en-AU"/>
        </w:rPr>
        <w:t xml:space="preserve">this did not address the legal question of publication </w:t>
      </w:r>
      <w:r w:rsidR="00920E06">
        <w:rPr>
          <w:lang w:eastAsia="en-AU"/>
        </w:rPr>
        <w:t>(</w:t>
      </w:r>
      <w:r w:rsidR="00362B08" w:rsidRPr="00057DB7">
        <w:rPr>
          <w:lang w:eastAsia="en-AU"/>
        </w:rPr>
        <w:t xml:space="preserve">and no submission was </w:t>
      </w:r>
      <w:r w:rsidR="00920E06">
        <w:rPr>
          <w:lang w:eastAsia="en-AU"/>
        </w:rPr>
        <w:t xml:space="preserve">persisted </w:t>
      </w:r>
      <w:r w:rsidR="00362B08" w:rsidRPr="00057DB7">
        <w:rPr>
          <w:lang w:eastAsia="en-AU"/>
        </w:rPr>
        <w:t>at the trial in opposition to the substantive allegation of publication</w:t>
      </w:r>
      <w:r w:rsidR="00920E06">
        <w:rPr>
          <w:lang w:eastAsia="en-AU"/>
        </w:rPr>
        <w:t>)</w:t>
      </w:r>
      <w:r w:rsidR="00611F69">
        <w:rPr>
          <w:lang w:eastAsia="en-AU"/>
        </w:rPr>
        <w:t xml:space="preserve">. </w:t>
      </w:r>
      <w:r w:rsidR="00362B08" w:rsidRPr="00057DB7">
        <w:rPr>
          <w:lang w:eastAsia="en-AU"/>
        </w:rPr>
        <w:t xml:space="preserve">Although </w:t>
      </w:r>
      <w:r w:rsidR="00920E06">
        <w:rPr>
          <w:lang w:eastAsia="en-AU"/>
        </w:rPr>
        <w:t xml:space="preserve">the pleading was somewhat curious in this respect, it is nowhere near </w:t>
      </w:r>
      <w:r w:rsidR="00362B08" w:rsidRPr="00057DB7">
        <w:rPr>
          <w:lang w:eastAsia="en-AU"/>
        </w:rPr>
        <w:t xml:space="preserve">conduct of the character </w:t>
      </w:r>
      <w:r w:rsidR="00920E06">
        <w:rPr>
          <w:lang w:eastAsia="en-AU"/>
        </w:rPr>
        <w:t xml:space="preserve">so as </w:t>
      </w:r>
      <w:r w:rsidR="00362B08" w:rsidRPr="00057DB7">
        <w:rPr>
          <w:lang w:eastAsia="en-AU"/>
        </w:rPr>
        <w:t>to justify aggravated damages.</w:t>
      </w:r>
    </w:p>
    <w:p w14:paraId="20583E0E" w14:textId="68EA46D8" w:rsidR="00362B08" w:rsidRPr="00057DB7" w:rsidRDefault="00362B08" w:rsidP="003055C9">
      <w:pPr>
        <w:pStyle w:val="ListNo1"/>
        <w:numPr>
          <w:ilvl w:val="0"/>
          <w:numId w:val="45"/>
        </w:numPr>
        <w:rPr>
          <w:lang w:eastAsia="en-AU"/>
        </w:rPr>
      </w:pPr>
      <w:r w:rsidRPr="00057DB7">
        <w:rPr>
          <w:lang w:eastAsia="en-AU"/>
        </w:rPr>
        <w:t>Much the same thing could be said about the so called</w:t>
      </w:r>
      <w:r w:rsidR="00137EF8" w:rsidRPr="00057DB7">
        <w:rPr>
          <w:lang w:eastAsia="en-AU"/>
        </w:rPr>
        <w:t xml:space="preserve"> </w:t>
      </w:r>
      <w:r w:rsidR="00600086">
        <w:rPr>
          <w:lang w:eastAsia="en-AU"/>
        </w:rPr>
        <w:t>“</w:t>
      </w:r>
      <w:proofErr w:type="spellStart"/>
      <w:r w:rsidR="00137EF8" w:rsidRPr="00057DB7">
        <w:rPr>
          <w:i/>
          <w:lang w:eastAsia="en-AU"/>
        </w:rPr>
        <w:t>H</w:t>
      </w:r>
      <w:r w:rsidRPr="00057DB7">
        <w:rPr>
          <w:i/>
          <w:lang w:eastAsia="en-AU"/>
        </w:rPr>
        <w:t>ore</w:t>
      </w:r>
      <w:proofErr w:type="spellEnd"/>
      <w:r w:rsidR="00137EF8" w:rsidRPr="00057DB7">
        <w:rPr>
          <w:i/>
          <w:lang w:eastAsia="en-AU"/>
        </w:rPr>
        <w:t>-L</w:t>
      </w:r>
      <w:r w:rsidRPr="00057DB7">
        <w:rPr>
          <w:i/>
          <w:lang w:eastAsia="en-AU"/>
        </w:rPr>
        <w:t>acy</w:t>
      </w:r>
      <w:r w:rsidRPr="00057DB7">
        <w:rPr>
          <w:lang w:eastAsia="en-AU"/>
        </w:rPr>
        <w:t xml:space="preserve"> </w:t>
      </w:r>
      <w:r w:rsidR="0057330F" w:rsidRPr="00057DB7">
        <w:rPr>
          <w:lang w:eastAsia="en-AU"/>
        </w:rPr>
        <w:t>defence</w:t>
      </w:r>
      <w:r w:rsidR="00600086">
        <w:rPr>
          <w:lang w:eastAsia="en-AU"/>
        </w:rPr>
        <w:t>”</w:t>
      </w:r>
      <w:r w:rsidR="00920E06">
        <w:rPr>
          <w:lang w:eastAsia="en-AU"/>
        </w:rPr>
        <w:t xml:space="preserve">.  As </w:t>
      </w:r>
      <w:r w:rsidR="00843F5C" w:rsidRPr="00057DB7">
        <w:rPr>
          <w:lang w:eastAsia="en-AU"/>
        </w:rPr>
        <w:t>I have explained above</w:t>
      </w:r>
      <w:r w:rsidR="00EE629C">
        <w:rPr>
          <w:lang w:eastAsia="en-AU"/>
        </w:rPr>
        <w:t>,</w:t>
      </w:r>
      <w:r w:rsidR="00843F5C" w:rsidRPr="00057DB7">
        <w:rPr>
          <w:lang w:eastAsia="en-AU"/>
        </w:rPr>
        <w:t xml:space="preserve"> although there is no separate </w:t>
      </w:r>
      <w:proofErr w:type="spellStart"/>
      <w:r w:rsidR="00843F5C" w:rsidRPr="00057DB7">
        <w:rPr>
          <w:i/>
          <w:lang w:eastAsia="en-AU"/>
        </w:rPr>
        <w:t>Hore</w:t>
      </w:r>
      <w:proofErr w:type="spellEnd"/>
      <w:r w:rsidR="00843F5C" w:rsidRPr="00057DB7">
        <w:rPr>
          <w:i/>
          <w:lang w:eastAsia="en-AU"/>
        </w:rPr>
        <w:t xml:space="preserve">-Lacy </w:t>
      </w:r>
      <w:r w:rsidR="0057330F" w:rsidRPr="00057DB7">
        <w:rPr>
          <w:lang w:eastAsia="en-AU"/>
        </w:rPr>
        <w:t>defence</w:t>
      </w:r>
      <w:r w:rsidR="00600086">
        <w:rPr>
          <w:lang w:eastAsia="en-AU"/>
        </w:rPr>
        <w:t>,</w:t>
      </w:r>
      <w:r w:rsidR="00EE629C">
        <w:rPr>
          <w:lang w:eastAsia="en-AU"/>
        </w:rPr>
        <w:t xml:space="preserve"> this</w:t>
      </w:r>
      <w:r w:rsidR="00843F5C" w:rsidRPr="00057DB7">
        <w:rPr>
          <w:lang w:eastAsia="en-AU"/>
        </w:rPr>
        <w:t xml:space="preserve"> does not </w:t>
      </w:r>
      <w:r w:rsidR="00920E06">
        <w:rPr>
          <w:lang w:eastAsia="en-AU"/>
        </w:rPr>
        <w:t xml:space="preserve">necessarily </w:t>
      </w:r>
      <w:r w:rsidR="00843F5C" w:rsidRPr="00057DB7">
        <w:rPr>
          <w:lang w:eastAsia="en-AU"/>
        </w:rPr>
        <w:t xml:space="preserve">mean that in certain circumstances the pleading of variant imputations </w:t>
      </w:r>
      <w:r w:rsidR="00920E06">
        <w:rPr>
          <w:lang w:eastAsia="en-AU"/>
        </w:rPr>
        <w:t>cannot</w:t>
      </w:r>
      <w:r w:rsidR="00843F5C" w:rsidRPr="00057DB7">
        <w:rPr>
          <w:lang w:eastAsia="en-AU"/>
        </w:rPr>
        <w:t xml:space="preserve"> serve to provide procedural fairness as to the way in which a respondent is to defend </w:t>
      </w:r>
      <w:r w:rsidR="00A97F66">
        <w:rPr>
          <w:lang w:eastAsia="en-AU"/>
        </w:rPr>
        <w:t>allegations as to meaning.  A</w:t>
      </w:r>
      <w:r w:rsidR="00843F5C" w:rsidRPr="00057DB7">
        <w:rPr>
          <w:lang w:eastAsia="en-AU"/>
        </w:rPr>
        <w:t xml:space="preserve">lthough </w:t>
      </w:r>
      <w:r w:rsidR="00A97F66">
        <w:rPr>
          <w:lang w:eastAsia="en-AU"/>
        </w:rPr>
        <w:t xml:space="preserve">the </w:t>
      </w:r>
      <w:r w:rsidR="00843F5C" w:rsidRPr="00057DB7">
        <w:rPr>
          <w:lang w:eastAsia="en-AU"/>
        </w:rPr>
        <w:t xml:space="preserve">pleading of a </w:t>
      </w:r>
      <w:r w:rsidR="00607F76">
        <w:rPr>
          <w:lang w:eastAsia="en-AU"/>
        </w:rPr>
        <w:t>variant</w:t>
      </w:r>
      <w:r w:rsidR="00843F5C" w:rsidRPr="00057DB7">
        <w:rPr>
          <w:lang w:eastAsia="en-AU"/>
        </w:rPr>
        <w:t xml:space="preserve"> imputation may have been unnecessary in the circumstances </w:t>
      </w:r>
      <w:r w:rsidR="00A97F66">
        <w:rPr>
          <w:lang w:eastAsia="en-AU"/>
        </w:rPr>
        <w:t>of this case</w:t>
      </w:r>
      <w:r w:rsidR="00843F5C" w:rsidRPr="00057DB7">
        <w:rPr>
          <w:lang w:eastAsia="en-AU"/>
        </w:rPr>
        <w:t xml:space="preserve">, it is </w:t>
      </w:r>
      <w:r w:rsidR="00600086">
        <w:rPr>
          <w:lang w:eastAsia="en-AU"/>
        </w:rPr>
        <w:t xml:space="preserve">again </w:t>
      </w:r>
      <w:r w:rsidR="00B21688" w:rsidRPr="00057DB7">
        <w:rPr>
          <w:lang w:eastAsia="en-AU"/>
        </w:rPr>
        <w:t xml:space="preserve">putting the matter </w:t>
      </w:r>
      <w:r w:rsidR="00B21688" w:rsidRPr="00057DB7">
        <w:rPr>
          <w:lang w:eastAsia="en-AU"/>
        </w:rPr>
        <w:lastRenderedPageBreak/>
        <w:t xml:space="preserve">far too highly to suggest that this provides any conceivable basis </w:t>
      </w:r>
      <w:r w:rsidR="00A97F66">
        <w:rPr>
          <w:lang w:eastAsia="en-AU"/>
        </w:rPr>
        <w:t>for an</w:t>
      </w:r>
      <w:r w:rsidR="00B21688" w:rsidRPr="00057DB7">
        <w:rPr>
          <w:lang w:eastAsia="en-AU"/>
        </w:rPr>
        <w:t xml:space="preserve"> award of aggravated damages.</w:t>
      </w:r>
    </w:p>
    <w:p w14:paraId="74516D15" w14:textId="2B6DBC87" w:rsidR="00B21688" w:rsidRPr="00057DB7" w:rsidRDefault="00A97F66" w:rsidP="003055C9">
      <w:pPr>
        <w:pStyle w:val="ListNo1"/>
        <w:numPr>
          <w:ilvl w:val="0"/>
          <w:numId w:val="45"/>
        </w:numPr>
        <w:rPr>
          <w:lang w:eastAsia="en-AU"/>
        </w:rPr>
      </w:pPr>
      <w:r>
        <w:rPr>
          <w:lang w:eastAsia="en-AU"/>
        </w:rPr>
        <w:t>Although it became weak, t</w:t>
      </w:r>
      <w:r w:rsidR="00B21688" w:rsidRPr="00057DB7">
        <w:rPr>
          <w:lang w:eastAsia="en-AU"/>
        </w:rPr>
        <w:t>he maintenance of the justification</w:t>
      </w:r>
      <w:r w:rsidR="00401984" w:rsidRPr="00057DB7">
        <w:rPr>
          <w:lang w:eastAsia="en-AU"/>
        </w:rPr>
        <w:t xml:space="preserve"> </w:t>
      </w:r>
      <w:r w:rsidR="0057330F" w:rsidRPr="00057DB7">
        <w:rPr>
          <w:lang w:eastAsia="en-AU"/>
        </w:rPr>
        <w:t>defence</w:t>
      </w:r>
      <w:r w:rsidR="00401984" w:rsidRPr="00057DB7">
        <w:rPr>
          <w:lang w:eastAsia="en-AU"/>
        </w:rPr>
        <w:t xml:space="preserve"> was not unjustifiable, improper </w:t>
      </w:r>
      <w:r>
        <w:rPr>
          <w:lang w:eastAsia="en-AU"/>
        </w:rPr>
        <w:t xml:space="preserve">or </w:t>
      </w:r>
      <w:r w:rsidR="00401984" w:rsidRPr="00A97F66">
        <w:rPr>
          <w:lang w:eastAsia="en-AU"/>
        </w:rPr>
        <w:t>lacking in</w:t>
      </w:r>
      <w:r w:rsidR="00401984" w:rsidRPr="001E6FDC">
        <w:rPr>
          <w:i/>
          <w:lang w:eastAsia="en-AU"/>
        </w:rPr>
        <w:t xml:space="preserve"> </w:t>
      </w:r>
      <w:r w:rsidR="00401984" w:rsidRPr="00057DB7">
        <w:rPr>
          <w:i/>
          <w:lang w:eastAsia="en-AU"/>
        </w:rPr>
        <w:t>bona fides</w:t>
      </w:r>
      <w:r w:rsidR="0008674F">
        <w:rPr>
          <w:lang w:eastAsia="en-AU"/>
        </w:rPr>
        <w:t xml:space="preserve">. </w:t>
      </w:r>
      <w:r>
        <w:rPr>
          <w:lang w:eastAsia="en-AU"/>
        </w:rPr>
        <w:t>N</w:t>
      </w:r>
      <w:r w:rsidR="00401984" w:rsidRPr="00057DB7">
        <w:rPr>
          <w:lang w:eastAsia="en-AU"/>
        </w:rPr>
        <w:t xml:space="preserve">otwithstanding the findings that were made upon adoption of the reports of the referee, there was </w:t>
      </w:r>
      <w:r>
        <w:rPr>
          <w:lang w:eastAsia="en-AU"/>
        </w:rPr>
        <w:t xml:space="preserve">still </w:t>
      </w:r>
      <w:r w:rsidR="00401984" w:rsidRPr="00057DB7">
        <w:rPr>
          <w:lang w:eastAsia="en-AU"/>
        </w:rPr>
        <w:t>a good faith dispute as to Mr Mu</w:t>
      </w:r>
      <w:r w:rsidR="00B65566">
        <w:rPr>
          <w:lang w:eastAsia="en-AU"/>
        </w:rPr>
        <w:t>rphy’s ability to hear in c</w:t>
      </w:r>
      <w:r>
        <w:rPr>
          <w:lang w:eastAsia="en-AU"/>
        </w:rPr>
        <w:t xml:space="preserve">ourt, </w:t>
      </w:r>
      <w:r w:rsidR="00401984" w:rsidRPr="00057DB7">
        <w:rPr>
          <w:lang w:eastAsia="en-AU"/>
        </w:rPr>
        <w:t xml:space="preserve">which required </w:t>
      </w:r>
      <w:r>
        <w:rPr>
          <w:lang w:eastAsia="en-AU"/>
        </w:rPr>
        <w:t xml:space="preserve">consideration </w:t>
      </w:r>
      <w:r w:rsidR="00C15694">
        <w:rPr>
          <w:lang w:eastAsia="en-AU"/>
        </w:rPr>
        <w:t>of</w:t>
      </w:r>
      <w:r>
        <w:rPr>
          <w:lang w:eastAsia="en-AU"/>
        </w:rPr>
        <w:t xml:space="preserve"> </w:t>
      </w:r>
      <w:r w:rsidR="00401984" w:rsidRPr="00057DB7">
        <w:rPr>
          <w:lang w:eastAsia="en-AU"/>
        </w:rPr>
        <w:t xml:space="preserve">the evidence given by him </w:t>
      </w:r>
      <w:r>
        <w:rPr>
          <w:lang w:eastAsia="en-AU"/>
        </w:rPr>
        <w:t>(</w:t>
      </w:r>
      <w:r w:rsidR="00401984" w:rsidRPr="00057DB7">
        <w:rPr>
          <w:lang w:eastAsia="en-AU"/>
        </w:rPr>
        <w:t>and others</w:t>
      </w:r>
      <w:r>
        <w:rPr>
          <w:lang w:eastAsia="en-AU"/>
        </w:rPr>
        <w:t>)</w:t>
      </w:r>
      <w:r w:rsidR="00401984" w:rsidRPr="00057DB7">
        <w:rPr>
          <w:lang w:eastAsia="en-AU"/>
        </w:rPr>
        <w:t xml:space="preserve"> as to the wearing of </w:t>
      </w:r>
      <w:r>
        <w:rPr>
          <w:lang w:eastAsia="en-AU"/>
        </w:rPr>
        <w:t>h</w:t>
      </w:r>
      <w:r w:rsidR="0008674F">
        <w:rPr>
          <w:lang w:eastAsia="en-AU"/>
        </w:rPr>
        <w:t xml:space="preserve">earing aids and Roger devices. </w:t>
      </w:r>
      <w:r>
        <w:rPr>
          <w:lang w:eastAsia="en-AU"/>
        </w:rPr>
        <w:t>The</w:t>
      </w:r>
      <w:r w:rsidR="00401984" w:rsidRPr="00057DB7">
        <w:rPr>
          <w:lang w:eastAsia="en-AU"/>
        </w:rPr>
        <w:t xml:space="preserve"> reality is that without the use of these devices</w:t>
      </w:r>
      <w:r>
        <w:rPr>
          <w:lang w:eastAsia="en-AU"/>
        </w:rPr>
        <w:t>,</w:t>
      </w:r>
      <w:r w:rsidR="00014122">
        <w:rPr>
          <w:lang w:eastAsia="en-AU"/>
        </w:rPr>
        <w:t xml:space="preserve"> Mr Murphy could not appear in c</w:t>
      </w:r>
      <w:r w:rsidR="00401984" w:rsidRPr="00057DB7">
        <w:rPr>
          <w:lang w:eastAsia="en-AU"/>
        </w:rPr>
        <w:t xml:space="preserve">ourt </w:t>
      </w:r>
      <w:r>
        <w:rPr>
          <w:lang w:eastAsia="en-AU"/>
        </w:rPr>
        <w:t>(</w:t>
      </w:r>
      <w:r w:rsidR="00401984" w:rsidRPr="00057DB7">
        <w:rPr>
          <w:lang w:eastAsia="en-AU"/>
        </w:rPr>
        <w:t>as was reflected in the agreed fact</w:t>
      </w:r>
      <w:r w:rsidR="0008674F">
        <w:rPr>
          <w:lang w:eastAsia="en-AU"/>
        </w:rPr>
        <w:t>).</w:t>
      </w:r>
      <w:r>
        <w:rPr>
          <w:lang w:eastAsia="en-AU"/>
        </w:rPr>
        <w:t xml:space="preserve"> A</w:t>
      </w:r>
      <w:r w:rsidR="00401984" w:rsidRPr="00057DB7">
        <w:rPr>
          <w:lang w:eastAsia="en-AU"/>
        </w:rPr>
        <w:t>lthough I</w:t>
      </w:r>
      <w:r>
        <w:rPr>
          <w:lang w:eastAsia="en-AU"/>
        </w:rPr>
        <w:t xml:space="preserve"> accept that parts of the cross-</w:t>
      </w:r>
      <w:r w:rsidR="00401984" w:rsidRPr="00057DB7">
        <w:rPr>
          <w:lang w:eastAsia="en-AU"/>
        </w:rPr>
        <w:t xml:space="preserve">examination of Mr Murphy were unnecessary </w:t>
      </w:r>
      <w:r>
        <w:rPr>
          <w:lang w:eastAsia="en-AU"/>
        </w:rPr>
        <w:t>(</w:t>
      </w:r>
      <w:r w:rsidR="00401984" w:rsidRPr="00057DB7">
        <w:rPr>
          <w:lang w:eastAsia="en-AU"/>
        </w:rPr>
        <w:t xml:space="preserve">by reason of the findings made </w:t>
      </w:r>
      <w:r>
        <w:rPr>
          <w:lang w:eastAsia="en-AU"/>
        </w:rPr>
        <w:t>upon adoption of the reports of</w:t>
      </w:r>
      <w:r w:rsidR="00401984" w:rsidRPr="00057DB7">
        <w:rPr>
          <w:lang w:eastAsia="en-AU"/>
        </w:rPr>
        <w:t xml:space="preserve"> the referee</w:t>
      </w:r>
      <w:r>
        <w:rPr>
          <w:lang w:eastAsia="en-AU"/>
        </w:rPr>
        <w:t>)</w:t>
      </w:r>
      <w:r w:rsidR="00600086">
        <w:rPr>
          <w:lang w:eastAsia="en-AU"/>
        </w:rPr>
        <w:t>,</w:t>
      </w:r>
      <w:r>
        <w:rPr>
          <w:lang w:eastAsia="en-AU"/>
        </w:rPr>
        <w:t xml:space="preserve"> the cross-</w:t>
      </w:r>
      <w:r w:rsidR="00F55AFF" w:rsidRPr="00057DB7">
        <w:rPr>
          <w:lang w:eastAsia="en-AU"/>
        </w:rPr>
        <w:t xml:space="preserve">examination was conducted </w:t>
      </w:r>
      <w:r w:rsidR="000440BE" w:rsidRPr="00057DB7">
        <w:rPr>
          <w:lang w:eastAsia="en-AU"/>
        </w:rPr>
        <w:t>professionally</w:t>
      </w:r>
      <w:r w:rsidR="00B745A2">
        <w:rPr>
          <w:lang w:eastAsia="en-AU"/>
        </w:rPr>
        <w:t xml:space="preserve"> and inoffensively. </w:t>
      </w:r>
      <w:r>
        <w:rPr>
          <w:lang w:eastAsia="en-AU"/>
        </w:rPr>
        <w:t>In all the circumstances,</w:t>
      </w:r>
      <w:r w:rsidR="000440BE" w:rsidRPr="00057DB7">
        <w:rPr>
          <w:lang w:eastAsia="en-AU"/>
        </w:rPr>
        <w:t xml:space="preserve"> I do not consider the maintenance of the justification defence to have been conducted improperly and </w:t>
      </w:r>
      <w:r>
        <w:rPr>
          <w:lang w:eastAsia="en-AU"/>
        </w:rPr>
        <w:t>hence it does</w:t>
      </w:r>
      <w:r w:rsidR="000440BE" w:rsidRPr="00057DB7">
        <w:rPr>
          <w:lang w:eastAsia="en-AU"/>
        </w:rPr>
        <w:t xml:space="preserve"> not ground </w:t>
      </w:r>
      <w:r>
        <w:rPr>
          <w:lang w:eastAsia="en-AU"/>
        </w:rPr>
        <w:t xml:space="preserve">an award of </w:t>
      </w:r>
      <w:r w:rsidR="000440BE" w:rsidRPr="00057DB7">
        <w:rPr>
          <w:lang w:eastAsia="en-AU"/>
        </w:rPr>
        <w:t>aggravated damages.</w:t>
      </w:r>
    </w:p>
    <w:p w14:paraId="72D2C233" w14:textId="4978480A" w:rsidR="000440BE" w:rsidRPr="00057DB7" w:rsidRDefault="000440BE" w:rsidP="003055C9">
      <w:pPr>
        <w:pStyle w:val="ListNo1"/>
        <w:numPr>
          <w:ilvl w:val="0"/>
          <w:numId w:val="45"/>
        </w:numPr>
        <w:rPr>
          <w:lang w:eastAsia="en-AU"/>
        </w:rPr>
      </w:pPr>
      <w:r w:rsidRPr="00057DB7">
        <w:rPr>
          <w:lang w:eastAsia="en-AU"/>
        </w:rPr>
        <w:t xml:space="preserve">I do not consider the failure to apologise was improper or lacking in </w:t>
      </w:r>
      <w:r w:rsidRPr="00057DB7">
        <w:rPr>
          <w:i/>
          <w:lang w:eastAsia="en-AU"/>
        </w:rPr>
        <w:t>bona fides</w:t>
      </w:r>
      <w:r w:rsidR="00607F76">
        <w:rPr>
          <w:lang w:eastAsia="en-AU"/>
        </w:rPr>
        <w:t>. I</w:t>
      </w:r>
      <w:r w:rsidRPr="00057DB7">
        <w:rPr>
          <w:lang w:eastAsia="en-AU"/>
        </w:rPr>
        <w:t>t is difficult to understand why</w:t>
      </w:r>
      <w:r w:rsidR="00211E4A" w:rsidRPr="00057DB7">
        <w:rPr>
          <w:lang w:eastAsia="en-AU"/>
        </w:rPr>
        <w:t xml:space="preserve"> a failure to apologise would have this character in circumstances where a justification defence was being pursued and there was a legitimate argument </w:t>
      </w:r>
      <w:r w:rsidR="00A97F66">
        <w:rPr>
          <w:lang w:eastAsia="en-AU"/>
        </w:rPr>
        <w:t>including as</w:t>
      </w:r>
      <w:r w:rsidR="00211E4A" w:rsidRPr="00057DB7">
        <w:rPr>
          <w:lang w:eastAsia="en-AU"/>
        </w:rPr>
        <w:t xml:space="preserve"> to</w:t>
      </w:r>
      <w:r w:rsidR="00B745A2">
        <w:rPr>
          <w:lang w:eastAsia="en-AU"/>
        </w:rPr>
        <w:t xml:space="preserve"> the meanings pleaded.</w:t>
      </w:r>
      <w:r w:rsidR="00A97F66">
        <w:rPr>
          <w:lang w:eastAsia="en-AU"/>
        </w:rPr>
        <w:t xml:space="preserve"> Th</w:t>
      </w:r>
      <w:r w:rsidR="00211E4A" w:rsidRPr="00057DB7">
        <w:rPr>
          <w:lang w:eastAsia="en-AU"/>
        </w:rPr>
        <w:t xml:space="preserve">ere was nothing about this conduct which was </w:t>
      </w:r>
      <w:r w:rsidR="00A97F66">
        <w:rPr>
          <w:lang w:eastAsia="en-AU"/>
        </w:rPr>
        <w:t xml:space="preserve">relevantly </w:t>
      </w:r>
      <w:r w:rsidR="00211E4A" w:rsidRPr="00057DB7">
        <w:rPr>
          <w:lang w:eastAsia="en-AU"/>
        </w:rPr>
        <w:t>improper.</w:t>
      </w:r>
    </w:p>
    <w:p w14:paraId="1A711D3C" w14:textId="6EB95AB3" w:rsidR="00211E4A" w:rsidRPr="008F7F0D" w:rsidRDefault="00C81032" w:rsidP="003055C9">
      <w:pPr>
        <w:pStyle w:val="ListNo1"/>
        <w:numPr>
          <w:ilvl w:val="0"/>
          <w:numId w:val="45"/>
        </w:numPr>
        <w:rPr>
          <w:lang w:eastAsia="en-AU"/>
        </w:rPr>
      </w:pPr>
      <w:r w:rsidRPr="00057DB7">
        <w:rPr>
          <w:lang w:eastAsia="en-AU"/>
        </w:rPr>
        <w:t xml:space="preserve">As to the conduct of Ms </w:t>
      </w:r>
      <w:r w:rsidR="0058440A" w:rsidRPr="00057DB7">
        <w:rPr>
          <w:lang w:eastAsia="en-AU"/>
        </w:rPr>
        <w:t>Sharp</w:t>
      </w:r>
      <w:r w:rsidRPr="00057DB7">
        <w:rPr>
          <w:lang w:eastAsia="en-AU"/>
        </w:rPr>
        <w:t xml:space="preserve">, I have already explained </w:t>
      </w:r>
      <w:r w:rsidR="005829B6">
        <w:rPr>
          <w:lang w:eastAsia="en-AU"/>
        </w:rPr>
        <w:t xml:space="preserve">above </w:t>
      </w:r>
      <w:r w:rsidRPr="00057DB7">
        <w:rPr>
          <w:lang w:eastAsia="en-AU"/>
        </w:rPr>
        <w:t xml:space="preserve">that I do not think that </w:t>
      </w:r>
      <w:r w:rsidR="00A97F66">
        <w:rPr>
          <w:lang w:eastAsia="en-AU"/>
        </w:rPr>
        <w:t>it has been proved that she was</w:t>
      </w:r>
      <w:r w:rsidRPr="00057DB7">
        <w:rPr>
          <w:lang w:eastAsia="en-AU"/>
        </w:rPr>
        <w:t xml:space="preserve"> behaving in</w:t>
      </w:r>
      <w:r w:rsidR="00A97F66">
        <w:rPr>
          <w:lang w:eastAsia="en-AU"/>
        </w:rPr>
        <w:t xml:space="preserve"> some form of malicious ma</w:t>
      </w:r>
      <w:r w:rsidR="00B745A2">
        <w:rPr>
          <w:lang w:eastAsia="en-AU"/>
        </w:rPr>
        <w:t xml:space="preserve">nner. </w:t>
      </w:r>
      <w:r w:rsidR="00A97F66" w:rsidRPr="00014122">
        <w:rPr>
          <w:lang w:eastAsia="en-AU"/>
        </w:rPr>
        <w:t xml:space="preserve">To the extent relevant, it is most likely that </w:t>
      </w:r>
      <w:r w:rsidRPr="00014122">
        <w:rPr>
          <w:lang w:eastAsia="en-AU"/>
        </w:rPr>
        <w:t xml:space="preserve">during the </w:t>
      </w:r>
      <w:r w:rsidR="00A97F66" w:rsidRPr="00014122">
        <w:rPr>
          <w:lang w:eastAsia="en-AU"/>
        </w:rPr>
        <w:t xml:space="preserve">preparation </w:t>
      </w:r>
      <w:r w:rsidRPr="00014122">
        <w:rPr>
          <w:lang w:eastAsia="en-AU"/>
        </w:rPr>
        <w:t xml:space="preserve">of the articles Ms </w:t>
      </w:r>
      <w:r w:rsidR="0058440A" w:rsidRPr="00014122">
        <w:rPr>
          <w:lang w:eastAsia="en-AU"/>
        </w:rPr>
        <w:t>Sharp</w:t>
      </w:r>
      <w:r w:rsidRPr="00014122">
        <w:rPr>
          <w:lang w:eastAsia="en-AU"/>
        </w:rPr>
        <w:t xml:space="preserve"> came across further information</w:t>
      </w:r>
      <w:r w:rsidR="00A97F66" w:rsidRPr="00014122">
        <w:rPr>
          <w:lang w:eastAsia="en-AU"/>
        </w:rPr>
        <w:t>,</w:t>
      </w:r>
      <w:r w:rsidRPr="00014122">
        <w:rPr>
          <w:lang w:eastAsia="en-AU"/>
        </w:rPr>
        <w:t xml:space="preserve"> and that the article was changed </w:t>
      </w:r>
      <w:r w:rsidR="00014122" w:rsidRPr="00014122">
        <w:rPr>
          <w:lang w:eastAsia="en-AU"/>
        </w:rPr>
        <w:t>in</w:t>
      </w:r>
      <w:r w:rsidR="00A97F66" w:rsidRPr="00014122">
        <w:rPr>
          <w:lang w:eastAsia="en-AU"/>
        </w:rPr>
        <w:t>to its final form (meaning</w:t>
      </w:r>
      <w:r w:rsidRPr="00014122">
        <w:rPr>
          <w:lang w:eastAsia="en-AU"/>
        </w:rPr>
        <w:t xml:space="preserve">, unwisely, </w:t>
      </w:r>
      <w:r w:rsidR="00A97F66" w:rsidRPr="00014122">
        <w:rPr>
          <w:lang w:eastAsia="en-AU"/>
        </w:rPr>
        <w:t>it conveyed</w:t>
      </w:r>
      <w:r w:rsidRPr="00014122">
        <w:rPr>
          <w:lang w:eastAsia="en-AU"/>
        </w:rPr>
        <w:t xml:space="preserve"> Imputation D</w:t>
      </w:r>
      <w:r w:rsidR="00B745A2" w:rsidRPr="00014122">
        <w:rPr>
          <w:lang w:eastAsia="en-AU"/>
        </w:rPr>
        <w:t>).</w:t>
      </w:r>
      <w:r w:rsidR="00B745A2">
        <w:rPr>
          <w:lang w:eastAsia="en-AU"/>
        </w:rPr>
        <w:t xml:space="preserve"> </w:t>
      </w:r>
      <w:r w:rsidR="00A97F66">
        <w:rPr>
          <w:lang w:eastAsia="en-AU"/>
        </w:rPr>
        <w:t xml:space="preserve">This </w:t>
      </w:r>
      <w:r w:rsidRPr="00057DB7">
        <w:rPr>
          <w:lang w:eastAsia="en-AU"/>
        </w:rPr>
        <w:t xml:space="preserve">conduct does not in and of itself suggest improper or unjustifiable conduct of the type necessary to ground </w:t>
      </w:r>
      <w:r w:rsidR="00A97F66">
        <w:rPr>
          <w:lang w:eastAsia="en-AU"/>
        </w:rPr>
        <w:t xml:space="preserve">an </w:t>
      </w:r>
      <w:r w:rsidRPr="008F7F0D">
        <w:rPr>
          <w:lang w:eastAsia="en-AU"/>
        </w:rPr>
        <w:t>award of aggravated damages</w:t>
      </w:r>
      <w:r w:rsidR="003E2340" w:rsidRPr="008F7F0D">
        <w:rPr>
          <w:lang w:eastAsia="en-AU"/>
        </w:rPr>
        <w:t>.</w:t>
      </w:r>
      <w:r w:rsidRPr="008F7F0D">
        <w:rPr>
          <w:lang w:eastAsia="en-AU"/>
        </w:rPr>
        <w:t xml:space="preserve"> </w:t>
      </w:r>
    </w:p>
    <w:p w14:paraId="007B4045" w14:textId="256FEC87" w:rsidR="003E2340" w:rsidRPr="00057DB7" w:rsidRDefault="003E2340" w:rsidP="003055C9">
      <w:pPr>
        <w:pStyle w:val="ListNo1"/>
        <w:numPr>
          <w:ilvl w:val="0"/>
          <w:numId w:val="45"/>
        </w:numPr>
        <w:rPr>
          <w:lang w:eastAsia="en-AU"/>
        </w:rPr>
      </w:pPr>
      <w:r w:rsidRPr="008F7F0D">
        <w:rPr>
          <w:lang w:eastAsia="en-AU"/>
        </w:rPr>
        <w:t>As to the last matter relied upon</w:t>
      </w:r>
      <w:r w:rsidR="00A97F66" w:rsidRPr="008F7F0D">
        <w:rPr>
          <w:lang w:eastAsia="en-AU"/>
        </w:rPr>
        <w:t>,</w:t>
      </w:r>
      <w:r w:rsidRPr="008F7F0D">
        <w:rPr>
          <w:lang w:eastAsia="en-AU"/>
        </w:rPr>
        <w:t xml:space="preserve"> News and Ms </w:t>
      </w:r>
      <w:r w:rsidR="0058440A" w:rsidRPr="008F7F0D">
        <w:rPr>
          <w:lang w:eastAsia="en-AU"/>
        </w:rPr>
        <w:t>Sharp</w:t>
      </w:r>
      <w:r w:rsidRPr="008F7F0D">
        <w:rPr>
          <w:lang w:eastAsia="en-AU"/>
        </w:rPr>
        <w:t xml:space="preserve"> might be forgiven for thinking that they are damned if th</w:t>
      </w:r>
      <w:r w:rsidR="00E46198" w:rsidRPr="008F7F0D">
        <w:rPr>
          <w:lang w:eastAsia="en-AU"/>
        </w:rPr>
        <w:t>ey do and damned if they don’t.  O</w:t>
      </w:r>
      <w:r w:rsidRPr="008F7F0D">
        <w:rPr>
          <w:lang w:eastAsia="en-AU"/>
        </w:rPr>
        <w:t xml:space="preserve">n the one hand they are criticised </w:t>
      </w:r>
      <w:r w:rsidR="00607F76">
        <w:rPr>
          <w:lang w:eastAsia="en-AU"/>
        </w:rPr>
        <w:t>for</w:t>
      </w:r>
      <w:r w:rsidRPr="008F7F0D">
        <w:rPr>
          <w:lang w:eastAsia="en-AU"/>
        </w:rPr>
        <w:t xml:space="preserve"> continuing the publication of an article </w:t>
      </w:r>
      <w:r w:rsidR="00AA78C1" w:rsidRPr="008F7F0D">
        <w:rPr>
          <w:lang w:eastAsia="en-AU"/>
        </w:rPr>
        <w:t>said to convey a defamatory imputation</w:t>
      </w:r>
      <w:r w:rsidR="00E46198" w:rsidRPr="008F7F0D">
        <w:rPr>
          <w:lang w:eastAsia="en-AU"/>
        </w:rPr>
        <w:t>.</w:t>
      </w:r>
      <w:r w:rsidR="00607F76">
        <w:rPr>
          <w:lang w:eastAsia="en-AU"/>
        </w:rPr>
        <w:t xml:space="preserve"> </w:t>
      </w:r>
      <w:r w:rsidR="00E46198">
        <w:rPr>
          <w:lang w:eastAsia="en-AU"/>
        </w:rPr>
        <w:t xml:space="preserve">On </w:t>
      </w:r>
      <w:r w:rsidR="00AA78C1" w:rsidRPr="00057DB7">
        <w:rPr>
          <w:lang w:eastAsia="en-AU"/>
        </w:rPr>
        <w:t xml:space="preserve">the other </w:t>
      </w:r>
      <w:r w:rsidR="00E46198">
        <w:rPr>
          <w:lang w:eastAsia="en-AU"/>
        </w:rPr>
        <w:t xml:space="preserve">hand </w:t>
      </w:r>
      <w:r w:rsidR="00AA78C1" w:rsidRPr="00057DB7">
        <w:rPr>
          <w:lang w:eastAsia="en-AU"/>
        </w:rPr>
        <w:t>they are criticised for taking steps to remove the most ob</w:t>
      </w:r>
      <w:r w:rsidR="00E46198">
        <w:rPr>
          <w:lang w:eastAsia="en-AU"/>
        </w:rPr>
        <w:t>je</w:t>
      </w:r>
      <w:r w:rsidR="00607F76">
        <w:rPr>
          <w:lang w:eastAsia="en-AU"/>
        </w:rPr>
        <w:t xml:space="preserve">ctionable part of the article. </w:t>
      </w:r>
      <w:r w:rsidR="00E46198">
        <w:rPr>
          <w:lang w:eastAsia="en-AU"/>
        </w:rPr>
        <w:t>A</w:t>
      </w:r>
      <w:r w:rsidR="00AA78C1" w:rsidRPr="00057DB7">
        <w:rPr>
          <w:lang w:eastAsia="en-AU"/>
        </w:rPr>
        <w:t xml:space="preserve">lthough the delay in removing the article </w:t>
      </w:r>
      <w:r w:rsidR="00E46198">
        <w:rPr>
          <w:lang w:eastAsia="en-AU"/>
        </w:rPr>
        <w:t xml:space="preserve">in its original form </w:t>
      </w:r>
      <w:r w:rsidR="00AA78C1" w:rsidRPr="00057DB7">
        <w:rPr>
          <w:lang w:eastAsia="en-AU"/>
        </w:rPr>
        <w:t>is relevant</w:t>
      </w:r>
      <w:r w:rsidR="00E46198">
        <w:rPr>
          <w:lang w:eastAsia="en-AU"/>
        </w:rPr>
        <w:t>,</w:t>
      </w:r>
      <w:r w:rsidR="00AA78C1" w:rsidRPr="00057DB7">
        <w:rPr>
          <w:lang w:eastAsia="en-AU"/>
        </w:rPr>
        <w:t xml:space="preserve"> it is </w:t>
      </w:r>
      <w:r w:rsidR="00E46198">
        <w:rPr>
          <w:lang w:eastAsia="en-AU"/>
        </w:rPr>
        <w:t xml:space="preserve">not surprising that </w:t>
      </w:r>
      <w:r w:rsidR="00AA78C1" w:rsidRPr="00057DB7">
        <w:rPr>
          <w:lang w:eastAsia="en-AU"/>
        </w:rPr>
        <w:t xml:space="preserve">during the course of the proceeding it became increasingly apparent that the justification defence was weaker than </w:t>
      </w:r>
      <w:r w:rsidR="000926F6">
        <w:rPr>
          <w:lang w:eastAsia="en-AU"/>
        </w:rPr>
        <w:t>may have</w:t>
      </w:r>
      <w:r w:rsidR="00AA78C1" w:rsidRPr="00057DB7">
        <w:rPr>
          <w:lang w:eastAsia="en-AU"/>
        </w:rPr>
        <w:t xml:space="preserve"> </w:t>
      </w:r>
      <w:r w:rsidR="00AA78C1" w:rsidRPr="00057DB7">
        <w:rPr>
          <w:lang w:eastAsia="en-AU"/>
        </w:rPr>
        <w:lastRenderedPageBreak/>
        <w:t xml:space="preserve">first </w:t>
      </w:r>
      <w:r w:rsidR="000926F6">
        <w:rPr>
          <w:lang w:eastAsia="en-AU"/>
        </w:rPr>
        <w:t xml:space="preserve">been </w:t>
      </w:r>
      <w:r w:rsidR="00E46198">
        <w:rPr>
          <w:lang w:eastAsia="en-AU"/>
        </w:rPr>
        <w:t xml:space="preserve">anticipated.  These sorts of vicissitudes are hardly </w:t>
      </w:r>
      <w:r w:rsidR="00AA78C1" w:rsidRPr="00057DB7">
        <w:rPr>
          <w:lang w:eastAsia="en-AU"/>
        </w:rPr>
        <w:t xml:space="preserve">novel in contested litigation and in circumstances where the conduct of the litigation was </w:t>
      </w:r>
      <w:r w:rsidR="00600086">
        <w:rPr>
          <w:lang w:eastAsia="en-AU"/>
        </w:rPr>
        <w:t xml:space="preserve">otherwise conducted </w:t>
      </w:r>
      <w:r w:rsidR="00AA78C1" w:rsidRPr="00057DB7">
        <w:rPr>
          <w:lang w:eastAsia="en-AU"/>
        </w:rPr>
        <w:t>appropriately</w:t>
      </w:r>
      <w:r w:rsidR="00E46198">
        <w:rPr>
          <w:lang w:eastAsia="en-AU"/>
        </w:rPr>
        <w:t>,</w:t>
      </w:r>
      <w:r w:rsidR="00AA78C1" w:rsidRPr="00057DB7">
        <w:rPr>
          <w:lang w:eastAsia="en-AU"/>
        </w:rPr>
        <w:t xml:space="preserve"> it do</w:t>
      </w:r>
      <w:r w:rsidR="00E46198">
        <w:rPr>
          <w:lang w:eastAsia="en-AU"/>
        </w:rPr>
        <w:t>es not constitute conduct of a</w:t>
      </w:r>
      <w:r w:rsidR="00AA78C1" w:rsidRPr="00057DB7">
        <w:rPr>
          <w:lang w:eastAsia="en-AU"/>
        </w:rPr>
        <w:t xml:space="preserve"> character </w:t>
      </w:r>
      <w:r w:rsidR="00E46198">
        <w:rPr>
          <w:lang w:eastAsia="en-AU"/>
        </w:rPr>
        <w:t>as suggested by Mr Murphy</w:t>
      </w:r>
      <w:r w:rsidR="00AA78C1" w:rsidRPr="00057DB7">
        <w:rPr>
          <w:lang w:eastAsia="en-AU"/>
        </w:rPr>
        <w:t>.</w:t>
      </w:r>
    </w:p>
    <w:p w14:paraId="135D56C2" w14:textId="7FE05B99" w:rsidR="00AA78C1" w:rsidRPr="00057DB7" w:rsidRDefault="00AA78C1" w:rsidP="00AA78C1">
      <w:pPr>
        <w:pStyle w:val="ParaNumbering"/>
        <w:rPr>
          <w:lang w:eastAsia="en-AU"/>
        </w:rPr>
      </w:pPr>
      <w:r w:rsidRPr="00057DB7">
        <w:rPr>
          <w:lang w:eastAsia="en-AU"/>
        </w:rPr>
        <w:t>It follows that no</w:t>
      </w:r>
      <w:r w:rsidR="00E46198">
        <w:rPr>
          <w:lang w:eastAsia="en-AU"/>
        </w:rPr>
        <w:t xml:space="preserve"> circumstances</w:t>
      </w:r>
      <w:r w:rsidR="00E46198" w:rsidRPr="00E46198">
        <w:rPr>
          <w:lang w:eastAsia="en-AU"/>
        </w:rPr>
        <w:t xml:space="preserve"> </w:t>
      </w:r>
      <w:r w:rsidR="00E46198">
        <w:rPr>
          <w:lang w:eastAsia="en-AU"/>
        </w:rPr>
        <w:t xml:space="preserve">are present (either individually or in a combination) such as to mean that any </w:t>
      </w:r>
      <w:r w:rsidRPr="00057DB7">
        <w:rPr>
          <w:lang w:eastAsia="en-AU"/>
        </w:rPr>
        <w:t xml:space="preserve">compensatory award made to Mr Murphy </w:t>
      </w:r>
      <w:r w:rsidR="00600086">
        <w:rPr>
          <w:lang w:eastAsia="en-AU"/>
        </w:rPr>
        <w:t xml:space="preserve">should </w:t>
      </w:r>
      <w:r w:rsidRPr="00057DB7">
        <w:rPr>
          <w:lang w:eastAsia="en-AU"/>
        </w:rPr>
        <w:t>relate to aggravated damages.</w:t>
      </w:r>
    </w:p>
    <w:p w14:paraId="7ED61316" w14:textId="77777777" w:rsidR="00114E03" w:rsidRPr="00057DB7" w:rsidRDefault="00114E03" w:rsidP="00114E03">
      <w:pPr>
        <w:pStyle w:val="Heading3"/>
      </w:pPr>
      <w:bookmarkStart w:id="56" w:name="_Ref69479644"/>
      <w:r w:rsidRPr="00057DB7">
        <w:t>Assessment</w:t>
      </w:r>
      <w:bookmarkEnd w:id="56"/>
    </w:p>
    <w:p w14:paraId="75A72AB0" w14:textId="7C671BEE"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 xml:space="preserve">Although I have explained the principles relevant to the impressionistic process of fixing upon an appropriate </w:t>
      </w:r>
      <w:proofErr w:type="spellStart"/>
      <w:r w:rsidRPr="00057DB7">
        <w:rPr>
          <w:rFonts w:eastAsia="Times New Roman"/>
          <w:szCs w:val="24"/>
          <w:lang w:eastAsia="en-AU"/>
        </w:rPr>
        <w:t>solatium</w:t>
      </w:r>
      <w:proofErr w:type="spellEnd"/>
      <w:r w:rsidRPr="00057DB7">
        <w:rPr>
          <w:rFonts w:eastAsia="Times New Roman"/>
          <w:szCs w:val="24"/>
          <w:lang w:eastAsia="en-AU"/>
        </w:rPr>
        <w:t xml:space="preserve"> for hurt to feelings, damage to reputation and vind</w:t>
      </w:r>
      <w:r w:rsidR="00E46198">
        <w:rPr>
          <w:rFonts w:eastAsia="Times New Roman"/>
          <w:szCs w:val="24"/>
          <w:lang w:eastAsia="en-AU"/>
        </w:rPr>
        <w:t xml:space="preserve">ication in one lump sum, in the present case, </w:t>
      </w:r>
      <w:r w:rsidRPr="00057DB7">
        <w:rPr>
          <w:rFonts w:eastAsia="Times New Roman"/>
          <w:szCs w:val="24"/>
          <w:lang w:eastAsia="en-AU"/>
        </w:rPr>
        <w:t xml:space="preserve">it is worth stressing two aspects which have particular importance. </w:t>
      </w:r>
    </w:p>
    <w:p w14:paraId="291D958E" w14:textId="7F1E30DF"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This is an example of a case where the damage to reputation has occurred in circumstances where a person’s professional standing is affected</w:t>
      </w:r>
      <w:r w:rsidR="00600086">
        <w:rPr>
          <w:rFonts w:eastAsia="Times New Roman"/>
          <w:szCs w:val="24"/>
          <w:lang w:eastAsia="en-AU"/>
        </w:rPr>
        <w:t xml:space="preserve"> (although there is no reflection o</w:t>
      </w:r>
      <w:r w:rsidR="00B65566">
        <w:rPr>
          <w:rFonts w:eastAsia="Times New Roman"/>
          <w:szCs w:val="24"/>
          <w:lang w:eastAsia="en-AU"/>
        </w:rPr>
        <w:t>n</w:t>
      </w:r>
      <w:r w:rsidR="00014122">
        <w:rPr>
          <w:rFonts w:eastAsia="Times New Roman"/>
          <w:szCs w:val="24"/>
          <w:lang w:eastAsia="en-AU"/>
        </w:rPr>
        <w:t xml:space="preserve"> the integrity of Mr Murphy</w:t>
      </w:r>
      <w:r w:rsidR="00607F76">
        <w:rPr>
          <w:rFonts w:eastAsia="Times New Roman"/>
          <w:szCs w:val="24"/>
          <w:lang w:eastAsia="en-AU"/>
        </w:rPr>
        <w:t>)</w:t>
      </w:r>
      <w:r w:rsidR="00600086">
        <w:rPr>
          <w:rFonts w:eastAsia="Times New Roman"/>
          <w:szCs w:val="24"/>
          <w:lang w:eastAsia="en-AU"/>
        </w:rPr>
        <w:t>.</w:t>
      </w:r>
    </w:p>
    <w:p w14:paraId="624B4E47" w14:textId="69F8FF9B" w:rsidR="00114E03" w:rsidRPr="00600086" w:rsidRDefault="00600086" w:rsidP="00600086">
      <w:pPr>
        <w:pStyle w:val="ParaNumbering"/>
        <w:rPr>
          <w:rFonts w:eastAsia="Times New Roman"/>
          <w:szCs w:val="24"/>
          <w:lang w:eastAsia="en-AU"/>
        </w:rPr>
      </w:pPr>
      <w:r>
        <w:rPr>
          <w:rFonts w:eastAsia="Times New Roman"/>
          <w:szCs w:val="24"/>
          <w:lang w:eastAsia="en-AU"/>
        </w:rPr>
        <w:t xml:space="preserve">Having said this, </w:t>
      </w:r>
      <w:r w:rsidR="00114E03" w:rsidRPr="00057DB7">
        <w:rPr>
          <w:rFonts w:eastAsia="Times New Roman"/>
          <w:szCs w:val="24"/>
          <w:lang w:eastAsia="en-AU"/>
        </w:rPr>
        <w:t xml:space="preserve">the appropriate and rational relationship between the harm sustained and the amount of damages awarded should reflect </w:t>
      </w:r>
      <w:r w:rsidR="00607F76">
        <w:rPr>
          <w:rFonts w:eastAsia="Times New Roman"/>
          <w:szCs w:val="24"/>
          <w:lang w:eastAsia="en-AU"/>
        </w:rPr>
        <w:t xml:space="preserve">the </w:t>
      </w:r>
      <w:r w:rsidR="000C2F32">
        <w:rPr>
          <w:rFonts w:eastAsia="Times New Roman"/>
          <w:szCs w:val="24"/>
          <w:lang w:eastAsia="en-AU"/>
        </w:rPr>
        <w:t xml:space="preserve">widespread publication, </w:t>
      </w:r>
      <w:r w:rsidR="00114E03" w:rsidRPr="00057DB7">
        <w:rPr>
          <w:rFonts w:eastAsia="Times New Roman"/>
          <w:szCs w:val="24"/>
          <w:lang w:eastAsia="en-AU"/>
        </w:rPr>
        <w:t>the fact that the law places a high value upon reputation</w:t>
      </w:r>
      <w:r w:rsidR="000C2F32">
        <w:rPr>
          <w:rFonts w:eastAsia="Times New Roman"/>
          <w:szCs w:val="24"/>
          <w:lang w:eastAsia="en-AU"/>
        </w:rPr>
        <w:t>,</w:t>
      </w:r>
      <w:r w:rsidR="000C2F32" w:rsidRPr="000C2F32">
        <w:rPr>
          <w:rFonts w:eastAsia="Times New Roman"/>
          <w:szCs w:val="24"/>
          <w:lang w:eastAsia="en-AU"/>
        </w:rPr>
        <w:t xml:space="preserve"> </w:t>
      </w:r>
      <w:r w:rsidR="00B65566">
        <w:rPr>
          <w:rFonts w:eastAsia="Times New Roman"/>
          <w:szCs w:val="24"/>
          <w:lang w:eastAsia="en-AU"/>
        </w:rPr>
        <w:t xml:space="preserve">that </w:t>
      </w:r>
      <w:r w:rsidR="000C2F32">
        <w:rPr>
          <w:rFonts w:eastAsia="Times New Roman"/>
          <w:szCs w:val="24"/>
          <w:lang w:eastAsia="en-AU"/>
        </w:rPr>
        <w:t xml:space="preserve">Mr Murphy is entitled to </w:t>
      </w:r>
      <w:r w:rsidR="000C2F32" w:rsidRPr="00057DB7">
        <w:rPr>
          <w:rFonts w:eastAsia="Times New Roman"/>
          <w:szCs w:val="24"/>
          <w:lang w:eastAsia="en-AU"/>
        </w:rPr>
        <w:t>vindication of reputation</w:t>
      </w:r>
      <w:r>
        <w:rPr>
          <w:rFonts w:eastAsia="Times New Roman"/>
          <w:szCs w:val="24"/>
          <w:lang w:eastAsia="en-AU"/>
        </w:rPr>
        <w:t xml:space="preserve">, </w:t>
      </w:r>
      <w:r w:rsidR="000C2F32">
        <w:rPr>
          <w:rFonts w:eastAsia="Times New Roman"/>
          <w:szCs w:val="24"/>
          <w:lang w:eastAsia="en-AU"/>
        </w:rPr>
        <w:t>and that he</w:t>
      </w:r>
      <w:r w:rsidR="00114E03" w:rsidRPr="00600086">
        <w:rPr>
          <w:rFonts w:eastAsia="Times New Roman"/>
          <w:szCs w:val="24"/>
          <w:lang w:eastAsia="en-AU"/>
        </w:rPr>
        <w:t xml:space="preserve"> did experience a </w:t>
      </w:r>
      <w:r w:rsidR="000C2F32">
        <w:rPr>
          <w:rFonts w:eastAsia="Times New Roman"/>
          <w:szCs w:val="24"/>
          <w:lang w:eastAsia="en-AU"/>
        </w:rPr>
        <w:t xml:space="preserve">significant </w:t>
      </w:r>
      <w:r w:rsidR="00114E03" w:rsidRPr="00600086">
        <w:rPr>
          <w:rFonts w:eastAsia="Times New Roman"/>
          <w:szCs w:val="24"/>
          <w:lang w:eastAsia="en-AU"/>
        </w:rPr>
        <w:t xml:space="preserve">degree of subjective hurt to feelings. </w:t>
      </w:r>
    </w:p>
    <w:p w14:paraId="7E06E40A" w14:textId="5F1E4C87" w:rsidR="00114E03" w:rsidRPr="00057DB7" w:rsidRDefault="00114E03" w:rsidP="00114E03">
      <w:pPr>
        <w:pStyle w:val="ParaNumbering"/>
        <w:rPr>
          <w:rFonts w:eastAsia="Times New Roman"/>
          <w:szCs w:val="24"/>
          <w:lang w:eastAsia="en-AU"/>
        </w:rPr>
      </w:pPr>
      <w:r w:rsidRPr="00057DB7">
        <w:rPr>
          <w:rFonts w:eastAsia="Times New Roman"/>
          <w:szCs w:val="24"/>
          <w:lang w:eastAsia="en-AU"/>
        </w:rPr>
        <w:t xml:space="preserve">It is difficult to identify </w:t>
      </w:r>
      <w:proofErr w:type="spellStart"/>
      <w:r w:rsidRPr="00057DB7">
        <w:rPr>
          <w:rFonts w:eastAsia="Times New Roman"/>
          <w:szCs w:val="24"/>
          <w:lang w:eastAsia="en-AU"/>
        </w:rPr>
        <w:t>comparables</w:t>
      </w:r>
      <w:proofErr w:type="spellEnd"/>
      <w:r w:rsidRPr="00057DB7">
        <w:rPr>
          <w:rFonts w:eastAsia="Times New Roman"/>
          <w:szCs w:val="24"/>
          <w:lang w:eastAsia="en-AU"/>
        </w:rPr>
        <w:t xml:space="preserve">, but in considering the appropriate and rational relationship between </w:t>
      </w:r>
      <w:r w:rsidR="00607F76">
        <w:rPr>
          <w:rFonts w:eastAsia="Times New Roman"/>
          <w:szCs w:val="24"/>
          <w:lang w:eastAsia="en-AU"/>
        </w:rPr>
        <w:t xml:space="preserve">the </w:t>
      </w:r>
      <w:r w:rsidRPr="00057DB7">
        <w:rPr>
          <w:rFonts w:eastAsia="Times New Roman"/>
          <w:szCs w:val="24"/>
          <w:lang w:eastAsia="en-AU"/>
        </w:rPr>
        <w:t xml:space="preserve">harm and </w:t>
      </w:r>
      <w:r w:rsidR="00607F76">
        <w:rPr>
          <w:rFonts w:eastAsia="Times New Roman"/>
          <w:szCs w:val="24"/>
          <w:lang w:eastAsia="en-AU"/>
        </w:rPr>
        <w:t xml:space="preserve">the </w:t>
      </w:r>
      <w:r w:rsidRPr="00057DB7">
        <w:rPr>
          <w:rFonts w:eastAsia="Times New Roman"/>
          <w:szCs w:val="24"/>
          <w:lang w:eastAsia="en-AU"/>
        </w:rPr>
        <w:t>amount, I have had regard t</w:t>
      </w:r>
      <w:r w:rsidR="002E212D">
        <w:rPr>
          <w:rFonts w:eastAsia="Times New Roman"/>
          <w:szCs w:val="24"/>
          <w:lang w:eastAsia="en-AU"/>
        </w:rPr>
        <w:t xml:space="preserve">o the general tenor of awards </w:t>
      </w:r>
      <w:r w:rsidRPr="00057DB7">
        <w:rPr>
          <w:rFonts w:eastAsia="Times New Roman"/>
          <w:szCs w:val="24"/>
          <w:lang w:eastAsia="en-AU"/>
        </w:rPr>
        <w:t xml:space="preserve">as part of the process of synthesis of the relevant matters to which I have referred. Weighing up all the factors, I have concluded that the appropriate </w:t>
      </w:r>
      <w:r w:rsidR="000C2F32">
        <w:rPr>
          <w:rFonts w:eastAsia="Times New Roman"/>
          <w:szCs w:val="24"/>
          <w:lang w:eastAsia="en-AU"/>
        </w:rPr>
        <w:t xml:space="preserve">amount </w:t>
      </w:r>
      <w:r w:rsidR="000C2F32" w:rsidRPr="00057DB7">
        <w:rPr>
          <w:rFonts w:eastAsia="Times New Roman"/>
          <w:szCs w:val="24"/>
          <w:lang w:eastAsia="en-AU"/>
        </w:rPr>
        <w:t xml:space="preserve">for non-economic loss comprising general damages </w:t>
      </w:r>
      <w:r w:rsidR="000C2F32">
        <w:rPr>
          <w:rFonts w:eastAsia="Times New Roman"/>
          <w:szCs w:val="24"/>
          <w:lang w:eastAsia="en-AU"/>
        </w:rPr>
        <w:t>is an award of</w:t>
      </w:r>
      <w:r w:rsidR="00014122">
        <w:rPr>
          <w:rFonts w:eastAsia="Times New Roman"/>
          <w:szCs w:val="24"/>
          <w:lang w:eastAsia="en-AU"/>
        </w:rPr>
        <w:t xml:space="preserve"> $11</w:t>
      </w:r>
      <w:r w:rsidRPr="00057DB7">
        <w:rPr>
          <w:rFonts w:eastAsia="Times New Roman"/>
          <w:szCs w:val="24"/>
          <w:lang w:eastAsia="en-AU"/>
        </w:rPr>
        <w:t>0,000.</w:t>
      </w:r>
    </w:p>
    <w:p w14:paraId="69674333" w14:textId="77777777" w:rsidR="00114E03" w:rsidRPr="00057DB7" w:rsidRDefault="00114E03" w:rsidP="00114E03">
      <w:pPr>
        <w:pStyle w:val="Heading2"/>
      </w:pPr>
      <w:bookmarkStart w:id="57" w:name="_Ref69479645"/>
      <w:r w:rsidRPr="00057DB7">
        <w:t>E.2</w:t>
      </w:r>
      <w:r w:rsidRPr="00057DB7">
        <w:tab/>
        <w:t>Interest</w:t>
      </w:r>
      <w:bookmarkEnd w:id="57"/>
    </w:p>
    <w:p w14:paraId="3989E733" w14:textId="551B04E5" w:rsidR="00114E03" w:rsidRPr="00057DB7" w:rsidRDefault="00153312" w:rsidP="00114E03">
      <w:pPr>
        <w:pStyle w:val="ParaNumbering"/>
        <w:rPr>
          <w:rFonts w:eastAsia="Times New Roman"/>
          <w:szCs w:val="24"/>
          <w:lang w:eastAsia="en-AU"/>
        </w:rPr>
      </w:pPr>
      <w:r w:rsidRPr="00057DB7">
        <w:rPr>
          <w:rFonts w:eastAsia="Times New Roman"/>
          <w:szCs w:val="24"/>
          <w:lang w:eastAsia="en-AU"/>
        </w:rPr>
        <w:t xml:space="preserve">There were no submissions made concerning interest on any award of damages and the matter has been brought on for hearing very quickly.  </w:t>
      </w:r>
      <w:r w:rsidR="000C2F32">
        <w:rPr>
          <w:rFonts w:eastAsia="Times New Roman"/>
          <w:szCs w:val="24"/>
          <w:lang w:eastAsia="en-AU"/>
        </w:rPr>
        <w:t>If relevant, w</w:t>
      </w:r>
      <w:r w:rsidRPr="00057DB7">
        <w:rPr>
          <w:rFonts w:eastAsia="Times New Roman"/>
          <w:szCs w:val="24"/>
          <w:lang w:eastAsia="en-AU"/>
        </w:rPr>
        <w:t>hen I deal with the entry of final orders</w:t>
      </w:r>
      <w:r w:rsidR="00E46198">
        <w:rPr>
          <w:rFonts w:eastAsia="Times New Roman"/>
          <w:szCs w:val="24"/>
          <w:lang w:eastAsia="en-AU"/>
        </w:rPr>
        <w:t>,</w:t>
      </w:r>
      <w:r w:rsidRPr="00057DB7">
        <w:rPr>
          <w:rFonts w:eastAsia="Times New Roman"/>
          <w:szCs w:val="24"/>
          <w:lang w:eastAsia="en-AU"/>
        </w:rPr>
        <w:t xml:space="preserve"> I will hear any submissions relating to interest.</w:t>
      </w:r>
    </w:p>
    <w:p w14:paraId="7A776A0A" w14:textId="77777777" w:rsidR="00114E03" w:rsidRPr="00057DB7" w:rsidRDefault="00114E03" w:rsidP="00114E03">
      <w:pPr>
        <w:pStyle w:val="Heading2"/>
      </w:pPr>
      <w:bookmarkStart w:id="58" w:name="_Ref69479646"/>
      <w:r w:rsidRPr="00057DB7">
        <w:t>E.3</w:t>
      </w:r>
      <w:r w:rsidRPr="00057DB7">
        <w:tab/>
        <w:t>Injunction</w:t>
      </w:r>
      <w:bookmarkEnd w:id="58"/>
    </w:p>
    <w:p w14:paraId="522BEBA8" w14:textId="63BF5D63" w:rsidR="00246475" w:rsidRPr="00057DB7" w:rsidRDefault="00246475" w:rsidP="00246475">
      <w:pPr>
        <w:pStyle w:val="ParaNumbering"/>
        <w:rPr>
          <w:rFonts w:eastAsia="Times New Roman"/>
          <w:szCs w:val="24"/>
          <w:lang w:eastAsia="en-AU"/>
        </w:rPr>
      </w:pPr>
      <w:r w:rsidRPr="00057DB7">
        <w:rPr>
          <w:rFonts w:eastAsia="Times New Roman"/>
          <w:szCs w:val="24"/>
          <w:lang w:eastAsia="en-AU"/>
        </w:rPr>
        <w:t xml:space="preserve">Given the recent developments in the </w:t>
      </w:r>
      <w:r w:rsidR="000926F6">
        <w:rPr>
          <w:rFonts w:eastAsia="Times New Roman"/>
          <w:szCs w:val="24"/>
          <w:lang w:eastAsia="en-AU"/>
        </w:rPr>
        <w:t xml:space="preserve">amendment of the </w:t>
      </w:r>
      <w:r w:rsidRPr="00057DB7">
        <w:rPr>
          <w:rFonts w:eastAsia="Times New Roman"/>
          <w:szCs w:val="24"/>
          <w:lang w:eastAsia="en-AU"/>
        </w:rPr>
        <w:t>internet article</w:t>
      </w:r>
      <w:r w:rsidR="00E46198">
        <w:rPr>
          <w:rFonts w:eastAsia="Times New Roman"/>
          <w:szCs w:val="24"/>
          <w:lang w:eastAsia="en-AU"/>
        </w:rPr>
        <w:t>,</w:t>
      </w:r>
      <w:r w:rsidRPr="00057DB7">
        <w:rPr>
          <w:rFonts w:eastAsia="Times New Roman"/>
          <w:szCs w:val="24"/>
          <w:lang w:eastAsia="en-AU"/>
        </w:rPr>
        <w:t xml:space="preserve"> </w:t>
      </w:r>
      <w:r w:rsidR="00E46198">
        <w:rPr>
          <w:rFonts w:eastAsia="Times New Roman"/>
          <w:szCs w:val="24"/>
          <w:lang w:eastAsia="en-AU"/>
        </w:rPr>
        <w:t xml:space="preserve">my preliminary view is that </w:t>
      </w:r>
      <w:r w:rsidRPr="00057DB7">
        <w:rPr>
          <w:rFonts w:eastAsia="Times New Roman"/>
          <w:szCs w:val="24"/>
          <w:lang w:eastAsia="en-AU"/>
        </w:rPr>
        <w:t xml:space="preserve">this case </w:t>
      </w:r>
      <w:r w:rsidR="000926F6">
        <w:rPr>
          <w:rFonts w:eastAsia="Times New Roman"/>
          <w:szCs w:val="24"/>
          <w:lang w:eastAsia="en-AU"/>
        </w:rPr>
        <w:t>does not seem</w:t>
      </w:r>
      <w:r w:rsidRPr="00057DB7">
        <w:rPr>
          <w:rFonts w:eastAsia="Times New Roman"/>
          <w:szCs w:val="24"/>
          <w:lang w:eastAsia="en-AU"/>
        </w:rPr>
        <w:t xml:space="preserve"> </w:t>
      </w:r>
      <w:r w:rsidR="000926F6">
        <w:rPr>
          <w:rFonts w:eastAsia="Times New Roman"/>
          <w:szCs w:val="24"/>
          <w:lang w:eastAsia="en-AU"/>
        </w:rPr>
        <w:t>to me</w:t>
      </w:r>
      <w:r w:rsidRPr="00057DB7">
        <w:rPr>
          <w:rFonts w:eastAsia="Times New Roman"/>
          <w:szCs w:val="24"/>
          <w:lang w:eastAsia="en-AU"/>
        </w:rPr>
        <w:t xml:space="preserve"> to be one where any relief in the form of</w:t>
      </w:r>
      <w:r w:rsidR="00607F76">
        <w:rPr>
          <w:rFonts w:eastAsia="Times New Roman"/>
          <w:szCs w:val="24"/>
          <w:lang w:eastAsia="en-AU"/>
        </w:rPr>
        <w:t xml:space="preserve"> an</w:t>
      </w:r>
      <w:r w:rsidRPr="00057DB7">
        <w:rPr>
          <w:rFonts w:eastAsia="Times New Roman"/>
          <w:szCs w:val="24"/>
          <w:lang w:eastAsia="en-AU"/>
        </w:rPr>
        <w:t xml:space="preserve"> injunction should be granted</w:t>
      </w:r>
      <w:r w:rsidR="00E46198">
        <w:rPr>
          <w:rFonts w:eastAsia="Times New Roman"/>
          <w:szCs w:val="24"/>
          <w:lang w:eastAsia="en-AU"/>
        </w:rPr>
        <w:t xml:space="preserve">.  Having said this, </w:t>
      </w:r>
      <w:r w:rsidRPr="00057DB7">
        <w:rPr>
          <w:rFonts w:eastAsia="Times New Roman"/>
          <w:szCs w:val="24"/>
          <w:lang w:eastAsia="en-AU"/>
        </w:rPr>
        <w:t>if Mr Murphy persists in his application for this relief then I will hear oral submissions at the time I make final orders.</w:t>
      </w:r>
    </w:p>
    <w:p w14:paraId="79FC66C4" w14:textId="77777777" w:rsidR="00114E03" w:rsidRPr="00057DB7" w:rsidRDefault="00114E03" w:rsidP="00114E03">
      <w:pPr>
        <w:pStyle w:val="Heading1"/>
      </w:pPr>
      <w:bookmarkStart w:id="59" w:name="_Ref69479647"/>
      <w:r w:rsidRPr="00057DB7">
        <w:lastRenderedPageBreak/>
        <w:t>F</w:t>
      </w:r>
      <w:r w:rsidRPr="00057DB7">
        <w:tab/>
        <w:t>ORDERS</w:t>
      </w:r>
      <w:bookmarkEnd w:id="59"/>
    </w:p>
    <w:p w14:paraId="62FF6C21" w14:textId="6C8C38C7" w:rsidR="000926F6" w:rsidRDefault="003B0F78" w:rsidP="003B0F78">
      <w:pPr>
        <w:pStyle w:val="ParaNumbering"/>
      </w:pPr>
      <w:r w:rsidRPr="00057DB7">
        <w:t>At present</w:t>
      </w:r>
      <w:r w:rsidR="00014122">
        <w:t>,</w:t>
      </w:r>
      <w:r w:rsidRPr="00057DB7">
        <w:t xml:space="preserve"> the only order that I will make is that the matter </w:t>
      </w:r>
      <w:r w:rsidR="00607F76">
        <w:t>be stood over</w:t>
      </w:r>
      <w:r w:rsidRPr="00057DB7">
        <w:t xml:space="preserve"> for </w:t>
      </w:r>
      <w:r w:rsidR="00305FB3">
        <w:t xml:space="preserve">further hearing and entry of orders </w:t>
      </w:r>
      <w:r w:rsidR="000C2F32">
        <w:t>at 10</w:t>
      </w:r>
      <w:r w:rsidRPr="00057DB7">
        <w:t xml:space="preserve">am </w:t>
      </w:r>
      <w:r w:rsidR="000C2F32">
        <w:t xml:space="preserve">on 21 </w:t>
      </w:r>
      <w:r w:rsidRPr="00057DB7">
        <w:t xml:space="preserve">April 2021.  </w:t>
      </w:r>
    </w:p>
    <w:p w14:paraId="7BE422CC" w14:textId="0018BE3E" w:rsidR="003B0F78" w:rsidRPr="00057DB7" w:rsidRDefault="000C2F32" w:rsidP="003B0F78">
      <w:pPr>
        <w:pStyle w:val="ParaNumbering"/>
      </w:pPr>
      <w:r>
        <w:t>If a form of orders can be agreed by tomorro</w:t>
      </w:r>
      <w:r w:rsidR="00EB594A">
        <w:t xml:space="preserve">w, I will vacate that listing. </w:t>
      </w:r>
      <w:r>
        <w:t xml:space="preserve">Otherwise, on 21 </w:t>
      </w:r>
      <w:r w:rsidRPr="00057DB7">
        <w:t>April 2021</w:t>
      </w:r>
      <w:r w:rsidR="00BF714F">
        <w:t>,</w:t>
      </w:r>
      <w:r>
        <w:t xml:space="preserve"> </w:t>
      </w:r>
      <w:r w:rsidR="003B0F78" w:rsidRPr="00057DB7">
        <w:t xml:space="preserve">I will hear any further submissions concerning the form of relief and will </w:t>
      </w:r>
      <w:r w:rsidR="000926F6">
        <w:t xml:space="preserve">formally </w:t>
      </w:r>
      <w:r w:rsidR="003B0F78" w:rsidRPr="00057DB7">
        <w:t xml:space="preserve">enter judgment reflecting my award. </w:t>
      </w:r>
      <w:r w:rsidR="008642A0" w:rsidRPr="00057DB7">
        <w:t xml:space="preserve"> If the parties have any evidence relevant to </w:t>
      </w:r>
      <w:r w:rsidR="000926F6">
        <w:t xml:space="preserve">the </w:t>
      </w:r>
      <w:r w:rsidR="008642A0" w:rsidRPr="00057DB7">
        <w:t>costs order they seek</w:t>
      </w:r>
      <w:r w:rsidR="00E46198">
        <w:t>,</w:t>
      </w:r>
      <w:r w:rsidR="008642A0" w:rsidRPr="00057DB7">
        <w:t xml:space="preserve"> they should file </w:t>
      </w:r>
      <w:r>
        <w:t xml:space="preserve">and serve </w:t>
      </w:r>
      <w:r w:rsidR="008642A0" w:rsidRPr="00057DB7">
        <w:t xml:space="preserve">such evidence </w:t>
      </w:r>
      <w:r w:rsidR="00607F76">
        <w:t xml:space="preserve">by </w:t>
      </w:r>
      <w:r>
        <w:t>no later than 4pm on 20 April 2021</w:t>
      </w:r>
      <w:r w:rsidR="008642A0" w:rsidRPr="00057DB7">
        <w:t>.</w:t>
      </w:r>
    </w:p>
    <w:p w14:paraId="63EAD505" w14:textId="77777777" w:rsidR="008F7856" w:rsidRDefault="008F7856" w:rsidP="00D57562">
      <w:pPr>
        <w:pStyle w:val="BodyText"/>
      </w:pPr>
      <w:bookmarkStart w:id="60" w:name="Certification"/>
    </w:p>
    <w:tbl>
      <w:tblPr>
        <w:tblW w:w="0" w:type="auto"/>
        <w:tblLook w:val="04A0" w:firstRow="1" w:lastRow="0" w:firstColumn="1" w:lastColumn="0" w:noHBand="0" w:noVBand="1"/>
      </w:tblPr>
      <w:tblGrid>
        <w:gridCol w:w="3794"/>
      </w:tblGrid>
      <w:tr w:rsidR="008F7856" w:rsidRPr="008F7856" w14:paraId="31D08C4F" w14:textId="77777777">
        <w:tc>
          <w:tcPr>
            <w:tcW w:w="3794" w:type="dxa"/>
            <w:shd w:val="clear" w:color="auto" w:fill="auto"/>
          </w:tcPr>
          <w:p w14:paraId="42FAFD34" w14:textId="65CD73CD" w:rsidR="008F7856" w:rsidRPr="008F7856" w:rsidRDefault="008F7856" w:rsidP="001E1185">
            <w:pPr>
              <w:pStyle w:val="Normal1linespace"/>
            </w:pPr>
            <w:r w:rsidRPr="008F7856">
              <w:t xml:space="preserve">I certify that the preceding </w:t>
            </w:r>
            <w:bookmarkStart w:id="61" w:name="NumberWord"/>
            <w:r>
              <w:t xml:space="preserve">one hundred and </w:t>
            </w:r>
            <w:bookmarkEnd w:id="61"/>
            <w:r w:rsidR="001E1185">
              <w:t>fourteen</w:t>
            </w:r>
            <w:r w:rsidRPr="008F7856">
              <w:t xml:space="preserve"> (</w:t>
            </w:r>
            <w:bookmarkStart w:id="62" w:name="NumberNumeral"/>
            <w:r>
              <w:t>11</w:t>
            </w:r>
            <w:bookmarkEnd w:id="62"/>
            <w:r w:rsidR="001E1185">
              <w:t>4</w:t>
            </w:r>
            <w:r w:rsidRPr="008F7856">
              <w:t xml:space="preserve">) numbered </w:t>
            </w:r>
            <w:bookmarkStart w:id="63" w:name="CertPara"/>
            <w:r>
              <w:t>paragraphs are</w:t>
            </w:r>
            <w:bookmarkEnd w:id="63"/>
            <w:r w:rsidRPr="008F7856">
              <w:t xml:space="preserve"> a true copy of the Reasons for Judgment of </w:t>
            </w:r>
            <w:bookmarkStart w:id="64" w:name="bkHonourable"/>
            <w:r w:rsidRPr="008F7856">
              <w:t xml:space="preserve">the Honourable </w:t>
            </w:r>
            <w:bookmarkStart w:id="65" w:name="Justice"/>
            <w:bookmarkEnd w:id="64"/>
            <w:r>
              <w:t>Justice Lee</w:t>
            </w:r>
            <w:bookmarkEnd w:id="65"/>
            <w:r w:rsidRPr="008F7856">
              <w:t>.</w:t>
            </w:r>
          </w:p>
        </w:tc>
      </w:tr>
    </w:tbl>
    <w:p w14:paraId="218207C7" w14:textId="5ACD7776" w:rsidR="008F7856" w:rsidRDefault="008F7856" w:rsidP="00D57562">
      <w:pPr>
        <w:pStyle w:val="BodyText"/>
      </w:pPr>
    </w:p>
    <w:p w14:paraId="14712467" w14:textId="6E3BD84F" w:rsidR="008F7856" w:rsidRDefault="008F7856" w:rsidP="00D57562">
      <w:pPr>
        <w:pStyle w:val="BodyText"/>
      </w:pPr>
    </w:p>
    <w:p w14:paraId="538E455B" w14:textId="2CD4C44B" w:rsidR="008F7856" w:rsidRDefault="008F7856" w:rsidP="00D57562">
      <w:pPr>
        <w:pStyle w:val="BodyText"/>
      </w:pPr>
      <w:r>
        <w:t>Associate:</w:t>
      </w:r>
      <w:r w:rsidR="0007151B" w:rsidRPr="0007151B">
        <w:rPr>
          <w:noProof/>
          <w:lang w:eastAsia="en-AU"/>
        </w:rPr>
        <w:t xml:space="preserve"> </w:t>
      </w:r>
    </w:p>
    <w:p w14:paraId="140787E8" w14:textId="77777777" w:rsidR="008F7856" w:rsidRDefault="008F7856" w:rsidP="00D57562">
      <w:pPr>
        <w:pStyle w:val="BodyText"/>
      </w:pPr>
    </w:p>
    <w:p w14:paraId="7FF58C92" w14:textId="615C7F5D" w:rsidR="008F7856" w:rsidRDefault="008F7856" w:rsidP="00D57562">
      <w:pPr>
        <w:pStyle w:val="BodyText"/>
        <w:tabs>
          <w:tab w:val="left" w:pos="1134"/>
        </w:tabs>
      </w:pPr>
      <w:r>
        <w:t>Dated:</w:t>
      </w:r>
      <w:r>
        <w:tab/>
      </w:r>
      <w:r w:rsidR="00304A51">
        <w:t>19 April 2021</w:t>
      </w:r>
    </w:p>
    <w:p w14:paraId="0A1EAD36" w14:textId="77777777" w:rsidR="008F7856" w:rsidRDefault="008F7856" w:rsidP="00D57562">
      <w:pPr>
        <w:pStyle w:val="BodyText"/>
      </w:pPr>
    </w:p>
    <w:bookmarkEnd w:id="60"/>
    <w:p w14:paraId="4B6464BE" w14:textId="77777777" w:rsidR="008F7856" w:rsidRDefault="008F7856">
      <w:pPr>
        <w:spacing w:line="240" w:lineRule="auto"/>
        <w:jc w:val="left"/>
      </w:pPr>
      <w:r>
        <w:br w:type="page"/>
      </w:r>
    </w:p>
    <w:p w14:paraId="77E38F43" w14:textId="503FB774" w:rsidR="00A66BAB" w:rsidRPr="008F7856" w:rsidRDefault="00A66BAB" w:rsidP="008F7856">
      <w:pPr>
        <w:pStyle w:val="BodyText"/>
        <w:jc w:val="center"/>
        <w:rPr>
          <w:b/>
        </w:rPr>
      </w:pPr>
      <w:r w:rsidRPr="008F7856">
        <w:rPr>
          <w:b/>
        </w:rPr>
        <w:lastRenderedPageBreak/>
        <w:t>SCHEDULE A</w:t>
      </w:r>
      <w:r w:rsidR="008F7856">
        <w:rPr>
          <w:b/>
        </w:rPr>
        <w:t xml:space="preserve"> – </w:t>
      </w:r>
      <w:r w:rsidRPr="008F7856">
        <w:rPr>
          <w:b/>
        </w:rPr>
        <w:t>The Print Article</w:t>
      </w:r>
    </w:p>
    <w:p w14:paraId="0E0E295E" w14:textId="4E764B81" w:rsidR="00156520" w:rsidRPr="00156520" w:rsidRDefault="00156520" w:rsidP="00156520">
      <w:pPr>
        <w:spacing w:line="240" w:lineRule="auto"/>
        <w:ind w:left="-709"/>
        <w:jc w:val="left"/>
      </w:pPr>
      <w:r>
        <w:rPr>
          <w:b/>
          <w:noProof/>
          <w:lang w:eastAsia="en-AU"/>
        </w:rPr>
        <w:drawing>
          <wp:inline distT="0" distB="0" distL="0" distR="0" wp14:anchorId="06104C32" wp14:editId="0DC78EAF">
            <wp:extent cx="6896392" cy="8582891"/>
            <wp:effectExtent l="0" t="0" r="0" b="8890"/>
            <wp:docPr id="1" name="Picture 1" descr="C:\Users\eHynard\AppData\Local\Microsoft\Windows\INetCache\Content.Word\Print 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ynard\AppData\Local\Microsoft\Windows\INetCache\Content.Word\Print Artic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19906" cy="8612155"/>
                    </a:xfrm>
                    <a:prstGeom prst="rect">
                      <a:avLst/>
                    </a:prstGeom>
                    <a:noFill/>
                    <a:ln>
                      <a:noFill/>
                    </a:ln>
                  </pic:spPr>
                </pic:pic>
              </a:graphicData>
            </a:graphic>
          </wp:inline>
        </w:drawing>
      </w:r>
      <w:r w:rsidR="00A66BAB" w:rsidRPr="00057DB7">
        <w:br w:type="page"/>
      </w:r>
    </w:p>
    <w:p w14:paraId="6DCE1EB7" w14:textId="42AEC738" w:rsidR="00156520" w:rsidRDefault="00A66BAB" w:rsidP="00156520">
      <w:pPr>
        <w:jc w:val="center"/>
        <w:rPr>
          <w:b/>
        </w:rPr>
      </w:pPr>
      <w:r w:rsidRPr="008F7856">
        <w:rPr>
          <w:b/>
        </w:rPr>
        <w:lastRenderedPageBreak/>
        <w:t>SCHEDULE B</w:t>
      </w:r>
      <w:r w:rsidR="008F7856">
        <w:rPr>
          <w:b/>
        </w:rPr>
        <w:t xml:space="preserve"> – </w:t>
      </w:r>
      <w:r w:rsidRPr="008F7856">
        <w:rPr>
          <w:b/>
        </w:rPr>
        <w:t>The Internet Article</w:t>
      </w:r>
    </w:p>
    <w:p w14:paraId="42177B06" w14:textId="722BF9A6" w:rsidR="00A66BAB" w:rsidRPr="008F7856" w:rsidRDefault="00156520" w:rsidP="00156520">
      <w:pPr>
        <w:ind w:left="-567"/>
        <w:jc w:val="center"/>
        <w:rPr>
          <w:b/>
        </w:rPr>
      </w:pPr>
      <w:r>
        <w:rPr>
          <w:noProof/>
          <w:lang w:eastAsia="en-AU"/>
        </w:rPr>
        <w:drawing>
          <wp:inline distT="0" distB="0" distL="0" distR="0" wp14:anchorId="2B3B65B0" wp14:editId="52AC5315">
            <wp:extent cx="6545568" cy="8541327"/>
            <wp:effectExtent l="0" t="0" r="8255" b="0"/>
            <wp:docPr id="4" name="Picture 4" descr="C:\Users\eHynard\AppData\Local\Microsoft\Windows\INetCache\Content.Word\onl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Hynard\AppData\Local\Microsoft\Windows\INetCache\Content.Word\online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4589" cy="8553098"/>
                    </a:xfrm>
                    <a:prstGeom prst="rect">
                      <a:avLst/>
                    </a:prstGeom>
                    <a:noFill/>
                    <a:ln>
                      <a:noFill/>
                    </a:ln>
                  </pic:spPr>
                </pic:pic>
              </a:graphicData>
            </a:graphic>
          </wp:inline>
        </w:drawing>
      </w:r>
    </w:p>
    <w:p w14:paraId="19ED54F2" w14:textId="76073743" w:rsidR="00156520" w:rsidRDefault="00A66BAB" w:rsidP="00156520">
      <w:pPr>
        <w:spacing w:line="240" w:lineRule="auto"/>
        <w:ind w:left="-426"/>
        <w:jc w:val="left"/>
      </w:pPr>
      <w:r w:rsidRPr="00057DB7">
        <w:br w:type="page"/>
      </w:r>
      <w:r w:rsidR="007F6173">
        <w:lastRenderedPageBreak/>
        <w:pict w14:anchorId="3FA83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96.75pt">
            <v:imagedata r:id="rId16" o:title="Online 2"/>
          </v:shape>
        </w:pict>
      </w:r>
    </w:p>
    <w:p w14:paraId="74A71BB4" w14:textId="0C6FB321" w:rsidR="00156520" w:rsidRDefault="007F6173" w:rsidP="00156520">
      <w:pPr>
        <w:spacing w:line="240" w:lineRule="auto"/>
        <w:ind w:left="-426"/>
        <w:jc w:val="left"/>
      </w:pPr>
      <w:r>
        <w:lastRenderedPageBreak/>
        <w:pict w14:anchorId="3229BBB5">
          <v:shape id="_x0000_i1026" type="#_x0000_t75" style="width:7in;height:692.25pt">
            <v:imagedata r:id="rId17" o:title="Online 3"/>
          </v:shape>
        </w:pict>
      </w:r>
    </w:p>
    <w:p w14:paraId="23AD6B30" w14:textId="0253F9E4" w:rsidR="001F7122" w:rsidRPr="001F7122" w:rsidRDefault="007F6173" w:rsidP="001F7122">
      <w:pPr>
        <w:spacing w:line="240" w:lineRule="auto"/>
        <w:ind w:left="-426"/>
        <w:jc w:val="left"/>
      </w:pPr>
      <w:r>
        <w:lastRenderedPageBreak/>
        <w:pict w14:anchorId="5CF2D97F">
          <v:shape id="_x0000_i1027" type="#_x0000_t75" style="width:7in;height:698.25pt">
            <v:imagedata r:id="rId18" o:title="Online 4"/>
          </v:shape>
        </w:pict>
      </w:r>
    </w:p>
    <w:p w14:paraId="39C8E48B" w14:textId="19BA85D8" w:rsidR="00A66BAB" w:rsidRPr="00057DB7" w:rsidRDefault="008F7856" w:rsidP="001F7122">
      <w:pPr>
        <w:spacing w:line="240" w:lineRule="auto"/>
        <w:ind w:left="-426" w:firstLine="426"/>
        <w:jc w:val="center"/>
        <w:rPr>
          <w:b/>
          <w:bCs/>
        </w:rPr>
      </w:pPr>
      <w:r w:rsidRPr="008F7856">
        <w:rPr>
          <w:b/>
        </w:rPr>
        <w:lastRenderedPageBreak/>
        <w:t xml:space="preserve">SCHEDULE </w:t>
      </w:r>
      <w:r>
        <w:rPr>
          <w:b/>
          <w:bCs/>
        </w:rPr>
        <w:t>C – The Extent of Publication</w:t>
      </w:r>
    </w:p>
    <w:p w14:paraId="6AF46E2D" w14:textId="77777777" w:rsidR="00A66BAB" w:rsidRPr="00057DB7" w:rsidRDefault="00A66BAB" w:rsidP="00A66BAB">
      <w:pPr>
        <w:spacing w:line="240" w:lineRule="auto"/>
      </w:pPr>
    </w:p>
    <w:tbl>
      <w:tblPr>
        <w:tblStyle w:val="TableGrid"/>
        <w:tblW w:w="10207" w:type="dxa"/>
        <w:tblInd w:w="-714" w:type="dxa"/>
        <w:tblLook w:val="04A0" w:firstRow="1" w:lastRow="0" w:firstColumn="1" w:lastColumn="0" w:noHBand="0" w:noVBand="1"/>
      </w:tblPr>
      <w:tblGrid>
        <w:gridCol w:w="2836"/>
        <w:gridCol w:w="2835"/>
        <w:gridCol w:w="4536"/>
      </w:tblGrid>
      <w:tr w:rsidR="00A66BAB" w:rsidRPr="00057DB7" w14:paraId="4F676C8A" w14:textId="77777777" w:rsidTr="004417D1">
        <w:tc>
          <w:tcPr>
            <w:tcW w:w="2836" w:type="dxa"/>
            <w:tcBorders>
              <w:bottom w:val="single" w:sz="4" w:space="0" w:color="auto"/>
            </w:tcBorders>
            <w:shd w:val="clear" w:color="auto" w:fill="FFFFFF" w:themeFill="background1"/>
          </w:tcPr>
          <w:p w14:paraId="057D8469" w14:textId="77777777" w:rsidR="004417D1" w:rsidRDefault="004417D1" w:rsidP="004417D1">
            <w:pPr>
              <w:spacing w:line="240" w:lineRule="auto"/>
              <w:jc w:val="center"/>
              <w:rPr>
                <w:b/>
                <w:bCs/>
              </w:rPr>
            </w:pPr>
          </w:p>
          <w:p w14:paraId="430C86A8" w14:textId="77777777" w:rsidR="00A66BAB" w:rsidRDefault="00A66BAB" w:rsidP="004417D1">
            <w:pPr>
              <w:spacing w:line="240" w:lineRule="auto"/>
              <w:jc w:val="center"/>
              <w:rPr>
                <w:b/>
                <w:bCs/>
              </w:rPr>
            </w:pPr>
            <w:r w:rsidRPr="00057DB7">
              <w:rPr>
                <w:b/>
                <w:bCs/>
              </w:rPr>
              <w:t>Publication</w:t>
            </w:r>
          </w:p>
          <w:p w14:paraId="3E33B1B4" w14:textId="73DB6708" w:rsidR="004417D1" w:rsidRPr="00057DB7" w:rsidRDefault="004417D1" w:rsidP="004417D1">
            <w:pPr>
              <w:spacing w:line="240" w:lineRule="auto"/>
              <w:jc w:val="center"/>
              <w:rPr>
                <w:b/>
                <w:bCs/>
              </w:rPr>
            </w:pPr>
          </w:p>
        </w:tc>
        <w:tc>
          <w:tcPr>
            <w:tcW w:w="2835" w:type="dxa"/>
            <w:tcBorders>
              <w:bottom w:val="single" w:sz="4" w:space="0" w:color="auto"/>
            </w:tcBorders>
            <w:shd w:val="clear" w:color="auto" w:fill="FFFFFF" w:themeFill="background1"/>
          </w:tcPr>
          <w:p w14:paraId="08A8F5BB" w14:textId="77777777" w:rsidR="004417D1" w:rsidRDefault="004417D1" w:rsidP="004417D1">
            <w:pPr>
              <w:spacing w:line="240" w:lineRule="auto"/>
              <w:jc w:val="center"/>
              <w:rPr>
                <w:b/>
                <w:bCs/>
              </w:rPr>
            </w:pPr>
          </w:p>
          <w:p w14:paraId="60351BE2" w14:textId="6641E2DC" w:rsidR="00A66BAB" w:rsidRPr="00057DB7" w:rsidRDefault="00A66BAB" w:rsidP="004417D1">
            <w:pPr>
              <w:spacing w:line="240" w:lineRule="auto"/>
              <w:jc w:val="center"/>
              <w:rPr>
                <w:b/>
                <w:bCs/>
              </w:rPr>
            </w:pPr>
            <w:r w:rsidRPr="00057DB7">
              <w:rPr>
                <w:b/>
                <w:bCs/>
              </w:rPr>
              <w:t>Circulation</w:t>
            </w:r>
          </w:p>
        </w:tc>
        <w:tc>
          <w:tcPr>
            <w:tcW w:w="4536" w:type="dxa"/>
            <w:tcBorders>
              <w:bottom w:val="single" w:sz="4" w:space="0" w:color="auto"/>
            </w:tcBorders>
            <w:shd w:val="clear" w:color="auto" w:fill="FFFFFF" w:themeFill="background1"/>
          </w:tcPr>
          <w:p w14:paraId="63C7D27D" w14:textId="77777777" w:rsidR="004417D1" w:rsidRDefault="004417D1" w:rsidP="004417D1">
            <w:pPr>
              <w:spacing w:line="240" w:lineRule="auto"/>
              <w:jc w:val="center"/>
              <w:rPr>
                <w:b/>
                <w:bCs/>
              </w:rPr>
            </w:pPr>
          </w:p>
          <w:p w14:paraId="707B909B" w14:textId="07E47E24" w:rsidR="00A66BAB" w:rsidRPr="00057DB7" w:rsidRDefault="00A66BAB" w:rsidP="004417D1">
            <w:pPr>
              <w:spacing w:line="240" w:lineRule="auto"/>
              <w:jc w:val="center"/>
              <w:rPr>
                <w:b/>
                <w:bCs/>
              </w:rPr>
            </w:pPr>
            <w:r w:rsidRPr="00057DB7">
              <w:rPr>
                <w:b/>
                <w:bCs/>
              </w:rPr>
              <w:t>Estimated Readership</w:t>
            </w:r>
          </w:p>
        </w:tc>
      </w:tr>
      <w:tr w:rsidR="00A66BAB" w:rsidRPr="00057DB7" w14:paraId="40438611" w14:textId="77777777" w:rsidTr="004417D1">
        <w:trPr>
          <w:trHeight w:val="2052"/>
        </w:trPr>
        <w:tc>
          <w:tcPr>
            <w:tcW w:w="2836" w:type="dxa"/>
            <w:tcBorders>
              <w:bottom w:val="single" w:sz="4" w:space="0" w:color="auto"/>
            </w:tcBorders>
          </w:tcPr>
          <w:p w14:paraId="4DBBC911" w14:textId="058423BA" w:rsidR="00A66BAB" w:rsidRPr="00057DB7" w:rsidRDefault="00A66BAB" w:rsidP="00B77E08">
            <w:pPr>
              <w:spacing w:line="240" w:lineRule="auto"/>
              <w:jc w:val="left"/>
            </w:pPr>
            <w:r w:rsidRPr="00057DB7">
              <w:t xml:space="preserve">Exhibit </w:t>
            </w:r>
            <w:r w:rsidR="004417D1">
              <w:t>C:  Newspaper article entitled “</w:t>
            </w:r>
            <w:r w:rsidRPr="00057DB7">
              <w:t xml:space="preserve">Portrait of </w:t>
            </w:r>
            <w:r w:rsidR="004417D1">
              <w:t>the artist as an estranged wife”</w:t>
            </w:r>
            <w:r w:rsidRPr="00057DB7">
              <w:t xml:space="preserve"> dated 10/10/2020</w:t>
            </w:r>
          </w:p>
        </w:tc>
        <w:tc>
          <w:tcPr>
            <w:tcW w:w="2835" w:type="dxa"/>
            <w:tcBorders>
              <w:bottom w:val="single" w:sz="4" w:space="0" w:color="auto"/>
            </w:tcBorders>
          </w:tcPr>
          <w:p w14:paraId="381D7056" w14:textId="77777777" w:rsidR="00A66BAB" w:rsidRPr="00057DB7" w:rsidRDefault="00A66BAB" w:rsidP="00B77E08">
            <w:pPr>
              <w:spacing w:line="240" w:lineRule="auto"/>
              <w:jc w:val="left"/>
            </w:pPr>
            <w:r w:rsidRPr="00057DB7">
              <w:t xml:space="preserve">The circulation figure for </w:t>
            </w:r>
            <w:r w:rsidRPr="00057DB7">
              <w:rPr>
                <w:i/>
                <w:iCs/>
              </w:rPr>
              <w:t xml:space="preserve">The Daily Telegraph </w:t>
            </w:r>
            <w:r w:rsidRPr="00057DB7">
              <w:t>print newspaper published on Saturday, 10 October 2020 was 147,326.</w:t>
            </w:r>
          </w:p>
          <w:p w14:paraId="5C6B60F1" w14:textId="77777777" w:rsidR="00A66BAB" w:rsidRPr="00057DB7" w:rsidRDefault="00A66BAB" w:rsidP="00B77E08">
            <w:pPr>
              <w:spacing w:line="240" w:lineRule="auto"/>
              <w:jc w:val="left"/>
            </w:pPr>
          </w:p>
        </w:tc>
        <w:tc>
          <w:tcPr>
            <w:tcW w:w="4536" w:type="dxa"/>
            <w:tcBorders>
              <w:bottom w:val="single" w:sz="4" w:space="0" w:color="auto"/>
            </w:tcBorders>
          </w:tcPr>
          <w:p w14:paraId="38D1B113" w14:textId="759B56B1" w:rsidR="00A66BAB" w:rsidRPr="00057DB7" w:rsidRDefault="00A66BAB" w:rsidP="00B77E08">
            <w:pPr>
              <w:spacing w:line="240" w:lineRule="auto"/>
              <w:jc w:val="left"/>
            </w:pPr>
            <w:bookmarkStart w:id="66" w:name="_Hlk66958700"/>
            <w:r w:rsidRPr="00057DB7">
              <w:t xml:space="preserve">In the period between 1 January 2020 and 31 December 2020, the estimated readership of the Saturday edition of </w:t>
            </w:r>
            <w:r w:rsidRPr="00057DB7">
              <w:rPr>
                <w:i/>
                <w:iCs/>
              </w:rPr>
              <w:t>The Daily Telegraph</w:t>
            </w:r>
            <w:r w:rsidRPr="00057DB7">
              <w:t xml:space="preserve"> newspaper was as follows:</w:t>
            </w:r>
            <w:r w:rsidRPr="00057DB7">
              <w:br/>
              <w:t>(</w:t>
            </w:r>
            <w:proofErr w:type="spellStart"/>
            <w:r w:rsidRPr="00057DB7">
              <w:t>i</w:t>
            </w:r>
            <w:proofErr w:type="spellEnd"/>
            <w:r w:rsidRPr="00057DB7">
              <w:t>)  New South Wales:  484,000 (approx.); and</w:t>
            </w:r>
            <w:r w:rsidRPr="00057DB7">
              <w:br/>
              <w:t>(ii)  Australian Capital Territory:  12,000 (approx.).</w:t>
            </w:r>
            <w:r w:rsidRPr="00057DB7">
              <w:br/>
              <w:t xml:space="preserve">The First Respondent does not measure readership for </w:t>
            </w:r>
            <w:r w:rsidRPr="00057DB7">
              <w:rPr>
                <w:i/>
                <w:iCs/>
              </w:rPr>
              <w:t xml:space="preserve">The Daily Telegraph </w:t>
            </w:r>
            <w:r w:rsidRPr="00057DB7">
              <w:t>newspaper in States and Territories of Australia other than those set out above.</w:t>
            </w:r>
            <w:bookmarkEnd w:id="66"/>
          </w:p>
          <w:p w14:paraId="5F830429" w14:textId="77777777" w:rsidR="00A66BAB" w:rsidRPr="00057DB7" w:rsidRDefault="00A66BAB" w:rsidP="00B77E08">
            <w:pPr>
              <w:spacing w:line="240" w:lineRule="auto"/>
              <w:jc w:val="left"/>
            </w:pPr>
          </w:p>
        </w:tc>
      </w:tr>
    </w:tbl>
    <w:p w14:paraId="797B0699" w14:textId="77777777" w:rsidR="00A66BAB" w:rsidRPr="00057DB7" w:rsidRDefault="00A66BAB" w:rsidP="00A66BAB">
      <w:pPr>
        <w:spacing w:line="240" w:lineRule="auto"/>
      </w:pPr>
    </w:p>
    <w:tbl>
      <w:tblPr>
        <w:tblStyle w:val="TableGrid"/>
        <w:tblW w:w="10207" w:type="dxa"/>
        <w:tblInd w:w="-714" w:type="dxa"/>
        <w:tblLayout w:type="fixed"/>
        <w:tblLook w:val="04A0" w:firstRow="1" w:lastRow="0" w:firstColumn="1" w:lastColumn="0" w:noHBand="0" w:noVBand="1"/>
      </w:tblPr>
      <w:tblGrid>
        <w:gridCol w:w="2836"/>
        <w:gridCol w:w="2835"/>
        <w:gridCol w:w="4536"/>
      </w:tblGrid>
      <w:tr w:rsidR="00A66BAB" w:rsidRPr="00057DB7" w14:paraId="012FF4C1" w14:textId="77777777" w:rsidTr="004417D1">
        <w:tc>
          <w:tcPr>
            <w:tcW w:w="2836" w:type="dxa"/>
            <w:tcBorders>
              <w:top w:val="single" w:sz="4" w:space="0" w:color="auto"/>
            </w:tcBorders>
            <w:shd w:val="clear" w:color="auto" w:fill="FFFFFF" w:themeFill="background1"/>
          </w:tcPr>
          <w:p w14:paraId="03230F8D" w14:textId="77777777" w:rsidR="004417D1" w:rsidRDefault="004417D1" w:rsidP="004417D1">
            <w:pPr>
              <w:spacing w:line="240" w:lineRule="auto"/>
              <w:jc w:val="center"/>
              <w:rPr>
                <w:b/>
                <w:bCs/>
              </w:rPr>
            </w:pPr>
          </w:p>
          <w:p w14:paraId="7FB92645" w14:textId="2B129677" w:rsidR="00A66BAB" w:rsidRPr="00057DB7" w:rsidRDefault="00A66BAB" w:rsidP="004417D1">
            <w:pPr>
              <w:spacing w:line="240" w:lineRule="auto"/>
              <w:jc w:val="center"/>
              <w:rPr>
                <w:b/>
                <w:bCs/>
              </w:rPr>
            </w:pPr>
            <w:r w:rsidRPr="00057DB7">
              <w:rPr>
                <w:b/>
                <w:bCs/>
              </w:rPr>
              <w:t>Publication</w:t>
            </w:r>
          </w:p>
        </w:tc>
        <w:tc>
          <w:tcPr>
            <w:tcW w:w="2835" w:type="dxa"/>
            <w:tcBorders>
              <w:top w:val="single" w:sz="4" w:space="0" w:color="auto"/>
            </w:tcBorders>
            <w:shd w:val="clear" w:color="auto" w:fill="FFFFFF" w:themeFill="background1"/>
          </w:tcPr>
          <w:p w14:paraId="7CFE2DA8" w14:textId="77777777" w:rsidR="00A66BAB" w:rsidRPr="00057DB7" w:rsidRDefault="00A66BAB" w:rsidP="004417D1">
            <w:pPr>
              <w:spacing w:line="240" w:lineRule="auto"/>
              <w:jc w:val="center"/>
              <w:rPr>
                <w:b/>
                <w:bCs/>
              </w:rPr>
            </w:pPr>
            <w:r w:rsidRPr="00057DB7">
              <w:rPr>
                <w:b/>
                <w:bCs/>
              </w:rPr>
              <w:t>Total Unique Visitors between 10 October 2020 and 7 March 2021</w:t>
            </w:r>
          </w:p>
        </w:tc>
        <w:tc>
          <w:tcPr>
            <w:tcW w:w="4536" w:type="dxa"/>
            <w:tcBorders>
              <w:top w:val="single" w:sz="4" w:space="0" w:color="auto"/>
            </w:tcBorders>
            <w:shd w:val="clear" w:color="auto" w:fill="FFFFFF" w:themeFill="background1"/>
          </w:tcPr>
          <w:p w14:paraId="3E2A8B54" w14:textId="77777777" w:rsidR="00A66BAB" w:rsidRPr="00057DB7" w:rsidRDefault="00A66BAB" w:rsidP="004417D1">
            <w:pPr>
              <w:spacing w:line="240" w:lineRule="auto"/>
              <w:jc w:val="center"/>
              <w:rPr>
                <w:b/>
                <w:bCs/>
              </w:rPr>
            </w:pPr>
            <w:r w:rsidRPr="00057DB7">
              <w:rPr>
                <w:b/>
                <w:bCs/>
              </w:rPr>
              <w:t>Breakdown by Region between 10 October 2020 and 7 March 2021</w:t>
            </w:r>
          </w:p>
        </w:tc>
      </w:tr>
      <w:tr w:rsidR="00A66BAB" w:rsidRPr="00057DB7" w14:paraId="2E622ABA" w14:textId="77777777" w:rsidTr="004417D1">
        <w:trPr>
          <w:trHeight w:val="4673"/>
        </w:trPr>
        <w:tc>
          <w:tcPr>
            <w:tcW w:w="2836" w:type="dxa"/>
          </w:tcPr>
          <w:p w14:paraId="27CD3E6C" w14:textId="1B9F6AF8" w:rsidR="00A66BAB" w:rsidRPr="00057DB7" w:rsidRDefault="00A66BAB" w:rsidP="00B77E08">
            <w:pPr>
              <w:spacing w:line="240" w:lineRule="auto"/>
              <w:jc w:val="left"/>
            </w:pPr>
            <w:r w:rsidRPr="00057DB7">
              <w:t>Exhi</w:t>
            </w:r>
            <w:r w:rsidR="004417D1">
              <w:t>bit D: Online article entitled “</w:t>
            </w:r>
            <w:r w:rsidRPr="00057DB7">
              <w:t>Annette Sharp: Lawyer Chris Murphy and artist Agne</w:t>
            </w:r>
            <w:r w:rsidR="004417D1">
              <w:t xml:space="preserve">s </w:t>
            </w:r>
            <w:proofErr w:type="spellStart"/>
            <w:r w:rsidR="004417D1">
              <w:t>Bruck</w:t>
            </w:r>
            <w:proofErr w:type="spellEnd"/>
            <w:r w:rsidR="004417D1">
              <w:t xml:space="preserve"> call it quits”</w:t>
            </w:r>
            <w:r w:rsidRPr="00057DB7">
              <w:t xml:space="preserve"> dated 10/10/2020</w:t>
            </w:r>
          </w:p>
          <w:p w14:paraId="07E07275" w14:textId="77777777" w:rsidR="00A66BAB" w:rsidRPr="00057DB7" w:rsidRDefault="007F6173" w:rsidP="00B77E08">
            <w:pPr>
              <w:spacing w:line="240" w:lineRule="auto"/>
              <w:jc w:val="left"/>
            </w:pPr>
            <w:hyperlink r:id="rId19" w:history="1">
              <w:r w:rsidR="00A66BAB" w:rsidRPr="00057DB7">
                <w:rPr>
                  <w:rStyle w:val="Hyperlink"/>
                </w:rPr>
                <w:t>https://www.dailytelegraph.com.au/news/annette-sharp-lawyer-chris-murphy-and-artist-agnes-bruck-call-it-quits/news-story/5b1db1cba518efbdc5fe4820177b1a78</w:t>
              </w:r>
            </w:hyperlink>
            <w:r w:rsidR="00A66BAB" w:rsidRPr="00057DB7">
              <w:t xml:space="preserve"> (</w:t>
            </w:r>
            <w:r w:rsidR="00A66BAB" w:rsidRPr="00057DB7">
              <w:rPr>
                <w:b/>
                <w:bCs/>
                <w:i/>
                <w:iCs/>
              </w:rPr>
              <w:t>The Daily Telegraph</w:t>
            </w:r>
            <w:r w:rsidR="00A66BAB" w:rsidRPr="00057DB7">
              <w:rPr>
                <w:b/>
                <w:bCs/>
              </w:rPr>
              <w:t xml:space="preserve"> Online Article</w:t>
            </w:r>
            <w:r w:rsidR="00A66BAB" w:rsidRPr="00057DB7">
              <w:t>)</w:t>
            </w:r>
          </w:p>
        </w:tc>
        <w:tc>
          <w:tcPr>
            <w:tcW w:w="2835" w:type="dxa"/>
          </w:tcPr>
          <w:p w14:paraId="48939A7A" w14:textId="77777777" w:rsidR="00A66BAB" w:rsidRPr="00057DB7" w:rsidRDefault="00A66BAB" w:rsidP="00B77E08">
            <w:pPr>
              <w:spacing w:before="120" w:line="240" w:lineRule="auto"/>
              <w:jc w:val="left"/>
            </w:pPr>
            <w:r w:rsidRPr="00057DB7">
              <w:t xml:space="preserve">A total of 3,681 unique visitors to </w:t>
            </w:r>
            <w:r w:rsidRPr="00057DB7">
              <w:rPr>
                <w:i/>
                <w:iCs/>
              </w:rPr>
              <w:t>The Daily Telegraph</w:t>
            </w:r>
            <w:r w:rsidRPr="00057DB7">
              <w:t xml:space="preserve"> Online Article.</w:t>
            </w:r>
          </w:p>
        </w:tc>
        <w:tc>
          <w:tcPr>
            <w:tcW w:w="4536" w:type="dxa"/>
          </w:tcPr>
          <w:p w14:paraId="619A23B5" w14:textId="77777777" w:rsidR="00A66BAB" w:rsidRPr="00057DB7" w:rsidRDefault="00A66BAB" w:rsidP="00B77E08">
            <w:pPr>
              <w:spacing w:line="240" w:lineRule="auto"/>
              <w:jc w:val="left"/>
            </w:pPr>
            <w:r w:rsidRPr="00057DB7">
              <w:t>Those unique visits were from Internet Protocols addresses associated with the following states and territories, in the numbers shown*:</w:t>
            </w:r>
          </w:p>
          <w:p w14:paraId="7158AFC4" w14:textId="77777777" w:rsidR="00A66BAB" w:rsidRPr="00057DB7" w:rsidRDefault="00A66BAB" w:rsidP="00B77E08">
            <w:pPr>
              <w:spacing w:line="240" w:lineRule="auto"/>
              <w:jc w:val="left"/>
            </w:pPr>
            <w:r w:rsidRPr="00057DB7">
              <w:t>(</w:t>
            </w:r>
            <w:proofErr w:type="spellStart"/>
            <w:r w:rsidRPr="00057DB7">
              <w:t>i</w:t>
            </w:r>
            <w:proofErr w:type="spellEnd"/>
            <w:r w:rsidRPr="00057DB7">
              <w:t>)  New South Wales: 2,864;</w:t>
            </w:r>
          </w:p>
          <w:p w14:paraId="725BEA4F" w14:textId="77777777" w:rsidR="00A66BAB" w:rsidRPr="00057DB7" w:rsidRDefault="00A66BAB" w:rsidP="00B77E08">
            <w:pPr>
              <w:spacing w:line="240" w:lineRule="auto"/>
              <w:jc w:val="left"/>
            </w:pPr>
            <w:r w:rsidRPr="00057DB7">
              <w:t>(ii)  Queensland: 377;</w:t>
            </w:r>
          </w:p>
          <w:p w14:paraId="4B38DF7F" w14:textId="77777777" w:rsidR="00A66BAB" w:rsidRPr="00057DB7" w:rsidRDefault="00A66BAB" w:rsidP="00B77E08">
            <w:pPr>
              <w:spacing w:line="240" w:lineRule="auto"/>
              <w:jc w:val="left"/>
            </w:pPr>
            <w:r w:rsidRPr="00057DB7">
              <w:t>(iii)  Victoria: 256;</w:t>
            </w:r>
          </w:p>
          <w:p w14:paraId="5FE2DC48" w14:textId="77777777" w:rsidR="00A66BAB" w:rsidRPr="00057DB7" w:rsidRDefault="00A66BAB" w:rsidP="00B77E08">
            <w:pPr>
              <w:spacing w:line="240" w:lineRule="auto"/>
              <w:jc w:val="left"/>
            </w:pPr>
            <w:r w:rsidRPr="00057DB7">
              <w:t>(iv): South Australia: 71;</w:t>
            </w:r>
          </w:p>
          <w:p w14:paraId="1D29AB7F" w14:textId="77777777" w:rsidR="00A66BAB" w:rsidRPr="00057DB7" w:rsidRDefault="00A66BAB" w:rsidP="00B77E08">
            <w:pPr>
              <w:spacing w:line="240" w:lineRule="auto"/>
              <w:jc w:val="left"/>
            </w:pPr>
            <w:r w:rsidRPr="00057DB7">
              <w:t>(v): Australian Capital Territory: 69;</w:t>
            </w:r>
          </w:p>
          <w:p w14:paraId="62A4EBD8" w14:textId="77777777" w:rsidR="00A66BAB" w:rsidRPr="00057DB7" w:rsidRDefault="00A66BAB" w:rsidP="00B77E08">
            <w:pPr>
              <w:spacing w:line="240" w:lineRule="auto"/>
              <w:jc w:val="left"/>
            </w:pPr>
            <w:r w:rsidRPr="00057DB7">
              <w:t>(vi):  Western Australia: 23;</w:t>
            </w:r>
          </w:p>
          <w:p w14:paraId="6BF8ACF6" w14:textId="77777777" w:rsidR="00A66BAB" w:rsidRPr="00057DB7" w:rsidRDefault="00A66BAB" w:rsidP="00B77E08">
            <w:pPr>
              <w:spacing w:line="240" w:lineRule="auto"/>
              <w:jc w:val="left"/>
            </w:pPr>
            <w:r w:rsidRPr="00057DB7">
              <w:t>(vii):  Tasmania: 20; and</w:t>
            </w:r>
          </w:p>
          <w:p w14:paraId="3E103DFF" w14:textId="77777777" w:rsidR="00A66BAB" w:rsidRPr="00057DB7" w:rsidRDefault="00A66BAB" w:rsidP="00B77E08">
            <w:pPr>
              <w:spacing w:line="240" w:lineRule="auto"/>
              <w:jc w:val="left"/>
            </w:pPr>
            <w:r w:rsidRPr="00057DB7">
              <w:t>(viii):  Northern Territory: 3.</w:t>
            </w:r>
          </w:p>
          <w:p w14:paraId="10273762" w14:textId="77777777" w:rsidR="00A66BAB" w:rsidRPr="00057DB7" w:rsidRDefault="00A66BAB" w:rsidP="00B77E08">
            <w:pPr>
              <w:spacing w:line="240" w:lineRule="auto"/>
              <w:jc w:val="left"/>
            </w:pPr>
          </w:p>
          <w:p w14:paraId="4B84529D" w14:textId="77777777" w:rsidR="00A66BAB" w:rsidRPr="00057DB7" w:rsidRDefault="00A66BAB" w:rsidP="00B77E08">
            <w:pPr>
              <w:spacing w:line="240" w:lineRule="auto"/>
              <w:jc w:val="left"/>
            </w:pPr>
            <w:r w:rsidRPr="00057DB7">
              <w:t>* the figures set out above sum to a slightly higher number (3,683) than the total unique visitors (3,681) as unique visits are only counted once, whereas a unique visitor can be recognised as a unique visitor within each State or Territory region.</w:t>
            </w:r>
          </w:p>
        </w:tc>
      </w:tr>
      <w:tr w:rsidR="00A66BAB" w:rsidRPr="00057DB7" w14:paraId="3C77C0D6" w14:textId="77777777" w:rsidTr="004417D1">
        <w:trPr>
          <w:trHeight w:val="699"/>
        </w:trPr>
        <w:tc>
          <w:tcPr>
            <w:tcW w:w="2836" w:type="dxa"/>
          </w:tcPr>
          <w:p w14:paraId="070DE54F" w14:textId="77777777" w:rsidR="00A66BAB" w:rsidRPr="00057DB7" w:rsidRDefault="007F6173" w:rsidP="00B77E08">
            <w:pPr>
              <w:spacing w:before="120" w:line="240" w:lineRule="auto"/>
              <w:jc w:val="left"/>
            </w:pPr>
            <w:hyperlink r:id="rId20" w:history="1">
              <w:r w:rsidR="00A66BAB" w:rsidRPr="00057DB7">
                <w:rPr>
                  <w:rStyle w:val="Hyperlink"/>
                </w:rPr>
                <w:t>https://www.couriermail.com.au/news/annette-sharp-lawyer-chris-murphy-and-artist-agnes-bruck-call-it-quits/news-story/5b1db1cba518efbdc5fe4820177b1a78</w:t>
              </w:r>
            </w:hyperlink>
            <w:r w:rsidR="00A66BAB" w:rsidRPr="00057DB7">
              <w:t xml:space="preserve"> (</w:t>
            </w:r>
            <w:r w:rsidR="00A66BAB" w:rsidRPr="00057DB7">
              <w:rPr>
                <w:b/>
                <w:bCs/>
                <w:i/>
                <w:iCs/>
              </w:rPr>
              <w:t>Courier Mail</w:t>
            </w:r>
            <w:r w:rsidR="00A66BAB" w:rsidRPr="00057DB7">
              <w:rPr>
                <w:b/>
                <w:bCs/>
              </w:rPr>
              <w:t xml:space="preserve"> Online Article</w:t>
            </w:r>
            <w:r w:rsidR="00A66BAB" w:rsidRPr="00057DB7">
              <w:t>)</w:t>
            </w:r>
          </w:p>
        </w:tc>
        <w:tc>
          <w:tcPr>
            <w:tcW w:w="2835" w:type="dxa"/>
          </w:tcPr>
          <w:p w14:paraId="3B22C2F8" w14:textId="77777777" w:rsidR="00A66BAB" w:rsidRPr="00057DB7" w:rsidRDefault="00A66BAB" w:rsidP="00B77E08">
            <w:pPr>
              <w:spacing w:before="120" w:line="240" w:lineRule="auto"/>
              <w:jc w:val="left"/>
            </w:pPr>
            <w:r w:rsidRPr="00057DB7">
              <w:t xml:space="preserve">A total of 7 unique visitors to the </w:t>
            </w:r>
            <w:r w:rsidRPr="00057DB7">
              <w:rPr>
                <w:i/>
                <w:iCs/>
              </w:rPr>
              <w:t xml:space="preserve">Courier Mail </w:t>
            </w:r>
            <w:r w:rsidRPr="00057DB7">
              <w:t>Online Article.</w:t>
            </w:r>
          </w:p>
        </w:tc>
        <w:tc>
          <w:tcPr>
            <w:tcW w:w="4536" w:type="dxa"/>
          </w:tcPr>
          <w:p w14:paraId="3F9E7192" w14:textId="77777777" w:rsidR="00A66BAB" w:rsidRPr="00057DB7" w:rsidRDefault="00A66BAB" w:rsidP="00B77E08">
            <w:pPr>
              <w:spacing w:before="120" w:line="240" w:lineRule="auto"/>
              <w:jc w:val="left"/>
            </w:pPr>
            <w:r w:rsidRPr="00057DB7">
              <w:t>5 of those unique visits were from Internet Protocol addresses associated with Queensland and 2 of those unique visits were from Internet Protocol addresses associated with New South Wales.</w:t>
            </w:r>
          </w:p>
        </w:tc>
      </w:tr>
      <w:tr w:rsidR="00A66BAB" w:rsidRPr="00057DB7" w14:paraId="451AEFB4" w14:textId="77777777" w:rsidTr="004417D1">
        <w:trPr>
          <w:trHeight w:val="2597"/>
        </w:trPr>
        <w:tc>
          <w:tcPr>
            <w:tcW w:w="2836" w:type="dxa"/>
          </w:tcPr>
          <w:p w14:paraId="592DA091" w14:textId="77777777" w:rsidR="00A66BAB" w:rsidRPr="00057DB7" w:rsidRDefault="007F6173" w:rsidP="00B77E08">
            <w:pPr>
              <w:spacing w:before="120" w:line="240" w:lineRule="auto"/>
              <w:jc w:val="left"/>
            </w:pPr>
            <w:hyperlink r:id="rId21" w:history="1">
              <w:r w:rsidR="00A66BAB" w:rsidRPr="00057DB7">
                <w:rPr>
                  <w:rStyle w:val="Hyperlink"/>
                </w:rPr>
                <w:t>https://www.heraldsun.com.au/news/annette-sharp-lawyer-chris-murphy-and-artist-agnes-bruck-call-it-quits/news-story/5b1db1cba518efbdc5fe4820177b1a78</w:t>
              </w:r>
            </w:hyperlink>
            <w:r w:rsidR="00A66BAB" w:rsidRPr="00057DB7">
              <w:t xml:space="preserve"> (</w:t>
            </w:r>
            <w:r w:rsidR="00A66BAB" w:rsidRPr="00057DB7">
              <w:rPr>
                <w:b/>
                <w:bCs/>
                <w:i/>
                <w:iCs/>
              </w:rPr>
              <w:t>Herald Sun</w:t>
            </w:r>
            <w:r w:rsidR="00A66BAB" w:rsidRPr="00057DB7">
              <w:rPr>
                <w:b/>
                <w:bCs/>
              </w:rPr>
              <w:t xml:space="preserve"> Online Article</w:t>
            </w:r>
            <w:r w:rsidR="00A66BAB" w:rsidRPr="00057DB7">
              <w:t>)</w:t>
            </w:r>
          </w:p>
        </w:tc>
        <w:tc>
          <w:tcPr>
            <w:tcW w:w="2835" w:type="dxa"/>
          </w:tcPr>
          <w:p w14:paraId="4675B7D0" w14:textId="77777777" w:rsidR="00A66BAB" w:rsidRPr="00057DB7" w:rsidRDefault="00A66BAB" w:rsidP="00B77E08">
            <w:pPr>
              <w:spacing w:before="120" w:line="240" w:lineRule="auto"/>
              <w:jc w:val="left"/>
            </w:pPr>
            <w:r w:rsidRPr="00057DB7">
              <w:t xml:space="preserve">A total of 6 unique visitors to the </w:t>
            </w:r>
            <w:r w:rsidRPr="00057DB7">
              <w:rPr>
                <w:i/>
                <w:iCs/>
              </w:rPr>
              <w:t xml:space="preserve">Herald Sun </w:t>
            </w:r>
            <w:r w:rsidRPr="00057DB7">
              <w:t>Online Article.</w:t>
            </w:r>
          </w:p>
        </w:tc>
        <w:tc>
          <w:tcPr>
            <w:tcW w:w="4536" w:type="dxa"/>
          </w:tcPr>
          <w:p w14:paraId="2D1977F0" w14:textId="77777777" w:rsidR="00A66BAB" w:rsidRPr="00057DB7" w:rsidRDefault="00A66BAB" w:rsidP="00B77E08">
            <w:pPr>
              <w:spacing w:before="120" w:line="240" w:lineRule="auto"/>
              <w:jc w:val="left"/>
            </w:pPr>
            <w:r w:rsidRPr="00057DB7">
              <w:t>3 of those unique visits were from Internet Protocol addresses associated with Victoria and 3 of those unique visits were from Internet Protocol addresses associated with New South Wales.</w:t>
            </w:r>
          </w:p>
        </w:tc>
      </w:tr>
      <w:tr w:rsidR="00A66BAB" w:rsidRPr="00057DB7" w14:paraId="5021EFEE" w14:textId="77777777" w:rsidTr="004417D1">
        <w:trPr>
          <w:trHeight w:val="1597"/>
        </w:trPr>
        <w:tc>
          <w:tcPr>
            <w:tcW w:w="2836" w:type="dxa"/>
          </w:tcPr>
          <w:p w14:paraId="356AAB1A" w14:textId="77777777" w:rsidR="00A66BAB" w:rsidRPr="00057DB7" w:rsidRDefault="007F6173" w:rsidP="00B77E08">
            <w:pPr>
              <w:spacing w:before="120" w:line="240" w:lineRule="auto"/>
              <w:jc w:val="left"/>
            </w:pPr>
            <w:hyperlink r:id="rId22" w:history="1">
              <w:r w:rsidR="00A66BAB" w:rsidRPr="00057DB7">
                <w:rPr>
                  <w:rStyle w:val="Hyperlink"/>
                </w:rPr>
                <w:t>https://www.adelaidenow.com.au/news/national/annette-sharp-lawyer-chris-murphy-and-artist-agnes-bruck-call-it-quits/news-story/5b1db1cba518efbdc5fe4820177b1a78</w:t>
              </w:r>
            </w:hyperlink>
            <w:r w:rsidR="00A66BAB" w:rsidRPr="00057DB7">
              <w:t xml:space="preserve"> (</w:t>
            </w:r>
            <w:r w:rsidR="00A66BAB" w:rsidRPr="00057DB7">
              <w:rPr>
                <w:b/>
                <w:bCs/>
                <w:i/>
                <w:iCs/>
              </w:rPr>
              <w:t xml:space="preserve">Advertiser </w:t>
            </w:r>
            <w:r w:rsidR="00A66BAB" w:rsidRPr="00057DB7">
              <w:rPr>
                <w:b/>
                <w:bCs/>
              </w:rPr>
              <w:t>Article</w:t>
            </w:r>
            <w:r w:rsidR="00A66BAB" w:rsidRPr="00057DB7">
              <w:t>)</w:t>
            </w:r>
          </w:p>
        </w:tc>
        <w:tc>
          <w:tcPr>
            <w:tcW w:w="2835" w:type="dxa"/>
          </w:tcPr>
          <w:p w14:paraId="5832CEB3" w14:textId="77777777" w:rsidR="00A66BAB" w:rsidRPr="00057DB7" w:rsidRDefault="00A66BAB" w:rsidP="00B77E08">
            <w:pPr>
              <w:spacing w:before="120" w:line="240" w:lineRule="auto"/>
              <w:jc w:val="left"/>
            </w:pPr>
            <w:r w:rsidRPr="00057DB7">
              <w:t xml:space="preserve">A total of 11 unique visitors to the </w:t>
            </w:r>
            <w:r w:rsidRPr="00057DB7">
              <w:rPr>
                <w:i/>
                <w:iCs/>
              </w:rPr>
              <w:t xml:space="preserve">Advertiser </w:t>
            </w:r>
            <w:r w:rsidRPr="00057DB7">
              <w:t>Online Article.</w:t>
            </w:r>
          </w:p>
        </w:tc>
        <w:tc>
          <w:tcPr>
            <w:tcW w:w="4536" w:type="dxa"/>
          </w:tcPr>
          <w:p w14:paraId="30308318" w14:textId="77777777" w:rsidR="00A66BAB" w:rsidRPr="00057DB7" w:rsidRDefault="00A66BAB" w:rsidP="00B77E08">
            <w:pPr>
              <w:spacing w:before="120" w:line="240" w:lineRule="auto"/>
              <w:jc w:val="left"/>
            </w:pPr>
            <w:r w:rsidRPr="00057DB7">
              <w:t>9 of those unique visits were from Internet Protocol addresses associated with South Australia and 2 of those unique visits were from Internet Protocol addresses associated with New South Wales.</w:t>
            </w:r>
          </w:p>
        </w:tc>
      </w:tr>
      <w:tr w:rsidR="00A66BAB" w:rsidRPr="00057DB7" w14:paraId="30611F3E" w14:textId="77777777" w:rsidTr="004417D1">
        <w:tc>
          <w:tcPr>
            <w:tcW w:w="2836" w:type="dxa"/>
          </w:tcPr>
          <w:p w14:paraId="40FE70DA" w14:textId="77777777" w:rsidR="00A66BAB" w:rsidRPr="00057DB7" w:rsidRDefault="007F6173" w:rsidP="00B77E08">
            <w:pPr>
              <w:spacing w:before="120" w:line="240" w:lineRule="auto"/>
              <w:jc w:val="left"/>
            </w:pPr>
            <w:hyperlink r:id="rId23" w:history="1">
              <w:r w:rsidR="00A66BAB" w:rsidRPr="00057DB7">
                <w:rPr>
                  <w:rStyle w:val="Hyperlink"/>
                </w:rPr>
                <w:t>https://www.themercury.com.au/news/national/annette-sharp-lawyer-chris-murphy-and-artist-agnes-bruck-call-it-quits/news-story/5b1db1cba518efbdc5fe4820177b1a78</w:t>
              </w:r>
            </w:hyperlink>
            <w:r w:rsidR="00A66BAB" w:rsidRPr="00057DB7">
              <w:rPr>
                <w:b/>
                <w:bCs/>
              </w:rPr>
              <w:t xml:space="preserve"> </w:t>
            </w:r>
            <w:r w:rsidR="00A66BAB" w:rsidRPr="00057DB7">
              <w:t>(</w:t>
            </w:r>
            <w:r w:rsidR="00A66BAB" w:rsidRPr="00057DB7">
              <w:rPr>
                <w:b/>
                <w:bCs/>
                <w:i/>
                <w:iCs/>
              </w:rPr>
              <w:t xml:space="preserve">Mercury </w:t>
            </w:r>
            <w:r w:rsidR="00A66BAB" w:rsidRPr="00057DB7">
              <w:rPr>
                <w:b/>
                <w:bCs/>
              </w:rPr>
              <w:t>Online Article</w:t>
            </w:r>
            <w:r w:rsidR="00A66BAB" w:rsidRPr="00057DB7">
              <w:t>)</w:t>
            </w:r>
          </w:p>
        </w:tc>
        <w:tc>
          <w:tcPr>
            <w:tcW w:w="2835" w:type="dxa"/>
          </w:tcPr>
          <w:p w14:paraId="7C3C2A8B" w14:textId="77777777" w:rsidR="00A66BAB" w:rsidRPr="00057DB7" w:rsidRDefault="00A66BAB" w:rsidP="00B77E08">
            <w:pPr>
              <w:spacing w:before="120" w:line="240" w:lineRule="auto"/>
              <w:jc w:val="left"/>
            </w:pPr>
            <w:r w:rsidRPr="00057DB7">
              <w:t xml:space="preserve">There was a total of 26 unique visitors to the </w:t>
            </w:r>
            <w:r w:rsidRPr="00057DB7">
              <w:rPr>
                <w:i/>
                <w:iCs/>
              </w:rPr>
              <w:t xml:space="preserve">Mercury </w:t>
            </w:r>
            <w:r w:rsidRPr="00057DB7">
              <w:t>Online Article.</w:t>
            </w:r>
          </w:p>
        </w:tc>
        <w:tc>
          <w:tcPr>
            <w:tcW w:w="4536" w:type="dxa"/>
          </w:tcPr>
          <w:p w14:paraId="2B38FE0C" w14:textId="77777777" w:rsidR="00A66BAB" w:rsidRPr="00057DB7" w:rsidRDefault="00A66BAB" w:rsidP="00B77E08">
            <w:pPr>
              <w:spacing w:before="120" w:line="240" w:lineRule="auto"/>
              <w:jc w:val="left"/>
            </w:pPr>
            <w:r w:rsidRPr="00057DB7">
              <w:t>Those unique visits were from Internet Protocol addresses associated with the following States and Territories of Australia:</w:t>
            </w:r>
          </w:p>
          <w:p w14:paraId="4476ED66" w14:textId="77777777" w:rsidR="00A66BAB" w:rsidRPr="00057DB7" w:rsidRDefault="00A66BAB" w:rsidP="00A66BAB">
            <w:pPr>
              <w:numPr>
                <w:ilvl w:val="0"/>
                <w:numId w:val="29"/>
              </w:numPr>
              <w:spacing w:before="120" w:line="240" w:lineRule="auto"/>
              <w:jc w:val="left"/>
            </w:pPr>
            <w:r w:rsidRPr="00057DB7">
              <w:t>New South Wales: 22;</w:t>
            </w:r>
          </w:p>
          <w:p w14:paraId="217E3022" w14:textId="77777777" w:rsidR="00A66BAB" w:rsidRPr="00057DB7" w:rsidRDefault="00A66BAB" w:rsidP="00A66BAB">
            <w:pPr>
              <w:numPr>
                <w:ilvl w:val="0"/>
                <w:numId w:val="29"/>
              </w:numPr>
              <w:spacing w:before="120" w:line="240" w:lineRule="auto"/>
              <w:jc w:val="left"/>
            </w:pPr>
            <w:r w:rsidRPr="00057DB7">
              <w:t>Victoria: 2;</w:t>
            </w:r>
          </w:p>
          <w:p w14:paraId="0109462C" w14:textId="77777777" w:rsidR="00A66BAB" w:rsidRPr="00057DB7" w:rsidRDefault="00A66BAB" w:rsidP="00A66BAB">
            <w:pPr>
              <w:numPr>
                <w:ilvl w:val="0"/>
                <w:numId w:val="29"/>
              </w:numPr>
              <w:spacing w:before="120" w:line="240" w:lineRule="auto"/>
              <w:jc w:val="left"/>
            </w:pPr>
            <w:r w:rsidRPr="00057DB7">
              <w:t>Queensland: 1; and</w:t>
            </w:r>
          </w:p>
          <w:p w14:paraId="5BD5B3D7" w14:textId="77777777" w:rsidR="00A66BAB" w:rsidRPr="00057DB7" w:rsidRDefault="00A66BAB" w:rsidP="00A66BAB">
            <w:pPr>
              <w:numPr>
                <w:ilvl w:val="0"/>
                <w:numId w:val="29"/>
              </w:numPr>
              <w:spacing w:before="120" w:line="240" w:lineRule="auto"/>
              <w:jc w:val="left"/>
            </w:pPr>
            <w:r w:rsidRPr="00057DB7">
              <w:t>Tasmania: 1.</w:t>
            </w:r>
          </w:p>
        </w:tc>
      </w:tr>
      <w:bookmarkStart w:id="67" w:name="_Ref66799696"/>
      <w:tr w:rsidR="00A66BAB" w:rsidRPr="00057DB7" w14:paraId="34257C6E" w14:textId="77777777" w:rsidTr="004417D1">
        <w:tc>
          <w:tcPr>
            <w:tcW w:w="2836" w:type="dxa"/>
          </w:tcPr>
          <w:p w14:paraId="18F84E30" w14:textId="6126F69C" w:rsidR="00A66BAB" w:rsidRPr="00057DB7" w:rsidRDefault="00A66BAB" w:rsidP="00B77E08">
            <w:pPr>
              <w:spacing w:before="120" w:line="240" w:lineRule="auto"/>
              <w:jc w:val="left"/>
            </w:pPr>
            <w:r w:rsidRPr="00057DB7">
              <w:fldChar w:fldCharType="begin"/>
            </w:r>
            <w:r w:rsidRPr="00057DB7">
              <w:instrText xml:space="preserve"> HYPERLINK "https://www.goldcoastbulletin.com.au/news/national/annette-sharp-lawyer-chris-murphy-and-artist-agnes-bruck-call-it-quits/news-story/5b1db1cba518efbdc5fe4820177b1a78" </w:instrText>
            </w:r>
            <w:r w:rsidRPr="00057DB7">
              <w:fldChar w:fldCharType="separate"/>
            </w:r>
            <w:r w:rsidRPr="00057DB7">
              <w:rPr>
                <w:rStyle w:val="Hyperlink"/>
              </w:rPr>
              <w:t>https://www.goldcoastbulletin.com.au/news/national/annette-sharp-lawyer-chris-murphy-and-artist-agnes-bruck-call-it-quits/news-story/5b1db1cba518efbdc5fe4820177b1a78</w:t>
            </w:r>
            <w:r w:rsidRPr="00057DB7">
              <w:fldChar w:fldCharType="end"/>
            </w:r>
            <w:r w:rsidRPr="00057DB7">
              <w:t xml:space="preserve"> (</w:t>
            </w:r>
            <w:r w:rsidRPr="00057DB7">
              <w:rPr>
                <w:b/>
                <w:bCs/>
                <w:i/>
                <w:iCs/>
              </w:rPr>
              <w:t>Gold Coast Bulletin</w:t>
            </w:r>
            <w:r w:rsidRPr="00057DB7">
              <w:rPr>
                <w:b/>
                <w:bCs/>
              </w:rPr>
              <w:t xml:space="preserve"> Online Article</w:t>
            </w:r>
            <w:r w:rsidRPr="00057DB7">
              <w:t>)</w:t>
            </w:r>
            <w:bookmarkEnd w:id="67"/>
          </w:p>
        </w:tc>
        <w:tc>
          <w:tcPr>
            <w:tcW w:w="2835" w:type="dxa"/>
          </w:tcPr>
          <w:p w14:paraId="08DC57EA" w14:textId="77777777" w:rsidR="00A66BAB" w:rsidRPr="00057DB7" w:rsidRDefault="00A66BAB" w:rsidP="00B77E08">
            <w:pPr>
              <w:spacing w:before="120" w:line="240" w:lineRule="auto"/>
              <w:jc w:val="left"/>
            </w:pPr>
            <w:r w:rsidRPr="00057DB7">
              <w:t xml:space="preserve">There was a total of 3 unique visitors to the </w:t>
            </w:r>
            <w:r w:rsidRPr="00057DB7">
              <w:rPr>
                <w:i/>
                <w:iCs/>
              </w:rPr>
              <w:t xml:space="preserve">Gold Coast Bulletin </w:t>
            </w:r>
            <w:r w:rsidRPr="00057DB7">
              <w:t>Online Article</w:t>
            </w:r>
          </w:p>
        </w:tc>
        <w:tc>
          <w:tcPr>
            <w:tcW w:w="4536" w:type="dxa"/>
          </w:tcPr>
          <w:p w14:paraId="082562A2" w14:textId="77777777" w:rsidR="00A66BAB" w:rsidRPr="00057DB7" w:rsidRDefault="00A66BAB" w:rsidP="00B77E08">
            <w:pPr>
              <w:spacing w:before="120" w:line="240" w:lineRule="auto"/>
              <w:jc w:val="left"/>
            </w:pPr>
            <w:r w:rsidRPr="00057DB7">
              <w:t>Those unique visits were from Internet Protocol addresses associated with the following States and Territories of Australia:</w:t>
            </w:r>
          </w:p>
          <w:p w14:paraId="1D45A44A" w14:textId="77777777" w:rsidR="00A66BAB" w:rsidRPr="00057DB7" w:rsidRDefault="00A66BAB" w:rsidP="00A66BAB">
            <w:pPr>
              <w:numPr>
                <w:ilvl w:val="0"/>
                <w:numId w:val="29"/>
              </w:numPr>
              <w:spacing w:before="120" w:line="240" w:lineRule="auto"/>
              <w:jc w:val="left"/>
            </w:pPr>
            <w:r w:rsidRPr="00057DB7">
              <w:t>New South Wales: 1;</w:t>
            </w:r>
          </w:p>
          <w:p w14:paraId="13BC70A5" w14:textId="77777777" w:rsidR="00A66BAB" w:rsidRPr="00057DB7" w:rsidRDefault="00A66BAB" w:rsidP="00A66BAB">
            <w:pPr>
              <w:numPr>
                <w:ilvl w:val="0"/>
                <w:numId w:val="29"/>
              </w:numPr>
              <w:spacing w:before="120" w:line="240" w:lineRule="auto"/>
              <w:jc w:val="left"/>
            </w:pPr>
            <w:r w:rsidRPr="00057DB7">
              <w:t>Victoria: 1; and</w:t>
            </w:r>
          </w:p>
          <w:p w14:paraId="3F3A218A" w14:textId="77777777" w:rsidR="00A66BAB" w:rsidRPr="00057DB7" w:rsidRDefault="00A66BAB" w:rsidP="00A66BAB">
            <w:pPr>
              <w:numPr>
                <w:ilvl w:val="0"/>
                <w:numId w:val="29"/>
              </w:numPr>
              <w:spacing w:before="120" w:line="240" w:lineRule="auto"/>
              <w:jc w:val="left"/>
            </w:pPr>
            <w:r w:rsidRPr="00057DB7">
              <w:t>Queensland: 1.</w:t>
            </w:r>
          </w:p>
        </w:tc>
      </w:tr>
      <w:tr w:rsidR="00A66BAB" w:rsidRPr="00057DB7" w14:paraId="4B762511" w14:textId="77777777" w:rsidTr="004417D1">
        <w:tc>
          <w:tcPr>
            <w:tcW w:w="2836" w:type="dxa"/>
          </w:tcPr>
          <w:p w14:paraId="1D2364E0" w14:textId="77777777" w:rsidR="00A66BAB" w:rsidRPr="00057DB7" w:rsidRDefault="007F6173" w:rsidP="00B77E08">
            <w:pPr>
              <w:spacing w:before="120" w:line="240" w:lineRule="auto"/>
              <w:jc w:val="left"/>
            </w:pPr>
            <w:hyperlink r:id="rId24" w:history="1">
              <w:r w:rsidR="00A66BAB" w:rsidRPr="00057DB7">
                <w:rPr>
                  <w:rStyle w:val="Hyperlink"/>
                </w:rPr>
                <w:t>https://www.cairnspost.com.au/news/national/annette-sharp-lawyer-chris-murphy-and-artist-agnes-bruck-call-it-quits/news-story/5b1db1cba518efbdc5fe4820177b1a78</w:t>
              </w:r>
            </w:hyperlink>
            <w:r w:rsidR="00A66BAB" w:rsidRPr="00057DB7">
              <w:t xml:space="preserve"> (</w:t>
            </w:r>
            <w:r w:rsidR="00A66BAB" w:rsidRPr="00057DB7">
              <w:rPr>
                <w:b/>
                <w:bCs/>
                <w:i/>
                <w:iCs/>
              </w:rPr>
              <w:t xml:space="preserve">Cairns Post </w:t>
            </w:r>
            <w:r w:rsidR="00A66BAB" w:rsidRPr="00057DB7">
              <w:rPr>
                <w:b/>
                <w:bCs/>
              </w:rPr>
              <w:t>Online Article</w:t>
            </w:r>
            <w:r w:rsidR="00A66BAB" w:rsidRPr="00057DB7">
              <w:t>)</w:t>
            </w:r>
          </w:p>
        </w:tc>
        <w:tc>
          <w:tcPr>
            <w:tcW w:w="2835" w:type="dxa"/>
          </w:tcPr>
          <w:p w14:paraId="71E1A1D7" w14:textId="77777777" w:rsidR="00A66BAB" w:rsidRPr="00057DB7" w:rsidRDefault="00A66BAB" w:rsidP="00B77E08">
            <w:pPr>
              <w:spacing w:before="120" w:line="240" w:lineRule="auto"/>
              <w:jc w:val="left"/>
            </w:pPr>
            <w:r w:rsidRPr="00057DB7">
              <w:t xml:space="preserve">There was a total of 3 unique visitors to the </w:t>
            </w:r>
            <w:r w:rsidRPr="00057DB7">
              <w:rPr>
                <w:i/>
                <w:iCs/>
              </w:rPr>
              <w:t xml:space="preserve">Cairns Post </w:t>
            </w:r>
            <w:r w:rsidRPr="00057DB7">
              <w:t>Online Article.</w:t>
            </w:r>
          </w:p>
        </w:tc>
        <w:tc>
          <w:tcPr>
            <w:tcW w:w="4536" w:type="dxa"/>
          </w:tcPr>
          <w:p w14:paraId="780AA558" w14:textId="77777777" w:rsidR="00A66BAB" w:rsidRPr="00057DB7" w:rsidRDefault="00A66BAB" w:rsidP="00B77E08">
            <w:pPr>
              <w:spacing w:before="120" w:line="240" w:lineRule="auto"/>
              <w:jc w:val="left"/>
            </w:pPr>
            <w:r w:rsidRPr="00057DB7">
              <w:t>2 of those unique visits were from Internet Protocol addresses associated with Queensland and 1 of those unique visits was from an Internet Protocol address associated with New South Wales.</w:t>
            </w:r>
          </w:p>
        </w:tc>
      </w:tr>
      <w:tr w:rsidR="00A66BAB" w:rsidRPr="00057DB7" w14:paraId="7A962702" w14:textId="77777777" w:rsidTr="004417D1">
        <w:tc>
          <w:tcPr>
            <w:tcW w:w="2836" w:type="dxa"/>
          </w:tcPr>
          <w:p w14:paraId="0E78E002" w14:textId="77777777" w:rsidR="00A66BAB" w:rsidRPr="00057DB7" w:rsidRDefault="007F6173" w:rsidP="00B77E08">
            <w:pPr>
              <w:spacing w:before="120" w:line="240" w:lineRule="auto"/>
              <w:jc w:val="left"/>
            </w:pPr>
            <w:hyperlink r:id="rId25" w:history="1">
              <w:r w:rsidR="00A66BAB" w:rsidRPr="00057DB7">
                <w:rPr>
                  <w:rStyle w:val="Hyperlink"/>
                </w:rPr>
                <w:t>https://www.townsvillebulletin.com.au/news/national/annette-sharp-lawyer-</w:t>
              </w:r>
              <w:r w:rsidR="00A66BAB" w:rsidRPr="00057DB7">
                <w:rPr>
                  <w:rStyle w:val="Hyperlink"/>
                </w:rPr>
                <w:lastRenderedPageBreak/>
                <w:t>chris-murphy-and-artist-agnes-bruck-call-it-quits/news-story/5b1db1cba518efbdc5fe4820177b1a78</w:t>
              </w:r>
            </w:hyperlink>
            <w:r w:rsidR="00A66BAB" w:rsidRPr="00057DB7">
              <w:t xml:space="preserve"> (</w:t>
            </w:r>
            <w:r w:rsidR="00A66BAB" w:rsidRPr="00057DB7">
              <w:rPr>
                <w:b/>
                <w:bCs/>
                <w:i/>
                <w:iCs/>
              </w:rPr>
              <w:t xml:space="preserve">Townsville Bulletin </w:t>
            </w:r>
            <w:r w:rsidR="00A66BAB" w:rsidRPr="00057DB7">
              <w:rPr>
                <w:b/>
                <w:bCs/>
              </w:rPr>
              <w:t>Online Article</w:t>
            </w:r>
            <w:r w:rsidR="00A66BAB" w:rsidRPr="00057DB7">
              <w:t>)</w:t>
            </w:r>
          </w:p>
        </w:tc>
        <w:tc>
          <w:tcPr>
            <w:tcW w:w="2835" w:type="dxa"/>
          </w:tcPr>
          <w:p w14:paraId="4E36769B" w14:textId="77777777" w:rsidR="00A66BAB" w:rsidRPr="00057DB7" w:rsidRDefault="00A66BAB" w:rsidP="00B77E08">
            <w:pPr>
              <w:spacing w:before="120" w:line="240" w:lineRule="auto"/>
              <w:jc w:val="left"/>
            </w:pPr>
            <w:r w:rsidRPr="00057DB7">
              <w:lastRenderedPageBreak/>
              <w:t xml:space="preserve">There was a total of 2 unique visitors to the </w:t>
            </w:r>
            <w:r w:rsidRPr="00057DB7">
              <w:rPr>
                <w:i/>
                <w:iCs/>
              </w:rPr>
              <w:t>Townsville Bulletin</w:t>
            </w:r>
            <w:r w:rsidRPr="00057DB7">
              <w:t xml:space="preserve"> Online </w:t>
            </w:r>
            <w:r w:rsidRPr="00057DB7">
              <w:lastRenderedPageBreak/>
              <w:t>Article;</w:t>
            </w:r>
          </w:p>
        </w:tc>
        <w:tc>
          <w:tcPr>
            <w:tcW w:w="4536" w:type="dxa"/>
          </w:tcPr>
          <w:p w14:paraId="1A70F5E6" w14:textId="77777777" w:rsidR="00A66BAB" w:rsidRPr="00057DB7" w:rsidRDefault="00A66BAB" w:rsidP="00B77E08">
            <w:pPr>
              <w:spacing w:before="120" w:line="240" w:lineRule="auto"/>
              <w:jc w:val="left"/>
            </w:pPr>
            <w:r w:rsidRPr="00057DB7">
              <w:lastRenderedPageBreak/>
              <w:t xml:space="preserve">1 of those unique visits was from an Internet Protocol address associated with Queensland the 1 of those unique visits was from an </w:t>
            </w:r>
            <w:r w:rsidRPr="00057DB7">
              <w:lastRenderedPageBreak/>
              <w:t>Internet Protocol address associated with Victoria.</w:t>
            </w:r>
          </w:p>
        </w:tc>
      </w:tr>
      <w:tr w:rsidR="00A66BAB" w:rsidRPr="00057DB7" w14:paraId="17D66545" w14:textId="77777777" w:rsidTr="004417D1">
        <w:trPr>
          <w:trHeight w:val="1677"/>
        </w:trPr>
        <w:tc>
          <w:tcPr>
            <w:tcW w:w="2836" w:type="dxa"/>
          </w:tcPr>
          <w:p w14:paraId="6D63693E" w14:textId="77777777" w:rsidR="00A66BAB" w:rsidRPr="00057DB7" w:rsidRDefault="007F6173" w:rsidP="00B77E08">
            <w:pPr>
              <w:spacing w:line="240" w:lineRule="auto"/>
            </w:pPr>
            <w:hyperlink r:id="rId26" w:history="1">
              <w:r w:rsidR="00A66BAB" w:rsidRPr="00057DB7">
                <w:rPr>
                  <w:rStyle w:val="Hyperlink"/>
                </w:rPr>
                <w:t>https://www.geelongadvertiser.com.au/news/national/annette-sharp-lawyer-chris-murphy-and-artist-agnes-bruck-call-it-quits/news-story/5b1db1cba518efbdc5fe4820177b1a78</w:t>
              </w:r>
            </w:hyperlink>
            <w:r w:rsidR="00A66BAB" w:rsidRPr="00057DB7">
              <w:t xml:space="preserve"> (</w:t>
            </w:r>
            <w:r w:rsidR="00A66BAB" w:rsidRPr="00057DB7">
              <w:rPr>
                <w:b/>
                <w:bCs/>
                <w:i/>
                <w:iCs/>
              </w:rPr>
              <w:t xml:space="preserve">Geelong Advertiser </w:t>
            </w:r>
            <w:r w:rsidR="00A66BAB" w:rsidRPr="00057DB7">
              <w:rPr>
                <w:b/>
                <w:bCs/>
              </w:rPr>
              <w:t>Online Article</w:t>
            </w:r>
            <w:r w:rsidR="00A66BAB" w:rsidRPr="00057DB7">
              <w:t>)</w:t>
            </w:r>
          </w:p>
        </w:tc>
        <w:tc>
          <w:tcPr>
            <w:tcW w:w="2835" w:type="dxa"/>
          </w:tcPr>
          <w:p w14:paraId="19C9508F" w14:textId="77777777" w:rsidR="00A66BAB" w:rsidRPr="00057DB7" w:rsidRDefault="00A66BAB" w:rsidP="00B77E08">
            <w:pPr>
              <w:spacing w:before="120" w:line="240" w:lineRule="auto"/>
              <w:jc w:val="left"/>
            </w:pPr>
            <w:r w:rsidRPr="00057DB7">
              <w:t xml:space="preserve">There was a total of 2 unique visitors to the </w:t>
            </w:r>
            <w:r w:rsidRPr="00057DB7">
              <w:rPr>
                <w:i/>
                <w:iCs/>
              </w:rPr>
              <w:t>Geelong Advertiser</w:t>
            </w:r>
            <w:r w:rsidRPr="00057DB7">
              <w:t xml:space="preserve"> Online Article.</w:t>
            </w:r>
          </w:p>
        </w:tc>
        <w:tc>
          <w:tcPr>
            <w:tcW w:w="4536" w:type="dxa"/>
          </w:tcPr>
          <w:p w14:paraId="5B243A1E" w14:textId="77777777" w:rsidR="00A66BAB" w:rsidRPr="00057DB7" w:rsidRDefault="00A66BAB" w:rsidP="00B77E08">
            <w:pPr>
              <w:spacing w:before="120" w:line="240" w:lineRule="auto"/>
              <w:jc w:val="left"/>
            </w:pPr>
            <w:r w:rsidRPr="00057DB7">
              <w:t>1 of those unique visits was from an Internet Protocol address associated with Victoria and 1 of those unique visits was from an Internet Protocol associated with New South Wales.</w:t>
            </w:r>
          </w:p>
        </w:tc>
      </w:tr>
      <w:bookmarkStart w:id="68" w:name="_Ref66799710"/>
      <w:tr w:rsidR="00A66BAB" w:rsidRPr="00057DB7" w14:paraId="6596140F" w14:textId="77777777" w:rsidTr="004417D1">
        <w:trPr>
          <w:trHeight w:val="588"/>
        </w:trPr>
        <w:tc>
          <w:tcPr>
            <w:tcW w:w="2836" w:type="dxa"/>
          </w:tcPr>
          <w:p w14:paraId="16F7CFC7" w14:textId="20DC02F5" w:rsidR="00A66BAB" w:rsidRPr="00057DB7" w:rsidRDefault="00A66BAB" w:rsidP="00B77E08">
            <w:pPr>
              <w:spacing w:line="240" w:lineRule="auto"/>
            </w:pPr>
            <w:r w:rsidRPr="00057DB7">
              <w:fldChar w:fldCharType="begin"/>
            </w:r>
            <w:r w:rsidRPr="00057DB7">
              <w:instrText xml:space="preserve"> HYPERLINK "https://www.ntnews.com.au/news/national/annette-sharp-lawyer-chris-murphy-and-artist-agnes-bruck-call-it-quits/news-story/5b1db1cba518efbdc5fe4820177b1a78" </w:instrText>
            </w:r>
            <w:r w:rsidRPr="00057DB7">
              <w:fldChar w:fldCharType="separate"/>
            </w:r>
            <w:r w:rsidRPr="00057DB7">
              <w:rPr>
                <w:rStyle w:val="Hyperlink"/>
              </w:rPr>
              <w:t>https://www.ntnews.com.au/news/national/annette-sharp-lawyer-chris-murphy-and-artist-agnes-bruck-call-it-quits/news-story/5b1db1cba518efbdc5fe4820177b1a78</w:t>
            </w:r>
            <w:r w:rsidRPr="00057DB7">
              <w:fldChar w:fldCharType="end"/>
            </w:r>
            <w:r w:rsidRPr="00057DB7">
              <w:t xml:space="preserve"> (</w:t>
            </w:r>
            <w:r w:rsidRPr="00057DB7">
              <w:rPr>
                <w:b/>
                <w:bCs/>
                <w:i/>
                <w:iCs/>
              </w:rPr>
              <w:t xml:space="preserve">NT News </w:t>
            </w:r>
            <w:r w:rsidRPr="00057DB7">
              <w:rPr>
                <w:b/>
                <w:bCs/>
              </w:rPr>
              <w:t>Online Article</w:t>
            </w:r>
            <w:r w:rsidRPr="00057DB7">
              <w:t>)</w:t>
            </w:r>
            <w:bookmarkEnd w:id="68"/>
          </w:p>
        </w:tc>
        <w:tc>
          <w:tcPr>
            <w:tcW w:w="2835" w:type="dxa"/>
          </w:tcPr>
          <w:p w14:paraId="3BEAB240" w14:textId="77777777" w:rsidR="00A66BAB" w:rsidRPr="00057DB7" w:rsidRDefault="00A66BAB" w:rsidP="00B77E08">
            <w:pPr>
              <w:spacing w:before="120" w:line="240" w:lineRule="auto"/>
              <w:jc w:val="left"/>
            </w:pPr>
            <w:r w:rsidRPr="00057DB7">
              <w:t xml:space="preserve">There was a total of 1 unique visitor to the NT </w:t>
            </w:r>
            <w:r w:rsidRPr="00057DB7">
              <w:rPr>
                <w:i/>
                <w:iCs/>
              </w:rPr>
              <w:t>News Online</w:t>
            </w:r>
            <w:r w:rsidRPr="00057DB7">
              <w:t xml:space="preserve"> Article</w:t>
            </w:r>
          </w:p>
        </w:tc>
        <w:tc>
          <w:tcPr>
            <w:tcW w:w="4536" w:type="dxa"/>
          </w:tcPr>
          <w:p w14:paraId="35C51A7E" w14:textId="77777777" w:rsidR="00A66BAB" w:rsidRPr="00057DB7" w:rsidRDefault="00A66BAB" w:rsidP="00B77E08">
            <w:pPr>
              <w:spacing w:before="120" w:line="240" w:lineRule="auto"/>
              <w:jc w:val="left"/>
            </w:pPr>
            <w:r w:rsidRPr="00057DB7">
              <w:t>That unique visit was from an Internet Protocol address associated with the Northern Territory.</w:t>
            </w:r>
          </w:p>
        </w:tc>
      </w:tr>
    </w:tbl>
    <w:p w14:paraId="498C7DCF" w14:textId="77777777" w:rsidR="00A66BAB" w:rsidRPr="00057DB7" w:rsidRDefault="00A66BAB" w:rsidP="00A66BAB">
      <w:pPr>
        <w:spacing w:line="240" w:lineRule="auto"/>
      </w:pPr>
    </w:p>
    <w:p w14:paraId="2DC3396E" w14:textId="77777777" w:rsidR="00A66BAB" w:rsidRPr="008F7856" w:rsidRDefault="00A66BAB" w:rsidP="00A66BAB">
      <w:pPr>
        <w:pStyle w:val="ParaNumbering"/>
        <w:numPr>
          <w:ilvl w:val="0"/>
          <w:numId w:val="0"/>
        </w:numPr>
        <w:jc w:val="center"/>
        <w:rPr>
          <w:b/>
          <w:highlight w:val="yellow"/>
        </w:rPr>
      </w:pPr>
    </w:p>
    <w:p w14:paraId="3EF10BFB" w14:textId="77777777" w:rsidR="0051434F" w:rsidRPr="00057DB7" w:rsidRDefault="0051434F" w:rsidP="00A861F7">
      <w:pPr>
        <w:pStyle w:val="BodyText"/>
      </w:pPr>
    </w:p>
    <w:sectPr w:rsidR="0051434F" w:rsidRPr="00057DB7" w:rsidSect="00A84FD0">
      <w:headerReference w:type="even" r:id="rId27"/>
      <w:headerReference w:type="default" r:id="rId28"/>
      <w:footerReference w:type="default" r:id="rId29"/>
      <w:headerReference w:type="first" r:id="rId30"/>
      <w:footerReference w:type="first" r:id="rId3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DD9EB" w14:textId="77777777" w:rsidR="00C33619" w:rsidRDefault="00C33619">
      <w:pPr>
        <w:spacing w:line="20" w:lineRule="exact"/>
      </w:pPr>
    </w:p>
    <w:p w14:paraId="14BE1112" w14:textId="77777777" w:rsidR="00C33619" w:rsidRDefault="00C33619"/>
    <w:p w14:paraId="5AA1AD63" w14:textId="77777777" w:rsidR="00C33619" w:rsidRDefault="00C33619"/>
  </w:endnote>
  <w:endnote w:type="continuationSeparator" w:id="0">
    <w:p w14:paraId="2D088888" w14:textId="77777777" w:rsidR="00C33619" w:rsidRDefault="00C33619">
      <w:r>
        <w:t xml:space="preserve"> </w:t>
      </w:r>
    </w:p>
    <w:p w14:paraId="3B6A820D" w14:textId="77777777" w:rsidR="00C33619" w:rsidRDefault="00C33619"/>
    <w:p w14:paraId="000C12DB" w14:textId="77777777" w:rsidR="00C33619" w:rsidRDefault="00C33619"/>
  </w:endnote>
  <w:endnote w:type="continuationNotice" w:id="1">
    <w:p w14:paraId="1AA9DA02" w14:textId="77777777" w:rsidR="00C33619" w:rsidRDefault="00C33619">
      <w:r>
        <w:t xml:space="preserve"> </w:t>
      </w:r>
    </w:p>
    <w:p w14:paraId="011D4B4F" w14:textId="77777777" w:rsidR="00C33619" w:rsidRDefault="00C33619"/>
    <w:p w14:paraId="5BDEBB3D" w14:textId="77777777" w:rsidR="00C33619" w:rsidRDefault="00C33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CDC1C" w14:textId="2F24AC58" w:rsidR="00C33619" w:rsidRPr="0090324E" w:rsidRDefault="00C33619" w:rsidP="0090324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44CC0A4" wp14:editId="7F871FD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AA01B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Murphy v Nationwide News Pty Ltd [2021] FCA 381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9029" w14:textId="3CFA1FAA" w:rsidR="00C33619" w:rsidRPr="00C47B9D" w:rsidRDefault="00C33619"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7DDDEAF3" wp14:editId="458B56C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A1D9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" strokecolor="black [3213]"/>
          </w:pict>
        </mc:Fallback>
      </mc:AlternateContent>
    </w:r>
    <w:sdt>
      <w:sdtPr>
        <w:rPr>
          <w:bCs/>
          <w:sz w:val="18"/>
          <w:szCs w:val="18"/>
        </w:rPr>
        <w:tag w:val="MNC"/>
        <w:id w:val="-831216538"/>
        <w:placeholder>
          <w:docPart w:val="302B88F29B8346A89E5C4EFCF7532428"/>
        </w:placeholder>
        <w:dataBinding w:prefixMappings="xmlns:ns0='http://schemas.globalmacros.com/FCA'" w:xpath="/ns0:root[1]/ns0:Name[1]" w:storeItemID="{687E7CCB-4AA5-44E7-B148-17BA2B6F57C0}"/>
        <w:text w:multiLine="1"/>
      </w:sdtPr>
      <w:sdtEndPr/>
      <w:sdtContent>
        <w:r>
          <w:rPr>
            <w:bCs/>
            <w:sz w:val="18"/>
            <w:szCs w:val="18"/>
          </w:rPr>
          <w:t xml:space="preserve">Murphy v Nationwide News Pty Ltd [2021] FCA 381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13</w:t>
    </w:r>
    <w:r w:rsidRPr="00EA7F6D">
      <w:rPr>
        <w:bCs/>
        <w:noProof/>
        <w:sz w:val="20"/>
      </w:rPr>
      <w:fldChar w:fldCharType="end"/>
    </w:r>
  </w:p>
  <w:p w14:paraId="13BA39B8" w14:textId="503ECA02" w:rsidR="00C33619" w:rsidRPr="00A84FD0" w:rsidRDefault="00C33619"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7F6173">
      <w:rPr>
        <w:b/>
        <w:noProof/>
        <w:sz w:val="28"/>
      </w:rPr>
      <w:t>20 April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7F6173">
      <w:rPr>
        <w:b/>
        <w:noProof/>
        <w:sz w:val="28"/>
      </w:rPr>
      <w:t>9:32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C538" w14:textId="46ABD9CA" w:rsidR="00C33619" w:rsidRPr="007F6B42" w:rsidRDefault="00C33619" w:rsidP="007F6B4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D8BE1F0" wp14:editId="4A67740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4CA0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" strokecolor="black [3213]"/>
          </w:pict>
        </mc:Fallback>
      </mc:AlternateContent>
    </w:r>
    <w:sdt>
      <w:sdtPr>
        <w:rPr>
          <w:bCs/>
          <w:sz w:val="18"/>
          <w:szCs w:val="18"/>
        </w:rPr>
        <w:tag w:val="MNC"/>
        <w:id w:val="510263260"/>
        <w:placeholder>
          <w:docPart w:val="81FDB5C2BDD14DECA54C6B218F4A7575"/>
        </w:placeholder>
        <w:dataBinding w:prefixMappings="xmlns:ns0='http://schemas.globalmacros.com/FCA'" w:xpath="/ns0:root[1]/ns0:Name[1]" w:storeItemID="{687E7CCB-4AA5-44E7-B148-17BA2B6F57C0}"/>
        <w:text w:multiLine="1"/>
      </w:sdtPr>
      <w:sdtEndPr/>
      <w:sdtContent>
        <w:r>
          <w:rPr>
            <w:bCs/>
            <w:sz w:val="18"/>
            <w:szCs w:val="18"/>
          </w:rPr>
          <w:t xml:space="preserve">Murphy v Nationwide News Pty Ltd [2021] FCA 381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F6173">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EF77" w14:textId="5931D56D" w:rsidR="00C33619" w:rsidRPr="00344C09" w:rsidRDefault="00C33619" w:rsidP="00344C09">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DDB0116" wp14:editId="55C5B34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3583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" strokecolor="black [3213]"/>
          </w:pict>
        </mc:Fallback>
      </mc:AlternateContent>
    </w:r>
    <w:sdt>
      <w:sdtPr>
        <w:rPr>
          <w:bCs/>
          <w:sz w:val="18"/>
          <w:szCs w:val="18"/>
        </w:rPr>
        <w:tag w:val="MNC"/>
        <w:id w:val="1095746746"/>
        <w:placeholder>
          <w:docPart w:val="8990B6223A99480288A61EFCE7325161"/>
        </w:placeholder>
        <w:dataBinding w:prefixMappings="xmlns:ns0='http://schemas.globalmacros.com/FCA'" w:xpath="/ns0:root[1]/ns0:Name[1]" w:storeItemID="{687E7CCB-4AA5-44E7-B148-17BA2B6F57C0}"/>
        <w:text w:multiLine="1"/>
      </w:sdtPr>
      <w:sdtEndPr/>
      <w:sdtContent>
        <w:r>
          <w:rPr>
            <w:bCs/>
            <w:sz w:val="18"/>
            <w:szCs w:val="18"/>
          </w:rPr>
          <w:t xml:space="preserve">Murphy v Nationwide News Pty Ltd [2021] FCA 381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F6173">
      <w:rPr>
        <w:bCs/>
        <w:noProof/>
        <w:sz w:val="20"/>
      </w:rPr>
      <w:t>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89BD" w14:textId="2492D3D6" w:rsidR="00C33619" w:rsidRPr="007F6B42" w:rsidRDefault="00C33619" w:rsidP="007F6B4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C7CC387" wp14:editId="7965E61C">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46D9B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" strokecolor="black [3213]"/>
          </w:pict>
        </mc:Fallback>
      </mc:AlternateContent>
    </w:r>
    <w:sdt>
      <w:sdtPr>
        <w:rPr>
          <w:bCs/>
          <w:sz w:val="18"/>
          <w:szCs w:val="18"/>
        </w:rPr>
        <w:tag w:val="MNC"/>
        <w:id w:val="-1532949365"/>
        <w:placeholder>
          <w:docPart w:val="374CEFBE0D9149A1A19F4DEB20BDBC3B"/>
        </w:placeholder>
        <w:dataBinding w:prefixMappings="xmlns:ns0='http://schemas.globalmacros.com/FCA'" w:xpath="/ns0:root[1]/ns0:Name[1]" w:storeItemID="{687E7CCB-4AA5-44E7-B148-17BA2B6F57C0}"/>
        <w:text w:multiLine="1"/>
      </w:sdtPr>
      <w:sdtEndPr/>
      <w:sdtContent>
        <w:r>
          <w:rPr>
            <w:bCs/>
            <w:sz w:val="18"/>
            <w:szCs w:val="18"/>
          </w:rPr>
          <w:t xml:space="preserve">Murphy v Nationwide News Pty Ltd [2021] FCA 381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F617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98A5" w14:textId="77777777" w:rsidR="00C33619" w:rsidRDefault="00C33619"/>
    <w:p w14:paraId="0BCFE14A" w14:textId="77777777" w:rsidR="00C33619" w:rsidRDefault="00C33619"/>
    <w:p w14:paraId="4102845D" w14:textId="77777777" w:rsidR="00C33619" w:rsidRDefault="00C33619"/>
  </w:footnote>
  <w:footnote w:type="continuationSeparator" w:id="0">
    <w:p w14:paraId="4D63347B" w14:textId="77777777" w:rsidR="00C33619" w:rsidRDefault="00C33619">
      <w:r>
        <w:continuationSeparator/>
      </w:r>
    </w:p>
    <w:p w14:paraId="71E13849" w14:textId="77777777" w:rsidR="00C33619" w:rsidRDefault="00C33619"/>
    <w:p w14:paraId="68392E0C" w14:textId="77777777" w:rsidR="00C33619" w:rsidRDefault="00C336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08BF" w14:textId="77777777" w:rsidR="00C33619" w:rsidRDefault="00C33619">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9416" w14:textId="77777777" w:rsidR="00C33619" w:rsidRDefault="00C3361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AE62" w14:textId="77777777" w:rsidR="00C33619" w:rsidRDefault="00C3361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D3D5" w14:textId="77777777" w:rsidR="00C33619" w:rsidRDefault="00C33619">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FF90" w14:textId="77777777" w:rsidR="00C33619" w:rsidRDefault="00C33619"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537" w:hanging="360"/>
      </w:pPr>
      <w:rPr>
        <w:rFonts w:ascii="Calibri" w:hAnsi="Calibri" w:cs="Calibri"/>
        <w:b/>
        <w:bCs/>
        <w:w w:val="99"/>
        <w:sz w:val="22"/>
        <w:szCs w:val="22"/>
      </w:rPr>
    </w:lvl>
    <w:lvl w:ilvl="1">
      <w:numFmt w:val="bullet"/>
      <w:lvlText w:val="•"/>
      <w:lvlJc w:val="left"/>
      <w:pPr>
        <w:ind w:left="540" w:hanging="360"/>
      </w:pPr>
    </w:lvl>
    <w:lvl w:ilvl="2">
      <w:numFmt w:val="bullet"/>
      <w:lvlText w:val="•"/>
      <w:lvlJc w:val="left"/>
      <w:pPr>
        <w:ind w:left="1533" w:hanging="360"/>
      </w:pPr>
    </w:lvl>
    <w:lvl w:ilvl="3">
      <w:numFmt w:val="bullet"/>
      <w:lvlText w:val="•"/>
      <w:lvlJc w:val="left"/>
      <w:pPr>
        <w:ind w:left="2526" w:hanging="360"/>
      </w:pPr>
    </w:lvl>
    <w:lvl w:ilvl="4">
      <w:numFmt w:val="bullet"/>
      <w:lvlText w:val="•"/>
      <w:lvlJc w:val="left"/>
      <w:pPr>
        <w:ind w:left="3520" w:hanging="360"/>
      </w:pPr>
    </w:lvl>
    <w:lvl w:ilvl="5">
      <w:numFmt w:val="bullet"/>
      <w:lvlText w:val="•"/>
      <w:lvlJc w:val="left"/>
      <w:pPr>
        <w:ind w:left="4513" w:hanging="360"/>
      </w:pPr>
    </w:lvl>
    <w:lvl w:ilvl="6">
      <w:numFmt w:val="bullet"/>
      <w:lvlText w:val="•"/>
      <w:lvlJc w:val="left"/>
      <w:pPr>
        <w:ind w:left="5506" w:hanging="360"/>
      </w:pPr>
    </w:lvl>
    <w:lvl w:ilvl="7">
      <w:numFmt w:val="bullet"/>
      <w:lvlText w:val="•"/>
      <w:lvlJc w:val="left"/>
      <w:pPr>
        <w:ind w:left="6500" w:hanging="360"/>
      </w:pPr>
    </w:lvl>
    <w:lvl w:ilvl="8">
      <w:numFmt w:val="bullet"/>
      <w:lvlText w:val="•"/>
      <w:lvlJc w:val="left"/>
      <w:pPr>
        <w:ind w:left="7493" w:hanging="360"/>
      </w:pPr>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B5846B4"/>
    <w:multiLevelType w:val="multilevel"/>
    <w:tmpl w:val="99A6173A"/>
    <w:lvl w:ilvl="0">
      <w:start w:val="1"/>
      <w:numFmt w:val="decimal"/>
      <w:pStyle w:val="HWLELvl1"/>
      <w:lvlText w:val="%1."/>
      <w:lvlJc w:val="left"/>
      <w:pPr>
        <w:tabs>
          <w:tab w:val="num" w:pos="709"/>
        </w:tabs>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WLELvl2"/>
      <w:lvlText w:val="%1.%2"/>
      <w:lvlJc w:val="left"/>
      <w:pPr>
        <w:tabs>
          <w:tab w:val="num" w:pos="709"/>
        </w:tabs>
        <w:ind w:left="709" w:hanging="709"/>
      </w:pPr>
      <w:rPr>
        <w:rFonts w:ascii="Times New Roman" w:hAnsi="Times New Roman" w:cs="Times New Roman" w:hint="default"/>
        <w:b w:val="0"/>
        <w:i w:val="0"/>
        <w:color w:val="auto"/>
        <w:sz w:val="22"/>
        <w:szCs w:val="22"/>
      </w:rPr>
    </w:lvl>
    <w:lvl w:ilvl="2">
      <w:start w:val="1"/>
      <w:numFmt w:val="lowerLetter"/>
      <w:pStyle w:val="HWLELvl3"/>
      <w:lvlText w:val="(%3)"/>
      <w:lvlJc w:val="left"/>
      <w:pPr>
        <w:tabs>
          <w:tab w:val="num" w:pos="1418"/>
        </w:tabs>
        <w:ind w:left="1418" w:hanging="709"/>
      </w:pPr>
      <w:rPr>
        <w:b w:val="0"/>
        <w:i w:val="0"/>
      </w:rPr>
    </w:lvl>
    <w:lvl w:ilvl="3">
      <w:start w:val="1"/>
      <w:numFmt w:val="lowerRoman"/>
      <w:pStyle w:val="HWLELvl4"/>
      <w:lvlText w:val="(%4)"/>
      <w:lvlJc w:val="left"/>
      <w:pPr>
        <w:tabs>
          <w:tab w:val="num" w:pos="2126"/>
        </w:tabs>
        <w:ind w:left="2126" w:hanging="708"/>
      </w:pPr>
      <w:rPr>
        <w:b w:val="0"/>
        <w:i w:val="0"/>
      </w:rPr>
    </w:lvl>
    <w:lvl w:ilvl="4">
      <w:start w:val="1"/>
      <w:numFmt w:val="upperLetter"/>
      <w:pStyle w:val="HWLELvl5"/>
      <w:lvlText w:val="(%5)"/>
      <w:lvlJc w:val="left"/>
      <w:pPr>
        <w:tabs>
          <w:tab w:val="num" w:pos="2835"/>
        </w:tabs>
        <w:ind w:left="2835" w:hanging="709"/>
      </w:pPr>
      <w:rPr>
        <w:b w:val="0"/>
        <w:i w:val="0"/>
      </w:rPr>
    </w:lvl>
    <w:lvl w:ilvl="5">
      <w:start w:val="1"/>
      <w:numFmt w:val="decimal"/>
      <w:pStyle w:val="HWLELvl6"/>
      <w:lvlText w:val="(%6)"/>
      <w:lvlJc w:val="left"/>
      <w:pPr>
        <w:tabs>
          <w:tab w:val="num" w:pos="3544"/>
        </w:tabs>
        <w:ind w:left="3544" w:hanging="709"/>
      </w:pPr>
      <w:rPr>
        <w:b w:val="0"/>
        <w:i w:val="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65E48AB"/>
    <w:multiLevelType w:val="hybridMultilevel"/>
    <w:tmpl w:val="0AE8E1B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C650A54"/>
    <w:multiLevelType w:val="hybridMultilevel"/>
    <w:tmpl w:val="03F2ABDE"/>
    <w:lvl w:ilvl="0" w:tplc="29CE1CD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CDC14CF"/>
    <w:multiLevelType w:val="hybridMultilevel"/>
    <w:tmpl w:val="45B6E140"/>
    <w:lvl w:ilvl="0" w:tplc="E0A6F25C">
      <w:start w:val="1"/>
      <w:numFmt w:val="decimal"/>
      <w:lvlText w:val="%1."/>
      <w:lvlJc w:val="left"/>
      <w:pPr>
        <w:ind w:left="470" w:hanging="360"/>
      </w:pPr>
      <w:rPr>
        <w:rFonts w:ascii="Times New Roman" w:eastAsia="Calibri" w:hAnsi="Times New Roman" w:cs="Times New Roman" w:hint="default"/>
        <w:b/>
        <w:bCs/>
        <w:w w:val="100"/>
        <w:sz w:val="22"/>
        <w:szCs w:val="22"/>
      </w:rPr>
    </w:lvl>
    <w:lvl w:ilvl="1" w:tplc="600418A0">
      <w:numFmt w:val="bullet"/>
      <w:lvlText w:val=""/>
      <w:lvlJc w:val="left"/>
      <w:pPr>
        <w:ind w:left="860" w:hanging="360"/>
      </w:pPr>
      <w:rPr>
        <w:rFonts w:ascii="Symbol" w:eastAsia="Symbol" w:hAnsi="Symbol" w:cs="Symbol" w:hint="default"/>
        <w:w w:val="100"/>
        <w:sz w:val="22"/>
        <w:szCs w:val="22"/>
      </w:rPr>
    </w:lvl>
    <w:lvl w:ilvl="2" w:tplc="F180845C">
      <w:numFmt w:val="bullet"/>
      <w:lvlText w:val="•"/>
      <w:lvlJc w:val="left"/>
      <w:pPr>
        <w:ind w:left="1798" w:hanging="360"/>
      </w:pPr>
      <w:rPr>
        <w:rFonts w:hint="default"/>
      </w:rPr>
    </w:lvl>
    <w:lvl w:ilvl="3" w:tplc="5C6E4D84">
      <w:numFmt w:val="bullet"/>
      <w:lvlText w:val="•"/>
      <w:lvlJc w:val="left"/>
      <w:pPr>
        <w:ind w:left="2736" w:hanging="360"/>
      </w:pPr>
      <w:rPr>
        <w:rFonts w:hint="default"/>
      </w:rPr>
    </w:lvl>
    <w:lvl w:ilvl="4" w:tplc="143A48CA">
      <w:numFmt w:val="bullet"/>
      <w:lvlText w:val="•"/>
      <w:lvlJc w:val="left"/>
      <w:pPr>
        <w:ind w:left="3675" w:hanging="360"/>
      </w:pPr>
      <w:rPr>
        <w:rFonts w:hint="default"/>
      </w:rPr>
    </w:lvl>
    <w:lvl w:ilvl="5" w:tplc="BCCC9454">
      <w:numFmt w:val="bullet"/>
      <w:lvlText w:val="•"/>
      <w:lvlJc w:val="left"/>
      <w:pPr>
        <w:ind w:left="4613" w:hanging="360"/>
      </w:pPr>
      <w:rPr>
        <w:rFonts w:hint="default"/>
      </w:rPr>
    </w:lvl>
    <w:lvl w:ilvl="6" w:tplc="04265F1A">
      <w:numFmt w:val="bullet"/>
      <w:lvlText w:val="•"/>
      <w:lvlJc w:val="left"/>
      <w:pPr>
        <w:ind w:left="5552" w:hanging="360"/>
      </w:pPr>
      <w:rPr>
        <w:rFonts w:hint="default"/>
      </w:rPr>
    </w:lvl>
    <w:lvl w:ilvl="7" w:tplc="0024DD2C">
      <w:numFmt w:val="bullet"/>
      <w:lvlText w:val="•"/>
      <w:lvlJc w:val="left"/>
      <w:pPr>
        <w:ind w:left="6490" w:hanging="360"/>
      </w:pPr>
      <w:rPr>
        <w:rFonts w:hint="default"/>
      </w:rPr>
    </w:lvl>
    <w:lvl w:ilvl="8" w:tplc="90A6BE4C">
      <w:numFmt w:val="bullet"/>
      <w:lvlText w:val="•"/>
      <w:lvlJc w:val="left"/>
      <w:pPr>
        <w:ind w:left="7429" w:hanging="360"/>
      </w:pPr>
      <w:rPr>
        <w:rFonts w:hint="default"/>
      </w:r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360426"/>
    <w:multiLevelType w:val="hybridMultilevel"/>
    <w:tmpl w:val="945066C0"/>
    <w:lvl w:ilvl="0" w:tplc="FC90D3C4">
      <w:start w:val="1"/>
      <w:numFmt w:val="bullet"/>
      <w:lvlText w:val=""/>
      <w:lvlJc w:val="left"/>
      <w:pPr>
        <w:ind w:left="720" w:hanging="720"/>
      </w:pPr>
      <w:rPr>
        <w:rFonts w:ascii="Symbol" w:hAnsi="Symbol" w:hint="default"/>
        <w:b w:val="0"/>
        <w:bCs w:val="0"/>
      </w:rPr>
    </w:lvl>
    <w:lvl w:ilvl="1" w:tplc="8FCCEC4E">
      <w:start w:val="1"/>
      <w:numFmt w:val="lowerLetter"/>
      <w:lvlText w:val="(%2)"/>
      <w:lvlJc w:val="left"/>
      <w:pPr>
        <w:tabs>
          <w:tab w:val="num" w:pos="0"/>
        </w:tabs>
        <w:ind w:left="1080" w:hanging="360"/>
      </w:pPr>
      <w:rPr>
        <w:rFonts w:hint="default"/>
        <w:b w:val="0"/>
        <w:bCs w:val="0"/>
      </w:rPr>
    </w:lvl>
    <w:lvl w:ilvl="2" w:tplc="2C4014C6">
      <w:start w:val="1"/>
      <w:numFmt w:val="lowerRoman"/>
      <w:lvlText w:val="%3."/>
      <w:lvlJc w:val="right"/>
      <w:pPr>
        <w:ind w:left="1800" w:hanging="180"/>
      </w:pPr>
      <w:rPr>
        <w:b w:val="0"/>
        <w:bCs w:val="0"/>
      </w:rPr>
    </w:lvl>
    <w:lvl w:ilvl="3" w:tplc="2E667B68">
      <w:start w:val="1"/>
      <w:numFmt w:val="decimal"/>
      <w:lvlText w:val="%4."/>
      <w:lvlJc w:val="left"/>
      <w:pPr>
        <w:ind w:left="2520" w:hanging="360"/>
      </w:pPr>
      <w:rPr>
        <w:b w:val="0"/>
        <w:bCs w:val="0"/>
      </w:rPr>
    </w:lvl>
    <w:lvl w:ilvl="4" w:tplc="E3B647F8" w:tentative="1">
      <w:start w:val="1"/>
      <w:numFmt w:val="lowerLetter"/>
      <w:lvlText w:val="%5."/>
      <w:lvlJc w:val="left"/>
      <w:pPr>
        <w:ind w:left="3240" w:hanging="360"/>
      </w:pPr>
    </w:lvl>
    <w:lvl w:ilvl="5" w:tplc="723E4434" w:tentative="1">
      <w:start w:val="1"/>
      <w:numFmt w:val="lowerRoman"/>
      <w:lvlText w:val="%6."/>
      <w:lvlJc w:val="right"/>
      <w:pPr>
        <w:ind w:left="3960" w:hanging="180"/>
      </w:pPr>
    </w:lvl>
    <w:lvl w:ilvl="6" w:tplc="E692FA4E" w:tentative="1">
      <w:start w:val="1"/>
      <w:numFmt w:val="decimal"/>
      <w:lvlText w:val="%7."/>
      <w:lvlJc w:val="left"/>
      <w:pPr>
        <w:ind w:left="4680" w:hanging="360"/>
      </w:pPr>
    </w:lvl>
    <w:lvl w:ilvl="7" w:tplc="2DDEFBC6" w:tentative="1">
      <w:start w:val="1"/>
      <w:numFmt w:val="lowerLetter"/>
      <w:lvlText w:val="%8."/>
      <w:lvlJc w:val="left"/>
      <w:pPr>
        <w:ind w:left="5400" w:hanging="360"/>
      </w:pPr>
    </w:lvl>
    <w:lvl w:ilvl="8" w:tplc="995CF61A" w:tentative="1">
      <w:start w:val="1"/>
      <w:numFmt w:val="lowerRoman"/>
      <w:lvlText w:val="%9."/>
      <w:lvlJc w:val="right"/>
      <w:pPr>
        <w:ind w:left="6120" w:hanging="180"/>
      </w:p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2"/>
  </w:num>
  <w:num w:numId="15">
    <w:abstractNumId w:val="23"/>
  </w:num>
  <w:num w:numId="16">
    <w:abstractNumId w:val="29"/>
  </w:num>
  <w:num w:numId="17">
    <w:abstractNumId w:val="15"/>
  </w:num>
  <w:num w:numId="18">
    <w:abstractNumId w:val="27"/>
  </w:num>
  <w:num w:numId="19">
    <w:abstractNumId w:val="12"/>
  </w:num>
  <w:num w:numId="20">
    <w:abstractNumId w:val="19"/>
  </w:num>
  <w:num w:numId="21">
    <w:abstractNumId w:val="17"/>
  </w:num>
  <w:num w:numId="22">
    <w:abstractNumId w:val="18"/>
  </w:num>
  <w:num w:numId="23">
    <w:abstractNumId w:val="21"/>
  </w:num>
  <w:num w:numId="24">
    <w:abstractNumId w:val="21"/>
  </w:num>
  <w:num w:numId="25">
    <w:abstractNumId w:val="11"/>
  </w:num>
  <w:num w:numId="26">
    <w:abstractNumId w:val="11"/>
  </w:num>
  <w:num w:numId="27">
    <w:abstractNumId w:val="20"/>
  </w:num>
  <w:num w:numId="2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0"/>
  </w:num>
  <w:num w:numId="35">
    <w:abstractNumId w:val="16"/>
  </w:num>
  <w:num w:numId="36">
    <w:abstractNumId w:val="16"/>
  </w:num>
  <w:num w:numId="37">
    <w:abstractNumId w:val="16"/>
  </w:num>
  <w:num w:numId="3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num>
  <w:num w:numId="44">
    <w:abstractNumId w:val="21"/>
  </w:num>
  <w:num w:numId="45">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Mr Christopher Murphy"/>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246 of 2020"/>
    <w:docVar w:name="grpRadioJudges" w:val="Justice"/>
    <w:docVar w:name="Initiators" w:val="(and another named in the Schedule)"/>
    <w:docVar w:name="Judgdate" w:val="##"/>
    <w:docVar w:name="Judge" w:val="Lee"/>
    <w:docVar w:name="lstEntryList" w:val="-1"/>
    <w:docVar w:name="myEntryList" w:val="Solicitor for the Applicant=Mark O'Brien Legal|Solicitor for the Respondents=Ashurst Australia"/>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False"/>
    <w:docVar w:name="RESAndOthers" w:val="True"/>
    <w:docVar w:name="Respondent" w:val="Nationwide News Pty Ltd Acn 008 438 828|Ms Annette Sharp"/>
    <w:docVar w:name="ResState" w:val="New South Wales"/>
    <w:docVar w:name="SubArea" w:val="[none]"/>
  </w:docVars>
  <w:rsids>
    <w:rsidRoot w:val="00570DA8"/>
    <w:rsid w:val="00000747"/>
    <w:rsid w:val="0000229C"/>
    <w:rsid w:val="0001084A"/>
    <w:rsid w:val="000115C5"/>
    <w:rsid w:val="00014122"/>
    <w:rsid w:val="0001469E"/>
    <w:rsid w:val="00015993"/>
    <w:rsid w:val="00017B4A"/>
    <w:rsid w:val="00021581"/>
    <w:rsid w:val="00021CCB"/>
    <w:rsid w:val="000220EB"/>
    <w:rsid w:val="00022289"/>
    <w:rsid w:val="00027398"/>
    <w:rsid w:val="00027C29"/>
    <w:rsid w:val="0003201A"/>
    <w:rsid w:val="0003207A"/>
    <w:rsid w:val="00032871"/>
    <w:rsid w:val="00032F9F"/>
    <w:rsid w:val="00033124"/>
    <w:rsid w:val="0004008F"/>
    <w:rsid w:val="00041C07"/>
    <w:rsid w:val="000440BE"/>
    <w:rsid w:val="00045BB7"/>
    <w:rsid w:val="00050E50"/>
    <w:rsid w:val="00054225"/>
    <w:rsid w:val="00055719"/>
    <w:rsid w:val="0005641B"/>
    <w:rsid w:val="00057DB7"/>
    <w:rsid w:val="0006196A"/>
    <w:rsid w:val="0007151B"/>
    <w:rsid w:val="00081497"/>
    <w:rsid w:val="00085255"/>
    <w:rsid w:val="0008674F"/>
    <w:rsid w:val="00086928"/>
    <w:rsid w:val="000926F6"/>
    <w:rsid w:val="000A2E76"/>
    <w:rsid w:val="000A4807"/>
    <w:rsid w:val="000A4BE4"/>
    <w:rsid w:val="000B21BC"/>
    <w:rsid w:val="000C023E"/>
    <w:rsid w:val="000C2F32"/>
    <w:rsid w:val="000C5195"/>
    <w:rsid w:val="000C62EF"/>
    <w:rsid w:val="000C7F91"/>
    <w:rsid w:val="000D1D71"/>
    <w:rsid w:val="000D2137"/>
    <w:rsid w:val="000D3160"/>
    <w:rsid w:val="000D3FD2"/>
    <w:rsid w:val="000D4B2E"/>
    <w:rsid w:val="000E3FC8"/>
    <w:rsid w:val="000E5B55"/>
    <w:rsid w:val="000E6373"/>
    <w:rsid w:val="000E7BAE"/>
    <w:rsid w:val="000F133D"/>
    <w:rsid w:val="000F340E"/>
    <w:rsid w:val="0010536B"/>
    <w:rsid w:val="0011145C"/>
    <w:rsid w:val="001128BD"/>
    <w:rsid w:val="0011419D"/>
    <w:rsid w:val="00114B02"/>
    <w:rsid w:val="00114E03"/>
    <w:rsid w:val="00116C77"/>
    <w:rsid w:val="001226C0"/>
    <w:rsid w:val="00126EC8"/>
    <w:rsid w:val="0012731C"/>
    <w:rsid w:val="00132054"/>
    <w:rsid w:val="00134964"/>
    <w:rsid w:val="001351B9"/>
    <w:rsid w:val="00137EF8"/>
    <w:rsid w:val="0014641D"/>
    <w:rsid w:val="001530E0"/>
    <w:rsid w:val="00153312"/>
    <w:rsid w:val="00155CD2"/>
    <w:rsid w:val="00156520"/>
    <w:rsid w:val="001623FF"/>
    <w:rsid w:val="001727A4"/>
    <w:rsid w:val="0017376C"/>
    <w:rsid w:val="001738AB"/>
    <w:rsid w:val="001765E0"/>
    <w:rsid w:val="00177759"/>
    <w:rsid w:val="00180BB3"/>
    <w:rsid w:val="00185E6B"/>
    <w:rsid w:val="00187BBC"/>
    <w:rsid w:val="001932F3"/>
    <w:rsid w:val="001A154E"/>
    <w:rsid w:val="001A2B40"/>
    <w:rsid w:val="001A2C9E"/>
    <w:rsid w:val="001A4309"/>
    <w:rsid w:val="001A46AE"/>
    <w:rsid w:val="001A6C52"/>
    <w:rsid w:val="001B1053"/>
    <w:rsid w:val="001B14AC"/>
    <w:rsid w:val="001B1F42"/>
    <w:rsid w:val="001B7940"/>
    <w:rsid w:val="001C171A"/>
    <w:rsid w:val="001C37CA"/>
    <w:rsid w:val="001C4085"/>
    <w:rsid w:val="001D3281"/>
    <w:rsid w:val="001D4303"/>
    <w:rsid w:val="001D6746"/>
    <w:rsid w:val="001E1185"/>
    <w:rsid w:val="001E3B49"/>
    <w:rsid w:val="001E4A05"/>
    <w:rsid w:val="001E6FDC"/>
    <w:rsid w:val="001E7388"/>
    <w:rsid w:val="001F0057"/>
    <w:rsid w:val="001F13DD"/>
    <w:rsid w:val="001F2473"/>
    <w:rsid w:val="001F2570"/>
    <w:rsid w:val="001F2DBC"/>
    <w:rsid w:val="001F7122"/>
    <w:rsid w:val="001F73E8"/>
    <w:rsid w:val="00201BF7"/>
    <w:rsid w:val="0020262C"/>
    <w:rsid w:val="00203F2A"/>
    <w:rsid w:val="00211A3E"/>
    <w:rsid w:val="00211E4A"/>
    <w:rsid w:val="00215BCA"/>
    <w:rsid w:val="00217AC4"/>
    <w:rsid w:val="002211C5"/>
    <w:rsid w:val="00221461"/>
    <w:rsid w:val="00224537"/>
    <w:rsid w:val="0022604B"/>
    <w:rsid w:val="002276C8"/>
    <w:rsid w:val="002276E2"/>
    <w:rsid w:val="00235956"/>
    <w:rsid w:val="00240749"/>
    <w:rsid w:val="00243E5E"/>
    <w:rsid w:val="00246475"/>
    <w:rsid w:val="00247C9A"/>
    <w:rsid w:val="0025160C"/>
    <w:rsid w:val="002535D0"/>
    <w:rsid w:val="002539B3"/>
    <w:rsid w:val="00256336"/>
    <w:rsid w:val="00257C3E"/>
    <w:rsid w:val="002602C2"/>
    <w:rsid w:val="002666C9"/>
    <w:rsid w:val="00270136"/>
    <w:rsid w:val="00270FD7"/>
    <w:rsid w:val="00271EB5"/>
    <w:rsid w:val="00274F5B"/>
    <w:rsid w:val="00280836"/>
    <w:rsid w:val="00282E1A"/>
    <w:rsid w:val="00283DF1"/>
    <w:rsid w:val="002840F1"/>
    <w:rsid w:val="00285C0C"/>
    <w:rsid w:val="0029113B"/>
    <w:rsid w:val="002934C0"/>
    <w:rsid w:val="0029764C"/>
    <w:rsid w:val="002A0507"/>
    <w:rsid w:val="002A17C2"/>
    <w:rsid w:val="002A1B50"/>
    <w:rsid w:val="002B0E91"/>
    <w:rsid w:val="002B132C"/>
    <w:rsid w:val="002B29D3"/>
    <w:rsid w:val="002B3F23"/>
    <w:rsid w:val="002B4EB5"/>
    <w:rsid w:val="002B6779"/>
    <w:rsid w:val="002B71C0"/>
    <w:rsid w:val="002B7A34"/>
    <w:rsid w:val="002C288B"/>
    <w:rsid w:val="002C31AD"/>
    <w:rsid w:val="002C7256"/>
    <w:rsid w:val="002C7385"/>
    <w:rsid w:val="002C73E2"/>
    <w:rsid w:val="002D2798"/>
    <w:rsid w:val="002D2DBB"/>
    <w:rsid w:val="002D37D8"/>
    <w:rsid w:val="002D54A6"/>
    <w:rsid w:val="002E212D"/>
    <w:rsid w:val="002E4A25"/>
    <w:rsid w:val="002E5BF9"/>
    <w:rsid w:val="002E6A7A"/>
    <w:rsid w:val="002F1E49"/>
    <w:rsid w:val="002F4E9C"/>
    <w:rsid w:val="002F725D"/>
    <w:rsid w:val="00302F4E"/>
    <w:rsid w:val="00304A51"/>
    <w:rsid w:val="003055C9"/>
    <w:rsid w:val="00305FB3"/>
    <w:rsid w:val="0031256C"/>
    <w:rsid w:val="00314D6C"/>
    <w:rsid w:val="00316D2A"/>
    <w:rsid w:val="00320E24"/>
    <w:rsid w:val="00322A7C"/>
    <w:rsid w:val="00322EEC"/>
    <w:rsid w:val="00323061"/>
    <w:rsid w:val="003402D3"/>
    <w:rsid w:val="00343ABC"/>
    <w:rsid w:val="00343F5A"/>
    <w:rsid w:val="00344C09"/>
    <w:rsid w:val="003463FE"/>
    <w:rsid w:val="00347D41"/>
    <w:rsid w:val="00352E89"/>
    <w:rsid w:val="003554B3"/>
    <w:rsid w:val="00356632"/>
    <w:rsid w:val="00357C7E"/>
    <w:rsid w:val="00357D2A"/>
    <w:rsid w:val="00362B08"/>
    <w:rsid w:val="003653B6"/>
    <w:rsid w:val="003679ED"/>
    <w:rsid w:val="00374CC4"/>
    <w:rsid w:val="003774B2"/>
    <w:rsid w:val="00380F2D"/>
    <w:rsid w:val="00383C2A"/>
    <w:rsid w:val="003845A9"/>
    <w:rsid w:val="003846D4"/>
    <w:rsid w:val="003850C9"/>
    <w:rsid w:val="00390883"/>
    <w:rsid w:val="003922F8"/>
    <w:rsid w:val="00393E9F"/>
    <w:rsid w:val="00395B24"/>
    <w:rsid w:val="00397A2F"/>
    <w:rsid w:val="003A2D38"/>
    <w:rsid w:val="003A7ECC"/>
    <w:rsid w:val="003B0F78"/>
    <w:rsid w:val="003B2C72"/>
    <w:rsid w:val="003B555D"/>
    <w:rsid w:val="003B58B4"/>
    <w:rsid w:val="003C1333"/>
    <w:rsid w:val="003C20FF"/>
    <w:rsid w:val="003C550A"/>
    <w:rsid w:val="003C6055"/>
    <w:rsid w:val="003C74B2"/>
    <w:rsid w:val="003D04A0"/>
    <w:rsid w:val="003D2650"/>
    <w:rsid w:val="003D560C"/>
    <w:rsid w:val="003D5C00"/>
    <w:rsid w:val="003D6D21"/>
    <w:rsid w:val="003E130B"/>
    <w:rsid w:val="003E2340"/>
    <w:rsid w:val="003E3154"/>
    <w:rsid w:val="003E5874"/>
    <w:rsid w:val="003E72D3"/>
    <w:rsid w:val="003F193E"/>
    <w:rsid w:val="003F242C"/>
    <w:rsid w:val="003F34F1"/>
    <w:rsid w:val="00401984"/>
    <w:rsid w:val="004104B6"/>
    <w:rsid w:val="00411AE8"/>
    <w:rsid w:val="00413B74"/>
    <w:rsid w:val="00417AD0"/>
    <w:rsid w:val="00417F67"/>
    <w:rsid w:val="00422AD1"/>
    <w:rsid w:val="00423C1D"/>
    <w:rsid w:val="004342F3"/>
    <w:rsid w:val="00434431"/>
    <w:rsid w:val="00435C5F"/>
    <w:rsid w:val="00436155"/>
    <w:rsid w:val="004417D1"/>
    <w:rsid w:val="00441E98"/>
    <w:rsid w:val="00443905"/>
    <w:rsid w:val="00450F3A"/>
    <w:rsid w:val="004532F7"/>
    <w:rsid w:val="00464D51"/>
    <w:rsid w:val="00467FE6"/>
    <w:rsid w:val="00472027"/>
    <w:rsid w:val="004736EE"/>
    <w:rsid w:val="00475E68"/>
    <w:rsid w:val="004804CF"/>
    <w:rsid w:val="004838C5"/>
    <w:rsid w:val="00484962"/>
    <w:rsid w:val="00484F6D"/>
    <w:rsid w:val="00484FB7"/>
    <w:rsid w:val="0048554D"/>
    <w:rsid w:val="0049338A"/>
    <w:rsid w:val="0049417F"/>
    <w:rsid w:val="00496D41"/>
    <w:rsid w:val="004A5800"/>
    <w:rsid w:val="004A6602"/>
    <w:rsid w:val="004B3EFA"/>
    <w:rsid w:val="004B3FD0"/>
    <w:rsid w:val="004B503D"/>
    <w:rsid w:val="004C04F7"/>
    <w:rsid w:val="004C06D3"/>
    <w:rsid w:val="004C2A87"/>
    <w:rsid w:val="004C4D7B"/>
    <w:rsid w:val="004C4ED3"/>
    <w:rsid w:val="004C4F7E"/>
    <w:rsid w:val="004C667B"/>
    <w:rsid w:val="004C7ECD"/>
    <w:rsid w:val="004D2EA5"/>
    <w:rsid w:val="004D32A6"/>
    <w:rsid w:val="004D53E5"/>
    <w:rsid w:val="004E3667"/>
    <w:rsid w:val="004E47F4"/>
    <w:rsid w:val="004E6DC4"/>
    <w:rsid w:val="004F21C1"/>
    <w:rsid w:val="00501660"/>
    <w:rsid w:val="00501A12"/>
    <w:rsid w:val="0050309C"/>
    <w:rsid w:val="005030EC"/>
    <w:rsid w:val="005126EE"/>
    <w:rsid w:val="0051327C"/>
    <w:rsid w:val="0051346D"/>
    <w:rsid w:val="00513EAE"/>
    <w:rsid w:val="0051434F"/>
    <w:rsid w:val="00516806"/>
    <w:rsid w:val="0052098C"/>
    <w:rsid w:val="0052163E"/>
    <w:rsid w:val="005242DB"/>
    <w:rsid w:val="00525A49"/>
    <w:rsid w:val="005262D1"/>
    <w:rsid w:val="00526ED9"/>
    <w:rsid w:val="00530312"/>
    <w:rsid w:val="00530876"/>
    <w:rsid w:val="00531532"/>
    <w:rsid w:val="00535613"/>
    <w:rsid w:val="005359EB"/>
    <w:rsid w:val="00536591"/>
    <w:rsid w:val="00537D5A"/>
    <w:rsid w:val="0054254A"/>
    <w:rsid w:val="0054500B"/>
    <w:rsid w:val="005466B5"/>
    <w:rsid w:val="00552B36"/>
    <w:rsid w:val="00554314"/>
    <w:rsid w:val="00562829"/>
    <w:rsid w:val="005629B3"/>
    <w:rsid w:val="00563356"/>
    <w:rsid w:val="00570DA8"/>
    <w:rsid w:val="005724F6"/>
    <w:rsid w:val="0057330F"/>
    <w:rsid w:val="00573AC4"/>
    <w:rsid w:val="0057518D"/>
    <w:rsid w:val="005801FC"/>
    <w:rsid w:val="005829B6"/>
    <w:rsid w:val="0058440A"/>
    <w:rsid w:val="00585BA9"/>
    <w:rsid w:val="00587359"/>
    <w:rsid w:val="00595016"/>
    <w:rsid w:val="00597AAE"/>
    <w:rsid w:val="00597B9A"/>
    <w:rsid w:val="005A222C"/>
    <w:rsid w:val="005A4DF8"/>
    <w:rsid w:val="005A70B6"/>
    <w:rsid w:val="005A78C8"/>
    <w:rsid w:val="005A7CDD"/>
    <w:rsid w:val="005A7E22"/>
    <w:rsid w:val="005B043D"/>
    <w:rsid w:val="005B1426"/>
    <w:rsid w:val="005B38A5"/>
    <w:rsid w:val="005B67BE"/>
    <w:rsid w:val="005B7390"/>
    <w:rsid w:val="005C0A8E"/>
    <w:rsid w:val="005C1767"/>
    <w:rsid w:val="005C185C"/>
    <w:rsid w:val="005C3F39"/>
    <w:rsid w:val="005C42EF"/>
    <w:rsid w:val="005E02F5"/>
    <w:rsid w:val="005E0510"/>
    <w:rsid w:val="005E176E"/>
    <w:rsid w:val="005E218E"/>
    <w:rsid w:val="005E35A0"/>
    <w:rsid w:val="005E4C2F"/>
    <w:rsid w:val="005F0D1B"/>
    <w:rsid w:val="005F1865"/>
    <w:rsid w:val="005F34D2"/>
    <w:rsid w:val="005F3F92"/>
    <w:rsid w:val="005F7CE9"/>
    <w:rsid w:val="00600086"/>
    <w:rsid w:val="006003AC"/>
    <w:rsid w:val="006007BD"/>
    <w:rsid w:val="006013C8"/>
    <w:rsid w:val="00601ACF"/>
    <w:rsid w:val="0060270D"/>
    <w:rsid w:val="006035A2"/>
    <w:rsid w:val="00604611"/>
    <w:rsid w:val="00607260"/>
    <w:rsid w:val="00607F76"/>
    <w:rsid w:val="00611586"/>
    <w:rsid w:val="00611F69"/>
    <w:rsid w:val="00612D26"/>
    <w:rsid w:val="0061359C"/>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57DC0"/>
    <w:rsid w:val="00657E4A"/>
    <w:rsid w:val="0066063F"/>
    <w:rsid w:val="00662BB0"/>
    <w:rsid w:val="00663878"/>
    <w:rsid w:val="00663E90"/>
    <w:rsid w:val="00667773"/>
    <w:rsid w:val="00670743"/>
    <w:rsid w:val="00671B91"/>
    <w:rsid w:val="00673B9B"/>
    <w:rsid w:val="00680A85"/>
    <w:rsid w:val="00681ADF"/>
    <w:rsid w:val="00685A78"/>
    <w:rsid w:val="00690EE2"/>
    <w:rsid w:val="00690F1D"/>
    <w:rsid w:val="00693854"/>
    <w:rsid w:val="00694BEB"/>
    <w:rsid w:val="006A0CAC"/>
    <w:rsid w:val="006A0E20"/>
    <w:rsid w:val="006A24E3"/>
    <w:rsid w:val="006A3394"/>
    <w:rsid w:val="006A5695"/>
    <w:rsid w:val="006A69D0"/>
    <w:rsid w:val="006B0439"/>
    <w:rsid w:val="006B3904"/>
    <w:rsid w:val="006B5B7D"/>
    <w:rsid w:val="006C2B4D"/>
    <w:rsid w:val="006C532B"/>
    <w:rsid w:val="006C5B46"/>
    <w:rsid w:val="006C6E39"/>
    <w:rsid w:val="006C7D83"/>
    <w:rsid w:val="006D0ECF"/>
    <w:rsid w:val="006D3D5B"/>
    <w:rsid w:val="006D4C92"/>
    <w:rsid w:val="006D4EB6"/>
    <w:rsid w:val="006E35BF"/>
    <w:rsid w:val="006E6FFB"/>
    <w:rsid w:val="006E7850"/>
    <w:rsid w:val="006F46D6"/>
    <w:rsid w:val="006F78D4"/>
    <w:rsid w:val="007028D9"/>
    <w:rsid w:val="00707218"/>
    <w:rsid w:val="00710D04"/>
    <w:rsid w:val="00712B1D"/>
    <w:rsid w:val="007145B8"/>
    <w:rsid w:val="00715751"/>
    <w:rsid w:val="007171BA"/>
    <w:rsid w:val="00717616"/>
    <w:rsid w:val="007325D9"/>
    <w:rsid w:val="0073583B"/>
    <w:rsid w:val="007360CA"/>
    <w:rsid w:val="0074667B"/>
    <w:rsid w:val="007470BD"/>
    <w:rsid w:val="00755C46"/>
    <w:rsid w:val="00760EC0"/>
    <w:rsid w:val="0076482F"/>
    <w:rsid w:val="007711BD"/>
    <w:rsid w:val="00777368"/>
    <w:rsid w:val="0078003A"/>
    <w:rsid w:val="0078026E"/>
    <w:rsid w:val="00780771"/>
    <w:rsid w:val="007833F8"/>
    <w:rsid w:val="0079012A"/>
    <w:rsid w:val="007929CF"/>
    <w:rsid w:val="00794808"/>
    <w:rsid w:val="007A49E7"/>
    <w:rsid w:val="007A6F28"/>
    <w:rsid w:val="007B03C6"/>
    <w:rsid w:val="007B0DB1"/>
    <w:rsid w:val="007B5673"/>
    <w:rsid w:val="007B7238"/>
    <w:rsid w:val="007B76FF"/>
    <w:rsid w:val="007C28A7"/>
    <w:rsid w:val="007C3BF6"/>
    <w:rsid w:val="007C67B3"/>
    <w:rsid w:val="007C6CF9"/>
    <w:rsid w:val="007C7692"/>
    <w:rsid w:val="007D0FD2"/>
    <w:rsid w:val="007D1657"/>
    <w:rsid w:val="007D2EF8"/>
    <w:rsid w:val="007D3945"/>
    <w:rsid w:val="007D561F"/>
    <w:rsid w:val="007D7FD2"/>
    <w:rsid w:val="007E13D9"/>
    <w:rsid w:val="007E2AEC"/>
    <w:rsid w:val="007E41BE"/>
    <w:rsid w:val="007E4DB6"/>
    <w:rsid w:val="007E6733"/>
    <w:rsid w:val="007E7CD4"/>
    <w:rsid w:val="007F12AC"/>
    <w:rsid w:val="007F4501"/>
    <w:rsid w:val="007F567F"/>
    <w:rsid w:val="007F60DF"/>
    <w:rsid w:val="007F6173"/>
    <w:rsid w:val="007F6414"/>
    <w:rsid w:val="007F6B42"/>
    <w:rsid w:val="008008E8"/>
    <w:rsid w:val="00801800"/>
    <w:rsid w:val="00801861"/>
    <w:rsid w:val="00801B5B"/>
    <w:rsid w:val="00807CFD"/>
    <w:rsid w:val="00820C5E"/>
    <w:rsid w:val="008216E7"/>
    <w:rsid w:val="00825BE6"/>
    <w:rsid w:val="008276B4"/>
    <w:rsid w:val="00831927"/>
    <w:rsid w:val="00831C20"/>
    <w:rsid w:val="00835AFC"/>
    <w:rsid w:val="00837288"/>
    <w:rsid w:val="00841BD3"/>
    <w:rsid w:val="0084273D"/>
    <w:rsid w:val="00843F5C"/>
    <w:rsid w:val="00844E3F"/>
    <w:rsid w:val="00845A83"/>
    <w:rsid w:val="00846BB9"/>
    <w:rsid w:val="008533E3"/>
    <w:rsid w:val="00861BE5"/>
    <w:rsid w:val="008642A0"/>
    <w:rsid w:val="008649D5"/>
    <w:rsid w:val="00867662"/>
    <w:rsid w:val="008712BB"/>
    <w:rsid w:val="00874AFD"/>
    <w:rsid w:val="008830E7"/>
    <w:rsid w:val="00890EDE"/>
    <w:rsid w:val="00892B38"/>
    <w:rsid w:val="008A1741"/>
    <w:rsid w:val="008A2484"/>
    <w:rsid w:val="008A52F3"/>
    <w:rsid w:val="008C033A"/>
    <w:rsid w:val="008C1927"/>
    <w:rsid w:val="008C1A4F"/>
    <w:rsid w:val="008C26D9"/>
    <w:rsid w:val="008C6D50"/>
    <w:rsid w:val="008C7167"/>
    <w:rsid w:val="008C7503"/>
    <w:rsid w:val="008D1617"/>
    <w:rsid w:val="008D330F"/>
    <w:rsid w:val="008D48C1"/>
    <w:rsid w:val="008E4799"/>
    <w:rsid w:val="008E6315"/>
    <w:rsid w:val="008E7A5B"/>
    <w:rsid w:val="008F07FC"/>
    <w:rsid w:val="008F11E0"/>
    <w:rsid w:val="008F1541"/>
    <w:rsid w:val="008F1B4E"/>
    <w:rsid w:val="008F3EA7"/>
    <w:rsid w:val="008F771F"/>
    <w:rsid w:val="008F7856"/>
    <w:rsid w:val="008F78BC"/>
    <w:rsid w:val="008F7A49"/>
    <w:rsid w:val="008F7B63"/>
    <w:rsid w:val="008F7D6A"/>
    <w:rsid w:val="008F7F0D"/>
    <w:rsid w:val="00901390"/>
    <w:rsid w:val="00901C86"/>
    <w:rsid w:val="0090324E"/>
    <w:rsid w:val="00903603"/>
    <w:rsid w:val="009054CB"/>
    <w:rsid w:val="00911F8D"/>
    <w:rsid w:val="00912B45"/>
    <w:rsid w:val="00912F94"/>
    <w:rsid w:val="00913672"/>
    <w:rsid w:val="009171BC"/>
    <w:rsid w:val="00920E06"/>
    <w:rsid w:val="00921D0B"/>
    <w:rsid w:val="00923E89"/>
    <w:rsid w:val="0092410D"/>
    <w:rsid w:val="0092497E"/>
    <w:rsid w:val="0092590B"/>
    <w:rsid w:val="00925BF3"/>
    <w:rsid w:val="00925E60"/>
    <w:rsid w:val="009264B3"/>
    <w:rsid w:val="009316B4"/>
    <w:rsid w:val="00935ED5"/>
    <w:rsid w:val="009365E0"/>
    <w:rsid w:val="00942BA2"/>
    <w:rsid w:val="009432B7"/>
    <w:rsid w:val="00943EDE"/>
    <w:rsid w:val="00944C86"/>
    <w:rsid w:val="00947C02"/>
    <w:rsid w:val="00950BE6"/>
    <w:rsid w:val="009525C9"/>
    <w:rsid w:val="0095344F"/>
    <w:rsid w:val="00957DE8"/>
    <w:rsid w:val="00957F49"/>
    <w:rsid w:val="009603D0"/>
    <w:rsid w:val="00960ECB"/>
    <w:rsid w:val="009615D6"/>
    <w:rsid w:val="00965BE7"/>
    <w:rsid w:val="00967855"/>
    <w:rsid w:val="00974709"/>
    <w:rsid w:val="00980736"/>
    <w:rsid w:val="00981438"/>
    <w:rsid w:val="00981A39"/>
    <w:rsid w:val="00982D56"/>
    <w:rsid w:val="00983DBF"/>
    <w:rsid w:val="00987097"/>
    <w:rsid w:val="00987413"/>
    <w:rsid w:val="00991123"/>
    <w:rsid w:val="00991CAB"/>
    <w:rsid w:val="00993BC2"/>
    <w:rsid w:val="0099640B"/>
    <w:rsid w:val="009976FA"/>
    <w:rsid w:val="009A3A9C"/>
    <w:rsid w:val="009A46AC"/>
    <w:rsid w:val="009B046C"/>
    <w:rsid w:val="009B13FA"/>
    <w:rsid w:val="009B1E2D"/>
    <w:rsid w:val="009C59FB"/>
    <w:rsid w:val="009C6F3B"/>
    <w:rsid w:val="009C71A7"/>
    <w:rsid w:val="009D1467"/>
    <w:rsid w:val="009D1786"/>
    <w:rsid w:val="009D1A63"/>
    <w:rsid w:val="009D3070"/>
    <w:rsid w:val="009D64B0"/>
    <w:rsid w:val="009E1004"/>
    <w:rsid w:val="009E14D2"/>
    <w:rsid w:val="009E4FA6"/>
    <w:rsid w:val="009E7D93"/>
    <w:rsid w:val="009F1A3B"/>
    <w:rsid w:val="009F2894"/>
    <w:rsid w:val="009F3C34"/>
    <w:rsid w:val="009F462C"/>
    <w:rsid w:val="009F5C33"/>
    <w:rsid w:val="00A026F0"/>
    <w:rsid w:val="00A03EAC"/>
    <w:rsid w:val="00A04DBB"/>
    <w:rsid w:val="00A07EA0"/>
    <w:rsid w:val="00A11CA6"/>
    <w:rsid w:val="00A179D8"/>
    <w:rsid w:val="00A20C49"/>
    <w:rsid w:val="00A22932"/>
    <w:rsid w:val="00A24640"/>
    <w:rsid w:val="00A25136"/>
    <w:rsid w:val="00A269CA"/>
    <w:rsid w:val="00A336EE"/>
    <w:rsid w:val="00A33F46"/>
    <w:rsid w:val="00A3427E"/>
    <w:rsid w:val="00A34F1C"/>
    <w:rsid w:val="00A359AC"/>
    <w:rsid w:val="00A40F83"/>
    <w:rsid w:val="00A410FB"/>
    <w:rsid w:val="00A41413"/>
    <w:rsid w:val="00A42EAA"/>
    <w:rsid w:val="00A431E6"/>
    <w:rsid w:val="00A436E8"/>
    <w:rsid w:val="00A43D66"/>
    <w:rsid w:val="00A44AEF"/>
    <w:rsid w:val="00A45FB1"/>
    <w:rsid w:val="00A46CCC"/>
    <w:rsid w:val="00A47996"/>
    <w:rsid w:val="00A51CFE"/>
    <w:rsid w:val="00A5204D"/>
    <w:rsid w:val="00A52C31"/>
    <w:rsid w:val="00A61605"/>
    <w:rsid w:val="00A63EAB"/>
    <w:rsid w:val="00A65F97"/>
    <w:rsid w:val="00A66BAB"/>
    <w:rsid w:val="00A76AE5"/>
    <w:rsid w:val="00A76C13"/>
    <w:rsid w:val="00A80539"/>
    <w:rsid w:val="00A84090"/>
    <w:rsid w:val="00A84FD0"/>
    <w:rsid w:val="00A861F7"/>
    <w:rsid w:val="00A862E8"/>
    <w:rsid w:val="00A92E79"/>
    <w:rsid w:val="00A950B6"/>
    <w:rsid w:val="00A95D45"/>
    <w:rsid w:val="00A9760A"/>
    <w:rsid w:val="00A97F66"/>
    <w:rsid w:val="00AA241F"/>
    <w:rsid w:val="00AA78C1"/>
    <w:rsid w:val="00AB41C1"/>
    <w:rsid w:val="00AB4CF2"/>
    <w:rsid w:val="00AB6CCA"/>
    <w:rsid w:val="00AB7264"/>
    <w:rsid w:val="00AB778D"/>
    <w:rsid w:val="00AC223F"/>
    <w:rsid w:val="00AC33B1"/>
    <w:rsid w:val="00AD12A8"/>
    <w:rsid w:val="00AD3DE7"/>
    <w:rsid w:val="00AD5A43"/>
    <w:rsid w:val="00AD7934"/>
    <w:rsid w:val="00AE023F"/>
    <w:rsid w:val="00AE1226"/>
    <w:rsid w:val="00AF3577"/>
    <w:rsid w:val="00AF35F9"/>
    <w:rsid w:val="00B01028"/>
    <w:rsid w:val="00B0345C"/>
    <w:rsid w:val="00B0424C"/>
    <w:rsid w:val="00B05C7D"/>
    <w:rsid w:val="00B15D57"/>
    <w:rsid w:val="00B16347"/>
    <w:rsid w:val="00B1667B"/>
    <w:rsid w:val="00B17D6E"/>
    <w:rsid w:val="00B21688"/>
    <w:rsid w:val="00B2435E"/>
    <w:rsid w:val="00B27D95"/>
    <w:rsid w:val="00B346C3"/>
    <w:rsid w:val="00B35579"/>
    <w:rsid w:val="00B3693B"/>
    <w:rsid w:val="00B379B1"/>
    <w:rsid w:val="00B4005C"/>
    <w:rsid w:val="00B4227E"/>
    <w:rsid w:val="00B4471C"/>
    <w:rsid w:val="00B451A6"/>
    <w:rsid w:val="00B548EA"/>
    <w:rsid w:val="00B56D6E"/>
    <w:rsid w:val="00B64347"/>
    <w:rsid w:val="00B65566"/>
    <w:rsid w:val="00B65CB6"/>
    <w:rsid w:val="00B65DC6"/>
    <w:rsid w:val="00B67AC2"/>
    <w:rsid w:val="00B708EC"/>
    <w:rsid w:val="00B722DE"/>
    <w:rsid w:val="00B745A2"/>
    <w:rsid w:val="00B751E3"/>
    <w:rsid w:val="00B75BA6"/>
    <w:rsid w:val="00B765DA"/>
    <w:rsid w:val="00B76C44"/>
    <w:rsid w:val="00B77E08"/>
    <w:rsid w:val="00B8184A"/>
    <w:rsid w:val="00B82283"/>
    <w:rsid w:val="00B82879"/>
    <w:rsid w:val="00B828D8"/>
    <w:rsid w:val="00B83F87"/>
    <w:rsid w:val="00B87CDC"/>
    <w:rsid w:val="00B910C1"/>
    <w:rsid w:val="00BA2CA4"/>
    <w:rsid w:val="00BA2EFA"/>
    <w:rsid w:val="00BA3DBC"/>
    <w:rsid w:val="00BA5D78"/>
    <w:rsid w:val="00BA707A"/>
    <w:rsid w:val="00BB1AFB"/>
    <w:rsid w:val="00BB27AE"/>
    <w:rsid w:val="00BB2DA2"/>
    <w:rsid w:val="00BB2DA5"/>
    <w:rsid w:val="00BB56DC"/>
    <w:rsid w:val="00BE183D"/>
    <w:rsid w:val="00BF5D7A"/>
    <w:rsid w:val="00BF714F"/>
    <w:rsid w:val="00C01C2E"/>
    <w:rsid w:val="00C02D33"/>
    <w:rsid w:val="00C04B53"/>
    <w:rsid w:val="00C06B1A"/>
    <w:rsid w:val="00C11589"/>
    <w:rsid w:val="00C1232C"/>
    <w:rsid w:val="00C15694"/>
    <w:rsid w:val="00C26ECD"/>
    <w:rsid w:val="00C27C6B"/>
    <w:rsid w:val="00C30537"/>
    <w:rsid w:val="00C33144"/>
    <w:rsid w:val="00C33619"/>
    <w:rsid w:val="00C3594D"/>
    <w:rsid w:val="00C35958"/>
    <w:rsid w:val="00C36442"/>
    <w:rsid w:val="00C400CE"/>
    <w:rsid w:val="00C410FD"/>
    <w:rsid w:val="00C457DE"/>
    <w:rsid w:val="00C47DD3"/>
    <w:rsid w:val="00C53562"/>
    <w:rsid w:val="00C539FB"/>
    <w:rsid w:val="00C62806"/>
    <w:rsid w:val="00C63669"/>
    <w:rsid w:val="00C63F41"/>
    <w:rsid w:val="00C66E57"/>
    <w:rsid w:val="00C73DCE"/>
    <w:rsid w:val="00C74150"/>
    <w:rsid w:val="00C75594"/>
    <w:rsid w:val="00C77508"/>
    <w:rsid w:val="00C81032"/>
    <w:rsid w:val="00C85982"/>
    <w:rsid w:val="00C94484"/>
    <w:rsid w:val="00CA0466"/>
    <w:rsid w:val="00CA246D"/>
    <w:rsid w:val="00CA50D9"/>
    <w:rsid w:val="00CB16A2"/>
    <w:rsid w:val="00CB3054"/>
    <w:rsid w:val="00CB5636"/>
    <w:rsid w:val="00CC304D"/>
    <w:rsid w:val="00CC3EE5"/>
    <w:rsid w:val="00CD0DB4"/>
    <w:rsid w:val="00CE0F75"/>
    <w:rsid w:val="00CE16AF"/>
    <w:rsid w:val="00CE425C"/>
    <w:rsid w:val="00CE58AC"/>
    <w:rsid w:val="00CE6B61"/>
    <w:rsid w:val="00CF0178"/>
    <w:rsid w:val="00CF5A80"/>
    <w:rsid w:val="00D01FD2"/>
    <w:rsid w:val="00D045EE"/>
    <w:rsid w:val="00D05091"/>
    <w:rsid w:val="00D10CA6"/>
    <w:rsid w:val="00D10F21"/>
    <w:rsid w:val="00D12495"/>
    <w:rsid w:val="00D134CF"/>
    <w:rsid w:val="00D13BE9"/>
    <w:rsid w:val="00D1573B"/>
    <w:rsid w:val="00D220E9"/>
    <w:rsid w:val="00D24806"/>
    <w:rsid w:val="00D34040"/>
    <w:rsid w:val="00D34E69"/>
    <w:rsid w:val="00D36C78"/>
    <w:rsid w:val="00D37131"/>
    <w:rsid w:val="00D375EE"/>
    <w:rsid w:val="00D5558D"/>
    <w:rsid w:val="00D55AE8"/>
    <w:rsid w:val="00D56056"/>
    <w:rsid w:val="00D57562"/>
    <w:rsid w:val="00D6085F"/>
    <w:rsid w:val="00D62699"/>
    <w:rsid w:val="00D7359C"/>
    <w:rsid w:val="00D745C6"/>
    <w:rsid w:val="00D75873"/>
    <w:rsid w:val="00D75E70"/>
    <w:rsid w:val="00D778E9"/>
    <w:rsid w:val="00D812BF"/>
    <w:rsid w:val="00D82620"/>
    <w:rsid w:val="00D842D0"/>
    <w:rsid w:val="00D85707"/>
    <w:rsid w:val="00D956CF"/>
    <w:rsid w:val="00D9725F"/>
    <w:rsid w:val="00DA01B1"/>
    <w:rsid w:val="00DA11A2"/>
    <w:rsid w:val="00DA14ED"/>
    <w:rsid w:val="00DA26D6"/>
    <w:rsid w:val="00DA2909"/>
    <w:rsid w:val="00DB2EF1"/>
    <w:rsid w:val="00DB3DE1"/>
    <w:rsid w:val="00DB5DA0"/>
    <w:rsid w:val="00DB5F5C"/>
    <w:rsid w:val="00DB716C"/>
    <w:rsid w:val="00DC5C85"/>
    <w:rsid w:val="00DC7C5D"/>
    <w:rsid w:val="00DD4236"/>
    <w:rsid w:val="00DD44F1"/>
    <w:rsid w:val="00DD6957"/>
    <w:rsid w:val="00DD6E7A"/>
    <w:rsid w:val="00DE3067"/>
    <w:rsid w:val="00DF3EEE"/>
    <w:rsid w:val="00DF6C6C"/>
    <w:rsid w:val="00DF75E1"/>
    <w:rsid w:val="00E00BF1"/>
    <w:rsid w:val="00E027BC"/>
    <w:rsid w:val="00E03221"/>
    <w:rsid w:val="00E10F0D"/>
    <w:rsid w:val="00E14EA5"/>
    <w:rsid w:val="00E1606A"/>
    <w:rsid w:val="00E2070E"/>
    <w:rsid w:val="00E21133"/>
    <w:rsid w:val="00E2327E"/>
    <w:rsid w:val="00E24BC6"/>
    <w:rsid w:val="00E266EF"/>
    <w:rsid w:val="00E27A9C"/>
    <w:rsid w:val="00E42E88"/>
    <w:rsid w:val="00E46198"/>
    <w:rsid w:val="00E47428"/>
    <w:rsid w:val="00E56C8E"/>
    <w:rsid w:val="00E5716B"/>
    <w:rsid w:val="00E57F1F"/>
    <w:rsid w:val="00E66B9F"/>
    <w:rsid w:val="00E70A6A"/>
    <w:rsid w:val="00E710D6"/>
    <w:rsid w:val="00E73DA4"/>
    <w:rsid w:val="00E73E47"/>
    <w:rsid w:val="00E76E45"/>
    <w:rsid w:val="00E777C9"/>
    <w:rsid w:val="00E81DA6"/>
    <w:rsid w:val="00E84212"/>
    <w:rsid w:val="00E862AF"/>
    <w:rsid w:val="00E904B0"/>
    <w:rsid w:val="00E9086C"/>
    <w:rsid w:val="00E90AAA"/>
    <w:rsid w:val="00E91A0F"/>
    <w:rsid w:val="00E94A71"/>
    <w:rsid w:val="00E94CBF"/>
    <w:rsid w:val="00E96A6F"/>
    <w:rsid w:val="00EA03CE"/>
    <w:rsid w:val="00EA225C"/>
    <w:rsid w:val="00EA23E5"/>
    <w:rsid w:val="00EA3FC9"/>
    <w:rsid w:val="00EA4E2E"/>
    <w:rsid w:val="00EA6286"/>
    <w:rsid w:val="00EB2417"/>
    <w:rsid w:val="00EB2CCB"/>
    <w:rsid w:val="00EB594A"/>
    <w:rsid w:val="00EB7A25"/>
    <w:rsid w:val="00EC057E"/>
    <w:rsid w:val="00EC0F3E"/>
    <w:rsid w:val="00EC57A7"/>
    <w:rsid w:val="00ED0817"/>
    <w:rsid w:val="00ED770E"/>
    <w:rsid w:val="00ED7DD9"/>
    <w:rsid w:val="00EE36C2"/>
    <w:rsid w:val="00EE445B"/>
    <w:rsid w:val="00EE629C"/>
    <w:rsid w:val="00EF3113"/>
    <w:rsid w:val="00EF3F84"/>
    <w:rsid w:val="00F00A4D"/>
    <w:rsid w:val="00F161DC"/>
    <w:rsid w:val="00F1662A"/>
    <w:rsid w:val="00F176AC"/>
    <w:rsid w:val="00F20CF8"/>
    <w:rsid w:val="00F26F28"/>
    <w:rsid w:val="00F27714"/>
    <w:rsid w:val="00F3276E"/>
    <w:rsid w:val="00F33D3C"/>
    <w:rsid w:val="00F37A91"/>
    <w:rsid w:val="00F408A0"/>
    <w:rsid w:val="00F45CF5"/>
    <w:rsid w:val="00F47DB0"/>
    <w:rsid w:val="00F50C3F"/>
    <w:rsid w:val="00F50E34"/>
    <w:rsid w:val="00F5178D"/>
    <w:rsid w:val="00F53EF7"/>
    <w:rsid w:val="00F54BF2"/>
    <w:rsid w:val="00F55AFF"/>
    <w:rsid w:val="00F675BB"/>
    <w:rsid w:val="00F70690"/>
    <w:rsid w:val="00F7214C"/>
    <w:rsid w:val="00F77088"/>
    <w:rsid w:val="00F770C9"/>
    <w:rsid w:val="00F775AC"/>
    <w:rsid w:val="00F777DE"/>
    <w:rsid w:val="00F92355"/>
    <w:rsid w:val="00F93963"/>
    <w:rsid w:val="00F94291"/>
    <w:rsid w:val="00FA298A"/>
    <w:rsid w:val="00FA5B66"/>
    <w:rsid w:val="00FB30EB"/>
    <w:rsid w:val="00FB7982"/>
    <w:rsid w:val="00FC0734"/>
    <w:rsid w:val="00FC0FC5"/>
    <w:rsid w:val="00FC588F"/>
    <w:rsid w:val="00FC6879"/>
    <w:rsid w:val="00FC7053"/>
    <w:rsid w:val="00FC790F"/>
    <w:rsid w:val="00FD0755"/>
    <w:rsid w:val="00FD6433"/>
    <w:rsid w:val="00FE1B30"/>
    <w:rsid w:val="00FE4267"/>
    <w:rsid w:val="00FE7B44"/>
    <w:rsid w:val="00FF3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270C1D1"/>
  <w15:docId w15:val="{2FFBA219-3B75-4FBD-9EBA-C55436D4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98"/>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4"/>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6"/>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5"/>
      </w:numPr>
    </w:pPr>
  </w:style>
  <w:style w:type="paragraph" w:customStyle="1" w:styleId="Order4">
    <w:name w:val="Order 4"/>
    <w:basedOn w:val="Order3"/>
    <w:rsid w:val="004104B6"/>
    <w:pPr>
      <w:numPr>
        <w:ilvl w:val="3"/>
      </w:numPr>
    </w:pPr>
  </w:style>
  <w:style w:type="paragraph" w:customStyle="1" w:styleId="Default">
    <w:name w:val="Default"/>
    <w:rsid w:val="00921D0B"/>
    <w:pPr>
      <w:autoSpaceDE w:val="0"/>
      <w:autoSpaceDN w:val="0"/>
      <w:adjustRightInd w:val="0"/>
    </w:pPr>
    <w:rPr>
      <w:color w:val="000000"/>
      <w:sz w:val="24"/>
      <w:szCs w:val="24"/>
    </w:rPr>
  </w:style>
  <w:style w:type="paragraph" w:styleId="ListParagraph">
    <w:name w:val="List Paragraph"/>
    <w:basedOn w:val="Normal"/>
    <w:uiPriority w:val="1"/>
    <w:qFormat/>
    <w:rsid w:val="002B29D3"/>
    <w:pPr>
      <w:widowControl w:val="0"/>
      <w:autoSpaceDE w:val="0"/>
      <w:autoSpaceDN w:val="0"/>
      <w:spacing w:line="240" w:lineRule="auto"/>
      <w:ind w:left="860" w:hanging="360"/>
      <w:jc w:val="left"/>
    </w:pPr>
    <w:rPr>
      <w:rFonts w:ascii="Calibri" w:eastAsia="Calibri" w:hAnsi="Calibri" w:cs="Calibri"/>
      <w:sz w:val="22"/>
      <w:szCs w:val="22"/>
      <w:lang w:val="en-US"/>
    </w:rPr>
  </w:style>
  <w:style w:type="paragraph" w:customStyle="1" w:styleId="HWLELvl1">
    <w:name w:val="HWLE Lvl 1"/>
    <w:basedOn w:val="Normal"/>
    <w:link w:val="HWLELvl1Char"/>
    <w:qFormat/>
    <w:rsid w:val="00671B91"/>
    <w:pPr>
      <w:numPr>
        <w:numId w:val="40"/>
      </w:numPr>
      <w:spacing w:before="240" w:after="240"/>
      <w:outlineLvl w:val="0"/>
    </w:pPr>
    <w:rPr>
      <w:rFonts w:eastAsia="Times New Roman"/>
      <w:szCs w:val="24"/>
      <w:lang w:val="en-US" w:eastAsia="en-AU"/>
    </w:rPr>
  </w:style>
  <w:style w:type="paragraph" w:customStyle="1" w:styleId="HWLELvl2">
    <w:name w:val="HWLE Lvl 2"/>
    <w:basedOn w:val="Normal"/>
    <w:qFormat/>
    <w:rsid w:val="00671B91"/>
    <w:pPr>
      <w:numPr>
        <w:ilvl w:val="1"/>
        <w:numId w:val="40"/>
      </w:numPr>
      <w:spacing w:before="240" w:after="240" w:line="240" w:lineRule="auto"/>
      <w:jc w:val="left"/>
      <w:outlineLvl w:val="1"/>
    </w:pPr>
    <w:rPr>
      <w:rFonts w:eastAsia="Times New Roman"/>
      <w:szCs w:val="24"/>
      <w:lang w:eastAsia="en-AU"/>
    </w:rPr>
  </w:style>
  <w:style w:type="paragraph" w:customStyle="1" w:styleId="HWLELvl3">
    <w:name w:val="HWLE Lvl 3"/>
    <w:basedOn w:val="Normal"/>
    <w:qFormat/>
    <w:rsid w:val="00671B91"/>
    <w:pPr>
      <w:numPr>
        <w:ilvl w:val="2"/>
        <w:numId w:val="40"/>
      </w:numPr>
      <w:spacing w:before="240" w:after="240"/>
      <w:jc w:val="left"/>
      <w:outlineLvl w:val="2"/>
    </w:pPr>
    <w:rPr>
      <w:rFonts w:eastAsia="Times New Roman"/>
      <w:szCs w:val="24"/>
      <w:lang w:eastAsia="en-AU"/>
    </w:rPr>
  </w:style>
  <w:style w:type="paragraph" w:customStyle="1" w:styleId="HWLELvl4">
    <w:name w:val="HWLE Lvl 4"/>
    <w:basedOn w:val="Normal"/>
    <w:qFormat/>
    <w:rsid w:val="00671B91"/>
    <w:pPr>
      <w:numPr>
        <w:ilvl w:val="3"/>
        <w:numId w:val="40"/>
      </w:numPr>
      <w:spacing w:before="240" w:after="240"/>
      <w:jc w:val="left"/>
      <w:outlineLvl w:val="3"/>
    </w:pPr>
    <w:rPr>
      <w:rFonts w:eastAsia="Times New Roman"/>
      <w:szCs w:val="24"/>
      <w:lang w:eastAsia="en-AU"/>
    </w:rPr>
  </w:style>
  <w:style w:type="paragraph" w:customStyle="1" w:styleId="HWLELvl5">
    <w:name w:val="HWLE Lvl 5"/>
    <w:basedOn w:val="Normal"/>
    <w:qFormat/>
    <w:rsid w:val="00671B91"/>
    <w:pPr>
      <w:numPr>
        <w:ilvl w:val="4"/>
        <w:numId w:val="40"/>
      </w:numPr>
      <w:spacing w:before="240" w:after="240"/>
      <w:jc w:val="left"/>
      <w:outlineLvl w:val="4"/>
    </w:pPr>
    <w:rPr>
      <w:rFonts w:eastAsia="Times New Roman"/>
      <w:szCs w:val="24"/>
      <w:lang w:eastAsia="en-AU"/>
    </w:rPr>
  </w:style>
  <w:style w:type="paragraph" w:customStyle="1" w:styleId="HWLELvl6">
    <w:name w:val="HWLE Lvl 6"/>
    <w:basedOn w:val="Normal"/>
    <w:qFormat/>
    <w:rsid w:val="00671B91"/>
    <w:pPr>
      <w:numPr>
        <w:ilvl w:val="5"/>
        <w:numId w:val="40"/>
      </w:numPr>
      <w:spacing w:before="240" w:after="240" w:line="240" w:lineRule="auto"/>
      <w:jc w:val="left"/>
      <w:outlineLvl w:val="5"/>
    </w:pPr>
    <w:rPr>
      <w:rFonts w:eastAsia="Times New Roman"/>
      <w:szCs w:val="24"/>
      <w:lang w:eastAsia="en-AU"/>
    </w:rPr>
  </w:style>
  <w:style w:type="character" w:customStyle="1" w:styleId="HWLELvl1Char">
    <w:name w:val="HWLE Lvl 1 Char"/>
    <w:basedOn w:val="DefaultParagraphFont"/>
    <w:link w:val="HWLELvl1"/>
    <w:locked/>
    <w:rsid w:val="009F2894"/>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90293">
      <w:bodyDiv w:val="1"/>
      <w:marLeft w:val="0"/>
      <w:marRight w:val="0"/>
      <w:marTop w:val="0"/>
      <w:marBottom w:val="0"/>
      <w:divBdr>
        <w:top w:val="none" w:sz="0" w:space="0" w:color="auto"/>
        <w:left w:val="none" w:sz="0" w:space="0" w:color="auto"/>
        <w:bottom w:val="none" w:sz="0" w:space="0" w:color="auto"/>
        <w:right w:val="none" w:sz="0" w:space="0" w:color="auto"/>
      </w:divBdr>
    </w:div>
    <w:div w:id="1643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hyperlink" Target="https://www.geelongadvertiser.com.au/news/national/annette-sharp-lawyer-chris-murphy-and-artist-agnes-bruck-call-it-quits/news-story/5b1db1cba518efbdc5fe4820177b1a78" TargetMode="External"/><Relationship Id="rId3" Type="http://schemas.openxmlformats.org/officeDocument/2006/relationships/numbering" Target="numbering.xml"/><Relationship Id="rId21" Type="http://schemas.openxmlformats.org/officeDocument/2006/relationships/hyperlink" Target="https://www.heraldsun.com.au/news/annette-sharp-lawyer-chris-murphy-and-artist-agnes-bruck-call-it-quits/news-story/5b1db1cba518efbdc5fe4820177b1a7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www.townsvillebulletin.com.au/news/national/annette-sharp-lawyer-chris-murphy-and-artist-agnes-bruck-call-it-quits/news-story/5b1db1cba518efbdc5fe4820177b1a78"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ouriermail.com.au/news/annette-sharp-lawyer-chris-murphy-and-artist-agnes-bruck-call-it-quits/news-story/5b1db1cba518efbdc5fe4820177b1a7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cairnspost.com.au/news/national/annette-sharp-lawyer-chris-murphy-and-artist-agnes-bruck-call-it-quits/news-story/5b1db1cba518efbdc5fe4820177b1a7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themercury.com.au/news/national/annette-sharp-lawyer-chris-murphy-and-artist-agnes-bruck-call-it-quits/news-story/5b1db1cba518efbdc5fe4820177b1a78"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dailytelegraph.com.au/news/annette-sharp-lawyer-chris-murphy-and-artist-agnes-bruck-call-it-quits/news-story/5b1db1cba518efbdc5fe4820177b1a78"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https://www.adelaidenow.com.au/news/national/annette-sharp-lawyer-chris-murphy-and-artist-agnes-bruck-call-it-quits/news-story/5b1db1cba518efbdc5fe4820177b1a78" TargetMode="External"/><Relationship Id="rId27" Type="http://schemas.openxmlformats.org/officeDocument/2006/relationships/header" Target="header3.xm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8047EA2BD4DACB1FF3195C553249C"/>
        <w:category>
          <w:name w:val="General"/>
          <w:gallery w:val="placeholder"/>
        </w:category>
        <w:types>
          <w:type w:val="bbPlcHdr"/>
        </w:types>
        <w:behaviors>
          <w:behavior w:val="content"/>
        </w:behaviors>
        <w:guid w:val="{304A6B9B-55B1-427E-BB0A-3B259B1E4DD0}"/>
      </w:docPartPr>
      <w:docPartBody>
        <w:p w:rsidR="00B11235" w:rsidRDefault="00B11235">
          <w:pPr>
            <w:pStyle w:val="F0D8047EA2BD4DACB1FF3195C553249C"/>
          </w:pPr>
          <w:r>
            <w:rPr>
              <w:rStyle w:val="PlaceholderText"/>
            </w:rPr>
            <w:t>MNC Text</w:t>
          </w:r>
        </w:p>
      </w:docPartBody>
    </w:docPart>
    <w:docPart>
      <w:docPartPr>
        <w:name w:val="302B88F29B8346A89E5C4EFCF7532428"/>
        <w:category>
          <w:name w:val="General"/>
          <w:gallery w:val="placeholder"/>
        </w:category>
        <w:types>
          <w:type w:val="bbPlcHdr"/>
        </w:types>
        <w:behaviors>
          <w:behavior w:val="content"/>
        </w:behaviors>
        <w:guid w:val="{B7D84DD8-B34C-4774-A166-CDFA6BE7B671}"/>
      </w:docPartPr>
      <w:docPartBody>
        <w:p w:rsidR="00B11235" w:rsidRDefault="00B11235">
          <w:pPr>
            <w:pStyle w:val="302B88F29B8346A89E5C4EFCF7532428"/>
          </w:pPr>
          <w:r w:rsidRPr="005C44BE">
            <w:rPr>
              <w:rStyle w:val="PlaceholderText"/>
            </w:rPr>
            <w:t>Click or tap here to enter text.</w:t>
          </w:r>
        </w:p>
      </w:docPartBody>
    </w:docPart>
    <w:docPart>
      <w:docPartPr>
        <w:name w:val="81FDB5C2BDD14DECA54C6B218F4A7575"/>
        <w:category>
          <w:name w:val="General"/>
          <w:gallery w:val="placeholder"/>
        </w:category>
        <w:types>
          <w:type w:val="bbPlcHdr"/>
        </w:types>
        <w:behaviors>
          <w:behavior w:val="content"/>
        </w:behaviors>
        <w:guid w:val="{055389FB-11B7-435A-A3E1-FC7080BD380C}"/>
      </w:docPartPr>
      <w:docPartBody>
        <w:p w:rsidR="00B11235" w:rsidRDefault="00B11235">
          <w:pPr>
            <w:pStyle w:val="81FDB5C2BDD14DECA54C6B218F4A7575"/>
          </w:pPr>
          <w:r w:rsidRPr="005C44BE">
            <w:rPr>
              <w:rStyle w:val="PlaceholderText"/>
            </w:rPr>
            <w:t>Click or tap here to enter text.</w:t>
          </w:r>
        </w:p>
      </w:docPartBody>
    </w:docPart>
    <w:docPart>
      <w:docPartPr>
        <w:name w:val="8990B6223A99480288A61EFCE7325161"/>
        <w:category>
          <w:name w:val="General"/>
          <w:gallery w:val="placeholder"/>
        </w:category>
        <w:types>
          <w:type w:val="bbPlcHdr"/>
        </w:types>
        <w:behaviors>
          <w:behavior w:val="content"/>
        </w:behaviors>
        <w:guid w:val="{7A5FDDC8-4EAD-4E47-8E92-18238B9AF1D0}"/>
      </w:docPartPr>
      <w:docPartBody>
        <w:p w:rsidR="00B11235" w:rsidRDefault="00B11235">
          <w:pPr>
            <w:pStyle w:val="8990B6223A99480288A61EFCE7325161"/>
          </w:pPr>
          <w:r w:rsidRPr="005C44BE">
            <w:rPr>
              <w:rStyle w:val="PlaceholderText"/>
            </w:rPr>
            <w:t>Click or tap here to enter text.</w:t>
          </w:r>
        </w:p>
      </w:docPartBody>
    </w:docPart>
    <w:docPart>
      <w:docPartPr>
        <w:name w:val="374CEFBE0D9149A1A19F4DEB20BDBC3B"/>
        <w:category>
          <w:name w:val="General"/>
          <w:gallery w:val="placeholder"/>
        </w:category>
        <w:types>
          <w:type w:val="bbPlcHdr"/>
        </w:types>
        <w:behaviors>
          <w:behavior w:val="content"/>
        </w:behaviors>
        <w:guid w:val="{B7E158B6-3890-450F-AB91-EE9CFBC6FD5D}"/>
      </w:docPartPr>
      <w:docPartBody>
        <w:p w:rsidR="00B11235" w:rsidRDefault="00B11235">
          <w:pPr>
            <w:pStyle w:val="374CEFBE0D9149A1A19F4DEB20BDBC3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35"/>
    <w:rsid w:val="00155BD7"/>
    <w:rsid w:val="00212753"/>
    <w:rsid w:val="0022764A"/>
    <w:rsid w:val="002E4516"/>
    <w:rsid w:val="004554C3"/>
    <w:rsid w:val="004B762A"/>
    <w:rsid w:val="004C42D3"/>
    <w:rsid w:val="00531B7C"/>
    <w:rsid w:val="006D4704"/>
    <w:rsid w:val="00903693"/>
    <w:rsid w:val="00911456"/>
    <w:rsid w:val="009D2FC6"/>
    <w:rsid w:val="00A75BAE"/>
    <w:rsid w:val="00A81E8F"/>
    <w:rsid w:val="00B11235"/>
    <w:rsid w:val="00B52E01"/>
    <w:rsid w:val="00B65C80"/>
    <w:rsid w:val="00B71B3D"/>
    <w:rsid w:val="00B930DF"/>
    <w:rsid w:val="00C06788"/>
    <w:rsid w:val="00C50D1C"/>
    <w:rsid w:val="00C627F5"/>
    <w:rsid w:val="00CD1240"/>
    <w:rsid w:val="00D92AB1"/>
    <w:rsid w:val="00F404D4"/>
    <w:rsid w:val="00F81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D8047EA2BD4DACB1FF3195C553249C">
    <w:name w:val="F0D8047EA2BD4DACB1FF3195C553249C"/>
  </w:style>
  <w:style w:type="paragraph" w:customStyle="1" w:styleId="302B88F29B8346A89E5C4EFCF7532428">
    <w:name w:val="302B88F29B8346A89E5C4EFCF7532428"/>
  </w:style>
  <w:style w:type="paragraph" w:customStyle="1" w:styleId="81FDB5C2BDD14DECA54C6B218F4A7575">
    <w:name w:val="81FDB5C2BDD14DECA54C6B218F4A7575"/>
  </w:style>
  <w:style w:type="paragraph" w:customStyle="1" w:styleId="8990B6223A99480288A61EFCE7325161">
    <w:name w:val="8990B6223A99480288A61EFCE7325161"/>
  </w:style>
  <w:style w:type="paragraph" w:customStyle="1" w:styleId="374CEFBE0D9149A1A19F4DEB20BDBC3B">
    <w:name w:val="374CEFBE0D9149A1A19F4DEB20BDB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Murphy v Nationwide News Pty Ltd [2021] FCA 381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AD6A746-32D8-4283-9DB1-B67235AA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10</TotalTime>
  <Pages>43</Pages>
  <Words>15129</Words>
  <Characters>76100</Characters>
  <Application>Microsoft Office Word</Application>
  <DocSecurity>0</DocSecurity>
  <Lines>1553</Lines>
  <Paragraphs>549</Paragraphs>
  <ScaleCrop>false</ScaleCrop>
  <HeadingPairs>
    <vt:vector size="2" baseType="variant">
      <vt:variant>
        <vt:lpstr>Title</vt:lpstr>
      </vt:variant>
      <vt:variant>
        <vt:i4>1</vt:i4>
      </vt:variant>
    </vt:vector>
  </HeadingPairs>
  <TitlesOfParts>
    <vt:vector size="1" baseType="lpstr">
      <vt:lpstr>Murphy v Nationwide News Pty Ltd [2021] FCA 381 </vt:lpstr>
    </vt:vector>
  </TitlesOfParts>
  <Company>Federal Court of Australia</Company>
  <LinksUpToDate>false</LinksUpToDate>
  <CharactersWithSpaces>90680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Murphy v Nationwide News Pty Ltd [2021] FCA 381</dc:title>
  <dc:creator>Sona Muradyan</dc:creator>
  <cp:lastModifiedBy>Federal Court of Australia</cp:lastModifiedBy>
  <cp:revision>12</cp:revision>
  <cp:lastPrinted>2021-04-18T22:57:00Z</cp:lastPrinted>
  <dcterms:created xsi:type="dcterms:W3CDTF">2021-04-19T00:52:00Z</dcterms:created>
  <dcterms:modified xsi:type="dcterms:W3CDTF">2021-04-19T23:33:00Z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