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695CA5" w:rsidP="00A22932">
      <w:pPr>
        <w:pStyle w:val="CourtTitle"/>
      </w:pPr>
      <w:r>
        <w:fldChar w:fldCharType="begin" w:fldLock="1"/>
      </w:r>
      <w:r>
        <w:instrText xml:space="preserve"> DOCPROPERTY  Court  \* MERGEFORMAT </w:instrText>
      </w:r>
      <w:r>
        <w:fldChar w:fldCharType="separate"/>
      </w:r>
      <w:r w:rsidR="00C34864">
        <w:t>Federal Court of Australia</w:t>
      </w:r>
      <w:r>
        <w:fldChar w:fldCharType="end"/>
      </w:r>
    </w:p>
    <w:p w:rsidR="00395B24" w:rsidRDefault="00395B24">
      <w:pPr>
        <w:pStyle w:val="NormalHeadings"/>
        <w:jc w:val="center"/>
        <w:rPr>
          <w:sz w:val="32"/>
        </w:rPr>
      </w:pPr>
    </w:p>
    <w:bookmarkStart w:id="0" w:name="MNC"/>
    <w:p w:rsidR="00374CC4" w:rsidRDefault="000E21C6" w:rsidP="001A2B40">
      <w:pPr>
        <w:pStyle w:val="MNC"/>
      </w:pPr>
      <w:sdt>
        <w:sdtPr>
          <w:rPr>
            <w:bCs/>
          </w:rPr>
          <w:alias w:val="MNC"/>
          <w:tag w:val="MNC"/>
          <w:id w:val="343289786"/>
          <w:lock w:val="sdtLocked"/>
          <w:placeholder>
            <w:docPart w:val="C20230E5F3C4466CA869CAB48AD3A4C4"/>
          </w:placeholder>
          <w:dataBinding w:prefixMappings="xmlns:ns0='http://schemas.globalmacros.com/FCA'" w:xpath="/ns0:root[1]/ns0:Name[1]" w:storeItemID="{687E7CCB-4AA5-44E7-B148-17BA2B6F57C0}"/>
          <w:text w:multiLine="1"/>
        </w:sdtPr>
        <w:sdtEndPr/>
        <w:sdtContent>
          <w:r w:rsidR="00B57D94" w:rsidRPr="00B57D94">
            <w:rPr>
              <w:bCs/>
            </w:rPr>
            <w:t xml:space="preserve"> DSL16 v Minister for Immigration, Citizenship, Migrant Services and Multicultural Affairs [2020] FCA 1141  </w:t>
          </w:r>
        </w:sdtContent>
      </w:sdt>
      <w:bookmarkEnd w:id="0"/>
      <w:r w:rsidR="005C185C">
        <w:t xml:space="preserve"> </w:t>
      </w:r>
    </w:p>
    <w:tbl>
      <w:tblPr>
        <w:tblW w:w="9038" w:type="dxa"/>
        <w:tblLayout w:type="fixed"/>
        <w:tblLook w:val="01E0" w:firstRow="1" w:lastRow="1" w:firstColumn="1" w:lastColumn="1" w:noHBand="0" w:noVBand="0"/>
        <w:tblCaption w:val="Cover Table"/>
        <w:tblDescription w:val="Cover Table"/>
      </w:tblPr>
      <w:tblGrid>
        <w:gridCol w:w="3084"/>
        <w:gridCol w:w="5954"/>
      </w:tblGrid>
      <w:tr w:rsidR="00647A42" w:rsidTr="00663878">
        <w:tc>
          <w:tcPr>
            <w:tcW w:w="3084" w:type="dxa"/>
            <w:shd w:val="clear" w:color="auto" w:fill="auto"/>
          </w:tcPr>
          <w:p w:rsidR="00647A42" w:rsidRDefault="00647A42" w:rsidP="00647A42">
            <w:pPr>
              <w:pStyle w:val="Normal1linespace"/>
              <w:widowControl w:val="0"/>
              <w:spacing w:after="60"/>
              <w:jc w:val="left"/>
            </w:pPr>
            <w:bookmarkStart w:id="1" w:name="AppealFrom_row" w:colFirst="0" w:colLast="1"/>
            <w:r>
              <w:t>Appeal from:</w:t>
            </w:r>
          </w:p>
        </w:tc>
        <w:tc>
          <w:tcPr>
            <w:tcW w:w="5954" w:type="dxa"/>
            <w:shd w:val="clear" w:color="auto" w:fill="auto"/>
          </w:tcPr>
          <w:p w:rsidR="00647A42" w:rsidRDefault="002A1B3C" w:rsidP="00647A42">
            <w:pPr>
              <w:pStyle w:val="CasesLegislationAppealFrom"/>
              <w:spacing w:after="60"/>
            </w:pPr>
            <w:fldSimple w:instr=" DOCPROPERTY  AppealFrom  \* MERGEFORMAT " w:fldLock="1">
              <w:r w:rsidR="00647A42" w:rsidRPr="00352C26">
                <w:rPr>
                  <w:i/>
                </w:rPr>
                <w:t>DSL16 v Minister for Immigration</w:t>
              </w:r>
              <w:r w:rsidR="00647A42">
                <w:t xml:space="preserve"> [2019] FCCA 3207</w:t>
              </w:r>
            </w:fldSimple>
          </w:p>
        </w:tc>
      </w:tr>
      <w:tr w:rsidR="00647A42" w:rsidTr="00663878">
        <w:tc>
          <w:tcPr>
            <w:tcW w:w="3084" w:type="dxa"/>
            <w:shd w:val="clear" w:color="auto" w:fill="auto"/>
          </w:tcPr>
          <w:p w:rsidR="00647A42" w:rsidRDefault="00647A42" w:rsidP="00647A42">
            <w:pPr>
              <w:pStyle w:val="Normal1linespace"/>
              <w:widowControl w:val="0"/>
              <w:jc w:val="left"/>
            </w:pPr>
          </w:p>
        </w:tc>
        <w:tc>
          <w:tcPr>
            <w:tcW w:w="5954" w:type="dxa"/>
            <w:shd w:val="clear" w:color="auto" w:fill="auto"/>
          </w:tcPr>
          <w:p w:rsidR="00647A42" w:rsidRDefault="00647A42" w:rsidP="00647A42">
            <w:pPr>
              <w:pStyle w:val="Normal1linespace"/>
              <w:widowControl w:val="0"/>
              <w:jc w:val="left"/>
            </w:pPr>
          </w:p>
        </w:tc>
      </w:tr>
      <w:bookmarkEnd w:id="1"/>
      <w:tr w:rsidR="00647A42" w:rsidTr="00663878">
        <w:tc>
          <w:tcPr>
            <w:tcW w:w="3084" w:type="dxa"/>
            <w:shd w:val="clear" w:color="auto" w:fill="auto"/>
          </w:tcPr>
          <w:p w:rsidR="00647A42" w:rsidRDefault="00647A42" w:rsidP="00647A42">
            <w:pPr>
              <w:pStyle w:val="Normal1linespace"/>
              <w:widowControl w:val="0"/>
              <w:jc w:val="left"/>
            </w:pPr>
            <w:r>
              <w:t>File number:</w:t>
            </w:r>
          </w:p>
        </w:tc>
        <w:tc>
          <w:tcPr>
            <w:tcW w:w="5954" w:type="dxa"/>
            <w:shd w:val="clear" w:color="auto" w:fill="auto"/>
          </w:tcPr>
          <w:p w:rsidR="00647A42" w:rsidRPr="00C34864" w:rsidRDefault="000E21C6" w:rsidP="00647A42">
            <w:pPr>
              <w:pStyle w:val="Normal1linespace"/>
              <w:jc w:val="left"/>
            </w:pPr>
            <w:r>
              <w:fldChar w:fldCharType="begin" w:fldLock="1"/>
            </w:r>
            <w:r>
              <w:instrText xml:space="preserve"> REF  FileNo  \* MERGEFORMAT </w:instrText>
            </w:r>
            <w:r>
              <w:fldChar w:fldCharType="separate"/>
            </w:r>
            <w:r w:rsidR="00647A42" w:rsidRPr="00C34864">
              <w:t>NSD</w:t>
            </w:r>
            <w:r w:rsidR="00711E0E">
              <w:t xml:space="preserve"> </w:t>
            </w:r>
            <w:r w:rsidR="00647A42" w:rsidRPr="00C34864">
              <w:t>1907</w:t>
            </w:r>
            <w:r w:rsidR="00711E0E">
              <w:t xml:space="preserve"> of </w:t>
            </w:r>
            <w:r w:rsidR="00647A42" w:rsidRPr="00C34864">
              <w:t>2019</w:t>
            </w:r>
            <w:r>
              <w:fldChar w:fldCharType="end"/>
            </w:r>
          </w:p>
        </w:tc>
      </w:tr>
      <w:tr w:rsidR="00647A42" w:rsidTr="00663878">
        <w:tc>
          <w:tcPr>
            <w:tcW w:w="3084" w:type="dxa"/>
            <w:shd w:val="clear" w:color="auto" w:fill="auto"/>
          </w:tcPr>
          <w:p w:rsidR="00647A42" w:rsidRDefault="00647A42" w:rsidP="00647A42">
            <w:pPr>
              <w:pStyle w:val="Normal1linespace"/>
              <w:widowControl w:val="0"/>
              <w:jc w:val="left"/>
            </w:pPr>
          </w:p>
        </w:tc>
        <w:tc>
          <w:tcPr>
            <w:tcW w:w="5954" w:type="dxa"/>
            <w:shd w:val="clear" w:color="auto" w:fill="auto"/>
          </w:tcPr>
          <w:p w:rsidR="00647A42" w:rsidRDefault="00647A42" w:rsidP="00647A42">
            <w:pPr>
              <w:pStyle w:val="Normal1linespace"/>
              <w:widowControl w:val="0"/>
              <w:jc w:val="left"/>
            </w:pPr>
          </w:p>
        </w:tc>
      </w:tr>
      <w:tr w:rsidR="00647A42" w:rsidTr="00663878">
        <w:tc>
          <w:tcPr>
            <w:tcW w:w="3084" w:type="dxa"/>
            <w:shd w:val="clear" w:color="auto" w:fill="auto"/>
          </w:tcPr>
          <w:p w:rsidR="00647A42" w:rsidRDefault="00647A42" w:rsidP="00647A42">
            <w:pPr>
              <w:pStyle w:val="Normal1linespace"/>
              <w:widowControl w:val="0"/>
              <w:jc w:val="left"/>
            </w:pPr>
            <w:r>
              <w:t>Judgment of:</w:t>
            </w:r>
          </w:p>
        </w:tc>
        <w:tc>
          <w:tcPr>
            <w:tcW w:w="5954" w:type="dxa"/>
            <w:shd w:val="clear" w:color="auto" w:fill="auto"/>
          </w:tcPr>
          <w:p w:rsidR="00647A42" w:rsidRDefault="00647A42" w:rsidP="00647A42">
            <w:pPr>
              <w:pStyle w:val="Normal1linespace"/>
              <w:widowControl w:val="0"/>
              <w:jc w:val="left"/>
              <w:rPr>
                <w:b/>
              </w:rPr>
            </w:pPr>
            <w:r w:rsidRPr="00C34864">
              <w:rPr>
                <w:b/>
              </w:rPr>
              <w:fldChar w:fldCharType="begin" w:fldLock="1"/>
            </w:r>
            <w:r w:rsidRPr="00C34864">
              <w:rPr>
                <w:b/>
              </w:rPr>
              <w:instrText xml:space="preserve"> REF  Judge  \* MERGEFORMAT </w:instrText>
            </w:r>
            <w:r w:rsidRPr="00C34864">
              <w:rPr>
                <w:b/>
              </w:rPr>
              <w:fldChar w:fldCharType="separate"/>
            </w:r>
            <w:r w:rsidRPr="00C34864">
              <w:rPr>
                <w:b/>
                <w:caps/>
                <w:szCs w:val="24"/>
              </w:rPr>
              <w:t>LEE J</w:t>
            </w:r>
            <w:r w:rsidRPr="00C34864">
              <w:rPr>
                <w:b/>
              </w:rPr>
              <w:fldChar w:fldCharType="end"/>
            </w:r>
          </w:p>
        </w:tc>
      </w:tr>
      <w:tr w:rsidR="00647A42" w:rsidTr="00663878">
        <w:tc>
          <w:tcPr>
            <w:tcW w:w="3084" w:type="dxa"/>
            <w:shd w:val="clear" w:color="auto" w:fill="auto"/>
          </w:tcPr>
          <w:p w:rsidR="00647A42" w:rsidRDefault="00647A42" w:rsidP="00647A42">
            <w:pPr>
              <w:pStyle w:val="Normal1linespace"/>
              <w:widowControl w:val="0"/>
              <w:jc w:val="left"/>
            </w:pPr>
          </w:p>
        </w:tc>
        <w:tc>
          <w:tcPr>
            <w:tcW w:w="5954" w:type="dxa"/>
            <w:shd w:val="clear" w:color="auto" w:fill="auto"/>
          </w:tcPr>
          <w:p w:rsidR="00647A42" w:rsidRDefault="00647A42" w:rsidP="00647A42">
            <w:pPr>
              <w:pStyle w:val="Normal1linespace"/>
              <w:widowControl w:val="0"/>
              <w:jc w:val="left"/>
            </w:pPr>
          </w:p>
        </w:tc>
      </w:tr>
      <w:tr w:rsidR="00647A42" w:rsidTr="00663878">
        <w:tc>
          <w:tcPr>
            <w:tcW w:w="3084" w:type="dxa"/>
            <w:shd w:val="clear" w:color="auto" w:fill="auto"/>
          </w:tcPr>
          <w:p w:rsidR="00647A42" w:rsidRDefault="00647A42" w:rsidP="00647A42">
            <w:pPr>
              <w:pStyle w:val="Normal1linespace"/>
              <w:widowControl w:val="0"/>
              <w:jc w:val="left"/>
            </w:pPr>
            <w:r>
              <w:t>Date of judgment:</w:t>
            </w:r>
          </w:p>
        </w:tc>
        <w:tc>
          <w:tcPr>
            <w:tcW w:w="5954" w:type="dxa"/>
            <w:shd w:val="clear" w:color="auto" w:fill="auto"/>
          </w:tcPr>
          <w:p w:rsidR="00647A42" w:rsidRDefault="00AB1C1D" w:rsidP="00647A42">
            <w:pPr>
              <w:pStyle w:val="Normal1linespace"/>
              <w:widowControl w:val="0"/>
              <w:jc w:val="left"/>
            </w:pPr>
            <w:r>
              <w:t>11 August 2020</w:t>
            </w:r>
          </w:p>
        </w:tc>
      </w:tr>
      <w:tr w:rsidR="00647A42" w:rsidTr="00663878">
        <w:tc>
          <w:tcPr>
            <w:tcW w:w="3084" w:type="dxa"/>
            <w:shd w:val="clear" w:color="auto" w:fill="auto"/>
          </w:tcPr>
          <w:p w:rsidR="00647A42" w:rsidRDefault="00647A42" w:rsidP="00647A42">
            <w:pPr>
              <w:pStyle w:val="Normal1linespace"/>
              <w:widowControl w:val="0"/>
              <w:jc w:val="left"/>
            </w:pPr>
          </w:p>
        </w:tc>
        <w:tc>
          <w:tcPr>
            <w:tcW w:w="5954" w:type="dxa"/>
            <w:shd w:val="clear" w:color="auto" w:fill="auto"/>
          </w:tcPr>
          <w:p w:rsidR="00647A42" w:rsidRDefault="00647A42" w:rsidP="00647A42">
            <w:pPr>
              <w:pStyle w:val="Normal1linespace"/>
              <w:widowControl w:val="0"/>
              <w:jc w:val="left"/>
            </w:pPr>
          </w:p>
        </w:tc>
      </w:tr>
      <w:tr w:rsidR="00647A42" w:rsidTr="00663878">
        <w:tc>
          <w:tcPr>
            <w:tcW w:w="3084" w:type="dxa"/>
            <w:shd w:val="clear" w:color="auto" w:fill="auto"/>
          </w:tcPr>
          <w:p w:rsidR="00647A42" w:rsidRDefault="00647A42" w:rsidP="00647A42">
            <w:pPr>
              <w:pStyle w:val="Normal1linespace"/>
              <w:widowControl w:val="0"/>
              <w:jc w:val="left"/>
            </w:pPr>
            <w:r>
              <w:t>Catchwords:</w:t>
            </w:r>
          </w:p>
        </w:tc>
        <w:tc>
          <w:tcPr>
            <w:tcW w:w="5954" w:type="dxa"/>
            <w:shd w:val="clear" w:color="auto" w:fill="auto"/>
          </w:tcPr>
          <w:p w:rsidR="00647A42" w:rsidRDefault="00647A42" w:rsidP="00647A42">
            <w:pPr>
              <w:pStyle w:val="Normal1linespace"/>
              <w:widowControl w:val="0"/>
              <w:jc w:val="left"/>
            </w:pPr>
            <w:r w:rsidRPr="00B94B41">
              <w:rPr>
                <w:b/>
              </w:rPr>
              <w:t>MIGRATION</w:t>
            </w:r>
            <w:r>
              <w:t xml:space="preserve"> – application for temporary protection visa – appellant claiming fear of harm in Malaysia based on his Chinese ethnicity – adverse credibility findings – ample opportunity to supplement facts in application – no bias – Tribunal reasoning did not lack</w:t>
            </w:r>
            <w:r w:rsidRPr="00184CCB">
              <w:t xml:space="preserve"> an evident and</w:t>
            </w:r>
            <w:r>
              <w:t xml:space="preserve"> intelligible justification – appeal dismissed</w:t>
            </w:r>
          </w:p>
        </w:tc>
      </w:tr>
      <w:tr w:rsidR="00647A42" w:rsidTr="00663878">
        <w:tc>
          <w:tcPr>
            <w:tcW w:w="3084" w:type="dxa"/>
            <w:shd w:val="clear" w:color="auto" w:fill="auto"/>
          </w:tcPr>
          <w:p w:rsidR="00647A42" w:rsidRDefault="00647A42" w:rsidP="00647A42">
            <w:pPr>
              <w:pStyle w:val="Normal1linespace"/>
              <w:widowControl w:val="0"/>
              <w:jc w:val="left"/>
            </w:pPr>
          </w:p>
        </w:tc>
        <w:tc>
          <w:tcPr>
            <w:tcW w:w="5954" w:type="dxa"/>
            <w:shd w:val="clear" w:color="auto" w:fill="auto"/>
          </w:tcPr>
          <w:p w:rsidR="00647A42" w:rsidRDefault="00647A42" w:rsidP="00647A42">
            <w:pPr>
              <w:pStyle w:val="Normal1linespace"/>
              <w:widowControl w:val="0"/>
              <w:jc w:val="left"/>
            </w:pPr>
          </w:p>
        </w:tc>
      </w:tr>
      <w:tr w:rsidR="00647A42" w:rsidTr="00663878">
        <w:tc>
          <w:tcPr>
            <w:tcW w:w="3084" w:type="dxa"/>
            <w:shd w:val="clear" w:color="auto" w:fill="auto"/>
          </w:tcPr>
          <w:p w:rsidR="00647A42" w:rsidRDefault="00647A42" w:rsidP="00647A42">
            <w:pPr>
              <w:pStyle w:val="Normal1linespace"/>
              <w:widowControl w:val="0"/>
              <w:jc w:val="left"/>
            </w:pPr>
            <w:r>
              <w:t>Legislation:</w:t>
            </w:r>
          </w:p>
        </w:tc>
        <w:tc>
          <w:tcPr>
            <w:tcW w:w="5954" w:type="dxa"/>
            <w:shd w:val="clear" w:color="auto" w:fill="auto"/>
          </w:tcPr>
          <w:p w:rsidR="00647A42" w:rsidRDefault="00D37175" w:rsidP="00647A42">
            <w:pPr>
              <w:pStyle w:val="CasesLegislationAppealFrom"/>
              <w:spacing w:after="60"/>
            </w:pPr>
            <w:bookmarkStart w:id="2" w:name="Legislation"/>
            <w:r w:rsidRPr="001432FD">
              <w:rPr>
                <w:i/>
                <w:szCs w:val="24"/>
              </w:rPr>
              <w:t>M</w:t>
            </w:r>
            <w:r>
              <w:rPr>
                <w:i/>
                <w:szCs w:val="24"/>
              </w:rPr>
              <w:t xml:space="preserve">igration Act 1958 </w:t>
            </w:r>
            <w:r w:rsidRPr="001432FD">
              <w:rPr>
                <w:szCs w:val="24"/>
              </w:rPr>
              <w:t>(</w:t>
            </w:r>
            <w:proofErr w:type="spellStart"/>
            <w:r w:rsidRPr="001432FD">
              <w:rPr>
                <w:szCs w:val="24"/>
              </w:rPr>
              <w:t>Cth</w:t>
            </w:r>
            <w:proofErr w:type="spellEnd"/>
            <w:r w:rsidRPr="001432FD">
              <w:rPr>
                <w:szCs w:val="24"/>
              </w:rPr>
              <w:t>)</w:t>
            </w:r>
            <w:r>
              <w:rPr>
                <w:szCs w:val="24"/>
              </w:rPr>
              <w:t xml:space="preserve"> s 425</w:t>
            </w:r>
            <w:r w:rsidR="00647A42">
              <w:t xml:space="preserve">  </w:t>
            </w:r>
            <w:bookmarkEnd w:id="2"/>
          </w:p>
        </w:tc>
      </w:tr>
      <w:tr w:rsidR="00647A42" w:rsidTr="00663878">
        <w:tc>
          <w:tcPr>
            <w:tcW w:w="3084" w:type="dxa"/>
            <w:shd w:val="clear" w:color="auto" w:fill="auto"/>
          </w:tcPr>
          <w:p w:rsidR="00647A42" w:rsidRDefault="00647A42" w:rsidP="00647A42">
            <w:pPr>
              <w:pStyle w:val="Normal1linespace"/>
              <w:widowControl w:val="0"/>
              <w:jc w:val="left"/>
            </w:pPr>
          </w:p>
        </w:tc>
        <w:tc>
          <w:tcPr>
            <w:tcW w:w="5954" w:type="dxa"/>
            <w:shd w:val="clear" w:color="auto" w:fill="auto"/>
          </w:tcPr>
          <w:p w:rsidR="00647A42" w:rsidRDefault="00647A42" w:rsidP="00647A42">
            <w:pPr>
              <w:pStyle w:val="Normal1linespace"/>
              <w:widowControl w:val="0"/>
              <w:jc w:val="left"/>
            </w:pPr>
          </w:p>
        </w:tc>
      </w:tr>
      <w:tr w:rsidR="00647A42" w:rsidTr="00663878">
        <w:tc>
          <w:tcPr>
            <w:tcW w:w="3084" w:type="dxa"/>
            <w:shd w:val="clear" w:color="auto" w:fill="auto"/>
          </w:tcPr>
          <w:p w:rsidR="00647A42" w:rsidRDefault="00647A42" w:rsidP="00647A42">
            <w:pPr>
              <w:pStyle w:val="Normal1linespace"/>
              <w:widowControl w:val="0"/>
              <w:jc w:val="left"/>
            </w:pPr>
            <w:r>
              <w:t>Cases cited:</w:t>
            </w:r>
          </w:p>
        </w:tc>
        <w:tc>
          <w:tcPr>
            <w:tcW w:w="5954" w:type="dxa"/>
            <w:shd w:val="clear" w:color="auto" w:fill="auto"/>
          </w:tcPr>
          <w:p w:rsidR="00D37175" w:rsidRDefault="00D37175" w:rsidP="00D37175">
            <w:pPr>
              <w:pStyle w:val="CasesLegislationAppealFrom"/>
              <w:spacing w:after="60"/>
              <w:rPr>
                <w:szCs w:val="24"/>
              </w:rPr>
            </w:pPr>
            <w:r w:rsidRPr="00020483">
              <w:rPr>
                <w:i/>
                <w:iCs/>
                <w:szCs w:val="24"/>
              </w:rPr>
              <w:t xml:space="preserve">ARG15 v Minister for Immigration and Border Protection </w:t>
            </w:r>
            <w:r>
              <w:rPr>
                <w:szCs w:val="24"/>
              </w:rPr>
              <w:t>[2016] FCAFC 174; (2016) 250 FCR 109</w:t>
            </w:r>
          </w:p>
          <w:p w:rsidR="00D37175" w:rsidRDefault="00D37175" w:rsidP="00D37175">
            <w:pPr>
              <w:pStyle w:val="CasesLegislationAppealFrom"/>
              <w:spacing w:after="60"/>
            </w:pPr>
            <w:r w:rsidRPr="000E3562">
              <w:rPr>
                <w:i/>
              </w:rPr>
              <w:t xml:space="preserve">BJB16 v Minister for Immigration and Border Protection </w:t>
            </w:r>
            <w:r w:rsidRPr="000E3562">
              <w:t xml:space="preserve">[2018] FCAFC 49; </w:t>
            </w:r>
            <w:r w:rsidRPr="000E3562">
              <w:rPr>
                <w:szCs w:val="24"/>
              </w:rPr>
              <w:t xml:space="preserve">(2018) </w:t>
            </w:r>
            <w:r w:rsidRPr="000E3562">
              <w:t xml:space="preserve">260 FCR 116 </w:t>
            </w:r>
          </w:p>
          <w:p w:rsidR="00D37175" w:rsidRDefault="00D37175" w:rsidP="00D37175">
            <w:pPr>
              <w:pStyle w:val="CasesLegislationAppealFrom"/>
              <w:spacing w:after="60"/>
            </w:pPr>
            <w:r w:rsidRPr="00020483">
              <w:rPr>
                <w:i/>
                <w:iCs/>
                <w:szCs w:val="24"/>
              </w:rPr>
              <w:t xml:space="preserve">DAO16 v Minister for Immigration and Border Protection </w:t>
            </w:r>
            <w:r>
              <w:rPr>
                <w:szCs w:val="24"/>
              </w:rPr>
              <w:t>[2018] FCAFC 2; (2018) 258 FCR 175</w:t>
            </w:r>
            <w:r>
              <w:t xml:space="preserve"> </w:t>
            </w:r>
          </w:p>
          <w:p w:rsidR="00D37175" w:rsidRDefault="00D37175" w:rsidP="00647A42">
            <w:pPr>
              <w:pStyle w:val="CasesLegislationAppealFrom"/>
              <w:spacing w:after="60"/>
            </w:pPr>
            <w:r w:rsidRPr="003231F1">
              <w:rPr>
                <w:i/>
              </w:rPr>
              <w:t>DSL16 v Minister for Immigration</w:t>
            </w:r>
            <w:r>
              <w:t xml:space="preserve"> [2020] FCCA 3207</w:t>
            </w:r>
          </w:p>
          <w:p w:rsidR="00D37175" w:rsidRDefault="00D37175" w:rsidP="00D37175">
            <w:pPr>
              <w:pStyle w:val="CasesLegislationAppealFrom"/>
              <w:spacing w:after="60"/>
            </w:pPr>
            <w:r w:rsidRPr="00F217D0">
              <w:rPr>
                <w:i/>
              </w:rPr>
              <w:t>Minister for Immigration and Border Protection v SZVFW</w:t>
            </w:r>
            <w:r w:rsidRPr="00A70D43">
              <w:t xml:space="preserve"> </w:t>
            </w:r>
            <w:r>
              <w:t xml:space="preserve">[2018] HCA 30; </w:t>
            </w:r>
            <w:r w:rsidRPr="00A70D43">
              <w:t xml:space="preserve">(2018) </w:t>
            </w:r>
            <w:r>
              <w:t>264</w:t>
            </w:r>
            <w:r w:rsidRPr="00A70D43">
              <w:t xml:space="preserve"> </w:t>
            </w:r>
            <w:r>
              <w:t>CLR 541</w:t>
            </w:r>
          </w:p>
          <w:p w:rsidR="00D37175" w:rsidRDefault="00D37175" w:rsidP="00D37175">
            <w:pPr>
              <w:pStyle w:val="CasesLegislationAppealFrom"/>
              <w:spacing w:after="60"/>
            </w:pPr>
            <w:r w:rsidRPr="00F217D0">
              <w:rPr>
                <w:rFonts w:eastAsia="Times New Roman"/>
                <w:i/>
              </w:rPr>
              <w:t xml:space="preserve">Minister for Immigration and Citizenship v Li </w:t>
            </w:r>
            <w:r w:rsidRPr="00F217D0">
              <w:rPr>
                <w:rFonts w:eastAsia="Times New Roman"/>
              </w:rPr>
              <w:t>[2013] HCA 18; (2013) 249 CLR 332</w:t>
            </w:r>
            <w:r w:rsidRPr="00A70D43">
              <w:t xml:space="preserve"> </w:t>
            </w:r>
          </w:p>
          <w:p w:rsidR="00D37175" w:rsidRDefault="00D37175" w:rsidP="00647A42">
            <w:pPr>
              <w:pStyle w:val="CasesLegislationAppealFrom"/>
              <w:spacing w:after="60"/>
              <w:rPr>
                <w:szCs w:val="24"/>
              </w:rPr>
            </w:pPr>
            <w:r w:rsidRPr="0043071B">
              <w:rPr>
                <w:i/>
                <w:iCs/>
                <w:szCs w:val="24"/>
              </w:rPr>
              <w:t xml:space="preserve">Minister for Immigration and Citizenship v SZMDS </w:t>
            </w:r>
            <w:r>
              <w:rPr>
                <w:szCs w:val="24"/>
              </w:rPr>
              <w:t xml:space="preserve">[2010] HCA 16; (2010) </w:t>
            </w:r>
            <w:r w:rsidRPr="0043071B">
              <w:rPr>
                <w:szCs w:val="24"/>
              </w:rPr>
              <w:t>240 CLR 611</w:t>
            </w:r>
          </w:p>
          <w:p w:rsidR="00D37175" w:rsidRDefault="00D37175" w:rsidP="00D37175">
            <w:pPr>
              <w:pStyle w:val="CasesLegislationAppealFrom"/>
              <w:spacing w:after="60"/>
              <w:rPr>
                <w:szCs w:val="24"/>
              </w:rPr>
            </w:pPr>
            <w:r w:rsidRPr="000E3562">
              <w:rPr>
                <w:i/>
                <w:iCs/>
                <w:szCs w:val="24"/>
              </w:rPr>
              <w:t xml:space="preserve">Minister for Immigration and Citizenship v SZNVW </w:t>
            </w:r>
            <w:r w:rsidRPr="000E3562">
              <w:rPr>
                <w:szCs w:val="24"/>
              </w:rPr>
              <w:t>(2010) 183 FCR 575; [2</w:t>
            </w:r>
            <w:r>
              <w:rPr>
                <w:szCs w:val="24"/>
              </w:rPr>
              <w:t xml:space="preserve">010] FCAFC </w:t>
            </w:r>
            <w:r w:rsidR="00920047">
              <w:rPr>
                <w:szCs w:val="24"/>
              </w:rPr>
              <w:t>41</w:t>
            </w:r>
          </w:p>
          <w:p w:rsidR="00D37175" w:rsidRDefault="00D37175" w:rsidP="00D37175">
            <w:pPr>
              <w:pStyle w:val="CasesLegislationAppealFrom"/>
              <w:spacing w:after="60"/>
              <w:rPr>
                <w:szCs w:val="24"/>
              </w:rPr>
            </w:pPr>
            <w:r w:rsidRPr="00020483">
              <w:rPr>
                <w:i/>
                <w:iCs/>
                <w:szCs w:val="24"/>
              </w:rPr>
              <w:t xml:space="preserve">Minister for Immigration and Multicultural Affairs v </w:t>
            </w:r>
            <w:proofErr w:type="spellStart"/>
            <w:r w:rsidRPr="00020483">
              <w:rPr>
                <w:i/>
                <w:iCs/>
                <w:szCs w:val="24"/>
              </w:rPr>
              <w:t>Jia</w:t>
            </w:r>
            <w:proofErr w:type="spellEnd"/>
            <w:r w:rsidRPr="00020483">
              <w:rPr>
                <w:i/>
                <w:iCs/>
                <w:szCs w:val="24"/>
              </w:rPr>
              <w:t xml:space="preserve"> </w:t>
            </w:r>
            <w:proofErr w:type="spellStart"/>
            <w:r w:rsidRPr="00020483">
              <w:rPr>
                <w:i/>
                <w:iCs/>
                <w:szCs w:val="24"/>
              </w:rPr>
              <w:t>Legeng</w:t>
            </w:r>
            <w:proofErr w:type="spellEnd"/>
            <w:r w:rsidRPr="00020483">
              <w:rPr>
                <w:i/>
                <w:iCs/>
                <w:szCs w:val="24"/>
              </w:rPr>
              <w:t xml:space="preserve"> </w:t>
            </w:r>
            <w:r>
              <w:rPr>
                <w:szCs w:val="24"/>
              </w:rPr>
              <w:t>[2001] HCA 17; (2001) 205 CLR 507</w:t>
            </w:r>
          </w:p>
          <w:p w:rsidR="00D37175" w:rsidRDefault="00D37175" w:rsidP="00D37175">
            <w:pPr>
              <w:pStyle w:val="CasesLegislationAppealFrom"/>
              <w:spacing w:after="60"/>
              <w:rPr>
                <w:szCs w:val="24"/>
              </w:rPr>
            </w:pPr>
            <w:r w:rsidRPr="000E3562">
              <w:rPr>
                <w:i/>
                <w:iCs/>
                <w:szCs w:val="24"/>
              </w:rPr>
              <w:t xml:space="preserve">Minister for Immigration and Multicultural and Indigenous Affairs v SGLB </w:t>
            </w:r>
            <w:r>
              <w:rPr>
                <w:szCs w:val="24"/>
              </w:rPr>
              <w:t>[2004] HCA 32; (2004) 78 ALJR 992</w:t>
            </w:r>
            <w:r w:rsidRPr="000E3562">
              <w:rPr>
                <w:szCs w:val="24"/>
              </w:rPr>
              <w:t xml:space="preserve"> </w:t>
            </w:r>
          </w:p>
          <w:p w:rsidR="00D37175" w:rsidRPr="00D37175" w:rsidRDefault="00D37175" w:rsidP="00D37175">
            <w:pPr>
              <w:pStyle w:val="CasesLegislationAppealFrom"/>
              <w:spacing w:after="60"/>
              <w:rPr>
                <w:szCs w:val="24"/>
              </w:rPr>
            </w:pPr>
            <w:r w:rsidRPr="00F217D0">
              <w:rPr>
                <w:i/>
              </w:rPr>
              <w:t>NAHI v Minister for Immigration &amp; Multicultural &amp; Indigenous Affairs</w:t>
            </w:r>
            <w:r>
              <w:t xml:space="preserve"> [2004] FCAFC 10</w:t>
            </w:r>
            <w:r w:rsidRPr="00020483">
              <w:rPr>
                <w:szCs w:val="24"/>
              </w:rPr>
              <w:t xml:space="preserve"> </w:t>
            </w:r>
            <w:r>
              <w:t xml:space="preserve">  </w:t>
            </w:r>
          </w:p>
          <w:p w:rsidR="00D37175" w:rsidRDefault="00D37175" w:rsidP="00D37175">
            <w:pPr>
              <w:pStyle w:val="CasesLegislationAppealFrom"/>
              <w:spacing w:after="60"/>
              <w:rPr>
                <w:szCs w:val="24"/>
              </w:rPr>
            </w:pPr>
            <w:r w:rsidRPr="00020483">
              <w:rPr>
                <w:i/>
                <w:iCs/>
                <w:szCs w:val="24"/>
              </w:rPr>
              <w:t xml:space="preserve">Randhawa v Minister for Local Government and Ethnic Affairs </w:t>
            </w:r>
            <w:r>
              <w:rPr>
                <w:szCs w:val="24"/>
              </w:rPr>
              <w:t xml:space="preserve">[1994] FCA 1253; </w:t>
            </w:r>
            <w:r w:rsidRPr="00020483">
              <w:rPr>
                <w:szCs w:val="24"/>
              </w:rPr>
              <w:t>(1994) 52 FCR 437</w:t>
            </w:r>
          </w:p>
          <w:p w:rsidR="00D37175" w:rsidRDefault="00D37175" w:rsidP="00D37175">
            <w:pPr>
              <w:pStyle w:val="CasesLegislationAppealFrom"/>
              <w:spacing w:after="60"/>
              <w:rPr>
                <w:szCs w:val="24"/>
              </w:rPr>
            </w:pPr>
            <w:r w:rsidRPr="00020483">
              <w:rPr>
                <w:i/>
                <w:iCs/>
                <w:szCs w:val="24"/>
              </w:rPr>
              <w:lastRenderedPageBreak/>
              <w:t xml:space="preserve">SCAA v Minister for Immigration </w:t>
            </w:r>
            <w:r>
              <w:rPr>
                <w:i/>
                <w:iCs/>
                <w:szCs w:val="24"/>
              </w:rPr>
              <w:t>&amp;</w:t>
            </w:r>
            <w:r w:rsidRPr="00020483">
              <w:rPr>
                <w:i/>
                <w:iCs/>
                <w:szCs w:val="24"/>
              </w:rPr>
              <w:t xml:space="preserve"> Multicultural </w:t>
            </w:r>
            <w:r>
              <w:rPr>
                <w:i/>
                <w:iCs/>
                <w:szCs w:val="24"/>
              </w:rPr>
              <w:t>&amp;</w:t>
            </w:r>
            <w:r w:rsidRPr="00020483">
              <w:rPr>
                <w:i/>
                <w:iCs/>
                <w:szCs w:val="24"/>
              </w:rPr>
              <w:t xml:space="preserve"> Indigenous Affairs </w:t>
            </w:r>
            <w:r w:rsidRPr="00020483">
              <w:rPr>
                <w:szCs w:val="24"/>
              </w:rPr>
              <w:t xml:space="preserve">[2002] FCA 668 </w:t>
            </w:r>
          </w:p>
          <w:p w:rsidR="00647A42" w:rsidRPr="00D37175" w:rsidRDefault="00D37175" w:rsidP="00D37175">
            <w:pPr>
              <w:pStyle w:val="CasesLegislationAppealFrom"/>
              <w:spacing w:after="60"/>
              <w:rPr>
                <w:szCs w:val="24"/>
              </w:rPr>
            </w:pPr>
            <w:r w:rsidRPr="000E3562">
              <w:rPr>
                <w:i/>
              </w:rPr>
              <w:t xml:space="preserve">SZMSA v Minister for Immigration </w:t>
            </w:r>
            <w:r>
              <w:rPr>
                <w:i/>
              </w:rPr>
              <w:t>&amp;</w:t>
            </w:r>
            <w:r w:rsidRPr="000E3562">
              <w:rPr>
                <w:i/>
              </w:rPr>
              <w:t xml:space="preserve"> Citizenship</w:t>
            </w:r>
            <w:r w:rsidRPr="000E3562">
              <w:t xml:space="preserve"> [2010] FCA 345</w:t>
            </w:r>
          </w:p>
        </w:tc>
      </w:tr>
      <w:tr w:rsidR="00647A42" w:rsidTr="00331C4F">
        <w:tc>
          <w:tcPr>
            <w:tcW w:w="3084" w:type="dxa"/>
            <w:shd w:val="clear" w:color="auto" w:fill="auto"/>
          </w:tcPr>
          <w:p w:rsidR="00647A42" w:rsidRDefault="00647A42" w:rsidP="00647A42">
            <w:pPr>
              <w:pStyle w:val="Normal1linespace"/>
              <w:widowControl w:val="0"/>
            </w:pPr>
          </w:p>
        </w:tc>
        <w:tc>
          <w:tcPr>
            <w:tcW w:w="5954" w:type="dxa"/>
            <w:shd w:val="clear" w:color="auto" w:fill="auto"/>
          </w:tcPr>
          <w:p w:rsidR="00647A42" w:rsidRDefault="00647A42" w:rsidP="00647A42">
            <w:pPr>
              <w:pStyle w:val="Normal1linespace"/>
              <w:widowControl w:val="0"/>
              <w:jc w:val="left"/>
            </w:pPr>
          </w:p>
        </w:tc>
      </w:tr>
      <w:tr w:rsidR="00647A42" w:rsidTr="00331C4F">
        <w:tc>
          <w:tcPr>
            <w:tcW w:w="3084" w:type="dxa"/>
            <w:shd w:val="clear" w:color="auto" w:fill="auto"/>
          </w:tcPr>
          <w:p w:rsidR="00647A42" w:rsidRDefault="00647A42" w:rsidP="00647A42">
            <w:pPr>
              <w:pStyle w:val="Normal1linespace"/>
              <w:widowControl w:val="0"/>
            </w:pPr>
            <w:r>
              <w:t>Division:</w:t>
            </w:r>
          </w:p>
        </w:tc>
        <w:tc>
          <w:tcPr>
            <w:tcW w:w="5954" w:type="dxa"/>
            <w:shd w:val="clear" w:color="auto" w:fill="auto"/>
          </w:tcPr>
          <w:p w:rsidR="00647A42" w:rsidRPr="00F17599" w:rsidRDefault="002A1B3C" w:rsidP="002A1B3C">
            <w:pPr>
              <w:pStyle w:val="Normal1linespace"/>
              <w:widowControl w:val="0"/>
              <w:jc w:val="left"/>
            </w:pPr>
            <w:fldSimple w:instr=" DOCPROPERTY  Division " w:fldLock="1">
              <w:r>
                <w:t>Genera</w:t>
              </w:r>
              <w:r w:rsidR="00647A42">
                <w:t>l Division</w:t>
              </w:r>
            </w:fldSimple>
          </w:p>
        </w:tc>
      </w:tr>
      <w:tr w:rsidR="00647A42" w:rsidTr="00331C4F">
        <w:tc>
          <w:tcPr>
            <w:tcW w:w="3084" w:type="dxa"/>
            <w:shd w:val="clear" w:color="auto" w:fill="auto"/>
          </w:tcPr>
          <w:p w:rsidR="00647A42" w:rsidRDefault="00647A42" w:rsidP="00647A42">
            <w:pPr>
              <w:pStyle w:val="Normal1linespace"/>
              <w:widowControl w:val="0"/>
            </w:pPr>
            <w:bookmarkStart w:id="3" w:name="Registry_rows" w:colFirst="0" w:colLast="1"/>
          </w:p>
        </w:tc>
        <w:tc>
          <w:tcPr>
            <w:tcW w:w="5954" w:type="dxa"/>
            <w:shd w:val="clear" w:color="auto" w:fill="auto"/>
          </w:tcPr>
          <w:p w:rsidR="00647A42" w:rsidRDefault="00647A42" w:rsidP="00647A42">
            <w:pPr>
              <w:pStyle w:val="Normal1linespace"/>
              <w:widowControl w:val="0"/>
              <w:jc w:val="left"/>
            </w:pPr>
          </w:p>
        </w:tc>
      </w:tr>
      <w:tr w:rsidR="00647A42" w:rsidTr="00331C4F">
        <w:tc>
          <w:tcPr>
            <w:tcW w:w="3084" w:type="dxa"/>
            <w:shd w:val="clear" w:color="auto" w:fill="auto"/>
          </w:tcPr>
          <w:p w:rsidR="00647A42" w:rsidRDefault="00647A42" w:rsidP="00647A42">
            <w:pPr>
              <w:pStyle w:val="Normal1linespace"/>
              <w:widowControl w:val="0"/>
            </w:pPr>
            <w:r>
              <w:t>Registry:</w:t>
            </w:r>
          </w:p>
        </w:tc>
        <w:tc>
          <w:tcPr>
            <w:tcW w:w="5954" w:type="dxa"/>
            <w:shd w:val="clear" w:color="auto" w:fill="auto"/>
          </w:tcPr>
          <w:p w:rsidR="00647A42" w:rsidRPr="00F17599" w:rsidRDefault="002A1B3C" w:rsidP="00647A42">
            <w:pPr>
              <w:pStyle w:val="Normal1linespace"/>
              <w:widowControl w:val="0"/>
              <w:jc w:val="left"/>
            </w:pPr>
            <w:fldSimple w:instr=" DOCPROPERTY  Registry " w:fldLock="1">
              <w:r w:rsidR="00647A42">
                <w:t>New South Wales</w:t>
              </w:r>
            </w:fldSimple>
          </w:p>
        </w:tc>
      </w:tr>
      <w:tr w:rsidR="00647A42" w:rsidTr="00331C4F">
        <w:tc>
          <w:tcPr>
            <w:tcW w:w="3084" w:type="dxa"/>
            <w:shd w:val="clear" w:color="auto" w:fill="auto"/>
          </w:tcPr>
          <w:p w:rsidR="00647A42" w:rsidRDefault="00647A42" w:rsidP="00647A42">
            <w:pPr>
              <w:pStyle w:val="Normal1linespace"/>
              <w:widowControl w:val="0"/>
            </w:pPr>
            <w:bookmarkStart w:id="4" w:name="NPARow" w:colFirst="0" w:colLast="1"/>
            <w:bookmarkEnd w:id="3"/>
          </w:p>
        </w:tc>
        <w:tc>
          <w:tcPr>
            <w:tcW w:w="5954" w:type="dxa"/>
            <w:shd w:val="clear" w:color="auto" w:fill="auto"/>
          </w:tcPr>
          <w:p w:rsidR="00647A42" w:rsidRPr="00F17599" w:rsidRDefault="00647A42" w:rsidP="00647A42">
            <w:pPr>
              <w:pStyle w:val="Normal1linespace"/>
              <w:widowControl w:val="0"/>
              <w:jc w:val="left"/>
              <w:rPr>
                <w:b/>
              </w:rPr>
            </w:pPr>
          </w:p>
        </w:tc>
      </w:tr>
      <w:tr w:rsidR="00647A42" w:rsidTr="00331C4F">
        <w:tc>
          <w:tcPr>
            <w:tcW w:w="3084" w:type="dxa"/>
            <w:shd w:val="clear" w:color="auto" w:fill="auto"/>
          </w:tcPr>
          <w:p w:rsidR="00647A42" w:rsidRDefault="00647A42" w:rsidP="00647A42">
            <w:pPr>
              <w:pStyle w:val="Normal1linespace"/>
              <w:widowControl w:val="0"/>
            </w:pPr>
            <w:r>
              <w:t>National Practice Area:</w:t>
            </w:r>
          </w:p>
        </w:tc>
        <w:tc>
          <w:tcPr>
            <w:tcW w:w="5954" w:type="dxa"/>
            <w:shd w:val="clear" w:color="auto" w:fill="auto"/>
          </w:tcPr>
          <w:p w:rsidR="00647A42" w:rsidRPr="00F17599" w:rsidRDefault="002A1B3C" w:rsidP="00647A42">
            <w:pPr>
              <w:pStyle w:val="Normal1linespace"/>
              <w:widowControl w:val="0"/>
              <w:jc w:val="left"/>
              <w:rPr>
                <w:b/>
              </w:rPr>
            </w:pPr>
            <w:fldSimple w:instr=" DOCPROPERTY  &quot;Practice Area&quot;  \* MERGEFORMAT " w:fldLock="1">
              <w:r w:rsidR="00647A42">
                <w:t>Administrative and Constitutional Law and Human Rights</w:t>
              </w:r>
            </w:fldSimple>
          </w:p>
        </w:tc>
      </w:tr>
      <w:bookmarkEnd w:id="4"/>
      <w:tr w:rsidR="00647A42" w:rsidTr="00331C4F">
        <w:tc>
          <w:tcPr>
            <w:tcW w:w="3084" w:type="dxa"/>
            <w:shd w:val="clear" w:color="auto" w:fill="auto"/>
          </w:tcPr>
          <w:p w:rsidR="00647A42" w:rsidRDefault="00647A42" w:rsidP="00647A42">
            <w:pPr>
              <w:pStyle w:val="Normal1linespace"/>
              <w:widowControl w:val="0"/>
            </w:pPr>
          </w:p>
        </w:tc>
        <w:tc>
          <w:tcPr>
            <w:tcW w:w="5954" w:type="dxa"/>
            <w:shd w:val="clear" w:color="auto" w:fill="auto"/>
          </w:tcPr>
          <w:p w:rsidR="00647A42" w:rsidRDefault="00647A42" w:rsidP="00647A42">
            <w:pPr>
              <w:pStyle w:val="Normal1linespace"/>
              <w:widowControl w:val="0"/>
              <w:jc w:val="left"/>
            </w:pPr>
          </w:p>
        </w:tc>
      </w:tr>
      <w:tr w:rsidR="00647A42" w:rsidTr="00331C4F">
        <w:tc>
          <w:tcPr>
            <w:tcW w:w="3084" w:type="dxa"/>
            <w:shd w:val="clear" w:color="auto" w:fill="auto"/>
          </w:tcPr>
          <w:p w:rsidR="00647A42" w:rsidRDefault="00647A42" w:rsidP="00647A42">
            <w:pPr>
              <w:pStyle w:val="Normal1linespace"/>
              <w:widowControl w:val="0"/>
            </w:pPr>
            <w:r>
              <w:t>Number of paragraphs:</w:t>
            </w:r>
          </w:p>
        </w:tc>
        <w:tc>
          <w:tcPr>
            <w:tcW w:w="5954" w:type="dxa"/>
            <w:shd w:val="clear" w:color="auto" w:fill="auto"/>
          </w:tcPr>
          <w:p w:rsidR="00647A42" w:rsidRDefault="00647A42" w:rsidP="00647A42">
            <w:pPr>
              <w:pStyle w:val="Normal1linespace"/>
              <w:widowControl w:val="0"/>
              <w:jc w:val="left"/>
            </w:pPr>
            <w:bookmarkStart w:id="5" w:name="PlaceCategoryParagraphs"/>
            <w:r>
              <w:t>2</w:t>
            </w:r>
            <w:bookmarkEnd w:id="5"/>
            <w:r w:rsidR="00703B8C">
              <w:t>9</w:t>
            </w:r>
          </w:p>
        </w:tc>
      </w:tr>
      <w:tr w:rsidR="00647A42" w:rsidTr="00CC3EE5">
        <w:tc>
          <w:tcPr>
            <w:tcW w:w="3084" w:type="dxa"/>
            <w:shd w:val="clear" w:color="auto" w:fill="auto"/>
          </w:tcPr>
          <w:p w:rsidR="00647A42" w:rsidRDefault="00647A42" w:rsidP="00647A42">
            <w:pPr>
              <w:pStyle w:val="Normal1linespace"/>
              <w:widowControl w:val="0"/>
              <w:jc w:val="left"/>
            </w:pPr>
          </w:p>
        </w:tc>
        <w:tc>
          <w:tcPr>
            <w:tcW w:w="5954" w:type="dxa"/>
            <w:shd w:val="clear" w:color="auto" w:fill="auto"/>
          </w:tcPr>
          <w:p w:rsidR="00647A42" w:rsidRDefault="00647A42" w:rsidP="00647A42">
            <w:pPr>
              <w:pStyle w:val="Normal1linespace"/>
              <w:widowControl w:val="0"/>
              <w:jc w:val="left"/>
            </w:pPr>
          </w:p>
        </w:tc>
      </w:tr>
      <w:tr w:rsidR="00647A42" w:rsidTr="00CC3EE5">
        <w:tc>
          <w:tcPr>
            <w:tcW w:w="3084" w:type="dxa"/>
            <w:shd w:val="clear" w:color="auto" w:fill="auto"/>
          </w:tcPr>
          <w:p w:rsidR="00647A42" w:rsidRDefault="00647A42" w:rsidP="00647A42">
            <w:pPr>
              <w:pStyle w:val="Normal1linespace"/>
              <w:widowControl w:val="0"/>
              <w:jc w:val="left"/>
            </w:pPr>
            <w:r>
              <w:t>Date of last submission</w:t>
            </w:r>
            <w:r w:rsidR="002A1B3C">
              <w:t>s</w:t>
            </w:r>
            <w:r>
              <w:t>:</w:t>
            </w:r>
          </w:p>
        </w:tc>
        <w:tc>
          <w:tcPr>
            <w:tcW w:w="5954" w:type="dxa"/>
            <w:shd w:val="clear" w:color="auto" w:fill="auto"/>
          </w:tcPr>
          <w:p w:rsidR="00647A42" w:rsidRDefault="00647A42" w:rsidP="00647A42">
            <w:pPr>
              <w:pStyle w:val="Normal1linespace"/>
              <w:widowControl w:val="0"/>
              <w:jc w:val="left"/>
            </w:pPr>
            <w:r>
              <w:t>28 July 2020</w:t>
            </w:r>
          </w:p>
        </w:tc>
      </w:tr>
      <w:tr w:rsidR="00647A42" w:rsidTr="00CC3EE5">
        <w:tc>
          <w:tcPr>
            <w:tcW w:w="3084" w:type="dxa"/>
            <w:shd w:val="clear" w:color="auto" w:fill="auto"/>
          </w:tcPr>
          <w:p w:rsidR="00647A42" w:rsidRDefault="00647A42" w:rsidP="00647A42">
            <w:pPr>
              <w:pStyle w:val="Normal1linespace"/>
              <w:widowControl w:val="0"/>
              <w:jc w:val="left"/>
            </w:pPr>
          </w:p>
        </w:tc>
        <w:tc>
          <w:tcPr>
            <w:tcW w:w="5954" w:type="dxa"/>
            <w:shd w:val="clear" w:color="auto" w:fill="auto"/>
          </w:tcPr>
          <w:p w:rsidR="00647A42" w:rsidRDefault="00647A42" w:rsidP="00647A42">
            <w:pPr>
              <w:pStyle w:val="Normal1linespace"/>
              <w:widowControl w:val="0"/>
              <w:jc w:val="left"/>
            </w:pPr>
          </w:p>
        </w:tc>
      </w:tr>
      <w:tr w:rsidR="00647A42" w:rsidTr="00CC3EE5">
        <w:tc>
          <w:tcPr>
            <w:tcW w:w="3084" w:type="dxa"/>
            <w:shd w:val="clear" w:color="auto" w:fill="auto"/>
          </w:tcPr>
          <w:p w:rsidR="00647A42" w:rsidRDefault="00647A42" w:rsidP="00647A42">
            <w:pPr>
              <w:pStyle w:val="Normal1linespace"/>
              <w:widowControl w:val="0"/>
              <w:jc w:val="left"/>
            </w:pPr>
            <w:bookmarkStart w:id="6" w:name="CounselDate" w:colFirst="0" w:colLast="2"/>
            <w:r w:rsidRPr="006A24E3">
              <w:t>Date of hearing:</w:t>
            </w:r>
          </w:p>
        </w:tc>
        <w:tc>
          <w:tcPr>
            <w:tcW w:w="5954" w:type="dxa"/>
            <w:shd w:val="clear" w:color="auto" w:fill="auto"/>
          </w:tcPr>
          <w:p w:rsidR="00647A42" w:rsidRDefault="002A1B3C" w:rsidP="00647A42">
            <w:pPr>
              <w:pStyle w:val="Normal1linespace"/>
              <w:widowControl w:val="0"/>
              <w:jc w:val="left"/>
            </w:pPr>
            <w:bookmarkStart w:id="7" w:name="HearingDate"/>
            <w:r>
              <w:t>D</w:t>
            </w:r>
            <w:r w:rsidR="008544AC">
              <w:t>etermined o</w:t>
            </w:r>
            <w:r w:rsidR="00837CBE">
              <w:t>n the p</w:t>
            </w:r>
            <w:r w:rsidR="00647A42">
              <w:t xml:space="preserve">apers </w:t>
            </w:r>
            <w:bookmarkEnd w:id="7"/>
          </w:p>
        </w:tc>
      </w:tr>
      <w:tr w:rsidR="00647A42" w:rsidTr="00CC3EE5">
        <w:tc>
          <w:tcPr>
            <w:tcW w:w="3084" w:type="dxa"/>
            <w:shd w:val="clear" w:color="auto" w:fill="auto"/>
          </w:tcPr>
          <w:p w:rsidR="00647A42" w:rsidRDefault="00647A42" w:rsidP="00647A42">
            <w:pPr>
              <w:pStyle w:val="Normal1linespace"/>
              <w:widowControl w:val="0"/>
              <w:jc w:val="left"/>
            </w:pPr>
          </w:p>
        </w:tc>
        <w:tc>
          <w:tcPr>
            <w:tcW w:w="5954" w:type="dxa"/>
            <w:shd w:val="clear" w:color="auto" w:fill="auto"/>
          </w:tcPr>
          <w:p w:rsidR="00647A42" w:rsidRDefault="00647A42" w:rsidP="00647A42">
            <w:pPr>
              <w:pStyle w:val="Normal1linespace"/>
              <w:widowControl w:val="0"/>
              <w:jc w:val="left"/>
            </w:pPr>
          </w:p>
        </w:tc>
      </w:tr>
      <w:tr w:rsidR="00005B78" w:rsidTr="00CC3EE5">
        <w:tc>
          <w:tcPr>
            <w:tcW w:w="3084" w:type="dxa"/>
            <w:shd w:val="clear" w:color="auto" w:fill="auto"/>
          </w:tcPr>
          <w:p w:rsidR="00005B78" w:rsidRDefault="00005B78" w:rsidP="00005B78">
            <w:pPr>
              <w:pStyle w:val="Normal1linespace"/>
              <w:widowControl w:val="0"/>
              <w:jc w:val="left"/>
            </w:pPr>
            <w:r>
              <w:t>Solicitor for the Appellant:</w:t>
            </w:r>
          </w:p>
        </w:tc>
        <w:tc>
          <w:tcPr>
            <w:tcW w:w="5954" w:type="dxa"/>
            <w:shd w:val="clear" w:color="auto" w:fill="auto"/>
          </w:tcPr>
          <w:p w:rsidR="00005B78" w:rsidRDefault="002A1B3C" w:rsidP="002A1B3C">
            <w:pPr>
              <w:pStyle w:val="CasesLegislationAppealFrom"/>
              <w:spacing w:after="60"/>
            </w:pPr>
            <w:r>
              <w:t>Appellant was s</w:t>
            </w:r>
            <w:r w:rsidR="00005B78">
              <w:t>elf-represented</w:t>
            </w:r>
          </w:p>
        </w:tc>
      </w:tr>
      <w:tr w:rsidR="00005B78" w:rsidTr="00CC3EE5">
        <w:tc>
          <w:tcPr>
            <w:tcW w:w="3084" w:type="dxa"/>
            <w:shd w:val="clear" w:color="auto" w:fill="auto"/>
          </w:tcPr>
          <w:p w:rsidR="00005B78" w:rsidRDefault="00005B78" w:rsidP="00005B78">
            <w:pPr>
              <w:pStyle w:val="Normal1linespace"/>
              <w:widowControl w:val="0"/>
              <w:jc w:val="left"/>
            </w:pPr>
          </w:p>
        </w:tc>
        <w:tc>
          <w:tcPr>
            <w:tcW w:w="5954" w:type="dxa"/>
            <w:shd w:val="clear" w:color="auto" w:fill="auto"/>
          </w:tcPr>
          <w:p w:rsidR="00005B78" w:rsidRDefault="00005B78" w:rsidP="00005B78">
            <w:pPr>
              <w:pStyle w:val="CasesLegislationAppealFrom"/>
              <w:spacing w:after="60"/>
            </w:pPr>
          </w:p>
        </w:tc>
      </w:tr>
      <w:tr w:rsidR="00005B78" w:rsidTr="00CC3EE5">
        <w:tc>
          <w:tcPr>
            <w:tcW w:w="3084" w:type="dxa"/>
            <w:shd w:val="clear" w:color="auto" w:fill="auto"/>
          </w:tcPr>
          <w:p w:rsidR="00005B78" w:rsidRDefault="00005B78" w:rsidP="00005B78">
            <w:pPr>
              <w:pStyle w:val="Normal1linespace"/>
              <w:widowControl w:val="0"/>
              <w:jc w:val="left"/>
            </w:pPr>
            <w:r>
              <w:t>Solicitor for the First Respondent:</w:t>
            </w:r>
          </w:p>
        </w:tc>
        <w:tc>
          <w:tcPr>
            <w:tcW w:w="5954" w:type="dxa"/>
            <w:shd w:val="clear" w:color="auto" w:fill="auto"/>
          </w:tcPr>
          <w:p w:rsidR="00005B78" w:rsidRDefault="00005B78" w:rsidP="00005B78">
            <w:pPr>
              <w:pStyle w:val="CasesLegislationAppealFrom"/>
              <w:spacing w:after="60"/>
            </w:pPr>
            <w:proofErr w:type="spellStart"/>
            <w:r>
              <w:t>MinterEllison</w:t>
            </w:r>
            <w:proofErr w:type="spellEnd"/>
          </w:p>
        </w:tc>
      </w:tr>
    </w:tbl>
    <w:p w:rsidR="00B17D6E" w:rsidRDefault="00B17D6E">
      <w:pPr>
        <w:pStyle w:val="Normal1linespace"/>
      </w:pPr>
      <w:bookmarkStart w:id="8" w:name="CompletionTable"/>
      <w:bookmarkEnd w:id="6"/>
    </w:p>
    <w:bookmarkEnd w:id="8"/>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footerReference w:type="default" r:id="rId8"/>
          <w:footerReference w:type="first" r:id="rId9"/>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711E0E" w:rsidP="00F92355">
            <w:pPr>
              <w:pStyle w:val="NormalHeadings"/>
              <w:jc w:val="right"/>
            </w:pPr>
            <w:bookmarkStart w:id="9" w:name="FileNo"/>
            <w:r>
              <w:t xml:space="preserve">NSD 1907 of </w:t>
            </w:r>
            <w:r w:rsidR="00C34864">
              <w:t>2019</w:t>
            </w:r>
            <w:bookmarkEnd w:id="9"/>
          </w:p>
        </w:tc>
      </w:tr>
      <w:tr w:rsidR="00A76C13" w:rsidTr="00331C4F">
        <w:tc>
          <w:tcPr>
            <w:tcW w:w="9242" w:type="dxa"/>
            <w:gridSpan w:val="3"/>
          </w:tcPr>
          <w:p w:rsidR="00A76C13" w:rsidRPr="00A76C13" w:rsidRDefault="00C34864" w:rsidP="00C34864">
            <w:pPr>
              <w:pStyle w:val="NormalHeadings"/>
              <w:jc w:val="left"/>
            </w:pPr>
            <w:bookmarkStart w:id="10" w:name="InTheMatterOf"/>
            <w:r>
              <w:t xml:space="preserve"> </w:t>
            </w:r>
            <w:bookmarkEnd w:id="10"/>
          </w:p>
        </w:tc>
      </w:tr>
      <w:tr w:rsidR="00A46CCC" w:rsidTr="00331C4F">
        <w:trPr>
          <w:trHeight w:val="386"/>
        </w:trPr>
        <w:tc>
          <w:tcPr>
            <w:tcW w:w="2376" w:type="dxa"/>
          </w:tcPr>
          <w:p w:rsidR="00A46CCC" w:rsidRDefault="00A46CCC" w:rsidP="00331C4F">
            <w:pPr>
              <w:pStyle w:val="NormalHeadings"/>
              <w:jc w:val="left"/>
              <w:rPr>
                <w:caps/>
                <w:szCs w:val="24"/>
              </w:rPr>
            </w:pPr>
            <w:bookmarkStart w:id="11" w:name="Parties"/>
            <w:r>
              <w:rPr>
                <w:caps/>
                <w:szCs w:val="24"/>
              </w:rPr>
              <w:t>BETWEEN:</w:t>
            </w:r>
          </w:p>
        </w:tc>
        <w:tc>
          <w:tcPr>
            <w:tcW w:w="6866" w:type="dxa"/>
            <w:gridSpan w:val="2"/>
          </w:tcPr>
          <w:p w:rsidR="00C34864" w:rsidRDefault="00C34864" w:rsidP="00C34864">
            <w:pPr>
              <w:pStyle w:val="NormalHeadings"/>
              <w:jc w:val="left"/>
            </w:pPr>
            <w:bookmarkStart w:id="12" w:name="Applicant"/>
            <w:r>
              <w:t>DSL16</w:t>
            </w:r>
          </w:p>
          <w:p w:rsidR="00C34864" w:rsidRDefault="00C34864" w:rsidP="00C34864">
            <w:pPr>
              <w:pStyle w:val="PartyType"/>
            </w:pPr>
            <w:r>
              <w:t>Appellant</w:t>
            </w:r>
          </w:p>
          <w:bookmarkEnd w:id="12"/>
          <w:p w:rsidR="00A46CCC" w:rsidRPr="006555B4" w:rsidRDefault="00A46CCC" w:rsidP="00331C4F">
            <w:pPr>
              <w:pStyle w:val="NormalHeadings"/>
              <w:jc w:val="left"/>
            </w:pPr>
          </w:p>
        </w:tc>
      </w:tr>
      <w:tr w:rsidR="00A46CCC" w:rsidTr="00331C4F">
        <w:trPr>
          <w:trHeight w:val="386"/>
        </w:trPr>
        <w:tc>
          <w:tcPr>
            <w:tcW w:w="2376" w:type="dxa"/>
          </w:tcPr>
          <w:p w:rsidR="00A46CCC" w:rsidRDefault="00A46CCC" w:rsidP="00331C4F">
            <w:pPr>
              <w:pStyle w:val="NormalHeadings"/>
              <w:jc w:val="left"/>
              <w:rPr>
                <w:caps/>
                <w:szCs w:val="24"/>
              </w:rPr>
            </w:pPr>
            <w:r>
              <w:rPr>
                <w:caps/>
                <w:szCs w:val="24"/>
              </w:rPr>
              <w:t>AND:</w:t>
            </w:r>
          </w:p>
        </w:tc>
        <w:tc>
          <w:tcPr>
            <w:tcW w:w="6866" w:type="dxa"/>
            <w:gridSpan w:val="2"/>
          </w:tcPr>
          <w:p w:rsidR="00C34864" w:rsidRDefault="00C34864" w:rsidP="00C34864">
            <w:pPr>
              <w:pStyle w:val="NormalHeadings"/>
              <w:jc w:val="left"/>
            </w:pPr>
            <w:bookmarkStart w:id="13" w:name="Respondent"/>
            <w:r>
              <w:t>MINISTER FOR IMMIGRATION AND BORDER PROTECTION</w:t>
            </w:r>
          </w:p>
          <w:p w:rsidR="00C34864" w:rsidRDefault="00C34864" w:rsidP="00C34864">
            <w:pPr>
              <w:pStyle w:val="PartyType"/>
            </w:pPr>
            <w:r>
              <w:t>First Respondent</w:t>
            </w:r>
          </w:p>
          <w:p w:rsidR="00C34864" w:rsidRDefault="00C34864" w:rsidP="00331C4F">
            <w:pPr>
              <w:pStyle w:val="NormalHeadings"/>
              <w:jc w:val="left"/>
              <w:rPr>
                <w:szCs w:val="24"/>
              </w:rPr>
            </w:pPr>
          </w:p>
          <w:p w:rsidR="00C34864" w:rsidRDefault="00C34864" w:rsidP="00C34864">
            <w:pPr>
              <w:pStyle w:val="NormalHeadings"/>
              <w:jc w:val="left"/>
            </w:pPr>
            <w:r>
              <w:t>ADMINISTRATIVE APPEALS TRIBUNAL</w:t>
            </w:r>
          </w:p>
          <w:p w:rsidR="00C34864" w:rsidRDefault="00C34864" w:rsidP="00C34864">
            <w:pPr>
              <w:pStyle w:val="PartyType"/>
            </w:pPr>
            <w:r>
              <w:t>Second Respondent</w:t>
            </w:r>
          </w:p>
          <w:bookmarkEnd w:id="13"/>
          <w:p w:rsidR="00A46CCC" w:rsidRPr="006555B4" w:rsidRDefault="00A46CCC" w:rsidP="00331C4F">
            <w:pPr>
              <w:pStyle w:val="NormalHeadings"/>
              <w:jc w:val="left"/>
            </w:pPr>
          </w:p>
        </w:tc>
      </w:tr>
    </w:tbl>
    <w:p w:rsidR="00395B24" w:rsidRDefault="00395B24">
      <w:pPr>
        <w:pStyle w:val="NormalHeadings"/>
      </w:pPr>
      <w:bookmarkStart w:id="14" w:name="CrossClaimPosition"/>
      <w:bookmarkEnd w:id="11"/>
      <w:bookmarkEnd w:id="14"/>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5" w:name="JudgeText"/>
            <w:r>
              <w:rPr>
                <w:caps/>
                <w:szCs w:val="24"/>
              </w:rPr>
              <w:t>order made by</w:t>
            </w:r>
            <w:bookmarkEnd w:id="15"/>
            <w:r w:rsidR="002C7385">
              <w:rPr>
                <w:caps/>
                <w:szCs w:val="24"/>
              </w:rPr>
              <w:t>:</w:t>
            </w:r>
          </w:p>
        </w:tc>
        <w:tc>
          <w:tcPr>
            <w:tcW w:w="6866" w:type="dxa"/>
          </w:tcPr>
          <w:p w:rsidR="00395B24" w:rsidRDefault="00C34864">
            <w:pPr>
              <w:pStyle w:val="NormalHeadings"/>
              <w:jc w:val="left"/>
              <w:rPr>
                <w:caps/>
                <w:szCs w:val="24"/>
              </w:rPr>
            </w:pPr>
            <w:bookmarkStart w:id="16" w:name="Judge"/>
            <w:r>
              <w:rPr>
                <w:caps/>
                <w:szCs w:val="24"/>
              </w:rPr>
              <w:t>LEE J</w:t>
            </w:r>
            <w:bookmarkEnd w:id="16"/>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B57D94">
            <w:pPr>
              <w:pStyle w:val="NormalHeadings"/>
              <w:jc w:val="left"/>
              <w:rPr>
                <w:caps/>
                <w:szCs w:val="24"/>
              </w:rPr>
            </w:pPr>
            <w:r>
              <w:rPr>
                <w:caps/>
                <w:szCs w:val="24"/>
              </w:rPr>
              <w:t>11 August 2020</w:t>
            </w:r>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7F60DF" w:rsidRDefault="007F60DF" w:rsidP="00243E5E">
      <w:pPr>
        <w:pStyle w:val="NormalHeadings"/>
      </w:pPr>
    </w:p>
    <w:p w:rsidR="0035098D" w:rsidRPr="004A6BD0" w:rsidRDefault="0035098D" w:rsidP="00884691">
      <w:pPr>
        <w:pStyle w:val="Order1"/>
      </w:pPr>
      <w:r w:rsidRPr="004A6BD0">
        <w:t>The name of the first respondent be amended to “</w:t>
      </w:r>
      <w:r w:rsidRPr="004A6BD0">
        <w:rPr>
          <w:bCs/>
        </w:rPr>
        <w:t>Minister for Immigration, Citizenship, Migrant Services and Multicultural Affairs”</w:t>
      </w:r>
      <w:r w:rsidR="00E2708A">
        <w:rPr>
          <w:bCs/>
        </w:rPr>
        <w:t>.</w:t>
      </w:r>
    </w:p>
    <w:p w:rsidR="00884691" w:rsidRDefault="00884691" w:rsidP="00884691">
      <w:pPr>
        <w:pStyle w:val="Order1"/>
      </w:pPr>
      <w:r>
        <w:t>The appeal be dismissed</w:t>
      </w:r>
      <w:r w:rsidR="00A61F2E">
        <w:t>.</w:t>
      </w:r>
    </w:p>
    <w:p w:rsidR="001A6C52" w:rsidRDefault="00884691" w:rsidP="00884691">
      <w:pPr>
        <w:pStyle w:val="Order1"/>
      </w:pPr>
      <w:r>
        <w:t>The appellant pay the first respondent’s costs of the appeal.</w:t>
      </w:r>
    </w:p>
    <w:p w:rsidR="001A6C52" w:rsidRDefault="001A6C52" w:rsidP="001A6C52">
      <w:pPr>
        <w:pStyle w:val="BodyText"/>
      </w:pPr>
    </w:p>
    <w:p w:rsidR="00A431E6" w:rsidRDefault="00A431E6" w:rsidP="001A6C52">
      <w:pPr>
        <w:pStyle w:val="BodyText"/>
      </w:pPr>
    </w:p>
    <w:p w:rsidR="0050309C" w:rsidRDefault="00C34864" w:rsidP="004D53E5">
      <w:pPr>
        <w:pStyle w:val="SingleSpace"/>
      </w:pPr>
      <w:bookmarkStart w:id="17" w:name="OrdersStatement"/>
      <w:r>
        <w:t>Note:</w:t>
      </w:r>
      <w:r>
        <w:tab/>
        <w:t xml:space="preserve">Entry of orders is dealt with in Rule 39.32 of the </w:t>
      </w:r>
      <w:r>
        <w:rPr>
          <w:i/>
        </w:rPr>
        <w:t>Federal Court Rules 2011</w:t>
      </w:r>
      <w:r>
        <w:t>.</w:t>
      </w:r>
      <w:bookmarkEnd w:id="17"/>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fmt="lowerRoman" w:start="1"/>
          <w:cols w:space="720"/>
          <w:noEndnote/>
          <w:titlePg/>
        </w:sectPr>
      </w:pPr>
    </w:p>
    <w:p w:rsidR="00CA5741" w:rsidRPr="00045BB7" w:rsidRDefault="00CA5741" w:rsidP="00CA5741">
      <w:pPr>
        <w:pStyle w:val="NormalHeadings"/>
        <w:spacing w:line="480" w:lineRule="auto"/>
        <w:jc w:val="center"/>
        <w:rPr>
          <w:sz w:val="28"/>
          <w:szCs w:val="28"/>
        </w:rPr>
      </w:pPr>
      <w:bookmarkStart w:id="18" w:name="ReasonsPage"/>
      <w:bookmarkEnd w:id="18"/>
      <w:r w:rsidRPr="00045BB7">
        <w:rPr>
          <w:sz w:val="28"/>
          <w:szCs w:val="28"/>
        </w:rPr>
        <w:lastRenderedPageBreak/>
        <w:t>REASONS FOR JUDGMENT</w:t>
      </w:r>
    </w:p>
    <w:p w:rsidR="00CA5741" w:rsidRDefault="00CA5741" w:rsidP="00CA5741">
      <w:pPr>
        <w:pStyle w:val="NormalHeadings"/>
        <w:spacing w:line="360" w:lineRule="auto"/>
        <w:jc w:val="left"/>
        <w:rPr>
          <w:sz w:val="26"/>
          <w:szCs w:val="26"/>
        </w:rPr>
      </w:pPr>
      <w:r>
        <w:rPr>
          <w:sz w:val="26"/>
          <w:szCs w:val="26"/>
        </w:rPr>
        <w:t>LEE J</w:t>
      </w:r>
    </w:p>
    <w:p w:rsidR="00CA5741" w:rsidRDefault="00CA5741" w:rsidP="00CA5741">
      <w:pPr>
        <w:pStyle w:val="Heading1"/>
      </w:pPr>
      <w:r>
        <w:t>A</w:t>
      </w:r>
      <w:r>
        <w:tab/>
        <w:t xml:space="preserve">Introduction </w:t>
      </w:r>
    </w:p>
    <w:p w:rsidR="00CA5741" w:rsidRDefault="00CA5741" w:rsidP="00CA5741">
      <w:pPr>
        <w:pStyle w:val="ParaNumbering"/>
      </w:pPr>
      <w:r>
        <w:t xml:space="preserve">This is an appeal from the Federal Circuit Court in </w:t>
      </w:r>
      <w:r w:rsidRPr="003231F1">
        <w:rPr>
          <w:i/>
        </w:rPr>
        <w:t>DSL16 v Minister for Immigration</w:t>
      </w:r>
      <w:r>
        <w:t xml:space="preserve"> [2020] FCCA 3207 (</w:t>
      </w:r>
      <w:r w:rsidRPr="003231F1">
        <w:rPr>
          <w:b/>
        </w:rPr>
        <w:t>Primary Judgment</w:t>
      </w:r>
      <w:r>
        <w:t>) concerning an application for a temporary protection visa.</w:t>
      </w:r>
    </w:p>
    <w:p w:rsidR="00CA5741" w:rsidRDefault="00CA5741" w:rsidP="00CA5741">
      <w:pPr>
        <w:pStyle w:val="ParaNumbering"/>
      </w:pPr>
      <w:r>
        <w:t>There is no need to set out the procedural background or circumstances leading up to the decision of the primary judge. These are summarised in the Primary Judgment (at [1]–[10]). However, in order to understand the Administrative Appeal Tribunal’s (</w:t>
      </w:r>
      <w:r>
        <w:rPr>
          <w:b/>
        </w:rPr>
        <w:t>Tribunal</w:t>
      </w:r>
      <w:r>
        <w:t>) decision and reasons (</w:t>
      </w:r>
      <w:r>
        <w:rPr>
          <w:b/>
        </w:rPr>
        <w:t>Tribunal</w:t>
      </w:r>
      <w:r w:rsidRPr="003231F1">
        <w:rPr>
          <w:b/>
        </w:rPr>
        <w:t xml:space="preserve"> Decision</w:t>
      </w:r>
      <w:r>
        <w:t>)</w:t>
      </w:r>
      <w:r w:rsidRPr="0058342E">
        <w:t xml:space="preserve">, </w:t>
      </w:r>
      <w:r>
        <w:t>it is necessary to note that the appellant is a Chinese Malay who claims that: he was a self-employed business owner who was beaten by Malay people in his shop and continuously followed, including to his home, because he refused to pay “protection fees”; he reported the incident to police, but to no avail; he moved multiple times throughout Malaysia because the Malays knew he had reported them to the police and; he fears harm if he was to return to Malaysia because as an ethic Chinese Malaysian he would be subject to discrimination and persecution from both the Malaysian authorities and local people.</w:t>
      </w:r>
    </w:p>
    <w:p w:rsidR="00CA5741" w:rsidRDefault="00CA5741" w:rsidP="00CA5741">
      <w:pPr>
        <w:pStyle w:val="ParaNumbering"/>
      </w:pPr>
      <w:r>
        <w:t xml:space="preserve">It is also necessary to comment </w:t>
      </w:r>
      <w:r w:rsidR="00372B5D">
        <w:t>briefly</w:t>
      </w:r>
      <w:r>
        <w:t xml:space="preserve"> on the procedure leading up to the current hearing. The </w:t>
      </w:r>
      <w:r w:rsidRPr="00F06058">
        <w:t xml:space="preserve">parties communicated </w:t>
      </w:r>
      <w:r>
        <w:t xml:space="preserve">to the Court </w:t>
      </w:r>
      <w:r w:rsidRPr="00F06058">
        <w:t xml:space="preserve">that they </w:t>
      </w:r>
      <w:r>
        <w:t>were</w:t>
      </w:r>
      <w:r w:rsidRPr="00F06058">
        <w:t xml:space="preserve"> content for the matter to be determined on the papers, although it </w:t>
      </w:r>
      <w:r>
        <w:t>was</w:t>
      </w:r>
      <w:r w:rsidRPr="00F06058">
        <w:t xml:space="preserve"> the </w:t>
      </w:r>
      <w:r>
        <w:t xml:space="preserve">preference of the </w:t>
      </w:r>
      <w:r w:rsidRPr="00C34864">
        <w:rPr>
          <w:bCs/>
        </w:rPr>
        <w:t xml:space="preserve">Minister for </w:t>
      </w:r>
      <w:r>
        <w:rPr>
          <w:bCs/>
        </w:rPr>
        <w:t>Immigration, Citizenship, Migrant Services and Multicultural Affairs</w:t>
      </w:r>
      <w:r w:rsidRPr="00C34864">
        <w:rPr>
          <w:bCs/>
        </w:rPr>
        <w:t xml:space="preserve"> </w:t>
      </w:r>
      <w:r>
        <w:rPr>
          <w:bCs/>
        </w:rPr>
        <w:t>(</w:t>
      </w:r>
      <w:r w:rsidRPr="00522911">
        <w:rPr>
          <w:b/>
          <w:bCs/>
        </w:rPr>
        <w:t>Minister</w:t>
      </w:r>
      <w:r>
        <w:rPr>
          <w:bCs/>
        </w:rPr>
        <w:t xml:space="preserve">) </w:t>
      </w:r>
      <w:r w:rsidRPr="00F06058">
        <w:t>for the matter to proceed to a</w:t>
      </w:r>
      <w:r w:rsidR="006E3522">
        <w:t>n oral</w:t>
      </w:r>
      <w:r w:rsidRPr="00F06058">
        <w:t xml:space="preserve"> hearing.</w:t>
      </w:r>
      <w:r>
        <w:t xml:space="preserve"> To that end, the matter was listed for a tentative hearing date on 31 July 2020, so orders could be programmed for the filing of submissions. As no email address was initially provided for the appellant, the Court sent all correspondence by express post to the appellant’s designated postal address. Phone contact was also made with the appellant notifying him of the hearing date and confirming that he knew that correspondence was being sent via mail.</w:t>
      </w:r>
    </w:p>
    <w:p w:rsidR="00CA5741" w:rsidRDefault="00CA5741" w:rsidP="00CA5741">
      <w:pPr>
        <w:pStyle w:val="ParaNumbering"/>
      </w:pPr>
      <w:r>
        <w:t>The appellant is unrepresented, is an elderly man and speaks minimal English. With these factors in mind</w:t>
      </w:r>
      <w:r w:rsidR="008C20C8">
        <w:t xml:space="preserve"> and following a hand written communication from the appellant </w:t>
      </w:r>
      <w:r w:rsidR="00721E5A">
        <w:t xml:space="preserve">stating that </w:t>
      </w:r>
      <w:r w:rsidR="008C20C8">
        <w:t>he is an “old man and very hard to use mobile apps [sic]”</w:t>
      </w:r>
      <w:r>
        <w:t xml:space="preserve">, I indicated to the parties that if after receipt of submissions I was of the opinion that an oral hearing was necessary, then, due to the current climate and the reality that the hearing would be conducted remotely via video conference (including with an interpreter in a different location to the appellant), I proposed to </w:t>
      </w:r>
      <w:r>
        <w:lastRenderedPageBreak/>
        <w:t xml:space="preserve">adjourn the hearing to a date to be fixed at a time when the parties were able to attend an oral hearing in person. </w:t>
      </w:r>
    </w:p>
    <w:p w:rsidR="00CA5741" w:rsidRPr="00F06058" w:rsidRDefault="00CA5741" w:rsidP="00CA5741">
      <w:pPr>
        <w:pStyle w:val="ParaNumbering"/>
      </w:pPr>
      <w:r>
        <w:t xml:space="preserve">The appellant did not file submissions on the date required. This is despite orders made by a </w:t>
      </w:r>
      <w:r w:rsidR="00A61F2E">
        <w:t>Registrar</w:t>
      </w:r>
      <w:r>
        <w:t xml:space="preserve"> on 20 November 2019 requiring him to do so, and a variation of these orders made on 10 July 2020 reiterating such</w:t>
      </w:r>
      <w:r w:rsidR="002C6260">
        <w:t xml:space="preserve"> a</w:t>
      </w:r>
      <w:r>
        <w:t xml:space="preserve"> requirement. Nevertheless, after receiving the Minister’s submissions, considering these alongside the notice of appeal and given the express consent of the parties, I have formed the view that the matter is suitable to be determined on the papers.</w:t>
      </w:r>
      <w:r w:rsidR="00DA1B91">
        <w:t xml:space="preserve"> This was communicated to the parties and there was no objection to this course.</w:t>
      </w:r>
    </w:p>
    <w:p w:rsidR="00CA5741" w:rsidRDefault="00CA5741" w:rsidP="00CA5741">
      <w:pPr>
        <w:pStyle w:val="Heading1"/>
      </w:pPr>
      <w:r>
        <w:t>B</w:t>
      </w:r>
      <w:r>
        <w:tab/>
        <w:t>The Grounds of Appeal</w:t>
      </w:r>
    </w:p>
    <w:p w:rsidR="00CA5741" w:rsidRDefault="00CA5741" w:rsidP="00CA5741">
      <w:pPr>
        <w:pStyle w:val="ParaNumbering"/>
      </w:pPr>
      <w:r>
        <w:t xml:space="preserve">The three grounds of appeal advanced by the appellant are, in effect, identical to those relied upon in the proceeding </w:t>
      </w:r>
      <w:r w:rsidR="006E3522">
        <w:t>below</w:t>
      </w:r>
      <w:r>
        <w:t xml:space="preserve"> (without their particulars). </w:t>
      </w:r>
      <w:r w:rsidR="00330E5A">
        <w:t>G</w:t>
      </w:r>
      <w:r>
        <w:t>iven that each ground of appeal is proceeded by the propositi</w:t>
      </w:r>
      <w:r w:rsidR="008C20C8">
        <w:t>on that “[t]he Federal Circuit c</w:t>
      </w:r>
      <w:r>
        <w:t>ourt</w:t>
      </w:r>
      <w:r w:rsidR="008C20C8">
        <w:t xml:space="preserve"> [sic]</w:t>
      </w:r>
      <w:r>
        <w:t xml:space="preserve"> didn’t correct the mistake”,</w:t>
      </w:r>
      <w:r w:rsidR="00016F32">
        <w:t xml:space="preserve"> in addr</w:t>
      </w:r>
      <w:r w:rsidR="003941F8">
        <w:t>essing each ground</w:t>
      </w:r>
      <w:r w:rsidR="006E3522">
        <w:t>,</w:t>
      </w:r>
      <w:r>
        <w:t xml:space="preserve"> I will draw assistance from the way in which each ground was particularised before the primary judge: see Primary Judgment (at [11]). </w:t>
      </w:r>
    </w:p>
    <w:p w:rsidR="00CA5741" w:rsidRDefault="00CA5741" w:rsidP="00CA5741">
      <w:pPr>
        <w:pStyle w:val="Heading2"/>
      </w:pPr>
      <w:r>
        <w:t>B.1</w:t>
      </w:r>
      <w:r>
        <w:tab/>
        <w:t>Ground 1</w:t>
      </w:r>
    </w:p>
    <w:p w:rsidR="00CA5741" w:rsidRDefault="00CA5741" w:rsidP="00CA5741">
      <w:pPr>
        <w:pStyle w:val="ParaNumbering"/>
      </w:pPr>
      <w:r>
        <w:t>The first ground of appeal is in the following terms:</w:t>
      </w:r>
    </w:p>
    <w:p w:rsidR="00CA5741" w:rsidRDefault="00CA5741" w:rsidP="00CA5741">
      <w:pPr>
        <w:pStyle w:val="Quote1"/>
        <w:jc w:val="left"/>
      </w:pPr>
      <w:r>
        <w:t>The AAT is wrong about the facts I stated during the interview.</w:t>
      </w:r>
      <w:r w:rsidR="008C20C8">
        <w:t xml:space="preserve"> The Federal Circuit c</w:t>
      </w:r>
      <w:r>
        <w:t xml:space="preserve">ourt </w:t>
      </w:r>
      <w:r w:rsidR="008C20C8">
        <w:t xml:space="preserve">[sic] </w:t>
      </w:r>
      <w:r>
        <w:t>didn’t correct the mistake.</w:t>
      </w:r>
    </w:p>
    <w:p w:rsidR="00CA5741" w:rsidRDefault="00CA5741" w:rsidP="00CA5741">
      <w:pPr>
        <w:pStyle w:val="ParaNumbering"/>
      </w:pPr>
      <w:r>
        <w:t xml:space="preserve">Although it is not entirely clear what the alleged jurisdictional error is on this ground of appeal, </w:t>
      </w:r>
      <w:r w:rsidR="003957F4">
        <w:t>given that there was no interview with a delegate of the Minister</w:t>
      </w:r>
      <w:r w:rsidR="00C301CC">
        <w:t xml:space="preserve"> (see Primary Judgment (at [31]</w:t>
      </w:r>
      <w:r w:rsidR="00A36A33">
        <w:t>)</w:t>
      </w:r>
      <w:r w:rsidR="00C301CC">
        <w:t>)</w:t>
      </w:r>
      <w:r w:rsidR="003957F4">
        <w:t xml:space="preserve">, it appears that the reference to the “facts” misapplied by the Tribunal </w:t>
      </w:r>
      <w:r w:rsidR="00A36A33">
        <w:t>relate</w:t>
      </w:r>
      <w:r>
        <w:t xml:space="preserve"> primarily to the evidence given by the appellant</w:t>
      </w:r>
      <w:r w:rsidR="003442FE">
        <w:t xml:space="preserve"> at the hearing</w:t>
      </w:r>
      <w:r>
        <w:t xml:space="preserve"> regarding being beaten and followed by the Malay people. </w:t>
      </w:r>
      <w:r w:rsidR="00884691">
        <w:t xml:space="preserve">Hence, </w:t>
      </w:r>
      <w:r w:rsidR="006E3522">
        <w:t>doing the best that</w:t>
      </w:r>
      <w:r w:rsidR="00884691">
        <w:t xml:space="preserve"> I can,</w:t>
      </w:r>
      <w:r>
        <w:t xml:space="preserve"> this ground of appeal can be expressed by the following propositions: (1) the Tribunal misunderstood (or failed to take into account) the appellant’s evidence regarding being beaten and followed by the Malay people; (2) the Tribunal unreasonably made adverse credibility findings because of the conflicting evidence provided at the Tribunal hearing regarding being beaten and followed; and (3) the Tribunal </w:t>
      </w:r>
      <w:r>
        <w:rPr>
          <w:szCs w:val="24"/>
        </w:rPr>
        <w:t>did not</w:t>
      </w:r>
      <w:r w:rsidRPr="0043071B">
        <w:rPr>
          <w:szCs w:val="24"/>
        </w:rPr>
        <w:t xml:space="preserve"> afford the </w:t>
      </w:r>
      <w:r>
        <w:rPr>
          <w:szCs w:val="24"/>
        </w:rPr>
        <w:t xml:space="preserve">appellant with the </w:t>
      </w:r>
      <w:r w:rsidRPr="0043071B">
        <w:rPr>
          <w:szCs w:val="24"/>
        </w:rPr>
        <w:t>opportunity</w:t>
      </w:r>
      <w:r>
        <w:rPr>
          <w:szCs w:val="24"/>
        </w:rPr>
        <w:t xml:space="preserve"> </w:t>
      </w:r>
      <w:r w:rsidRPr="0043071B">
        <w:rPr>
          <w:szCs w:val="24"/>
        </w:rPr>
        <w:t xml:space="preserve">to </w:t>
      </w:r>
      <w:r>
        <w:rPr>
          <w:szCs w:val="24"/>
        </w:rPr>
        <w:t>clarify the facts concerning being beaten and followed</w:t>
      </w:r>
      <w:r>
        <w:t xml:space="preserve">. I will </w:t>
      </w:r>
      <w:r w:rsidR="003957F4">
        <w:t>deal with</w:t>
      </w:r>
      <w:r>
        <w:t xml:space="preserve"> each of these propositions in turn.</w:t>
      </w:r>
    </w:p>
    <w:p w:rsidR="00CA5741" w:rsidRPr="0043071B" w:rsidRDefault="00CA5741" w:rsidP="00CA5741">
      <w:pPr>
        <w:pStyle w:val="ParaNumbering"/>
        <w:rPr>
          <w:szCs w:val="24"/>
        </w:rPr>
      </w:pPr>
      <w:r w:rsidRPr="007660F2">
        <w:rPr>
          <w:i/>
          <w:szCs w:val="24"/>
        </w:rPr>
        <w:lastRenderedPageBreak/>
        <w:t>First</w:t>
      </w:r>
      <w:r>
        <w:rPr>
          <w:szCs w:val="24"/>
        </w:rPr>
        <w:t xml:space="preserve">, </w:t>
      </w:r>
      <w:r w:rsidRPr="0043071B">
        <w:rPr>
          <w:szCs w:val="24"/>
        </w:rPr>
        <w:t xml:space="preserve">I do not accept that the Tribunal misunderstood (or </w:t>
      </w:r>
      <w:r>
        <w:t>failed to take</w:t>
      </w:r>
      <w:r w:rsidRPr="0043071B">
        <w:rPr>
          <w:szCs w:val="24"/>
        </w:rPr>
        <w:t xml:space="preserve"> into account) the appellant’s evidence</w:t>
      </w:r>
      <w:r>
        <w:rPr>
          <w:szCs w:val="24"/>
        </w:rPr>
        <w:t xml:space="preserve"> regarding being </w:t>
      </w:r>
      <w:r>
        <w:t>beaten and followed</w:t>
      </w:r>
      <w:r w:rsidRPr="0043071B">
        <w:rPr>
          <w:szCs w:val="24"/>
        </w:rPr>
        <w:t>. The Tribu</w:t>
      </w:r>
      <w:r>
        <w:rPr>
          <w:szCs w:val="24"/>
        </w:rPr>
        <w:t>nal had regard to the appellant’</w:t>
      </w:r>
      <w:r w:rsidRPr="0043071B">
        <w:rPr>
          <w:szCs w:val="24"/>
        </w:rPr>
        <w:t xml:space="preserve">s claim that </w:t>
      </w:r>
      <w:r w:rsidR="008C20C8">
        <w:rPr>
          <w:szCs w:val="24"/>
        </w:rPr>
        <w:t>the</w:t>
      </w:r>
      <w:r w:rsidRPr="0043071B">
        <w:rPr>
          <w:szCs w:val="24"/>
        </w:rPr>
        <w:t xml:space="preserve"> Malay people </w:t>
      </w:r>
      <w:r w:rsidR="00742A50">
        <w:rPr>
          <w:szCs w:val="24"/>
        </w:rPr>
        <w:t xml:space="preserve">who came to his shop demanding “protection money” returned several days later and </w:t>
      </w:r>
      <w:r>
        <w:rPr>
          <w:szCs w:val="24"/>
        </w:rPr>
        <w:t>took</w:t>
      </w:r>
      <w:r w:rsidRPr="0043071B">
        <w:rPr>
          <w:szCs w:val="24"/>
        </w:rPr>
        <w:t xml:space="preserve"> goods out of his store, engaged in a physical argument with him </w:t>
      </w:r>
      <w:r>
        <w:rPr>
          <w:szCs w:val="24"/>
        </w:rPr>
        <w:t>which allegedly</w:t>
      </w:r>
      <w:r w:rsidRPr="0043071B">
        <w:rPr>
          <w:szCs w:val="24"/>
        </w:rPr>
        <w:t xml:space="preserve"> resulted in him being cut with a knife</w:t>
      </w:r>
      <w:r w:rsidR="00742A50">
        <w:rPr>
          <w:szCs w:val="24"/>
        </w:rPr>
        <w:t xml:space="preserve"> and </w:t>
      </w:r>
      <w:r w:rsidR="006D1164">
        <w:rPr>
          <w:szCs w:val="24"/>
        </w:rPr>
        <w:t>having to go</w:t>
      </w:r>
      <w:r w:rsidR="00742A50">
        <w:rPr>
          <w:szCs w:val="24"/>
        </w:rPr>
        <w:t xml:space="preserve"> to hospital</w:t>
      </w:r>
      <w:r>
        <w:rPr>
          <w:szCs w:val="24"/>
        </w:rPr>
        <w:t xml:space="preserve"> and that the threats continued after he refused to pay </w:t>
      </w:r>
      <w:r w:rsidR="002425FE">
        <w:rPr>
          <w:szCs w:val="24"/>
        </w:rPr>
        <w:t>them</w:t>
      </w:r>
      <w:r w:rsidRPr="0043071B">
        <w:rPr>
          <w:szCs w:val="24"/>
        </w:rPr>
        <w:t xml:space="preserve">. </w:t>
      </w:r>
      <w:r w:rsidR="009F5EE5">
        <w:rPr>
          <w:szCs w:val="24"/>
        </w:rPr>
        <w:t>This accurately captures the nature of the appellant’s contention and i</w:t>
      </w:r>
      <w:r w:rsidRPr="0043071B">
        <w:rPr>
          <w:szCs w:val="24"/>
        </w:rPr>
        <w:t>n the</w:t>
      </w:r>
      <w:r>
        <w:rPr>
          <w:szCs w:val="24"/>
        </w:rPr>
        <w:t>se circumstances, the appellant’</w:t>
      </w:r>
      <w:r w:rsidRPr="0043071B">
        <w:rPr>
          <w:szCs w:val="24"/>
        </w:rPr>
        <w:t>s complaint that the Tribunal was “</w:t>
      </w:r>
      <w:r w:rsidRPr="0043071B">
        <w:rPr>
          <w:iCs/>
          <w:szCs w:val="24"/>
        </w:rPr>
        <w:t>wrong about the facts</w:t>
      </w:r>
      <w:r w:rsidRPr="0043071B">
        <w:rPr>
          <w:szCs w:val="24"/>
        </w:rPr>
        <w:t xml:space="preserve"> </w:t>
      </w:r>
      <w:r>
        <w:rPr>
          <w:szCs w:val="24"/>
        </w:rPr>
        <w:t>[</w:t>
      </w:r>
      <w:r w:rsidRPr="0043071B">
        <w:rPr>
          <w:szCs w:val="24"/>
        </w:rPr>
        <w:t>he</w:t>
      </w:r>
      <w:r>
        <w:rPr>
          <w:szCs w:val="24"/>
        </w:rPr>
        <w:t>]</w:t>
      </w:r>
      <w:r w:rsidRPr="0043071B">
        <w:rPr>
          <w:szCs w:val="24"/>
        </w:rPr>
        <w:t xml:space="preserve"> stated during </w:t>
      </w:r>
      <w:r>
        <w:rPr>
          <w:szCs w:val="24"/>
        </w:rPr>
        <w:t>the</w:t>
      </w:r>
      <w:r w:rsidRPr="0043071B">
        <w:rPr>
          <w:szCs w:val="24"/>
        </w:rPr>
        <w:t xml:space="preserve"> interview</w:t>
      </w:r>
      <w:r>
        <w:rPr>
          <w:szCs w:val="24"/>
        </w:rPr>
        <w:t>”</w:t>
      </w:r>
      <w:r w:rsidRPr="0043071B">
        <w:rPr>
          <w:szCs w:val="24"/>
        </w:rPr>
        <w:t xml:space="preserve"> is misconceived and goes no higher than raising mere disagreement with the fact that the Tribunal did not accept these events occurred as claimed. Without more, such disagreement cannot disclose jurisdictional error: </w:t>
      </w:r>
      <w:r>
        <w:rPr>
          <w:szCs w:val="24"/>
        </w:rPr>
        <w:t xml:space="preserve">see </w:t>
      </w:r>
      <w:r w:rsidRPr="0043071B">
        <w:rPr>
          <w:i/>
          <w:iCs/>
          <w:szCs w:val="24"/>
        </w:rPr>
        <w:t xml:space="preserve">Minister for Immigration and Citizenship v SZMDS </w:t>
      </w:r>
      <w:r>
        <w:rPr>
          <w:szCs w:val="24"/>
        </w:rPr>
        <w:t xml:space="preserve">[2010] HCA 16; (2010) </w:t>
      </w:r>
      <w:r w:rsidRPr="0043071B">
        <w:rPr>
          <w:szCs w:val="24"/>
        </w:rPr>
        <w:t>240 CLR 611</w:t>
      </w:r>
      <w:r>
        <w:rPr>
          <w:szCs w:val="24"/>
        </w:rPr>
        <w:t xml:space="preserve"> </w:t>
      </w:r>
      <w:r w:rsidRPr="0043071B">
        <w:rPr>
          <w:szCs w:val="24"/>
        </w:rPr>
        <w:t xml:space="preserve">(at </w:t>
      </w:r>
      <w:r>
        <w:rPr>
          <w:szCs w:val="24"/>
        </w:rPr>
        <w:t xml:space="preserve">645–6 </w:t>
      </w:r>
      <w:r w:rsidRPr="0043071B">
        <w:rPr>
          <w:szCs w:val="24"/>
        </w:rPr>
        <w:t xml:space="preserve">[124] per </w:t>
      </w:r>
      <w:proofErr w:type="spellStart"/>
      <w:r w:rsidRPr="0043071B">
        <w:rPr>
          <w:szCs w:val="24"/>
        </w:rPr>
        <w:t>Crennan</w:t>
      </w:r>
      <w:proofErr w:type="spellEnd"/>
      <w:r w:rsidRPr="0043071B">
        <w:rPr>
          <w:szCs w:val="24"/>
        </w:rPr>
        <w:t xml:space="preserve"> and Bell JJ).</w:t>
      </w:r>
    </w:p>
    <w:p w:rsidR="00CA5741" w:rsidRPr="0043071B" w:rsidRDefault="00CA5741" w:rsidP="00CA5741">
      <w:pPr>
        <w:pStyle w:val="ParaNumbering"/>
      </w:pPr>
      <w:r w:rsidRPr="007660F2">
        <w:rPr>
          <w:i/>
        </w:rPr>
        <w:t>Secondly</w:t>
      </w:r>
      <w:r>
        <w:t xml:space="preserve">, </w:t>
      </w:r>
      <w:r w:rsidRPr="00391B1F">
        <w:t xml:space="preserve">I </w:t>
      </w:r>
      <w:r>
        <w:t xml:space="preserve">do not </w:t>
      </w:r>
      <w:r w:rsidRPr="00391B1F">
        <w:t>accept</w:t>
      </w:r>
      <w:r>
        <w:t xml:space="preserve"> that</w:t>
      </w:r>
      <w:r w:rsidRPr="00391B1F">
        <w:t xml:space="preserve"> </w:t>
      </w:r>
      <w:r>
        <w:t xml:space="preserve">the Tribunal fell into </w:t>
      </w:r>
      <w:r w:rsidRPr="0043071B">
        <w:rPr>
          <w:szCs w:val="24"/>
        </w:rPr>
        <w:t>jurisdictional</w:t>
      </w:r>
      <w:r>
        <w:rPr>
          <w:szCs w:val="24"/>
        </w:rPr>
        <w:t xml:space="preserve"> error</w:t>
      </w:r>
      <w:r w:rsidRPr="0043071B">
        <w:rPr>
          <w:szCs w:val="24"/>
        </w:rPr>
        <w:t xml:space="preserve"> </w:t>
      </w:r>
      <w:r>
        <w:rPr>
          <w:szCs w:val="24"/>
        </w:rPr>
        <w:t>by reason of the adverse credibility findings made regarding the appellant’s evidence about being beaten and followed</w:t>
      </w:r>
      <w:r w:rsidRPr="0043071B">
        <w:rPr>
          <w:szCs w:val="24"/>
        </w:rPr>
        <w:t xml:space="preserve">. There is nothing in the material before the Court to suggest the appellant disclosed </w:t>
      </w:r>
      <w:r>
        <w:rPr>
          <w:szCs w:val="24"/>
        </w:rPr>
        <w:t xml:space="preserve">that </w:t>
      </w:r>
      <w:r w:rsidRPr="0043071B">
        <w:rPr>
          <w:szCs w:val="24"/>
        </w:rPr>
        <w:t xml:space="preserve">he had been cut with a knife prior to the Tribunal hearing. </w:t>
      </w:r>
      <w:r>
        <w:rPr>
          <w:szCs w:val="24"/>
        </w:rPr>
        <w:t>Hence, the Tribunal’</w:t>
      </w:r>
      <w:r w:rsidRPr="0043071B">
        <w:rPr>
          <w:szCs w:val="24"/>
        </w:rPr>
        <w:t xml:space="preserve">s finding that he had not made this claim prior to the hearing </w:t>
      </w:r>
      <w:r w:rsidR="00ED6C60">
        <w:rPr>
          <w:szCs w:val="24"/>
        </w:rPr>
        <w:t>does not disclose error</w:t>
      </w:r>
      <w:r>
        <w:rPr>
          <w:szCs w:val="24"/>
        </w:rPr>
        <w:t xml:space="preserve"> and, further, the fact that the “applicant’s answers in relation to what the people allegedly did to the goods in his shop, what they did to him and whether they re</w:t>
      </w:r>
      <w:r w:rsidR="005A0D00">
        <w:rPr>
          <w:szCs w:val="24"/>
        </w:rPr>
        <w:t xml:space="preserve">turned” had changed, </w:t>
      </w:r>
      <w:r w:rsidR="0036773C">
        <w:rPr>
          <w:szCs w:val="24"/>
        </w:rPr>
        <w:t>coupled with other evidence</w:t>
      </w:r>
      <w:r w:rsidR="00206E5C">
        <w:rPr>
          <w:szCs w:val="24"/>
        </w:rPr>
        <w:t xml:space="preserve"> (see [15] below)</w:t>
      </w:r>
      <w:r w:rsidR="0036773C">
        <w:rPr>
          <w:szCs w:val="24"/>
        </w:rPr>
        <w:t xml:space="preserve">, </w:t>
      </w:r>
      <w:r w:rsidR="005A0D00">
        <w:rPr>
          <w:szCs w:val="24"/>
        </w:rPr>
        <w:t>provided a</w:t>
      </w:r>
      <w:r w:rsidR="005B118E">
        <w:rPr>
          <w:szCs w:val="24"/>
        </w:rPr>
        <w:t xml:space="preserve"> logical and </w:t>
      </w:r>
      <w:r w:rsidRPr="0043071B">
        <w:rPr>
          <w:szCs w:val="24"/>
        </w:rPr>
        <w:t xml:space="preserve">intelligible basis for the ultimate finding that the appellant’s complaint </w:t>
      </w:r>
      <w:r>
        <w:rPr>
          <w:szCs w:val="24"/>
        </w:rPr>
        <w:t>was</w:t>
      </w:r>
      <w:r w:rsidRPr="0043071B">
        <w:rPr>
          <w:szCs w:val="24"/>
        </w:rPr>
        <w:t xml:space="preserve"> fabricated in order </w:t>
      </w:r>
      <w:r>
        <w:rPr>
          <w:szCs w:val="24"/>
        </w:rPr>
        <w:t xml:space="preserve">to found a claim for protection: see </w:t>
      </w:r>
      <w:r w:rsidR="00921AD1" w:rsidRPr="00777B00">
        <w:rPr>
          <w:i/>
          <w:szCs w:val="24"/>
        </w:rPr>
        <w:t>Minister v SZMDS</w:t>
      </w:r>
      <w:r w:rsidR="00921AD1">
        <w:rPr>
          <w:szCs w:val="24"/>
        </w:rPr>
        <w:t xml:space="preserve"> (at [135] 649–50 per </w:t>
      </w:r>
      <w:proofErr w:type="spellStart"/>
      <w:r w:rsidR="00921AD1">
        <w:rPr>
          <w:szCs w:val="24"/>
        </w:rPr>
        <w:t>Crennan</w:t>
      </w:r>
      <w:proofErr w:type="spellEnd"/>
      <w:r w:rsidR="00921AD1">
        <w:rPr>
          <w:szCs w:val="24"/>
        </w:rPr>
        <w:t xml:space="preserve"> and Bell JJ); </w:t>
      </w:r>
      <w:r w:rsidRPr="00F217D0">
        <w:rPr>
          <w:i/>
        </w:rPr>
        <w:t>Minister for Immigration and Border Protection v SZVFW</w:t>
      </w:r>
      <w:r w:rsidRPr="00A70D43">
        <w:t xml:space="preserve"> </w:t>
      </w:r>
      <w:r>
        <w:t xml:space="preserve">[2018] HCA 30; </w:t>
      </w:r>
      <w:r w:rsidRPr="00A70D43">
        <w:t xml:space="preserve">(2018) </w:t>
      </w:r>
      <w:r>
        <w:t>264</w:t>
      </w:r>
      <w:r w:rsidRPr="00A70D43">
        <w:t xml:space="preserve"> </w:t>
      </w:r>
      <w:r>
        <w:t xml:space="preserve">CLR 541 (at 550–1 [10] per </w:t>
      </w:r>
      <w:proofErr w:type="spellStart"/>
      <w:r w:rsidRPr="00A70D43">
        <w:t>Kiefel</w:t>
      </w:r>
      <w:proofErr w:type="spellEnd"/>
      <w:r w:rsidRPr="00A70D43">
        <w:t xml:space="preserve"> C</w:t>
      </w:r>
      <w:r>
        <w:t>J and at 573 [82] per Nettle and Gordon JJ)</w:t>
      </w:r>
      <w:r>
        <w:rPr>
          <w:szCs w:val="24"/>
        </w:rPr>
        <w:t>.</w:t>
      </w:r>
    </w:p>
    <w:p w:rsidR="00CA5741" w:rsidRPr="00331C4F" w:rsidRDefault="00CA5741" w:rsidP="00CA5741">
      <w:pPr>
        <w:pStyle w:val="ParaNumbering"/>
      </w:pPr>
      <w:r w:rsidRPr="008D6AEA">
        <w:rPr>
          <w:i/>
          <w:szCs w:val="24"/>
        </w:rPr>
        <w:t>Thirdly</w:t>
      </w:r>
      <w:r w:rsidRPr="0043071B">
        <w:rPr>
          <w:szCs w:val="24"/>
        </w:rPr>
        <w:t xml:space="preserve">, to the extent </w:t>
      </w:r>
      <w:r>
        <w:rPr>
          <w:szCs w:val="24"/>
        </w:rPr>
        <w:t xml:space="preserve">that </w:t>
      </w:r>
      <w:r w:rsidRPr="0043071B">
        <w:rPr>
          <w:szCs w:val="24"/>
        </w:rPr>
        <w:t xml:space="preserve">this ground </w:t>
      </w:r>
      <w:r>
        <w:rPr>
          <w:szCs w:val="24"/>
        </w:rPr>
        <w:t xml:space="preserve">of appeal </w:t>
      </w:r>
      <w:r w:rsidRPr="0043071B">
        <w:rPr>
          <w:szCs w:val="24"/>
        </w:rPr>
        <w:t xml:space="preserve">relates to the appellant not being afforded the opportunity to </w:t>
      </w:r>
      <w:r>
        <w:rPr>
          <w:szCs w:val="24"/>
        </w:rPr>
        <w:t xml:space="preserve">clarify the facts relied on by the Tribunal, it </w:t>
      </w:r>
      <w:r w:rsidRPr="006D12F8">
        <w:rPr>
          <w:szCs w:val="24"/>
        </w:rPr>
        <w:t xml:space="preserve">is also misconceived. This is because the appellant </w:t>
      </w:r>
      <w:r>
        <w:rPr>
          <w:szCs w:val="24"/>
        </w:rPr>
        <w:t xml:space="preserve">was invited to, and attended, a </w:t>
      </w:r>
      <w:r w:rsidRPr="006D12F8">
        <w:rPr>
          <w:szCs w:val="24"/>
        </w:rPr>
        <w:t xml:space="preserve">hearing before the Tribunal to give evidence and present arguments in relation to the issues arising in his review. </w:t>
      </w:r>
      <w:r>
        <w:rPr>
          <w:szCs w:val="24"/>
        </w:rPr>
        <w:t xml:space="preserve">Indeed, at the commencement of the hearing, the appellant confirmed that he had nothing to add to what had been set out in his protection visa application: Primary Judgment (at [30]). </w:t>
      </w:r>
      <w:r w:rsidRPr="00BD3118">
        <w:rPr>
          <w:szCs w:val="24"/>
        </w:rPr>
        <w:t>T</w:t>
      </w:r>
      <w:r>
        <w:rPr>
          <w:szCs w:val="24"/>
        </w:rPr>
        <w:t>he cognate</w:t>
      </w:r>
      <w:r w:rsidRPr="00BD3118">
        <w:rPr>
          <w:szCs w:val="24"/>
        </w:rPr>
        <w:t xml:space="preserve"> ground of appeal advanced before the primary judge was particularised </w:t>
      </w:r>
      <w:r>
        <w:rPr>
          <w:szCs w:val="24"/>
        </w:rPr>
        <w:t>in</w:t>
      </w:r>
      <w:r w:rsidRPr="00BD3118">
        <w:rPr>
          <w:szCs w:val="24"/>
        </w:rPr>
        <w:t xml:space="preserve"> that the appellant “imagine[d] that it is reasonable to provide more specifics during the interview</w:t>
      </w:r>
      <w:r>
        <w:rPr>
          <w:szCs w:val="24"/>
        </w:rPr>
        <w:t xml:space="preserve">”. That was exactly the case. </w:t>
      </w:r>
      <w:r>
        <w:rPr>
          <w:szCs w:val="24"/>
        </w:rPr>
        <w:lastRenderedPageBreak/>
        <w:t>However, it was not an opportunity for the appellant to craft a more compelling story to aid his chances of obtaining a protection visa; an exercise which the Tribunal ultimately found had occurred. Furthermore, no evidence was given before the Federal Circuit Court, or is given now, to support the explanation that the appellant did not raise matters in his application because of the expectation of raising them later: see Primary Judgement (at [28]–[30]).</w:t>
      </w:r>
    </w:p>
    <w:p w:rsidR="00CA5741" w:rsidRPr="00391B1F" w:rsidRDefault="00CA5741" w:rsidP="00CA5741">
      <w:pPr>
        <w:pStyle w:val="ParaNumbering"/>
      </w:pPr>
      <w:r>
        <w:rPr>
          <w:szCs w:val="24"/>
        </w:rPr>
        <w:t>Accordingly, this ground is not made out.</w:t>
      </w:r>
    </w:p>
    <w:p w:rsidR="00CA5741" w:rsidRDefault="00CA5741" w:rsidP="00CA5741">
      <w:pPr>
        <w:pStyle w:val="Heading2"/>
      </w:pPr>
      <w:r>
        <w:t>B.2</w:t>
      </w:r>
      <w:r>
        <w:tab/>
        <w:t>Ground 2</w:t>
      </w:r>
    </w:p>
    <w:p w:rsidR="00CA5741" w:rsidRDefault="00CA5741" w:rsidP="00CA5741">
      <w:pPr>
        <w:pStyle w:val="ParaNumbering"/>
      </w:pPr>
      <w:r>
        <w:t>The second ground of appeal is in the following terms:</w:t>
      </w:r>
    </w:p>
    <w:p w:rsidR="00CA5741" w:rsidRDefault="00CA5741" w:rsidP="00CA5741">
      <w:pPr>
        <w:pStyle w:val="Quote1"/>
      </w:pPr>
      <w:r>
        <w:t>The AAT has been unreasonable and harsh on me. The Federal C</w:t>
      </w:r>
      <w:r w:rsidR="00EA507E">
        <w:t>ircuit c</w:t>
      </w:r>
      <w:r>
        <w:t>ourt</w:t>
      </w:r>
      <w:r w:rsidR="00EA507E">
        <w:t xml:space="preserve"> [sic]</w:t>
      </w:r>
      <w:r>
        <w:t xml:space="preserve"> didn't correct the unreasonableness.</w:t>
      </w:r>
    </w:p>
    <w:p w:rsidR="00CA5741" w:rsidRDefault="006E3522" w:rsidP="00CA5741">
      <w:pPr>
        <w:pStyle w:val="ParaNumbering"/>
      </w:pPr>
      <w:r>
        <w:t xml:space="preserve">Again, this ground is </w:t>
      </w:r>
      <w:proofErr w:type="spellStart"/>
      <w:r>
        <w:t>un</w:t>
      </w:r>
      <w:r w:rsidR="00CA5741">
        <w:t>particularised</w:t>
      </w:r>
      <w:proofErr w:type="spellEnd"/>
      <w:r w:rsidR="00CA5741">
        <w:t xml:space="preserve"> on appeal. However, I infer, with assistance from the way in which the ground was put before the primary judge, that the allegations that the Tribunal “has been unreasonable and harsh” can be dealt with by reference to the following propositions: (1) the Tribunal unreasonably found the appellant not to be a credible witness; (2) the Tribunal did not provide the appellant with an opportunity, as allegedly requested, to refresh his memory regarding the address at which he lived from documents in his bag; (3) the Tribunal exhibited bias (either actual or apprehended) toward the appellant; (4) the Tribunal otherwise did not comply with its procedural fairness obligations; and (5) overall, the Tribunal was “harsh” toward the appellant. I will deal with each of these arguments in turn.</w:t>
      </w:r>
    </w:p>
    <w:p w:rsidR="00CA5741" w:rsidRPr="00020483" w:rsidRDefault="00CA5741" w:rsidP="00CA5741">
      <w:pPr>
        <w:pStyle w:val="ParaNumbering"/>
        <w:rPr>
          <w:szCs w:val="24"/>
        </w:rPr>
      </w:pPr>
      <w:r w:rsidRPr="007660F2">
        <w:rPr>
          <w:i/>
          <w:szCs w:val="24"/>
        </w:rPr>
        <w:t>First</w:t>
      </w:r>
      <w:r w:rsidRPr="007660F2">
        <w:rPr>
          <w:szCs w:val="24"/>
        </w:rPr>
        <w:t>, the Tribunal’s conclusion that the appellant was not a credible witness was based on multiple inconsistencies identifi</w:t>
      </w:r>
      <w:r>
        <w:rPr>
          <w:szCs w:val="24"/>
        </w:rPr>
        <w:t>ed in the e</w:t>
      </w:r>
      <w:r w:rsidR="00ED6C60">
        <w:rPr>
          <w:szCs w:val="24"/>
        </w:rPr>
        <w:t xml:space="preserve">vidence he </w:t>
      </w:r>
      <w:r w:rsidR="00EA507E">
        <w:rPr>
          <w:szCs w:val="24"/>
        </w:rPr>
        <w:t>presented in his visa application and before the Tribunal</w:t>
      </w:r>
      <w:r w:rsidR="00ED6C60">
        <w:rPr>
          <w:szCs w:val="24"/>
        </w:rPr>
        <w:t>, including</w:t>
      </w:r>
      <w:r w:rsidR="00D40364">
        <w:rPr>
          <w:szCs w:val="24"/>
        </w:rPr>
        <w:t xml:space="preserve">, </w:t>
      </w:r>
      <w:r w:rsidR="00D40364" w:rsidRPr="00D40364">
        <w:rPr>
          <w:i/>
          <w:szCs w:val="24"/>
        </w:rPr>
        <w:t>inter alia</w:t>
      </w:r>
      <w:r w:rsidR="00ED6C60">
        <w:rPr>
          <w:szCs w:val="24"/>
        </w:rPr>
        <w:t>:</w:t>
      </w:r>
      <w:r>
        <w:rPr>
          <w:szCs w:val="24"/>
        </w:rPr>
        <w:t xml:space="preserve"> where he lived and when he lived there; the nature of the business he owned and operated; and the recount</w:t>
      </w:r>
      <w:r w:rsidR="00ED6C60">
        <w:rPr>
          <w:szCs w:val="24"/>
        </w:rPr>
        <w:t>ing</w:t>
      </w:r>
      <w:r>
        <w:rPr>
          <w:szCs w:val="24"/>
        </w:rPr>
        <w:t xml:space="preserve"> of his altercation with the Malay people</w:t>
      </w:r>
      <w:r w:rsidR="00F94C5D">
        <w:rPr>
          <w:szCs w:val="24"/>
        </w:rPr>
        <w:t xml:space="preserve"> who came to his shop</w:t>
      </w:r>
      <w:r>
        <w:rPr>
          <w:szCs w:val="24"/>
        </w:rPr>
        <w:t>. In these circumstances, the Tribunal’s conclusion</w:t>
      </w:r>
      <w:r w:rsidRPr="00020483">
        <w:rPr>
          <w:szCs w:val="24"/>
        </w:rPr>
        <w:t xml:space="preserve"> </w:t>
      </w:r>
      <w:r>
        <w:rPr>
          <w:szCs w:val="24"/>
        </w:rPr>
        <w:t>(at [13]) that the “applicant has fabricated his claims in order to found a claim for protection” was</w:t>
      </w:r>
      <w:r w:rsidRPr="00020483">
        <w:rPr>
          <w:szCs w:val="24"/>
        </w:rPr>
        <w:t xml:space="preserve"> logical, rational </w:t>
      </w:r>
      <w:r>
        <w:rPr>
          <w:szCs w:val="24"/>
        </w:rPr>
        <w:t>and had a probative basis. A</w:t>
      </w:r>
      <w:r w:rsidRPr="00020483">
        <w:rPr>
          <w:szCs w:val="24"/>
        </w:rPr>
        <w:t xml:space="preserve">s such, </w:t>
      </w:r>
      <w:r>
        <w:rPr>
          <w:szCs w:val="24"/>
        </w:rPr>
        <w:t>it cannot</w:t>
      </w:r>
      <w:r w:rsidRPr="00020483">
        <w:rPr>
          <w:szCs w:val="24"/>
        </w:rPr>
        <w:t xml:space="preserve"> be viewed as legally unreasonable: </w:t>
      </w:r>
      <w:r>
        <w:rPr>
          <w:szCs w:val="24"/>
        </w:rPr>
        <w:t xml:space="preserve">see </w:t>
      </w:r>
      <w:r w:rsidRPr="00020483">
        <w:rPr>
          <w:i/>
          <w:iCs/>
          <w:szCs w:val="24"/>
        </w:rPr>
        <w:t xml:space="preserve">ARG15 v Minister for Immigration and Border Protection </w:t>
      </w:r>
      <w:r>
        <w:rPr>
          <w:szCs w:val="24"/>
        </w:rPr>
        <w:t>[2016] FCAFC 174; (2016) 250 FCR 109</w:t>
      </w:r>
      <w:r w:rsidRPr="00020483">
        <w:rPr>
          <w:szCs w:val="24"/>
        </w:rPr>
        <w:t xml:space="preserve"> </w:t>
      </w:r>
      <w:r>
        <w:rPr>
          <w:szCs w:val="24"/>
        </w:rPr>
        <w:t>(</w:t>
      </w:r>
      <w:r w:rsidRPr="00020483">
        <w:rPr>
          <w:szCs w:val="24"/>
        </w:rPr>
        <w:t xml:space="preserve">at </w:t>
      </w:r>
      <w:r>
        <w:rPr>
          <w:szCs w:val="24"/>
        </w:rPr>
        <w:t xml:space="preserve">130–1 </w:t>
      </w:r>
      <w:r w:rsidRPr="00020483">
        <w:rPr>
          <w:szCs w:val="24"/>
        </w:rPr>
        <w:t>[83] per Griffiths, Perry and Bromwich JJ</w:t>
      </w:r>
      <w:r>
        <w:rPr>
          <w:szCs w:val="24"/>
        </w:rPr>
        <w:t>)</w:t>
      </w:r>
      <w:r w:rsidRPr="00020483">
        <w:rPr>
          <w:szCs w:val="24"/>
        </w:rPr>
        <w:t xml:space="preserve"> cited with approval by in </w:t>
      </w:r>
      <w:r w:rsidRPr="00020483">
        <w:rPr>
          <w:i/>
          <w:iCs/>
          <w:szCs w:val="24"/>
        </w:rPr>
        <w:t xml:space="preserve">DAO16 v Minister for Immigration and Border Protection </w:t>
      </w:r>
      <w:r>
        <w:rPr>
          <w:szCs w:val="24"/>
        </w:rPr>
        <w:t>[2018] FCAFC 2; (2018) 258 FCR 175</w:t>
      </w:r>
      <w:r w:rsidRPr="00020483">
        <w:rPr>
          <w:szCs w:val="24"/>
        </w:rPr>
        <w:t xml:space="preserve"> </w:t>
      </w:r>
      <w:r>
        <w:rPr>
          <w:szCs w:val="24"/>
        </w:rPr>
        <w:t>(</w:t>
      </w:r>
      <w:r w:rsidRPr="00020483">
        <w:rPr>
          <w:szCs w:val="24"/>
        </w:rPr>
        <w:t xml:space="preserve">at </w:t>
      </w:r>
      <w:r>
        <w:rPr>
          <w:szCs w:val="24"/>
        </w:rPr>
        <w:t xml:space="preserve">183–4 </w:t>
      </w:r>
      <w:r w:rsidRPr="00020483">
        <w:rPr>
          <w:szCs w:val="24"/>
        </w:rPr>
        <w:t>[30] per Kenny, Kerr and Perry JJ</w:t>
      </w:r>
      <w:r>
        <w:rPr>
          <w:szCs w:val="24"/>
        </w:rPr>
        <w:t>). Further, t</w:t>
      </w:r>
      <w:r w:rsidRPr="00020483">
        <w:rPr>
          <w:szCs w:val="24"/>
        </w:rPr>
        <w:t>o the exte</w:t>
      </w:r>
      <w:r>
        <w:rPr>
          <w:szCs w:val="24"/>
        </w:rPr>
        <w:t>nt that the appellant complains</w:t>
      </w:r>
      <w:r w:rsidRPr="00020483">
        <w:rPr>
          <w:szCs w:val="24"/>
        </w:rPr>
        <w:t xml:space="preserve"> of the Tribunal’s decision to test his claims, it was open to the Tribunal to do so and it was not </w:t>
      </w:r>
      <w:r w:rsidRPr="00020483">
        <w:rPr>
          <w:szCs w:val="24"/>
        </w:rPr>
        <w:lastRenderedPageBreak/>
        <w:t>required to</w:t>
      </w:r>
      <w:r>
        <w:rPr>
          <w:szCs w:val="24"/>
        </w:rPr>
        <w:t xml:space="preserve"> accept his </w:t>
      </w:r>
      <w:r w:rsidRPr="00020483">
        <w:rPr>
          <w:szCs w:val="24"/>
        </w:rPr>
        <w:t>evidence</w:t>
      </w:r>
      <w:r w:rsidR="00ED6C60">
        <w:rPr>
          <w:szCs w:val="24"/>
        </w:rPr>
        <w:t xml:space="preserve"> uncritically</w:t>
      </w:r>
      <w:r w:rsidRPr="00020483">
        <w:rPr>
          <w:szCs w:val="24"/>
        </w:rPr>
        <w:t xml:space="preserve">: </w:t>
      </w:r>
      <w:r w:rsidRPr="00020483">
        <w:rPr>
          <w:i/>
          <w:iCs/>
          <w:szCs w:val="24"/>
        </w:rPr>
        <w:t xml:space="preserve">Randhawa v Minister for Local Government and Ethnic Affairs </w:t>
      </w:r>
      <w:r>
        <w:rPr>
          <w:szCs w:val="24"/>
        </w:rPr>
        <w:t xml:space="preserve">[1994] FCA 1253; </w:t>
      </w:r>
      <w:r w:rsidRPr="00020483">
        <w:rPr>
          <w:szCs w:val="24"/>
        </w:rPr>
        <w:t xml:space="preserve">(1994) 52 FCR 437 </w:t>
      </w:r>
      <w:r>
        <w:rPr>
          <w:szCs w:val="24"/>
        </w:rPr>
        <w:t>(at 451</w:t>
      </w:r>
      <w:r w:rsidRPr="00020483">
        <w:rPr>
          <w:szCs w:val="24"/>
        </w:rPr>
        <w:t xml:space="preserve"> per Beaumont J</w:t>
      </w:r>
      <w:r>
        <w:rPr>
          <w:szCs w:val="24"/>
        </w:rPr>
        <w:t>)</w:t>
      </w:r>
      <w:r w:rsidRPr="00020483">
        <w:rPr>
          <w:szCs w:val="24"/>
        </w:rPr>
        <w:t>.</w:t>
      </w:r>
    </w:p>
    <w:p w:rsidR="00CA5741" w:rsidRPr="000E3562" w:rsidRDefault="00CA5741" w:rsidP="00CA5741">
      <w:pPr>
        <w:pStyle w:val="ParaNumbering"/>
        <w:rPr>
          <w:szCs w:val="24"/>
        </w:rPr>
      </w:pPr>
      <w:r w:rsidRPr="000E3562">
        <w:rPr>
          <w:i/>
          <w:szCs w:val="24"/>
        </w:rPr>
        <w:t>Secondly</w:t>
      </w:r>
      <w:r w:rsidRPr="000E3562">
        <w:rPr>
          <w:szCs w:val="24"/>
        </w:rPr>
        <w:t>,</w:t>
      </w:r>
      <w:r w:rsidRPr="000E3562">
        <w:rPr>
          <w:i/>
          <w:szCs w:val="24"/>
        </w:rPr>
        <w:t xml:space="preserve"> </w:t>
      </w:r>
      <w:r w:rsidRPr="000E3562">
        <w:rPr>
          <w:szCs w:val="24"/>
        </w:rPr>
        <w:t>while the Tribunal decision (at [10])</w:t>
      </w:r>
      <w:r>
        <w:rPr>
          <w:szCs w:val="24"/>
        </w:rPr>
        <w:t xml:space="preserve"> does reveal that the</w:t>
      </w:r>
      <w:r w:rsidRPr="000E3562">
        <w:rPr>
          <w:szCs w:val="24"/>
        </w:rPr>
        <w:t xml:space="preserve"> Tribunal </w:t>
      </w:r>
      <w:r>
        <w:rPr>
          <w:szCs w:val="24"/>
        </w:rPr>
        <w:t>asked the</w:t>
      </w:r>
      <w:r w:rsidRPr="000E3562">
        <w:rPr>
          <w:szCs w:val="24"/>
        </w:rPr>
        <w:t xml:space="preserve"> appellant questions about where he had lived in Malaysia, to which </w:t>
      </w:r>
      <w:r>
        <w:rPr>
          <w:szCs w:val="24"/>
        </w:rPr>
        <w:t>he</w:t>
      </w:r>
      <w:r w:rsidRPr="000E3562">
        <w:rPr>
          <w:szCs w:val="24"/>
        </w:rPr>
        <w:t xml:space="preserve"> is reported </w:t>
      </w:r>
      <w:r>
        <w:rPr>
          <w:szCs w:val="24"/>
        </w:rPr>
        <w:t xml:space="preserve">as </w:t>
      </w:r>
      <w:r w:rsidRPr="000E3562">
        <w:rPr>
          <w:szCs w:val="24"/>
        </w:rPr>
        <w:t>responding</w:t>
      </w:r>
      <w:r w:rsidR="00B6498F">
        <w:rPr>
          <w:szCs w:val="24"/>
        </w:rPr>
        <w:t>, after some time,</w:t>
      </w:r>
      <w:r w:rsidRPr="000E3562">
        <w:rPr>
          <w:szCs w:val="24"/>
        </w:rPr>
        <w:t xml:space="preserve"> that he </w:t>
      </w:r>
      <w:r>
        <w:rPr>
          <w:szCs w:val="24"/>
        </w:rPr>
        <w:t xml:space="preserve">lived in </w:t>
      </w:r>
      <w:proofErr w:type="spellStart"/>
      <w:r>
        <w:rPr>
          <w:szCs w:val="24"/>
        </w:rPr>
        <w:t>Petang</w:t>
      </w:r>
      <w:proofErr w:type="spellEnd"/>
      <w:r>
        <w:rPr>
          <w:szCs w:val="24"/>
        </w:rPr>
        <w:t xml:space="preserve"> Jaya for 4–</w:t>
      </w:r>
      <w:r w:rsidRPr="000E3562">
        <w:rPr>
          <w:szCs w:val="24"/>
        </w:rPr>
        <w:t xml:space="preserve">5 years prior to coming to Australia but did not remember the address, there is nothing to indicate that the appellant asked the Tribunal for the opportunity, and the Tribunal denied him the opportunity, to refresh his memory </w:t>
      </w:r>
      <w:r>
        <w:rPr>
          <w:szCs w:val="24"/>
        </w:rPr>
        <w:t>from</w:t>
      </w:r>
      <w:r w:rsidRPr="000E3562">
        <w:rPr>
          <w:szCs w:val="24"/>
        </w:rPr>
        <w:t xml:space="preserve"> documents in his bag. In any event, the appellant did not specifically raise with the Tribunal that he had a poor memory</w:t>
      </w:r>
      <w:r>
        <w:rPr>
          <w:szCs w:val="24"/>
        </w:rPr>
        <w:t>. N</w:t>
      </w:r>
      <w:r w:rsidRPr="000E3562">
        <w:rPr>
          <w:szCs w:val="24"/>
        </w:rPr>
        <w:t>or did he advance any eviden</w:t>
      </w:r>
      <w:r>
        <w:rPr>
          <w:szCs w:val="24"/>
        </w:rPr>
        <w:t>ce in support of this assertion. W</w:t>
      </w:r>
      <w:r w:rsidRPr="000E3562">
        <w:rPr>
          <w:szCs w:val="24"/>
        </w:rPr>
        <w:t xml:space="preserve">ithout further particulars, this allegation does not disclose that he was deprived </w:t>
      </w:r>
      <w:r>
        <w:rPr>
          <w:szCs w:val="24"/>
        </w:rPr>
        <w:t xml:space="preserve">of </w:t>
      </w:r>
      <w:r w:rsidRPr="000E3562">
        <w:rPr>
          <w:szCs w:val="24"/>
        </w:rPr>
        <w:t xml:space="preserve">a meaningful opportunity to participate in the hearing as required by s 425 of the </w:t>
      </w:r>
      <w:r w:rsidRPr="001432FD">
        <w:rPr>
          <w:i/>
          <w:szCs w:val="24"/>
        </w:rPr>
        <w:t>M</w:t>
      </w:r>
      <w:r>
        <w:rPr>
          <w:i/>
          <w:szCs w:val="24"/>
        </w:rPr>
        <w:t xml:space="preserve">igration Act 1958 </w:t>
      </w:r>
      <w:r w:rsidRPr="001432FD">
        <w:rPr>
          <w:szCs w:val="24"/>
        </w:rPr>
        <w:t>(</w:t>
      </w:r>
      <w:proofErr w:type="spellStart"/>
      <w:r w:rsidRPr="001432FD">
        <w:rPr>
          <w:szCs w:val="24"/>
        </w:rPr>
        <w:t>Cth</w:t>
      </w:r>
      <w:proofErr w:type="spellEnd"/>
      <w:r w:rsidRPr="001432FD">
        <w:rPr>
          <w:szCs w:val="24"/>
        </w:rPr>
        <w:t>)</w:t>
      </w:r>
      <w:r>
        <w:rPr>
          <w:szCs w:val="24"/>
        </w:rPr>
        <w:t xml:space="preserve"> (</w:t>
      </w:r>
      <w:r w:rsidRPr="00B35AFC">
        <w:rPr>
          <w:b/>
          <w:szCs w:val="24"/>
        </w:rPr>
        <w:t>Act</w:t>
      </w:r>
      <w:r>
        <w:rPr>
          <w:szCs w:val="24"/>
        </w:rPr>
        <w:t>). Indeed, a</w:t>
      </w:r>
      <w:r w:rsidRPr="000E3562">
        <w:rPr>
          <w:szCs w:val="24"/>
        </w:rPr>
        <w:t xml:space="preserve">s was stated by the </w:t>
      </w:r>
      <w:r w:rsidR="00C9518E">
        <w:rPr>
          <w:szCs w:val="24"/>
        </w:rPr>
        <w:t xml:space="preserve">Full </w:t>
      </w:r>
      <w:r w:rsidRPr="000E3562">
        <w:rPr>
          <w:szCs w:val="24"/>
        </w:rPr>
        <w:t>Court (</w:t>
      </w:r>
      <w:r w:rsidRPr="000E3562">
        <w:t xml:space="preserve">Kenny, McKerracher and White JJ) in </w:t>
      </w:r>
      <w:r w:rsidRPr="000E3562">
        <w:rPr>
          <w:i/>
        </w:rPr>
        <w:t xml:space="preserve">BJB16 v Minister for Immigration and Border Protection </w:t>
      </w:r>
      <w:r w:rsidRPr="000E3562">
        <w:t xml:space="preserve">[2018] FCAFC 49; </w:t>
      </w:r>
      <w:r w:rsidRPr="000E3562">
        <w:rPr>
          <w:szCs w:val="24"/>
        </w:rPr>
        <w:t xml:space="preserve">(2018) </w:t>
      </w:r>
      <w:r w:rsidRPr="000E3562">
        <w:t>260 FCR 116 (at 125 [43])</w:t>
      </w:r>
      <w:r w:rsidRPr="000E3562">
        <w:rPr>
          <w:szCs w:val="24"/>
        </w:rPr>
        <w:t>:</w:t>
      </w:r>
    </w:p>
    <w:p w:rsidR="00CA5741" w:rsidRDefault="00CA5741" w:rsidP="00D5050D">
      <w:pPr>
        <w:pStyle w:val="Quote1"/>
      </w:pPr>
      <w:r w:rsidRPr="000E3562">
        <w:t xml:space="preserve">Applicants who assert that their psychological condition deprived them of the “meaningful opportunity” required by s 425 of the </w:t>
      </w:r>
      <w:r w:rsidRPr="00C9518E">
        <w:rPr>
          <w:i/>
        </w:rPr>
        <w:t>Migration Act</w:t>
      </w:r>
      <w:r w:rsidRPr="000E3562">
        <w:t xml:space="preserve"> must establish more than the fact of the condition. They must also establish that their condition is such as to deny them the capacity to give an account of their experiences, to present argument in support of their claims, and to understand and respond to the questions put to them. </w:t>
      </w:r>
      <w:r w:rsidR="00D5050D">
        <w:t>Further, even when psychological evidence may, had it been available to the Tribunal, have led it to take a different view of the credibility of an applicant’s account, the absence of that evidence does not, of itself, establish that the hearing before the Tribunal proceeded on a false assumption about the applicant’s ability to give evidence and to present arguments relating to the issues arising in relation to the decision under review. Generally, it is insufficient for applicants to show no more than that a medical condition may have deprived them of the ability to put their case to best advantage.</w:t>
      </w:r>
    </w:p>
    <w:p w:rsidR="00D5050D" w:rsidRPr="000E3562" w:rsidRDefault="003B3A3E" w:rsidP="00D5050D">
      <w:pPr>
        <w:pStyle w:val="Quote1"/>
      </w:pPr>
      <w:r>
        <w:t>(citations omitted)</w:t>
      </w:r>
    </w:p>
    <w:p w:rsidR="00CA5741" w:rsidRPr="00324060" w:rsidRDefault="00CA5741" w:rsidP="00CA5741">
      <w:pPr>
        <w:pStyle w:val="ParaNumbering"/>
        <w:rPr>
          <w:szCs w:val="24"/>
        </w:rPr>
      </w:pPr>
      <w:r>
        <w:rPr>
          <w:szCs w:val="24"/>
        </w:rPr>
        <w:t xml:space="preserve">See </w:t>
      </w:r>
      <w:r w:rsidRPr="000E3562">
        <w:rPr>
          <w:szCs w:val="24"/>
        </w:rPr>
        <w:t xml:space="preserve">also </w:t>
      </w:r>
      <w:r w:rsidRPr="000E3562">
        <w:rPr>
          <w:i/>
          <w:iCs/>
          <w:szCs w:val="24"/>
        </w:rPr>
        <w:t xml:space="preserve">Minister for Immigration and Multicultural and Indigenous Affairs v SGLB </w:t>
      </w:r>
      <w:r>
        <w:rPr>
          <w:szCs w:val="24"/>
        </w:rPr>
        <w:t>[2004] HCA 32; (2004) 78 ALJR 992</w:t>
      </w:r>
      <w:r w:rsidRPr="000E3562">
        <w:rPr>
          <w:szCs w:val="24"/>
        </w:rPr>
        <w:t xml:space="preserve"> </w:t>
      </w:r>
      <w:r>
        <w:rPr>
          <w:szCs w:val="24"/>
        </w:rPr>
        <w:t>(</w:t>
      </w:r>
      <w:r w:rsidRPr="000E3562">
        <w:rPr>
          <w:szCs w:val="24"/>
        </w:rPr>
        <w:t xml:space="preserve">at </w:t>
      </w:r>
      <w:r>
        <w:rPr>
          <w:szCs w:val="24"/>
        </w:rPr>
        <w:t xml:space="preserve">995–6 </w:t>
      </w:r>
      <w:r w:rsidRPr="000E3562">
        <w:rPr>
          <w:szCs w:val="24"/>
        </w:rPr>
        <w:t>[19] per Gleeson CJ</w:t>
      </w:r>
      <w:r>
        <w:rPr>
          <w:szCs w:val="24"/>
        </w:rPr>
        <w:t>)</w:t>
      </w:r>
      <w:r w:rsidRPr="000E3562">
        <w:rPr>
          <w:szCs w:val="24"/>
        </w:rPr>
        <w:t xml:space="preserve">; </w:t>
      </w:r>
      <w:r w:rsidRPr="000E3562">
        <w:rPr>
          <w:i/>
          <w:iCs/>
          <w:szCs w:val="24"/>
        </w:rPr>
        <w:t xml:space="preserve">Minister for Immigration and Citizenship v SZNVW </w:t>
      </w:r>
      <w:r w:rsidRPr="000E3562">
        <w:rPr>
          <w:szCs w:val="24"/>
        </w:rPr>
        <w:t>(2010) 183 FCR 575; [2</w:t>
      </w:r>
      <w:r>
        <w:rPr>
          <w:szCs w:val="24"/>
        </w:rPr>
        <w:t>010] FCAFC 41</w:t>
      </w:r>
      <w:r w:rsidRPr="000E3562">
        <w:rPr>
          <w:szCs w:val="24"/>
        </w:rPr>
        <w:t xml:space="preserve"> </w:t>
      </w:r>
      <w:r>
        <w:rPr>
          <w:szCs w:val="24"/>
        </w:rPr>
        <w:t>(</w:t>
      </w:r>
      <w:r w:rsidRPr="000E3562">
        <w:rPr>
          <w:szCs w:val="24"/>
        </w:rPr>
        <w:t>at</w:t>
      </w:r>
      <w:r>
        <w:rPr>
          <w:szCs w:val="24"/>
        </w:rPr>
        <w:t xml:space="preserve"> 582</w:t>
      </w:r>
      <w:r w:rsidRPr="000E3562">
        <w:rPr>
          <w:szCs w:val="24"/>
        </w:rPr>
        <w:t xml:space="preserve"> [20] per Keane CJ</w:t>
      </w:r>
      <w:r>
        <w:rPr>
          <w:szCs w:val="24"/>
        </w:rPr>
        <w:t>)</w:t>
      </w:r>
      <w:r w:rsidRPr="000E3562">
        <w:rPr>
          <w:szCs w:val="24"/>
        </w:rPr>
        <w:t xml:space="preserve">; </w:t>
      </w:r>
      <w:r w:rsidRPr="000E3562">
        <w:rPr>
          <w:i/>
        </w:rPr>
        <w:t xml:space="preserve">SZMSA v Minister for Immigration </w:t>
      </w:r>
      <w:r>
        <w:rPr>
          <w:i/>
        </w:rPr>
        <w:t>&amp;</w:t>
      </w:r>
      <w:r w:rsidRPr="000E3562">
        <w:rPr>
          <w:i/>
        </w:rPr>
        <w:t xml:space="preserve"> Citizenship</w:t>
      </w:r>
      <w:r w:rsidRPr="000E3562">
        <w:t xml:space="preserve"> [2010] FCA 345 </w:t>
      </w:r>
      <w:r>
        <w:t>(at [20]</w:t>
      </w:r>
      <w:r>
        <w:rPr>
          <w:szCs w:val="24"/>
        </w:rPr>
        <w:t>–</w:t>
      </w:r>
      <w:r>
        <w:t>[25] per Gilmour J)</w:t>
      </w:r>
      <w:r w:rsidRPr="000E3562">
        <w:t>.</w:t>
      </w:r>
      <w:r>
        <w:t xml:space="preserve"> Accordingly, I agree with the primary judge that any allegation that the appellant was denied a meaningful opportunity to give evidence and fully participate in the hearing is not made out.</w:t>
      </w:r>
    </w:p>
    <w:p w:rsidR="00CA5741" w:rsidRPr="00CD7FAF" w:rsidRDefault="00CA5741" w:rsidP="00CA5741">
      <w:pPr>
        <w:pStyle w:val="ParaNumbering"/>
        <w:rPr>
          <w:szCs w:val="24"/>
        </w:rPr>
      </w:pPr>
      <w:r w:rsidRPr="00020483">
        <w:rPr>
          <w:i/>
          <w:szCs w:val="24"/>
        </w:rPr>
        <w:t>Thirdly</w:t>
      </w:r>
      <w:r w:rsidRPr="00020483">
        <w:rPr>
          <w:szCs w:val="24"/>
        </w:rPr>
        <w:t xml:space="preserve">, an allegation of bias (actual or apprehended) is one which must be </w:t>
      </w:r>
      <w:r>
        <w:rPr>
          <w:szCs w:val="24"/>
        </w:rPr>
        <w:t>distinctly</w:t>
      </w:r>
      <w:r w:rsidRPr="00020483">
        <w:rPr>
          <w:szCs w:val="24"/>
        </w:rPr>
        <w:t xml:space="preserve"> made and </w:t>
      </w:r>
      <w:r>
        <w:rPr>
          <w:szCs w:val="24"/>
        </w:rPr>
        <w:t>clearly</w:t>
      </w:r>
      <w:r w:rsidRPr="00020483">
        <w:rPr>
          <w:szCs w:val="24"/>
        </w:rPr>
        <w:t xml:space="preserve"> proved: </w:t>
      </w:r>
      <w:r w:rsidRPr="00020483">
        <w:rPr>
          <w:i/>
          <w:iCs/>
          <w:szCs w:val="24"/>
        </w:rPr>
        <w:t xml:space="preserve">Minister for Immigration and Multicultural Affairs v </w:t>
      </w:r>
      <w:proofErr w:type="spellStart"/>
      <w:r w:rsidRPr="00020483">
        <w:rPr>
          <w:i/>
          <w:iCs/>
          <w:szCs w:val="24"/>
        </w:rPr>
        <w:t>Jia</w:t>
      </w:r>
      <w:proofErr w:type="spellEnd"/>
      <w:r w:rsidRPr="00020483">
        <w:rPr>
          <w:i/>
          <w:iCs/>
          <w:szCs w:val="24"/>
        </w:rPr>
        <w:t xml:space="preserve"> </w:t>
      </w:r>
      <w:proofErr w:type="spellStart"/>
      <w:r w:rsidRPr="00020483">
        <w:rPr>
          <w:i/>
          <w:iCs/>
          <w:szCs w:val="24"/>
        </w:rPr>
        <w:t>Legeng</w:t>
      </w:r>
      <w:proofErr w:type="spellEnd"/>
      <w:r w:rsidRPr="00020483">
        <w:rPr>
          <w:i/>
          <w:iCs/>
          <w:szCs w:val="24"/>
        </w:rPr>
        <w:t xml:space="preserve"> </w:t>
      </w:r>
      <w:r>
        <w:rPr>
          <w:szCs w:val="24"/>
        </w:rPr>
        <w:t>[2001] HCA 17; (2001) 205 CLR 507</w:t>
      </w:r>
      <w:r w:rsidRPr="00020483">
        <w:rPr>
          <w:szCs w:val="24"/>
        </w:rPr>
        <w:t xml:space="preserve"> </w:t>
      </w:r>
      <w:r>
        <w:rPr>
          <w:szCs w:val="24"/>
        </w:rPr>
        <w:t>(</w:t>
      </w:r>
      <w:r w:rsidRPr="00020483">
        <w:rPr>
          <w:szCs w:val="24"/>
        </w:rPr>
        <w:t>at</w:t>
      </w:r>
      <w:r>
        <w:rPr>
          <w:szCs w:val="24"/>
        </w:rPr>
        <w:t xml:space="preserve"> 531</w:t>
      </w:r>
      <w:r w:rsidRPr="00020483">
        <w:rPr>
          <w:szCs w:val="24"/>
        </w:rPr>
        <w:t xml:space="preserve"> [69] per Gleeson CJ and </w:t>
      </w:r>
      <w:proofErr w:type="spellStart"/>
      <w:r w:rsidRPr="00020483">
        <w:rPr>
          <w:szCs w:val="24"/>
        </w:rPr>
        <w:t>Gummow</w:t>
      </w:r>
      <w:proofErr w:type="spellEnd"/>
      <w:r w:rsidRPr="00020483">
        <w:rPr>
          <w:szCs w:val="24"/>
        </w:rPr>
        <w:t xml:space="preserve"> J and at </w:t>
      </w:r>
      <w:r>
        <w:rPr>
          <w:szCs w:val="24"/>
        </w:rPr>
        <w:t xml:space="preserve">546 </w:t>
      </w:r>
      <w:r w:rsidRPr="00020483">
        <w:rPr>
          <w:szCs w:val="24"/>
        </w:rPr>
        <w:t xml:space="preserve">[127] per </w:t>
      </w:r>
      <w:r w:rsidRPr="00020483">
        <w:rPr>
          <w:szCs w:val="24"/>
        </w:rPr>
        <w:lastRenderedPageBreak/>
        <w:t>Kirby J</w:t>
      </w:r>
      <w:r>
        <w:rPr>
          <w:szCs w:val="24"/>
        </w:rPr>
        <w:t xml:space="preserve">). Indeed, an </w:t>
      </w:r>
      <w:r w:rsidRPr="00020483">
        <w:rPr>
          <w:szCs w:val="24"/>
        </w:rPr>
        <w:t>inference of bias or prejudgment should not be drawn from th</w:t>
      </w:r>
      <w:r>
        <w:rPr>
          <w:szCs w:val="24"/>
        </w:rPr>
        <w:t xml:space="preserve">e mere fact of adverse findings and </w:t>
      </w:r>
      <w:r w:rsidRPr="00020483">
        <w:rPr>
          <w:szCs w:val="24"/>
        </w:rPr>
        <w:t>will rarely be made out</w:t>
      </w:r>
      <w:r>
        <w:rPr>
          <w:szCs w:val="24"/>
        </w:rPr>
        <w:t xml:space="preserve"> by mere reference to the published reasons for a decision</w:t>
      </w:r>
      <w:r w:rsidRPr="00020483">
        <w:rPr>
          <w:szCs w:val="24"/>
        </w:rPr>
        <w:t xml:space="preserve">: </w:t>
      </w:r>
      <w:r w:rsidRPr="00020483">
        <w:rPr>
          <w:i/>
          <w:iCs/>
          <w:szCs w:val="24"/>
        </w:rPr>
        <w:t xml:space="preserve">SCAA v Minister for Immigration </w:t>
      </w:r>
      <w:r>
        <w:rPr>
          <w:i/>
          <w:iCs/>
          <w:szCs w:val="24"/>
        </w:rPr>
        <w:t>&amp;</w:t>
      </w:r>
      <w:r w:rsidRPr="00020483">
        <w:rPr>
          <w:i/>
          <w:iCs/>
          <w:szCs w:val="24"/>
        </w:rPr>
        <w:t xml:space="preserve"> Multicultural </w:t>
      </w:r>
      <w:r>
        <w:rPr>
          <w:i/>
          <w:iCs/>
          <w:szCs w:val="24"/>
        </w:rPr>
        <w:t>&amp;</w:t>
      </w:r>
      <w:r w:rsidRPr="00020483">
        <w:rPr>
          <w:i/>
          <w:iCs/>
          <w:szCs w:val="24"/>
        </w:rPr>
        <w:t xml:space="preserve"> Indigenous Affairs </w:t>
      </w:r>
      <w:r w:rsidRPr="00020483">
        <w:rPr>
          <w:szCs w:val="24"/>
        </w:rPr>
        <w:t xml:space="preserve">[2002] FCA 668 </w:t>
      </w:r>
      <w:r>
        <w:rPr>
          <w:szCs w:val="24"/>
        </w:rPr>
        <w:t>(</w:t>
      </w:r>
      <w:r w:rsidRPr="00020483">
        <w:rPr>
          <w:szCs w:val="24"/>
        </w:rPr>
        <w:t xml:space="preserve">at [38] per von </w:t>
      </w:r>
      <w:proofErr w:type="spellStart"/>
      <w:r w:rsidRPr="00020483">
        <w:rPr>
          <w:szCs w:val="24"/>
        </w:rPr>
        <w:t>Doussa</w:t>
      </w:r>
      <w:proofErr w:type="spellEnd"/>
      <w:r w:rsidRPr="00020483">
        <w:rPr>
          <w:szCs w:val="24"/>
        </w:rPr>
        <w:t xml:space="preserve"> J</w:t>
      </w:r>
      <w:r>
        <w:rPr>
          <w:szCs w:val="24"/>
        </w:rPr>
        <w:t>)</w:t>
      </w:r>
      <w:r w:rsidRPr="00020483">
        <w:rPr>
          <w:szCs w:val="24"/>
        </w:rPr>
        <w:t>. T</w:t>
      </w:r>
      <w:r>
        <w:rPr>
          <w:szCs w:val="24"/>
        </w:rPr>
        <w:t>he appellant has</w:t>
      </w:r>
      <w:r w:rsidRPr="00020483">
        <w:rPr>
          <w:szCs w:val="24"/>
        </w:rPr>
        <w:t xml:space="preserve"> not provided any particulars</w:t>
      </w:r>
      <w:r>
        <w:rPr>
          <w:szCs w:val="24"/>
        </w:rPr>
        <w:t xml:space="preserve"> as to an allegation of bias,</w:t>
      </w:r>
      <w:r w:rsidRPr="00020483">
        <w:rPr>
          <w:szCs w:val="24"/>
        </w:rPr>
        <w:t xml:space="preserve"> nor file</w:t>
      </w:r>
      <w:r>
        <w:rPr>
          <w:szCs w:val="24"/>
        </w:rPr>
        <w:t>d</w:t>
      </w:r>
      <w:r w:rsidRPr="00020483">
        <w:rPr>
          <w:szCs w:val="24"/>
        </w:rPr>
        <w:t xml:space="preserve"> any evidence </w:t>
      </w:r>
      <w:r>
        <w:rPr>
          <w:szCs w:val="24"/>
        </w:rPr>
        <w:t>to</w:t>
      </w:r>
      <w:r w:rsidRPr="00020483">
        <w:rPr>
          <w:szCs w:val="24"/>
        </w:rPr>
        <w:t xml:space="preserve"> support </w:t>
      </w:r>
      <w:r>
        <w:rPr>
          <w:szCs w:val="24"/>
        </w:rPr>
        <w:t>such</w:t>
      </w:r>
      <w:r w:rsidRPr="00020483">
        <w:rPr>
          <w:szCs w:val="24"/>
        </w:rPr>
        <w:t xml:space="preserve"> allegation</w:t>
      </w:r>
      <w:r>
        <w:rPr>
          <w:szCs w:val="24"/>
        </w:rPr>
        <w:t>. I</w:t>
      </w:r>
      <w:r w:rsidRPr="00020483">
        <w:rPr>
          <w:szCs w:val="24"/>
        </w:rPr>
        <w:t xml:space="preserve">n these circumstances, </w:t>
      </w:r>
      <w:r>
        <w:rPr>
          <w:szCs w:val="24"/>
        </w:rPr>
        <w:t>any such assertion is</w:t>
      </w:r>
      <w:r w:rsidRPr="00CD7FAF">
        <w:rPr>
          <w:szCs w:val="24"/>
        </w:rPr>
        <w:t xml:space="preserve"> incapable of establishing juris</w:t>
      </w:r>
      <w:r>
        <w:rPr>
          <w:szCs w:val="24"/>
        </w:rPr>
        <w:t>dictional error in the Tribunal’</w:t>
      </w:r>
      <w:r w:rsidRPr="00CD7FAF">
        <w:rPr>
          <w:szCs w:val="24"/>
        </w:rPr>
        <w:t>s decision.</w:t>
      </w:r>
      <w:r>
        <w:rPr>
          <w:szCs w:val="24"/>
        </w:rPr>
        <w:t xml:space="preserve"> </w:t>
      </w:r>
    </w:p>
    <w:p w:rsidR="00CA5741" w:rsidRDefault="00CA5741" w:rsidP="00CA5741">
      <w:pPr>
        <w:pStyle w:val="ParaNumbering"/>
        <w:rPr>
          <w:szCs w:val="24"/>
        </w:rPr>
      </w:pPr>
      <w:r w:rsidRPr="00CD7FAF">
        <w:rPr>
          <w:i/>
          <w:szCs w:val="24"/>
        </w:rPr>
        <w:t>Fourthly</w:t>
      </w:r>
      <w:r w:rsidRPr="00CD7FAF">
        <w:rPr>
          <w:szCs w:val="24"/>
        </w:rPr>
        <w:t xml:space="preserve">, </w:t>
      </w:r>
      <w:r>
        <w:rPr>
          <w:szCs w:val="24"/>
        </w:rPr>
        <w:t xml:space="preserve">for the reasons outlined by the primary judge (at [39]–[43]), I am not satisfied that </w:t>
      </w:r>
      <w:r>
        <w:t>the Tribunal otherwise did not comply with its procedura</w:t>
      </w:r>
      <w:r w:rsidR="000B0455">
        <w:t xml:space="preserve">l fairness obligations pursuant </w:t>
      </w:r>
      <w:r w:rsidR="00695CA5">
        <w:t>to</w:t>
      </w:r>
      <w:r>
        <w:t xml:space="preserve"> the </w:t>
      </w:r>
      <w:r w:rsidRPr="00B35AFC">
        <w:t>Act</w:t>
      </w:r>
      <w:r>
        <w:t>.</w:t>
      </w:r>
    </w:p>
    <w:p w:rsidR="00CA5741" w:rsidRDefault="00CA5741" w:rsidP="00CA5741">
      <w:pPr>
        <w:pStyle w:val="ParaNumbering"/>
        <w:rPr>
          <w:szCs w:val="24"/>
        </w:rPr>
      </w:pPr>
      <w:r w:rsidRPr="00B35AFC">
        <w:rPr>
          <w:i/>
          <w:szCs w:val="24"/>
        </w:rPr>
        <w:t>Fifthly</w:t>
      </w:r>
      <w:r>
        <w:rPr>
          <w:szCs w:val="24"/>
        </w:rPr>
        <w:t xml:space="preserve">, and as the primary judge noted (at [37]), the </w:t>
      </w:r>
      <w:r w:rsidRPr="00CD7FAF">
        <w:rPr>
          <w:szCs w:val="24"/>
        </w:rPr>
        <w:t>assertion th</w:t>
      </w:r>
      <w:r>
        <w:rPr>
          <w:szCs w:val="24"/>
        </w:rPr>
        <w:t>at the Tribunal’s decision was “harsh”, without more, is</w:t>
      </w:r>
      <w:r w:rsidRPr="00CD7FAF">
        <w:rPr>
          <w:szCs w:val="24"/>
        </w:rPr>
        <w:t xml:space="preserve"> </w:t>
      </w:r>
      <w:r>
        <w:rPr>
          <w:szCs w:val="24"/>
        </w:rPr>
        <w:t xml:space="preserve">simply </w:t>
      </w:r>
      <w:r w:rsidRPr="00CD7FAF">
        <w:rPr>
          <w:szCs w:val="24"/>
        </w:rPr>
        <w:t>an expression</w:t>
      </w:r>
      <w:r>
        <w:rPr>
          <w:szCs w:val="24"/>
        </w:rPr>
        <w:t xml:space="preserve"> of grievance with the Tribunal’</w:t>
      </w:r>
      <w:r w:rsidRPr="00CD7FAF">
        <w:rPr>
          <w:szCs w:val="24"/>
        </w:rPr>
        <w:t>s decision</w:t>
      </w:r>
      <w:r>
        <w:rPr>
          <w:szCs w:val="24"/>
        </w:rPr>
        <w:t>, the giving effect to which would</w:t>
      </w:r>
      <w:r w:rsidRPr="00CD7FAF">
        <w:rPr>
          <w:szCs w:val="24"/>
        </w:rPr>
        <w:t xml:space="preserve"> </w:t>
      </w:r>
      <w:r>
        <w:rPr>
          <w:szCs w:val="24"/>
        </w:rPr>
        <w:t xml:space="preserve">be to drift </w:t>
      </w:r>
      <w:r w:rsidR="006E3522">
        <w:rPr>
          <w:szCs w:val="24"/>
        </w:rPr>
        <w:t xml:space="preserve">impermissibly </w:t>
      </w:r>
      <w:r>
        <w:rPr>
          <w:szCs w:val="24"/>
        </w:rPr>
        <w:t>into merits review.</w:t>
      </w:r>
    </w:p>
    <w:p w:rsidR="00CA5741" w:rsidRPr="008F57B2" w:rsidRDefault="00CA5741" w:rsidP="00CA5741">
      <w:pPr>
        <w:pStyle w:val="ParaNumbering"/>
      </w:pPr>
      <w:r>
        <w:rPr>
          <w:szCs w:val="24"/>
        </w:rPr>
        <w:t>Accordingly, this ground is not made out.</w:t>
      </w:r>
    </w:p>
    <w:p w:rsidR="00CA5741" w:rsidRDefault="00CA5741" w:rsidP="00CA5741">
      <w:pPr>
        <w:pStyle w:val="Heading2"/>
      </w:pPr>
      <w:r>
        <w:t>B.3</w:t>
      </w:r>
      <w:r>
        <w:tab/>
        <w:t>Ground 3</w:t>
      </w:r>
    </w:p>
    <w:p w:rsidR="00CA5741" w:rsidRDefault="00CA5741" w:rsidP="00CA5741">
      <w:pPr>
        <w:pStyle w:val="ParaNumbering"/>
      </w:pPr>
      <w:r>
        <w:t>The third ground of appeal is in the following terms:</w:t>
      </w:r>
    </w:p>
    <w:p w:rsidR="00CA5741" w:rsidRDefault="00CA5741" w:rsidP="00CA5741">
      <w:pPr>
        <w:pStyle w:val="Quote1"/>
      </w:pPr>
      <w:r>
        <w:t xml:space="preserve">AAT is wrong to conclude that Chinese Malays will not experience discrimination or violence on a day to </w:t>
      </w:r>
      <w:r w:rsidR="004A6BD0">
        <w:t>day basis. The Federal Circuit c</w:t>
      </w:r>
      <w:r>
        <w:t>ourt</w:t>
      </w:r>
      <w:r w:rsidR="006D15BB">
        <w:t xml:space="preserve"> [sic]</w:t>
      </w:r>
      <w:r>
        <w:t xml:space="preserve"> didn’t correct that conclusion.</w:t>
      </w:r>
    </w:p>
    <w:p w:rsidR="00CA5741" w:rsidRDefault="00CA5741" w:rsidP="00CA5741">
      <w:pPr>
        <w:pStyle w:val="ParaNumbering"/>
      </w:pPr>
      <w:r>
        <w:t xml:space="preserve">There are two reasons why this ground of appeal must fail. </w:t>
      </w:r>
    </w:p>
    <w:p w:rsidR="00CA5741" w:rsidRDefault="00CA5741" w:rsidP="00CA5741">
      <w:pPr>
        <w:pStyle w:val="ParaNumbering"/>
      </w:pPr>
      <w:r w:rsidRPr="00A935AE">
        <w:rPr>
          <w:i/>
        </w:rPr>
        <w:t>First</w:t>
      </w:r>
      <w:r>
        <w:t xml:space="preserve">, as the primary judge noted (at [55]), this ground misrepresents the relevant finding made by the Tribunal, which did </w:t>
      </w:r>
      <w:r w:rsidRPr="00E1246B">
        <w:t>not</w:t>
      </w:r>
      <w:r>
        <w:t xml:space="preserve"> find that </w:t>
      </w:r>
      <w:r w:rsidR="003B3A3E">
        <w:t>ethnic Chinese in Malaysia will</w:t>
      </w:r>
      <w:r>
        <w:t xml:space="preserve"> not face discrimination, but rather that “Chinese Malaysians generally do not experience discrimination or violence on a day-to-day basis and may face low levels of discrimination when attempting to gain entry into the state tertiary system or the civil service”: Tribunal Decision (at [16]). </w:t>
      </w:r>
    </w:p>
    <w:p w:rsidR="00CA5741" w:rsidRDefault="00CA5741" w:rsidP="00CA5741">
      <w:pPr>
        <w:pStyle w:val="ParaNumbering"/>
      </w:pPr>
      <w:r w:rsidRPr="00A935AE">
        <w:rPr>
          <w:i/>
        </w:rPr>
        <w:t>Secondly</w:t>
      </w:r>
      <w:r>
        <w:t xml:space="preserve">, and in any event, the Tribunal was </w:t>
      </w:r>
      <w:r w:rsidR="006E3522">
        <w:t>entitled</w:t>
      </w:r>
      <w:r>
        <w:t xml:space="preserve"> to reach this conclusion. In accepting that the applicant is a Chinese Malay, the Tribunal (at [17]) noted that:</w:t>
      </w:r>
    </w:p>
    <w:p w:rsidR="00CA5741" w:rsidRPr="009B25E8" w:rsidRDefault="00CA5741" w:rsidP="00CA5741">
      <w:pPr>
        <w:pStyle w:val="Quote1"/>
      </w:pPr>
      <w:r>
        <w:t>… [b]</w:t>
      </w:r>
      <w:proofErr w:type="spellStart"/>
      <w:r w:rsidRPr="009B25E8">
        <w:t>ased</w:t>
      </w:r>
      <w:proofErr w:type="spellEnd"/>
      <w:r w:rsidRPr="009B25E8">
        <w:t xml:space="preserve"> on the available evidence including the recent July 2016 DFAT report, the Tribunal finds the applicant may face low levels of discrimination only. The Tribun</w:t>
      </w:r>
      <w:r w:rsidR="006D15BB">
        <w:t>al has considered the applicant’</w:t>
      </w:r>
      <w:r w:rsidRPr="009B25E8">
        <w:t>s accepted claims both singularly and cumulatively is not satisfied, on the available evidence including the DFAT report, that there is a real chance that the applicant will face serious harm as defined in s 5J(4) and s 5J(</w:t>
      </w:r>
      <w:r>
        <w:t>5) because he is Chinese Malay.</w:t>
      </w:r>
    </w:p>
    <w:p w:rsidR="00CA5741" w:rsidRDefault="00CA5741" w:rsidP="00CA5741">
      <w:pPr>
        <w:pStyle w:val="ParaNumbering"/>
      </w:pPr>
      <w:r>
        <w:lastRenderedPageBreak/>
        <w:t xml:space="preserve">It is uncontroversial that the selection and weight to be afforded to information, such to country information, forms part of the fact-finding function of the authority: see </w:t>
      </w:r>
      <w:r w:rsidRPr="00F217D0">
        <w:rPr>
          <w:i/>
        </w:rPr>
        <w:t>NAHI v Minister for Immigration &amp; Multicultural &amp; Indigenous Affairs</w:t>
      </w:r>
      <w:r>
        <w:t xml:space="preserve"> [2004] FCAFC 10 (at [11] </w:t>
      </w:r>
      <w:r w:rsidRPr="00355F8F">
        <w:t>and [13]</w:t>
      </w:r>
      <w:r>
        <w:t xml:space="preserve"> per </w:t>
      </w:r>
      <w:proofErr w:type="spellStart"/>
      <w:r>
        <w:t>Gray</w:t>
      </w:r>
      <w:proofErr w:type="spellEnd"/>
      <w:r>
        <w:t xml:space="preserve">, </w:t>
      </w:r>
      <w:proofErr w:type="spellStart"/>
      <w:r>
        <w:t>Tamberlin</w:t>
      </w:r>
      <w:proofErr w:type="spellEnd"/>
      <w:r>
        <w:t xml:space="preserve"> and Lander JJ). Therefore, by reaching the above conclusion on the basis of the country information before the Tribunal, it cannot be said that its decision and reasons “lack</w:t>
      </w:r>
      <w:r w:rsidRPr="00184CCB">
        <w:t xml:space="preserve"> an evident and</w:t>
      </w:r>
      <w:r>
        <w:t xml:space="preserve"> intelligible justification”: see </w:t>
      </w:r>
      <w:r w:rsidR="00921AD1" w:rsidRPr="00F217D0">
        <w:rPr>
          <w:rFonts w:eastAsia="Times New Roman"/>
          <w:i/>
        </w:rPr>
        <w:t xml:space="preserve">Minister for Immigration and Citizenship v Li </w:t>
      </w:r>
      <w:r w:rsidR="00921AD1" w:rsidRPr="00F217D0">
        <w:rPr>
          <w:rFonts w:eastAsia="Times New Roman"/>
        </w:rPr>
        <w:t>[2013] HCA 18; (2013) 249 CLR 332</w:t>
      </w:r>
      <w:r w:rsidR="00921AD1">
        <w:t xml:space="preserve"> </w:t>
      </w:r>
      <w:r>
        <w:t xml:space="preserve">(at 367 [76] per </w:t>
      </w:r>
      <w:r w:rsidRPr="00A70D43">
        <w:t xml:space="preserve">Hayne, </w:t>
      </w:r>
      <w:proofErr w:type="spellStart"/>
      <w:r w:rsidRPr="00A70D43">
        <w:t>Kiefel</w:t>
      </w:r>
      <w:proofErr w:type="spellEnd"/>
      <w:r w:rsidRPr="00A70D43">
        <w:t xml:space="preserve"> and Bell JJ); </w:t>
      </w:r>
      <w:r w:rsidRPr="00F217D0">
        <w:rPr>
          <w:i/>
        </w:rPr>
        <w:t>Minister v SZVFW</w:t>
      </w:r>
      <w:r>
        <w:t xml:space="preserve"> (at 550–1 [10] per </w:t>
      </w:r>
      <w:proofErr w:type="spellStart"/>
      <w:r w:rsidRPr="00A70D43">
        <w:t>Kiefel</w:t>
      </w:r>
      <w:proofErr w:type="spellEnd"/>
      <w:r w:rsidRPr="00A70D43">
        <w:t xml:space="preserve"> C</w:t>
      </w:r>
      <w:r>
        <w:t>J and at 573 [82] per Nettle and Gordon JJ). Properly viewed, this ground goes no higher than raising the assertion that different conclusions could and therefore should have been made.</w:t>
      </w:r>
    </w:p>
    <w:p w:rsidR="00CA5741" w:rsidRPr="00CF7747" w:rsidRDefault="00CA5741" w:rsidP="00CA5741">
      <w:pPr>
        <w:pStyle w:val="ParaNumbering"/>
      </w:pPr>
      <w:r>
        <w:rPr>
          <w:szCs w:val="24"/>
        </w:rPr>
        <w:t>Accordingly, this ground is not made out.</w:t>
      </w:r>
    </w:p>
    <w:p w:rsidR="00CF7747" w:rsidRPr="00A77442" w:rsidRDefault="00CF7747" w:rsidP="00CA5741">
      <w:pPr>
        <w:pStyle w:val="ParaNumbering"/>
      </w:pPr>
      <w:r>
        <w:rPr>
          <w:szCs w:val="24"/>
        </w:rPr>
        <w:t xml:space="preserve">For completeness, </w:t>
      </w:r>
      <w:r w:rsidR="006E3522">
        <w:rPr>
          <w:szCs w:val="24"/>
        </w:rPr>
        <w:t xml:space="preserve">given the somewhat unstructured nature of the appeal and the fact the appellant is unrepresented, it is worth noting that </w:t>
      </w:r>
      <w:r>
        <w:rPr>
          <w:szCs w:val="24"/>
        </w:rPr>
        <w:t xml:space="preserve">in relation to those aspects of the reasoning of the primary judge which have not been addressed throughout the course of these reasons, I </w:t>
      </w:r>
      <w:r w:rsidR="006E3522">
        <w:rPr>
          <w:szCs w:val="24"/>
        </w:rPr>
        <w:t xml:space="preserve">can discern nothing which </w:t>
      </w:r>
      <w:r w:rsidR="00020856">
        <w:rPr>
          <w:szCs w:val="24"/>
        </w:rPr>
        <w:t>gives</w:t>
      </w:r>
      <w:r w:rsidR="006E3522">
        <w:rPr>
          <w:szCs w:val="24"/>
        </w:rPr>
        <w:t xml:space="preserve"> rise to any arguable error in the way the matter was </w:t>
      </w:r>
      <w:r w:rsidR="00020856">
        <w:rPr>
          <w:szCs w:val="24"/>
        </w:rPr>
        <w:t>dealt</w:t>
      </w:r>
      <w:r w:rsidR="006E3522">
        <w:rPr>
          <w:szCs w:val="24"/>
        </w:rPr>
        <w:t xml:space="preserve"> with </w:t>
      </w:r>
      <w:r w:rsidR="00020856">
        <w:rPr>
          <w:szCs w:val="24"/>
        </w:rPr>
        <w:t>below</w:t>
      </w:r>
      <w:r>
        <w:rPr>
          <w:szCs w:val="24"/>
        </w:rPr>
        <w:t xml:space="preserve">. </w:t>
      </w:r>
    </w:p>
    <w:p w:rsidR="00CA5741" w:rsidRDefault="00CA5741" w:rsidP="00CA5741">
      <w:pPr>
        <w:pStyle w:val="Heading1"/>
      </w:pPr>
      <w:r>
        <w:t>C</w:t>
      </w:r>
      <w:r>
        <w:tab/>
        <w:t>Conclusion and orders</w:t>
      </w:r>
    </w:p>
    <w:p w:rsidR="00CA5741" w:rsidRPr="001B4721" w:rsidRDefault="006D1164" w:rsidP="00CA5741">
      <w:pPr>
        <w:pStyle w:val="ParaNumbering"/>
      </w:pPr>
      <w:r>
        <w:rPr>
          <w:szCs w:val="24"/>
        </w:rPr>
        <w:t>I</w:t>
      </w:r>
      <w:r w:rsidR="00ED6C60">
        <w:rPr>
          <w:szCs w:val="24"/>
        </w:rPr>
        <w:t xml:space="preserve">t was open to the primary judge to conclude that </w:t>
      </w:r>
      <w:r w:rsidR="006D15BB">
        <w:rPr>
          <w:szCs w:val="24"/>
        </w:rPr>
        <w:t>t</w:t>
      </w:r>
      <w:r w:rsidR="00CA5741">
        <w:rPr>
          <w:szCs w:val="24"/>
        </w:rPr>
        <w:t xml:space="preserve">he Tribunal’s </w:t>
      </w:r>
      <w:r w:rsidR="00ED6C60">
        <w:rPr>
          <w:szCs w:val="24"/>
        </w:rPr>
        <w:t>decision</w:t>
      </w:r>
      <w:r w:rsidR="00721E5A">
        <w:rPr>
          <w:szCs w:val="24"/>
        </w:rPr>
        <w:t>, and the findings that informed it, were reasonably open to the Tribunal, and</w:t>
      </w:r>
      <w:r w:rsidR="00CA5741">
        <w:rPr>
          <w:szCs w:val="24"/>
        </w:rPr>
        <w:t xml:space="preserve"> for which it gave cogent and intelligible reasons. </w:t>
      </w:r>
      <w:r w:rsidR="00ED6C60">
        <w:rPr>
          <w:szCs w:val="24"/>
        </w:rPr>
        <w:t>The appeal must</w:t>
      </w:r>
      <w:r>
        <w:rPr>
          <w:szCs w:val="24"/>
        </w:rPr>
        <w:t xml:space="preserve"> therefore</w:t>
      </w:r>
      <w:r w:rsidR="00CA5741">
        <w:rPr>
          <w:szCs w:val="24"/>
        </w:rPr>
        <w:t xml:space="preserve"> be dismissed with costs.</w:t>
      </w:r>
    </w:p>
    <w:p w:rsidR="00CA5741" w:rsidRDefault="00CA5741" w:rsidP="00CA5741">
      <w:pPr>
        <w:pStyle w:val="BodyText"/>
      </w:pPr>
      <w:bookmarkStart w:id="19" w:name="Certification"/>
    </w:p>
    <w:tbl>
      <w:tblPr>
        <w:tblW w:w="0" w:type="auto"/>
        <w:tblLook w:val="04A0" w:firstRow="1" w:lastRow="0" w:firstColumn="1" w:lastColumn="0" w:noHBand="0" w:noVBand="1"/>
      </w:tblPr>
      <w:tblGrid>
        <w:gridCol w:w="3794"/>
      </w:tblGrid>
      <w:tr w:rsidR="00CA5741" w:rsidRPr="001B4721" w:rsidTr="00A85526">
        <w:tc>
          <w:tcPr>
            <w:tcW w:w="3794" w:type="dxa"/>
            <w:shd w:val="clear" w:color="auto" w:fill="auto"/>
          </w:tcPr>
          <w:p w:rsidR="00CA5741" w:rsidRPr="001B4721" w:rsidRDefault="00CA5741" w:rsidP="00A85526">
            <w:pPr>
              <w:pStyle w:val="Normal1linespace"/>
            </w:pPr>
            <w:r w:rsidRPr="001B4721">
              <w:t xml:space="preserve">I certify that the preceding </w:t>
            </w:r>
            <w:bookmarkStart w:id="20" w:name="NumberWord"/>
            <w:r w:rsidR="00C7047E">
              <w:t>twenty-</w:t>
            </w:r>
            <w:bookmarkEnd w:id="20"/>
            <w:r w:rsidR="00C7047E">
              <w:t>nine</w:t>
            </w:r>
            <w:r w:rsidRPr="001B4721">
              <w:t xml:space="preserve"> (</w:t>
            </w:r>
            <w:bookmarkStart w:id="21" w:name="NumberNumeral"/>
            <w:r>
              <w:t>2</w:t>
            </w:r>
            <w:bookmarkEnd w:id="21"/>
            <w:r w:rsidR="00C7047E">
              <w:t>9</w:t>
            </w:r>
            <w:r w:rsidRPr="001B4721">
              <w:t xml:space="preserve">) numbered </w:t>
            </w:r>
            <w:bookmarkStart w:id="22" w:name="CertPara"/>
            <w:r>
              <w:t>paragraphs are</w:t>
            </w:r>
            <w:bookmarkEnd w:id="22"/>
            <w:r w:rsidRPr="001B4721">
              <w:t xml:space="preserve"> a true copy of the Reasons for Judgment of </w:t>
            </w:r>
            <w:bookmarkStart w:id="23" w:name="bkHonourable"/>
            <w:r w:rsidRPr="001B4721">
              <w:t xml:space="preserve">the Honourable </w:t>
            </w:r>
            <w:bookmarkStart w:id="24" w:name="Justice"/>
            <w:bookmarkEnd w:id="23"/>
            <w:r>
              <w:t>Justice Lee</w:t>
            </w:r>
            <w:bookmarkEnd w:id="24"/>
            <w:r w:rsidRPr="001B4721">
              <w:t>.</w:t>
            </w:r>
          </w:p>
        </w:tc>
      </w:tr>
    </w:tbl>
    <w:p w:rsidR="00CA5741" w:rsidRDefault="00CA5741" w:rsidP="00CA5741">
      <w:pPr>
        <w:pStyle w:val="BodyText"/>
      </w:pPr>
      <w:bookmarkStart w:id="25" w:name="_GoBack"/>
      <w:bookmarkEnd w:id="25"/>
    </w:p>
    <w:p w:rsidR="00CA5741" w:rsidRDefault="00CA5741" w:rsidP="00CA5741">
      <w:pPr>
        <w:pStyle w:val="BodyText"/>
      </w:pPr>
    </w:p>
    <w:p w:rsidR="00CA5741" w:rsidRDefault="00CA5741" w:rsidP="00CA5741">
      <w:pPr>
        <w:pStyle w:val="BodyText"/>
      </w:pPr>
      <w:r>
        <w:t>Associate:</w:t>
      </w:r>
      <w:r w:rsidR="005A74B5">
        <w:t xml:space="preserve"> </w:t>
      </w:r>
    </w:p>
    <w:p w:rsidR="00CA5741" w:rsidRDefault="00CA5741" w:rsidP="00CA5741">
      <w:pPr>
        <w:pStyle w:val="BodyText"/>
      </w:pPr>
    </w:p>
    <w:p w:rsidR="00CA5741" w:rsidRDefault="00CA5741" w:rsidP="00CA5741">
      <w:pPr>
        <w:pStyle w:val="BodyText"/>
        <w:tabs>
          <w:tab w:val="left" w:pos="1134"/>
        </w:tabs>
      </w:pPr>
      <w:r>
        <w:t>Dated:</w:t>
      </w:r>
      <w:r>
        <w:tab/>
      </w:r>
      <w:r w:rsidR="009A75D0">
        <w:t>11 August 2020</w:t>
      </w:r>
    </w:p>
    <w:p w:rsidR="00CA5741" w:rsidRDefault="00CA5741" w:rsidP="00CA5741">
      <w:pPr>
        <w:pStyle w:val="BodyText"/>
      </w:pPr>
    </w:p>
    <w:bookmarkEnd w:id="19"/>
    <w:p w:rsidR="008F25D5" w:rsidRPr="008F25D5" w:rsidRDefault="008F25D5" w:rsidP="00DA41A5">
      <w:pPr>
        <w:pStyle w:val="NormalHeadings"/>
        <w:spacing w:line="480" w:lineRule="auto"/>
      </w:pPr>
    </w:p>
    <w:sectPr w:rsidR="008F25D5" w:rsidRPr="008F25D5" w:rsidSect="00A84FD0">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2E3" w:rsidRDefault="004A02E3">
      <w:pPr>
        <w:spacing w:line="20" w:lineRule="exact"/>
      </w:pPr>
    </w:p>
    <w:p w:rsidR="004A02E3" w:rsidRDefault="004A02E3"/>
    <w:p w:rsidR="004A02E3" w:rsidRDefault="004A02E3"/>
  </w:endnote>
  <w:endnote w:type="continuationSeparator" w:id="0">
    <w:p w:rsidR="004A02E3" w:rsidRDefault="004A02E3">
      <w:r>
        <w:t xml:space="preserve"> </w:t>
      </w:r>
    </w:p>
    <w:p w:rsidR="004A02E3" w:rsidRDefault="004A02E3"/>
    <w:p w:rsidR="004A02E3" w:rsidRDefault="004A02E3"/>
  </w:endnote>
  <w:endnote w:type="continuationNotice" w:id="1">
    <w:p w:rsidR="004A02E3" w:rsidRDefault="004A02E3">
      <w:r>
        <w:t xml:space="preserve"> </w:t>
      </w:r>
    </w:p>
    <w:p w:rsidR="004A02E3" w:rsidRDefault="004A02E3"/>
    <w:p w:rsidR="004A02E3" w:rsidRDefault="004A02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pitch w:val="variable"/>
    <w:sig w:usb0="00000000"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C4F" w:rsidRPr="00C47B9D" w:rsidRDefault="00331C4F"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F70BB"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B57D94">
          <w:rPr>
            <w:bCs/>
            <w:sz w:val="18"/>
            <w:szCs w:val="18"/>
          </w:rPr>
          <w:t xml:space="preserve"> DSL16 v Minister for Immigration, Citizenship, Migrant Services and Multicultural Affairs [2020] FCA 1141  </w:t>
        </w:r>
      </w:sdtContent>
    </w:sdt>
  </w:p>
  <w:p w:rsidR="00331C4F" w:rsidRPr="00A436E8" w:rsidRDefault="00331C4F" w:rsidP="00A436E8">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C4F" w:rsidRPr="00A436E8" w:rsidRDefault="00331C4F" w:rsidP="00A436E8">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C4F" w:rsidRPr="00C47B9D" w:rsidRDefault="00331C4F"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1139BA"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6EF021EA882145E79615BB8BA2A937D0"/>
        </w:placeholder>
        <w:dataBinding w:prefixMappings="xmlns:ns0='http://schemas.globalmacros.com/FCA'" w:xpath="/ns0:root[1]/ns0:Name[1]" w:storeItemID="{687E7CCB-4AA5-44E7-B148-17BA2B6F57C0}"/>
        <w:text w:multiLine="1"/>
      </w:sdtPr>
      <w:sdtEndPr/>
      <w:sdtContent>
        <w:r w:rsidR="00B57D94">
          <w:rPr>
            <w:bCs/>
            <w:sz w:val="18"/>
            <w:szCs w:val="18"/>
          </w:rPr>
          <w:t xml:space="preserve"> DSL16 v Minister for Immigration, Citizenship, Migrant Services and Multicultural Affairs [2020] FCA 1141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p w:rsidR="00331C4F" w:rsidRPr="00A84FD0" w:rsidRDefault="00331C4F" w:rsidP="00A84FD0">
    <w:pPr>
      <w:pStyle w:val="Footer"/>
      <w:jc w:val="center"/>
      <w:rPr>
        <w:sz w:val="28"/>
      </w:rPr>
    </w:pPr>
    <w:r>
      <w:rPr>
        <w:b/>
        <w:sz w:val="28"/>
      </w:rPr>
      <w:t xml:space="preserve">DRAFT - Judgment Template v.1 - </w:t>
    </w:r>
    <w:r>
      <w:rPr>
        <w:b/>
        <w:sz w:val="28"/>
      </w:rPr>
      <w:fldChar w:fldCharType="begin"/>
    </w:r>
    <w:r>
      <w:rPr>
        <w:b/>
        <w:sz w:val="28"/>
      </w:rPr>
      <w:instrText xml:space="preserve"> DATE  \@ "d MMMM yyyy"  \* MERGEFORMAT </w:instrText>
    </w:r>
    <w:r>
      <w:rPr>
        <w:b/>
        <w:sz w:val="28"/>
      </w:rPr>
      <w:fldChar w:fldCharType="separate"/>
    </w:r>
    <w:r w:rsidR="00FD0E87">
      <w:rPr>
        <w:b/>
        <w:noProof/>
        <w:sz w:val="28"/>
      </w:rPr>
      <w:t>11 August 2020</w:t>
    </w:r>
    <w:r>
      <w:rPr>
        <w:b/>
        <w:sz w:val="28"/>
      </w:rPr>
      <w:fldChar w:fldCharType="end"/>
    </w:r>
    <w:r>
      <w:rPr>
        <w:b/>
        <w:sz w:val="28"/>
      </w:rPr>
      <w:t xml:space="preserve"> </w:t>
    </w:r>
    <w:r>
      <w:rPr>
        <w:b/>
        <w:sz w:val="28"/>
      </w:rPr>
      <w:fldChar w:fldCharType="begin"/>
    </w:r>
    <w:r>
      <w:rPr>
        <w:b/>
        <w:sz w:val="28"/>
      </w:rPr>
      <w:instrText xml:space="preserve"> TIME  \@ "h:mm am/pm"  \* MERGEFORMAT </w:instrText>
    </w:r>
    <w:r>
      <w:rPr>
        <w:b/>
        <w:sz w:val="28"/>
      </w:rPr>
      <w:fldChar w:fldCharType="separate"/>
    </w:r>
    <w:r w:rsidR="00FD0E87">
      <w:rPr>
        <w:b/>
        <w:noProof/>
        <w:sz w:val="28"/>
      </w:rPr>
      <w:t>9:33 AM</w:t>
    </w:r>
    <w:r>
      <w:rPr>
        <w:b/>
        <w:sz w:val="2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C4F" w:rsidRPr="00C47B9D" w:rsidRDefault="00331C4F"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F03005"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96317213F82F4253AE475984A2D5FFF2"/>
        </w:placeholder>
        <w:dataBinding w:prefixMappings="xmlns:ns0='http://schemas.globalmacros.com/FCA'" w:xpath="/ns0:root[1]/ns0:Name[1]" w:storeItemID="{687E7CCB-4AA5-44E7-B148-17BA2B6F57C0}"/>
        <w:text w:multiLine="1"/>
      </w:sdtPr>
      <w:sdtEndPr/>
      <w:sdtContent>
        <w:r w:rsidR="00B57D94">
          <w:rPr>
            <w:bCs/>
            <w:sz w:val="18"/>
            <w:szCs w:val="18"/>
          </w:rPr>
          <w:t xml:space="preserve"> DSL16 v Minister for Immigration, Citizenship, Migrant Services and Multicultural Affairs [2020] FCA 1141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FD0E87">
      <w:rPr>
        <w:bCs/>
        <w:noProof/>
        <w:sz w:val="20"/>
      </w:rPr>
      <w:t>i</w:t>
    </w:r>
    <w:r w:rsidRPr="00EA7F6D">
      <w:rPr>
        <w:bCs/>
        <w:noProof/>
        <w:sz w:val="20"/>
      </w:rPr>
      <w:fldChar w:fldCharType="end"/>
    </w:r>
  </w:p>
  <w:p w:rsidR="00331C4F" w:rsidRPr="00A436E8" w:rsidRDefault="00331C4F" w:rsidP="00A436E8">
    <w:pPr>
      <w:pStyle w:val="Footer"/>
      <w:jc w:val="center"/>
      <w:rPr>
        <w:sz w:val="2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C4F" w:rsidRPr="00C47B9D" w:rsidRDefault="00331C4F"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70528" behindDoc="0" locked="0" layoutInCell="1" allowOverlap="1" wp14:anchorId="25AA6FB4" wp14:editId="168C21BD">
              <wp:simplePos x="0" y="0"/>
              <wp:positionH relativeFrom="column">
                <wp:posOffset>-28575</wp:posOffset>
              </wp:positionH>
              <wp:positionV relativeFrom="paragraph">
                <wp:posOffset>21590</wp:posOffset>
              </wp:positionV>
              <wp:extent cx="29432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1FC4DA" id="Straight Connector 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gdzg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7p7jhzwtIV3ScU&#10;+jAktvPOkYEe2Tr7NIbYUvrO7fEcxbDHLHpSaPOX5LCpeHtavIUpMUmbzad3b5vmPWfyclZdgQFj&#10;+gzesvzTcaNdli1acfwSExWj1EtK3jYur9Eb3d9pY0qQBwZ2BtlR0FWnqbRMuCdZFGVklYXMrZe/&#10;dDIws34HRVZQs+tSvQzhlVNICS5deI2j7AxT1MECrP8NPOdnKJQB/R/wgiiVvUsL2Grn8W/Vr1ao&#10;Of/iwKw7W/Do+1O51GINTVpx/Pwq8ig/jQv8+na3vwA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YAAgd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095746746"/>
        <w:placeholder>
          <w:docPart w:val="22ED3C12A1BF4C62B13783DE6F8AE889"/>
        </w:placeholder>
        <w:dataBinding w:prefixMappings="xmlns:ns0='http://schemas.globalmacros.com/FCA'" w:xpath="/ns0:root[1]/ns0:Name[1]" w:storeItemID="{687E7CCB-4AA5-44E7-B148-17BA2B6F57C0}"/>
        <w:text w:multiLine="1"/>
      </w:sdtPr>
      <w:sdtEndPr/>
      <w:sdtContent>
        <w:r w:rsidR="00B57D94">
          <w:rPr>
            <w:bCs/>
            <w:sz w:val="18"/>
            <w:szCs w:val="18"/>
          </w:rPr>
          <w:t xml:space="preserve"> DSL16 v Minister for Immigration, Citizenship, Migrant Services and Multicultural Affairs [2020] FCA 1141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0E21C6">
      <w:rPr>
        <w:bCs/>
        <w:noProof/>
        <w:sz w:val="20"/>
      </w:rPr>
      <w:t>6</w:t>
    </w:r>
    <w:r w:rsidRPr="00EA7F6D">
      <w:rPr>
        <w:bCs/>
        <w:noProof/>
        <w:sz w:val="20"/>
      </w:rPr>
      <w:fldChar w:fldCharType="end"/>
    </w:r>
  </w:p>
  <w:p w:rsidR="00331C4F" w:rsidRPr="00A84FD0" w:rsidRDefault="00331C4F" w:rsidP="00A84FD0">
    <w:pPr>
      <w:pStyle w:val="Footer"/>
      <w:jc w:val="center"/>
      <w:rPr>
        <w:sz w:val="2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C4F" w:rsidRPr="00C47B9D" w:rsidRDefault="00331C4F"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9504" behindDoc="0" locked="0" layoutInCell="1" allowOverlap="1" wp14:anchorId="18F6FEDE" wp14:editId="569C4EC2">
              <wp:simplePos x="0" y="0"/>
              <wp:positionH relativeFrom="column">
                <wp:posOffset>-28575</wp:posOffset>
              </wp:positionH>
              <wp:positionV relativeFrom="paragraph">
                <wp:posOffset>21590</wp:posOffset>
              </wp:positionV>
              <wp:extent cx="29432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885E8F" id="Straight Connector 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uJAzgEAAAMEAAAOAAAAZHJzL2Uyb0RvYy54bWysU8GO0zAQvSPxD5bvNGko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37zu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gjuJA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dataBinding w:prefixMappings="xmlns:ns0='http://schemas.globalmacros.com/FCA'" w:xpath="/ns0:root[1]/ns0:Name[1]" w:storeItemID="{687E7CCB-4AA5-44E7-B148-17BA2B6F57C0}"/>
        <w:text w:multiLine="1"/>
      </w:sdtPr>
      <w:sdtEndPr/>
      <w:sdtContent>
        <w:r w:rsidR="00B57D94">
          <w:rPr>
            <w:bCs/>
            <w:sz w:val="18"/>
            <w:szCs w:val="18"/>
          </w:rPr>
          <w:t xml:space="preserve"> DSL16 v Minister for Immigration, Citizenship, Migrant Services and Multicultural Affairs [2020] FCA 1141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FD0E87">
      <w:rPr>
        <w:bCs/>
        <w:noProof/>
        <w:sz w:val="20"/>
      </w:rPr>
      <w:t>1</w:t>
    </w:r>
    <w:r w:rsidRPr="00EA7F6D">
      <w:rPr>
        <w:bCs/>
        <w:noProof/>
        <w:sz w:val="20"/>
      </w:rPr>
      <w:fldChar w:fldCharType="end"/>
    </w:r>
  </w:p>
  <w:p w:rsidR="00331C4F" w:rsidRPr="00A84FD0" w:rsidRDefault="00331C4F" w:rsidP="00A84FD0">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2E3" w:rsidRDefault="004A02E3"/>
    <w:p w:rsidR="004A02E3" w:rsidRDefault="004A02E3"/>
    <w:p w:rsidR="004A02E3" w:rsidRDefault="004A02E3"/>
  </w:footnote>
  <w:footnote w:type="continuationSeparator" w:id="0">
    <w:p w:rsidR="004A02E3" w:rsidRDefault="004A02E3">
      <w:r>
        <w:continuationSeparator/>
      </w:r>
    </w:p>
    <w:p w:rsidR="004A02E3" w:rsidRDefault="004A02E3"/>
    <w:p w:rsidR="004A02E3" w:rsidRDefault="004A02E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C4F" w:rsidRDefault="00331C4F">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C4F" w:rsidRDefault="00331C4F">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C4F" w:rsidRDefault="00331C4F"/>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C4F" w:rsidRDefault="00331C4F">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C4F" w:rsidRDefault="00331C4F"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2D27BF7"/>
    <w:multiLevelType w:val="multilevel"/>
    <w:tmpl w:val="0F0EC90E"/>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15:restartNumberingAfterBreak="0">
    <w:nsid w:val="2AD4345C"/>
    <w:multiLevelType w:val="multilevel"/>
    <w:tmpl w:val="A1C8FFD0"/>
    <w:styleLink w:val="FCOrders"/>
    <w:lvl w:ilvl="0">
      <w:start w:val="1"/>
      <w:numFmt w:val="decimal"/>
      <w:pStyle w:val="Order1"/>
      <w:lvlText w:val="%1."/>
      <w:lvlJc w:val="left"/>
      <w:pPr>
        <w:tabs>
          <w:tab w:val="num" w:pos="862"/>
        </w:tabs>
        <w:ind w:left="862" w:hanging="720"/>
      </w:pPr>
      <w:rPr>
        <w:rFonts w:ascii="Times New Roman" w:hAnsi="Times New Roman" w:hint="default"/>
        <w:sz w:val="24"/>
      </w:rPr>
    </w:lvl>
    <w:lvl w:ilvl="1">
      <w:start w:val="1"/>
      <w:numFmt w:val="lowerLetter"/>
      <w:pStyle w:val="Order2"/>
      <w:lvlText w:val="(%2)"/>
      <w:lvlJc w:val="left"/>
      <w:pPr>
        <w:tabs>
          <w:tab w:val="num" w:pos="1582"/>
        </w:tabs>
        <w:ind w:left="1582" w:hanging="720"/>
      </w:pPr>
      <w:rPr>
        <w:rFonts w:hint="default"/>
      </w:rPr>
    </w:lvl>
    <w:lvl w:ilvl="2">
      <w:start w:val="1"/>
      <w:numFmt w:val="lowerRoman"/>
      <w:pStyle w:val="Order3"/>
      <w:lvlText w:val="(%3)"/>
      <w:lvlJc w:val="left"/>
      <w:pPr>
        <w:tabs>
          <w:tab w:val="num" w:pos="1582"/>
        </w:tabs>
        <w:ind w:left="2302" w:hanging="720"/>
      </w:pPr>
      <w:rPr>
        <w:rFonts w:hint="default"/>
      </w:rPr>
    </w:lvl>
    <w:lvl w:ilvl="3">
      <w:start w:val="1"/>
      <w:numFmt w:val="upperLetter"/>
      <w:pStyle w:val="Order4"/>
      <w:lvlText w:val="%4."/>
      <w:lvlJc w:val="left"/>
      <w:pPr>
        <w:tabs>
          <w:tab w:val="num" w:pos="2302"/>
        </w:tabs>
        <w:ind w:left="3022" w:hanging="720"/>
      </w:pPr>
      <w:rPr>
        <w:rFonts w:hint="default"/>
      </w:rPr>
    </w:lvl>
    <w:lvl w:ilvl="4">
      <w:numFmt w:val="none"/>
      <w:lvlRestart w:val="0"/>
      <w:suff w:val="nothing"/>
      <w:lvlText w:val=""/>
      <w:lvlJc w:val="left"/>
      <w:pPr>
        <w:ind w:left="-32625" w:firstLine="0"/>
      </w:pPr>
      <w:rPr>
        <w:rFonts w:hint="default"/>
      </w:rPr>
    </w:lvl>
    <w:lvl w:ilvl="5">
      <w:start w:val="1"/>
      <w:numFmt w:val="none"/>
      <w:lvlRestart w:val="0"/>
      <w:suff w:val="nothing"/>
      <w:lvlText w:val=""/>
      <w:lvlJc w:val="left"/>
      <w:pPr>
        <w:ind w:left="-32625" w:firstLine="0"/>
      </w:pPr>
      <w:rPr>
        <w:rFonts w:hint="default"/>
      </w:rPr>
    </w:lvl>
    <w:lvl w:ilvl="6">
      <w:start w:val="1"/>
      <w:numFmt w:val="none"/>
      <w:lvlRestart w:val="0"/>
      <w:suff w:val="nothing"/>
      <w:lvlText w:val=""/>
      <w:lvlJc w:val="left"/>
      <w:pPr>
        <w:ind w:left="-32625" w:firstLine="0"/>
      </w:pPr>
      <w:rPr>
        <w:rFonts w:hint="default"/>
      </w:rPr>
    </w:lvl>
    <w:lvl w:ilvl="7">
      <w:start w:val="1"/>
      <w:numFmt w:val="none"/>
      <w:lvlRestart w:val="0"/>
      <w:suff w:val="nothing"/>
      <w:lvlText w:val=""/>
      <w:lvlJc w:val="left"/>
      <w:pPr>
        <w:ind w:left="-32625" w:firstLine="0"/>
      </w:pPr>
      <w:rPr>
        <w:rFonts w:hint="default"/>
      </w:rPr>
    </w:lvl>
    <w:lvl w:ilvl="8">
      <w:start w:val="1"/>
      <w:numFmt w:val="none"/>
      <w:suff w:val="nothing"/>
      <w:lvlText w:val=""/>
      <w:lvlJc w:val="left"/>
      <w:pPr>
        <w:ind w:left="-32625" w:firstLine="0"/>
      </w:pPr>
      <w:rPr>
        <w:rFonts w:hint="default"/>
      </w:rPr>
    </w:lvl>
  </w:abstractNum>
  <w:abstractNum w:abstractNumId="17"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29C220B"/>
    <w:multiLevelType w:val="multilevel"/>
    <w:tmpl w:val="621E9FB6"/>
    <w:lvl w:ilvl="0">
      <w:start w:val="1"/>
      <w:numFmt w:val="none"/>
      <w:pStyle w:val="Quotation"/>
      <w:suff w:val="nothing"/>
      <w:lvlText w:val=""/>
      <w:lvlJc w:val="left"/>
      <w:pPr>
        <w:ind w:left="1136"/>
      </w:pPr>
      <w:rPr>
        <w:rFonts w:ascii="Times New Roman" w:hAnsi="Times New Roman"/>
      </w:rPr>
    </w:lvl>
    <w:lvl w:ilvl="1">
      <w:start w:val="1"/>
      <w:numFmt w:val="none"/>
      <w:lvlRestart w:val="0"/>
      <w:pStyle w:val="Quotation2"/>
      <w:suff w:val="nothing"/>
      <w:lvlText w:val=""/>
      <w:lvlJc w:val="left"/>
      <w:pPr>
        <w:ind w:left="1703"/>
      </w:pPr>
      <w:rPr>
        <w:rFonts w:ascii="Times New Roman" w:hAnsi="Times New Roman"/>
      </w:rPr>
    </w:lvl>
    <w:lvl w:ilvl="2">
      <w:start w:val="1"/>
      <w:numFmt w:val="none"/>
      <w:lvlRestart w:val="0"/>
      <w:pStyle w:val="Quotation3"/>
      <w:suff w:val="nothing"/>
      <w:lvlText w:val=""/>
      <w:lvlJc w:val="left"/>
      <w:pPr>
        <w:ind w:left="2270"/>
      </w:pPr>
      <w:rPr>
        <w:rFonts w:ascii="Times New Roman" w:hAnsi="Times New Roman"/>
      </w:rPr>
    </w:lvl>
    <w:lvl w:ilvl="3">
      <w:start w:val="1"/>
      <w:numFmt w:val="bullet"/>
      <w:lvlText w:val=""/>
      <w:lvlJc w:val="left"/>
      <w:pPr>
        <w:tabs>
          <w:tab w:val="num" w:pos="3147"/>
        </w:tabs>
        <w:ind w:left="3147" w:hanging="360"/>
      </w:pPr>
      <w:rPr>
        <w:rFonts w:ascii="Symbol" w:hAnsi="Symbol"/>
      </w:rPr>
    </w:lvl>
    <w:lvl w:ilvl="4">
      <w:start w:val="1"/>
      <w:numFmt w:val="bullet"/>
      <w:lvlText w:val=""/>
      <w:lvlJc w:val="left"/>
      <w:pPr>
        <w:tabs>
          <w:tab w:val="num" w:pos="3507"/>
        </w:tabs>
        <w:ind w:left="3507" w:hanging="360"/>
      </w:pPr>
      <w:rPr>
        <w:rFonts w:ascii="Symbol" w:hAnsi="Symbol"/>
      </w:rPr>
    </w:lvl>
    <w:lvl w:ilvl="5">
      <w:start w:val="1"/>
      <w:numFmt w:val="bullet"/>
      <w:lvlText w:val=""/>
      <w:lvlJc w:val="left"/>
      <w:pPr>
        <w:tabs>
          <w:tab w:val="num" w:pos="3867"/>
        </w:tabs>
        <w:ind w:left="3867" w:hanging="360"/>
      </w:pPr>
      <w:rPr>
        <w:rFonts w:ascii="Wingdings" w:hAnsi="Wingdings"/>
      </w:rPr>
    </w:lvl>
    <w:lvl w:ilvl="6">
      <w:start w:val="1"/>
      <w:numFmt w:val="bullet"/>
      <w:lvlText w:val=""/>
      <w:lvlJc w:val="left"/>
      <w:pPr>
        <w:tabs>
          <w:tab w:val="num" w:pos="4227"/>
        </w:tabs>
        <w:ind w:left="4227" w:hanging="360"/>
      </w:pPr>
      <w:rPr>
        <w:rFonts w:ascii="Wingdings" w:hAnsi="Wingdings"/>
      </w:rPr>
    </w:lvl>
    <w:lvl w:ilvl="7">
      <w:start w:val="1"/>
      <w:numFmt w:val="bullet"/>
      <w:lvlText w:val=""/>
      <w:lvlJc w:val="left"/>
      <w:pPr>
        <w:tabs>
          <w:tab w:val="num" w:pos="4587"/>
        </w:tabs>
        <w:ind w:left="4587" w:hanging="360"/>
      </w:pPr>
      <w:rPr>
        <w:rFonts w:ascii="Symbol" w:hAnsi="Symbol"/>
      </w:rPr>
    </w:lvl>
    <w:lvl w:ilvl="8">
      <w:start w:val="1"/>
      <w:numFmt w:val="bullet"/>
      <w:lvlText w:val=""/>
      <w:lvlJc w:val="left"/>
      <w:pPr>
        <w:tabs>
          <w:tab w:val="num" w:pos="4947"/>
        </w:tabs>
        <w:ind w:left="4947" w:hanging="360"/>
      </w:pPr>
      <w:rPr>
        <w:rFonts w:ascii="Symbol" w:hAnsi="Symbol"/>
      </w:rPr>
    </w:lvl>
  </w:abstractNum>
  <w:abstractNum w:abstractNumId="20" w15:restartNumberingAfterBreak="0">
    <w:nsid w:val="45D41B8E"/>
    <w:multiLevelType w:val="multilevel"/>
    <w:tmpl w:val="A1C8FFD0"/>
    <w:numStyleLink w:val="FCOrders"/>
  </w:abstractNum>
  <w:abstractNum w:abstractNumId="21" w15:restartNumberingAfterBreak="0">
    <w:nsid w:val="494817A7"/>
    <w:multiLevelType w:val="multilevel"/>
    <w:tmpl w:val="0F0EC90E"/>
    <w:numStyleLink w:val="FCListNo"/>
  </w:abstractNum>
  <w:abstractNum w:abstractNumId="22"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4174D8B"/>
    <w:multiLevelType w:val="multilevel"/>
    <w:tmpl w:val="A1C8FFD0"/>
    <w:numStyleLink w:val="FCOrders"/>
  </w:abstractNum>
  <w:abstractNum w:abstractNumId="25" w15:restartNumberingAfterBreak="0">
    <w:nsid w:val="62634030"/>
    <w:multiLevelType w:val="multilevel"/>
    <w:tmpl w:val="AC54AC4C"/>
    <w:lvl w:ilvl="0">
      <w:start w:val="1"/>
      <w:numFmt w:val="decimal"/>
      <w:lvlText w:val="%1."/>
      <w:lvlJc w:val="left"/>
      <w:pPr>
        <w:tabs>
          <w:tab w:val="num" w:pos="720"/>
        </w:tabs>
        <w:ind w:left="720" w:hanging="720"/>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6"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DF521E4"/>
    <w:multiLevelType w:val="hybridMultilevel"/>
    <w:tmpl w:val="96AA5B7E"/>
    <w:lvl w:ilvl="0" w:tplc="86749530">
      <w:start w:val="1"/>
      <w:numFmt w:val="upp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8"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9"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2"/>
  </w:num>
  <w:num w:numId="15">
    <w:abstractNumId w:val="23"/>
  </w:num>
  <w:num w:numId="16">
    <w:abstractNumId w:val="29"/>
  </w:num>
  <w:num w:numId="17">
    <w:abstractNumId w:val="13"/>
  </w:num>
  <w:num w:numId="18">
    <w:abstractNumId w:val="28"/>
  </w:num>
  <w:num w:numId="19">
    <w:abstractNumId w:val="11"/>
  </w:num>
  <w:num w:numId="20">
    <w:abstractNumId w:val="18"/>
  </w:num>
  <w:num w:numId="21">
    <w:abstractNumId w:val="21"/>
    <w:lvlOverride w:ilvl="0">
      <w:lvl w:ilvl="0">
        <w:start w:val="1"/>
        <w:numFmt w:val="decimal"/>
        <w:lvlRestart w:val="0"/>
        <w:pStyle w:val="ListNo1"/>
        <w:lvlText w:val="(%1)"/>
        <w:lvlJc w:val="left"/>
        <w:pPr>
          <w:tabs>
            <w:tab w:val="num" w:pos="720"/>
          </w:tabs>
          <w:ind w:left="720" w:hanging="720"/>
        </w:pPr>
        <w:rPr>
          <w:rFonts w:ascii="Times New Roman" w:hAnsi="Times New Roman"/>
        </w:rPr>
      </w:lvl>
    </w:lvlOverride>
    <w:lvlOverride w:ilvl="1">
      <w:lvl w:ilvl="1">
        <w:start w:val="1"/>
        <w:numFmt w:val="lowerLetter"/>
        <w:pStyle w:val="ListNo2"/>
        <w:lvlText w:val="(%2)"/>
        <w:lvlJc w:val="left"/>
        <w:pPr>
          <w:tabs>
            <w:tab w:val="num" w:pos="1440"/>
          </w:tabs>
          <w:ind w:left="1440" w:hanging="720"/>
        </w:pPr>
        <w:rPr>
          <w:rFonts w:hint="default"/>
        </w:rPr>
      </w:lvl>
    </w:lvlOverride>
  </w:num>
  <w:num w:numId="22">
    <w:abstractNumId w:val="16"/>
  </w:num>
  <w:num w:numId="23">
    <w:abstractNumId w:val="16"/>
  </w:num>
  <w:num w:numId="24">
    <w:abstractNumId w:val="17"/>
  </w:num>
  <w:num w:numId="25">
    <w:abstractNumId w:val="16"/>
  </w:num>
  <w:num w:numId="26">
    <w:abstractNumId w:val="16"/>
  </w:num>
  <w:num w:numId="27">
    <w:abstractNumId w:val="1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num>
  <w:num w:numId="29">
    <w:abstractNumId w:val="14"/>
  </w:num>
  <w:num w:numId="30">
    <w:abstractNumId w:val="25"/>
  </w:num>
  <w:num w:numId="31">
    <w:abstractNumId w:val="20"/>
  </w:num>
  <w:num w:numId="32">
    <w:abstractNumId w:val="20"/>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1"/>
  </w:num>
  <w:num w:numId="37">
    <w:abstractNumId w:val="21"/>
  </w:num>
  <w:num w:numId="38">
    <w:abstractNumId w:val="13"/>
  </w:num>
  <w:num w:numId="39">
    <w:abstractNumId w:val="21"/>
  </w:num>
  <w:num w:numId="40">
    <w:abstractNumId w:val="21"/>
  </w:num>
  <w:num w:numId="41">
    <w:abstractNumId w:val="21"/>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27"/>
  </w:num>
  <w:num w:numId="50">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alText" w:val="DSL v Minister for Immigration [2019] FCCA 3207"/>
    <w:docVar w:name="Appellant" w:val="DSL16"/>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Appeal Division of the FCoA"/>
    <w:docVar w:name="DocCreated" w:val="True"/>
    <w:docVar w:name="FileNumbers" w:val="NSD1907/2019"/>
    <w:docVar w:name="Initiators" w:val="(and another named in the Schedule)"/>
    <w:docVar w:name="Judgdate" w:val="##"/>
    <w:docVar w:name="Judge" w:val="Lee"/>
    <w:docVar w:name="NSD" w:val="NSD "/>
    <w:docVar w:name="NumApps" w:val="1"/>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lace" w:val="N/A FCA"/>
    <w:docVar w:name="PracticeArea" w:val="Administrative and Constitutional Law and Human Rights"/>
    <w:docVar w:name="RESAndAnother" w:val="True"/>
    <w:docVar w:name="RESAndOthers" w:val="False"/>
    <w:docVar w:name="Respondent" w:val="Minister for Immigration and Border Protection|Administrative Appeals Tribunal"/>
    <w:docVar w:name="ResState" w:val="New South Wales"/>
    <w:docVar w:name="SubArea" w:val="[none]"/>
  </w:docVars>
  <w:rsids>
    <w:rsidRoot w:val="00C34864"/>
    <w:rsid w:val="00000747"/>
    <w:rsid w:val="00005B78"/>
    <w:rsid w:val="000115C5"/>
    <w:rsid w:val="0001469E"/>
    <w:rsid w:val="00015993"/>
    <w:rsid w:val="00016F32"/>
    <w:rsid w:val="00020483"/>
    <w:rsid w:val="00020697"/>
    <w:rsid w:val="00020856"/>
    <w:rsid w:val="00020D75"/>
    <w:rsid w:val="00020E68"/>
    <w:rsid w:val="00021CCB"/>
    <w:rsid w:val="00022289"/>
    <w:rsid w:val="00027398"/>
    <w:rsid w:val="00030B58"/>
    <w:rsid w:val="0003201A"/>
    <w:rsid w:val="0003207A"/>
    <w:rsid w:val="00032F9F"/>
    <w:rsid w:val="0004014C"/>
    <w:rsid w:val="00041C07"/>
    <w:rsid w:val="00045BB7"/>
    <w:rsid w:val="00055719"/>
    <w:rsid w:val="0005641B"/>
    <w:rsid w:val="00060F40"/>
    <w:rsid w:val="0006196A"/>
    <w:rsid w:val="0006341D"/>
    <w:rsid w:val="0008116F"/>
    <w:rsid w:val="00081497"/>
    <w:rsid w:val="00085255"/>
    <w:rsid w:val="000A2E76"/>
    <w:rsid w:val="000A4807"/>
    <w:rsid w:val="000A4BE4"/>
    <w:rsid w:val="000B0455"/>
    <w:rsid w:val="000C023E"/>
    <w:rsid w:val="000C5195"/>
    <w:rsid w:val="000C62EF"/>
    <w:rsid w:val="000D2137"/>
    <w:rsid w:val="000D3FD2"/>
    <w:rsid w:val="000D4B2E"/>
    <w:rsid w:val="000D61E9"/>
    <w:rsid w:val="000D7352"/>
    <w:rsid w:val="000E21C6"/>
    <w:rsid w:val="000E3FC8"/>
    <w:rsid w:val="000E5EA1"/>
    <w:rsid w:val="000E6C78"/>
    <w:rsid w:val="000E7BAE"/>
    <w:rsid w:val="000F133D"/>
    <w:rsid w:val="00100B22"/>
    <w:rsid w:val="0010536B"/>
    <w:rsid w:val="0011145C"/>
    <w:rsid w:val="001125D5"/>
    <w:rsid w:val="001128BD"/>
    <w:rsid w:val="00113BB7"/>
    <w:rsid w:val="00113F3C"/>
    <w:rsid w:val="0011419D"/>
    <w:rsid w:val="00114B02"/>
    <w:rsid w:val="00121292"/>
    <w:rsid w:val="001226C0"/>
    <w:rsid w:val="00126EC8"/>
    <w:rsid w:val="0012731C"/>
    <w:rsid w:val="00132054"/>
    <w:rsid w:val="00134964"/>
    <w:rsid w:val="001351B9"/>
    <w:rsid w:val="00155CD2"/>
    <w:rsid w:val="00167727"/>
    <w:rsid w:val="001727A4"/>
    <w:rsid w:val="0017376C"/>
    <w:rsid w:val="001738AB"/>
    <w:rsid w:val="001765E0"/>
    <w:rsid w:val="00177759"/>
    <w:rsid w:val="00180BB3"/>
    <w:rsid w:val="00184DD6"/>
    <w:rsid w:val="00185E6B"/>
    <w:rsid w:val="00187BBC"/>
    <w:rsid w:val="001932F3"/>
    <w:rsid w:val="001A1C80"/>
    <w:rsid w:val="001A2B40"/>
    <w:rsid w:val="001A4309"/>
    <w:rsid w:val="001A46AE"/>
    <w:rsid w:val="001A6C52"/>
    <w:rsid w:val="001B1053"/>
    <w:rsid w:val="001B14AC"/>
    <w:rsid w:val="001B7940"/>
    <w:rsid w:val="001C171A"/>
    <w:rsid w:val="001C37CA"/>
    <w:rsid w:val="001C4085"/>
    <w:rsid w:val="001C46AF"/>
    <w:rsid w:val="001D4303"/>
    <w:rsid w:val="001D6746"/>
    <w:rsid w:val="001E3B49"/>
    <w:rsid w:val="001E4A05"/>
    <w:rsid w:val="001E7388"/>
    <w:rsid w:val="001F13DD"/>
    <w:rsid w:val="001F2473"/>
    <w:rsid w:val="001F2DBC"/>
    <w:rsid w:val="001F73E8"/>
    <w:rsid w:val="0020262C"/>
    <w:rsid w:val="00203D70"/>
    <w:rsid w:val="00206E5C"/>
    <w:rsid w:val="00211A3E"/>
    <w:rsid w:val="00215BCA"/>
    <w:rsid w:val="00217AC4"/>
    <w:rsid w:val="00221461"/>
    <w:rsid w:val="00222ED6"/>
    <w:rsid w:val="00224537"/>
    <w:rsid w:val="002343C3"/>
    <w:rsid w:val="00235956"/>
    <w:rsid w:val="002425FE"/>
    <w:rsid w:val="00243E5E"/>
    <w:rsid w:val="00247C9A"/>
    <w:rsid w:val="0025160C"/>
    <w:rsid w:val="002535D0"/>
    <w:rsid w:val="002539B3"/>
    <w:rsid w:val="00255EDA"/>
    <w:rsid w:val="00256336"/>
    <w:rsid w:val="00257C3E"/>
    <w:rsid w:val="002602C2"/>
    <w:rsid w:val="002666C9"/>
    <w:rsid w:val="00270136"/>
    <w:rsid w:val="00270FD7"/>
    <w:rsid w:val="00274F5B"/>
    <w:rsid w:val="00280836"/>
    <w:rsid w:val="00282E1A"/>
    <w:rsid w:val="00283899"/>
    <w:rsid w:val="002840F1"/>
    <w:rsid w:val="0028682D"/>
    <w:rsid w:val="0029113B"/>
    <w:rsid w:val="002934C0"/>
    <w:rsid w:val="002949CE"/>
    <w:rsid w:val="0029764C"/>
    <w:rsid w:val="002A1B3C"/>
    <w:rsid w:val="002A1B50"/>
    <w:rsid w:val="002A6820"/>
    <w:rsid w:val="002B0E91"/>
    <w:rsid w:val="002B132C"/>
    <w:rsid w:val="002B18D2"/>
    <w:rsid w:val="002B3F23"/>
    <w:rsid w:val="002B4EB5"/>
    <w:rsid w:val="002B6779"/>
    <w:rsid w:val="002B71C0"/>
    <w:rsid w:val="002B7A34"/>
    <w:rsid w:val="002C31AD"/>
    <w:rsid w:val="002C6260"/>
    <w:rsid w:val="002C7385"/>
    <w:rsid w:val="002D2DBB"/>
    <w:rsid w:val="002D37D8"/>
    <w:rsid w:val="002D4231"/>
    <w:rsid w:val="002D54A6"/>
    <w:rsid w:val="002E5BF9"/>
    <w:rsid w:val="002E6A7A"/>
    <w:rsid w:val="002F1E49"/>
    <w:rsid w:val="002F4E9C"/>
    <w:rsid w:val="002F7A54"/>
    <w:rsid w:val="002F7CF0"/>
    <w:rsid w:val="00302F4E"/>
    <w:rsid w:val="0031256C"/>
    <w:rsid w:val="00314511"/>
    <w:rsid w:val="00314D6C"/>
    <w:rsid w:val="00316D2A"/>
    <w:rsid w:val="00322A7C"/>
    <w:rsid w:val="00322EEC"/>
    <w:rsid w:val="00323061"/>
    <w:rsid w:val="003231F1"/>
    <w:rsid w:val="00330E5A"/>
    <w:rsid w:val="00331C4F"/>
    <w:rsid w:val="00337721"/>
    <w:rsid w:val="003402D3"/>
    <w:rsid w:val="00343ABC"/>
    <w:rsid w:val="003442FE"/>
    <w:rsid w:val="003463FE"/>
    <w:rsid w:val="00347D41"/>
    <w:rsid w:val="0035098D"/>
    <w:rsid w:val="00352C26"/>
    <w:rsid w:val="003554B3"/>
    <w:rsid w:val="00356632"/>
    <w:rsid w:val="00357C7E"/>
    <w:rsid w:val="003653B6"/>
    <w:rsid w:val="00367342"/>
    <w:rsid w:val="0036773C"/>
    <w:rsid w:val="003712CA"/>
    <w:rsid w:val="00372B5D"/>
    <w:rsid w:val="00374CC4"/>
    <w:rsid w:val="003774B2"/>
    <w:rsid w:val="00380F2D"/>
    <w:rsid w:val="003845A9"/>
    <w:rsid w:val="003850C9"/>
    <w:rsid w:val="00390883"/>
    <w:rsid w:val="00391B1F"/>
    <w:rsid w:val="003922F8"/>
    <w:rsid w:val="003941F8"/>
    <w:rsid w:val="003957F4"/>
    <w:rsid w:val="00395B24"/>
    <w:rsid w:val="003A2D38"/>
    <w:rsid w:val="003A7ECC"/>
    <w:rsid w:val="003B2C72"/>
    <w:rsid w:val="003B3A3E"/>
    <w:rsid w:val="003B58B4"/>
    <w:rsid w:val="003C1333"/>
    <w:rsid w:val="003C20FF"/>
    <w:rsid w:val="003C550A"/>
    <w:rsid w:val="003C5E55"/>
    <w:rsid w:val="003C6055"/>
    <w:rsid w:val="003D06ED"/>
    <w:rsid w:val="003D2650"/>
    <w:rsid w:val="003D560C"/>
    <w:rsid w:val="003D5C00"/>
    <w:rsid w:val="003E0832"/>
    <w:rsid w:val="003E3154"/>
    <w:rsid w:val="003E5874"/>
    <w:rsid w:val="003E72D3"/>
    <w:rsid w:val="003F193E"/>
    <w:rsid w:val="003F242C"/>
    <w:rsid w:val="003F34F1"/>
    <w:rsid w:val="003F493A"/>
    <w:rsid w:val="003F5AC1"/>
    <w:rsid w:val="003F6D42"/>
    <w:rsid w:val="004023E8"/>
    <w:rsid w:val="00405DEB"/>
    <w:rsid w:val="004076AC"/>
    <w:rsid w:val="004104B6"/>
    <w:rsid w:val="00411AE8"/>
    <w:rsid w:val="00413B74"/>
    <w:rsid w:val="0043071B"/>
    <w:rsid w:val="004342F3"/>
    <w:rsid w:val="00435C5F"/>
    <w:rsid w:val="00436155"/>
    <w:rsid w:val="00436914"/>
    <w:rsid w:val="004400FC"/>
    <w:rsid w:val="00441E98"/>
    <w:rsid w:val="00450F3A"/>
    <w:rsid w:val="004532F7"/>
    <w:rsid w:val="00464D51"/>
    <w:rsid w:val="00472027"/>
    <w:rsid w:val="004804CF"/>
    <w:rsid w:val="00484962"/>
    <w:rsid w:val="00484F6D"/>
    <w:rsid w:val="00484FB7"/>
    <w:rsid w:val="0048554D"/>
    <w:rsid w:val="0049338A"/>
    <w:rsid w:val="0049417F"/>
    <w:rsid w:val="00496D41"/>
    <w:rsid w:val="004A02E3"/>
    <w:rsid w:val="004A3171"/>
    <w:rsid w:val="004A6602"/>
    <w:rsid w:val="004A6BD0"/>
    <w:rsid w:val="004B3EFA"/>
    <w:rsid w:val="004C0E0D"/>
    <w:rsid w:val="004C2A87"/>
    <w:rsid w:val="004C4D7B"/>
    <w:rsid w:val="004C4ED3"/>
    <w:rsid w:val="004C667B"/>
    <w:rsid w:val="004C7ECD"/>
    <w:rsid w:val="004D2EA5"/>
    <w:rsid w:val="004D32A6"/>
    <w:rsid w:val="004D493E"/>
    <w:rsid w:val="004D53E5"/>
    <w:rsid w:val="004E2D54"/>
    <w:rsid w:val="004E32FE"/>
    <w:rsid w:val="004E3FF0"/>
    <w:rsid w:val="004E6DC4"/>
    <w:rsid w:val="004F21C1"/>
    <w:rsid w:val="004F2A1E"/>
    <w:rsid w:val="00501A12"/>
    <w:rsid w:val="0050309C"/>
    <w:rsid w:val="0051327C"/>
    <w:rsid w:val="0051346D"/>
    <w:rsid w:val="00513EAE"/>
    <w:rsid w:val="0051434F"/>
    <w:rsid w:val="00516806"/>
    <w:rsid w:val="0052098C"/>
    <w:rsid w:val="00522911"/>
    <w:rsid w:val="00523812"/>
    <w:rsid w:val="00525A49"/>
    <w:rsid w:val="005262D1"/>
    <w:rsid w:val="00530876"/>
    <w:rsid w:val="00535613"/>
    <w:rsid w:val="005359EB"/>
    <w:rsid w:val="0054254A"/>
    <w:rsid w:val="0054500B"/>
    <w:rsid w:val="00545C75"/>
    <w:rsid w:val="005466B5"/>
    <w:rsid w:val="00554314"/>
    <w:rsid w:val="005612F1"/>
    <w:rsid w:val="00562829"/>
    <w:rsid w:val="005629B3"/>
    <w:rsid w:val="00566A02"/>
    <w:rsid w:val="005724F6"/>
    <w:rsid w:val="00573AC4"/>
    <w:rsid w:val="00575A8C"/>
    <w:rsid w:val="005801FC"/>
    <w:rsid w:val="00585BA9"/>
    <w:rsid w:val="00587359"/>
    <w:rsid w:val="00595016"/>
    <w:rsid w:val="00597AAE"/>
    <w:rsid w:val="005A0D00"/>
    <w:rsid w:val="005A1F5A"/>
    <w:rsid w:val="005A222C"/>
    <w:rsid w:val="005A4DF8"/>
    <w:rsid w:val="005A74B5"/>
    <w:rsid w:val="005A78C8"/>
    <w:rsid w:val="005B03DC"/>
    <w:rsid w:val="005B118E"/>
    <w:rsid w:val="005B1426"/>
    <w:rsid w:val="005C0A8E"/>
    <w:rsid w:val="005C1767"/>
    <w:rsid w:val="005C185C"/>
    <w:rsid w:val="005C42EF"/>
    <w:rsid w:val="005E02F5"/>
    <w:rsid w:val="005E0510"/>
    <w:rsid w:val="005E176E"/>
    <w:rsid w:val="005E218E"/>
    <w:rsid w:val="005E2C52"/>
    <w:rsid w:val="005E35A0"/>
    <w:rsid w:val="005E565D"/>
    <w:rsid w:val="005E5BD4"/>
    <w:rsid w:val="005F0D1B"/>
    <w:rsid w:val="005F1865"/>
    <w:rsid w:val="006007BD"/>
    <w:rsid w:val="006013C8"/>
    <w:rsid w:val="0060270D"/>
    <w:rsid w:val="00604611"/>
    <w:rsid w:val="00611586"/>
    <w:rsid w:val="00612D26"/>
    <w:rsid w:val="006135CF"/>
    <w:rsid w:val="00613C2E"/>
    <w:rsid w:val="00615855"/>
    <w:rsid w:val="00620DA8"/>
    <w:rsid w:val="00621887"/>
    <w:rsid w:val="00624520"/>
    <w:rsid w:val="0062627D"/>
    <w:rsid w:val="006271F5"/>
    <w:rsid w:val="00632300"/>
    <w:rsid w:val="00632BB7"/>
    <w:rsid w:val="00635B36"/>
    <w:rsid w:val="00636871"/>
    <w:rsid w:val="00640ED2"/>
    <w:rsid w:val="00640EE1"/>
    <w:rsid w:val="00640F4E"/>
    <w:rsid w:val="00643DE0"/>
    <w:rsid w:val="0064437D"/>
    <w:rsid w:val="00644E85"/>
    <w:rsid w:val="00647A42"/>
    <w:rsid w:val="006501FE"/>
    <w:rsid w:val="00652C52"/>
    <w:rsid w:val="00656222"/>
    <w:rsid w:val="0066063F"/>
    <w:rsid w:val="00660C33"/>
    <w:rsid w:val="00662BB0"/>
    <w:rsid w:val="00663878"/>
    <w:rsid w:val="00667773"/>
    <w:rsid w:val="00670743"/>
    <w:rsid w:val="00680A85"/>
    <w:rsid w:val="00681ADF"/>
    <w:rsid w:val="00690EE2"/>
    <w:rsid w:val="00693854"/>
    <w:rsid w:val="00694BEB"/>
    <w:rsid w:val="00695CA5"/>
    <w:rsid w:val="006A0E20"/>
    <w:rsid w:val="006A1BE1"/>
    <w:rsid w:val="006A24E3"/>
    <w:rsid w:val="006A5695"/>
    <w:rsid w:val="006B0439"/>
    <w:rsid w:val="006B3904"/>
    <w:rsid w:val="006B5529"/>
    <w:rsid w:val="006B5B7D"/>
    <w:rsid w:val="006C5B46"/>
    <w:rsid w:val="006C6E39"/>
    <w:rsid w:val="006D0ECF"/>
    <w:rsid w:val="006D1164"/>
    <w:rsid w:val="006D12F8"/>
    <w:rsid w:val="006D15BB"/>
    <w:rsid w:val="006D3D5B"/>
    <w:rsid w:val="006D4C92"/>
    <w:rsid w:val="006D4EB6"/>
    <w:rsid w:val="006E3522"/>
    <w:rsid w:val="006E35BF"/>
    <w:rsid w:val="006E7850"/>
    <w:rsid w:val="006F46D6"/>
    <w:rsid w:val="007028D9"/>
    <w:rsid w:val="00703B8C"/>
    <w:rsid w:val="00707218"/>
    <w:rsid w:val="00710D04"/>
    <w:rsid w:val="00711E0E"/>
    <w:rsid w:val="00712B1D"/>
    <w:rsid w:val="00715751"/>
    <w:rsid w:val="007171BA"/>
    <w:rsid w:val="00717616"/>
    <w:rsid w:val="00721E5A"/>
    <w:rsid w:val="00724C2E"/>
    <w:rsid w:val="007325D9"/>
    <w:rsid w:val="0073583B"/>
    <w:rsid w:val="007360CA"/>
    <w:rsid w:val="00742A50"/>
    <w:rsid w:val="0074667B"/>
    <w:rsid w:val="007470BD"/>
    <w:rsid w:val="00760EC0"/>
    <w:rsid w:val="007643AE"/>
    <w:rsid w:val="007660F2"/>
    <w:rsid w:val="00770092"/>
    <w:rsid w:val="007711BD"/>
    <w:rsid w:val="00777B00"/>
    <w:rsid w:val="0078003A"/>
    <w:rsid w:val="00780771"/>
    <w:rsid w:val="007929CF"/>
    <w:rsid w:val="007A49E7"/>
    <w:rsid w:val="007A4FE4"/>
    <w:rsid w:val="007A6F28"/>
    <w:rsid w:val="007B03C6"/>
    <w:rsid w:val="007B0DB1"/>
    <w:rsid w:val="007B5673"/>
    <w:rsid w:val="007B6733"/>
    <w:rsid w:val="007B7238"/>
    <w:rsid w:val="007B76FF"/>
    <w:rsid w:val="007C3BF6"/>
    <w:rsid w:val="007C67B3"/>
    <w:rsid w:val="007D0FD2"/>
    <w:rsid w:val="007D2EF8"/>
    <w:rsid w:val="007D561F"/>
    <w:rsid w:val="007D7FD2"/>
    <w:rsid w:val="007E13D9"/>
    <w:rsid w:val="007E2AEC"/>
    <w:rsid w:val="007E41BE"/>
    <w:rsid w:val="007E4DB6"/>
    <w:rsid w:val="007E507E"/>
    <w:rsid w:val="007E6733"/>
    <w:rsid w:val="007E7CD4"/>
    <w:rsid w:val="007F12AC"/>
    <w:rsid w:val="007F3EE5"/>
    <w:rsid w:val="007F4501"/>
    <w:rsid w:val="007F60DF"/>
    <w:rsid w:val="00801800"/>
    <w:rsid w:val="00801861"/>
    <w:rsid w:val="00801B5B"/>
    <w:rsid w:val="008100CE"/>
    <w:rsid w:val="008216E7"/>
    <w:rsid w:val="00825BE6"/>
    <w:rsid w:val="008276B4"/>
    <w:rsid w:val="00831927"/>
    <w:rsid w:val="00837288"/>
    <w:rsid w:val="008375DD"/>
    <w:rsid w:val="00837CBE"/>
    <w:rsid w:val="00841BD3"/>
    <w:rsid w:val="0084273D"/>
    <w:rsid w:val="00844E3F"/>
    <w:rsid w:val="00845A83"/>
    <w:rsid w:val="00846BB9"/>
    <w:rsid w:val="008544AC"/>
    <w:rsid w:val="008649D5"/>
    <w:rsid w:val="008712BB"/>
    <w:rsid w:val="008830E7"/>
    <w:rsid w:val="00884691"/>
    <w:rsid w:val="00890EDE"/>
    <w:rsid w:val="00892B38"/>
    <w:rsid w:val="008A1741"/>
    <w:rsid w:val="008A2484"/>
    <w:rsid w:val="008A3458"/>
    <w:rsid w:val="008A4008"/>
    <w:rsid w:val="008A52F3"/>
    <w:rsid w:val="008C19A4"/>
    <w:rsid w:val="008C20C8"/>
    <w:rsid w:val="008C26D9"/>
    <w:rsid w:val="008C6D50"/>
    <w:rsid w:val="008C7167"/>
    <w:rsid w:val="008C7503"/>
    <w:rsid w:val="008D1617"/>
    <w:rsid w:val="008D330F"/>
    <w:rsid w:val="008D48C1"/>
    <w:rsid w:val="008D6AEA"/>
    <w:rsid w:val="008E6315"/>
    <w:rsid w:val="008F07FC"/>
    <w:rsid w:val="008F11E0"/>
    <w:rsid w:val="008F25D5"/>
    <w:rsid w:val="008F3EA7"/>
    <w:rsid w:val="008F57B2"/>
    <w:rsid w:val="008F78BC"/>
    <w:rsid w:val="008F7B63"/>
    <w:rsid w:val="008F7D6A"/>
    <w:rsid w:val="00901C86"/>
    <w:rsid w:val="00903603"/>
    <w:rsid w:val="009054CB"/>
    <w:rsid w:val="00911F8D"/>
    <w:rsid w:val="00912F94"/>
    <w:rsid w:val="009171BC"/>
    <w:rsid w:val="00920047"/>
    <w:rsid w:val="00921AD1"/>
    <w:rsid w:val="0092497E"/>
    <w:rsid w:val="0092590B"/>
    <w:rsid w:val="00925BF3"/>
    <w:rsid w:val="00925E60"/>
    <w:rsid w:val="009264B3"/>
    <w:rsid w:val="009321BD"/>
    <w:rsid w:val="009365E0"/>
    <w:rsid w:val="0093671E"/>
    <w:rsid w:val="00942BA2"/>
    <w:rsid w:val="009432B7"/>
    <w:rsid w:val="00944C86"/>
    <w:rsid w:val="00947C02"/>
    <w:rsid w:val="00950BE6"/>
    <w:rsid w:val="00957DE8"/>
    <w:rsid w:val="00960ECB"/>
    <w:rsid w:val="009615D6"/>
    <w:rsid w:val="00967855"/>
    <w:rsid w:val="00974709"/>
    <w:rsid w:val="00980736"/>
    <w:rsid w:val="00980C33"/>
    <w:rsid w:val="00981A39"/>
    <w:rsid w:val="00982D56"/>
    <w:rsid w:val="00983DBF"/>
    <w:rsid w:val="00987097"/>
    <w:rsid w:val="00991123"/>
    <w:rsid w:val="00991CAB"/>
    <w:rsid w:val="009A3A9C"/>
    <w:rsid w:val="009A75D0"/>
    <w:rsid w:val="009B046C"/>
    <w:rsid w:val="009B13FA"/>
    <w:rsid w:val="009B1E2D"/>
    <w:rsid w:val="009C59FB"/>
    <w:rsid w:val="009C6F3B"/>
    <w:rsid w:val="009D1467"/>
    <w:rsid w:val="009E4FA6"/>
    <w:rsid w:val="009E7D93"/>
    <w:rsid w:val="009F2427"/>
    <w:rsid w:val="009F3C34"/>
    <w:rsid w:val="009F462C"/>
    <w:rsid w:val="009F5C33"/>
    <w:rsid w:val="009F5EE5"/>
    <w:rsid w:val="00A026F0"/>
    <w:rsid w:val="00A03EAC"/>
    <w:rsid w:val="00A04DBB"/>
    <w:rsid w:val="00A07EA0"/>
    <w:rsid w:val="00A11CA6"/>
    <w:rsid w:val="00A206A0"/>
    <w:rsid w:val="00A20C49"/>
    <w:rsid w:val="00A22932"/>
    <w:rsid w:val="00A269CA"/>
    <w:rsid w:val="00A336EE"/>
    <w:rsid w:val="00A33F46"/>
    <w:rsid w:val="00A3427E"/>
    <w:rsid w:val="00A359AC"/>
    <w:rsid w:val="00A36A33"/>
    <w:rsid w:val="00A40F83"/>
    <w:rsid w:val="00A41069"/>
    <w:rsid w:val="00A410FB"/>
    <w:rsid w:val="00A41413"/>
    <w:rsid w:val="00A431E6"/>
    <w:rsid w:val="00A436E8"/>
    <w:rsid w:val="00A45FB1"/>
    <w:rsid w:val="00A46CCC"/>
    <w:rsid w:val="00A47996"/>
    <w:rsid w:val="00A50844"/>
    <w:rsid w:val="00A5187A"/>
    <w:rsid w:val="00A51CFE"/>
    <w:rsid w:val="00A5204D"/>
    <w:rsid w:val="00A61605"/>
    <w:rsid w:val="00A61F2E"/>
    <w:rsid w:val="00A65F97"/>
    <w:rsid w:val="00A666E4"/>
    <w:rsid w:val="00A75E9F"/>
    <w:rsid w:val="00A76C13"/>
    <w:rsid w:val="00A84FD0"/>
    <w:rsid w:val="00A92E79"/>
    <w:rsid w:val="00A935AE"/>
    <w:rsid w:val="00A950B6"/>
    <w:rsid w:val="00A95176"/>
    <w:rsid w:val="00A95D45"/>
    <w:rsid w:val="00AB1C1D"/>
    <w:rsid w:val="00AB41C1"/>
    <w:rsid w:val="00AB4CF2"/>
    <w:rsid w:val="00AB6CCA"/>
    <w:rsid w:val="00AC223F"/>
    <w:rsid w:val="00AC33B1"/>
    <w:rsid w:val="00AD12A8"/>
    <w:rsid w:val="00AD2091"/>
    <w:rsid w:val="00AE023F"/>
    <w:rsid w:val="00AE2495"/>
    <w:rsid w:val="00AE451A"/>
    <w:rsid w:val="00AF3577"/>
    <w:rsid w:val="00AF35F9"/>
    <w:rsid w:val="00AF48B8"/>
    <w:rsid w:val="00B0424C"/>
    <w:rsid w:val="00B05C7D"/>
    <w:rsid w:val="00B12617"/>
    <w:rsid w:val="00B15D57"/>
    <w:rsid w:val="00B16347"/>
    <w:rsid w:val="00B17D6E"/>
    <w:rsid w:val="00B2435E"/>
    <w:rsid w:val="00B277C4"/>
    <w:rsid w:val="00B346C3"/>
    <w:rsid w:val="00B4005C"/>
    <w:rsid w:val="00B404A0"/>
    <w:rsid w:val="00B4227E"/>
    <w:rsid w:val="00B4471C"/>
    <w:rsid w:val="00B447AE"/>
    <w:rsid w:val="00B451A6"/>
    <w:rsid w:val="00B56D6E"/>
    <w:rsid w:val="00B57D94"/>
    <w:rsid w:val="00B64347"/>
    <w:rsid w:val="00B6498F"/>
    <w:rsid w:val="00B65DC6"/>
    <w:rsid w:val="00B67AC2"/>
    <w:rsid w:val="00B722DE"/>
    <w:rsid w:val="00B751E3"/>
    <w:rsid w:val="00B75BA6"/>
    <w:rsid w:val="00B76C44"/>
    <w:rsid w:val="00B8184A"/>
    <w:rsid w:val="00B82283"/>
    <w:rsid w:val="00B828D8"/>
    <w:rsid w:val="00B837F9"/>
    <w:rsid w:val="00B83F87"/>
    <w:rsid w:val="00B87CDC"/>
    <w:rsid w:val="00B910C1"/>
    <w:rsid w:val="00BA2CA4"/>
    <w:rsid w:val="00BA2EFA"/>
    <w:rsid w:val="00BA3DBC"/>
    <w:rsid w:val="00BA707A"/>
    <w:rsid w:val="00BB020C"/>
    <w:rsid w:val="00BB1AFB"/>
    <w:rsid w:val="00BB27AE"/>
    <w:rsid w:val="00BB2DA2"/>
    <w:rsid w:val="00BB56DC"/>
    <w:rsid w:val="00BE1158"/>
    <w:rsid w:val="00BE183D"/>
    <w:rsid w:val="00BE394A"/>
    <w:rsid w:val="00BF1128"/>
    <w:rsid w:val="00BF5D7A"/>
    <w:rsid w:val="00BF7871"/>
    <w:rsid w:val="00C01C2E"/>
    <w:rsid w:val="00C02D33"/>
    <w:rsid w:val="00C04B53"/>
    <w:rsid w:val="00C0672D"/>
    <w:rsid w:val="00C1232C"/>
    <w:rsid w:val="00C27C6B"/>
    <w:rsid w:val="00C301CC"/>
    <w:rsid w:val="00C34864"/>
    <w:rsid w:val="00C3594D"/>
    <w:rsid w:val="00C36442"/>
    <w:rsid w:val="00C400CE"/>
    <w:rsid w:val="00C410FD"/>
    <w:rsid w:val="00C439BD"/>
    <w:rsid w:val="00C457DE"/>
    <w:rsid w:val="00C47DD3"/>
    <w:rsid w:val="00C5301A"/>
    <w:rsid w:val="00C53562"/>
    <w:rsid w:val="00C539FB"/>
    <w:rsid w:val="00C66E57"/>
    <w:rsid w:val="00C7046C"/>
    <w:rsid w:val="00C7047E"/>
    <w:rsid w:val="00C74150"/>
    <w:rsid w:val="00C75594"/>
    <w:rsid w:val="00C773E6"/>
    <w:rsid w:val="00C85982"/>
    <w:rsid w:val="00C86ADA"/>
    <w:rsid w:val="00C9518E"/>
    <w:rsid w:val="00CA0466"/>
    <w:rsid w:val="00CA246D"/>
    <w:rsid w:val="00CA50D9"/>
    <w:rsid w:val="00CA5741"/>
    <w:rsid w:val="00CB3054"/>
    <w:rsid w:val="00CB5636"/>
    <w:rsid w:val="00CC3EE5"/>
    <w:rsid w:val="00CD02DF"/>
    <w:rsid w:val="00CD7FAF"/>
    <w:rsid w:val="00CE425C"/>
    <w:rsid w:val="00CE4520"/>
    <w:rsid w:val="00CE58AC"/>
    <w:rsid w:val="00CF5A80"/>
    <w:rsid w:val="00CF7747"/>
    <w:rsid w:val="00D045EE"/>
    <w:rsid w:val="00D04C2F"/>
    <w:rsid w:val="00D05091"/>
    <w:rsid w:val="00D10CA6"/>
    <w:rsid w:val="00D10F21"/>
    <w:rsid w:val="00D134CF"/>
    <w:rsid w:val="00D1573B"/>
    <w:rsid w:val="00D24806"/>
    <w:rsid w:val="00D277FA"/>
    <w:rsid w:val="00D34040"/>
    <w:rsid w:val="00D34E69"/>
    <w:rsid w:val="00D36C78"/>
    <w:rsid w:val="00D37175"/>
    <w:rsid w:val="00D375EE"/>
    <w:rsid w:val="00D40364"/>
    <w:rsid w:val="00D5050D"/>
    <w:rsid w:val="00D55A1F"/>
    <w:rsid w:val="00D55AE8"/>
    <w:rsid w:val="00D56056"/>
    <w:rsid w:val="00D6085F"/>
    <w:rsid w:val="00D62699"/>
    <w:rsid w:val="00D63603"/>
    <w:rsid w:val="00D778E9"/>
    <w:rsid w:val="00D812BF"/>
    <w:rsid w:val="00D82620"/>
    <w:rsid w:val="00D832E5"/>
    <w:rsid w:val="00D85707"/>
    <w:rsid w:val="00D95A3B"/>
    <w:rsid w:val="00D9725F"/>
    <w:rsid w:val="00DA01B1"/>
    <w:rsid w:val="00DA11A2"/>
    <w:rsid w:val="00DA14ED"/>
    <w:rsid w:val="00DA1B91"/>
    <w:rsid w:val="00DA26D6"/>
    <w:rsid w:val="00DA41A5"/>
    <w:rsid w:val="00DB1CAF"/>
    <w:rsid w:val="00DB2EF1"/>
    <w:rsid w:val="00DB3DE1"/>
    <w:rsid w:val="00DB5DA0"/>
    <w:rsid w:val="00DB716C"/>
    <w:rsid w:val="00DC1266"/>
    <w:rsid w:val="00DC18F3"/>
    <w:rsid w:val="00DC5C85"/>
    <w:rsid w:val="00DC7C5D"/>
    <w:rsid w:val="00DD4236"/>
    <w:rsid w:val="00DD44F1"/>
    <w:rsid w:val="00DD6957"/>
    <w:rsid w:val="00DD6A65"/>
    <w:rsid w:val="00DD6E7A"/>
    <w:rsid w:val="00DE3067"/>
    <w:rsid w:val="00DF3EEE"/>
    <w:rsid w:val="00DF54A1"/>
    <w:rsid w:val="00DF6FE7"/>
    <w:rsid w:val="00DF75E1"/>
    <w:rsid w:val="00E027BC"/>
    <w:rsid w:val="00E10F0D"/>
    <w:rsid w:val="00E14EA5"/>
    <w:rsid w:val="00E2070E"/>
    <w:rsid w:val="00E20DA6"/>
    <w:rsid w:val="00E20E45"/>
    <w:rsid w:val="00E21133"/>
    <w:rsid w:val="00E2327E"/>
    <w:rsid w:val="00E266EF"/>
    <w:rsid w:val="00E26B77"/>
    <w:rsid w:val="00E2708A"/>
    <w:rsid w:val="00E40486"/>
    <w:rsid w:val="00E47428"/>
    <w:rsid w:val="00E511D1"/>
    <w:rsid w:val="00E56C8E"/>
    <w:rsid w:val="00E5716B"/>
    <w:rsid w:val="00E57F1F"/>
    <w:rsid w:val="00E66B9F"/>
    <w:rsid w:val="00E70A6A"/>
    <w:rsid w:val="00E710D6"/>
    <w:rsid w:val="00E73DA4"/>
    <w:rsid w:val="00E76E45"/>
    <w:rsid w:val="00E777C9"/>
    <w:rsid w:val="00E81DA6"/>
    <w:rsid w:val="00E84212"/>
    <w:rsid w:val="00E86048"/>
    <w:rsid w:val="00E9086C"/>
    <w:rsid w:val="00E90AAA"/>
    <w:rsid w:val="00E91A0F"/>
    <w:rsid w:val="00E94A71"/>
    <w:rsid w:val="00E94CBF"/>
    <w:rsid w:val="00EA03CE"/>
    <w:rsid w:val="00EA23E5"/>
    <w:rsid w:val="00EA4E2E"/>
    <w:rsid w:val="00EA507E"/>
    <w:rsid w:val="00EB1458"/>
    <w:rsid w:val="00EB2417"/>
    <w:rsid w:val="00EB2CCB"/>
    <w:rsid w:val="00EB7A25"/>
    <w:rsid w:val="00EC0F3E"/>
    <w:rsid w:val="00EC57A7"/>
    <w:rsid w:val="00ED0817"/>
    <w:rsid w:val="00ED6C60"/>
    <w:rsid w:val="00ED7DD9"/>
    <w:rsid w:val="00EE445B"/>
    <w:rsid w:val="00EF3113"/>
    <w:rsid w:val="00EF3F84"/>
    <w:rsid w:val="00F06058"/>
    <w:rsid w:val="00F1317D"/>
    <w:rsid w:val="00F176AC"/>
    <w:rsid w:val="00F26F28"/>
    <w:rsid w:val="00F27714"/>
    <w:rsid w:val="00F3276E"/>
    <w:rsid w:val="00F338D9"/>
    <w:rsid w:val="00F33D3C"/>
    <w:rsid w:val="00F37A91"/>
    <w:rsid w:val="00F40409"/>
    <w:rsid w:val="00F408A0"/>
    <w:rsid w:val="00F45CF5"/>
    <w:rsid w:val="00F47DB0"/>
    <w:rsid w:val="00F50C3F"/>
    <w:rsid w:val="00F50E34"/>
    <w:rsid w:val="00F539FB"/>
    <w:rsid w:val="00F53EF7"/>
    <w:rsid w:val="00F54BF2"/>
    <w:rsid w:val="00F700C7"/>
    <w:rsid w:val="00F76CE6"/>
    <w:rsid w:val="00F775AC"/>
    <w:rsid w:val="00F86E8A"/>
    <w:rsid w:val="00F92355"/>
    <w:rsid w:val="00F93963"/>
    <w:rsid w:val="00F94291"/>
    <w:rsid w:val="00F94C5D"/>
    <w:rsid w:val="00F958E1"/>
    <w:rsid w:val="00FA0652"/>
    <w:rsid w:val="00FA1C73"/>
    <w:rsid w:val="00FA298A"/>
    <w:rsid w:val="00FA38AD"/>
    <w:rsid w:val="00FA5B66"/>
    <w:rsid w:val="00FB30EB"/>
    <w:rsid w:val="00FB7982"/>
    <w:rsid w:val="00FC0734"/>
    <w:rsid w:val="00FC0FC5"/>
    <w:rsid w:val="00FC144C"/>
    <w:rsid w:val="00FC1999"/>
    <w:rsid w:val="00FC588F"/>
    <w:rsid w:val="00FC6879"/>
    <w:rsid w:val="00FD0E87"/>
    <w:rsid w:val="00FE1B30"/>
    <w:rsid w:val="00FE7B44"/>
    <w:rsid w:val="00FF04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0B23316E-607A-4532-B040-BDBA8E3F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41"/>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2"/>
      </w:numPr>
      <w:spacing w:before="60" w:after="60"/>
    </w:pPr>
  </w:style>
  <w:style w:type="numbering" w:customStyle="1" w:styleId="FCOrders">
    <w:name w:val="FCOrders"/>
    <w:uiPriority w:val="99"/>
    <w:rsid w:val="004104B6"/>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4"/>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48"/>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42"/>
      </w:numPr>
    </w:pPr>
  </w:style>
  <w:style w:type="paragraph" w:customStyle="1" w:styleId="Order4">
    <w:name w:val="Order 4"/>
    <w:basedOn w:val="Order3"/>
    <w:rsid w:val="004104B6"/>
    <w:pPr>
      <w:numPr>
        <w:ilvl w:val="3"/>
      </w:numPr>
    </w:pPr>
  </w:style>
  <w:style w:type="paragraph" w:customStyle="1" w:styleId="Pare">
    <w:name w:val="Pare"/>
    <w:basedOn w:val="Quote1"/>
    <w:rsid w:val="006A1BE1"/>
    <w:pPr>
      <w:ind w:left="0"/>
    </w:pPr>
  </w:style>
  <w:style w:type="paragraph" w:customStyle="1" w:styleId="Default">
    <w:name w:val="Default"/>
    <w:rsid w:val="00030B58"/>
    <w:pPr>
      <w:autoSpaceDE w:val="0"/>
      <w:autoSpaceDN w:val="0"/>
      <w:adjustRightInd w:val="0"/>
    </w:pPr>
    <w:rPr>
      <w:color w:val="000000"/>
      <w:sz w:val="24"/>
      <w:szCs w:val="24"/>
    </w:rPr>
  </w:style>
  <w:style w:type="paragraph" w:customStyle="1" w:styleId="Quotation">
    <w:name w:val="Quotation"/>
    <w:basedOn w:val="Normal"/>
    <w:next w:val="BodyText"/>
    <w:rsid w:val="008375DD"/>
    <w:pPr>
      <w:widowControl w:val="0"/>
      <w:numPr>
        <w:numId w:val="50"/>
      </w:numPr>
      <w:adjustRightInd w:val="0"/>
      <w:spacing w:after="240" w:line="300" w:lineRule="exact"/>
    </w:pPr>
    <w:rPr>
      <w:rFonts w:eastAsia="PMingLiU" w:cs="PMingLiU"/>
      <w:i/>
      <w:iCs/>
      <w:kern w:val="26"/>
      <w:sz w:val="26"/>
      <w:szCs w:val="26"/>
      <w:lang w:eastAsia="zh-CN"/>
    </w:rPr>
  </w:style>
  <w:style w:type="paragraph" w:customStyle="1" w:styleId="Quotation2">
    <w:name w:val="Quotation2"/>
    <w:basedOn w:val="Quotation"/>
    <w:next w:val="Quotation"/>
    <w:rsid w:val="008375DD"/>
    <w:pPr>
      <w:numPr>
        <w:ilvl w:val="1"/>
      </w:numPr>
    </w:pPr>
  </w:style>
  <w:style w:type="paragraph" w:customStyle="1" w:styleId="Quotation3">
    <w:name w:val="Quotation3"/>
    <w:basedOn w:val="Quotation2"/>
    <w:next w:val="Quotation2"/>
    <w:rsid w:val="008375DD"/>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286170">
      <w:bodyDiv w:val="1"/>
      <w:marLeft w:val="0"/>
      <w:marRight w:val="0"/>
      <w:marTop w:val="0"/>
      <w:marBottom w:val="0"/>
      <w:divBdr>
        <w:top w:val="none" w:sz="0" w:space="0" w:color="auto"/>
        <w:left w:val="none" w:sz="0" w:space="0" w:color="auto"/>
        <w:bottom w:val="none" w:sz="0" w:space="0" w:color="auto"/>
        <w:right w:val="none" w:sz="0" w:space="0" w:color="auto"/>
      </w:divBdr>
    </w:div>
    <w:div w:id="1254779505">
      <w:bodyDiv w:val="1"/>
      <w:marLeft w:val="0"/>
      <w:marRight w:val="0"/>
      <w:marTop w:val="0"/>
      <w:marBottom w:val="0"/>
      <w:divBdr>
        <w:top w:val="none" w:sz="0" w:space="0" w:color="auto"/>
        <w:left w:val="none" w:sz="0" w:space="0" w:color="auto"/>
        <w:bottom w:val="none" w:sz="0" w:space="0" w:color="auto"/>
        <w:right w:val="none" w:sz="0" w:space="0" w:color="auto"/>
      </w:divBdr>
    </w:div>
    <w:div w:id="151861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0230E5F3C4466CA869CAB48AD3A4C4"/>
        <w:category>
          <w:name w:val="General"/>
          <w:gallery w:val="placeholder"/>
        </w:category>
        <w:types>
          <w:type w:val="bbPlcHdr"/>
        </w:types>
        <w:behaviors>
          <w:behavior w:val="content"/>
        </w:behaviors>
        <w:guid w:val="{DFA5EE28-76EE-46BE-BBB6-9ACECE6204FC}"/>
      </w:docPartPr>
      <w:docPartBody>
        <w:p w:rsidR="00C6018E" w:rsidRDefault="00C6018E">
          <w:pPr>
            <w:pStyle w:val="C20230E5F3C4466CA869CAB48AD3A4C4"/>
          </w:pPr>
          <w:r>
            <w:rPr>
              <w:rStyle w:val="PlaceholderText"/>
            </w:rPr>
            <w:t>MNC Text</w:t>
          </w:r>
        </w:p>
      </w:docPartBody>
    </w:docPart>
    <w:docPart>
      <w:docPartPr>
        <w:name w:val="6EF021EA882145E79615BB8BA2A937D0"/>
        <w:category>
          <w:name w:val="General"/>
          <w:gallery w:val="placeholder"/>
        </w:category>
        <w:types>
          <w:type w:val="bbPlcHdr"/>
        </w:types>
        <w:behaviors>
          <w:behavior w:val="content"/>
        </w:behaviors>
        <w:guid w:val="{009F82E5-4307-400E-B212-BC60DA96F834}"/>
      </w:docPartPr>
      <w:docPartBody>
        <w:p w:rsidR="00C6018E" w:rsidRDefault="00C6018E">
          <w:pPr>
            <w:pStyle w:val="6EF021EA882145E79615BB8BA2A937D0"/>
          </w:pPr>
          <w:r w:rsidRPr="005C44BE">
            <w:rPr>
              <w:rStyle w:val="PlaceholderText"/>
            </w:rPr>
            <w:t>Click or tap here to enter text.</w:t>
          </w:r>
        </w:p>
      </w:docPartBody>
    </w:docPart>
    <w:docPart>
      <w:docPartPr>
        <w:name w:val="96317213F82F4253AE475984A2D5FFF2"/>
        <w:category>
          <w:name w:val="General"/>
          <w:gallery w:val="placeholder"/>
        </w:category>
        <w:types>
          <w:type w:val="bbPlcHdr"/>
        </w:types>
        <w:behaviors>
          <w:behavior w:val="content"/>
        </w:behaviors>
        <w:guid w:val="{2D701354-1873-4774-BCC5-4C21BE58953A}"/>
      </w:docPartPr>
      <w:docPartBody>
        <w:p w:rsidR="00C6018E" w:rsidRDefault="00C6018E">
          <w:pPr>
            <w:pStyle w:val="96317213F82F4253AE475984A2D5FFF2"/>
          </w:pPr>
          <w:r w:rsidRPr="005C44BE">
            <w:rPr>
              <w:rStyle w:val="PlaceholderText"/>
            </w:rPr>
            <w:t>Click or tap here to enter text.</w:t>
          </w:r>
        </w:p>
      </w:docPartBody>
    </w:docPart>
    <w:docPart>
      <w:docPartPr>
        <w:name w:val="22ED3C12A1BF4C62B13783DE6F8AE889"/>
        <w:category>
          <w:name w:val="General"/>
          <w:gallery w:val="placeholder"/>
        </w:category>
        <w:types>
          <w:type w:val="bbPlcHdr"/>
        </w:types>
        <w:behaviors>
          <w:behavior w:val="content"/>
        </w:behaviors>
        <w:guid w:val="{3B8A4FE5-B1AA-4E62-BFB6-C91A63BEB0A2}"/>
      </w:docPartPr>
      <w:docPartBody>
        <w:p w:rsidR="00C6018E" w:rsidRDefault="00C6018E">
          <w:pPr>
            <w:pStyle w:val="22ED3C12A1BF4C62B13783DE6F8AE889"/>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pitch w:val="variable"/>
    <w:sig w:usb0="00000000"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8E"/>
    <w:rsid w:val="00B32868"/>
    <w:rsid w:val="00C60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20230E5F3C4466CA869CAB48AD3A4C4">
    <w:name w:val="C20230E5F3C4466CA869CAB48AD3A4C4"/>
  </w:style>
  <w:style w:type="paragraph" w:customStyle="1" w:styleId="6EF021EA882145E79615BB8BA2A937D0">
    <w:name w:val="6EF021EA882145E79615BB8BA2A937D0"/>
  </w:style>
  <w:style w:type="paragraph" w:customStyle="1" w:styleId="96317213F82F4253AE475984A2D5FFF2">
    <w:name w:val="96317213F82F4253AE475984A2D5FFF2"/>
  </w:style>
  <w:style w:type="paragraph" w:customStyle="1" w:styleId="22ED3C12A1BF4C62B13783DE6F8AE889">
    <w:name w:val="22ED3C12A1BF4C62B13783DE6F8AE889"/>
  </w:style>
  <w:style w:type="paragraph" w:customStyle="1" w:styleId="A4402F4DF414456280F654C30ADF07EA">
    <w:name w:val="A4402F4DF414456280F654C30ADF07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http://schemas.globalmacros.com/FCA">
  <Name> DSL16 v Minister for Immigration, Citizenship, Migrant Services and Multicultural Affairs [2020] FCA 1141  </Name>
</root>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10</Pages>
  <Words>3391</Words>
  <Characters>17372</Characters>
  <Application>Microsoft Office Word</Application>
  <DocSecurity>0</DocSecurity>
  <Lines>361</Lines>
  <Paragraphs>133</Paragraphs>
  <ScaleCrop>false</ScaleCrop>
  <HeadingPairs>
    <vt:vector size="2" baseType="variant">
      <vt:variant>
        <vt:lpstr>Title</vt:lpstr>
      </vt:variant>
      <vt:variant>
        <vt:i4>1</vt:i4>
      </vt:variant>
    </vt:vector>
  </HeadingPairs>
  <TitlesOfParts>
    <vt:vector size="1" baseType="lpstr">
      <vt:lpstr> DSL16 v Minister for Immigration, Citizenship, Migrant Services and Multicultural Affairs [2020] FCA 1141  </vt:lpstr>
    </vt:vector>
  </TitlesOfParts>
  <Company>Federal Court of Australia</Company>
  <LinksUpToDate>false</LinksUpToDate>
  <CharactersWithSpaces>20630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DSL16 v Minister for Immigration, Citizenship, Migrant Services and Multicultural Affairs [2020] FCA 1141</dc:title>
  <dc:creator>Federal Court of Australia</dc:creator>
  <cp:lastModifiedBy>Federal Court of Australia</cp:lastModifiedBy>
  <cp:revision>4</cp:revision>
  <cp:lastPrinted>2020-08-10T22:59:00Z</cp:lastPrinted>
  <dcterms:created xsi:type="dcterms:W3CDTF">2020-08-10T23:33:00Z</dcterms:created>
  <dcterms:modified xsi:type="dcterms:W3CDTF">2020-08-10T23:34:00Z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1</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Appeal Division</vt:lpwstr>
  </property>
  <property fmtid="{D5CDD505-2E9C-101B-9397-08002B2CF9AE}" pid="14" name="FileNo">
    <vt:lpwstr>&lt;FILE NO&gt;</vt:lpwstr>
  </property>
  <property fmtid="{D5CDD505-2E9C-101B-9397-08002B2CF9AE}" pid="15" name="Practice Area">
    <vt:lpwstr>Administrative and Constitutional Law and Human Rights</vt:lpwstr>
  </property>
  <property fmtid="{D5CDD505-2E9C-101B-9397-08002B2CF9AE}" pid="16" name="Court">
    <vt:lpwstr>Federal Court of Australia</vt:lpwstr>
  </property>
  <property fmtid="{D5CDD505-2E9C-101B-9397-08002B2CF9AE}" pid="17" name="Sub Area">
    <vt:lpwstr>Delete these rows - not required</vt:lpwstr>
  </property>
  <property fmtid="{D5CDD505-2E9C-101B-9397-08002B2CF9AE}" pid="18" name="AppealFrom">
    <vt:lpwstr>DSL v Minister for Immigration [2019] FCCA 3207</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