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Pr="0072120D" w:rsidRDefault="002C7385">
      <w:pPr>
        <w:pStyle w:val="NormalHeadings"/>
        <w:jc w:val="center"/>
        <w:rPr>
          <w:sz w:val="32"/>
        </w:rPr>
      </w:pPr>
      <w:r w:rsidRPr="0072120D">
        <w:rPr>
          <w:sz w:val="32"/>
        </w:rPr>
        <w:t>FEDERAL COURT OF AUSTRALIA</w:t>
      </w:r>
    </w:p>
    <w:p w:rsidR="00395B24" w:rsidRPr="0072120D" w:rsidRDefault="00395B24">
      <w:pPr>
        <w:pStyle w:val="NormalHeadings"/>
        <w:jc w:val="center"/>
        <w:rPr>
          <w:sz w:val="32"/>
        </w:rPr>
      </w:pPr>
    </w:p>
    <w:p w:rsidR="00395B24" w:rsidRPr="0072120D" w:rsidRDefault="009744B7">
      <w:pPr>
        <w:pStyle w:val="MediaNeutralStyle"/>
      </w:pPr>
      <w:bookmarkStart w:id="0" w:name="MNC"/>
      <w:r w:rsidRPr="0072120D">
        <w:t>Australian Building and Construction Commissioner v Construction, Forestry, Maritime, Mining and Energy Union</w:t>
      </w:r>
      <w:r w:rsidR="006D4480">
        <w:t xml:space="preserve"> [</w:t>
      </w:r>
      <w:r w:rsidR="00EA5E4E">
        <w:t>2020</w:t>
      </w:r>
      <w:r w:rsidR="006D4480">
        <w:t xml:space="preserve">] FCA </w:t>
      </w:r>
      <w:r w:rsidR="00F01007">
        <w:t>549</w:t>
      </w:r>
      <w:r w:rsidRPr="0072120D">
        <w:t xml:space="preserve"> </w:t>
      </w:r>
      <w:bookmarkEnd w:id="0"/>
    </w:p>
    <w:p w:rsidR="00395B24" w:rsidRPr="0072120D"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72120D" w:rsidRPr="0072120D" w:rsidTr="004D3A9A">
        <w:tc>
          <w:tcPr>
            <w:tcW w:w="3085" w:type="dxa"/>
            <w:shd w:val="clear" w:color="auto" w:fill="auto"/>
          </w:tcPr>
          <w:p w:rsidR="00395B24" w:rsidRPr="0072120D" w:rsidRDefault="009744B7" w:rsidP="009744B7">
            <w:pPr>
              <w:pStyle w:val="Normal1linespace"/>
              <w:widowControl w:val="0"/>
              <w:jc w:val="left"/>
            </w:pPr>
            <w:r w:rsidRPr="0072120D">
              <w:t>File number</w:t>
            </w:r>
            <w:r w:rsidR="002C7385" w:rsidRPr="0072120D">
              <w:t>:</w:t>
            </w:r>
          </w:p>
        </w:tc>
        <w:tc>
          <w:tcPr>
            <w:tcW w:w="5989" w:type="dxa"/>
            <w:shd w:val="clear" w:color="auto" w:fill="auto"/>
          </w:tcPr>
          <w:p w:rsidR="00395B24" w:rsidRPr="006C6A2E" w:rsidRDefault="00940A23" w:rsidP="006C6A2E">
            <w:pPr>
              <w:pStyle w:val="Normal1linespace"/>
              <w:jc w:val="left"/>
            </w:pPr>
            <w:r>
              <w:fldChar w:fldCharType="begin" w:fldLock="1"/>
            </w:r>
            <w:r>
              <w:instrText xml:space="preserve"> REF  FileNo  \* MERGEFORMAT </w:instrText>
            </w:r>
            <w:r>
              <w:fldChar w:fldCharType="separate"/>
            </w:r>
            <w:r w:rsidR="006C6A2E" w:rsidRPr="006C6A2E">
              <w:t>NSD 474 of 2019</w:t>
            </w:r>
            <w:r>
              <w:fldChar w:fldCharType="end"/>
            </w:r>
          </w:p>
        </w:tc>
      </w:tr>
      <w:tr w:rsidR="0072120D" w:rsidRPr="0072120D" w:rsidTr="004D3A9A">
        <w:tc>
          <w:tcPr>
            <w:tcW w:w="3085" w:type="dxa"/>
            <w:shd w:val="clear" w:color="auto" w:fill="auto"/>
          </w:tcPr>
          <w:p w:rsidR="00395B24" w:rsidRPr="0072120D" w:rsidRDefault="00395B24" w:rsidP="00663878">
            <w:pPr>
              <w:pStyle w:val="Normal1linespace"/>
              <w:widowControl w:val="0"/>
              <w:jc w:val="left"/>
            </w:pPr>
          </w:p>
        </w:tc>
        <w:tc>
          <w:tcPr>
            <w:tcW w:w="5989" w:type="dxa"/>
            <w:shd w:val="clear" w:color="auto" w:fill="auto"/>
          </w:tcPr>
          <w:p w:rsidR="00395B24" w:rsidRPr="0072120D" w:rsidRDefault="00395B24" w:rsidP="00663878">
            <w:pPr>
              <w:pStyle w:val="Normal1linespace"/>
              <w:widowControl w:val="0"/>
              <w:jc w:val="left"/>
            </w:pPr>
          </w:p>
        </w:tc>
      </w:tr>
      <w:tr w:rsidR="0072120D" w:rsidRPr="0072120D" w:rsidTr="004D3A9A">
        <w:tc>
          <w:tcPr>
            <w:tcW w:w="3085" w:type="dxa"/>
            <w:shd w:val="clear" w:color="auto" w:fill="auto"/>
          </w:tcPr>
          <w:p w:rsidR="00395B24" w:rsidRPr="0072120D" w:rsidRDefault="009744B7" w:rsidP="009744B7">
            <w:pPr>
              <w:pStyle w:val="Normal1linespace"/>
              <w:widowControl w:val="0"/>
              <w:jc w:val="left"/>
            </w:pPr>
            <w:r w:rsidRPr="0072120D">
              <w:t>Judge</w:t>
            </w:r>
            <w:r w:rsidR="002C7385" w:rsidRPr="0072120D">
              <w:t>:</w:t>
            </w:r>
          </w:p>
        </w:tc>
        <w:tc>
          <w:tcPr>
            <w:tcW w:w="5989" w:type="dxa"/>
            <w:shd w:val="clear" w:color="auto" w:fill="auto"/>
          </w:tcPr>
          <w:p w:rsidR="00395B24" w:rsidRPr="0072120D" w:rsidRDefault="002C7385" w:rsidP="00663878">
            <w:pPr>
              <w:pStyle w:val="Normal1linespace"/>
              <w:widowControl w:val="0"/>
              <w:jc w:val="left"/>
              <w:rPr>
                <w:b/>
              </w:rPr>
            </w:pPr>
            <w:r w:rsidRPr="006C6A2E">
              <w:rPr>
                <w:b/>
              </w:rPr>
              <w:fldChar w:fldCharType="begin" w:fldLock="1"/>
            </w:r>
            <w:r w:rsidRPr="006C6A2E">
              <w:rPr>
                <w:b/>
              </w:rPr>
              <w:instrText xml:space="preserve"> REF  Judge  \* MERGEFORMAT </w:instrText>
            </w:r>
            <w:r w:rsidRPr="006C6A2E">
              <w:rPr>
                <w:b/>
              </w:rPr>
              <w:fldChar w:fldCharType="separate"/>
            </w:r>
            <w:r w:rsidR="006C6A2E" w:rsidRPr="006C6A2E">
              <w:rPr>
                <w:b/>
                <w:caps/>
                <w:szCs w:val="24"/>
              </w:rPr>
              <w:t>FLICK J</w:t>
            </w:r>
            <w:r w:rsidRPr="006C6A2E">
              <w:rPr>
                <w:b/>
              </w:rPr>
              <w:fldChar w:fldCharType="end"/>
            </w:r>
          </w:p>
        </w:tc>
      </w:tr>
      <w:tr w:rsidR="0072120D" w:rsidRPr="0072120D" w:rsidTr="004D3A9A">
        <w:tc>
          <w:tcPr>
            <w:tcW w:w="3085" w:type="dxa"/>
            <w:shd w:val="clear" w:color="auto" w:fill="auto"/>
          </w:tcPr>
          <w:p w:rsidR="006D563A" w:rsidRPr="0072120D" w:rsidRDefault="006D563A" w:rsidP="00663878">
            <w:pPr>
              <w:pStyle w:val="Normal1linespace"/>
              <w:widowControl w:val="0"/>
              <w:jc w:val="left"/>
            </w:pPr>
          </w:p>
        </w:tc>
        <w:tc>
          <w:tcPr>
            <w:tcW w:w="5989" w:type="dxa"/>
            <w:shd w:val="clear" w:color="auto" w:fill="auto"/>
          </w:tcPr>
          <w:p w:rsidR="006D563A" w:rsidRPr="0072120D" w:rsidRDefault="006D563A" w:rsidP="00663878">
            <w:pPr>
              <w:pStyle w:val="Normal1linespace"/>
              <w:widowControl w:val="0"/>
              <w:jc w:val="left"/>
            </w:pPr>
          </w:p>
        </w:tc>
      </w:tr>
      <w:tr w:rsidR="0072120D" w:rsidRPr="0072120D" w:rsidTr="004D3A9A">
        <w:tc>
          <w:tcPr>
            <w:tcW w:w="3085" w:type="dxa"/>
            <w:shd w:val="clear" w:color="auto" w:fill="auto"/>
          </w:tcPr>
          <w:p w:rsidR="00395B24" w:rsidRPr="0072120D" w:rsidRDefault="002C7385" w:rsidP="00663878">
            <w:pPr>
              <w:pStyle w:val="Normal1linespace"/>
              <w:widowControl w:val="0"/>
              <w:jc w:val="left"/>
            </w:pPr>
            <w:r w:rsidRPr="0072120D">
              <w:t>Date of judgment:</w:t>
            </w:r>
          </w:p>
        </w:tc>
        <w:tc>
          <w:tcPr>
            <w:tcW w:w="5989" w:type="dxa"/>
            <w:shd w:val="clear" w:color="auto" w:fill="auto"/>
          </w:tcPr>
          <w:p w:rsidR="00395B24" w:rsidRPr="0072120D" w:rsidRDefault="006C6A2E" w:rsidP="00663878">
            <w:pPr>
              <w:pStyle w:val="Normal1linespace"/>
              <w:widowControl w:val="0"/>
              <w:jc w:val="left"/>
            </w:pPr>
            <w:bookmarkStart w:id="1" w:name="JudgmentDate"/>
            <w:r>
              <w:t>28 April 2020</w:t>
            </w:r>
            <w:bookmarkEnd w:id="1"/>
          </w:p>
        </w:tc>
      </w:tr>
      <w:tr w:rsidR="0072120D" w:rsidRPr="0072120D" w:rsidTr="004D3A9A">
        <w:tc>
          <w:tcPr>
            <w:tcW w:w="3085" w:type="dxa"/>
            <w:shd w:val="clear" w:color="auto" w:fill="auto"/>
          </w:tcPr>
          <w:p w:rsidR="00395B24" w:rsidRPr="0072120D" w:rsidRDefault="00395B24" w:rsidP="00663878">
            <w:pPr>
              <w:pStyle w:val="Normal1linespace"/>
              <w:widowControl w:val="0"/>
              <w:jc w:val="left"/>
            </w:pPr>
          </w:p>
        </w:tc>
        <w:tc>
          <w:tcPr>
            <w:tcW w:w="5989" w:type="dxa"/>
            <w:shd w:val="clear" w:color="auto" w:fill="auto"/>
          </w:tcPr>
          <w:p w:rsidR="00395B24" w:rsidRPr="0072120D" w:rsidRDefault="00395B24" w:rsidP="00663878">
            <w:pPr>
              <w:pStyle w:val="Normal1linespace"/>
              <w:widowControl w:val="0"/>
              <w:jc w:val="left"/>
            </w:pPr>
          </w:p>
        </w:tc>
      </w:tr>
      <w:tr w:rsidR="0072120D" w:rsidRPr="0072120D" w:rsidTr="004D3A9A">
        <w:tc>
          <w:tcPr>
            <w:tcW w:w="3085" w:type="dxa"/>
            <w:shd w:val="clear" w:color="auto" w:fill="auto"/>
          </w:tcPr>
          <w:p w:rsidR="00395B24" w:rsidRPr="0072120D" w:rsidRDefault="002C7385" w:rsidP="00663878">
            <w:pPr>
              <w:pStyle w:val="Normal1linespace"/>
              <w:widowControl w:val="0"/>
              <w:jc w:val="left"/>
            </w:pPr>
            <w:r w:rsidRPr="0072120D">
              <w:t>Catchwords:</w:t>
            </w:r>
          </w:p>
        </w:tc>
        <w:tc>
          <w:tcPr>
            <w:tcW w:w="5989" w:type="dxa"/>
            <w:shd w:val="clear" w:color="auto" w:fill="auto"/>
          </w:tcPr>
          <w:p w:rsidR="00395B24" w:rsidRPr="0072120D" w:rsidRDefault="00A325E7" w:rsidP="0006139A">
            <w:pPr>
              <w:pStyle w:val="Normal1linespace"/>
              <w:widowControl w:val="0"/>
              <w:ind w:right="174"/>
            </w:pPr>
            <w:bookmarkStart w:id="2" w:name="Catchwords"/>
            <w:r w:rsidRPr="0072120D">
              <w:rPr>
                <w:b/>
              </w:rPr>
              <w:t xml:space="preserve">INDUSTRIAL LAW </w:t>
            </w:r>
            <w:r w:rsidRPr="0072120D">
              <w:t>–</w:t>
            </w:r>
            <w:r w:rsidRPr="0072120D">
              <w:rPr>
                <w:b/>
              </w:rPr>
              <w:t xml:space="preserve"> </w:t>
            </w:r>
            <w:r w:rsidRPr="0072120D">
              <w:t xml:space="preserve">penalties – agreement as to range – course of conduct – </w:t>
            </w:r>
            <w:r w:rsidR="00780B0F">
              <w:t xml:space="preserve">civil double jeopardy – </w:t>
            </w:r>
            <w:r w:rsidRPr="0072120D">
              <w:t>totality principle</w:t>
            </w:r>
            <w:r w:rsidR="006D563A" w:rsidRPr="0072120D">
              <w:t xml:space="preserve"> </w:t>
            </w:r>
            <w:r w:rsidR="002C7385" w:rsidRPr="0072120D">
              <w:t xml:space="preserve"> </w:t>
            </w:r>
            <w:bookmarkEnd w:id="2"/>
          </w:p>
        </w:tc>
      </w:tr>
      <w:tr w:rsidR="0072120D" w:rsidRPr="0072120D" w:rsidTr="004D3A9A">
        <w:tc>
          <w:tcPr>
            <w:tcW w:w="3085" w:type="dxa"/>
            <w:shd w:val="clear" w:color="auto" w:fill="auto"/>
          </w:tcPr>
          <w:p w:rsidR="00395B24" w:rsidRPr="0072120D" w:rsidRDefault="00395B24" w:rsidP="00663878">
            <w:pPr>
              <w:pStyle w:val="Normal1linespace"/>
              <w:widowControl w:val="0"/>
              <w:jc w:val="left"/>
            </w:pPr>
          </w:p>
        </w:tc>
        <w:tc>
          <w:tcPr>
            <w:tcW w:w="5989" w:type="dxa"/>
            <w:shd w:val="clear" w:color="auto" w:fill="auto"/>
          </w:tcPr>
          <w:p w:rsidR="00395B24" w:rsidRPr="0072120D" w:rsidRDefault="00395B24" w:rsidP="0006139A">
            <w:pPr>
              <w:pStyle w:val="Normal1linespace"/>
              <w:widowControl w:val="0"/>
              <w:ind w:right="174"/>
              <w:jc w:val="left"/>
            </w:pPr>
          </w:p>
        </w:tc>
      </w:tr>
      <w:tr w:rsidR="0072120D" w:rsidRPr="0072120D" w:rsidTr="004D3A9A">
        <w:tc>
          <w:tcPr>
            <w:tcW w:w="3085" w:type="dxa"/>
            <w:shd w:val="clear" w:color="auto" w:fill="auto"/>
          </w:tcPr>
          <w:p w:rsidR="00395B24" w:rsidRPr="0072120D" w:rsidRDefault="002C7385" w:rsidP="00663878">
            <w:pPr>
              <w:pStyle w:val="Normal1linespace"/>
              <w:widowControl w:val="0"/>
              <w:jc w:val="left"/>
            </w:pPr>
            <w:r w:rsidRPr="0072120D">
              <w:t>Legislation:</w:t>
            </w:r>
          </w:p>
        </w:tc>
        <w:tc>
          <w:tcPr>
            <w:tcW w:w="5989" w:type="dxa"/>
            <w:shd w:val="clear" w:color="auto" w:fill="auto"/>
          </w:tcPr>
          <w:p w:rsidR="002708C6" w:rsidRPr="00F303E9" w:rsidRDefault="002708C6" w:rsidP="0006139A">
            <w:pPr>
              <w:pStyle w:val="CasesLegislationAppealFrom"/>
              <w:spacing w:after="60"/>
              <w:ind w:right="174"/>
              <w:jc w:val="both"/>
            </w:pPr>
            <w:bookmarkStart w:id="3" w:name="Legislation"/>
            <w:r w:rsidRPr="00F303E9">
              <w:rPr>
                <w:i/>
              </w:rPr>
              <w:t>Building and Construction Industry (Improving Productivity) Act</w:t>
            </w:r>
            <w:r w:rsidRPr="00F303E9">
              <w:t xml:space="preserve"> </w:t>
            </w:r>
            <w:r w:rsidRPr="00F303E9">
              <w:rPr>
                <w:i/>
              </w:rPr>
              <w:t>2016</w:t>
            </w:r>
            <w:r w:rsidRPr="00F303E9">
              <w:t xml:space="preserve"> (</w:t>
            </w:r>
            <w:proofErr w:type="spellStart"/>
            <w:r w:rsidRPr="00F303E9">
              <w:t>Cth</w:t>
            </w:r>
            <w:proofErr w:type="spellEnd"/>
            <w:r w:rsidRPr="00F303E9">
              <w:t xml:space="preserve">) </w:t>
            </w:r>
            <w:proofErr w:type="spellStart"/>
            <w:r w:rsidRPr="00F303E9">
              <w:t>ss</w:t>
            </w:r>
            <w:proofErr w:type="spellEnd"/>
            <w:r w:rsidRPr="00F303E9">
              <w:t xml:space="preserve"> 7, 46, 81, 83, 91, </w:t>
            </w:r>
            <w:r w:rsidR="00623B60" w:rsidRPr="00F303E9">
              <w:t>417, 421</w:t>
            </w:r>
          </w:p>
          <w:p w:rsidR="002708C6" w:rsidRPr="00F303E9" w:rsidRDefault="002708C6" w:rsidP="0006139A">
            <w:pPr>
              <w:pStyle w:val="CasesLegislationAppealFrom"/>
              <w:spacing w:after="60"/>
              <w:ind w:right="174"/>
              <w:jc w:val="both"/>
            </w:pPr>
            <w:r w:rsidRPr="00F303E9">
              <w:rPr>
                <w:i/>
              </w:rPr>
              <w:t>Fair Work Act</w:t>
            </w:r>
            <w:r w:rsidRPr="00F303E9">
              <w:t xml:space="preserve"> </w:t>
            </w:r>
            <w:r w:rsidRPr="00F303E9">
              <w:rPr>
                <w:i/>
              </w:rPr>
              <w:t>2009</w:t>
            </w:r>
            <w:r w:rsidRPr="00F303E9">
              <w:t xml:space="preserve"> (</w:t>
            </w:r>
            <w:proofErr w:type="spellStart"/>
            <w:r w:rsidRPr="00F303E9">
              <w:t>Cth</w:t>
            </w:r>
            <w:proofErr w:type="spellEnd"/>
            <w:r w:rsidRPr="00F303E9">
              <w:t xml:space="preserve">) </w:t>
            </w:r>
            <w:proofErr w:type="spellStart"/>
            <w:r w:rsidRPr="00F303E9">
              <w:t>ss</w:t>
            </w:r>
            <w:proofErr w:type="spellEnd"/>
            <w:r w:rsidRPr="00F303E9">
              <w:t xml:space="preserve"> 500, 546, 556</w:t>
            </w:r>
          </w:p>
          <w:p w:rsidR="00395B24" w:rsidRPr="0072120D" w:rsidRDefault="00623B60" w:rsidP="0006139A">
            <w:pPr>
              <w:pStyle w:val="CasesLegislationAppealFrom"/>
              <w:spacing w:after="60"/>
              <w:ind w:right="174"/>
              <w:jc w:val="both"/>
            </w:pPr>
            <w:r w:rsidRPr="00F303E9">
              <w:rPr>
                <w:i/>
                <w:szCs w:val="24"/>
                <w:lang w:val="en" w:eastAsia="en-AU"/>
              </w:rPr>
              <w:t>Petroleum Retail Marketing Sites Act 1980</w:t>
            </w:r>
            <w:r w:rsidRPr="00F303E9">
              <w:rPr>
                <w:szCs w:val="24"/>
                <w:lang w:val="en" w:eastAsia="en-AU"/>
              </w:rPr>
              <w:t xml:space="preserve"> (</w:t>
            </w:r>
            <w:proofErr w:type="spellStart"/>
            <w:r w:rsidRPr="00F303E9">
              <w:rPr>
                <w:szCs w:val="24"/>
                <w:lang w:val="en" w:eastAsia="en-AU"/>
              </w:rPr>
              <w:t>Cth</w:t>
            </w:r>
            <w:proofErr w:type="spellEnd"/>
            <w:r w:rsidRPr="00F303E9">
              <w:rPr>
                <w:szCs w:val="24"/>
                <w:lang w:val="en" w:eastAsia="en-AU"/>
              </w:rPr>
              <w:t>) s 10</w:t>
            </w:r>
            <w:r>
              <w:rPr>
                <w:szCs w:val="24"/>
                <w:lang w:val="en" w:eastAsia="en-AU"/>
              </w:rPr>
              <w:t xml:space="preserve"> </w:t>
            </w:r>
            <w:r w:rsidR="006D563A" w:rsidRPr="0072120D">
              <w:t xml:space="preserve">  </w:t>
            </w:r>
            <w:r w:rsidR="002C7385" w:rsidRPr="0072120D">
              <w:t xml:space="preserve"> </w:t>
            </w:r>
            <w:bookmarkEnd w:id="3"/>
          </w:p>
        </w:tc>
      </w:tr>
      <w:tr w:rsidR="0072120D" w:rsidRPr="0072120D" w:rsidTr="004D3A9A">
        <w:tc>
          <w:tcPr>
            <w:tcW w:w="3085" w:type="dxa"/>
            <w:shd w:val="clear" w:color="auto" w:fill="auto"/>
          </w:tcPr>
          <w:p w:rsidR="00395B24" w:rsidRPr="0072120D" w:rsidRDefault="00395B24" w:rsidP="00663878">
            <w:pPr>
              <w:pStyle w:val="Normal1linespace"/>
              <w:widowControl w:val="0"/>
              <w:jc w:val="left"/>
            </w:pPr>
          </w:p>
        </w:tc>
        <w:tc>
          <w:tcPr>
            <w:tcW w:w="5989" w:type="dxa"/>
            <w:shd w:val="clear" w:color="auto" w:fill="auto"/>
          </w:tcPr>
          <w:p w:rsidR="00395B24" w:rsidRPr="0072120D" w:rsidRDefault="00395B24" w:rsidP="0006139A">
            <w:pPr>
              <w:pStyle w:val="Normal1linespace"/>
              <w:widowControl w:val="0"/>
              <w:ind w:right="174"/>
              <w:jc w:val="left"/>
            </w:pPr>
          </w:p>
        </w:tc>
      </w:tr>
      <w:tr w:rsidR="0072120D" w:rsidRPr="0072120D" w:rsidTr="004D3A9A">
        <w:tc>
          <w:tcPr>
            <w:tcW w:w="3085" w:type="dxa"/>
            <w:shd w:val="clear" w:color="auto" w:fill="auto"/>
          </w:tcPr>
          <w:p w:rsidR="00395B24" w:rsidRPr="0072120D" w:rsidRDefault="002C7385" w:rsidP="00663878">
            <w:pPr>
              <w:pStyle w:val="Normal1linespace"/>
              <w:widowControl w:val="0"/>
              <w:jc w:val="left"/>
            </w:pPr>
            <w:r w:rsidRPr="0072120D">
              <w:t>Cases cited:</w:t>
            </w:r>
          </w:p>
        </w:tc>
        <w:tc>
          <w:tcPr>
            <w:tcW w:w="5989" w:type="dxa"/>
            <w:shd w:val="clear" w:color="auto" w:fill="auto"/>
          </w:tcPr>
          <w:p w:rsidR="004E5A27" w:rsidRPr="00F303E9" w:rsidRDefault="004E5A27" w:rsidP="0006139A">
            <w:pPr>
              <w:pStyle w:val="CasesLegislationAppealFrom"/>
              <w:spacing w:after="60"/>
              <w:ind w:right="174"/>
              <w:jc w:val="both"/>
            </w:pPr>
            <w:bookmarkStart w:id="4" w:name="Cases_Cited"/>
            <w:r w:rsidRPr="00F303E9">
              <w:rPr>
                <w:i/>
              </w:rPr>
              <w:t xml:space="preserve">Australian Building and Construction Commissioner v Automotive, Food, Metals, Engineering, Printing and Kindred Industries Union </w:t>
            </w:r>
            <w:r w:rsidRPr="00F303E9">
              <w:t>(</w:t>
            </w:r>
            <w:r w:rsidRPr="00F303E9">
              <w:rPr>
                <w:i/>
              </w:rPr>
              <w:t>The Australian Paper Case</w:t>
            </w:r>
            <w:r w:rsidRPr="00F303E9">
              <w:t>)</w:t>
            </w:r>
            <w:r w:rsidRPr="00F303E9">
              <w:rPr>
                <w:i/>
              </w:rPr>
              <w:t xml:space="preserve"> (No 2) </w:t>
            </w:r>
            <w:r w:rsidRPr="00F303E9">
              <w:t>[2017] FCA 367</w:t>
            </w:r>
          </w:p>
          <w:p w:rsidR="004E5A27" w:rsidRPr="00F303E9" w:rsidRDefault="004E5A27" w:rsidP="0006139A">
            <w:pPr>
              <w:pStyle w:val="CasesLegislationAppealFrom"/>
              <w:spacing w:after="60"/>
              <w:ind w:right="174"/>
              <w:jc w:val="both"/>
              <w:rPr>
                <w:lang w:val="en"/>
              </w:rPr>
            </w:pPr>
            <w:r w:rsidRPr="00F303E9">
              <w:rPr>
                <w:i/>
                <w:iCs/>
                <w:lang w:val="en"/>
              </w:rPr>
              <w:t xml:space="preserve">Australian Building and Construction Commissioner v Construction, Forestry, Mining and Energy Union </w:t>
            </w:r>
            <w:r w:rsidRPr="00F303E9">
              <w:rPr>
                <w:lang w:val="en"/>
              </w:rPr>
              <w:t xml:space="preserve">[2017] FCAFC 113; (2017) 254 FCR 68 </w:t>
            </w:r>
          </w:p>
          <w:p w:rsidR="004E5A27" w:rsidRPr="00F303E9" w:rsidRDefault="004E5A27" w:rsidP="0006139A">
            <w:pPr>
              <w:pStyle w:val="CasesLegislationAppealFrom"/>
              <w:spacing w:after="60"/>
              <w:ind w:right="174"/>
              <w:jc w:val="both"/>
              <w:rPr>
                <w:lang w:val="en"/>
              </w:rPr>
            </w:pPr>
            <w:r w:rsidRPr="00F303E9">
              <w:rPr>
                <w:rStyle w:val="italic1"/>
                <w:rFonts w:cs="Batang"/>
                <w:szCs w:val="24"/>
                <w:lang w:val="en"/>
              </w:rPr>
              <w:t xml:space="preserve">Australian Competition and Consumer Commission v Australian Safeway Stores Pty Ltd </w:t>
            </w:r>
            <w:r w:rsidRPr="00F303E9">
              <w:rPr>
                <w:lang w:val="en"/>
              </w:rPr>
              <w:t xml:space="preserve">(1997) 145 ALR 36 </w:t>
            </w:r>
          </w:p>
          <w:p w:rsidR="004E5A27" w:rsidRPr="00F303E9" w:rsidRDefault="004E5A27" w:rsidP="0006139A">
            <w:pPr>
              <w:pStyle w:val="CasesLegislationAppealFrom"/>
              <w:spacing w:after="60"/>
              <w:ind w:right="174"/>
              <w:jc w:val="both"/>
            </w:pPr>
            <w:r w:rsidRPr="00F303E9">
              <w:rPr>
                <w:i/>
              </w:rPr>
              <w:t xml:space="preserve">Australian Ophthalmic Supplies Pty Ltd v </w:t>
            </w:r>
            <w:proofErr w:type="spellStart"/>
            <w:r w:rsidRPr="00F303E9">
              <w:rPr>
                <w:i/>
              </w:rPr>
              <w:t>McAlary</w:t>
            </w:r>
            <w:proofErr w:type="spellEnd"/>
            <w:r w:rsidRPr="00F303E9">
              <w:rPr>
                <w:i/>
              </w:rPr>
              <w:t xml:space="preserve">-Smith </w:t>
            </w:r>
            <w:r w:rsidRPr="00F303E9">
              <w:t>[2008] FCAFC 8, (2008) 165 FCR 560</w:t>
            </w:r>
          </w:p>
          <w:p w:rsidR="004E5A27" w:rsidRPr="00F303E9" w:rsidRDefault="004E5A27" w:rsidP="0006139A">
            <w:pPr>
              <w:pStyle w:val="CasesLegislationAppealFrom"/>
              <w:spacing w:after="60"/>
              <w:ind w:right="174"/>
              <w:jc w:val="both"/>
              <w:rPr>
                <w:lang w:val="en"/>
              </w:rPr>
            </w:pPr>
            <w:r w:rsidRPr="00F303E9">
              <w:rPr>
                <w:i/>
                <w:iCs/>
                <w:lang w:val="en"/>
              </w:rPr>
              <w:t>Commonwealth v Director, Fair Work Building Industry Inspectorate</w:t>
            </w:r>
            <w:r w:rsidRPr="00F303E9">
              <w:rPr>
                <w:lang w:val="en"/>
              </w:rPr>
              <w:t xml:space="preserve"> </w:t>
            </w:r>
            <w:r w:rsidRPr="00F303E9">
              <w:rPr>
                <w:u w:val="single"/>
                <w:lang w:val="en"/>
              </w:rPr>
              <w:t>[</w:t>
            </w:r>
            <w:r w:rsidRPr="00F303E9">
              <w:rPr>
                <w:lang w:val="en"/>
              </w:rPr>
              <w:t>2015] HCA 46, (2015) 258 CLR 482</w:t>
            </w:r>
          </w:p>
          <w:p w:rsidR="004E5A27" w:rsidRPr="00F303E9" w:rsidRDefault="004E5A27" w:rsidP="0006139A">
            <w:pPr>
              <w:pStyle w:val="CasesLegislationAppealFrom"/>
              <w:spacing w:after="60"/>
              <w:ind w:right="174"/>
              <w:jc w:val="both"/>
            </w:pPr>
            <w:r w:rsidRPr="00F303E9">
              <w:rPr>
                <w:i/>
              </w:rPr>
              <w:t>Community and Public Sector Union v Telstra Corporation Ltd</w:t>
            </w:r>
            <w:r w:rsidRPr="00F303E9">
              <w:t xml:space="preserve"> [2001] FCA 1364, (2001) 108 IR 228</w:t>
            </w:r>
          </w:p>
          <w:p w:rsidR="004E5A27" w:rsidRPr="00F303E9" w:rsidRDefault="004E5A27" w:rsidP="0006139A">
            <w:pPr>
              <w:pStyle w:val="CasesLegislationAppealFrom"/>
              <w:spacing w:after="60"/>
              <w:ind w:right="174"/>
              <w:jc w:val="both"/>
            </w:pPr>
            <w:r w:rsidRPr="00F303E9">
              <w:rPr>
                <w:i/>
              </w:rPr>
              <w:t>Construction, Forestry, Maritime, Mining and Energy Union v Australian Building and Construction Commissioner (The BKH Contractors Appeal)</w:t>
            </w:r>
            <w:r w:rsidRPr="00F303E9">
              <w:t xml:space="preserve"> [2020] FCAFC 9</w:t>
            </w:r>
          </w:p>
          <w:p w:rsidR="004E5A27" w:rsidRPr="00F303E9" w:rsidRDefault="004E5A27" w:rsidP="0006139A">
            <w:pPr>
              <w:pStyle w:val="CasesLegislationAppealFrom"/>
              <w:spacing w:after="60"/>
              <w:ind w:right="174"/>
              <w:jc w:val="both"/>
              <w:rPr>
                <w:lang w:val="en" w:eastAsia="en-AU"/>
              </w:rPr>
            </w:pPr>
            <w:r w:rsidRPr="00F303E9">
              <w:rPr>
                <w:i/>
                <w:iCs/>
                <w:lang w:val="en" w:eastAsia="en-AU"/>
              </w:rPr>
              <w:t xml:space="preserve">DP World Sydney Ltd v Maritime Union of Australia (No 2) </w:t>
            </w:r>
            <w:r w:rsidRPr="00F303E9">
              <w:rPr>
                <w:lang w:val="en" w:eastAsia="en-AU"/>
              </w:rPr>
              <w:t>[2014] FCA 596, (2014) 318 ALR 22</w:t>
            </w:r>
          </w:p>
          <w:p w:rsidR="004E5A27" w:rsidRPr="00F303E9" w:rsidRDefault="004E5A27" w:rsidP="0006139A">
            <w:pPr>
              <w:pStyle w:val="CasesLegislationAppealFrom"/>
              <w:spacing w:after="60"/>
              <w:ind w:right="174"/>
              <w:jc w:val="both"/>
              <w:rPr>
                <w:rFonts w:eastAsia="Times New Roman"/>
                <w:szCs w:val="24"/>
                <w:lang w:val="en" w:eastAsia="en-AU"/>
              </w:rPr>
            </w:pPr>
            <w:r w:rsidRPr="00F303E9">
              <w:rPr>
                <w:rFonts w:eastAsia="Times New Roman"/>
                <w:i/>
                <w:iCs/>
                <w:szCs w:val="24"/>
                <w:lang w:val="en" w:eastAsia="en-AU"/>
              </w:rPr>
              <w:t xml:space="preserve">Kelly v Fitzpatrick </w:t>
            </w:r>
            <w:r w:rsidRPr="00F303E9">
              <w:rPr>
                <w:rFonts w:eastAsia="Times New Roman"/>
                <w:szCs w:val="24"/>
                <w:lang w:val="en" w:eastAsia="en-AU"/>
              </w:rPr>
              <w:t>[2007] FCA 1080, (2007) 166 IR 14</w:t>
            </w:r>
          </w:p>
          <w:p w:rsidR="004E5A27" w:rsidRDefault="004E5A27" w:rsidP="0006139A">
            <w:pPr>
              <w:pStyle w:val="CasesLegislationAppealFrom"/>
              <w:spacing w:after="60"/>
              <w:ind w:right="174"/>
              <w:jc w:val="both"/>
              <w:rPr>
                <w:lang w:val="en"/>
              </w:rPr>
            </w:pPr>
            <w:proofErr w:type="spellStart"/>
            <w:r w:rsidRPr="00F303E9">
              <w:rPr>
                <w:i/>
                <w:iCs/>
                <w:lang w:val="en"/>
              </w:rPr>
              <w:t>Markarian</w:t>
            </w:r>
            <w:proofErr w:type="spellEnd"/>
            <w:r w:rsidRPr="00F303E9">
              <w:rPr>
                <w:i/>
                <w:iCs/>
                <w:lang w:val="en"/>
              </w:rPr>
              <w:t xml:space="preserve"> v The Queen</w:t>
            </w:r>
            <w:r w:rsidRPr="00F303E9">
              <w:rPr>
                <w:lang w:val="en"/>
              </w:rPr>
              <w:t xml:space="preserve"> [2005] HCA 25, (2005) 228 CLR 357 </w:t>
            </w:r>
          </w:p>
          <w:p w:rsidR="004E5A27" w:rsidRPr="00F303E9" w:rsidRDefault="004E5A27" w:rsidP="0006139A">
            <w:pPr>
              <w:pStyle w:val="CasesLegislationAppealFrom"/>
              <w:keepNext/>
              <w:keepLines/>
              <w:spacing w:after="60"/>
              <w:ind w:right="176"/>
              <w:jc w:val="both"/>
            </w:pPr>
            <w:r w:rsidRPr="00F303E9">
              <w:rPr>
                <w:i/>
                <w:szCs w:val="24"/>
                <w:lang w:val="en" w:eastAsia="en-AU"/>
              </w:rPr>
              <w:lastRenderedPageBreak/>
              <w:t>Ministry for Industry, Tourism and Resources v Mobil Oil Australia Pty Ltd</w:t>
            </w:r>
            <w:r w:rsidRPr="00F303E9">
              <w:rPr>
                <w:szCs w:val="24"/>
                <w:lang w:val="en" w:eastAsia="en-AU"/>
              </w:rPr>
              <w:t xml:space="preserve"> [2004] FCAFC 72</w:t>
            </w:r>
            <w:r w:rsidRPr="00F303E9">
              <w:t xml:space="preserve"> </w:t>
            </w:r>
          </w:p>
          <w:p w:rsidR="00395B24" w:rsidRPr="00F303E9" w:rsidRDefault="004E5A27" w:rsidP="0006139A">
            <w:pPr>
              <w:pStyle w:val="CasesLegislationAppealFrom"/>
              <w:spacing w:after="60"/>
              <w:ind w:right="174"/>
              <w:jc w:val="both"/>
            </w:pPr>
            <w:r w:rsidRPr="00F303E9">
              <w:rPr>
                <w:i/>
                <w:szCs w:val="24"/>
                <w:lang w:val="en" w:eastAsia="en-AU"/>
              </w:rPr>
              <w:t xml:space="preserve">NW Frozen Foods Pty Ltd v Australian Competition and Consumer Commission </w:t>
            </w:r>
            <w:r w:rsidRPr="00F303E9">
              <w:rPr>
                <w:szCs w:val="24"/>
                <w:lang w:val="en" w:eastAsia="en-AU"/>
              </w:rPr>
              <w:t>(1996) 71 FCR 285</w:t>
            </w:r>
            <w:r w:rsidR="006D563A" w:rsidRPr="00F303E9">
              <w:t xml:space="preserve"> </w:t>
            </w:r>
            <w:r w:rsidR="002C7385" w:rsidRPr="00F303E9">
              <w:t xml:space="preserve"> </w:t>
            </w:r>
            <w:bookmarkEnd w:id="4"/>
          </w:p>
        </w:tc>
      </w:tr>
      <w:tr w:rsidR="0072120D" w:rsidRPr="0072120D" w:rsidTr="004D3A9A">
        <w:tc>
          <w:tcPr>
            <w:tcW w:w="3085" w:type="dxa"/>
            <w:shd w:val="clear" w:color="auto" w:fill="auto"/>
          </w:tcPr>
          <w:p w:rsidR="004D3A9A" w:rsidRPr="0072120D" w:rsidRDefault="004D3A9A" w:rsidP="004D3A9A">
            <w:pPr>
              <w:pStyle w:val="Normal1linespace"/>
              <w:jc w:val="left"/>
            </w:pPr>
          </w:p>
        </w:tc>
        <w:tc>
          <w:tcPr>
            <w:tcW w:w="5989" w:type="dxa"/>
            <w:shd w:val="clear" w:color="auto" w:fill="auto"/>
          </w:tcPr>
          <w:p w:rsidR="004D3A9A" w:rsidRPr="0072120D" w:rsidRDefault="004D3A9A" w:rsidP="004D3A9A">
            <w:pPr>
              <w:pStyle w:val="Normal1linespace"/>
              <w:jc w:val="left"/>
            </w:pPr>
          </w:p>
        </w:tc>
      </w:tr>
      <w:tr w:rsidR="0072120D" w:rsidRPr="0072120D" w:rsidTr="004D3A9A">
        <w:tc>
          <w:tcPr>
            <w:tcW w:w="3085" w:type="dxa"/>
            <w:shd w:val="clear" w:color="auto" w:fill="auto"/>
          </w:tcPr>
          <w:p w:rsidR="004D3A9A" w:rsidRPr="0072120D" w:rsidRDefault="004D3A9A" w:rsidP="004D3A9A">
            <w:pPr>
              <w:pStyle w:val="Normal1linespace"/>
              <w:jc w:val="left"/>
            </w:pPr>
            <w:bookmarkStart w:id="5" w:name="CounselDate" w:colFirst="0" w:colLast="2"/>
            <w:r w:rsidRPr="0072120D">
              <w:t>Date of hearing:</w:t>
            </w:r>
          </w:p>
        </w:tc>
        <w:tc>
          <w:tcPr>
            <w:tcW w:w="5989" w:type="dxa"/>
            <w:shd w:val="clear" w:color="auto" w:fill="auto"/>
          </w:tcPr>
          <w:p w:rsidR="004D3A9A" w:rsidRPr="0072120D" w:rsidRDefault="004D3A9A" w:rsidP="004D3A9A">
            <w:pPr>
              <w:pStyle w:val="Normal1linespace"/>
              <w:jc w:val="left"/>
            </w:pPr>
            <w:bookmarkStart w:id="6" w:name="HearingDate"/>
            <w:r w:rsidRPr="0072120D">
              <w:t>12 November 2019</w:t>
            </w:r>
            <w:bookmarkEnd w:id="6"/>
          </w:p>
        </w:tc>
      </w:tr>
      <w:bookmarkEnd w:id="5"/>
      <w:tr w:rsidR="0072120D" w:rsidRPr="0072120D" w:rsidTr="004D3A9A">
        <w:tc>
          <w:tcPr>
            <w:tcW w:w="3085" w:type="dxa"/>
            <w:shd w:val="clear" w:color="auto" w:fill="auto"/>
          </w:tcPr>
          <w:p w:rsidR="004D3A9A" w:rsidRPr="0072120D" w:rsidRDefault="004D3A9A" w:rsidP="004D3A9A">
            <w:pPr>
              <w:pStyle w:val="Normal1linespace"/>
              <w:widowControl w:val="0"/>
              <w:jc w:val="left"/>
            </w:pPr>
          </w:p>
        </w:tc>
        <w:tc>
          <w:tcPr>
            <w:tcW w:w="5989" w:type="dxa"/>
            <w:shd w:val="clear" w:color="auto" w:fill="auto"/>
          </w:tcPr>
          <w:p w:rsidR="004D3A9A" w:rsidRPr="0072120D" w:rsidRDefault="004D3A9A" w:rsidP="004D3A9A">
            <w:pPr>
              <w:pStyle w:val="Normal1linespace"/>
              <w:widowControl w:val="0"/>
              <w:jc w:val="left"/>
            </w:pP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r w:rsidRPr="0072120D">
              <w:t>Registry:</w:t>
            </w:r>
          </w:p>
        </w:tc>
        <w:tc>
          <w:tcPr>
            <w:tcW w:w="5989" w:type="dxa"/>
            <w:shd w:val="clear" w:color="auto" w:fill="auto"/>
          </w:tcPr>
          <w:p w:rsidR="004D3A9A" w:rsidRPr="0072120D" w:rsidRDefault="00C16859" w:rsidP="004D3A9A">
            <w:pPr>
              <w:pStyle w:val="Normal1linespace"/>
              <w:widowControl w:val="0"/>
              <w:jc w:val="left"/>
            </w:pPr>
            <w:fldSimple w:instr=" DOCPROPERTY  Registry " w:fldLock="1">
              <w:r w:rsidR="006C6A2E">
                <w:t>New South Wales</w:t>
              </w:r>
            </w:fldSimple>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p>
        </w:tc>
        <w:tc>
          <w:tcPr>
            <w:tcW w:w="5989" w:type="dxa"/>
            <w:shd w:val="clear" w:color="auto" w:fill="auto"/>
          </w:tcPr>
          <w:p w:rsidR="004D3A9A" w:rsidRPr="0072120D" w:rsidRDefault="004D3A9A" w:rsidP="004D3A9A">
            <w:pPr>
              <w:pStyle w:val="Normal1linespace"/>
              <w:widowControl w:val="0"/>
              <w:jc w:val="left"/>
            </w:pP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r w:rsidRPr="0072120D">
              <w:t>Division:</w:t>
            </w:r>
          </w:p>
        </w:tc>
        <w:tc>
          <w:tcPr>
            <w:tcW w:w="5989" w:type="dxa"/>
            <w:shd w:val="clear" w:color="auto" w:fill="auto"/>
          </w:tcPr>
          <w:p w:rsidR="004D3A9A" w:rsidRPr="0072120D" w:rsidRDefault="00C16859" w:rsidP="004D3A9A">
            <w:pPr>
              <w:pStyle w:val="Normal1linespace"/>
              <w:widowControl w:val="0"/>
              <w:jc w:val="left"/>
            </w:pPr>
            <w:fldSimple w:instr=" DOCPROPERTY  Division " w:fldLock="1">
              <w:r w:rsidR="006C6A2E">
                <w:t>Fair Work Division</w:t>
              </w:r>
            </w:fldSimple>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p>
        </w:tc>
        <w:tc>
          <w:tcPr>
            <w:tcW w:w="5989" w:type="dxa"/>
            <w:shd w:val="clear" w:color="auto" w:fill="auto"/>
          </w:tcPr>
          <w:p w:rsidR="004D3A9A" w:rsidRPr="0072120D" w:rsidRDefault="004D3A9A" w:rsidP="004D3A9A">
            <w:pPr>
              <w:pStyle w:val="Normal1linespace"/>
              <w:widowControl w:val="0"/>
              <w:jc w:val="left"/>
              <w:rPr>
                <w:b/>
              </w:rPr>
            </w:pP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r w:rsidRPr="0072120D">
              <w:t>National Practice Area:</w:t>
            </w:r>
          </w:p>
        </w:tc>
        <w:tc>
          <w:tcPr>
            <w:tcW w:w="5989" w:type="dxa"/>
            <w:shd w:val="clear" w:color="auto" w:fill="auto"/>
          </w:tcPr>
          <w:p w:rsidR="004D3A9A" w:rsidRPr="0072120D" w:rsidRDefault="00940A23" w:rsidP="004D3A9A">
            <w:pPr>
              <w:pStyle w:val="Normal1linespace"/>
              <w:widowControl w:val="0"/>
              <w:jc w:val="left"/>
              <w:rPr>
                <w:b/>
              </w:rPr>
            </w:pPr>
            <w:r>
              <w:fldChar w:fldCharType="begin" w:fldLock="1"/>
            </w:r>
            <w:r>
              <w:instrText xml:space="preserve"> DOCPROPERTY  "Practice Area"  \* MERGEFORMAT </w:instrText>
            </w:r>
            <w:r>
              <w:fldChar w:fldCharType="separate"/>
            </w:r>
            <w:r w:rsidR="006C6A2E">
              <w:t>Employment &amp; Industrial Relations</w:t>
            </w:r>
            <w:r>
              <w:fldChar w:fldCharType="end"/>
            </w: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p>
        </w:tc>
        <w:tc>
          <w:tcPr>
            <w:tcW w:w="5989" w:type="dxa"/>
            <w:shd w:val="clear" w:color="auto" w:fill="auto"/>
          </w:tcPr>
          <w:p w:rsidR="004D3A9A" w:rsidRPr="0072120D" w:rsidRDefault="004D3A9A" w:rsidP="004D3A9A">
            <w:pPr>
              <w:pStyle w:val="Normal1linespace"/>
              <w:widowControl w:val="0"/>
              <w:jc w:val="left"/>
              <w:rPr>
                <w:b/>
              </w:rPr>
            </w:pP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r w:rsidRPr="0072120D">
              <w:t>Category:</w:t>
            </w:r>
          </w:p>
        </w:tc>
        <w:tc>
          <w:tcPr>
            <w:tcW w:w="5989" w:type="dxa"/>
            <w:shd w:val="clear" w:color="auto" w:fill="auto"/>
          </w:tcPr>
          <w:p w:rsidR="004D3A9A" w:rsidRPr="0072120D" w:rsidRDefault="004D3A9A" w:rsidP="004D3A9A">
            <w:pPr>
              <w:pStyle w:val="Normal1linespace"/>
              <w:widowControl w:val="0"/>
              <w:jc w:val="left"/>
            </w:pPr>
            <w:r w:rsidRPr="0072120D">
              <w:t>Catchwords</w:t>
            </w: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p>
        </w:tc>
        <w:tc>
          <w:tcPr>
            <w:tcW w:w="5989" w:type="dxa"/>
            <w:shd w:val="clear" w:color="auto" w:fill="auto"/>
          </w:tcPr>
          <w:p w:rsidR="004D3A9A" w:rsidRPr="0072120D" w:rsidRDefault="004D3A9A" w:rsidP="004D3A9A">
            <w:pPr>
              <w:pStyle w:val="Normal1linespace"/>
              <w:widowControl w:val="0"/>
              <w:jc w:val="left"/>
            </w:pP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r w:rsidRPr="0072120D">
              <w:t>Number of paragraphs:</w:t>
            </w:r>
          </w:p>
        </w:tc>
        <w:tc>
          <w:tcPr>
            <w:tcW w:w="5989" w:type="dxa"/>
            <w:shd w:val="clear" w:color="auto" w:fill="auto"/>
          </w:tcPr>
          <w:p w:rsidR="004D3A9A" w:rsidRPr="0072120D" w:rsidRDefault="00E955CF" w:rsidP="004D3A9A">
            <w:pPr>
              <w:pStyle w:val="Normal1linespace"/>
              <w:widowControl w:val="0"/>
              <w:jc w:val="left"/>
            </w:pPr>
            <w:bookmarkStart w:id="7" w:name="PlaceCategoryParagraphs"/>
            <w:r>
              <w:t>49</w:t>
            </w:r>
            <w:bookmarkEnd w:id="7"/>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p>
        </w:tc>
        <w:tc>
          <w:tcPr>
            <w:tcW w:w="5989" w:type="dxa"/>
            <w:shd w:val="clear" w:color="auto" w:fill="auto"/>
          </w:tcPr>
          <w:p w:rsidR="004D3A9A" w:rsidRPr="0072120D" w:rsidRDefault="004D3A9A" w:rsidP="004D3A9A">
            <w:pPr>
              <w:pStyle w:val="Normal1linespace"/>
              <w:widowControl w:val="0"/>
              <w:jc w:val="left"/>
            </w:pP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bookmarkStart w:id="8" w:name="Counsel" w:colFirst="0" w:colLast="2"/>
            <w:r w:rsidRPr="0072120D">
              <w:t>Counsel for the Applicant:</w:t>
            </w:r>
          </w:p>
        </w:tc>
        <w:tc>
          <w:tcPr>
            <w:tcW w:w="5989" w:type="dxa"/>
            <w:shd w:val="clear" w:color="auto" w:fill="auto"/>
          </w:tcPr>
          <w:p w:rsidR="004D3A9A" w:rsidRPr="0072120D" w:rsidRDefault="00773A5F" w:rsidP="0070738C">
            <w:pPr>
              <w:pStyle w:val="Normal1linespace"/>
              <w:widowControl w:val="0"/>
              <w:jc w:val="left"/>
            </w:pPr>
            <w:bookmarkStart w:id="9" w:name="AppCounsel"/>
            <w:bookmarkEnd w:id="9"/>
            <w:r w:rsidRPr="0072120D">
              <w:t>Mr</w:t>
            </w:r>
            <w:r w:rsidR="0070738C" w:rsidRPr="0072120D">
              <w:t xml:space="preserve"> </w:t>
            </w:r>
            <w:r w:rsidR="002A59A9">
              <w:t xml:space="preserve">P </w:t>
            </w:r>
            <w:r w:rsidRPr="0072120D">
              <w:t xml:space="preserve">M </w:t>
            </w:r>
            <w:r w:rsidR="004D3A9A" w:rsidRPr="0072120D">
              <w:t xml:space="preserve">O’Grady with Mr M </w:t>
            </w:r>
            <w:proofErr w:type="spellStart"/>
            <w:r w:rsidR="004D3A9A" w:rsidRPr="0072120D">
              <w:t>Seck</w:t>
            </w:r>
            <w:proofErr w:type="spellEnd"/>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p>
        </w:tc>
        <w:tc>
          <w:tcPr>
            <w:tcW w:w="5989" w:type="dxa"/>
            <w:shd w:val="clear" w:color="auto" w:fill="auto"/>
          </w:tcPr>
          <w:p w:rsidR="004D3A9A" w:rsidRPr="0072120D" w:rsidRDefault="004D3A9A" w:rsidP="004D3A9A">
            <w:pPr>
              <w:pStyle w:val="Normal1linespace"/>
              <w:widowControl w:val="0"/>
              <w:jc w:val="left"/>
            </w:pP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r w:rsidRPr="0072120D">
              <w:t>Solicitor for the Applicant:</w:t>
            </w:r>
          </w:p>
        </w:tc>
        <w:tc>
          <w:tcPr>
            <w:tcW w:w="5989" w:type="dxa"/>
            <w:shd w:val="clear" w:color="auto" w:fill="auto"/>
          </w:tcPr>
          <w:p w:rsidR="004D3A9A" w:rsidRPr="0072120D" w:rsidRDefault="004D3A9A" w:rsidP="004D3A9A">
            <w:pPr>
              <w:pStyle w:val="Normal1linespace"/>
              <w:widowControl w:val="0"/>
              <w:jc w:val="left"/>
            </w:pPr>
            <w:proofErr w:type="spellStart"/>
            <w:r w:rsidRPr="0072120D">
              <w:t>MinterEllison</w:t>
            </w:r>
            <w:proofErr w:type="spellEnd"/>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p>
        </w:tc>
        <w:tc>
          <w:tcPr>
            <w:tcW w:w="5989" w:type="dxa"/>
            <w:shd w:val="clear" w:color="auto" w:fill="auto"/>
          </w:tcPr>
          <w:p w:rsidR="004D3A9A" w:rsidRPr="0072120D" w:rsidRDefault="004D3A9A" w:rsidP="004D3A9A">
            <w:pPr>
              <w:pStyle w:val="Normal1linespace"/>
              <w:widowControl w:val="0"/>
              <w:jc w:val="left"/>
            </w:pP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r w:rsidRPr="0072120D">
              <w:t>Counsel for the First and Second Respondents:</w:t>
            </w:r>
          </w:p>
        </w:tc>
        <w:tc>
          <w:tcPr>
            <w:tcW w:w="5989" w:type="dxa"/>
            <w:shd w:val="clear" w:color="auto" w:fill="auto"/>
          </w:tcPr>
          <w:p w:rsidR="004D3A9A" w:rsidRPr="0072120D" w:rsidRDefault="004D3A9A" w:rsidP="004D3A9A">
            <w:pPr>
              <w:pStyle w:val="Normal1linespace"/>
              <w:widowControl w:val="0"/>
              <w:jc w:val="left"/>
            </w:pPr>
            <w:r w:rsidRPr="0072120D">
              <w:t>Mr I Lath</w:t>
            </w:r>
            <w:r w:rsidR="00515175">
              <w:t>a</w:t>
            </w:r>
            <w:r w:rsidRPr="0072120D">
              <w:t>m</w:t>
            </w: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p>
        </w:tc>
        <w:tc>
          <w:tcPr>
            <w:tcW w:w="5989" w:type="dxa"/>
            <w:shd w:val="clear" w:color="auto" w:fill="auto"/>
          </w:tcPr>
          <w:p w:rsidR="004D3A9A" w:rsidRPr="0072120D" w:rsidRDefault="004D3A9A" w:rsidP="004D3A9A">
            <w:pPr>
              <w:pStyle w:val="Normal1linespace"/>
              <w:widowControl w:val="0"/>
              <w:jc w:val="left"/>
            </w:pPr>
          </w:p>
        </w:tc>
      </w:tr>
      <w:tr w:rsidR="0072120D" w:rsidRPr="0072120D" w:rsidTr="004D3A9A">
        <w:tc>
          <w:tcPr>
            <w:tcW w:w="3085" w:type="dxa"/>
            <w:shd w:val="clear" w:color="auto" w:fill="auto"/>
          </w:tcPr>
          <w:p w:rsidR="004D3A9A" w:rsidRPr="0072120D" w:rsidRDefault="004D3A9A" w:rsidP="004D3A9A">
            <w:pPr>
              <w:pStyle w:val="Normal1linespace"/>
              <w:widowControl w:val="0"/>
              <w:jc w:val="left"/>
            </w:pPr>
            <w:r w:rsidRPr="0072120D">
              <w:t>Solicitor for the First and Second Respondents:</w:t>
            </w:r>
          </w:p>
        </w:tc>
        <w:tc>
          <w:tcPr>
            <w:tcW w:w="5989" w:type="dxa"/>
            <w:shd w:val="clear" w:color="auto" w:fill="auto"/>
          </w:tcPr>
          <w:p w:rsidR="004D3A9A" w:rsidRPr="0072120D" w:rsidRDefault="004D3A9A" w:rsidP="004D3A9A">
            <w:pPr>
              <w:pStyle w:val="Normal1linespace"/>
              <w:widowControl w:val="0"/>
              <w:jc w:val="left"/>
            </w:pPr>
            <w:r w:rsidRPr="0072120D">
              <w:t>Taylor &amp; Scott Lawyers</w:t>
            </w:r>
          </w:p>
        </w:tc>
      </w:tr>
      <w:bookmarkEnd w:id="8"/>
    </w:tbl>
    <w:p w:rsidR="00395B24" w:rsidRPr="0072120D" w:rsidRDefault="00395B24">
      <w:pPr>
        <w:pStyle w:val="Normal1linespace"/>
      </w:pPr>
    </w:p>
    <w:p w:rsidR="0092590B" w:rsidRPr="0072120D" w:rsidRDefault="0092590B">
      <w:pPr>
        <w:pStyle w:val="Normal1linespace"/>
      </w:pPr>
    </w:p>
    <w:p w:rsidR="00395B24" w:rsidRPr="0072120D" w:rsidRDefault="00395B24">
      <w:pPr>
        <w:pStyle w:val="Normal1linespace"/>
        <w:sectPr w:rsidR="00395B24" w:rsidRPr="0072120D">
          <w:endnotePr>
            <w:numFmt w:val="decimal"/>
          </w:endnotePr>
          <w:type w:val="continuous"/>
          <w:pgSz w:w="11907" w:h="16840" w:code="9"/>
          <w:pgMar w:top="1440" w:right="1440" w:bottom="1440" w:left="1440" w:header="851" w:footer="851" w:gutter="0"/>
          <w:pgNumType w:start="1"/>
          <w:cols w:space="720"/>
          <w:noEndnote/>
          <w:titlePg/>
        </w:sectPr>
      </w:pPr>
    </w:p>
    <w:p w:rsidR="008C7167" w:rsidRPr="0072120D" w:rsidRDefault="0011419D" w:rsidP="00045BB7">
      <w:pPr>
        <w:pStyle w:val="NormalHeadings"/>
        <w:spacing w:line="480" w:lineRule="auto"/>
        <w:jc w:val="center"/>
        <w:rPr>
          <w:sz w:val="28"/>
          <w:szCs w:val="28"/>
        </w:rPr>
      </w:pPr>
      <w:r w:rsidRPr="0072120D">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72120D" w:rsidRPr="0072120D" w:rsidTr="00E81DA6">
        <w:tc>
          <w:tcPr>
            <w:tcW w:w="6912" w:type="dxa"/>
            <w:gridSpan w:val="2"/>
          </w:tcPr>
          <w:p w:rsidR="00A46CCC" w:rsidRPr="0072120D" w:rsidRDefault="00A46CCC" w:rsidP="00525A49">
            <w:pPr>
              <w:pStyle w:val="NormalHeadings"/>
            </w:pPr>
          </w:p>
        </w:tc>
        <w:tc>
          <w:tcPr>
            <w:tcW w:w="2330" w:type="dxa"/>
          </w:tcPr>
          <w:p w:rsidR="00A46CCC" w:rsidRPr="0072120D" w:rsidRDefault="006C6A2E" w:rsidP="00F92355">
            <w:pPr>
              <w:pStyle w:val="NormalHeadings"/>
              <w:jc w:val="right"/>
            </w:pPr>
            <w:bookmarkStart w:id="10" w:name="FileNo"/>
            <w:r>
              <w:t>NSD 474 of 2019</w:t>
            </w:r>
            <w:bookmarkEnd w:id="10"/>
          </w:p>
        </w:tc>
      </w:tr>
      <w:tr w:rsidR="0072120D" w:rsidRPr="0072120D" w:rsidTr="00FC25FA">
        <w:tc>
          <w:tcPr>
            <w:tcW w:w="9242" w:type="dxa"/>
            <w:gridSpan w:val="3"/>
          </w:tcPr>
          <w:p w:rsidR="00A76C13" w:rsidRPr="0072120D" w:rsidRDefault="006C6A2E" w:rsidP="006C6A2E">
            <w:pPr>
              <w:pStyle w:val="NormalHeadings"/>
              <w:jc w:val="left"/>
            </w:pPr>
            <w:bookmarkStart w:id="11" w:name="InTheMatterOf"/>
            <w:r>
              <w:t xml:space="preserve"> </w:t>
            </w:r>
            <w:bookmarkEnd w:id="11"/>
          </w:p>
        </w:tc>
      </w:tr>
      <w:tr w:rsidR="0072120D" w:rsidRPr="0072120D" w:rsidTr="00FC25FA">
        <w:trPr>
          <w:trHeight w:val="386"/>
        </w:trPr>
        <w:tc>
          <w:tcPr>
            <w:tcW w:w="2376" w:type="dxa"/>
          </w:tcPr>
          <w:p w:rsidR="00A46CCC" w:rsidRPr="0072120D" w:rsidRDefault="00A46CCC" w:rsidP="00FC25FA">
            <w:pPr>
              <w:pStyle w:val="NormalHeadings"/>
              <w:jc w:val="left"/>
              <w:rPr>
                <w:caps/>
                <w:szCs w:val="24"/>
              </w:rPr>
            </w:pPr>
            <w:bookmarkStart w:id="12" w:name="Parties"/>
            <w:r w:rsidRPr="0072120D">
              <w:rPr>
                <w:caps/>
                <w:szCs w:val="24"/>
              </w:rPr>
              <w:t>BETWEEN:</w:t>
            </w:r>
          </w:p>
        </w:tc>
        <w:tc>
          <w:tcPr>
            <w:tcW w:w="6866" w:type="dxa"/>
            <w:gridSpan w:val="2"/>
          </w:tcPr>
          <w:p w:rsidR="006C6A2E" w:rsidRDefault="006C6A2E" w:rsidP="006C6A2E">
            <w:pPr>
              <w:pStyle w:val="NormalHeadings"/>
              <w:jc w:val="left"/>
            </w:pPr>
            <w:bookmarkStart w:id="13" w:name="Applicant"/>
            <w:r>
              <w:t>AUSTRALIAN BUILDING AND CONSTRUCTION COMMISSIONER</w:t>
            </w:r>
          </w:p>
          <w:p w:rsidR="006C6A2E" w:rsidRDefault="006C6A2E" w:rsidP="006C6A2E">
            <w:pPr>
              <w:pStyle w:val="PartyType"/>
            </w:pPr>
            <w:r>
              <w:t>Applicant</w:t>
            </w:r>
          </w:p>
          <w:bookmarkEnd w:id="13"/>
          <w:p w:rsidR="00A46CCC" w:rsidRPr="0072120D" w:rsidRDefault="00A46CCC" w:rsidP="006D563A">
            <w:pPr>
              <w:pStyle w:val="NormalHeadings"/>
              <w:jc w:val="left"/>
            </w:pPr>
          </w:p>
        </w:tc>
      </w:tr>
      <w:tr w:rsidR="00A46CCC" w:rsidRPr="0072120D" w:rsidTr="00FC25FA">
        <w:trPr>
          <w:trHeight w:val="386"/>
        </w:trPr>
        <w:tc>
          <w:tcPr>
            <w:tcW w:w="2376" w:type="dxa"/>
          </w:tcPr>
          <w:p w:rsidR="00A46CCC" w:rsidRPr="0072120D" w:rsidRDefault="00A46CCC" w:rsidP="00FC25FA">
            <w:pPr>
              <w:pStyle w:val="NormalHeadings"/>
              <w:jc w:val="left"/>
              <w:rPr>
                <w:caps/>
                <w:szCs w:val="24"/>
              </w:rPr>
            </w:pPr>
            <w:r w:rsidRPr="0072120D">
              <w:rPr>
                <w:caps/>
                <w:szCs w:val="24"/>
              </w:rPr>
              <w:t>AND:</w:t>
            </w:r>
          </w:p>
        </w:tc>
        <w:tc>
          <w:tcPr>
            <w:tcW w:w="6866" w:type="dxa"/>
            <w:gridSpan w:val="2"/>
          </w:tcPr>
          <w:p w:rsidR="006C6A2E" w:rsidRDefault="006C6A2E" w:rsidP="006C6A2E">
            <w:pPr>
              <w:pStyle w:val="NormalHeadings"/>
              <w:jc w:val="left"/>
            </w:pPr>
            <w:bookmarkStart w:id="14" w:name="Respondent"/>
            <w:r>
              <w:t>CONSTRUCTION, FORESTRY, MARITIME, MINING AND ENERGY UNION</w:t>
            </w:r>
          </w:p>
          <w:p w:rsidR="006C6A2E" w:rsidRDefault="006C6A2E" w:rsidP="006C6A2E">
            <w:pPr>
              <w:pStyle w:val="PartyType"/>
            </w:pPr>
            <w:r>
              <w:t>First Respondent</w:t>
            </w:r>
          </w:p>
          <w:p w:rsidR="006C6A2E" w:rsidRDefault="006C6A2E" w:rsidP="006D563A">
            <w:pPr>
              <w:pStyle w:val="NormalHeadings"/>
              <w:jc w:val="left"/>
            </w:pPr>
          </w:p>
          <w:p w:rsidR="006C6A2E" w:rsidRDefault="006C6A2E" w:rsidP="006C6A2E">
            <w:pPr>
              <w:pStyle w:val="NormalHeadings"/>
              <w:jc w:val="left"/>
            </w:pPr>
            <w:r>
              <w:t>ANTHONY SLOANE</w:t>
            </w:r>
          </w:p>
          <w:p w:rsidR="006C6A2E" w:rsidRDefault="006C6A2E" w:rsidP="006C6A2E">
            <w:pPr>
              <w:pStyle w:val="PartyType"/>
            </w:pPr>
            <w:r>
              <w:t>Second Respondent</w:t>
            </w:r>
          </w:p>
          <w:p w:rsidR="006C6A2E" w:rsidRDefault="006C6A2E" w:rsidP="006D563A">
            <w:pPr>
              <w:pStyle w:val="NormalHeadings"/>
              <w:jc w:val="left"/>
            </w:pPr>
          </w:p>
          <w:p w:rsidR="006C6A2E" w:rsidRDefault="006C6A2E" w:rsidP="006C6A2E">
            <w:pPr>
              <w:pStyle w:val="NormalHeadings"/>
              <w:jc w:val="left"/>
            </w:pPr>
            <w:r>
              <w:t>BRENDAN HOLL</w:t>
            </w:r>
          </w:p>
          <w:p w:rsidR="006C6A2E" w:rsidRDefault="006C6A2E" w:rsidP="006C6A2E">
            <w:pPr>
              <w:pStyle w:val="PartyType"/>
            </w:pPr>
            <w:r>
              <w:t>Third Respondent</w:t>
            </w:r>
          </w:p>
          <w:bookmarkEnd w:id="14"/>
          <w:p w:rsidR="00A46CCC" w:rsidRPr="0072120D" w:rsidRDefault="00A46CCC" w:rsidP="006D563A">
            <w:pPr>
              <w:pStyle w:val="NormalHeadings"/>
              <w:jc w:val="left"/>
            </w:pPr>
          </w:p>
        </w:tc>
      </w:tr>
    </w:tbl>
    <w:p w:rsidR="00395B24" w:rsidRPr="0072120D"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72120D" w:rsidRPr="0072120D">
        <w:tc>
          <w:tcPr>
            <w:tcW w:w="2376" w:type="dxa"/>
          </w:tcPr>
          <w:p w:rsidR="00395B24" w:rsidRPr="0072120D" w:rsidRDefault="006C6A2E">
            <w:pPr>
              <w:pStyle w:val="NormalHeadings"/>
              <w:spacing w:after="120"/>
              <w:jc w:val="left"/>
              <w:rPr>
                <w:caps/>
                <w:szCs w:val="24"/>
              </w:rPr>
            </w:pPr>
            <w:bookmarkStart w:id="16" w:name="JudgeText"/>
            <w:r>
              <w:rPr>
                <w:caps/>
                <w:szCs w:val="24"/>
              </w:rPr>
              <w:t>JUDGE</w:t>
            </w:r>
            <w:bookmarkEnd w:id="16"/>
            <w:r w:rsidR="002C7385" w:rsidRPr="0072120D">
              <w:rPr>
                <w:caps/>
                <w:szCs w:val="24"/>
              </w:rPr>
              <w:t>:</w:t>
            </w:r>
          </w:p>
        </w:tc>
        <w:tc>
          <w:tcPr>
            <w:tcW w:w="6866" w:type="dxa"/>
          </w:tcPr>
          <w:p w:rsidR="00395B24" w:rsidRPr="0072120D" w:rsidRDefault="006C6A2E">
            <w:pPr>
              <w:pStyle w:val="NormalHeadings"/>
              <w:jc w:val="left"/>
              <w:rPr>
                <w:caps/>
                <w:szCs w:val="24"/>
              </w:rPr>
            </w:pPr>
            <w:bookmarkStart w:id="17" w:name="Judge"/>
            <w:r>
              <w:rPr>
                <w:caps/>
                <w:szCs w:val="24"/>
              </w:rPr>
              <w:t>FLICK J</w:t>
            </w:r>
            <w:bookmarkEnd w:id="17"/>
          </w:p>
        </w:tc>
      </w:tr>
      <w:tr w:rsidR="00395B24" w:rsidRPr="0072120D">
        <w:tc>
          <w:tcPr>
            <w:tcW w:w="2376" w:type="dxa"/>
          </w:tcPr>
          <w:p w:rsidR="00395B24" w:rsidRPr="0072120D" w:rsidRDefault="002C7385">
            <w:pPr>
              <w:pStyle w:val="NormalHeadings"/>
              <w:spacing w:after="120"/>
              <w:jc w:val="left"/>
              <w:rPr>
                <w:caps/>
                <w:szCs w:val="24"/>
              </w:rPr>
            </w:pPr>
            <w:r w:rsidRPr="0072120D">
              <w:rPr>
                <w:caps/>
                <w:szCs w:val="24"/>
              </w:rPr>
              <w:t>DATE OF ORDER:</w:t>
            </w:r>
          </w:p>
        </w:tc>
        <w:tc>
          <w:tcPr>
            <w:tcW w:w="6866" w:type="dxa"/>
          </w:tcPr>
          <w:p w:rsidR="00395B24" w:rsidRPr="0072120D" w:rsidRDefault="006C6A2E">
            <w:pPr>
              <w:pStyle w:val="NormalHeadings"/>
              <w:jc w:val="left"/>
              <w:rPr>
                <w:caps/>
                <w:szCs w:val="24"/>
              </w:rPr>
            </w:pPr>
            <w:bookmarkStart w:id="18" w:name="Judgment_Dated"/>
            <w:r>
              <w:rPr>
                <w:caps/>
                <w:szCs w:val="24"/>
              </w:rPr>
              <w:t>28 APRIL 2020</w:t>
            </w:r>
            <w:bookmarkEnd w:id="18"/>
          </w:p>
        </w:tc>
      </w:tr>
    </w:tbl>
    <w:p w:rsidR="00395B24" w:rsidRPr="0072120D" w:rsidRDefault="00395B24">
      <w:pPr>
        <w:pStyle w:val="NormalHeadings"/>
        <w:rPr>
          <w:b w:val="0"/>
        </w:rPr>
      </w:pPr>
    </w:p>
    <w:p w:rsidR="00182ECA" w:rsidRPr="0072120D" w:rsidRDefault="00182ECA" w:rsidP="00182ECA">
      <w:pPr>
        <w:pStyle w:val="Heading2"/>
      </w:pPr>
      <w:bookmarkStart w:id="19" w:name="Order_Start_Text"/>
      <w:bookmarkEnd w:id="19"/>
      <w:r w:rsidRPr="0072120D">
        <w:t>THE COURT DECLARES THAT:</w:t>
      </w:r>
    </w:p>
    <w:p w:rsidR="00182ECA" w:rsidRPr="0072120D" w:rsidRDefault="00182ECA" w:rsidP="00182ECA">
      <w:pPr>
        <w:pStyle w:val="Heading3"/>
      </w:pPr>
      <w:r w:rsidRPr="0072120D">
        <w:t>Anthony Sloane</w:t>
      </w:r>
    </w:p>
    <w:p w:rsidR="00182ECA" w:rsidRPr="0072120D" w:rsidRDefault="001E6D64" w:rsidP="00DB1FF0">
      <w:pPr>
        <w:pStyle w:val="Order1"/>
        <w:numPr>
          <w:ilvl w:val="0"/>
          <w:numId w:val="0"/>
        </w:numPr>
        <w:ind w:left="720" w:hanging="720"/>
      </w:pPr>
      <w:r>
        <w:t>1</w:t>
      </w:r>
      <w:r w:rsidR="00182ECA" w:rsidRPr="0072120D">
        <w:t>.</w:t>
      </w:r>
      <w:r w:rsidR="00182ECA" w:rsidRPr="0072120D">
        <w:tab/>
        <w:t xml:space="preserve">The Second Respondent, an official of the First Respondent acting in that capacity for the purposes of s 94(1)(a) of the </w:t>
      </w:r>
      <w:r w:rsidR="00182ECA" w:rsidRPr="007944A4">
        <w:rPr>
          <w:i/>
        </w:rPr>
        <w:t>BCIIP Act,</w:t>
      </w:r>
      <w:r w:rsidR="00182ECA" w:rsidRPr="0072120D">
        <w:t xml:space="preserve"> contravened s 46 of the </w:t>
      </w:r>
      <w:r w:rsidR="00182ECA" w:rsidRPr="007944A4">
        <w:rPr>
          <w:i/>
        </w:rPr>
        <w:t>BCIIP Act</w:t>
      </w:r>
      <w:r w:rsidR="00182ECA" w:rsidRPr="0072120D">
        <w:t xml:space="preserve"> on 20 February 2018 by organising the </w:t>
      </w:r>
      <w:proofErr w:type="spellStart"/>
      <w:r w:rsidR="00182ECA" w:rsidRPr="0072120D">
        <w:t>Westform</w:t>
      </w:r>
      <w:proofErr w:type="spellEnd"/>
      <w:r w:rsidR="00182ECA" w:rsidRPr="0072120D">
        <w:t xml:space="preserve"> workers to engage in unlawful industrial action constituting the Stoppage at the Project Site.</w:t>
      </w:r>
    </w:p>
    <w:p w:rsidR="00182ECA" w:rsidRPr="0072120D" w:rsidRDefault="001E6D64" w:rsidP="00DB1FF0">
      <w:pPr>
        <w:pStyle w:val="Order1"/>
        <w:numPr>
          <w:ilvl w:val="0"/>
          <w:numId w:val="0"/>
        </w:numPr>
        <w:ind w:left="720" w:hanging="720"/>
      </w:pPr>
      <w:r>
        <w:t>2</w:t>
      </w:r>
      <w:r w:rsidR="00182ECA" w:rsidRPr="0072120D">
        <w:t>.</w:t>
      </w:r>
      <w:r w:rsidR="00182ECA" w:rsidRPr="0072120D">
        <w:tab/>
        <w:t xml:space="preserve">The Second Respondent, an official of the First Respondent acting in that capacity for the purposes of s 793(1)(a) of the </w:t>
      </w:r>
      <w:r w:rsidR="00182ECA" w:rsidRPr="007944A4">
        <w:rPr>
          <w:i/>
        </w:rPr>
        <w:t>Fair Work Act</w:t>
      </w:r>
      <w:r w:rsidR="00182ECA" w:rsidRPr="0072120D">
        <w:t xml:space="preserve">, contravened s 500 of the </w:t>
      </w:r>
      <w:r w:rsidR="00182ECA" w:rsidRPr="007944A4">
        <w:rPr>
          <w:i/>
        </w:rPr>
        <w:t>Fair Work Act</w:t>
      </w:r>
      <w:r w:rsidR="00182ECA" w:rsidRPr="0072120D">
        <w:rPr>
          <w:i/>
        </w:rPr>
        <w:t xml:space="preserve"> </w:t>
      </w:r>
      <w:r w:rsidR="00182ECA" w:rsidRPr="0072120D">
        <w:t>on 20 February 2019 by:</w:t>
      </w:r>
    </w:p>
    <w:p w:rsidR="00182ECA" w:rsidRPr="0072120D" w:rsidRDefault="00182ECA" w:rsidP="00DB1FF0">
      <w:pPr>
        <w:pStyle w:val="Order2"/>
      </w:pPr>
      <w:r w:rsidRPr="0072120D">
        <w:t xml:space="preserve">hindering or obstructing each of Paul Neville, Daniel Kos, Michael Harbison and Tahir Mehmed from discharging their duties on the Project; and </w:t>
      </w:r>
    </w:p>
    <w:p w:rsidR="00182ECA" w:rsidRPr="0072120D" w:rsidRDefault="00182ECA" w:rsidP="00DB1FF0">
      <w:pPr>
        <w:pStyle w:val="Order2"/>
      </w:pPr>
      <w:r w:rsidRPr="0072120D">
        <w:t>by one or more of each of the following, acted in an improper manner:</w:t>
      </w:r>
    </w:p>
    <w:p w:rsidR="00182ECA" w:rsidRPr="0072120D" w:rsidRDefault="00182ECA" w:rsidP="00DB1FF0">
      <w:pPr>
        <w:pStyle w:val="Order3"/>
      </w:pPr>
      <w:r w:rsidRPr="0072120D">
        <w:t>organising the Stoppage;</w:t>
      </w:r>
    </w:p>
    <w:p w:rsidR="00182ECA" w:rsidRPr="0072120D" w:rsidRDefault="00182ECA" w:rsidP="00DB1FF0">
      <w:pPr>
        <w:pStyle w:val="Order3"/>
      </w:pPr>
      <w:r w:rsidRPr="0072120D">
        <w:t xml:space="preserve">interrupting the pre-start meeting between </w:t>
      </w:r>
      <w:proofErr w:type="spellStart"/>
      <w:r w:rsidRPr="0072120D">
        <w:t>Westform</w:t>
      </w:r>
      <w:proofErr w:type="spellEnd"/>
      <w:r w:rsidRPr="0072120D">
        <w:t xml:space="preserve"> and the </w:t>
      </w:r>
      <w:proofErr w:type="spellStart"/>
      <w:r w:rsidRPr="0072120D">
        <w:t>Westform</w:t>
      </w:r>
      <w:proofErr w:type="spellEnd"/>
      <w:r w:rsidRPr="0072120D">
        <w:t xml:space="preserve"> workers;</w:t>
      </w:r>
    </w:p>
    <w:p w:rsidR="00182ECA" w:rsidRPr="0072120D" w:rsidRDefault="00182ECA" w:rsidP="00DB1FF0">
      <w:pPr>
        <w:pStyle w:val="Order3"/>
      </w:pPr>
      <w:r w:rsidRPr="0072120D">
        <w:t>pursuing Pay Claim in circumstances where it had no merit;</w:t>
      </w:r>
    </w:p>
    <w:p w:rsidR="00182ECA" w:rsidRPr="0072120D" w:rsidRDefault="00182ECA" w:rsidP="00DB1FF0">
      <w:pPr>
        <w:pStyle w:val="Order3"/>
      </w:pPr>
      <w:r w:rsidRPr="0072120D">
        <w:lastRenderedPageBreak/>
        <w:t xml:space="preserve">making the threat to organise the Stoppage unless the Pay Claim was resolved in favour of the </w:t>
      </w:r>
      <w:proofErr w:type="spellStart"/>
      <w:r w:rsidRPr="0072120D">
        <w:t>Westform</w:t>
      </w:r>
      <w:proofErr w:type="spellEnd"/>
      <w:r w:rsidRPr="0072120D">
        <w:t xml:space="preserve"> workers;</w:t>
      </w:r>
    </w:p>
    <w:p w:rsidR="00182ECA" w:rsidRPr="0072120D" w:rsidRDefault="00182ECA" w:rsidP="00DB1FF0">
      <w:pPr>
        <w:pStyle w:val="Order3"/>
      </w:pPr>
      <w:r w:rsidRPr="0072120D">
        <w:t xml:space="preserve">pursuing the Pay Claim other than in accordance with the disputes procedure in cl 27 of the JJSL Agreement (which covered the </w:t>
      </w:r>
      <w:proofErr w:type="spellStart"/>
      <w:r w:rsidRPr="0072120D">
        <w:t>Westform</w:t>
      </w:r>
      <w:proofErr w:type="spellEnd"/>
      <w:r w:rsidRPr="0072120D">
        <w:t xml:space="preserve"> workers);</w:t>
      </w:r>
    </w:p>
    <w:p w:rsidR="00182ECA" w:rsidRPr="0072120D" w:rsidRDefault="00182ECA" w:rsidP="00DB1FF0">
      <w:pPr>
        <w:pStyle w:val="Order3"/>
      </w:pPr>
      <w:r w:rsidRPr="0072120D">
        <w:t xml:space="preserve">failing to give notice of entry in accordance with s 487 of the </w:t>
      </w:r>
      <w:r w:rsidRPr="007944A4">
        <w:rPr>
          <w:i/>
        </w:rPr>
        <w:t>Fair Work Act</w:t>
      </w:r>
      <w:r w:rsidRPr="0072120D">
        <w:rPr>
          <w:i/>
        </w:rPr>
        <w:t xml:space="preserve"> </w:t>
      </w:r>
      <w:r w:rsidRPr="0072120D">
        <w:t xml:space="preserve">to Parkview, as the occupier of the premises at the Project Site, and each of </w:t>
      </w:r>
      <w:proofErr w:type="spellStart"/>
      <w:r w:rsidRPr="0072120D">
        <w:t>Westform</w:t>
      </w:r>
      <w:proofErr w:type="spellEnd"/>
      <w:r w:rsidRPr="0072120D">
        <w:t xml:space="preserve"> and JSL as an affected employer; and</w:t>
      </w:r>
    </w:p>
    <w:p w:rsidR="00182ECA" w:rsidRPr="0072120D" w:rsidRDefault="00182ECA" w:rsidP="00DB1FF0">
      <w:pPr>
        <w:pStyle w:val="Order3"/>
      </w:pPr>
      <w:r w:rsidRPr="0072120D">
        <w:t xml:space="preserve">contrary to s 484, holding discussions with the </w:t>
      </w:r>
      <w:proofErr w:type="spellStart"/>
      <w:r w:rsidRPr="0072120D">
        <w:t>Westform</w:t>
      </w:r>
      <w:proofErr w:type="spellEnd"/>
      <w:r w:rsidRPr="0072120D">
        <w:t xml:space="preserve"> workers outside mealtimes and other breaks.</w:t>
      </w:r>
    </w:p>
    <w:p w:rsidR="001E6D64" w:rsidRPr="0072120D" w:rsidRDefault="001E6D64" w:rsidP="001E6D64">
      <w:pPr>
        <w:pStyle w:val="Heading3"/>
      </w:pPr>
      <w:r w:rsidRPr="0072120D">
        <w:t>CFMMEU</w:t>
      </w:r>
    </w:p>
    <w:p w:rsidR="001E6D64" w:rsidRPr="0072120D" w:rsidRDefault="008E7CD6" w:rsidP="00DB1FF0">
      <w:pPr>
        <w:pStyle w:val="Order1"/>
        <w:numPr>
          <w:ilvl w:val="0"/>
          <w:numId w:val="0"/>
        </w:numPr>
        <w:ind w:left="720" w:hanging="720"/>
      </w:pPr>
      <w:r>
        <w:t>3</w:t>
      </w:r>
      <w:r w:rsidR="001E6D64" w:rsidRPr="0072120D">
        <w:t>.</w:t>
      </w:r>
      <w:r w:rsidR="001E6D64" w:rsidRPr="0072120D">
        <w:tab/>
        <w:t xml:space="preserve">The First Respondent, by the conduct of the Second Respondent in the first declaration and by operation of s 94 of the </w:t>
      </w:r>
      <w:r w:rsidR="001E6D64" w:rsidRPr="007944A4">
        <w:rPr>
          <w:i/>
        </w:rPr>
        <w:t>BCIIP Act</w:t>
      </w:r>
      <w:r w:rsidR="001E6D64" w:rsidRPr="0072120D">
        <w:t xml:space="preserve">, contravened s 46 of the </w:t>
      </w:r>
      <w:r w:rsidR="001E6D64" w:rsidRPr="007944A4">
        <w:rPr>
          <w:i/>
        </w:rPr>
        <w:t>BCIIP Act</w:t>
      </w:r>
      <w:r w:rsidR="001E6D64" w:rsidRPr="001E561A">
        <w:t xml:space="preserve"> </w:t>
      </w:r>
      <w:r w:rsidR="001E6D64" w:rsidRPr="0072120D">
        <w:t xml:space="preserve">on 20 February 2018 by organising the </w:t>
      </w:r>
      <w:proofErr w:type="spellStart"/>
      <w:r w:rsidR="001E6D64" w:rsidRPr="0072120D">
        <w:t>Westform</w:t>
      </w:r>
      <w:proofErr w:type="spellEnd"/>
      <w:r w:rsidR="001E6D64" w:rsidRPr="0072120D">
        <w:t xml:space="preserve"> workers to engage in unlawful industrial action constituting the Stoppage at the Project Site.</w:t>
      </w:r>
    </w:p>
    <w:p w:rsidR="001E6D64" w:rsidRPr="0072120D" w:rsidRDefault="008E7CD6" w:rsidP="00DB1FF0">
      <w:pPr>
        <w:pStyle w:val="Order1"/>
        <w:numPr>
          <w:ilvl w:val="0"/>
          <w:numId w:val="0"/>
        </w:numPr>
        <w:ind w:left="720" w:hanging="720"/>
      </w:pPr>
      <w:r>
        <w:t>4</w:t>
      </w:r>
      <w:r w:rsidR="001E6D64" w:rsidRPr="0072120D">
        <w:t>.</w:t>
      </w:r>
      <w:r w:rsidR="001E6D64" w:rsidRPr="0072120D">
        <w:tab/>
        <w:t xml:space="preserve">The First Respondent, by the conduct of the </w:t>
      </w:r>
      <w:proofErr w:type="spellStart"/>
      <w:r w:rsidR="001E6D64" w:rsidRPr="0072120D">
        <w:t>Westform</w:t>
      </w:r>
      <w:proofErr w:type="spellEnd"/>
      <w:r w:rsidR="001E6D64" w:rsidRPr="0072120D">
        <w:t xml:space="preserve"> workers in engaging in the Stoppage and by operation of s 95(1)(c)(iii) of the </w:t>
      </w:r>
      <w:r w:rsidR="001E6D64" w:rsidRPr="007944A4">
        <w:rPr>
          <w:i/>
        </w:rPr>
        <w:t>BCIIP Act</w:t>
      </w:r>
      <w:r w:rsidR="001E6D64" w:rsidRPr="0072120D">
        <w:t xml:space="preserve">, contravened s 46 of the </w:t>
      </w:r>
      <w:r w:rsidR="001E6D64" w:rsidRPr="007944A4">
        <w:rPr>
          <w:i/>
        </w:rPr>
        <w:t>BCIIP Act</w:t>
      </w:r>
      <w:r w:rsidR="001E6D64" w:rsidRPr="0072120D">
        <w:t xml:space="preserve"> on 20 February 2019 by engaging in unlawful industrial action constituting the Stoppage;</w:t>
      </w:r>
    </w:p>
    <w:p w:rsidR="001E6D64" w:rsidRPr="0072120D" w:rsidRDefault="008E7CD6" w:rsidP="00DB1FF0">
      <w:pPr>
        <w:pStyle w:val="Order1"/>
        <w:numPr>
          <w:ilvl w:val="0"/>
          <w:numId w:val="0"/>
        </w:numPr>
        <w:ind w:left="720" w:hanging="720"/>
      </w:pPr>
      <w:r>
        <w:t>5</w:t>
      </w:r>
      <w:r w:rsidR="001E6D64" w:rsidRPr="0072120D">
        <w:t>.</w:t>
      </w:r>
      <w:r w:rsidR="001E6D64" w:rsidRPr="0072120D">
        <w:tab/>
        <w:t xml:space="preserve">The First Respondent, by the conduct of the Second Respondent in the second declaration and by operation of </w:t>
      </w:r>
      <w:proofErr w:type="spellStart"/>
      <w:r w:rsidR="001E6D64" w:rsidRPr="0072120D">
        <w:t>s</w:t>
      </w:r>
      <w:r w:rsidR="001E6D64">
        <w:t>s</w:t>
      </w:r>
      <w:proofErr w:type="spellEnd"/>
      <w:r w:rsidR="001E6D64" w:rsidRPr="0072120D">
        <w:t xml:space="preserve"> 793 and 550 of the </w:t>
      </w:r>
      <w:r w:rsidR="001E6D64" w:rsidRPr="007944A4">
        <w:rPr>
          <w:i/>
        </w:rPr>
        <w:t>Fair Work Act</w:t>
      </w:r>
      <w:r w:rsidR="001E6D64" w:rsidRPr="0072120D">
        <w:t>, was knowingly con</w:t>
      </w:r>
      <w:r w:rsidR="001E6D64">
        <w:t>cerned in the Second Respondent’</w:t>
      </w:r>
      <w:r w:rsidR="001E6D64" w:rsidRPr="0072120D">
        <w:t xml:space="preserve">s contravention of s 500 and, accordingly, has itself contravened s 500 of the </w:t>
      </w:r>
      <w:r w:rsidR="001E6D64" w:rsidRPr="007944A4">
        <w:rPr>
          <w:i/>
        </w:rPr>
        <w:t>Fair Work Act</w:t>
      </w:r>
      <w:r w:rsidR="001E6D64" w:rsidRPr="0072120D">
        <w:t>.</w:t>
      </w:r>
    </w:p>
    <w:p w:rsidR="00182ECA" w:rsidRPr="0072120D" w:rsidRDefault="00182ECA" w:rsidP="00182ECA">
      <w:pPr>
        <w:pStyle w:val="Heading1"/>
      </w:pPr>
      <w:r w:rsidRPr="0072120D">
        <w:t>THE COURT ORDERS THAT:</w:t>
      </w:r>
    </w:p>
    <w:p w:rsidR="00182ECA" w:rsidRPr="0072120D" w:rsidRDefault="00182ECA" w:rsidP="00182ECA">
      <w:pPr>
        <w:pStyle w:val="Heading3"/>
      </w:pPr>
      <w:r w:rsidRPr="0072120D">
        <w:t>CFMMEU</w:t>
      </w:r>
    </w:p>
    <w:p w:rsidR="00182ECA" w:rsidRPr="0072120D" w:rsidRDefault="00182ECA" w:rsidP="00DB1FF0">
      <w:pPr>
        <w:pStyle w:val="Order1"/>
        <w:numPr>
          <w:ilvl w:val="0"/>
          <w:numId w:val="0"/>
        </w:numPr>
        <w:ind w:left="720" w:hanging="720"/>
      </w:pPr>
      <w:r w:rsidRPr="0072120D">
        <w:t>1.</w:t>
      </w:r>
      <w:r w:rsidRPr="0072120D">
        <w:tab/>
        <w:t>The First Respondent pay to the Commonwealth of Australia a penalty of $</w:t>
      </w:r>
      <w:r>
        <w:t>75,000</w:t>
      </w:r>
      <w:r w:rsidR="000359AA">
        <w:t xml:space="preserve"> </w:t>
      </w:r>
      <w:r w:rsidRPr="0072120D">
        <w:t xml:space="preserve">in respect of its contravention of s 46 of the </w:t>
      </w:r>
      <w:r w:rsidRPr="007944A4">
        <w:rPr>
          <w:i/>
        </w:rPr>
        <w:t>BCIIP Act</w:t>
      </w:r>
      <w:r w:rsidRPr="0072120D">
        <w:t xml:space="preserve"> as declared in para 3 of the Declarations.</w:t>
      </w:r>
    </w:p>
    <w:p w:rsidR="00182ECA" w:rsidRPr="0072120D" w:rsidRDefault="00182ECA" w:rsidP="00DB1FF0">
      <w:pPr>
        <w:pStyle w:val="Order1"/>
        <w:numPr>
          <w:ilvl w:val="0"/>
          <w:numId w:val="0"/>
        </w:numPr>
        <w:ind w:left="720" w:hanging="720"/>
      </w:pPr>
      <w:r w:rsidRPr="0072120D">
        <w:t>2.</w:t>
      </w:r>
      <w:r w:rsidRPr="0072120D">
        <w:tab/>
        <w:t>The First Respondent pay to the Commonwealth of Australia a penalty of $</w:t>
      </w:r>
      <w:r>
        <w:t>75,000</w:t>
      </w:r>
      <w:r w:rsidR="00B21043">
        <w:t xml:space="preserve"> </w:t>
      </w:r>
      <w:r w:rsidRPr="0072120D">
        <w:t xml:space="preserve">in respect of its contravention of s 46 of the </w:t>
      </w:r>
      <w:r w:rsidRPr="007944A4">
        <w:rPr>
          <w:i/>
        </w:rPr>
        <w:t>BCIIP Act</w:t>
      </w:r>
      <w:r w:rsidRPr="0072120D">
        <w:t xml:space="preserve"> as declared in para</w:t>
      </w:r>
      <w:r>
        <w:t xml:space="preserve"> </w:t>
      </w:r>
      <w:r w:rsidRPr="0072120D">
        <w:t>4 of the Declarations.</w:t>
      </w:r>
    </w:p>
    <w:p w:rsidR="00182ECA" w:rsidRPr="0072120D" w:rsidRDefault="00182ECA" w:rsidP="00DB1FF0">
      <w:pPr>
        <w:pStyle w:val="Order1"/>
        <w:numPr>
          <w:ilvl w:val="0"/>
          <w:numId w:val="0"/>
        </w:numPr>
        <w:ind w:left="720" w:hanging="720"/>
      </w:pPr>
      <w:r w:rsidRPr="0072120D">
        <w:lastRenderedPageBreak/>
        <w:t>3.</w:t>
      </w:r>
      <w:r w:rsidRPr="0072120D">
        <w:tab/>
        <w:t>The First Respondent pay to the Commonwealth of Australia a penalty of $</w:t>
      </w:r>
      <w:r>
        <w:t>18,000</w:t>
      </w:r>
      <w:r w:rsidR="00B21043">
        <w:t xml:space="preserve"> </w:t>
      </w:r>
      <w:r w:rsidRPr="0072120D">
        <w:t xml:space="preserve">in respect of its contravention of s 500 of the </w:t>
      </w:r>
      <w:r w:rsidRPr="007944A4">
        <w:rPr>
          <w:i/>
        </w:rPr>
        <w:t xml:space="preserve">Fair Work Act </w:t>
      </w:r>
      <w:r w:rsidRPr="0072120D">
        <w:t>as declared in para</w:t>
      </w:r>
      <w:r>
        <w:t xml:space="preserve"> </w:t>
      </w:r>
      <w:r w:rsidRPr="0072120D">
        <w:t>5 of the Declarations.</w:t>
      </w:r>
    </w:p>
    <w:p w:rsidR="00182ECA" w:rsidRPr="0072120D" w:rsidRDefault="00182ECA" w:rsidP="00182ECA">
      <w:pPr>
        <w:pStyle w:val="Heading3"/>
      </w:pPr>
      <w:r w:rsidRPr="0072120D">
        <w:t>Anthony Sloane</w:t>
      </w:r>
    </w:p>
    <w:p w:rsidR="00182ECA" w:rsidRPr="0072120D" w:rsidRDefault="00182ECA" w:rsidP="00DB1FF0">
      <w:pPr>
        <w:pStyle w:val="Order1"/>
        <w:numPr>
          <w:ilvl w:val="0"/>
          <w:numId w:val="0"/>
        </w:numPr>
        <w:ind w:left="720" w:hanging="720"/>
      </w:pPr>
      <w:r w:rsidRPr="0072120D">
        <w:t>4.</w:t>
      </w:r>
      <w:r w:rsidRPr="0072120D">
        <w:tab/>
        <w:t>The Second Respondent pay to the Commonwealth of Australia a penalty of $</w:t>
      </w:r>
      <w:r>
        <w:t>20,000</w:t>
      </w:r>
      <w:r w:rsidRPr="0072120D">
        <w:t xml:space="preserve"> in respect of his contravention of s 46 of the </w:t>
      </w:r>
      <w:r w:rsidRPr="007944A4">
        <w:rPr>
          <w:i/>
        </w:rPr>
        <w:t>BCIIP Act</w:t>
      </w:r>
      <w:r w:rsidRPr="0072120D">
        <w:t xml:space="preserve"> as declared in para</w:t>
      </w:r>
      <w:r>
        <w:t xml:space="preserve"> 1 </w:t>
      </w:r>
      <w:r w:rsidRPr="0072120D">
        <w:t>of the Declarations.</w:t>
      </w:r>
    </w:p>
    <w:p w:rsidR="00182ECA" w:rsidRPr="0072120D" w:rsidRDefault="00182ECA" w:rsidP="00DB1FF0">
      <w:pPr>
        <w:pStyle w:val="Order1"/>
        <w:numPr>
          <w:ilvl w:val="0"/>
          <w:numId w:val="0"/>
        </w:numPr>
        <w:ind w:left="720" w:hanging="720"/>
      </w:pPr>
      <w:r w:rsidRPr="0072120D">
        <w:t>5.</w:t>
      </w:r>
      <w:r w:rsidRPr="0072120D">
        <w:tab/>
        <w:t>The Second Respondent pay to the Commonwealth of Australia a penalty of $</w:t>
      </w:r>
      <w:r>
        <w:t>5,000</w:t>
      </w:r>
      <w:r w:rsidRPr="0072120D">
        <w:t xml:space="preserve"> in respect of his contravention of s 500 of the </w:t>
      </w:r>
      <w:r w:rsidRPr="007944A4">
        <w:rPr>
          <w:i/>
        </w:rPr>
        <w:t>Fair Work Act</w:t>
      </w:r>
      <w:r w:rsidRPr="0072120D">
        <w:t xml:space="preserve"> as declared in para</w:t>
      </w:r>
      <w:r>
        <w:t xml:space="preserve"> 2</w:t>
      </w:r>
      <w:r w:rsidRPr="0072120D">
        <w:t xml:space="preserve"> of the Declarations.</w:t>
      </w:r>
    </w:p>
    <w:p w:rsidR="00182ECA" w:rsidRPr="00182ECA" w:rsidRDefault="00182ECA" w:rsidP="00182ECA">
      <w:pPr>
        <w:pStyle w:val="Heading4"/>
        <w:rPr>
          <w:b/>
        </w:rPr>
      </w:pPr>
      <w:r w:rsidRPr="00182ECA">
        <w:rPr>
          <w:b/>
        </w:rPr>
        <w:t>Times for payment</w:t>
      </w:r>
    </w:p>
    <w:p w:rsidR="00182ECA" w:rsidRPr="0072120D" w:rsidRDefault="00182ECA" w:rsidP="00DB1FF0">
      <w:pPr>
        <w:pStyle w:val="Order1"/>
        <w:numPr>
          <w:ilvl w:val="0"/>
          <w:numId w:val="0"/>
        </w:numPr>
        <w:ind w:left="720" w:hanging="720"/>
      </w:pPr>
      <w:r w:rsidRPr="0072120D">
        <w:t>6.</w:t>
      </w:r>
      <w:r w:rsidRPr="0072120D">
        <w:tab/>
        <w:t>The penalties in Orders 1 to 5 above are payable to the Commonwealth of Australia within 28 days.</w:t>
      </w:r>
    </w:p>
    <w:p w:rsidR="00182ECA" w:rsidRPr="00182ECA" w:rsidRDefault="0006139A" w:rsidP="007944A4">
      <w:pPr>
        <w:pStyle w:val="Heading2"/>
      </w:pPr>
      <w:r>
        <w:t xml:space="preserve">AND THE COURT ORDERS THAT: </w:t>
      </w:r>
    </w:p>
    <w:p w:rsidR="00182ECA" w:rsidRPr="0072120D" w:rsidRDefault="00182ECA" w:rsidP="00DB1FF0">
      <w:pPr>
        <w:pStyle w:val="Order1"/>
        <w:numPr>
          <w:ilvl w:val="0"/>
          <w:numId w:val="0"/>
        </w:numPr>
        <w:ind w:left="720" w:hanging="720"/>
      </w:pPr>
      <w:r w:rsidRPr="0072120D">
        <w:t>7.</w:t>
      </w:r>
      <w:r w:rsidRPr="0072120D">
        <w:tab/>
        <w:t>There be no orders as to costs.</w:t>
      </w:r>
    </w:p>
    <w:p w:rsidR="00182ECA" w:rsidRDefault="00182ECA" w:rsidP="00DB1FF0">
      <w:pPr>
        <w:pStyle w:val="Order1"/>
        <w:numPr>
          <w:ilvl w:val="0"/>
          <w:numId w:val="0"/>
        </w:numPr>
        <w:ind w:left="720" w:hanging="720"/>
      </w:pPr>
      <w:r w:rsidRPr="0072120D">
        <w:t>8.</w:t>
      </w:r>
      <w:r w:rsidRPr="0072120D">
        <w:tab/>
        <w:t>The proceedings are otherwise dismissed.</w:t>
      </w:r>
    </w:p>
    <w:p w:rsidR="0006139A" w:rsidRDefault="0006139A">
      <w:pPr>
        <w:spacing w:line="240" w:lineRule="auto"/>
        <w:jc w:val="left"/>
      </w:pPr>
      <w:r>
        <w:br w:type="page"/>
      </w:r>
    </w:p>
    <w:p w:rsidR="00182ECA" w:rsidRPr="0072120D" w:rsidRDefault="00182ECA" w:rsidP="00182ECA">
      <w:pPr>
        <w:pStyle w:val="Heading3"/>
        <w:rPr>
          <w:i w:val="0"/>
        </w:rPr>
      </w:pPr>
      <w:r w:rsidRPr="0072120D">
        <w:rPr>
          <w:i w:val="0"/>
        </w:rPr>
        <w:lastRenderedPageBreak/>
        <w:t>Definitions</w:t>
      </w:r>
    </w:p>
    <w:p w:rsidR="00182ECA" w:rsidRPr="0072120D" w:rsidRDefault="00182ECA" w:rsidP="00182ECA">
      <w:pPr>
        <w:pStyle w:val="NoNum"/>
      </w:pPr>
      <w:r w:rsidRPr="0072120D">
        <w:t>1.</w:t>
      </w:r>
      <w:r w:rsidRPr="0072120D">
        <w:tab/>
        <w:t>In these Declarations and Orders:</w:t>
      </w:r>
    </w:p>
    <w:p w:rsidR="00182ECA" w:rsidRPr="0072120D" w:rsidRDefault="00182ECA" w:rsidP="00182ECA">
      <w:pPr>
        <w:pStyle w:val="ListNo2"/>
        <w:numPr>
          <w:ilvl w:val="1"/>
          <w:numId w:val="32"/>
        </w:numPr>
      </w:pPr>
      <w:r w:rsidRPr="00182ECA">
        <w:rPr>
          <w:b/>
          <w:i/>
        </w:rPr>
        <w:t>BCIIP Act</w:t>
      </w:r>
      <w:r w:rsidRPr="0072120D">
        <w:t xml:space="preserve"> means the </w:t>
      </w:r>
      <w:r w:rsidRPr="0072120D">
        <w:rPr>
          <w:i/>
        </w:rPr>
        <w:t>Building and Construction Industry (Improving Productivity</w:t>
      </w:r>
      <w:r>
        <w:rPr>
          <w:i/>
        </w:rPr>
        <w:t>)</w:t>
      </w:r>
      <w:r w:rsidRPr="0072120D">
        <w:rPr>
          <w:i/>
        </w:rPr>
        <w:t xml:space="preserve"> Act 2016</w:t>
      </w:r>
      <w:r w:rsidRPr="0072120D">
        <w:t xml:space="preserve"> (</w:t>
      </w:r>
      <w:proofErr w:type="spellStart"/>
      <w:r w:rsidRPr="0072120D">
        <w:t>Cth</w:t>
      </w:r>
      <w:proofErr w:type="spellEnd"/>
      <w:r w:rsidRPr="0072120D">
        <w:t>);</w:t>
      </w:r>
    </w:p>
    <w:p w:rsidR="00182ECA" w:rsidRPr="0072120D" w:rsidRDefault="00182ECA" w:rsidP="00DB1FF0">
      <w:pPr>
        <w:pStyle w:val="ListNo2"/>
        <w:tabs>
          <w:tab w:val="clear" w:pos="1440"/>
          <w:tab w:val="num" w:pos="1429"/>
        </w:tabs>
        <w:ind w:left="1429"/>
      </w:pPr>
      <w:r w:rsidRPr="00DB1FF0">
        <w:rPr>
          <w:b/>
          <w:i/>
        </w:rPr>
        <w:t>Fair Work Act</w:t>
      </w:r>
      <w:r w:rsidRPr="0072120D">
        <w:t xml:space="preserve"> means the </w:t>
      </w:r>
      <w:r w:rsidRPr="00DB1FF0">
        <w:rPr>
          <w:i/>
        </w:rPr>
        <w:t>Fair Work Act 2009</w:t>
      </w:r>
      <w:r w:rsidRPr="0072120D">
        <w:t xml:space="preserve"> (</w:t>
      </w:r>
      <w:proofErr w:type="spellStart"/>
      <w:r w:rsidRPr="0072120D">
        <w:t>Cth</w:t>
      </w:r>
      <w:proofErr w:type="spellEnd"/>
      <w:r w:rsidRPr="0072120D">
        <w:t>);</w:t>
      </w:r>
    </w:p>
    <w:p w:rsidR="00182ECA" w:rsidRPr="00182ECA" w:rsidRDefault="00182ECA" w:rsidP="00182ECA">
      <w:pPr>
        <w:pStyle w:val="ListNo2"/>
        <w:rPr>
          <w:i/>
        </w:rPr>
      </w:pPr>
      <w:r w:rsidRPr="0072120D">
        <w:rPr>
          <w:b/>
        </w:rPr>
        <w:t>JJSL Agreement</w:t>
      </w:r>
      <w:r w:rsidRPr="0072120D">
        <w:t xml:space="preserve"> means the </w:t>
      </w:r>
      <w:r w:rsidRPr="00182ECA">
        <w:rPr>
          <w:i/>
        </w:rPr>
        <w:t xml:space="preserve">JJSL </w:t>
      </w:r>
      <w:proofErr w:type="spellStart"/>
      <w:r w:rsidRPr="00182ECA">
        <w:rPr>
          <w:i/>
        </w:rPr>
        <w:t>Labourforce</w:t>
      </w:r>
      <w:proofErr w:type="spellEnd"/>
      <w:r w:rsidRPr="00182ECA">
        <w:rPr>
          <w:i/>
        </w:rPr>
        <w:t xml:space="preserve"> Pty Ltd/CFMEU Collective Agreement 2017 – 2018 </w:t>
      </w:r>
    </w:p>
    <w:p w:rsidR="00182ECA" w:rsidRPr="0072120D" w:rsidRDefault="00182ECA" w:rsidP="00182ECA">
      <w:pPr>
        <w:pStyle w:val="ListNo2"/>
      </w:pPr>
      <w:r w:rsidRPr="0072120D">
        <w:rPr>
          <w:b/>
        </w:rPr>
        <w:t>Parkview</w:t>
      </w:r>
      <w:r w:rsidRPr="0072120D">
        <w:t xml:space="preserve"> means Parkview Constructions Pty Ltd, which was the principal contractor on the Project.</w:t>
      </w:r>
    </w:p>
    <w:p w:rsidR="00182ECA" w:rsidRPr="0072120D" w:rsidRDefault="00182ECA" w:rsidP="00182ECA">
      <w:pPr>
        <w:pStyle w:val="ListNo2"/>
      </w:pPr>
      <w:r w:rsidRPr="0072120D">
        <w:rPr>
          <w:b/>
        </w:rPr>
        <w:t>Pay Claim</w:t>
      </w:r>
      <w:r w:rsidRPr="0072120D">
        <w:t xml:space="preserve"> means the pay dispute between </w:t>
      </w:r>
      <w:proofErr w:type="spellStart"/>
      <w:r w:rsidRPr="0072120D">
        <w:t>Westform</w:t>
      </w:r>
      <w:proofErr w:type="spellEnd"/>
      <w:r w:rsidRPr="0072120D">
        <w:t xml:space="preserve"> and its workers regarding payment for one hours pay on 10 February 2018, which was lost due to inclement weather;</w:t>
      </w:r>
    </w:p>
    <w:p w:rsidR="00182ECA" w:rsidRPr="0072120D" w:rsidRDefault="00182ECA" w:rsidP="00182ECA">
      <w:pPr>
        <w:pStyle w:val="ListNo2"/>
      </w:pPr>
      <w:r w:rsidRPr="0072120D">
        <w:rPr>
          <w:b/>
        </w:rPr>
        <w:t>Project</w:t>
      </w:r>
      <w:r w:rsidRPr="0072120D">
        <w:t xml:space="preserve"> means the Mezzo Stage 2 Project and </w:t>
      </w:r>
      <w:r w:rsidRPr="00182ECA">
        <w:rPr>
          <w:b/>
        </w:rPr>
        <w:t>Project Site</w:t>
      </w:r>
      <w:r w:rsidRPr="0072120D">
        <w:t xml:space="preserve"> means 87 Bay Street, Glebe, New South Wales</w:t>
      </w:r>
    </w:p>
    <w:p w:rsidR="00182ECA" w:rsidRPr="0072120D" w:rsidRDefault="00182ECA" w:rsidP="00182ECA">
      <w:pPr>
        <w:pStyle w:val="ListNo2"/>
      </w:pPr>
      <w:r w:rsidRPr="0072120D">
        <w:rPr>
          <w:b/>
        </w:rPr>
        <w:t>Stoppage</w:t>
      </w:r>
      <w:r w:rsidRPr="0072120D">
        <w:t xml:space="preserve"> means the failure or refusal by the </w:t>
      </w:r>
      <w:proofErr w:type="spellStart"/>
      <w:r w:rsidRPr="0072120D">
        <w:t>Westform</w:t>
      </w:r>
      <w:proofErr w:type="spellEnd"/>
      <w:r w:rsidRPr="0072120D">
        <w:t xml:space="preserve"> workers to carry out work on the Project between approximately 7.30am and 10.30am on 20</w:t>
      </w:r>
      <w:r>
        <w:t> </w:t>
      </w:r>
      <w:r w:rsidRPr="0072120D">
        <w:t>February 2019;</w:t>
      </w:r>
    </w:p>
    <w:p w:rsidR="00182ECA" w:rsidRPr="0072120D" w:rsidRDefault="00182ECA" w:rsidP="00182ECA">
      <w:pPr>
        <w:pStyle w:val="ListNo2"/>
      </w:pPr>
      <w:proofErr w:type="spellStart"/>
      <w:r w:rsidRPr="0072120D">
        <w:rPr>
          <w:b/>
        </w:rPr>
        <w:t>Westform</w:t>
      </w:r>
      <w:proofErr w:type="spellEnd"/>
      <w:r w:rsidRPr="0072120D">
        <w:t xml:space="preserve"> means </w:t>
      </w:r>
      <w:proofErr w:type="spellStart"/>
      <w:r w:rsidRPr="0072120D">
        <w:t>Westform</w:t>
      </w:r>
      <w:proofErr w:type="spellEnd"/>
      <w:r w:rsidRPr="0072120D">
        <w:t xml:space="preserve"> Formwork Contractors Pty Ltd, a subcontractor to Parkview on the Project.</w:t>
      </w:r>
    </w:p>
    <w:p w:rsidR="00395B24" w:rsidRPr="0072120D" w:rsidRDefault="00182ECA" w:rsidP="00182ECA">
      <w:pPr>
        <w:pStyle w:val="ListNo2"/>
      </w:pPr>
      <w:proofErr w:type="spellStart"/>
      <w:r w:rsidRPr="0072120D">
        <w:rPr>
          <w:b/>
        </w:rPr>
        <w:t>Westform</w:t>
      </w:r>
      <w:proofErr w:type="spellEnd"/>
      <w:r w:rsidRPr="0072120D">
        <w:t xml:space="preserve"> </w:t>
      </w:r>
      <w:r w:rsidRPr="0072120D">
        <w:rPr>
          <w:b/>
        </w:rPr>
        <w:t>workers</w:t>
      </w:r>
      <w:r w:rsidRPr="0072120D">
        <w:t xml:space="preserve"> means the workers employed by JJSL </w:t>
      </w:r>
      <w:proofErr w:type="spellStart"/>
      <w:r w:rsidRPr="0072120D">
        <w:t>Labourforce</w:t>
      </w:r>
      <w:proofErr w:type="spellEnd"/>
      <w:r w:rsidRPr="0072120D">
        <w:t xml:space="preserve"> Pty Ltd who were supplied to </w:t>
      </w:r>
      <w:proofErr w:type="spellStart"/>
      <w:r w:rsidRPr="0072120D">
        <w:t>Westform</w:t>
      </w:r>
      <w:proofErr w:type="spellEnd"/>
      <w:r w:rsidRPr="0072120D">
        <w:t xml:space="preserve"> to carry out work on the Project.</w:t>
      </w:r>
    </w:p>
    <w:p w:rsidR="00636871" w:rsidRPr="0072120D" w:rsidRDefault="00636871" w:rsidP="002B0E91">
      <w:pPr>
        <w:pStyle w:val="BodyText"/>
      </w:pPr>
    </w:p>
    <w:p w:rsidR="00395B24" w:rsidRDefault="00395B24" w:rsidP="002B0E91">
      <w:pPr>
        <w:pStyle w:val="BodyText"/>
      </w:pPr>
    </w:p>
    <w:p w:rsidR="005A7A6A" w:rsidRDefault="005A7A6A" w:rsidP="002B0E91">
      <w:pPr>
        <w:pStyle w:val="BodyText"/>
      </w:pPr>
    </w:p>
    <w:p w:rsidR="005A7A6A" w:rsidRPr="0072120D" w:rsidRDefault="005A7A6A" w:rsidP="002B0E91">
      <w:pPr>
        <w:pStyle w:val="BodyText"/>
      </w:pPr>
    </w:p>
    <w:p w:rsidR="00395B24" w:rsidRPr="0072120D" w:rsidRDefault="002C7385" w:rsidP="004D53E5">
      <w:pPr>
        <w:pStyle w:val="SingleSpace"/>
      </w:pPr>
      <w:r w:rsidRPr="0072120D">
        <w:t>Note:</w:t>
      </w:r>
      <w:r w:rsidRPr="0072120D">
        <w:tab/>
        <w:t xml:space="preserve">Entry of orders is dealt with in Rule 39.32 of the </w:t>
      </w:r>
      <w:r w:rsidRPr="0072120D">
        <w:rPr>
          <w:i/>
        </w:rPr>
        <w:t>Federal Court Rules 2011</w:t>
      </w:r>
      <w:r w:rsidRPr="0072120D">
        <w:t>.</w:t>
      </w:r>
    </w:p>
    <w:p w:rsidR="00395B24" w:rsidRPr="0072120D" w:rsidRDefault="00395B24" w:rsidP="002B0E91">
      <w:pPr>
        <w:pStyle w:val="BodyText"/>
      </w:pPr>
    </w:p>
    <w:p w:rsidR="00087C1A" w:rsidRPr="0072120D" w:rsidRDefault="00087C1A" w:rsidP="00087C1A"/>
    <w:p w:rsidR="00087C1A" w:rsidRPr="0072120D" w:rsidRDefault="00087C1A" w:rsidP="00087C1A">
      <w:pPr>
        <w:tabs>
          <w:tab w:val="left" w:pos="5448"/>
        </w:tabs>
      </w:pPr>
      <w:r w:rsidRPr="0072120D">
        <w:tab/>
      </w:r>
    </w:p>
    <w:p w:rsidR="00087C1A" w:rsidRPr="0072120D" w:rsidRDefault="00087C1A" w:rsidP="00087C1A"/>
    <w:p w:rsidR="00395B24" w:rsidRPr="0072120D" w:rsidRDefault="00395B24" w:rsidP="00087C1A">
      <w:pPr>
        <w:sectPr w:rsidR="00395B24" w:rsidRPr="0072120D"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72120D" w:rsidRDefault="00484F6D" w:rsidP="00045BB7">
      <w:pPr>
        <w:pStyle w:val="NormalHeadings"/>
        <w:spacing w:line="480" w:lineRule="auto"/>
        <w:jc w:val="center"/>
        <w:rPr>
          <w:sz w:val="28"/>
          <w:szCs w:val="28"/>
        </w:rPr>
      </w:pPr>
      <w:bookmarkStart w:id="20" w:name="ReasonsPage"/>
      <w:bookmarkEnd w:id="20"/>
      <w:r w:rsidRPr="0072120D">
        <w:rPr>
          <w:sz w:val="28"/>
          <w:szCs w:val="28"/>
        </w:rPr>
        <w:lastRenderedPageBreak/>
        <w:t>REASONS FOR JUDGMENT</w:t>
      </w:r>
    </w:p>
    <w:p w:rsidR="00395B24" w:rsidRPr="0072120D" w:rsidRDefault="006D563A" w:rsidP="005E0510">
      <w:pPr>
        <w:pStyle w:val="NormalHeadings"/>
        <w:spacing w:line="360" w:lineRule="auto"/>
        <w:jc w:val="left"/>
        <w:rPr>
          <w:sz w:val="26"/>
          <w:szCs w:val="26"/>
        </w:rPr>
      </w:pPr>
      <w:r w:rsidRPr="0072120D">
        <w:rPr>
          <w:sz w:val="26"/>
          <w:szCs w:val="26"/>
        </w:rPr>
        <w:t>FLICK J:</w:t>
      </w:r>
    </w:p>
    <w:p w:rsidR="000E6FFB" w:rsidRPr="00E05732" w:rsidRDefault="00D44438" w:rsidP="006C6A2E">
      <w:pPr>
        <w:pStyle w:val="ParaNumbering"/>
      </w:pPr>
      <w:r w:rsidRPr="00EB5C4E">
        <w:t>Early in the morning o</w:t>
      </w:r>
      <w:r w:rsidR="00E92836" w:rsidRPr="00EB5C4E">
        <w:t>n 20 February 2018</w:t>
      </w:r>
      <w:r w:rsidR="001A784F">
        <w:t xml:space="preserve"> </w:t>
      </w:r>
      <w:r w:rsidRPr="00EB5C4E">
        <w:t xml:space="preserve">two members of the Construction, Forestry, Maritime, Mining and Energy Union (the </w:t>
      </w:r>
      <w:r w:rsidR="00EA5E4E" w:rsidRPr="00444B47">
        <w:t>“</w:t>
      </w:r>
      <w:r w:rsidRPr="00444B47">
        <w:t>CFMMEU</w:t>
      </w:r>
      <w:r w:rsidR="00EA5E4E" w:rsidRPr="00EE524F">
        <w:t>”</w:t>
      </w:r>
      <w:r w:rsidRPr="006F0993">
        <w:t xml:space="preserve">) entered a building site at Glebe. </w:t>
      </w:r>
      <w:r w:rsidR="00890502" w:rsidRPr="006F0993">
        <w:t xml:space="preserve"> </w:t>
      </w:r>
      <w:r w:rsidRPr="006F0993">
        <w:t xml:space="preserve">They demanded entry in respect to what was said to be a pay dispute. </w:t>
      </w:r>
    </w:p>
    <w:p w:rsidR="00D44438" w:rsidRPr="0072120D" w:rsidRDefault="00D44438" w:rsidP="00933A8C">
      <w:pPr>
        <w:pStyle w:val="ParaNumbering"/>
      </w:pPr>
      <w:r w:rsidRPr="0072120D">
        <w:t>The two CFMMEU members addressed workers and disrupted a pre</w:t>
      </w:r>
      <w:r w:rsidR="00890502" w:rsidRPr="0072120D">
        <w:noBreakHyphen/>
      </w:r>
      <w:r w:rsidRPr="0072120D">
        <w:t>work meeting.</w:t>
      </w:r>
      <w:r w:rsidR="00890502" w:rsidRPr="0072120D">
        <w:t xml:space="preserve"> </w:t>
      </w:r>
      <w:r w:rsidRPr="0072120D">
        <w:t xml:space="preserve"> Work on the site was stopped for about </w:t>
      </w:r>
      <w:r w:rsidR="004B20D9" w:rsidRPr="0072120D">
        <w:t xml:space="preserve">three </w:t>
      </w:r>
      <w:r w:rsidRPr="0072120D">
        <w:t>hours and involved some 25 individual workers.</w:t>
      </w:r>
    </w:p>
    <w:p w:rsidR="00D44438" w:rsidRPr="0072120D" w:rsidRDefault="00D44438" w:rsidP="00933A8C">
      <w:pPr>
        <w:pStyle w:val="ParaNumbering"/>
      </w:pPr>
      <w:r w:rsidRPr="0072120D">
        <w:t xml:space="preserve">Proceedings were commenced in this Court in March 2019 by the Australian Building and Construction Commissioner (the </w:t>
      </w:r>
      <w:r w:rsidR="00CC0992">
        <w:t>“</w:t>
      </w:r>
      <w:r w:rsidRPr="0072120D">
        <w:t>Commissioner</w:t>
      </w:r>
      <w:r w:rsidR="00CC0992">
        <w:t>”</w:t>
      </w:r>
      <w:r w:rsidRPr="0072120D">
        <w:t xml:space="preserve">). </w:t>
      </w:r>
      <w:r w:rsidR="00890502" w:rsidRPr="0072120D">
        <w:t xml:space="preserve"> </w:t>
      </w:r>
      <w:r w:rsidRPr="0072120D">
        <w:t xml:space="preserve">The Respondents were the CFMMEU and the two Union members, Messrs Anthony Sloane and Brendan </w:t>
      </w:r>
      <w:proofErr w:type="spellStart"/>
      <w:r w:rsidRPr="0072120D">
        <w:t>Holl</w:t>
      </w:r>
      <w:proofErr w:type="spellEnd"/>
      <w:r w:rsidRPr="0072120D">
        <w:t xml:space="preserve">. </w:t>
      </w:r>
      <w:r w:rsidR="00890502" w:rsidRPr="0072120D">
        <w:t xml:space="preserve"> </w:t>
      </w:r>
      <w:r w:rsidRPr="0072120D">
        <w:t xml:space="preserve">It was alleged that the conduct </w:t>
      </w:r>
      <w:r w:rsidR="00713B1F" w:rsidRPr="0072120D">
        <w:t xml:space="preserve">that took place on 20 </w:t>
      </w:r>
      <w:r w:rsidR="00890502" w:rsidRPr="0072120D">
        <w:t xml:space="preserve">February 2018 </w:t>
      </w:r>
      <w:r w:rsidR="006D4480">
        <w:t xml:space="preserve">was in </w:t>
      </w:r>
      <w:r w:rsidR="00890502" w:rsidRPr="0072120D">
        <w:t>contravention of</w:t>
      </w:r>
      <w:r w:rsidR="00713B1F" w:rsidRPr="0072120D">
        <w:t xml:space="preserve">: </w:t>
      </w:r>
    </w:p>
    <w:p w:rsidR="003D5475" w:rsidRPr="0072120D" w:rsidRDefault="00890502" w:rsidP="004D665F">
      <w:pPr>
        <w:pStyle w:val="FCBullets"/>
      </w:pPr>
      <w:r w:rsidRPr="0072120D">
        <w:t>s</w:t>
      </w:r>
      <w:r w:rsidR="004B20D9" w:rsidRPr="0072120D">
        <w:t>ection</w:t>
      </w:r>
      <w:r w:rsidR="00713B1F" w:rsidRPr="0072120D">
        <w:t xml:space="preserve"> </w:t>
      </w:r>
      <w:r w:rsidR="003D5475" w:rsidRPr="0072120D">
        <w:t xml:space="preserve">500 of the </w:t>
      </w:r>
      <w:r w:rsidR="003D5475" w:rsidRPr="0072120D">
        <w:rPr>
          <w:i/>
        </w:rPr>
        <w:t>Fair Work Act</w:t>
      </w:r>
      <w:r w:rsidR="003D5475" w:rsidRPr="0072120D">
        <w:t xml:space="preserve"> </w:t>
      </w:r>
      <w:r w:rsidR="003D5475" w:rsidRPr="0072120D">
        <w:rPr>
          <w:i/>
        </w:rPr>
        <w:t>2009</w:t>
      </w:r>
      <w:r w:rsidR="003D5475" w:rsidRPr="0072120D">
        <w:t xml:space="preserve"> (</w:t>
      </w:r>
      <w:proofErr w:type="spellStart"/>
      <w:r w:rsidR="003D5475" w:rsidRPr="0072120D">
        <w:t>Cth</w:t>
      </w:r>
      <w:proofErr w:type="spellEnd"/>
      <w:r w:rsidR="003D5475" w:rsidRPr="0072120D">
        <w:t>)</w:t>
      </w:r>
      <w:r w:rsidR="004B1CEA" w:rsidRPr="0072120D">
        <w:t xml:space="preserve"> (the “</w:t>
      </w:r>
      <w:r w:rsidR="004B1CEA" w:rsidRPr="0072120D">
        <w:rPr>
          <w:i/>
        </w:rPr>
        <w:t>Fair Work Act</w:t>
      </w:r>
      <w:r w:rsidR="004B1CEA" w:rsidRPr="0072120D">
        <w:t>”)</w:t>
      </w:r>
      <w:r w:rsidR="003D5475" w:rsidRPr="0072120D">
        <w:t xml:space="preserve">; and </w:t>
      </w:r>
    </w:p>
    <w:p w:rsidR="003D5475" w:rsidRPr="0072120D" w:rsidRDefault="004B1CEA" w:rsidP="004D665F">
      <w:pPr>
        <w:pStyle w:val="FCBullets"/>
      </w:pPr>
      <w:r w:rsidRPr="0072120D">
        <w:t>s</w:t>
      </w:r>
      <w:r w:rsidR="004B20D9" w:rsidRPr="0072120D">
        <w:t xml:space="preserve">ection </w:t>
      </w:r>
      <w:r w:rsidR="003D5475" w:rsidRPr="0072120D">
        <w:t xml:space="preserve">46 of the </w:t>
      </w:r>
      <w:r w:rsidR="003D5475" w:rsidRPr="0072120D">
        <w:rPr>
          <w:i/>
        </w:rPr>
        <w:t>Building and Construction Industry (Improving Productivity) Act</w:t>
      </w:r>
      <w:r w:rsidR="003D5475" w:rsidRPr="0072120D">
        <w:t xml:space="preserve"> </w:t>
      </w:r>
      <w:r w:rsidR="003D5475" w:rsidRPr="0072120D">
        <w:rPr>
          <w:i/>
        </w:rPr>
        <w:t>2016</w:t>
      </w:r>
      <w:r w:rsidR="003D5475" w:rsidRPr="0072120D">
        <w:t xml:space="preserve"> (</w:t>
      </w:r>
      <w:proofErr w:type="spellStart"/>
      <w:r w:rsidR="003D5475" w:rsidRPr="0072120D">
        <w:t>Cth</w:t>
      </w:r>
      <w:proofErr w:type="spellEnd"/>
      <w:r w:rsidR="003D5475" w:rsidRPr="0072120D">
        <w:t>)</w:t>
      </w:r>
      <w:r w:rsidR="005912D8" w:rsidRPr="0072120D">
        <w:t xml:space="preserve"> (the “</w:t>
      </w:r>
      <w:r w:rsidR="005912D8" w:rsidRPr="0072120D">
        <w:rPr>
          <w:i/>
        </w:rPr>
        <w:t>Building Industry Act</w:t>
      </w:r>
      <w:r w:rsidR="005912D8" w:rsidRPr="0072120D">
        <w:t>”)</w:t>
      </w:r>
      <w:r w:rsidR="003D5475" w:rsidRPr="0072120D">
        <w:t>.</w:t>
      </w:r>
    </w:p>
    <w:p w:rsidR="00910E61" w:rsidRPr="001A784F" w:rsidRDefault="00713B1F" w:rsidP="000E6FFB">
      <w:pPr>
        <w:pStyle w:val="ParaNumbering"/>
        <w:rPr>
          <w:strike/>
        </w:rPr>
      </w:pPr>
      <w:r w:rsidRPr="0072120D">
        <w:t xml:space="preserve">The proceeding against </w:t>
      </w:r>
      <w:r w:rsidR="00B057B1">
        <w:t xml:space="preserve">the Third Respondent, </w:t>
      </w:r>
      <w:r w:rsidRPr="0072120D">
        <w:t xml:space="preserve">Mr </w:t>
      </w:r>
      <w:proofErr w:type="spellStart"/>
      <w:r w:rsidRPr="0072120D">
        <w:t>Holl</w:t>
      </w:r>
      <w:proofErr w:type="spellEnd"/>
      <w:r w:rsidR="00B057B1">
        <w:t>,</w:t>
      </w:r>
      <w:r w:rsidRPr="0072120D">
        <w:t xml:space="preserve"> ha</w:t>
      </w:r>
      <w:r w:rsidR="00BD3F20">
        <w:t>s</w:t>
      </w:r>
      <w:r w:rsidRPr="0072120D">
        <w:t xml:space="preserve"> been resolved</w:t>
      </w:r>
      <w:r w:rsidR="00795339">
        <w:t xml:space="preserve">. </w:t>
      </w:r>
    </w:p>
    <w:p w:rsidR="003D5475" w:rsidRPr="0072120D" w:rsidRDefault="004B20D9" w:rsidP="000E6FFB">
      <w:pPr>
        <w:pStyle w:val="ParaNumbering"/>
      </w:pPr>
      <w:r w:rsidRPr="0072120D">
        <w:t>The CFMMEU and Mr </w:t>
      </w:r>
      <w:r w:rsidR="00713B1F" w:rsidRPr="0072120D">
        <w:t>Sloane ha</w:t>
      </w:r>
      <w:r w:rsidR="001A784F">
        <w:t>ve</w:t>
      </w:r>
      <w:r w:rsidR="00713B1F" w:rsidRPr="0072120D">
        <w:t xml:space="preserve"> admitted the contraventions alleged. </w:t>
      </w:r>
      <w:r w:rsidR="00890502" w:rsidRPr="0072120D">
        <w:t xml:space="preserve"> </w:t>
      </w:r>
      <w:r w:rsidR="00713B1F" w:rsidRPr="0072120D">
        <w:t xml:space="preserve">A </w:t>
      </w:r>
      <w:r w:rsidR="00713B1F" w:rsidRPr="0072120D">
        <w:rPr>
          <w:i/>
        </w:rPr>
        <w:t>Statement of Agreed Facts</w:t>
      </w:r>
      <w:r w:rsidR="00713B1F" w:rsidRPr="0072120D">
        <w:t xml:space="preserve"> was filed in May 2019. </w:t>
      </w:r>
      <w:r w:rsidR="00890502" w:rsidRPr="0072120D">
        <w:t xml:space="preserve"> </w:t>
      </w:r>
      <w:r w:rsidR="00713B1F" w:rsidRPr="0072120D">
        <w:t xml:space="preserve">A </w:t>
      </w:r>
      <w:r w:rsidR="00713B1F" w:rsidRPr="0072120D">
        <w:rPr>
          <w:i/>
        </w:rPr>
        <w:t>Further Statement of Agreed Facts</w:t>
      </w:r>
      <w:r w:rsidR="00713B1F" w:rsidRPr="0072120D">
        <w:t xml:space="preserve"> was filed in September 2019.</w:t>
      </w:r>
    </w:p>
    <w:p w:rsidR="00713B1F" w:rsidRPr="0072120D" w:rsidRDefault="00713B1F" w:rsidP="000E6FFB">
      <w:pPr>
        <w:pStyle w:val="ParaNumbering"/>
      </w:pPr>
      <w:r w:rsidRPr="0072120D">
        <w:t xml:space="preserve">The issue now to be resolved is the quantum of the penalties to be imposed. </w:t>
      </w:r>
      <w:r w:rsidR="00890502" w:rsidRPr="0072120D">
        <w:t xml:space="preserve"> </w:t>
      </w:r>
      <w:r w:rsidRPr="0072120D">
        <w:t>Agreement has been reached as to the appropriate range of penalties.  It is concluded that penalties should be imposed as agreed, albeit at the very upper limit of the agree</w:t>
      </w:r>
      <w:r w:rsidR="003E5D65">
        <w:t xml:space="preserve">d range. </w:t>
      </w:r>
      <w:r w:rsidRPr="0072120D">
        <w:t xml:space="preserve">  </w:t>
      </w:r>
    </w:p>
    <w:p w:rsidR="00713B1F" w:rsidRPr="0072120D" w:rsidRDefault="00713B1F" w:rsidP="001A2072">
      <w:pPr>
        <w:pStyle w:val="Heading3"/>
      </w:pPr>
      <w:r w:rsidRPr="0072120D">
        <w:t xml:space="preserve">The statutory provisions </w:t>
      </w:r>
    </w:p>
    <w:p w:rsidR="00713B1F" w:rsidRPr="0072120D" w:rsidRDefault="00713B1F" w:rsidP="00182ECA">
      <w:pPr>
        <w:pStyle w:val="ParaNumbering"/>
      </w:pPr>
      <w:r w:rsidRPr="0072120D">
        <w:t xml:space="preserve">The provisions of both the </w:t>
      </w:r>
      <w:r w:rsidRPr="00141E14">
        <w:rPr>
          <w:i/>
        </w:rPr>
        <w:t>Fair Work Act</w:t>
      </w:r>
      <w:r w:rsidRPr="0072120D">
        <w:t xml:space="preserve"> and the </w:t>
      </w:r>
      <w:r w:rsidRPr="00141E14">
        <w:rPr>
          <w:i/>
        </w:rPr>
        <w:t>Building Industry Act</w:t>
      </w:r>
      <w:r w:rsidRPr="0072120D">
        <w:t xml:space="preserve"> should be set forth. </w:t>
      </w:r>
      <w:r w:rsidR="00FA3C87" w:rsidRPr="0072120D">
        <w:t xml:space="preserve"> </w:t>
      </w:r>
      <w:r w:rsidR="00910E61">
        <w:t>But</w:t>
      </w:r>
      <w:r w:rsidR="00BD3F20">
        <w:t>,</w:t>
      </w:r>
      <w:r w:rsidR="00910E61">
        <w:t xml:space="preserve"> for present purposes</w:t>
      </w:r>
      <w:r w:rsidR="00A35CED">
        <w:t>, it</w:t>
      </w:r>
      <w:r w:rsidR="00141E14">
        <w:t xml:space="preserve"> i</w:t>
      </w:r>
      <w:r w:rsidR="00FA3C87" w:rsidRPr="0072120D">
        <w:t xml:space="preserve">s sufficient to merely set forth the terms in which these provisions are expressed. </w:t>
      </w:r>
    </w:p>
    <w:p w:rsidR="00713B1F" w:rsidRPr="0072120D" w:rsidRDefault="00713B1F" w:rsidP="000E6FFB">
      <w:pPr>
        <w:pStyle w:val="ParaNumbering"/>
      </w:pPr>
      <w:r w:rsidRPr="0072120D">
        <w:t xml:space="preserve">Although the facts that occurred on 20 February 2018 gave rise to contraventions of both Acts, the terms in which each statutory provision are expressed </w:t>
      </w:r>
      <w:r w:rsidR="00FA3C87" w:rsidRPr="0072120D">
        <w:t xml:space="preserve">is different. </w:t>
      </w:r>
    </w:p>
    <w:p w:rsidR="00713B1F" w:rsidRPr="0072120D" w:rsidRDefault="00713B1F" w:rsidP="000E6FFB">
      <w:pPr>
        <w:pStyle w:val="ParaNumbering"/>
      </w:pPr>
      <w:r w:rsidRPr="0072120D">
        <w:lastRenderedPageBreak/>
        <w:t xml:space="preserve">Of </w:t>
      </w:r>
      <w:r w:rsidR="00FA3C87" w:rsidRPr="0072120D">
        <w:t xml:space="preserve">considerable importance </w:t>
      </w:r>
      <w:r w:rsidRPr="0072120D">
        <w:t xml:space="preserve">are those provisions of both Acts </w:t>
      </w:r>
      <w:r w:rsidR="00FA3C87" w:rsidRPr="0072120D">
        <w:t xml:space="preserve">which </w:t>
      </w:r>
      <w:r w:rsidRPr="0072120D">
        <w:t>address</w:t>
      </w:r>
      <w:r w:rsidR="00FA3C87" w:rsidRPr="0072120D">
        <w:t xml:space="preserve"> </w:t>
      </w:r>
      <w:r w:rsidRPr="0072120D">
        <w:t xml:space="preserve">the circumstances in which penalties should not be </w:t>
      </w:r>
      <w:r w:rsidR="00A35CED">
        <w:t xml:space="preserve">imposed </w:t>
      </w:r>
      <w:r w:rsidR="00FA3C87" w:rsidRPr="0072120D">
        <w:t xml:space="preserve">where conduct has also been found to constitute a contravention of another Commonwealth statute. </w:t>
      </w:r>
    </w:p>
    <w:p w:rsidR="003D5475" w:rsidRPr="0072120D" w:rsidRDefault="003D5475" w:rsidP="004B1CEA">
      <w:pPr>
        <w:pStyle w:val="Heading4"/>
      </w:pPr>
      <w:r w:rsidRPr="0072120D">
        <w:t>The Fair Work Act</w:t>
      </w:r>
    </w:p>
    <w:p w:rsidR="00973BBC" w:rsidRPr="0072120D" w:rsidRDefault="00973BBC" w:rsidP="000E6FFB">
      <w:pPr>
        <w:pStyle w:val="ParaNumbering"/>
      </w:pPr>
      <w:r w:rsidRPr="0072120D">
        <w:t xml:space="preserve">The statutory source of the power to impose a penalty for a contravention of a civil remedy provision of the </w:t>
      </w:r>
      <w:r w:rsidRPr="0072120D">
        <w:rPr>
          <w:i/>
        </w:rPr>
        <w:t>Fair Work Act</w:t>
      </w:r>
      <w:r w:rsidRPr="0072120D">
        <w:t xml:space="preserve"> is </w:t>
      </w:r>
      <w:r w:rsidR="004D5159" w:rsidRPr="0072120D">
        <w:t>s</w:t>
      </w:r>
      <w:r w:rsidR="001A2072" w:rsidRPr="0072120D">
        <w:t> </w:t>
      </w:r>
      <w:r w:rsidR="004D5159" w:rsidRPr="0072120D">
        <w:t xml:space="preserve">546. </w:t>
      </w:r>
    </w:p>
    <w:p w:rsidR="003D5475" w:rsidRPr="0072120D" w:rsidRDefault="003D5475" w:rsidP="000E6FFB">
      <w:pPr>
        <w:pStyle w:val="ParaNumbering"/>
      </w:pPr>
      <w:r w:rsidRPr="0072120D">
        <w:t xml:space="preserve">Section 500 of the </w:t>
      </w:r>
      <w:r w:rsidRPr="0072120D">
        <w:rPr>
          <w:i/>
        </w:rPr>
        <w:t>Fair Work Act</w:t>
      </w:r>
      <w:r w:rsidRPr="0072120D">
        <w:t xml:space="preserve"> provides as follows: </w:t>
      </w:r>
    </w:p>
    <w:p w:rsidR="004D665F" w:rsidRPr="00182ECA" w:rsidRDefault="004D665F" w:rsidP="004D665F">
      <w:pPr>
        <w:pStyle w:val="Quote1"/>
        <w:rPr>
          <w:b/>
          <w:sz w:val="20"/>
        </w:rPr>
      </w:pPr>
      <w:r w:rsidRPr="00182ECA">
        <w:rPr>
          <w:b/>
          <w:sz w:val="20"/>
        </w:rPr>
        <w:t xml:space="preserve">Permit holder must not hinder or obstruct </w:t>
      </w:r>
    </w:p>
    <w:p w:rsidR="004D665F" w:rsidRDefault="004D665F" w:rsidP="00182ECA">
      <w:pPr>
        <w:pStyle w:val="Quote1"/>
        <w:rPr>
          <w:sz w:val="20"/>
        </w:rPr>
      </w:pPr>
      <w:r w:rsidRPr="0072120D">
        <w:rPr>
          <w:sz w:val="20"/>
        </w:rPr>
        <w:t>A permit holder exercising, or seeking to exercise, rights in accordance with this Part must not intentionally hinder or obstruct any person, or otherwise act in an improper manner.</w:t>
      </w:r>
    </w:p>
    <w:p w:rsidR="00167A31" w:rsidRPr="0072120D" w:rsidRDefault="00167A31" w:rsidP="00890502">
      <w:pPr>
        <w:pStyle w:val="Quote1"/>
        <w:spacing w:after="360"/>
        <w:rPr>
          <w:sz w:val="20"/>
        </w:rPr>
      </w:pPr>
      <w:r>
        <w:rPr>
          <w:sz w:val="20"/>
        </w:rPr>
        <w:t>…</w:t>
      </w:r>
    </w:p>
    <w:p w:rsidR="004D665F" w:rsidRPr="0072120D" w:rsidRDefault="003D5475" w:rsidP="002B2DC0">
      <w:pPr>
        <w:pStyle w:val="ParaNumbering"/>
      </w:pPr>
      <w:r w:rsidRPr="0072120D">
        <w:t>Section 556 provides as follows:</w:t>
      </w:r>
    </w:p>
    <w:p w:rsidR="004D665F" w:rsidRPr="00182ECA" w:rsidRDefault="004D665F" w:rsidP="004D665F">
      <w:pPr>
        <w:pStyle w:val="Quote1"/>
        <w:rPr>
          <w:b/>
          <w:sz w:val="20"/>
        </w:rPr>
      </w:pPr>
      <w:r w:rsidRPr="00182ECA">
        <w:rPr>
          <w:b/>
          <w:sz w:val="20"/>
        </w:rPr>
        <w:t xml:space="preserve">Civil double jeopardy </w:t>
      </w:r>
    </w:p>
    <w:p w:rsidR="004D665F" w:rsidRPr="0072120D" w:rsidRDefault="004D665F" w:rsidP="004D665F">
      <w:pPr>
        <w:pStyle w:val="Quote1"/>
        <w:rPr>
          <w:sz w:val="20"/>
        </w:rPr>
      </w:pPr>
      <w:r w:rsidRPr="0072120D">
        <w:rPr>
          <w:sz w:val="20"/>
        </w:rPr>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3D5475" w:rsidRPr="0072120D" w:rsidRDefault="004D665F" w:rsidP="00B5752D">
      <w:pPr>
        <w:pStyle w:val="Quote1"/>
        <w:spacing w:after="360"/>
      </w:pPr>
      <w:r w:rsidRPr="0072120D">
        <w:rPr>
          <w:sz w:val="20"/>
        </w:rPr>
        <w:t>…</w:t>
      </w:r>
    </w:p>
    <w:p w:rsidR="003D5475" w:rsidRPr="0072120D" w:rsidRDefault="003D5475" w:rsidP="004D665F">
      <w:pPr>
        <w:pStyle w:val="Heading4"/>
      </w:pPr>
      <w:r w:rsidRPr="0072120D">
        <w:t xml:space="preserve">The Building Industry Act  </w:t>
      </w:r>
    </w:p>
    <w:p w:rsidR="003E5D65" w:rsidRDefault="00973BBC" w:rsidP="003E5D65">
      <w:pPr>
        <w:pStyle w:val="ParaNumbering"/>
      </w:pPr>
      <w:r w:rsidRPr="0072120D">
        <w:t>The statutory source of the power to impose a penalty for a contravention of a civil remedy provision is to be found in</w:t>
      </w:r>
      <w:r w:rsidR="000F28E3">
        <w:t xml:space="preserve"> </w:t>
      </w:r>
      <w:r w:rsidR="00167A31">
        <w:t xml:space="preserve">s 81 of the </w:t>
      </w:r>
      <w:r w:rsidR="00167A31" w:rsidRPr="003E5D65">
        <w:rPr>
          <w:i/>
        </w:rPr>
        <w:t>Building Industry Act,</w:t>
      </w:r>
      <w:r w:rsidR="00167A31">
        <w:t xml:space="preserve"> with the maximum pecuniary penalties for “</w:t>
      </w:r>
      <w:r w:rsidR="00167A31" w:rsidRPr="003E5D65">
        <w:rPr>
          <w:i/>
        </w:rPr>
        <w:t>Grade A</w:t>
      </w:r>
      <w:r w:rsidR="00167A31">
        <w:t>” and “</w:t>
      </w:r>
      <w:r w:rsidR="00167A31" w:rsidRPr="003E5D65">
        <w:rPr>
          <w:i/>
        </w:rPr>
        <w:t>Grade B</w:t>
      </w:r>
      <w:r w:rsidR="00167A31">
        <w:t>” civil remedy provisions set out at s 81(2)(a) and (2)(b) respectively.</w:t>
      </w:r>
    </w:p>
    <w:p w:rsidR="003D5475" w:rsidRPr="0072120D" w:rsidRDefault="003D5475" w:rsidP="000E6FFB">
      <w:pPr>
        <w:pStyle w:val="ParaNumbering"/>
      </w:pPr>
      <w:r w:rsidRPr="0072120D">
        <w:t xml:space="preserve">Section 46 </w:t>
      </w:r>
      <w:r w:rsidR="00FA3C87" w:rsidRPr="0072120D">
        <w:t xml:space="preserve">of this Act </w:t>
      </w:r>
      <w:r w:rsidRPr="0072120D">
        <w:t xml:space="preserve">provides as follows: </w:t>
      </w:r>
    </w:p>
    <w:p w:rsidR="004D665F" w:rsidRPr="0072120D" w:rsidRDefault="004D665F" w:rsidP="004D665F">
      <w:pPr>
        <w:pStyle w:val="Quote1"/>
        <w:rPr>
          <w:b/>
          <w:sz w:val="20"/>
        </w:rPr>
      </w:pPr>
      <w:r w:rsidRPr="0072120D">
        <w:rPr>
          <w:b/>
          <w:sz w:val="20"/>
        </w:rPr>
        <w:t xml:space="preserve">Unlawful industrial action prohibited </w:t>
      </w:r>
    </w:p>
    <w:p w:rsidR="004D665F" w:rsidRDefault="004D665F" w:rsidP="00FB19E9">
      <w:pPr>
        <w:pStyle w:val="Quote1"/>
        <w:rPr>
          <w:sz w:val="20"/>
        </w:rPr>
      </w:pPr>
      <w:r w:rsidRPr="0072120D">
        <w:rPr>
          <w:sz w:val="20"/>
        </w:rPr>
        <w:t>A person must not organise or engage in unlawful industrial action</w:t>
      </w:r>
      <w:r w:rsidR="00167A31">
        <w:rPr>
          <w:sz w:val="20"/>
        </w:rPr>
        <w:t>.</w:t>
      </w:r>
    </w:p>
    <w:p w:rsidR="00167A31" w:rsidRPr="0072120D" w:rsidRDefault="00167A31" w:rsidP="00513CEF">
      <w:pPr>
        <w:pStyle w:val="Quote1"/>
        <w:spacing w:after="360"/>
        <w:rPr>
          <w:sz w:val="20"/>
        </w:rPr>
      </w:pPr>
      <w:r>
        <w:rPr>
          <w:sz w:val="20"/>
        </w:rPr>
        <w:t>…</w:t>
      </w:r>
    </w:p>
    <w:p w:rsidR="004D665F" w:rsidRPr="0072120D" w:rsidRDefault="00973BBC" w:rsidP="00513CEF">
      <w:pPr>
        <w:pStyle w:val="NoNum"/>
      </w:pPr>
      <w:r w:rsidRPr="0072120D">
        <w:t>“</w:t>
      </w:r>
      <w:r w:rsidRPr="0072120D">
        <w:rPr>
          <w:i/>
        </w:rPr>
        <w:t>Industrial action</w:t>
      </w:r>
      <w:r w:rsidRPr="0072120D">
        <w:t xml:space="preserve">” is </w:t>
      </w:r>
      <w:r w:rsidR="00FA3C87" w:rsidRPr="0072120D">
        <w:t xml:space="preserve">relevantly </w:t>
      </w:r>
      <w:r w:rsidRPr="0072120D">
        <w:t>defined in s</w:t>
      </w:r>
      <w:r w:rsidR="004D665F" w:rsidRPr="0072120D">
        <w:t> </w:t>
      </w:r>
      <w:r w:rsidRPr="0072120D">
        <w:t>7</w:t>
      </w:r>
      <w:r w:rsidR="00FA3C87" w:rsidRPr="0072120D">
        <w:t>(1)</w:t>
      </w:r>
      <w:r w:rsidRPr="0072120D">
        <w:t xml:space="preserve"> as follows:</w:t>
      </w:r>
    </w:p>
    <w:p w:rsidR="004D665F" w:rsidRPr="0072120D" w:rsidRDefault="004D665F" w:rsidP="004D665F">
      <w:pPr>
        <w:pStyle w:val="Quote1"/>
        <w:rPr>
          <w:b/>
          <w:sz w:val="20"/>
        </w:rPr>
      </w:pPr>
      <w:r w:rsidRPr="0072120D">
        <w:rPr>
          <w:b/>
          <w:sz w:val="20"/>
        </w:rPr>
        <w:t xml:space="preserve">Meaning of </w:t>
      </w:r>
      <w:r w:rsidRPr="0072120D">
        <w:rPr>
          <w:b/>
          <w:i/>
          <w:sz w:val="20"/>
        </w:rPr>
        <w:t>industrial action</w:t>
      </w:r>
      <w:r w:rsidRPr="0072120D">
        <w:rPr>
          <w:b/>
          <w:sz w:val="20"/>
        </w:rPr>
        <w:t xml:space="preserve"> </w:t>
      </w:r>
    </w:p>
    <w:p w:rsidR="004D665F" w:rsidRPr="0072120D" w:rsidRDefault="004D665F" w:rsidP="004D665F">
      <w:pPr>
        <w:pStyle w:val="Quote1"/>
        <w:rPr>
          <w:sz w:val="20"/>
        </w:rPr>
      </w:pPr>
      <w:r w:rsidRPr="0072120D">
        <w:rPr>
          <w:sz w:val="20"/>
        </w:rPr>
        <w:t>(1)</w:t>
      </w:r>
      <w:r w:rsidRPr="0072120D">
        <w:rPr>
          <w:sz w:val="20"/>
        </w:rPr>
        <w:tab/>
      </w:r>
      <w:r w:rsidRPr="00182ECA">
        <w:rPr>
          <w:b/>
          <w:i/>
          <w:sz w:val="20"/>
        </w:rPr>
        <w:t>Industrial action</w:t>
      </w:r>
      <w:r w:rsidRPr="0072120D">
        <w:rPr>
          <w:sz w:val="20"/>
        </w:rPr>
        <w:t xml:space="preserve"> is action of any of the following kinds: </w:t>
      </w:r>
    </w:p>
    <w:p w:rsidR="004D665F" w:rsidRPr="0072120D" w:rsidRDefault="00513CEF" w:rsidP="004172A8">
      <w:pPr>
        <w:pStyle w:val="Quote2"/>
        <w:rPr>
          <w:sz w:val="20"/>
        </w:rPr>
      </w:pPr>
      <w:r w:rsidRPr="0072120D">
        <w:rPr>
          <w:sz w:val="20"/>
        </w:rPr>
        <w:t>…</w:t>
      </w:r>
    </w:p>
    <w:p w:rsidR="004D665F" w:rsidRPr="0072120D" w:rsidRDefault="004D665F" w:rsidP="00361D5D">
      <w:pPr>
        <w:pStyle w:val="Quote2"/>
        <w:keepNext/>
        <w:keepLines/>
        <w:ind w:left="2160" w:hanging="720"/>
        <w:rPr>
          <w:sz w:val="20"/>
        </w:rPr>
      </w:pPr>
      <w:r w:rsidRPr="0072120D">
        <w:rPr>
          <w:sz w:val="20"/>
        </w:rPr>
        <w:lastRenderedPageBreak/>
        <w:t>(c)</w:t>
      </w:r>
      <w:r w:rsidRPr="0072120D">
        <w:rPr>
          <w:sz w:val="20"/>
        </w:rPr>
        <w:tab/>
        <w:t xml:space="preserve">a failure or refusal: </w:t>
      </w:r>
    </w:p>
    <w:p w:rsidR="004D665F" w:rsidRPr="0072120D" w:rsidRDefault="004D665F" w:rsidP="004D665F">
      <w:pPr>
        <w:pStyle w:val="Quote3"/>
        <w:ind w:left="2880" w:hanging="720"/>
        <w:rPr>
          <w:sz w:val="20"/>
        </w:rPr>
      </w:pPr>
      <w:r w:rsidRPr="0072120D">
        <w:rPr>
          <w:sz w:val="20"/>
        </w:rPr>
        <w:t>(</w:t>
      </w:r>
      <w:proofErr w:type="spellStart"/>
      <w:r w:rsidRPr="0072120D">
        <w:rPr>
          <w:sz w:val="20"/>
        </w:rPr>
        <w:t>i</w:t>
      </w:r>
      <w:proofErr w:type="spellEnd"/>
      <w:r w:rsidRPr="0072120D">
        <w:rPr>
          <w:sz w:val="20"/>
        </w:rPr>
        <w:t>)</w:t>
      </w:r>
      <w:r w:rsidRPr="0072120D">
        <w:rPr>
          <w:sz w:val="20"/>
        </w:rPr>
        <w:tab/>
        <w:t xml:space="preserve">by employees to attend work, where that work is building work; or </w:t>
      </w:r>
    </w:p>
    <w:p w:rsidR="004D665F" w:rsidRPr="0072120D" w:rsidRDefault="004D665F" w:rsidP="00281390">
      <w:pPr>
        <w:pStyle w:val="Quote3"/>
        <w:ind w:left="2880" w:hanging="720"/>
        <w:rPr>
          <w:sz w:val="20"/>
        </w:rPr>
      </w:pPr>
      <w:r w:rsidRPr="0072120D">
        <w:rPr>
          <w:sz w:val="20"/>
        </w:rPr>
        <w:t>(ii)</w:t>
      </w:r>
      <w:r w:rsidRPr="0072120D">
        <w:rPr>
          <w:sz w:val="20"/>
        </w:rPr>
        <w:tab/>
        <w:t xml:space="preserve">to perform any building work at all by employees who attend work, where that work is building work; </w:t>
      </w:r>
    </w:p>
    <w:p w:rsidR="004D665F" w:rsidRDefault="00513CEF" w:rsidP="00513CEF">
      <w:pPr>
        <w:pStyle w:val="Quote2"/>
        <w:spacing w:after="360"/>
        <w:ind w:left="2160" w:hanging="720"/>
        <w:rPr>
          <w:sz w:val="20"/>
        </w:rPr>
      </w:pPr>
      <w:r w:rsidRPr="0072120D">
        <w:rPr>
          <w:sz w:val="20"/>
        </w:rPr>
        <w:t>…</w:t>
      </w:r>
      <w:r w:rsidR="003E5D65">
        <w:rPr>
          <w:sz w:val="20"/>
        </w:rPr>
        <w:t xml:space="preserve"> </w:t>
      </w:r>
    </w:p>
    <w:p w:rsidR="00FA3C87" w:rsidRPr="003E5D65" w:rsidRDefault="003E5D65" w:rsidP="00281390">
      <w:pPr>
        <w:pStyle w:val="NoNum"/>
        <w:rPr>
          <w:strike/>
        </w:rPr>
      </w:pPr>
      <w:r w:rsidRPr="00182ECA">
        <w:t>S</w:t>
      </w:r>
      <w:r w:rsidR="00FA3C87" w:rsidRPr="00182ECA">
        <w:t>ection 7(2) goes on to define what the phrase “</w:t>
      </w:r>
      <w:r w:rsidR="00FA3C87" w:rsidRPr="00182ECA">
        <w:rPr>
          <w:i/>
        </w:rPr>
        <w:t>industrial action</w:t>
      </w:r>
      <w:r w:rsidR="00FA3C87" w:rsidRPr="00182ECA">
        <w:t>” does not include</w:t>
      </w:r>
      <w:r>
        <w:t xml:space="preserve">.   </w:t>
      </w:r>
    </w:p>
    <w:p w:rsidR="00C135E9" w:rsidRPr="0072120D" w:rsidRDefault="00973BBC" w:rsidP="002B2DC0">
      <w:pPr>
        <w:pStyle w:val="ParaNumbering"/>
      </w:pPr>
      <w:r w:rsidRPr="0072120D">
        <w:t xml:space="preserve">Section 83 </w:t>
      </w:r>
      <w:r w:rsidR="00FA3C87" w:rsidRPr="0072120D">
        <w:t xml:space="preserve">of the </w:t>
      </w:r>
      <w:r w:rsidR="00FA3C87" w:rsidRPr="0072120D">
        <w:rPr>
          <w:i/>
        </w:rPr>
        <w:t>Building Industry Act</w:t>
      </w:r>
      <w:r w:rsidR="00FA3C87" w:rsidRPr="0072120D">
        <w:t xml:space="preserve"> </w:t>
      </w:r>
      <w:r w:rsidRPr="0072120D">
        <w:t>provides as follows:</w:t>
      </w:r>
    </w:p>
    <w:p w:rsidR="00C135E9" w:rsidRPr="0072120D" w:rsidRDefault="00C135E9" w:rsidP="00C135E9">
      <w:pPr>
        <w:pStyle w:val="Quote1"/>
        <w:rPr>
          <w:b/>
          <w:sz w:val="20"/>
        </w:rPr>
      </w:pPr>
      <w:r w:rsidRPr="0072120D">
        <w:rPr>
          <w:b/>
          <w:sz w:val="20"/>
        </w:rPr>
        <w:t xml:space="preserve">Conduct contravening more than one civil remedy provision </w:t>
      </w:r>
    </w:p>
    <w:p w:rsidR="00C135E9" w:rsidRPr="0072120D" w:rsidRDefault="00C135E9" w:rsidP="00C135E9">
      <w:pPr>
        <w:pStyle w:val="Quote1"/>
        <w:ind w:left="1440" w:hanging="703"/>
        <w:rPr>
          <w:sz w:val="20"/>
        </w:rPr>
      </w:pPr>
      <w:r w:rsidRPr="0072120D">
        <w:rPr>
          <w:sz w:val="20"/>
        </w:rPr>
        <w:t>(1)</w:t>
      </w:r>
      <w:r w:rsidRPr="0072120D">
        <w:rPr>
          <w:sz w:val="20"/>
        </w:rPr>
        <w:tab/>
        <w:t xml:space="preserve">If conduct constitutes a contravention of 2 or more civil remedy provisions, proceedings may be instituted under this Part against a person in relation to the contravention of any one or more of those provisions. </w:t>
      </w:r>
    </w:p>
    <w:p w:rsidR="00C135E9" w:rsidRDefault="00C135E9" w:rsidP="00513CEF">
      <w:pPr>
        <w:pStyle w:val="Quote1"/>
        <w:spacing w:after="360"/>
        <w:ind w:left="1440" w:hanging="703"/>
        <w:rPr>
          <w:sz w:val="20"/>
        </w:rPr>
      </w:pPr>
      <w:r w:rsidRPr="0072120D">
        <w:rPr>
          <w:sz w:val="20"/>
        </w:rPr>
        <w:t>(2)</w:t>
      </w:r>
      <w:r w:rsidRPr="0072120D">
        <w:rPr>
          <w:sz w:val="20"/>
        </w:rPr>
        <w:tab/>
        <w:t>However, the person is not liable to more than one pecuniary penalty under this Part in relation to the same conduct.</w:t>
      </w:r>
    </w:p>
    <w:p w:rsidR="00141E14" w:rsidRDefault="00141E14" w:rsidP="00141E14">
      <w:pPr>
        <w:pStyle w:val="ParaNumbering"/>
      </w:pPr>
      <w:r>
        <w:t>Section 91 provid</w:t>
      </w:r>
      <w:r w:rsidR="00182ECA">
        <w:t>es as follows:</w:t>
      </w:r>
    </w:p>
    <w:p w:rsidR="00182ECA" w:rsidRPr="00182ECA" w:rsidRDefault="00182ECA" w:rsidP="00182ECA">
      <w:pPr>
        <w:pStyle w:val="Quote1"/>
        <w:rPr>
          <w:b/>
          <w:sz w:val="20"/>
        </w:rPr>
      </w:pPr>
      <w:bookmarkStart w:id="21" w:name="subsection"/>
      <w:bookmarkEnd w:id="21"/>
      <w:r>
        <w:rPr>
          <w:b/>
          <w:sz w:val="20"/>
        </w:rPr>
        <w:t>Civil double jeopardy</w:t>
      </w:r>
    </w:p>
    <w:p w:rsidR="00141E14" w:rsidRPr="00182ECA" w:rsidRDefault="00182ECA" w:rsidP="00182ECA">
      <w:pPr>
        <w:pStyle w:val="Quote1"/>
        <w:rPr>
          <w:sz w:val="20"/>
        </w:rPr>
      </w:pPr>
      <w:r w:rsidRPr="00182ECA">
        <w:rPr>
          <w:sz w:val="20"/>
        </w:rPr>
        <w:t>If a person is ordered to pay a pecuniary penalty under a civil remedy provision in relation to particular conduct, the person is not liable to be ordered to pay a pecuniary penalty under some other provision of a law of the Commonwealth in relation to that conduct.</w:t>
      </w:r>
    </w:p>
    <w:p w:rsidR="009949C2" w:rsidRPr="0072120D" w:rsidRDefault="009949C2" w:rsidP="00C135E9">
      <w:pPr>
        <w:pStyle w:val="Heading3"/>
      </w:pPr>
      <w:r w:rsidRPr="0072120D">
        <w:t>The facts giv</w:t>
      </w:r>
      <w:r w:rsidR="004B20D9" w:rsidRPr="0072120D">
        <w:t xml:space="preserve">ing rise to the contraventions </w:t>
      </w:r>
    </w:p>
    <w:p w:rsidR="00B5752D" w:rsidRPr="0072120D" w:rsidRDefault="00FA3C87" w:rsidP="000E6FFB">
      <w:pPr>
        <w:pStyle w:val="ParaNumbering"/>
      </w:pPr>
      <w:r w:rsidRPr="0072120D">
        <w:t xml:space="preserve">As set forth in the </w:t>
      </w:r>
      <w:r w:rsidRPr="0072120D">
        <w:rPr>
          <w:i/>
        </w:rPr>
        <w:t>Further Statement of Agreed Facts</w:t>
      </w:r>
      <w:r w:rsidRPr="0072120D">
        <w:t>, there was agreement as follows:</w:t>
      </w:r>
    </w:p>
    <w:p w:rsidR="00B5752D" w:rsidRPr="0072120D" w:rsidRDefault="00B5752D" w:rsidP="00B5752D">
      <w:pPr>
        <w:pStyle w:val="Quote1"/>
        <w:rPr>
          <w:sz w:val="20"/>
        </w:rPr>
      </w:pPr>
      <w:r w:rsidRPr="0072120D">
        <w:rPr>
          <w:b/>
          <w:sz w:val="20"/>
        </w:rPr>
        <w:t>C.</w:t>
      </w:r>
      <w:r w:rsidRPr="0072120D">
        <w:rPr>
          <w:b/>
          <w:sz w:val="20"/>
        </w:rPr>
        <w:tab/>
        <w:t>Events of 20 February 2018</w:t>
      </w:r>
    </w:p>
    <w:p w:rsidR="00B5752D" w:rsidRPr="0072120D" w:rsidRDefault="00C65FF2" w:rsidP="00B5752D">
      <w:pPr>
        <w:pStyle w:val="Quote1"/>
        <w:rPr>
          <w:sz w:val="20"/>
        </w:rPr>
      </w:pPr>
      <w:r w:rsidRPr="0072120D">
        <w:rPr>
          <w:sz w:val="20"/>
        </w:rPr>
        <w:t>11.</w:t>
      </w:r>
      <w:r w:rsidRPr="0072120D">
        <w:rPr>
          <w:sz w:val="20"/>
        </w:rPr>
        <w:tab/>
        <w:t>On 20 February 2018:</w:t>
      </w:r>
    </w:p>
    <w:p w:rsidR="00C65FF2" w:rsidRPr="0072120D" w:rsidRDefault="00C65FF2" w:rsidP="00C65FF2">
      <w:pPr>
        <w:pStyle w:val="Quote2"/>
        <w:rPr>
          <w:sz w:val="20"/>
        </w:rPr>
      </w:pPr>
      <w:r w:rsidRPr="0072120D">
        <w:rPr>
          <w:sz w:val="20"/>
        </w:rPr>
        <w:t>a.</w:t>
      </w:r>
      <w:r w:rsidRPr="0072120D">
        <w:rPr>
          <w:sz w:val="20"/>
        </w:rPr>
        <w:tab/>
      </w:r>
      <w:r w:rsidR="001C4D9D">
        <w:rPr>
          <w:sz w:val="20"/>
        </w:rPr>
        <w:t>Sloane</w:t>
      </w:r>
      <w:r w:rsidR="001C4D9D" w:rsidRPr="0072120D">
        <w:rPr>
          <w:sz w:val="20"/>
        </w:rPr>
        <w:t xml:space="preserve"> </w:t>
      </w:r>
      <w:r w:rsidRPr="0072120D">
        <w:rPr>
          <w:sz w:val="20"/>
        </w:rPr>
        <w:t xml:space="preserve">and Brendan </w:t>
      </w:r>
      <w:proofErr w:type="spellStart"/>
      <w:r w:rsidRPr="0072120D">
        <w:rPr>
          <w:sz w:val="20"/>
        </w:rPr>
        <w:t>Holl</w:t>
      </w:r>
      <w:proofErr w:type="spellEnd"/>
      <w:r w:rsidRPr="0072120D">
        <w:rPr>
          <w:sz w:val="20"/>
        </w:rPr>
        <w:t xml:space="preserve"> (</w:t>
      </w:r>
      <w:proofErr w:type="spellStart"/>
      <w:r w:rsidRPr="0072120D">
        <w:rPr>
          <w:b/>
          <w:sz w:val="20"/>
        </w:rPr>
        <w:t>Holl</w:t>
      </w:r>
      <w:proofErr w:type="spellEnd"/>
      <w:r w:rsidRPr="0072120D">
        <w:rPr>
          <w:sz w:val="20"/>
        </w:rPr>
        <w:t>) attended the Project Site at about 6.40am;</w:t>
      </w:r>
    </w:p>
    <w:p w:rsidR="00C65FF2" w:rsidRPr="0072120D" w:rsidRDefault="00C65FF2" w:rsidP="00790E49">
      <w:pPr>
        <w:pStyle w:val="Quote2"/>
        <w:ind w:left="2160" w:hanging="720"/>
        <w:rPr>
          <w:sz w:val="20"/>
        </w:rPr>
      </w:pPr>
      <w:r w:rsidRPr="0072120D">
        <w:rPr>
          <w:sz w:val="20"/>
        </w:rPr>
        <w:t>b.</w:t>
      </w:r>
      <w:r w:rsidRPr="0072120D">
        <w:rPr>
          <w:sz w:val="20"/>
        </w:rPr>
        <w:tab/>
        <w:t xml:space="preserve">when there, Sloane said to Harbison </w:t>
      </w:r>
      <w:r w:rsidR="00BD3F20">
        <w:rPr>
          <w:sz w:val="20"/>
        </w:rPr>
        <w:t xml:space="preserve">[Site Manager of the Project Site] </w:t>
      </w:r>
      <w:r w:rsidRPr="0072120D">
        <w:rPr>
          <w:sz w:val="20"/>
        </w:rPr>
        <w:t xml:space="preserve">words to the effect that “There was a problem with the </w:t>
      </w:r>
      <w:proofErr w:type="spellStart"/>
      <w:r w:rsidRPr="0072120D">
        <w:rPr>
          <w:sz w:val="20"/>
        </w:rPr>
        <w:t>Westform</w:t>
      </w:r>
      <w:proofErr w:type="spellEnd"/>
      <w:r w:rsidRPr="0072120D">
        <w:rPr>
          <w:sz w:val="20"/>
        </w:rPr>
        <w:t xml:space="preserve"> boys not getting paid for a Saturday two weeks ago” and that “I want to talk to the guys”;</w:t>
      </w:r>
    </w:p>
    <w:p w:rsidR="00C65FF2" w:rsidRPr="0072120D" w:rsidRDefault="00C65FF2" w:rsidP="00790E49">
      <w:pPr>
        <w:pStyle w:val="Quote2"/>
        <w:ind w:left="2160" w:hanging="720"/>
        <w:rPr>
          <w:sz w:val="20"/>
        </w:rPr>
      </w:pPr>
      <w:r w:rsidRPr="0072120D">
        <w:rPr>
          <w:sz w:val="20"/>
        </w:rPr>
        <w:t>c.</w:t>
      </w:r>
      <w:r w:rsidRPr="0072120D">
        <w:rPr>
          <w:sz w:val="20"/>
        </w:rPr>
        <w:tab/>
        <w:t xml:space="preserve">shortly after 7.00am, upon being asked by Kos </w:t>
      </w:r>
      <w:r w:rsidR="00BD3F20">
        <w:rPr>
          <w:sz w:val="20"/>
        </w:rPr>
        <w:t xml:space="preserve">[Formwork Supervisor on the Project Site] </w:t>
      </w:r>
      <w:r w:rsidRPr="0072120D">
        <w:rPr>
          <w:sz w:val="20"/>
        </w:rPr>
        <w:t xml:space="preserve">what </w:t>
      </w:r>
      <w:proofErr w:type="spellStart"/>
      <w:r w:rsidRPr="0072120D">
        <w:rPr>
          <w:sz w:val="20"/>
        </w:rPr>
        <w:t>Westform</w:t>
      </w:r>
      <w:proofErr w:type="spellEnd"/>
      <w:r w:rsidRPr="0072120D">
        <w:rPr>
          <w:sz w:val="20"/>
        </w:rPr>
        <w:t xml:space="preserve"> had done wrong, </w:t>
      </w:r>
      <w:proofErr w:type="spellStart"/>
      <w:r w:rsidRPr="0072120D">
        <w:rPr>
          <w:sz w:val="20"/>
        </w:rPr>
        <w:t>Holl</w:t>
      </w:r>
      <w:proofErr w:type="spellEnd"/>
      <w:r w:rsidRPr="0072120D">
        <w:rPr>
          <w:sz w:val="20"/>
        </w:rPr>
        <w:t xml:space="preserve"> (addressing the claim for payment for inclement weather) said to Harbison and Kos words to the effect</w:t>
      </w:r>
      <w:r w:rsidR="00790E49" w:rsidRPr="0072120D">
        <w:rPr>
          <w:sz w:val="20"/>
        </w:rPr>
        <w:t xml:space="preserve"> </w:t>
      </w:r>
      <w:r w:rsidRPr="0072120D">
        <w:rPr>
          <w:sz w:val="20"/>
        </w:rPr>
        <w:t xml:space="preserve">that “It’s fine that they sat in the sheds, but they should have been paid for the time </w:t>
      </w:r>
      <w:r w:rsidR="00790E49" w:rsidRPr="0072120D">
        <w:rPr>
          <w:sz w:val="20"/>
        </w:rPr>
        <w:t>they were in the shed”;</w:t>
      </w:r>
    </w:p>
    <w:p w:rsidR="00790E49" w:rsidRPr="0072120D" w:rsidRDefault="00790E49" w:rsidP="00790E49">
      <w:pPr>
        <w:pStyle w:val="Quote2"/>
        <w:ind w:left="2160" w:hanging="720"/>
        <w:rPr>
          <w:sz w:val="20"/>
        </w:rPr>
      </w:pPr>
      <w:r w:rsidRPr="0072120D">
        <w:rPr>
          <w:sz w:val="20"/>
        </w:rPr>
        <w:t>d.</w:t>
      </w:r>
      <w:r w:rsidRPr="0072120D">
        <w:rPr>
          <w:sz w:val="20"/>
        </w:rPr>
        <w:tab/>
        <w:t xml:space="preserve">Harbison offered to gather the </w:t>
      </w:r>
      <w:proofErr w:type="spellStart"/>
      <w:r w:rsidRPr="0072120D">
        <w:rPr>
          <w:sz w:val="20"/>
        </w:rPr>
        <w:t>Westform</w:t>
      </w:r>
      <w:proofErr w:type="spellEnd"/>
      <w:r w:rsidRPr="0072120D">
        <w:rPr>
          <w:sz w:val="20"/>
        </w:rPr>
        <w:t xml:space="preserve"> workers at a park directly across the road from the Project prior to their commencement of work for the day, but </w:t>
      </w:r>
      <w:proofErr w:type="spellStart"/>
      <w:r w:rsidRPr="0072120D">
        <w:rPr>
          <w:sz w:val="20"/>
        </w:rPr>
        <w:t>Holl</w:t>
      </w:r>
      <w:proofErr w:type="spellEnd"/>
      <w:r w:rsidRPr="0072120D">
        <w:rPr>
          <w:sz w:val="20"/>
        </w:rPr>
        <w:t xml:space="preserve"> indicated he and Sloane wanted to see the workers on the Site;</w:t>
      </w:r>
    </w:p>
    <w:p w:rsidR="00790E49" w:rsidRPr="0072120D" w:rsidRDefault="00790E49" w:rsidP="00790E49">
      <w:pPr>
        <w:pStyle w:val="Quote2"/>
        <w:ind w:left="2160" w:hanging="720"/>
        <w:rPr>
          <w:sz w:val="20"/>
        </w:rPr>
      </w:pPr>
      <w:r w:rsidRPr="0072120D">
        <w:rPr>
          <w:sz w:val="20"/>
        </w:rPr>
        <w:t>e.</w:t>
      </w:r>
      <w:r w:rsidRPr="0072120D">
        <w:rPr>
          <w:sz w:val="20"/>
        </w:rPr>
        <w:tab/>
        <w:t xml:space="preserve">Harbison requested to inspect Sloane’s and </w:t>
      </w:r>
      <w:proofErr w:type="spellStart"/>
      <w:r w:rsidRPr="0072120D">
        <w:rPr>
          <w:sz w:val="20"/>
        </w:rPr>
        <w:t>Holl’s</w:t>
      </w:r>
      <w:proofErr w:type="spellEnd"/>
      <w:r w:rsidRPr="0072120D">
        <w:rPr>
          <w:sz w:val="20"/>
        </w:rPr>
        <w:t xml:space="preserve"> entry permits; </w:t>
      </w:r>
    </w:p>
    <w:p w:rsidR="00790E49" w:rsidRPr="0072120D" w:rsidRDefault="00790E49" w:rsidP="00790E49">
      <w:pPr>
        <w:pStyle w:val="Quote2"/>
        <w:ind w:left="2160" w:hanging="720"/>
        <w:rPr>
          <w:sz w:val="20"/>
        </w:rPr>
      </w:pPr>
      <w:r w:rsidRPr="0072120D">
        <w:rPr>
          <w:sz w:val="20"/>
        </w:rPr>
        <w:t>f.</w:t>
      </w:r>
      <w:r w:rsidRPr="0072120D">
        <w:rPr>
          <w:sz w:val="20"/>
        </w:rPr>
        <w:tab/>
        <w:t xml:space="preserve">each of Sloane and </w:t>
      </w:r>
      <w:proofErr w:type="spellStart"/>
      <w:r w:rsidRPr="0072120D">
        <w:rPr>
          <w:sz w:val="20"/>
        </w:rPr>
        <w:t>Holl</w:t>
      </w:r>
      <w:proofErr w:type="spellEnd"/>
      <w:r w:rsidRPr="0072120D">
        <w:rPr>
          <w:sz w:val="20"/>
        </w:rPr>
        <w:t xml:space="preserve"> produced a Federal entry permit and a State entry permit for inspection; and </w:t>
      </w:r>
    </w:p>
    <w:p w:rsidR="00B5752D" w:rsidRPr="0072120D" w:rsidRDefault="00790E49" w:rsidP="00E955CF">
      <w:pPr>
        <w:pStyle w:val="Quote2"/>
        <w:ind w:left="2160" w:hanging="720"/>
        <w:rPr>
          <w:sz w:val="20"/>
        </w:rPr>
      </w:pPr>
      <w:r w:rsidRPr="0072120D">
        <w:rPr>
          <w:sz w:val="20"/>
        </w:rPr>
        <w:t>g.</w:t>
      </w:r>
      <w:r w:rsidRPr="0072120D">
        <w:rPr>
          <w:sz w:val="20"/>
        </w:rPr>
        <w:tab/>
        <w:t>Harbison subsequently escorted them onto the Project Site, proceeding to Level One of the Project Site.</w:t>
      </w:r>
    </w:p>
    <w:p w:rsidR="00790E49" w:rsidRPr="0072120D" w:rsidRDefault="00790E49" w:rsidP="00790E49">
      <w:pPr>
        <w:pStyle w:val="Quote1"/>
        <w:ind w:left="1440" w:hanging="703"/>
        <w:rPr>
          <w:sz w:val="20"/>
        </w:rPr>
      </w:pPr>
      <w:r w:rsidRPr="0072120D">
        <w:rPr>
          <w:sz w:val="20"/>
        </w:rPr>
        <w:lastRenderedPageBreak/>
        <w:t>12.</w:t>
      </w:r>
      <w:r w:rsidRPr="0072120D">
        <w:rPr>
          <w:sz w:val="20"/>
        </w:rPr>
        <w:tab/>
        <w:t xml:space="preserve">There, from about 7.15am on 20 February 2018, the </w:t>
      </w:r>
      <w:proofErr w:type="spellStart"/>
      <w:r w:rsidRPr="0072120D">
        <w:rPr>
          <w:sz w:val="20"/>
        </w:rPr>
        <w:t>Westform</w:t>
      </w:r>
      <w:proofErr w:type="spellEnd"/>
      <w:r w:rsidRPr="0072120D">
        <w:rPr>
          <w:sz w:val="20"/>
        </w:rPr>
        <w:t xml:space="preserve"> workers had attended the daily pre-start meeting to discuss the work to be undertaken on that day.</w:t>
      </w:r>
    </w:p>
    <w:p w:rsidR="00790E49" w:rsidRPr="0072120D" w:rsidRDefault="00790E49" w:rsidP="00790E49">
      <w:pPr>
        <w:pStyle w:val="Quote1"/>
        <w:ind w:left="1440" w:hanging="703"/>
        <w:rPr>
          <w:sz w:val="20"/>
        </w:rPr>
      </w:pPr>
      <w:r w:rsidRPr="0072120D">
        <w:rPr>
          <w:sz w:val="20"/>
        </w:rPr>
        <w:t>13.</w:t>
      </w:r>
      <w:r w:rsidRPr="0072120D">
        <w:rPr>
          <w:sz w:val="20"/>
        </w:rPr>
        <w:tab/>
        <w:t>During the daily pre-start meeting:</w:t>
      </w:r>
    </w:p>
    <w:p w:rsidR="00790E49" w:rsidRPr="0072120D" w:rsidRDefault="00790E49" w:rsidP="00790E49">
      <w:pPr>
        <w:pStyle w:val="Quote2"/>
        <w:ind w:left="2160" w:hanging="720"/>
        <w:rPr>
          <w:sz w:val="20"/>
        </w:rPr>
      </w:pPr>
      <w:r w:rsidRPr="0072120D">
        <w:rPr>
          <w:sz w:val="20"/>
        </w:rPr>
        <w:t>a.</w:t>
      </w:r>
      <w:r w:rsidRPr="0072120D">
        <w:rPr>
          <w:sz w:val="20"/>
        </w:rPr>
        <w:tab/>
        <w:t xml:space="preserve">Sloane and </w:t>
      </w:r>
      <w:proofErr w:type="spellStart"/>
      <w:r w:rsidRPr="0072120D">
        <w:rPr>
          <w:sz w:val="20"/>
        </w:rPr>
        <w:t>Holl</w:t>
      </w:r>
      <w:proofErr w:type="spellEnd"/>
      <w:r w:rsidRPr="0072120D">
        <w:rPr>
          <w:sz w:val="20"/>
        </w:rPr>
        <w:t xml:space="preserve"> entered and made their way to the front of the group of </w:t>
      </w:r>
      <w:proofErr w:type="spellStart"/>
      <w:r w:rsidRPr="0072120D">
        <w:rPr>
          <w:sz w:val="20"/>
        </w:rPr>
        <w:t>Westform</w:t>
      </w:r>
      <w:proofErr w:type="spellEnd"/>
      <w:r w:rsidRPr="0072120D">
        <w:rPr>
          <w:sz w:val="20"/>
        </w:rPr>
        <w:t xml:space="preserve"> workers and started to address the workers;</w:t>
      </w:r>
    </w:p>
    <w:p w:rsidR="00790E49" w:rsidRPr="0072120D" w:rsidRDefault="00790E49" w:rsidP="00790E49">
      <w:pPr>
        <w:pStyle w:val="Quote2"/>
        <w:ind w:left="2160" w:hanging="720"/>
        <w:rPr>
          <w:sz w:val="20"/>
        </w:rPr>
      </w:pPr>
      <w:r w:rsidRPr="0072120D">
        <w:rPr>
          <w:sz w:val="20"/>
        </w:rPr>
        <w:t>b.</w:t>
      </w:r>
      <w:r w:rsidRPr="0072120D">
        <w:rPr>
          <w:sz w:val="20"/>
        </w:rPr>
        <w:tab/>
        <w:t>After 5 minutes, Kos said words to the effect that “Guys, it’s 7.30am, we need to go to work, there’s plenty of work to do. Go to your areas”;</w:t>
      </w:r>
    </w:p>
    <w:p w:rsidR="00790E49" w:rsidRPr="0072120D" w:rsidRDefault="00790E49" w:rsidP="00992E05">
      <w:pPr>
        <w:pStyle w:val="Quote2"/>
        <w:ind w:left="2160" w:hanging="720"/>
        <w:rPr>
          <w:sz w:val="20"/>
        </w:rPr>
      </w:pPr>
      <w:r w:rsidRPr="0072120D">
        <w:rPr>
          <w:sz w:val="20"/>
        </w:rPr>
        <w:t>c.</w:t>
      </w:r>
      <w:r w:rsidRPr="0072120D">
        <w:rPr>
          <w:sz w:val="20"/>
        </w:rPr>
        <w:tab/>
      </w:r>
      <w:proofErr w:type="spellStart"/>
      <w:r w:rsidR="00992E05" w:rsidRPr="0072120D">
        <w:rPr>
          <w:sz w:val="20"/>
        </w:rPr>
        <w:t>Holl</w:t>
      </w:r>
      <w:proofErr w:type="spellEnd"/>
      <w:r w:rsidR="00992E05" w:rsidRPr="0072120D">
        <w:rPr>
          <w:sz w:val="20"/>
        </w:rPr>
        <w:t xml:space="preserve"> responded by indicating (among other things) that he and Sloane were still talking to the employees;</w:t>
      </w:r>
    </w:p>
    <w:p w:rsidR="00992E05" w:rsidRPr="0072120D" w:rsidRDefault="00992E05" w:rsidP="00992E05">
      <w:pPr>
        <w:pStyle w:val="Quote2"/>
        <w:ind w:left="2160" w:hanging="720"/>
        <w:rPr>
          <w:sz w:val="20"/>
        </w:rPr>
      </w:pPr>
      <w:r w:rsidRPr="0072120D">
        <w:rPr>
          <w:sz w:val="20"/>
        </w:rPr>
        <w:t>d.</w:t>
      </w:r>
      <w:r w:rsidRPr="0072120D">
        <w:rPr>
          <w:sz w:val="20"/>
        </w:rPr>
        <w:tab/>
        <w:t xml:space="preserve">Some of the </w:t>
      </w:r>
      <w:proofErr w:type="spellStart"/>
      <w:r w:rsidRPr="0072120D">
        <w:rPr>
          <w:sz w:val="20"/>
        </w:rPr>
        <w:t>Westform</w:t>
      </w:r>
      <w:proofErr w:type="spellEnd"/>
      <w:r w:rsidRPr="0072120D">
        <w:rPr>
          <w:sz w:val="20"/>
        </w:rPr>
        <w:t xml:space="preserve"> workers appeared agitated or frustrated and some of them yelled things such as: “let them finish.”</w:t>
      </w:r>
    </w:p>
    <w:p w:rsidR="00992E05" w:rsidRPr="0072120D" w:rsidRDefault="00992E05" w:rsidP="00992E05">
      <w:pPr>
        <w:pStyle w:val="Quote2"/>
        <w:ind w:left="2160" w:hanging="720"/>
        <w:rPr>
          <w:sz w:val="20"/>
        </w:rPr>
      </w:pPr>
      <w:r w:rsidRPr="0072120D">
        <w:rPr>
          <w:sz w:val="20"/>
        </w:rPr>
        <w:t>e.</w:t>
      </w:r>
      <w:r w:rsidRPr="0072120D">
        <w:rPr>
          <w:sz w:val="20"/>
        </w:rPr>
        <w:tab/>
        <w:t>Harbison said words to the effect that “That’s fine, but you can’t just stand here. I’ve got trades working in this area and I need you to move out of the area”;</w:t>
      </w:r>
    </w:p>
    <w:p w:rsidR="00992E05" w:rsidRPr="0072120D" w:rsidRDefault="00992E05" w:rsidP="00992E05">
      <w:pPr>
        <w:pStyle w:val="Quote2"/>
        <w:ind w:left="2160" w:hanging="720"/>
        <w:rPr>
          <w:sz w:val="20"/>
        </w:rPr>
      </w:pPr>
      <w:r w:rsidRPr="0072120D">
        <w:rPr>
          <w:sz w:val="20"/>
        </w:rPr>
        <w:t>f.</w:t>
      </w:r>
      <w:r w:rsidRPr="0072120D">
        <w:rPr>
          <w:sz w:val="20"/>
        </w:rPr>
        <w:tab/>
        <w:t>Harbison suggested that they move to the lunch room, located on Basement Level Two;</w:t>
      </w:r>
    </w:p>
    <w:p w:rsidR="00992E05" w:rsidRPr="0072120D" w:rsidRDefault="00992E05" w:rsidP="00992E05">
      <w:pPr>
        <w:pStyle w:val="Quote2"/>
        <w:ind w:left="2160" w:hanging="720"/>
        <w:rPr>
          <w:sz w:val="20"/>
        </w:rPr>
      </w:pPr>
      <w:r w:rsidRPr="0072120D">
        <w:rPr>
          <w:sz w:val="20"/>
        </w:rPr>
        <w:t>g.</w:t>
      </w:r>
      <w:r w:rsidRPr="0072120D">
        <w:rPr>
          <w:sz w:val="20"/>
        </w:rPr>
        <w:tab/>
        <w:t>Sloane agreed and Sl</w:t>
      </w:r>
      <w:r w:rsidR="00EA219D">
        <w:rPr>
          <w:sz w:val="20"/>
        </w:rPr>
        <w:t>oa</w:t>
      </w:r>
      <w:r w:rsidRPr="0072120D">
        <w:rPr>
          <w:sz w:val="20"/>
        </w:rPr>
        <w:t xml:space="preserve">ne said to the </w:t>
      </w:r>
      <w:proofErr w:type="spellStart"/>
      <w:r w:rsidRPr="0072120D">
        <w:rPr>
          <w:sz w:val="20"/>
        </w:rPr>
        <w:t>Westform</w:t>
      </w:r>
      <w:proofErr w:type="spellEnd"/>
      <w:r w:rsidRPr="0072120D">
        <w:rPr>
          <w:sz w:val="20"/>
        </w:rPr>
        <w:t xml:space="preserve"> workers words to the effect of “Alright, everyone, let’s go down to the lunchroom”; and</w:t>
      </w:r>
    </w:p>
    <w:p w:rsidR="00992E05" w:rsidRPr="0072120D" w:rsidRDefault="00992E05" w:rsidP="00992E05">
      <w:pPr>
        <w:pStyle w:val="Quote2"/>
        <w:ind w:left="2160" w:hanging="720"/>
        <w:rPr>
          <w:sz w:val="20"/>
        </w:rPr>
      </w:pPr>
      <w:r w:rsidRPr="0072120D">
        <w:rPr>
          <w:sz w:val="20"/>
        </w:rPr>
        <w:t>h.</w:t>
      </w:r>
      <w:r w:rsidRPr="0072120D">
        <w:rPr>
          <w:sz w:val="20"/>
        </w:rPr>
        <w:tab/>
        <w:t xml:space="preserve">the </w:t>
      </w:r>
      <w:proofErr w:type="spellStart"/>
      <w:r w:rsidRPr="0072120D">
        <w:rPr>
          <w:sz w:val="20"/>
        </w:rPr>
        <w:t>Westform</w:t>
      </w:r>
      <w:proofErr w:type="spellEnd"/>
      <w:r w:rsidRPr="0072120D">
        <w:rPr>
          <w:sz w:val="20"/>
        </w:rPr>
        <w:t xml:space="preserve"> workers, along with Sloane and </w:t>
      </w:r>
      <w:proofErr w:type="spellStart"/>
      <w:r w:rsidRPr="0072120D">
        <w:rPr>
          <w:sz w:val="20"/>
        </w:rPr>
        <w:t>Holl</w:t>
      </w:r>
      <w:proofErr w:type="spellEnd"/>
      <w:r w:rsidRPr="0072120D">
        <w:rPr>
          <w:sz w:val="20"/>
        </w:rPr>
        <w:t>, went to the lunch room.</w:t>
      </w:r>
    </w:p>
    <w:p w:rsidR="00790E49" w:rsidRPr="0072120D" w:rsidRDefault="00992E05" w:rsidP="00992E05">
      <w:pPr>
        <w:pStyle w:val="Quote1"/>
        <w:ind w:left="1440" w:hanging="703"/>
        <w:rPr>
          <w:sz w:val="20"/>
        </w:rPr>
      </w:pPr>
      <w:r w:rsidRPr="0072120D">
        <w:rPr>
          <w:sz w:val="20"/>
        </w:rPr>
        <w:t>14.</w:t>
      </w:r>
      <w:r w:rsidRPr="0072120D">
        <w:rPr>
          <w:sz w:val="20"/>
        </w:rPr>
        <w:tab/>
        <w:t xml:space="preserve">After the daily pre-start meeting, 25 of the </w:t>
      </w:r>
      <w:proofErr w:type="spellStart"/>
      <w:r w:rsidRPr="0072120D">
        <w:rPr>
          <w:sz w:val="20"/>
        </w:rPr>
        <w:t>Westform</w:t>
      </w:r>
      <w:proofErr w:type="spellEnd"/>
      <w:r w:rsidRPr="0072120D">
        <w:rPr>
          <w:sz w:val="20"/>
        </w:rPr>
        <w:t xml:space="preserve"> workers (who were each members of the CFMMEU):</w:t>
      </w:r>
    </w:p>
    <w:p w:rsidR="00992E05" w:rsidRPr="0072120D" w:rsidRDefault="00992E05" w:rsidP="00992E05">
      <w:pPr>
        <w:pStyle w:val="Quote2"/>
        <w:rPr>
          <w:sz w:val="20"/>
        </w:rPr>
      </w:pPr>
      <w:r w:rsidRPr="0072120D">
        <w:rPr>
          <w:sz w:val="20"/>
        </w:rPr>
        <w:t>a.</w:t>
      </w:r>
      <w:r w:rsidRPr="0072120D">
        <w:rPr>
          <w:sz w:val="20"/>
        </w:rPr>
        <w:tab/>
        <w:t>failed or refused to perform work from 7.30am;</w:t>
      </w:r>
    </w:p>
    <w:p w:rsidR="00992E05" w:rsidRPr="0072120D" w:rsidRDefault="00992E05" w:rsidP="00992E05">
      <w:pPr>
        <w:pStyle w:val="Quote2"/>
        <w:ind w:left="2160" w:hanging="720"/>
        <w:rPr>
          <w:sz w:val="20"/>
        </w:rPr>
      </w:pPr>
      <w:r w:rsidRPr="0072120D">
        <w:rPr>
          <w:sz w:val="20"/>
        </w:rPr>
        <w:t>b.</w:t>
      </w:r>
      <w:r w:rsidRPr="0072120D">
        <w:rPr>
          <w:sz w:val="20"/>
        </w:rPr>
        <w:tab/>
        <w:t xml:space="preserve">did not comply with the direction given by Kos pleaded at </w:t>
      </w:r>
      <w:r w:rsidRPr="0072120D">
        <w:rPr>
          <w:b/>
          <w:sz w:val="20"/>
        </w:rPr>
        <w:t>paragraph 12(b) of the SOC (paragraph 13(b) above)</w:t>
      </w:r>
      <w:r w:rsidRPr="0072120D">
        <w:rPr>
          <w:sz w:val="20"/>
        </w:rPr>
        <w:t xml:space="preserve"> to start work; and</w:t>
      </w:r>
    </w:p>
    <w:p w:rsidR="00992E05" w:rsidRPr="0072120D" w:rsidRDefault="00992E05" w:rsidP="00992E05">
      <w:pPr>
        <w:pStyle w:val="Quote2"/>
        <w:rPr>
          <w:sz w:val="20"/>
        </w:rPr>
      </w:pPr>
      <w:r w:rsidRPr="0072120D">
        <w:rPr>
          <w:sz w:val="20"/>
        </w:rPr>
        <w:t>c.</w:t>
      </w:r>
      <w:r w:rsidRPr="0072120D">
        <w:rPr>
          <w:sz w:val="20"/>
        </w:rPr>
        <w:tab/>
        <w:t>instead, as directed by Sloane, moved to the lunch room at the Project Site.</w:t>
      </w:r>
    </w:p>
    <w:p w:rsidR="00992E05" w:rsidRPr="0072120D" w:rsidRDefault="00992E05" w:rsidP="00992E05">
      <w:pPr>
        <w:pStyle w:val="Quote1"/>
        <w:ind w:left="1440" w:hanging="703"/>
        <w:rPr>
          <w:sz w:val="20"/>
        </w:rPr>
      </w:pPr>
      <w:r w:rsidRPr="0072120D">
        <w:rPr>
          <w:sz w:val="20"/>
        </w:rPr>
        <w:t>15.</w:t>
      </w:r>
      <w:r w:rsidRPr="0072120D">
        <w:rPr>
          <w:sz w:val="20"/>
        </w:rPr>
        <w:tab/>
        <w:t xml:space="preserve">At about 8.00am on 20 February 2018, Kos and Neville entered the lunch room, where the </w:t>
      </w:r>
      <w:proofErr w:type="spellStart"/>
      <w:r w:rsidRPr="0072120D">
        <w:rPr>
          <w:sz w:val="20"/>
        </w:rPr>
        <w:t>Westform</w:t>
      </w:r>
      <w:proofErr w:type="spellEnd"/>
      <w:r w:rsidRPr="0072120D">
        <w:rPr>
          <w:sz w:val="20"/>
        </w:rPr>
        <w:t xml:space="preserve"> workers, Sloane and </w:t>
      </w:r>
      <w:proofErr w:type="spellStart"/>
      <w:r w:rsidRPr="0072120D">
        <w:rPr>
          <w:sz w:val="20"/>
        </w:rPr>
        <w:t>Holl</w:t>
      </w:r>
      <w:proofErr w:type="spellEnd"/>
      <w:r w:rsidRPr="0072120D">
        <w:rPr>
          <w:sz w:val="20"/>
        </w:rPr>
        <w:t xml:space="preserve"> were present; and</w:t>
      </w:r>
    </w:p>
    <w:p w:rsidR="00992E05" w:rsidRPr="0072120D" w:rsidRDefault="00992E05" w:rsidP="00992E05">
      <w:pPr>
        <w:pStyle w:val="Quote2"/>
        <w:rPr>
          <w:sz w:val="20"/>
        </w:rPr>
      </w:pPr>
      <w:r w:rsidRPr="0072120D">
        <w:rPr>
          <w:sz w:val="20"/>
        </w:rPr>
        <w:t>a.</w:t>
      </w:r>
      <w:r w:rsidRPr="0072120D">
        <w:rPr>
          <w:sz w:val="20"/>
        </w:rPr>
        <w:tab/>
        <w:t>Sloane told Neville that:</w:t>
      </w:r>
    </w:p>
    <w:p w:rsidR="00992E05" w:rsidRPr="0072120D" w:rsidRDefault="00992E05" w:rsidP="00992E05">
      <w:pPr>
        <w:pStyle w:val="Quote3"/>
        <w:ind w:left="2880" w:hanging="720"/>
        <w:rPr>
          <w:sz w:val="20"/>
        </w:rPr>
      </w:pPr>
      <w:proofErr w:type="spellStart"/>
      <w:r w:rsidRPr="0072120D">
        <w:rPr>
          <w:sz w:val="20"/>
        </w:rPr>
        <w:t>i</w:t>
      </w:r>
      <w:proofErr w:type="spellEnd"/>
      <w:r w:rsidRPr="0072120D">
        <w:rPr>
          <w:sz w:val="20"/>
        </w:rPr>
        <w:t>.</w:t>
      </w:r>
      <w:r w:rsidRPr="0072120D">
        <w:rPr>
          <w:sz w:val="20"/>
        </w:rPr>
        <w:tab/>
        <w:t xml:space="preserve">there was a pay dispute between </w:t>
      </w:r>
      <w:proofErr w:type="spellStart"/>
      <w:r w:rsidRPr="0072120D">
        <w:rPr>
          <w:sz w:val="20"/>
        </w:rPr>
        <w:t>Westform</w:t>
      </w:r>
      <w:proofErr w:type="spellEnd"/>
      <w:r w:rsidRPr="0072120D">
        <w:rPr>
          <w:sz w:val="20"/>
        </w:rPr>
        <w:t xml:space="preserve"> and its workers regarding payment for one hour on 10 February 2018, which was lost due to inclement weather (</w:t>
      </w:r>
      <w:r w:rsidR="00EA219D">
        <w:rPr>
          <w:b/>
          <w:sz w:val="20"/>
        </w:rPr>
        <w:t>P</w:t>
      </w:r>
      <w:r w:rsidRPr="0072120D">
        <w:rPr>
          <w:b/>
          <w:sz w:val="20"/>
        </w:rPr>
        <w:t>ay Claim</w:t>
      </w:r>
      <w:r w:rsidRPr="0072120D">
        <w:rPr>
          <w:sz w:val="20"/>
        </w:rPr>
        <w:t>); and</w:t>
      </w:r>
    </w:p>
    <w:p w:rsidR="00992E05" w:rsidRPr="0072120D" w:rsidRDefault="00992E05" w:rsidP="00992E05">
      <w:pPr>
        <w:pStyle w:val="Quote3"/>
        <w:ind w:left="2880" w:hanging="720"/>
        <w:rPr>
          <w:sz w:val="20"/>
        </w:rPr>
      </w:pPr>
      <w:r w:rsidRPr="0072120D">
        <w:rPr>
          <w:sz w:val="20"/>
        </w:rPr>
        <w:t>ii.</w:t>
      </w:r>
      <w:r w:rsidRPr="0072120D">
        <w:rPr>
          <w:sz w:val="20"/>
        </w:rPr>
        <w:tab/>
      </w:r>
      <w:proofErr w:type="spellStart"/>
      <w:r w:rsidRPr="0072120D">
        <w:rPr>
          <w:sz w:val="20"/>
        </w:rPr>
        <w:t>Westform</w:t>
      </w:r>
      <w:proofErr w:type="spellEnd"/>
      <w:r w:rsidRPr="0072120D">
        <w:rPr>
          <w:sz w:val="20"/>
        </w:rPr>
        <w:t xml:space="preserve"> was behind in payment of entitlements for the </w:t>
      </w:r>
      <w:proofErr w:type="spellStart"/>
      <w:r w:rsidRPr="0072120D">
        <w:rPr>
          <w:sz w:val="20"/>
        </w:rPr>
        <w:t>Westform</w:t>
      </w:r>
      <w:proofErr w:type="spellEnd"/>
      <w:r w:rsidRPr="0072120D">
        <w:rPr>
          <w:sz w:val="20"/>
        </w:rPr>
        <w:t xml:space="preserve"> workers; and </w:t>
      </w:r>
    </w:p>
    <w:p w:rsidR="00992E05" w:rsidRPr="0072120D" w:rsidRDefault="00992E05" w:rsidP="00992E05">
      <w:pPr>
        <w:pStyle w:val="Quote3"/>
        <w:ind w:left="2880" w:hanging="720"/>
        <w:rPr>
          <w:sz w:val="20"/>
        </w:rPr>
      </w:pPr>
      <w:r w:rsidRPr="0072120D">
        <w:rPr>
          <w:sz w:val="20"/>
        </w:rPr>
        <w:t>iii.</w:t>
      </w:r>
      <w:r w:rsidRPr="0072120D">
        <w:rPr>
          <w:sz w:val="20"/>
        </w:rPr>
        <w:tab/>
        <w:t xml:space="preserve">the </w:t>
      </w:r>
      <w:proofErr w:type="spellStart"/>
      <w:r w:rsidRPr="0072120D">
        <w:rPr>
          <w:sz w:val="20"/>
        </w:rPr>
        <w:t>Westform</w:t>
      </w:r>
      <w:proofErr w:type="spellEnd"/>
      <w:r w:rsidRPr="0072120D">
        <w:rPr>
          <w:sz w:val="20"/>
        </w:rPr>
        <w:t xml:space="preserve"> workers would not return to work until the problem was fixed;</w:t>
      </w:r>
    </w:p>
    <w:p w:rsidR="00992E05" w:rsidRPr="0072120D" w:rsidRDefault="00992E05" w:rsidP="007B1914">
      <w:pPr>
        <w:pStyle w:val="Quote2"/>
        <w:ind w:left="2160" w:hanging="720"/>
        <w:rPr>
          <w:sz w:val="20"/>
        </w:rPr>
      </w:pPr>
      <w:r w:rsidRPr="0072120D">
        <w:rPr>
          <w:sz w:val="20"/>
        </w:rPr>
        <w:t>b.</w:t>
      </w:r>
      <w:r w:rsidRPr="0072120D">
        <w:rPr>
          <w:sz w:val="20"/>
        </w:rPr>
        <w:tab/>
        <w:t>Sloan then said words to the effect that “You need to go upstairs and make a call to get this fixed. You can call the police, the ABCC or even God, but I will not be moving from this site until the payments I’ve requested have been paid. I’m going to park myself here on the jo</w:t>
      </w:r>
      <w:r w:rsidR="007B1914" w:rsidRPr="0072120D">
        <w:rPr>
          <w:sz w:val="20"/>
        </w:rPr>
        <w:t xml:space="preserve">b and cause issues for </w:t>
      </w:r>
      <w:proofErr w:type="spellStart"/>
      <w:r w:rsidR="007B1914" w:rsidRPr="0072120D">
        <w:rPr>
          <w:sz w:val="20"/>
        </w:rPr>
        <w:t>Westform</w:t>
      </w:r>
      <w:proofErr w:type="spellEnd"/>
      <w:r w:rsidR="007B1914" w:rsidRPr="0072120D">
        <w:rPr>
          <w:sz w:val="20"/>
        </w:rPr>
        <w:t xml:space="preserve"> if you don’t fix this”;</w:t>
      </w:r>
    </w:p>
    <w:p w:rsidR="007B1914" w:rsidRPr="0072120D" w:rsidRDefault="007B1914" w:rsidP="00E955CF">
      <w:pPr>
        <w:pStyle w:val="Quote2"/>
        <w:ind w:left="2160" w:hanging="720"/>
        <w:rPr>
          <w:sz w:val="20"/>
        </w:rPr>
      </w:pPr>
      <w:r w:rsidRPr="0072120D">
        <w:rPr>
          <w:sz w:val="20"/>
        </w:rPr>
        <w:t>c.</w:t>
      </w:r>
      <w:r w:rsidRPr="0072120D">
        <w:rPr>
          <w:sz w:val="20"/>
        </w:rPr>
        <w:tab/>
        <w:t xml:space="preserve">Neville said words to the effect that “Why didn’t you contact me or the office if </w:t>
      </w:r>
      <w:r w:rsidR="004B1D58" w:rsidRPr="0072120D">
        <w:rPr>
          <w:sz w:val="20"/>
        </w:rPr>
        <w:t>you had an issue with payments?</w:t>
      </w:r>
      <w:r w:rsidRPr="0072120D">
        <w:rPr>
          <w:sz w:val="20"/>
        </w:rPr>
        <w:t xml:space="preserve"> You should of called me first because I manage the company”;</w:t>
      </w:r>
    </w:p>
    <w:p w:rsidR="007B1914" w:rsidRPr="0072120D" w:rsidRDefault="007B1914" w:rsidP="00361D5D">
      <w:pPr>
        <w:pStyle w:val="Quote2"/>
        <w:keepNext/>
        <w:keepLines/>
        <w:ind w:left="2160" w:hanging="720"/>
        <w:rPr>
          <w:sz w:val="20"/>
        </w:rPr>
      </w:pPr>
      <w:r w:rsidRPr="0072120D">
        <w:rPr>
          <w:sz w:val="20"/>
        </w:rPr>
        <w:lastRenderedPageBreak/>
        <w:t>d.</w:t>
      </w:r>
      <w:r w:rsidRPr="0072120D">
        <w:rPr>
          <w:sz w:val="20"/>
        </w:rPr>
        <w:tab/>
      </w:r>
      <w:r w:rsidR="00035FA6">
        <w:rPr>
          <w:sz w:val="20"/>
        </w:rPr>
        <w:t>Sloane</w:t>
      </w:r>
      <w:r w:rsidR="00035FA6" w:rsidRPr="0072120D">
        <w:rPr>
          <w:sz w:val="20"/>
        </w:rPr>
        <w:t xml:space="preserve"> </w:t>
      </w:r>
      <w:r w:rsidRPr="0072120D">
        <w:rPr>
          <w:sz w:val="20"/>
        </w:rPr>
        <w:t xml:space="preserve">said words to the effect “go upstairs to call </w:t>
      </w:r>
      <w:proofErr w:type="spellStart"/>
      <w:r w:rsidRPr="0072120D">
        <w:rPr>
          <w:sz w:val="20"/>
        </w:rPr>
        <w:t>Westform</w:t>
      </w:r>
      <w:proofErr w:type="spellEnd"/>
      <w:r w:rsidRPr="0072120D">
        <w:rPr>
          <w:sz w:val="20"/>
        </w:rPr>
        <w:t xml:space="preserve"> and get the matter fixed”; Neville said words to the effect that “Guys, the site is open and you are expected to go to work. You are breaking the law by staying in here and not returning to work and you are exposing yourselves to large fines. Also, you will not be paid for the time you spend sitting in here”;</w:t>
      </w:r>
    </w:p>
    <w:p w:rsidR="007B1914" w:rsidRPr="0072120D" w:rsidRDefault="007B1914" w:rsidP="007B1914">
      <w:pPr>
        <w:pStyle w:val="Quote2"/>
        <w:ind w:left="2160" w:hanging="720"/>
        <w:rPr>
          <w:sz w:val="20"/>
        </w:rPr>
      </w:pPr>
      <w:r w:rsidRPr="0072120D">
        <w:rPr>
          <w:sz w:val="20"/>
        </w:rPr>
        <w:t>e.</w:t>
      </w:r>
      <w:r w:rsidRPr="0072120D">
        <w:rPr>
          <w:sz w:val="20"/>
        </w:rPr>
        <w:tab/>
        <w:t>Neville said words to the effect that “Boys, your entitlements are up to date as per the EBA. You don’t have a legitimate pay dispute. You can’t just sit here in the sheds; you should be upstairs working. You are breaking the law by being here”; and</w:t>
      </w:r>
    </w:p>
    <w:p w:rsidR="007B1914" w:rsidRPr="0072120D" w:rsidRDefault="007B1914" w:rsidP="007B1914">
      <w:pPr>
        <w:pStyle w:val="Quote2"/>
        <w:ind w:left="2160" w:hanging="720"/>
        <w:rPr>
          <w:sz w:val="20"/>
        </w:rPr>
      </w:pPr>
      <w:r w:rsidRPr="0072120D">
        <w:rPr>
          <w:sz w:val="20"/>
        </w:rPr>
        <w:t>f.</w:t>
      </w:r>
      <w:r w:rsidRPr="0072120D">
        <w:rPr>
          <w:sz w:val="20"/>
        </w:rPr>
        <w:tab/>
        <w:t xml:space="preserve">despite the direction given by Neville, 25 of the </w:t>
      </w:r>
      <w:proofErr w:type="spellStart"/>
      <w:r w:rsidRPr="0072120D">
        <w:rPr>
          <w:sz w:val="20"/>
        </w:rPr>
        <w:t>Westform</w:t>
      </w:r>
      <w:proofErr w:type="spellEnd"/>
      <w:r w:rsidRPr="0072120D">
        <w:rPr>
          <w:sz w:val="20"/>
        </w:rPr>
        <w:t xml:space="preserve"> workers continue</w:t>
      </w:r>
      <w:r w:rsidR="00035FA6">
        <w:rPr>
          <w:sz w:val="20"/>
        </w:rPr>
        <w:t>d</w:t>
      </w:r>
      <w:r w:rsidRPr="0072120D">
        <w:rPr>
          <w:sz w:val="20"/>
        </w:rPr>
        <w:t xml:space="preserve"> to fail or refuse to perform their duties.</w:t>
      </w:r>
    </w:p>
    <w:p w:rsidR="00992E05" w:rsidRPr="0072120D" w:rsidRDefault="007B1914" w:rsidP="007B1914">
      <w:pPr>
        <w:pStyle w:val="Quote1"/>
        <w:ind w:left="1440" w:hanging="703"/>
        <w:rPr>
          <w:sz w:val="20"/>
        </w:rPr>
      </w:pPr>
      <w:r w:rsidRPr="0072120D">
        <w:rPr>
          <w:sz w:val="20"/>
        </w:rPr>
        <w:t>16.</w:t>
      </w:r>
      <w:r w:rsidRPr="0072120D">
        <w:rPr>
          <w:sz w:val="20"/>
        </w:rPr>
        <w:tab/>
        <w:t xml:space="preserve">Sometime after 8.00am on 20 February 2018, Mehmed entered the lunchroom and asked Sloane why the </w:t>
      </w:r>
      <w:proofErr w:type="spellStart"/>
      <w:r w:rsidRPr="0072120D">
        <w:rPr>
          <w:sz w:val="20"/>
        </w:rPr>
        <w:t>Westform</w:t>
      </w:r>
      <w:proofErr w:type="spellEnd"/>
      <w:r w:rsidRPr="0072120D">
        <w:rPr>
          <w:sz w:val="20"/>
        </w:rPr>
        <w:t xml:space="preserve"> workers were “sitting in the shed”, and:</w:t>
      </w:r>
    </w:p>
    <w:p w:rsidR="007B1914" w:rsidRPr="0072120D" w:rsidRDefault="007B1914" w:rsidP="007B1914">
      <w:pPr>
        <w:pStyle w:val="Quote2"/>
        <w:ind w:left="2160" w:hanging="720"/>
        <w:rPr>
          <w:sz w:val="20"/>
        </w:rPr>
      </w:pPr>
      <w:r w:rsidRPr="0072120D">
        <w:rPr>
          <w:sz w:val="20"/>
        </w:rPr>
        <w:t>a.</w:t>
      </w:r>
      <w:r w:rsidRPr="0072120D">
        <w:rPr>
          <w:sz w:val="20"/>
        </w:rPr>
        <w:tab/>
        <w:t>Sloane said words to the effect that “</w:t>
      </w:r>
      <w:proofErr w:type="spellStart"/>
      <w:r w:rsidRPr="0072120D">
        <w:rPr>
          <w:sz w:val="20"/>
        </w:rPr>
        <w:t>Westform</w:t>
      </w:r>
      <w:proofErr w:type="spellEnd"/>
      <w:r w:rsidRPr="0072120D">
        <w:rPr>
          <w:sz w:val="20"/>
        </w:rPr>
        <w:t xml:space="preserve"> have underpaid the boys an hour for sitting in the sheds last week because it was raining”;</w:t>
      </w:r>
    </w:p>
    <w:p w:rsidR="007B1914" w:rsidRPr="0072120D" w:rsidRDefault="007B1914" w:rsidP="007B1914">
      <w:pPr>
        <w:pStyle w:val="Quote2"/>
        <w:ind w:left="2160" w:hanging="720"/>
        <w:rPr>
          <w:sz w:val="20"/>
        </w:rPr>
      </w:pPr>
      <w:r w:rsidRPr="0072120D">
        <w:rPr>
          <w:sz w:val="20"/>
        </w:rPr>
        <w:t>b.</w:t>
      </w:r>
      <w:r w:rsidRPr="0072120D">
        <w:rPr>
          <w:sz w:val="20"/>
        </w:rPr>
        <w:tab/>
        <w:t xml:space="preserve">upon being urged by Mehmed to get the </w:t>
      </w:r>
      <w:proofErr w:type="spellStart"/>
      <w:r w:rsidRPr="0072120D">
        <w:rPr>
          <w:sz w:val="20"/>
        </w:rPr>
        <w:t>Westform</w:t>
      </w:r>
      <w:proofErr w:type="spellEnd"/>
      <w:r w:rsidRPr="0072120D">
        <w:rPr>
          <w:sz w:val="20"/>
        </w:rPr>
        <w:t xml:space="preserve"> workers to return to work and to go to the office to go through the issues and get it resolved, Sloane said words to the effect that “this has come from above my head. The boys aren’t going back to work but this can easily be resolved if Paul </w:t>
      </w:r>
      <w:proofErr w:type="spellStart"/>
      <w:r w:rsidRPr="0072120D">
        <w:rPr>
          <w:sz w:val="20"/>
        </w:rPr>
        <w:t>Tilocca</w:t>
      </w:r>
      <w:proofErr w:type="spellEnd"/>
      <w:r w:rsidRPr="0072120D">
        <w:rPr>
          <w:sz w:val="20"/>
        </w:rPr>
        <w:t xml:space="preserve"> gives Robbie </w:t>
      </w:r>
      <w:proofErr w:type="spellStart"/>
      <w:r w:rsidRPr="0072120D">
        <w:rPr>
          <w:sz w:val="20"/>
        </w:rPr>
        <w:t>Kera</w:t>
      </w:r>
      <w:proofErr w:type="spellEnd"/>
      <w:r w:rsidRPr="0072120D">
        <w:rPr>
          <w:sz w:val="20"/>
        </w:rPr>
        <w:t xml:space="preserve"> [</w:t>
      </w:r>
      <w:r w:rsidR="00035FA6">
        <w:rPr>
          <w:sz w:val="20"/>
        </w:rPr>
        <w:t>CF</w:t>
      </w:r>
      <w:r w:rsidRPr="0072120D">
        <w:rPr>
          <w:sz w:val="20"/>
        </w:rPr>
        <w:t>MMEU official] a call”; and</w:t>
      </w:r>
    </w:p>
    <w:p w:rsidR="00F36E02" w:rsidRPr="0072120D" w:rsidRDefault="00F36E02" w:rsidP="007B1914">
      <w:pPr>
        <w:pStyle w:val="Quote2"/>
        <w:ind w:left="2160" w:hanging="720"/>
        <w:rPr>
          <w:sz w:val="20"/>
        </w:rPr>
      </w:pPr>
      <w:r w:rsidRPr="0072120D">
        <w:rPr>
          <w:sz w:val="20"/>
        </w:rPr>
        <w:t>c.</w:t>
      </w:r>
      <w:r w:rsidRPr="0072120D">
        <w:rPr>
          <w:sz w:val="20"/>
        </w:rPr>
        <w:tab/>
        <w:t xml:space="preserve">upon being asked ty Mehmed, Sloane said that “no one is going back until I hear back from </w:t>
      </w:r>
      <w:proofErr w:type="spellStart"/>
      <w:r w:rsidRPr="0072120D">
        <w:rPr>
          <w:sz w:val="20"/>
        </w:rPr>
        <w:t>Kera</w:t>
      </w:r>
      <w:proofErr w:type="spellEnd"/>
      <w:r w:rsidRPr="0072120D">
        <w:rPr>
          <w:sz w:val="20"/>
        </w:rPr>
        <w:t>”.</w:t>
      </w:r>
    </w:p>
    <w:p w:rsidR="007B1914" w:rsidRPr="0072120D" w:rsidRDefault="00F36E02" w:rsidP="00F36E02">
      <w:pPr>
        <w:pStyle w:val="Quote1"/>
        <w:ind w:left="1440" w:hanging="703"/>
        <w:rPr>
          <w:sz w:val="20"/>
        </w:rPr>
      </w:pPr>
      <w:r w:rsidRPr="0072120D">
        <w:rPr>
          <w:sz w:val="20"/>
        </w:rPr>
        <w:t>17.</w:t>
      </w:r>
      <w:r w:rsidRPr="0072120D">
        <w:rPr>
          <w:sz w:val="20"/>
        </w:rPr>
        <w:tab/>
        <w:t xml:space="preserve">At approximately 10.30am on 20 February 2018, </w:t>
      </w:r>
      <w:proofErr w:type="spellStart"/>
      <w:r w:rsidRPr="0072120D">
        <w:rPr>
          <w:sz w:val="20"/>
        </w:rPr>
        <w:t>Holl</w:t>
      </w:r>
      <w:proofErr w:type="spellEnd"/>
      <w:r w:rsidRPr="0072120D">
        <w:rPr>
          <w:sz w:val="20"/>
        </w:rPr>
        <w:t xml:space="preserve"> approached the entry to the Project Site on Wentworth Point Road and told Mehmed and Giuseppe </w:t>
      </w:r>
      <w:proofErr w:type="spellStart"/>
      <w:r w:rsidRPr="0072120D">
        <w:rPr>
          <w:sz w:val="20"/>
        </w:rPr>
        <w:t>Armicida</w:t>
      </w:r>
      <w:proofErr w:type="spellEnd"/>
      <w:r w:rsidRPr="0072120D">
        <w:rPr>
          <w:sz w:val="20"/>
        </w:rPr>
        <w:t xml:space="preserve">, Safety Coordinator and Union Delegate at </w:t>
      </w:r>
      <w:proofErr w:type="spellStart"/>
      <w:r w:rsidRPr="0072120D">
        <w:rPr>
          <w:sz w:val="20"/>
        </w:rPr>
        <w:t>Westform</w:t>
      </w:r>
      <w:proofErr w:type="spellEnd"/>
      <w:r w:rsidRPr="0072120D">
        <w:rPr>
          <w:sz w:val="20"/>
        </w:rPr>
        <w:t>, words to the effect that “I got a call from Michael Greenfield, I believe it’s all been resolved. I’m going to talk to the guys in the shed and then they can all go back to work.”</w:t>
      </w:r>
    </w:p>
    <w:p w:rsidR="007B1914" w:rsidRPr="0072120D" w:rsidRDefault="00F36E02" w:rsidP="00F36E02">
      <w:pPr>
        <w:pStyle w:val="Quote1"/>
        <w:ind w:left="1440" w:hanging="703"/>
        <w:rPr>
          <w:sz w:val="20"/>
        </w:rPr>
      </w:pPr>
      <w:r w:rsidRPr="0072120D">
        <w:rPr>
          <w:sz w:val="20"/>
        </w:rPr>
        <w:t>18.</w:t>
      </w:r>
      <w:r w:rsidRPr="0072120D">
        <w:rPr>
          <w:sz w:val="20"/>
        </w:rPr>
        <w:tab/>
        <w:t xml:space="preserve">Shortly after 10.30am, Sloane and </w:t>
      </w:r>
      <w:proofErr w:type="spellStart"/>
      <w:r w:rsidRPr="0072120D">
        <w:rPr>
          <w:sz w:val="20"/>
        </w:rPr>
        <w:t>Holl</w:t>
      </w:r>
      <w:proofErr w:type="spellEnd"/>
      <w:r w:rsidRPr="0072120D">
        <w:rPr>
          <w:sz w:val="20"/>
        </w:rPr>
        <w:t xml:space="preserve"> held a meeting with the </w:t>
      </w:r>
      <w:proofErr w:type="spellStart"/>
      <w:r w:rsidRPr="0072120D">
        <w:rPr>
          <w:sz w:val="20"/>
        </w:rPr>
        <w:t>Westform</w:t>
      </w:r>
      <w:proofErr w:type="spellEnd"/>
      <w:r w:rsidRPr="0072120D">
        <w:rPr>
          <w:sz w:val="20"/>
        </w:rPr>
        <w:t xml:space="preserve"> workers and, after the meeting concluded, the </w:t>
      </w:r>
      <w:proofErr w:type="spellStart"/>
      <w:r w:rsidRPr="0072120D">
        <w:rPr>
          <w:sz w:val="20"/>
        </w:rPr>
        <w:t>Westform</w:t>
      </w:r>
      <w:proofErr w:type="spellEnd"/>
      <w:r w:rsidRPr="0072120D">
        <w:rPr>
          <w:sz w:val="20"/>
        </w:rPr>
        <w:t xml:space="preserve"> workers returned to work at about 10.45am.</w:t>
      </w:r>
    </w:p>
    <w:p w:rsidR="00F36E02" w:rsidRPr="0072120D" w:rsidRDefault="00F36E02" w:rsidP="00F36E02">
      <w:pPr>
        <w:pStyle w:val="Quote1"/>
        <w:ind w:left="1440" w:hanging="703"/>
        <w:rPr>
          <w:sz w:val="20"/>
        </w:rPr>
      </w:pPr>
      <w:r w:rsidRPr="0072120D">
        <w:rPr>
          <w:sz w:val="20"/>
        </w:rPr>
        <w:t>19.</w:t>
      </w:r>
      <w:r w:rsidRPr="0072120D">
        <w:rPr>
          <w:sz w:val="20"/>
        </w:rPr>
        <w:tab/>
        <w:t>The entry onto the Project Site on 20 February 2018 by Sloane was for the purpose of:</w:t>
      </w:r>
    </w:p>
    <w:p w:rsidR="00F36E02" w:rsidRPr="0072120D" w:rsidRDefault="00F36E02" w:rsidP="00F36E02">
      <w:pPr>
        <w:pStyle w:val="Quote2"/>
        <w:ind w:left="2160" w:hanging="720"/>
        <w:rPr>
          <w:sz w:val="20"/>
        </w:rPr>
      </w:pPr>
      <w:r w:rsidRPr="0072120D">
        <w:rPr>
          <w:sz w:val="20"/>
        </w:rPr>
        <w:t>a.</w:t>
      </w:r>
      <w:r w:rsidRPr="0072120D">
        <w:rPr>
          <w:sz w:val="20"/>
        </w:rPr>
        <w:tab/>
        <w:t xml:space="preserve">holding discussions with one or more of the </w:t>
      </w:r>
      <w:proofErr w:type="spellStart"/>
      <w:r w:rsidRPr="0072120D">
        <w:rPr>
          <w:sz w:val="20"/>
        </w:rPr>
        <w:t>Westform</w:t>
      </w:r>
      <w:proofErr w:type="spellEnd"/>
      <w:r w:rsidRPr="0072120D">
        <w:rPr>
          <w:sz w:val="20"/>
        </w:rPr>
        <w:t xml:space="preserve"> workers who were performing work on the Project Site; and</w:t>
      </w:r>
    </w:p>
    <w:p w:rsidR="00F36E02" w:rsidRPr="0072120D" w:rsidRDefault="00F36E02" w:rsidP="0070738C">
      <w:pPr>
        <w:pStyle w:val="Quote2"/>
        <w:ind w:left="2160" w:hanging="720"/>
        <w:rPr>
          <w:sz w:val="20"/>
        </w:rPr>
      </w:pPr>
      <w:r w:rsidRPr="0072120D">
        <w:rPr>
          <w:sz w:val="20"/>
        </w:rPr>
        <w:t>b.</w:t>
      </w:r>
      <w:r w:rsidRPr="0072120D">
        <w:rPr>
          <w:sz w:val="20"/>
        </w:rPr>
        <w:tab/>
        <w:t xml:space="preserve">pursing the Pay Claim on behalf of </w:t>
      </w:r>
      <w:proofErr w:type="spellStart"/>
      <w:r w:rsidRPr="0072120D">
        <w:rPr>
          <w:sz w:val="20"/>
        </w:rPr>
        <w:t>Westform</w:t>
      </w:r>
      <w:proofErr w:type="spellEnd"/>
      <w:r w:rsidRPr="0072120D">
        <w:rPr>
          <w:sz w:val="20"/>
        </w:rPr>
        <w:t xml:space="preserve"> workers, who worked on 10 February 2018.</w:t>
      </w:r>
    </w:p>
    <w:p w:rsidR="0070738C" w:rsidRPr="0072120D" w:rsidRDefault="0070738C" w:rsidP="00182ECA">
      <w:pPr>
        <w:pStyle w:val="Quote2"/>
        <w:spacing w:after="360"/>
        <w:ind w:left="2160" w:hanging="720"/>
        <w:rPr>
          <w:sz w:val="20"/>
        </w:rPr>
      </w:pPr>
      <w:r w:rsidRPr="0072120D">
        <w:rPr>
          <w:sz w:val="20"/>
        </w:rPr>
        <w:t>(emphasis in original)</w:t>
      </w:r>
    </w:p>
    <w:p w:rsidR="00FA3C87" w:rsidRPr="0072120D" w:rsidRDefault="00D96CFA" w:rsidP="002A287F">
      <w:pPr>
        <w:pStyle w:val="ParaNumbering"/>
      </w:pPr>
      <w:r w:rsidRPr="0072120D">
        <w:t xml:space="preserve">The </w:t>
      </w:r>
      <w:r w:rsidRPr="0072120D">
        <w:rPr>
          <w:i/>
        </w:rPr>
        <w:t xml:space="preserve">Further Statement of Agreed Facts </w:t>
      </w:r>
      <w:r w:rsidRPr="0072120D">
        <w:t xml:space="preserve">goes on to set forth the admissions made, including admissions that the </w:t>
      </w:r>
      <w:r w:rsidRPr="0072120D">
        <w:rPr>
          <w:i/>
        </w:rPr>
        <w:t>Stoppage</w:t>
      </w:r>
      <w:r w:rsidRPr="0072120D">
        <w:t xml:space="preserve"> was not protected industrial action and that the 25 </w:t>
      </w:r>
      <w:proofErr w:type="spellStart"/>
      <w:r w:rsidRPr="0072120D">
        <w:t>Westform</w:t>
      </w:r>
      <w:proofErr w:type="spellEnd"/>
      <w:r w:rsidRPr="0072120D">
        <w:t xml:space="preserve"> workers who engaged in the </w:t>
      </w:r>
      <w:r w:rsidRPr="0072120D">
        <w:rPr>
          <w:i/>
        </w:rPr>
        <w:t>Stoppage</w:t>
      </w:r>
      <w:r w:rsidR="00BD1927">
        <w:t xml:space="preserve"> engaged in unlawful industrial action.  It was further admitted </w:t>
      </w:r>
      <w:r w:rsidRPr="0072120D">
        <w:t>that by reason of those workers who were members of the CFMMEU the Union itself engaged in industri</w:t>
      </w:r>
      <w:r w:rsidR="00513CEF" w:rsidRPr="0072120D">
        <w:t>al action in contravention of s </w:t>
      </w:r>
      <w:r w:rsidRPr="0072120D">
        <w:t xml:space="preserve">46 of the </w:t>
      </w:r>
      <w:r w:rsidRPr="0072120D">
        <w:rPr>
          <w:i/>
        </w:rPr>
        <w:t>Building Industry Act</w:t>
      </w:r>
      <w:r w:rsidRPr="0072120D">
        <w:t xml:space="preserve">. </w:t>
      </w:r>
    </w:p>
    <w:p w:rsidR="003D5475" w:rsidRPr="0072120D" w:rsidRDefault="003D5475" w:rsidP="00C135E9">
      <w:pPr>
        <w:pStyle w:val="Heading3"/>
      </w:pPr>
      <w:r w:rsidRPr="0072120D">
        <w:lastRenderedPageBreak/>
        <w:t xml:space="preserve">The assessment of penalties – </w:t>
      </w:r>
      <w:r w:rsidR="00851B20" w:rsidRPr="0072120D">
        <w:t xml:space="preserve">the maximum &amp; agreement as to the range </w:t>
      </w:r>
      <w:r w:rsidRPr="0072120D">
        <w:t xml:space="preserve">  </w:t>
      </w:r>
    </w:p>
    <w:p w:rsidR="00A932B3" w:rsidRPr="0072120D" w:rsidRDefault="00A932B3" w:rsidP="000E6FFB">
      <w:pPr>
        <w:pStyle w:val="ParaNumbering"/>
      </w:pPr>
      <w:r w:rsidRPr="0072120D">
        <w:t xml:space="preserve">The parties to the present dispute are in agreement as to the range within which penalties should be imposed. </w:t>
      </w:r>
      <w:r w:rsidR="006F0993">
        <w:t xml:space="preserve"> However, the Respondent did not agree as to how the range of those penalties was broken down</w:t>
      </w:r>
      <w:r w:rsidR="00E05732">
        <w:t xml:space="preserve"> based on each contravention</w:t>
      </w:r>
      <w:r w:rsidR="006F0993">
        <w:t xml:space="preserve"> as set out in the Applicant’s submissions.</w:t>
      </w:r>
    </w:p>
    <w:p w:rsidR="00A932B3" w:rsidRPr="0072120D" w:rsidRDefault="009C4277" w:rsidP="000E6FFB">
      <w:pPr>
        <w:pStyle w:val="ParaNumbering"/>
      </w:pPr>
      <w:r w:rsidRPr="0072120D">
        <w:t>But for the operation of s</w:t>
      </w:r>
      <w:r w:rsidR="00C135E9" w:rsidRPr="0072120D">
        <w:t> </w:t>
      </w:r>
      <w:r w:rsidRPr="0072120D">
        <w:t xml:space="preserve">556 of the </w:t>
      </w:r>
      <w:r w:rsidRPr="0072120D">
        <w:rPr>
          <w:i/>
        </w:rPr>
        <w:t>Fair Work Act</w:t>
      </w:r>
      <w:r w:rsidR="000F28E3">
        <w:rPr>
          <w:i/>
        </w:rPr>
        <w:t>,</w:t>
      </w:r>
      <w:r w:rsidR="00851B20" w:rsidRPr="0072120D">
        <w:t xml:space="preserve"> and considered in isolation from the contraventions of the </w:t>
      </w:r>
      <w:r w:rsidR="00851B20" w:rsidRPr="0072120D">
        <w:rPr>
          <w:i/>
        </w:rPr>
        <w:t>Building Industry Act</w:t>
      </w:r>
      <w:r w:rsidRPr="0072120D">
        <w:t>, i</w:t>
      </w:r>
      <w:r w:rsidR="00A932B3" w:rsidRPr="0072120D">
        <w:t>n the case of the contraventions of s</w:t>
      </w:r>
      <w:r w:rsidR="00C135E9" w:rsidRPr="0072120D">
        <w:t> </w:t>
      </w:r>
      <w:r w:rsidR="00A932B3" w:rsidRPr="0072120D">
        <w:t xml:space="preserve">500 </w:t>
      </w:r>
      <w:r w:rsidR="00851B20" w:rsidRPr="0072120D">
        <w:t xml:space="preserve">of the </w:t>
      </w:r>
      <w:r w:rsidR="00851B20" w:rsidRPr="0072120D">
        <w:rPr>
          <w:i/>
        </w:rPr>
        <w:t>Fair Work Act</w:t>
      </w:r>
      <w:r w:rsidR="00851B20" w:rsidRPr="0072120D">
        <w:t xml:space="preserve"> </w:t>
      </w:r>
      <w:r w:rsidR="00F428DA" w:rsidRPr="0072120D">
        <w:t xml:space="preserve">it is agreed that the maximum penalties and the range within which the parties have agreed that an appropriate penalty may be ordered is as follows: </w:t>
      </w:r>
    </w:p>
    <w:tbl>
      <w:tblPr>
        <w:tblStyle w:val="TableGrid"/>
        <w:tblW w:w="0" w:type="auto"/>
        <w:jc w:val="center"/>
        <w:tblLook w:val="04A0" w:firstRow="1" w:lastRow="0" w:firstColumn="1" w:lastColumn="0" w:noHBand="0" w:noVBand="1"/>
      </w:tblPr>
      <w:tblGrid>
        <w:gridCol w:w="2159"/>
        <w:gridCol w:w="2235"/>
        <w:gridCol w:w="2410"/>
      </w:tblGrid>
      <w:tr w:rsidR="0072120D" w:rsidRPr="00E131DA" w:rsidTr="00E131DA">
        <w:trPr>
          <w:jc w:val="center"/>
        </w:trPr>
        <w:tc>
          <w:tcPr>
            <w:tcW w:w="2159" w:type="dxa"/>
            <w:vAlign w:val="center"/>
          </w:tcPr>
          <w:p w:rsidR="00A932B3" w:rsidRPr="00E131DA" w:rsidRDefault="00A932B3" w:rsidP="00E131DA">
            <w:pPr>
              <w:pStyle w:val="Small-TableswithinQuotes"/>
              <w:spacing w:before="120" w:after="60"/>
              <w:jc w:val="center"/>
              <w:rPr>
                <w:sz w:val="20"/>
              </w:rPr>
            </w:pPr>
          </w:p>
        </w:tc>
        <w:tc>
          <w:tcPr>
            <w:tcW w:w="2235" w:type="dxa"/>
            <w:vAlign w:val="center"/>
          </w:tcPr>
          <w:p w:rsidR="00A932B3" w:rsidRPr="00E131DA" w:rsidRDefault="00F428DA" w:rsidP="00E131DA">
            <w:pPr>
              <w:pStyle w:val="Small-TableswithinQuotes"/>
              <w:spacing w:before="120" w:after="60"/>
              <w:jc w:val="center"/>
              <w:rPr>
                <w:b/>
                <w:i/>
                <w:sz w:val="20"/>
              </w:rPr>
            </w:pPr>
            <w:r w:rsidRPr="00E131DA">
              <w:rPr>
                <w:b/>
                <w:i/>
                <w:sz w:val="20"/>
              </w:rPr>
              <w:t>Maximum penalty</w:t>
            </w:r>
          </w:p>
        </w:tc>
        <w:tc>
          <w:tcPr>
            <w:tcW w:w="2410" w:type="dxa"/>
            <w:vAlign w:val="center"/>
          </w:tcPr>
          <w:p w:rsidR="00A932B3" w:rsidRPr="00E131DA" w:rsidRDefault="00F428DA" w:rsidP="00E131DA">
            <w:pPr>
              <w:pStyle w:val="Small-TableswithinQuotes"/>
              <w:spacing w:before="120" w:after="60"/>
              <w:jc w:val="center"/>
              <w:rPr>
                <w:b/>
                <w:i/>
                <w:sz w:val="20"/>
              </w:rPr>
            </w:pPr>
            <w:r w:rsidRPr="00E131DA">
              <w:rPr>
                <w:b/>
                <w:i/>
                <w:sz w:val="20"/>
              </w:rPr>
              <w:t>Range</w:t>
            </w:r>
          </w:p>
        </w:tc>
      </w:tr>
      <w:tr w:rsidR="0072120D" w:rsidRPr="00E131DA" w:rsidTr="00E131DA">
        <w:trPr>
          <w:jc w:val="center"/>
        </w:trPr>
        <w:tc>
          <w:tcPr>
            <w:tcW w:w="2159" w:type="dxa"/>
            <w:vAlign w:val="center"/>
          </w:tcPr>
          <w:p w:rsidR="00A932B3" w:rsidRPr="00E131DA" w:rsidRDefault="00F428DA" w:rsidP="00E131DA">
            <w:pPr>
              <w:pStyle w:val="Small-TableswithinQuotes"/>
              <w:spacing w:before="120" w:after="60"/>
              <w:jc w:val="center"/>
              <w:rPr>
                <w:sz w:val="20"/>
              </w:rPr>
            </w:pPr>
            <w:r w:rsidRPr="00E131DA">
              <w:rPr>
                <w:sz w:val="20"/>
              </w:rPr>
              <w:t>CFMMEU</w:t>
            </w:r>
          </w:p>
        </w:tc>
        <w:tc>
          <w:tcPr>
            <w:tcW w:w="2235" w:type="dxa"/>
            <w:vAlign w:val="center"/>
          </w:tcPr>
          <w:p w:rsidR="00A932B3" w:rsidRPr="00E131DA" w:rsidRDefault="00F428DA" w:rsidP="00E131DA">
            <w:pPr>
              <w:pStyle w:val="Small-TableswithinQuotes"/>
              <w:spacing w:before="120" w:after="60"/>
              <w:jc w:val="center"/>
              <w:rPr>
                <w:sz w:val="20"/>
              </w:rPr>
            </w:pPr>
            <w:r w:rsidRPr="00E131DA">
              <w:rPr>
                <w:sz w:val="20"/>
              </w:rPr>
              <w:t>$63,000</w:t>
            </w:r>
          </w:p>
        </w:tc>
        <w:tc>
          <w:tcPr>
            <w:tcW w:w="2410" w:type="dxa"/>
            <w:vAlign w:val="center"/>
          </w:tcPr>
          <w:p w:rsidR="00A932B3" w:rsidRPr="00E131DA" w:rsidRDefault="009543AA" w:rsidP="00E131DA">
            <w:pPr>
              <w:pStyle w:val="Small-TableswithinQuotes"/>
              <w:spacing w:before="120" w:after="60"/>
              <w:jc w:val="center"/>
              <w:rPr>
                <w:sz w:val="20"/>
              </w:rPr>
            </w:pPr>
            <w:r w:rsidRPr="00E131DA">
              <w:rPr>
                <w:sz w:val="20"/>
              </w:rPr>
              <w:t>$10,000 to $18,000</w:t>
            </w:r>
          </w:p>
        </w:tc>
      </w:tr>
      <w:tr w:rsidR="0072120D" w:rsidRPr="00E131DA" w:rsidTr="00E131DA">
        <w:trPr>
          <w:jc w:val="center"/>
        </w:trPr>
        <w:tc>
          <w:tcPr>
            <w:tcW w:w="2159" w:type="dxa"/>
            <w:vAlign w:val="center"/>
          </w:tcPr>
          <w:p w:rsidR="00A932B3" w:rsidRPr="00E131DA" w:rsidRDefault="00F428DA" w:rsidP="00E131DA">
            <w:pPr>
              <w:pStyle w:val="Small-TableswithinQuotes"/>
              <w:spacing w:before="120" w:after="60"/>
              <w:jc w:val="center"/>
              <w:rPr>
                <w:sz w:val="20"/>
              </w:rPr>
            </w:pPr>
            <w:r w:rsidRPr="00E131DA">
              <w:rPr>
                <w:sz w:val="20"/>
              </w:rPr>
              <w:t>Sloane</w:t>
            </w:r>
          </w:p>
        </w:tc>
        <w:tc>
          <w:tcPr>
            <w:tcW w:w="2235" w:type="dxa"/>
            <w:vAlign w:val="center"/>
          </w:tcPr>
          <w:p w:rsidR="00A932B3" w:rsidRPr="00E131DA" w:rsidRDefault="00F428DA" w:rsidP="00E131DA">
            <w:pPr>
              <w:pStyle w:val="Small-TableswithinQuotes"/>
              <w:spacing w:before="120" w:after="60"/>
              <w:jc w:val="center"/>
              <w:rPr>
                <w:sz w:val="20"/>
              </w:rPr>
            </w:pPr>
            <w:r w:rsidRPr="00E131DA">
              <w:rPr>
                <w:sz w:val="20"/>
              </w:rPr>
              <w:t>$12,600</w:t>
            </w:r>
          </w:p>
        </w:tc>
        <w:tc>
          <w:tcPr>
            <w:tcW w:w="2410" w:type="dxa"/>
            <w:vAlign w:val="center"/>
          </w:tcPr>
          <w:p w:rsidR="00A932B3" w:rsidRPr="00E131DA" w:rsidRDefault="00F428DA" w:rsidP="00E131DA">
            <w:pPr>
              <w:pStyle w:val="Small-TableswithinQuotes"/>
              <w:spacing w:before="120" w:after="60"/>
              <w:jc w:val="center"/>
              <w:rPr>
                <w:sz w:val="20"/>
              </w:rPr>
            </w:pPr>
            <w:r w:rsidRPr="00E131DA">
              <w:rPr>
                <w:sz w:val="20"/>
              </w:rPr>
              <w:t>$2,500 to $5,000</w:t>
            </w:r>
          </w:p>
        </w:tc>
      </w:tr>
      <w:tr w:rsidR="0072120D" w:rsidRPr="00E131DA" w:rsidTr="00E131DA">
        <w:trPr>
          <w:jc w:val="center"/>
        </w:trPr>
        <w:tc>
          <w:tcPr>
            <w:tcW w:w="2159" w:type="dxa"/>
            <w:vAlign w:val="center"/>
          </w:tcPr>
          <w:p w:rsidR="003A434A" w:rsidRPr="00E131DA" w:rsidRDefault="003A434A" w:rsidP="00E131DA">
            <w:pPr>
              <w:pStyle w:val="Small-TableswithinQuotes"/>
              <w:spacing w:before="120" w:after="60"/>
              <w:jc w:val="center"/>
              <w:rPr>
                <w:b/>
                <w:sz w:val="20"/>
              </w:rPr>
            </w:pPr>
            <w:r w:rsidRPr="00E131DA">
              <w:rPr>
                <w:b/>
                <w:sz w:val="20"/>
              </w:rPr>
              <w:t>Total</w:t>
            </w:r>
          </w:p>
        </w:tc>
        <w:tc>
          <w:tcPr>
            <w:tcW w:w="2235" w:type="dxa"/>
            <w:vAlign w:val="center"/>
          </w:tcPr>
          <w:p w:rsidR="003A434A" w:rsidRPr="00E131DA" w:rsidRDefault="00A22278" w:rsidP="00E131DA">
            <w:pPr>
              <w:pStyle w:val="Small-TableswithinQuotes"/>
              <w:spacing w:before="120" w:after="60"/>
              <w:jc w:val="center"/>
              <w:rPr>
                <w:b/>
                <w:sz w:val="20"/>
              </w:rPr>
            </w:pPr>
            <w:r w:rsidRPr="00E131DA">
              <w:rPr>
                <w:b/>
                <w:sz w:val="20"/>
              </w:rPr>
              <w:t>$</w:t>
            </w:r>
            <w:r w:rsidR="003A434A" w:rsidRPr="00E131DA">
              <w:rPr>
                <w:b/>
                <w:sz w:val="20"/>
              </w:rPr>
              <w:t>75,600</w:t>
            </w:r>
          </w:p>
        </w:tc>
        <w:tc>
          <w:tcPr>
            <w:tcW w:w="2410" w:type="dxa"/>
            <w:vAlign w:val="center"/>
          </w:tcPr>
          <w:p w:rsidR="003A434A" w:rsidRPr="00E131DA" w:rsidRDefault="003A434A" w:rsidP="00E131DA">
            <w:pPr>
              <w:pStyle w:val="Small-TableswithinQuotes"/>
              <w:spacing w:before="120" w:after="60"/>
              <w:jc w:val="center"/>
              <w:rPr>
                <w:b/>
                <w:sz w:val="20"/>
              </w:rPr>
            </w:pPr>
            <w:r w:rsidRPr="00E131DA">
              <w:rPr>
                <w:b/>
                <w:sz w:val="20"/>
              </w:rPr>
              <w:t>$12,500 to $23,000</w:t>
            </w:r>
          </w:p>
        </w:tc>
      </w:tr>
    </w:tbl>
    <w:p w:rsidR="00F428DA" w:rsidRPr="0072120D" w:rsidRDefault="00C135E9" w:rsidP="00A22278">
      <w:pPr>
        <w:pStyle w:val="ParaNumbering"/>
        <w:spacing w:before="360"/>
      </w:pPr>
      <w:r w:rsidRPr="0072120D">
        <w:t>But for the operation of s </w:t>
      </w:r>
      <w:r w:rsidR="009C4277" w:rsidRPr="0072120D">
        <w:t xml:space="preserve">91 of the </w:t>
      </w:r>
      <w:r w:rsidR="009C4277" w:rsidRPr="0072120D">
        <w:rPr>
          <w:i/>
        </w:rPr>
        <w:t>Building Industry Act</w:t>
      </w:r>
      <w:r w:rsidR="00851B20" w:rsidRPr="0072120D">
        <w:rPr>
          <w:i/>
        </w:rPr>
        <w:t xml:space="preserve"> </w:t>
      </w:r>
      <w:r w:rsidR="00851B20" w:rsidRPr="0072120D">
        <w:t xml:space="preserve">and considered in isolation from the contraventions of the </w:t>
      </w:r>
      <w:r w:rsidR="00851B20" w:rsidRPr="0072120D">
        <w:rPr>
          <w:i/>
        </w:rPr>
        <w:t>Fair Work Act</w:t>
      </w:r>
      <w:r w:rsidR="009C4277" w:rsidRPr="0072120D">
        <w:t>, i</w:t>
      </w:r>
      <w:r w:rsidR="00A932B3" w:rsidRPr="0072120D">
        <w:t xml:space="preserve">n the </w:t>
      </w:r>
      <w:r w:rsidRPr="0072120D">
        <w:t>case of the contraventions of s </w:t>
      </w:r>
      <w:r w:rsidR="00A932B3" w:rsidRPr="0072120D">
        <w:t xml:space="preserve">46 of the </w:t>
      </w:r>
      <w:r w:rsidR="00A932B3" w:rsidRPr="0072120D">
        <w:rPr>
          <w:i/>
        </w:rPr>
        <w:t>Building Industry Act</w:t>
      </w:r>
      <w:r w:rsidR="00A932B3" w:rsidRPr="0072120D">
        <w:t xml:space="preserve"> </w:t>
      </w:r>
      <w:r w:rsidR="00FC25FA" w:rsidRPr="0072120D">
        <w:t xml:space="preserve">it is agreed that the maximum penalties and the range within which the parties have agreed that an appropriate penalty may be ordered is as follows: </w:t>
      </w:r>
    </w:p>
    <w:tbl>
      <w:tblPr>
        <w:tblStyle w:val="TableGrid"/>
        <w:tblW w:w="0" w:type="auto"/>
        <w:tblInd w:w="846" w:type="dxa"/>
        <w:tblLook w:val="04A0" w:firstRow="1" w:lastRow="0" w:firstColumn="1" w:lastColumn="0" w:noHBand="0" w:noVBand="1"/>
      </w:tblPr>
      <w:tblGrid>
        <w:gridCol w:w="2835"/>
        <w:gridCol w:w="1843"/>
        <w:gridCol w:w="2409"/>
      </w:tblGrid>
      <w:tr w:rsidR="0072120D" w:rsidRPr="008A552F" w:rsidTr="008A552F">
        <w:tc>
          <w:tcPr>
            <w:tcW w:w="2835" w:type="dxa"/>
            <w:tcBorders>
              <w:bottom w:val="single" w:sz="4" w:space="0" w:color="auto"/>
            </w:tcBorders>
          </w:tcPr>
          <w:p w:rsidR="00E373E0" w:rsidRPr="008A552F" w:rsidRDefault="00E373E0" w:rsidP="00E131DA">
            <w:pPr>
              <w:pStyle w:val="Small-TableswithinQuotes"/>
              <w:spacing w:before="120" w:after="60"/>
              <w:jc w:val="center"/>
              <w:rPr>
                <w:sz w:val="20"/>
              </w:rPr>
            </w:pPr>
          </w:p>
        </w:tc>
        <w:tc>
          <w:tcPr>
            <w:tcW w:w="1843" w:type="dxa"/>
            <w:tcBorders>
              <w:bottom w:val="single" w:sz="4" w:space="0" w:color="auto"/>
            </w:tcBorders>
          </w:tcPr>
          <w:p w:rsidR="00E373E0" w:rsidRPr="008A552F" w:rsidRDefault="00E373E0" w:rsidP="00E131DA">
            <w:pPr>
              <w:pStyle w:val="Small-TableswithinQuotes"/>
              <w:spacing w:before="120" w:after="60"/>
              <w:jc w:val="center"/>
              <w:rPr>
                <w:sz w:val="20"/>
              </w:rPr>
            </w:pPr>
            <w:r w:rsidRPr="008A552F">
              <w:rPr>
                <w:b/>
                <w:i/>
                <w:sz w:val="20"/>
              </w:rPr>
              <w:t>Maximum penalty</w:t>
            </w:r>
          </w:p>
        </w:tc>
        <w:tc>
          <w:tcPr>
            <w:tcW w:w="2409" w:type="dxa"/>
            <w:tcBorders>
              <w:bottom w:val="single" w:sz="4" w:space="0" w:color="auto"/>
            </w:tcBorders>
          </w:tcPr>
          <w:p w:rsidR="00E373E0" w:rsidRPr="008A552F" w:rsidRDefault="00E373E0" w:rsidP="00E131DA">
            <w:pPr>
              <w:pStyle w:val="Small-TableswithinQuotes"/>
              <w:spacing w:before="120" w:after="60"/>
              <w:jc w:val="center"/>
              <w:rPr>
                <w:sz w:val="20"/>
              </w:rPr>
            </w:pPr>
            <w:r w:rsidRPr="008A552F">
              <w:rPr>
                <w:b/>
                <w:i/>
                <w:sz w:val="20"/>
              </w:rPr>
              <w:t>Range</w:t>
            </w:r>
          </w:p>
        </w:tc>
      </w:tr>
      <w:tr w:rsidR="0072120D" w:rsidRPr="008A552F" w:rsidTr="008A552F">
        <w:tc>
          <w:tcPr>
            <w:tcW w:w="2835" w:type="dxa"/>
            <w:tcBorders>
              <w:bottom w:val="nil"/>
              <w:right w:val="single" w:sz="4" w:space="0" w:color="auto"/>
            </w:tcBorders>
          </w:tcPr>
          <w:p w:rsidR="005548F5" w:rsidRPr="008A552F" w:rsidRDefault="005548F5" w:rsidP="00E131DA">
            <w:pPr>
              <w:pStyle w:val="Small-TableswithinQuotes"/>
              <w:spacing w:before="120" w:after="60"/>
              <w:rPr>
                <w:sz w:val="20"/>
              </w:rPr>
            </w:pPr>
            <w:r w:rsidRPr="008A552F">
              <w:rPr>
                <w:sz w:val="20"/>
              </w:rPr>
              <w:t>CFMMEU – two contraventions</w:t>
            </w:r>
          </w:p>
        </w:tc>
        <w:tc>
          <w:tcPr>
            <w:tcW w:w="1843" w:type="dxa"/>
            <w:tcBorders>
              <w:left w:val="single" w:sz="4" w:space="0" w:color="auto"/>
              <w:bottom w:val="nil"/>
              <w:right w:val="single" w:sz="4" w:space="0" w:color="auto"/>
            </w:tcBorders>
          </w:tcPr>
          <w:p w:rsidR="005548F5" w:rsidRPr="008A552F" w:rsidRDefault="005548F5" w:rsidP="00E131DA">
            <w:pPr>
              <w:pStyle w:val="Small-TableswithinQuotes"/>
              <w:spacing w:before="120" w:after="60"/>
              <w:rPr>
                <w:b/>
                <w:i/>
                <w:sz w:val="20"/>
              </w:rPr>
            </w:pPr>
          </w:p>
        </w:tc>
        <w:tc>
          <w:tcPr>
            <w:tcW w:w="2409" w:type="dxa"/>
            <w:tcBorders>
              <w:left w:val="single" w:sz="4" w:space="0" w:color="auto"/>
              <w:bottom w:val="nil"/>
            </w:tcBorders>
          </w:tcPr>
          <w:p w:rsidR="005548F5" w:rsidRPr="008A552F" w:rsidRDefault="005548F5" w:rsidP="00E131DA">
            <w:pPr>
              <w:pStyle w:val="Small-TableswithinQuotes"/>
              <w:spacing w:before="120" w:after="60"/>
              <w:rPr>
                <w:b/>
                <w:i/>
                <w:sz w:val="20"/>
              </w:rPr>
            </w:pPr>
          </w:p>
        </w:tc>
      </w:tr>
      <w:tr w:rsidR="0072120D" w:rsidRPr="008A552F" w:rsidTr="008A552F">
        <w:trPr>
          <w:trHeight w:val="704"/>
        </w:trPr>
        <w:tc>
          <w:tcPr>
            <w:tcW w:w="2835" w:type="dxa"/>
            <w:tcBorders>
              <w:top w:val="nil"/>
              <w:bottom w:val="nil"/>
              <w:right w:val="single" w:sz="4" w:space="0" w:color="auto"/>
            </w:tcBorders>
          </w:tcPr>
          <w:p w:rsidR="005548F5" w:rsidRPr="008A552F" w:rsidRDefault="00E131DA" w:rsidP="00E131DA">
            <w:pPr>
              <w:pStyle w:val="Small-TableswithinQuotes"/>
              <w:spacing w:before="120" w:after="60"/>
              <w:ind w:left="458" w:hanging="458"/>
              <w:rPr>
                <w:sz w:val="20"/>
              </w:rPr>
            </w:pPr>
            <w:r w:rsidRPr="008A552F">
              <w:rPr>
                <w:sz w:val="20"/>
              </w:rPr>
              <w:t>1.</w:t>
            </w:r>
            <w:r w:rsidRPr="008A552F">
              <w:rPr>
                <w:sz w:val="20"/>
              </w:rPr>
              <w:tab/>
            </w:r>
            <w:r w:rsidR="005548F5" w:rsidRPr="008A552F">
              <w:rPr>
                <w:sz w:val="20"/>
              </w:rPr>
              <w:t>Sloane’s actions in organising the stoppage</w:t>
            </w:r>
          </w:p>
        </w:tc>
        <w:tc>
          <w:tcPr>
            <w:tcW w:w="1843" w:type="dxa"/>
            <w:tcBorders>
              <w:top w:val="nil"/>
              <w:left w:val="single" w:sz="4" w:space="0" w:color="auto"/>
              <w:bottom w:val="nil"/>
              <w:right w:val="single" w:sz="4" w:space="0" w:color="auto"/>
            </w:tcBorders>
          </w:tcPr>
          <w:p w:rsidR="005548F5" w:rsidRPr="008A552F" w:rsidRDefault="005548F5" w:rsidP="00E131DA">
            <w:pPr>
              <w:pStyle w:val="Small-TableswithinQuotes"/>
              <w:spacing w:before="120" w:after="60"/>
              <w:ind w:left="455"/>
              <w:rPr>
                <w:b/>
                <w:i/>
                <w:sz w:val="20"/>
              </w:rPr>
            </w:pPr>
            <w:r w:rsidRPr="008A552F">
              <w:rPr>
                <w:sz w:val="20"/>
              </w:rPr>
              <w:t>$210,000</w:t>
            </w:r>
          </w:p>
        </w:tc>
        <w:tc>
          <w:tcPr>
            <w:tcW w:w="2409" w:type="dxa"/>
            <w:tcBorders>
              <w:top w:val="nil"/>
              <w:left w:val="single" w:sz="4" w:space="0" w:color="auto"/>
              <w:bottom w:val="nil"/>
            </w:tcBorders>
          </w:tcPr>
          <w:p w:rsidR="005548F5" w:rsidRPr="008A552F" w:rsidRDefault="00520905" w:rsidP="00E131DA">
            <w:pPr>
              <w:pStyle w:val="Small-TableswithinQuotes"/>
              <w:spacing w:before="120" w:after="60"/>
              <w:ind w:left="174"/>
              <w:rPr>
                <w:b/>
                <w:i/>
                <w:sz w:val="20"/>
              </w:rPr>
            </w:pPr>
            <w:r w:rsidRPr="008A552F">
              <w:rPr>
                <w:sz w:val="20"/>
              </w:rPr>
              <w:t xml:space="preserve"> </w:t>
            </w:r>
            <w:r w:rsidR="005548F5" w:rsidRPr="008A552F">
              <w:rPr>
                <w:sz w:val="20"/>
              </w:rPr>
              <w:t>$58,000 to $75,000</w:t>
            </w:r>
          </w:p>
        </w:tc>
      </w:tr>
      <w:tr w:rsidR="0072120D" w:rsidRPr="008A552F" w:rsidTr="008A552F">
        <w:tc>
          <w:tcPr>
            <w:tcW w:w="2835" w:type="dxa"/>
            <w:tcBorders>
              <w:top w:val="nil"/>
              <w:right w:val="single" w:sz="4" w:space="0" w:color="auto"/>
            </w:tcBorders>
          </w:tcPr>
          <w:p w:rsidR="005548F5" w:rsidRPr="008A552F" w:rsidRDefault="00E131DA" w:rsidP="00E131DA">
            <w:pPr>
              <w:pStyle w:val="Small-TableswithinQuotes"/>
              <w:spacing w:before="120" w:after="60"/>
              <w:ind w:left="458" w:hanging="458"/>
              <w:rPr>
                <w:sz w:val="20"/>
              </w:rPr>
            </w:pPr>
            <w:r w:rsidRPr="008A552F">
              <w:rPr>
                <w:sz w:val="20"/>
              </w:rPr>
              <w:t>2.</w:t>
            </w:r>
            <w:r w:rsidRPr="008A552F">
              <w:rPr>
                <w:sz w:val="20"/>
              </w:rPr>
              <w:tab/>
            </w:r>
            <w:r w:rsidR="005548F5" w:rsidRPr="008A552F">
              <w:rPr>
                <w:sz w:val="20"/>
              </w:rPr>
              <w:t xml:space="preserve">Engaging in the Stoppage by the </w:t>
            </w:r>
            <w:proofErr w:type="spellStart"/>
            <w:r w:rsidR="005548F5" w:rsidRPr="008A552F">
              <w:rPr>
                <w:sz w:val="20"/>
              </w:rPr>
              <w:t>Westform</w:t>
            </w:r>
            <w:proofErr w:type="spellEnd"/>
            <w:r w:rsidR="005548F5" w:rsidRPr="008A552F">
              <w:rPr>
                <w:sz w:val="20"/>
              </w:rPr>
              <w:t xml:space="preserve"> worker</w:t>
            </w:r>
            <w:r w:rsidR="00EE524F" w:rsidRPr="008A552F">
              <w:rPr>
                <w:sz w:val="20"/>
              </w:rPr>
              <w:t>s</w:t>
            </w:r>
          </w:p>
        </w:tc>
        <w:tc>
          <w:tcPr>
            <w:tcW w:w="1843" w:type="dxa"/>
            <w:tcBorders>
              <w:top w:val="nil"/>
              <w:left w:val="single" w:sz="4" w:space="0" w:color="auto"/>
              <w:right w:val="single" w:sz="4" w:space="0" w:color="auto"/>
            </w:tcBorders>
          </w:tcPr>
          <w:p w:rsidR="005548F5" w:rsidRPr="008A552F" w:rsidRDefault="005548F5" w:rsidP="00E131DA">
            <w:pPr>
              <w:pStyle w:val="Small-TableswithinQuotes"/>
              <w:spacing w:before="120" w:after="60"/>
              <w:ind w:left="455"/>
              <w:rPr>
                <w:sz w:val="20"/>
              </w:rPr>
            </w:pPr>
            <w:r w:rsidRPr="008A552F">
              <w:rPr>
                <w:sz w:val="20"/>
              </w:rPr>
              <w:t>$210,000</w:t>
            </w:r>
          </w:p>
        </w:tc>
        <w:tc>
          <w:tcPr>
            <w:tcW w:w="2409" w:type="dxa"/>
            <w:tcBorders>
              <w:top w:val="nil"/>
              <w:left w:val="single" w:sz="4" w:space="0" w:color="auto"/>
            </w:tcBorders>
          </w:tcPr>
          <w:p w:rsidR="005548F5" w:rsidRPr="008A552F" w:rsidRDefault="00520905" w:rsidP="00E131DA">
            <w:pPr>
              <w:pStyle w:val="Small-TableswithinQuotes"/>
              <w:spacing w:before="120" w:after="60"/>
              <w:ind w:left="174"/>
              <w:rPr>
                <w:b/>
                <w:i/>
                <w:sz w:val="20"/>
              </w:rPr>
            </w:pPr>
            <w:r w:rsidRPr="008A552F">
              <w:rPr>
                <w:sz w:val="20"/>
              </w:rPr>
              <w:t xml:space="preserve"> </w:t>
            </w:r>
            <w:r w:rsidR="005548F5" w:rsidRPr="008A552F">
              <w:rPr>
                <w:sz w:val="20"/>
              </w:rPr>
              <w:t>$58,000 to $75,000</w:t>
            </w:r>
          </w:p>
        </w:tc>
      </w:tr>
      <w:tr w:rsidR="0072120D" w:rsidRPr="008A552F" w:rsidTr="008A552F">
        <w:tc>
          <w:tcPr>
            <w:tcW w:w="2835" w:type="dxa"/>
          </w:tcPr>
          <w:p w:rsidR="0063735D" w:rsidRPr="008A552F" w:rsidRDefault="0063735D" w:rsidP="00E131DA">
            <w:pPr>
              <w:pStyle w:val="Small-TableswithinQuotes"/>
              <w:spacing w:before="120" w:after="60"/>
              <w:rPr>
                <w:sz w:val="20"/>
              </w:rPr>
            </w:pPr>
            <w:r w:rsidRPr="008A552F">
              <w:rPr>
                <w:sz w:val="20"/>
              </w:rPr>
              <w:t xml:space="preserve">Sloane </w:t>
            </w:r>
          </w:p>
        </w:tc>
        <w:tc>
          <w:tcPr>
            <w:tcW w:w="1843" w:type="dxa"/>
          </w:tcPr>
          <w:p w:rsidR="0063735D" w:rsidRPr="008A552F" w:rsidRDefault="0063735D" w:rsidP="00E131DA">
            <w:pPr>
              <w:pStyle w:val="Small-TableswithinQuotes"/>
              <w:spacing w:before="120" w:after="60"/>
              <w:ind w:left="455"/>
              <w:rPr>
                <w:sz w:val="20"/>
              </w:rPr>
            </w:pPr>
            <w:r w:rsidRPr="008A552F">
              <w:rPr>
                <w:sz w:val="20"/>
              </w:rPr>
              <w:t>$42,000</w:t>
            </w:r>
          </w:p>
        </w:tc>
        <w:tc>
          <w:tcPr>
            <w:tcW w:w="2409" w:type="dxa"/>
          </w:tcPr>
          <w:p w:rsidR="0063735D" w:rsidRPr="008A552F" w:rsidRDefault="00520905" w:rsidP="00E131DA">
            <w:pPr>
              <w:pStyle w:val="Small-TableswithinQuotes"/>
              <w:spacing w:before="120" w:after="60"/>
              <w:ind w:left="174"/>
              <w:rPr>
                <w:sz w:val="20"/>
              </w:rPr>
            </w:pPr>
            <w:r w:rsidRPr="008A552F">
              <w:rPr>
                <w:sz w:val="20"/>
              </w:rPr>
              <w:t xml:space="preserve"> </w:t>
            </w:r>
            <w:r w:rsidR="0063735D" w:rsidRPr="008A552F">
              <w:rPr>
                <w:sz w:val="20"/>
              </w:rPr>
              <w:t>$1</w:t>
            </w:r>
            <w:r w:rsidR="00EE524F" w:rsidRPr="008A552F">
              <w:rPr>
                <w:sz w:val="20"/>
              </w:rPr>
              <w:t>2</w:t>
            </w:r>
            <w:r w:rsidR="0063735D" w:rsidRPr="008A552F">
              <w:rPr>
                <w:sz w:val="20"/>
              </w:rPr>
              <w:t>,</w:t>
            </w:r>
            <w:r w:rsidR="00EE524F" w:rsidRPr="008A552F">
              <w:rPr>
                <w:sz w:val="20"/>
              </w:rPr>
              <w:t>5</w:t>
            </w:r>
            <w:r w:rsidR="0063735D" w:rsidRPr="008A552F">
              <w:rPr>
                <w:sz w:val="20"/>
              </w:rPr>
              <w:t>00 to $</w:t>
            </w:r>
            <w:r w:rsidR="00EE524F" w:rsidRPr="008A552F">
              <w:rPr>
                <w:sz w:val="20"/>
              </w:rPr>
              <w:t>20</w:t>
            </w:r>
            <w:r w:rsidR="0063735D" w:rsidRPr="008A552F">
              <w:rPr>
                <w:sz w:val="20"/>
              </w:rPr>
              <w:t>,000</w:t>
            </w:r>
          </w:p>
        </w:tc>
      </w:tr>
      <w:tr w:rsidR="0072120D" w:rsidRPr="008A552F" w:rsidTr="008A552F">
        <w:tc>
          <w:tcPr>
            <w:tcW w:w="2835" w:type="dxa"/>
          </w:tcPr>
          <w:p w:rsidR="0063735D" w:rsidRPr="008A552F" w:rsidRDefault="0063735D" w:rsidP="00E131DA">
            <w:pPr>
              <w:pStyle w:val="Small-TableswithinQuotes"/>
              <w:spacing w:before="120" w:after="60"/>
              <w:rPr>
                <w:b/>
                <w:sz w:val="20"/>
              </w:rPr>
            </w:pPr>
            <w:r w:rsidRPr="008A552F">
              <w:rPr>
                <w:b/>
                <w:sz w:val="20"/>
              </w:rPr>
              <w:t xml:space="preserve">Total </w:t>
            </w:r>
          </w:p>
        </w:tc>
        <w:tc>
          <w:tcPr>
            <w:tcW w:w="1843" w:type="dxa"/>
          </w:tcPr>
          <w:p w:rsidR="0063735D" w:rsidRPr="008A552F" w:rsidRDefault="0063735D" w:rsidP="00E131DA">
            <w:pPr>
              <w:pStyle w:val="Small-TableswithinQuotes"/>
              <w:spacing w:before="120" w:after="60"/>
              <w:ind w:left="455"/>
              <w:rPr>
                <w:b/>
                <w:sz w:val="20"/>
              </w:rPr>
            </w:pPr>
            <w:r w:rsidRPr="008A552F">
              <w:rPr>
                <w:b/>
                <w:sz w:val="20"/>
              </w:rPr>
              <w:t>$462,000</w:t>
            </w:r>
          </w:p>
        </w:tc>
        <w:tc>
          <w:tcPr>
            <w:tcW w:w="2409" w:type="dxa"/>
          </w:tcPr>
          <w:p w:rsidR="0063735D" w:rsidRPr="008A552F" w:rsidRDefault="0063735D" w:rsidP="00E131DA">
            <w:pPr>
              <w:pStyle w:val="Small-TableswithinQuotes"/>
              <w:spacing w:before="120" w:after="60"/>
              <w:ind w:left="174"/>
              <w:rPr>
                <w:b/>
                <w:sz w:val="20"/>
              </w:rPr>
            </w:pPr>
            <w:r w:rsidRPr="008A552F">
              <w:rPr>
                <w:b/>
                <w:sz w:val="20"/>
              </w:rPr>
              <w:t>$12</w:t>
            </w:r>
            <w:r w:rsidR="00EE524F" w:rsidRPr="008A552F">
              <w:rPr>
                <w:b/>
                <w:sz w:val="20"/>
              </w:rPr>
              <w:t>8</w:t>
            </w:r>
            <w:r w:rsidRPr="008A552F">
              <w:rPr>
                <w:b/>
                <w:sz w:val="20"/>
              </w:rPr>
              <w:t>,</w:t>
            </w:r>
            <w:r w:rsidR="00EE524F" w:rsidRPr="008A552F">
              <w:rPr>
                <w:b/>
                <w:sz w:val="20"/>
              </w:rPr>
              <w:t>5</w:t>
            </w:r>
            <w:r w:rsidRPr="008A552F">
              <w:rPr>
                <w:b/>
                <w:sz w:val="20"/>
              </w:rPr>
              <w:t>00 to $1</w:t>
            </w:r>
            <w:r w:rsidR="00EE524F" w:rsidRPr="008A552F">
              <w:rPr>
                <w:b/>
                <w:sz w:val="20"/>
              </w:rPr>
              <w:t>70</w:t>
            </w:r>
            <w:r w:rsidRPr="008A552F">
              <w:rPr>
                <w:b/>
                <w:sz w:val="20"/>
              </w:rPr>
              <w:t>,000</w:t>
            </w:r>
          </w:p>
        </w:tc>
      </w:tr>
    </w:tbl>
    <w:p w:rsidR="0063735D" w:rsidRPr="0072120D" w:rsidRDefault="0063735D" w:rsidP="00520905">
      <w:pPr>
        <w:pStyle w:val="ParaNumbering"/>
        <w:spacing w:before="360"/>
      </w:pPr>
      <w:r w:rsidRPr="0072120D">
        <w:t xml:space="preserve">When </w:t>
      </w:r>
      <w:r w:rsidR="003B533D" w:rsidRPr="0072120D">
        <w:t>the contraventions of both Acts are considered, the parties are in further agreement that orders should be made for the payment of pena</w:t>
      </w:r>
      <w:r w:rsidR="00A22278" w:rsidRPr="0072120D">
        <w:t>lties by both the CFMMEU and Mr </w:t>
      </w:r>
      <w:r w:rsidR="003B533D" w:rsidRPr="0072120D">
        <w:t>Sloane as</w:t>
      </w:r>
      <w:r w:rsidR="00520905" w:rsidRPr="0072120D">
        <w:t xml:space="preserve"> follows</w:t>
      </w:r>
      <w:r w:rsidR="003B533D" w:rsidRPr="0072120D">
        <w:t xml:space="preserve">: </w:t>
      </w:r>
    </w:p>
    <w:tbl>
      <w:tblPr>
        <w:tblStyle w:val="TableGrid"/>
        <w:tblW w:w="0" w:type="auto"/>
        <w:tblInd w:w="1555" w:type="dxa"/>
        <w:tblLook w:val="04A0" w:firstRow="1" w:lastRow="0" w:firstColumn="1" w:lastColumn="0" w:noHBand="0" w:noVBand="1"/>
      </w:tblPr>
      <w:tblGrid>
        <w:gridCol w:w="1450"/>
        <w:gridCol w:w="1668"/>
        <w:gridCol w:w="2410"/>
      </w:tblGrid>
      <w:tr w:rsidR="0072120D" w:rsidRPr="00E955CF" w:rsidTr="00E955CF">
        <w:tc>
          <w:tcPr>
            <w:tcW w:w="1450" w:type="dxa"/>
          </w:tcPr>
          <w:p w:rsidR="003B533D" w:rsidRPr="00E955CF" w:rsidRDefault="003B533D" w:rsidP="00361D5D">
            <w:pPr>
              <w:pStyle w:val="Small-TableswithinQuotes"/>
              <w:spacing w:before="120" w:after="60"/>
              <w:rPr>
                <w:sz w:val="20"/>
              </w:rPr>
            </w:pPr>
          </w:p>
        </w:tc>
        <w:tc>
          <w:tcPr>
            <w:tcW w:w="1668" w:type="dxa"/>
          </w:tcPr>
          <w:p w:rsidR="003B533D" w:rsidRPr="00E955CF" w:rsidRDefault="003B533D" w:rsidP="00361D5D">
            <w:pPr>
              <w:pStyle w:val="Small-TableswithinQuotes"/>
              <w:spacing w:before="120" w:after="60"/>
              <w:rPr>
                <w:b/>
                <w:i/>
                <w:sz w:val="20"/>
              </w:rPr>
            </w:pPr>
            <w:r w:rsidRPr="00E955CF">
              <w:rPr>
                <w:b/>
                <w:i/>
                <w:sz w:val="20"/>
              </w:rPr>
              <w:t>Maximum</w:t>
            </w:r>
          </w:p>
        </w:tc>
        <w:tc>
          <w:tcPr>
            <w:tcW w:w="2410" w:type="dxa"/>
          </w:tcPr>
          <w:p w:rsidR="003B533D" w:rsidRPr="00E955CF" w:rsidRDefault="003B533D" w:rsidP="00361D5D">
            <w:pPr>
              <w:pStyle w:val="Small-TableswithinQuotes"/>
              <w:spacing w:before="120" w:after="60"/>
              <w:rPr>
                <w:b/>
                <w:i/>
                <w:sz w:val="20"/>
              </w:rPr>
            </w:pPr>
            <w:r w:rsidRPr="00E955CF">
              <w:rPr>
                <w:b/>
                <w:i/>
                <w:sz w:val="20"/>
              </w:rPr>
              <w:t>Range</w:t>
            </w:r>
          </w:p>
        </w:tc>
      </w:tr>
      <w:tr w:rsidR="0072120D" w:rsidRPr="00E955CF" w:rsidTr="00E955CF">
        <w:tc>
          <w:tcPr>
            <w:tcW w:w="1450" w:type="dxa"/>
          </w:tcPr>
          <w:p w:rsidR="003B533D" w:rsidRPr="00E955CF" w:rsidRDefault="003B533D" w:rsidP="00361D5D">
            <w:pPr>
              <w:pStyle w:val="Small-TableswithinQuotes"/>
              <w:spacing w:before="120" w:after="60"/>
              <w:rPr>
                <w:sz w:val="20"/>
              </w:rPr>
            </w:pPr>
            <w:r w:rsidRPr="00E955CF">
              <w:rPr>
                <w:sz w:val="20"/>
              </w:rPr>
              <w:t xml:space="preserve">CFMMEU </w:t>
            </w:r>
          </w:p>
        </w:tc>
        <w:tc>
          <w:tcPr>
            <w:tcW w:w="1668" w:type="dxa"/>
          </w:tcPr>
          <w:p w:rsidR="003B533D" w:rsidRPr="00E955CF" w:rsidRDefault="00520905" w:rsidP="00361D5D">
            <w:pPr>
              <w:pStyle w:val="Small-TableswithinQuotes"/>
              <w:spacing w:before="120" w:after="60"/>
              <w:rPr>
                <w:sz w:val="20"/>
              </w:rPr>
            </w:pPr>
            <w:r w:rsidRPr="00E955CF">
              <w:rPr>
                <w:sz w:val="20"/>
              </w:rPr>
              <w:t>$</w:t>
            </w:r>
            <w:r w:rsidR="003B533D" w:rsidRPr="00E955CF">
              <w:rPr>
                <w:sz w:val="20"/>
              </w:rPr>
              <w:t>483,000</w:t>
            </w:r>
          </w:p>
        </w:tc>
        <w:tc>
          <w:tcPr>
            <w:tcW w:w="2410" w:type="dxa"/>
          </w:tcPr>
          <w:p w:rsidR="003B533D" w:rsidRPr="00E955CF" w:rsidRDefault="00520905" w:rsidP="00361D5D">
            <w:pPr>
              <w:pStyle w:val="Small-TableswithinQuotes"/>
              <w:spacing w:before="120" w:after="60"/>
              <w:rPr>
                <w:sz w:val="20"/>
              </w:rPr>
            </w:pPr>
            <w:r w:rsidRPr="00E955CF">
              <w:rPr>
                <w:sz w:val="20"/>
              </w:rPr>
              <w:t>$12</w:t>
            </w:r>
            <w:r w:rsidR="006F0993" w:rsidRPr="00E955CF">
              <w:rPr>
                <w:sz w:val="20"/>
              </w:rPr>
              <w:t>6</w:t>
            </w:r>
            <w:r w:rsidRPr="00E955CF">
              <w:rPr>
                <w:sz w:val="20"/>
              </w:rPr>
              <w:t>,000 to $</w:t>
            </w:r>
            <w:r w:rsidR="003B533D" w:rsidRPr="00E955CF">
              <w:rPr>
                <w:sz w:val="20"/>
              </w:rPr>
              <w:t>168,000</w:t>
            </w:r>
          </w:p>
        </w:tc>
      </w:tr>
      <w:tr w:rsidR="0072120D" w:rsidRPr="00E131DA" w:rsidTr="00E955CF">
        <w:tc>
          <w:tcPr>
            <w:tcW w:w="1450" w:type="dxa"/>
          </w:tcPr>
          <w:p w:rsidR="003B533D" w:rsidRPr="00E955CF" w:rsidRDefault="003B533D" w:rsidP="00361D5D">
            <w:pPr>
              <w:pStyle w:val="Small-TableswithinQuotes"/>
              <w:spacing w:before="120" w:after="60"/>
              <w:rPr>
                <w:sz w:val="20"/>
              </w:rPr>
            </w:pPr>
            <w:r w:rsidRPr="00E955CF">
              <w:rPr>
                <w:sz w:val="20"/>
              </w:rPr>
              <w:t>Sloane</w:t>
            </w:r>
          </w:p>
        </w:tc>
        <w:tc>
          <w:tcPr>
            <w:tcW w:w="1668" w:type="dxa"/>
          </w:tcPr>
          <w:p w:rsidR="003B533D" w:rsidRPr="00E955CF" w:rsidRDefault="00520905" w:rsidP="00361D5D">
            <w:pPr>
              <w:pStyle w:val="Small-TableswithinQuotes"/>
              <w:spacing w:before="120" w:after="60"/>
              <w:rPr>
                <w:sz w:val="20"/>
              </w:rPr>
            </w:pPr>
            <w:r w:rsidRPr="00E955CF">
              <w:rPr>
                <w:sz w:val="20"/>
              </w:rPr>
              <w:t>$</w:t>
            </w:r>
            <w:r w:rsidR="00E925EF" w:rsidRPr="00E955CF">
              <w:rPr>
                <w:sz w:val="20"/>
              </w:rPr>
              <w:t>54,6</w:t>
            </w:r>
            <w:r w:rsidR="003B533D" w:rsidRPr="00E955CF">
              <w:rPr>
                <w:sz w:val="20"/>
              </w:rPr>
              <w:t>00</w:t>
            </w:r>
          </w:p>
        </w:tc>
        <w:tc>
          <w:tcPr>
            <w:tcW w:w="2410" w:type="dxa"/>
          </w:tcPr>
          <w:p w:rsidR="003B533D" w:rsidRPr="00E955CF" w:rsidRDefault="00520905" w:rsidP="00361D5D">
            <w:pPr>
              <w:pStyle w:val="Small-TableswithinQuotes"/>
              <w:spacing w:before="120" w:after="60"/>
              <w:rPr>
                <w:sz w:val="20"/>
              </w:rPr>
            </w:pPr>
            <w:r w:rsidRPr="00E955CF">
              <w:rPr>
                <w:sz w:val="20"/>
              </w:rPr>
              <w:t>$15,000 to $</w:t>
            </w:r>
            <w:r w:rsidR="003B533D" w:rsidRPr="00E955CF">
              <w:rPr>
                <w:sz w:val="20"/>
              </w:rPr>
              <w:t>25,000</w:t>
            </w:r>
          </w:p>
        </w:tc>
      </w:tr>
    </w:tbl>
    <w:p w:rsidR="00176306" w:rsidRPr="0072120D" w:rsidRDefault="003A434A" w:rsidP="00A22278">
      <w:pPr>
        <w:pStyle w:val="ParaNumbering"/>
        <w:spacing w:before="360"/>
      </w:pPr>
      <w:r w:rsidRPr="0072120D">
        <w:lastRenderedPageBreak/>
        <w:t>Within this range, it is concluded that</w:t>
      </w:r>
      <w:r w:rsidR="00176306" w:rsidRPr="0072120D">
        <w:t>:</w:t>
      </w:r>
    </w:p>
    <w:p w:rsidR="00176306" w:rsidRPr="0072120D" w:rsidRDefault="00176306" w:rsidP="00176306">
      <w:pPr>
        <w:pStyle w:val="FCBullets"/>
      </w:pPr>
      <w:r w:rsidRPr="0072120D">
        <w:t>the Court can give effect to an agreement of the parties as to the appropriate range within which penalties may be ordered.</w:t>
      </w:r>
    </w:p>
    <w:p w:rsidR="003A434A" w:rsidRPr="0072120D" w:rsidRDefault="00176306" w:rsidP="00F36E02">
      <w:pPr>
        <w:pStyle w:val="NoNum"/>
      </w:pPr>
      <w:r w:rsidRPr="0072120D">
        <w:t xml:space="preserve">It is further concluded that the Court should give effect to the agreement and that </w:t>
      </w:r>
      <w:r w:rsidR="003A434A" w:rsidRPr="0072120D">
        <w:t xml:space="preserve">a penalty should be imposed in respect to: </w:t>
      </w:r>
    </w:p>
    <w:p w:rsidR="003A434A" w:rsidRPr="0072120D" w:rsidRDefault="00F36E02" w:rsidP="003A434A">
      <w:pPr>
        <w:pStyle w:val="FCBullets"/>
      </w:pPr>
      <w:r w:rsidRPr="0072120D">
        <w:t>the CFMMEU in the sum of $</w:t>
      </w:r>
      <w:r w:rsidR="003A434A" w:rsidRPr="0072120D">
        <w:t xml:space="preserve">168,000 – being an amount </w:t>
      </w:r>
      <w:r w:rsidR="006F0993">
        <w:t xml:space="preserve">of </w:t>
      </w:r>
      <w:r w:rsidR="003A434A" w:rsidRPr="0072120D">
        <w:t xml:space="preserve">about 35% of the maximum; and </w:t>
      </w:r>
    </w:p>
    <w:p w:rsidR="003A434A" w:rsidRPr="0072120D" w:rsidRDefault="00F36E02" w:rsidP="003A434A">
      <w:pPr>
        <w:pStyle w:val="FCBullets"/>
      </w:pPr>
      <w:r w:rsidRPr="0072120D">
        <w:t>Mr Sloane in the sum of $</w:t>
      </w:r>
      <w:r w:rsidR="003A434A" w:rsidRPr="0072120D">
        <w:t>25,000</w:t>
      </w:r>
      <w:r w:rsidR="0096443A" w:rsidRPr="0072120D">
        <w:t xml:space="preserve"> – being an amount </w:t>
      </w:r>
      <w:r w:rsidR="006F0993">
        <w:t xml:space="preserve">of </w:t>
      </w:r>
      <w:r w:rsidR="0096443A" w:rsidRPr="0072120D">
        <w:t>about 46% of the maximum.</w:t>
      </w:r>
    </w:p>
    <w:p w:rsidR="003A434A" w:rsidRPr="0072120D" w:rsidRDefault="003A434A" w:rsidP="00F36E02">
      <w:pPr>
        <w:pStyle w:val="NoNum"/>
      </w:pPr>
      <w:r w:rsidRPr="0072120D">
        <w:t xml:space="preserve">These sums, it is to be noted, are at the very upper limit of the range as agreed between the parties. </w:t>
      </w:r>
    </w:p>
    <w:p w:rsidR="003A434A" w:rsidRPr="0072120D" w:rsidRDefault="003A434A" w:rsidP="00EF6DD2">
      <w:pPr>
        <w:pStyle w:val="Heading3"/>
      </w:pPr>
      <w:r w:rsidRPr="0072120D">
        <w:t xml:space="preserve">Giving effect to the agreement of the parties </w:t>
      </w:r>
    </w:p>
    <w:p w:rsidR="00520905" w:rsidRPr="0072120D" w:rsidRDefault="00520905" w:rsidP="00520905">
      <w:pPr>
        <w:pStyle w:val="ParaNumbering"/>
        <w:rPr>
          <w:szCs w:val="24"/>
          <w:lang w:val="en" w:eastAsia="en-AU"/>
        </w:rPr>
      </w:pPr>
      <w:r w:rsidRPr="0072120D">
        <w:rPr>
          <w:szCs w:val="24"/>
          <w:lang w:val="en" w:eastAsia="en-AU"/>
        </w:rPr>
        <w:t>This Court can give effect to an agreement between the parties as to the range within which penalties may be ordered.  It may do so if the Court is satisfied that it is “</w:t>
      </w:r>
      <w:r w:rsidRPr="0072120D">
        <w:rPr>
          <w:i/>
          <w:szCs w:val="24"/>
          <w:lang w:val="en" w:eastAsia="en-AU"/>
        </w:rPr>
        <w:t>appropriate</w:t>
      </w:r>
      <w:r w:rsidR="00E05732">
        <w:rPr>
          <w:i/>
          <w:szCs w:val="24"/>
          <w:lang w:val="en" w:eastAsia="en-AU"/>
        </w:rPr>
        <w:t xml:space="preserve"> in the circumstances</w:t>
      </w:r>
      <w:r w:rsidRPr="0072120D">
        <w:rPr>
          <w:szCs w:val="24"/>
          <w:lang w:val="en" w:eastAsia="en-AU"/>
        </w:rPr>
        <w:t xml:space="preserve">” to do so: </w:t>
      </w:r>
      <w:r w:rsidR="00C7707B" w:rsidRPr="0072120D">
        <w:rPr>
          <w:szCs w:val="24"/>
          <w:lang w:val="en" w:eastAsia="en-AU"/>
        </w:rPr>
        <w:t xml:space="preserve"> </w:t>
      </w:r>
      <w:r w:rsidRPr="0072120D">
        <w:rPr>
          <w:i/>
          <w:szCs w:val="24"/>
          <w:lang w:val="en" w:eastAsia="en-AU"/>
        </w:rPr>
        <w:t>Ministry for Industry, Tourism and Resources v Mobil Oil Australia Pty Ltd</w:t>
      </w:r>
      <w:r w:rsidRPr="0072120D">
        <w:rPr>
          <w:szCs w:val="24"/>
          <w:lang w:val="en" w:eastAsia="en-AU"/>
        </w:rPr>
        <w:t xml:space="preserve"> [2004] FCAFC 72 at [51] (“</w:t>
      </w:r>
      <w:r w:rsidRPr="0072120D">
        <w:rPr>
          <w:i/>
          <w:szCs w:val="24"/>
          <w:lang w:val="en" w:eastAsia="en-AU"/>
        </w:rPr>
        <w:t>Mobil Oil</w:t>
      </w:r>
      <w:r w:rsidRPr="0072120D">
        <w:rPr>
          <w:szCs w:val="24"/>
          <w:lang w:val="en" w:eastAsia="en-AU"/>
        </w:rPr>
        <w:t xml:space="preserve">”). </w:t>
      </w:r>
      <w:r w:rsidR="00C7707B" w:rsidRPr="0072120D">
        <w:rPr>
          <w:szCs w:val="24"/>
          <w:lang w:val="en" w:eastAsia="en-AU"/>
        </w:rPr>
        <w:t xml:space="preserve"> </w:t>
      </w:r>
      <w:r w:rsidRPr="0072120D">
        <w:rPr>
          <w:szCs w:val="24"/>
          <w:lang w:val="en" w:eastAsia="en-AU"/>
        </w:rPr>
        <w:t xml:space="preserve">Branson, Sackville and </w:t>
      </w:r>
      <w:proofErr w:type="spellStart"/>
      <w:r w:rsidRPr="0072120D">
        <w:rPr>
          <w:szCs w:val="24"/>
          <w:lang w:val="en" w:eastAsia="en-AU"/>
        </w:rPr>
        <w:t>Gyles</w:t>
      </w:r>
      <w:proofErr w:type="spellEnd"/>
      <w:r w:rsidRPr="0072120D">
        <w:rPr>
          <w:szCs w:val="24"/>
          <w:lang w:val="en" w:eastAsia="en-AU"/>
        </w:rPr>
        <w:t> JJ there consider</w:t>
      </w:r>
      <w:r w:rsidR="009102BD">
        <w:rPr>
          <w:szCs w:val="24"/>
          <w:lang w:val="en" w:eastAsia="en-AU"/>
        </w:rPr>
        <w:t>ed</w:t>
      </w:r>
      <w:r w:rsidRPr="0072120D">
        <w:rPr>
          <w:szCs w:val="24"/>
          <w:lang w:val="en" w:eastAsia="en-AU"/>
        </w:rPr>
        <w:t xml:space="preserve"> an admitted contravention by </w:t>
      </w:r>
      <w:r w:rsidRPr="009102BD">
        <w:rPr>
          <w:szCs w:val="24"/>
          <w:lang w:val="en" w:eastAsia="en-AU"/>
        </w:rPr>
        <w:t>Mobil</w:t>
      </w:r>
      <w:r w:rsidR="009102BD" w:rsidRPr="009102BD">
        <w:rPr>
          <w:szCs w:val="24"/>
          <w:lang w:val="en" w:eastAsia="en-AU"/>
        </w:rPr>
        <w:t xml:space="preserve"> Oil</w:t>
      </w:r>
      <w:r w:rsidRPr="009102BD">
        <w:rPr>
          <w:szCs w:val="24"/>
          <w:lang w:val="en" w:eastAsia="en-AU"/>
        </w:rPr>
        <w:t xml:space="preserve"> </w:t>
      </w:r>
      <w:r w:rsidRPr="0072120D">
        <w:rPr>
          <w:szCs w:val="24"/>
          <w:lang w:val="en" w:eastAsia="en-AU"/>
        </w:rPr>
        <w:t xml:space="preserve">of s 10 of the </w:t>
      </w:r>
      <w:r w:rsidRPr="0072120D">
        <w:rPr>
          <w:i/>
          <w:szCs w:val="24"/>
          <w:lang w:val="en" w:eastAsia="en-AU"/>
        </w:rPr>
        <w:t>Petroleum Retail Marketing Sites Act 1980</w:t>
      </w:r>
      <w:r w:rsidRPr="0072120D">
        <w:rPr>
          <w:szCs w:val="24"/>
          <w:lang w:val="en" w:eastAsia="en-AU"/>
        </w:rPr>
        <w:t xml:space="preserve"> (</w:t>
      </w:r>
      <w:proofErr w:type="spellStart"/>
      <w:r w:rsidRPr="0072120D">
        <w:rPr>
          <w:szCs w:val="24"/>
          <w:lang w:val="en" w:eastAsia="en-AU"/>
        </w:rPr>
        <w:t>Cth</w:t>
      </w:r>
      <w:proofErr w:type="spellEnd"/>
      <w:r w:rsidRPr="0072120D">
        <w:rPr>
          <w:szCs w:val="24"/>
          <w:lang w:val="en" w:eastAsia="en-AU"/>
        </w:rPr>
        <w:t xml:space="preserve">). </w:t>
      </w:r>
      <w:r w:rsidR="00C7707B" w:rsidRPr="0072120D">
        <w:rPr>
          <w:szCs w:val="24"/>
          <w:lang w:val="en" w:eastAsia="en-AU"/>
        </w:rPr>
        <w:t xml:space="preserve"> </w:t>
      </w:r>
      <w:r w:rsidRPr="0072120D">
        <w:rPr>
          <w:szCs w:val="24"/>
          <w:lang w:val="en" w:eastAsia="en-AU"/>
        </w:rPr>
        <w:t xml:space="preserve">Their </w:t>
      </w:r>
      <w:proofErr w:type="spellStart"/>
      <w:r w:rsidRPr="0072120D">
        <w:rPr>
          <w:szCs w:val="24"/>
          <w:lang w:val="en" w:eastAsia="en-AU"/>
        </w:rPr>
        <w:t>Honours</w:t>
      </w:r>
      <w:proofErr w:type="spellEnd"/>
      <w:r w:rsidRPr="0072120D">
        <w:rPr>
          <w:szCs w:val="24"/>
          <w:lang w:val="en" w:eastAsia="en-AU"/>
        </w:rPr>
        <w:t xml:space="preserve"> referred to the earlier decision of the Full Court of this Court in </w:t>
      </w:r>
      <w:r w:rsidRPr="0072120D">
        <w:rPr>
          <w:i/>
          <w:szCs w:val="24"/>
          <w:lang w:val="en" w:eastAsia="en-AU"/>
        </w:rPr>
        <w:t>NW Frozen Foods Pty Ltd v Australian Competition and Consumer Commission</w:t>
      </w:r>
      <w:r w:rsidR="00141E14">
        <w:rPr>
          <w:i/>
          <w:szCs w:val="24"/>
          <w:lang w:val="en" w:eastAsia="en-AU"/>
        </w:rPr>
        <w:t xml:space="preserve"> </w:t>
      </w:r>
      <w:r w:rsidR="00C7707B" w:rsidRPr="0072120D">
        <w:rPr>
          <w:szCs w:val="24"/>
          <w:lang w:val="en" w:eastAsia="en-AU"/>
        </w:rPr>
        <w:t>(1996) 71 FCR 285 (“</w:t>
      </w:r>
      <w:r w:rsidRPr="0072120D">
        <w:rPr>
          <w:i/>
          <w:szCs w:val="24"/>
          <w:lang w:val="en" w:eastAsia="en-AU"/>
        </w:rPr>
        <w:t>NW Frozen Foods</w:t>
      </w:r>
      <w:r w:rsidR="00C7707B" w:rsidRPr="0072120D">
        <w:rPr>
          <w:szCs w:val="24"/>
          <w:lang w:val="en" w:eastAsia="en-AU"/>
        </w:rPr>
        <w:t>”</w:t>
      </w:r>
      <w:r w:rsidRPr="0072120D">
        <w:rPr>
          <w:szCs w:val="24"/>
          <w:lang w:val="en" w:eastAsia="en-AU"/>
        </w:rPr>
        <w:t xml:space="preserve">) and continued: </w:t>
      </w:r>
    </w:p>
    <w:p w:rsidR="00C7707B" w:rsidRPr="0072120D" w:rsidRDefault="00BC1AF3" w:rsidP="00C7707B">
      <w:pPr>
        <w:pStyle w:val="Quote1"/>
        <w:rPr>
          <w:sz w:val="20"/>
          <w:lang w:val="en" w:eastAsia="en-AU"/>
        </w:rPr>
      </w:pPr>
      <w:r>
        <w:rPr>
          <w:sz w:val="20"/>
          <w:lang w:val="en" w:eastAsia="en-AU"/>
        </w:rPr>
        <w:t xml:space="preserve"> </w:t>
      </w:r>
      <w:r w:rsidR="00C7707B" w:rsidRPr="0072120D">
        <w:rPr>
          <w:sz w:val="20"/>
          <w:lang w:val="en" w:eastAsia="en-AU"/>
        </w:rPr>
        <w:t>[51]</w:t>
      </w:r>
      <w:r w:rsidR="00C7707B" w:rsidRPr="0072120D">
        <w:rPr>
          <w:sz w:val="20"/>
          <w:lang w:val="en" w:eastAsia="en-AU"/>
        </w:rPr>
        <w:tab/>
        <w:t xml:space="preserve">The following propositions emerge from the reasoning in </w:t>
      </w:r>
      <w:r w:rsidR="00C7707B" w:rsidRPr="0072120D">
        <w:rPr>
          <w:i/>
          <w:sz w:val="20"/>
          <w:lang w:val="en" w:eastAsia="en-AU"/>
        </w:rPr>
        <w:t>NW Frozen Food</w:t>
      </w:r>
      <w:r w:rsidR="00C7707B" w:rsidRPr="0072120D">
        <w:rPr>
          <w:sz w:val="20"/>
          <w:lang w:val="en" w:eastAsia="en-AU"/>
        </w:rPr>
        <w:t>s:</w:t>
      </w:r>
    </w:p>
    <w:p w:rsidR="00C7707B" w:rsidRPr="0072120D" w:rsidRDefault="00C7707B" w:rsidP="00C7707B">
      <w:pPr>
        <w:pStyle w:val="Quote2"/>
        <w:ind w:left="2160" w:hanging="720"/>
        <w:rPr>
          <w:sz w:val="20"/>
          <w:lang w:val="en" w:eastAsia="en-AU"/>
        </w:rPr>
      </w:pPr>
      <w:r w:rsidRPr="0072120D">
        <w:rPr>
          <w:sz w:val="20"/>
          <w:lang w:val="en" w:eastAsia="en-AU"/>
        </w:rPr>
        <w:t>(</w:t>
      </w:r>
      <w:proofErr w:type="spellStart"/>
      <w:r w:rsidRPr="0072120D">
        <w:rPr>
          <w:sz w:val="20"/>
          <w:lang w:val="en" w:eastAsia="en-AU"/>
        </w:rPr>
        <w:t>i</w:t>
      </w:r>
      <w:proofErr w:type="spellEnd"/>
      <w:r w:rsidRPr="0072120D">
        <w:rPr>
          <w:sz w:val="20"/>
          <w:lang w:val="en" w:eastAsia="en-AU"/>
        </w:rPr>
        <w:t>)</w:t>
      </w:r>
      <w:r w:rsidRPr="0072120D">
        <w:rPr>
          <w:sz w:val="20"/>
          <w:lang w:val="en" w:eastAsia="en-AU"/>
        </w:rPr>
        <w:tab/>
        <w:t>It is the responsibility of the Court to determine the appropriate penalty to be imposed under s 76 of the [</w:t>
      </w:r>
      <w:r w:rsidRPr="0072120D">
        <w:rPr>
          <w:i/>
          <w:sz w:val="20"/>
          <w:lang w:val="en" w:eastAsia="en-AU"/>
        </w:rPr>
        <w:t>Trade Practices</w:t>
      </w:r>
      <w:r w:rsidRPr="0072120D">
        <w:rPr>
          <w:sz w:val="20"/>
          <w:lang w:val="en" w:eastAsia="en-AU"/>
        </w:rPr>
        <w:t xml:space="preserve">] </w:t>
      </w:r>
      <w:r w:rsidRPr="00182ECA">
        <w:rPr>
          <w:i/>
          <w:sz w:val="20"/>
          <w:lang w:val="en" w:eastAsia="en-AU"/>
        </w:rPr>
        <w:t xml:space="preserve">Act </w:t>
      </w:r>
      <w:r w:rsidRPr="0072120D">
        <w:rPr>
          <w:sz w:val="20"/>
          <w:lang w:val="en" w:eastAsia="en-AU"/>
        </w:rPr>
        <w:t>in respect of a contravention of the [</w:t>
      </w:r>
      <w:r w:rsidRPr="0072120D">
        <w:rPr>
          <w:i/>
          <w:sz w:val="20"/>
          <w:lang w:val="en" w:eastAsia="en-AU"/>
        </w:rPr>
        <w:t>Trade Practices</w:t>
      </w:r>
      <w:r w:rsidRPr="0072120D">
        <w:rPr>
          <w:sz w:val="20"/>
          <w:lang w:val="en" w:eastAsia="en-AU"/>
        </w:rPr>
        <w:t xml:space="preserve">] </w:t>
      </w:r>
      <w:r w:rsidRPr="00182ECA">
        <w:rPr>
          <w:i/>
          <w:sz w:val="20"/>
          <w:lang w:val="en" w:eastAsia="en-AU"/>
        </w:rPr>
        <w:t>Act</w:t>
      </w:r>
      <w:r w:rsidRPr="0072120D">
        <w:rPr>
          <w:sz w:val="20"/>
          <w:lang w:val="en" w:eastAsia="en-AU"/>
        </w:rPr>
        <w:t>.</w:t>
      </w:r>
    </w:p>
    <w:p w:rsidR="00C7707B" w:rsidRPr="0072120D" w:rsidRDefault="00C7707B" w:rsidP="00C7707B">
      <w:pPr>
        <w:pStyle w:val="Quote2"/>
        <w:ind w:left="2160" w:hanging="720"/>
        <w:rPr>
          <w:sz w:val="20"/>
          <w:lang w:val="en" w:eastAsia="en-AU"/>
        </w:rPr>
      </w:pPr>
      <w:r w:rsidRPr="0072120D">
        <w:rPr>
          <w:sz w:val="20"/>
          <w:lang w:val="en" w:eastAsia="en-AU"/>
        </w:rPr>
        <w:t>(ii)</w:t>
      </w:r>
      <w:r w:rsidRPr="0072120D">
        <w:rPr>
          <w:sz w:val="20"/>
          <w:lang w:val="en" w:eastAsia="en-AU"/>
        </w:rPr>
        <w:tab/>
        <w:t xml:space="preserve">Determining the </w:t>
      </w:r>
      <w:r w:rsidRPr="00182ECA">
        <w:rPr>
          <w:i/>
          <w:sz w:val="20"/>
          <w:lang w:val="en" w:eastAsia="en-AU"/>
        </w:rPr>
        <w:t>quantum</w:t>
      </w:r>
      <w:r w:rsidRPr="0072120D">
        <w:rPr>
          <w:sz w:val="20"/>
          <w:lang w:val="en" w:eastAsia="en-AU"/>
        </w:rPr>
        <w:t xml:space="preserve"> of a penalty is not an exact science. Within a permissible range, the courts have acknowledged that a particular figure cannot necessarily be said to be more appropriate than another.</w:t>
      </w:r>
    </w:p>
    <w:p w:rsidR="00C7707B" w:rsidRPr="0072120D" w:rsidRDefault="00C7707B" w:rsidP="00C7707B">
      <w:pPr>
        <w:pStyle w:val="Quote2"/>
        <w:ind w:left="2160" w:hanging="720"/>
        <w:rPr>
          <w:sz w:val="20"/>
          <w:lang w:val="en" w:eastAsia="en-AU"/>
        </w:rPr>
      </w:pPr>
      <w:r w:rsidRPr="0072120D">
        <w:rPr>
          <w:sz w:val="20"/>
          <w:lang w:val="en" w:eastAsia="en-AU"/>
        </w:rPr>
        <w:t>(iii)</w:t>
      </w:r>
      <w:r w:rsidRPr="0072120D">
        <w:rPr>
          <w:sz w:val="20"/>
          <w:lang w:val="en" w:eastAsia="en-AU"/>
        </w:rPr>
        <w:tab/>
        <w:t xml:space="preserve">There is a public interest in promoting settlement of litigation, particularly where it is likely to be lengthy. Accordingly, when the regulator and </w:t>
      </w:r>
      <w:proofErr w:type="spellStart"/>
      <w:r w:rsidRPr="0072120D">
        <w:rPr>
          <w:sz w:val="20"/>
          <w:lang w:val="en" w:eastAsia="en-AU"/>
        </w:rPr>
        <w:t>contravenor</w:t>
      </w:r>
      <w:proofErr w:type="spellEnd"/>
      <w:r w:rsidRPr="0072120D">
        <w:rPr>
          <w:sz w:val="20"/>
          <w:lang w:val="en" w:eastAsia="en-AU"/>
        </w:rPr>
        <w:t xml:space="preserve"> have reached agreement, they may present to the Court a statement of facts and opinions as to the effect of those facts, together with joint submissions as to the appropriate penalty to be imposed.</w:t>
      </w:r>
    </w:p>
    <w:p w:rsidR="00C7707B" w:rsidRPr="0072120D" w:rsidRDefault="00C7707B" w:rsidP="00C7707B">
      <w:pPr>
        <w:pStyle w:val="Quote2"/>
        <w:ind w:left="2160" w:hanging="720"/>
        <w:rPr>
          <w:sz w:val="20"/>
          <w:lang w:val="en" w:eastAsia="en-AU"/>
        </w:rPr>
      </w:pPr>
      <w:r w:rsidRPr="0072120D">
        <w:rPr>
          <w:sz w:val="20"/>
          <w:lang w:val="en" w:eastAsia="en-AU"/>
        </w:rPr>
        <w:t>(iv)</w:t>
      </w:r>
      <w:r w:rsidRPr="0072120D">
        <w:rPr>
          <w:sz w:val="20"/>
          <w:lang w:val="en" w:eastAsia="en-AU"/>
        </w:rPr>
        <w:tab/>
        <w:t>The view of the regulator, as a specialist body, is a relevant, but not determinative consideration on the question of penalty. In particular, the views of the regulator on matters within its expertise (such as the ACCC’s views as to the deterrent effect of a proposed penalty in a given market) will usually be given greater weight than its views on more “subjective” matters.</w:t>
      </w:r>
    </w:p>
    <w:p w:rsidR="00C7707B" w:rsidRPr="0072120D" w:rsidRDefault="00C7707B" w:rsidP="00C7707B">
      <w:pPr>
        <w:pStyle w:val="Quote2"/>
        <w:ind w:left="2160" w:hanging="720"/>
        <w:rPr>
          <w:sz w:val="20"/>
          <w:lang w:val="en" w:eastAsia="en-AU"/>
        </w:rPr>
      </w:pPr>
      <w:r w:rsidRPr="0072120D">
        <w:rPr>
          <w:sz w:val="20"/>
          <w:lang w:val="en" w:eastAsia="en-AU"/>
        </w:rPr>
        <w:t>(v)</w:t>
      </w:r>
      <w:r w:rsidR="00B75EF8">
        <w:rPr>
          <w:sz w:val="20"/>
          <w:lang w:val="en" w:eastAsia="en-AU"/>
        </w:rPr>
        <w:tab/>
      </w:r>
      <w:r w:rsidRPr="0072120D">
        <w:rPr>
          <w:sz w:val="20"/>
          <w:lang w:val="en" w:eastAsia="en-AU"/>
        </w:rPr>
        <w:t xml:space="preserve">In determining whether the proposed penalty is appropriate, the Court examines all the circumstances of the case. Where the parties have put </w:t>
      </w:r>
      <w:r w:rsidRPr="0072120D">
        <w:rPr>
          <w:sz w:val="20"/>
          <w:lang w:val="en" w:eastAsia="en-AU"/>
        </w:rPr>
        <w:lastRenderedPageBreak/>
        <w:t>forward an agreed statement of facts, the Court may act on that statement if it is appropriate to do so.</w:t>
      </w:r>
    </w:p>
    <w:p w:rsidR="00C7707B" w:rsidRPr="0072120D" w:rsidRDefault="00C7707B" w:rsidP="00C7707B">
      <w:pPr>
        <w:pStyle w:val="Quote2"/>
        <w:spacing w:after="360"/>
        <w:ind w:left="2160" w:hanging="720"/>
        <w:rPr>
          <w:sz w:val="20"/>
          <w:lang w:val="en" w:eastAsia="en-AU"/>
        </w:rPr>
      </w:pPr>
      <w:r w:rsidRPr="0072120D">
        <w:rPr>
          <w:sz w:val="20"/>
          <w:lang w:val="en" w:eastAsia="en-AU"/>
        </w:rPr>
        <w:t>(vi)</w:t>
      </w:r>
      <w:r w:rsidRPr="0072120D">
        <w:rPr>
          <w:sz w:val="20"/>
          <w:lang w:val="en" w:eastAsia="en-AU"/>
        </w:rPr>
        <w:tab/>
        <w:t>Where the parties have jointly proposed a penalty, it will not be useful to investigate whether the Court would have arrived at that precise figure in the absence of agreement. The question is whether that figure is, in the Court’s view, appropriate in the circumstances of the case. In answering that question, the Court will not reject the agreed figure simply because it would have been disposed to select some other figure. It will be appropriate if within the permissible range.</w:t>
      </w:r>
    </w:p>
    <w:p w:rsidR="00D4082F" w:rsidRPr="0072120D" w:rsidRDefault="00D4082F" w:rsidP="0048056F">
      <w:pPr>
        <w:pStyle w:val="ParaNumbering"/>
        <w:rPr>
          <w:lang w:val="en" w:eastAsia="en-AU"/>
        </w:rPr>
      </w:pPr>
      <w:r w:rsidRPr="0072120D">
        <w:rPr>
          <w:lang w:val="en" w:eastAsia="en-AU"/>
        </w:rPr>
        <w:t xml:space="preserve">When considering whether an agreed penalty or an agreed range of penalties </w:t>
      </w:r>
      <w:r w:rsidR="00B75EF8">
        <w:rPr>
          <w:lang w:val="en" w:eastAsia="en-AU"/>
        </w:rPr>
        <w:t>is</w:t>
      </w:r>
      <w:r w:rsidR="00B75EF8" w:rsidRPr="0072120D">
        <w:rPr>
          <w:lang w:val="en" w:eastAsia="en-AU"/>
        </w:rPr>
        <w:t xml:space="preserve"> </w:t>
      </w:r>
      <w:r w:rsidRPr="0072120D">
        <w:rPr>
          <w:lang w:val="en" w:eastAsia="en-AU"/>
        </w:rPr>
        <w:t>appropriate the Court is thus required to “</w:t>
      </w:r>
      <w:r w:rsidRPr="0072120D">
        <w:rPr>
          <w:i/>
          <w:lang w:val="en" w:eastAsia="en-AU"/>
        </w:rPr>
        <w:t>form its own view</w:t>
      </w:r>
      <w:r w:rsidRPr="0072120D">
        <w:rPr>
          <w:lang w:val="en" w:eastAsia="en-AU"/>
        </w:rPr>
        <w:t>” and does not act as a “</w:t>
      </w:r>
      <w:r w:rsidRPr="0072120D">
        <w:rPr>
          <w:i/>
          <w:lang w:val="en" w:eastAsia="en-AU"/>
        </w:rPr>
        <w:t>rubber stamp</w:t>
      </w:r>
      <w:r w:rsidRPr="0072120D">
        <w:rPr>
          <w:lang w:val="en" w:eastAsia="en-AU"/>
        </w:rPr>
        <w:t xml:space="preserve">” to an agreement reached: </w:t>
      </w:r>
      <w:r w:rsidR="00F50B29" w:rsidRPr="0072120D">
        <w:rPr>
          <w:lang w:val="en" w:eastAsia="en-AU"/>
        </w:rPr>
        <w:t xml:space="preserve"> </w:t>
      </w:r>
      <w:r w:rsidR="009102BD">
        <w:rPr>
          <w:i/>
          <w:lang w:val="en" w:eastAsia="en-AU"/>
        </w:rPr>
        <w:t xml:space="preserve">Commonwealth v </w:t>
      </w:r>
      <w:r w:rsidRPr="0072120D">
        <w:rPr>
          <w:i/>
          <w:iCs/>
          <w:lang w:val="en"/>
        </w:rPr>
        <w:t>Director, Fair Work Building Industry Inspectorate</w:t>
      </w:r>
      <w:r w:rsidRPr="0072120D">
        <w:rPr>
          <w:lang w:val="en"/>
        </w:rPr>
        <w:t xml:space="preserve"> </w:t>
      </w:r>
      <w:r w:rsidRPr="00B75EF8">
        <w:rPr>
          <w:lang w:val="en"/>
        </w:rPr>
        <w:t>[2015] HCA 46</w:t>
      </w:r>
      <w:r w:rsidR="00141E14">
        <w:rPr>
          <w:lang w:val="en"/>
        </w:rPr>
        <w:t xml:space="preserve">, </w:t>
      </w:r>
      <w:r w:rsidRPr="0072120D">
        <w:rPr>
          <w:lang w:val="en"/>
        </w:rPr>
        <w:t>(2015) 258 CLR</w:t>
      </w:r>
      <w:r w:rsidR="009102BD">
        <w:rPr>
          <w:lang w:val="en"/>
        </w:rPr>
        <w:t xml:space="preserve"> 482 at 497 to 498</w:t>
      </w:r>
      <w:r w:rsidRPr="0072120D">
        <w:rPr>
          <w:lang w:val="en"/>
        </w:rPr>
        <w:t xml:space="preserve">. </w:t>
      </w:r>
      <w:r w:rsidR="00F50B29" w:rsidRPr="0072120D">
        <w:rPr>
          <w:lang w:val="en"/>
        </w:rPr>
        <w:t xml:space="preserve"> </w:t>
      </w:r>
      <w:r w:rsidRPr="0072120D">
        <w:rPr>
          <w:lang w:val="en"/>
        </w:rPr>
        <w:t>F</w:t>
      </w:r>
      <w:r w:rsidR="00F50B29" w:rsidRPr="0072120D">
        <w:rPr>
          <w:lang w:val="en" w:eastAsia="en-AU"/>
        </w:rPr>
        <w:t>rench </w:t>
      </w:r>
      <w:r w:rsidRPr="0072120D">
        <w:rPr>
          <w:lang w:val="en" w:eastAsia="en-AU"/>
        </w:rPr>
        <w:t xml:space="preserve">CJ, </w:t>
      </w:r>
      <w:proofErr w:type="spellStart"/>
      <w:r w:rsidR="00F50B29" w:rsidRPr="0072120D">
        <w:rPr>
          <w:lang w:val="en" w:eastAsia="en-AU"/>
        </w:rPr>
        <w:t>Kiefel</w:t>
      </w:r>
      <w:proofErr w:type="spellEnd"/>
      <w:r w:rsidR="00F50B29" w:rsidRPr="0072120D">
        <w:rPr>
          <w:lang w:val="en" w:eastAsia="en-AU"/>
        </w:rPr>
        <w:t>, Bell, Nettle and Gordon </w:t>
      </w:r>
      <w:r w:rsidRPr="0072120D">
        <w:rPr>
          <w:lang w:val="en" w:eastAsia="en-AU"/>
        </w:rPr>
        <w:t xml:space="preserve">JJ there </w:t>
      </w:r>
      <w:proofErr w:type="spellStart"/>
      <w:r w:rsidRPr="0072120D">
        <w:rPr>
          <w:lang w:val="en" w:eastAsia="en-AU"/>
        </w:rPr>
        <w:t>summarised</w:t>
      </w:r>
      <w:proofErr w:type="spellEnd"/>
      <w:r w:rsidRPr="0072120D">
        <w:rPr>
          <w:lang w:val="en" w:eastAsia="en-AU"/>
        </w:rPr>
        <w:t xml:space="preserve"> the position as follows: </w:t>
      </w:r>
    </w:p>
    <w:p w:rsidR="00F50B29" w:rsidRPr="0072120D" w:rsidRDefault="00F50B29" w:rsidP="00182ECA">
      <w:pPr>
        <w:pStyle w:val="Quote1"/>
        <w:ind w:left="1440" w:hanging="703"/>
        <w:rPr>
          <w:sz w:val="20"/>
          <w:lang w:val="en" w:eastAsia="en-AU"/>
        </w:rPr>
      </w:pPr>
      <w:r w:rsidRPr="0072120D">
        <w:rPr>
          <w:sz w:val="20"/>
          <w:lang w:val="en" w:eastAsia="en-AU"/>
        </w:rPr>
        <w:t>[31]</w:t>
      </w:r>
      <w:r w:rsidRPr="0072120D">
        <w:rPr>
          <w:sz w:val="20"/>
          <w:lang w:val="en" w:eastAsia="en-AU"/>
        </w:rPr>
        <w:tab/>
        <w:t xml:space="preserve">... Contrary ... to the supposed danger of the court being perceived as a “rubber stamp” for agreed penalty submissions, </w:t>
      </w:r>
      <w:r w:rsidRPr="0072120D">
        <w:rPr>
          <w:i/>
          <w:sz w:val="20"/>
          <w:lang w:val="en" w:eastAsia="en-AU"/>
        </w:rPr>
        <w:t>NW Frozen Foods</w:t>
      </w:r>
      <w:r w:rsidRPr="0072120D">
        <w:rPr>
          <w:sz w:val="20"/>
          <w:lang w:val="en" w:eastAsia="en-AU"/>
        </w:rPr>
        <w:t xml:space="preserve"> required the court always to form its own view about the appropriate range of penalties. Finally, there would be little advantage in limiting parties to an agreed range as opposed to an agreed figure. A better way of reinforcing the court’s responsibility to determine an appropriate penalty was for the court to </w:t>
      </w:r>
      <w:proofErr w:type="spellStart"/>
      <w:r w:rsidRPr="0072120D">
        <w:rPr>
          <w:sz w:val="20"/>
          <w:lang w:val="en" w:eastAsia="en-AU"/>
        </w:rPr>
        <w:t>scrutinise</w:t>
      </w:r>
      <w:proofErr w:type="spellEnd"/>
      <w:r w:rsidRPr="0072120D">
        <w:rPr>
          <w:sz w:val="20"/>
          <w:lang w:val="en" w:eastAsia="en-AU"/>
        </w:rPr>
        <w:t xml:space="preserve"> the material presented to it carefully and satisfy itself that it was sufficient to determine whether the agreed penalty was appropriate. </w:t>
      </w:r>
    </w:p>
    <w:p w:rsidR="00F50B29" w:rsidRPr="0072120D" w:rsidRDefault="00F50B29" w:rsidP="00F50B29">
      <w:pPr>
        <w:pStyle w:val="Quote1"/>
        <w:rPr>
          <w:sz w:val="20"/>
          <w:lang w:val="en" w:eastAsia="en-AU"/>
        </w:rPr>
      </w:pPr>
      <w:r w:rsidRPr="0072120D">
        <w:rPr>
          <w:sz w:val="20"/>
          <w:lang w:val="en" w:eastAsia="en-AU"/>
        </w:rPr>
        <w:t>[32]</w:t>
      </w:r>
      <w:r w:rsidRPr="0072120D">
        <w:rPr>
          <w:sz w:val="20"/>
          <w:lang w:val="en" w:eastAsia="en-AU"/>
        </w:rPr>
        <w:tab/>
        <w:t xml:space="preserve">By way of explication, the Full Court added five observations, in substance as follows: </w:t>
      </w:r>
    </w:p>
    <w:p w:rsidR="00F50B29" w:rsidRPr="0072120D" w:rsidRDefault="00F50B29" w:rsidP="00182ECA">
      <w:pPr>
        <w:pStyle w:val="Quote2"/>
        <w:ind w:left="2160" w:hanging="720"/>
        <w:rPr>
          <w:sz w:val="20"/>
          <w:lang w:val="en" w:eastAsia="en-AU"/>
        </w:rPr>
      </w:pPr>
      <w:r w:rsidRPr="0072120D">
        <w:rPr>
          <w:sz w:val="20"/>
          <w:lang w:val="en" w:eastAsia="en-AU"/>
        </w:rPr>
        <w:t>(1)</w:t>
      </w:r>
      <w:r w:rsidRPr="0072120D">
        <w:rPr>
          <w:sz w:val="20"/>
          <w:lang w:val="en" w:eastAsia="en-AU"/>
        </w:rPr>
        <w:tab/>
        <w:t xml:space="preserve">As noted in </w:t>
      </w:r>
      <w:r w:rsidRPr="0072120D">
        <w:rPr>
          <w:i/>
          <w:sz w:val="20"/>
          <w:lang w:val="en" w:eastAsia="en-AU"/>
        </w:rPr>
        <w:t xml:space="preserve">Allied Mills </w:t>
      </w:r>
      <w:r w:rsidRPr="00182ECA">
        <w:rPr>
          <w:sz w:val="20"/>
          <w:lang w:val="en" w:eastAsia="en-AU"/>
        </w:rPr>
        <w:t>and</w:t>
      </w:r>
      <w:r w:rsidRPr="0072120D">
        <w:rPr>
          <w:i/>
          <w:sz w:val="20"/>
          <w:lang w:val="en" w:eastAsia="en-AU"/>
        </w:rPr>
        <w:t xml:space="preserve"> NW Frozen Foods</w:t>
      </w:r>
      <w:r w:rsidRPr="0072120D">
        <w:rPr>
          <w:sz w:val="20"/>
          <w:lang w:val="en" w:eastAsia="en-AU"/>
        </w:rPr>
        <w:t>, the rationale for giving weight to a joint submission on penalty rests on the saving in resources for the regulator and the court, the likelihood that a negotiated resolution will include measures designed to promote competition and the ability of the regulator to use the savings to increase the likelihood of other contraveners being detected and brought before the courts.</w:t>
      </w:r>
    </w:p>
    <w:p w:rsidR="00F50B29" w:rsidRPr="0072120D" w:rsidRDefault="00F50B29" w:rsidP="00E955CF">
      <w:pPr>
        <w:pStyle w:val="Quote2"/>
        <w:spacing w:after="120"/>
        <w:ind w:left="2160" w:hanging="720"/>
        <w:rPr>
          <w:sz w:val="20"/>
          <w:lang w:val="en" w:eastAsia="en-AU"/>
        </w:rPr>
      </w:pPr>
      <w:r w:rsidRPr="0072120D">
        <w:rPr>
          <w:sz w:val="20"/>
          <w:lang w:val="en" w:eastAsia="en-AU"/>
        </w:rPr>
        <w:t>(2)</w:t>
      </w:r>
      <w:r w:rsidRPr="0072120D">
        <w:rPr>
          <w:sz w:val="20"/>
          <w:lang w:val="en" w:eastAsia="en-AU"/>
        </w:rPr>
        <w:tab/>
      </w:r>
      <w:r w:rsidRPr="0072120D">
        <w:rPr>
          <w:i/>
          <w:sz w:val="20"/>
          <w:lang w:val="en" w:eastAsia="en-AU"/>
        </w:rPr>
        <w:t>NW Frozen Foods</w:t>
      </w:r>
      <w:r w:rsidRPr="0072120D">
        <w:rPr>
          <w:sz w:val="20"/>
          <w:lang w:val="en" w:eastAsia="en-AU"/>
        </w:rPr>
        <w:t xml:space="preserve"> does not mean that a court must commence its reasoning with the penalty proposed by the parties and then limit itself to a consideration of whether the penalty proposed is within the range of permissible penalties. That is one option, but another is to begin with an independent assessment of the appropriate range of penalties and then compare it with the proposed penalty.</w:t>
      </w:r>
    </w:p>
    <w:p w:rsidR="00F50B29" w:rsidRPr="0072120D" w:rsidRDefault="00F50B29" w:rsidP="00F50B29">
      <w:pPr>
        <w:pStyle w:val="Quote1"/>
        <w:rPr>
          <w:sz w:val="20"/>
          <w:lang w:val="en" w:eastAsia="en-AU"/>
        </w:rPr>
      </w:pPr>
      <w:r w:rsidRPr="0072120D">
        <w:rPr>
          <w:sz w:val="20"/>
          <w:lang w:val="en" w:eastAsia="en-AU"/>
        </w:rPr>
        <w:t>...</w:t>
      </w:r>
    </w:p>
    <w:p w:rsidR="00F50B29" w:rsidRPr="0072120D" w:rsidRDefault="00F50B29" w:rsidP="00182ECA">
      <w:pPr>
        <w:pStyle w:val="Quote1"/>
        <w:spacing w:after="360"/>
        <w:rPr>
          <w:sz w:val="20"/>
          <w:lang w:val="en" w:eastAsia="en-AU"/>
        </w:rPr>
      </w:pPr>
      <w:r w:rsidRPr="0072120D">
        <w:rPr>
          <w:sz w:val="20"/>
          <w:lang w:val="en" w:eastAsia="en-AU"/>
        </w:rPr>
        <w:t>(footnotes omitted)</w:t>
      </w:r>
    </w:p>
    <w:p w:rsidR="00F50B29" w:rsidRPr="0072120D" w:rsidRDefault="00F50B29" w:rsidP="00182ECA">
      <w:pPr>
        <w:pStyle w:val="NoNum"/>
        <w:rPr>
          <w:lang w:val="en" w:eastAsia="en-AU"/>
        </w:rPr>
      </w:pPr>
      <w:r w:rsidRPr="0072120D">
        <w:rPr>
          <w:lang w:val="en" w:eastAsia="en-AU"/>
        </w:rPr>
        <w:t xml:space="preserve">Their </w:t>
      </w:r>
      <w:proofErr w:type="spellStart"/>
      <w:r w:rsidRPr="0072120D">
        <w:rPr>
          <w:lang w:val="en" w:eastAsia="en-AU"/>
        </w:rPr>
        <w:t>Honours</w:t>
      </w:r>
      <w:proofErr w:type="spellEnd"/>
      <w:r w:rsidRPr="0072120D">
        <w:rPr>
          <w:lang w:val="en" w:eastAsia="en-AU"/>
        </w:rPr>
        <w:t xml:space="preserve"> went on to further conclude in relevant part (at 507 to 508): </w:t>
      </w:r>
    </w:p>
    <w:p w:rsidR="00F50B29" w:rsidRPr="0072120D" w:rsidRDefault="00F50B29" w:rsidP="00182ECA">
      <w:pPr>
        <w:pStyle w:val="Quote1"/>
        <w:ind w:left="1440" w:hanging="703"/>
        <w:rPr>
          <w:sz w:val="20"/>
          <w:lang w:val="en" w:eastAsia="en-AU"/>
        </w:rPr>
      </w:pPr>
      <w:r w:rsidRPr="0072120D">
        <w:rPr>
          <w:sz w:val="20"/>
          <w:lang w:val="en" w:eastAsia="en-AU"/>
        </w:rPr>
        <w:t>[58]</w:t>
      </w:r>
      <w:r w:rsidRPr="0072120D">
        <w:rPr>
          <w:sz w:val="20"/>
          <w:lang w:val="en" w:eastAsia="en-AU"/>
        </w:rPr>
        <w:tab/>
        <w:t xml:space="preserve">... There is, however, no reason in principle or practice why civil penalty proceedings should be treated as an exception. Subject to the court being sufficiently persuaded of the accuracy of the parties’ agreement as to facts and consequences, and that the penalty which the parties propose is </w:t>
      </w:r>
      <w:r w:rsidRPr="00182ECA">
        <w:rPr>
          <w:i/>
          <w:sz w:val="20"/>
          <w:lang w:val="en" w:eastAsia="en-AU"/>
        </w:rPr>
        <w:t>an</w:t>
      </w:r>
      <w:r w:rsidRPr="0072120D">
        <w:rPr>
          <w:sz w:val="20"/>
          <w:lang w:val="en" w:eastAsia="en-AU"/>
        </w:rPr>
        <w:t xml:space="preserve"> appropriate remedy in the circumstances thus revealed, it is consistent with principle and ... highly desirable in practice for the court to accept the parties’ proposal and therefore impose the proposed penalty ...</w:t>
      </w:r>
    </w:p>
    <w:p w:rsidR="00F50B29" w:rsidRPr="0072120D" w:rsidRDefault="00F50B29" w:rsidP="00361D5D">
      <w:pPr>
        <w:pStyle w:val="Quote1"/>
        <w:keepNext/>
        <w:keepLines/>
        <w:spacing w:after="360"/>
        <w:ind w:left="1440" w:hanging="703"/>
        <w:rPr>
          <w:sz w:val="20"/>
          <w:lang w:val="en" w:eastAsia="en-AU"/>
        </w:rPr>
      </w:pPr>
      <w:r w:rsidRPr="0072120D">
        <w:rPr>
          <w:sz w:val="20"/>
          <w:lang w:val="en" w:eastAsia="en-AU"/>
        </w:rPr>
        <w:lastRenderedPageBreak/>
        <w:t>[59]</w:t>
      </w:r>
      <w:r w:rsidRPr="0072120D">
        <w:rPr>
          <w:sz w:val="20"/>
          <w:lang w:val="en" w:eastAsia="en-AU"/>
        </w:rPr>
        <w:tab/>
        <w:t>... Once it is understood that civil penalties are not retributive, but like most other civil remedies essentially deterrent or compensatory and therefore protective, there is nothing odd or exceptionable about a court approving an agreed settlement of a civil proceeding which involves the public interest; provided of course that the court is persuaded that the settlement is appropriate.</w:t>
      </w:r>
    </w:p>
    <w:p w:rsidR="00D4082F" w:rsidRPr="0072120D" w:rsidRDefault="00D4082F" w:rsidP="00FD3AE7">
      <w:pPr>
        <w:pStyle w:val="Heading3"/>
        <w:rPr>
          <w:lang w:val="en" w:eastAsia="en-AU"/>
        </w:rPr>
      </w:pPr>
      <w:r w:rsidRPr="0072120D">
        <w:rPr>
          <w:lang w:val="en" w:eastAsia="en-AU"/>
        </w:rPr>
        <w:t>The appropriateness of the range as agreed?</w:t>
      </w:r>
    </w:p>
    <w:p w:rsidR="00D4082F" w:rsidRPr="0072120D" w:rsidRDefault="00D4082F" w:rsidP="00D4082F">
      <w:pPr>
        <w:pStyle w:val="ParaNumbering"/>
        <w:rPr>
          <w:lang w:val="en" w:eastAsia="en-AU"/>
        </w:rPr>
      </w:pPr>
      <w:r w:rsidRPr="0072120D">
        <w:rPr>
          <w:lang w:val="en"/>
        </w:rPr>
        <w:t>When considering the “</w:t>
      </w:r>
      <w:r w:rsidRPr="0072120D">
        <w:rPr>
          <w:i/>
          <w:lang w:val="en"/>
        </w:rPr>
        <w:t>appropriateness</w:t>
      </w:r>
      <w:r w:rsidRPr="0072120D">
        <w:rPr>
          <w:lang w:val="en"/>
        </w:rPr>
        <w:t>” of the range of penalties as agreed between the parties, the two starting point</w:t>
      </w:r>
      <w:r w:rsidR="00FD3AE7" w:rsidRPr="0072120D">
        <w:rPr>
          <w:lang w:val="en"/>
        </w:rPr>
        <w:t>s</w:t>
      </w:r>
      <w:r w:rsidRPr="0072120D">
        <w:rPr>
          <w:lang w:val="en"/>
        </w:rPr>
        <w:t xml:space="preserve"> forever remain:</w:t>
      </w:r>
    </w:p>
    <w:p w:rsidR="0048056F" w:rsidRPr="0072120D" w:rsidRDefault="0048056F" w:rsidP="0048056F">
      <w:pPr>
        <w:pStyle w:val="FCBullets"/>
      </w:pPr>
      <w:r w:rsidRPr="0072120D">
        <w:rPr>
          <w:lang w:val="en" w:eastAsia="en-AU"/>
        </w:rPr>
        <w:t xml:space="preserve">the </w:t>
      </w:r>
      <w:r w:rsidR="00D4082F" w:rsidRPr="0072120D">
        <w:rPr>
          <w:lang w:val="en" w:eastAsia="en-AU"/>
        </w:rPr>
        <w:t>fact that the maximum penalty prescribed remains a “</w:t>
      </w:r>
      <w:r w:rsidR="00D4082F" w:rsidRPr="0072120D">
        <w:rPr>
          <w:i/>
          <w:lang w:val="en" w:eastAsia="en-AU"/>
        </w:rPr>
        <w:t>yardstick</w:t>
      </w:r>
      <w:r w:rsidR="00D4082F" w:rsidRPr="0072120D">
        <w:rPr>
          <w:lang w:val="en" w:eastAsia="en-AU"/>
        </w:rPr>
        <w:t xml:space="preserve">” against which the process of assessment is to proceed (cf. </w:t>
      </w:r>
      <w:proofErr w:type="spellStart"/>
      <w:r w:rsidRPr="0072120D">
        <w:rPr>
          <w:i/>
          <w:iCs/>
          <w:lang w:val="en"/>
        </w:rPr>
        <w:t>Markarian</w:t>
      </w:r>
      <w:proofErr w:type="spellEnd"/>
      <w:r w:rsidRPr="0072120D">
        <w:rPr>
          <w:i/>
          <w:iCs/>
          <w:lang w:val="en"/>
        </w:rPr>
        <w:t xml:space="preserve"> v The Queen</w:t>
      </w:r>
      <w:r w:rsidRPr="0072120D">
        <w:rPr>
          <w:lang w:val="en"/>
        </w:rPr>
        <w:t xml:space="preserve"> </w:t>
      </w:r>
      <w:r w:rsidRPr="00B75EF8">
        <w:rPr>
          <w:lang w:val="en"/>
        </w:rPr>
        <w:t>[2005] HCA 25</w:t>
      </w:r>
      <w:r w:rsidRPr="0072120D">
        <w:rPr>
          <w:lang w:val="en"/>
        </w:rPr>
        <w:t xml:space="preserve"> at </w:t>
      </w:r>
      <w:r w:rsidRPr="00B75EF8">
        <w:rPr>
          <w:lang w:val="en"/>
        </w:rPr>
        <w:t>[30]</w:t>
      </w:r>
      <w:r w:rsidRPr="0072120D">
        <w:rPr>
          <w:lang w:val="en"/>
        </w:rPr>
        <w:t xml:space="preserve"> to [31], </w:t>
      </w:r>
      <w:r w:rsidRPr="00B75EF8">
        <w:rPr>
          <w:lang w:val="en"/>
        </w:rPr>
        <w:t xml:space="preserve">(2005) </w:t>
      </w:r>
      <w:r w:rsidR="008D4252">
        <w:rPr>
          <w:lang w:val="en"/>
        </w:rPr>
        <w:t>228 CLR 357</w:t>
      </w:r>
      <w:r w:rsidRPr="0072120D">
        <w:rPr>
          <w:lang w:val="en"/>
        </w:rPr>
        <w:t xml:space="preserve"> at </w:t>
      </w:r>
      <w:r w:rsidR="008D4252">
        <w:rPr>
          <w:lang w:val="en"/>
        </w:rPr>
        <w:t>37</w:t>
      </w:r>
      <w:r w:rsidRPr="0072120D">
        <w:rPr>
          <w:lang w:val="en"/>
        </w:rPr>
        <w:t xml:space="preserve"> per Gleeson</w:t>
      </w:r>
      <w:r w:rsidR="00FD3AE7" w:rsidRPr="0072120D">
        <w:rPr>
          <w:lang w:val="en"/>
        </w:rPr>
        <w:t> </w:t>
      </w:r>
      <w:r w:rsidRPr="0072120D">
        <w:rPr>
          <w:lang w:val="en"/>
        </w:rPr>
        <w:t xml:space="preserve">CJ, </w:t>
      </w:r>
      <w:proofErr w:type="spellStart"/>
      <w:r w:rsidRPr="0072120D">
        <w:rPr>
          <w:lang w:val="en"/>
        </w:rPr>
        <w:t>Gummow</w:t>
      </w:r>
      <w:proofErr w:type="spellEnd"/>
      <w:r w:rsidRPr="0072120D">
        <w:rPr>
          <w:lang w:val="en"/>
        </w:rPr>
        <w:t xml:space="preserve">, Hayne and </w:t>
      </w:r>
      <w:proofErr w:type="spellStart"/>
      <w:r w:rsidRPr="0072120D">
        <w:rPr>
          <w:lang w:val="en"/>
        </w:rPr>
        <w:t>Callinan</w:t>
      </w:r>
      <w:proofErr w:type="spellEnd"/>
      <w:r w:rsidR="00FD3AE7" w:rsidRPr="0072120D">
        <w:rPr>
          <w:lang w:val="en"/>
        </w:rPr>
        <w:t> </w:t>
      </w:r>
      <w:r w:rsidRPr="0072120D">
        <w:rPr>
          <w:lang w:val="en"/>
        </w:rPr>
        <w:t xml:space="preserve">JJ); and </w:t>
      </w:r>
    </w:p>
    <w:p w:rsidR="00D4082F" w:rsidRPr="0072120D" w:rsidRDefault="0048056F" w:rsidP="00D4082F">
      <w:pPr>
        <w:pStyle w:val="FCBullets"/>
        <w:rPr>
          <w:lang w:val="en" w:eastAsia="en-AU"/>
        </w:rPr>
      </w:pPr>
      <w:r w:rsidRPr="0072120D">
        <w:rPr>
          <w:lang w:val="en" w:eastAsia="en-AU"/>
        </w:rPr>
        <w:t>the fact that the primary purpose of any imposition of penalties is deterrence (cf.</w:t>
      </w:r>
      <w:r w:rsidR="00FD3AE7" w:rsidRPr="0072120D">
        <w:rPr>
          <w:lang w:val="en" w:eastAsia="en-AU"/>
        </w:rPr>
        <w:t> </w:t>
      </w:r>
      <w:r w:rsidRPr="0072120D">
        <w:rPr>
          <w:i/>
          <w:iCs/>
          <w:lang w:val="en"/>
        </w:rPr>
        <w:t>Commonwealth v Director, Fair Work Building Industry Inspectorate</w:t>
      </w:r>
      <w:r w:rsidRPr="0072120D">
        <w:rPr>
          <w:lang w:val="en"/>
        </w:rPr>
        <w:t xml:space="preserve"> </w:t>
      </w:r>
      <w:r w:rsidRPr="0072120D">
        <w:rPr>
          <w:u w:val="single"/>
          <w:lang w:val="en"/>
        </w:rPr>
        <w:t>[</w:t>
      </w:r>
      <w:r w:rsidRPr="00B75EF8">
        <w:rPr>
          <w:lang w:val="en"/>
        </w:rPr>
        <w:t>2015] HCA 46 at [55], (2015) 258 CLR 482</w:t>
      </w:r>
      <w:r w:rsidRPr="0072120D">
        <w:rPr>
          <w:lang w:val="en"/>
        </w:rPr>
        <w:t xml:space="preserve"> at</w:t>
      </w:r>
      <w:r w:rsidR="00FD3AE7" w:rsidRPr="0072120D">
        <w:rPr>
          <w:lang w:val="en"/>
        </w:rPr>
        <w:t xml:space="preserve"> 506 per French </w:t>
      </w:r>
      <w:r w:rsidRPr="0072120D">
        <w:rPr>
          <w:lang w:val="en"/>
        </w:rPr>
        <w:t xml:space="preserve">CJ, </w:t>
      </w:r>
      <w:proofErr w:type="spellStart"/>
      <w:r w:rsidRPr="0072120D">
        <w:rPr>
          <w:lang w:val="en"/>
        </w:rPr>
        <w:t>Kiefel</w:t>
      </w:r>
      <w:proofErr w:type="spellEnd"/>
      <w:r w:rsidRPr="0072120D">
        <w:rPr>
          <w:lang w:val="en"/>
        </w:rPr>
        <w:t>, Bell, Nettle and Gordon</w:t>
      </w:r>
      <w:r w:rsidR="00FD3AE7" w:rsidRPr="0072120D">
        <w:rPr>
          <w:lang w:val="en"/>
        </w:rPr>
        <w:t> </w:t>
      </w:r>
      <w:r w:rsidRPr="0072120D">
        <w:rPr>
          <w:lang w:val="en"/>
        </w:rPr>
        <w:t>JJ</w:t>
      </w:r>
      <w:r w:rsidR="00FD3AE7" w:rsidRPr="0072120D">
        <w:rPr>
          <w:lang w:val="en"/>
        </w:rPr>
        <w:t>;</w:t>
      </w:r>
      <w:r w:rsidRPr="0072120D">
        <w:rPr>
          <w:lang w:val="en"/>
        </w:rPr>
        <w:t xml:space="preserve"> </w:t>
      </w:r>
      <w:r w:rsidRPr="0072120D">
        <w:rPr>
          <w:i/>
          <w:iCs/>
          <w:lang w:val="en"/>
        </w:rPr>
        <w:t xml:space="preserve">Australian Building and Construction Commissioner v Construction, Forestry, Mining and Energy Union </w:t>
      </w:r>
      <w:r w:rsidRPr="00B75EF8">
        <w:rPr>
          <w:lang w:val="en"/>
        </w:rPr>
        <w:t xml:space="preserve">[2017] FCAFC 113 at [98] to [99]; (2017) 254 FCR 68 </w:t>
      </w:r>
      <w:r w:rsidRPr="0072120D">
        <w:rPr>
          <w:lang w:val="en"/>
        </w:rPr>
        <w:t>at 88 pe</w:t>
      </w:r>
      <w:r w:rsidR="00FD3AE7" w:rsidRPr="0072120D">
        <w:rPr>
          <w:lang w:val="en"/>
        </w:rPr>
        <w:t xml:space="preserve">r </w:t>
      </w:r>
      <w:proofErr w:type="spellStart"/>
      <w:r w:rsidR="00FD3AE7" w:rsidRPr="0072120D">
        <w:rPr>
          <w:lang w:val="en"/>
        </w:rPr>
        <w:t>Dowsett</w:t>
      </w:r>
      <w:proofErr w:type="spellEnd"/>
      <w:r w:rsidR="00FD3AE7" w:rsidRPr="0072120D">
        <w:rPr>
          <w:lang w:val="en"/>
        </w:rPr>
        <w:t>, Greenwood and Wigney </w:t>
      </w:r>
      <w:r w:rsidRPr="0072120D">
        <w:rPr>
          <w:lang w:val="en"/>
        </w:rPr>
        <w:t>JJ</w:t>
      </w:r>
      <w:r w:rsidR="002E357B">
        <w:rPr>
          <w:lang w:val="en"/>
        </w:rPr>
        <w:t xml:space="preserve"> (“</w:t>
      </w:r>
      <w:r w:rsidR="002E357B">
        <w:rPr>
          <w:i/>
          <w:lang w:val="en"/>
        </w:rPr>
        <w:t>ABCC v CFMEU</w:t>
      </w:r>
      <w:r w:rsidR="002E357B">
        <w:rPr>
          <w:lang w:val="en"/>
        </w:rPr>
        <w:t>”)</w:t>
      </w:r>
      <w:r w:rsidRPr="0072120D">
        <w:rPr>
          <w:lang w:val="en"/>
        </w:rPr>
        <w:t>).</w:t>
      </w:r>
    </w:p>
    <w:p w:rsidR="0048056F" w:rsidRPr="0072120D" w:rsidRDefault="0048056F" w:rsidP="007E3BC5">
      <w:pPr>
        <w:pStyle w:val="NoNum"/>
        <w:rPr>
          <w:lang w:val="en" w:eastAsia="en-AU"/>
        </w:rPr>
      </w:pPr>
      <w:r w:rsidRPr="0072120D">
        <w:rPr>
          <w:lang w:val="en" w:eastAsia="en-AU"/>
        </w:rPr>
        <w:t>Within that general framework, the process of quantifying an appropriate penalty is not an “</w:t>
      </w:r>
      <w:r w:rsidRPr="0072120D">
        <w:rPr>
          <w:i/>
          <w:iCs/>
          <w:lang w:val="en" w:eastAsia="en-AU"/>
        </w:rPr>
        <w:t>exact science</w:t>
      </w:r>
      <w:r w:rsidRPr="0072120D">
        <w:rPr>
          <w:lang w:val="en" w:eastAsia="en-AU"/>
        </w:rPr>
        <w:t>” but rather a process of “</w:t>
      </w:r>
      <w:r w:rsidRPr="0072120D">
        <w:rPr>
          <w:i/>
          <w:iCs/>
          <w:lang w:val="en" w:eastAsia="en-AU"/>
        </w:rPr>
        <w:t>instinctive synthesis</w:t>
      </w:r>
      <w:r w:rsidRPr="0072120D">
        <w:rPr>
          <w:lang w:val="en" w:eastAsia="en-AU"/>
        </w:rPr>
        <w:t xml:space="preserve">”: </w:t>
      </w:r>
      <w:r w:rsidR="00FD3AE7" w:rsidRPr="0072120D">
        <w:rPr>
          <w:lang w:val="en" w:eastAsia="en-AU"/>
        </w:rPr>
        <w:t xml:space="preserve"> </w:t>
      </w:r>
      <w:r w:rsidRPr="0072120D">
        <w:rPr>
          <w:i/>
          <w:iCs/>
          <w:lang w:val="en" w:eastAsia="en-AU"/>
        </w:rPr>
        <w:t xml:space="preserve">Australian Ophthalmic Supplies Pty Ltd v </w:t>
      </w:r>
      <w:proofErr w:type="spellStart"/>
      <w:r w:rsidRPr="0072120D">
        <w:rPr>
          <w:i/>
          <w:iCs/>
          <w:lang w:val="en" w:eastAsia="en-AU"/>
        </w:rPr>
        <w:t>McAlary</w:t>
      </w:r>
      <w:proofErr w:type="spellEnd"/>
      <w:r w:rsidRPr="0072120D">
        <w:rPr>
          <w:i/>
          <w:iCs/>
          <w:lang w:val="en" w:eastAsia="en-AU"/>
        </w:rPr>
        <w:t>-Smith</w:t>
      </w:r>
      <w:r w:rsidRPr="007A2051">
        <w:rPr>
          <w:i/>
          <w:iCs/>
          <w:lang w:val="en" w:eastAsia="en-AU"/>
        </w:rPr>
        <w:t xml:space="preserve"> </w:t>
      </w:r>
      <w:r w:rsidRPr="00182ECA">
        <w:rPr>
          <w:lang w:val="en" w:eastAsia="en-AU"/>
        </w:rPr>
        <w:t>[2008] FCAFC 8</w:t>
      </w:r>
      <w:r w:rsidRPr="007A2051">
        <w:rPr>
          <w:lang w:val="en" w:eastAsia="en-AU"/>
        </w:rPr>
        <w:t xml:space="preserve"> at </w:t>
      </w:r>
      <w:r w:rsidRPr="00182ECA">
        <w:rPr>
          <w:lang w:val="en" w:eastAsia="en-AU"/>
        </w:rPr>
        <w:t>[27]</w:t>
      </w:r>
      <w:r w:rsidRPr="007A2051">
        <w:rPr>
          <w:lang w:val="en" w:eastAsia="en-AU"/>
        </w:rPr>
        <w:t xml:space="preserve"> to [28], </w:t>
      </w:r>
      <w:r w:rsidR="004172A8">
        <w:rPr>
          <w:lang w:val="en" w:eastAsia="en-AU"/>
        </w:rPr>
        <w:t xml:space="preserve">and </w:t>
      </w:r>
      <w:r w:rsidRPr="007A2051">
        <w:rPr>
          <w:lang w:val="en" w:eastAsia="en-AU"/>
        </w:rPr>
        <w:t xml:space="preserve">[55] and [78], </w:t>
      </w:r>
      <w:r w:rsidRPr="00182ECA">
        <w:rPr>
          <w:lang w:val="en" w:eastAsia="en-AU"/>
        </w:rPr>
        <w:t>(2008) 165 FCR 560</w:t>
      </w:r>
      <w:r w:rsidRPr="0072120D">
        <w:rPr>
          <w:lang w:val="en" w:eastAsia="en-AU"/>
        </w:rPr>
        <w:t xml:space="preserve"> at 567 to 568 per</w:t>
      </w:r>
      <w:r w:rsidR="00FD3AE7" w:rsidRPr="0072120D">
        <w:rPr>
          <w:lang w:val="en" w:eastAsia="en-AU"/>
        </w:rPr>
        <w:t xml:space="preserve"> Gray J, 572 and 577 per Graham </w:t>
      </w:r>
      <w:r w:rsidRPr="0072120D">
        <w:rPr>
          <w:lang w:val="en" w:eastAsia="en-AU"/>
        </w:rPr>
        <w:t>J.</w:t>
      </w:r>
      <w:r w:rsidR="007A2051">
        <w:rPr>
          <w:lang w:val="en" w:eastAsia="en-AU"/>
        </w:rPr>
        <w:t xml:space="preserve"> </w:t>
      </w:r>
      <w:r w:rsidRPr="0072120D">
        <w:rPr>
          <w:lang w:val="en" w:eastAsia="en-AU"/>
        </w:rPr>
        <w:t xml:space="preserve"> It nevertheless remains a process guided by a consideration of a number of well-accepted factors.</w:t>
      </w:r>
      <w:r w:rsidR="00FD3AE7" w:rsidRPr="0072120D">
        <w:rPr>
          <w:lang w:val="en" w:eastAsia="en-AU"/>
        </w:rPr>
        <w:t xml:space="preserve"> </w:t>
      </w:r>
      <w:r w:rsidRPr="0072120D">
        <w:rPr>
          <w:lang w:val="en" w:eastAsia="en-AU"/>
        </w:rPr>
        <w:t xml:space="preserve"> In </w:t>
      </w:r>
      <w:r w:rsidRPr="0072120D">
        <w:rPr>
          <w:i/>
          <w:iCs/>
          <w:lang w:val="en" w:eastAsia="en-AU"/>
        </w:rPr>
        <w:t>Kelly v Fitzpatrick</w:t>
      </w:r>
      <w:r w:rsidRPr="007A2051">
        <w:rPr>
          <w:i/>
          <w:iCs/>
          <w:lang w:val="en" w:eastAsia="en-AU"/>
        </w:rPr>
        <w:t xml:space="preserve"> </w:t>
      </w:r>
      <w:r w:rsidRPr="00182ECA">
        <w:rPr>
          <w:lang w:val="en" w:eastAsia="en-AU"/>
        </w:rPr>
        <w:t>[2007] FCA 1080</w:t>
      </w:r>
      <w:r w:rsidRPr="007A2051">
        <w:rPr>
          <w:lang w:val="en" w:eastAsia="en-AU"/>
        </w:rPr>
        <w:t xml:space="preserve"> at </w:t>
      </w:r>
      <w:r w:rsidRPr="00182ECA">
        <w:rPr>
          <w:lang w:val="en" w:eastAsia="en-AU"/>
        </w:rPr>
        <w:t>[14]</w:t>
      </w:r>
      <w:r w:rsidRPr="007A2051">
        <w:rPr>
          <w:lang w:val="en" w:eastAsia="en-AU"/>
        </w:rPr>
        <w:t xml:space="preserve">, </w:t>
      </w:r>
      <w:r w:rsidRPr="00182ECA">
        <w:rPr>
          <w:lang w:val="en" w:eastAsia="en-AU"/>
        </w:rPr>
        <w:t>(2007) 166 IR 14</w:t>
      </w:r>
      <w:r w:rsidRPr="0072120D">
        <w:rPr>
          <w:lang w:val="en" w:eastAsia="en-AU"/>
        </w:rPr>
        <w:t xml:space="preserve"> at 18 to 19</w:t>
      </w:r>
      <w:r w:rsidR="00964EE4">
        <w:rPr>
          <w:lang w:val="en" w:eastAsia="en-AU"/>
        </w:rPr>
        <w:t xml:space="preserve"> (“</w:t>
      </w:r>
      <w:r w:rsidR="00964EE4">
        <w:rPr>
          <w:i/>
          <w:lang w:val="en" w:eastAsia="en-AU"/>
        </w:rPr>
        <w:t>Kelly v Fitzpatrick</w:t>
      </w:r>
      <w:r w:rsidR="00964EE4">
        <w:rPr>
          <w:lang w:val="en" w:eastAsia="en-AU"/>
        </w:rPr>
        <w:t>”)</w:t>
      </w:r>
      <w:r w:rsidRPr="0072120D">
        <w:rPr>
          <w:lang w:val="en" w:eastAsia="en-AU"/>
        </w:rPr>
        <w:t>, Tracey</w:t>
      </w:r>
      <w:r w:rsidR="00FD3AE7" w:rsidRPr="0072120D">
        <w:rPr>
          <w:lang w:val="en" w:eastAsia="en-AU"/>
        </w:rPr>
        <w:t> </w:t>
      </w:r>
      <w:r w:rsidRPr="0072120D">
        <w:rPr>
          <w:lang w:val="en" w:eastAsia="en-AU"/>
        </w:rPr>
        <w:t xml:space="preserve">J was called upon to quantify penalties for admitted contraventions of the </w:t>
      </w:r>
      <w:r w:rsidRPr="0072120D">
        <w:rPr>
          <w:i/>
          <w:iCs/>
          <w:lang w:val="en" w:eastAsia="en-AU"/>
        </w:rPr>
        <w:t>Transport Workers Award 1998</w:t>
      </w:r>
      <w:r w:rsidRPr="0072120D">
        <w:rPr>
          <w:lang w:val="en" w:eastAsia="en-AU"/>
        </w:rPr>
        <w:t xml:space="preserve"> and in doing so adopted the following as a “</w:t>
      </w:r>
      <w:r w:rsidRPr="0072120D">
        <w:rPr>
          <w:i/>
          <w:iCs/>
          <w:lang w:val="en" w:eastAsia="en-AU"/>
        </w:rPr>
        <w:t>non-exhaustive range of considerations</w:t>
      </w:r>
      <w:r w:rsidRPr="0072120D">
        <w:rPr>
          <w:lang w:val="en" w:eastAsia="en-AU"/>
        </w:rPr>
        <w:t>” to be taken into account:</w:t>
      </w:r>
    </w:p>
    <w:p w:rsidR="0048056F" w:rsidRPr="0072120D" w:rsidRDefault="0048056F" w:rsidP="007A2051">
      <w:pPr>
        <w:pStyle w:val="FCBullets"/>
        <w:rPr>
          <w:lang w:val="en" w:eastAsia="en-AU"/>
        </w:rPr>
      </w:pPr>
      <w:r w:rsidRPr="0072120D">
        <w:rPr>
          <w:lang w:val="en" w:eastAsia="en-AU"/>
        </w:rPr>
        <w:t>the nature and extent of the conduct which led to the breaches;</w:t>
      </w:r>
    </w:p>
    <w:p w:rsidR="0048056F" w:rsidRPr="0072120D" w:rsidRDefault="0048056F" w:rsidP="007A2051">
      <w:pPr>
        <w:pStyle w:val="FCBullets"/>
        <w:rPr>
          <w:lang w:val="en" w:eastAsia="en-AU"/>
        </w:rPr>
      </w:pPr>
      <w:r w:rsidRPr="0072120D">
        <w:rPr>
          <w:lang w:val="en" w:eastAsia="en-AU"/>
        </w:rPr>
        <w:t>the circumstances in which that conduct took place;</w:t>
      </w:r>
    </w:p>
    <w:p w:rsidR="0048056F" w:rsidRPr="0072120D" w:rsidRDefault="0048056F" w:rsidP="007A2051">
      <w:pPr>
        <w:pStyle w:val="FCBullets"/>
        <w:rPr>
          <w:lang w:val="en" w:eastAsia="en-AU"/>
        </w:rPr>
      </w:pPr>
      <w:r w:rsidRPr="0072120D">
        <w:rPr>
          <w:lang w:val="en" w:eastAsia="en-AU"/>
        </w:rPr>
        <w:t>the nature and extent of any loss or damage sustained as a result of the breaches;</w:t>
      </w:r>
    </w:p>
    <w:p w:rsidR="0048056F" w:rsidRPr="0072120D" w:rsidRDefault="0048056F" w:rsidP="007A2051">
      <w:pPr>
        <w:pStyle w:val="FCBullets"/>
        <w:rPr>
          <w:lang w:val="en" w:eastAsia="en-AU"/>
        </w:rPr>
      </w:pPr>
      <w:r w:rsidRPr="0072120D">
        <w:rPr>
          <w:lang w:val="en" w:eastAsia="en-AU"/>
        </w:rPr>
        <w:t>whether there had been similar previous conduct by the respondent;</w:t>
      </w:r>
    </w:p>
    <w:p w:rsidR="0048056F" w:rsidRPr="0072120D" w:rsidRDefault="0048056F" w:rsidP="007A2051">
      <w:pPr>
        <w:pStyle w:val="FCBullets"/>
        <w:rPr>
          <w:lang w:val="en" w:eastAsia="en-AU"/>
        </w:rPr>
      </w:pPr>
      <w:r w:rsidRPr="0072120D">
        <w:rPr>
          <w:lang w:val="en" w:eastAsia="en-AU"/>
        </w:rPr>
        <w:t xml:space="preserve">whether the breaches were properly distinct or arose out of the one course of conduct; </w:t>
      </w:r>
    </w:p>
    <w:p w:rsidR="0048056F" w:rsidRPr="0072120D" w:rsidRDefault="0048056F" w:rsidP="007A2051">
      <w:pPr>
        <w:pStyle w:val="FCBullets"/>
        <w:rPr>
          <w:lang w:val="en" w:eastAsia="en-AU"/>
        </w:rPr>
      </w:pPr>
      <w:r w:rsidRPr="0072120D">
        <w:rPr>
          <w:lang w:val="en" w:eastAsia="en-AU"/>
        </w:rPr>
        <w:t>the size of the business enterprise involved;</w:t>
      </w:r>
    </w:p>
    <w:p w:rsidR="0048056F" w:rsidRPr="0072120D" w:rsidRDefault="0048056F" w:rsidP="007A2051">
      <w:pPr>
        <w:pStyle w:val="FCBullets"/>
        <w:rPr>
          <w:lang w:val="en" w:eastAsia="en-AU"/>
        </w:rPr>
      </w:pPr>
      <w:r w:rsidRPr="0072120D">
        <w:rPr>
          <w:lang w:val="en" w:eastAsia="en-AU"/>
        </w:rPr>
        <w:lastRenderedPageBreak/>
        <w:t>whether or not the breaches were deliberate;</w:t>
      </w:r>
    </w:p>
    <w:p w:rsidR="0048056F" w:rsidRPr="0072120D" w:rsidRDefault="0048056F" w:rsidP="007A2051">
      <w:pPr>
        <w:pStyle w:val="FCBullets"/>
        <w:rPr>
          <w:lang w:val="en" w:eastAsia="en-AU"/>
        </w:rPr>
      </w:pPr>
      <w:r w:rsidRPr="0072120D">
        <w:rPr>
          <w:lang w:val="en" w:eastAsia="en-AU"/>
        </w:rPr>
        <w:t>whether senior management was involved in the breaches;</w:t>
      </w:r>
    </w:p>
    <w:p w:rsidR="0048056F" w:rsidRPr="0072120D" w:rsidRDefault="0048056F" w:rsidP="007A2051">
      <w:pPr>
        <w:pStyle w:val="FCBullets"/>
        <w:rPr>
          <w:lang w:val="en" w:eastAsia="en-AU"/>
        </w:rPr>
      </w:pPr>
      <w:r w:rsidRPr="0072120D">
        <w:rPr>
          <w:lang w:val="en" w:eastAsia="en-AU"/>
        </w:rPr>
        <w:t>whether the party committing the breach had exhibited contrition;</w:t>
      </w:r>
    </w:p>
    <w:p w:rsidR="0048056F" w:rsidRPr="0072120D" w:rsidRDefault="0048056F" w:rsidP="007A2051">
      <w:pPr>
        <w:pStyle w:val="FCBullets"/>
        <w:rPr>
          <w:lang w:val="en" w:eastAsia="en-AU"/>
        </w:rPr>
      </w:pPr>
      <w:r w:rsidRPr="0072120D">
        <w:rPr>
          <w:lang w:val="en" w:eastAsia="en-AU"/>
        </w:rPr>
        <w:t>whether the party committing the breach had taken corrective action;</w:t>
      </w:r>
    </w:p>
    <w:p w:rsidR="0048056F" w:rsidRPr="0072120D" w:rsidRDefault="0048056F" w:rsidP="007A2051">
      <w:pPr>
        <w:pStyle w:val="FCBullets"/>
        <w:rPr>
          <w:lang w:val="en" w:eastAsia="en-AU"/>
        </w:rPr>
      </w:pPr>
      <w:r w:rsidRPr="0072120D">
        <w:rPr>
          <w:lang w:val="en" w:eastAsia="en-AU"/>
        </w:rPr>
        <w:t>whether the party committing the breach had cooperated with the enforcement authorities;</w:t>
      </w:r>
    </w:p>
    <w:p w:rsidR="0048056F" w:rsidRPr="0072120D" w:rsidRDefault="0048056F" w:rsidP="007A2051">
      <w:pPr>
        <w:pStyle w:val="FCBullets"/>
        <w:rPr>
          <w:lang w:val="en" w:eastAsia="en-AU"/>
        </w:rPr>
      </w:pPr>
      <w:r w:rsidRPr="0072120D">
        <w:rPr>
          <w:lang w:val="en" w:eastAsia="en-AU"/>
        </w:rPr>
        <w:t>the need to ensure compliance with minimum standards by provision of an effective means for investigation and enforcement of employee entitlements; and</w:t>
      </w:r>
    </w:p>
    <w:p w:rsidR="0048056F" w:rsidRPr="0072120D" w:rsidRDefault="0048056F" w:rsidP="007A2051">
      <w:pPr>
        <w:pStyle w:val="FCBullets"/>
        <w:rPr>
          <w:lang w:val="en" w:eastAsia="en-AU"/>
        </w:rPr>
      </w:pPr>
      <w:r w:rsidRPr="0072120D">
        <w:rPr>
          <w:lang w:val="en" w:eastAsia="en-AU"/>
        </w:rPr>
        <w:t>the need for specific and general deterrence.</w:t>
      </w:r>
    </w:p>
    <w:p w:rsidR="0096443A" w:rsidRPr="0072120D" w:rsidRDefault="00180422" w:rsidP="00201EBD">
      <w:pPr>
        <w:pStyle w:val="NoNum"/>
        <w:spacing w:before="240"/>
        <w:rPr>
          <w:lang w:val="en" w:eastAsia="en-AU"/>
        </w:rPr>
      </w:pPr>
      <w:r w:rsidRPr="0072120D">
        <w:rPr>
          <w:lang w:val="en" w:eastAsia="en-AU"/>
        </w:rPr>
        <w:t>I</w:t>
      </w:r>
      <w:r w:rsidR="0096443A" w:rsidRPr="0072120D">
        <w:rPr>
          <w:lang w:val="en" w:eastAsia="en-AU"/>
        </w:rPr>
        <w:t xml:space="preserve">t was common ground that these principles are </w:t>
      </w:r>
      <w:r w:rsidR="00D4082F" w:rsidRPr="0072120D">
        <w:rPr>
          <w:lang w:val="en" w:eastAsia="en-AU"/>
        </w:rPr>
        <w:t>equa</w:t>
      </w:r>
      <w:bookmarkStart w:id="22" w:name="_GoBack"/>
      <w:bookmarkEnd w:id="22"/>
      <w:r w:rsidR="00D4082F" w:rsidRPr="0072120D">
        <w:rPr>
          <w:lang w:val="en" w:eastAsia="en-AU"/>
        </w:rPr>
        <w:t xml:space="preserve">lly as </w:t>
      </w:r>
      <w:r w:rsidR="0096443A" w:rsidRPr="0072120D">
        <w:rPr>
          <w:lang w:val="en" w:eastAsia="en-AU"/>
        </w:rPr>
        <w:t xml:space="preserve">applicable in the assessment of penalties under both the </w:t>
      </w:r>
      <w:r w:rsidR="0096443A" w:rsidRPr="0072120D">
        <w:rPr>
          <w:i/>
          <w:lang w:val="en" w:eastAsia="en-AU"/>
        </w:rPr>
        <w:t>Fair Work Act</w:t>
      </w:r>
      <w:r w:rsidR="0096443A" w:rsidRPr="0072120D">
        <w:rPr>
          <w:lang w:val="en" w:eastAsia="en-AU"/>
        </w:rPr>
        <w:t xml:space="preserve"> (cf. </w:t>
      </w:r>
      <w:r w:rsidR="0096443A" w:rsidRPr="0072120D">
        <w:rPr>
          <w:i/>
          <w:iCs/>
          <w:lang w:val="en" w:eastAsia="en-AU"/>
        </w:rPr>
        <w:t xml:space="preserve">DP World Sydney Ltd v Maritime Union of Australia (No 2) </w:t>
      </w:r>
      <w:r w:rsidR="0096443A" w:rsidRPr="0072120D">
        <w:rPr>
          <w:lang w:val="en" w:eastAsia="en-AU"/>
        </w:rPr>
        <w:t>[2014] FCA 596 at [20] to [22], (2014) 318 ALR 22 at 27 to 29 per Flick</w:t>
      </w:r>
      <w:r w:rsidR="00201EBD" w:rsidRPr="0072120D">
        <w:rPr>
          <w:lang w:val="en" w:eastAsia="en-AU"/>
        </w:rPr>
        <w:t> </w:t>
      </w:r>
      <w:r w:rsidR="0096443A" w:rsidRPr="0072120D">
        <w:rPr>
          <w:lang w:val="en" w:eastAsia="en-AU"/>
        </w:rPr>
        <w:t>J</w:t>
      </w:r>
      <w:r w:rsidR="00D4082F" w:rsidRPr="0072120D">
        <w:rPr>
          <w:lang w:val="en" w:eastAsia="en-AU"/>
        </w:rPr>
        <w:t xml:space="preserve">) and the </w:t>
      </w:r>
      <w:r w:rsidR="00D4082F" w:rsidRPr="0072120D">
        <w:rPr>
          <w:i/>
          <w:lang w:val="en" w:eastAsia="en-AU"/>
        </w:rPr>
        <w:t>Building Industry Act</w:t>
      </w:r>
      <w:r w:rsidR="0096443A" w:rsidRPr="0072120D">
        <w:rPr>
          <w:lang w:val="en" w:eastAsia="en-AU"/>
        </w:rPr>
        <w:t xml:space="preserve">. </w:t>
      </w:r>
    </w:p>
    <w:p w:rsidR="00180422" w:rsidRPr="0072120D" w:rsidRDefault="00180422" w:rsidP="003A434A">
      <w:pPr>
        <w:pStyle w:val="ParaNumbering"/>
      </w:pPr>
      <w:r w:rsidRPr="0072120D">
        <w:t>When considering whether an agreed range of penalties is “</w:t>
      </w:r>
      <w:r w:rsidRPr="0072120D">
        <w:rPr>
          <w:i/>
        </w:rPr>
        <w:t>appropriate</w:t>
      </w:r>
      <w:r w:rsidRPr="0072120D">
        <w:t xml:space="preserve">” it is respectfully not necessary to consider each </w:t>
      </w:r>
      <w:r w:rsidR="006E1F54">
        <w:t xml:space="preserve">of those </w:t>
      </w:r>
      <w:r w:rsidRPr="0072120D">
        <w:t>factor</w:t>
      </w:r>
      <w:r w:rsidR="006E1F54">
        <w:t>s</w:t>
      </w:r>
      <w:r w:rsidRPr="0072120D">
        <w:t xml:space="preserve"> as identified by Tracey</w:t>
      </w:r>
      <w:r w:rsidR="00201EBD" w:rsidRPr="0072120D">
        <w:t> </w:t>
      </w:r>
      <w:r w:rsidRPr="0072120D">
        <w:t xml:space="preserve">J in </w:t>
      </w:r>
      <w:r w:rsidRPr="0072120D">
        <w:rPr>
          <w:i/>
        </w:rPr>
        <w:t>Kelly v Fitzpatrick</w:t>
      </w:r>
      <w:r w:rsidRPr="0072120D">
        <w:t xml:space="preserve"> in the same degree of detail as would be required in the absence of agreement.  But they remain a useful checklist – albeit not an exhaustive checklist – of the considerations to be taken into account.</w:t>
      </w:r>
    </w:p>
    <w:p w:rsidR="00180422" w:rsidRPr="0072120D" w:rsidRDefault="00180422" w:rsidP="003A434A">
      <w:pPr>
        <w:pStyle w:val="ParaNumbering"/>
      </w:pPr>
      <w:r w:rsidRPr="0072120D">
        <w:t>As expressed at the outset of the hearing, the “</w:t>
      </w:r>
      <w:r w:rsidRPr="0072120D">
        <w:rPr>
          <w:i/>
        </w:rPr>
        <w:t>instinctive</w:t>
      </w:r>
      <w:r w:rsidRPr="0072120D">
        <w:t>” assessment as to the range agreed between the parties in the present case was considered to be at a level lower than that which would otherwise be considered “</w:t>
      </w:r>
      <w:r w:rsidRPr="0072120D">
        <w:rPr>
          <w:i/>
        </w:rPr>
        <w:t>appropriate</w:t>
      </w:r>
      <w:r w:rsidRPr="0072120D">
        <w:t>”.</w:t>
      </w:r>
      <w:r w:rsidR="00201EBD" w:rsidRPr="0072120D">
        <w:t xml:space="preserve"> </w:t>
      </w:r>
      <w:r w:rsidRPr="0072120D">
        <w:t xml:space="preserve"> The conduct giving rise to the contraventions was engaged in by a senior officer of the CFMMEU and arose in a context which it may be assumed occasioned some disruption to a workforce on a significant building site. </w:t>
      </w:r>
      <w:r w:rsidR="00201EBD" w:rsidRPr="0072120D">
        <w:t xml:space="preserve"> </w:t>
      </w:r>
      <w:r w:rsidRPr="0072120D">
        <w:t>Notwithstanding the fact that Counsel for the Respondents took some umbrage at the CFMMEU being characterised as a “</w:t>
      </w:r>
      <w:r w:rsidRPr="0072120D">
        <w:rPr>
          <w:i/>
        </w:rPr>
        <w:t>recidivist</w:t>
      </w:r>
      <w:r w:rsidRPr="0072120D">
        <w:t xml:space="preserve">”, that characterisation is apt. </w:t>
      </w:r>
      <w:r w:rsidR="00201EBD" w:rsidRPr="0072120D">
        <w:t xml:space="preserve"> </w:t>
      </w:r>
      <w:r w:rsidRPr="0072120D">
        <w:t>And Mr</w:t>
      </w:r>
      <w:r w:rsidR="00201EBD" w:rsidRPr="0072120D">
        <w:t> </w:t>
      </w:r>
      <w:r w:rsidR="00F303E9">
        <w:t xml:space="preserve">Sloane, an officer of that Union, </w:t>
      </w:r>
      <w:r w:rsidRPr="0072120D">
        <w:t xml:space="preserve">has also been found to have </w:t>
      </w:r>
      <w:r w:rsidR="00F303E9">
        <w:t xml:space="preserve">personally </w:t>
      </w:r>
      <w:r w:rsidRPr="0072120D">
        <w:t xml:space="preserve">committed a number of contraventions of the </w:t>
      </w:r>
      <w:r w:rsidRPr="0072120D">
        <w:rPr>
          <w:i/>
        </w:rPr>
        <w:t>Fair Work Act</w:t>
      </w:r>
      <w:r w:rsidRPr="0072120D">
        <w:t>.</w:t>
      </w:r>
      <w:r w:rsidR="00201EBD" w:rsidRPr="0072120D">
        <w:t xml:space="preserve"> </w:t>
      </w:r>
      <w:r w:rsidRPr="0072120D">
        <w:t xml:space="preserve"> He, too, was not a Respondent unknown to the Court as a person who on </w:t>
      </w:r>
      <w:r w:rsidR="003F3686">
        <w:t xml:space="preserve">other </w:t>
      </w:r>
      <w:r w:rsidRPr="0072120D">
        <w:t>occasions has been found to have deliberately exceeded his powers of entry as a union official.</w:t>
      </w:r>
      <w:r w:rsidR="00985584" w:rsidRPr="0072120D">
        <w:t xml:space="preserve"> </w:t>
      </w:r>
      <w:r w:rsidR="00201EBD" w:rsidRPr="0072120D">
        <w:t xml:space="preserve"> </w:t>
      </w:r>
      <w:r w:rsidR="006E1F54">
        <w:t xml:space="preserve">Where the </w:t>
      </w:r>
      <w:r w:rsidR="00985584" w:rsidRPr="0072120D">
        <w:t xml:space="preserve">primary purpose in imposing penalties </w:t>
      </w:r>
      <w:r w:rsidR="006E1F54">
        <w:t xml:space="preserve">is </w:t>
      </w:r>
      <w:r w:rsidR="00985584" w:rsidRPr="0072120D">
        <w:t>both specific and general deterrence, it was “</w:t>
      </w:r>
      <w:r w:rsidR="00985584" w:rsidRPr="0072120D">
        <w:rPr>
          <w:i/>
        </w:rPr>
        <w:t>instinctively</w:t>
      </w:r>
      <w:r w:rsidR="00985584" w:rsidRPr="0072120D">
        <w:t xml:space="preserve">” considered that a penalty within the range propounded would not achieve the objective of deterrence, especially specific deterrence. </w:t>
      </w:r>
    </w:p>
    <w:p w:rsidR="00180422" w:rsidRPr="0072120D" w:rsidRDefault="00180422" w:rsidP="003A434A">
      <w:pPr>
        <w:pStyle w:val="ParaNumbering"/>
      </w:pPr>
      <w:r w:rsidRPr="0072120D">
        <w:lastRenderedPageBreak/>
        <w:t xml:space="preserve">But that </w:t>
      </w:r>
      <w:r w:rsidR="006E1F54">
        <w:t xml:space="preserve">initial </w:t>
      </w:r>
      <w:r w:rsidRPr="0072120D">
        <w:t>“</w:t>
      </w:r>
      <w:r w:rsidRPr="0072120D">
        <w:rPr>
          <w:i/>
        </w:rPr>
        <w:t>instinctive</w:t>
      </w:r>
      <w:r w:rsidRPr="0072120D">
        <w:t xml:space="preserve">” assessment has been tempered by the agreement on the part of the Commissioner </w:t>
      </w:r>
      <w:r w:rsidR="001943A8" w:rsidRPr="0072120D">
        <w:t xml:space="preserve">as to the range otherwise considered to be </w:t>
      </w:r>
      <w:r w:rsidRPr="0072120D">
        <w:t>“</w:t>
      </w:r>
      <w:r w:rsidRPr="0072120D">
        <w:rPr>
          <w:i/>
        </w:rPr>
        <w:t>appropriate</w:t>
      </w:r>
      <w:r w:rsidRPr="0072120D">
        <w:t xml:space="preserve">”. </w:t>
      </w:r>
      <w:r w:rsidR="001943A8" w:rsidRPr="0072120D">
        <w:t xml:space="preserve"> Albeit the agreement reflecting initially a range of penalties that would otherwise have been considered too low, the range was not outside that which others could reasonably consider to be appropriate. </w:t>
      </w:r>
      <w:r w:rsidR="00201EBD" w:rsidRPr="0072120D">
        <w:t xml:space="preserve"> </w:t>
      </w:r>
      <w:r w:rsidR="001943A8" w:rsidRPr="0072120D">
        <w:t>Albeit not “</w:t>
      </w:r>
      <w:r w:rsidR="001943A8" w:rsidRPr="0072120D">
        <w:rPr>
          <w:i/>
        </w:rPr>
        <w:t>determinative</w:t>
      </w:r>
      <w:r w:rsidR="001943A8" w:rsidRPr="0072120D">
        <w:t>” (cf</w:t>
      </w:r>
      <w:r w:rsidR="003F3686">
        <w:t>.</w:t>
      </w:r>
      <w:r w:rsidR="001943A8" w:rsidRPr="0072120D">
        <w:t xml:space="preserve"> </w:t>
      </w:r>
      <w:r w:rsidR="00E16A37">
        <w:rPr>
          <w:i/>
        </w:rPr>
        <w:t>Mobil Oil</w:t>
      </w:r>
      <w:r w:rsidR="001943A8" w:rsidRPr="0072120D">
        <w:t xml:space="preserve"> at [51(iv)</w:t>
      </w:r>
      <w:r w:rsidR="00201EBD" w:rsidRPr="0072120D">
        <w:t>]</w:t>
      </w:r>
      <w:r w:rsidR="001943A8" w:rsidRPr="0072120D">
        <w:t>), the Commissioner’s assessment that the agreed range sufficiently promotes the primary objective of “</w:t>
      </w:r>
      <w:r w:rsidR="001943A8" w:rsidRPr="0072120D">
        <w:rPr>
          <w:i/>
        </w:rPr>
        <w:t>deterrence</w:t>
      </w:r>
      <w:r w:rsidR="001943A8" w:rsidRPr="0072120D">
        <w:t xml:space="preserve">” is persuasive. </w:t>
      </w:r>
      <w:r w:rsidR="00201EBD" w:rsidRPr="0072120D">
        <w:t xml:space="preserve"> </w:t>
      </w:r>
      <w:r w:rsidR="001943A8" w:rsidRPr="0072120D">
        <w:t>So, too, is the fact that there is a public interest in promoting settlement of litigation.</w:t>
      </w:r>
      <w:r w:rsidR="00201EBD" w:rsidRPr="0072120D">
        <w:t xml:space="preserve"> </w:t>
      </w:r>
      <w:r w:rsidR="001943A8" w:rsidRPr="0072120D">
        <w:t xml:space="preserve"> Although it may well have been the case that the Court could have imposed a higher penalty than that agreed, such a process of analysis is not “</w:t>
      </w:r>
      <w:r w:rsidR="001943A8" w:rsidRPr="0072120D">
        <w:rPr>
          <w:i/>
        </w:rPr>
        <w:t>useful</w:t>
      </w:r>
      <w:r w:rsidR="001943A8" w:rsidRPr="0072120D">
        <w:t xml:space="preserve">” in the circumstances of the present case. </w:t>
      </w:r>
      <w:r w:rsidRPr="0072120D">
        <w:t xml:space="preserve"> </w:t>
      </w:r>
    </w:p>
    <w:p w:rsidR="001943A8" w:rsidRPr="0072120D" w:rsidRDefault="001943A8" w:rsidP="003A434A">
      <w:pPr>
        <w:pStyle w:val="ParaNumbering"/>
      </w:pPr>
      <w:r w:rsidRPr="0072120D">
        <w:t xml:space="preserve">It has nevertheless been concluded that the penalties to be imposed should be at the very maximum of that agreed when </w:t>
      </w:r>
      <w:r w:rsidR="00E16A37" w:rsidRPr="0072120D">
        <w:t>attention</w:t>
      </w:r>
      <w:r w:rsidRPr="0072120D">
        <w:t xml:space="preserve"> is given, albeit not in any detailed manner, to such considerations as: </w:t>
      </w:r>
    </w:p>
    <w:p w:rsidR="001943A8" w:rsidRPr="0072120D" w:rsidRDefault="00985584" w:rsidP="001943A8">
      <w:pPr>
        <w:pStyle w:val="FCBullets"/>
      </w:pPr>
      <w:r w:rsidRPr="0072120D">
        <w:t>t</w:t>
      </w:r>
      <w:r w:rsidR="001943A8" w:rsidRPr="0072120D">
        <w:t>he size and nature of the CFM</w:t>
      </w:r>
      <w:r w:rsidR="00771C2B">
        <w:t>M</w:t>
      </w:r>
      <w:r w:rsidR="001943A8" w:rsidRPr="0072120D">
        <w:t>EU</w:t>
      </w:r>
      <w:r w:rsidRPr="0072120D">
        <w:t xml:space="preserve">; </w:t>
      </w:r>
    </w:p>
    <w:p w:rsidR="00985584" w:rsidRPr="0072120D" w:rsidRDefault="00985584" w:rsidP="001943A8">
      <w:pPr>
        <w:pStyle w:val="FCBullets"/>
      </w:pPr>
      <w:r w:rsidRPr="0072120D">
        <w:t>the fact that the CFMMEU has repeatedly engaged in comparable conduct in the past;</w:t>
      </w:r>
    </w:p>
    <w:p w:rsidR="00985584" w:rsidRPr="0072120D" w:rsidRDefault="00985584" w:rsidP="001943A8">
      <w:pPr>
        <w:pStyle w:val="FCBullets"/>
      </w:pPr>
      <w:r w:rsidRPr="0072120D">
        <w:t>the fact that Mr Sloane has also engaged in comparable conduct in the past;</w:t>
      </w:r>
    </w:p>
    <w:p w:rsidR="00985584" w:rsidRPr="0072120D" w:rsidRDefault="00985584" w:rsidP="001943A8">
      <w:pPr>
        <w:pStyle w:val="FCBullets"/>
      </w:pPr>
      <w:r w:rsidRPr="0072120D">
        <w:t xml:space="preserve">the fact that it is admitted that the dispute regarding payment was a pay claim without merit; and </w:t>
      </w:r>
    </w:p>
    <w:p w:rsidR="00985584" w:rsidRPr="0072120D" w:rsidRDefault="00985584" w:rsidP="001943A8">
      <w:pPr>
        <w:pStyle w:val="FCBullets"/>
      </w:pPr>
      <w:r w:rsidRPr="0072120D">
        <w:t xml:space="preserve">the fact that neither the CFMMEU nor Mr Sloane have expressed any regret or remorse for having engaged in the conduct now in issue. </w:t>
      </w:r>
    </w:p>
    <w:p w:rsidR="003D5475" w:rsidRPr="0072120D" w:rsidRDefault="003D5475" w:rsidP="00EF6DD2">
      <w:pPr>
        <w:pStyle w:val="Heading3"/>
      </w:pPr>
      <w:r w:rsidRPr="0072120D">
        <w:t>Double jeopardy</w:t>
      </w:r>
    </w:p>
    <w:p w:rsidR="00FC25FA" w:rsidRPr="0072120D" w:rsidRDefault="005421DF" w:rsidP="000E6FFB">
      <w:pPr>
        <w:pStyle w:val="ParaNumbering"/>
      </w:pPr>
      <w:r>
        <w:t xml:space="preserve">Although </w:t>
      </w:r>
      <w:r w:rsidR="00985584" w:rsidRPr="0072120D">
        <w:t xml:space="preserve">Counsel for the Commissioner and Counsel for the Respondents not surprisingly </w:t>
      </w:r>
      <w:r w:rsidR="00ED7D52">
        <w:t>advanced</w:t>
      </w:r>
      <w:r w:rsidR="00985584" w:rsidRPr="0072120D">
        <w:t xml:space="preserve"> competing submissions as to where within the range agreed the “</w:t>
      </w:r>
      <w:r w:rsidR="00985584" w:rsidRPr="0072120D">
        <w:rPr>
          <w:i/>
        </w:rPr>
        <w:t>appropriate</w:t>
      </w:r>
      <w:r w:rsidR="00985584" w:rsidRPr="0072120D">
        <w:t>” pe</w:t>
      </w:r>
      <w:r>
        <w:t>nalty otherwise was to be fixed</w:t>
      </w:r>
      <w:r w:rsidR="00052A0A">
        <w:t xml:space="preserve">, </w:t>
      </w:r>
      <w:r w:rsidR="00985584" w:rsidRPr="0072120D">
        <w:t>t</w:t>
      </w:r>
      <w:r w:rsidR="00FC25FA" w:rsidRPr="0072120D">
        <w:t>he fundamental difference between the parties in the present proceeding centre</w:t>
      </w:r>
      <w:r w:rsidR="00985584" w:rsidRPr="0072120D">
        <w:t>d</w:t>
      </w:r>
      <w:r w:rsidR="00FC25FA" w:rsidRPr="0072120D">
        <w:t xml:space="preserve"> </w:t>
      </w:r>
      <w:r w:rsidR="003D5475" w:rsidRPr="0072120D">
        <w:t>o</w:t>
      </w:r>
      <w:r w:rsidR="00EF6DD2" w:rsidRPr="0072120D">
        <w:t>n</w:t>
      </w:r>
      <w:r w:rsidR="003D5475" w:rsidRPr="0072120D">
        <w:t xml:space="preserve"> </w:t>
      </w:r>
      <w:r w:rsidR="005912D8" w:rsidRPr="0072120D">
        <w:t>the application of s </w:t>
      </w:r>
      <w:r w:rsidR="00FC25FA" w:rsidRPr="0072120D">
        <w:t xml:space="preserve">556 of the </w:t>
      </w:r>
      <w:r w:rsidR="00FC25FA" w:rsidRPr="0072120D">
        <w:rPr>
          <w:i/>
        </w:rPr>
        <w:t>Fair Work Act</w:t>
      </w:r>
      <w:r w:rsidR="00FC25FA" w:rsidRPr="0072120D">
        <w:t xml:space="preserve"> and s</w:t>
      </w:r>
      <w:r w:rsidR="005912D8" w:rsidRPr="0072120D">
        <w:t> </w:t>
      </w:r>
      <w:r w:rsidR="00FC25FA" w:rsidRPr="0072120D">
        <w:t xml:space="preserve">91 of the </w:t>
      </w:r>
      <w:r w:rsidR="00FC25FA" w:rsidRPr="0072120D">
        <w:rPr>
          <w:i/>
        </w:rPr>
        <w:t>Building Industry Act</w:t>
      </w:r>
      <w:r w:rsidR="00FC25FA" w:rsidRPr="0072120D">
        <w:t xml:space="preserve">. </w:t>
      </w:r>
    </w:p>
    <w:p w:rsidR="0074782E" w:rsidRPr="0072120D" w:rsidRDefault="00FE5433" w:rsidP="00FE5433">
      <w:pPr>
        <w:pStyle w:val="ParaNumbering"/>
      </w:pPr>
      <w:r w:rsidRPr="0072120D">
        <w:t>T</w:t>
      </w:r>
      <w:r w:rsidR="00FC25FA" w:rsidRPr="0072120D">
        <w:t>he Commissioner contends that neither section precludes the imposition of a penalty as against both Mr Sloane and the CFMMEU because the “</w:t>
      </w:r>
      <w:r w:rsidR="00FC25FA" w:rsidRPr="0072120D">
        <w:rPr>
          <w:i/>
        </w:rPr>
        <w:t>particular conduct</w:t>
      </w:r>
      <w:r w:rsidR="00FC25FA" w:rsidRPr="0072120D">
        <w:t>” which is the subject of the s</w:t>
      </w:r>
      <w:r w:rsidR="005912D8" w:rsidRPr="0072120D">
        <w:t> </w:t>
      </w:r>
      <w:r w:rsidR="00FC25FA" w:rsidRPr="0072120D">
        <w:t xml:space="preserve">500 contravention of the </w:t>
      </w:r>
      <w:r w:rsidR="00FC25FA" w:rsidRPr="0072120D">
        <w:rPr>
          <w:i/>
        </w:rPr>
        <w:t>Fair Work Act</w:t>
      </w:r>
      <w:r w:rsidR="00FC25FA" w:rsidRPr="0072120D">
        <w:t xml:space="preserve"> and the </w:t>
      </w:r>
      <w:r w:rsidR="0074782E" w:rsidRPr="0072120D">
        <w:t xml:space="preserve">conduct the </w:t>
      </w:r>
      <w:r w:rsidR="00FC25FA" w:rsidRPr="0072120D">
        <w:t xml:space="preserve">subject of </w:t>
      </w:r>
      <w:r w:rsidR="00052A0A">
        <w:t>the contravention</w:t>
      </w:r>
      <w:r w:rsidR="0074782E" w:rsidRPr="0072120D">
        <w:t xml:space="preserve"> of </w:t>
      </w:r>
      <w:r w:rsidR="00FC25FA" w:rsidRPr="0072120D">
        <w:t>s</w:t>
      </w:r>
      <w:r w:rsidR="005912D8" w:rsidRPr="0072120D">
        <w:t> </w:t>
      </w:r>
      <w:r w:rsidR="00FC25FA" w:rsidRPr="0072120D">
        <w:t xml:space="preserve">46 of the </w:t>
      </w:r>
      <w:r w:rsidR="00FC25FA" w:rsidRPr="0072120D">
        <w:rPr>
          <w:i/>
        </w:rPr>
        <w:t>Building Industry Act</w:t>
      </w:r>
      <w:r w:rsidR="00FC25FA" w:rsidRPr="0072120D">
        <w:t xml:space="preserve"> </w:t>
      </w:r>
      <w:r w:rsidR="0074782E" w:rsidRPr="0072120D">
        <w:t>are different.</w:t>
      </w:r>
      <w:r w:rsidR="005912D8" w:rsidRPr="0072120D">
        <w:t xml:space="preserve"> </w:t>
      </w:r>
      <w:r w:rsidR="0074782E" w:rsidRPr="0072120D">
        <w:t xml:space="preserve"> But the Commissioner further contends that the “</w:t>
      </w:r>
      <w:r w:rsidR="0074782E" w:rsidRPr="0072120D">
        <w:rPr>
          <w:i/>
        </w:rPr>
        <w:t>totality principle</w:t>
      </w:r>
      <w:r w:rsidR="0074782E" w:rsidRPr="0072120D">
        <w:t>” applies in order to ensure that the overall penalties to be imposed a</w:t>
      </w:r>
      <w:r w:rsidRPr="0072120D">
        <w:t>r</w:t>
      </w:r>
      <w:r w:rsidR="0074782E" w:rsidRPr="0072120D">
        <w:t xml:space="preserve">e just and appropriate.  </w:t>
      </w:r>
    </w:p>
    <w:p w:rsidR="00FE5433" w:rsidRPr="0072120D" w:rsidRDefault="00FE5433" w:rsidP="000E6FFB">
      <w:pPr>
        <w:pStyle w:val="ParaNumbering"/>
      </w:pPr>
      <w:r w:rsidRPr="0072120D">
        <w:lastRenderedPageBreak/>
        <w:t xml:space="preserve">With reference to the </w:t>
      </w:r>
      <w:r w:rsidRPr="0072120D">
        <w:rPr>
          <w:i/>
        </w:rPr>
        <w:t>Further Statement of Agreed Facts</w:t>
      </w:r>
      <w:r w:rsidRPr="0072120D">
        <w:t xml:space="preserve"> the Commissioner contends that what would be necessary t</w:t>
      </w:r>
      <w:r w:rsidR="00D052C1" w:rsidRPr="0072120D">
        <w:t>o make out a contravention of s </w:t>
      </w:r>
      <w:r w:rsidRPr="0072120D">
        <w:t xml:space="preserve">500 of the </w:t>
      </w:r>
      <w:r w:rsidRPr="0072120D">
        <w:rPr>
          <w:i/>
        </w:rPr>
        <w:t>Fair Work Act</w:t>
      </w:r>
      <w:r w:rsidRPr="0072120D">
        <w:t>:</w:t>
      </w:r>
    </w:p>
    <w:p w:rsidR="00FE5433" w:rsidRPr="0072120D" w:rsidRDefault="00FE5433" w:rsidP="00D052C1">
      <w:pPr>
        <w:pStyle w:val="FCBullets"/>
      </w:pPr>
      <w:r w:rsidRPr="0072120D">
        <w:t>would not involve the proof of any fact going to the “</w:t>
      </w:r>
      <w:r w:rsidRPr="0072120D">
        <w:rPr>
          <w:i/>
        </w:rPr>
        <w:t>engagement</w:t>
      </w:r>
      <w:r w:rsidR="00292D8C" w:rsidRPr="0072120D">
        <w:t>” of Mr </w:t>
      </w:r>
      <w:r w:rsidRPr="0072120D">
        <w:t xml:space="preserve">Sloane in any of the conduct pursued on 20 February 2018, which would be necessary for proof of </w:t>
      </w:r>
      <w:r w:rsidR="00D052C1" w:rsidRPr="0072120D">
        <w:t>contravention of s </w:t>
      </w:r>
      <w:r w:rsidRPr="0072120D">
        <w:t xml:space="preserve">46 of the </w:t>
      </w:r>
      <w:r w:rsidRPr="0072120D">
        <w:rPr>
          <w:i/>
        </w:rPr>
        <w:t>Building Industry Act</w:t>
      </w:r>
      <w:r w:rsidRPr="0072120D">
        <w:t>, but only proof of those facts exposing Mr Sloane as having “</w:t>
      </w:r>
      <w:r w:rsidRPr="0072120D">
        <w:rPr>
          <w:i/>
        </w:rPr>
        <w:t>organised</w:t>
      </w:r>
      <w:r w:rsidRPr="0072120D">
        <w:t xml:space="preserve">” that conduct; and </w:t>
      </w:r>
    </w:p>
    <w:p w:rsidR="00FE5433" w:rsidRPr="0072120D" w:rsidRDefault="00FE5433" w:rsidP="005912D8">
      <w:pPr>
        <w:pStyle w:val="FCBullets"/>
      </w:pPr>
      <w:r w:rsidRPr="0072120D">
        <w:t>would involve proof of those facts going to (for example) the request made of Mr</w:t>
      </w:r>
      <w:r w:rsidR="00D052C1" w:rsidRPr="0072120D">
        <w:t> </w:t>
      </w:r>
      <w:r w:rsidRPr="0072120D">
        <w:t>Sloane and his production of his entry permit and proof of those facts (in particular) going to his improper purpose in seeking entry to the site</w:t>
      </w:r>
      <w:r w:rsidR="00031ABF" w:rsidRPr="0072120D">
        <w:t xml:space="preserve"> – those facts including, for example, the matters set forth in the </w:t>
      </w:r>
      <w:r w:rsidR="00031ABF" w:rsidRPr="0072120D">
        <w:rPr>
          <w:i/>
        </w:rPr>
        <w:t>Further Statement of Agreed Facts</w:t>
      </w:r>
      <w:r w:rsidR="00031ABF" w:rsidRPr="0072120D">
        <w:t xml:space="preserve"> at paras [11(e) and (f)] and [19]. </w:t>
      </w:r>
      <w:r w:rsidRPr="0072120D">
        <w:t xml:space="preserve"> </w:t>
      </w:r>
    </w:p>
    <w:p w:rsidR="00107D4E" w:rsidRPr="0072120D" w:rsidRDefault="00FE5433" w:rsidP="005912D8">
      <w:pPr>
        <w:pStyle w:val="NoNum"/>
      </w:pPr>
      <w:r w:rsidRPr="0072120D">
        <w:t xml:space="preserve">That difference in respect to those facts which </w:t>
      </w:r>
      <w:r w:rsidRPr="00FB35FA">
        <w:t>would not</w:t>
      </w:r>
      <w:r w:rsidRPr="0072120D">
        <w:t xml:space="preserve"> be necessary to </w:t>
      </w:r>
      <w:r w:rsidR="00D052C1" w:rsidRPr="0072120D">
        <w:t>establish a contravention of s </w:t>
      </w:r>
      <w:r w:rsidRPr="0072120D">
        <w:t xml:space="preserve">500 and those </w:t>
      </w:r>
      <w:r w:rsidR="00107D4E" w:rsidRPr="0072120D">
        <w:t xml:space="preserve">additional </w:t>
      </w:r>
      <w:r w:rsidRPr="0072120D">
        <w:t>facts which</w:t>
      </w:r>
      <w:r w:rsidR="00107D4E" w:rsidRPr="0072120D">
        <w:t xml:space="preserve"> </w:t>
      </w:r>
      <w:r w:rsidR="00107D4E" w:rsidRPr="00182ECA">
        <w:rPr>
          <w:i/>
        </w:rPr>
        <w:t>would</w:t>
      </w:r>
      <w:r w:rsidR="00107D4E" w:rsidRPr="0072120D">
        <w:t xml:space="preserve"> be necessary to prove </w:t>
      </w:r>
      <w:r w:rsidR="00FB35FA">
        <w:t>that contravention is</w:t>
      </w:r>
      <w:r w:rsidR="00FB35FA" w:rsidRPr="0072120D">
        <w:t xml:space="preserve"> </w:t>
      </w:r>
      <w:r w:rsidR="00107D4E" w:rsidRPr="0072120D">
        <w:t xml:space="preserve">such that, in the Commissioner’s submission, the present case </w:t>
      </w:r>
      <w:r w:rsidR="00FB35FA">
        <w:t xml:space="preserve">is taken </w:t>
      </w:r>
      <w:r w:rsidR="00107D4E" w:rsidRPr="0072120D">
        <w:t>o</w:t>
      </w:r>
      <w:r w:rsidR="00D052C1" w:rsidRPr="0072120D">
        <w:t>utside of the reach of either s </w:t>
      </w:r>
      <w:r w:rsidR="00107D4E" w:rsidRPr="0072120D">
        <w:t xml:space="preserve">556 of the </w:t>
      </w:r>
      <w:r w:rsidR="00107D4E" w:rsidRPr="0072120D">
        <w:rPr>
          <w:i/>
        </w:rPr>
        <w:t>Fair Work Act</w:t>
      </w:r>
      <w:r w:rsidR="00D052C1" w:rsidRPr="0072120D">
        <w:t xml:space="preserve"> or s </w:t>
      </w:r>
      <w:r w:rsidR="00107D4E" w:rsidRPr="0072120D">
        <w:t xml:space="preserve">91 of the </w:t>
      </w:r>
      <w:r w:rsidR="00107D4E" w:rsidRPr="0072120D">
        <w:rPr>
          <w:i/>
        </w:rPr>
        <w:t>Building Industry Act</w:t>
      </w:r>
      <w:r w:rsidR="00107D4E" w:rsidRPr="0072120D">
        <w:t>.</w:t>
      </w:r>
    </w:p>
    <w:p w:rsidR="00107D4E" w:rsidRPr="0072120D" w:rsidRDefault="00107D4E" w:rsidP="00107D4E">
      <w:pPr>
        <w:pStyle w:val="ParaNumbering"/>
      </w:pPr>
      <w:r w:rsidRPr="0072120D">
        <w:t>The CFMMEU and Mr Sloane jointly contend that the sections do apply</w:t>
      </w:r>
      <w:r w:rsidR="00052A0A">
        <w:t>,</w:t>
      </w:r>
      <w:r w:rsidRPr="0072120D">
        <w:t xml:space="preserve"> such that penalties </w:t>
      </w:r>
      <w:r w:rsidR="00D052C1" w:rsidRPr="0072120D">
        <w:t>can be imposed for either the s </w:t>
      </w:r>
      <w:r w:rsidRPr="0072120D">
        <w:t xml:space="preserve">500 contravention of the </w:t>
      </w:r>
      <w:r w:rsidRPr="0072120D">
        <w:rPr>
          <w:i/>
        </w:rPr>
        <w:t>Fair Work Act</w:t>
      </w:r>
      <w:r w:rsidR="00D052C1" w:rsidRPr="0072120D">
        <w:t xml:space="preserve"> or for the contraventions of s </w:t>
      </w:r>
      <w:r w:rsidRPr="0072120D">
        <w:t>4</w:t>
      </w:r>
      <w:r w:rsidR="00ED2106">
        <w:t>6</w:t>
      </w:r>
      <w:r w:rsidRPr="0072120D">
        <w:t xml:space="preserve"> of the </w:t>
      </w:r>
      <w:r w:rsidRPr="0072120D">
        <w:rPr>
          <w:i/>
        </w:rPr>
        <w:t>Building Industry Act</w:t>
      </w:r>
      <w:r w:rsidRPr="0072120D">
        <w:t xml:space="preserve"> – but not both.</w:t>
      </w:r>
      <w:r w:rsidR="00D052C1" w:rsidRPr="0072120D">
        <w:t xml:space="preserve"> </w:t>
      </w:r>
      <w:r w:rsidRPr="0072120D">
        <w:t xml:space="preserve"> The facts common to both contraventions are such as to bring the case within the statutory expression “</w:t>
      </w:r>
      <w:r w:rsidRPr="0072120D">
        <w:rPr>
          <w:i/>
        </w:rPr>
        <w:t>in relation to particular conduct</w:t>
      </w:r>
      <w:r w:rsidRPr="0072120D">
        <w:t>” as that phrase</w:t>
      </w:r>
      <w:r w:rsidR="005912D8" w:rsidRPr="0072120D">
        <w:t xml:space="preserve"> is employed in both s </w:t>
      </w:r>
      <w:r w:rsidRPr="0072120D">
        <w:t xml:space="preserve">556 of the </w:t>
      </w:r>
      <w:r w:rsidRPr="0072120D">
        <w:rPr>
          <w:i/>
        </w:rPr>
        <w:t>Fair Work Act</w:t>
      </w:r>
      <w:r w:rsidRPr="0072120D">
        <w:t xml:space="preserve"> and s</w:t>
      </w:r>
      <w:r w:rsidR="005912D8" w:rsidRPr="0072120D">
        <w:t> </w:t>
      </w:r>
      <w:r w:rsidRPr="0072120D">
        <w:t xml:space="preserve">91 of the </w:t>
      </w:r>
      <w:r w:rsidRPr="0072120D">
        <w:rPr>
          <w:i/>
        </w:rPr>
        <w:t>Building Industry Act</w:t>
      </w:r>
      <w:r w:rsidRPr="0072120D">
        <w:t>.</w:t>
      </w:r>
    </w:p>
    <w:p w:rsidR="00107D4E" w:rsidRPr="0072120D" w:rsidRDefault="00107D4E" w:rsidP="00107D4E">
      <w:pPr>
        <w:pStyle w:val="ParaNumbering"/>
      </w:pPr>
      <w:r w:rsidRPr="0072120D">
        <w:t>The submission of the Commissioner, it is respectfully concluded, prevails.</w:t>
      </w:r>
    </w:p>
    <w:p w:rsidR="00107D4E" w:rsidRPr="0072120D" w:rsidRDefault="00107D4E" w:rsidP="000E6FFB">
      <w:pPr>
        <w:pStyle w:val="ParaNumbering"/>
      </w:pPr>
      <w:r w:rsidRPr="0072120D">
        <w:t xml:space="preserve">In </w:t>
      </w:r>
      <w:r w:rsidRPr="0072120D">
        <w:rPr>
          <w:i/>
        </w:rPr>
        <w:t>Australian Building and Construction Commissioner v Automotive, Food, Metals, Engineering, Printing and Kindred Industries Union</w:t>
      </w:r>
      <w:r w:rsidR="004F1ED0">
        <w:rPr>
          <w:i/>
        </w:rPr>
        <w:t xml:space="preserve"> </w:t>
      </w:r>
      <w:r w:rsidR="004F1ED0" w:rsidRPr="0072120D">
        <w:t>(</w:t>
      </w:r>
      <w:r w:rsidR="004F1ED0" w:rsidRPr="004F1ED0">
        <w:rPr>
          <w:i/>
        </w:rPr>
        <w:t>T</w:t>
      </w:r>
      <w:r w:rsidR="004F1ED0" w:rsidRPr="00182ECA">
        <w:rPr>
          <w:i/>
        </w:rPr>
        <w:t xml:space="preserve">he </w:t>
      </w:r>
      <w:r w:rsidR="004F1ED0" w:rsidRPr="0072120D">
        <w:rPr>
          <w:i/>
        </w:rPr>
        <w:t>Australian Paper Case</w:t>
      </w:r>
      <w:r w:rsidR="004F1ED0" w:rsidRPr="0072120D">
        <w:t>)</w:t>
      </w:r>
      <w:r w:rsidR="004F1ED0">
        <w:rPr>
          <w:i/>
        </w:rPr>
        <w:t xml:space="preserve"> (No 2)</w:t>
      </w:r>
      <w:r w:rsidRPr="0072120D">
        <w:rPr>
          <w:i/>
        </w:rPr>
        <w:t xml:space="preserve"> </w:t>
      </w:r>
      <w:r w:rsidRPr="0072120D">
        <w:t>[2017] FCA 367</w:t>
      </w:r>
      <w:r w:rsidR="00B9028A">
        <w:t xml:space="preserve"> at [39]-[40]</w:t>
      </w:r>
      <w:r w:rsidRPr="0072120D">
        <w:t>, Jessup</w:t>
      </w:r>
      <w:r w:rsidR="005912D8" w:rsidRPr="0072120D">
        <w:t> J rejected a construction of s </w:t>
      </w:r>
      <w:r w:rsidRPr="0072120D">
        <w:t>556 that confined the operation of that section to those cases where the statutory provisions giving rise to the multiple contraventions “</w:t>
      </w:r>
      <w:r w:rsidRPr="0072120D">
        <w:rPr>
          <w:i/>
        </w:rPr>
        <w:t>invol</w:t>
      </w:r>
      <w:r w:rsidR="005912D8" w:rsidRPr="0072120D">
        <w:rPr>
          <w:i/>
        </w:rPr>
        <w:t>ved precisely matching elements</w:t>
      </w:r>
      <w:r w:rsidRPr="0072120D">
        <w:t>”</w:t>
      </w:r>
      <w:r w:rsidR="005912D8" w:rsidRPr="0072120D">
        <w:t xml:space="preserve">. </w:t>
      </w:r>
      <w:r w:rsidRPr="0072120D">
        <w:t xml:space="preserve"> His Honour concluded that “</w:t>
      </w:r>
      <w:r w:rsidR="00B9028A">
        <w:t>…</w:t>
      </w:r>
      <w:r w:rsidRPr="0072120D">
        <w:rPr>
          <w:i/>
        </w:rPr>
        <w:t>the reference to ‘particular conduct’ in s 556 is to what the person actually did, with all of its attributes and in its whole context</w:t>
      </w:r>
      <w:r w:rsidRPr="0072120D">
        <w:t>…”</w:t>
      </w:r>
      <w:r w:rsidR="005912D8" w:rsidRPr="0072120D">
        <w:t xml:space="preserve">. </w:t>
      </w:r>
      <w:r w:rsidRPr="0072120D">
        <w:t xml:space="preserve"> </w:t>
      </w:r>
      <w:r w:rsidR="009543AA" w:rsidRPr="0072120D">
        <w:t xml:space="preserve">There in issue were contraventions of </w:t>
      </w:r>
      <w:proofErr w:type="spellStart"/>
      <w:r w:rsidR="009543AA" w:rsidRPr="0072120D">
        <w:t>s</w:t>
      </w:r>
      <w:r w:rsidR="005912D8" w:rsidRPr="0072120D">
        <w:t>s</w:t>
      </w:r>
      <w:proofErr w:type="spellEnd"/>
      <w:r w:rsidR="005912D8" w:rsidRPr="0072120D">
        <w:t xml:space="preserve"> 417 and </w:t>
      </w:r>
      <w:r w:rsidR="009543AA" w:rsidRPr="0072120D">
        <w:t xml:space="preserve">421 of the </w:t>
      </w:r>
      <w:r w:rsidR="009543AA" w:rsidRPr="0072120D">
        <w:rPr>
          <w:i/>
        </w:rPr>
        <w:t>Fair Work Act.</w:t>
      </w:r>
      <w:r w:rsidR="009543AA" w:rsidRPr="0072120D">
        <w:t xml:space="preserve"> </w:t>
      </w:r>
      <w:r w:rsidR="005912D8" w:rsidRPr="0072120D">
        <w:t xml:space="preserve"> </w:t>
      </w:r>
      <w:r w:rsidR="009543AA" w:rsidRPr="0072120D">
        <w:t xml:space="preserve">In reaching his conclusions, his Honour reasoned as follows: </w:t>
      </w:r>
    </w:p>
    <w:p w:rsidR="005912D8" w:rsidRPr="0072120D" w:rsidRDefault="005912D8" w:rsidP="00182ECA">
      <w:pPr>
        <w:pStyle w:val="Quote1"/>
        <w:ind w:left="1440" w:hanging="703"/>
        <w:rPr>
          <w:sz w:val="20"/>
        </w:rPr>
      </w:pPr>
      <w:r w:rsidRPr="0072120D">
        <w:rPr>
          <w:sz w:val="20"/>
        </w:rPr>
        <w:t>[36]</w:t>
      </w:r>
      <w:r w:rsidRPr="0072120D">
        <w:rPr>
          <w:sz w:val="20"/>
        </w:rPr>
        <w:tab/>
        <w:t>… The question arises whether, having imposed a penalty on a particular respondent for his or its contravention of s 417, the court is prevented by s 556 from imposing a separate penalty for his or its contravention of s 421.</w:t>
      </w:r>
    </w:p>
    <w:p w:rsidR="005912D8" w:rsidRPr="0072120D" w:rsidRDefault="005912D8" w:rsidP="00182ECA">
      <w:pPr>
        <w:pStyle w:val="Quote1"/>
        <w:ind w:left="1440" w:hanging="703"/>
        <w:rPr>
          <w:sz w:val="20"/>
        </w:rPr>
      </w:pPr>
      <w:r w:rsidRPr="0072120D">
        <w:rPr>
          <w:sz w:val="20"/>
        </w:rPr>
        <w:lastRenderedPageBreak/>
        <w:t>[37]</w:t>
      </w:r>
      <w:r w:rsidRPr="0072120D">
        <w:rPr>
          <w:sz w:val="20"/>
        </w:rPr>
        <w:tab/>
        <w:t xml:space="preserve">The predecessor to this provision was introduced into the </w:t>
      </w:r>
      <w:r w:rsidRPr="0072120D">
        <w:rPr>
          <w:i/>
          <w:sz w:val="20"/>
        </w:rPr>
        <w:t xml:space="preserve">Workplace Relations Act 1996 </w:t>
      </w:r>
      <w:r w:rsidRPr="0072120D">
        <w:rPr>
          <w:sz w:val="20"/>
        </w:rPr>
        <w:t>(</w:t>
      </w:r>
      <w:proofErr w:type="spellStart"/>
      <w:r w:rsidRPr="0072120D">
        <w:rPr>
          <w:sz w:val="20"/>
        </w:rPr>
        <w:t>Cth</w:t>
      </w:r>
      <w:proofErr w:type="spellEnd"/>
      <w:r w:rsidRPr="0072120D">
        <w:rPr>
          <w:sz w:val="20"/>
        </w:rPr>
        <w:t xml:space="preserve">) by the </w:t>
      </w:r>
      <w:r w:rsidRPr="0072120D">
        <w:rPr>
          <w:i/>
          <w:sz w:val="20"/>
        </w:rPr>
        <w:t>Workplace Relations Amendment (Work Choices) Act 2005</w:t>
      </w:r>
      <w:r w:rsidRPr="0072120D">
        <w:rPr>
          <w:sz w:val="20"/>
        </w:rPr>
        <w:t xml:space="preserve"> (</w:t>
      </w:r>
      <w:proofErr w:type="spellStart"/>
      <w:r w:rsidRPr="0072120D">
        <w:rPr>
          <w:sz w:val="20"/>
        </w:rPr>
        <w:t>Cth</w:t>
      </w:r>
      <w:proofErr w:type="spellEnd"/>
      <w:r w:rsidRPr="0072120D">
        <w:rPr>
          <w:sz w:val="20"/>
        </w:rPr>
        <w:t>), but neither that predecessor nor s 556 itself has, it seems, been the subject of any judicial examination in any context that would yield useful results for the present occasion. The relevant passage in the Explanatory Memorandum for the Bill which became the Act of 2005 is unrevealing as to how the section was intended to be applied in the kind of problematic situation which now confronts the court.</w:t>
      </w:r>
    </w:p>
    <w:p w:rsidR="005912D8" w:rsidRPr="0072120D" w:rsidRDefault="005912D8" w:rsidP="00182ECA">
      <w:pPr>
        <w:pStyle w:val="Quote1"/>
        <w:ind w:left="1440" w:hanging="703"/>
        <w:rPr>
          <w:sz w:val="20"/>
        </w:rPr>
      </w:pPr>
      <w:r w:rsidRPr="0072120D">
        <w:rPr>
          <w:sz w:val="20"/>
        </w:rPr>
        <w:t>[38]</w:t>
      </w:r>
      <w:r w:rsidRPr="0072120D">
        <w:rPr>
          <w:sz w:val="20"/>
        </w:rPr>
        <w:tab/>
        <w:t xml:space="preserve">The problem has two dimensions. The first arises in what I shall describe as the simple case of two or more provisions having been contravened by the same conduct. That looks as though it ought to attract the operation of s 556, but counsel for the applicant submitted that the section operates only where the constituent elements of each contravention are the same. For example, in the matter which is presently under consideration — industrial action taken in contravention of </w:t>
      </w:r>
      <w:proofErr w:type="spellStart"/>
      <w:r w:rsidRPr="0072120D">
        <w:rPr>
          <w:sz w:val="20"/>
        </w:rPr>
        <w:t>ss</w:t>
      </w:r>
      <w:proofErr w:type="spellEnd"/>
      <w:r w:rsidRPr="0072120D">
        <w:rPr>
          <w:sz w:val="20"/>
        </w:rPr>
        <w:t xml:space="preserve"> 417(1) and 421(1) — the elements were not the same. Under s 417(1), but not under s 421(1), it was an element that the relevant enterprise agreement be within term. Under s 421(1), but not under s 417(1), it was an element that an order by the Commission proscribing the industrial action have been made. It was submitted that, in this sense, it could not be said that the penalty for which the FW Act provided related to the same “particular conduct” in each case.</w:t>
      </w:r>
    </w:p>
    <w:p w:rsidR="005912D8" w:rsidRPr="0072120D" w:rsidRDefault="005912D8" w:rsidP="00182ECA">
      <w:pPr>
        <w:pStyle w:val="Quote1"/>
        <w:ind w:left="1440" w:hanging="703"/>
        <w:rPr>
          <w:sz w:val="20"/>
        </w:rPr>
      </w:pPr>
      <w:r w:rsidRPr="0072120D">
        <w:rPr>
          <w:sz w:val="20"/>
        </w:rPr>
        <w:t>[39]</w:t>
      </w:r>
      <w:r w:rsidRPr="0072120D">
        <w:rPr>
          <w:sz w:val="20"/>
        </w:rPr>
        <w:tab/>
        <w:t>I think it unlikely that the draftsman had such a limited operation in mind when s</w:t>
      </w:r>
      <w:r w:rsidR="008A112E">
        <w:rPr>
          <w:sz w:val="20"/>
        </w:rPr>
        <w:t> </w:t>
      </w:r>
      <w:r w:rsidRPr="0072120D">
        <w:rPr>
          <w:sz w:val="20"/>
        </w:rPr>
        <w:t>556 was on the drawing board. I doubt that he or she would have contemplated that there were, either in the FW Act as such or in that Act and in another law of the Commonwealth, two or more provisions which defined contravening conduct in terms that involved precisely matching elements. I am not aware of any such situation, and counsel for the applicant drew my attention to none. It is hard to imagine why the legislature would double up with identical legislation in the way that would be required to provide a setting for the viability of this submission on behalf of the applicant.</w:t>
      </w:r>
    </w:p>
    <w:p w:rsidR="00031ABF" w:rsidRPr="0072120D" w:rsidRDefault="005912D8" w:rsidP="00182ECA">
      <w:pPr>
        <w:pStyle w:val="Quote1"/>
        <w:spacing w:after="360"/>
        <w:ind w:left="1440" w:hanging="703"/>
      </w:pPr>
      <w:r w:rsidRPr="0072120D">
        <w:rPr>
          <w:sz w:val="20"/>
        </w:rPr>
        <w:t>[40]</w:t>
      </w:r>
      <w:r w:rsidRPr="0072120D">
        <w:rPr>
          <w:sz w:val="20"/>
        </w:rPr>
        <w:tab/>
        <w:t>The better view is that the reference to “particular conduct” in s 556 is to what the person actually did, with all of its attributes and in its whole context. If that conduct gives rise to liability to penalty under two or more provisions, the section is, in my view, engaged. In the present case, the conduct of the workers who took the industrial action attracted liability under s</w:t>
      </w:r>
      <w:r w:rsidR="00D21F71">
        <w:rPr>
          <w:sz w:val="20"/>
        </w:rPr>
        <w:t> </w:t>
      </w:r>
      <w:r w:rsidRPr="0072120D">
        <w:rPr>
          <w:sz w:val="20"/>
        </w:rPr>
        <w:t>417(1) and under s 421(1). It is true that, additionally to that conduct, there were adjectival elements the presence of which were necessary ingredients of the provisions respectively, and that these elements differed as between the two (the in-term agreement under s 417(1) and the Commission’s order under s</w:t>
      </w:r>
      <w:r w:rsidR="00DE4827">
        <w:rPr>
          <w:sz w:val="20"/>
        </w:rPr>
        <w:t> </w:t>
      </w:r>
      <w:r w:rsidRPr="0072120D">
        <w:rPr>
          <w:sz w:val="20"/>
        </w:rPr>
        <w:t>421(1)), but, as it happened, both were in fact present on 31 March 2014 and both gave legal consequences to what the workers actually did. In my view, s</w:t>
      </w:r>
      <w:r w:rsidR="00D21F71">
        <w:rPr>
          <w:sz w:val="20"/>
        </w:rPr>
        <w:t> </w:t>
      </w:r>
      <w:r w:rsidRPr="0072120D">
        <w:rPr>
          <w:sz w:val="20"/>
        </w:rPr>
        <w:t>556 would stand in the way of penalties being imposed on the workers themselves under both sections, and the same applies where others, such as the organisers, were deemed to have contravened because of their involvement in that very conduct.</w:t>
      </w:r>
    </w:p>
    <w:p w:rsidR="00182ECA" w:rsidRDefault="00182ECA" w:rsidP="007944A4">
      <w:pPr>
        <w:pStyle w:val="NoNum"/>
      </w:pPr>
      <w:r>
        <w:t>See also</w:t>
      </w:r>
      <w:r w:rsidR="0033178C">
        <w:t xml:space="preserve">: </w:t>
      </w:r>
      <w:r w:rsidR="002803E3">
        <w:t xml:space="preserve"> </w:t>
      </w:r>
      <w:r w:rsidRPr="007944A4">
        <w:rPr>
          <w:i/>
        </w:rPr>
        <w:t>Construction, Forestry, Maritime, Mining and Energy Union v Australian Building and Construction Commissioner (The BKH Contractors Appeal)</w:t>
      </w:r>
      <w:r w:rsidR="002E357B">
        <w:t xml:space="preserve"> [2020] FCAFC 9 at [32</w:t>
      </w:r>
      <w:r w:rsidRPr="00D31E2D">
        <w:t xml:space="preserve">] to </w:t>
      </w:r>
      <w:r w:rsidR="002E357B">
        <w:t>[38</w:t>
      </w:r>
      <w:r w:rsidRPr="00D31E2D">
        <w:t>]</w:t>
      </w:r>
      <w:r w:rsidR="002E357B">
        <w:t xml:space="preserve"> per Reeves, </w:t>
      </w:r>
      <w:proofErr w:type="spellStart"/>
      <w:r w:rsidR="002E357B">
        <w:t>Rangiah</w:t>
      </w:r>
      <w:proofErr w:type="spellEnd"/>
      <w:r w:rsidR="002E357B">
        <w:t xml:space="preserve"> and Bromwich</w:t>
      </w:r>
      <w:r w:rsidR="00281390">
        <w:t> </w:t>
      </w:r>
      <w:r w:rsidR="002E357B">
        <w:t>JJ.</w:t>
      </w:r>
    </w:p>
    <w:p w:rsidR="00C34A00" w:rsidRPr="0072120D" w:rsidRDefault="00EF68CF" w:rsidP="00C65FF2">
      <w:pPr>
        <w:pStyle w:val="ParaNumbering"/>
      </w:pPr>
      <w:r w:rsidRPr="0072120D">
        <w:t>On the facts of the present case</w:t>
      </w:r>
      <w:r w:rsidR="002D4697">
        <w:t>,</w:t>
      </w:r>
      <w:r w:rsidRPr="0072120D">
        <w:t xml:space="preserve"> it is not merely because a contravention of s</w:t>
      </w:r>
      <w:r w:rsidR="00FE2000" w:rsidRPr="0072120D">
        <w:t> </w:t>
      </w:r>
      <w:r w:rsidRPr="0072120D">
        <w:t xml:space="preserve">500 of </w:t>
      </w:r>
      <w:r w:rsidRPr="00182ECA">
        <w:t>the</w:t>
      </w:r>
      <w:r w:rsidRPr="0072120D">
        <w:rPr>
          <w:i/>
        </w:rPr>
        <w:t xml:space="preserve"> Fair Work </w:t>
      </w:r>
      <w:r w:rsidRPr="0072120D">
        <w:t>involves the proof of facts different to those necessar</w:t>
      </w:r>
      <w:r w:rsidR="00FE2000" w:rsidRPr="0072120D">
        <w:t>y to prove a contravention of s </w:t>
      </w:r>
      <w:r w:rsidRPr="0072120D">
        <w:t xml:space="preserve">46 of the </w:t>
      </w:r>
      <w:r w:rsidRPr="0072120D">
        <w:rPr>
          <w:i/>
        </w:rPr>
        <w:t>Building Industry Act</w:t>
      </w:r>
      <w:r w:rsidR="006E1F54">
        <w:rPr>
          <w:i/>
        </w:rPr>
        <w:t xml:space="preserve"> </w:t>
      </w:r>
      <w:r w:rsidR="00F303E9">
        <w:rPr>
          <w:i/>
        </w:rPr>
        <w:t>–</w:t>
      </w:r>
      <w:r w:rsidRPr="0072120D">
        <w:t xml:space="preserve"> and hence different constituent elements for each contravention</w:t>
      </w:r>
      <w:r w:rsidR="006E1F54">
        <w:t xml:space="preserve"> </w:t>
      </w:r>
      <w:r w:rsidR="00F303E9">
        <w:t>–</w:t>
      </w:r>
      <w:r w:rsidRPr="0072120D">
        <w:t xml:space="preserve"> that takes the facts outside the operation of s 556 of the </w:t>
      </w:r>
      <w:r w:rsidRPr="0072120D">
        <w:rPr>
          <w:i/>
        </w:rPr>
        <w:t>Fair Work Act</w:t>
      </w:r>
      <w:r w:rsidRPr="0072120D">
        <w:t xml:space="preserve"> and s 91 of the </w:t>
      </w:r>
      <w:r w:rsidRPr="0072120D">
        <w:rPr>
          <w:i/>
        </w:rPr>
        <w:t>Building Industry Act</w:t>
      </w:r>
      <w:r w:rsidRPr="0072120D">
        <w:t xml:space="preserve">. </w:t>
      </w:r>
      <w:r w:rsidR="00FE2000" w:rsidRPr="0072120D">
        <w:t xml:space="preserve"> </w:t>
      </w:r>
      <w:r w:rsidRPr="0072120D">
        <w:t xml:space="preserve">Section 500, it is respectfully considered, is directed at fundamentally different </w:t>
      </w:r>
      <w:r w:rsidR="00FE2000" w:rsidRPr="0072120D">
        <w:t>conduct to that embraced by s </w:t>
      </w:r>
      <w:r w:rsidRPr="0072120D">
        <w:t xml:space="preserve">46 of the </w:t>
      </w:r>
      <w:r w:rsidRPr="0072120D">
        <w:rPr>
          <w:i/>
        </w:rPr>
        <w:t>Building Industry Act</w:t>
      </w:r>
      <w:r w:rsidRPr="0072120D">
        <w:t xml:space="preserve"> – the former is directed to </w:t>
      </w:r>
      <w:r w:rsidRPr="0072120D">
        <w:lastRenderedPageBreak/>
        <w:t xml:space="preserve">prohibiting a person exercising a right of entry </w:t>
      </w:r>
      <w:r w:rsidR="00930C52" w:rsidRPr="0072120D">
        <w:t xml:space="preserve">from hindering or obstructing others; the latter is directed to organising or engaging in unlawful industrial action. </w:t>
      </w:r>
      <w:r w:rsidRPr="0072120D">
        <w:t xml:space="preserve"> </w:t>
      </w:r>
    </w:p>
    <w:p w:rsidR="00031ABF" w:rsidRPr="0072120D" w:rsidRDefault="00C34A00" w:rsidP="00FE2000">
      <w:pPr>
        <w:pStyle w:val="Heading3"/>
      </w:pPr>
      <w:r w:rsidRPr="0072120D">
        <w:t xml:space="preserve">Over-lapping conduct &amp; inter-related contraventions </w:t>
      </w:r>
    </w:p>
    <w:p w:rsidR="00281ADD" w:rsidRPr="0072120D" w:rsidRDefault="00C34A00" w:rsidP="000E6FFB">
      <w:pPr>
        <w:pStyle w:val="ParaNumbering"/>
      </w:pPr>
      <w:r w:rsidRPr="0072120D">
        <w:t>The Respondents are thus unable to bring themselv</w:t>
      </w:r>
      <w:r w:rsidR="00FE2000" w:rsidRPr="0072120D">
        <w:t>es within the ambit of either s </w:t>
      </w:r>
      <w:r w:rsidRPr="0072120D">
        <w:t xml:space="preserve">556 of the </w:t>
      </w:r>
      <w:r w:rsidRPr="0072120D">
        <w:rPr>
          <w:i/>
        </w:rPr>
        <w:t>Fair Work Act</w:t>
      </w:r>
      <w:r w:rsidR="00FE2000" w:rsidRPr="0072120D">
        <w:t xml:space="preserve"> or s </w:t>
      </w:r>
      <w:r w:rsidRPr="0072120D">
        <w:t xml:space="preserve">91 of the </w:t>
      </w:r>
      <w:r w:rsidRPr="0072120D">
        <w:rPr>
          <w:i/>
        </w:rPr>
        <w:t>Building Industry Act</w:t>
      </w:r>
      <w:r w:rsidRPr="0072120D">
        <w:t xml:space="preserve">. </w:t>
      </w:r>
    </w:p>
    <w:p w:rsidR="00281ADD" w:rsidRPr="0072120D" w:rsidRDefault="00C34A00" w:rsidP="00281ADD">
      <w:pPr>
        <w:pStyle w:val="ParaNumbering"/>
      </w:pPr>
      <w:r w:rsidRPr="0072120D">
        <w:t xml:space="preserve">They have contravened provisions in both Acts. </w:t>
      </w:r>
      <w:r w:rsidR="00FE2000" w:rsidRPr="0072120D">
        <w:t xml:space="preserve"> </w:t>
      </w:r>
      <w:r w:rsidR="00281ADD" w:rsidRPr="0072120D">
        <w:t xml:space="preserve">Although the constituent elements of the contraventions may well differ one from the other, the contraventions by the Respondents arise in substance out of the actions taken by Messrs Sloane and </w:t>
      </w:r>
      <w:proofErr w:type="spellStart"/>
      <w:r w:rsidR="00281ADD" w:rsidRPr="0072120D">
        <w:t>Holl</w:t>
      </w:r>
      <w:proofErr w:type="spellEnd"/>
      <w:r w:rsidR="00281ADD" w:rsidRPr="0072120D">
        <w:t xml:space="preserve"> when entering the premises on 20 February 2018.</w:t>
      </w:r>
    </w:p>
    <w:p w:rsidR="00BB0F44" w:rsidRPr="0072120D" w:rsidRDefault="00C34A00" w:rsidP="00281ADD">
      <w:pPr>
        <w:pStyle w:val="ParaNumbering"/>
      </w:pPr>
      <w:r w:rsidRPr="0072120D">
        <w:t>Absent statutory authority, it is not permissible for a single penalty to be imposed in respect of multiple or separate contravention</w:t>
      </w:r>
      <w:r w:rsidR="002D4697">
        <w:t>s</w:t>
      </w:r>
      <w:r w:rsidRPr="0072120D">
        <w:t xml:space="preserve">. </w:t>
      </w:r>
    </w:p>
    <w:p w:rsidR="00BB0F44" w:rsidRPr="0072120D" w:rsidRDefault="00BB0F44" w:rsidP="00281ADD">
      <w:pPr>
        <w:pStyle w:val="ParaNumbering"/>
      </w:pPr>
      <w:r w:rsidRPr="0072120D">
        <w:t xml:space="preserve">Yet the common law </w:t>
      </w:r>
      <w:r w:rsidR="00281ADD" w:rsidRPr="0072120D">
        <w:t xml:space="preserve">has long set itself against punishing a person </w:t>
      </w:r>
      <w:r w:rsidRPr="0072120D">
        <w:t xml:space="preserve">twice </w:t>
      </w:r>
      <w:r w:rsidR="00281ADD" w:rsidRPr="0072120D">
        <w:t>for essentia</w:t>
      </w:r>
      <w:r w:rsidRPr="0072120D">
        <w:t>lly</w:t>
      </w:r>
      <w:r w:rsidR="00281ADD" w:rsidRPr="0072120D">
        <w:t xml:space="preserve"> the same conduct.  </w:t>
      </w:r>
      <w:r w:rsidRPr="0072120D">
        <w:t>The common law relevantly has two “</w:t>
      </w:r>
      <w:r w:rsidRPr="0072120D">
        <w:rPr>
          <w:i/>
        </w:rPr>
        <w:t>tools of analysis</w:t>
      </w:r>
      <w:r w:rsidRPr="0072120D">
        <w:t>” whereby</w:t>
      </w:r>
      <w:r w:rsidR="00FE2000" w:rsidRPr="0072120D">
        <w:t xml:space="preserve"> this objective can be achieved</w:t>
      </w:r>
      <w:r w:rsidRPr="0072120D">
        <w:t>:</w:t>
      </w:r>
      <w:r w:rsidR="00FE2000" w:rsidRPr="0072120D">
        <w:t xml:space="preserve"> </w:t>
      </w:r>
      <w:r w:rsidRPr="0072120D">
        <w:t xml:space="preserve"> </w:t>
      </w:r>
      <w:r w:rsidRPr="0072120D">
        <w:rPr>
          <w:i/>
        </w:rPr>
        <w:t xml:space="preserve">ABCC v CFMEU </w:t>
      </w:r>
      <w:r w:rsidRPr="0072120D">
        <w:t>[2017] FCAFC 113 at [11</w:t>
      </w:r>
      <w:r w:rsidR="002D4697">
        <w:t>1</w:t>
      </w:r>
      <w:r w:rsidRPr="0072120D">
        <w:t>]</w:t>
      </w:r>
      <w:r w:rsidR="002D4697">
        <w:t>-[121]</w:t>
      </w:r>
      <w:r w:rsidRPr="0072120D">
        <w:t xml:space="preserve">, (2017) 254 FCR 68 at </w:t>
      </w:r>
      <w:r w:rsidR="00FE2000" w:rsidRPr="0072120D">
        <w:t>91 to 9</w:t>
      </w:r>
      <w:r w:rsidR="002D4697">
        <w:t>4</w:t>
      </w:r>
      <w:r w:rsidRPr="0072120D">
        <w:t xml:space="preserve">.  Applying earlier decisions to the same effect, </w:t>
      </w:r>
      <w:proofErr w:type="spellStart"/>
      <w:r w:rsidRPr="0072120D">
        <w:t>Dowsett</w:t>
      </w:r>
      <w:proofErr w:type="spellEnd"/>
      <w:r w:rsidRPr="0072120D">
        <w:t>, Greenwood and Wigney JJ there described these two tools as being:</w:t>
      </w:r>
    </w:p>
    <w:p w:rsidR="00BB0F44" w:rsidRPr="0072120D" w:rsidRDefault="00BB0F44" w:rsidP="00BB0F44">
      <w:pPr>
        <w:pStyle w:val="FCBullets"/>
      </w:pPr>
      <w:r w:rsidRPr="0072120D">
        <w:t>the “</w:t>
      </w:r>
      <w:r w:rsidRPr="0072120D">
        <w:rPr>
          <w:i/>
        </w:rPr>
        <w:t>course of conduct principle</w:t>
      </w:r>
      <w:r w:rsidRPr="0072120D">
        <w:t>”; and</w:t>
      </w:r>
    </w:p>
    <w:p w:rsidR="00BB0F44" w:rsidRPr="0072120D" w:rsidRDefault="00BB0F44" w:rsidP="00BB0F44">
      <w:pPr>
        <w:pStyle w:val="FCBullets"/>
      </w:pPr>
      <w:r w:rsidRPr="0072120D">
        <w:t>the “</w:t>
      </w:r>
      <w:r w:rsidRPr="0072120D">
        <w:rPr>
          <w:i/>
        </w:rPr>
        <w:t>totality principle</w:t>
      </w:r>
      <w:r w:rsidRPr="0072120D">
        <w:t>”.</w:t>
      </w:r>
    </w:p>
    <w:p w:rsidR="00BB0F44" w:rsidRPr="0072120D" w:rsidRDefault="00BB0F44" w:rsidP="00FE2000">
      <w:pPr>
        <w:pStyle w:val="NoNum"/>
      </w:pPr>
      <w:r w:rsidRPr="0072120D">
        <w:t xml:space="preserve">Their Honours there described as follows the separate operation of these two principles: </w:t>
      </w:r>
    </w:p>
    <w:p w:rsidR="00BB0F44" w:rsidRPr="00B72F92" w:rsidRDefault="00FE2000" w:rsidP="00B72F92">
      <w:pPr>
        <w:pStyle w:val="Quote1"/>
        <w:ind w:left="1440" w:hanging="703"/>
        <w:rPr>
          <w:sz w:val="20"/>
          <w:lang w:val="en"/>
        </w:rPr>
      </w:pPr>
      <w:r w:rsidRPr="0072120D">
        <w:t>[117]</w:t>
      </w:r>
      <w:r w:rsidRPr="0072120D">
        <w:tab/>
      </w:r>
      <w:r w:rsidR="00BB0F44" w:rsidRPr="0072120D">
        <w:rPr>
          <w:sz w:val="20"/>
          <w:lang w:val="en"/>
        </w:rPr>
        <w:t>The totality principle is sometimes confused or conflated with the course of conduct principle. That is perhaps not surprising because application of the totality principle may again result in a court adjusting what would otherwise have been consecutive or cumulative sentences to sentences that are wholly or partially concurrent. The proper approach, however, is to first consider the course of conduct principle and determine whether the sentences should be consecutive, or wholly or partly concurrent. Once that is done, the Court should then review the aggregate sentence to ensure that it is just</w:t>
      </w:r>
      <w:r w:rsidR="00361D5D">
        <w:rPr>
          <w:sz w:val="20"/>
          <w:lang w:val="en"/>
        </w:rPr>
        <w:br/>
      </w:r>
      <w:r w:rsidR="00BB0F44" w:rsidRPr="00B72F92">
        <w:rPr>
          <w:sz w:val="20"/>
          <w:lang w:val="en"/>
        </w:rPr>
        <w:t>and appropriate. That may require a further adjustment of the sentences: either by</w:t>
      </w:r>
      <w:r w:rsidR="00361D5D" w:rsidRPr="00B72F92">
        <w:rPr>
          <w:sz w:val="20"/>
          <w:lang w:val="en"/>
        </w:rPr>
        <w:t xml:space="preserve"> </w:t>
      </w:r>
      <w:r w:rsidR="00BB0F44" w:rsidRPr="00B72F92">
        <w:rPr>
          <w:sz w:val="20"/>
          <w:lang w:val="en"/>
        </w:rPr>
        <w:t>ordering further concurrency or, if appropriate, lowering the individual sentences below what would otherwise be appropriate.</w:t>
      </w:r>
    </w:p>
    <w:p w:rsidR="00BB0F44" w:rsidRPr="0072120D" w:rsidRDefault="00FE2000" w:rsidP="00BB0F44">
      <w:pPr>
        <w:pStyle w:val="Quote1"/>
        <w:ind w:left="1440" w:hanging="703"/>
        <w:rPr>
          <w:sz w:val="20"/>
          <w:lang w:val="en"/>
        </w:rPr>
      </w:pPr>
      <w:r w:rsidRPr="0072120D">
        <w:rPr>
          <w:sz w:val="20"/>
          <w:lang w:val="en"/>
        </w:rPr>
        <w:t>…</w:t>
      </w:r>
    </w:p>
    <w:p w:rsidR="00BB0F44" w:rsidRPr="0072120D" w:rsidRDefault="00BB0F44" w:rsidP="00BB0F44">
      <w:pPr>
        <w:pStyle w:val="Quote1"/>
        <w:ind w:left="1440" w:hanging="703"/>
        <w:rPr>
          <w:sz w:val="20"/>
          <w:lang w:val="en"/>
        </w:rPr>
      </w:pPr>
      <w:r w:rsidRPr="0072120D">
        <w:rPr>
          <w:sz w:val="20"/>
          <w:lang w:val="en"/>
        </w:rPr>
        <w:t>[119]</w:t>
      </w:r>
      <w:r w:rsidRPr="0072120D">
        <w:rPr>
          <w:sz w:val="20"/>
          <w:lang w:val="en"/>
        </w:rPr>
        <w:tab/>
        <w:t xml:space="preserve">Once again, the important point to </w:t>
      </w:r>
      <w:proofErr w:type="spellStart"/>
      <w:r w:rsidRPr="0072120D">
        <w:rPr>
          <w:sz w:val="20"/>
          <w:lang w:val="en"/>
        </w:rPr>
        <w:t>emphasise</w:t>
      </w:r>
      <w:proofErr w:type="spellEnd"/>
      <w:r w:rsidRPr="0072120D">
        <w:rPr>
          <w:sz w:val="20"/>
          <w:lang w:val="en"/>
        </w:rPr>
        <w:t xml:space="preserve"> is that, in the criminal sentencing context, application of the totality principle does not </w:t>
      </w:r>
      <w:proofErr w:type="spellStart"/>
      <w:r w:rsidRPr="0072120D">
        <w:rPr>
          <w:sz w:val="20"/>
          <w:lang w:val="en"/>
        </w:rPr>
        <w:t>authorise</w:t>
      </w:r>
      <w:proofErr w:type="spellEnd"/>
      <w:r w:rsidRPr="0072120D">
        <w:rPr>
          <w:sz w:val="20"/>
          <w:lang w:val="en"/>
        </w:rPr>
        <w:t xml:space="preserve"> or permit the sentencing court to impose a single sentence for multiple offences. That has been made clear in a number of cases</w:t>
      </w:r>
      <w:r w:rsidR="00BB57C4">
        <w:rPr>
          <w:sz w:val="20"/>
          <w:lang w:val="en"/>
        </w:rPr>
        <w:t>…</w:t>
      </w:r>
    </w:p>
    <w:p w:rsidR="00BB0F44" w:rsidRDefault="00BB0F44" w:rsidP="00B72F92">
      <w:pPr>
        <w:pStyle w:val="Quote1"/>
        <w:ind w:left="1440" w:hanging="703"/>
        <w:rPr>
          <w:sz w:val="20"/>
          <w:lang w:val="en"/>
        </w:rPr>
      </w:pPr>
      <w:r w:rsidRPr="0072120D">
        <w:rPr>
          <w:sz w:val="20"/>
          <w:lang w:val="en"/>
        </w:rPr>
        <w:t>[120]</w:t>
      </w:r>
      <w:r w:rsidRPr="0072120D">
        <w:rPr>
          <w:sz w:val="20"/>
          <w:lang w:val="en"/>
        </w:rPr>
        <w:tab/>
        <w:t>Like the course of conduct principle, the totality principle has been picked up and applied in the context of civil pecuniary penalty proceedings</w:t>
      </w:r>
      <w:r w:rsidR="00BB57C4">
        <w:rPr>
          <w:sz w:val="20"/>
          <w:lang w:val="en"/>
        </w:rPr>
        <w:t>…</w:t>
      </w:r>
    </w:p>
    <w:p w:rsidR="00BB57C4" w:rsidRPr="0072120D" w:rsidRDefault="00BB57C4" w:rsidP="00B72F92">
      <w:pPr>
        <w:pStyle w:val="Quote1"/>
        <w:spacing w:after="360"/>
        <w:rPr>
          <w:sz w:val="20"/>
          <w:lang w:val="en"/>
        </w:rPr>
      </w:pPr>
      <w:r>
        <w:rPr>
          <w:sz w:val="20"/>
          <w:lang w:val="en"/>
        </w:rPr>
        <w:t>(citations omitted)</w:t>
      </w:r>
    </w:p>
    <w:p w:rsidR="00EF68CF" w:rsidRPr="0072120D" w:rsidRDefault="006E1F54" w:rsidP="00FE2000">
      <w:pPr>
        <w:pStyle w:val="NoNum"/>
      </w:pPr>
      <w:r>
        <w:lastRenderedPageBreak/>
        <w:t>Their Honours went on to endorse the</w:t>
      </w:r>
      <w:r w:rsidR="00182ECA">
        <w:t xml:space="preserve"> following summary of principle</w:t>
      </w:r>
      <w:r>
        <w:t xml:space="preserve"> by Goldberg</w:t>
      </w:r>
      <w:r w:rsidR="00B72F92">
        <w:t> </w:t>
      </w:r>
      <w:r>
        <w:t xml:space="preserve">J </w:t>
      </w:r>
      <w:r w:rsidR="00EF68CF" w:rsidRPr="0072120D">
        <w:t xml:space="preserve">in </w:t>
      </w:r>
      <w:r w:rsidR="00EF68CF" w:rsidRPr="0072120D">
        <w:rPr>
          <w:rStyle w:val="italic1"/>
          <w:rFonts w:cs="Batang"/>
          <w:szCs w:val="24"/>
          <w:lang w:val="en"/>
        </w:rPr>
        <w:t xml:space="preserve">Australian Competition and Consumer Commission v Australian Safeway Stores Pty Ltd </w:t>
      </w:r>
      <w:r w:rsidR="00EF68CF" w:rsidRPr="0072120D">
        <w:rPr>
          <w:lang w:val="en"/>
        </w:rPr>
        <w:t xml:space="preserve">(1997) 145 ALR 36 at </w:t>
      </w:r>
      <w:r w:rsidR="00FE2000" w:rsidRPr="0072120D">
        <w:rPr>
          <w:lang w:val="en"/>
        </w:rPr>
        <w:t>53</w:t>
      </w:r>
      <w:r w:rsidR="00792A2C">
        <w:rPr>
          <w:lang w:val="en"/>
        </w:rPr>
        <w:t xml:space="preserve"> (“</w:t>
      </w:r>
      <w:r w:rsidR="00792A2C">
        <w:rPr>
          <w:i/>
          <w:lang w:val="en"/>
        </w:rPr>
        <w:t>Safeway Stores</w:t>
      </w:r>
      <w:r w:rsidR="00792A2C">
        <w:rPr>
          <w:lang w:val="en"/>
        </w:rPr>
        <w:t>”)</w:t>
      </w:r>
      <w:r w:rsidR="00182ECA">
        <w:rPr>
          <w:lang w:val="en"/>
        </w:rPr>
        <w:t xml:space="preserve">, which </w:t>
      </w:r>
      <w:r w:rsidR="006A3923">
        <w:rPr>
          <w:lang w:val="en"/>
        </w:rPr>
        <w:t>described</w:t>
      </w:r>
      <w:r w:rsidR="00FE2000" w:rsidRPr="0072120D">
        <w:rPr>
          <w:lang w:val="en"/>
        </w:rPr>
        <w:t xml:space="preserve"> </w:t>
      </w:r>
      <w:r w:rsidR="00AD29C8">
        <w:rPr>
          <w:lang w:val="en"/>
        </w:rPr>
        <w:t xml:space="preserve">as follows </w:t>
      </w:r>
      <w:r w:rsidR="00FE2000" w:rsidRPr="0072120D">
        <w:rPr>
          <w:lang w:val="en"/>
        </w:rPr>
        <w:t>the totality principle</w:t>
      </w:r>
      <w:r w:rsidR="00EF68CF" w:rsidRPr="0072120D">
        <w:rPr>
          <w:lang w:val="en"/>
        </w:rPr>
        <w:t xml:space="preserve">: </w:t>
      </w:r>
    </w:p>
    <w:p w:rsidR="00EF68CF" w:rsidRPr="0072120D" w:rsidRDefault="00EF68CF" w:rsidP="00EF68CF">
      <w:pPr>
        <w:pStyle w:val="Quote1"/>
        <w:rPr>
          <w:sz w:val="20"/>
          <w:lang w:val="en"/>
        </w:rPr>
      </w:pPr>
      <w:r w:rsidRPr="0072120D">
        <w:rPr>
          <w:sz w:val="20"/>
          <w:lang w:val="en"/>
        </w:rPr>
        <w:t xml:space="preserve">The totality principle is designed to ensure that overall an appropriate sentence or penalty is appropriate and that the sum of the penalties imposed for several contraventions does not result in the total of the penalties exceeding what is proper having regard to the totality of the contravening conduct involved: </w:t>
      </w:r>
      <w:r w:rsidRPr="0072120D">
        <w:rPr>
          <w:i/>
          <w:sz w:val="20"/>
          <w:lang w:val="en"/>
        </w:rPr>
        <w:t>McDonald v R</w:t>
      </w:r>
      <w:r w:rsidRPr="0072120D">
        <w:rPr>
          <w:sz w:val="20"/>
          <w:lang w:val="en"/>
        </w:rPr>
        <w:t xml:space="preserve"> (1994) 48 FCR 555; 120 ALR 629. But that does not mean that a court should commence by determining an overall penalty and then dividing it among the various contraventions. Rather the totality principle involves a final overall consideration of the sum of the penalties determined. In </w:t>
      </w:r>
      <w:r w:rsidRPr="0072120D">
        <w:rPr>
          <w:i/>
          <w:sz w:val="20"/>
          <w:lang w:val="en"/>
        </w:rPr>
        <w:t>Mill v R</w:t>
      </w:r>
      <w:r w:rsidRPr="0072120D">
        <w:rPr>
          <w:sz w:val="20"/>
          <w:lang w:val="en"/>
        </w:rPr>
        <w:t xml:space="preserve"> (1988) 166 CLR 59; 83 ALR 1 the High Court accepted the following statement as correctly describing the totality principle:</w:t>
      </w:r>
    </w:p>
    <w:p w:rsidR="00EF68CF" w:rsidRPr="0072120D" w:rsidRDefault="00EF68CF" w:rsidP="00FD7600">
      <w:pPr>
        <w:pStyle w:val="Quote2"/>
        <w:spacing w:after="360"/>
        <w:ind w:right="1304"/>
        <w:rPr>
          <w:sz w:val="18"/>
          <w:szCs w:val="18"/>
          <w:lang w:val="en"/>
        </w:rPr>
      </w:pPr>
      <w:r w:rsidRPr="0072120D">
        <w:rPr>
          <w:sz w:val="18"/>
          <w:szCs w:val="18"/>
          <w:lang w:val="en"/>
        </w:rPr>
        <w:t xml:space="preserve">The effect of the totality principle is to require a </w:t>
      </w:r>
      <w:proofErr w:type="spellStart"/>
      <w:r w:rsidRPr="0072120D">
        <w:rPr>
          <w:sz w:val="18"/>
          <w:szCs w:val="18"/>
          <w:lang w:val="en"/>
        </w:rPr>
        <w:t>sentencer</w:t>
      </w:r>
      <w:proofErr w:type="spellEnd"/>
      <w:r w:rsidRPr="0072120D">
        <w:rPr>
          <w:sz w:val="18"/>
          <w:szCs w:val="18"/>
          <w:lang w:val="en"/>
        </w:rPr>
        <w:t xml:space="preserve"> who has passed a series of sentences, each properly calculated in relation to the offence for which it is imposed and each properly made consecutive in accordance with the principles governing consecutive sentences, to review the aggregate sentence and consider whether the aggregate is “just and appropriate”. The principle has been stated many times in various forms: “when a number of offences are being dealt with and specific punishments in respect of them are being totted up to make a total, it is always necessary for the court to take a last look at the total just to see whether it looks wrong”; “when … cases of multiplicity of offences come before the court, the court must not content itself by doing the arithmetic and passing the sentence which the arithmetic produces. It must look at the totality of the criminal </w:t>
      </w:r>
      <w:proofErr w:type="spellStart"/>
      <w:r w:rsidRPr="0072120D">
        <w:rPr>
          <w:sz w:val="18"/>
          <w:szCs w:val="18"/>
          <w:lang w:val="en"/>
        </w:rPr>
        <w:t>behaviour</w:t>
      </w:r>
      <w:proofErr w:type="spellEnd"/>
      <w:r w:rsidRPr="0072120D">
        <w:rPr>
          <w:sz w:val="18"/>
          <w:szCs w:val="18"/>
          <w:lang w:val="en"/>
        </w:rPr>
        <w:t xml:space="preserve"> and ask itself what is the appropriate sentence for all the offences”.</w:t>
      </w:r>
    </w:p>
    <w:p w:rsidR="003B17CC" w:rsidRPr="0072120D" w:rsidRDefault="009D7EBE" w:rsidP="000E6FFB">
      <w:pPr>
        <w:pStyle w:val="ParaNumbering"/>
      </w:pPr>
      <w:r w:rsidRPr="0072120D">
        <w:t xml:space="preserve">In </w:t>
      </w:r>
      <w:r w:rsidR="009E5E7C" w:rsidRPr="0072120D">
        <w:rPr>
          <w:i/>
        </w:rPr>
        <w:t xml:space="preserve">Australian Ophthalmic Supplies Pty Ltd v </w:t>
      </w:r>
      <w:proofErr w:type="spellStart"/>
      <w:r w:rsidR="009E5E7C" w:rsidRPr="0072120D">
        <w:rPr>
          <w:i/>
        </w:rPr>
        <w:t>McAlary</w:t>
      </w:r>
      <w:proofErr w:type="spellEnd"/>
      <w:r w:rsidR="009E5E7C" w:rsidRPr="0072120D">
        <w:rPr>
          <w:i/>
        </w:rPr>
        <w:t xml:space="preserve">-Smith </w:t>
      </w:r>
      <w:r w:rsidR="009E5E7C" w:rsidRPr="0072120D">
        <w:t xml:space="preserve">[2008] FCAFC 8, (2008) 165 FCR 560 </w:t>
      </w:r>
      <w:r w:rsidRPr="0072120D">
        <w:t>the Full Court addressed a departure in pri</w:t>
      </w:r>
      <w:r w:rsidR="00EF38E4" w:rsidRPr="0072120D">
        <w:t>nciple as expressed by Goldberg </w:t>
      </w:r>
      <w:r w:rsidRPr="0072120D">
        <w:t xml:space="preserve">J in </w:t>
      </w:r>
      <w:r w:rsidRPr="0072120D">
        <w:rPr>
          <w:i/>
        </w:rPr>
        <w:t>Safeway Stores</w:t>
      </w:r>
      <w:r w:rsidRPr="0072120D">
        <w:t xml:space="preserve"> and an ea</w:t>
      </w:r>
      <w:r w:rsidR="00EF38E4" w:rsidRPr="0072120D">
        <w:t>rlier exposition by Finkelstein </w:t>
      </w:r>
      <w:r w:rsidRPr="0072120D">
        <w:t xml:space="preserve">J in </w:t>
      </w:r>
      <w:r w:rsidRPr="0072120D">
        <w:rPr>
          <w:i/>
        </w:rPr>
        <w:t>Community and Public Sector Union v Telstra Corporation Ltd</w:t>
      </w:r>
      <w:r w:rsidRPr="0072120D">
        <w:t xml:space="preserve"> [2001] FCA 1364 at [7], (2001) 108 IR 228 at </w:t>
      </w:r>
      <w:r w:rsidR="00EF38E4" w:rsidRPr="0072120D">
        <w:t>230</w:t>
      </w:r>
      <w:r w:rsidR="006E1F54">
        <w:t xml:space="preserve">. </w:t>
      </w:r>
      <w:r w:rsidR="003B17CC" w:rsidRPr="0072120D">
        <w:t>Graham</w:t>
      </w:r>
      <w:r w:rsidR="00EF38E4" w:rsidRPr="0072120D">
        <w:t> </w:t>
      </w:r>
      <w:r w:rsidR="003B17CC" w:rsidRPr="0072120D">
        <w:t>J summarised the principle as follows</w:t>
      </w:r>
      <w:r w:rsidR="00792A2C">
        <w:t xml:space="preserve"> (at 575)</w:t>
      </w:r>
      <w:r w:rsidR="003B17CC" w:rsidRPr="0072120D">
        <w:t xml:space="preserve">: </w:t>
      </w:r>
    </w:p>
    <w:p w:rsidR="00EF38E4" w:rsidRDefault="00EF38E4" w:rsidP="00182ECA">
      <w:pPr>
        <w:pStyle w:val="Quote1"/>
        <w:ind w:left="1440" w:hanging="703"/>
        <w:rPr>
          <w:sz w:val="20"/>
        </w:rPr>
      </w:pPr>
      <w:r w:rsidRPr="0072120D">
        <w:rPr>
          <w:sz w:val="20"/>
        </w:rPr>
        <w:t>[66]</w:t>
      </w:r>
      <w:r w:rsidRPr="0072120D">
        <w:rPr>
          <w:sz w:val="20"/>
        </w:rPr>
        <w:tab/>
        <w:t>The totality principle is designed to ensure that the aggregate of the penalties imposed is not such as to be oppressive or crushing</w:t>
      </w:r>
      <w:r w:rsidR="00792A2C">
        <w:rPr>
          <w:sz w:val="20"/>
        </w:rPr>
        <w:t>…</w:t>
      </w:r>
    </w:p>
    <w:p w:rsidR="00792A2C" w:rsidRPr="0072120D" w:rsidRDefault="00792A2C" w:rsidP="00182ECA">
      <w:pPr>
        <w:pStyle w:val="Quote1"/>
        <w:spacing w:after="360"/>
        <w:ind w:left="1440"/>
        <w:rPr>
          <w:sz w:val="20"/>
        </w:rPr>
      </w:pPr>
      <w:r>
        <w:rPr>
          <w:sz w:val="20"/>
        </w:rPr>
        <w:t>(citation omitted)</w:t>
      </w:r>
    </w:p>
    <w:p w:rsidR="00EF38E4" w:rsidRPr="0072120D" w:rsidRDefault="00EF38E4" w:rsidP="00ED5BC5">
      <w:pPr>
        <w:pStyle w:val="NoNum"/>
      </w:pPr>
      <w:r w:rsidRPr="0072120D">
        <w:t xml:space="preserve">Justice </w:t>
      </w:r>
      <w:r w:rsidR="003B17CC" w:rsidRPr="0072120D">
        <w:t>B</w:t>
      </w:r>
      <w:r w:rsidR="009D7EBE" w:rsidRPr="0072120D">
        <w:t>uchanan concluded</w:t>
      </w:r>
      <w:r w:rsidR="00792A2C">
        <w:t xml:space="preserve"> (at 583)</w:t>
      </w:r>
      <w:r w:rsidR="009D7EBE" w:rsidRPr="0072120D">
        <w:t>:</w:t>
      </w:r>
    </w:p>
    <w:p w:rsidR="00EF38E4" w:rsidRPr="0072120D" w:rsidRDefault="00EF38E4" w:rsidP="00B72F92">
      <w:pPr>
        <w:pStyle w:val="Quote1"/>
        <w:keepNext/>
        <w:widowControl/>
        <w:spacing w:after="360"/>
        <w:ind w:left="1440" w:hanging="703"/>
        <w:rPr>
          <w:sz w:val="20"/>
        </w:rPr>
      </w:pPr>
      <w:r w:rsidRPr="0072120D">
        <w:rPr>
          <w:sz w:val="20"/>
        </w:rPr>
        <w:t>[102]</w:t>
      </w:r>
      <w:r w:rsidRPr="0072120D">
        <w:rPr>
          <w:sz w:val="20"/>
        </w:rPr>
        <w:tab/>
      </w:r>
      <w:r w:rsidRPr="0072120D">
        <w:rPr>
          <w:sz w:val="20"/>
          <w:lang w:eastAsia="en-AU"/>
        </w:rPr>
        <w:t>The totality principle is a guide to sentencing practice. It must be adapted to the circumstances. It is designed to avoid injustice in the overall result. It is not a principle which suggests that a penalty should necessarily be reduced from an aggregate total fixed for multiple offences. Rather, it involves a final check to ensure that a total or aggregate penalty is not, in all the circumstances, excessive. It may not be. …</w:t>
      </w:r>
    </w:p>
    <w:p w:rsidR="00EF68CF" w:rsidRPr="0072120D" w:rsidRDefault="00EF68CF" w:rsidP="00EF68CF">
      <w:pPr>
        <w:pStyle w:val="ParaNumbering"/>
      </w:pPr>
      <w:r w:rsidRPr="0072120D">
        <w:t>The totality principle thus operates as a “</w:t>
      </w:r>
      <w:r w:rsidRPr="0072120D">
        <w:rPr>
          <w:i/>
        </w:rPr>
        <w:t>final check</w:t>
      </w:r>
      <w:r w:rsidRPr="0072120D">
        <w:t>” upon the penalty to be imposed.</w:t>
      </w:r>
      <w:r w:rsidR="00ED5BC5" w:rsidRPr="0072120D">
        <w:t xml:space="preserve"> </w:t>
      </w:r>
      <w:r w:rsidRPr="0072120D">
        <w:t xml:space="preserve"> The quantum of the final penalty is not to be calculated simply by arithmetical aggregation of the sum of the individual penalties that each contravention may attract. </w:t>
      </w:r>
      <w:r w:rsidR="00ED5BC5" w:rsidRPr="0072120D">
        <w:t xml:space="preserve"> </w:t>
      </w:r>
      <w:r w:rsidRPr="0072120D">
        <w:t>As a “</w:t>
      </w:r>
      <w:r w:rsidRPr="0072120D">
        <w:rPr>
          <w:i/>
        </w:rPr>
        <w:t>final check</w:t>
      </w:r>
      <w:r w:rsidRPr="0072120D">
        <w:t>” the Court should conduct a “</w:t>
      </w:r>
      <w:r w:rsidRPr="0072120D">
        <w:rPr>
          <w:i/>
        </w:rPr>
        <w:t>final overall consideration</w:t>
      </w:r>
      <w:r w:rsidRPr="0072120D">
        <w:t xml:space="preserve">” of the offending conduct in order to </w:t>
      </w:r>
      <w:r w:rsidRPr="0072120D">
        <w:lastRenderedPageBreak/>
        <w:t>ensure that the final penalty is just and appropriate</w:t>
      </w:r>
      <w:r w:rsidR="007F7FB4">
        <w:t>,</w:t>
      </w:r>
      <w:r w:rsidRPr="0072120D">
        <w:t xml:space="preserve"> having regard to the totality of the contravening conduct.</w:t>
      </w:r>
    </w:p>
    <w:p w:rsidR="00E77BFB" w:rsidRPr="0072120D" w:rsidRDefault="00E77BFB" w:rsidP="00281ADD">
      <w:pPr>
        <w:pStyle w:val="ParaNumbering"/>
      </w:pPr>
      <w:r w:rsidRPr="0072120D">
        <w:t>On the facts of the present case, the Commissioner submits – and the Court accepts – that the course of conduct principle applies such that:</w:t>
      </w:r>
    </w:p>
    <w:p w:rsidR="00E77BFB" w:rsidRPr="0072120D" w:rsidRDefault="00E77BFB" w:rsidP="00E77BFB">
      <w:pPr>
        <w:pStyle w:val="FCBullets"/>
      </w:pPr>
      <w:r w:rsidRPr="0072120D">
        <w:t>the CFMMEU should not be punished potentially 25 times for each of the 25 workers engaged in the contraventions of s</w:t>
      </w:r>
      <w:r w:rsidR="00046F09" w:rsidRPr="0072120D">
        <w:t> </w:t>
      </w:r>
      <w:r w:rsidRPr="0072120D">
        <w:t xml:space="preserve">46 of the </w:t>
      </w:r>
      <w:r w:rsidRPr="0072120D">
        <w:rPr>
          <w:i/>
        </w:rPr>
        <w:t>Building Industry Act</w:t>
      </w:r>
      <w:r w:rsidRPr="0072120D">
        <w:t xml:space="preserve">; and </w:t>
      </w:r>
    </w:p>
    <w:p w:rsidR="00E77BFB" w:rsidRPr="0072120D" w:rsidRDefault="00E77BFB" w:rsidP="00E77BFB">
      <w:pPr>
        <w:pStyle w:val="FCBullets"/>
      </w:pPr>
      <w:r w:rsidRPr="0072120D">
        <w:t>Mr Sloane’s and t</w:t>
      </w:r>
      <w:r w:rsidR="00046F09" w:rsidRPr="0072120D">
        <w:t>he CFMMEU’s contraventions of s </w:t>
      </w:r>
      <w:r w:rsidRPr="0072120D">
        <w:t xml:space="preserve">500 of the </w:t>
      </w:r>
      <w:r w:rsidRPr="0072120D">
        <w:rPr>
          <w:i/>
        </w:rPr>
        <w:t>Fair Work Act</w:t>
      </w:r>
      <w:r w:rsidRPr="0072120D">
        <w:t xml:space="preserve"> should be treated as one contravention by each of them.</w:t>
      </w:r>
    </w:p>
    <w:p w:rsidR="009E5E7C" w:rsidRPr="0072120D" w:rsidRDefault="0083616A" w:rsidP="00ED5BC5">
      <w:pPr>
        <w:pStyle w:val="ParaNumbering"/>
      </w:pPr>
      <w:r w:rsidRPr="0072120D">
        <w:t>I</w:t>
      </w:r>
      <w:r w:rsidR="00E77BFB" w:rsidRPr="0072120D">
        <w:t>t is further concluded that the totality principle should be applied as a “</w:t>
      </w:r>
      <w:r w:rsidR="00E77BFB" w:rsidRPr="0072120D">
        <w:rPr>
          <w:i/>
        </w:rPr>
        <w:t>final check</w:t>
      </w:r>
      <w:r w:rsidR="00E77BFB" w:rsidRPr="0072120D">
        <w:t>” on the penalties to be imposed.</w:t>
      </w:r>
      <w:r w:rsidR="009E5E7C" w:rsidRPr="0072120D">
        <w:t xml:space="preserve"> </w:t>
      </w:r>
      <w:r w:rsidR="00046F09" w:rsidRPr="0072120D">
        <w:t xml:space="preserve"> </w:t>
      </w:r>
      <w:r w:rsidR="009E5E7C" w:rsidRPr="0072120D">
        <w:t>Although the conduct the subject of the contraventions of the two Act</w:t>
      </w:r>
      <w:r w:rsidR="00046F09" w:rsidRPr="0072120D">
        <w:t>s</w:t>
      </w:r>
      <w:r w:rsidR="009E5E7C" w:rsidRPr="0072120D">
        <w:t xml:space="preserve"> fall</w:t>
      </w:r>
      <w:r w:rsidR="00AA0990">
        <w:t>s</w:t>
      </w:r>
      <w:r w:rsidR="009E5E7C" w:rsidRPr="0072120D">
        <w:t xml:space="preserve"> outside of the phrase “</w:t>
      </w:r>
      <w:r w:rsidR="009E5E7C" w:rsidRPr="0072120D">
        <w:rPr>
          <w:i/>
        </w:rPr>
        <w:t>particular conduct</w:t>
      </w:r>
      <w:r w:rsidR="009E5E7C" w:rsidRPr="0072120D">
        <w:t xml:space="preserve">” as used in both </w:t>
      </w:r>
      <w:proofErr w:type="spellStart"/>
      <w:r w:rsidR="00623B60">
        <w:t>ss</w:t>
      </w:r>
      <w:proofErr w:type="spellEnd"/>
      <w:r w:rsidR="00623B60">
        <w:t> </w:t>
      </w:r>
      <w:r w:rsidR="00AA0990">
        <w:t>556 and 91</w:t>
      </w:r>
      <w:r w:rsidR="009E5E7C" w:rsidRPr="0072120D">
        <w:t xml:space="preserve">, </w:t>
      </w:r>
      <w:r w:rsidR="00DE72FB" w:rsidRPr="0072120D">
        <w:t>applying an aggregate penalty for each of the contraventions would be manifestly “</w:t>
      </w:r>
      <w:r w:rsidR="00DE72FB" w:rsidRPr="0072120D">
        <w:rPr>
          <w:i/>
        </w:rPr>
        <w:t>excessive</w:t>
      </w:r>
      <w:r w:rsidR="00DE72FB" w:rsidRPr="0072120D">
        <w:t xml:space="preserve">”. </w:t>
      </w:r>
    </w:p>
    <w:p w:rsidR="0099134F" w:rsidRPr="0072120D" w:rsidRDefault="0099134F" w:rsidP="005912D8">
      <w:pPr>
        <w:pStyle w:val="Heading2"/>
      </w:pPr>
      <w:r w:rsidRPr="0072120D">
        <w:t xml:space="preserve">CONCLUSIONS  </w:t>
      </w:r>
    </w:p>
    <w:p w:rsidR="00031ABF" w:rsidRPr="0072120D" w:rsidRDefault="00031ABF" w:rsidP="000E6FFB">
      <w:pPr>
        <w:pStyle w:val="ParaNumbering"/>
      </w:pPr>
      <w:r w:rsidRPr="0072120D">
        <w:t>It is concluded that it is appropriate to make orders imposing penalties within the range as agreed between the parties, albeit at the very upper limit of that which has been agreed.</w:t>
      </w:r>
    </w:p>
    <w:p w:rsidR="00DE72FB" w:rsidRPr="0072120D" w:rsidRDefault="00031ABF" w:rsidP="000E6FFB">
      <w:pPr>
        <w:pStyle w:val="ParaNumbering"/>
      </w:pPr>
      <w:r w:rsidRPr="0072120D">
        <w:t>It is f</w:t>
      </w:r>
      <w:r w:rsidR="003A7B90" w:rsidRPr="0072120D">
        <w:t>urther concluded that neither s </w:t>
      </w:r>
      <w:r w:rsidRPr="0072120D">
        <w:t xml:space="preserve">556 of the </w:t>
      </w:r>
      <w:r w:rsidRPr="0072120D">
        <w:rPr>
          <w:i/>
        </w:rPr>
        <w:t>Fair Work Act</w:t>
      </w:r>
      <w:r w:rsidR="003A7B90" w:rsidRPr="0072120D">
        <w:t xml:space="preserve"> nor s </w:t>
      </w:r>
      <w:r w:rsidRPr="0072120D">
        <w:t xml:space="preserve">91 of the </w:t>
      </w:r>
      <w:r w:rsidRPr="0072120D">
        <w:rPr>
          <w:i/>
        </w:rPr>
        <w:t>Building Industry Act</w:t>
      </w:r>
      <w:r w:rsidRPr="0072120D">
        <w:t xml:space="preserve"> preclude the imposition of </w:t>
      </w:r>
      <w:r w:rsidR="00841FB1">
        <w:t xml:space="preserve">separate </w:t>
      </w:r>
      <w:r w:rsidRPr="0072120D">
        <w:t>penalties in respect to the contraventions of both Act</w:t>
      </w:r>
      <w:r w:rsidR="003332F5" w:rsidRPr="0072120D">
        <w:t>s</w:t>
      </w:r>
      <w:r w:rsidRPr="0072120D">
        <w:t xml:space="preserve">. </w:t>
      </w:r>
      <w:r w:rsidR="003332F5" w:rsidRPr="0072120D">
        <w:t xml:space="preserve"> </w:t>
      </w:r>
      <w:r w:rsidR="00DE72FB" w:rsidRPr="0072120D">
        <w:t xml:space="preserve">An aggregated penalty for each contravention, however, would not take into account the extent to which </w:t>
      </w:r>
      <w:r w:rsidR="00841FB1">
        <w:t xml:space="preserve">the </w:t>
      </w:r>
      <w:r w:rsidR="00DE72FB" w:rsidRPr="0072120D">
        <w:t xml:space="preserve">conduct falls within the course of conduct principle. </w:t>
      </w:r>
      <w:r w:rsidR="003332F5" w:rsidRPr="0072120D">
        <w:t xml:space="preserve"> </w:t>
      </w:r>
      <w:r w:rsidR="00DE72FB" w:rsidRPr="0072120D">
        <w:t xml:space="preserve">And such an aggregated penalty would be manifestly excessive. </w:t>
      </w:r>
    </w:p>
    <w:p w:rsidR="0099134F" w:rsidRPr="0072120D" w:rsidRDefault="00DE72FB" w:rsidP="000E6FFB">
      <w:pPr>
        <w:pStyle w:val="ParaNumbering"/>
      </w:pPr>
      <w:r w:rsidRPr="0072120D">
        <w:t xml:space="preserve">It has ultimately been concluded that penalties should be </w:t>
      </w:r>
      <w:r w:rsidR="00031ABF" w:rsidRPr="0072120D">
        <w:t>imposed aga</w:t>
      </w:r>
      <w:r w:rsidR="003332F5" w:rsidRPr="0072120D">
        <w:t>inst the CFMMEU in the sum of $</w:t>
      </w:r>
      <w:r w:rsidR="00031ABF" w:rsidRPr="0072120D">
        <w:t>168,000 and against M</w:t>
      </w:r>
      <w:r w:rsidRPr="0072120D">
        <w:t>r</w:t>
      </w:r>
      <w:r w:rsidR="00031ABF" w:rsidRPr="0072120D">
        <w:t xml:space="preserve"> Sloane in the sum of $25,000.</w:t>
      </w:r>
    </w:p>
    <w:p w:rsidR="00031ABF" w:rsidRPr="0072120D" w:rsidRDefault="00031ABF" w:rsidP="00B101E9">
      <w:pPr>
        <w:pStyle w:val="ParaNumbering"/>
      </w:pPr>
      <w:r w:rsidRPr="0072120D">
        <w:t xml:space="preserve">The declaratory relief should also be in the form as agreed. </w:t>
      </w:r>
    </w:p>
    <w:p w:rsidR="005E6103" w:rsidRPr="0072120D" w:rsidRDefault="005E6103" w:rsidP="00281390">
      <w:pPr>
        <w:pStyle w:val="Heading2"/>
      </w:pPr>
      <w:r w:rsidRPr="0072120D">
        <w:t>THE COURT DECLARES THAT:</w:t>
      </w:r>
    </w:p>
    <w:p w:rsidR="005E6103" w:rsidRPr="0072120D" w:rsidRDefault="005E6103" w:rsidP="00281390">
      <w:pPr>
        <w:pStyle w:val="Heading3"/>
      </w:pPr>
      <w:r w:rsidRPr="0072120D">
        <w:t>Anthony Sloane</w:t>
      </w:r>
    </w:p>
    <w:p w:rsidR="005E6103" w:rsidRPr="0072120D" w:rsidRDefault="008E7CD6" w:rsidP="00B101E9">
      <w:pPr>
        <w:pStyle w:val="NoNum"/>
        <w:ind w:left="720" w:hanging="720"/>
      </w:pPr>
      <w:r>
        <w:t>1</w:t>
      </w:r>
      <w:r w:rsidR="005E6103" w:rsidRPr="0072120D">
        <w:t>.</w:t>
      </w:r>
      <w:r w:rsidR="005E6103" w:rsidRPr="0072120D">
        <w:tab/>
        <w:t>The Second Respondent, an official of the First Respondent acting in that capacity for the purposes of s</w:t>
      </w:r>
      <w:r w:rsidR="00D052C1" w:rsidRPr="0072120D">
        <w:t> </w:t>
      </w:r>
      <w:r w:rsidR="005E6103" w:rsidRPr="0072120D">
        <w:t xml:space="preserve">94(1)(a) of the </w:t>
      </w:r>
      <w:r w:rsidR="005E6103" w:rsidRPr="007944A4">
        <w:rPr>
          <w:i/>
        </w:rPr>
        <w:t>BCIIP Act</w:t>
      </w:r>
      <w:r w:rsidR="005E6103" w:rsidRPr="0072120D">
        <w:t>, contravened s</w:t>
      </w:r>
      <w:r w:rsidR="00D052C1" w:rsidRPr="0072120D">
        <w:t> </w:t>
      </w:r>
      <w:r w:rsidR="005E6103" w:rsidRPr="0072120D">
        <w:t xml:space="preserve">46 of the </w:t>
      </w:r>
      <w:r w:rsidR="005E6103" w:rsidRPr="007944A4">
        <w:rPr>
          <w:i/>
        </w:rPr>
        <w:t>BCIIP Act</w:t>
      </w:r>
      <w:r w:rsidR="005E6103" w:rsidRPr="0072120D">
        <w:t xml:space="preserve"> on 20 February 2018 by organising the </w:t>
      </w:r>
      <w:proofErr w:type="spellStart"/>
      <w:r w:rsidR="005E6103" w:rsidRPr="0072120D">
        <w:t>Westform</w:t>
      </w:r>
      <w:proofErr w:type="spellEnd"/>
      <w:r w:rsidR="005E6103" w:rsidRPr="0072120D">
        <w:t xml:space="preserve"> workers to engage in unlawful industrial action constituting the Stoppage at the Project Site.</w:t>
      </w:r>
    </w:p>
    <w:p w:rsidR="005E6103" w:rsidRPr="0072120D" w:rsidRDefault="008E7CD6" w:rsidP="00B101E9">
      <w:pPr>
        <w:pStyle w:val="NoNum"/>
        <w:ind w:left="720" w:hanging="720"/>
      </w:pPr>
      <w:r>
        <w:lastRenderedPageBreak/>
        <w:t>2</w:t>
      </w:r>
      <w:r w:rsidR="005E6103" w:rsidRPr="0072120D">
        <w:t>.</w:t>
      </w:r>
      <w:r w:rsidR="005E6103" w:rsidRPr="0072120D">
        <w:tab/>
        <w:t>The Second Respondent, an official of the First Respondent acting in that capacity for the purposes of s</w:t>
      </w:r>
      <w:r w:rsidR="00394634" w:rsidRPr="0072120D">
        <w:t> </w:t>
      </w:r>
      <w:r w:rsidR="005E6103" w:rsidRPr="0072120D">
        <w:t xml:space="preserve">793(1)(a) of the </w:t>
      </w:r>
      <w:r w:rsidR="005E6103" w:rsidRPr="007944A4">
        <w:rPr>
          <w:i/>
        </w:rPr>
        <w:t>Fair Work Act</w:t>
      </w:r>
      <w:r w:rsidR="005E6103" w:rsidRPr="0072120D">
        <w:t>, contravened s</w:t>
      </w:r>
      <w:r w:rsidR="00394634" w:rsidRPr="0072120D">
        <w:t> </w:t>
      </w:r>
      <w:r w:rsidR="005E6103" w:rsidRPr="0072120D">
        <w:t xml:space="preserve">500 of the </w:t>
      </w:r>
      <w:r w:rsidR="005E6103" w:rsidRPr="007944A4">
        <w:rPr>
          <w:i/>
        </w:rPr>
        <w:t>Fair Work Act</w:t>
      </w:r>
      <w:r w:rsidR="005E6103" w:rsidRPr="0072120D">
        <w:rPr>
          <w:i/>
        </w:rPr>
        <w:t xml:space="preserve"> </w:t>
      </w:r>
      <w:r w:rsidR="005E6103" w:rsidRPr="0072120D">
        <w:t>on 20 February 2019 by:</w:t>
      </w:r>
    </w:p>
    <w:p w:rsidR="005E6103" w:rsidRPr="0072120D" w:rsidRDefault="005E6103" w:rsidP="00DB1FF0">
      <w:pPr>
        <w:pStyle w:val="Order2"/>
        <w:numPr>
          <w:ilvl w:val="1"/>
          <w:numId w:val="42"/>
        </w:numPr>
      </w:pPr>
      <w:r w:rsidRPr="0072120D">
        <w:t xml:space="preserve">hindering or obstructing each of Paul Neville, Daniel Kos, Michael Harbison and Tahir Mehmed from discharging their duties on the Project; and </w:t>
      </w:r>
    </w:p>
    <w:p w:rsidR="005E6103" w:rsidRPr="0072120D" w:rsidRDefault="005E6103" w:rsidP="00DB1FF0">
      <w:pPr>
        <w:pStyle w:val="Order2"/>
      </w:pPr>
      <w:r w:rsidRPr="0072120D">
        <w:t>by one or more of each of the following, acted in an improper manner:</w:t>
      </w:r>
    </w:p>
    <w:p w:rsidR="005E6103" w:rsidRPr="0072120D" w:rsidRDefault="005E6103" w:rsidP="00B101E9">
      <w:pPr>
        <w:pStyle w:val="ListNo3"/>
      </w:pPr>
      <w:r w:rsidRPr="0072120D">
        <w:t>organising the Stoppage;</w:t>
      </w:r>
    </w:p>
    <w:p w:rsidR="005E6103" w:rsidRPr="0072120D" w:rsidRDefault="005E6103" w:rsidP="00B101E9">
      <w:pPr>
        <w:pStyle w:val="ListNo3"/>
      </w:pPr>
      <w:r w:rsidRPr="0072120D">
        <w:t xml:space="preserve">interrupting the pre-start meeting between </w:t>
      </w:r>
      <w:proofErr w:type="spellStart"/>
      <w:r w:rsidRPr="0072120D">
        <w:t>Westform</w:t>
      </w:r>
      <w:proofErr w:type="spellEnd"/>
      <w:r w:rsidRPr="0072120D">
        <w:t xml:space="preserve"> and the </w:t>
      </w:r>
      <w:proofErr w:type="spellStart"/>
      <w:r w:rsidRPr="0072120D">
        <w:t>Westform</w:t>
      </w:r>
      <w:proofErr w:type="spellEnd"/>
      <w:r w:rsidRPr="0072120D">
        <w:t xml:space="preserve"> workers;</w:t>
      </w:r>
    </w:p>
    <w:p w:rsidR="005E6103" w:rsidRPr="0072120D" w:rsidRDefault="005E6103" w:rsidP="00B101E9">
      <w:pPr>
        <w:pStyle w:val="ListNo3"/>
      </w:pPr>
      <w:r w:rsidRPr="0072120D">
        <w:t>pursuing Pay Claim in circumstances where it had no merit;</w:t>
      </w:r>
    </w:p>
    <w:p w:rsidR="005E6103" w:rsidRPr="0072120D" w:rsidRDefault="005E6103" w:rsidP="00B101E9">
      <w:pPr>
        <w:pStyle w:val="ListNo3"/>
      </w:pPr>
      <w:r w:rsidRPr="0072120D">
        <w:t xml:space="preserve">making the threat to organise the Stoppage unless the Pay Claim was resolved in favour of the </w:t>
      </w:r>
      <w:proofErr w:type="spellStart"/>
      <w:r w:rsidRPr="0072120D">
        <w:t>Westform</w:t>
      </w:r>
      <w:proofErr w:type="spellEnd"/>
      <w:r w:rsidRPr="0072120D">
        <w:t xml:space="preserve"> workers;</w:t>
      </w:r>
    </w:p>
    <w:p w:rsidR="005E6103" w:rsidRPr="0072120D" w:rsidRDefault="005E6103" w:rsidP="00B101E9">
      <w:pPr>
        <w:pStyle w:val="ListNo3"/>
      </w:pPr>
      <w:r w:rsidRPr="0072120D">
        <w:t>pursuing the Pay Claim other than in accordance with the disputes procedure in cl</w:t>
      </w:r>
      <w:r w:rsidR="00394634" w:rsidRPr="0072120D">
        <w:t> </w:t>
      </w:r>
      <w:r w:rsidRPr="0072120D">
        <w:t xml:space="preserve">27 of the JJSL Agreement (which covered the </w:t>
      </w:r>
      <w:proofErr w:type="spellStart"/>
      <w:r w:rsidRPr="0072120D">
        <w:t>Westform</w:t>
      </w:r>
      <w:proofErr w:type="spellEnd"/>
      <w:r w:rsidRPr="0072120D">
        <w:t xml:space="preserve"> workers);</w:t>
      </w:r>
    </w:p>
    <w:p w:rsidR="005E6103" w:rsidRPr="0072120D" w:rsidRDefault="005E6103" w:rsidP="00B101E9">
      <w:pPr>
        <w:pStyle w:val="ListNo3"/>
      </w:pPr>
      <w:r w:rsidRPr="0072120D">
        <w:t xml:space="preserve">failing to give notice of entry in accordance with </w:t>
      </w:r>
      <w:r w:rsidR="00394634" w:rsidRPr="0072120D">
        <w:t>s </w:t>
      </w:r>
      <w:r w:rsidRPr="0072120D">
        <w:t xml:space="preserve">487 of the </w:t>
      </w:r>
      <w:r w:rsidRPr="007944A4">
        <w:rPr>
          <w:i/>
        </w:rPr>
        <w:t>Fair Work Act</w:t>
      </w:r>
      <w:r w:rsidRPr="0072120D">
        <w:rPr>
          <w:i/>
        </w:rPr>
        <w:t xml:space="preserve"> </w:t>
      </w:r>
      <w:r w:rsidRPr="0072120D">
        <w:t xml:space="preserve">to Parkview, as the occupier of the premises at the Project Site, and each of </w:t>
      </w:r>
      <w:proofErr w:type="spellStart"/>
      <w:r w:rsidRPr="0072120D">
        <w:t>Westform</w:t>
      </w:r>
      <w:proofErr w:type="spellEnd"/>
      <w:r w:rsidRPr="0072120D">
        <w:t xml:space="preserve"> and JSL as an affected employer; and</w:t>
      </w:r>
    </w:p>
    <w:p w:rsidR="005E6103" w:rsidRPr="0072120D" w:rsidRDefault="005E6103" w:rsidP="00B101E9">
      <w:pPr>
        <w:pStyle w:val="ListNo3"/>
      </w:pPr>
      <w:r w:rsidRPr="0072120D">
        <w:t>contrary to s</w:t>
      </w:r>
      <w:r w:rsidR="00394634" w:rsidRPr="0072120D">
        <w:t> </w:t>
      </w:r>
      <w:r w:rsidRPr="0072120D">
        <w:t xml:space="preserve">484, holding discussions with the </w:t>
      </w:r>
      <w:proofErr w:type="spellStart"/>
      <w:r w:rsidRPr="0072120D">
        <w:t>Westform</w:t>
      </w:r>
      <w:proofErr w:type="spellEnd"/>
      <w:r w:rsidRPr="0072120D">
        <w:t xml:space="preserve"> workers outside mealtimes and other breaks.</w:t>
      </w:r>
    </w:p>
    <w:p w:rsidR="008E7CD6" w:rsidRPr="0072120D" w:rsidRDefault="008E7CD6" w:rsidP="008E7CD6">
      <w:pPr>
        <w:pStyle w:val="Heading3"/>
      </w:pPr>
      <w:r w:rsidRPr="0072120D">
        <w:t>CFMMEU</w:t>
      </w:r>
    </w:p>
    <w:p w:rsidR="008E7CD6" w:rsidRPr="0072120D" w:rsidRDefault="008E7CD6" w:rsidP="008E7CD6">
      <w:pPr>
        <w:pStyle w:val="NoNum"/>
        <w:ind w:left="720" w:hanging="720"/>
      </w:pPr>
      <w:r>
        <w:t>3</w:t>
      </w:r>
      <w:r w:rsidRPr="0072120D">
        <w:t>.</w:t>
      </w:r>
      <w:r w:rsidRPr="0072120D">
        <w:tab/>
        <w:t xml:space="preserve">The First Respondent, by the conduct of the Second Respondent in the first declaration and by operation of s 94 of the </w:t>
      </w:r>
      <w:r w:rsidRPr="007944A4">
        <w:rPr>
          <w:i/>
        </w:rPr>
        <w:t>BCIIP Act</w:t>
      </w:r>
      <w:r w:rsidRPr="0072120D">
        <w:t xml:space="preserve">, contravened s 46 of the </w:t>
      </w:r>
      <w:r w:rsidRPr="007944A4">
        <w:rPr>
          <w:i/>
        </w:rPr>
        <w:t xml:space="preserve">BCIIP Act </w:t>
      </w:r>
      <w:r w:rsidRPr="0072120D">
        <w:t xml:space="preserve">on 20 February 2018 by organising the </w:t>
      </w:r>
      <w:proofErr w:type="spellStart"/>
      <w:r w:rsidRPr="0072120D">
        <w:t>Westform</w:t>
      </w:r>
      <w:proofErr w:type="spellEnd"/>
      <w:r w:rsidRPr="0072120D">
        <w:t xml:space="preserve"> workers to engage in unlawful industrial action constituting the Stoppage at the Project Site.</w:t>
      </w:r>
    </w:p>
    <w:p w:rsidR="008E7CD6" w:rsidRPr="0072120D" w:rsidRDefault="008E7CD6" w:rsidP="008E7CD6">
      <w:pPr>
        <w:pStyle w:val="NoNum"/>
        <w:ind w:left="720" w:hanging="720"/>
      </w:pPr>
      <w:r>
        <w:t>4</w:t>
      </w:r>
      <w:r w:rsidRPr="0072120D">
        <w:t>.</w:t>
      </w:r>
      <w:r w:rsidRPr="0072120D">
        <w:tab/>
        <w:t xml:space="preserve">The First Respondent, by the conduct of the </w:t>
      </w:r>
      <w:proofErr w:type="spellStart"/>
      <w:r w:rsidRPr="0072120D">
        <w:t>Westform</w:t>
      </w:r>
      <w:proofErr w:type="spellEnd"/>
      <w:r w:rsidRPr="0072120D">
        <w:t xml:space="preserve"> workers in engaging in the Stoppage and by operation of s 95(1)(c)(iii) of the </w:t>
      </w:r>
      <w:r w:rsidRPr="007944A4">
        <w:rPr>
          <w:i/>
        </w:rPr>
        <w:t>BCIIP Act</w:t>
      </w:r>
      <w:r w:rsidRPr="0072120D">
        <w:t xml:space="preserve">, contravened s 46 of the </w:t>
      </w:r>
      <w:r w:rsidRPr="007944A4">
        <w:rPr>
          <w:i/>
        </w:rPr>
        <w:t>BCIIP Act</w:t>
      </w:r>
      <w:r w:rsidRPr="0072120D">
        <w:t xml:space="preserve"> on 20 February 2019 by engaging in unlawful industrial action constituting the Stoppage;</w:t>
      </w:r>
    </w:p>
    <w:p w:rsidR="008E7CD6" w:rsidRPr="0072120D" w:rsidRDefault="008E7CD6" w:rsidP="008E7CD6">
      <w:pPr>
        <w:pStyle w:val="NoNum"/>
        <w:ind w:left="720" w:hanging="720"/>
      </w:pPr>
      <w:r>
        <w:t>5</w:t>
      </w:r>
      <w:r w:rsidRPr="0072120D">
        <w:t>.</w:t>
      </w:r>
      <w:r w:rsidRPr="0072120D">
        <w:tab/>
        <w:t xml:space="preserve">The First Respondent, by the conduct of the Second Respondent in the second declaration and by operation of </w:t>
      </w:r>
      <w:proofErr w:type="spellStart"/>
      <w:r w:rsidRPr="0072120D">
        <w:t>s</w:t>
      </w:r>
      <w:r>
        <w:t>s</w:t>
      </w:r>
      <w:proofErr w:type="spellEnd"/>
      <w:r w:rsidRPr="0072120D">
        <w:t xml:space="preserve"> 793 and 550 of the </w:t>
      </w:r>
      <w:r w:rsidRPr="007944A4">
        <w:rPr>
          <w:i/>
        </w:rPr>
        <w:t>Fair Work Act</w:t>
      </w:r>
      <w:r w:rsidRPr="0072120D">
        <w:t xml:space="preserve">, was knowingly </w:t>
      </w:r>
      <w:r w:rsidRPr="0072120D">
        <w:lastRenderedPageBreak/>
        <w:t>con</w:t>
      </w:r>
      <w:r>
        <w:t>cerned in the Second Respondent’</w:t>
      </w:r>
      <w:r w:rsidRPr="0072120D">
        <w:t xml:space="preserve">s contravention of s 500 and, accordingly, has itself contravened s 500 of the </w:t>
      </w:r>
      <w:r w:rsidRPr="007944A4">
        <w:rPr>
          <w:i/>
        </w:rPr>
        <w:t>Fair Work Act</w:t>
      </w:r>
      <w:r w:rsidRPr="0072120D">
        <w:t>.</w:t>
      </w:r>
    </w:p>
    <w:p w:rsidR="005E6103" w:rsidRPr="0072120D" w:rsidRDefault="005E6103" w:rsidP="00281390">
      <w:pPr>
        <w:pStyle w:val="Heading2"/>
      </w:pPr>
      <w:r w:rsidRPr="0072120D">
        <w:t>THE COURT ORDERS THAT:</w:t>
      </w:r>
    </w:p>
    <w:p w:rsidR="005E6103" w:rsidRPr="0072120D" w:rsidRDefault="005E6103" w:rsidP="00B101E9">
      <w:pPr>
        <w:pStyle w:val="Heading3"/>
      </w:pPr>
      <w:r w:rsidRPr="0072120D">
        <w:t>CFMMEU</w:t>
      </w:r>
    </w:p>
    <w:p w:rsidR="005E6103" w:rsidRPr="0072120D" w:rsidRDefault="00F412C3" w:rsidP="00B101E9">
      <w:pPr>
        <w:pStyle w:val="NoNum"/>
        <w:ind w:left="720" w:hanging="720"/>
      </w:pPr>
      <w:r w:rsidRPr="0072120D">
        <w:t>1.</w:t>
      </w:r>
      <w:r w:rsidRPr="0072120D">
        <w:tab/>
      </w:r>
      <w:r w:rsidR="005E6103" w:rsidRPr="0072120D">
        <w:t>The First Respondent pay to the Commonwealth of Australia a penalty of $</w:t>
      </w:r>
      <w:r w:rsidR="001E561A">
        <w:t>75,000</w:t>
      </w:r>
      <w:r w:rsidR="00DD5EF8">
        <w:t xml:space="preserve"> </w:t>
      </w:r>
      <w:r w:rsidR="005E6103" w:rsidRPr="0072120D">
        <w:t>in</w:t>
      </w:r>
      <w:r w:rsidRPr="0072120D">
        <w:t xml:space="preserve"> </w:t>
      </w:r>
      <w:r w:rsidR="005E6103" w:rsidRPr="0072120D">
        <w:t>respect of its contravention of s</w:t>
      </w:r>
      <w:r w:rsidR="00394634" w:rsidRPr="0072120D">
        <w:t> </w:t>
      </w:r>
      <w:r w:rsidR="005E6103" w:rsidRPr="0072120D">
        <w:t xml:space="preserve">46 of the </w:t>
      </w:r>
      <w:r w:rsidR="005E6103" w:rsidRPr="007944A4">
        <w:rPr>
          <w:i/>
        </w:rPr>
        <w:t xml:space="preserve">BCIIP Act </w:t>
      </w:r>
      <w:r w:rsidR="005E6103" w:rsidRPr="0072120D">
        <w:t>as declared in par</w:t>
      </w:r>
      <w:r w:rsidR="007F7FB4">
        <w:t>a</w:t>
      </w:r>
      <w:r w:rsidR="005E6103" w:rsidRPr="0072120D">
        <w:t xml:space="preserve"> 3</w:t>
      </w:r>
      <w:r w:rsidR="007F7FB4">
        <w:t xml:space="preserve"> </w:t>
      </w:r>
      <w:r w:rsidR="005E6103" w:rsidRPr="0072120D">
        <w:t>of the Declarations.</w:t>
      </w:r>
    </w:p>
    <w:p w:rsidR="005E6103" w:rsidRPr="0072120D" w:rsidRDefault="00F412C3" w:rsidP="00B101E9">
      <w:pPr>
        <w:pStyle w:val="NoNum"/>
        <w:ind w:left="720" w:hanging="720"/>
      </w:pPr>
      <w:r w:rsidRPr="0072120D">
        <w:t>2.</w:t>
      </w:r>
      <w:r w:rsidRPr="0072120D">
        <w:tab/>
      </w:r>
      <w:r w:rsidR="005E6103" w:rsidRPr="0072120D">
        <w:t>The First Respondent pay to the Commonwealth of Australia a penalty of $</w:t>
      </w:r>
      <w:r w:rsidR="001E561A">
        <w:t>75,000</w:t>
      </w:r>
      <w:r w:rsidR="00DD5EF8">
        <w:t xml:space="preserve"> </w:t>
      </w:r>
      <w:r w:rsidR="005E6103" w:rsidRPr="0072120D">
        <w:t>in</w:t>
      </w:r>
      <w:r w:rsidRPr="0072120D">
        <w:t xml:space="preserve"> </w:t>
      </w:r>
      <w:r w:rsidR="005E6103" w:rsidRPr="0072120D">
        <w:t>respect of its contravention of s</w:t>
      </w:r>
      <w:r w:rsidR="00394634" w:rsidRPr="0072120D">
        <w:t> </w:t>
      </w:r>
      <w:r w:rsidR="005E6103" w:rsidRPr="0072120D">
        <w:t xml:space="preserve">46 of the </w:t>
      </w:r>
      <w:r w:rsidR="005E6103" w:rsidRPr="007944A4">
        <w:rPr>
          <w:i/>
        </w:rPr>
        <w:t>BCIIP Act</w:t>
      </w:r>
      <w:r w:rsidR="005E6103" w:rsidRPr="0072120D">
        <w:t xml:space="preserve"> as declared in par</w:t>
      </w:r>
      <w:r w:rsidR="007F7FB4">
        <w:t>a</w:t>
      </w:r>
      <w:r w:rsidR="00E925EF">
        <w:t xml:space="preserve"> </w:t>
      </w:r>
      <w:r w:rsidR="005E6103" w:rsidRPr="0072120D">
        <w:t>4</w:t>
      </w:r>
      <w:r w:rsidRPr="0072120D">
        <w:t xml:space="preserve"> </w:t>
      </w:r>
      <w:r w:rsidR="005E6103" w:rsidRPr="0072120D">
        <w:t>of the Declarations.</w:t>
      </w:r>
    </w:p>
    <w:p w:rsidR="005E6103" w:rsidRPr="0072120D" w:rsidRDefault="005E6103" w:rsidP="00B101E9">
      <w:pPr>
        <w:pStyle w:val="NoNum"/>
        <w:ind w:left="720" w:hanging="720"/>
      </w:pPr>
      <w:r w:rsidRPr="0072120D">
        <w:t>3.</w:t>
      </w:r>
      <w:r w:rsidR="00F412C3" w:rsidRPr="0072120D">
        <w:tab/>
      </w:r>
      <w:r w:rsidRPr="0072120D">
        <w:t>The First Respondent pay to the Commonwealth of Australia a penalty of $</w:t>
      </w:r>
      <w:r w:rsidR="001E561A">
        <w:t>18,000</w:t>
      </w:r>
      <w:r w:rsidR="00DD5EF8">
        <w:t xml:space="preserve"> </w:t>
      </w:r>
      <w:r w:rsidRPr="0072120D">
        <w:t>in</w:t>
      </w:r>
      <w:r w:rsidR="00F412C3" w:rsidRPr="0072120D">
        <w:t xml:space="preserve"> </w:t>
      </w:r>
      <w:r w:rsidRPr="0072120D">
        <w:t>respect of its contravention of s</w:t>
      </w:r>
      <w:r w:rsidR="00394634" w:rsidRPr="0072120D">
        <w:t> </w:t>
      </w:r>
      <w:r w:rsidRPr="0072120D">
        <w:t xml:space="preserve">500 of the </w:t>
      </w:r>
      <w:r w:rsidRPr="007944A4">
        <w:rPr>
          <w:i/>
        </w:rPr>
        <w:t>Fair Work Act</w:t>
      </w:r>
      <w:r w:rsidRPr="0072120D">
        <w:t xml:space="preserve"> as declared in</w:t>
      </w:r>
      <w:r w:rsidR="00F412C3" w:rsidRPr="0072120D">
        <w:t xml:space="preserve"> </w:t>
      </w:r>
      <w:r w:rsidRPr="0072120D">
        <w:t>para</w:t>
      </w:r>
      <w:r w:rsidR="00E925EF">
        <w:t xml:space="preserve"> </w:t>
      </w:r>
      <w:r w:rsidRPr="0072120D">
        <w:t>5 of the Declarations.</w:t>
      </w:r>
    </w:p>
    <w:p w:rsidR="005E6103" w:rsidRPr="0072120D" w:rsidRDefault="005E6103" w:rsidP="00B101E9">
      <w:pPr>
        <w:pStyle w:val="Heading3"/>
      </w:pPr>
      <w:r w:rsidRPr="0072120D">
        <w:t>Anthony Sloane</w:t>
      </w:r>
    </w:p>
    <w:p w:rsidR="005E6103" w:rsidRPr="0072120D" w:rsidRDefault="00F412C3" w:rsidP="00B101E9">
      <w:pPr>
        <w:pStyle w:val="NoNum"/>
        <w:ind w:left="720" w:hanging="720"/>
      </w:pPr>
      <w:r w:rsidRPr="0072120D">
        <w:t>4.</w:t>
      </w:r>
      <w:r w:rsidRPr="0072120D">
        <w:tab/>
      </w:r>
      <w:r w:rsidR="005E6103" w:rsidRPr="0072120D">
        <w:t>The Second Respondent pay to the Commonwealth of Australia a penalty of</w:t>
      </w:r>
      <w:r w:rsidRPr="0072120D">
        <w:t xml:space="preserve"> </w:t>
      </w:r>
      <w:r w:rsidR="005E6103" w:rsidRPr="0072120D">
        <w:t>$</w:t>
      </w:r>
      <w:r w:rsidR="001E561A">
        <w:t>20,000</w:t>
      </w:r>
      <w:r w:rsidR="005E6103" w:rsidRPr="0072120D">
        <w:t xml:space="preserve"> in respect of his contravention of s</w:t>
      </w:r>
      <w:r w:rsidR="00394634" w:rsidRPr="0072120D">
        <w:t> </w:t>
      </w:r>
      <w:r w:rsidR="005E6103" w:rsidRPr="0072120D">
        <w:t xml:space="preserve">46 of the </w:t>
      </w:r>
      <w:r w:rsidR="005E6103" w:rsidRPr="007944A4">
        <w:rPr>
          <w:i/>
        </w:rPr>
        <w:t xml:space="preserve">BCIIP Act </w:t>
      </w:r>
      <w:r w:rsidR="005E6103" w:rsidRPr="0072120D">
        <w:t>as declared in</w:t>
      </w:r>
      <w:r w:rsidRPr="0072120D">
        <w:t xml:space="preserve"> </w:t>
      </w:r>
      <w:r w:rsidR="005E6103" w:rsidRPr="0072120D">
        <w:t>para</w:t>
      </w:r>
      <w:r w:rsidR="00E925EF">
        <w:t xml:space="preserve"> 1 </w:t>
      </w:r>
      <w:r w:rsidR="005E6103" w:rsidRPr="0072120D">
        <w:t>of the Declarations.</w:t>
      </w:r>
    </w:p>
    <w:p w:rsidR="005E6103" w:rsidRPr="0072120D" w:rsidRDefault="00F412C3" w:rsidP="00B101E9">
      <w:pPr>
        <w:pStyle w:val="NoNum"/>
        <w:ind w:left="720" w:hanging="720"/>
      </w:pPr>
      <w:r w:rsidRPr="0072120D">
        <w:t>5.</w:t>
      </w:r>
      <w:r w:rsidRPr="0072120D">
        <w:tab/>
      </w:r>
      <w:r w:rsidR="005E6103" w:rsidRPr="0072120D">
        <w:t>The Second Respondent pay to the Commonwealth of Australia a penalty of</w:t>
      </w:r>
      <w:r w:rsidRPr="0072120D">
        <w:t xml:space="preserve"> </w:t>
      </w:r>
      <w:r w:rsidR="005E6103" w:rsidRPr="0072120D">
        <w:t>$</w:t>
      </w:r>
      <w:r w:rsidR="001E561A">
        <w:t>5,000</w:t>
      </w:r>
      <w:r w:rsidR="005E6103" w:rsidRPr="0072120D">
        <w:t xml:space="preserve"> in respect of his contravention of s</w:t>
      </w:r>
      <w:r w:rsidR="00394634" w:rsidRPr="0072120D">
        <w:t> </w:t>
      </w:r>
      <w:r w:rsidR="005E6103" w:rsidRPr="0072120D">
        <w:t xml:space="preserve">500 of the </w:t>
      </w:r>
      <w:r w:rsidR="005E6103" w:rsidRPr="007944A4">
        <w:rPr>
          <w:i/>
        </w:rPr>
        <w:t>Fair Work Act</w:t>
      </w:r>
      <w:r w:rsidR="005E6103" w:rsidRPr="0072120D">
        <w:t xml:space="preserve"> as</w:t>
      </w:r>
      <w:r w:rsidRPr="0072120D">
        <w:t xml:space="preserve"> </w:t>
      </w:r>
      <w:r w:rsidR="005E6103" w:rsidRPr="0072120D">
        <w:t>declared in para</w:t>
      </w:r>
      <w:r w:rsidR="00E925EF">
        <w:t xml:space="preserve"> 2</w:t>
      </w:r>
      <w:r w:rsidR="005E6103" w:rsidRPr="0072120D">
        <w:t xml:space="preserve"> of the Declarations.</w:t>
      </w:r>
    </w:p>
    <w:p w:rsidR="005E6103" w:rsidRPr="00182ECA" w:rsidRDefault="005E6103" w:rsidP="00B101E9">
      <w:pPr>
        <w:pStyle w:val="Heading4"/>
        <w:rPr>
          <w:b/>
        </w:rPr>
      </w:pPr>
      <w:r w:rsidRPr="00182ECA">
        <w:rPr>
          <w:b/>
        </w:rPr>
        <w:t>Times for payment</w:t>
      </w:r>
    </w:p>
    <w:p w:rsidR="005E6103" w:rsidRPr="0072120D" w:rsidRDefault="00B101E9" w:rsidP="00B101E9">
      <w:pPr>
        <w:pStyle w:val="NoNum"/>
        <w:ind w:left="720" w:hanging="720"/>
      </w:pPr>
      <w:r w:rsidRPr="0072120D">
        <w:t>6.</w:t>
      </w:r>
      <w:r w:rsidR="00F412C3" w:rsidRPr="0072120D">
        <w:tab/>
      </w:r>
      <w:r w:rsidR="00394634" w:rsidRPr="0072120D">
        <w:t>T</w:t>
      </w:r>
      <w:r w:rsidR="005E6103" w:rsidRPr="0072120D">
        <w:t>he penalties in O</w:t>
      </w:r>
      <w:r w:rsidR="0070738C" w:rsidRPr="0072120D">
        <w:t>rder</w:t>
      </w:r>
      <w:r w:rsidR="005E6103" w:rsidRPr="0072120D">
        <w:t>s</w:t>
      </w:r>
      <w:r w:rsidR="0070738C" w:rsidRPr="0072120D">
        <w:t xml:space="preserve"> </w:t>
      </w:r>
      <w:r w:rsidR="005E6103" w:rsidRPr="0072120D">
        <w:t>1 to 5 above are payable to the Commonwealth of Australia</w:t>
      </w:r>
      <w:r w:rsidR="00F412C3" w:rsidRPr="0072120D">
        <w:t xml:space="preserve"> </w:t>
      </w:r>
      <w:r w:rsidR="005E6103" w:rsidRPr="0072120D">
        <w:t>within 28 days.</w:t>
      </w:r>
    </w:p>
    <w:p w:rsidR="005E6103" w:rsidRPr="00182ECA" w:rsidRDefault="00FC065E" w:rsidP="007F7FB4">
      <w:pPr>
        <w:pStyle w:val="Heading2"/>
        <w:spacing w:after="240"/>
      </w:pPr>
      <w:r>
        <w:t>AND THE COURT</w:t>
      </w:r>
      <w:r w:rsidR="00E8657B" w:rsidRPr="00182ECA">
        <w:t xml:space="preserve"> ORDERS</w:t>
      </w:r>
      <w:r>
        <w:t xml:space="preserve"> THAT:</w:t>
      </w:r>
    </w:p>
    <w:p w:rsidR="005E6103" w:rsidRPr="0072120D" w:rsidRDefault="00F412C3" w:rsidP="00B101E9">
      <w:pPr>
        <w:pStyle w:val="NoNum"/>
      </w:pPr>
      <w:r w:rsidRPr="0072120D">
        <w:t>7.</w:t>
      </w:r>
      <w:r w:rsidRPr="0072120D">
        <w:tab/>
      </w:r>
      <w:r w:rsidR="005E6103" w:rsidRPr="0072120D">
        <w:t>There be no orders as to costs.</w:t>
      </w:r>
    </w:p>
    <w:p w:rsidR="005E6103" w:rsidRDefault="00F412C3" w:rsidP="00B101E9">
      <w:pPr>
        <w:pStyle w:val="NoNum"/>
      </w:pPr>
      <w:r w:rsidRPr="0072120D">
        <w:t>8.</w:t>
      </w:r>
      <w:r w:rsidRPr="0072120D">
        <w:tab/>
      </w:r>
      <w:r w:rsidR="005E6103" w:rsidRPr="0072120D">
        <w:t>The proceedings are otherwise dismissed.</w:t>
      </w:r>
    </w:p>
    <w:p w:rsidR="007F7FB4" w:rsidRDefault="007F7FB4">
      <w:pPr>
        <w:spacing w:line="240" w:lineRule="auto"/>
        <w:jc w:val="left"/>
      </w:pPr>
      <w:r>
        <w:br w:type="page"/>
      </w:r>
    </w:p>
    <w:p w:rsidR="005E6103" w:rsidRPr="0072120D" w:rsidRDefault="005E6103" w:rsidP="00B101E9">
      <w:pPr>
        <w:pStyle w:val="Heading3"/>
        <w:rPr>
          <w:i w:val="0"/>
        </w:rPr>
      </w:pPr>
      <w:r w:rsidRPr="0072120D">
        <w:rPr>
          <w:i w:val="0"/>
        </w:rPr>
        <w:lastRenderedPageBreak/>
        <w:t>Definitions</w:t>
      </w:r>
    </w:p>
    <w:p w:rsidR="005E6103" w:rsidRPr="0072120D" w:rsidRDefault="00F412C3" w:rsidP="00B101E9">
      <w:pPr>
        <w:pStyle w:val="NoNum"/>
      </w:pPr>
      <w:r w:rsidRPr="0072120D">
        <w:t>1.</w:t>
      </w:r>
      <w:r w:rsidRPr="0072120D">
        <w:tab/>
      </w:r>
      <w:r w:rsidR="005E6103" w:rsidRPr="0072120D">
        <w:t>In these Declarations and Orders:</w:t>
      </w:r>
    </w:p>
    <w:p w:rsidR="005E6103" w:rsidRPr="0072120D" w:rsidRDefault="005E6103" w:rsidP="00DB1FF0">
      <w:pPr>
        <w:pStyle w:val="ListNo2"/>
        <w:numPr>
          <w:ilvl w:val="1"/>
          <w:numId w:val="43"/>
        </w:numPr>
      </w:pPr>
      <w:r w:rsidRPr="00DB1FF0">
        <w:rPr>
          <w:b/>
          <w:i/>
        </w:rPr>
        <w:t>BCIIP Act</w:t>
      </w:r>
      <w:r w:rsidRPr="0072120D">
        <w:t xml:space="preserve"> means the </w:t>
      </w:r>
      <w:r w:rsidRPr="00DB1FF0">
        <w:rPr>
          <w:i/>
        </w:rPr>
        <w:t>Building and Construction Industry (Improving</w:t>
      </w:r>
      <w:r w:rsidR="00F412C3" w:rsidRPr="00DB1FF0">
        <w:rPr>
          <w:i/>
        </w:rPr>
        <w:t xml:space="preserve"> </w:t>
      </w:r>
      <w:r w:rsidRPr="00DB1FF0">
        <w:rPr>
          <w:i/>
        </w:rPr>
        <w:t>Productivity</w:t>
      </w:r>
      <w:r w:rsidR="001E561A" w:rsidRPr="00DB1FF0">
        <w:rPr>
          <w:i/>
        </w:rPr>
        <w:t>)</w:t>
      </w:r>
      <w:r w:rsidRPr="00DB1FF0">
        <w:rPr>
          <w:i/>
        </w:rPr>
        <w:t xml:space="preserve"> Act 2016</w:t>
      </w:r>
      <w:r w:rsidRPr="0072120D">
        <w:t xml:space="preserve"> (</w:t>
      </w:r>
      <w:proofErr w:type="spellStart"/>
      <w:r w:rsidRPr="0072120D">
        <w:t>Cth</w:t>
      </w:r>
      <w:proofErr w:type="spellEnd"/>
      <w:r w:rsidRPr="0072120D">
        <w:t>);</w:t>
      </w:r>
    </w:p>
    <w:p w:rsidR="005E6103" w:rsidRPr="0072120D" w:rsidRDefault="005E6103" w:rsidP="00B101E9">
      <w:pPr>
        <w:pStyle w:val="ListNo2"/>
      </w:pPr>
      <w:r w:rsidRPr="00182ECA">
        <w:rPr>
          <w:b/>
          <w:i/>
        </w:rPr>
        <w:t>Fair Work Act</w:t>
      </w:r>
      <w:r w:rsidRPr="0072120D">
        <w:t xml:space="preserve"> means the </w:t>
      </w:r>
      <w:r w:rsidRPr="0072120D">
        <w:rPr>
          <w:i/>
        </w:rPr>
        <w:t>Fair Work Act 2009</w:t>
      </w:r>
      <w:r w:rsidRPr="0072120D">
        <w:t xml:space="preserve"> (</w:t>
      </w:r>
      <w:proofErr w:type="spellStart"/>
      <w:r w:rsidRPr="0072120D">
        <w:t>Cth</w:t>
      </w:r>
      <w:proofErr w:type="spellEnd"/>
      <w:r w:rsidRPr="0072120D">
        <w:t>);</w:t>
      </w:r>
    </w:p>
    <w:p w:rsidR="005E6103" w:rsidRPr="00182ECA" w:rsidRDefault="005E6103" w:rsidP="00B101E9">
      <w:pPr>
        <w:pStyle w:val="ListNo2"/>
        <w:rPr>
          <w:i/>
        </w:rPr>
      </w:pPr>
      <w:r w:rsidRPr="0072120D">
        <w:rPr>
          <w:b/>
        </w:rPr>
        <w:t>JJSL Agreement</w:t>
      </w:r>
      <w:r w:rsidRPr="0072120D">
        <w:t xml:space="preserve"> mea</w:t>
      </w:r>
      <w:r w:rsidR="00D052C1" w:rsidRPr="0072120D">
        <w:t xml:space="preserve">ns the </w:t>
      </w:r>
      <w:r w:rsidR="00D052C1" w:rsidRPr="00182ECA">
        <w:rPr>
          <w:i/>
        </w:rPr>
        <w:t xml:space="preserve">JJSL </w:t>
      </w:r>
      <w:proofErr w:type="spellStart"/>
      <w:r w:rsidR="00D052C1" w:rsidRPr="00182ECA">
        <w:rPr>
          <w:i/>
        </w:rPr>
        <w:t>Labourforce</w:t>
      </w:r>
      <w:proofErr w:type="spellEnd"/>
      <w:r w:rsidR="00D052C1" w:rsidRPr="00182ECA">
        <w:rPr>
          <w:i/>
        </w:rPr>
        <w:t xml:space="preserve"> Pty Ltd</w:t>
      </w:r>
      <w:r w:rsidRPr="00182ECA">
        <w:rPr>
          <w:i/>
        </w:rPr>
        <w:t>/CFMEU Collective</w:t>
      </w:r>
      <w:r w:rsidR="00F412C3" w:rsidRPr="00182ECA">
        <w:rPr>
          <w:i/>
        </w:rPr>
        <w:t xml:space="preserve"> </w:t>
      </w:r>
      <w:r w:rsidRPr="00182ECA">
        <w:rPr>
          <w:i/>
        </w:rPr>
        <w:t>Agreement 2017</w:t>
      </w:r>
      <w:r w:rsidR="00394634" w:rsidRPr="00182ECA">
        <w:rPr>
          <w:i/>
        </w:rPr>
        <w:t xml:space="preserve"> – 2018 </w:t>
      </w:r>
    </w:p>
    <w:p w:rsidR="005E6103" w:rsidRPr="0072120D" w:rsidRDefault="005E6103" w:rsidP="00B101E9">
      <w:pPr>
        <w:pStyle w:val="ListNo2"/>
      </w:pPr>
      <w:r w:rsidRPr="0072120D">
        <w:rPr>
          <w:b/>
        </w:rPr>
        <w:t>Parkview</w:t>
      </w:r>
      <w:r w:rsidRPr="0072120D">
        <w:t xml:space="preserve"> means Parkview Constructions Pty Ltd, which was the principal</w:t>
      </w:r>
      <w:r w:rsidR="00F412C3" w:rsidRPr="0072120D">
        <w:t xml:space="preserve"> </w:t>
      </w:r>
      <w:r w:rsidRPr="0072120D">
        <w:t>contractor on the Project.</w:t>
      </w:r>
    </w:p>
    <w:p w:rsidR="005E6103" w:rsidRPr="0072120D" w:rsidRDefault="005E6103" w:rsidP="00B101E9">
      <w:pPr>
        <w:pStyle w:val="ListNo2"/>
      </w:pPr>
      <w:r w:rsidRPr="0072120D">
        <w:rPr>
          <w:b/>
        </w:rPr>
        <w:t>Pay Claim</w:t>
      </w:r>
      <w:r w:rsidRPr="0072120D">
        <w:t xml:space="preserve"> means the pay dispute between </w:t>
      </w:r>
      <w:proofErr w:type="spellStart"/>
      <w:r w:rsidRPr="0072120D">
        <w:t>Westform</w:t>
      </w:r>
      <w:proofErr w:type="spellEnd"/>
      <w:r w:rsidRPr="0072120D">
        <w:t xml:space="preserve"> and its workers</w:t>
      </w:r>
      <w:r w:rsidR="00F412C3" w:rsidRPr="0072120D">
        <w:t xml:space="preserve"> </w:t>
      </w:r>
      <w:r w:rsidRPr="0072120D">
        <w:t>regarding payment for one hours pay on 10 February 2018, which was lost</w:t>
      </w:r>
      <w:r w:rsidR="00F412C3" w:rsidRPr="0072120D">
        <w:t xml:space="preserve"> </w:t>
      </w:r>
      <w:r w:rsidRPr="0072120D">
        <w:t>due to inclement weather;</w:t>
      </w:r>
    </w:p>
    <w:p w:rsidR="005E6103" w:rsidRPr="0072120D" w:rsidRDefault="005E6103" w:rsidP="00B101E9">
      <w:pPr>
        <w:pStyle w:val="ListNo2"/>
      </w:pPr>
      <w:r w:rsidRPr="0072120D">
        <w:rPr>
          <w:b/>
        </w:rPr>
        <w:t>Project</w:t>
      </w:r>
      <w:r w:rsidRPr="0072120D">
        <w:t xml:space="preserve"> means the Mezzo Stage 2 Project and </w:t>
      </w:r>
      <w:r w:rsidRPr="00182ECA">
        <w:rPr>
          <w:b/>
        </w:rPr>
        <w:t>Project Site</w:t>
      </w:r>
      <w:r w:rsidRPr="0072120D">
        <w:t xml:space="preserve"> means 87 Bay</w:t>
      </w:r>
      <w:r w:rsidR="00F412C3" w:rsidRPr="0072120D">
        <w:t xml:space="preserve"> </w:t>
      </w:r>
      <w:r w:rsidRPr="0072120D">
        <w:t>Street, Glebe, New South Wales</w:t>
      </w:r>
    </w:p>
    <w:p w:rsidR="005E6103" w:rsidRPr="0072120D" w:rsidRDefault="005E6103" w:rsidP="00B101E9">
      <w:pPr>
        <w:pStyle w:val="ListNo2"/>
      </w:pPr>
      <w:r w:rsidRPr="0072120D">
        <w:rPr>
          <w:b/>
        </w:rPr>
        <w:t>Stoppage</w:t>
      </w:r>
      <w:r w:rsidRPr="0072120D">
        <w:t xml:space="preserve"> means the failure or refusal by the </w:t>
      </w:r>
      <w:proofErr w:type="spellStart"/>
      <w:r w:rsidRPr="0072120D">
        <w:t>Westform</w:t>
      </w:r>
      <w:proofErr w:type="spellEnd"/>
      <w:r w:rsidRPr="0072120D">
        <w:t xml:space="preserve"> workers to carry out</w:t>
      </w:r>
      <w:r w:rsidR="00F412C3" w:rsidRPr="0072120D">
        <w:t xml:space="preserve"> </w:t>
      </w:r>
      <w:r w:rsidRPr="0072120D">
        <w:t>work on the Project between approximately 7.30am and 10.30am on 20</w:t>
      </w:r>
      <w:r w:rsidR="00E91F84">
        <w:t> </w:t>
      </w:r>
      <w:r w:rsidRPr="0072120D">
        <w:t>February 2019;</w:t>
      </w:r>
    </w:p>
    <w:p w:rsidR="00124267" w:rsidRDefault="005E6103" w:rsidP="004D3A9A">
      <w:pPr>
        <w:pStyle w:val="ListNo2"/>
      </w:pPr>
      <w:proofErr w:type="spellStart"/>
      <w:r w:rsidRPr="0072120D">
        <w:rPr>
          <w:b/>
        </w:rPr>
        <w:t>Westform</w:t>
      </w:r>
      <w:proofErr w:type="spellEnd"/>
      <w:r w:rsidRPr="0072120D">
        <w:t xml:space="preserve"> means </w:t>
      </w:r>
      <w:proofErr w:type="spellStart"/>
      <w:r w:rsidRPr="0072120D">
        <w:t>Westform</w:t>
      </w:r>
      <w:proofErr w:type="spellEnd"/>
      <w:r w:rsidRPr="0072120D">
        <w:t xml:space="preserve"> Formwork Contractors Pty Ltd, a subcontractor</w:t>
      </w:r>
      <w:r w:rsidR="00F412C3" w:rsidRPr="0072120D">
        <w:t xml:space="preserve"> </w:t>
      </w:r>
      <w:r w:rsidRPr="0072120D">
        <w:t>to Parkview on the Project.</w:t>
      </w:r>
    </w:p>
    <w:p w:rsidR="00281390" w:rsidRDefault="005E6103" w:rsidP="006C6A2E">
      <w:pPr>
        <w:pStyle w:val="ListNo2"/>
      </w:pPr>
      <w:proofErr w:type="spellStart"/>
      <w:r w:rsidRPr="00124267">
        <w:rPr>
          <w:b/>
        </w:rPr>
        <w:t>Westform</w:t>
      </w:r>
      <w:proofErr w:type="spellEnd"/>
      <w:r w:rsidRPr="0072120D">
        <w:t xml:space="preserve"> </w:t>
      </w:r>
      <w:r w:rsidRPr="00124267">
        <w:rPr>
          <w:b/>
        </w:rPr>
        <w:t>workers</w:t>
      </w:r>
      <w:r w:rsidRPr="0072120D">
        <w:t xml:space="preserve"> means the workers employed by JJSL </w:t>
      </w:r>
      <w:proofErr w:type="spellStart"/>
      <w:r w:rsidRPr="0072120D">
        <w:t>Labourforce</w:t>
      </w:r>
      <w:proofErr w:type="spellEnd"/>
      <w:r w:rsidRPr="0072120D">
        <w:t xml:space="preserve"> Pty</w:t>
      </w:r>
      <w:r w:rsidR="00F412C3" w:rsidRPr="0072120D">
        <w:t xml:space="preserve"> </w:t>
      </w:r>
      <w:r w:rsidRPr="0072120D">
        <w:t xml:space="preserve">Ltd who were supplied to </w:t>
      </w:r>
      <w:proofErr w:type="spellStart"/>
      <w:r w:rsidRPr="0072120D">
        <w:t>Westform</w:t>
      </w:r>
      <w:proofErr w:type="spellEnd"/>
      <w:r w:rsidRPr="0072120D">
        <w:t xml:space="preserve"> to carry out work on the Project.</w:t>
      </w:r>
    </w:p>
    <w:p w:rsidR="00281390" w:rsidRDefault="00281390" w:rsidP="00281390">
      <w:pPr>
        <w:pStyle w:val="NoNum"/>
      </w:pPr>
    </w:p>
    <w:p w:rsidR="00281390" w:rsidRDefault="00281390" w:rsidP="00281390">
      <w:pPr>
        <w:pStyle w:val="BodyText"/>
      </w:pPr>
    </w:p>
    <w:tbl>
      <w:tblPr>
        <w:tblW w:w="0" w:type="auto"/>
        <w:tblLook w:val="04A0" w:firstRow="1" w:lastRow="0" w:firstColumn="1" w:lastColumn="0" w:noHBand="0" w:noVBand="1"/>
      </w:tblPr>
      <w:tblGrid>
        <w:gridCol w:w="3794"/>
      </w:tblGrid>
      <w:tr w:rsidR="00281390" w:rsidRPr="00281390" w:rsidTr="004E5A27">
        <w:tc>
          <w:tcPr>
            <w:tcW w:w="3794" w:type="dxa"/>
            <w:shd w:val="clear" w:color="auto" w:fill="auto"/>
          </w:tcPr>
          <w:p w:rsidR="00281390" w:rsidRPr="00281390" w:rsidRDefault="00281390" w:rsidP="004E5A27">
            <w:pPr>
              <w:pStyle w:val="Normal1linespace"/>
            </w:pPr>
            <w:r w:rsidRPr="00281390">
              <w:t xml:space="preserve">I certify that the preceding </w:t>
            </w:r>
            <w:bookmarkStart w:id="23" w:name="NumberWord"/>
            <w:r w:rsidR="00E955CF">
              <w:t>forty-nine</w:t>
            </w:r>
            <w:bookmarkEnd w:id="23"/>
            <w:r w:rsidRPr="00281390">
              <w:t xml:space="preserve"> (</w:t>
            </w:r>
            <w:bookmarkStart w:id="24" w:name="NumberNumeral"/>
            <w:r w:rsidR="00E955CF">
              <w:t>49</w:t>
            </w:r>
            <w:bookmarkEnd w:id="24"/>
            <w:r w:rsidRPr="00281390">
              <w:t xml:space="preserve">) numbered </w:t>
            </w:r>
            <w:bookmarkStart w:id="25" w:name="CertPara"/>
            <w:r w:rsidR="00E955CF">
              <w:t>paragraphs are</w:t>
            </w:r>
            <w:bookmarkEnd w:id="25"/>
            <w:r w:rsidRPr="00281390">
              <w:t xml:space="preserve"> a true copy of the Reasons for Judgment herein of the Honourable </w:t>
            </w:r>
            <w:bookmarkStart w:id="26" w:name="Justice"/>
            <w:r>
              <w:t>Justice Flick</w:t>
            </w:r>
            <w:bookmarkEnd w:id="26"/>
            <w:r w:rsidRPr="00281390">
              <w:t>.</w:t>
            </w:r>
          </w:p>
        </w:tc>
      </w:tr>
    </w:tbl>
    <w:p w:rsidR="00281390" w:rsidRDefault="00281390" w:rsidP="00281390">
      <w:pPr>
        <w:pStyle w:val="BodyText"/>
      </w:pPr>
    </w:p>
    <w:p w:rsidR="00281390" w:rsidRDefault="00281390" w:rsidP="00281390">
      <w:pPr>
        <w:pStyle w:val="BodyText"/>
      </w:pPr>
      <w:r>
        <w:t>Associate:</w:t>
      </w:r>
      <w:r w:rsidR="002D4CA0">
        <w:tab/>
      </w:r>
    </w:p>
    <w:p w:rsidR="00281390" w:rsidRDefault="00281390" w:rsidP="00281390">
      <w:pPr>
        <w:pStyle w:val="BodyText"/>
      </w:pPr>
    </w:p>
    <w:p w:rsidR="00281390" w:rsidRPr="0072120D" w:rsidRDefault="00281390" w:rsidP="002D4CA0">
      <w:pPr>
        <w:pStyle w:val="BodyText"/>
        <w:tabs>
          <w:tab w:val="left" w:pos="1134"/>
        </w:tabs>
      </w:pPr>
      <w:r>
        <w:t>Dated:</w:t>
      </w:r>
      <w:r>
        <w:tab/>
      </w:r>
      <w:bookmarkStart w:id="27" w:name="CertifyDated"/>
      <w:r>
        <w:t>28 April 2020</w:t>
      </w:r>
      <w:bookmarkEnd w:id="27"/>
    </w:p>
    <w:sectPr w:rsidR="00281390" w:rsidRPr="0072120D" w:rsidSect="00B72F92">
      <w:headerReference w:type="even" r:id="rId10"/>
      <w:headerReference w:type="default" r:id="rId11"/>
      <w:footerReference w:type="default" r:id="rId12"/>
      <w:headerReference w:type="first" r:id="rId13"/>
      <w:footerReference w:type="first" r:id="rId14"/>
      <w:endnotePr>
        <w:numFmt w:val="decimal"/>
      </w:endnotePr>
      <w:pgSz w:w="11907" w:h="16840" w:code="9"/>
      <w:pgMar w:top="1247" w:right="1440" w:bottom="1134" w:left="1440" w:header="851" w:footer="45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0B7" w:rsidRDefault="009050B7">
      <w:pPr>
        <w:spacing w:line="20" w:lineRule="exact"/>
      </w:pPr>
    </w:p>
    <w:p w:rsidR="009050B7" w:rsidRDefault="009050B7"/>
    <w:p w:rsidR="009050B7" w:rsidRDefault="009050B7"/>
  </w:endnote>
  <w:endnote w:type="continuationSeparator" w:id="0">
    <w:p w:rsidR="009050B7" w:rsidRDefault="009050B7">
      <w:r>
        <w:t xml:space="preserve"> </w:t>
      </w:r>
    </w:p>
    <w:p w:rsidR="009050B7" w:rsidRDefault="009050B7"/>
    <w:p w:rsidR="009050B7" w:rsidRDefault="009050B7"/>
  </w:endnote>
  <w:endnote w:type="continuationNotice" w:id="1">
    <w:p w:rsidR="009050B7" w:rsidRDefault="009050B7">
      <w:r>
        <w:t xml:space="preserve"> </w:t>
      </w:r>
    </w:p>
    <w:p w:rsidR="009050B7" w:rsidRDefault="009050B7"/>
    <w:p w:rsidR="009050B7" w:rsidRDefault="009050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4" w:rsidRPr="002D4CA0" w:rsidRDefault="007944A4" w:rsidP="002D4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4" w:rsidRPr="002D4CA0" w:rsidRDefault="007944A4" w:rsidP="002D4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0B7" w:rsidRDefault="009050B7"/>
    <w:p w:rsidR="009050B7" w:rsidRDefault="009050B7"/>
    <w:p w:rsidR="009050B7" w:rsidRDefault="009050B7"/>
  </w:footnote>
  <w:footnote w:type="continuationSeparator" w:id="0">
    <w:p w:rsidR="009050B7" w:rsidRDefault="009050B7">
      <w:r>
        <w:continuationSeparator/>
      </w:r>
    </w:p>
    <w:p w:rsidR="009050B7" w:rsidRDefault="009050B7"/>
    <w:p w:rsidR="009050B7" w:rsidRDefault="009050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4" w:rsidRDefault="007944A4">
    <w:pPr>
      <w:tabs>
        <w:tab w:val="center" w:pos="4512"/>
      </w:tabs>
      <w:suppressAutoHyphens/>
    </w:pPr>
    <w:r>
      <w:tab/>
      <w:t xml:space="preserve">- </w:t>
    </w:r>
    <w:r>
      <w:fldChar w:fldCharType="begin"/>
    </w:r>
    <w:r>
      <w:instrText xml:space="preserve"> PAGE   \* MERGEFORMAT </w:instrText>
    </w:r>
    <w:r>
      <w:fldChar w:fldCharType="separate"/>
    </w:r>
    <w:r w:rsidR="00940A23">
      <w:rPr>
        <w:noProof/>
      </w:rPr>
      <w:t>iv</w:t>
    </w:r>
    <w:r>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4" w:rsidRDefault="007944A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4" w:rsidRDefault="007944A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4" w:rsidRDefault="007944A4" w:rsidP="00B72F92">
    <w:pPr>
      <w:tabs>
        <w:tab w:val="center" w:pos="4512"/>
      </w:tabs>
      <w:suppressAutoHyphens/>
      <w:spacing w:after="120"/>
    </w:pPr>
    <w:r>
      <w:tab/>
      <w:t xml:space="preserve">- </w:t>
    </w:r>
    <w:r>
      <w:fldChar w:fldCharType="begin"/>
    </w:r>
    <w:r>
      <w:instrText>page \* arabic</w:instrText>
    </w:r>
    <w:r>
      <w:fldChar w:fldCharType="separate"/>
    </w:r>
    <w:r w:rsidR="00940A23">
      <w:rPr>
        <w:noProof/>
      </w:rPr>
      <w:t>10</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4A4" w:rsidRDefault="007944A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2382339"/>
    <w:multiLevelType w:val="hybridMultilevel"/>
    <w:tmpl w:val="53A8B452"/>
    <w:lvl w:ilvl="0" w:tplc="6CDEF6A8">
      <w:start w:val="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77D83"/>
    <w:multiLevelType w:val="hybridMultilevel"/>
    <w:tmpl w:val="3E26A08C"/>
    <w:lvl w:ilvl="0" w:tplc="1B20E16A">
      <w:numFmt w:val="bullet"/>
      <w:lvlText w:val="-"/>
      <w:lvlJc w:val="left"/>
      <w:pPr>
        <w:ind w:left="720" w:hanging="360"/>
      </w:pPr>
      <w:rPr>
        <w:rFonts w:ascii="Times New Roman" w:eastAsia="Batang"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C75F06"/>
    <w:multiLevelType w:val="multilevel"/>
    <w:tmpl w:val="4888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15:restartNumberingAfterBreak="0">
    <w:nsid w:val="21C83AF6"/>
    <w:multiLevelType w:val="hybridMultilevel"/>
    <w:tmpl w:val="56DE08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B16232"/>
    <w:multiLevelType w:val="multilevel"/>
    <w:tmpl w:val="CB2E20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E356F3"/>
    <w:multiLevelType w:val="hybridMultilevel"/>
    <w:tmpl w:val="4A38A134"/>
    <w:lvl w:ilvl="0" w:tplc="D3367BF8">
      <w:start w:val="1"/>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AE3DD1"/>
    <w:multiLevelType w:val="singleLevel"/>
    <w:tmpl w:val="3B569EFC"/>
    <w:lvl w:ilvl="0">
      <w:start w:val="1"/>
      <w:numFmt w:val="decimal"/>
      <w:lvlRestart w:val="0"/>
      <w:pStyle w:val="ParaNumbering"/>
      <w:lvlText w:val="%1"/>
      <w:lvlJc w:val="left"/>
      <w:pPr>
        <w:tabs>
          <w:tab w:val="num" w:pos="720"/>
        </w:tabs>
        <w:ind w:left="0" w:hanging="720"/>
      </w:pPr>
      <w:rPr>
        <w:rFonts w:hint="default"/>
        <w:sz w:val="20"/>
        <w:szCs w:val="20"/>
      </w:rPr>
    </w:lvl>
  </w:abstractNum>
  <w:abstractNum w:abstractNumId="20"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15:restartNumberingAfterBreak="0">
    <w:nsid w:val="30282D9B"/>
    <w:multiLevelType w:val="hybridMultilevel"/>
    <w:tmpl w:val="F6C20C6C"/>
    <w:lvl w:ilvl="0" w:tplc="5CF0F802">
      <w:start w:val="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CB108B"/>
    <w:multiLevelType w:val="hybridMultilevel"/>
    <w:tmpl w:val="E9AAA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4" w15:restartNumberingAfterBreak="0">
    <w:nsid w:val="494817A7"/>
    <w:multiLevelType w:val="multilevel"/>
    <w:tmpl w:val="0F0EC90E"/>
    <w:numStyleLink w:val="FCListNo"/>
  </w:abstractNum>
  <w:abstractNum w:abstractNumId="25"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4D934A94"/>
    <w:multiLevelType w:val="hybridMultilevel"/>
    <w:tmpl w:val="26A4A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A90DD0"/>
    <w:multiLevelType w:val="hybridMultilevel"/>
    <w:tmpl w:val="ED7C4892"/>
    <w:lvl w:ilvl="0" w:tplc="74A43692">
      <w:numFmt w:val="bullet"/>
      <w:lvlText w:val=""/>
      <w:lvlJc w:val="left"/>
      <w:pPr>
        <w:ind w:left="720" w:hanging="360"/>
      </w:pPr>
      <w:rPr>
        <w:rFonts w:ascii="Symbol" w:eastAsia="Batang"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9667E9"/>
    <w:multiLevelType w:val="multilevel"/>
    <w:tmpl w:val="5142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EA4AFA"/>
    <w:multiLevelType w:val="hybridMultilevel"/>
    <w:tmpl w:val="39FCFC3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290BE9"/>
    <w:multiLevelType w:val="hybridMultilevel"/>
    <w:tmpl w:val="3482DBA4"/>
    <w:lvl w:ilvl="0" w:tplc="0C090003">
      <w:start w:val="1"/>
      <w:numFmt w:val="bullet"/>
      <w:lvlText w:val="o"/>
      <w:lvlJc w:val="left"/>
      <w:pPr>
        <w:ind w:left="1457" w:hanging="360"/>
      </w:pPr>
      <w:rPr>
        <w:rFonts w:ascii="Courier New" w:hAnsi="Courier New" w:cs="Courier New"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2" w15:restartNumberingAfterBreak="0">
    <w:nsid w:val="5C212F48"/>
    <w:multiLevelType w:val="hybridMultilevel"/>
    <w:tmpl w:val="3F0E8C28"/>
    <w:lvl w:ilvl="0" w:tplc="0C090003">
      <w:start w:val="1"/>
      <w:numFmt w:val="bullet"/>
      <w:lvlText w:val="o"/>
      <w:lvlJc w:val="left"/>
      <w:pPr>
        <w:ind w:left="1457" w:hanging="360"/>
      </w:pPr>
      <w:rPr>
        <w:rFonts w:ascii="Courier New" w:hAnsi="Courier New" w:cs="Courier New"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5C9454F5"/>
    <w:multiLevelType w:val="multilevel"/>
    <w:tmpl w:val="FC784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6F8C0B0F"/>
    <w:multiLevelType w:val="hybridMultilevel"/>
    <w:tmpl w:val="6FFCADC0"/>
    <w:lvl w:ilvl="0" w:tplc="8B082DD4">
      <w:numFmt w:val="bullet"/>
      <w:lvlText w:val=""/>
      <w:lvlJc w:val="left"/>
      <w:pPr>
        <w:ind w:left="1080" w:hanging="360"/>
      </w:pPr>
      <w:rPr>
        <w:rFonts w:ascii="Symbol" w:eastAsia="Batang"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4"/>
  </w:num>
  <w:num w:numId="14">
    <w:abstractNumId w:val="25"/>
  </w:num>
  <w:num w:numId="15">
    <w:abstractNumId w:val="26"/>
  </w:num>
  <w:num w:numId="16">
    <w:abstractNumId w:val="37"/>
  </w:num>
  <w:num w:numId="17">
    <w:abstractNumId w:val="15"/>
  </w:num>
  <w:num w:numId="18">
    <w:abstractNumId w:val="36"/>
  </w:num>
  <w:num w:numId="19">
    <w:abstractNumId w:val="10"/>
  </w:num>
  <w:num w:numId="20">
    <w:abstractNumId w:val="23"/>
  </w:num>
  <w:num w:numId="21">
    <w:abstractNumId w:val="24"/>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29"/>
          </w:tabs>
          <w:ind w:left="1429" w:hanging="720"/>
        </w:pPr>
        <w:rPr>
          <w:rFonts w:hint="default"/>
          <w:i w:val="0"/>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20"/>
  </w:num>
  <w:num w:numId="23">
    <w:abstractNumId w:val="20"/>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4">
    <w:abstractNumId w:val="12"/>
  </w:num>
  <w:num w:numId="25">
    <w:abstractNumId w:val="35"/>
  </w:num>
  <w:num w:numId="26">
    <w:abstractNumId w:val="18"/>
  </w:num>
  <w:num w:numId="27">
    <w:abstractNumId w:val="27"/>
  </w:num>
  <w:num w:numId="28">
    <w:abstractNumId w:val="11"/>
  </w:num>
  <w:num w:numId="29">
    <w:abstractNumId w:val="21"/>
  </w:num>
  <w:num w:numId="30">
    <w:abstractNumId w:val="28"/>
  </w:num>
  <w:num w:numId="31">
    <w:abstractNumId w:val="24"/>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32">
    <w:abstractNumId w:val="24"/>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33">
    <w:abstractNumId w:val="29"/>
    <w:lvlOverride w:ilvl="0">
      <w:startOverride w:val="31"/>
    </w:lvlOverride>
  </w:num>
  <w:num w:numId="34">
    <w:abstractNumId w:val="13"/>
    <w:lvlOverride w:ilvl="0">
      <w:startOverride w:val="32"/>
    </w:lvlOverride>
  </w:num>
  <w:num w:numId="35">
    <w:abstractNumId w:val="33"/>
    <w:lvlOverride w:ilvl="0">
      <w:startOverride w:val="36"/>
    </w:lvlOverride>
  </w:num>
  <w:num w:numId="36">
    <w:abstractNumId w:val="17"/>
    <w:lvlOverride w:ilvl="0">
      <w:startOverride w:val="30"/>
    </w:lvlOverride>
  </w:num>
  <w:num w:numId="37">
    <w:abstractNumId w:val="22"/>
  </w:num>
  <w:num w:numId="38">
    <w:abstractNumId w:val="32"/>
  </w:num>
  <w:num w:numId="39">
    <w:abstractNumId w:val="31"/>
  </w:num>
  <w:num w:numId="40">
    <w:abstractNumId w:val="30"/>
  </w:num>
  <w:num w:numId="41">
    <w:abstractNumId w:val="16"/>
  </w:num>
  <w:num w:numId="42">
    <w:abstractNumId w:val="20"/>
    <w:lvlOverride w:ilvl="0">
      <w:startOverride w:val="1"/>
      <w:lvl w:ilvl="0">
        <w:start w:val="1"/>
        <w:numFmt w:val="decimal"/>
        <w:pStyle w:val="Order1"/>
        <w:lvlText w:val="%1."/>
        <w:lvlJc w:val="left"/>
        <w:pPr>
          <w:ind w:left="720" w:hanging="720"/>
        </w:pPr>
        <w:rPr>
          <w:rFonts w:ascii="Times New Roman" w:hAnsi="Times New Roman" w:hint="default"/>
          <w:sz w:val="24"/>
        </w:rPr>
      </w:lvl>
    </w:lvlOverride>
    <w:lvlOverride w:ilvl="1">
      <w:startOverride w:val="1"/>
      <w:lvl w:ilvl="1">
        <w:start w:val="1"/>
        <w:numFmt w:val="lowerLetter"/>
        <w:pStyle w:val="Order2"/>
        <w:lvlText w:val="(%2)"/>
        <w:lvlJc w:val="left"/>
        <w:pPr>
          <w:ind w:left="1440" w:hanging="720"/>
        </w:pPr>
        <w:rPr>
          <w:rFonts w:hint="default"/>
        </w:rPr>
      </w:lvl>
    </w:lvlOverride>
    <w:lvlOverride w:ilvl="2">
      <w:startOverride w:val="1"/>
      <w:lvl w:ilvl="2">
        <w:start w:val="1"/>
        <w:numFmt w:val="lowerRoman"/>
        <w:pStyle w:val="Order3"/>
        <w:lvlText w:val="(%3)"/>
        <w:lvlJc w:val="left"/>
        <w:pPr>
          <w:tabs>
            <w:tab w:val="num" w:pos="144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suff w:val="nothing"/>
        <w:lvlText w:val=""/>
        <w:lvlJc w:val="left"/>
        <w:pPr>
          <w:ind w:left="-32767" w:firstLine="0"/>
        </w:pPr>
        <w:rPr>
          <w:rFonts w:hint="default"/>
        </w:rPr>
      </w:lvl>
    </w:lvlOverride>
  </w:num>
  <w:num w:numId="43">
    <w:abstractNumId w:val="24"/>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ustralian Building and Construction Commissioner"/>
    <w:docVar w:name="CounselParties" w:val="Applic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Fair Work Division"/>
    <w:docVar w:name="DocCreated" w:val="True"/>
    <w:docVar w:name="FileNumbers" w:val="NSD 474 of 2019"/>
    <w:docVar w:name="HearingDate" w:val="12 November 2019"/>
    <w:docVar w:name="Initiators" w:val="(and another named in the Schedule)"/>
    <w:docVar w:name="Judgdate" w:val="28 April 2020"/>
    <w:docVar w:name="Judge" w:val="Flick"/>
    <w:docVar w:name="Justices" w:val="Justice"/>
    <w:docVar w:name="lstEntryList" w:val="-1"/>
    <w:docVar w:name="myEntryList" w:val="Counsel for the Applicant=M rM  O'Grady with Mr M Seck|Solicitor for the Applicant=MinterEllison|Counsel for the First and Second Respondents=Mr I Lathum|Solicitor for the First and Second Respondents=Taylor &amp; Scott Lawyers"/>
    <w:docVar w:name="NSD" w:val="NSD "/>
    <w:docVar w:name="NumApps" w:val="1"/>
    <w:docVar w:name="NumApps_" w:val="1"/>
    <w:docVar w:name="NumCrossResps" w:val="0"/>
    <w:docVar w:name="NumDefs" w:val="3"/>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Employment &amp; Industrial Relations"/>
    <w:docVar w:name="RESAndAnother" w:val="True"/>
    <w:docVar w:name="RESAndOthers" w:val="False"/>
    <w:docVar w:name="Respondent" w:val="Construction, Forestry, Maritime, Mining and Energy Union|Anthony Sloane|Brendan Holl"/>
    <w:docVar w:name="ResState" w:val="New South Wales"/>
    <w:docVar w:name="SubArea" w:val="[none]"/>
  </w:docVars>
  <w:rsids>
    <w:rsidRoot w:val="006D563A"/>
    <w:rsid w:val="00007685"/>
    <w:rsid w:val="0001469E"/>
    <w:rsid w:val="00015993"/>
    <w:rsid w:val="000200E6"/>
    <w:rsid w:val="00022289"/>
    <w:rsid w:val="00031ABF"/>
    <w:rsid w:val="00032F9F"/>
    <w:rsid w:val="000359AA"/>
    <w:rsid w:val="00035FA6"/>
    <w:rsid w:val="00041C07"/>
    <w:rsid w:val="00045BB7"/>
    <w:rsid w:val="00046F09"/>
    <w:rsid w:val="00052A0A"/>
    <w:rsid w:val="00055719"/>
    <w:rsid w:val="0005641B"/>
    <w:rsid w:val="0006139A"/>
    <w:rsid w:val="00072A47"/>
    <w:rsid w:val="00081497"/>
    <w:rsid w:val="00087C1A"/>
    <w:rsid w:val="000A2E76"/>
    <w:rsid w:val="000A4807"/>
    <w:rsid w:val="000A4BE4"/>
    <w:rsid w:val="000A54F7"/>
    <w:rsid w:val="000B23B9"/>
    <w:rsid w:val="000C023E"/>
    <w:rsid w:val="000C5195"/>
    <w:rsid w:val="000C62EF"/>
    <w:rsid w:val="000D2137"/>
    <w:rsid w:val="000D3FD2"/>
    <w:rsid w:val="000E1109"/>
    <w:rsid w:val="000E3FC8"/>
    <w:rsid w:val="000E6FFB"/>
    <w:rsid w:val="000E7BAE"/>
    <w:rsid w:val="000F133D"/>
    <w:rsid w:val="000F28E3"/>
    <w:rsid w:val="000F670A"/>
    <w:rsid w:val="0010536B"/>
    <w:rsid w:val="00107D4E"/>
    <w:rsid w:val="0011145C"/>
    <w:rsid w:val="001128BD"/>
    <w:rsid w:val="0011419D"/>
    <w:rsid w:val="00117C73"/>
    <w:rsid w:val="00123434"/>
    <w:rsid w:val="00124267"/>
    <w:rsid w:val="00127A6E"/>
    <w:rsid w:val="00132054"/>
    <w:rsid w:val="00141E14"/>
    <w:rsid w:val="00167A31"/>
    <w:rsid w:val="001727A4"/>
    <w:rsid w:val="0017376C"/>
    <w:rsid w:val="001738AB"/>
    <w:rsid w:val="00176306"/>
    <w:rsid w:val="001765E0"/>
    <w:rsid w:val="0017738E"/>
    <w:rsid w:val="00177759"/>
    <w:rsid w:val="00180422"/>
    <w:rsid w:val="00182ECA"/>
    <w:rsid w:val="00185E6B"/>
    <w:rsid w:val="00187BBC"/>
    <w:rsid w:val="001932F3"/>
    <w:rsid w:val="001943A8"/>
    <w:rsid w:val="001A2072"/>
    <w:rsid w:val="001A4309"/>
    <w:rsid w:val="001A4C23"/>
    <w:rsid w:val="001A784F"/>
    <w:rsid w:val="001B1053"/>
    <w:rsid w:val="001B14AC"/>
    <w:rsid w:val="001B7940"/>
    <w:rsid w:val="001C37CA"/>
    <w:rsid w:val="001C43D4"/>
    <w:rsid w:val="001C4CC0"/>
    <w:rsid w:val="001C4D9D"/>
    <w:rsid w:val="001D090C"/>
    <w:rsid w:val="001D4303"/>
    <w:rsid w:val="001D6746"/>
    <w:rsid w:val="001E3B49"/>
    <w:rsid w:val="001E54A0"/>
    <w:rsid w:val="001E561A"/>
    <w:rsid w:val="001E6D64"/>
    <w:rsid w:val="001E7388"/>
    <w:rsid w:val="001F13DD"/>
    <w:rsid w:val="001F2DBC"/>
    <w:rsid w:val="001F47C3"/>
    <w:rsid w:val="001F4F10"/>
    <w:rsid w:val="001F73E8"/>
    <w:rsid w:val="00201EBD"/>
    <w:rsid w:val="0020262C"/>
    <w:rsid w:val="00220305"/>
    <w:rsid w:val="00224537"/>
    <w:rsid w:val="00235956"/>
    <w:rsid w:val="00247C9A"/>
    <w:rsid w:val="0025160C"/>
    <w:rsid w:val="002535D0"/>
    <w:rsid w:val="002539B3"/>
    <w:rsid w:val="00257C3E"/>
    <w:rsid w:val="002602C2"/>
    <w:rsid w:val="002666C9"/>
    <w:rsid w:val="00270136"/>
    <w:rsid w:val="002708C6"/>
    <w:rsid w:val="00274F5B"/>
    <w:rsid w:val="002803E3"/>
    <w:rsid w:val="00280836"/>
    <w:rsid w:val="00281390"/>
    <w:rsid w:val="00281ADD"/>
    <w:rsid w:val="00282E1A"/>
    <w:rsid w:val="0029113B"/>
    <w:rsid w:val="00292D8C"/>
    <w:rsid w:val="002934C0"/>
    <w:rsid w:val="002A1B50"/>
    <w:rsid w:val="002A287F"/>
    <w:rsid w:val="002A59A9"/>
    <w:rsid w:val="002B0E91"/>
    <w:rsid w:val="002B2DC0"/>
    <w:rsid w:val="002B6779"/>
    <w:rsid w:val="002B71C0"/>
    <w:rsid w:val="002B7A34"/>
    <w:rsid w:val="002C1611"/>
    <w:rsid w:val="002C31AD"/>
    <w:rsid w:val="002C7385"/>
    <w:rsid w:val="002D2DBB"/>
    <w:rsid w:val="002D4697"/>
    <w:rsid w:val="002D4CA0"/>
    <w:rsid w:val="002D54A6"/>
    <w:rsid w:val="002E357B"/>
    <w:rsid w:val="002E6A7A"/>
    <w:rsid w:val="002F1E49"/>
    <w:rsid w:val="002F3A62"/>
    <w:rsid w:val="002F4E9C"/>
    <w:rsid w:val="00302D00"/>
    <w:rsid w:val="0031256C"/>
    <w:rsid w:val="00314D6C"/>
    <w:rsid w:val="00316D2A"/>
    <w:rsid w:val="00322A7C"/>
    <w:rsid w:val="0033178C"/>
    <w:rsid w:val="003332F5"/>
    <w:rsid w:val="003402D3"/>
    <w:rsid w:val="00343ABC"/>
    <w:rsid w:val="003463FE"/>
    <w:rsid w:val="003554B3"/>
    <w:rsid w:val="00356632"/>
    <w:rsid w:val="00361D5D"/>
    <w:rsid w:val="003845A9"/>
    <w:rsid w:val="00390883"/>
    <w:rsid w:val="003922F8"/>
    <w:rsid w:val="00394634"/>
    <w:rsid w:val="00395B24"/>
    <w:rsid w:val="003A2D38"/>
    <w:rsid w:val="003A434A"/>
    <w:rsid w:val="003A7B90"/>
    <w:rsid w:val="003A7ECC"/>
    <w:rsid w:val="003B17CC"/>
    <w:rsid w:val="003B2C72"/>
    <w:rsid w:val="003B533D"/>
    <w:rsid w:val="003C1333"/>
    <w:rsid w:val="003C20FF"/>
    <w:rsid w:val="003D2650"/>
    <w:rsid w:val="003D5475"/>
    <w:rsid w:val="003D560C"/>
    <w:rsid w:val="003E5874"/>
    <w:rsid w:val="003E5D65"/>
    <w:rsid w:val="003F003C"/>
    <w:rsid w:val="003F193E"/>
    <w:rsid w:val="003F22BC"/>
    <w:rsid w:val="003F34F1"/>
    <w:rsid w:val="003F3686"/>
    <w:rsid w:val="004033CC"/>
    <w:rsid w:val="00411AE8"/>
    <w:rsid w:val="00413B74"/>
    <w:rsid w:val="004172A8"/>
    <w:rsid w:val="00435C5F"/>
    <w:rsid w:val="00441E98"/>
    <w:rsid w:val="00444B47"/>
    <w:rsid w:val="004532F7"/>
    <w:rsid w:val="00472027"/>
    <w:rsid w:val="004804CF"/>
    <w:rsid w:val="0048056F"/>
    <w:rsid w:val="00484962"/>
    <w:rsid w:val="00484F6D"/>
    <w:rsid w:val="00492152"/>
    <w:rsid w:val="0049338A"/>
    <w:rsid w:val="0049417F"/>
    <w:rsid w:val="004B1CEA"/>
    <w:rsid w:val="004B1D58"/>
    <w:rsid w:val="004B20D9"/>
    <w:rsid w:val="004B3EFA"/>
    <w:rsid w:val="004C2A87"/>
    <w:rsid w:val="004C4D7B"/>
    <w:rsid w:val="004C4ED3"/>
    <w:rsid w:val="004D2EA5"/>
    <w:rsid w:val="004D32A6"/>
    <w:rsid w:val="004D3A9A"/>
    <w:rsid w:val="004D5159"/>
    <w:rsid w:val="004D53E5"/>
    <w:rsid w:val="004D665F"/>
    <w:rsid w:val="004E5A27"/>
    <w:rsid w:val="004F1ED0"/>
    <w:rsid w:val="00501A12"/>
    <w:rsid w:val="0051346D"/>
    <w:rsid w:val="00513CEF"/>
    <w:rsid w:val="00513EAE"/>
    <w:rsid w:val="00515175"/>
    <w:rsid w:val="00516806"/>
    <w:rsid w:val="00520905"/>
    <w:rsid w:val="00525A49"/>
    <w:rsid w:val="00535613"/>
    <w:rsid w:val="005359EB"/>
    <w:rsid w:val="005421DF"/>
    <w:rsid w:val="0054254A"/>
    <w:rsid w:val="005466B5"/>
    <w:rsid w:val="00552693"/>
    <w:rsid w:val="00554314"/>
    <w:rsid w:val="005548F5"/>
    <w:rsid w:val="00556021"/>
    <w:rsid w:val="005629B3"/>
    <w:rsid w:val="00573AC4"/>
    <w:rsid w:val="0058011D"/>
    <w:rsid w:val="005801FC"/>
    <w:rsid w:val="005912D8"/>
    <w:rsid w:val="00595016"/>
    <w:rsid w:val="00597AAE"/>
    <w:rsid w:val="005A222C"/>
    <w:rsid w:val="005A4DF8"/>
    <w:rsid w:val="005A7A6A"/>
    <w:rsid w:val="005B1426"/>
    <w:rsid w:val="005C0A8E"/>
    <w:rsid w:val="005C1767"/>
    <w:rsid w:val="005C42EF"/>
    <w:rsid w:val="005E02F5"/>
    <w:rsid w:val="005E0510"/>
    <w:rsid w:val="005E176E"/>
    <w:rsid w:val="005E218E"/>
    <w:rsid w:val="005E35A0"/>
    <w:rsid w:val="005E49A1"/>
    <w:rsid w:val="005E6103"/>
    <w:rsid w:val="005F0D1B"/>
    <w:rsid w:val="005F1865"/>
    <w:rsid w:val="006007BD"/>
    <w:rsid w:val="006013C8"/>
    <w:rsid w:val="0060270D"/>
    <w:rsid w:val="00604611"/>
    <w:rsid w:val="0060534A"/>
    <w:rsid w:val="00611586"/>
    <w:rsid w:val="00621887"/>
    <w:rsid w:val="00623B60"/>
    <w:rsid w:val="00624520"/>
    <w:rsid w:val="00632300"/>
    <w:rsid w:val="00632BB7"/>
    <w:rsid w:val="00635B36"/>
    <w:rsid w:val="00636871"/>
    <w:rsid w:val="0063735D"/>
    <w:rsid w:val="00640F4E"/>
    <w:rsid w:val="00643DE0"/>
    <w:rsid w:val="00644E85"/>
    <w:rsid w:val="0066063F"/>
    <w:rsid w:val="00662BB0"/>
    <w:rsid w:val="00663878"/>
    <w:rsid w:val="00667773"/>
    <w:rsid w:val="00670743"/>
    <w:rsid w:val="00683D24"/>
    <w:rsid w:val="00690EE2"/>
    <w:rsid w:val="006A0E20"/>
    <w:rsid w:val="006A3923"/>
    <w:rsid w:val="006A5695"/>
    <w:rsid w:val="006B3904"/>
    <w:rsid w:val="006B5B7D"/>
    <w:rsid w:val="006C6A2E"/>
    <w:rsid w:val="006D0ECF"/>
    <w:rsid w:val="006D21E7"/>
    <w:rsid w:val="006D4480"/>
    <w:rsid w:val="006D4707"/>
    <w:rsid w:val="006D4C92"/>
    <w:rsid w:val="006D4EB6"/>
    <w:rsid w:val="006D563A"/>
    <w:rsid w:val="006E1F54"/>
    <w:rsid w:val="006E35BF"/>
    <w:rsid w:val="006E7850"/>
    <w:rsid w:val="006F0993"/>
    <w:rsid w:val="006F3283"/>
    <w:rsid w:val="007028D9"/>
    <w:rsid w:val="00707218"/>
    <w:rsid w:val="0070738C"/>
    <w:rsid w:val="00712B1D"/>
    <w:rsid w:val="00713B1F"/>
    <w:rsid w:val="0072120D"/>
    <w:rsid w:val="00721C47"/>
    <w:rsid w:val="00722D3B"/>
    <w:rsid w:val="00727092"/>
    <w:rsid w:val="007325D9"/>
    <w:rsid w:val="007360CA"/>
    <w:rsid w:val="00740C72"/>
    <w:rsid w:val="0074782E"/>
    <w:rsid w:val="00760EC0"/>
    <w:rsid w:val="00771C2B"/>
    <w:rsid w:val="00773A5F"/>
    <w:rsid w:val="0078003A"/>
    <w:rsid w:val="00780771"/>
    <w:rsid w:val="00780B0F"/>
    <w:rsid w:val="00790E49"/>
    <w:rsid w:val="007929CF"/>
    <w:rsid w:val="00792A2C"/>
    <w:rsid w:val="007944A4"/>
    <w:rsid w:val="00795339"/>
    <w:rsid w:val="007A2051"/>
    <w:rsid w:val="007A6F28"/>
    <w:rsid w:val="007B03C6"/>
    <w:rsid w:val="007B0D07"/>
    <w:rsid w:val="007B0DB1"/>
    <w:rsid w:val="007B1914"/>
    <w:rsid w:val="007C12F3"/>
    <w:rsid w:val="007C2053"/>
    <w:rsid w:val="007C3BF6"/>
    <w:rsid w:val="007D0FD2"/>
    <w:rsid w:val="007D2EF8"/>
    <w:rsid w:val="007D4756"/>
    <w:rsid w:val="007D561F"/>
    <w:rsid w:val="007D6895"/>
    <w:rsid w:val="007D7FD2"/>
    <w:rsid w:val="007E13D9"/>
    <w:rsid w:val="007E3BC5"/>
    <w:rsid w:val="007E41BE"/>
    <w:rsid w:val="007E4DB6"/>
    <w:rsid w:val="007E50F0"/>
    <w:rsid w:val="007E7CD4"/>
    <w:rsid w:val="007F12AC"/>
    <w:rsid w:val="007F7FB4"/>
    <w:rsid w:val="00801800"/>
    <w:rsid w:val="00801B5B"/>
    <w:rsid w:val="00807DBD"/>
    <w:rsid w:val="008276B4"/>
    <w:rsid w:val="00831927"/>
    <w:rsid w:val="0083616A"/>
    <w:rsid w:val="00841BD3"/>
    <w:rsid w:val="00841FB1"/>
    <w:rsid w:val="0084273D"/>
    <w:rsid w:val="00844E3F"/>
    <w:rsid w:val="00845A83"/>
    <w:rsid w:val="00851B20"/>
    <w:rsid w:val="008712BB"/>
    <w:rsid w:val="00890502"/>
    <w:rsid w:val="008A112E"/>
    <w:rsid w:val="008A2484"/>
    <w:rsid w:val="008A552F"/>
    <w:rsid w:val="008C26D9"/>
    <w:rsid w:val="008C4C0C"/>
    <w:rsid w:val="008C6D50"/>
    <w:rsid w:val="008C7167"/>
    <w:rsid w:val="008C7503"/>
    <w:rsid w:val="008D04B3"/>
    <w:rsid w:val="008D1617"/>
    <w:rsid w:val="008D4252"/>
    <w:rsid w:val="008E6315"/>
    <w:rsid w:val="008E7CD6"/>
    <w:rsid w:val="008F11E0"/>
    <w:rsid w:val="008F78BC"/>
    <w:rsid w:val="008F7B63"/>
    <w:rsid w:val="008F7D6A"/>
    <w:rsid w:val="009050B7"/>
    <w:rsid w:val="009054CB"/>
    <w:rsid w:val="009102BD"/>
    <w:rsid w:val="00910E61"/>
    <w:rsid w:val="00912F94"/>
    <w:rsid w:val="00924504"/>
    <w:rsid w:val="0092590B"/>
    <w:rsid w:val="00925E60"/>
    <w:rsid w:val="009264B3"/>
    <w:rsid w:val="00926E50"/>
    <w:rsid w:val="00930C52"/>
    <w:rsid w:val="00933A8C"/>
    <w:rsid w:val="009365E0"/>
    <w:rsid w:val="00940A23"/>
    <w:rsid w:val="00942BA2"/>
    <w:rsid w:val="00944C86"/>
    <w:rsid w:val="009543AA"/>
    <w:rsid w:val="00957030"/>
    <w:rsid w:val="00957DE8"/>
    <w:rsid w:val="00960ECB"/>
    <w:rsid w:val="009615D6"/>
    <w:rsid w:val="0096443A"/>
    <w:rsid w:val="00964EE4"/>
    <w:rsid w:val="00967855"/>
    <w:rsid w:val="00973BBC"/>
    <w:rsid w:val="009744B7"/>
    <w:rsid w:val="009769F8"/>
    <w:rsid w:val="00980736"/>
    <w:rsid w:val="00981A39"/>
    <w:rsid w:val="00985584"/>
    <w:rsid w:val="00987097"/>
    <w:rsid w:val="0099134F"/>
    <w:rsid w:val="00992E05"/>
    <w:rsid w:val="009949C2"/>
    <w:rsid w:val="00996BB3"/>
    <w:rsid w:val="009A3A9C"/>
    <w:rsid w:val="009B046C"/>
    <w:rsid w:val="009B13FA"/>
    <w:rsid w:val="009B1E2D"/>
    <w:rsid w:val="009C4277"/>
    <w:rsid w:val="009C4881"/>
    <w:rsid w:val="009C59FB"/>
    <w:rsid w:val="009C615D"/>
    <w:rsid w:val="009C6F3B"/>
    <w:rsid w:val="009D1467"/>
    <w:rsid w:val="009D7EBE"/>
    <w:rsid w:val="009E0444"/>
    <w:rsid w:val="009E4FA6"/>
    <w:rsid w:val="009E5E7C"/>
    <w:rsid w:val="009E7D93"/>
    <w:rsid w:val="009F5C33"/>
    <w:rsid w:val="009F70C2"/>
    <w:rsid w:val="009F70EA"/>
    <w:rsid w:val="00A03EAC"/>
    <w:rsid w:val="00A11CA6"/>
    <w:rsid w:val="00A20C49"/>
    <w:rsid w:val="00A22278"/>
    <w:rsid w:val="00A269CA"/>
    <w:rsid w:val="00A325E7"/>
    <w:rsid w:val="00A336EE"/>
    <w:rsid w:val="00A359AC"/>
    <w:rsid w:val="00A35CED"/>
    <w:rsid w:val="00A41413"/>
    <w:rsid w:val="00A45FB1"/>
    <w:rsid w:val="00A46CCC"/>
    <w:rsid w:val="00A51CFE"/>
    <w:rsid w:val="00A67167"/>
    <w:rsid w:val="00A75CA5"/>
    <w:rsid w:val="00A76C13"/>
    <w:rsid w:val="00A8011F"/>
    <w:rsid w:val="00A92E79"/>
    <w:rsid w:val="00A932B3"/>
    <w:rsid w:val="00A950B6"/>
    <w:rsid w:val="00AA0990"/>
    <w:rsid w:val="00AB41C1"/>
    <w:rsid w:val="00AD12A8"/>
    <w:rsid w:val="00AD29C8"/>
    <w:rsid w:val="00AE023F"/>
    <w:rsid w:val="00AF3577"/>
    <w:rsid w:val="00AF35F9"/>
    <w:rsid w:val="00B057B1"/>
    <w:rsid w:val="00B05C7D"/>
    <w:rsid w:val="00B101E9"/>
    <w:rsid w:val="00B21043"/>
    <w:rsid w:val="00B346C3"/>
    <w:rsid w:val="00B4089B"/>
    <w:rsid w:val="00B41611"/>
    <w:rsid w:val="00B4471C"/>
    <w:rsid w:val="00B451A6"/>
    <w:rsid w:val="00B5752D"/>
    <w:rsid w:val="00B71018"/>
    <w:rsid w:val="00B722DE"/>
    <w:rsid w:val="00B72F92"/>
    <w:rsid w:val="00B75EF8"/>
    <w:rsid w:val="00B76C44"/>
    <w:rsid w:val="00B83F87"/>
    <w:rsid w:val="00B9028A"/>
    <w:rsid w:val="00BA2EFA"/>
    <w:rsid w:val="00BA3DBC"/>
    <w:rsid w:val="00BB0F44"/>
    <w:rsid w:val="00BB2DA2"/>
    <w:rsid w:val="00BB2FA4"/>
    <w:rsid w:val="00BB56DC"/>
    <w:rsid w:val="00BB57C4"/>
    <w:rsid w:val="00BC1AF3"/>
    <w:rsid w:val="00BD1927"/>
    <w:rsid w:val="00BD3F20"/>
    <w:rsid w:val="00BD463E"/>
    <w:rsid w:val="00BE183D"/>
    <w:rsid w:val="00BF15D5"/>
    <w:rsid w:val="00BF5D7A"/>
    <w:rsid w:val="00C02D33"/>
    <w:rsid w:val="00C1232C"/>
    <w:rsid w:val="00C135E9"/>
    <w:rsid w:val="00C16859"/>
    <w:rsid w:val="00C34A00"/>
    <w:rsid w:val="00C36442"/>
    <w:rsid w:val="00C400CE"/>
    <w:rsid w:val="00C410FD"/>
    <w:rsid w:val="00C41A3A"/>
    <w:rsid w:val="00C539FB"/>
    <w:rsid w:val="00C53D8D"/>
    <w:rsid w:val="00C64BEF"/>
    <w:rsid w:val="00C65FF2"/>
    <w:rsid w:val="00C70C2F"/>
    <w:rsid w:val="00C74556"/>
    <w:rsid w:val="00C75786"/>
    <w:rsid w:val="00C7707B"/>
    <w:rsid w:val="00C8025E"/>
    <w:rsid w:val="00CA246D"/>
    <w:rsid w:val="00CA50D9"/>
    <w:rsid w:val="00CA5248"/>
    <w:rsid w:val="00CB5636"/>
    <w:rsid w:val="00CC0992"/>
    <w:rsid w:val="00CC6FA4"/>
    <w:rsid w:val="00D04A1B"/>
    <w:rsid w:val="00D052C1"/>
    <w:rsid w:val="00D10F21"/>
    <w:rsid w:val="00D21F71"/>
    <w:rsid w:val="00D24806"/>
    <w:rsid w:val="00D34040"/>
    <w:rsid w:val="00D34E69"/>
    <w:rsid w:val="00D375EE"/>
    <w:rsid w:val="00D4082F"/>
    <w:rsid w:val="00D44438"/>
    <w:rsid w:val="00D62699"/>
    <w:rsid w:val="00D7657F"/>
    <w:rsid w:val="00D82620"/>
    <w:rsid w:val="00D96CFA"/>
    <w:rsid w:val="00D9725F"/>
    <w:rsid w:val="00DA01B1"/>
    <w:rsid w:val="00DA11A2"/>
    <w:rsid w:val="00DA14ED"/>
    <w:rsid w:val="00DB1FF0"/>
    <w:rsid w:val="00DB2EF1"/>
    <w:rsid w:val="00DB3DE1"/>
    <w:rsid w:val="00DB5DA0"/>
    <w:rsid w:val="00DB716C"/>
    <w:rsid w:val="00DC52BE"/>
    <w:rsid w:val="00DC5C85"/>
    <w:rsid w:val="00DD311A"/>
    <w:rsid w:val="00DD4236"/>
    <w:rsid w:val="00DD44F1"/>
    <w:rsid w:val="00DD5EF8"/>
    <w:rsid w:val="00DE3067"/>
    <w:rsid w:val="00DE4827"/>
    <w:rsid w:val="00DE72FB"/>
    <w:rsid w:val="00E027BC"/>
    <w:rsid w:val="00E05732"/>
    <w:rsid w:val="00E131DA"/>
    <w:rsid w:val="00E14EA5"/>
    <w:rsid w:val="00E16A37"/>
    <w:rsid w:val="00E21133"/>
    <w:rsid w:val="00E2327E"/>
    <w:rsid w:val="00E266EF"/>
    <w:rsid w:val="00E34312"/>
    <w:rsid w:val="00E373E0"/>
    <w:rsid w:val="00E47428"/>
    <w:rsid w:val="00E5764C"/>
    <w:rsid w:val="00E630E6"/>
    <w:rsid w:val="00E66B9F"/>
    <w:rsid w:val="00E710D6"/>
    <w:rsid w:val="00E76E45"/>
    <w:rsid w:val="00E777C9"/>
    <w:rsid w:val="00E77BFB"/>
    <w:rsid w:val="00E81DA6"/>
    <w:rsid w:val="00E84212"/>
    <w:rsid w:val="00E8657B"/>
    <w:rsid w:val="00E9086C"/>
    <w:rsid w:val="00E91A0F"/>
    <w:rsid w:val="00E91F84"/>
    <w:rsid w:val="00E925EF"/>
    <w:rsid w:val="00E92836"/>
    <w:rsid w:val="00E94A71"/>
    <w:rsid w:val="00E955CF"/>
    <w:rsid w:val="00EA03CE"/>
    <w:rsid w:val="00EA219D"/>
    <w:rsid w:val="00EA23E5"/>
    <w:rsid w:val="00EA4E2E"/>
    <w:rsid w:val="00EA5E4E"/>
    <w:rsid w:val="00EB2CCB"/>
    <w:rsid w:val="00EB5C4E"/>
    <w:rsid w:val="00EC57A7"/>
    <w:rsid w:val="00ED0817"/>
    <w:rsid w:val="00ED2106"/>
    <w:rsid w:val="00ED5BC5"/>
    <w:rsid w:val="00ED7D52"/>
    <w:rsid w:val="00ED7DD9"/>
    <w:rsid w:val="00EE524F"/>
    <w:rsid w:val="00EF3113"/>
    <w:rsid w:val="00EF38E4"/>
    <w:rsid w:val="00EF3F84"/>
    <w:rsid w:val="00EF68CF"/>
    <w:rsid w:val="00EF6DD2"/>
    <w:rsid w:val="00EF7C83"/>
    <w:rsid w:val="00F01007"/>
    <w:rsid w:val="00F176AC"/>
    <w:rsid w:val="00F27714"/>
    <w:rsid w:val="00F303E9"/>
    <w:rsid w:val="00F3276E"/>
    <w:rsid w:val="00F33D3C"/>
    <w:rsid w:val="00F36E02"/>
    <w:rsid w:val="00F37A91"/>
    <w:rsid w:val="00F412C3"/>
    <w:rsid w:val="00F428DA"/>
    <w:rsid w:val="00F45CF5"/>
    <w:rsid w:val="00F46D99"/>
    <w:rsid w:val="00F47DB0"/>
    <w:rsid w:val="00F50B29"/>
    <w:rsid w:val="00F50E34"/>
    <w:rsid w:val="00F53EF7"/>
    <w:rsid w:val="00F54BF2"/>
    <w:rsid w:val="00F65CDF"/>
    <w:rsid w:val="00F92355"/>
    <w:rsid w:val="00F93963"/>
    <w:rsid w:val="00F94291"/>
    <w:rsid w:val="00FA3C87"/>
    <w:rsid w:val="00FB19E9"/>
    <w:rsid w:val="00FB35FA"/>
    <w:rsid w:val="00FB40AC"/>
    <w:rsid w:val="00FB7982"/>
    <w:rsid w:val="00FC065E"/>
    <w:rsid w:val="00FC0734"/>
    <w:rsid w:val="00FC0FC5"/>
    <w:rsid w:val="00FC25FA"/>
    <w:rsid w:val="00FC433F"/>
    <w:rsid w:val="00FC588F"/>
    <w:rsid w:val="00FD28E2"/>
    <w:rsid w:val="00FD3AE7"/>
    <w:rsid w:val="00FD7600"/>
    <w:rsid w:val="00FE1B30"/>
    <w:rsid w:val="00FE2000"/>
    <w:rsid w:val="00FE5433"/>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25EC3F2E-5AA0-4AB4-AA86-468D8F04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tabs>
        <w:tab w:val="clear" w:pos="1429"/>
        <w:tab w:val="num" w:pos="1440"/>
      </w:tabs>
      <w:ind w:left="1440"/>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sbf1">
    <w:name w:val="ss_bf1"/>
    <w:basedOn w:val="DefaultParagraphFont"/>
    <w:rsid w:val="00E34312"/>
    <w:rPr>
      <w:b/>
      <w:bCs/>
      <w:color w:val="373739"/>
    </w:rPr>
  </w:style>
  <w:style w:type="character" w:customStyle="1" w:styleId="ssro2">
    <w:name w:val="ss_ro2"/>
    <w:basedOn w:val="DefaultParagraphFont"/>
    <w:rsid w:val="00E34312"/>
    <w:rPr>
      <w:b w:val="0"/>
      <w:bCs w:val="0"/>
    </w:rPr>
  </w:style>
  <w:style w:type="character" w:customStyle="1" w:styleId="sslistitemcontent2">
    <w:name w:val="ss_listitemcontent2"/>
    <w:basedOn w:val="DefaultParagraphFont"/>
    <w:rsid w:val="00E34312"/>
  </w:style>
  <w:style w:type="paragraph" w:customStyle="1" w:styleId="subsection">
    <w:name w:val="subsection"/>
    <w:basedOn w:val="Normal"/>
    <w:rsid w:val="001C43D4"/>
    <w:pPr>
      <w:spacing w:before="100" w:beforeAutospacing="1" w:after="100" w:afterAutospacing="1" w:line="240" w:lineRule="auto"/>
      <w:jc w:val="left"/>
    </w:pPr>
    <w:rPr>
      <w:rFonts w:eastAsia="Times New Roman"/>
      <w:szCs w:val="24"/>
      <w:lang w:eastAsia="en-AU"/>
    </w:rPr>
  </w:style>
  <w:style w:type="paragraph" w:customStyle="1" w:styleId="paragraph">
    <w:name w:val="paragraph"/>
    <w:basedOn w:val="Normal"/>
    <w:rsid w:val="00973BBC"/>
    <w:pPr>
      <w:spacing w:before="100" w:beforeAutospacing="1" w:after="100" w:afterAutospacing="1" w:line="240" w:lineRule="auto"/>
      <w:jc w:val="left"/>
    </w:pPr>
    <w:rPr>
      <w:rFonts w:eastAsia="Times New Roman"/>
      <w:szCs w:val="24"/>
      <w:lang w:eastAsia="en-AU"/>
    </w:rPr>
  </w:style>
  <w:style w:type="paragraph" w:customStyle="1" w:styleId="paragraphsub">
    <w:name w:val="paragraphsub"/>
    <w:basedOn w:val="Normal"/>
    <w:rsid w:val="00973BBC"/>
    <w:pPr>
      <w:spacing w:before="100" w:beforeAutospacing="1" w:after="100" w:afterAutospacing="1" w:line="240" w:lineRule="auto"/>
      <w:jc w:val="left"/>
    </w:pPr>
    <w:rPr>
      <w:rFonts w:eastAsia="Times New Roman"/>
      <w:szCs w:val="24"/>
      <w:lang w:eastAsia="en-AU"/>
    </w:rPr>
  </w:style>
  <w:style w:type="paragraph" w:customStyle="1" w:styleId="notetext">
    <w:name w:val="notetext"/>
    <w:basedOn w:val="Normal"/>
    <w:rsid w:val="00973BBC"/>
    <w:pPr>
      <w:spacing w:before="100" w:beforeAutospacing="1" w:after="100" w:afterAutospacing="1" w:line="240" w:lineRule="auto"/>
      <w:jc w:val="left"/>
    </w:pPr>
    <w:rPr>
      <w:rFonts w:eastAsia="Times New Roman"/>
      <w:szCs w:val="24"/>
      <w:lang w:eastAsia="en-AU"/>
    </w:rPr>
  </w:style>
  <w:style w:type="paragraph" w:customStyle="1" w:styleId="subsectionhead">
    <w:name w:val="subsectionhead"/>
    <w:basedOn w:val="Normal"/>
    <w:rsid w:val="00973BBC"/>
    <w:pPr>
      <w:spacing w:before="100" w:beforeAutospacing="1" w:after="100" w:afterAutospacing="1" w:line="240" w:lineRule="auto"/>
      <w:jc w:val="left"/>
    </w:pPr>
    <w:rPr>
      <w:rFonts w:eastAsia="Times New Roman"/>
      <w:szCs w:val="24"/>
      <w:lang w:eastAsia="en-AU"/>
    </w:rPr>
  </w:style>
  <w:style w:type="paragraph" w:styleId="ListParagraph">
    <w:name w:val="List Paragraph"/>
    <w:basedOn w:val="Normal"/>
    <w:uiPriority w:val="34"/>
    <w:rsid w:val="0096443A"/>
    <w:pPr>
      <w:ind w:left="720"/>
      <w:contextualSpacing/>
    </w:pPr>
  </w:style>
  <w:style w:type="character" w:customStyle="1" w:styleId="ssit2">
    <w:name w:val="ss_it2"/>
    <w:basedOn w:val="DefaultParagraphFont"/>
    <w:rsid w:val="009D7EBE"/>
    <w:rPr>
      <w:i/>
      <w:iCs/>
    </w:rPr>
  </w:style>
  <w:style w:type="character" w:customStyle="1" w:styleId="italic1">
    <w:name w:val="italic1"/>
    <w:basedOn w:val="DefaultParagraphFont"/>
    <w:rsid w:val="00EF68CF"/>
    <w:rPr>
      <w:rFonts w:ascii="Times New Roman" w:hAnsi="Times New Roman" w:cs="Times New Roman" w:hint="default"/>
      <w:i/>
      <w:iCs/>
    </w:rPr>
  </w:style>
  <w:style w:type="paragraph" w:styleId="Revision">
    <w:name w:val="Revision"/>
    <w:hidden/>
    <w:uiPriority w:val="99"/>
    <w:semiHidden/>
    <w:rsid w:val="00773A5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809">
      <w:bodyDiv w:val="1"/>
      <w:marLeft w:val="0"/>
      <w:marRight w:val="0"/>
      <w:marTop w:val="0"/>
      <w:marBottom w:val="0"/>
      <w:divBdr>
        <w:top w:val="none" w:sz="0" w:space="0" w:color="auto"/>
        <w:left w:val="none" w:sz="0" w:space="0" w:color="auto"/>
        <w:bottom w:val="none" w:sz="0" w:space="0" w:color="auto"/>
        <w:right w:val="none" w:sz="0" w:space="0" w:color="auto"/>
      </w:divBdr>
    </w:div>
    <w:div w:id="135488703">
      <w:bodyDiv w:val="1"/>
      <w:marLeft w:val="0"/>
      <w:marRight w:val="0"/>
      <w:marTop w:val="0"/>
      <w:marBottom w:val="0"/>
      <w:divBdr>
        <w:top w:val="none" w:sz="0" w:space="0" w:color="auto"/>
        <w:left w:val="none" w:sz="0" w:space="0" w:color="auto"/>
        <w:bottom w:val="none" w:sz="0" w:space="0" w:color="auto"/>
        <w:right w:val="none" w:sz="0" w:space="0" w:color="auto"/>
      </w:divBdr>
      <w:divsChild>
        <w:div w:id="2015643633">
          <w:marLeft w:val="0"/>
          <w:marRight w:val="0"/>
          <w:marTop w:val="0"/>
          <w:marBottom w:val="0"/>
          <w:divBdr>
            <w:top w:val="none" w:sz="0" w:space="0" w:color="auto"/>
            <w:left w:val="none" w:sz="0" w:space="0" w:color="auto"/>
            <w:bottom w:val="none" w:sz="0" w:space="0" w:color="auto"/>
            <w:right w:val="none" w:sz="0" w:space="0" w:color="auto"/>
          </w:divBdr>
          <w:divsChild>
            <w:div w:id="8165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0503">
      <w:bodyDiv w:val="1"/>
      <w:marLeft w:val="0"/>
      <w:marRight w:val="0"/>
      <w:marTop w:val="0"/>
      <w:marBottom w:val="0"/>
      <w:divBdr>
        <w:top w:val="none" w:sz="0" w:space="0" w:color="auto"/>
        <w:left w:val="none" w:sz="0" w:space="0" w:color="auto"/>
        <w:bottom w:val="none" w:sz="0" w:space="0" w:color="auto"/>
        <w:right w:val="none" w:sz="0" w:space="0" w:color="auto"/>
      </w:divBdr>
      <w:divsChild>
        <w:div w:id="1881168582">
          <w:marLeft w:val="0"/>
          <w:marRight w:val="0"/>
          <w:marTop w:val="0"/>
          <w:marBottom w:val="0"/>
          <w:divBdr>
            <w:top w:val="none" w:sz="0" w:space="0" w:color="auto"/>
            <w:left w:val="none" w:sz="0" w:space="0" w:color="auto"/>
            <w:bottom w:val="none" w:sz="0" w:space="0" w:color="auto"/>
            <w:right w:val="none" w:sz="0" w:space="0" w:color="auto"/>
          </w:divBdr>
          <w:divsChild>
            <w:div w:id="114102016">
              <w:marLeft w:val="0"/>
              <w:marRight w:val="0"/>
              <w:marTop w:val="0"/>
              <w:marBottom w:val="0"/>
              <w:divBdr>
                <w:top w:val="none" w:sz="0" w:space="0" w:color="auto"/>
                <w:left w:val="none" w:sz="0" w:space="0" w:color="auto"/>
                <w:bottom w:val="none" w:sz="0" w:space="0" w:color="auto"/>
                <w:right w:val="none" w:sz="0" w:space="0" w:color="auto"/>
              </w:divBdr>
              <w:divsChild>
                <w:div w:id="1493451767">
                  <w:marLeft w:val="0"/>
                  <w:marRight w:val="0"/>
                  <w:marTop w:val="0"/>
                  <w:marBottom w:val="0"/>
                  <w:divBdr>
                    <w:top w:val="none" w:sz="0" w:space="0" w:color="auto"/>
                    <w:left w:val="none" w:sz="0" w:space="0" w:color="auto"/>
                    <w:bottom w:val="none" w:sz="0" w:space="0" w:color="auto"/>
                    <w:right w:val="none" w:sz="0" w:space="0" w:color="auto"/>
                  </w:divBdr>
                  <w:divsChild>
                    <w:div w:id="1225212825">
                      <w:marLeft w:val="0"/>
                      <w:marRight w:val="300"/>
                      <w:marTop w:val="0"/>
                      <w:marBottom w:val="0"/>
                      <w:divBdr>
                        <w:top w:val="none" w:sz="0" w:space="0" w:color="auto"/>
                        <w:left w:val="none" w:sz="0" w:space="0" w:color="auto"/>
                        <w:bottom w:val="none" w:sz="0" w:space="0" w:color="auto"/>
                        <w:right w:val="none" w:sz="0" w:space="0" w:color="auto"/>
                      </w:divBdr>
                      <w:divsChild>
                        <w:div w:id="1248079640">
                          <w:marLeft w:val="0"/>
                          <w:marRight w:val="0"/>
                          <w:marTop w:val="0"/>
                          <w:marBottom w:val="0"/>
                          <w:divBdr>
                            <w:top w:val="none" w:sz="0" w:space="0" w:color="auto"/>
                            <w:left w:val="none" w:sz="0" w:space="0" w:color="auto"/>
                            <w:bottom w:val="none" w:sz="0" w:space="0" w:color="auto"/>
                            <w:right w:val="none" w:sz="0" w:space="0" w:color="auto"/>
                          </w:divBdr>
                          <w:divsChild>
                            <w:div w:id="68270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771998">
      <w:bodyDiv w:val="1"/>
      <w:marLeft w:val="0"/>
      <w:marRight w:val="0"/>
      <w:marTop w:val="0"/>
      <w:marBottom w:val="0"/>
      <w:divBdr>
        <w:top w:val="none" w:sz="0" w:space="0" w:color="auto"/>
        <w:left w:val="none" w:sz="0" w:space="0" w:color="auto"/>
        <w:bottom w:val="none" w:sz="0" w:space="0" w:color="auto"/>
        <w:right w:val="none" w:sz="0" w:space="0" w:color="auto"/>
      </w:divBdr>
      <w:divsChild>
        <w:div w:id="1756392362">
          <w:marLeft w:val="0"/>
          <w:marRight w:val="0"/>
          <w:marTop w:val="0"/>
          <w:marBottom w:val="0"/>
          <w:divBdr>
            <w:top w:val="none" w:sz="0" w:space="0" w:color="auto"/>
            <w:left w:val="none" w:sz="0" w:space="0" w:color="auto"/>
            <w:bottom w:val="none" w:sz="0" w:space="0" w:color="auto"/>
            <w:right w:val="none" w:sz="0" w:space="0" w:color="auto"/>
          </w:divBdr>
          <w:divsChild>
            <w:div w:id="1525090641">
              <w:marLeft w:val="0"/>
              <w:marRight w:val="0"/>
              <w:marTop w:val="0"/>
              <w:marBottom w:val="0"/>
              <w:divBdr>
                <w:top w:val="none" w:sz="0" w:space="0" w:color="auto"/>
                <w:left w:val="none" w:sz="0" w:space="0" w:color="auto"/>
                <w:bottom w:val="none" w:sz="0" w:space="0" w:color="auto"/>
                <w:right w:val="none" w:sz="0" w:space="0" w:color="auto"/>
              </w:divBdr>
              <w:divsChild>
                <w:div w:id="2049406963">
                  <w:marLeft w:val="0"/>
                  <w:marRight w:val="0"/>
                  <w:marTop w:val="0"/>
                  <w:marBottom w:val="0"/>
                  <w:divBdr>
                    <w:top w:val="none" w:sz="0" w:space="0" w:color="auto"/>
                    <w:left w:val="none" w:sz="0" w:space="0" w:color="auto"/>
                    <w:bottom w:val="none" w:sz="0" w:space="0" w:color="auto"/>
                    <w:right w:val="none" w:sz="0" w:space="0" w:color="auto"/>
                  </w:divBdr>
                  <w:divsChild>
                    <w:div w:id="711274299">
                      <w:marLeft w:val="0"/>
                      <w:marRight w:val="300"/>
                      <w:marTop w:val="0"/>
                      <w:marBottom w:val="0"/>
                      <w:divBdr>
                        <w:top w:val="none" w:sz="0" w:space="0" w:color="auto"/>
                        <w:left w:val="none" w:sz="0" w:space="0" w:color="auto"/>
                        <w:bottom w:val="none" w:sz="0" w:space="0" w:color="auto"/>
                        <w:right w:val="none" w:sz="0" w:space="0" w:color="auto"/>
                      </w:divBdr>
                      <w:divsChild>
                        <w:div w:id="489836691">
                          <w:marLeft w:val="0"/>
                          <w:marRight w:val="0"/>
                          <w:marTop w:val="0"/>
                          <w:marBottom w:val="0"/>
                          <w:divBdr>
                            <w:top w:val="none" w:sz="0" w:space="0" w:color="auto"/>
                            <w:left w:val="none" w:sz="0" w:space="0" w:color="auto"/>
                            <w:bottom w:val="none" w:sz="0" w:space="0" w:color="auto"/>
                            <w:right w:val="none" w:sz="0" w:space="0" w:color="auto"/>
                          </w:divBdr>
                          <w:divsChild>
                            <w:div w:id="8889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273639">
      <w:bodyDiv w:val="1"/>
      <w:marLeft w:val="0"/>
      <w:marRight w:val="0"/>
      <w:marTop w:val="0"/>
      <w:marBottom w:val="0"/>
      <w:divBdr>
        <w:top w:val="none" w:sz="0" w:space="0" w:color="auto"/>
        <w:left w:val="none" w:sz="0" w:space="0" w:color="auto"/>
        <w:bottom w:val="none" w:sz="0" w:space="0" w:color="auto"/>
        <w:right w:val="none" w:sz="0" w:space="0" w:color="auto"/>
      </w:divBdr>
      <w:divsChild>
        <w:div w:id="1574970881">
          <w:marLeft w:val="0"/>
          <w:marRight w:val="0"/>
          <w:marTop w:val="0"/>
          <w:marBottom w:val="0"/>
          <w:divBdr>
            <w:top w:val="none" w:sz="0" w:space="0" w:color="auto"/>
            <w:left w:val="none" w:sz="0" w:space="0" w:color="auto"/>
            <w:bottom w:val="none" w:sz="0" w:space="0" w:color="auto"/>
            <w:right w:val="none" w:sz="0" w:space="0" w:color="auto"/>
          </w:divBdr>
          <w:divsChild>
            <w:div w:id="858087013">
              <w:marLeft w:val="0"/>
              <w:marRight w:val="0"/>
              <w:marTop w:val="0"/>
              <w:marBottom w:val="0"/>
              <w:divBdr>
                <w:top w:val="none" w:sz="0" w:space="0" w:color="auto"/>
                <w:left w:val="none" w:sz="0" w:space="0" w:color="auto"/>
                <w:bottom w:val="none" w:sz="0" w:space="0" w:color="auto"/>
                <w:right w:val="none" w:sz="0" w:space="0" w:color="auto"/>
              </w:divBdr>
              <w:divsChild>
                <w:div w:id="1799299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2954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79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607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7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89740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1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82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1660137">
      <w:bodyDiv w:val="1"/>
      <w:marLeft w:val="0"/>
      <w:marRight w:val="0"/>
      <w:marTop w:val="0"/>
      <w:marBottom w:val="0"/>
      <w:divBdr>
        <w:top w:val="none" w:sz="0" w:space="0" w:color="auto"/>
        <w:left w:val="none" w:sz="0" w:space="0" w:color="auto"/>
        <w:bottom w:val="none" w:sz="0" w:space="0" w:color="auto"/>
        <w:right w:val="none" w:sz="0" w:space="0" w:color="auto"/>
      </w:divBdr>
      <w:divsChild>
        <w:div w:id="1698196204">
          <w:marLeft w:val="0"/>
          <w:marRight w:val="0"/>
          <w:marTop w:val="0"/>
          <w:marBottom w:val="0"/>
          <w:divBdr>
            <w:top w:val="none" w:sz="0" w:space="0" w:color="auto"/>
            <w:left w:val="none" w:sz="0" w:space="0" w:color="auto"/>
            <w:bottom w:val="none" w:sz="0" w:space="0" w:color="auto"/>
            <w:right w:val="none" w:sz="0" w:space="0" w:color="auto"/>
          </w:divBdr>
          <w:divsChild>
            <w:div w:id="1069578328">
              <w:marLeft w:val="0"/>
              <w:marRight w:val="0"/>
              <w:marTop w:val="0"/>
              <w:marBottom w:val="0"/>
              <w:divBdr>
                <w:top w:val="none" w:sz="0" w:space="0" w:color="auto"/>
                <w:left w:val="none" w:sz="0" w:space="0" w:color="auto"/>
                <w:bottom w:val="none" w:sz="0" w:space="0" w:color="auto"/>
                <w:right w:val="none" w:sz="0" w:space="0" w:color="auto"/>
              </w:divBdr>
              <w:divsChild>
                <w:div w:id="399137867">
                  <w:marLeft w:val="0"/>
                  <w:marRight w:val="0"/>
                  <w:marTop w:val="0"/>
                  <w:marBottom w:val="0"/>
                  <w:divBdr>
                    <w:top w:val="none" w:sz="0" w:space="0" w:color="auto"/>
                    <w:left w:val="none" w:sz="0" w:space="0" w:color="auto"/>
                    <w:bottom w:val="none" w:sz="0" w:space="0" w:color="auto"/>
                    <w:right w:val="none" w:sz="0" w:space="0" w:color="auto"/>
                  </w:divBdr>
                  <w:divsChild>
                    <w:div w:id="1922711680">
                      <w:marLeft w:val="0"/>
                      <w:marRight w:val="0"/>
                      <w:marTop w:val="0"/>
                      <w:marBottom w:val="0"/>
                      <w:divBdr>
                        <w:top w:val="none" w:sz="0" w:space="0" w:color="auto"/>
                        <w:left w:val="none" w:sz="0" w:space="0" w:color="auto"/>
                        <w:bottom w:val="none" w:sz="0" w:space="0" w:color="auto"/>
                        <w:right w:val="none" w:sz="0" w:space="0" w:color="auto"/>
                      </w:divBdr>
                      <w:divsChild>
                        <w:div w:id="2077625671">
                          <w:marLeft w:val="0"/>
                          <w:marRight w:val="0"/>
                          <w:marTop w:val="0"/>
                          <w:marBottom w:val="0"/>
                          <w:divBdr>
                            <w:top w:val="none" w:sz="0" w:space="0" w:color="auto"/>
                            <w:left w:val="none" w:sz="0" w:space="0" w:color="auto"/>
                            <w:bottom w:val="none" w:sz="0" w:space="0" w:color="auto"/>
                            <w:right w:val="none" w:sz="0" w:space="0" w:color="auto"/>
                          </w:divBdr>
                          <w:divsChild>
                            <w:div w:id="144704275">
                              <w:marLeft w:val="0"/>
                              <w:marRight w:val="0"/>
                              <w:marTop w:val="0"/>
                              <w:marBottom w:val="0"/>
                              <w:divBdr>
                                <w:top w:val="none" w:sz="0" w:space="0" w:color="auto"/>
                                <w:left w:val="none" w:sz="0" w:space="0" w:color="auto"/>
                                <w:bottom w:val="none" w:sz="0" w:space="0" w:color="auto"/>
                                <w:right w:val="none" w:sz="0" w:space="0" w:color="auto"/>
                              </w:divBdr>
                              <w:divsChild>
                                <w:div w:id="59864389">
                                  <w:blockQuote w:val="1"/>
                                  <w:marLeft w:val="180"/>
                                  <w:marRight w:val="180"/>
                                  <w:marTop w:val="180"/>
                                  <w:marBottom w:val="180"/>
                                  <w:divBdr>
                                    <w:top w:val="none" w:sz="0" w:space="0" w:color="auto"/>
                                    <w:left w:val="none" w:sz="0" w:space="0" w:color="auto"/>
                                    <w:bottom w:val="none" w:sz="0" w:space="0" w:color="auto"/>
                                    <w:right w:val="none" w:sz="0" w:space="0" w:color="auto"/>
                                  </w:divBdr>
                                </w:div>
                                <w:div w:id="340595690">
                                  <w:blockQuote w:val="1"/>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931804">
      <w:bodyDiv w:val="1"/>
      <w:marLeft w:val="0"/>
      <w:marRight w:val="0"/>
      <w:marTop w:val="0"/>
      <w:marBottom w:val="0"/>
      <w:divBdr>
        <w:top w:val="none" w:sz="0" w:space="0" w:color="auto"/>
        <w:left w:val="none" w:sz="0" w:space="0" w:color="auto"/>
        <w:bottom w:val="none" w:sz="0" w:space="0" w:color="auto"/>
        <w:right w:val="none" w:sz="0" w:space="0" w:color="auto"/>
      </w:divBdr>
      <w:divsChild>
        <w:div w:id="1260407110">
          <w:marLeft w:val="0"/>
          <w:marRight w:val="0"/>
          <w:marTop w:val="0"/>
          <w:marBottom w:val="0"/>
          <w:divBdr>
            <w:top w:val="none" w:sz="0" w:space="0" w:color="auto"/>
            <w:left w:val="none" w:sz="0" w:space="0" w:color="auto"/>
            <w:bottom w:val="none" w:sz="0" w:space="0" w:color="auto"/>
            <w:right w:val="none" w:sz="0" w:space="0" w:color="auto"/>
          </w:divBdr>
          <w:divsChild>
            <w:div w:id="117724361">
              <w:marLeft w:val="0"/>
              <w:marRight w:val="0"/>
              <w:marTop w:val="0"/>
              <w:marBottom w:val="0"/>
              <w:divBdr>
                <w:top w:val="none" w:sz="0" w:space="0" w:color="auto"/>
                <w:left w:val="none" w:sz="0" w:space="0" w:color="auto"/>
                <w:bottom w:val="none" w:sz="0" w:space="0" w:color="auto"/>
                <w:right w:val="none" w:sz="0" w:space="0" w:color="auto"/>
              </w:divBdr>
              <w:divsChild>
                <w:div w:id="1521896764">
                  <w:marLeft w:val="0"/>
                  <w:marRight w:val="0"/>
                  <w:marTop w:val="0"/>
                  <w:marBottom w:val="0"/>
                  <w:divBdr>
                    <w:top w:val="none" w:sz="0" w:space="0" w:color="auto"/>
                    <w:left w:val="none" w:sz="0" w:space="0" w:color="auto"/>
                    <w:bottom w:val="none" w:sz="0" w:space="0" w:color="auto"/>
                    <w:right w:val="none" w:sz="0" w:space="0" w:color="auto"/>
                  </w:divBdr>
                  <w:divsChild>
                    <w:div w:id="29451644">
                      <w:marLeft w:val="0"/>
                      <w:marRight w:val="300"/>
                      <w:marTop w:val="0"/>
                      <w:marBottom w:val="0"/>
                      <w:divBdr>
                        <w:top w:val="none" w:sz="0" w:space="0" w:color="auto"/>
                        <w:left w:val="none" w:sz="0" w:space="0" w:color="auto"/>
                        <w:bottom w:val="none" w:sz="0" w:space="0" w:color="auto"/>
                        <w:right w:val="none" w:sz="0" w:space="0" w:color="auto"/>
                      </w:divBdr>
                      <w:divsChild>
                        <w:div w:id="859660101">
                          <w:marLeft w:val="0"/>
                          <w:marRight w:val="0"/>
                          <w:marTop w:val="0"/>
                          <w:marBottom w:val="0"/>
                          <w:divBdr>
                            <w:top w:val="none" w:sz="0" w:space="0" w:color="auto"/>
                            <w:left w:val="none" w:sz="0" w:space="0" w:color="auto"/>
                            <w:bottom w:val="none" w:sz="0" w:space="0" w:color="auto"/>
                            <w:right w:val="none" w:sz="0" w:space="0" w:color="auto"/>
                          </w:divBdr>
                          <w:divsChild>
                            <w:div w:id="132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951255">
      <w:bodyDiv w:val="1"/>
      <w:marLeft w:val="0"/>
      <w:marRight w:val="0"/>
      <w:marTop w:val="0"/>
      <w:marBottom w:val="0"/>
      <w:divBdr>
        <w:top w:val="none" w:sz="0" w:space="0" w:color="auto"/>
        <w:left w:val="none" w:sz="0" w:space="0" w:color="auto"/>
        <w:bottom w:val="none" w:sz="0" w:space="0" w:color="auto"/>
        <w:right w:val="none" w:sz="0" w:space="0" w:color="auto"/>
      </w:divBdr>
      <w:divsChild>
        <w:div w:id="2057505283">
          <w:marLeft w:val="0"/>
          <w:marRight w:val="0"/>
          <w:marTop w:val="0"/>
          <w:marBottom w:val="0"/>
          <w:divBdr>
            <w:top w:val="none" w:sz="0" w:space="0" w:color="auto"/>
            <w:left w:val="none" w:sz="0" w:space="0" w:color="auto"/>
            <w:bottom w:val="none" w:sz="0" w:space="0" w:color="auto"/>
            <w:right w:val="none" w:sz="0" w:space="0" w:color="auto"/>
          </w:divBdr>
          <w:divsChild>
            <w:div w:id="10428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9440">
      <w:bodyDiv w:val="1"/>
      <w:marLeft w:val="0"/>
      <w:marRight w:val="0"/>
      <w:marTop w:val="0"/>
      <w:marBottom w:val="0"/>
      <w:divBdr>
        <w:top w:val="none" w:sz="0" w:space="0" w:color="auto"/>
        <w:left w:val="none" w:sz="0" w:space="0" w:color="auto"/>
        <w:bottom w:val="none" w:sz="0" w:space="0" w:color="auto"/>
        <w:right w:val="none" w:sz="0" w:space="0" w:color="auto"/>
      </w:divBdr>
    </w:div>
    <w:div w:id="934168130">
      <w:bodyDiv w:val="1"/>
      <w:marLeft w:val="0"/>
      <w:marRight w:val="0"/>
      <w:marTop w:val="0"/>
      <w:marBottom w:val="0"/>
      <w:divBdr>
        <w:top w:val="none" w:sz="0" w:space="0" w:color="auto"/>
        <w:left w:val="none" w:sz="0" w:space="0" w:color="auto"/>
        <w:bottom w:val="none" w:sz="0" w:space="0" w:color="auto"/>
        <w:right w:val="none" w:sz="0" w:space="0" w:color="auto"/>
      </w:divBdr>
      <w:divsChild>
        <w:div w:id="1977103849">
          <w:marLeft w:val="0"/>
          <w:marRight w:val="0"/>
          <w:marTop w:val="0"/>
          <w:marBottom w:val="0"/>
          <w:divBdr>
            <w:top w:val="none" w:sz="0" w:space="0" w:color="auto"/>
            <w:left w:val="none" w:sz="0" w:space="0" w:color="auto"/>
            <w:bottom w:val="none" w:sz="0" w:space="0" w:color="auto"/>
            <w:right w:val="none" w:sz="0" w:space="0" w:color="auto"/>
          </w:divBdr>
          <w:divsChild>
            <w:div w:id="7335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3220">
      <w:bodyDiv w:val="1"/>
      <w:marLeft w:val="0"/>
      <w:marRight w:val="0"/>
      <w:marTop w:val="0"/>
      <w:marBottom w:val="0"/>
      <w:divBdr>
        <w:top w:val="none" w:sz="0" w:space="0" w:color="auto"/>
        <w:left w:val="none" w:sz="0" w:space="0" w:color="auto"/>
        <w:bottom w:val="none" w:sz="0" w:space="0" w:color="auto"/>
        <w:right w:val="none" w:sz="0" w:space="0" w:color="auto"/>
      </w:divBdr>
      <w:divsChild>
        <w:div w:id="1144270676">
          <w:marLeft w:val="0"/>
          <w:marRight w:val="0"/>
          <w:marTop w:val="0"/>
          <w:marBottom w:val="0"/>
          <w:divBdr>
            <w:top w:val="none" w:sz="0" w:space="0" w:color="auto"/>
            <w:left w:val="none" w:sz="0" w:space="0" w:color="auto"/>
            <w:bottom w:val="none" w:sz="0" w:space="0" w:color="auto"/>
            <w:right w:val="none" w:sz="0" w:space="0" w:color="auto"/>
          </w:divBdr>
          <w:divsChild>
            <w:div w:id="1429084320">
              <w:marLeft w:val="0"/>
              <w:marRight w:val="0"/>
              <w:marTop w:val="0"/>
              <w:marBottom w:val="0"/>
              <w:divBdr>
                <w:top w:val="none" w:sz="0" w:space="0" w:color="auto"/>
                <w:left w:val="none" w:sz="0" w:space="0" w:color="auto"/>
                <w:bottom w:val="none" w:sz="0" w:space="0" w:color="auto"/>
                <w:right w:val="none" w:sz="0" w:space="0" w:color="auto"/>
              </w:divBdr>
              <w:divsChild>
                <w:div w:id="3050861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4824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849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1480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6076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41662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5048625">
      <w:bodyDiv w:val="1"/>
      <w:marLeft w:val="0"/>
      <w:marRight w:val="0"/>
      <w:marTop w:val="0"/>
      <w:marBottom w:val="0"/>
      <w:divBdr>
        <w:top w:val="none" w:sz="0" w:space="0" w:color="auto"/>
        <w:left w:val="none" w:sz="0" w:space="0" w:color="auto"/>
        <w:bottom w:val="none" w:sz="0" w:space="0" w:color="auto"/>
        <w:right w:val="none" w:sz="0" w:space="0" w:color="auto"/>
      </w:divBdr>
      <w:divsChild>
        <w:div w:id="1055811072">
          <w:marLeft w:val="0"/>
          <w:marRight w:val="0"/>
          <w:marTop w:val="0"/>
          <w:marBottom w:val="0"/>
          <w:divBdr>
            <w:top w:val="none" w:sz="0" w:space="0" w:color="auto"/>
            <w:left w:val="none" w:sz="0" w:space="0" w:color="auto"/>
            <w:bottom w:val="none" w:sz="0" w:space="0" w:color="auto"/>
            <w:right w:val="none" w:sz="0" w:space="0" w:color="auto"/>
          </w:divBdr>
          <w:divsChild>
            <w:div w:id="21837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566340">
      <w:bodyDiv w:val="1"/>
      <w:marLeft w:val="0"/>
      <w:marRight w:val="0"/>
      <w:marTop w:val="0"/>
      <w:marBottom w:val="0"/>
      <w:divBdr>
        <w:top w:val="none" w:sz="0" w:space="0" w:color="auto"/>
        <w:left w:val="none" w:sz="0" w:space="0" w:color="auto"/>
        <w:bottom w:val="none" w:sz="0" w:space="0" w:color="auto"/>
        <w:right w:val="none" w:sz="0" w:space="0" w:color="auto"/>
      </w:divBdr>
      <w:divsChild>
        <w:div w:id="203953576">
          <w:marLeft w:val="0"/>
          <w:marRight w:val="0"/>
          <w:marTop w:val="0"/>
          <w:marBottom w:val="0"/>
          <w:divBdr>
            <w:top w:val="none" w:sz="0" w:space="0" w:color="auto"/>
            <w:left w:val="none" w:sz="0" w:space="0" w:color="auto"/>
            <w:bottom w:val="none" w:sz="0" w:space="0" w:color="auto"/>
            <w:right w:val="none" w:sz="0" w:space="0" w:color="auto"/>
          </w:divBdr>
          <w:divsChild>
            <w:div w:id="1811358609">
              <w:marLeft w:val="0"/>
              <w:marRight w:val="0"/>
              <w:marTop w:val="0"/>
              <w:marBottom w:val="0"/>
              <w:divBdr>
                <w:top w:val="none" w:sz="0" w:space="0" w:color="auto"/>
                <w:left w:val="none" w:sz="0" w:space="0" w:color="auto"/>
                <w:bottom w:val="none" w:sz="0" w:space="0" w:color="auto"/>
                <w:right w:val="none" w:sz="0" w:space="0" w:color="auto"/>
              </w:divBdr>
              <w:divsChild>
                <w:div w:id="572083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692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031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392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863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0789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635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4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16172298">
      <w:bodyDiv w:val="1"/>
      <w:marLeft w:val="0"/>
      <w:marRight w:val="0"/>
      <w:marTop w:val="0"/>
      <w:marBottom w:val="0"/>
      <w:divBdr>
        <w:top w:val="none" w:sz="0" w:space="0" w:color="auto"/>
        <w:left w:val="none" w:sz="0" w:space="0" w:color="auto"/>
        <w:bottom w:val="none" w:sz="0" w:space="0" w:color="auto"/>
        <w:right w:val="none" w:sz="0" w:space="0" w:color="auto"/>
      </w:divBdr>
      <w:divsChild>
        <w:div w:id="1184174544">
          <w:marLeft w:val="0"/>
          <w:marRight w:val="0"/>
          <w:marTop w:val="0"/>
          <w:marBottom w:val="0"/>
          <w:divBdr>
            <w:top w:val="none" w:sz="0" w:space="0" w:color="auto"/>
            <w:left w:val="none" w:sz="0" w:space="0" w:color="auto"/>
            <w:bottom w:val="none" w:sz="0" w:space="0" w:color="auto"/>
            <w:right w:val="none" w:sz="0" w:space="0" w:color="auto"/>
          </w:divBdr>
          <w:divsChild>
            <w:div w:id="19588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99537">
      <w:bodyDiv w:val="1"/>
      <w:marLeft w:val="0"/>
      <w:marRight w:val="0"/>
      <w:marTop w:val="0"/>
      <w:marBottom w:val="0"/>
      <w:divBdr>
        <w:top w:val="none" w:sz="0" w:space="0" w:color="auto"/>
        <w:left w:val="none" w:sz="0" w:space="0" w:color="auto"/>
        <w:bottom w:val="none" w:sz="0" w:space="0" w:color="auto"/>
        <w:right w:val="none" w:sz="0" w:space="0" w:color="auto"/>
      </w:divBdr>
      <w:divsChild>
        <w:div w:id="1243028264">
          <w:marLeft w:val="0"/>
          <w:marRight w:val="0"/>
          <w:marTop w:val="0"/>
          <w:marBottom w:val="0"/>
          <w:divBdr>
            <w:top w:val="none" w:sz="0" w:space="0" w:color="auto"/>
            <w:left w:val="none" w:sz="0" w:space="0" w:color="auto"/>
            <w:bottom w:val="none" w:sz="0" w:space="0" w:color="auto"/>
            <w:right w:val="none" w:sz="0" w:space="0" w:color="auto"/>
          </w:divBdr>
          <w:divsChild>
            <w:div w:id="1420370294">
              <w:marLeft w:val="0"/>
              <w:marRight w:val="0"/>
              <w:marTop w:val="0"/>
              <w:marBottom w:val="0"/>
              <w:divBdr>
                <w:top w:val="none" w:sz="0" w:space="0" w:color="auto"/>
                <w:left w:val="none" w:sz="0" w:space="0" w:color="auto"/>
                <w:bottom w:val="none" w:sz="0" w:space="0" w:color="auto"/>
                <w:right w:val="none" w:sz="0" w:space="0" w:color="auto"/>
              </w:divBdr>
              <w:divsChild>
                <w:div w:id="80708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30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510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2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349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5167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50591115">
      <w:bodyDiv w:val="1"/>
      <w:marLeft w:val="0"/>
      <w:marRight w:val="0"/>
      <w:marTop w:val="0"/>
      <w:marBottom w:val="0"/>
      <w:divBdr>
        <w:top w:val="none" w:sz="0" w:space="0" w:color="auto"/>
        <w:left w:val="none" w:sz="0" w:space="0" w:color="auto"/>
        <w:bottom w:val="none" w:sz="0" w:space="0" w:color="auto"/>
        <w:right w:val="none" w:sz="0" w:space="0" w:color="auto"/>
      </w:divBdr>
      <w:divsChild>
        <w:div w:id="1744065043">
          <w:marLeft w:val="0"/>
          <w:marRight w:val="0"/>
          <w:marTop w:val="0"/>
          <w:marBottom w:val="0"/>
          <w:divBdr>
            <w:top w:val="none" w:sz="0" w:space="0" w:color="auto"/>
            <w:left w:val="none" w:sz="0" w:space="0" w:color="auto"/>
            <w:bottom w:val="none" w:sz="0" w:space="0" w:color="auto"/>
            <w:right w:val="none" w:sz="0" w:space="0" w:color="auto"/>
          </w:divBdr>
          <w:divsChild>
            <w:div w:id="125161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3195">
      <w:bodyDiv w:val="1"/>
      <w:marLeft w:val="0"/>
      <w:marRight w:val="0"/>
      <w:marTop w:val="0"/>
      <w:marBottom w:val="0"/>
      <w:divBdr>
        <w:top w:val="none" w:sz="0" w:space="0" w:color="auto"/>
        <w:left w:val="none" w:sz="0" w:space="0" w:color="auto"/>
        <w:bottom w:val="none" w:sz="0" w:space="0" w:color="auto"/>
        <w:right w:val="none" w:sz="0" w:space="0" w:color="auto"/>
      </w:divBdr>
      <w:divsChild>
        <w:div w:id="1892419433">
          <w:marLeft w:val="0"/>
          <w:marRight w:val="0"/>
          <w:marTop w:val="0"/>
          <w:marBottom w:val="0"/>
          <w:divBdr>
            <w:top w:val="none" w:sz="0" w:space="0" w:color="auto"/>
            <w:left w:val="none" w:sz="0" w:space="0" w:color="auto"/>
            <w:bottom w:val="none" w:sz="0" w:space="0" w:color="auto"/>
            <w:right w:val="none" w:sz="0" w:space="0" w:color="auto"/>
          </w:divBdr>
          <w:divsChild>
            <w:div w:id="8665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394621">
      <w:bodyDiv w:val="1"/>
      <w:marLeft w:val="0"/>
      <w:marRight w:val="0"/>
      <w:marTop w:val="0"/>
      <w:marBottom w:val="0"/>
      <w:divBdr>
        <w:top w:val="none" w:sz="0" w:space="0" w:color="auto"/>
        <w:left w:val="none" w:sz="0" w:space="0" w:color="auto"/>
        <w:bottom w:val="none" w:sz="0" w:space="0" w:color="auto"/>
        <w:right w:val="none" w:sz="0" w:space="0" w:color="auto"/>
      </w:divBdr>
      <w:divsChild>
        <w:div w:id="1794055923">
          <w:marLeft w:val="0"/>
          <w:marRight w:val="0"/>
          <w:marTop w:val="0"/>
          <w:marBottom w:val="0"/>
          <w:divBdr>
            <w:top w:val="none" w:sz="0" w:space="0" w:color="auto"/>
            <w:left w:val="none" w:sz="0" w:space="0" w:color="auto"/>
            <w:bottom w:val="none" w:sz="0" w:space="0" w:color="auto"/>
            <w:right w:val="none" w:sz="0" w:space="0" w:color="auto"/>
          </w:divBdr>
          <w:divsChild>
            <w:div w:id="187715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9195">
      <w:bodyDiv w:val="1"/>
      <w:marLeft w:val="0"/>
      <w:marRight w:val="0"/>
      <w:marTop w:val="0"/>
      <w:marBottom w:val="0"/>
      <w:divBdr>
        <w:top w:val="none" w:sz="0" w:space="0" w:color="auto"/>
        <w:left w:val="none" w:sz="0" w:space="0" w:color="auto"/>
        <w:bottom w:val="none" w:sz="0" w:space="0" w:color="auto"/>
        <w:right w:val="none" w:sz="0" w:space="0" w:color="auto"/>
      </w:divBdr>
      <w:divsChild>
        <w:div w:id="580795422">
          <w:marLeft w:val="0"/>
          <w:marRight w:val="0"/>
          <w:marTop w:val="0"/>
          <w:marBottom w:val="0"/>
          <w:divBdr>
            <w:top w:val="none" w:sz="0" w:space="0" w:color="auto"/>
            <w:left w:val="none" w:sz="0" w:space="0" w:color="auto"/>
            <w:bottom w:val="none" w:sz="0" w:space="0" w:color="auto"/>
            <w:right w:val="none" w:sz="0" w:space="0" w:color="auto"/>
          </w:divBdr>
          <w:divsChild>
            <w:div w:id="13132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63919">
      <w:bodyDiv w:val="1"/>
      <w:marLeft w:val="0"/>
      <w:marRight w:val="0"/>
      <w:marTop w:val="0"/>
      <w:marBottom w:val="0"/>
      <w:divBdr>
        <w:top w:val="none" w:sz="0" w:space="0" w:color="auto"/>
        <w:left w:val="none" w:sz="0" w:space="0" w:color="auto"/>
        <w:bottom w:val="none" w:sz="0" w:space="0" w:color="auto"/>
        <w:right w:val="none" w:sz="0" w:space="0" w:color="auto"/>
      </w:divBdr>
      <w:divsChild>
        <w:div w:id="2113474227">
          <w:marLeft w:val="0"/>
          <w:marRight w:val="0"/>
          <w:marTop w:val="0"/>
          <w:marBottom w:val="0"/>
          <w:divBdr>
            <w:top w:val="none" w:sz="0" w:space="0" w:color="auto"/>
            <w:left w:val="none" w:sz="0" w:space="0" w:color="auto"/>
            <w:bottom w:val="none" w:sz="0" w:space="0" w:color="auto"/>
            <w:right w:val="none" w:sz="0" w:space="0" w:color="auto"/>
          </w:divBdr>
          <w:divsChild>
            <w:div w:id="6654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37961">
      <w:bodyDiv w:val="1"/>
      <w:marLeft w:val="0"/>
      <w:marRight w:val="0"/>
      <w:marTop w:val="0"/>
      <w:marBottom w:val="0"/>
      <w:divBdr>
        <w:top w:val="none" w:sz="0" w:space="0" w:color="auto"/>
        <w:left w:val="none" w:sz="0" w:space="0" w:color="auto"/>
        <w:bottom w:val="none" w:sz="0" w:space="0" w:color="auto"/>
        <w:right w:val="none" w:sz="0" w:space="0" w:color="auto"/>
      </w:divBdr>
      <w:divsChild>
        <w:div w:id="1709840479">
          <w:marLeft w:val="0"/>
          <w:marRight w:val="0"/>
          <w:marTop w:val="0"/>
          <w:marBottom w:val="0"/>
          <w:divBdr>
            <w:top w:val="none" w:sz="0" w:space="0" w:color="auto"/>
            <w:left w:val="none" w:sz="0" w:space="0" w:color="auto"/>
            <w:bottom w:val="none" w:sz="0" w:space="0" w:color="auto"/>
            <w:right w:val="none" w:sz="0" w:space="0" w:color="auto"/>
          </w:divBdr>
          <w:divsChild>
            <w:div w:id="11784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E71C9-24E2-4E46-BE3C-359B7BC8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10</TotalTime>
  <Pages>25</Pages>
  <Words>8964</Words>
  <Characters>43912</Characters>
  <Application>Microsoft Office Word</Application>
  <DocSecurity>0</DocSecurity>
  <Lines>934</Lines>
  <Paragraphs>459</Paragraphs>
  <ScaleCrop>false</ScaleCrop>
  <HeadingPairs>
    <vt:vector size="2" baseType="variant">
      <vt:variant>
        <vt:lpstr>Title</vt:lpstr>
      </vt:variant>
      <vt:variant>
        <vt:i4>1</vt:i4>
      </vt:variant>
    </vt:vector>
  </HeadingPairs>
  <TitlesOfParts>
    <vt:vector size="1" baseType="lpstr">
      <vt:lpstr>Australian Building and Construction Commissioner v Construction, Forestry, Maritime, Mining and Energy Union [2020] FCA 549 </vt:lpstr>
    </vt:vector>
  </TitlesOfParts>
  <Company>Federal Court of Australia</Company>
  <LinksUpToDate>false</LinksUpToDate>
  <CharactersWithSpaces>52417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Building and Construction Commissioner v Construction, Forestry, Maritime, Mining and Energy Union [2020] FCA 549</dc:title>
  <dc:creator>Cecilia Cordova</dc:creator>
  <cp:lastModifiedBy>Sona Muradyan</cp:lastModifiedBy>
  <cp:revision>6</cp:revision>
  <cp:lastPrinted>2020-04-16T01:57:00Z</cp:lastPrinted>
  <dcterms:created xsi:type="dcterms:W3CDTF">2020-04-28T01:19:00Z</dcterms:created>
  <dcterms:modified xsi:type="dcterms:W3CDTF">2020-04-28T02:51:00Z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FLICK J</vt:lpwstr>
  </property>
  <property fmtid="{D5CDD505-2E9C-101B-9397-08002B2CF9AE}" pid="4" name="Judgment_dated" linkTarget="Judgment_dated">
    <vt:lpwstr>28 APRIL 2020</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24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New South Wales</vt:lpwstr>
  </property>
  <property fmtid="{D5CDD505-2E9C-101B-9397-08002B2CF9AE}" pid="16" name="Division">
    <vt:lpwstr>Fair Work Division</vt:lpwstr>
  </property>
  <property fmtid="{D5CDD505-2E9C-101B-9397-08002B2CF9AE}" pid="17" name="FileNo">
    <vt:lpwstr>&lt;FILE NO&gt;</vt:lpwstr>
  </property>
  <property fmtid="{D5CDD505-2E9C-101B-9397-08002B2CF9AE}" pid="18" name="Practice Area">
    <vt:lpwstr>Employment &amp; Industrial Relations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