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A4A4D">
      <w:pPr>
        <w:pStyle w:val="MediaNeutralStyle"/>
      </w:pPr>
      <w:bookmarkStart w:id="0" w:name="MNC"/>
      <w:r>
        <w:t xml:space="preserve">Pinnacle Runway Pty Ltd v Triangl Limited [2019] FCA </w:t>
      </w:r>
      <w:r w:rsidR="00A24C1D">
        <w:t>1662</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A07F76">
        <w:tc>
          <w:tcPr>
            <w:tcW w:w="3085" w:type="dxa"/>
            <w:shd w:val="clear" w:color="auto" w:fill="auto"/>
          </w:tcPr>
          <w:p w:rsidR="00395B24" w:rsidRDefault="002C7385" w:rsidP="007A4A4D">
            <w:pPr>
              <w:pStyle w:val="Normal1linespace"/>
              <w:widowControl w:val="0"/>
              <w:jc w:val="left"/>
            </w:pPr>
            <w:r>
              <w:t>File number:</w:t>
            </w:r>
          </w:p>
        </w:tc>
        <w:tc>
          <w:tcPr>
            <w:tcW w:w="5989" w:type="dxa"/>
            <w:shd w:val="clear" w:color="auto" w:fill="auto"/>
          </w:tcPr>
          <w:p w:rsidR="00395B24" w:rsidRPr="007A4A4D" w:rsidRDefault="00D967EA" w:rsidP="007A4A4D">
            <w:pPr>
              <w:pStyle w:val="Normal1linespace"/>
              <w:jc w:val="left"/>
            </w:pPr>
            <w:fldSimple w:instr=" REF  FileNo  \* MERGEFORMAT " w:fldLock="1">
              <w:r w:rsidR="007A4A4D" w:rsidRPr="007A4A4D">
                <w:t>VID 794 of 2016</w:t>
              </w:r>
            </w:fldSimple>
          </w:p>
        </w:tc>
      </w:tr>
      <w:tr w:rsidR="00395B24" w:rsidTr="00A07F7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7F76">
        <w:tc>
          <w:tcPr>
            <w:tcW w:w="3085" w:type="dxa"/>
            <w:shd w:val="clear" w:color="auto" w:fill="auto"/>
          </w:tcPr>
          <w:p w:rsidR="00395B24" w:rsidRDefault="007A4A4D"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7A4A4D">
              <w:rPr>
                <w:b/>
              </w:rPr>
              <w:fldChar w:fldCharType="begin" w:fldLock="1"/>
            </w:r>
            <w:r w:rsidRPr="007A4A4D">
              <w:rPr>
                <w:b/>
              </w:rPr>
              <w:instrText xml:space="preserve"> REF  Judge  \* MERGEFORMAT </w:instrText>
            </w:r>
            <w:r w:rsidRPr="007A4A4D">
              <w:rPr>
                <w:b/>
              </w:rPr>
              <w:fldChar w:fldCharType="separate"/>
            </w:r>
            <w:r w:rsidR="007A4A4D" w:rsidRPr="007A4A4D">
              <w:rPr>
                <w:b/>
                <w:caps/>
                <w:szCs w:val="24"/>
              </w:rPr>
              <w:t>MURPHY J</w:t>
            </w:r>
            <w:r w:rsidRPr="007A4A4D">
              <w:rPr>
                <w:b/>
              </w:rPr>
              <w:fldChar w:fldCharType="end"/>
            </w:r>
          </w:p>
        </w:tc>
      </w:tr>
      <w:tr w:rsidR="00395B24" w:rsidTr="00A07F7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7F76">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24C1D" w:rsidP="0006621D">
            <w:pPr>
              <w:pStyle w:val="Normal1linespace"/>
              <w:widowControl w:val="0"/>
              <w:jc w:val="left"/>
            </w:pPr>
            <w:bookmarkStart w:id="1" w:name="JudgmentDate"/>
            <w:r w:rsidRPr="001D6860">
              <w:t>10</w:t>
            </w:r>
            <w:r w:rsidR="007A4A4D" w:rsidRPr="00FF6132">
              <w:t xml:space="preserve"> </w:t>
            </w:r>
            <w:r w:rsidR="0006621D" w:rsidRPr="00FF6132">
              <w:t xml:space="preserve">October </w:t>
            </w:r>
            <w:r w:rsidR="007A4A4D" w:rsidRPr="00FF6132">
              <w:t>2019</w:t>
            </w:r>
            <w:bookmarkEnd w:id="1"/>
          </w:p>
        </w:tc>
      </w:tr>
      <w:tr w:rsidR="00395B24" w:rsidTr="00A07F7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7F76">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840F7" w:rsidRPr="00427F6C" w:rsidRDefault="001840F7" w:rsidP="00714B37">
            <w:pPr>
              <w:pStyle w:val="Normal1linespace"/>
              <w:widowControl w:val="0"/>
              <w:rPr>
                <w:b/>
                <w:szCs w:val="24"/>
              </w:rPr>
            </w:pPr>
            <w:bookmarkStart w:id="2" w:name="Catchwords"/>
            <w:r w:rsidRPr="00427F6C">
              <w:rPr>
                <w:b/>
                <w:szCs w:val="24"/>
              </w:rPr>
              <w:t>TRADE MARKS –</w:t>
            </w:r>
            <w:r w:rsidR="00FD6F4A">
              <w:rPr>
                <w:b/>
                <w:szCs w:val="24"/>
              </w:rPr>
              <w:t xml:space="preserve"> </w:t>
            </w:r>
            <w:r w:rsidR="00FD6F4A">
              <w:rPr>
                <w:color w:val="000000"/>
                <w:szCs w:val="24"/>
                <w:shd w:val="clear" w:color="auto" w:fill="FFFFFF"/>
              </w:rPr>
              <w:t xml:space="preserve">whether </w:t>
            </w:r>
            <w:r w:rsidR="00FD6F4A">
              <w:rPr>
                <w:szCs w:val="24"/>
              </w:rPr>
              <w:t xml:space="preserve">the second respondent infringed the applicant’s </w:t>
            </w:r>
            <w:r w:rsidRPr="00FD6F4A">
              <w:rPr>
                <w:color w:val="000000"/>
                <w:szCs w:val="24"/>
                <w:shd w:val="clear" w:color="auto" w:fill="FFFFFF"/>
              </w:rPr>
              <w:t>trade</w:t>
            </w:r>
            <w:r w:rsidRPr="00427F6C">
              <w:rPr>
                <w:color w:val="000000"/>
                <w:szCs w:val="24"/>
                <w:shd w:val="clear" w:color="auto" w:fill="FFFFFF"/>
              </w:rPr>
              <w:t xml:space="preserve"> </w:t>
            </w:r>
            <w:r w:rsidRPr="00FD6F4A">
              <w:rPr>
                <w:color w:val="000000"/>
                <w:szCs w:val="24"/>
                <w:shd w:val="clear" w:color="auto" w:fill="FFFFFF"/>
              </w:rPr>
              <w:t>mark</w:t>
            </w:r>
            <w:r w:rsidR="00BA25C2">
              <w:rPr>
                <w:color w:val="000000"/>
                <w:szCs w:val="24"/>
                <w:shd w:val="clear" w:color="auto" w:fill="FFFFFF"/>
              </w:rPr>
              <w:t xml:space="preserve"> </w:t>
            </w:r>
            <w:r w:rsidR="00FD6F4A" w:rsidRPr="00FD6F4A">
              <w:rPr>
                <w:szCs w:val="24"/>
              </w:rPr>
              <w:t>pursuant to</w:t>
            </w:r>
            <w:r w:rsidR="00694B0B" w:rsidRPr="00FD6F4A">
              <w:rPr>
                <w:color w:val="000000"/>
                <w:szCs w:val="24"/>
                <w:shd w:val="clear" w:color="auto" w:fill="FFFFFF"/>
              </w:rPr>
              <w:t xml:space="preserve"> s 120</w:t>
            </w:r>
            <w:r w:rsidRPr="00FD6F4A">
              <w:rPr>
                <w:color w:val="000000"/>
                <w:szCs w:val="24"/>
                <w:shd w:val="clear" w:color="auto" w:fill="FFFFFF"/>
              </w:rPr>
              <w:t xml:space="preserve"> of the </w:t>
            </w:r>
            <w:r w:rsidRPr="00FD6F4A">
              <w:rPr>
                <w:i/>
                <w:iCs/>
                <w:color w:val="000000"/>
                <w:szCs w:val="24"/>
                <w:shd w:val="clear" w:color="auto" w:fill="FFFFFF"/>
              </w:rPr>
              <w:t>Trade Marks Act 1995 </w:t>
            </w:r>
            <w:r w:rsidRPr="00FD6F4A">
              <w:rPr>
                <w:color w:val="000000"/>
                <w:szCs w:val="24"/>
                <w:shd w:val="clear" w:color="auto" w:fill="FFFFFF"/>
              </w:rPr>
              <w:t xml:space="preserve">(Cth) </w:t>
            </w:r>
            <w:r w:rsidRPr="00427F6C">
              <w:rPr>
                <w:color w:val="000000"/>
                <w:szCs w:val="24"/>
                <w:shd w:val="clear" w:color="auto" w:fill="FFFFFF"/>
              </w:rPr>
              <w:t xml:space="preserve">– </w:t>
            </w:r>
            <w:r w:rsidR="00BA4682">
              <w:rPr>
                <w:color w:val="000000"/>
                <w:szCs w:val="24"/>
                <w:shd w:val="clear" w:color="auto" w:fill="FFFFFF"/>
              </w:rPr>
              <w:t>whether</w:t>
            </w:r>
            <w:r w:rsidR="00BA25C2">
              <w:rPr>
                <w:color w:val="000000"/>
                <w:szCs w:val="24"/>
                <w:shd w:val="clear" w:color="auto" w:fill="FFFFFF"/>
              </w:rPr>
              <w:t xml:space="preserve"> the </w:t>
            </w:r>
            <w:r w:rsidRPr="00427F6C">
              <w:rPr>
                <w:color w:val="000000"/>
                <w:szCs w:val="24"/>
                <w:shd w:val="clear" w:color="auto" w:fill="FFFFFF"/>
              </w:rPr>
              <w:t xml:space="preserve">mark </w:t>
            </w:r>
            <w:r w:rsidR="00BA4682">
              <w:rPr>
                <w:color w:val="000000"/>
                <w:szCs w:val="24"/>
                <w:shd w:val="clear" w:color="auto" w:fill="FFFFFF"/>
              </w:rPr>
              <w:t xml:space="preserve">was </w:t>
            </w:r>
            <w:r w:rsidR="002818A3">
              <w:rPr>
                <w:color w:val="000000"/>
                <w:szCs w:val="24"/>
                <w:shd w:val="clear" w:color="auto" w:fill="FFFFFF"/>
              </w:rPr>
              <w:t xml:space="preserve">used </w:t>
            </w:r>
            <w:r w:rsidRPr="00427F6C">
              <w:rPr>
                <w:color w:val="000000"/>
                <w:szCs w:val="24"/>
                <w:shd w:val="clear" w:color="auto" w:fill="FFFFFF"/>
              </w:rPr>
              <w:t xml:space="preserve">to distinguish </w:t>
            </w:r>
            <w:r w:rsidR="00BA25C2">
              <w:rPr>
                <w:color w:val="000000"/>
                <w:szCs w:val="24"/>
                <w:shd w:val="clear" w:color="auto" w:fill="FFFFFF"/>
              </w:rPr>
              <w:t xml:space="preserve">its </w:t>
            </w:r>
            <w:r w:rsidRPr="00427F6C">
              <w:rPr>
                <w:color w:val="000000"/>
                <w:szCs w:val="24"/>
                <w:shd w:val="clear" w:color="auto" w:fill="FFFFFF"/>
              </w:rPr>
              <w:t>goods from the goods of other traders</w:t>
            </w:r>
            <w:r w:rsidR="002818A3">
              <w:rPr>
                <w:color w:val="000000"/>
                <w:szCs w:val="24"/>
                <w:shd w:val="clear" w:color="auto" w:fill="FFFFFF"/>
              </w:rPr>
              <w:t>.</w:t>
            </w:r>
          </w:p>
          <w:p w:rsidR="001840F7" w:rsidRPr="00427F6C" w:rsidRDefault="001840F7" w:rsidP="001840F7">
            <w:pPr>
              <w:pStyle w:val="Normal1linespace"/>
              <w:widowControl w:val="0"/>
              <w:jc w:val="left"/>
              <w:rPr>
                <w:szCs w:val="24"/>
              </w:rPr>
            </w:pPr>
          </w:p>
          <w:p w:rsidR="001840F7" w:rsidRPr="00427F6C" w:rsidRDefault="001840F7" w:rsidP="00714B37">
            <w:pPr>
              <w:pStyle w:val="Normal1linespace"/>
              <w:widowControl w:val="0"/>
              <w:rPr>
                <w:b/>
                <w:szCs w:val="24"/>
              </w:rPr>
            </w:pPr>
            <w:r w:rsidRPr="00427F6C">
              <w:rPr>
                <w:b/>
                <w:szCs w:val="24"/>
              </w:rPr>
              <w:t xml:space="preserve">TRADE MARKS – </w:t>
            </w:r>
            <w:r w:rsidRPr="00427F6C">
              <w:rPr>
                <w:color w:val="000000"/>
                <w:szCs w:val="24"/>
                <w:shd w:val="clear" w:color="auto" w:fill="FFFFFF"/>
              </w:rPr>
              <w:t>cross-claim for cancellation of a trade mark pursuant to s 88 of the </w:t>
            </w:r>
            <w:r w:rsidRPr="00427F6C">
              <w:rPr>
                <w:i/>
                <w:color w:val="000000"/>
                <w:szCs w:val="24"/>
                <w:shd w:val="clear" w:color="auto" w:fill="FFFFFF"/>
              </w:rPr>
              <w:t>Trade Marks Act 1995</w:t>
            </w:r>
            <w:r w:rsidRPr="00427F6C">
              <w:rPr>
                <w:color w:val="000000"/>
                <w:szCs w:val="24"/>
                <w:shd w:val="clear" w:color="auto" w:fill="FFFFFF"/>
              </w:rPr>
              <w:t xml:space="preserve"> (Cth) – whether cross-respondent was the first to use the trade mark in Australia in </w:t>
            </w:r>
            <w:r w:rsidRPr="00714B37">
              <w:rPr>
                <w:szCs w:val="24"/>
              </w:rPr>
              <w:t>relation</w:t>
            </w:r>
            <w:r w:rsidRPr="00427F6C">
              <w:rPr>
                <w:color w:val="000000"/>
                <w:szCs w:val="24"/>
                <w:shd w:val="clear" w:color="auto" w:fill="FFFFFF"/>
              </w:rPr>
              <w:t xml:space="preserve"> to the goods for which that mark is registered – whether mark</w:t>
            </w:r>
            <w:r w:rsidR="00FD6F4A">
              <w:rPr>
                <w:color w:val="000000"/>
                <w:szCs w:val="24"/>
                <w:shd w:val="clear" w:color="auto" w:fill="FFFFFF"/>
              </w:rPr>
              <w:t>s</w:t>
            </w:r>
            <w:r w:rsidRPr="00427F6C">
              <w:rPr>
                <w:color w:val="000000"/>
                <w:szCs w:val="24"/>
                <w:shd w:val="clear" w:color="auto" w:fill="FFFFFF"/>
              </w:rPr>
              <w:t xml:space="preserve"> which </w:t>
            </w:r>
            <w:r w:rsidR="00FD6F4A">
              <w:rPr>
                <w:color w:val="000000"/>
                <w:szCs w:val="24"/>
                <w:shd w:val="clear" w:color="auto" w:fill="FFFFFF"/>
              </w:rPr>
              <w:t>were</w:t>
            </w:r>
            <w:r w:rsidR="00FD6F4A" w:rsidRPr="00427F6C">
              <w:rPr>
                <w:color w:val="000000"/>
                <w:szCs w:val="24"/>
                <w:shd w:val="clear" w:color="auto" w:fill="FFFFFF"/>
              </w:rPr>
              <w:t xml:space="preserve"> </w:t>
            </w:r>
            <w:r w:rsidRPr="00427F6C">
              <w:rPr>
                <w:color w:val="000000"/>
                <w:szCs w:val="24"/>
                <w:shd w:val="clear" w:color="auto" w:fill="FFFFFF"/>
              </w:rPr>
              <w:t xml:space="preserve">used earlier than </w:t>
            </w:r>
            <w:r w:rsidR="00BA25C2">
              <w:rPr>
                <w:color w:val="000000"/>
                <w:szCs w:val="24"/>
                <w:shd w:val="clear" w:color="auto" w:fill="FFFFFF"/>
              </w:rPr>
              <w:t xml:space="preserve">the </w:t>
            </w:r>
            <w:r w:rsidRPr="00427F6C">
              <w:rPr>
                <w:color w:val="000000"/>
                <w:szCs w:val="24"/>
                <w:shd w:val="clear" w:color="auto" w:fill="FFFFFF"/>
              </w:rPr>
              <w:t xml:space="preserve">priority date </w:t>
            </w:r>
            <w:r w:rsidR="00FD6F4A">
              <w:rPr>
                <w:color w:val="000000"/>
                <w:szCs w:val="24"/>
                <w:shd w:val="clear" w:color="auto" w:fill="FFFFFF"/>
              </w:rPr>
              <w:t>are</w:t>
            </w:r>
            <w:r w:rsidR="00FD6F4A" w:rsidRPr="00427F6C">
              <w:rPr>
                <w:color w:val="000000"/>
                <w:szCs w:val="24"/>
                <w:shd w:val="clear" w:color="auto" w:fill="FFFFFF"/>
              </w:rPr>
              <w:t xml:space="preserve"> </w:t>
            </w:r>
            <w:r w:rsidRPr="00427F6C">
              <w:rPr>
                <w:color w:val="000000"/>
                <w:szCs w:val="24"/>
                <w:shd w:val="clear" w:color="auto" w:fill="FFFFFF"/>
              </w:rPr>
              <w:t>identical or substantially identical to registered trade mark – whether substantial identity between two marks where multiple differences exist – whether a total impression of similarity emerges from a comparison between the two marks</w:t>
            </w:r>
            <w:r w:rsidR="002818A3">
              <w:rPr>
                <w:color w:val="000000"/>
                <w:szCs w:val="24"/>
                <w:shd w:val="clear" w:color="auto" w:fill="FFFFFF"/>
              </w:rPr>
              <w:t>.</w:t>
            </w:r>
            <w:r w:rsidRPr="00427F6C">
              <w:rPr>
                <w:color w:val="000000"/>
                <w:szCs w:val="24"/>
                <w:shd w:val="clear" w:color="auto" w:fill="FFFFFF"/>
              </w:rPr>
              <w:t xml:space="preserve"> </w:t>
            </w:r>
          </w:p>
          <w:p w:rsidR="001840F7" w:rsidRPr="00427F6C" w:rsidRDefault="001840F7" w:rsidP="001840F7">
            <w:pPr>
              <w:pStyle w:val="Normal1linespace"/>
              <w:widowControl w:val="0"/>
              <w:jc w:val="left"/>
              <w:rPr>
                <w:szCs w:val="24"/>
              </w:rPr>
            </w:pPr>
          </w:p>
          <w:p w:rsidR="001840F7" w:rsidRPr="00427F6C" w:rsidRDefault="001840F7" w:rsidP="00714B37">
            <w:pPr>
              <w:pStyle w:val="Normal1linespace"/>
              <w:widowControl w:val="0"/>
              <w:rPr>
                <w:color w:val="000000"/>
              </w:rPr>
            </w:pPr>
            <w:r w:rsidRPr="00427F6C">
              <w:rPr>
                <w:b/>
              </w:rPr>
              <w:t xml:space="preserve">EVIDENCE </w:t>
            </w:r>
            <w:r w:rsidRPr="00427F6C">
              <w:t xml:space="preserve">– hearsay evidence </w:t>
            </w:r>
            <w:r w:rsidR="00704372" w:rsidRPr="00427F6C">
              <w:rPr>
                <w:color w:val="000000"/>
                <w:shd w:val="clear" w:color="auto" w:fill="FFFFFF"/>
              </w:rPr>
              <w:t>–</w:t>
            </w:r>
            <w:r w:rsidR="00FD6F4A">
              <w:rPr>
                <w:color w:val="000000"/>
              </w:rPr>
              <w:t xml:space="preserve"> </w:t>
            </w:r>
            <w:r w:rsidR="002818A3">
              <w:rPr>
                <w:color w:val="000000"/>
              </w:rPr>
              <w:t xml:space="preserve">whether screenshots of webpages advertising women’s fashion apparel and swimwear for sale under particular style names and at specified prices constitute business records under s 69 of the </w:t>
            </w:r>
            <w:r w:rsidR="002818A3" w:rsidRPr="00E74FDA">
              <w:rPr>
                <w:i/>
                <w:color w:val="000000"/>
              </w:rPr>
              <w:t>Evidence Act</w:t>
            </w:r>
            <w:r w:rsidR="002818A3">
              <w:rPr>
                <w:color w:val="000000"/>
              </w:rPr>
              <w:t xml:space="preserve"> </w:t>
            </w:r>
            <w:r w:rsidR="002818A3" w:rsidRPr="00427F6C">
              <w:rPr>
                <w:i/>
              </w:rPr>
              <w:t>1995</w:t>
            </w:r>
            <w:r w:rsidR="002818A3" w:rsidRPr="00427F6C">
              <w:t xml:space="preserve"> (Cth) </w:t>
            </w:r>
            <w:r w:rsidR="00E74FDA" w:rsidRPr="00427F6C">
              <w:rPr>
                <w:color w:val="000000"/>
                <w:shd w:val="clear" w:color="auto" w:fill="FFFFFF"/>
              </w:rPr>
              <w:t>–</w:t>
            </w:r>
            <w:r w:rsidR="002818A3">
              <w:rPr>
                <w:color w:val="000000"/>
              </w:rPr>
              <w:t xml:space="preserve"> finding that such evidence does fall within </w:t>
            </w:r>
            <w:r w:rsidR="00E74FDA">
              <w:rPr>
                <w:color w:val="000000"/>
              </w:rPr>
              <w:t xml:space="preserve">the business records exception </w:t>
            </w:r>
            <w:r w:rsidR="00E74FDA" w:rsidRPr="00427F6C">
              <w:rPr>
                <w:color w:val="000000"/>
                <w:shd w:val="clear" w:color="auto" w:fill="FFFFFF"/>
              </w:rPr>
              <w:t>–</w:t>
            </w:r>
            <w:r w:rsidR="00E74FDA">
              <w:rPr>
                <w:color w:val="000000"/>
                <w:shd w:val="clear" w:color="auto" w:fill="FFFFFF"/>
              </w:rPr>
              <w:t xml:space="preserve"> </w:t>
            </w:r>
            <w:r w:rsidR="002818A3">
              <w:rPr>
                <w:color w:val="000000"/>
              </w:rPr>
              <w:t>consideration of evidence that the “</w:t>
            </w:r>
            <w:r w:rsidR="002818A3" w:rsidRPr="00427F6C">
              <w:rPr>
                <w:color w:val="000000"/>
              </w:rPr>
              <w:t>Wayback Machine</w:t>
            </w:r>
            <w:r w:rsidR="002818A3">
              <w:rPr>
                <w:color w:val="000000"/>
              </w:rPr>
              <w:t>” automatically archives and retrieves webpages, witho</w:t>
            </w:r>
            <w:r w:rsidR="00E74FDA">
              <w:rPr>
                <w:color w:val="000000"/>
              </w:rPr>
              <w:t xml:space="preserve">ut relevant human intervention </w:t>
            </w:r>
            <w:r w:rsidR="00E74FDA" w:rsidRPr="00427F6C">
              <w:rPr>
                <w:color w:val="000000"/>
                <w:shd w:val="clear" w:color="auto" w:fill="FFFFFF"/>
              </w:rPr>
              <w:t>–</w:t>
            </w:r>
            <w:r w:rsidR="002818A3">
              <w:rPr>
                <w:color w:val="000000"/>
              </w:rPr>
              <w:t xml:space="preserve"> </w:t>
            </w:r>
            <w:r w:rsidRPr="00427F6C">
              <w:rPr>
                <w:color w:val="000000"/>
              </w:rPr>
              <w:t>whether</w:t>
            </w:r>
            <w:r w:rsidR="002818A3">
              <w:rPr>
                <w:color w:val="000000"/>
              </w:rPr>
              <w:t xml:space="preserve"> </w:t>
            </w:r>
            <w:r w:rsidR="00E74FDA">
              <w:rPr>
                <w:color w:val="000000"/>
              </w:rPr>
              <w:t xml:space="preserve">screenshots </w:t>
            </w:r>
            <w:r w:rsidR="002818A3">
              <w:rPr>
                <w:color w:val="000000"/>
              </w:rPr>
              <w:t xml:space="preserve">of archived </w:t>
            </w:r>
            <w:r w:rsidRPr="00427F6C">
              <w:rPr>
                <w:color w:val="000000"/>
              </w:rPr>
              <w:t xml:space="preserve">webpages </w:t>
            </w:r>
            <w:r w:rsidR="00FD6F4A" w:rsidRPr="00427F6C">
              <w:rPr>
                <w:color w:val="000000"/>
              </w:rPr>
              <w:t xml:space="preserve">obtained using </w:t>
            </w:r>
            <w:r w:rsidR="00FD6F4A">
              <w:rPr>
                <w:color w:val="000000"/>
              </w:rPr>
              <w:t xml:space="preserve">the </w:t>
            </w:r>
            <w:r w:rsidR="00FD6F4A" w:rsidRPr="00427F6C">
              <w:rPr>
                <w:color w:val="000000"/>
              </w:rPr>
              <w:t>Wayback Machine</w:t>
            </w:r>
            <w:r w:rsidR="002818A3">
              <w:rPr>
                <w:color w:val="000000"/>
              </w:rPr>
              <w:t xml:space="preserve"> constitute </w:t>
            </w:r>
            <w:r w:rsidRPr="00427F6C">
              <w:rPr>
                <w:color w:val="000000"/>
              </w:rPr>
              <w:t>hearsay</w:t>
            </w:r>
            <w:r w:rsidRPr="00427F6C">
              <w:t xml:space="preserve"> </w:t>
            </w:r>
            <w:r w:rsidR="002818A3">
              <w:t xml:space="preserve">under s 59 of the </w:t>
            </w:r>
            <w:r w:rsidR="002818A3" w:rsidRPr="00E74FDA">
              <w:rPr>
                <w:i/>
              </w:rPr>
              <w:t>Evidence Act</w:t>
            </w:r>
            <w:r w:rsidR="002818A3">
              <w:t xml:space="preserve"> </w:t>
            </w:r>
            <w:r w:rsidRPr="00427F6C">
              <w:t>– whether</w:t>
            </w:r>
            <w:r w:rsidR="002818A3">
              <w:rPr>
                <w:color w:val="000000"/>
              </w:rPr>
              <w:t xml:space="preserve"> such evidence </w:t>
            </w:r>
            <w:r w:rsidRPr="00427F6C">
              <w:t xml:space="preserve">should be excluded under s 135 of the </w:t>
            </w:r>
            <w:r w:rsidRPr="00427F6C">
              <w:rPr>
                <w:i/>
              </w:rPr>
              <w:t xml:space="preserve">Evidence Act </w:t>
            </w:r>
            <w:r w:rsidRPr="00427F6C">
              <w:t xml:space="preserve">or </w:t>
            </w:r>
            <w:r w:rsidR="00FD6F4A">
              <w:t>their</w:t>
            </w:r>
            <w:r w:rsidR="00FD6F4A" w:rsidRPr="00427F6C">
              <w:t xml:space="preserve"> </w:t>
            </w:r>
            <w:r w:rsidRPr="00427F6C">
              <w:t xml:space="preserve">use limited under s 136 of the </w:t>
            </w:r>
            <w:r w:rsidRPr="00427F6C">
              <w:rPr>
                <w:i/>
              </w:rPr>
              <w:t>Evidence Act</w:t>
            </w:r>
            <w:r w:rsidR="002818A3">
              <w:rPr>
                <w:i/>
              </w:rPr>
              <w:t>.</w:t>
            </w:r>
            <w:r w:rsidRPr="00427F6C">
              <w:rPr>
                <w:i/>
              </w:rPr>
              <w:t xml:space="preserve"> </w:t>
            </w:r>
          </w:p>
          <w:p w:rsidR="001840F7" w:rsidRPr="00427F6C" w:rsidRDefault="001840F7" w:rsidP="001840F7">
            <w:pPr>
              <w:pStyle w:val="Normal1linespace"/>
              <w:widowControl w:val="0"/>
              <w:jc w:val="left"/>
              <w:rPr>
                <w:b/>
                <w:szCs w:val="24"/>
              </w:rPr>
            </w:pPr>
          </w:p>
          <w:p w:rsidR="00395B24" w:rsidRDefault="001840F7" w:rsidP="00714B37">
            <w:pPr>
              <w:pStyle w:val="Normal1linespace"/>
              <w:widowControl w:val="0"/>
            </w:pPr>
            <w:r w:rsidRPr="00427F6C">
              <w:rPr>
                <w:b/>
                <w:szCs w:val="24"/>
              </w:rPr>
              <w:t xml:space="preserve">DAMAGES </w:t>
            </w:r>
            <w:r w:rsidRPr="00427F6C">
              <w:rPr>
                <w:color w:val="000000"/>
                <w:szCs w:val="24"/>
                <w:shd w:val="clear" w:color="auto" w:fill="FFFFFF"/>
              </w:rPr>
              <w:t>–</w:t>
            </w:r>
            <w:r w:rsidR="00E74FDA">
              <w:rPr>
                <w:color w:val="000000"/>
                <w:szCs w:val="24"/>
                <w:shd w:val="clear" w:color="auto" w:fill="FFFFFF"/>
              </w:rPr>
              <w:t xml:space="preserve"> </w:t>
            </w:r>
            <w:r w:rsidRPr="00427F6C">
              <w:rPr>
                <w:color w:val="000000"/>
                <w:szCs w:val="24"/>
                <w:shd w:val="clear" w:color="auto" w:fill="FFFFFF"/>
              </w:rPr>
              <w:t>claim for damages for lost sales</w:t>
            </w:r>
            <w:r w:rsidR="00E74FDA">
              <w:rPr>
                <w:color w:val="000000"/>
                <w:szCs w:val="24"/>
                <w:shd w:val="clear" w:color="auto" w:fill="FFFFFF"/>
              </w:rPr>
              <w:t xml:space="preserve"> </w:t>
            </w:r>
            <w:r w:rsidRPr="00427F6C">
              <w:rPr>
                <w:color w:val="000000"/>
                <w:szCs w:val="24"/>
                <w:shd w:val="clear" w:color="auto" w:fill="FFFFFF"/>
              </w:rPr>
              <w:t xml:space="preserve">– whether </w:t>
            </w:r>
            <w:r w:rsidR="00BA25C2">
              <w:rPr>
                <w:color w:val="000000"/>
                <w:szCs w:val="24"/>
                <w:shd w:val="clear" w:color="auto" w:fill="FFFFFF"/>
              </w:rPr>
              <w:t xml:space="preserve">claim for </w:t>
            </w:r>
            <w:r w:rsidRPr="00427F6C">
              <w:rPr>
                <w:color w:val="000000"/>
                <w:szCs w:val="24"/>
                <w:shd w:val="clear" w:color="auto" w:fill="FFFFFF"/>
              </w:rPr>
              <w:t xml:space="preserve">damages for </w:t>
            </w:r>
            <w:r w:rsidRPr="00427F6C">
              <w:rPr>
                <w:szCs w:val="24"/>
              </w:rPr>
              <w:t xml:space="preserve">diminution </w:t>
            </w:r>
            <w:r w:rsidRPr="00427F6C">
              <w:rPr>
                <w:color w:val="000000"/>
                <w:szCs w:val="24"/>
                <w:shd w:val="clear" w:color="auto" w:fill="FFFFFF"/>
              </w:rPr>
              <w:t>of reputa</w:t>
            </w:r>
            <w:r w:rsidR="003269ED">
              <w:rPr>
                <w:color w:val="000000"/>
                <w:szCs w:val="24"/>
                <w:shd w:val="clear" w:color="auto" w:fill="FFFFFF"/>
              </w:rPr>
              <w:t xml:space="preserve">tion </w:t>
            </w:r>
            <w:r w:rsidR="00BA25C2">
              <w:rPr>
                <w:color w:val="000000"/>
                <w:szCs w:val="24"/>
                <w:shd w:val="clear" w:color="auto" w:fill="FFFFFF"/>
              </w:rPr>
              <w:t xml:space="preserve">established </w:t>
            </w:r>
            <w:r w:rsidR="003269ED">
              <w:rPr>
                <w:color w:val="000000"/>
                <w:szCs w:val="24"/>
                <w:shd w:val="clear" w:color="auto" w:fill="FFFFFF"/>
              </w:rPr>
              <w:t>– whether</w:t>
            </w:r>
            <w:r w:rsidRPr="00427F6C">
              <w:rPr>
                <w:color w:val="000000"/>
                <w:szCs w:val="24"/>
                <w:shd w:val="clear" w:color="auto" w:fill="FFFFFF"/>
              </w:rPr>
              <w:t xml:space="preserve"> conduct of the </w:t>
            </w:r>
            <w:r w:rsidRPr="00714B37">
              <w:rPr>
                <w:szCs w:val="24"/>
              </w:rPr>
              <w:t>respondent</w:t>
            </w:r>
            <w:r w:rsidRPr="00427F6C">
              <w:rPr>
                <w:color w:val="000000"/>
                <w:szCs w:val="24"/>
                <w:shd w:val="clear" w:color="auto" w:fill="FFFFFF"/>
              </w:rPr>
              <w:t xml:space="preserve"> is such as to justify an award of </w:t>
            </w:r>
            <w:r w:rsidRPr="00427F6C">
              <w:rPr>
                <w:szCs w:val="24"/>
              </w:rPr>
              <w:t xml:space="preserve">additional damages under s 126(2) of the </w:t>
            </w:r>
            <w:r w:rsidRPr="00427F6C">
              <w:rPr>
                <w:i/>
                <w:color w:val="000000"/>
                <w:szCs w:val="24"/>
                <w:shd w:val="clear" w:color="auto" w:fill="FFFFFF"/>
              </w:rPr>
              <w:t>Trade Marks Act 1995</w:t>
            </w:r>
            <w:r w:rsidRPr="00427F6C">
              <w:rPr>
                <w:color w:val="000000"/>
                <w:szCs w:val="24"/>
                <w:shd w:val="clear" w:color="auto" w:fill="FFFFFF"/>
              </w:rPr>
              <w:t> (Cth)</w:t>
            </w:r>
            <w:r w:rsidR="00E74FDA">
              <w:rPr>
                <w:color w:val="000000"/>
                <w:szCs w:val="24"/>
                <w:shd w:val="clear" w:color="auto" w:fill="FFFFFF"/>
              </w:rPr>
              <w:t>.</w:t>
            </w:r>
            <w:bookmarkEnd w:id="2"/>
          </w:p>
        </w:tc>
      </w:tr>
      <w:tr w:rsidR="00395B24" w:rsidTr="00A07F7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7F76">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E97DF6" w:rsidRDefault="00E97DF6" w:rsidP="00D82620">
            <w:pPr>
              <w:pStyle w:val="CasesLegislationAppealFrom"/>
              <w:spacing w:after="60"/>
            </w:pPr>
            <w:bookmarkStart w:id="3" w:name="Legislation"/>
            <w:r>
              <w:rPr>
                <w:i/>
              </w:rPr>
              <w:t>Evidence Act 1995</w:t>
            </w:r>
            <w:r>
              <w:t xml:space="preserve"> (Cth)</w:t>
            </w:r>
          </w:p>
          <w:bookmarkEnd w:id="3"/>
          <w:p w:rsidR="00395B24" w:rsidRDefault="00E97DF6" w:rsidP="00D82620">
            <w:pPr>
              <w:pStyle w:val="CasesLegislationAppealFrom"/>
              <w:spacing w:after="60"/>
            </w:pPr>
            <w:r>
              <w:rPr>
                <w:i/>
              </w:rPr>
              <w:t xml:space="preserve">Trade Marks Act 1995 </w:t>
            </w:r>
            <w:r>
              <w:t>(Cth)</w:t>
            </w:r>
          </w:p>
        </w:tc>
      </w:tr>
      <w:tr w:rsidR="00395B24" w:rsidTr="00A07F76">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A07F76">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E97DF6" w:rsidRDefault="00E97DF6" w:rsidP="00D82620">
            <w:pPr>
              <w:pStyle w:val="CasesLegislationAppealFrom"/>
              <w:spacing w:after="60"/>
            </w:pPr>
            <w:r w:rsidRPr="00E97DF6">
              <w:rPr>
                <w:i/>
              </w:rPr>
              <w:t>Accor Australia &amp; New Zealand Hospitality Pty Ltd v Liv Pty Ltd</w:t>
            </w:r>
            <w:r w:rsidRPr="000337CE">
              <w:t xml:space="preserve"> [2017] FCAFC 56; (2017) 345 ALR 205</w:t>
            </w:r>
          </w:p>
          <w:p w:rsidR="00E97DF6" w:rsidRDefault="00E97DF6" w:rsidP="00D82620">
            <w:pPr>
              <w:pStyle w:val="CasesLegislationAppealFrom"/>
              <w:spacing w:after="60"/>
            </w:pPr>
            <w:r>
              <w:rPr>
                <w:i/>
                <w:iCs/>
              </w:rPr>
              <w:t xml:space="preserve">Accor Australia &amp; New Zealand Hospitality Pty Ltd v Liv Pty Ltd </w:t>
            </w:r>
            <w:r>
              <w:t>[2015] FCA 554; (2015) 112 IPR 494</w:t>
            </w:r>
          </w:p>
          <w:p w:rsidR="00E97DF6" w:rsidRDefault="00E97DF6" w:rsidP="00D82620">
            <w:pPr>
              <w:pStyle w:val="CasesLegislationAppealFrom"/>
              <w:spacing w:after="60"/>
            </w:pPr>
            <w:r>
              <w:rPr>
                <w:i/>
              </w:rPr>
              <w:t xml:space="preserve">Anheuser-Busch Inc v Budejovicky Budvar, Narodni Podnik &amp; Ors </w:t>
            </w:r>
            <w:r>
              <w:t>[2002] FCA 390; (2002) 56 IPR 182</w:t>
            </w:r>
          </w:p>
          <w:p w:rsidR="00E97DF6" w:rsidRDefault="00E97DF6" w:rsidP="00D82620">
            <w:pPr>
              <w:pStyle w:val="CasesLegislationAppealFrom"/>
              <w:spacing w:after="60"/>
            </w:pPr>
            <w:r>
              <w:rPr>
                <w:i/>
              </w:rPr>
              <w:t>Australian Competition and Consumer Commission v Air New Zealand Limited (No 5)</w:t>
            </w:r>
            <w:r>
              <w:t xml:space="preserve"> [2012] FCA 1479; (2012) 301 ALR 352</w:t>
            </w:r>
          </w:p>
          <w:p w:rsidR="00E97DF6" w:rsidRDefault="00E97DF6" w:rsidP="00D82620">
            <w:pPr>
              <w:pStyle w:val="CasesLegislationAppealFrom"/>
              <w:spacing w:after="60"/>
            </w:pPr>
            <w:r w:rsidRPr="00E97DF6">
              <w:rPr>
                <w:i/>
              </w:rPr>
              <w:t>Australian Competition and Consumer Commission v Meriton Property Services Pty Ltd</w:t>
            </w:r>
            <w:r w:rsidRPr="00D51167">
              <w:t xml:space="preserve"> [2017] FCA 1305; (2017) 350 ALR 494</w:t>
            </w:r>
          </w:p>
          <w:p w:rsidR="00E97DF6" w:rsidRDefault="00E97DF6" w:rsidP="00D82620">
            <w:pPr>
              <w:pStyle w:val="CasesLegislationAppealFrom"/>
              <w:spacing w:after="60"/>
            </w:pPr>
            <w:r w:rsidRPr="00E97DF6">
              <w:rPr>
                <w:i/>
              </w:rPr>
              <w:t xml:space="preserve">Beecham Group plc v Colgate-Palmolive Pty Ltd </w:t>
            </w:r>
            <w:r w:rsidRPr="00D51167">
              <w:t>[2005] FCA 838; (2005) 66 IPR 254</w:t>
            </w:r>
          </w:p>
          <w:p w:rsidR="00E97DF6" w:rsidRDefault="00E97DF6" w:rsidP="00D82620">
            <w:pPr>
              <w:pStyle w:val="CasesLegislationAppealFrom"/>
              <w:spacing w:after="60"/>
            </w:pPr>
            <w:r w:rsidRPr="00E97DF6">
              <w:rPr>
                <w:i/>
              </w:rPr>
              <w:t>Bohemia Crystal Pty Ltd v Host Corporation Pty Ltd</w:t>
            </w:r>
            <w:r w:rsidRPr="00D51167">
              <w:t xml:space="preserve"> [2018] FCA 235; (2018) 354 ALR 353</w:t>
            </w:r>
          </w:p>
          <w:p w:rsidR="00E97DF6" w:rsidRDefault="00E97DF6" w:rsidP="00D82620">
            <w:pPr>
              <w:pStyle w:val="CasesLegislationAppealFrom"/>
              <w:spacing w:after="60"/>
            </w:pPr>
            <w:r w:rsidRPr="00E97DF6">
              <w:rPr>
                <w:i/>
              </w:rPr>
              <w:t xml:space="preserve">Carnival Cruise Lines Inc v Sitmar Cruises Ltd </w:t>
            </w:r>
            <w:r w:rsidRPr="000337CE">
              <w:t>[1994] FCA 68; (1994) 120 ALR 495</w:t>
            </w:r>
          </w:p>
          <w:p w:rsidR="00E97DF6" w:rsidRDefault="00E97DF6" w:rsidP="00D82620">
            <w:pPr>
              <w:pStyle w:val="CasesLegislationAppealFrom"/>
              <w:spacing w:after="60"/>
            </w:pPr>
            <w:r w:rsidRPr="00E97DF6">
              <w:rPr>
                <w:i/>
              </w:rPr>
              <w:t>Conde Nast Publications Pty Ltd v Taylor</w:t>
            </w:r>
            <w:r w:rsidRPr="000337CE">
              <w:t xml:space="preserve"> [1998] FCA 864; (1998) 41 IPR 505</w:t>
            </w:r>
          </w:p>
          <w:p w:rsidR="00E97DF6" w:rsidRDefault="00E97DF6" w:rsidP="00D82620">
            <w:pPr>
              <w:pStyle w:val="CasesLegislationAppealFrom"/>
              <w:spacing w:after="60"/>
              <w:rPr>
                <w:lang w:val="en-US"/>
              </w:rPr>
            </w:pPr>
            <w:r>
              <w:rPr>
                <w:i/>
                <w:lang w:val="en-US"/>
              </w:rPr>
              <w:t>Dyno Nobel Inc v Orica Explosives Technology Pty Ltd (No 2)</w:t>
            </w:r>
            <w:r>
              <w:rPr>
                <w:lang w:val="en-US"/>
              </w:rPr>
              <w:t xml:space="preserve"> [2019] FCA 1552</w:t>
            </w:r>
          </w:p>
          <w:p w:rsidR="00E97DF6" w:rsidRDefault="00E97DF6" w:rsidP="00D82620">
            <w:pPr>
              <w:pStyle w:val="CasesLegislationAppealFrom"/>
              <w:spacing w:after="60"/>
            </w:pPr>
            <w:r w:rsidRPr="00E97DF6">
              <w:rPr>
                <w:i/>
              </w:rPr>
              <w:t>E &amp; J Gallo Winery v Lion Nathan (Aust) Pty Ltd</w:t>
            </w:r>
            <w:r w:rsidRPr="00D51167">
              <w:t xml:space="preserve"> [2010] HCA 15; (2010) 241 CLR 144</w:t>
            </w:r>
          </w:p>
          <w:p w:rsidR="00E97DF6" w:rsidRDefault="00E97DF6" w:rsidP="00D82620">
            <w:pPr>
              <w:pStyle w:val="CasesLegislationAppealFrom"/>
              <w:spacing w:after="60"/>
            </w:pPr>
            <w:r>
              <w:rPr>
                <w:i/>
              </w:rPr>
              <w:t>E &amp; J Gallo Winery v Lion Nathan Australia Pty Ltd</w:t>
            </w:r>
            <w:r>
              <w:t xml:space="preserve"> [2008] FCA 934; (2008) 77 IPR 69</w:t>
            </w:r>
          </w:p>
          <w:p w:rsidR="00E97DF6" w:rsidRDefault="00E97DF6" w:rsidP="00D82620">
            <w:pPr>
              <w:pStyle w:val="CasesLegislationAppealFrom"/>
              <w:spacing w:after="60"/>
            </w:pPr>
            <w:r w:rsidRPr="00E97DF6">
              <w:rPr>
                <w:i/>
              </w:rPr>
              <w:t xml:space="preserve">Facton Ltd v Rifai Fashions Pty Ltd </w:t>
            </w:r>
            <w:r w:rsidRPr="000337CE">
              <w:t xml:space="preserve">[2012] FCAFC 9; (2012) </w:t>
            </w:r>
            <w:r w:rsidR="00A07F76">
              <w:t xml:space="preserve">199 </w:t>
            </w:r>
            <w:r w:rsidRPr="000337CE">
              <w:t>FCR 569</w:t>
            </w:r>
          </w:p>
          <w:p w:rsidR="00E97DF6" w:rsidRDefault="00E97DF6" w:rsidP="00D82620">
            <w:pPr>
              <w:pStyle w:val="CasesLegislationAppealFrom"/>
              <w:spacing w:after="60"/>
            </w:pPr>
            <w:r>
              <w:rPr>
                <w:i/>
              </w:rPr>
              <w:t>Flags 2000 Pty Ltd v Smith</w:t>
            </w:r>
            <w:r>
              <w:t xml:space="preserve"> [2003] FCA 1067; (2003) 59 IPR 191</w:t>
            </w:r>
          </w:p>
          <w:p w:rsidR="00E97DF6" w:rsidRDefault="00E97DF6" w:rsidP="00D82620">
            <w:pPr>
              <w:pStyle w:val="CasesLegislationAppealFrom"/>
              <w:spacing w:after="60"/>
            </w:pPr>
            <w:r w:rsidRPr="00E97DF6">
              <w:rPr>
                <w:i/>
              </w:rPr>
              <w:t>Futuretronics.com.au Pty Ltd v Graphix Labels Pty Ltd (No 2)</w:t>
            </w:r>
            <w:r w:rsidRPr="000337CE">
              <w:t xml:space="preserve"> [2008] FCA 746; (2008) 76 IPR 763</w:t>
            </w:r>
          </w:p>
          <w:p w:rsidR="00E97DF6" w:rsidRDefault="00E97DF6" w:rsidP="00D82620">
            <w:pPr>
              <w:pStyle w:val="CasesLegislationAppealFrom"/>
              <w:spacing w:after="60"/>
            </w:pPr>
            <w:r w:rsidRPr="00E97DF6">
              <w:rPr>
                <w:i/>
              </w:rPr>
              <w:t>GM Holden Ltd v Paine</w:t>
            </w:r>
            <w:r w:rsidRPr="00D51167">
              <w:t xml:space="preserve"> [2011] FCA 569; (2011) 281 ALR 406</w:t>
            </w:r>
          </w:p>
          <w:p w:rsidR="00E97DF6" w:rsidRDefault="00E97DF6" w:rsidP="00D82620">
            <w:pPr>
              <w:pStyle w:val="CasesLegislationAppealFrom"/>
              <w:spacing w:after="60"/>
            </w:pPr>
            <w:r w:rsidRPr="00E97DF6">
              <w:rPr>
                <w:i/>
              </w:rPr>
              <w:t>Hansen Beverage Company v Bickfords (Australia) Pty Ltd</w:t>
            </w:r>
            <w:r w:rsidRPr="00D51167">
              <w:t xml:space="preserve"> [2008] FCA 406; (2008) 75 IPR 505</w:t>
            </w:r>
          </w:p>
          <w:p w:rsidR="00E97DF6" w:rsidRDefault="00E97DF6" w:rsidP="00D82620">
            <w:pPr>
              <w:pStyle w:val="CasesLegislationAppealFrom"/>
              <w:spacing w:after="60"/>
            </w:pPr>
            <w:r w:rsidRPr="00E97DF6">
              <w:rPr>
                <w:i/>
              </w:rPr>
              <w:t>Johnson &amp; Johnson Australia Pty Ltd v Sterling Pharmaceuticals Pty Ltd</w:t>
            </w:r>
            <w:r w:rsidRPr="00D51167">
              <w:t xml:space="preserve"> </w:t>
            </w:r>
            <w:r w:rsidR="00A07F76">
              <w:t xml:space="preserve">[1991] FCA 402; </w:t>
            </w:r>
            <w:r w:rsidRPr="00D51167">
              <w:t>(1991) 30 FCR 326</w:t>
            </w:r>
          </w:p>
          <w:p w:rsidR="00E97DF6" w:rsidRDefault="00E97DF6" w:rsidP="00D82620">
            <w:pPr>
              <w:pStyle w:val="CasesLegislationAppealFrom"/>
              <w:spacing w:after="60"/>
            </w:pPr>
            <w:r>
              <w:rPr>
                <w:i/>
              </w:rPr>
              <w:t xml:space="preserve">Leybourne v Permanent Custodians Limited </w:t>
            </w:r>
            <w:r>
              <w:t>[2010] NSWCA 78</w:t>
            </w:r>
          </w:p>
          <w:p w:rsidR="00E97DF6" w:rsidRDefault="00E97DF6" w:rsidP="00D82620">
            <w:pPr>
              <w:pStyle w:val="CasesLegislationAppealFrom"/>
              <w:spacing w:after="60"/>
            </w:pPr>
            <w:r w:rsidRPr="00E97DF6">
              <w:rPr>
                <w:i/>
              </w:rPr>
              <w:t>Lomas v Winton Shire Council</w:t>
            </w:r>
            <w:r w:rsidRPr="000337CE">
              <w:t xml:space="preserve"> [2002] FCAFC 413</w:t>
            </w:r>
            <w:r w:rsidR="00A07F76">
              <w:t>;</w:t>
            </w:r>
            <w:r w:rsidRPr="000337CE">
              <w:t xml:space="preserve"> (2003) AIPC 91-839</w:t>
            </w:r>
          </w:p>
          <w:p w:rsidR="00E97DF6" w:rsidRDefault="00E97DF6" w:rsidP="00D82620">
            <w:pPr>
              <w:pStyle w:val="CasesLegislationAppealFrom"/>
              <w:spacing w:after="60"/>
            </w:pPr>
            <w:r w:rsidRPr="00E97DF6">
              <w:rPr>
                <w:i/>
              </w:rPr>
              <w:t xml:space="preserve">McMahon v John Fairfax Publications Pty Ltd (No 4) </w:t>
            </w:r>
            <w:r w:rsidRPr="00D51167">
              <w:t>[2012] NSWSC 216</w:t>
            </w:r>
          </w:p>
          <w:p w:rsidR="00E97DF6" w:rsidRDefault="00E97DF6" w:rsidP="00D82620">
            <w:pPr>
              <w:pStyle w:val="CasesLegislationAppealFrom"/>
              <w:spacing w:after="60"/>
            </w:pPr>
            <w:r>
              <w:rPr>
                <w:i/>
                <w:iCs/>
              </w:rPr>
              <w:lastRenderedPageBreak/>
              <w:t>Microsoft Corp v Goodview Electronics Pty Ltd</w:t>
            </w:r>
            <w:r>
              <w:t xml:space="preserve"> [2000] FCA 1852; (2000) 49 IPR 578</w:t>
            </w:r>
          </w:p>
          <w:p w:rsidR="00E97DF6" w:rsidRDefault="00E97DF6" w:rsidP="00D82620">
            <w:pPr>
              <w:pStyle w:val="CasesLegislationAppealFrom"/>
              <w:spacing w:after="60"/>
            </w:pPr>
            <w:r w:rsidRPr="00E97DF6">
              <w:rPr>
                <w:i/>
              </w:rPr>
              <w:t xml:space="preserve">National Telecoms Group Ltd v John Fairfax Publications Pty Ltd (No 1) </w:t>
            </w:r>
            <w:r w:rsidRPr="00D51167">
              <w:t>[2011] NSWSC 455</w:t>
            </w:r>
          </w:p>
          <w:p w:rsidR="00E97DF6" w:rsidRDefault="00E97DF6" w:rsidP="00D82620">
            <w:pPr>
              <w:pStyle w:val="CasesLegislationAppealFrom"/>
              <w:spacing w:after="60"/>
            </w:pPr>
            <w:r w:rsidRPr="00E97DF6">
              <w:rPr>
                <w:i/>
              </w:rPr>
              <w:t>PB Foods v Malanda Dairyfoods Ltd</w:t>
            </w:r>
            <w:r w:rsidRPr="000337CE">
              <w:t xml:space="preserve"> [1999] FCA 1602; (1999) 47 IPR 47</w:t>
            </w:r>
          </w:p>
          <w:p w:rsidR="00E97DF6" w:rsidRDefault="00E97DF6" w:rsidP="00D82620">
            <w:pPr>
              <w:pStyle w:val="CasesLegislationAppealFrom"/>
              <w:spacing w:after="60"/>
            </w:pPr>
            <w:r w:rsidRPr="00E97DF6">
              <w:rPr>
                <w:i/>
              </w:rPr>
              <w:t>PepsiCo Australia Pty Ltd v Kettle Chip Co Pty Ltd</w:t>
            </w:r>
            <w:r w:rsidRPr="00D51167">
              <w:t xml:space="preserve"> </w:t>
            </w:r>
            <w:r w:rsidR="00A07F76">
              <w:t xml:space="preserve">[1996] FCA 48; </w:t>
            </w:r>
            <w:r w:rsidRPr="00D51167">
              <w:t>(1996) 135 ALR 192</w:t>
            </w:r>
          </w:p>
          <w:p w:rsidR="00E97DF6" w:rsidRDefault="00E97DF6" w:rsidP="00D82620">
            <w:pPr>
              <w:pStyle w:val="CasesLegislationAppealFrom"/>
              <w:spacing w:after="60"/>
            </w:pPr>
            <w:r>
              <w:rPr>
                <w:i/>
              </w:rPr>
              <w:t>Pham Global Pty Ltd v Insight Clinical Imaging Pty Ltd</w:t>
            </w:r>
            <w:r>
              <w:t xml:space="preserve"> [2017] FCAFC 83; (2017) 251 FCR 379</w:t>
            </w:r>
          </w:p>
          <w:p w:rsidR="00E97DF6" w:rsidRDefault="00E97DF6" w:rsidP="00D82620">
            <w:pPr>
              <w:pStyle w:val="CasesLegislationAppealFrom"/>
              <w:spacing w:after="60"/>
            </w:pPr>
            <w:r w:rsidRPr="00E97DF6">
              <w:rPr>
                <w:i/>
              </w:rPr>
              <w:t>Playgro Pty Ltd v Playgo Art &amp; Craft Manufactory Ltd (No.2)</w:t>
            </w:r>
            <w:r w:rsidRPr="00D51167">
              <w:t xml:space="preserve"> [2016] FCA 478; (2016) 118 IPR 514</w:t>
            </w:r>
          </w:p>
          <w:p w:rsidR="00E97DF6" w:rsidRDefault="00E97DF6" w:rsidP="00D82620">
            <w:pPr>
              <w:pStyle w:val="CasesLegislationAppealFrom"/>
              <w:spacing w:after="60"/>
            </w:pPr>
            <w:r w:rsidRPr="00E97DF6">
              <w:rPr>
                <w:i/>
              </w:rPr>
              <w:t>Review Australia Pty Ltd v Innovative Lifestyle Investments Pty Ltd</w:t>
            </w:r>
            <w:r w:rsidRPr="00D51167">
              <w:t xml:space="preserve"> [2008] FCA 74; (2008) 166 FCR 358</w:t>
            </w:r>
          </w:p>
          <w:p w:rsidR="00E97DF6" w:rsidRDefault="00E97DF6" w:rsidP="00D82620">
            <w:pPr>
              <w:pStyle w:val="CasesLegislationAppealFrom"/>
              <w:spacing w:after="60"/>
            </w:pPr>
            <w:r>
              <w:rPr>
                <w:i/>
              </w:rPr>
              <w:t xml:space="preserve">Roach v Page (No 15) </w:t>
            </w:r>
            <w:r>
              <w:t>[2003] NSWSC 939</w:t>
            </w:r>
          </w:p>
          <w:p w:rsidR="00E97DF6" w:rsidRDefault="00E97DF6" w:rsidP="00D82620">
            <w:pPr>
              <w:pStyle w:val="CasesLegislationAppealFrom"/>
              <w:spacing w:after="60"/>
            </w:pPr>
            <w:r w:rsidRPr="00E97DF6">
              <w:rPr>
                <w:i/>
              </w:rPr>
              <w:t xml:space="preserve">Roach v Page (No 27) </w:t>
            </w:r>
            <w:r w:rsidRPr="00D51167">
              <w:t>[2003] NSWSC 1046</w:t>
            </w:r>
          </w:p>
          <w:p w:rsidR="00E97DF6" w:rsidRDefault="00E97DF6" w:rsidP="00D82620">
            <w:pPr>
              <w:pStyle w:val="CasesLegislationAppealFrom"/>
              <w:spacing w:after="60"/>
            </w:pPr>
            <w:r>
              <w:rPr>
                <w:i/>
              </w:rPr>
              <w:t xml:space="preserve">Rodney Jane Racing Pty Ltd v Monster Energy Company </w:t>
            </w:r>
            <w:r>
              <w:t>[2019] FCA 923; (2019)</w:t>
            </w:r>
            <w:r w:rsidR="00A07F76">
              <w:t xml:space="preserve"> </w:t>
            </w:r>
            <w:r>
              <w:t>42 IPR 275</w:t>
            </w:r>
          </w:p>
          <w:p w:rsidR="00E97DF6" w:rsidRDefault="00E97DF6" w:rsidP="00D82620">
            <w:pPr>
              <w:pStyle w:val="CasesLegislationAppealFrom"/>
              <w:spacing w:after="60"/>
            </w:pPr>
            <w:r>
              <w:rPr>
                <w:i/>
              </w:rPr>
              <w:t>Shape Shopfitters Pty Ltd v Shape Australia Pty Ltd (No 2)</w:t>
            </w:r>
            <w:r>
              <w:t xml:space="preserve"> [2017] FCA 474</w:t>
            </w:r>
          </w:p>
          <w:p w:rsidR="00E97DF6" w:rsidRDefault="00E97DF6" w:rsidP="00D82620">
            <w:pPr>
              <w:pStyle w:val="CasesLegislationAppealFrom"/>
              <w:spacing w:after="60"/>
            </w:pPr>
            <w:r w:rsidRPr="00E97DF6">
              <w:rPr>
                <w:i/>
              </w:rPr>
              <w:t>Shell Co (Aust) Ltd v Esso Standard Oil (Australia) Ltd</w:t>
            </w:r>
            <w:r w:rsidRPr="00D51167">
              <w:t xml:space="preserve"> [1963] HCA 66; (1963) 109 CLR 407</w:t>
            </w:r>
          </w:p>
          <w:p w:rsidR="00E97DF6" w:rsidRDefault="00E97DF6" w:rsidP="00D82620">
            <w:pPr>
              <w:pStyle w:val="CasesLegislationAppealFrom"/>
              <w:spacing w:after="60"/>
            </w:pPr>
            <w:r w:rsidRPr="00E97DF6">
              <w:rPr>
                <w:i/>
              </w:rPr>
              <w:t xml:space="preserve">Truong Giang Corporation v Tung Mau Quach and Ors </w:t>
            </w:r>
            <w:r w:rsidRPr="000337CE">
              <w:t>[2015] FCA 1097; (2015) 114 IPR 498</w:t>
            </w:r>
          </w:p>
          <w:p w:rsidR="000337CE" w:rsidRDefault="00E97DF6" w:rsidP="00D82620">
            <w:pPr>
              <w:pStyle w:val="CasesLegislationAppealFrom"/>
              <w:spacing w:after="60"/>
            </w:pPr>
            <w:r w:rsidRPr="00E97DF6">
              <w:rPr>
                <w:i/>
              </w:rPr>
              <w:t xml:space="preserve">Voxson Pty Ltd v Telstra Corporation Limited (No 10) </w:t>
            </w:r>
            <w:r w:rsidRPr="00D51167">
              <w:t>[2018] FCA 376; (2018) 134 IPR 99</w:t>
            </w:r>
          </w:p>
        </w:tc>
      </w:tr>
      <w:tr w:rsidR="00A07F76" w:rsidRPr="00A07F76" w:rsidTr="00A07F76">
        <w:tc>
          <w:tcPr>
            <w:tcW w:w="3085" w:type="dxa"/>
            <w:shd w:val="clear" w:color="auto" w:fill="auto"/>
          </w:tcPr>
          <w:p w:rsidR="00A07F76" w:rsidRPr="00A07F76" w:rsidRDefault="00A07F76" w:rsidP="00A07F76">
            <w:pPr>
              <w:pStyle w:val="Normal1linespace"/>
              <w:jc w:val="left"/>
            </w:pPr>
          </w:p>
        </w:tc>
        <w:tc>
          <w:tcPr>
            <w:tcW w:w="5989" w:type="dxa"/>
            <w:shd w:val="clear" w:color="auto" w:fill="auto"/>
          </w:tcPr>
          <w:p w:rsidR="00A07F76" w:rsidRPr="00A07F76" w:rsidRDefault="00A07F76" w:rsidP="00A07F76">
            <w:pPr>
              <w:pStyle w:val="Normal1linespace"/>
              <w:jc w:val="left"/>
            </w:pPr>
          </w:p>
        </w:tc>
      </w:tr>
      <w:tr w:rsidR="00A07F76" w:rsidRPr="00A07F76" w:rsidTr="00A07F76">
        <w:tc>
          <w:tcPr>
            <w:tcW w:w="3085" w:type="dxa"/>
            <w:shd w:val="clear" w:color="auto" w:fill="auto"/>
          </w:tcPr>
          <w:p w:rsidR="00A07F76" w:rsidRPr="00A07F76" w:rsidRDefault="00A07F76" w:rsidP="00A07F76">
            <w:pPr>
              <w:pStyle w:val="Normal1linespace"/>
              <w:jc w:val="left"/>
            </w:pPr>
            <w:bookmarkStart w:id="4" w:name="CounselDate" w:colFirst="0" w:colLast="2"/>
            <w:r w:rsidRPr="00A07F76">
              <w:t>Date of hearing:</w:t>
            </w:r>
          </w:p>
        </w:tc>
        <w:tc>
          <w:tcPr>
            <w:tcW w:w="5989" w:type="dxa"/>
            <w:shd w:val="clear" w:color="auto" w:fill="auto"/>
          </w:tcPr>
          <w:p w:rsidR="00A07F76" w:rsidRPr="00A07F76" w:rsidRDefault="00A07F76" w:rsidP="00A07F76">
            <w:pPr>
              <w:pStyle w:val="Normal1linespace"/>
              <w:jc w:val="left"/>
            </w:pPr>
            <w:bookmarkStart w:id="5" w:name="HearingDate"/>
            <w:r>
              <w:t>22-24 October 2018</w:t>
            </w:r>
            <w:bookmarkEnd w:id="5"/>
          </w:p>
        </w:tc>
      </w:tr>
      <w:tr w:rsidR="00A07F76" w:rsidRPr="00A07F76" w:rsidTr="00A07F76">
        <w:tc>
          <w:tcPr>
            <w:tcW w:w="3085" w:type="dxa"/>
            <w:shd w:val="clear" w:color="auto" w:fill="auto"/>
          </w:tcPr>
          <w:p w:rsidR="00A07F76" w:rsidRPr="00A07F76" w:rsidRDefault="00A07F76" w:rsidP="00A07F76">
            <w:pPr>
              <w:pStyle w:val="Normal1linespace"/>
              <w:jc w:val="left"/>
            </w:pPr>
          </w:p>
        </w:tc>
        <w:tc>
          <w:tcPr>
            <w:tcW w:w="5989" w:type="dxa"/>
            <w:shd w:val="clear" w:color="auto" w:fill="auto"/>
          </w:tcPr>
          <w:p w:rsidR="00A07F76" w:rsidRPr="00A07F76" w:rsidRDefault="00A07F76" w:rsidP="00A07F76">
            <w:pPr>
              <w:pStyle w:val="Normal1linespace"/>
              <w:jc w:val="left"/>
            </w:pPr>
          </w:p>
        </w:tc>
      </w:tr>
      <w:bookmarkEnd w:id="4"/>
      <w:tr w:rsidR="00A07F76" w:rsidTr="00A07F76">
        <w:tc>
          <w:tcPr>
            <w:tcW w:w="3085" w:type="dxa"/>
            <w:shd w:val="clear" w:color="auto" w:fill="auto"/>
          </w:tcPr>
          <w:p w:rsidR="00A07F76" w:rsidRDefault="00A07F76" w:rsidP="00A07F76">
            <w:pPr>
              <w:pStyle w:val="Normal1linespace"/>
              <w:widowControl w:val="0"/>
              <w:jc w:val="left"/>
            </w:pPr>
            <w:r>
              <w:t>Registry:</w:t>
            </w:r>
          </w:p>
        </w:tc>
        <w:tc>
          <w:tcPr>
            <w:tcW w:w="5989" w:type="dxa"/>
            <w:shd w:val="clear" w:color="auto" w:fill="auto"/>
          </w:tcPr>
          <w:p w:rsidR="00A07F76" w:rsidRPr="00F17599" w:rsidRDefault="00D967EA" w:rsidP="00A07F76">
            <w:pPr>
              <w:pStyle w:val="Normal1linespace"/>
              <w:widowControl w:val="0"/>
              <w:jc w:val="left"/>
            </w:pPr>
            <w:fldSimple w:instr=" DOCPROPERTY  Registry " w:fldLock="1">
              <w:r w:rsidR="00A07F76">
                <w:t>Victoria</w:t>
              </w:r>
            </w:fldSimple>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r>
              <w:t>Division:</w:t>
            </w:r>
          </w:p>
        </w:tc>
        <w:tc>
          <w:tcPr>
            <w:tcW w:w="5989" w:type="dxa"/>
            <w:shd w:val="clear" w:color="auto" w:fill="auto"/>
          </w:tcPr>
          <w:p w:rsidR="00A07F76" w:rsidRPr="00F17599" w:rsidRDefault="00D967EA" w:rsidP="00A07F76">
            <w:pPr>
              <w:pStyle w:val="Normal1linespace"/>
              <w:widowControl w:val="0"/>
              <w:jc w:val="left"/>
            </w:pPr>
            <w:fldSimple w:instr=" DOCPROPERTY  Division " w:fldLock="1">
              <w:r w:rsidR="00A07F76">
                <w:t>General Division</w:t>
              </w:r>
            </w:fldSimple>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Pr="00F17599" w:rsidRDefault="00A07F76" w:rsidP="00A07F76">
            <w:pPr>
              <w:pStyle w:val="Normal1linespace"/>
              <w:widowControl w:val="0"/>
              <w:jc w:val="left"/>
              <w:rPr>
                <w:b/>
              </w:rPr>
            </w:pPr>
          </w:p>
        </w:tc>
      </w:tr>
      <w:tr w:rsidR="00A07F76" w:rsidTr="00A07F76">
        <w:tc>
          <w:tcPr>
            <w:tcW w:w="3085" w:type="dxa"/>
            <w:shd w:val="clear" w:color="auto" w:fill="auto"/>
          </w:tcPr>
          <w:p w:rsidR="00A07F76" w:rsidRDefault="00A07F76" w:rsidP="00A07F76">
            <w:pPr>
              <w:pStyle w:val="Normal1linespace"/>
              <w:widowControl w:val="0"/>
              <w:jc w:val="left"/>
            </w:pPr>
            <w:r>
              <w:t>National Practice Area:</w:t>
            </w:r>
          </w:p>
        </w:tc>
        <w:tc>
          <w:tcPr>
            <w:tcW w:w="5989" w:type="dxa"/>
            <w:shd w:val="clear" w:color="auto" w:fill="auto"/>
          </w:tcPr>
          <w:p w:rsidR="00A07F76" w:rsidRPr="00F17599" w:rsidRDefault="00D967EA" w:rsidP="00A07F76">
            <w:pPr>
              <w:pStyle w:val="Normal1linespace"/>
              <w:widowControl w:val="0"/>
              <w:jc w:val="left"/>
              <w:rPr>
                <w:b/>
              </w:rPr>
            </w:pPr>
            <w:fldSimple w:instr=" DOCPROPERTY  &quot;Practice Area&quot;  \* MERGEFORMAT " w:fldLock="1">
              <w:r w:rsidR="00A07F76">
                <w:t>Intellectual Property</w:t>
              </w:r>
            </w:fldSimple>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r>
              <w:t>Sub-area:</w:t>
            </w:r>
          </w:p>
        </w:tc>
        <w:tc>
          <w:tcPr>
            <w:tcW w:w="5989" w:type="dxa"/>
            <w:shd w:val="clear" w:color="auto" w:fill="auto"/>
          </w:tcPr>
          <w:p w:rsidR="00A07F76" w:rsidRPr="00435936" w:rsidRDefault="007F6D47" w:rsidP="00A07F76">
            <w:pPr>
              <w:pStyle w:val="Normal1linespace"/>
              <w:widowControl w:val="0"/>
              <w:jc w:val="left"/>
            </w:pPr>
            <w:r>
              <w:rPr>
                <w:bCs/>
                <w:lang w:val="en-US"/>
              </w:rPr>
              <w:fldChar w:fldCharType="begin" w:fldLock="1"/>
            </w:r>
            <w:r>
              <w:rPr>
                <w:bCs/>
                <w:lang w:val="en-US"/>
              </w:rPr>
              <w:instrText xml:space="preserve"> DOCPROPERTY  "Sub Area"  \* MERGEFORMAT </w:instrText>
            </w:r>
            <w:r>
              <w:rPr>
                <w:bCs/>
                <w:lang w:val="en-US"/>
              </w:rPr>
              <w:fldChar w:fldCharType="separate"/>
            </w:r>
            <w:r w:rsidR="00A07F76" w:rsidRPr="00A07F76">
              <w:rPr>
                <w:bCs/>
                <w:lang w:val="en-US"/>
              </w:rPr>
              <w:t>Trade Marks</w:t>
            </w:r>
            <w:r>
              <w:rPr>
                <w:bCs/>
                <w:lang w:val="en-US"/>
              </w:rPr>
              <w:fldChar w:fldCharType="end"/>
            </w:r>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rPr>
                <w:b/>
              </w:rPr>
            </w:pPr>
          </w:p>
        </w:tc>
      </w:tr>
      <w:tr w:rsidR="00A07F76" w:rsidTr="00A07F76">
        <w:tc>
          <w:tcPr>
            <w:tcW w:w="3085" w:type="dxa"/>
            <w:shd w:val="clear" w:color="auto" w:fill="auto"/>
          </w:tcPr>
          <w:p w:rsidR="00A07F76" w:rsidRDefault="00A07F76" w:rsidP="00A07F76">
            <w:pPr>
              <w:pStyle w:val="Normal1linespace"/>
              <w:widowControl w:val="0"/>
              <w:jc w:val="left"/>
            </w:pPr>
            <w:r>
              <w:t>Category:</w:t>
            </w:r>
          </w:p>
        </w:tc>
        <w:tc>
          <w:tcPr>
            <w:tcW w:w="5989" w:type="dxa"/>
            <w:shd w:val="clear" w:color="auto" w:fill="auto"/>
          </w:tcPr>
          <w:p w:rsidR="00A07F76" w:rsidRDefault="00A07F76" w:rsidP="00A07F76">
            <w:pPr>
              <w:pStyle w:val="Normal1linespace"/>
              <w:widowControl w:val="0"/>
              <w:jc w:val="left"/>
            </w:pPr>
            <w:r w:rsidRPr="00FF6132">
              <w:t>Catchwords</w:t>
            </w:r>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r>
              <w:t>Number of paragraphs:</w:t>
            </w:r>
          </w:p>
        </w:tc>
        <w:tc>
          <w:tcPr>
            <w:tcW w:w="5989" w:type="dxa"/>
            <w:shd w:val="clear" w:color="auto" w:fill="auto"/>
          </w:tcPr>
          <w:p w:rsidR="00A07F76" w:rsidRDefault="00A07F76" w:rsidP="00A07F76">
            <w:pPr>
              <w:pStyle w:val="Normal1linespace"/>
              <w:widowControl w:val="0"/>
              <w:jc w:val="left"/>
            </w:pPr>
            <w:bookmarkStart w:id="6" w:name="PlaceCategoryParagraphs"/>
            <w:r>
              <w:t>298</w:t>
            </w:r>
            <w:bookmarkEnd w:id="6"/>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bookmarkStart w:id="7" w:name="Counsel" w:colFirst="0" w:colLast="2"/>
            <w:r>
              <w:t>Counsel for the Applicant</w:t>
            </w:r>
            <w:r w:rsidR="00C07E0A">
              <w:t>/Cross-Respondent</w:t>
            </w:r>
            <w:r>
              <w:t>:</w:t>
            </w:r>
          </w:p>
        </w:tc>
        <w:tc>
          <w:tcPr>
            <w:tcW w:w="5989" w:type="dxa"/>
            <w:shd w:val="clear" w:color="auto" w:fill="auto"/>
          </w:tcPr>
          <w:p w:rsidR="00A07F76" w:rsidRDefault="00FF6132" w:rsidP="00A07F76">
            <w:pPr>
              <w:pStyle w:val="Normal1linespace"/>
              <w:widowControl w:val="0"/>
              <w:jc w:val="left"/>
            </w:pPr>
            <w:bookmarkStart w:id="8" w:name="AppCounsel"/>
            <w:bookmarkEnd w:id="8"/>
            <w:r>
              <w:t>Mr S Stuckey QC and Mr A Sykes</w:t>
            </w:r>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r>
              <w:t>Solicitor for the Applicant</w:t>
            </w:r>
            <w:r w:rsidR="00C07E0A">
              <w:t>/Cross-Respondent</w:t>
            </w:r>
            <w:r>
              <w:t>:</w:t>
            </w:r>
          </w:p>
        </w:tc>
        <w:tc>
          <w:tcPr>
            <w:tcW w:w="5989" w:type="dxa"/>
            <w:shd w:val="clear" w:color="auto" w:fill="auto"/>
          </w:tcPr>
          <w:p w:rsidR="00A07F76" w:rsidRDefault="00FF6132" w:rsidP="00A07F76">
            <w:pPr>
              <w:pStyle w:val="Normal1linespace"/>
              <w:widowControl w:val="0"/>
              <w:jc w:val="left"/>
            </w:pPr>
            <w:r>
              <w:t>Actuate Legal</w:t>
            </w:r>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r>
              <w:lastRenderedPageBreak/>
              <w:t>Counsel for the Respondents</w:t>
            </w:r>
            <w:r w:rsidR="00C07E0A">
              <w:t>/Cross-Claimant</w:t>
            </w:r>
            <w:r>
              <w:t>:</w:t>
            </w:r>
          </w:p>
        </w:tc>
        <w:tc>
          <w:tcPr>
            <w:tcW w:w="5989" w:type="dxa"/>
            <w:shd w:val="clear" w:color="auto" w:fill="auto"/>
          </w:tcPr>
          <w:p w:rsidR="00A07F76" w:rsidRDefault="00FF6132" w:rsidP="00A07F76">
            <w:pPr>
              <w:pStyle w:val="Normal1linespace"/>
              <w:widowControl w:val="0"/>
              <w:jc w:val="left"/>
            </w:pPr>
            <w:r>
              <w:t>Mr N Murray SC and Ms F St John</w:t>
            </w:r>
          </w:p>
        </w:tc>
      </w:tr>
      <w:tr w:rsidR="00A07F76" w:rsidTr="00A07F76">
        <w:tc>
          <w:tcPr>
            <w:tcW w:w="3085" w:type="dxa"/>
            <w:shd w:val="clear" w:color="auto" w:fill="auto"/>
          </w:tcPr>
          <w:p w:rsidR="00A07F76" w:rsidRDefault="00A07F76" w:rsidP="00A07F76">
            <w:pPr>
              <w:pStyle w:val="Normal1linespace"/>
              <w:widowControl w:val="0"/>
              <w:jc w:val="left"/>
            </w:pPr>
          </w:p>
        </w:tc>
        <w:tc>
          <w:tcPr>
            <w:tcW w:w="5989" w:type="dxa"/>
            <w:shd w:val="clear" w:color="auto" w:fill="auto"/>
          </w:tcPr>
          <w:p w:rsidR="00A07F76" w:rsidRDefault="00A07F76" w:rsidP="00A07F76">
            <w:pPr>
              <w:pStyle w:val="Normal1linespace"/>
              <w:widowControl w:val="0"/>
              <w:jc w:val="left"/>
            </w:pPr>
          </w:p>
        </w:tc>
      </w:tr>
      <w:tr w:rsidR="00A07F76" w:rsidTr="00A07F76">
        <w:tc>
          <w:tcPr>
            <w:tcW w:w="3085" w:type="dxa"/>
            <w:shd w:val="clear" w:color="auto" w:fill="auto"/>
          </w:tcPr>
          <w:p w:rsidR="00A07F76" w:rsidRDefault="00A07F76" w:rsidP="00A07F76">
            <w:pPr>
              <w:pStyle w:val="Normal1linespace"/>
              <w:widowControl w:val="0"/>
              <w:jc w:val="left"/>
            </w:pPr>
            <w:r>
              <w:t>Solicitor for the Respondents</w:t>
            </w:r>
            <w:r w:rsidR="00C07E0A">
              <w:t>/Cross-Claimant</w:t>
            </w:r>
            <w:r>
              <w:t>:</w:t>
            </w:r>
          </w:p>
        </w:tc>
        <w:tc>
          <w:tcPr>
            <w:tcW w:w="5989" w:type="dxa"/>
            <w:shd w:val="clear" w:color="auto" w:fill="auto"/>
          </w:tcPr>
          <w:p w:rsidR="00A07F76" w:rsidRDefault="00FF6132" w:rsidP="00A07F76">
            <w:pPr>
              <w:pStyle w:val="Normal1linespace"/>
              <w:widowControl w:val="0"/>
              <w:jc w:val="left"/>
            </w:pPr>
            <w:r>
              <w:t>Corrs Chambers Westgarth</w:t>
            </w:r>
          </w:p>
        </w:tc>
      </w:tr>
      <w:bookmarkEnd w:id="7"/>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A4A4D" w:rsidP="00F92355">
            <w:pPr>
              <w:pStyle w:val="NormalHeadings"/>
              <w:jc w:val="right"/>
            </w:pPr>
            <w:bookmarkStart w:id="9" w:name="FileNo"/>
            <w:r>
              <w:t>VID 794 of 2016</w:t>
            </w:r>
            <w:bookmarkEnd w:id="9"/>
          </w:p>
        </w:tc>
      </w:tr>
      <w:tr w:rsidR="00A76C13" w:rsidTr="00A51D6C">
        <w:tc>
          <w:tcPr>
            <w:tcW w:w="9242" w:type="dxa"/>
            <w:gridSpan w:val="3"/>
          </w:tcPr>
          <w:p w:rsidR="00A76C13" w:rsidRPr="00A76C13" w:rsidRDefault="007A4A4D" w:rsidP="007A4A4D">
            <w:pPr>
              <w:pStyle w:val="NormalHeadings"/>
              <w:jc w:val="left"/>
            </w:pPr>
            <w:bookmarkStart w:id="10" w:name="InTheMatterOf"/>
            <w:r>
              <w:t xml:space="preserve"> </w:t>
            </w:r>
            <w:bookmarkEnd w:id="10"/>
          </w:p>
        </w:tc>
      </w:tr>
      <w:tr w:rsidR="00A46CCC" w:rsidTr="00A51D6C">
        <w:trPr>
          <w:trHeight w:val="386"/>
        </w:trPr>
        <w:tc>
          <w:tcPr>
            <w:tcW w:w="2376" w:type="dxa"/>
          </w:tcPr>
          <w:p w:rsidR="00A46CCC" w:rsidRDefault="00A46CCC" w:rsidP="00A51D6C">
            <w:pPr>
              <w:pStyle w:val="NormalHeadings"/>
              <w:jc w:val="left"/>
              <w:rPr>
                <w:caps/>
                <w:szCs w:val="24"/>
              </w:rPr>
            </w:pPr>
            <w:bookmarkStart w:id="11" w:name="Parties"/>
            <w:r>
              <w:rPr>
                <w:caps/>
                <w:szCs w:val="24"/>
              </w:rPr>
              <w:t>BETWEEN:</w:t>
            </w:r>
          </w:p>
        </w:tc>
        <w:tc>
          <w:tcPr>
            <w:tcW w:w="6866" w:type="dxa"/>
            <w:gridSpan w:val="2"/>
          </w:tcPr>
          <w:p w:rsidR="007A4A4D" w:rsidRDefault="007A4A4D" w:rsidP="007A4A4D">
            <w:pPr>
              <w:pStyle w:val="NormalHeadings"/>
              <w:jc w:val="left"/>
            </w:pPr>
            <w:bookmarkStart w:id="12" w:name="Applicant"/>
            <w:r>
              <w:t>PINNACLE RUNWAY PTY LTD</w:t>
            </w:r>
          </w:p>
          <w:p w:rsidR="007A4A4D" w:rsidRDefault="007A4A4D" w:rsidP="007A4A4D">
            <w:pPr>
              <w:pStyle w:val="PartyType"/>
            </w:pPr>
            <w:r>
              <w:t>Applicant</w:t>
            </w:r>
          </w:p>
          <w:bookmarkEnd w:id="12"/>
          <w:p w:rsidR="00A46CCC" w:rsidRPr="006555B4" w:rsidRDefault="00A46CCC" w:rsidP="00A51D6C">
            <w:pPr>
              <w:pStyle w:val="NormalHeadings"/>
              <w:jc w:val="left"/>
            </w:pPr>
          </w:p>
        </w:tc>
      </w:tr>
      <w:tr w:rsidR="00A46CCC" w:rsidTr="00A51D6C">
        <w:trPr>
          <w:trHeight w:val="386"/>
        </w:trPr>
        <w:tc>
          <w:tcPr>
            <w:tcW w:w="2376" w:type="dxa"/>
          </w:tcPr>
          <w:p w:rsidR="00A46CCC" w:rsidRDefault="00A46CCC" w:rsidP="00A51D6C">
            <w:pPr>
              <w:pStyle w:val="NormalHeadings"/>
              <w:jc w:val="left"/>
              <w:rPr>
                <w:caps/>
                <w:szCs w:val="24"/>
              </w:rPr>
            </w:pPr>
            <w:r>
              <w:rPr>
                <w:caps/>
                <w:szCs w:val="24"/>
              </w:rPr>
              <w:t>AND:</w:t>
            </w:r>
          </w:p>
        </w:tc>
        <w:tc>
          <w:tcPr>
            <w:tcW w:w="6866" w:type="dxa"/>
            <w:gridSpan w:val="2"/>
          </w:tcPr>
          <w:p w:rsidR="007A4A4D" w:rsidRDefault="007A4A4D" w:rsidP="007A4A4D">
            <w:pPr>
              <w:pStyle w:val="NormalHeadings"/>
              <w:jc w:val="left"/>
            </w:pPr>
            <w:bookmarkStart w:id="13" w:name="Respondent"/>
            <w:r>
              <w:t>TRIANGL LIMITED</w:t>
            </w:r>
          </w:p>
          <w:p w:rsidR="007A4A4D" w:rsidRDefault="007A4A4D" w:rsidP="007A4A4D">
            <w:pPr>
              <w:pStyle w:val="PartyType"/>
            </w:pPr>
            <w:r>
              <w:t>First Respondent</w:t>
            </w:r>
          </w:p>
          <w:p w:rsidR="007A4A4D" w:rsidRDefault="007A4A4D" w:rsidP="00A51D6C">
            <w:pPr>
              <w:pStyle w:val="NormalHeadings"/>
              <w:jc w:val="left"/>
            </w:pPr>
          </w:p>
          <w:p w:rsidR="007A4A4D" w:rsidRDefault="007A4A4D" w:rsidP="007A4A4D">
            <w:pPr>
              <w:pStyle w:val="NormalHeadings"/>
              <w:jc w:val="left"/>
            </w:pPr>
            <w:r>
              <w:t>TRIANGL GROUP LIMITED</w:t>
            </w:r>
          </w:p>
          <w:p w:rsidR="007A4A4D" w:rsidRDefault="007A4A4D" w:rsidP="007A4A4D">
            <w:pPr>
              <w:pStyle w:val="PartyType"/>
            </w:pPr>
            <w:r>
              <w:t>Second Respondent</w:t>
            </w:r>
          </w:p>
          <w:bookmarkEnd w:id="13"/>
          <w:p w:rsidR="00A46CCC" w:rsidRPr="006555B4" w:rsidRDefault="00A46CCC" w:rsidP="00A51D6C">
            <w:pPr>
              <w:pStyle w:val="NormalHeadings"/>
              <w:jc w:val="left"/>
            </w:pPr>
          </w:p>
        </w:tc>
      </w:tr>
      <w:tr w:rsidR="001B3C13" w:rsidTr="001B3C13">
        <w:trPr>
          <w:trHeight w:val="300"/>
        </w:trPr>
        <w:tc>
          <w:tcPr>
            <w:tcW w:w="2376" w:type="dxa"/>
          </w:tcPr>
          <w:p w:rsidR="001B3C13" w:rsidRDefault="001B3C13">
            <w:pPr>
              <w:pStyle w:val="NormalHeadings"/>
              <w:jc w:val="left"/>
              <w:rPr>
                <w:caps/>
                <w:szCs w:val="24"/>
              </w:rPr>
            </w:pPr>
            <w:bookmarkStart w:id="14" w:name="CrossClaimPosition"/>
            <w:bookmarkEnd w:id="11"/>
            <w:bookmarkEnd w:id="14"/>
          </w:p>
        </w:tc>
        <w:tc>
          <w:tcPr>
            <w:tcW w:w="6866" w:type="dxa"/>
            <w:gridSpan w:val="2"/>
          </w:tcPr>
          <w:p w:rsidR="001B3C13" w:rsidRDefault="001B3C13">
            <w:pPr>
              <w:pStyle w:val="NormalHeadings"/>
              <w:jc w:val="left"/>
              <w:rPr>
                <w:szCs w:val="24"/>
              </w:rPr>
            </w:pPr>
          </w:p>
        </w:tc>
      </w:tr>
      <w:tr w:rsidR="001B3C13">
        <w:trPr>
          <w:trHeight w:val="386"/>
        </w:trPr>
        <w:tc>
          <w:tcPr>
            <w:tcW w:w="2376" w:type="dxa"/>
          </w:tcPr>
          <w:p w:rsidR="001B3C13" w:rsidRDefault="001B3C13">
            <w:pPr>
              <w:pStyle w:val="NormalHeadings"/>
              <w:jc w:val="left"/>
              <w:rPr>
                <w:caps/>
                <w:szCs w:val="24"/>
              </w:rPr>
            </w:pPr>
            <w:r>
              <w:rPr>
                <w:caps/>
                <w:szCs w:val="24"/>
              </w:rPr>
              <w:t>AND BETWEEN:</w:t>
            </w:r>
          </w:p>
        </w:tc>
        <w:tc>
          <w:tcPr>
            <w:tcW w:w="6866" w:type="dxa"/>
            <w:gridSpan w:val="2"/>
          </w:tcPr>
          <w:p w:rsidR="007A4A4D" w:rsidRDefault="007A4A4D" w:rsidP="007A4A4D">
            <w:pPr>
              <w:pStyle w:val="NormalHeadings"/>
              <w:jc w:val="left"/>
            </w:pPr>
            <w:bookmarkStart w:id="15" w:name="Cross_Applicant"/>
            <w:r>
              <w:t>TRIANGL GROUP LIMITED</w:t>
            </w:r>
          </w:p>
          <w:p w:rsidR="007A4A4D" w:rsidRDefault="007A4A4D" w:rsidP="007A4A4D">
            <w:pPr>
              <w:pStyle w:val="PartyType"/>
            </w:pPr>
            <w:r>
              <w:t>Cross-Claimant</w:t>
            </w:r>
          </w:p>
          <w:bookmarkEnd w:id="15"/>
          <w:p w:rsidR="001B3C13" w:rsidRDefault="001B3C13">
            <w:pPr>
              <w:pStyle w:val="NormalHeadings"/>
              <w:jc w:val="left"/>
              <w:rPr>
                <w:szCs w:val="24"/>
              </w:rPr>
            </w:pPr>
          </w:p>
        </w:tc>
      </w:tr>
      <w:tr w:rsidR="001B3C13">
        <w:trPr>
          <w:trHeight w:val="386"/>
        </w:trPr>
        <w:tc>
          <w:tcPr>
            <w:tcW w:w="2376" w:type="dxa"/>
          </w:tcPr>
          <w:p w:rsidR="001B3C13" w:rsidRDefault="001B3C13">
            <w:pPr>
              <w:pStyle w:val="NormalHeadings"/>
              <w:jc w:val="left"/>
              <w:rPr>
                <w:caps/>
                <w:szCs w:val="24"/>
              </w:rPr>
            </w:pPr>
            <w:r>
              <w:rPr>
                <w:caps/>
                <w:szCs w:val="24"/>
              </w:rPr>
              <w:t>AND:</w:t>
            </w:r>
          </w:p>
        </w:tc>
        <w:tc>
          <w:tcPr>
            <w:tcW w:w="6866" w:type="dxa"/>
            <w:gridSpan w:val="2"/>
          </w:tcPr>
          <w:p w:rsidR="007A4A4D" w:rsidRDefault="007A4A4D" w:rsidP="007A4A4D">
            <w:pPr>
              <w:pStyle w:val="NormalHeadings"/>
              <w:jc w:val="left"/>
            </w:pPr>
            <w:bookmarkStart w:id="16" w:name="Cross_Respondent"/>
            <w:r>
              <w:t>PINNACLE RUNWAY PTY LTD</w:t>
            </w:r>
          </w:p>
          <w:p w:rsidR="007A4A4D" w:rsidRDefault="007A4A4D" w:rsidP="007A4A4D">
            <w:pPr>
              <w:pStyle w:val="PartyType"/>
            </w:pPr>
            <w:r>
              <w:t>Cross-Respondent</w:t>
            </w:r>
          </w:p>
          <w:bookmarkEnd w:id="16"/>
          <w:p w:rsidR="001B3C13" w:rsidRDefault="001B3C13">
            <w:pPr>
              <w:pStyle w:val="NormalHeadings"/>
              <w:jc w:val="left"/>
              <w:rPr>
                <w:szCs w:val="24"/>
              </w:rPr>
            </w:pPr>
          </w:p>
        </w:tc>
      </w:tr>
    </w:tbl>
    <w:p w:rsidR="00395B24" w:rsidRDefault="00395B24">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A4A4D">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7A4A4D">
            <w:pPr>
              <w:pStyle w:val="NormalHeadings"/>
              <w:jc w:val="left"/>
              <w:rPr>
                <w:caps/>
                <w:szCs w:val="24"/>
              </w:rPr>
            </w:pPr>
            <w:bookmarkStart w:id="18" w:name="Judge"/>
            <w:r>
              <w:rPr>
                <w:caps/>
                <w:szCs w:val="24"/>
              </w:rPr>
              <w:t>MURPHY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24C1D" w:rsidP="00BA4682">
            <w:pPr>
              <w:pStyle w:val="NormalHeadings"/>
              <w:jc w:val="left"/>
              <w:rPr>
                <w:caps/>
                <w:szCs w:val="24"/>
              </w:rPr>
            </w:pPr>
            <w:bookmarkStart w:id="19" w:name="Judgment_Dated"/>
            <w:r>
              <w:rPr>
                <w:caps/>
                <w:szCs w:val="24"/>
              </w:rPr>
              <w:t xml:space="preserve">10 </w:t>
            </w:r>
            <w:r w:rsidR="0006621D" w:rsidRPr="00C07E0A">
              <w:rPr>
                <w:caps/>
                <w:szCs w:val="24"/>
              </w:rPr>
              <w:t xml:space="preserve">October </w:t>
            </w:r>
            <w:r w:rsidR="007A4A4D" w:rsidRPr="00C07E0A">
              <w:rPr>
                <w:caps/>
                <w:szCs w:val="24"/>
              </w:rPr>
              <w:t>2019</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6C259F" w:rsidP="00274F5B">
      <w:pPr>
        <w:pStyle w:val="Order1"/>
      </w:pPr>
      <w:bookmarkStart w:id="20" w:name="Order_Start_Text"/>
      <w:bookmarkEnd w:id="20"/>
      <w:r>
        <w:t>The application be dismissed.</w:t>
      </w:r>
    </w:p>
    <w:p w:rsidR="006C259F" w:rsidRDefault="006C259F" w:rsidP="00274F5B">
      <w:pPr>
        <w:pStyle w:val="Order1"/>
      </w:pPr>
      <w:r>
        <w:t>The cross</w:t>
      </w:r>
      <w:r w:rsidR="00A93046">
        <w:t>-claim be dismissed.</w:t>
      </w:r>
    </w:p>
    <w:p w:rsidR="00A93046" w:rsidRDefault="00A93046" w:rsidP="00A93046">
      <w:pPr>
        <w:pStyle w:val="Order1"/>
      </w:pPr>
      <w:r>
        <w:t>The parties file and serve submissions on the question of costs within 21 days, and file and serve any submissions in reply within seven days thereafter.</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BC7CA2" w:rsidRDefault="00BC7CA2" w:rsidP="00BC7CA2">
      <w:pPr>
        <w:pStyle w:val="BodyText"/>
      </w:pPr>
    </w:p>
    <w:p w:rsidR="00BC7CA2" w:rsidRDefault="00BC7CA2" w:rsidP="00BC7CA2">
      <w:pPr>
        <w:pStyle w:val="BodyText"/>
      </w:pPr>
    </w:p>
    <w:p w:rsidR="00BC7CA2" w:rsidRDefault="00BC7CA2" w:rsidP="002B0E91">
      <w:pPr>
        <w:pStyle w:val="BodyText"/>
        <w:sectPr w:rsidR="00BC7CA2">
          <w:headerReference w:type="even" r:id="rId8"/>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start="1"/>
          <w:cols w:space="720"/>
          <w:noEndnote/>
          <w:titlePg/>
        </w:sectPr>
      </w:pPr>
    </w:p>
    <w:p w:rsidR="00395B24" w:rsidRDefault="00484F6D" w:rsidP="00A77E1F">
      <w:pPr>
        <w:pStyle w:val="NormalHeadings"/>
        <w:spacing w:before="240" w:after="120"/>
        <w:jc w:val="center"/>
        <w:rPr>
          <w:b w:val="0"/>
        </w:rPr>
      </w:pPr>
      <w:bookmarkStart w:id="21" w:name="ReasonsPage"/>
      <w:bookmarkEnd w:id="21"/>
      <w:r w:rsidRPr="00045BB7">
        <w:rPr>
          <w:sz w:val="28"/>
          <w:szCs w:val="28"/>
        </w:rPr>
        <w:lastRenderedPageBreak/>
        <w:t>REASONS FOR JUDGMENT</w:t>
      </w:r>
    </w:p>
    <w:p w:rsidR="00395B24" w:rsidRDefault="001B3C13" w:rsidP="005E0510">
      <w:pPr>
        <w:pStyle w:val="NormalHeadings"/>
        <w:spacing w:line="360" w:lineRule="auto"/>
        <w:jc w:val="left"/>
        <w:rPr>
          <w:sz w:val="26"/>
          <w:szCs w:val="26"/>
        </w:rPr>
      </w:pPr>
      <w:r>
        <w:rPr>
          <w:sz w:val="26"/>
          <w:szCs w:val="26"/>
        </w:rPr>
        <w:t>MURPHY J</w:t>
      </w:r>
      <w:r w:rsidR="00484F6D" w:rsidRPr="00EA03CE">
        <w:rPr>
          <w:sz w:val="26"/>
          <w:szCs w:val="26"/>
        </w:rPr>
        <w:t>:</w:t>
      </w:r>
    </w:p>
    <w:p w:rsidR="00A53FAF" w:rsidRPr="00EA03CE" w:rsidRDefault="00826061" w:rsidP="00A53FAF">
      <w:pPr>
        <w:pStyle w:val="Heading1"/>
      </w:pPr>
      <w:r>
        <w:t>I</w:t>
      </w:r>
      <w:r w:rsidR="00A53FAF">
        <w:t>ntroduction</w:t>
      </w:r>
    </w:p>
    <w:p w:rsidR="007D346B" w:rsidRDefault="00477117" w:rsidP="00027952">
      <w:pPr>
        <w:pStyle w:val="ParaNumbering"/>
        <w:tabs>
          <w:tab w:val="num" w:pos="720"/>
        </w:tabs>
        <w:ind w:left="0"/>
      </w:pPr>
      <w:r>
        <w:t>Th</w:t>
      </w:r>
      <w:r w:rsidR="00C23310">
        <w:t>ese</w:t>
      </w:r>
      <w:r w:rsidR="00707577">
        <w:t xml:space="preserve"> </w:t>
      </w:r>
      <w:r w:rsidR="00C23310">
        <w:t>are</w:t>
      </w:r>
      <w:r w:rsidR="00707577">
        <w:t xml:space="preserve"> </w:t>
      </w:r>
      <w:r w:rsidR="0006621D">
        <w:t>ill–advised proceeding</w:t>
      </w:r>
      <w:r w:rsidR="00C23310">
        <w:t>s</w:t>
      </w:r>
      <w:r w:rsidR="0006621D">
        <w:t xml:space="preserve"> </w:t>
      </w:r>
      <w:r w:rsidR="000B2230">
        <w:t xml:space="preserve">in respect of </w:t>
      </w:r>
      <w:r w:rsidR="00F35F69">
        <w:t xml:space="preserve">alleged trade mark infringement </w:t>
      </w:r>
      <w:r>
        <w:t>and cancellation of a trade mark</w:t>
      </w:r>
      <w:r w:rsidR="00707577">
        <w:t>,</w:t>
      </w:r>
      <w:r>
        <w:t xml:space="preserve"> </w:t>
      </w:r>
      <w:r w:rsidR="003C5388">
        <w:t xml:space="preserve">and there </w:t>
      </w:r>
      <w:r w:rsidR="00A81433">
        <w:t xml:space="preserve">is no </w:t>
      </w:r>
      <w:r w:rsidR="00C23310">
        <w:t xml:space="preserve">clear </w:t>
      </w:r>
      <w:r w:rsidR="00A81433">
        <w:t>winner</w:t>
      </w:r>
      <w:r w:rsidR="00DD3F37">
        <w:t>.</w:t>
      </w:r>
      <w:r w:rsidR="003C5388">
        <w:t xml:space="preserve">  </w:t>
      </w:r>
      <w:r w:rsidR="00E32F25">
        <w:t>T</w:t>
      </w:r>
      <w:r w:rsidR="00371F34">
        <w:t>he applicant</w:t>
      </w:r>
      <w:r w:rsidR="00C23310">
        <w:t xml:space="preserve"> and cross-respondent</w:t>
      </w:r>
      <w:r w:rsidR="00371F34">
        <w:t>, Pinnacle Runway Pty Ltd (</w:t>
      </w:r>
      <w:r w:rsidR="00371F34" w:rsidRPr="000B4C65">
        <w:rPr>
          <w:b/>
        </w:rPr>
        <w:t>Pinnacle</w:t>
      </w:r>
      <w:r w:rsidR="00371F34">
        <w:t xml:space="preserve">), </w:t>
      </w:r>
      <w:r w:rsidR="0006621D">
        <w:t>designs, manufactures, supplies and sells women’s clothing in Australia and overseas under the registered trade mark, DELPHINE (the</w:t>
      </w:r>
      <w:r w:rsidR="0006621D" w:rsidRPr="00C302A1">
        <w:t xml:space="preserve"> </w:t>
      </w:r>
      <w:r w:rsidR="0006621D" w:rsidRPr="00C302A1">
        <w:rPr>
          <w:b/>
        </w:rPr>
        <w:t>DELPHINE Trade Mark</w:t>
      </w:r>
      <w:r w:rsidR="0006621D">
        <w:t>).</w:t>
      </w:r>
      <w:r w:rsidR="00FB304C">
        <w:t xml:space="preserve"> </w:t>
      </w:r>
      <w:r w:rsidR="007F6D47">
        <w:t xml:space="preserve"> It alleged but failed to establish that Triangl infringed its registered mark.  </w:t>
      </w:r>
      <w:r w:rsidR="00067766">
        <w:t>The second respondent</w:t>
      </w:r>
      <w:r w:rsidR="00C23310">
        <w:t xml:space="preserve"> and cross-claimant</w:t>
      </w:r>
      <w:r w:rsidR="00067766">
        <w:t xml:space="preserve">, </w:t>
      </w:r>
      <w:r w:rsidR="00067766" w:rsidRPr="001B3C13">
        <w:t>Triangl Group Limited</w:t>
      </w:r>
      <w:r w:rsidR="00067766">
        <w:t xml:space="preserve"> (</w:t>
      </w:r>
      <w:r w:rsidR="00067766" w:rsidRPr="000B4C65">
        <w:rPr>
          <w:b/>
        </w:rPr>
        <w:t>Triangl</w:t>
      </w:r>
      <w:r w:rsidR="00067766">
        <w:t>)</w:t>
      </w:r>
      <w:r w:rsidR="0006621D" w:rsidRPr="001B3C13">
        <w:t xml:space="preserve"> </w:t>
      </w:r>
      <w:r w:rsidR="0006621D">
        <w:t>designs, manufactures, supplies and sells women’s swimwear in Australia and around the world under the registered trade mark, TRIANGL (the</w:t>
      </w:r>
      <w:r w:rsidR="0006621D" w:rsidRPr="00C302A1">
        <w:t xml:space="preserve"> </w:t>
      </w:r>
      <w:r w:rsidR="0006621D" w:rsidRPr="00C302A1">
        <w:rPr>
          <w:b/>
        </w:rPr>
        <w:t>TRIANGL Trade Mark</w:t>
      </w:r>
      <w:r w:rsidR="0006621D">
        <w:t>).</w:t>
      </w:r>
      <w:r w:rsidR="007F6D47">
        <w:t xml:space="preserve"> </w:t>
      </w:r>
      <w:r w:rsidR="00FB304C">
        <w:t xml:space="preserve"> </w:t>
      </w:r>
      <w:r w:rsidR="007F6D47">
        <w:t xml:space="preserve">It alleged but failed to </w:t>
      </w:r>
      <w:r w:rsidR="00E32F25">
        <w:t xml:space="preserve">establish </w:t>
      </w:r>
      <w:r w:rsidR="00027952">
        <w:t>that Pinnacle</w:t>
      </w:r>
      <w:r w:rsidR="00A37DC6">
        <w:t xml:space="preserve">’s registration of </w:t>
      </w:r>
      <w:r w:rsidR="00067766">
        <w:t xml:space="preserve">the DELPHINE </w:t>
      </w:r>
      <w:r w:rsidR="00E74FDA">
        <w:t>Trade M</w:t>
      </w:r>
      <w:r w:rsidR="00A37DC6">
        <w:t xml:space="preserve">ark should be cancelled on the basis that </w:t>
      </w:r>
      <w:r>
        <w:t xml:space="preserve">Pinnacle </w:t>
      </w:r>
      <w:r w:rsidR="00A37DC6">
        <w:t>was not the first to use it</w:t>
      </w:r>
      <w:r w:rsidR="00BC7CA2">
        <w:t>.</w:t>
      </w:r>
    </w:p>
    <w:p w:rsidR="00D64DB8" w:rsidRDefault="00DF2C75" w:rsidP="00027952">
      <w:pPr>
        <w:pStyle w:val="ParaNumbering"/>
        <w:tabs>
          <w:tab w:val="num" w:pos="720"/>
        </w:tabs>
        <w:ind w:left="0"/>
      </w:pPr>
      <w:r>
        <w:t xml:space="preserve">Even if Pinnacle had been successful in </w:t>
      </w:r>
      <w:r w:rsidR="00BA25C2">
        <w:t xml:space="preserve">its </w:t>
      </w:r>
      <w:r>
        <w:t>claim</w:t>
      </w:r>
      <w:r w:rsidR="00AF3919">
        <w:t>,</w:t>
      </w:r>
      <w:r w:rsidR="00766631">
        <w:t xml:space="preserve"> </w:t>
      </w:r>
      <w:r w:rsidR="008D160A">
        <w:t xml:space="preserve">its </w:t>
      </w:r>
      <w:r w:rsidR="00BA25C2">
        <w:t>damages</w:t>
      </w:r>
      <w:r w:rsidR="008D160A">
        <w:t xml:space="preserve"> entitlements were not </w:t>
      </w:r>
      <w:r w:rsidR="0006621D">
        <w:t>worth the powder and shot</w:t>
      </w:r>
      <w:r>
        <w:t xml:space="preserve">. </w:t>
      </w:r>
      <w:r w:rsidR="00981409">
        <w:t xml:space="preserve"> </w:t>
      </w:r>
      <w:r>
        <w:t>T</w:t>
      </w:r>
      <w:r w:rsidR="0066567D">
        <w:t xml:space="preserve">he period of </w:t>
      </w:r>
      <w:r w:rsidR="00AF3919">
        <w:t xml:space="preserve">alleged trade mark infringement </w:t>
      </w:r>
      <w:r w:rsidR="00BA25C2">
        <w:t>was</w:t>
      </w:r>
      <w:r>
        <w:t xml:space="preserve"> </w:t>
      </w:r>
      <w:r w:rsidR="0028102D">
        <w:t xml:space="preserve">six weeks from 24 April 2016 to 2 June 2016 (the </w:t>
      </w:r>
      <w:r w:rsidR="0028102D" w:rsidRPr="0028102D">
        <w:rPr>
          <w:b/>
        </w:rPr>
        <w:t>relevant period</w:t>
      </w:r>
      <w:r w:rsidR="0028102D">
        <w:t>)</w:t>
      </w:r>
      <w:r w:rsidR="0066567D">
        <w:t xml:space="preserve">, </w:t>
      </w:r>
      <w:r w:rsidR="0006621D">
        <w:t>the alleged infringing use ceased within three weeks of Pinnacle’s letter of demand, and Triangl agreed to desist from the alleged</w:t>
      </w:r>
      <w:r w:rsidR="00707577">
        <w:t>ly</w:t>
      </w:r>
      <w:r w:rsidR="0006621D">
        <w:t xml:space="preserve"> infringing use before the proceeding was filed. </w:t>
      </w:r>
      <w:r w:rsidR="00AF3919">
        <w:t xml:space="preserve"> </w:t>
      </w:r>
      <w:r w:rsidR="0006621D">
        <w:t>T</w:t>
      </w:r>
      <w:r w:rsidR="00BA25C2">
        <w:t>he total revenue</w:t>
      </w:r>
      <w:r w:rsidR="0006621D">
        <w:t xml:space="preserve"> Triangl </w:t>
      </w:r>
      <w:r w:rsidR="00E56ECB">
        <w:t xml:space="preserve">made </w:t>
      </w:r>
      <w:r w:rsidR="008D160A">
        <w:t>through</w:t>
      </w:r>
      <w:r w:rsidR="00E56ECB">
        <w:t xml:space="preserve"> the alleged </w:t>
      </w:r>
      <w:r w:rsidR="008D160A">
        <w:t xml:space="preserve">infringing conduct </w:t>
      </w:r>
      <w:r w:rsidR="00BA25C2">
        <w:t>was less than $40,000</w:t>
      </w:r>
      <w:r w:rsidR="00477117">
        <w:t>, and</w:t>
      </w:r>
      <w:r w:rsidR="00E56ECB">
        <w:t xml:space="preserve"> </w:t>
      </w:r>
      <w:r w:rsidR="00BA25C2">
        <w:t>Pinnacle</w:t>
      </w:r>
      <w:r w:rsidR="0006621D">
        <w:t xml:space="preserve"> was unable to establish that it</w:t>
      </w:r>
      <w:r w:rsidR="00E56ECB">
        <w:t xml:space="preserve"> had</w:t>
      </w:r>
      <w:r w:rsidR="0006621D">
        <w:t xml:space="preserve"> </w:t>
      </w:r>
      <w:r w:rsidR="00BA25C2">
        <w:t xml:space="preserve">lost </w:t>
      </w:r>
      <w:r w:rsidR="0006621D">
        <w:t xml:space="preserve">any </w:t>
      </w:r>
      <w:r w:rsidR="00BA25C2">
        <w:t>sales</w:t>
      </w:r>
      <w:r w:rsidR="009C1798">
        <w:t xml:space="preserve">. </w:t>
      </w:r>
      <w:r w:rsidR="007F6D47">
        <w:t xml:space="preserve">Pinnacle was also a young brand at the time, having been operating for less than a year. Its reputation at that stage was only budding and any entitlement it had to damages for diminution of reputation were </w:t>
      </w:r>
      <w:r w:rsidR="007F6D47" w:rsidRPr="008E0AE9">
        <w:rPr>
          <w:i/>
        </w:rPr>
        <w:t>de mimimis</w:t>
      </w:r>
      <w:r w:rsidR="007F6D47">
        <w:t xml:space="preserve">. </w:t>
      </w:r>
      <w:r>
        <w:t xml:space="preserve">Pinnacle </w:t>
      </w:r>
      <w:r w:rsidR="00D64DB8">
        <w:t xml:space="preserve">spent </w:t>
      </w:r>
      <w:r w:rsidR="00671901">
        <w:t xml:space="preserve">many times </w:t>
      </w:r>
      <w:r w:rsidR="00D64DB8">
        <w:t xml:space="preserve">more in legal costs </w:t>
      </w:r>
      <w:r>
        <w:t xml:space="preserve">in bringing the claim </w:t>
      </w:r>
      <w:r w:rsidR="00D64DB8">
        <w:t xml:space="preserve">than </w:t>
      </w:r>
      <w:r>
        <w:t xml:space="preserve">it </w:t>
      </w:r>
      <w:r w:rsidR="00D64DB8">
        <w:t xml:space="preserve">could ever </w:t>
      </w:r>
      <w:r w:rsidR="007D346B">
        <w:t>have</w:t>
      </w:r>
      <w:r w:rsidR="0028102D">
        <w:t xml:space="preserve"> reasonably </w:t>
      </w:r>
      <w:r w:rsidR="00D64DB8">
        <w:t>hope</w:t>
      </w:r>
      <w:r w:rsidR="007D346B">
        <w:t>d</w:t>
      </w:r>
      <w:r w:rsidR="00D64DB8">
        <w:t xml:space="preserve"> to recover by way of </w:t>
      </w:r>
      <w:r>
        <w:t>damages</w:t>
      </w:r>
      <w:r w:rsidR="00067766">
        <w:t>.</w:t>
      </w:r>
      <w:r w:rsidR="00671901">
        <w:t xml:space="preserve"> </w:t>
      </w:r>
      <w:r w:rsidR="00AF3919">
        <w:t xml:space="preserve"> </w:t>
      </w:r>
      <w:r>
        <w:t xml:space="preserve">Triangl spent </w:t>
      </w:r>
      <w:r w:rsidR="00671901">
        <w:t xml:space="preserve">many times </w:t>
      </w:r>
      <w:r>
        <w:t xml:space="preserve">more </w:t>
      </w:r>
      <w:r w:rsidR="00A37DC6">
        <w:t xml:space="preserve">defending the claim and </w:t>
      </w:r>
      <w:r w:rsidR="00671901">
        <w:t>bringing</w:t>
      </w:r>
      <w:r w:rsidR="00A37DC6">
        <w:t xml:space="preserve"> </w:t>
      </w:r>
      <w:r>
        <w:t>the cross</w:t>
      </w:r>
      <w:r w:rsidR="008118D9">
        <w:t>-</w:t>
      </w:r>
      <w:r>
        <w:t xml:space="preserve">claim than it could </w:t>
      </w:r>
      <w:r w:rsidR="00981409">
        <w:t xml:space="preserve">have </w:t>
      </w:r>
      <w:r>
        <w:t>possibly been required to pay in damages</w:t>
      </w:r>
      <w:r w:rsidR="00D64DB8">
        <w:t>.</w:t>
      </w:r>
      <w:r w:rsidR="0006621D">
        <w:t xml:space="preserve">  This unfortunate litigation</w:t>
      </w:r>
      <w:r w:rsidR="00F02192">
        <w:t xml:space="preserve"> involved </w:t>
      </w:r>
      <w:r w:rsidR="00A37DC6">
        <w:t xml:space="preserve">substantial </w:t>
      </w:r>
      <w:r w:rsidR="00B9671A">
        <w:t xml:space="preserve">expenditure of </w:t>
      </w:r>
      <w:r w:rsidR="0006621D">
        <w:t xml:space="preserve">the parties’ and Court </w:t>
      </w:r>
      <w:r w:rsidR="0066567D">
        <w:t>resources</w:t>
      </w:r>
      <w:r w:rsidR="00067766">
        <w:t xml:space="preserve"> and, for </w:t>
      </w:r>
      <w:r w:rsidR="0006621D">
        <w:t>reasons which are unclear</w:t>
      </w:r>
      <w:r w:rsidR="00067766">
        <w:t>,</w:t>
      </w:r>
      <w:r w:rsidR="0006621D">
        <w:t xml:space="preserve"> </w:t>
      </w:r>
      <w:r w:rsidR="00D64DB8">
        <w:t xml:space="preserve">the parties </w:t>
      </w:r>
      <w:r w:rsidR="0006621D">
        <w:t xml:space="preserve">were unable </w:t>
      </w:r>
      <w:r w:rsidR="00D64DB8">
        <w:t xml:space="preserve">to reach a </w:t>
      </w:r>
      <w:r w:rsidR="00B9671A">
        <w:t xml:space="preserve">commercial </w:t>
      </w:r>
      <w:r w:rsidR="00D64DB8">
        <w:t>settlement</w:t>
      </w:r>
      <w:r w:rsidR="00F72A28">
        <w:t>.</w:t>
      </w:r>
    </w:p>
    <w:p w:rsidR="00A64A32" w:rsidRDefault="00B9671A" w:rsidP="00067766">
      <w:pPr>
        <w:pStyle w:val="ParaNumbering"/>
        <w:tabs>
          <w:tab w:val="num" w:pos="720"/>
        </w:tabs>
        <w:ind w:left="0"/>
      </w:pPr>
      <w:r>
        <w:t>Triangl</w:t>
      </w:r>
      <w:r w:rsidR="005A7EC0">
        <w:t xml:space="preserve"> admitted that</w:t>
      </w:r>
      <w:r w:rsidR="00782521">
        <w:t>,</w:t>
      </w:r>
      <w:r w:rsidR="00671901">
        <w:t xml:space="preserve"> over a period of six weeks</w:t>
      </w:r>
      <w:r w:rsidR="00782521">
        <w:t>,</w:t>
      </w:r>
      <w:r w:rsidR="00671901">
        <w:t xml:space="preserve"> </w:t>
      </w:r>
      <w:r>
        <w:t xml:space="preserve">it </w:t>
      </w:r>
      <w:r w:rsidR="00C302A1">
        <w:t xml:space="preserve">marketed and </w:t>
      </w:r>
      <w:r w:rsidR="00DD3F37">
        <w:t xml:space="preserve">sold </w:t>
      </w:r>
      <w:r w:rsidR="00D76F7E">
        <w:t xml:space="preserve">in Australia </w:t>
      </w:r>
      <w:r w:rsidR="00DD3F37">
        <w:t>a bikini style in three different floral designs</w:t>
      </w:r>
      <w:r w:rsidR="00BA25C2">
        <w:t xml:space="preserve"> under the </w:t>
      </w:r>
      <w:r w:rsidR="00BA25C2" w:rsidRPr="00274BAE">
        <w:t>TRIANGL Trade Mark</w:t>
      </w:r>
      <w:r w:rsidR="00BA25C2">
        <w:t xml:space="preserve"> </w:t>
      </w:r>
      <w:r w:rsidR="00671901">
        <w:t xml:space="preserve">using the name </w:t>
      </w:r>
      <w:r w:rsidR="00CF0709">
        <w:t>DELPHINE</w:t>
      </w:r>
      <w:r w:rsidR="007F6D47">
        <w:t xml:space="preserve">, but denied using </w:t>
      </w:r>
      <w:r w:rsidR="008C46E4">
        <w:t>DELPHINE “</w:t>
      </w:r>
      <w:r w:rsidR="008C46E4" w:rsidRPr="00274BAE">
        <w:t>as a trade mark</w:t>
      </w:r>
      <w:r w:rsidR="008C46E4">
        <w:t xml:space="preserve">”.  It argued </w:t>
      </w:r>
      <w:r w:rsidR="00A81433">
        <w:t xml:space="preserve">that </w:t>
      </w:r>
      <w:r w:rsidR="006B790F">
        <w:t xml:space="preserve">it employed the TRIANGL Trade Mark to distinguish its products from those of other traders and </w:t>
      </w:r>
      <w:r w:rsidR="00671901">
        <w:t xml:space="preserve">it only used </w:t>
      </w:r>
      <w:r w:rsidR="00671901">
        <w:lastRenderedPageBreak/>
        <w:t xml:space="preserve">DELPHINE as a </w:t>
      </w:r>
      <w:r w:rsidR="00D76F7E">
        <w:t>“</w:t>
      </w:r>
      <w:r w:rsidR="00671901">
        <w:t>style name</w:t>
      </w:r>
      <w:r w:rsidR="00D76F7E">
        <w:t>”</w:t>
      </w:r>
      <w:r w:rsidR="00671901">
        <w:t xml:space="preserve"> </w:t>
      </w:r>
      <w:r w:rsidR="007F6D47">
        <w:t xml:space="preserve">so as </w:t>
      </w:r>
      <w:r w:rsidR="00671901">
        <w:t xml:space="preserve">to assist consumers to differentiate that one of its many bikini styles from </w:t>
      </w:r>
      <w:r w:rsidR="00671901" w:rsidRPr="00B9671A">
        <w:t>its</w:t>
      </w:r>
      <w:r w:rsidR="00380D45">
        <w:t xml:space="preserve"> other styles.</w:t>
      </w:r>
      <w:r w:rsidR="00671901">
        <w:t xml:space="preserve">  It</w:t>
      </w:r>
      <w:r w:rsidR="008C46E4">
        <w:t xml:space="preserve"> put on evidence to show </w:t>
      </w:r>
      <w:r w:rsidR="00D76F7E">
        <w:t xml:space="preserve">that </w:t>
      </w:r>
      <w:r w:rsidR="00671901">
        <w:t xml:space="preserve">there is a widespread practice in the </w:t>
      </w:r>
      <w:r w:rsidR="00D76F7E">
        <w:t xml:space="preserve">women’s </w:t>
      </w:r>
      <w:r w:rsidR="00671901">
        <w:t xml:space="preserve">fashion industry </w:t>
      </w:r>
      <w:r w:rsidR="00477117">
        <w:t xml:space="preserve">in Australia </w:t>
      </w:r>
      <w:r w:rsidR="00671901">
        <w:t xml:space="preserve">of using </w:t>
      </w:r>
      <w:r w:rsidR="00D76F7E">
        <w:t>style names in relation to women’s fashion garments</w:t>
      </w:r>
      <w:r w:rsidR="00477117">
        <w:t>,</w:t>
      </w:r>
      <w:r w:rsidR="00D76F7E">
        <w:t xml:space="preserve"> including swimwear,</w:t>
      </w:r>
      <w:r w:rsidR="005C2E01">
        <w:t xml:space="preserve"> and that women’s names are commonly </w:t>
      </w:r>
      <w:r w:rsidR="00477117">
        <w:t xml:space="preserve">so </w:t>
      </w:r>
      <w:r w:rsidR="005C2E01">
        <w:t>used.</w:t>
      </w:r>
      <w:r w:rsidR="00D76F7E">
        <w:t xml:space="preserve"> </w:t>
      </w:r>
      <w:r w:rsidR="005C2E01">
        <w:t xml:space="preserve"> </w:t>
      </w:r>
      <w:r w:rsidR="00782521">
        <w:t xml:space="preserve">Triangl contended that </w:t>
      </w:r>
      <w:r w:rsidR="00D76F7E">
        <w:t xml:space="preserve">consumers </w:t>
      </w:r>
      <w:r w:rsidR="00477117">
        <w:t>were used to</w:t>
      </w:r>
      <w:r w:rsidR="00782521">
        <w:t xml:space="preserve"> </w:t>
      </w:r>
      <w:r w:rsidR="00477117">
        <w:t>this</w:t>
      </w:r>
      <w:r w:rsidR="00782521">
        <w:t xml:space="preserve"> practice</w:t>
      </w:r>
      <w:r w:rsidR="00067766">
        <w:t xml:space="preserve"> and </w:t>
      </w:r>
      <w:r w:rsidR="00D76F7E">
        <w:t xml:space="preserve">that its use of </w:t>
      </w:r>
      <w:r w:rsidR="00477117">
        <w:t xml:space="preserve">the name </w:t>
      </w:r>
      <w:r w:rsidR="00D76F7E">
        <w:t xml:space="preserve">DELPHINE </w:t>
      </w:r>
      <w:r w:rsidR="00477117">
        <w:t>was unlikely to</w:t>
      </w:r>
      <w:r w:rsidR="00D76F7E">
        <w:t xml:space="preserve"> be perceived by consumers as distinguishing Triangl’s goods from the goods of other traders</w:t>
      </w:r>
      <w:r w:rsidR="00671901">
        <w:t xml:space="preserve">. </w:t>
      </w:r>
    </w:p>
    <w:p w:rsidR="00CB3BBC" w:rsidRDefault="008D160A" w:rsidP="00671901">
      <w:pPr>
        <w:pStyle w:val="ParaNumbering"/>
        <w:tabs>
          <w:tab w:val="num" w:pos="720"/>
        </w:tabs>
        <w:ind w:left="0"/>
      </w:pPr>
      <w:r>
        <w:t xml:space="preserve">For the reasons I explain Pinnacle </w:t>
      </w:r>
      <w:r w:rsidR="00067766">
        <w:t xml:space="preserve">did not </w:t>
      </w:r>
      <w:r w:rsidR="006B790F">
        <w:t xml:space="preserve">establish that Triangl’s use of DELPHINE amounted to use </w:t>
      </w:r>
      <w:r w:rsidR="006B790F" w:rsidRPr="00671901">
        <w:rPr>
          <w:i/>
        </w:rPr>
        <w:t>as a trade mark</w:t>
      </w:r>
      <w:r w:rsidR="00365D53">
        <w:t xml:space="preserve"> </w:t>
      </w:r>
      <w:r w:rsidR="00F02192">
        <w:t>under</w:t>
      </w:r>
      <w:r w:rsidR="00365D53">
        <w:t xml:space="preserve"> </w:t>
      </w:r>
      <w:r w:rsidR="006B790F">
        <w:t xml:space="preserve">s 120 of the </w:t>
      </w:r>
      <w:r w:rsidR="00365D53" w:rsidRPr="00671901">
        <w:rPr>
          <w:i/>
        </w:rPr>
        <w:t xml:space="preserve">Trade Marks Act 1995 </w:t>
      </w:r>
      <w:r w:rsidR="00365D53">
        <w:t xml:space="preserve">(Cth) (the </w:t>
      </w:r>
      <w:r w:rsidR="00365D53" w:rsidRPr="00671901">
        <w:rPr>
          <w:b/>
        </w:rPr>
        <w:t>Act</w:t>
      </w:r>
      <w:r w:rsidR="00365D53">
        <w:t>)</w:t>
      </w:r>
      <w:r>
        <w:t xml:space="preserve">. </w:t>
      </w:r>
      <w:r w:rsidR="00BA4682">
        <w:t xml:space="preserve"> </w:t>
      </w:r>
      <w:r>
        <w:t>It</w:t>
      </w:r>
      <w:r w:rsidR="006B790F">
        <w:t xml:space="preserve"> is appropriate to dismiss</w:t>
      </w:r>
      <w:r w:rsidR="00365D53">
        <w:t xml:space="preserve"> Pinnacle's </w:t>
      </w:r>
      <w:r w:rsidR="006B790F">
        <w:t>claim.</w:t>
      </w:r>
    </w:p>
    <w:p w:rsidR="00484F6D" w:rsidRDefault="00D62747" w:rsidP="00365D53">
      <w:pPr>
        <w:pStyle w:val="ParaNumbering"/>
        <w:tabs>
          <w:tab w:val="num" w:pos="720"/>
        </w:tabs>
        <w:ind w:left="0"/>
      </w:pPr>
      <w:r>
        <w:t>T</w:t>
      </w:r>
      <w:r w:rsidR="006B790F">
        <w:t>riangl</w:t>
      </w:r>
      <w:r>
        <w:t xml:space="preserve"> alleged </w:t>
      </w:r>
      <w:r w:rsidR="008D160A">
        <w:t xml:space="preserve">in the cross-claim </w:t>
      </w:r>
      <w:r w:rsidR="00CB3BBC">
        <w:t>that</w:t>
      </w:r>
      <w:r w:rsidR="00CF0709">
        <w:t xml:space="preserve"> Pinnacle </w:t>
      </w:r>
      <w:r w:rsidR="00A81433">
        <w:t xml:space="preserve">was not the first </w:t>
      </w:r>
      <w:r w:rsidR="005A7EC0">
        <w:t xml:space="preserve">trader </w:t>
      </w:r>
      <w:r w:rsidR="00A81433">
        <w:t xml:space="preserve">to use DELPHINE in </w:t>
      </w:r>
      <w:r w:rsidR="00365D53">
        <w:t xml:space="preserve">the course of trade in </w:t>
      </w:r>
      <w:r w:rsidR="00A81433">
        <w:t>Australia in relation to the goods for which</w:t>
      </w:r>
      <w:r w:rsidR="003C5388">
        <w:t xml:space="preserve"> </w:t>
      </w:r>
      <w:r w:rsidR="006B790F">
        <w:t xml:space="preserve">the </w:t>
      </w:r>
      <w:r w:rsidR="003C5388">
        <w:t xml:space="preserve">mark </w:t>
      </w:r>
      <w:r w:rsidR="00A81433">
        <w:t>is registered</w:t>
      </w:r>
      <w:r w:rsidR="008D160A">
        <w:t>.</w:t>
      </w:r>
      <w:r w:rsidR="008C46E4">
        <w:t xml:space="preserve">  On that basis it </w:t>
      </w:r>
      <w:r w:rsidR="00A64A32">
        <w:t xml:space="preserve">sought orders to cancel </w:t>
      </w:r>
      <w:r w:rsidR="005A7EC0">
        <w:t xml:space="preserve">the </w:t>
      </w:r>
      <w:r w:rsidR="00A81433">
        <w:t xml:space="preserve">registration of the </w:t>
      </w:r>
      <w:r w:rsidR="00D76F7E">
        <w:t>DELPHINE Trade M</w:t>
      </w:r>
      <w:r w:rsidR="00A81433">
        <w:t xml:space="preserve">ark under s 88 of the </w:t>
      </w:r>
      <w:r w:rsidR="003C5388" w:rsidRPr="00365D53">
        <w:t>Act</w:t>
      </w:r>
      <w:r w:rsidR="00DA1C07">
        <w:t>.</w:t>
      </w:r>
      <w:r w:rsidR="00067766">
        <w:t xml:space="preserve">  </w:t>
      </w:r>
      <w:r w:rsidR="008D160A">
        <w:t xml:space="preserve">Triangl did not </w:t>
      </w:r>
      <w:r w:rsidR="007F6D47">
        <w:t>however adduce admissible and probative evidence in support of</w:t>
      </w:r>
      <w:r w:rsidR="00420754">
        <w:t xml:space="preserve"> its claim of use in Australia by other traders</w:t>
      </w:r>
      <w:r w:rsidR="007F6D47">
        <w:t xml:space="preserve"> </w:t>
      </w:r>
      <w:r w:rsidR="00420754">
        <w:t xml:space="preserve">of a mark having substantial identity with </w:t>
      </w:r>
      <w:r w:rsidR="00D76F7E">
        <w:t xml:space="preserve">the </w:t>
      </w:r>
      <w:r w:rsidR="002E3640">
        <w:t>DELPHINE</w:t>
      </w:r>
      <w:r w:rsidR="00D76F7E">
        <w:t xml:space="preserve"> </w:t>
      </w:r>
      <w:r w:rsidR="00420754">
        <w:t>Trade M</w:t>
      </w:r>
      <w:r w:rsidR="00D76F7E">
        <w:t>ark</w:t>
      </w:r>
      <w:r w:rsidR="008D160A">
        <w:t xml:space="preserve"> </w:t>
      </w:r>
      <w:r w:rsidR="00D76F7E">
        <w:t>before the priority date of that mark</w:t>
      </w:r>
      <w:r w:rsidR="008D160A">
        <w:t xml:space="preserve">. It </w:t>
      </w:r>
      <w:r>
        <w:t xml:space="preserve">is appropriate to dismiss </w:t>
      </w:r>
      <w:r w:rsidR="008D160A">
        <w:t xml:space="preserve">Triangl’s </w:t>
      </w:r>
      <w:r>
        <w:t>cross</w:t>
      </w:r>
      <w:r w:rsidR="008118D9">
        <w:t>-</w:t>
      </w:r>
      <w:r>
        <w:t>claim</w:t>
      </w:r>
      <w:r w:rsidR="002E3640">
        <w:t>.</w:t>
      </w:r>
    </w:p>
    <w:p w:rsidR="000D4BA7" w:rsidRDefault="00F236A8" w:rsidP="00F236A8">
      <w:pPr>
        <w:pStyle w:val="Heading1"/>
      </w:pPr>
      <w:r>
        <w:t>Pinnacle’s claim</w:t>
      </w:r>
    </w:p>
    <w:p w:rsidR="00CA6A9A" w:rsidRDefault="00826061" w:rsidP="00F236A8">
      <w:pPr>
        <w:pStyle w:val="Heading1"/>
      </w:pPr>
      <w:r>
        <w:t>The Facts</w:t>
      </w:r>
      <w:r w:rsidR="00DD49DA">
        <w:t xml:space="preserve"> </w:t>
      </w:r>
    </w:p>
    <w:p w:rsidR="000D4BA7" w:rsidRDefault="000D4BA7" w:rsidP="00D57B49">
      <w:pPr>
        <w:pStyle w:val="ParaNumbering"/>
        <w:tabs>
          <w:tab w:val="num" w:pos="720"/>
        </w:tabs>
        <w:ind w:left="0"/>
      </w:pPr>
      <w:r>
        <w:t xml:space="preserve">Many of the facts </w:t>
      </w:r>
      <w:r w:rsidR="00A15E55">
        <w:t xml:space="preserve">in relation to Pinnacle’s claim </w:t>
      </w:r>
      <w:r>
        <w:t>are</w:t>
      </w:r>
      <w:r w:rsidR="00026239">
        <w:t xml:space="preserve"> uncontroversial</w:t>
      </w:r>
      <w:r w:rsidR="00D76F7E">
        <w:t>.  W</w:t>
      </w:r>
      <w:r w:rsidR="00A15E55">
        <w:t>here they are contentious</w:t>
      </w:r>
      <w:r w:rsidR="00B80183">
        <w:t>,</w:t>
      </w:r>
      <w:r w:rsidR="00A15E55">
        <w:t xml:space="preserve"> I</w:t>
      </w:r>
      <w:r w:rsidR="00365D53">
        <w:t xml:space="preserve"> </w:t>
      </w:r>
      <w:r w:rsidR="00A15E55">
        <w:t>set out my view of the evidence in the course of recounting</w:t>
      </w:r>
      <w:r w:rsidR="00D76F7E">
        <w:t xml:space="preserve"> the facts</w:t>
      </w:r>
      <w:r w:rsidR="00DA1C07">
        <w:t>.</w:t>
      </w:r>
    </w:p>
    <w:p w:rsidR="00A15E55" w:rsidRDefault="00A15E55" w:rsidP="00A15E55">
      <w:pPr>
        <w:pStyle w:val="ParaNumbering"/>
        <w:tabs>
          <w:tab w:val="num" w:pos="720"/>
        </w:tabs>
        <w:ind w:left="0"/>
      </w:pPr>
      <w:r>
        <w:t>Pinnacle</w:t>
      </w:r>
      <w:r w:rsidR="00CF0709">
        <w:t xml:space="preserve"> relied </w:t>
      </w:r>
      <w:r>
        <w:t>upon</w:t>
      </w:r>
      <w:r w:rsidR="00013BA4">
        <w:t xml:space="preserve"> affidavits by</w:t>
      </w:r>
      <w:r>
        <w:t>:</w:t>
      </w:r>
    </w:p>
    <w:p w:rsidR="00A15E55" w:rsidRDefault="00DC4EAE" w:rsidP="0045682F">
      <w:pPr>
        <w:pStyle w:val="ListNo1"/>
        <w:numPr>
          <w:ilvl w:val="0"/>
          <w:numId w:val="37"/>
        </w:numPr>
      </w:pPr>
      <w:r>
        <w:t xml:space="preserve">Mr </w:t>
      </w:r>
      <w:r w:rsidR="00A15E55">
        <w:t xml:space="preserve">Fabian Daniel Bucoy, general manager of </w:t>
      </w:r>
      <w:r w:rsidR="00CF0709">
        <w:t>Pinnacle, affirmed 13 April 2018</w:t>
      </w:r>
      <w:r w:rsidR="00A15E55">
        <w:t>;</w:t>
      </w:r>
    </w:p>
    <w:p w:rsidR="00A15E55" w:rsidRDefault="00D944BC" w:rsidP="0045682F">
      <w:pPr>
        <w:pStyle w:val="ListNo1"/>
        <w:numPr>
          <w:ilvl w:val="0"/>
          <w:numId w:val="37"/>
        </w:numPr>
      </w:pPr>
      <w:r>
        <w:t xml:space="preserve">Mr </w:t>
      </w:r>
      <w:r w:rsidR="00A15E55">
        <w:t xml:space="preserve">Andrew Selim Petale, </w:t>
      </w:r>
      <w:r w:rsidR="005D5969">
        <w:t xml:space="preserve">at the relevant time </w:t>
      </w:r>
      <w:r w:rsidR="00A15E55">
        <w:t>a solicitor</w:t>
      </w:r>
      <w:r w:rsidR="005D5969">
        <w:t xml:space="preserve"> with Actuate IP</w:t>
      </w:r>
      <w:r w:rsidR="00A15E55">
        <w:t xml:space="preserve">, </w:t>
      </w:r>
      <w:r w:rsidR="005D5969">
        <w:t xml:space="preserve">the solicitors for Pinnacle, </w:t>
      </w:r>
      <w:r w:rsidR="00A15E55">
        <w:t>affirmed 26 March 2018;</w:t>
      </w:r>
    </w:p>
    <w:p w:rsidR="00A15E55" w:rsidRDefault="00D944BC" w:rsidP="0045682F">
      <w:pPr>
        <w:pStyle w:val="ListNo1"/>
        <w:numPr>
          <w:ilvl w:val="0"/>
          <w:numId w:val="37"/>
        </w:numPr>
      </w:pPr>
      <w:r>
        <w:t xml:space="preserve">Ms </w:t>
      </w:r>
      <w:r w:rsidR="00A15E55">
        <w:t xml:space="preserve">Kerri Lambrianidis, </w:t>
      </w:r>
      <w:r w:rsidR="005D5969">
        <w:t xml:space="preserve">at the relevant time </w:t>
      </w:r>
      <w:r w:rsidR="00A15E55">
        <w:t>a solicitor</w:t>
      </w:r>
      <w:r w:rsidR="005D5969">
        <w:t xml:space="preserve"> with Actuate IP</w:t>
      </w:r>
      <w:r w:rsidR="00BC7CA2">
        <w:t>, affirmed 27 </w:t>
      </w:r>
      <w:r w:rsidR="00A15E55">
        <w:t>March 2018; and</w:t>
      </w:r>
    </w:p>
    <w:p w:rsidR="00CF0709" w:rsidRDefault="00981409" w:rsidP="0045682F">
      <w:pPr>
        <w:pStyle w:val="ListNo1"/>
        <w:numPr>
          <w:ilvl w:val="0"/>
          <w:numId w:val="37"/>
        </w:numPr>
      </w:pPr>
      <w:r>
        <w:t>D</w:t>
      </w:r>
      <w:r w:rsidR="00A15E55">
        <w:t>r Stephen Downes, a</w:t>
      </w:r>
      <w:r w:rsidR="00D62747">
        <w:t xml:space="preserve"> branding and marketing expert</w:t>
      </w:r>
      <w:r w:rsidR="00BC7CA2">
        <w:t>, affirmed 27 March 2018 and 18 </w:t>
      </w:r>
      <w:r w:rsidR="00A15E55">
        <w:t xml:space="preserve">September 2018 (respectively the </w:t>
      </w:r>
      <w:r w:rsidR="00A15E55" w:rsidRPr="00CA6A9A">
        <w:rPr>
          <w:b/>
        </w:rPr>
        <w:t xml:space="preserve">first </w:t>
      </w:r>
      <w:r w:rsidR="00F36F7D">
        <w:t>and</w:t>
      </w:r>
      <w:r w:rsidR="00A15E55" w:rsidRPr="00CA6A9A">
        <w:rPr>
          <w:b/>
        </w:rPr>
        <w:t xml:space="preserve"> second Downes</w:t>
      </w:r>
      <w:r w:rsidR="00BD0DCC">
        <w:rPr>
          <w:b/>
        </w:rPr>
        <w:t xml:space="preserve"> reports</w:t>
      </w:r>
      <w:r w:rsidR="00A15E55">
        <w:t>).</w:t>
      </w:r>
    </w:p>
    <w:p w:rsidR="00A15E55" w:rsidRDefault="00CF0709" w:rsidP="00CF0709">
      <w:pPr>
        <w:pStyle w:val="NoNum"/>
      </w:pPr>
      <w:r>
        <w:t xml:space="preserve">Mr Bucoy and </w:t>
      </w:r>
      <w:r w:rsidR="00981409">
        <w:t>D</w:t>
      </w:r>
      <w:r w:rsidR="00F36F7D">
        <w:t>r Downes</w:t>
      </w:r>
      <w:r>
        <w:t xml:space="preserve"> were </w:t>
      </w:r>
      <w:r w:rsidR="00F36F7D">
        <w:t>cross</w:t>
      </w:r>
      <w:r w:rsidR="00067766">
        <w:t>-</w:t>
      </w:r>
      <w:r w:rsidR="00F36F7D">
        <w:t>examined.</w:t>
      </w:r>
    </w:p>
    <w:p w:rsidR="00F36F7D" w:rsidRDefault="00A15E55" w:rsidP="00A15E55">
      <w:pPr>
        <w:pStyle w:val="ParaNumbering"/>
        <w:tabs>
          <w:tab w:val="num" w:pos="720"/>
        </w:tabs>
        <w:ind w:left="0"/>
      </w:pPr>
      <w:r>
        <w:lastRenderedPageBreak/>
        <w:t>Triangl</w:t>
      </w:r>
      <w:r w:rsidR="00CF0709">
        <w:t xml:space="preserve"> relied </w:t>
      </w:r>
      <w:r>
        <w:t>upon</w:t>
      </w:r>
      <w:r w:rsidR="00013BA4">
        <w:t xml:space="preserve"> affidavits by</w:t>
      </w:r>
      <w:r w:rsidR="00F36F7D">
        <w:t>:</w:t>
      </w:r>
      <w:r w:rsidR="00831D07">
        <w:t xml:space="preserve"> </w:t>
      </w:r>
    </w:p>
    <w:p w:rsidR="00A15E55" w:rsidRDefault="00D944BC" w:rsidP="00E97DF6">
      <w:pPr>
        <w:pStyle w:val="ListNo1"/>
        <w:numPr>
          <w:ilvl w:val="0"/>
          <w:numId w:val="27"/>
        </w:numPr>
      </w:pPr>
      <w:r>
        <w:t xml:space="preserve">Mr </w:t>
      </w:r>
      <w:r w:rsidR="00A15E55">
        <w:t xml:space="preserve">Craig Ellis, a director, shareholder and founder of </w:t>
      </w:r>
      <w:r w:rsidR="00A15E55" w:rsidRPr="007C7C5C">
        <w:t>Triangl Limited</w:t>
      </w:r>
      <w:r w:rsidR="00A15E55">
        <w:t xml:space="preserve"> and</w:t>
      </w:r>
      <w:r w:rsidR="00A15E55" w:rsidRPr="007C7C5C">
        <w:t xml:space="preserve"> Triangl Group Limited</w:t>
      </w:r>
      <w:r w:rsidR="00CF0709">
        <w:t>, affirmed 6 August 2018</w:t>
      </w:r>
      <w:r w:rsidR="00B01978">
        <w:t>;</w:t>
      </w:r>
    </w:p>
    <w:p w:rsidR="00B01978" w:rsidRDefault="00D944BC" w:rsidP="00E97DF6">
      <w:pPr>
        <w:pStyle w:val="ListNo1"/>
        <w:numPr>
          <w:ilvl w:val="0"/>
          <w:numId w:val="27"/>
        </w:numPr>
      </w:pPr>
      <w:r>
        <w:t xml:space="preserve">Mr </w:t>
      </w:r>
      <w:r w:rsidR="00B01978">
        <w:t>Gary Saunders, a marketing</w:t>
      </w:r>
      <w:r w:rsidR="00D62747">
        <w:t xml:space="preserve"> and public relations expert</w:t>
      </w:r>
      <w:r w:rsidR="00CF0709">
        <w:t>, affirmed 15 August 2018</w:t>
      </w:r>
      <w:r w:rsidR="00013BA4">
        <w:t>;</w:t>
      </w:r>
    </w:p>
    <w:p w:rsidR="00D62747" w:rsidRDefault="00D944BC" w:rsidP="00E97DF6">
      <w:pPr>
        <w:pStyle w:val="ListNo1"/>
        <w:numPr>
          <w:ilvl w:val="0"/>
          <w:numId w:val="27"/>
        </w:numPr>
      </w:pPr>
      <w:r>
        <w:t xml:space="preserve">Mr </w:t>
      </w:r>
      <w:r w:rsidR="00D62747">
        <w:t xml:space="preserve">Fabien Lalande, a </w:t>
      </w:r>
      <w:r w:rsidR="002735EE">
        <w:t xml:space="preserve">trade mark practitioner </w:t>
      </w:r>
      <w:r w:rsidR="00D62747">
        <w:t>with Corrs Chambers Westgarth (</w:t>
      </w:r>
      <w:r w:rsidR="00D62747" w:rsidRPr="00D64F9D">
        <w:rPr>
          <w:b/>
        </w:rPr>
        <w:t>Corrs</w:t>
      </w:r>
      <w:r w:rsidR="00D62747">
        <w:t>), the solicitors for Tr</w:t>
      </w:r>
      <w:r w:rsidR="006E52C5">
        <w:t>iangl, affirmed 15 August 2018;</w:t>
      </w:r>
    </w:p>
    <w:p w:rsidR="00D62747" w:rsidRDefault="00D944BC" w:rsidP="00E97DF6">
      <w:pPr>
        <w:pStyle w:val="ListNo1"/>
        <w:numPr>
          <w:ilvl w:val="0"/>
          <w:numId w:val="27"/>
        </w:numPr>
      </w:pPr>
      <w:r>
        <w:t xml:space="preserve">Mr </w:t>
      </w:r>
      <w:r w:rsidR="00D62747">
        <w:t xml:space="preserve">Christopher Butler, office manager of </w:t>
      </w:r>
      <w:r w:rsidR="00DA322B">
        <w:t xml:space="preserve">the </w:t>
      </w:r>
      <w:r w:rsidR="00D62747">
        <w:t>Internet Archive, affirmed 11 June 20</w:t>
      </w:r>
      <w:r w:rsidR="0030495C">
        <w:t>18, which was relied upon i</w:t>
      </w:r>
      <w:r w:rsidR="00D62747">
        <w:t xml:space="preserve">n a </w:t>
      </w:r>
      <w:r w:rsidR="00D62747" w:rsidRPr="00D62747">
        <w:rPr>
          <w:i/>
        </w:rPr>
        <w:t>voir dire</w:t>
      </w:r>
      <w:r w:rsidR="00D62747">
        <w:t xml:space="preserve"> regarding the admissib</w:t>
      </w:r>
      <w:r w:rsidR="00DA1C07">
        <w:t xml:space="preserve">ility of Mr </w:t>
      </w:r>
      <w:r w:rsidR="00365D53">
        <w:t xml:space="preserve">Lalande’s </w:t>
      </w:r>
      <w:r w:rsidR="00DA1C07">
        <w:t>evidence.</w:t>
      </w:r>
    </w:p>
    <w:p w:rsidR="00D62747" w:rsidRDefault="00D62747" w:rsidP="00D62747">
      <w:pPr>
        <w:pStyle w:val="NoNum"/>
      </w:pPr>
      <w:r>
        <w:t>Mr Ellis, Mr Saunders and Mr Butler were cross</w:t>
      </w:r>
      <w:r w:rsidR="008118D9">
        <w:t>-</w:t>
      </w:r>
      <w:r>
        <w:t>examined.</w:t>
      </w:r>
    </w:p>
    <w:p w:rsidR="000D4BA7" w:rsidRDefault="003D3B4E" w:rsidP="003D3B4E">
      <w:pPr>
        <w:pStyle w:val="Heading2"/>
      </w:pPr>
      <w:r>
        <w:t>Pinnacle</w:t>
      </w:r>
      <w:r w:rsidR="008441B9">
        <w:t xml:space="preserve"> and the DELPHINE brand</w:t>
      </w:r>
    </w:p>
    <w:p w:rsidR="00CC6D2D" w:rsidRDefault="006B7258" w:rsidP="00D57B49">
      <w:pPr>
        <w:pStyle w:val="ParaNumbering"/>
        <w:tabs>
          <w:tab w:val="num" w:pos="720"/>
        </w:tabs>
        <w:ind w:left="0"/>
      </w:pPr>
      <w:r>
        <w:t>Mr Bucoy is Pinnacle’s General Manager.</w:t>
      </w:r>
      <w:r w:rsidR="00D76F7E">
        <w:t xml:space="preserve">  </w:t>
      </w:r>
      <w:r w:rsidR="002F7935">
        <w:t>M</w:t>
      </w:r>
      <w:r w:rsidR="00D76F7E">
        <w:t xml:space="preserve">uch </w:t>
      </w:r>
      <w:r w:rsidR="00CC6D2D">
        <w:t>of</w:t>
      </w:r>
      <w:r w:rsidR="00067766">
        <w:t xml:space="preserve"> his </w:t>
      </w:r>
      <w:r w:rsidR="00CC6D2D">
        <w:t>evidence</w:t>
      </w:r>
      <w:r>
        <w:t xml:space="preserve"> is </w:t>
      </w:r>
      <w:r w:rsidR="00CC6D2D">
        <w:t>uncontentious</w:t>
      </w:r>
      <w:r w:rsidR="005A7EC0">
        <w:t xml:space="preserve"> </w:t>
      </w:r>
      <w:r w:rsidR="002F7935">
        <w:t xml:space="preserve">but </w:t>
      </w:r>
      <w:r w:rsidR="00CE5C2A">
        <w:t xml:space="preserve">I found his evidence </w:t>
      </w:r>
      <w:r w:rsidR="002F7935">
        <w:t xml:space="preserve">on some issues of significance in the case </w:t>
      </w:r>
      <w:r w:rsidR="001614C1">
        <w:t>to be</w:t>
      </w:r>
      <w:r w:rsidR="002F7935">
        <w:t xml:space="preserve"> </w:t>
      </w:r>
      <w:r>
        <w:t>unreliable</w:t>
      </w:r>
      <w:r w:rsidR="006F3E3F">
        <w:t xml:space="preserve"> in certain respects</w:t>
      </w:r>
      <w:r>
        <w:t>.</w:t>
      </w:r>
      <w:r w:rsidR="007F756F">
        <w:t xml:space="preserve">  The assistance his</w:t>
      </w:r>
      <w:r w:rsidR="002F7935">
        <w:t xml:space="preserve"> evidence </w:t>
      </w:r>
      <w:r w:rsidR="007F756F">
        <w:t>provided</w:t>
      </w:r>
      <w:r w:rsidR="002F7935">
        <w:t xml:space="preserve"> in relation to some important aspects of </w:t>
      </w:r>
      <w:r>
        <w:t xml:space="preserve">Pinnacle's </w:t>
      </w:r>
      <w:r w:rsidR="00CC6D2D">
        <w:t>claim</w:t>
      </w:r>
      <w:r w:rsidR="007F756F">
        <w:t xml:space="preserve"> was to a significant extent undercut in cross</w:t>
      </w:r>
      <w:r w:rsidR="008118D9">
        <w:t>-</w:t>
      </w:r>
      <w:r w:rsidR="007F756F">
        <w:t>examination</w:t>
      </w:r>
      <w:r w:rsidR="0009752B">
        <w:t>.</w:t>
      </w:r>
    </w:p>
    <w:p w:rsidR="00417FBF" w:rsidRDefault="00417FBF" w:rsidP="00D9012E">
      <w:pPr>
        <w:pStyle w:val="ParaNumbering"/>
        <w:tabs>
          <w:tab w:val="num" w:pos="720"/>
        </w:tabs>
        <w:ind w:left="0"/>
      </w:pPr>
      <w:r>
        <w:t>Mr Bucoy has</w:t>
      </w:r>
      <w:r w:rsidR="007A4850">
        <w:t xml:space="preserve"> approximately 10 years </w:t>
      </w:r>
      <w:r w:rsidR="007104E5">
        <w:t xml:space="preserve">of </w:t>
      </w:r>
      <w:r w:rsidR="007A4850">
        <w:t xml:space="preserve">experience working in finance for </w:t>
      </w:r>
      <w:r w:rsidR="00720F2F">
        <w:t xml:space="preserve">Coles </w:t>
      </w:r>
      <w:r w:rsidR="007A4850">
        <w:t xml:space="preserve">Myer </w:t>
      </w:r>
      <w:r w:rsidR="00720F2F">
        <w:t xml:space="preserve">in the retail sector and he subsequently </w:t>
      </w:r>
      <w:r w:rsidR="00DA1C07">
        <w:t xml:space="preserve">spent </w:t>
      </w:r>
      <w:r w:rsidR="00CC6D2D">
        <w:t xml:space="preserve">a further </w:t>
      </w:r>
      <w:r w:rsidR="007A4850">
        <w:t>10 years</w:t>
      </w:r>
      <w:r w:rsidR="0009752B">
        <w:t xml:space="preserve"> working </w:t>
      </w:r>
      <w:r w:rsidR="00CC6D2D">
        <w:t xml:space="preserve">for </w:t>
      </w:r>
      <w:r w:rsidR="007A4850">
        <w:t xml:space="preserve">his own </w:t>
      </w:r>
      <w:r w:rsidR="00CC6D2D">
        <w:t xml:space="preserve">women’s fashion </w:t>
      </w:r>
      <w:r w:rsidR="007A4850">
        <w:t>companies</w:t>
      </w:r>
      <w:r>
        <w:t>.  In</w:t>
      </w:r>
      <w:r w:rsidR="006B7258">
        <w:t xml:space="preserve"> approximately </w:t>
      </w:r>
      <w:r>
        <w:t>2009 he co-founded Luvalot Clothing Pty Ltd, an Australian fashion company operating as an independent designer, manufacturer and wholesaler of women’s fashion and he continues to be a co-owner of that company.</w:t>
      </w:r>
      <w:r w:rsidR="00BC7CA2">
        <w:t xml:space="preserve"> </w:t>
      </w:r>
      <w:r>
        <w:t xml:space="preserve"> </w:t>
      </w:r>
      <w:r w:rsidR="006B7258">
        <w:t>In February 2014 h</w:t>
      </w:r>
      <w:r w:rsidR="00127FDB">
        <w:t>e incorporated Pinnacle</w:t>
      </w:r>
      <w:r w:rsidR="006B7258">
        <w:t xml:space="preserve"> which</w:t>
      </w:r>
      <w:r w:rsidR="00981409">
        <w:t>,</w:t>
      </w:r>
      <w:r w:rsidR="006B7258">
        <w:t xml:space="preserve"> at that time</w:t>
      </w:r>
      <w:r w:rsidR="00981409">
        <w:t>,</w:t>
      </w:r>
      <w:r w:rsidR="006B7258">
        <w:t xml:space="preserve"> operated as a wholesaler and retailer </w:t>
      </w:r>
      <w:r w:rsidR="00127FDB">
        <w:t>of women’s fashion under its own name.</w:t>
      </w:r>
      <w:r w:rsidR="007D3477">
        <w:t xml:space="preserve">  He</w:t>
      </w:r>
      <w:r w:rsidR="006B7258">
        <w:t xml:space="preserve"> co-owned Pinnacle </w:t>
      </w:r>
      <w:r w:rsidR="007D3477">
        <w:t xml:space="preserve">until </w:t>
      </w:r>
      <w:r w:rsidR="006B7258">
        <w:t xml:space="preserve">2017 when </w:t>
      </w:r>
      <w:r>
        <w:t>he transferred his shares to his wife.</w:t>
      </w:r>
    </w:p>
    <w:p w:rsidR="00127FDB" w:rsidRDefault="00417FBF" w:rsidP="003948DB">
      <w:pPr>
        <w:pStyle w:val="ParaNumbering"/>
        <w:tabs>
          <w:tab w:val="num" w:pos="720"/>
        </w:tabs>
        <w:ind w:left="0"/>
      </w:pPr>
      <w:r>
        <w:t>In</w:t>
      </w:r>
      <w:r w:rsidR="006B7258">
        <w:t xml:space="preserve"> approximately </w:t>
      </w:r>
      <w:r>
        <w:t>early 2015 Mr Bucoy decided</w:t>
      </w:r>
      <w:r w:rsidR="00CC6D2D">
        <w:t xml:space="preserve"> </w:t>
      </w:r>
      <w:r>
        <w:t>to</w:t>
      </w:r>
      <w:r w:rsidR="007D3477">
        <w:t xml:space="preserve"> develop </w:t>
      </w:r>
      <w:r>
        <w:t xml:space="preserve">the </w:t>
      </w:r>
      <w:r w:rsidR="00CC6D2D">
        <w:t xml:space="preserve">Pinnacle </w:t>
      </w:r>
      <w:r>
        <w:t xml:space="preserve">business into an independent women’s fashion label that would manufacture and design its own products.  </w:t>
      </w:r>
      <w:r w:rsidR="00DA41CF">
        <w:t xml:space="preserve">Around that time </w:t>
      </w:r>
      <w:r>
        <w:t xml:space="preserve">Pinnacle began undertaking work to prepare for the launch of </w:t>
      </w:r>
      <w:r w:rsidR="007D3477">
        <w:t>this</w:t>
      </w:r>
      <w:r>
        <w:t xml:space="preserve"> new fashion label, which included the selection of an appropriate name.  After considering a range of names </w:t>
      </w:r>
      <w:r w:rsidR="00DA41CF">
        <w:t xml:space="preserve">with </w:t>
      </w:r>
      <w:r>
        <w:t>the staff at Pinnacle</w:t>
      </w:r>
      <w:r w:rsidR="00DA41CF">
        <w:t>,</w:t>
      </w:r>
      <w:r>
        <w:t xml:space="preserve"> Mr Bucoy </w:t>
      </w:r>
      <w:r w:rsidR="00127FDB">
        <w:t xml:space="preserve">chose the name </w:t>
      </w:r>
      <w:r w:rsidRPr="00417FBF">
        <w:t xml:space="preserve">DELPHINE </w:t>
      </w:r>
      <w:r w:rsidR="00127FDB">
        <w:t xml:space="preserve">as he considered it to be </w:t>
      </w:r>
      <w:r w:rsidR="00B14BE7">
        <w:t>“</w:t>
      </w:r>
      <w:r w:rsidR="00127FDB">
        <w:t>a distinctive and pleasant sounding brand which fit</w:t>
      </w:r>
      <w:r w:rsidR="00067766">
        <w:t>[ted]</w:t>
      </w:r>
      <w:r w:rsidR="00127FDB">
        <w:t xml:space="preserve"> the feminine image </w:t>
      </w:r>
      <w:r w:rsidR="00DA41CF">
        <w:t>[</w:t>
      </w:r>
      <w:r w:rsidR="00127FDB">
        <w:t>he</w:t>
      </w:r>
      <w:r w:rsidR="00DA41CF">
        <w:t>]</w:t>
      </w:r>
      <w:r w:rsidR="00127FDB">
        <w:t xml:space="preserve"> wanted for the label.</w:t>
      </w:r>
      <w:r w:rsidR="00DA41CF">
        <w:t>”</w:t>
      </w:r>
      <w:r w:rsidR="00DA41CF" w:rsidRPr="00DA41CF">
        <w:t xml:space="preserve"> </w:t>
      </w:r>
    </w:p>
    <w:p w:rsidR="00417FBF" w:rsidRDefault="00417FBF" w:rsidP="00417FBF">
      <w:pPr>
        <w:pStyle w:val="ParaNumbering"/>
        <w:tabs>
          <w:tab w:val="num" w:pos="720"/>
        </w:tabs>
        <w:ind w:left="0"/>
      </w:pPr>
      <w:r>
        <w:lastRenderedPageBreak/>
        <w:t>On 6 July 2015 Pinnacle lodged</w:t>
      </w:r>
      <w:r w:rsidR="00B14BE7">
        <w:t xml:space="preserve"> a </w:t>
      </w:r>
      <w:r>
        <w:t>trade mark</w:t>
      </w:r>
      <w:r w:rsidRPr="00A50044">
        <w:t xml:space="preserve"> </w:t>
      </w:r>
      <w:r w:rsidR="00B14BE7">
        <w:t xml:space="preserve">application for the </w:t>
      </w:r>
      <w:r w:rsidR="00AC5FEF">
        <w:t xml:space="preserve">word </w:t>
      </w:r>
      <w:r>
        <w:t>DELPHINE</w:t>
      </w:r>
      <w:r w:rsidR="00B14BE7">
        <w:t xml:space="preserve"> in</w:t>
      </w:r>
      <w:r w:rsidR="00B14BE7" w:rsidRPr="00B14BE7">
        <w:t xml:space="preserve"> </w:t>
      </w:r>
      <w:r w:rsidR="00B14BE7">
        <w:t xml:space="preserve">class 25, </w:t>
      </w:r>
      <w:r w:rsidR="009C3125">
        <w:t>which</w:t>
      </w:r>
      <w:r w:rsidR="006B7258">
        <w:t>, relevantly,</w:t>
      </w:r>
      <w:r w:rsidR="009C3125">
        <w:t xml:space="preserve"> covers most types of </w:t>
      </w:r>
      <w:r w:rsidR="00B14BE7">
        <w:t>clothing</w:t>
      </w:r>
      <w:r w:rsidR="009C3125">
        <w:t xml:space="preserve">, </w:t>
      </w:r>
      <w:r w:rsidR="00B14BE7">
        <w:t>head</w:t>
      </w:r>
      <w:r w:rsidR="001D1E24">
        <w:t>wear</w:t>
      </w:r>
      <w:r w:rsidR="009C3125">
        <w:t xml:space="preserve"> and </w:t>
      </w:r>
      <w:r w:rsidR="00B14BE7">
        <w:t>swimwear</w:t>
      </w:r>
      <w:r>
        <w:t xml:space="preserve">. </w:t>
      </w:r>
      <w:r w:rsidR="009C3125">
        <w:t xml:space="preserve"> </w:t>
      </w:r>
      <w:r>
        <w:t>On 3 February 2016 Pinnacle was registered as the owner of that mark</w:t>
      </w:r>
      <w:r w:rsidR="001D1E24">
        <w:t xml:space="preserve"> in Australia</w:t>
      </w:r>
      <w:r w:rsidR="00FF5DA5">
        <w:t xml:space="preserve"> and it</w:t>
      </w:r>
      <w:r>
        <w:t xml:space="preserve"> has owned the </w:t>
      </w:r>
      <w:r w:rsidR="001D1E24">
        <w:t>DELPHINE</w:t>
      </w:r>
      <w:r w:rsidR="001D1E24" w:rsidDel="001D1E24">
        <w:t xml:space="preserve"> </w:t>
      </w:r>
      <w:r>
        <w:t>Trade Mark in relation to goods and services</w:t>
      </w:r>
      <w:r w:rsidR="00B14BE7">
        <w:t xml:space="preserve"> in class 25</w:t>
      </w:r>
      <w:r>
        <w:t xml:space="preserve"> at all material times</w:t>
      </w:r>
      <w:r w:rsidR="00B14BE7">
        <w:t xml:space="preserve"> since then</w:t>
      </w:r>
      <w:r>
        <w:t>.</w:t>
      </w:r>
      <w:r w:rsidR="001D1E24">
        <w:t xml:space="preserve"> </w:t>
      </w:r>
      <w:r>
        <w:t xml:space="preserve"> An image of the mark appears below:</w:t>
      </w:r>
      <w:r w:rsidR="001D1E24" w:rsidRPr="001D1E24">
        <w:t xml:space="preserve"> </w:t>
      </w:r>
    </w:p>
    <w:p w:rsidR="00417FBF" w:rsidRDefault="004C4B24" w:rsidP="00417FBF">
      <w:pPr>
        <w:pStyle w:val="NoNum"/>
        <w:jc w:val="center"/>
      </w:pPr>
      <w:r>
        <w:rPr>
          <w:noProof/>
          <w:lang w:eastAsia="en-AU"/>
        </w:rPr>
        <w:drawing>
          <wp:inline distT="0" distB="0" distL="0" distR="0">
            <wp:extent cx="2095500" cy="523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lphine.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523875"/>
                    </a:xfrm>
                    <a:prstGeom prst="rect">
                      <a:avLst/>
                    </a:prstGeom>
                  </pic:spPr>
                </pic:pic>
              </a:graphicData>
            </a:graphic>
          </wp:inline>
        </w:drawing>
      </w:r>
    </w:p>
    <w:p w:rsidR="009B4D58" w:rsidRDefault="009B4D58" w:rsidP="00417FBF">
      <w:pPr>
        <w:pStyle w:val="NoNum"/>
      </w:pPr>
      <w:r>
        <w:t xml:space="preserve">As is apparent, </w:t>
      </w:r>
      <w:r w:rsidR="00647E99">
        <w:t xml:space="preserve">DELPHINE </w:t>
      </w:r>
      <w:r w:rsidR="00417FBF">
        <w:t>is</w:t>
      </w:r>
      <w:r>
        <w:t xml:space="preserve"> in uppercase</w:t>
      </w:r>
      <w:r w:rsidR="00067766">
        <w:t>,</w:t>
      </w:r>
      <w:r>
        <w:t xml:space="preserve"> it is not stylised</w:t>
      </w:r>
      <w:r w:rsidR="00067766">
        <w:t xml:space="preserve"> and there</w:t>
      </w:r>
      <w:r>
        <w:t xml:space="preserve"> is nothing </w:t>
      </w:r>
      <w:r w:rsidR="007D346B">
        <w:t xml:space="preserve">distinctive </w:t>
      </w:r>
      <w:r>
        <w:t xml:space="preserve">in the </w:t>
      </w:r>
      <w:r w:rsidR="00417FBF">
        <w:t>font style, size</w:t>
      </w:r>
      <w:r>
        <w:t xml:space="preserve"> or</w:t>
      </w:r>
      <w:r w:rsidR="00BC7CA2">
        <w:t xml:space="preserve"> colour.</w:t>
      </w:r>
    </w:p>
    <w:p w:rsidR="00417FBF" w:rsidRDefault="00B14BE7" w:rsidP="009B4D58">
      <w:pPr>
        <w:pStyle w:val="ParaNumbering"/>
        <w:tabs>
          <w:tab w:val="num" w:pos="720"/>
        </w:tabs>
        <w:ind w:left="0"/>
      </w:pPr>
      <w:r>
        <w:t xml:space="preserve">On 6 August 2015 </w:t>
      </w:r>
      <w:r w:rsidR="00417FBF">
        <w:t>Pinnacle registered</w:t>
      </w:r>
      <w:r w:rsidR="00417FBF" w:rsidRPr="00A50044">
        <w:t xml:space="preserve"> </w:t>
      </w:r>
      <w:r w:rsidR="00417FBF">
        <w:t>DELPHINE THE LABEL as a business name in Australia</w:t>
      </w:r>
      <w:r w:rsidR="00CC6D2D">
        <w:t>.</w:t>
      </w:r>
      <w:r w:rsidR="001D1E24" w:rsidRPr="001D1E24">
        <w:t xml:space="preserve"> </w:t>
      </w:r>
      <w:r w:rsidR="009B4D58">
        <w:t xml:space="preserve"> Subsequently </w:t>
      </w:r>
      <w:r w:rsidR="00CC6D2D">
        <w:t>Pinnacle</w:t>
      </w:r>
      <w:r w:rsidR="009B4D58">
        <w:t xml:space="preserve"> also </w:t>
      </w:r>
      <w:r w:rsidR="00417FBF">
        <w:t>registered</w:t>
      </w:r>
      <w:r w:rsidR="00417FBF" w:rsidRPr="00A50044">
        <w:t xml:space="preserve"> </w:t>
      </w:r>
      <w:r w:rsidR="00417FBF">
        <w:t>DELPHINE as a trade mark in the USA, the UK and New Zealand.  The USA trade mark states that the mark comprises “consistent standard characters, without claim to any particular font style, size or colour”.</w:t>
      </w:r>
      <w:r w:rsidR="001D1E24" w:rsidRPr="001D1E24">
        <w:t xml:space="preserve"> </w:t>
      </w:r>
    </w:p>
    <w:p w:rsidR="006F57A9" w:rsidRDefault="002C3559" w:rsidP="00200FFF">
      <w:pPr>
        <w:pStyle w:val="Heading3"/>
      </w:pPr>
      <w:r>
        <w:t>Pinnacle’s</w:t>
      </w:r>
      <w:r w:rsidR="0094705E">
        <w:t xml:space="preserve"> promotion of the </w:t>
      </w:r>
      <w:r w:rsidR="0094705E" w:rsidRPr="002E3640">
        <w:t>DELPHINE</w:t>
      </w:r>
      <w:r w:rsidR="0094705E">
        <w:t xml:space="preserve"> brand</w:t>
      </w:r>
    </w:p>
    <w:p w:rsidR="00417FBF" w:rsidRDefault="00E31B15" w:rsidP="00417FBF">
      <w:pPr>
        <w:pStyle w:val="ParaNumbering"/>
        <w:tabs>
          <w:tab w:val="num" w:pos="720"/>
        </w:tabs>
        <w:ind w:left="0"/>
      </w:pPr>
      <w:r>
        <w:t>I</w:t>
      </w:r>
      <w:r w:rsidR="00417FBF">
        <w:t xml:space="preserve">n preparation for the launch of the </w:t>
      </w:r>
      <w:r w:rsidR="00417FBF" w:rsidRPr="002E3640">
        <w:t xml:space="preserve">DELPHINE </w:t>
      </w:r>
      <w:r w:rsidR="00417FBF">
        <w:t>brand, Pinnacle:</w:t>
      </w:r>
    </w:p>
    <w:p w:rsidR="00EE5F73" w:rsidRDefault="00417FBF" w:rsidP="00E97DF6">
      <w:pPr>
        <w:pStyle w:val="ListNo1"/>
        <w:numPr>
          <w:ilvl w:val="0"/>
          <w:numId w:val="24"/>
        </w:numPr>
      </w:pPr>
      <w:r>
        <w:t xml:space="preserve">constructed a website located at </w:t>
      </w:r>
      <w:r w:rsidR="00A95F12">
        <w:t>&lt;</w:t>
      </w:r>
      <w:r w:rsidRPr="005663A0">
        <w:t>www.delphinethelabel.com</w:t>
      </w:r>
      <w:r w:rsidR="00A95F12">
        <w:t>&gt;</w:t>
      </w:r>
      <w:r>
        <w:t xml:space="preserve"> (the </w:t>
      </w:r>
      <w:r w:rsidRPr="00AD192A">
        <w:rPr>
          <w:b/>
        </w:rPr>
        <w:t>DELPHINE</w:t>
      </w:r>
      <w:r>
        <w:t xml:space="preserve"> </w:t>
      </w:r>
      <w:r w:rsidRPr="00B27255">
        <w:rPr>
          <w:b/>
        </w:rPr>
        <w:t>website</w:t>
      </w:r>
      <w:r>
        <w:t xml:space="preserve">) </w:t>
      </w:r>
      <w:r w:rsidR="0009752B">
        <w:t xml:space="preserve">in or around July 2015 </w:t>
      </w:r>
      <w:r>
        <w:t>which</w:t>
      </w:r>
      <w:r w:rsidR="0009752B">
        <w:t xml:space="preserve"> included </w:t>
      </w:r>
      <w:r>
        <w:t>an online shop</w:t>
      </w:r>
      <w:r w:rsidR="00AE7A52">
        <w:t xml:space="preserve"> offering </w:t>
      </w:r>
      <w:r>
        <w:t>products for sale directly to customers</w:t>
      </w:r>
      <w:r w:rsidR="00981409">
        <w:t>;</w:t>
      </w:r>
    </w:p>
    <w:p w:rsidR="00EE5F73" w:rsidRDefault="00EE5F73" w:rsidP="00E97DF6">
      <w:pPr>
        <w:pStyle w:val="ListNo1"/>
        <w:numPr>
          <w:ilvl w:val="0"/>
          <w:numId w:val="24"/>
        </w:numPr>
      </w:pPr>
      <w:r>
        <w:t xml:space="preserve">set up a Facebook page located at </w:t>
      </w:r>
      <w:r w:rsidR="00A95F12">
        <w:t>&lt;</w:t>
      </w:r>
      <w:r>
        <w:t>www.facebook.com/delphinethelabel</w:t>
      </w:r>
      <w:r w:rsidR="00A95F12">
        <w:t>&gt;</w:t>
      </w:r>
      <w:r>
        <w:t xml:space="preserve"> (the </w:t>
      </w:r>
      <w:r w:rsidRPr="00AD192A">
        <w:rPr>
          <w:b/>
        </w:rPr>
        <w:t>DELPHINE</w:t>
      </w:r>
      <w:r>
        <w:t xml:space="preserve"> </w:t>
      </w:r>
      <w:r w:rsidRPr="00A50044">
        <w:rPr>
          <w:b/>
        </w:rPr>
        <w:t>Facebook</w:t>
      </w:r>
      <w:r>
        <w:rPr>
          <w:b/>
        </w:rPr>
        <w:t xml:space="preserve"> page</w:t>
      </w:r>
      <w:r>
        <w:t>) in or around August 2015</w:t>
      </w:r>
      <w:r w:rsidR="001B2170">
        <w:t>;</w:t>
      </w:r>
      <w:r>
        <w:t xml:space="preserve"> and</w:t>
      </w:r>
    </w:p>
    <w:p w:rsidR="00EE5F73" w:rsidRDefault="00EE5F73" w:rsidP="00E97DF6">
      <w:pPr>
        <w:pStyle w:val="ListNo1"/>
        <w:numPr>
          <w:ilvl w:val="0"/>
          <w:numId w:val="24"/>
        </w:numPr>
      </w:pPr>
      <w:r>
        <w:t xml:space="preserve">set up an Instagram account @delphinethelabel (the </w:t>
      </w:r>
      <w:r w:rsidRPr="00AD192A">
        <w:rPr>
          <w:b/>
        </w:rPr>
        <w:t>DELPHINE</w:t>
      </w:r>
      <w:r>
        <w:t xml:space="preserve"> </w:t>
      </w:r>
      <w:r w:rsidRPr="008959F1">
        <w:rPr>
          <w:b/>
        </w:rPr>
        <w:t>Instagram account</w:t>
      </w:r>
      <w:r>
        <w:t>)</w:t>
      </w:r>
      <w:r w:rsidRPr="00EE5F73">
        <w:t xml:space="preserve"> </w:t>
      </w:r>
      <w:r>
        <w:t>in or around early August 2015.</w:t>
      </w:r>
      <w:r w:rsidR="006671EC" w:rsidRPr="006671EC">
        <w:t xml:space="preserve"> </w:t>
      </w:r>
    </w:p>
    <w:p w:rsidR="00E31B15" w:rsidRDefault="00E31B15" w:rsidP="00E31B15">
      <w:pPr>
        <w:pStyle w:val="ParaNumbering"/>
        <w:tabs>
          <w:tab w:val="num" w:pos="720"/>
        </w:tabs>
        <w:ind w:left="0"/>
      </w:pPr>
      <w:r>
        <w:t>In or around August 2015</w:t>
      </w:r>
      <w:r w:rsidR="006F3E3F">
        <w:t>,</w:t>
      </w:r>
      <w:r>
        <w:t xml:space="preserve"> Pinnacle officially launched the DELPHINE label</w:t>
      </w:r>
      <w:r w:rsidR="00653322">
        <w:t xml:space="preserve"> and celebrated the occasion with a launch party held on 18 September 2015.</w:t>
      </w:r>
    </w:p>
    <w:p w:rsidR="00E31B15" w:rsidRDefault="00E31B15" w:rsidP="00E31B15">
      <w:pPr>
        <w:pStyle w:val="ParaNumbering"/>
        <w:tabs>
          <w:tab w:val="num" w:pos="720"/>
        </w:tabs>
        <w:ind w:left="0"/>
      </w:pPr>
      <w:r w:rsidRPr="005F4C7F">
        <w:t>Pinnacle</w:t>
      </w:r>
      <w:r>
        <w:t xml:space="preserve"> operated </w:t>
      </w:r>
      <w:r w:rsidRPr="005F4C7F">
        <w:t>the DELPHINE business from its Melbourne head office</w:t>
      </w:r>
      <w:r w:rsidR="009B4D58">
        <w:t xml:space="preserve"> and </w:t>
      </w:r>
      <w:r w:rsidRPr="005F4C7F">
        <w:t>it promote</w:t>
      </w:r>
      <w:r>
        <w:t>d</w:t>
      </w:r>
      <w:r w:rsidRPr="005F4C7F">
        <w:t xml:space="preserve"> </w:t>
      </w:r>
      <w:r w:rsidR="009B4D58">
        <w:t>its</w:t>
      </w:r>
      <w:r w:rsidR="009B4D58" w:rsidRPr="005F4C7F">
        <w:t xml:space="preserve"> </w:t>
      </w:r>
      <w:r w:rsidRPr="005F4C7F">
        <w:t>products around Australia and overseas.</w:t>
      </w:r>
      <w:r w:rsidR="002F7935">
        <w:t xml:space="preserve">  During </w:t>
      </w:r>
      <w:r w:rsidR="009B4D58">
        <w:t>the relevant</w:t>
      </w:r>
      <w:r w:rsidR="002F7935">
        <w:t xml:space="preserve"> period </w:t>
      </w:r>
      <w:r w:rsidR="009B4D58">
        <w:t xml:space="preserve">it had </w:t>
      </w:r>
      <w:r w:rsidRPr="005F4C7F">
        <w:t>a sales and marketing presence in each State</w:t>
      </w:r>
      <w:r w:rsidR="00653322">
        <w:t xml:space="preserve">, </w:t>
      </w:r>
      <w:r w:rsidRPr="005F4C7F">
        <w:t xml:space="preserve">the Northern Territory </w:t>
      </w:r>
      <w:r w:rsidR="00653322">
        <w:t>and</w:t>
      </w:r>
      <w:r w:rsidR="009B4D58">
        <w:t xml:space="preserve"> </w:t>
      </w:r>
      <w:r w:rsidR="002F7935">
        <w:t xml:space="preserve">in several </w:t>
      </w:r>
      <w:r w:rsidRPr="005F4C7F">
        <w:t>locations</w:t>
      </w:r>
      <w:r w:rsidR="002F7935">
        <w:t xml:space="preserve"> overseas</w:t>
      </w:r>
      <w:r w:rsidR="00653322">
        <w:t>.</w:t>
      </w:r>
      <w:r>
        <w:t xml:space="preserve"> </w:t>
      </w:r>
    </w:p>
    <w:p w:rsidR="00E31B15" w:rsidRDefault="00445E7C" w:rsidP="007D346B">
      <w:pPr>
        <w:pStyle w:val="ParaNumbering"/>
        <w:tabs>
          <w:tab w:val="num" w:pos="720"/>
        </w:tabs>
        <w:ind w:left="0"/>
      </w:pPr>
      <w:r w:rsidRPr="005F4C7F">
        <w:t>Mr Bucoy</w:t>
      </w:r>
      <w:r w:rsidR="002F7935">
        <w:t xml:space="preserve"> stated </w:t>
      </w:r>
      <w:r w:rsidRPr="005F4C7F">
        <w:t>that</w:t>
      </w:r>
      <w:r w:rsidR="0084486A">
        <w:t>,</w:t>
      </w:r>
      <w:r w:rsidRPr="005F4C7F">
        <w:t xml:space="preserve"> since</w:t>
      </w:r>
      <w:r>
        <w:t xml:space="preserve"> the </w:t>
      </w:r>
      <w:r w:rsidRPr="005F4C7F">
        <w:t xml:space="preserve">launch </w:t>
      </w:r>
      <w:r w:rsidR="0084486A">
        <w:t xml:space="preserve">of </w:t>
      </w:r>
      <w:r w:rsidRPr="005F4C7F">
        <w:t xml:space="preserve">the DELPHINE </w:t>
      </w:r>
      <w:r>
        <w:t>brand</w:t>
      </w:r>
      <w:r w:rsidRPr="005F4C7F">
        <w:t xml:space="preserve"> </w:t>
      </w:r>
      <w:r>
        <w:t>in August 2015</w:t>
      </w:r>
      <w:r w:rsidR="0084486A">
        <w:t>,</w:t>
      </w:r>
      <w:r>
        <w:t xml:space="preserve"> </w:t>
      </w:r>
      <w:r w:rsidR="0084486A">
        <w:t>the brand</w:t>
      </w:r>
      <w:r>
        <w:t xml:space="preserve"> “</w:t>
      </w:r>
      <w:r w:rsidRPr="005F4C7F">
        <w:t xml:space="preserve">encompassed all manner of women’s fashions including but not limited to swimsuits and </w:t>
      </w:r>
      <w:r w:rsidRPr="005F4C7F">
        <w:lastRenderedPageBreak/>
        <w:t>bodysuits/leotards, dresses, outerwear, tops, jumpsuits, and bottoms namely skirts, pants and shorts</w:t>
      </w:r>
      <w:r>
        <w:t xml:space="preserve">” </w:t>
      </w:r>
      <w:r w:rsidR="00D9012E">
        <w:t xml:space="preserve">(the </w:t>
      </w:r>
      <w:r w:rsidR="00AE7A52" w:rsidRPr="00AE7A52">
        <w:rPr>
          <w:b/>
        </w:rPr>
        <w:t>DELPHINE</w:t>
      </w:r>
      <w:r w:rsidR="00AE7A52">
        <w:t xml:space="preserve"> </w:t>
      </w:r>
      <w:r w:rsidR="00D9012E" w:rsidRPr="00D9012E">
        <w:rPr>
          <w:b/>
        </w:rPr>
        <w:t>Products</w:t>
      </w:r>
      <w:r w:rsidR="00D9012E">
        <w:t>)</w:t>
      </w:r>
      <w:r w:rsidR="00E31B15">
        <w:t>.</w:t>
      </w:r>
      <w:r w:rsidR="00067766">
        <w:t xml:space="preserve">  He </w:t>
      </w:r>
      <w:r w:rsidR="009B4D58">
        <w:t>adduced</w:t>
      </w:r>
      <w:r w:rsidR="001E0E0A">
        <w:t xml:space="preserve"> screenshots of pages on </w:t>
      </w:r>
      <w:r w:rsidR="00E31B15">
        <w:t>the</w:t>
      </w:r>
      <w:r w:rsidR="00E31B15" w:rsidRPr="007E0379">
        <w:t xml:space="preserve"> </w:t>
      </w:r>
      <w:r w:rsidR="00E31B15">
        <w:t xml:space="preserve">DELPHINE website </w:t>
      </w:r>
      <w:r w:rsidR="00186F30">
        <w:t xml:space="preserve">from </w:t>
      </w:r>
      <w:r w:rsidR="007D346B">
        <w:t xml:space="preserve">the period </w:t>
      </w:r>
      <w:r w:rsidR="00DA1BEB">
        <w:t xml:space="preserve">September </w:t>
      </w:r>
      <w:r w:rsidR="00E31B15">
        <w:t>201</w:t>
      </w:r>
      <w:r w:rsidR="00DA1BEB">
        <w:t>5</w:t>
      </w:r>
      <w:r w:rsidR="00E31B15">
        <w:t xml:space="preserve"> to April 2017</w:t>
      </w:r>
      <w:r w:rsidR="007D346B">
        <w:t xml:space="preserve"> </w:t>
      </w:r>
      <w:r w:rsidR="001E0E0A">
        <w:t xml:space="preserve">showing the promotion of DELPHINE Products </w:t>
      </w:r>
      <w:r w:rsidR="007D346B">
        <w:t>(</w:t>
      </w:r>
      <w:r w:rsidR="002F7935">
        <w:t xml:space="preserve">obtained </w:t>
      </w:r>
      <w:r w:rsidR="007D346B">
        <w:t xml:space="preserve">through searches </w:t>
      </w:r>
      <w:r w:rsidR="00D9012E">
        <w:t>using the</w:t>
      </w:r>
      <w:r w:rsidR="00D9012E" w:rsidRPr="00D9012E">
        <w:t xml:space="preserve"> </w:t>
      </w:r>
      <w:r w:rsidR="00D9012E">
        <w:t xml:space="preserve">internet </w:t>
      </w:r>
      <w:r w:rsidR="00653322">
        <w:t>‘</w:t>
      </w:r>
      <w:r w:rsidR="00D9012E">
        <w:t>Wayback Machine</w:t>
      </w:r>
      <w:r w:rsidR="00653322">
        <w:t>’</w:t>
      </w:r>
      <w:r w:rsidR="001E0E0A">
        <w:t xml:space="preserve">) which I infer were taken </w:t>
      </w:r>
      <w:r w:rsidR="002F7935">
        <w:t xml:space="preserve">around the time </w:t>
      </w:r>
      <w:r w:rsidR="00186F30">
        <w:t xml:space="preserve">that </w:t>
      </w:r>
      <w:r w:rsidR="00AE7A52">
        <w:t xml:space="preserve">Mr Bucoy </w:t>
      </w:r>
      <w:r w:rsidR="002F7935">
        <w:t xml:space="preserve">made his </w:t>
      </w:r>
      <w:r w:rsidR="00AE7A52">
        <w:t>affidavit</w:t>
      </w:r>
      <w:r w:rsidR="00E31B15">
        <w:t>.</w:t>
      </w:r>
      <w:r w:rsidR="00AE7A52" w:rsidRPr="00AE7A52">
        <w:t xml:space="preserve"> </w:t>
      </w:r>
      <w:r w:rsidR="00186F30">
        <w:t xml:space="preserve"> </w:t>
      </w:r>
      <w:r w:rsidR="00AE7A52">
        <w:t>Triangl</w:t>
      </w:r>
      <w:r w:rsidR="002F7935">
        <w:t xml:space="preserve"> raised no objection </w:t>
      </w:r>
      <w:r w:rsidR="00063D27">
        <w:t>to Mr </w:t>
      </w:r>
      <w:r w:rsidR="00AE7A52">
        <w:t>Bucoy adducing</w:t>
      </w:r>
      <w:r w:rsidR="001E0E0A">
        <w:t xml:space="preserve"> these</w:t>
      </w:r>
      <w:r w:rsidR="0081669B">
        <w:t xml:space="preserve"> screenshots </w:t>
      </w:r>
      <w:r w:rsidR="002F7935">
        <w:t xml:space="preserve">into evidence </w:t>
      </w:r>
      <w:r w:rsidR="00AE7A52">
        <w:t>and I have treated</w:t>
      </w:r>
      <w:r w:rsidR="002F7935">
        <w:t xml:space="preserve"> them </w:t>
      </w:r>
      <w:r w:rsidR="00AE7A52">
        <w:t xml:space="preserve">as admissible. </w:t>
      </w:r>
    </w:p>
    <w:p w:rsidR="006E7CBF" w:rsidRDefault="002F7935" w:rsidP="006E7CBF">
      <w:pPr>
        <w:pStyle w:val="ParaNumbering"/>
        <w:tabs>
          <w:tab w:val="num" w:pos="720"/>
        </w:tabs>
        <w:ind w:left="0"/>
      </w:pPr>
      <w:r>
        <w:t>He said that</w:t>
      </w:r>
      <w:r w:rsidR="00186F30">
        <w:t>,</w:t>
      </w:r>
      <w:r>
        <w:t xml:space="preserve"> following </w:t>
      </w:r>
      <w:r w:rsidR="00186F30">
        <w:t xml:space="preserve">its </w:t>
      </w:r>
      <w:r w:rsidR="006E7CBF">
        <w:t>launch</w:t>
      </w:r>
      <w:r w:rsidR="00186F30">
        <w:t>,</w:t>
      </w:r>
      <w:r w:rsidR="006E7CBF">
        <w:t xml:space="preserve"> Pinnacle used social media extensively to help promote DELPHINE Products, including via its Facebook page and its Instagram account.  There is some direct evidence of Pinnacle’s promotion of DELPHINE Products via its Facebook page from August 2015</w:t>
      </w:r>
      <w:r>
        <w:t xml:space="preserve"> but</w:t>
      </w:r>
      <w:r w:rsidR="006E7CBF">
        <w:t xml:space="preserve">, because its Instagram account was hacked in August 2017 and the contents of the account lost, there is no evidence about </w:t>
      </w:r>
      <w:r w:rsidR="00420754">
        <w:t xml:space="preserve">the number of followers it had or </w:t>
      </w:r>
      <w:r w:rsidR="006E7CBF">
        <w:t>the extent of Instagram posts promoting DELPHINE Products prior to and during the relevant period.  Mr Bucoy</w:t>
      </w:r>
      <w:r w:rsidR="00420754">
        <w:t xml:space="preserve"> said </w:t>
      </w:r>
      <w:r w:rsidR="006E7CBF">
        <w:t xml:space="preserve">that the DELPHINE Instagram account had approximately 20,000 followers prior to August 2017 and that it gained 3,256 followers between August 2017 and April 2018, </w:t>
      </w:r>
      <w:r w:rsidR="00420754">
        <w:t xml:space="preserve">but he did not estimate how many there were up to and including the relevant period. </w:t>
      </w:r>
      <w:r w:rsidR="008E0AE9">
        <w:t xml:space="preserve"> </w:t>
      </w:r>
      <w:r w:rsidR="00420754">
        <w:t xml:space="preserve">Up to and including the relevant period DELPHINE was just starting up and I </w:t>
      </w:r>
      <w:r w:rsidR="006E7CBF">
        <w:t>infer that</w:t>
      </w:r>
      <w:r>
        <w:t xml:space="preserve"> </w:t>
      </w:r>
      <w:r w:rsidR="0081669B">
        <w:t xml:space="preserve">the DELPHINE Instagram account had </w:t>
      </w:r>
      <w:r w:rsidR="00420754">
        <w:t xml:space="preserve">many less followers than that </w:t>
      </w:r>
      <w:r>
        <w:t>during the relevant period</w:t>
      </w:r>
      <w:r w:rsidR="00420754">
        <w:t>, but the number is unknown</w:t>
      </w:r>
      <w:r w:rsidR="006E7CBF">
        <w:t>.</w:t>
      </w:r>
      <w:r w:rsidR="00954579" w:rsidRPr="00954579">
        <w:t xml:space="preserve"> </w:t>
      </w:r>
    </w:p>
    <w:p w:rsidR="006E7CBF" w:rsidRDefault="006E7CBF" w:rsidP="006E7CBF">
      <w:pPr>
        <w:pStyle w:val="ParaNumbering"/>
        <w:tabs>
          <w:tab w:val="num" w:pos="720"/>
        </w:tabs>
        <w:ind w:left="0"/>
      </w:pPr>
      <w:r>
        <w:t>Pinnacle employed fashion agencies to promote the DELPHINE label and DELPHINE Products domestically and internationally.</w:t>
      </w:r>
      <w:r w:rsidR="00836178">
        <w:t xml:space="preserve">  The evidence shows that up to and including </w:t>
      </w:r>
      <w:r>
        <w:t>the relevant period Pinnacle engaged the Halation Agency to represent the</w:t>
      </w:r>
      <w:r w:rsidRPr="0064374D">
        <w:t xml:space="preserve"> </w:t>
      </w:r>
      <w:r>
        <w:t>DELPHINE label in New South Wales, Queensland and the Northern Territory, and the 4Threads Fashion Agency to represent the</w:t>
      </w:r>
      <w:r w:rsidRPr="0064374D">
        <w:t xml:space="preserve"> </w:t>
      </w:r>
      <w:r>
        <w:t>DELPHINE label in Victoria and Tasmania.</w:t>
      </w:r>
      <w:r w:rsidR="00186F30">
        <w:t xml:space="preserve">  </w:t>
      </w:r>
      <w:r>
        <w:t>Pinnacle also employed public relations agencies to promote the DELPHINE label in various media, forums and events both in Australia and internationally.</w:t>
      </w:r>
      <w:r w:rsidR="003817A2">
        <w:t xml:space="preserve">  I accept Mr Bucoy’s unchallenged evidence that these agencies assisted in raising </w:t>
      </w:r>
      <w:r>
        <w:t xml:space="preserve">brand awareness of the DELPHINE label by arranging promotion and feature articles of </w:t>
      </w:r>
      <w:r w:rsidRPr="00AD192A">
        <w:t xml:space="preserve">DELPHINE Products </w:t>
      </w:r>
      <w:r>
        <w:t xml:space="preserve">in blogs, online and </w:t>
      </w:r>
      <w:r w:rsidR="00D03915">
        <w:t>print</w:t>
      </w:r>
      <w:r>
        <w:t xml:space="preserve"> magazines and newspapers and through their contacts with stylists and influencers on social media.</w:t>
      </w:r>
      <w:r w:rsidR="00D03915" w:rsidRPr="00D03915">
        <w:t xml:space="preserve"> </w:t>
      </w:r>
    </w:p>
    <w:p w:rsidR="003817A2" w:rsidRDefault="00836178" w:rsidP="00E31B15">
      <w:pPr>
        <w:pStyle w:val="ParaNumbering"/>
        <w:tabs>
          <w:tab w:val="num" w:pos="720"/>
        </w:tabs>
        <w:ind w:left="0"/>
      </w:pPr>
      <w:r>
        <w:t xml:space="preserve">Mr Bucoy stated that </w:t>
      </w:r>
      <w:r w:rsidR="00E31B15">
        <w:t>DELPHINE Products</w:t>
      </w:r>
      <w:r>
        <w:t xml:space="preserve"> </w:t>
      </w:r>
      <w:r w:rsidR="00186F30">
        <w:t xml:space="preserve">were </w:t>
      </w:r>
      <w:r w:rsidR="009C5BAF">
        <w:t xml:space="preserve">marketed </w:t>
      </w:r>
      <w:r w:rsidR="00E31B15">
        <w:t>and sold by a number of large and popular online and off-line fashion retailers, including T</w:t>
      </w:r>
      <w:r w:rsidR="00445E7C">
        <w:t>HE ICONIC</w:t>
      </w:r>
      <w:r w:rsidR="00E31B15">
        <w:t>,</w:t>
      </w:r>
      <w:r w:rsidR="00E91950">
        <w:t xml:space="preserve"> </w:t>
      </w:r>
      <w:r w:rsidR="00445E7C">
        <w:t>an online retailer</w:t>
      </w:r>
      <w:r w:rsidR="00E31B15">
        <w:t xml:space="preserve"> located at </w:t>
      </w:r>
      <w:r w:rsidR="00A95F12">
        <w:t>&lt;</w:t>
      </w:r>
      <w:r w:rsidR="00E31B15" w:rsidRPr="0060246D">
        <w:t>www.the</w:t>
      </w:r>
      <w:r w:rsidR="00E31B15">
        <w:t>iconic.com.au</w:t>
      </w:r>
      <w:r w:rsidR="00A95F12">
        <w:t>&gt;</w:t>
      </w:r>
      <w:r w:rsidR="00E31B15">
        <w:t xml:space="preserve"> (</w:t>
      </w:r>
      <w:r w:rsidR="00445E7C" w:rsidRPr="003817A2">
        <w:rPr>
          <w:b/>
        </w:rPr>
        <w:t>T</w:t>
      </w:r>
      <w:r w:rsidR="00445E7C">
        <w:rPr>
          <w:b/>
        </w:rPr>
        <w:t>HE ICONIC</w:t>
      </w:r>
      <w:r w:rsidR="00E31B15" w:rsidRPr="0060246D">
        <w:rPr>
          <w:b/>
        </w:rPr>
        <w:t xml:space="preserve"> website</w:t>
      </w:r>
      <w:r w:rsidR="00E31B15">
        <w:t>).</w:t>
      </w:r>
      <w:r w:rsidR="003817A2">
        <w:t xml:space="preserve">  </w:t>
      </w:r>
      <w:r w:rsidR="00445E7C">
        <w:t xml:space="preserve">THE ICONIC </w:t>
      </w:r>
      <w:r>
        <w:t xml:space="preserve">is a large and popular </w:t>
      </w:r>
      <w:r>
        <w:lastRenderedPageBreak/>
        <w:t xml:space="preserve">online fashion retailer in Australia and in the relevant period it </w:t>
      </w:r>
      <w:r w:rsidR="00445E7C">
        <w:t>wa</w:t>
      </w:r>
      <w:r w:rsidR="003817A2">
        <w:t>s the principal stockist of</w:t>
      </w:r>
      <w:r w:rsidR="003817A2" w:rsidRPr="00000B5E">
        <w:t xml:space="preserve"> </w:t>
      </w:r>
      <w:r w:rsidR="003817A2">
        <w:t>DELPHINE Products</w:t>
      </w:r>
      <w:r w:rsidR="00E91950">
        <w:t>.</w:t>
      </w:r>
    </w:p>
    <w:p w:rsidR="00E31B15" w:rsidRDefault="00D57DCF" w:rsidP="00DE1C96">
      <w:pPr>
        <w:pStyle w:val="ParaNumbering"/>
        <w:tabs>
          <w:tab w:val="num" w:pos="720"/>
        </w:tabs>
        <w:ind w:left="0"/>
      </w:pPr>
      <w:r>
        <w:t>Mr Bucoy</w:t>
      </w:r>
      <w:r w:rsidR="005A7EC0">
        <w:t xml:space="preserve"> adduced</w:t>
      </w:r>
      <w:r w:rsidR="001E0E0A">
        <w:t xml:space="preserve"> screenshots of </w:t>
      </w:r>
      <w:r w:rsidR="005A7EC0">
        <w:t xml:space="preserve">webpages from </w:t>
      </w:r>
      <w:r>
        <w:t>the</w:t>
      </w:r>
      <w:r w:rsidRPr="00D34475">
        <w:t xml:space="preserve"> </w:t>
      </w:r>
      <w:r>
        <w:t>DELPHINE website</w:t>
      </w:r>
      <w:r w:rsidR="005A7EC0">
        <w:t xml:space="preserve"> in </w:t>
      </w:r>
      <w:r>
        <w:t>March 2016</w:t>
      </w:r>
      <w:r w:rsidR="005A7EC0">
        <w:t xml:space="preserve"> (obtained th</w:t>
      </w:r>
      <w:r>
        <w:t xml:space="preserve">rough </w:t>
      </w:r>
      <w:r w:rsidR="005A7EC0">
        <w:t xml:space="preserve">internet </w:t>
      </w:r>
      <w:r>
        <w:t>searches using the Wayback Machine</w:t>
      </w:r>
      <w:r w:rsidR="005A7EC0">
        <w:t>)</w:t>
      </w:r>
      <w:r>
        <w:t xml:space="preserve"> which listed the online and in-store stockists of </w:t>
      </w:r>
      <w:r w:rsidR="00AE7A52">
        <w:t xml:space="preserve">DELPHINE </w:t>
      </w:r>
      <w:r>
        <w:t>Products</w:t>
      </w:r>
      <w:r w:rsidR="005A7EC0">
        <w:t xml:space="preserve"> at that time</w:t>
      </w:r>
      <w:r>
        <w:t>.</w:t>
      </w:r>
      <w:r w:rsidR="001E0E0A">
        <w:t xml:space="preserve">  </w:t>
      </w:r>
      <w:r w:rsidR="0081669B">
        <w:t xml:space="preserve">Triangl </w:t>
      </w:r>
      <w:r w:rsidR="00420754">
        <w:t xml:space="preserve">again </w:t>
      </w:r>
      <w:r w:rsidR="0081669B">
        <w:t xml:space="preserve">raised no objection to this evidence and I have treated it as admissible.  </w:t>
      </w:r>
      <w:r w:rsidR="001E0E0A">
        <w:t>I infer these screenshots were taken at around the time Mr Bucoy made his affidavit</w:t>
      </w:r>
      <w:r w:rsidR="00116418">
        <w:t xml:space="preserve"> and they</w:t>
      </w:r>
      <w:r w:rsidR="0081669B">
        <w:t xml:space="preserve"> indicate </w:t>
      </w:r>
      <w:r w:rsidR="003817A2">
        <w:t>that</w:t>
      </w:r>
      <w:r w:rsidR="00836178">
        <w:t>,</w:t>
      </w:r>
      <w:r w:rsidR="0081669B">
        <w:t xml:space="preserve"> shortly before the relevant period</w:t>
      </w:r>
      <w:r w:rsidR="00836178">
        <w:t>,</w:t>
      </w:r>
      <w:r w:rsidR="009C5BAF">
        <w:t xml:space="preserve"> </w:t>
      </w:r>
      <w:r>
        <w:t>eight</w:t>
      </w:r>
      <w:r w:rsidR="009C5BAF">
        <w:t xml:space="preserve"> online retailers and 2</w:t>
      </w:r>
      <w:r w:rsidR="00DA1C07">
        <w:t>3</w:t>
      </w:r>
      <w:r w:rsidR="009C5BAF">
        <w:t xml:space="preserve"> in-store retailers </w:t>
      </w:r>
      <w:r w:rsidR="003A1C5E">
        <w:t>marketed and sold DELPHINE Products</w:t>
      </w:r>
      <w:r w:rsidR="009C5BAF">
        <w:t xml:space="preserve"> in Australia</w:t>
      </w:r>
      <w:r>
        <w:t>.</w:t>
      </w:r>
      <w:r w:rsidR="00CA6234">
        <w:t xml:space="preserve"> </w:t>
      </w:r>
      <w:r w:rsidR="003A1C5E">
        <w:t xml:space="preserve"> </w:t>
      </w:r>
      <w:r w:rsidR="003817A2">
        <w:t>Mr Bucoy also provided Pinnacle’s current list of online and in-store retailers, which</w:t>
      </w:r>
      <w:r w:rsidR="009C5BAF">
        <w:t xml:space="preserve"> shows </w:t>
      </w:r>
      <w:r w:rsidR="003817A2">
        <w:t xml:space="preserve">that </w:t>
      </w:r>
      <w:r w:rsidR="00AE7A52">
        <w:t xml:space="preserve">as </w:t>
      </w:r>
      <w:r w:rsidR="003817A2">
        <w:t>at</w:t>
      </w:r>
      <w:r w:rsidR="00AE7A52">
        <w:t xml:space="preserve"> the date of his affidavit </w:t>
      </w:r>
      <w:r w:rsidR="009C5BAF">
        <w:t xml:space="preserve">seven online retailers </w:t>
      </w:r>
      <w:r w:rsidR="003817A2">
        <w:t>and</w:t>
      </w:r>
      <w:r w:rsidR="009C5BAF">
        <w:t xml:space="preserve"> 2</w:t>
      </w:r>
      <w:r w:rsidR="00CA6234">
        <w:t>4</w:t>
      </w:r>
      <w:r w:rsidR="009C5BAF">
        <w:t xml:space="preserve"> </w:t>
      </w:r>
      <w:r w:rsidR="003817A2">
        <w:t>in-store retailers</w:t>
      </w:r>
      <w:r w:rsidR="00AE7A52">
        <w:t xml:space="preserve"> marketed </w:t>
      </w:r>
      <w:r w:rsidR="003817A2">
        <w:t>and</w:t>
      </w:r>
      <w:r w:rsidR="00AE7A52">
        <w:t xml:space="preserve"> sold </w:t>
      </w:r>
      <w:r w:rsidR="003817A2">
        <w:t>DELPHINE Products</w:t>
      </w:r>
      <w:r w:rsidR="009C5BAF">
        <w:t xml:space="preserve"> in Australia</w:t>
      </w:r>
      <w:r w:rsidR="003817A2">
        <w:t>.</w:t>
      </w:r>
      <w:r w:rsidR="008D262B">
        <w:t xml:space="preserve">  </w:t>
      </w:r>
      <w:r w:rsidR="00E31B15">
        <w:t>Mr Bucoy</w:t>
      </w:r>
      <w:r w:rsidR="00836178">
        <w:t xml:space="preserve"> </w:t>
      </w:r>
      <w:r w:rsidR="001E0E0A">
        <w:t xml:space="preserve">also </w:t>
      </w:r>
      <w:r w:rsidR="00836178">
        <w:t xml:space="preserve">adduced various </w:t>
      </w:r>
      <w:r w:rsidR="00E31B15">
        <w:t xml:space="preserve">screenshots </w:t>
      </w:r>
      <w:r w:rsidR="008D262B">
        <w:t xml:space="preserve">of </w:t>
      </w:r>
      <w:r w:rsidR="00445E7C">
        <w:t>THE ICONIC</w:t>
      </w:r>
      <w:r w:rsidR="008D262B">
        <w:t xml:space="preserve"> website</w:t>
      </w:r>
      <w:r w:rsidR="00836178">
        <w:t xml:space="preserve"> which I infer were taken at</w:t>
      </w:r>
      <w:r w:rsidR="001E0E0A">
        <w:t xml:space="preserve"> </w:t>
      </w:r>
      <w:r w:rsidR="00C753BC">
        <w:t xml:space="preserve">the </w:t>
      </w:r>
      <w:r w:rsidR="001E0E0A">
        <w:t xml:space="preserve">same time </w:t>
      </w:r>
      <w:r w:rsidR="00116418">
        <w:t xml:space="preserve">and </w:t>
      </w:r>
      <w:r w:rsidR="00836178">
        <w:t xml:space="preserve">which show the </w:t>
      </w:r>
      <w:r w:rsidR="008D262B">
        <w:t xml:space="preserve">promotion of </w:t>
      </w:r>
      <w:r w:rsidR="00E31B15">
        <w:t>various DELPHINE Products</w:t>
      </w:r>
      <w:r w:rsidR="001E0E0A">
        <w:t xml:space="preserve"> on that website</w:t>
      </w:r>
      <w:r w:rsidR="00E31B15">
        <w:t xml:space="preserve">.  </w:t>
      </w:r>
    </w:p>
    <w:p w:rsidR="0094705E" w:rsidRDefault="00200FFF" w:rsidP="00200FFF">
      <w:pPr>
        <w:pStyle w:val="Heading3"/>
      </w:pPr>
      <w:r>
        <w:t>The limited extent of Pinnacle’s</w:t>
      </w:r>
      <w:r w:rsidR="008D262B">
        <w:t xml:space="preserve"> marketing and sale </w:t>
      </w:r>
      <w:r>
        <w:t>of women’s swimwear</w:t>
      </w:r>
    </w:p>
    <w:p w:rsidR="007461D5" w:rsidRDefault="00445E7C" w:rsidP="00DE1C96">
      <w:pPr>
        <w:pStyle w:val="ParaNumbering"/>
        <w:tabs>
          <w:tab w:val="num" w:pos="720"/>
        </w:tabs>
        <w:ind w:left="0"/>
      </w:pPr>
      <w:r>
        <w:t>Mr Bucoy</w:t>
      </w:r>
      <w:r w:rsidR="0081669B">
        <w:t xml:space="preserve"> said </w:t>
      </w:r>
      <w:r w:rsidR="00CC6D2D" w:rsidRPr="005F4C7F">
        <w:t xml:space="preserve">that </w:t>
      </w:r>
      <w:r w:rsidR="00317C53" w:rsidRPr="005F4C7F">
        <w:t>during the period December 2015 to December 2016</w:t>
      </w:r>
      <w:r w:rsidR="00317C53">
        <w:t xml:space="preserve"> </w:t>
      </w:r>
      <w:r w:rsidR="007461D5" w:rsidRPr="005A4F82">
        <w:t>Pinnacle released</w:t>
      </w:r>
      <w:r w:rsidR="00C15F85">
        <w:t xml:space="preserve"> the following </w:t>
      </w:r>
      <w:r w:rsidR="007461D5" w:rsidRPr="005A4F82">
        <w:t xml:space="preserve">collection of </w:t>
      </w:r>
      <w:r w:rsidR="00317C53">
        <w:t>seven</w:t>
      </w:r>
      <w:r w:rsidR="001C69E2">
        <w:t xml:space="preserve"> Delphine </w:t>
      </w:r>
      <w:r w:rsidR="007461D5" w:rsidRPr="005A4F82">
        <w:t>Products</w:t>
      </w:r>
      <w:r w:rsidR="00317C53">
        <w:t xml:space="preserve"> </w:t>
      </w:r>
      <w:r w:rsidR="008D262B">
        <w:t xml:space="preserve">which he described </w:t>
      </w:r>
      <w:r w:rsidR="00C15F85">
        <w:t xml:space="preserve">collectively </w:t>
      </w:r>
      <w:r w:rsidR="008D262B">
        <w:t xml:space="preserve">as </w:t>
      </w:r>
      <w:r w:rsidR="00C15F85">
        <w:t xml:space="preserve">the </w:t>
      </w:r>
      <w:r w:rsidR="008D262B">
        <w:t>“</w:t>
      </w:r>
      <w:r w:rsidR="00C15F85" w:rsidRPr="007F756F">
        <w:rPr>
          <w:b/>
        </w:rPr>
        <w:t xml:space="preserve">DELPHINE </w:t>
      </w:r>
      <w:r w:rsidR="00CC6D2D" w:rsidRPr="00E9076E">
        <w:rPr>
          <w:b/>
        </w:rPr>
        <w:t>Swimwear Products</w:t>
      </w:r>
      <w:r w:rsidR="008D262B">
        <w:t>”</w:t>
      </w:r>
      <w:r w:rsidR="00317C53">
        <w:t>:</w:t>
      </w:r>
    </w:p>
    <w:p w:rsidR="007461D5" w:rsidRPr="00CF3776" w:rsidRDefault="004C4B24" w:rsidP="007461D5">
      <w:pPr>
        <w:pStyle w:val="NoNum"/>
        <w:jc w:val="center"/>
      </w:pPr>
      <w:r>
        <w:rPr>
          <w:noProof/>
          <w:lang w:eastAsia="en-AU"/>
        </w:rPr>
        <w:drawing>
          <wp:inline distT="0" distB="0" distL="0" distR="0">
            <wp:extent cx="3896139" cy="1945696"/>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2.jpg"/>
                    <pic:cNvPicPr/>
                  </pic:nvPicPr>
                  <pic:blipFill>
                    <a:blip r:embed="rId14">
                      <a:extLst>
                        <a:ext uri="{28A0092B-C50C-407E-A947-70E740481C1C}">
                          <a14:useLocalDpi xmlns:a14="http://schemas.microsoft.com/office/drawing/2010/main" val="0"/>
                        </a:ext>
                      </a:extLst>
                    </a:blip>
                    <a:stretch>
                      <a:fillRect/>
                    </a:stretch>
                  </pic:blipFill>
                  <pic:spPr>
                    <a:xfrm>
                      <a:off x="0" y="0"/>
                      <a:ext cx="3928862" cy="1962038"/>
                    </a:xfrm>
                    <a:prstGeom prst="rect">
                      <a:avLst/>
                    </a:prstGeom>
                  </pic:spPr>
                </pic:pic>
              </a:graphicData>
            </a:graphic>
          </wp:inline>
        </w:drawing>
      </w:r>
    </w:p>
    <w:p w:rsidR="00445E7C" w:rsidRPr="00D87D8F" w:rsidRDefault="00C15F85" w:rsidP="00445E7C">
      <w:pPr>
        <w:pStyle w:val="ParaNumbering"/>
        <w:tabs>
          <w:tab w:val="num" w:pos="720"/>
        </w:tabs>
        <w:ind w:left="0"/>
      </w:pPr>
      <w:r w:rsidRPr="00CF3776">
        <w:t>That description was misleading.  E</w:t>
      </w:r>
      <w:r w:rsidR="00445E7C" w:rsidRPr="00CF3776">
        <w:t>xcept for one</w:t>
      </w:r>
      <w:r w:rsidRPr="00CF3776">
        <w:t xml:space="preserve"> item </w:t>
      </w:r>
      <w:r w:rsidR="00445E7C" w:rsidRPr="00CF3776">
        <w:t>named ‘Underwater Swim’ the collection cards Pinnacle used to promote this</w:t>
      </w:r>
      <w:r w:rsidRPr="00CF3776">
        <w:t xml:space="preserve"> collection show </w:t>
      </w:r>
      <w:r w:rsidR="00420754">
        <w:t xml:space="preserve">all </w:t>
      </w:r>
      <w:r w:rsidRPr="00CF3776">
        <w:t>the</w:t>
      </w:r>
      <w:r w:rsidR="00116418">
        <w:t xml:space="preserve"> products </w:t>
      </w:r>
      <w:r w:rsidRPr="00CF3776">
        <w:t xml:space="preserve">to be </w:t>
      </w:r>
      <w:r w:rsidR="00445E7C" w:rsidRPr="00CF3776">
        <w:t>bodysuits</w:t>
      </w:r>
      <w:r w:rsidR="00445E7C">
        <w:t xml:space="preserve"> or leotards </w:t>
      </w:r>
      <w:r w:rsidR="00445E7C" w:rsidRPr="00D87D8F">
        <w:t xml:space="preserve">rather than </w:t>
      </w:r>
      <w:r w:rsidR="00445E7C">
        <w:t>swimwear.</w:t>
      </w:r>
      <w:r w:rsidR="00836178">
        <w:t xml:space="preserve">  Those </w:t>
      </w:r>
      <w:r w:rsidR="00445E7C">
        <w:t>cards record the full names of the products as follows</w:t>
      </w:r>
      <w:r w:rsidR="00445E7C" w:rsidRPr="00D87D8F">
        <w:t>:</w:t>
      </w:r>
      <w:r w:rsidR="00445E7C" w:rsidRPr="00193F58">
        <w:t xml:space="preserve"> </w:t>
      </w:r>
    </w:p>
    <w:p w:rsidR="00445E7C" w:rsidRPr="00D87D8F" w:rsidRDefault="00445E7C" w:rsidP="00E97DF6">
      <w:pPr>
        <w:pStyle w:val="ListNo1"/>
        <w:numPr>
          <w:ilvl w:val="0"/>
          <w:numId w:val="23"/>
        </w:numPr>
      </w:pPr>
      <w:r w:rsidRPr="00D87D8F">
        <w:t>style number DP017 - Weekend Warrior Leotard;</w:t>
      </w:r>
    </w:p>
    <w:p w:rsidR="00445E7C" w:rsidRPr="00D87D8F" w:rsidRDefault="00445E7C" w:rsidP="00E97DF6">
      <w:pPr>
        <w:pStyle w:val="ListNo1"/>
        <w:numPr>
          <w:ilvl w:val="0"/>
          <w:numId w:val="23"/>
        </w:numPr>
      </w:pPr>
      <w:r>
        <w:t xml:space="preserve">style number DP024 - </w:t>
      </w:r>
      <w:r w:rsidRPr="00D87D8F">
        <w:t>Cross Over Leotard;</w:t>
      </w:r>
    </w:p>
    <w:p w:rsidR="00445E7C" w:rsidRPr="00D87D8F" w:rsidRDefault="00445E7C" w:rsidP="00E97DF6">
      <w:pPr>
        <w:pStyle w:val="ListNo1"/>
        <w:numPr>
          <w:ilvl w:val="0"/>
          <w:numId w:val="23"/>
        </w:numPr>
      </w:pPr>
      <w:r>
        <w:t xml:space="preserve">style number TD016 - </w:t>
      </w:r>
      <w:r w:rsidRPr="00D87D8F">
        <w:t>Your Anchor - Bodysuit;</w:t>
      </w:r>
    </w:p>
    <w:p w:rsidR="00445E7C" w:rsidRPr="00D87D8F" w:rsidRDefault="00445E7C" w:rsidP="00E97DF6">
      <w:pPr>
        <w:pStyle w:val="ListNo1"/>
        <w:numPr>
          <w:ilvl w:val="0"/>
          <w:numId w:val="23"/>
        </w:numPr>
      </w:pPr>
      <w:r w:rsidRPr="00D87D8F">
        <w:lastRenderedPageBreak/>
        <w:t>style number</w:t>
      </w:r>
      <w:r w:rsidR="00981409">
        <w:t xml:space="preserve"> </w:t>
      </w:r>
      <w:r w:rsidRPr="00D87D8F">
        <w:t>WX081 - Square One - Bodysuit;</w:t>
      </w:r>
    </w:p>
    <w:p w:rsidR="00445E7C" w:rsidRPr="00D87D8F" w:rsidRDefault="00445E7C" w:rsidP="00E97DF6">
      <w:pPr>
        <w:pStyle w:val="ListNo1"/>
        <w:numPr>
          <w:ilvl w:val="0"/>
          <w:numId w:val="23"/>
        </w:numPr>
      </w:pPr>
      <w:r>
        <w:t>style number WX080 - Exhibitionist - Bodysuit</w:t>
      </w:r>
      <w:r w:rsidRPr="00D87D8F">
        <w:t>;</w:t>
      </w:r>
    </w:p>
    <w:p w:rsidR="00445E7C" w:rsidRDefault="00445E7C" w:rsidP="00E97DF6">
      <w:pPr>
        <w:pStyle w:val="ListNo1"/>
        <w:numPr>
          <w:ilvl w:val="0"/>
          <w:numId w:val="23"/>
        </w:numPr>
      </w:pPr>
      <w:r w:rsidRPr="00D87D8F">
        <w:t>style number SF031 - Essence Bodysuit</w:t>
      </w:r>
      <w:r>
        <w:t>; and</w:t>
      </w:r>
    </w:p>
    <w:p w:rsidR="00445E7C" w:rsidRDefault="00445E7C" w:rsidP="00E97DF6">
      <w:pPr>
        <w:pStyle w:val="ListNo1"/>
        <w:numPr>
          <w:ilvl w:val="0"/>
          <w:numId w:val="23"/>
        </w:numPr>
      </w:pPr>
      <w:r>
        <w:t xml:space="preserve">style number SF028 </w:t>
      </w:r>
      <w:r w:rsidR="00E17C83" w:rsidRPr="00D87D8F">
        <w:t>-</w:t>
      </w:r>
      <w:r>
        <w:t xml:space="preserve"> Underwater Two Piece.</w:t>
      </w:r>
      <w:r w:rsidRPr="00193F58">
        <w:t xml:space="preserve"> </w:t>
      </w:r>
    </w:p>
    <w:p w:rsidR="00AF2A65" w:rsidRDefault="00420754" w:rsidP="007461D5">
      <w:pPr>
        <w:pStyle w:val="ParaNumbering"/>
        <w:tabs>
          <w:tab w:val="num" w:pos="720"/>
        </w:tabs>
        <w:ind w:left="0"/>
      </w:pPr>
      <w:r>
        <w:t xml:space="preserve">In </w:t>
      </w:r>
      <w:r w:rsidR="007461D5">
        <w:t>cross</w:t>
      </w:r>
      <w:r w:rsidR="00B358B9">
        <w:t>-</w:t>
      </w:r>
      <w:r w:rsidR="007461D5">
        <w:t xml:space="preserve">examination Mr Bucoy </w:t>
      </w:r>
      <w:r w:rsidR="006D6D22">
        <w:t xml:space="preserve">was taken </w:t>
      </w:r>
      <w:r w:rsidR="00E9076E">
        <w:t xml:space="preserve">to </w:t>
      </w:r>
      <w:r w:rsidR="007461D5">
        <w:t xml:space="preserve">various screenshots from the DELPHINE </w:t>
      </w:r>
      <w:r w:rsidR="0094705E">
        <w:t xml:space="preserve">and </w:t>
      </w:r>
      <w:r w:rsidR="006D6D22">
        <w:t>THE ICONIC</w:t>
      </w:r>
      <w:r w:rsidR="0094705E">
        <w:t xml:space="preserve"> </w:t>
      </w:r>
      <w:r w:rsidR="007461D5">
        <w:t>website</w:t>
      </w:r>
      <w:r w:rsidR="0094705E">
        <w:t>s showing what</w:t>
      </w:r>
      <w:r w:rsidR="006D6D22">
        <w:t xml:space="preserve"> he </w:t>
      </w:r>
      <w:r w:rsidR="00A30A4E">
        <w:t>described as</w:t>
      </w:r>
      <w:r w:rsidR="001C69E2">
        <w:t xml:space="preserve"> </w:t>
      </w:r>
      <w:r w:rsidR="006D6D22">
        <w:t xml:space="preserve">DELPHINE </w:t>
      </w:r>
      <w:r w:rsidR="00445E7C">
        <w:t>“</w:t>
      </w:r>
      <w:r w:rsidR="007461D5">
        <w:t>swimsuits and bodysuits</w:t>
      </w:r>
      <w:r w:rsidR="00445E7C">
        <w:t>”</w:t>
      </w:r>
      <w:r w:rsidR="007461D5">
        <w:t>.</w:t>
      </w:r>
      <w:r w:rsidR="00836178">
        <w:t xml:space="preserve">  </w:t>
      </w:r>
      <w:r w:rsidR="00AF2A65">
        <w:t>Mr Bucoy was hard to pin down when he was questioned about whether the DELPHINE bodysuits and leotards were marketed for or used for swimming, and he equivocated when it was put to him that when Pinnacle wished to market and sell a DELPHINE Product as swimwear it expressly said so.</w:t>
      </w:r>
    </w:p>
    <w:p w:rsidR="007461D5" w:rsidRDefault="006D6D22" w:rsidP="007461D5">
      <w:pPr>
        <w:pStyle w:val="ParaNumbering"/>
        <w:tabs>
          <w:tab w:val="num" w:pos="720"/>
        </w:tabs>
        <w:ind w:left="0"/>
      </w:pPr>
      <w:r>
        <w:t>Mr Bucoy</w:t>
      </w:r>
      <w:r w:rsidR="00836178">
        <w:t xml:space="preserve"> took that </w:t>
      </w:r>
      <w:r w:rsidR="00053AD1">
        <w:t xml:space="preserve">position </w:t>
      </w:r>
      <w:r>
        <w:t>n</w:t>
      </w:r>
      <w:r w:rsidR="007461D5">
        <w:t>otwithstanding that</w:t>
      </w:r>
      <w:r w:rsidR="00567FB3">
        <w:t xml:space="preserve"> </w:t>
      </w:r>
      <w:r>
        <w:t>the</w:t>
      </w:r>
      <w:r w:rsidR="00AF2A65">
        <w:t xml:space="preserve"> </w:t>
      </w:r>
      <w:r>
        <w:t>websites</w:t>
      </w:r>
      <w:r w:rsidDel="006D6D22">
        <w:t xml:space="preserve"> </w:t>
      </w:r>
      <w:r>
        <w:t>described the</w:t>
      </w:r>
      <w:r w:rsidR="0081669B">
        <w:t xml:space="preserve"> bodysuits and leotards </w:t>
      </w:r>
      <w:r>
        <w:t>in the following terms</w:t>
      </w:r>
      <w:r w:rsidR="00193F58">
        <w:t>:</w:t>
      </w:r>
    </w:p>
    <w:p w:rsidR="007461D5" w:rsidRDefault="007461D5" w:rsidP="00E97DF6">
      <w:pPr>
        <w:pStyle w:val="ListNo1"/>
        <w:numPr>
          <w:ilvl w:val="0"/>
          <w:numId w:val="29"/>
        </w:numPr>
      </w:pPr>
      <w:r>
        <w:t>the Awakening Bodysuit</w:t>
      </w:r>
      <w:r w:rsidR="006D6D22">
        <w:t xml:space="preserve"> is </w:t>
      </w:r>
      <w:r>
        <w:t xml:space="preserve">“an absolute must have for your versatile wardrobe staple pieces” and the “long lines of the cut will flatter your figure no matter what you layer it with”.  </w:t>
      </w:r>
      <w:r w:rsidR="00A30A4E">
        <w:t>In cross</w:t>
      </w:r>
      <w:r w:rsidR="008118D9">
        <w:t>-</w:t>
      </w:r>
      <w:r w:rsidR="00A30A4E">
        <w:t xml:space="preserve">examination </w:t>
      </w:r>
      <w:r>
        <w:t>Mr Bucoy accepted that ‘layering’ meant adding clothes on top</w:t>
      </w:r>
      <w:r w:rsidR="00567FB3">
        <w:t xml:space="preserve"> and that the </w:t>
      </w:r>
      <w:r>
        <w:t>description made no mention of swimming or swimwear;</w:t>
      </w:r>
    </w:p>
    <w:p w:rsidR="007461D5" w:rsidRDefault="007461D5" w:rsidP="00E97DF6">
      <w:pPr>
        <w:pStyle w:val="ListNo1"/>
        <w:numPr>
          <w:ilvl w:val="0"/>
          <w:numId w:val="29"/>
        </w:numPr>
      </w:pPr>
      <w:r>
        <w:t>the False Love Bodysuit</w:t>
      </w:r>
      <w:r w:rsidR="006D6D22">
        <w:t xml:space="preserve"> can </w:t>
      </w:r>
      <w:r>
        <w:t xml:space="preserve">be “pair[ed] with denim for a cute afternoon look and match[ed] with beige, pinks and white for an evening ensemble that’s as sweet as it is powerful.”  </w:t>
      </w:r>
      <w:r w:rsidR="00A30A4E">
        <w:t>In cross</w:t>
      </w:r>
      <w:r w:rsidR="008118D9">
        <w:t>-</w:t>
      </w:r>
      <w:r w:rsidR="00A30A4E">
        <w:t xml:space="preserve">examination </w:t>
      </w:r>
      <w:r>
        <w:t>Mr Bucoy accepted that the garment was marketed as something that you would add other garments to</w:t>
      </w:r>
      <w:r w:rsidR="00567FB3">
        <w:t>.</w:t>
      </w:r>
      <w:r w:rsidR="00274EAE">
        <w:t xml:space="preserve"> </w:t>
      </w:r>
      <w:r w:rsidR="00567FB3" w:rsidRPr="00567FB3">
        <w:t xml:space="preserve"> </w:t>
      </w:r>
      <w:r w:rsidR="00567FB3">
        <w:t>The description made no mention of swimming or swimwear</w:t>
      </w:r>
      <w:r>
        <w:t xml:space="preserve">; </w:t>
      </w:r>
    </w:p>
    <w:p w:rsidR="007461D5" w:rsidRDefault="007461D5" w:rsidP="00E97DF6">
      <w:pPr>
        <w:pStyle w:val="ListNo1"/>
        <w:numPr>
          <w:ilvl w:val="0"/>
          <w:numId w:val="29"/>
        </w:numPr>
      </w:pPr>
      <w:r>
        <w:t xml:space="preserve">the Essence Bodysuit </w:t>
      </w:r>
      <w:r w:rsidR="00567FB3">
        <w:t>ha</w:t>
      </w:r>
      <w:r w:rsidR="006D6D22">
        <w:t>s</w:t>
      </w:r>
      <w:r w:rsidR="00567FB3">
        <w:t xml:space="preserve"> </w:t>
      </w:r>
      <w:r>
        <w:t>“back scoops to the waist for simple elegance.  You can build your perfect summer outfit around this ultimate wardrobe staple.”  The description made no mention of swimming or swimwear and the garment a</w:t>
      </w:r>
      <w:r w:rsidR="004501CC">
        <w:t xml:space="preserve">ppeared on the section of </w:t>
      </w:r>
      <w:r w:rsidR="006D6D22">
        <w:t>THE ICONIC</w:t>
      </w:r>
      <w:r>
        <w:t xml:space="preserve"> website relating to ‘tops’ rather</w:t>
      </w:r>
      <w:r w:rsidR="00567FB3">
        <w:t xml:space="preserve"> than</w:t>
      </w:r>
      <w:r w:rsidR="00274EAE">
        <w:t xml:space="preserve"> the section relating to</w:t>
      </w:r>
      <w:r w:rsidR="00567FB3">
        <w:t xml:space="preserve"> </w:t>
      </w:r>
      <w:r>
        <w:t>‘swimwear’. Mr Bucoy accepted</w:t>
      </w:r>
      <w:r w:rsidR="006D6D22">
        <w:t xml:space="preserve"> in cross</w:t>
      </w:r>
      <w:r w:rsidR="008118D9">
        <w:t>-</w:t>
      </w:r>
      <w:r w:rsidR="006D6D22">
        <w:t>examination</w:t>
      </w:r>
      <w:r>
        <w:t xml:space="preserve"> that it was not </w:t>
      </w:r>
      <w:r w:rsidR="00274EAE">
        <w:t xml:space="preserve">marketed </w:t>
      </w:r>
      <w:r>
        <w:t>as</w:t>
      </w:r>
      <w:r w:rsidR="00317C53">
        <w:t xml:space="preserve"> swimwear</w:t>
      </w:r>
      <w:r w:rsidR="006D6D22">
        <w:t>;</w:t>
      </w:r>
      <w:r w:rsidR="00CF3776">
        <w:t xml:space="preserve"> </w:t>
      </w:r>
      <w:r w:rsidR="006D6D22">
        <w:t>and</w:t>
      </w:r>
    </w:p>
    <w:p w:rsidR="00567FB3" w:rsidRDefault="006D6D22" w:rsidP="00E97DF6">
      <w:pPr>
        <w:pStyle w:val="ListNo1"/>
        <w:numPr>
          <w:ilvl w:val="0"/>
          <w:numId w:val="29"/>
        </w:numPr>
      </w:pPr>
      <w:r>
        <w:t>t</w:t>
      </w:r>
      <w:r w:rsidR="00567FB3">
        <w:t>he images</w:t>
      </w:r>
      <w:r>
        <w:t xml:space="preserve"> promoting </w:t>
      </w:r>
      <w:r w:rsidR="00567FB3">
        <w:t>the Cross Over Leotard showed items of clothing being worn over</w:t>
      </w:r>
      <w:r>
        <w:t xml:space="preserve"> it</w:t>
      </w:r>
      <w:r w:rsidR="00567FB3">
        <w:t>.</w:t>
      </w:r>
      <w:r w:rsidR="00726F4A">
        <w:t xml:space="preserve"> </w:t>
      </w:r>
      <w:r w:rsidR="00567FB3">
        <w:t xml:space="preserve"> Mr Bucoy accepted</w:t>
      </w:r>
      <w:r>
        <w:t xml:space="preserve"> in cross-examination</w:t>
      </w:r>
      <w:r w:rsidR="00567FB3">
        <w:t xml:space="preserve"> that the description of that </w:t>
      </w:r>
      <w:r w:rsidR="00AF2A65">
        <w:t xml:space="preserve">item </w:t>
      </w:r>
      <w:r w:rsidR="00567FB3">
        <w:t>made no mention of swimming or swimwear and that there was nothing to suggest that the leotard was intended for swimming.</w:t>
      </w:r>
      <w:r w:rsidR="00726F4A" w:rsidRPr="00726F4A">
        <w:t xml:space="preserve"> </w:t>
      </w:r>
    </w:p>
    <w:p w:rsidR="00AF2A65" w:rsidRDefault="00420754" w:rsidP="00DE1C96">
      <w:pPr>
        <w:pStyle w:val="ParaNumbering"/>
        <w:tabs>
          <w:tab w:val="num" w:pos="720"/>
        </w:tabs>
        <w:ind w:left="0"/>
      </w:pPr>
      <w:r>
        <w:lastRenderedPageBreak/>
        <w:t xml:space="preserve">It </w:t>
      </w:r>
      <w:r w:rsidR="00AF2A65">
        <w:t xml:space="preserve">is </w:t>
      </w:r>
      <w:r w:rsidR="00A30A4E">
        <w:t xml:space="preserve">plain </w:t>
      </w:r>
      <w:r w:rsidR="007461D5">
        <w:t>on the evidence</w:t>
      </w:r>
      <w:r w:rsidR="006F57A9">
        <w:t xml:space="preserve"> that</w:t>
      </w:r>
      <w:r w:rsidR="00AF2A65">
        <w:t xml:space="preserve"> when </w:t>
      </w:r>
      <w:r w:rsidR="006F57A9">
        <w:t>Pinnacle</w:t>
      </w:r>
      <w:r w:rsidR="0094705E">
        <w:t xml:space="preserve"> </w:t>
      </w:r>
      <w:r w:rsidR="00A30A4E">
        <w:t>marketed</w:t>
      </w:r>
      <w:r w:rsidR="00567FB3">
        <w:t xml:space="preserve"> swimwear </w:t>
      </w:r>
      <w:r w:rsidR="00A30A4E">
        <w:t>it made</w:t>
      </w:r>
      <w:r w:rsidR="00AF2A65">
        <w:t xml:space="preserve"> that </w:t>
      </w:r>
      <w:r w:rsidR="00A30A4E">
        <w:t>intended usage clear to customers</w:t>
      </w:r>
      <w:r w:rsidR="007461D5">
        <w:t>.</w:t>
      </w:r>
      <w:r w:rsidR="00317C53">
        <w:t xml:space="preserve">  For example, the</w:t>
      </w:r>
      <w:r w:rsidR="0081669B">
        <w:t xml:space="preserve"> advertising of </w:t>
      </w:r>
      <w:r w:rsidR="006F707C">
        <w:t xml:space="preserve">the Underwater </w:t>
      </w:r>
      <w:r w:rsidR="00836178">
        <w:t xml:space="preserve">Two Piece swimwear </w:t>
      </w:r>
      <w:r w:rsidR="004501CC">
        <w:t xml:space="preserve">on </w:t>
      </w:r>
      <w:r w:rsidR="006D6D22">
        <w:t>THE ICONIC</w:t>
      </w:r>
      <w:r w:rsidR="007461D5">
        <w:t xml:space="preserve"> website said “[o]ur model is wearing a size 8 </w:t>
      </w:r>
      <w:r w:rsidR="007461D5" w:rsidRPr="001B39D3">
        <w:t>swimsuit</w:t>
      </w:r>
      <w:r w:rsidR="007461D5">
        <w:t>” and</w:t>
      </w:r>
      <w:r w:rsidR="006F707C">
        <w:t xml:space="preserve"> that </w:t>
      </w:r>
      <w:r w:rsidR="007461D5">
        <w:t xml:space="preserve">it was made of “high-stretch </w:t>
      </w:r>
      <w:r w:rsidR="007461D5" w:rsidRPr="0021311D">
        <w:rPr>
          <w:i/>
        </w:rPr>
        <w:t>swim</w:t>
      </w:r>
      <w:r w:rsidR="007461D5">
        <w:t xml:space="preserve"> jersey” (emphasis added).  </w:t>
      </w:r>
      <w:r w:rsidR="00317C53">
        <w:t>The</w:t>
      </w:r>
      <w:r>
        <w:t xml:space="preserve"> advertising of </w:t>
      </w:r>
      <w:r w:rsidR="006F707C">
        <w:t xml:space="preserve">the Compass Swimsuit on the </w:t>
      </w:r>
      <w:r w:rsidR="00317C53">
        <w:t xml:space="preserve">DELPHINE website said that it is </w:t>
      </w:r>
      <w:r w:rsidR="001B39D3">
        <w:t>“[</w:t>
      </w:r>
      <w:r w:rsidR="00317C53">
        <w:t>p</w:t>
      </w:r>
      <w:r w:rsidR="001B39D3">
        <w:t>]</w:t>
      </w:r>
      <w:r w:rsidR="00317C53">
        <w:t xml:space="preserve">erfect for cocktails by the pool </w:t>
      </w:r>
      <w:r w:rsidR="001B39D3">
        <w:t>on a</w:t>
      </w:r>
      <w:r w:rsidR="00317C53">
        <w:t xml:space="preserve"> stunning summer afternoon, these designer </w:t>
      </w:r>
      <w:r w:rsidR="00317C53" w:rsidRPr="0021311D">
        <w:rPr>
          <w:i/>
        </w:rPr>
        <w:t>bathers</w:t>
      </w:r>
      <w:r w:rsidR="00317C53">
        <w:t xml:space="preserve"> will flatter your figure and help you stand out from the crowd” (emphasis added)</w:t>
      </w:r>
      <w:r w:rsidR="001B39D3">
        <w:t>.</w:t>
      </w:r>
      <w:r w:rsidR="007F3DC1">
        <w:t xml:space="preserve">  </w:t>
      </w:r>
    </w:p>
    <w:p w:rsidR="00C15F85" w:rsidRDefault="00AF2A65" w:rsidP="00DE1C96">
      <w:pPr>
        <w:pStyle w:val="ParaNumbering"/>
        <w:tabs>
          <w:tab w:val="num" w:pos="720"/>
        </w:tabs>
        <w:ind w:left="0"/>
      </w:pPr>
      <w:r>
        <w:t>The</w:t>
      </w:r>
      <w:r w:rsidR="00D86166">
        <w:t xml:space="preserve"> </w:t>
      </w:r>
      <w:r w:rsidR="0081669B">
        <w:t xml:space="preserve">gist </w:t>
      </w:r>
      <w:r>
        <w:t xml:space="preserve">of </w:t>
      </w:r>
      <w:r w:rsidR="00567FB3">
        <w:t>Mr Bucoy</w:t>
      </w:r>
      <w:r>
        <w:t xml:space="preserve">’s evidence was </w:t>
      </w:r>
      <w:r w:rsidR="007461D5">
        <w:t xml:space="preserve">that </w:t>
      </w:r>
      <w:r w:rsidR="0081669B">
        <w:t xml:space="preserve">the </w:t>
      </w:r>
      <w:r>
        <w:t xml:space="preserve">DELPHINE </w:t>
      </w:r>
      <w:r w:rsidR="007461D5">
        <w:t>bodysuits and leotards</w:t>
      </w:r>
      <w:r>
        <w:t xml:space="preserve"> were </w:t>
      </w:r>
      <w:r w:rsidR="007461D5">
        <w:t xml:space="preserve">also suitable for swimming </w:t>
      </w:r>
      <w:r w:rsidR="00567FB3">
        <w:t>or</w:t>
      </w:r>
      <w:r w:rsidR="007461D5">
        <w:t xml:space="preserve"> that</w:t>
      </w:r>
      <w:r w:rsidR="0094705E">
        <w:t xml:space="preserve"> women </w:t>
      </w:r>
      <w:r w:rsidR="007461D5">
        <w:t xml:space="preserve">might choose to use </w:t>
      </w:r>
      <w:r w:rsidR="006F57A9">
        <w:t>them</w:t>
      </w:r>
      <w:r w:rsidR="007461D5">
        <w:t xml:space="preserve"> for swimming</w:t>
      </w:r>
      <w:r w:rsidR="006F57A9">
        <w:t>.</w:t>
      </w:r>
      <w:r w:rsidR="0081669B">
        <w:t xml:space="preserve">  While it </w:t>
      </w:r>
      <w:r>
        <w:t xml:space="preserve">is impossible to </w:t>
      </w:r>
      <w:r w:rsidR="006F707C">
        <w:t>know</w:t>
      </w:r>
      <w:r>
        <w:t xml:space="preserve"> whether some consumers </w:t>
      </w:r>
      <w:r w:rsidR="00D86166">
        <w:t xml:space="preserve">purchased and </w:t>
      </w:r>
      <w:r w:rsidR="006F707C">
        <w:t xml:space="preserve">used </w:t>
      </w:r>
      <w:r w:rsidR="0081669B">
        <w:t xml:space="preserve">such </w:t>
      </w:r>
      <w:r w:rsidR="00D86166">
        <w:t xml:space="preserve">bodysuits or leotards </w:t>
      </w:r>
      <w:r w:rsidR="006F707C">
        <w:t>for swimming</w:t>
      </w:r>
      <w:r w:rsidR="00B06CD0">
        <w:t>,</w:t>
      </w:r>
      <w:r w:rsidR="006F707C">
        <w:t xml:space="preserve"> it is </w:t>
      </w:r>
      <w:r w:rsidR="0081669B">
        <w:t>clear</w:t>
      </w:r>
      <w:r w:rsidR="001C69E2">
        <w:t xml:space="preserve"> </w:t>
      </w:r>
      <w:r w:rsidR="0094705E">
        <w:t>that Pinnacle did not promote</w:t>
      </w:r>
      <w:r w:rsidR="00420754">
        <w:t xml:space="preserve"> them </w:t>
      </w:r>
      <w:r w:rsidR="0094705E">
        <w:t xml:space="preserve">for </w:t>
      </w:r>
      <w:r w:rsidR="00D86166">
        <w:t>that purpose</w:t>
      </w:r>
      <w:r w:rsidR="00420754">
        <w:t xml:space="preserve">. </w:t>
      </w:r>
      <w:r w:rsidR="006F707C">
        <w:t xml:space="preserve">I </w:t>
      </w:r>
      <w:r w:rsidR="006F57A9">
        <w:t xml:space="preserve">doubt that </w:t>
      </w:r>
      <w:r w:rsidR="0081669B">
        <w:t xml:space="preserve">its </w:t>
      </w:r>
      <w:r w:rsidR="006F57A9">
        <w:t>customers purchased them</w:t>
      </w:r>
      <w:r w:rsidR="00452424">
        <w:t xml:space="preserve"> for that purpose</w:t>
      </w:r>
      <w:r w:rsidR="006F57A9">
        <w:t>.</w:t>
      </w:r>
    </w:p>
    <w:p w:rsidR="00C15F85" w:rsidRDefault="007B52D3" w:rsidP="00FB1E4A">
      <w:pPr>
        <w:pStyle w:val="ParaNumbering"/>
        <w:tabs>
          <w:tab w:val="num" w:pos="720"/>
        </w:tabs>
        <w:ind w:left="0"/>
      </w:pPr>
      <w:r>
        <w:t>Importantly,</w:t>
      </w:r>
      <w:r w:rsidR="007F756F">
        <w:t xml:space="preserve"> </w:t>
      </w:r>
      <w:r w:rsidR="00D86166">
        <w:t xml:space="preserve">Mr Bucoy’s </w:t>
      </w:r>
      <w:r w:rsidR="00C15F85">
        <w:t xml:space="preserve">evidence shows that </w:t>
      </w:r>
      <w:r w:rsidR="00C15F85" w:rsidRPr="005F4C7F">
        <w:t xml:space="preserve">during the </w:t>
      </w:r>
      <w:r w:rsidR="00D86166">
        <w:t xml:space="preserve">relevant </w:t>
      </w:r>
      <w:r w:rsidR="00C15F85" w:rsidRPr="005F4C7F">
        <w:t>period</w:t>
      </w:r>
      <w:r>
        <w:t xml:space="preserve"> </w:t>
      </w:r>
      <w:r w:rsidR="00C15F85" w:rsidRPr="005F4C7F">
        <w:t xml:space="preserve">Pinnacle did not </w:t>
      </w:r>
      <w:r w:rsidR="00C15F85">
        <w:t xml:space="preserve">market or sell </w:t>
      </w:r>
      <w:r w:rsidR="00C15F85" w:rsidRPr="00D86166">
        <w:rPr>
          <w:i/>
        </w:rPr>
        <w:t>any</w:t>
      </w:r>
      <w:r w:rsidR="00D86166">
        <w:t xml:space="preserve"> women’s swimwear under the DELPHINE mark</w:t>
      </w:r>
      <w:r w:rsidR="00C15F85" w:rsidRPr="005F4C7F">
        <w:t xml:space="preserve">.  </w:t>
      </w:r>
      <w:r w:rsidR="00C15F85">
        <w:t>In that period the sole swimwear item</w:t>
      </w:r>
      <w:r w:rsidR="00140A58">
        <w:t xml:space="preserve"> </w:t>
      </w:r>
      <w:r w:rsidR="0081669B">
        <w:t xml:space="preserve">that </w:t>
      </w:r>
      <w:r w:rsidR="00140A58">
        <w:t xml:space="preserve">Pinnacle listed as a DELPHINE Swimwear Product </w:t>
      </w:r>
      <w:r w:rsidR="00C15F85">
        <w:t xml:space="preserve">(the Underwater Swim) </w:t>
      </w:r>
      <w:r w:rsidR="00C15F85" w:rsidRPr="005F4C7F">
        <w:t>was not</w:t>
      </w:r>
      <w:r w:rsidR="00C15F85">
        <w:t xml:space="preserve"> marketed or offered for </w:t>
      </w:r>
      <w:r w:rsidR="00C15F85" w:rsidRPr="005F4C7F">
        <w:t>sale</w:t>
      </w:r>
      <w:r w:rsidR="00D86166">
        <w:t>.</w:t>
      </w:r>
      <w:r w:rsidR="0081669B">
        <w:t xml:space="preserve">  During the relevant </w:t>
      </w:r>
      <w:r w:rsidR="00D86166">
        <w:t>period</w:t>
      </w:r>
      <w:r w:rsidR="0081669B">
        <w:t xml:space="preserve"> Pinnacle </w:t>
      </w:r>
      <w:r w:rsidR="00140A58">
        <w:t xml:space="preserve">only sold </w:t>
      </w:r>
      <w:r w:rsidR="00C15F85">
        <w:t>two styles of one-piece leotard, the Weekend Warrior and the Cross Over</w:t>
      </w:r>
      <w:r w:rsidR="00C15F85" w:rsidRPr="005F4C7F">
        <w:t>.</w:t>
      </w:r>
      <w:r w:rsidR="005247E0">
        <w:t xml:space="preserve">  I consider </w:t>
      </w:r>
      <w:r w:rsidR="00140A58">
        <w:t>Mr Bucoy</w:t>
      </w:r>
      <w:r w:rsidR="00D86166">
        <w:t xml:space="preserve"> </w:t>
      </w:r>
      <w:r w:rsidR="008203A1">
        <w:t>sought to obscure the fact that</w:t>
      </w:r>
      <w:r w:rsidR="0081669B">
        <w:t>,</w:t>
      </w:r>
      <w:r w:rsidR="008203A1">
        <w:t xml:space="preserve"> </w:t>
      </w:r>
      <w:r w:rsidR="0081669B">
        <w:t xml:space="preserve">during the relevant period, </w:t>
      </w:r>
      <w:r w:rsidR="008203A1">
        <w:t xml:space="preserve">Pinnacle did not market or sell any </w:t>
      </w:r>
      <w:r w:rsidR="00D86166">
        <w:t xml:space="preserve">women’s </w:t>
      </w:r>
      <w:r w:rsidR="008203A1">
        <w:t>swimwear under the</w:t>
      </w:r>
      <w:r w:rsidR="008203A1" w:rsidRPr="00C51844">
        <w:t xml:space="preserve"> </w:t>
      </w:r>
      <w:r w:rsidR="008203A1">
        <w:t>DELPHINE mark.</w:t>
      </w:r>
    </w:p>
    <w:p w:rsidR="00CC6D2D" w:rsidRDefault="00140A58" w:rsidP="007B52D3">
      <w:pPr>
        <w:pStyle w:val="ParaNumbering"/>
        <w:tabs>
          <w:tab w:val="num" w:pos="720"/>
        </w:tabs>
        <w:ind w:left="0"/>
      </w:pPr>
      <w:r>
        <w:t>It is likely that</w:t>
      </w:r>
      <w:r w:rsidR="0081669B">
        <w:t xml:space="preserve"> he</w:t>
      </w:r>
      <w:r w:rsidR="00420754">
        <w:t xml:space="preserve"> tried </w:t>
      </w:r>
      <w:r w:rsidR="006F707C">
        <w:t xml:space="preserve">to maintain </w:t>
      </w:r>
      <w:r w:rsidR="001C69E2">
        <w:t>that</w:t>
      </w:r>
      <w:r w:rsidR="007B52D3">
        <w:t xml:space="preserve"> DELPHINE </w:t>
      </w:r>
      <w:r w:rsidR="00567FB3">
        <w:t xml:space="preserve">bodysuits and leotards were </w:t>
      </w:r>
      <w:r w:rsidR="007F756F">
        <w:t>marketed</w:t>
      </w:r>
      <w:r>
        <w:t xml:space="preserve"> to</w:t>
      </w:r>
      <w:r w:rsidR="0081669B">
        <w:t xml:space="preserve"> and used by </w:t>
      </w:r>
      <w:r w:rsidR="007F756F">
        <w:t xml:space="preserve">consumers </w:t>
      </w:r>
      <w:r w:rsidR="00B06CD0">
        <w:t xml:space="preserve">as </w:t>
      </w:r>
      <w:r w:rsidR="00567FB3">
        <w:t>swimwear</w:t>
      </w:r>
      <w:r w:rsidR="00B06CD0">
        <w:t xml:space="preserve"> </w:t>
      </w:r>
      <w:r w:rsidR="007B52D3">
        <w:t>in an</w:t>
      </w:r>
      <w:r>
        <w:t xml:space="preserve"> effort </w:t>
      </w:r>
      <w:r w:rsidR="00B06CD0">
        <w:t xml:space="preserve">to </w:t>
      </w:r>
      <w:r>
        <w:t>show that its products were substitutable for TRIANGL bikinis,</w:t>
      </w:r>
      <w:r w:rsidR="0081669B">
        <w:t xml:space="preserve"> in an effort </w:t>
      </w:r>
      <w:r>
        <w:t xml:space="preserve">to bolster its </w:t>
      </w:r>
      <w:r w:rsidR="007F756F">
        <w:t>claim for damages for lost sales</w:t>
      </w:r>
      <w:r w:rsidR="007461D5">
        <w:t>.</w:t>
      </w:r>
      <w:r>
        <w:t xml:space="preserve">  Although his evidence shifted around Mr Bucoy</w:t>
      </w:r>
      <w:r w:rsidR="0081669B">
        <w:t xml:space="preserve"> ultimately </w:t>
      </w:r>
      <w:r>
        <w:t>accepted in cross</w:t>
      </w:r>
      <w:r w:rsidR="008118D9">
        <w:t>-</w:t>
      </w:r>
      <w:r>
        <w:t xml:space="preserve">examination that a </w:t>
      </w:r>
      <w:r w:rsidR="00420754">
        <w:t xml:space="preserve">floral </w:t>
      </w:r>
      <w:r>
        <w:t>bikini is not substitutable for a leotard.</w:t>
      </w:r>
      <w:r w:rsidR="006447CA">
        <w:t xml:space="preserve">  I consider it to be </w:t>
      </w:r>
      <w:r w:rsidR="00FE2554">
        <w:t xml:space="preserve">quite unlikely </w:t>
      </w:r>
      <w:r w:rsidR="00857D6C">
        <w:t>that consumers would</w:t>
      </w:r>
      <w:r w:rsidR="00FE2554">
        <w:t xml:space="preserve"> </w:t>
      </w:r>
      <w:r w:rsidR="00857D6C">
        <w:t xml:space="preserve">have </w:t>
      </w:r>
      <w:r>
        <w:t xml:space="preserve">seen </w:t>
      </w:r>
      <w:r w:rsidR="00420754">
        <w:t xml:space="preserve">the relevant </w:t>
      </w:r>
      <w:r>
        <w:t>TRIANGL bikinis as substitutable for the DELPHINE</w:t>
      </w:r>
      <w:r w:rsidR="00FE2554">
        <w:t xml:space="preserve"> bodysuits and leotards </w:t>
      </w:r>
      <w:r w:rsidR="00D04D1F">
        <w:t>and</w:t>
      </w:r>
      <w:r w:rsidR="007B52D3">
        <w:t xml:space="preserve"> </w:t>
      </w:r>
      <w:r w:rsidR="00E61856">
        <w:t>I found</w:t>
      </w:r>
      <w:r w:rsidR="00FE2554">
        <w:t xml:space="preserve"> </w:t>
      </w:r>
      <w:r w:rsidR="006447CA">
        <w:t xml:space="preserve">Mr Bucoy’s </w:t>
      </w:r>
      <w:r w:rsidR="007461D5">
        <w:t>evidence in regard</w:t>
      </w:r>
      <w:r w:rsidR="00317C53">
        <w:t xml:space="preserve"> to</w:t>
      </w:r>
      <w:r>
        <w:t xml:space="preserve"> Pinnacle's </w:t>
      </w:r>
      <w:r w:rsidR="00317C53">
        <w:t>marketing of</w:t>
      </w:r>
      <w:r>
        <w:t xml:space="preserve"> women's swimwear </w:t>
      </w:r>
      <w:r w:rsidR="006F57A9">
        <w:t>unreliable</w:t>
      </w:r>
      <w:r w:rsidR="008203A1">
        <w:t xml:space="preserve">. </w:t>
      </w:r>
    </w:p>
    <w:p w:rsidR="00210B6F" w:rsidRDefault="00210B6F" w:rsidP="00210B6F">
      <w:pPr>
        <w:pStyle w:val="ParaNumbering"/>
        <w:tabs>
          <w:tab w:val="num" w:pos="720"/>
        </w:tabs>
        <w:ind w:left="0"/>
        <w:rPr>
          <w:szCs w:val="24"/>
          <w:lang w:eastAsia="en-AU"/>
        </w:rPr>
      </w:pPr>
      <w:r>
        <w:t xml:space="preserve">Mr Bucoy’s evidence </w:t>
      </w:r>
      <w:r w:rsidR="00477117">
        <w:t xml:space="preserve">also </w:t>
      </w:r>
      <w:r>
        <w:t>shows that</w:t>
      </w:r>
      <w:r w:rsidR="00F02192">
        <w:t xml:space="preserve"> up to and including </w:t>
      </w:r>
      <w:r w:rsidR="00477117">
        <w:t xml:space="preserve">the relevant period </w:t>
      </w:r>
      <w:r>
        <w:t>Pinnacle sold very few items of the (misleadingly described) DELPHINE Swimwear Products.  For the six month period from 1 December 2015 to 1 June 2016 Pinnacle’s total sales of DELPHINE Swimwear Products was only $366</w:t>
      </w:r>
      <w:r w:rsidR="00477117">
        <w:t>, and during the relevant</w:t>
      </w:r>
      <w:r>
        <w:t xml:space="preserve"> period Pinnacle</w:t>
      </w:r>
      <w:r w:rsidR="008F1746">
        <w:t>’s</w:t>
      </w:r>
      <w:r>
        <w:t xml:space="preserve"> </w:t>
      </w:r>
      <w:r w:rsidR="008F1746">
        <w:t>total</w:t>
      </w:r>
      <w:r w:rsidR="00FE2554">
        <w:t xml:space="preserve"> </w:t>
      </w:r>
      <w:r>
        <w:t xml:space="preserve">sales of </w:t>
      </w:r>
      <w:r w:rsidR="00477117">
        <w:t>such products</w:t>
      </w:r>
      <w:r>
        <w:t xml:space="preserve"> </w:t>
      </w:r>
      <w:r w:rsidR="008F1746">
        <w:t>was</w:t>
      </w:r>
      <w:r w:rsidR="00420754">
        <w:t xml:space="preserve"> only</w:t>
      </w:r>
      <w:r w:rsidR="008F1746">
        <w:t xml:space="preserve"> </w:t>
      </w:r>
      <w:r>
        <w:t xml:space="preserve">$186.  </w:t>
      </w:r>
    </w:p>
    <w:p w:rsidR="00DA22D4" w:rsidRDefault="00DA22D4" w:rsidP="00DA22D4">
      <w:pPr>
        <w:pStyle w:val="Heading2"/>
      </w:pPr>
      <w:r>
        <w:lastRenderedPageBreak/>
        <w:t>Triangl</w:t>
      </w:r>
      <w:r w:rsidR="003948DB">
        <w:t xml:space="preserve"> and the </w:t>
      </w:r>
      <w:r w:rsidR="002C3559">
        <w:t>TRIANGL</w:t>
      </w:r>
      <w:r w:rsidR="003948DB">
        <w:t xml:space="preserve"> brand</w:t>
      </w:r>
    </w:p>
    <w:p w:rsidR="00200FFF" w:rsidRDefault="00200FFF" w:rsidP="00DF12C2">
      <w:pPr>
        <w:pStyle w:val="ParaNumbering"/>
        <w:tabs>
          <w:tab w:val="num" w:pos="720"/>
        </w:tabs>
        <w:ind w:left="0"/>
      </w:pPr>
      <w:r>
        <w:t>Mr</w:t>
      </w:r>
      <w:r w:rsidR="00FC0158">
        <w:t xml:space="preserve"> Ellis</w:t>
      </w:r>
      <w:r w:rsidR="007F756F">
        <w:t xml:space="preserve"> is</w:t>
      </w:r>
      <w:r w:rsidR="00720469">
        <w:t xml:space="preserve"> a</w:t>
      </w:r>
      <w:r>
        <w:t xml:space="preserve"> </w:t>
      </w:r>
      <w:r w:rsidR="00767B09">
        <w:t xml:space="preserve">co-founder, </w:t>
      </w:r>
      <w:r w:rsidR="00FC0158">
        <w:t>director</w:t>
      </w:r>
      <w:r w:rsidR="00767B09">
        <w:t xml:space="preserve"> and</w:t>
      </w:r>
      <w:r w:rsidR="00FC0158">
        <w:t xml:space="preserve"> shareholder of the two respondents, Triangl Group Limited and Triangl Limited. </w:t>
      </w:r>
      <w:r w:rsidR="008B4A71">
        <w:t xml:space="preserve"> </w:t>
      </w:r>
      <w:r w:rsidR="00210B6F">
        <w:t xml:space="preserve">His evidence aligned with Mr Bucoy’s evidence on several issues of significance in the case.  I found him to be a credible witness and </w:t>
      </w:r>
      <w:r>
        <w:t xml:space="preserve">I </w:t>
      </w:r>
      <w:r w:rsidR="00FE2554">
        <w:t xml:space="preserve">broadly </w:t>
      </w:r>
      <w:r>
        <w:t>accept</w:t>
      </w:r>
      <w:r w:rsidR="00210B6F">
        <w:t xml:space="preserve"> his evidence</w:t>
      </w:r>
      <w:r>
        <w:t>.</w:t>
      </w:r>
      <w:r w:rsidR="00720469">
        <w:t xml:space="preserve"> </w:t>
      </w:r>
      <w:r>
        <w:t xml:space="preserve"> </w:t>
      </w:r>
    </w:p>
    <w:p w:rsidR="00FC5259" w:rsidRDefault="005F4C7F" w:rsidP="00211A20">
      <w:pPr>
        <w:pStyle w:val="ParaNumbering"/>
        <w:tabs>
          <w:tab w:val="num" w:pos="720"/>
        </w:tabs>
        <w:ind w:left="0"/>
      </w:pPr>
      <w:r>
        <w:t>Mr Ellis has</w:t>
      </w:r>
      <w:r w:rsidR="000302B2">
        <w:t xml:space="preserve"> many years of experience in the fashion </w:t>
      </w:r>
      <w:r>
        <w:t xml:space="preserve">industry.  He was </w:t>
      </w:r>
      <w:r w:rsidR="00E524E7">
        <w:t xml:space="preserve">the owner of </w:t>
      </w:r>
      <w:r w:rsidR="00921013">
        <w:t xml:space="preserve">a men’s fashion </w:t>
      </w:r>
      <w:r w:rsidR="00981409">
        <w:t>t</w:t>
      </w:r>
      <w:r w:rsidR="00E524E7">
        <w:t xml:space="preserve">-shirt </w:t>
      </w:r>
      <w:r w:rsidR="00921013">
        <w:t>business named St Lenny from about</w:t>
      </w:r>
      <w:r w:rsidR="003948DB">
        <w:t xml:space="preserve"> 2002 </w:t>
      </w:r>
      <w:r w:rsidR="00921013">
        <w:t>to about 2009</w:t>
      </w:r>
      <w:r w:rsidR="003948DB">
        <w:t xml:space="preserve"> and a </w:t>
      </w:r>
      <w:r w:rsidR="00E524E7">
        <w:t xml:space="preserve">designer </w:t>
      </w:r>
      <w:r w:rsidR="00200FFF">
        <w:t xml:space="preserve">of women’s and men’s fashion </w:t>
      </w:r>
      <w:r w:rsidR="00E524E7">
        <w:t xml:space="preserve">with a </w:t>
      </w:r>
      <w:r w:rsidR="003948DB">
        <w:t>large fashion retailer and wholesaler named Factory X from about 2009 to 2012.</w:t>
      </w:r>
    </w:p>
    <w:p w:rsidR="00AC5FEF" w:rsidRDefault="00210B6F" w:rsidP="00AC5FEF">
      <w:pPr>
        <w:pStyle w:val="ParaNumbering"/>
        <w:tabs>
          <w:tab w:val="num" w:pos="720"/>
        </w:tabs>
        <w:ind w:left="0"/>
      </w:pPr>
      <w:r>
        <w:t>Mr Ellis</w:t>
      </w:r>
      <w:r w:rsidR="00FE2554">
        <w:t xml:space="preserve"> said </w:t>
      </w:r>
      <w:r>
        <w:t>that</w:t>
      </w:r>
      <w:r w:rsidR="00FE2554">
        <w:t>,</w:t>
      </w:r>
      <w:r>
        <w:t xml:space="preserve"> in </w:t>
      </w:r>
      <w:r w:rsidR="003948DB">
        <w:t>November 2011</w:t>
      </w:r>
      <w:r w:rsidR="00FE2554">
        <w:t>,</w:t>
      </w:r>
      <w:r w:rsidR="003948DB">
        <w:t xml:space="preserve"> </w:t>
      </w:r>
      <w:r>
        <w:t xml:space="preserve">he discussed with </w:t>
      </w:r>
      <w:r w:rsidR="00FC5259">
        <w:t>Ms Erin Deering</w:t>
      </w:r>
      <w:r w:rsidR="00DF12C2">
        <w:t xml:space="preserve"> </w:t>
      </w:r>
      <w:r w:rsidR="003948DB">
        <w:t xml:space="preserve">her frustration with the lack of good quality bikinis that cost less than $100. </w:t>
      </w:r>
      <w:r w:rsidR="000E795C">
        <w:t xml:space="preserve"> </w:t>
      </w:r>
      <w:r w:rsidR="003948DB">
        <w:t xml:space="preserve">In early 2012 they decided to move to Hong Kong </w:t>
      </w:r>
      <w:r w:rsidR="00DF12C2">
        <w:t>to start their own business selling swimwear, particularly women’s bikinis</w:t>
      </w:r>
      <w:r w:rsidR="00AC5FEF">
        <w:t>, trading as Triangl</w:t>
      </w:r>
      <w:r w:rsidR="00DF12C2">
        <w:t>.</w:t>
      </w:r>
      <w:r w:rsidR="00AC5FEF" w:rsidRPr="00AC5FEF">
        <w:t xml:space="preserve"> </w:t>
      </w:r>
      <w:r w:rsidR="00981409">
        <w:t xml:space="preserve"> </w:t>
      </w:r>
      <w:r>
        <w:t xml:space="preserve">Ms Deering and Mr Ellis became co-directors, shareholders and founders of the Triangl business. </w:t>
      </w:r>
      <w:r w:rsidR="00E17C83">
        <w:t xml:space="preserve"> </w:t>
      </w:r>
      <w:r w:rsidR="00AC5FEF">
        <w:t>Mr Ellis said</w:t>
      </w:r>
      <w:r>
        <w:t xml:space="preserve"> and I accept</w:t>
      </w:r>
      <w:r w:rsidR="00AC5FEF">
        <w:t xml:space="preserve"> that the Triangl Group Limited is the relevant entity for the proceeding as it was the trading entity for the Triangl group of companies during the</w:t>
      </w:r>
      <w:r w:rsidR="00FE2554">
        <w:t xml:space="preserve"> relevant period</w:t>
      </w:r>
      <w:r w:rsidR="00AC5FEF">
        <w:t>.</w:t>
      </w:r>
    </w:p>
    <w:p w:rsidR="00DF12C2" w:rsidRDefault="00210B6F" w:rsidP="00DF12C2">
      <w:pPr>
        <w:pStyle w:val="ParaNumbering"/>
        <w:tabs>
          <w:tab w:val="num" w:pos="720"/>
        </w:tabs>
        <w:ind w:left="0"/>
      </w:pPr>
      <w:r>
        <w:t xml:space="preserve">He said that </w:t>
      </w:r>
      <w:r w:rsidR="00E84C7E">
        <w:t xml:space="preserve">in </w:t>
      </w:r>
      <w:r w:rsidR="00DF12C2">
        <w:t>early 2013</w:t>
      </w:r>
      <w:r w:rsidR="00DF12C2" w:rsidRPr="00E31C0C">
        <w:t xml:space="preserve"> </w:t>
      </w:r>
      <w:r w:rsidR="00DF12C2">
        <w:t>Triangl switched from a wholesale model</w:t>
      </w:r>
      <w:r w:rsidR="00E84C7E">
        <w:t>,</w:t>
      </w:r>
      <w:r w:rsidR="00DF12C2">
        <w:t xml:space="preserve"> selling Triangl products to Australian retailers</w:t>
      </w:r>
      <w:r w:rsidR="00E84C7E">
        <w:t>,</w:t>
      </w:r>
      <w:r w:rsidR="00DF12C2">
        <w:t xml:space="preserve"> to selling</w:t>
      </w:r>
      <w:r w:rsidR="00DF12C2" w:rsidRPr="00E31C0C">
        <w:t xml:space="preserve"> </w:t>
      </w:r>
      <w:r w:rsidR="00DF12C2">
        <w:t xml:space="preserve">Triangl products direct to customers via </w:t>
      </w:r>
      <w:r>
        <w:t>its</w:t>
      </w:r>
      <w:r w:rsidR="00DF12C2">
        <w:t xml:space="preserve"> website</w:t>
      </w:r>
      <w:r w:rsidR="003948DB">
        <w:t xml:space="preserve"> and social media</w:t>
      </w:r>
      <w:r w:rsidR="00E84C7E">
        <w:t xml:space="preserve"> pages</w:t>
      </w:r>
      <w:r w:rsidR="00001510">
        <w:t>.</w:t>
      </w:r>
      <w:r w:rsidR="003948DB">
        <w:t xml:space="preserve">  Triangl’s </w:t>
      </w:r>
      <w:r w:rsidR="00DF12C2">
        <w:t>business started to expand quickly</w:t>
      </w:r>
      <w:r w:rsidR="003948DB">
        <w:t xml:space="preserve"> and </w:t>
      </w:r>
      <w:r w:rsidR="00DF12C2">
        <w:t>Triangl bikinis are now sold around the world</w:t>
      </w:r>
      <w:r w:rsidR="00001510">
        <w:t xml:space="preserve"> in </w:t>
      </w:r>
      <w:r w:rsidR="00DF12C2">
        <w:t>over 100 countries, solely online</w:t>
      </w:r>
      <w:r w:rsidR="00001510">
        <w:t xml:space="preserve"> </w:t>
      </w:r>
      <w:r w:rsidR="00DF12C2">
        <w:t>via Triangl</w:t>
      </w:r>
      <w:r w:rsidR="00AC5FEF">
        <w:t>’s</w:t>
      </w:r>
      <w:r w:rsidR="00DF12C2">
        <w:t xml:space="preserve"> website.</w:t>
      </w:r>
      <w:r w:rsidR="00686FD8">
        <w:t xml:space="preserve">  </w:t>
      </w:r>
    </w:p>
    <w:p w:rsidR="00686FD8" w:rsidRDefault="00686FD8" w:rsidP="00686FD8">
      <w:pPr>
        <w:pStyle w:val="ParaNumbering"/>
        <w:tabs>
          <w:tab w:val="num" w:pos="720"/>
        </w:tabs>
        <w:ind w:left="0"/>
      </w:pPr>
      <w:r>
        <w:t>Triangl has registered the following Australian trade marks:</w:t>
      </w:r>
    </w:p>
    <w:p w:rsidR="00686FD8" w:rsidRDefault="00686FD8" w:rsidP="00E97DF6">
      <w:pPr>
        <w:pStyle w:val="ListNo1"/>
        <w:numPr>
          <w:ilvl w:val="0"/>
          <w:numId w:val="28"/>
        </w:numPr>
      </w:pPr>
      <w:r>
        <w:t xml:space="preserve">Trade Mark No 1581504 for the word TRIANGL in class 25 </w:t>
      </w:r>
      <w:r w:rsidR="00E13449">
        <w:t xml:space="preserve">for </w:t>
      </w:r>
      <w:r>
        <w:t xml:space="preserve">clothing, </w:t>
      </w:r>
      <w:r w:rsidR="00E13449">
        <w:t xml:space="preserve">headwear </w:t>
      </w:r>
      <w:r>
        <w:t xml:space="preserve">and </w:t>
      </w:r>
      <w:r w:rsidR="00E13449">
        <w:t>swimw</w:t>
      </w:r>
      <w:r>
        <w:t>ear;</w:t>
      </w:r>
    </w:p>
    <w:p w:rsidR="00686FD8" w:rsidRDefault="00686FD8" w:rsidP="00E97DF6">
      <w:pPr>
        <w:pStyle w:val="ListNo1"/>
        <w:numPr>
          <w:ilvl w:val="0"/>
          <w:numId w:val="28"/>
        </w:numPr>
      </w:pPr>
      <w:r>
        <w:t xml:space="preserve">Trade Mark No 1619504 for the word TRIANGL in class 35 for retail services, wholesale services, mail-order services and online retailing in respect of </w:t>
      </w:r>
      <w:r w:rsidR="00E13449">
        <w:t xml:space="preserve">various kinds of </w:t>
      </w:r>
      <w:r>
        <w:t>clothing</w:t>
      </w:r>
      <w:r w:rsidR="00E13449">
        <w:t xml:space="preserve"> and </w:t>
      </w:r>
      <w:r>
        <w:t>other apparel;</w:t>
      </w:r>
    </w:p>
    <w:p w:rsidR="00E17C83" w:rsidRDefault="00686FD8" w:rsidP="00E97DF6">
      <w:pPr>
        <w:pStyle w:val="ListNo1"/>
        <w:numPr>
          <w:ilvl w:val="0"/>
          <w:numId w:val="28"/>
        </w:numPr>
      </w:pPr>
      <w:r>
        <w:t xml:space="preserve">Trade Mark No 1747701 for the </w:t>
      </w:r>
      <w:r w:rsidR="00E17C83">
        <w:t xml:space="preserve">following </w:t>
      </w:r>
      <w:r>
        <w:t>device</w:t>
      </w:r>
      <w:r w:rsidR="00A13200" w:rsidRPr="00A13200">
        <w:t xml:space="preserve"> </w:t>
      </w:r>
      <w:r>
        <w:t>in class 25</w:t>
      </w:r>
      <w:r w:rsidR="00E17C83">
        <w:t>:</w:t>
      </w:r>
    </w:p>
    <w:p w:rsidR="00686FD8" w:rsidRDefault="004C4B24" w:rsidP="008C46E4">
      <w:pPr>
        <w:pStyle w:val="ListNo1"/>
        <w:numPr>
          <w:ilvl w:val="0"/>
          <w:numId w:val="0"/>
        </w:numPr>
        <w:ind w:left="720"/>
      </w:pPr>
      <w:r>
        <w:rPr>
          <w:noProof/>
          <w:lang w:eastAsia="en-AU"/>
        </w:rPr>
        <w:drawing>
          <wp:inline distT="0" distB="0" distL="0" distR="0">
            <wp:extent cx="968672" cy="491904"/>
            <wp:effectExtent l="0" t="0" r="3175"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3.jpg"/>
                    <pic:cNvPicPr/>
                  </pic:nvPicPr>
                  <pic:blipFill>
                    <a:blip r:embed="rId15">
                      <a:extLst>
                        <a:ext uri="{28A0092B-C50C-407E-A947-70E740481C1C}">
                          <a14:useLocalDpi xmlns:a14="http://schemas.microsoft.com/office/drawing/2010/main" val="0"/>
                        </a:ext>
                      </a:extLst>
                    </a:blip>
                    <a:stretch>
                      <a:fillRect/>
                    </a:stretch>
                  </pic:blipFill>
                  <pic:spPr>
                    <a:xfrm>
                      <a:off x="0" y="0"/>
                      <a:ext cx="1002280" cy="508970"/>
                    </a:xfrm>
                    <a:prstGeom prst="rect">
                      <a:avLst/>
                    </a:prstGeom>
                  </pic:spPr>
                </pic:pic>
              </a:graphicData>
            </a:graphic>
          </wp:inline>
        </w:drawing>
      </w:r>
      <w:r w:rsidR="00E17C83">
        <w:t xml:space="preserve">; </w:t>
      </w:r>
      <w:r w:rsidR="00686FD8">
        <w:t>and</w:t>
      </w:r>
    </w:p>
    <w:p w:rsidR="00686FD8" w:rsidRDefault="00686FD8" w:rsidP="00E97DF6">
      <w:pPr>
        <w:pStyle w:val="ListNo1"/>
        <w:numPr>
          <w:ilvl w:val="0"/>
          <w:numId w:val="28"/>
        </w:numPr>
      </w:pPr>
      <w:r>
        <w:t>Trade mark No 1766 7234</w:t>
      </w:r>
      <w:r w:rsidR="00E13449">
        <w:t xml:space="preserve"> for</w:t>
      </w:r>
      <w:r>
        <w:t xml:space="preserve"> SUMMER NEVER ENDS in classes 25 and 35.</w:t>
      </w:r>
    </w:p>
    <w:p w:rsidR="00DF12C2" w:rsidRDefault="00DF12C2" w:rsidP="00DF12C2">
      <w:pPr>
        <w:pStyle w:val="ParaNumbering"/>
        <w:tabs>
          <w:tab w:val="num" w:pos="720"/>
        </w:tabs>
        <w:ind w:left="0"/>
      </w:pPr>
      <w:r>
        <w:lastRenderedPageBreak/>
        <w:t>Since moving to a solely online business in 2013 Triangl products have only ever been advertised to Australian</w:t>
      </w:r>
      <w:r w:rsidR="00AC5FEF">
        <w:t xml:space="preserve"> consumers </w:t>
      </w:r>
      <w:r w:rsidR="003948DB">
        <w:t>via a small number of media</w:t>
      </w:r>
      <w:r w:rsidR="002A6452">
        <w:t>, including</w:t>
      </w:r>
      <w:r>
        <w:t>:</w:t>
      </w:r>
    </w:p>
    <w:p w:rsidR="00DF12C2" w:rsidRDefault="00DF12C2" w:rsidP="00E97DF6">
      <w:pPr>
        <w:pStyle w:val="ListNo1"/>
        <w:numPr>
          <w:ilvl w:val="0"/>
          <w:numId w:val="25"/>
        </w:numPr>
      </w:pPr>
      <w:r>
        <w:t>the</w:t>
      </w:r>
      <w:r w:rsidRPr="00E31C0C">
        <w:t xml:space="preserve"> </w:t>
      </w:r>
      <w:r>
        <w:t xml:space="preserve">Triangl website located at </w:t>
      </w:r>
      <w:r w:rsidR="00E17C83">
        <w:t>&lt;</w:t>
      </w:r>
      <w:r w:rsidR="00CC7AE9" w:rsidRPr="00AC5FEF">
        <w:t>www.triangl.com</w:t>
      </w:r>
      <w:r w:rsidR="00E17C83">
        <w:t>&gt;</w:t>
      </w:r>
      <w:r w:rsidR="00AC5FEF">
        <w:rPr>
          <w:rStyle w:val="Hyperlink"/>
          <w:color w:val="auto"/>
          <w:u w:val="none"/>
        </w:rPr>
        <w:t xml:space="preserve"> </w:t>
      </w:r>
      <w:r w:rsidR="00C50297" w:rsidRPr="000876D9">
        <w:t xml:space="preserve">(the </w:t>
      </w:r>
      <w:r w:rsidR="00FC0158">
        <w:rPr>
          <w:b/>
        </w:rPr>
        <w:t>TRIANGL</w:t>
      </w:r>
      <w:r w:rsidR="00C50297" w:rsidRPr="000876D9">
        <w:rPr>
          <w:b/>
        </w:rPr>
        <w:t xml:space="preserve"> website</w:t>
      </w:r>
      <w:r w:rsidR="00C50297" w:rsidRPr="000876D9">
        <w:t>)</w:t>
      </w:r>
      <w:r w:rsidR="00001510">
        <w:t>.  At the relevant time the website required</w:t>
      </w:r>
      <w:r>
        <w:t xml:space="preserve"> an Australian</w:t>
      </w:r>
      <w:r w:rsidR="00001510">
        <w:t xml:space="preserve"> person </w:t>
      </w:r>
      <w:r>
        <w:t>wishing to make a purchase to select their region, which then directed the customer to the page</w:t>
      </w:r>
      <w:r w:rsidR="00686FD8">
        <w:t>s</w:t>
      </w:r>
      <w:r>
        <w:t xml:space="preserve"> of the website targeted at Australia;</w:t>
      </w:r>
    </w:p>
    <w:p w:rsidR="00B645F6" w:rsidRDefault="00DF12C2" w:rsidP="00E97DF6">
      <w:pPr>
        <w:pStyle w:val="ListNo1"/>
        <w:numPr>
          <w:ilvl w:val="0"/>
          <w:numId w:val="25"/>
        </w:numPr>
      </w:pPr>
      <w:r>
        <w:t>the</w:t>
      </w:r>
      <w:r w:rsidRPr="00E31C0C">
        <w:t xml:space="preserve"> </w:t>
      </w:r>
      <w:r>
        <w:t>Triangl social media outlets, being</w:t>
      </w:r>
      <w:r w:rsidR="00B645F6">
        <w:t>:</w:t>
      </w:r>
    </w:p>
    <w:p w:rsidR="00B645F6" w:rsidRDefault="00DF12C2" w:rsidP="008D7D39">
      <w:pPr>
        <w:pStyle w:val="ListNo2"/>
        <w:numPr>
          <w:ilvl w:val="0"/>
          <w:numId w:val="55"/>
        </w:numPr>
        <w:ind w:left="1418" w:hanging="709"/>
      </w:pPr>
      <w:r>
        <w:t>the</w:t>
      </w:r>
      <w:r w:rsidRPr="00E31C0C">
        <w:t xml:space="preserve"> </w:t>
      </w:r>
      <w:r w:rsidR="00FC0158">
        <w:t>TRIANGL</w:t>
      </w:r>
      <w:r>
        <w:t xml:space="preserve"> Instagram page </w:t>
      </w:r>
      <w:r w:rsidR="00B645F6">
        <w:t>–</w:t>
      </w:r>
      <w:r w:rsidR="00E17C83">
        <w:t xml:space="preserve"> &lt;</w:t>
      </w:r>
      <w:r w:rsidR="00B645F6">
        <w:t>www.instagram.com/triangl</w:t>
      </w:r>
      <w:r w:rsidR="00E17C83">
        <w:t>&gt;</w:t>
      </w:r>
      <w:r w:rsidR="00B645F6">
        <w:t xml:space="preserve">; </w:t>
      </w:r>
      <w:r>
        <w:t xml:space="preserve">and </w:t>
      </w:r>
    </w:p>
    <w:p w:rsidR="00DF12C2" w:rsidRDefault="00DF12C2" w:rsidP="008D7D39">
      <w:pPr>
        <w:pStyle w:val="ListNo2"/>
        <w:numPr>
          <w:ilvl w:val="0"/>
          <w:numId w:val="55"/>
        </w:numPr>
        <w:ind w:left="1418" w:hanging="709"/>
      </w:pPr>
      <w:r>
        <w:t>the</w:t>
      </w:r>
      <w:r w:rsidRPr="00E31C0C">
        <w:t xml:space="preserve"> </w:t>
      </w:r>
      <w:r w:rsidR="00FC0158">
        <w:t>TRIANGL</w:t>
      </w:r>
      <w:r>
        <w:t xml:space="preserve"> Facebook page</w:t>
      </w:r>
      <w:r w:rsidR="00B645F6">
        <w:t xml:space="preserve"> – </w:t>
      </w:r>
      <w:r w:rsidR="00E17C83">
        <w:t>&lt;</w:t>
      </w:r>
      <w:r w:rsidR="00B645F6">
        <w:t>www.facebook.com/trianglofficial</w:t>
      </w:r>
      <w:r w:rsidR="00E17C83">
        <w:t>&gt;</w:t>
      </w:r>
      <w:r>
        <w:t xml:space="preserve">; </w:t>
      </w:r>
    </w:p>
    <w:p w:rsidR="00DF12C2" w:rsidRDefault="00DF12C2" w:rsidP="00E97DF6">
      <w:pPr>
        <w:pStyle w:val="ListNo1"/>
        <w:numPr>
          <w:ilvl w:val="0"/>
          <w:numId w:val="25"/>
        </w:numPr>
      </w:pPr>
      <w:r>
        <w:t>Electronic Direct Mail (</w:t>
      </w:r>
      <w:r w:rsidRPr="00E31C0C">
        <w:rPr>
          <w:b/>
        </w:rPr>
        <w:t>EDM</w:t>
      </w:r>
      <w:r>
        <w:t>) communications with customers and prospective customers who set up an account through the</w:t>
      </w:r>
      <w:r w:rsidRPr="00E31C0C">
        <w:t xml:space="preserve"> </w:t>
      </w:r>
      <w:r w:rsidR="00FC0158">
        <w:t>TRIANGL</w:t>
      </w:r>
      <w:r>
        <w:t xml:space="preserve"> website; and</w:t>
      </w:r>
    </w:p>
    <w:p w:rsidR="00DF12C2" w:rsidRDefault="00DF12C2" w:rsidP="00E97DF6">
      <w:pPr>
        <w:pStyle w:val="ListNo1"/>
        <w:numPr>
          <w:ilvl w:val="0"/>
          <w:numId w:val="25"/>
        </w:numPr>
      </w:pPr>
      <w:r>
        <w:t>in some limited magazines and traditional forms of media.</w:t>
      </w:r>
    </w:p>
    <w:p w:rsidR="00DF12C2" w:rsidRDefault="00DF12C2" w:rsidP="00DF12C2">
      <w:pPr>
        <w:pStyle w:val="ParaNumbering"/>
        <w:tabs>
          <w:tab w:val="num" w:pos="720"/>
        </w:tabs>
        <w:ind w:left="0"/>
      </w:pPr>
      <w:r>
        <w:t>Social media is the main channel through which</w:t>
      </w:r>
      <w:r w:rsidRPr="00E31C0C">
        <w:t xml:space="preserve"> </w:t>
      </w:r>
      <w:r>
        <w:t>Triangl markets its products</w:t>
      </w:r>
      <w:r w:rsidR="00C50297">
        <w:t>.</w:t>
      </w:r>
      <w:r w:rsidR="00686FD8">
        <w:t xml:space="preserve">  </w:t>
      </w:r>
      <w:r w:rsidR="002A6452">
        <w:t>A</w:t>
      </w:r>
      <w:r>
        <w:t>s at 21 June 2016</w:t>
      </w:r>
      <w:r w:rsidR="00981409">
        <w:t>,</w:t>
      </w:r>
      <w:r>
        <w:t xml:space="preserve"> </w:t>
      </w:r>
      <w:r w:rsidR="00686FD8">
        <w:t xml:space="preserve">Triangl </w:t>
      </w:r>
      <w:r>
        <w:t>had over 2 million social media followers</w:t>
      </w:r>
      <w:r w:rsidR="00420754">
        <w:t>, but</w:t>
      </w:r>
      <w:r w:rsidR="00210B6F">
        <w:t xml:space="preserve"> </w:t>
      </w:r>
      <w:r w:rsidR="002A6452">
        <w:t>the evidence does not show how many of those followers live in Australia</w:t>
      </w:r>
      <w:r>
        <w:t>.</w:t>
      </w:r>
    </w:p>
    <w:p w:rsidR="00686FD8" w:rsidRDefault="00A00EB4" w:rsidP="00F9666F">
      <w:pPr>
        <w:pStyle w:val="Heading3"/>
      </w:pPr>
      <w:r>
        <w:t xml:space="preserve">The use </w:t>
      </w:r>
      <w:r w:rsidR="00686FD8">
        <w:t xml:space="preserve">of </w:t>
      </w:r>
      <w:r w:rsidR="00200FFF">
        <w:t>‘</w:t>
      </w:r>
      <w:r w:rsidR="00686FD8">
        <w:t>style names</w:t>
      </w:r>
      <w:r w:rsidR="00200FFF">
        <w:t>’</w:t>
      </w:r>
      <w:r>
        <w:t xml:space="preserve"> in women’s fashion</w:t>
      </w:r>
      <w:r w:rsidR="005C2D56">
        <w:t xml:space="preserve"> in Australia</w:t>
      </w:r>
    </w:p>
    <w:p w:rsidR="00767B09" w:rsidRDefault="00767B09" w:rsidP="00767B09">
      <w:pPr>
        <w:pStyle w:val="ParaNumbering"/>
        <w:tabs>
          <w:tab w:val="num" w:pos="720"/>
        </w:tabs>
        <w:ind w:left="0"/>
      </w:pPr>
      <w:r>
        <w:t>Mr Ellis</w:t>
      </w:r>
      <w:r w:rsidR="00420754">
        <w:t xml:space="preserve"> gave unchallenged evidence </w:t>
      </w:r>
      <w:r>
        <w:t>that over his years working in the fashion industry he had seen that style names are commonly used, both globally and in Australia</w:t>
      </w:r>
      <w:r w:rsidR="00210B6F">
        <w:t>,</w:t>
      </w:r>
      <w:r>
        <w:t xml:space="preserve"> to assist customers to distinguish </w:t>
      </w:r>
      <w:r w:rsidR="00FE2554">
        <w:t xml:space="preserve">between </w:t>
      </w:r>
      <w:r>
        <w:t xml:space="preserve">different products sold by a trader. </w:t>
      </w:r>
      <w:r w:rsidR="00981409">
        <w:t xml:space="preserve"> </w:t>
      </w:r>
      <w:r w:rsidR="00AC5FEF">
        <w:t xml:space="preserve">He also said </w:t>
      </w:r>
      <w:r>
        <w:t>that he was aware that many other brands in the women’s swimwear industry adopted style names.</w:t>
      </w:r>
      <w:r w:rsidR="00981409">
        <w:t xml:space="preserve"> </w:t>
      </w:r>
      <w:r w:rsidR="0028102D">
        <w:t xml:space="preserve"> </w:t>
      </w:r>
      <w:r w:rsidR="00AC5FEF">
        <w:t>I accept that evidence.</w:t>
      </w:r>
    </w:p>
    <w:p w:rsidR="001F25CC" w:rsidRDefault="00210B6F" w:rsidP="00767B09">
      <w:pPr>
        <w:pStyle w:val="ParaNumbering"/>
        <w:tabs>
          <w:tab w:val="num" w:pos="720"/>
        </w:tabs>
        <w:ind w:left="0"/>
      </w:pPr>
      <w:r>
        <w:t>He</w:t>
      </w:r>
      <w:r w:rsidR="00420754">
        <w:t xml:space="preserve"> also said </w:t>
      </w:r>
      <w:r w:rsidR="00767B09">
        <w:t>that the rapid turnover of stock and repeated use of the same colours</w:t>
      </w:r>
      <w:r w:rsidR="001F25CC">
        <w:t xml:space="preserve"> meant</w:t>
      </w:r>
      <w:r w:rsidR="00767B09">
        <w:t xml:space="preserve"> </w:t>
      </w:r>
      <w:r w:rsidR="00E64FEF">
        <w:t xml:space="preserve">that </w:t>
      </w:r>
      <w:r w:rsidR="00767B09">
        <w:t xml:space="preserve">it was much easier for a customer to refer to a name or other word </w:t>
      </w:r>
      <w:r>
        <w:t xml:space="preserve">for a garment </w:t>
      </w:r>
      <w:r w:rsidR="00767B09">
        <w:t xml:space="preserve">than it was for the customer to refer to </w:t>
      </w:r>
      <w:r>
        <w:t xml:space="preserve">the garment by reference to </w:t>
      </w:r>
      <w:r w:rsidR="00767B09">
        <w:t>a style number.</w:t>
      </w:r>
      <w:r w:rsidR="001F25CC">
        <w:t xml:space="preserve">  He said that </w:t>
      </w:r>
      <w:r w:rsidR="00E64FEF">
        <w:t xml:space="preserve">the </w:t>
      </w:r>
      <w:r w:rsidR="001F25CC">
        <w:t xml:space="preserve">use </w:t>
      </w:r>
      <w:r w:rsidR="00767B09">
        <w:t xml:space="preserve">of style names made the business of retailing products easier as when dealing with customer queries and complaints both parties more readily knew what product was being talked about.  He </w:t>
      </w:r>
      <w:r>
        <w:t xml:space="preserve">also </w:t>
      </w:r>
      <w:r w:rsidR="00767B09">
        <w:t xml:space="preserve">said that the benefit of style names </w:t>
      </w:r>
      <w:r w:rsidR="005D6D10">
        <w:t xml:space="preserve">applied </w:t>
      </w:r>
      <w:r w:rsidR="00767B09">
        <w:t>to internal discussions within a clothing business as a style name more readily</w:t>
      </w:r>
      <w:r w:rsidR="00FE2554">
        <w:t xml:space="preserve"> brought </w:t>
      </w:r>
      <w:r w:rsidR="00767B09">
        <w:t>to mind the product in question</w:t>
      </w:r>
      <w:r w:rsidR="005D6D10">
        <w:t>,</w:t>
      </w:r>
      <w:r w:rsidR="00767B09">
        <w:t xml:space="preserve"> in much the same way </w:t>
      </w:r>
      <w:r w:rsidR="00E64FEF">
        <w:t>a</w:t>
      </w:r>
      <w:r w:rsidR="00767B09">
        <w:t xml:space="preserve">s a person’s name brings to mind that person’s face.  He said that a style number or code does not so easily serve that purpose and that it was not difficult to accidentally transpose </w:t>
      </w:r>
      <w:r w:rsidR="00767B09">
        <w:lastRenderedPageBreak/>
        <w:t>a</w:t>
      </w:r>
      <w:r w:rsidR="00E64FEF">
        <w:t>n incorrect</w:t>
      </w:r>
      <w:r w:rsidR="00767B09">
        <w:t xml:space="preserve"> number when </w:t>
      </w:r>
      <w:r w:rsidR="00E64FEF">
        <w:t>dealing with</w:t>
      </w:r>
      <w:r w:rsidR="00767B09">
        <w:t xml:space="preserve"> </w:t>
      </w:r>
      <w:r>
        <w:t xml:space="preserve">a style </w:t>
      </w:r>
      <w:r w:rsidR="00767B09">
        <w:t>number</w:t>
      </w:r>
      <w:r w:rsidR="00E64FEF">
        <w:t xml:space="preserve"> rather than</w:t>
      </w:r>
      <w:r>
        <w:t xml:space="preserve"> a style name</w:t>
      </w:r>
      <w:r w:rsidR="00767B09">
        <w:t>.</w:t>
      </w:r>
      <w:r w:rsidR="00981409">
        <w:t xml:space="preserve"> </w:t>
      </w:r>
      <w:r w:rsidR="0028102D">
        <w:t xml:space="preserve"> I accept that evidence</w:t>
      </w:r>
      <w:r w:rsidR="00981409">
        <w:t>.</w:t>
      </w:r>
    </w:p>
    <w:p w:rsidR="005C2D56" w:rsidRDefault="005C2D56" w:rsidP="005C2D56">
      <w:pPr>
        <w:pStyle w:val="ParaNumbering"/>
        <w:tabs>
          <w:tab w:val="num" w:pos="720"/>
        </w:tabs>
        <w:ind w:left="0"/>
      </w:pPr>
      <w:r>
        <w:t>Mr Bucoy</w:t>
      </w:r>
      <w:r w:rsidR="00210B6F">
        <w:t xml:space="preserve"> </w:t>
      </w:r>
      <w:r w:rsidR="00420754">
        <w:t xml:space="preserve">essentially </w:t>
      </w:r>
      <w:r>
        <w:t xml:space="preserve">confirmed </w:t>
      </w:r>
      <w:r w:rsidR="00FE2554">
        <w:t>the</w:t>
      </w:r>
      <w:r w:rsidR="00420754">
        <w:t xml:space="preserve"> gist </w:t>
      </w:r>
      <w:r w:rsidR="00FE2554">
        <w:t xml:space="preserve">of </w:t>
      </w:r>
      <w:r>
        <w:t xml:space="preserve">Mr Ellis’ evidence in this regard.  He accepted </w:t>
      </w:r>
      <w:r w:rsidRPr="00B960FA">
        <w:t xml:space="preserve">that traders in the </w:t>
      </w:r>
      <w:r w:rsidR="004D4101">
        <w:t xml:space="preserve">women’s </w:t>
      </w:r>
      <w:r w:rsidRPr="00B960FA">
        <w:t>fashion industry assign</w:t>
      </w:r>
      <w:r>
        <w:t xml:space="preserve"> style or product </w:t>
      </w:r>
      <w:r w:rsidRPr="00B960FA">
        <w:t xml:space="preserve">names to their products because it is a more convenient way </w:t>
      </w:r>
      <w:r w:rsidR="00981409">
        <w:t>of</w:t>
      </w:r>
      <w:r w:rsidR="00981409" w:rsidRPr="00B960FA">
        <w:t xml:space="preserve"> </w:t>
      </w:r>
      <w:r w:rsidRPr="00B960FA">
        <w:t>identifying the product, more convenient than requiring either the business or the customer to have to describe all the characteristics of the garment they are talking about, and easier and more convenient than using a model or style number.</w:t>
      </w:r>
      <w:r w:rsidR="0028102D">
        <w:t xml:space="preserve"> </w:t>
      </w:r>
      <w:r w:rsidR="008B4A71">
        <w:t xml:space="preserve"> </w:t>
      </w:r>
      <w:r w:rsidR="0028102D">
        <w:t>I accept</w:t>
      </w:r>
      <w:r w:rsidR="004D4101">
        <w:t xml:space="preserve"> his </w:t>
      </w:r>
      <w:r w:rsidR="0028102D">
        <w:t>evidence</w:t>
      </w:r>
      <w:r w:rsidR="004D4101">
        <w:t xml:space="preserve"> in this regard</w:t>
      </w:r>
      <w:r w:rsidR="0028102D">
        <w:t>.</w:t>
      </w:r>
    </w:p>
    <w:p w:rsidR="00400965" w:rsidRDefault="00FE2554" w:rsidP="00A17A58">
      <w:pPr>
        <w:pStyle w:val="ParaNumbering"/>
        <w:tabs>
          <w:tab w:val="num" w:pos="720"/>
        </w:tabs>
        <w:ind w:left="0"/>
      </w:pPr>
      <w:r>
        <w:t>T</w:t>
      </w:r>
      <w:r w:rsidR="004D4101">
        <w:t xml:space="preserve">he </w:t>
      </w:r>
      <w:r w:rsidR="005C2D56">
        <w:t>evidence show</w:t>
      </w:r>
      <w:r w:rsidR="00FF3105">
        <w:t>s</w:t>
      </w:r>
      <w:r w:rsidR="005C2D56">
        <w:t xml:space="preserve"> that Pinnacle itself </w:t>
      </w:r>
      <w:r w:rsidR="004D4101">
        <w:t xml:space="preserve">repeatedly </w:t>
      </w:r>
      <w:r w:rsidR="005C2D56">
        <w:t>used style names, including women’s names</w:t>
      </w:r>
      <w:r w:rsidR="004D4101">
        <w:t>, in relation to DELPHINE Products</w:t>
      </w:r>
      <w:r w:rsidR="005C2D56">
        <w:t xml:space="preserve">.  </w:t>
      </w:r>
      <w:r w:rsidR="00FF3105">
        <w:t>Mr Bucoy</w:t>
      </w:r>
      <w:r w:rsidR="005C2D56">
        <w:t xml:space="preserve"> accepted </w:t>
      </w:r>
      <w:r w:rsidR="004D4101">
        <w:t>in cross</w:t>
      </w:r>
      <w:r w:rsidR="008118D9">
        <w:t>-</w:t>
      </w:r>
      <w:r w:rsidR="004D4101">
        <w:t xml:space="preserve">examination </w:t>
      </w:r>
      <w:r w:rsidR="005C2D56">
        <w:t xml:space="preserve">that </w:t>
      </w:r>
      <w:r w:rsidR="005C2D56" w:rsidRPr="00B960FA">
        <w:t>Pinnacle</w:t>
      </w:r>
      <w:r w:rsidR="005C2D56">
        <w:t xml:space="preserve"> marketed </w:t>
      </w:r>
      <w:r w:rsidR="00FF3105">
        <w:t xml:space="preserve">and sold </w:t>
      </w:r>
      <w:r w:rsidR="005C2D56" w:rsidRPr="00B960FA">
        <w:t xml:space="preserve">a </w:t>
      </w:r>
      <w:r w:rsidR="005C2D56">
        <w:t>DELPHINE</w:t>
      </w:r>
      <w:r w:rsidR="00FF3105">
        <w:t xml:space="preserve"> Product </w:t>
      </w:r>
      <w:r w:rsidR="005C2D56">
        <w:t xml:space="preserve">under the style name </w:t>
      </w:r>
      <w:r w:rsidR="00362636">
        <w:t>‘</w:t>
      </w:r>
      <w:r w:rsidR="005C2D56" w:rsidRPr="00B960FA">
        <w:t>Clementine</w:t>
      </w:r>
      <w:r w:rsidR="00362636">
        <w:t>’</w:t>
      </w:r>
      <w:r w:rsidR="005C2D56">
        <w:t>,</w:t>
      </w:r>
      <w:r w:rsidR="00FF3105">
        <w:t xml:space="preserve"> which is </w:t>
      </w:r>
      <w:r w:rsidR="005C2D56" w:rsidRPr="00B960FA">
        <w:t>a wom</w:t>
      </w:r>
      <w:r w:rsidR="00291ADF">
        <w:t>e</w:t>
      </w:r>
      <w:r w:rsidR="005C2D56" w:rsidRPr="00B960FA">
        <w:t>n’s name</w:t>
      </w:r>
      <w:r w:rsidR="00F37DAC">
        <w:t xml:space="preserve"> (although Mr Bucoy</w:t>
      </w:r>
      <w:r>
        <w:t xml:space="preserve"> argued </w:t>
      </w:r>
      <w:r w:rsidR="00F37DAC">
        <w:t>that it was also a man’s name)</w:t>
      </w:r>
      <w:r w:rsidR="005C2D56" w:rsidRPr="00B960FA">
        <w:t>.</w:t>
      </w:r>
      <w:r w:rsidR="005C2D56">
        <w:t xml:space="preserve">  </w:t>
      </w:r>
      <w:r w:rsidR="00FF3105">
        <w:t>He</w:t>
      </w:r>
      <w:r w:rsidR="00420754">
        <w:t xml:space="preserve"> </w:t>
      </w:r>
      <w:r w:rsidR="00FF3105">
        <w:t xml:space="preserve">accepted that </w:t>
      </w:r>
      <w:r w:rsidR="005C2D56">
        <w:t xml:space="preserve">DELPHINE Products </w:t>
      </w:r>
      <w:r w:rsidR="00FF3105">
        <w:t xml:space="preserve">were marketed and sold </w:t>
      </w:r>
      <w:r w:rsidR="005C2D56">
        <w:t xml:space="preserve">on the DELPHINE and </w:t>
      </w:r>
      <w:r w:rsidR="006D6D22">
        <w:t>THE ICONIC</w:t>
      </w:r>
      <w:r w:rsidR="005C2D56" w:rsidRPr="00B960FA">
        <w:t xml:space="preserve"> website</w:t>
      </w:r>
      <w:r w:rsidR="005C2D56">
        <w:t>s</w:t>
      </w:r>
      <w:r w:rsidR="0028102D">
        <w:t xml:space="preserve"> </w:t>
      </w:r>
      <w:r w:rsidR="004D4101">
        <w:t xml:space="preserve">using </w:t>
      </w:r>
      <w:r w:rsidR="005C2D56">
        <w:t>style names including</w:t>
      </w:r>
      <w:r w:rsidR="00E17C83">
        <w:t>:</w:t>
      </w:r>
      <w:r w:rsidR="0028102D">
        <w:t xml:space="preserve"> </w:t>
      </w:r>
      <w:r w:rsidR="005C2D56" w:rsidRPr="00B960FA">
        <w:t>Sovereign, Anarchy, On the Run, Revolution</w:t>
      </w:r>
      <w:r w:rsidR="005C2D56">
        <w:t>,</w:t>
      </w:r>
      <w:r w:rsidR="005C2D56" w:rsidRPr="00B960FA">
        <w:t xml:space="preserve"> Riot</w:t>
      </w:r>
      <w:r w:rsidR="00FF3105">
        <w:t>,</w:t>
      </w:r>
      <w:r w:rsidR="005C2D56" w:rsidRPr="007933E8">
        <w:t xml:space="preserve"> </w:t>
      </w:r>
      <w:r w:rsidR="005C2D56" w:rsidRPr="00B960FA">
        <w:t>Compass</w:t>
      </w:r>
      <w:r w:rsidR="00FF3105">
        <w:t>,</w:t>
      </w:r>
      <w:r w:rsidR="00FF3105" w:rsidRPr="00FF3105">
        <w:t xml:space="preserve"> </w:t>
      </w:r>
      <w:r w:rsidR="00FF3105" w:rsidRPr="00B960FA">
        <w:t>Libertine,</w:t>
      </w:r>
      <w:r w:rsidR="001D2E7E">
        <w:t xml:space="preserve"> </w:t>
      </w:r>
      <w:r w:rsidR="00FF3105" w:rsidRPr="00B960FA">
        <w:t>Damsel, Gallows, Essence, Temptress and Larva</w:t>
      </w:r>
      <w:r w:rsidR="001D2E7E">
        <w:t xml:space="preserve">. </w:t>
      </w:r>
      <w:r w:rsidR="0017352F">
        <w:t xml:space="preserve"> </w:t>
      </w:r>
      <w:r w:rsidR="00FF3105">
        <w:t xml:space="preserve">Mr Bucoy </w:t>
      </w:r>
      <w:r w:rsidR="005C2D56">
        <w:t xml:space="preserve">accepted </w:t>
      </w:r>
      <w:r w:rsidR="005C2D56" w:rsidRPr="00B960FA">
        <w:t>that the benefit of using a style name was that it</w:t>
      </w:r>
      <w:r w:rsidR="005C2D56">
        <w:t xml:space="preserve"> allowed </w:t>
      </w:r>
      <w:r w:rsidR="005C2D56" w:rsidRPr="00B960FA">
        <w:t xml:space="preserve">identification of </w:t>
      </w:r>
      <w:r w:rsidR="005C2D56">
        <w:t>a</w:t>
      </w:r>
      <w:r w:rsidR="005C2D56" w:rsidRPr="00B960FA">
        <w:t xml:space="preserve"> particular garment </w:t>
      </w:r>
      <w:r w:rsidR="005C2D56" w:rsidRPr="00FF3105">
        <w:rPr>
          <w:i/>
        </w:rPr>
        <w:t>within</w:t>
      </w:r>
      <w:r w:rsidR="005C2D56" w:rsidRPr="00B960FA">
        <w:t xml:space="preserve"> </w:t>
      </w:r>
      <w:r w:rsidR="00F37DAC">
        <w:t>an apparel</w:t>
      </w:r>
      <w:r w:rsidR="005C2D56" w:rsidRPr="00B960FA">
        <w:t xml:space="preserve"> range.</w:t>
      </w:r>
      <w:r w:rsidR="004D4101">
        <w:t xml:space="preserve">  It is</w:t>
      </w:r>
      <w:r w:rsidR="009B4BBC">
        <w:t xml:space="preserve"> also </w:t>
      </w:r>
      <w:r w:rsidR="004D4101">
        <w:t xml:space="preserve">worth noting </w:t>
      </w:r>
      <w:r w:rsidR="002D388E">
        <w:t xml:space="preserve">that </w:t>
      </w:r>
      <w:r w:rsidR="00400965">
        <w:t>many of the style names which Pinnacle used in relation to DELPHINE Products had been previously registered as Australian trade</w:t>
      </w:r>
      <w:r w:rsidR="00D57E6E">
        <w:t xml:space="preserve"> </w:t>
      </w:r>
      <w:r w:rsidR="00400965">
        <w:t>marks by other traders in respect of class 25 goods, including clothing.  The evidence shows the following registered Australian trade</w:t>
      </w:r>
      <w:r>
        <w:t xml:space="preserve"> </w:t>
      </w:r>
      <w:r w:rsidR="00400965">
        <w:t xml:space="preserve">marks </w:t>
      </w:r>
      <w:r w:rsidR="00395D14">
        <w:t xml:space="preserve">and the date of its registration </w:t>
      </w:r>
      <w:r>
        <w:t>which correspond with a style name which Pinnacle used</w:t>
      </w:r>
      <w:r w:rsidR="00400965">
        <w:t xml:space="preserve">: </w:t>
      </w:r>
    </w:p>
    <w:p w:rsidR="00400965" w:rsidRDefault="00400965" w:rsidP="008D7D39">
      <w:pPr>
        <w:pStyle w:val="ListNo1"/>
        <w:numPr>
          <w:ilvl w:val="0"/>
          <w:numId w:val="51"/>
        </w:numPr>
      </w:pPr>
      <w:r>
        <w:t>SOVEREIGN - December 1946;</w:t>
      </w:r>
    </w:p>
    <w:p w:rsidR="00400965" w:rsidRDefault="00400965" w:rsidP="008D7D39">
      <w:pPr>
        <w:pStyle w:val="ListNo1"/>
        <w:numPr>
          <w:ilvl w:val="0"/>
          <w:numId w:val="51"/>
        </w:numPr>
      </w:pPr>
      <w:r>
        <w:t>REVOLUTION - January 1989;</w:t>
      </w:r>
    </w:p>
    <w:p w:rsidR="00400965" w:rsidRDefault="00400965" w:rsidP="008D7D39">
      <w:pPr>
        <w:pStyle w:val="ListNo1"/>
        <w:numPr>
          <w:ilvl w:val="0"/>
          <w:numId w:val="51"/>
        </w:numPr>
      </w:pPr>
      <w:r>
        <w:t>Anarchy (in stylised form) - November 1997;</w:t>
      </w:r>
    </w:p>
    <w:p w:rsidR="00400965" w:rsidRDefault="00400965" w:rsidP="008D7D39">
      <w:pPr>
        <w:pStyle w:val="ListNo1"/>
        <w:numPr>
          <w:ilvl w:val="0"/>
          <w:numId w:val="51"/>
        </w:numPr>
      </w:pPr>
      <w:r>
        <w:t>ON THE RUN - October 2005;</w:t>
      </w:r>
    </w:p>
    <w:p w:rsidR="00400965" w:rsidRDefault="00400965" w:rsidP="008D7D39">
      <w:pPr>
        <w:pStyle w:val="ListNo1"/>
        <w:numPr>
          <w:ilvl w:val="0"/>
          <w:numId w:val="51"/>
        </w:numPr>
      </w:pPr>
      <w:r>
        <w:t>TEMPTRESS - July 2004;</w:t>
      </w:r>
    </w:p>
    <w:p w:rsidR="00400965" w:rsidRDefault="00400965" w:rsidP="008D7D39">
      <w:pPr>
        <w:pStyle w:val="ListNo1"/>
        <w:numPr>
          <w:ilvl w:val="0"/>
          <w:numId w:val="51"/>
        </w:numPr>
      </w:pPr>
      <w:r>
        <w:t>Libertine - June 2006;</w:t>
      </w:r>
    </w:p>
    <w:p w:rsidR="00400965" w:rsidRDefault="00400965" w:rsidP="008D7D39">
      <w:pPr>
        <w:pStyle w:val="ListNo1"/>
        <w:numPr>
          <w:ilvl w:val="0"/>
          <w:numId w:val="51"/>
        </w:numPr>
      </w:pPr>
      <w:r>
        <w:t>Damsel - February 2009;</w:t>
      </w:r>
    </w:p>
    <w:p w:rsidR="00400965" w:rsidRDefault="00400965" w:rsidP="008D7D39">
      <w:pPr>
        <w:pStyle w:val="ListNo1"/>
        <w:numPr>
          <w:ilvl w:val="0"/>
          <w:numId w:val="51"/>
        </w:numPr>
      </w:pPr>
      <w:r>
        <w:t>GALLOWS - expired in March 2018;</w:t>
      </w:r>
    </w:p>
    <w:p w:rsidR="00400965" w:rsidRDefault="00400965" w:rsidP="008D7D39">
      <w:pPr>
        <w:pStyle w:val="ListNo1"/>
        <w:numPr>
          <w:ilvl w:val="0"/>
          <w:numId w:val="51"/>
        </w:numPr>
      </w:pPr>
      <w:r>
        <w:t>LARVA - October 2011;</w:t>
      </w:r>
    </w:p>
    <w:p w:rsidR="00400965" w:rsidRDefault="00400965" w:rsidP="008D7D39">
      <w:pPr>
        <w:pStyle w:val="ListNo1"/>
        <w:numPr>
          <w:ilvl w:val="0"/>
          <w:numId w:val="51"/>
        </w:numPr>
      </w:pPr>
      <w:r>
        <w:t xml:space="preserve">RIOT - November 2011; </w:t>
      </w:r>
    </w:p>
    <w:p w:rsidR="00400965" w:rsidRDefault="00400965" w:rsidP="008D7D39">
      <w:pPr>
        <w:pStyle w:val="ListNo1"/>
        <w:numPr>
          <w:ilvl w:val="0"/>
          <w:numId w:val="51"/>
        </w:numPr>
      </w:pPr>
      <w:r>
        <w:lastRenderedPageBreak/>
        <w:t>COMPASS - December 2014; and</w:t>
      </w:r>
    </w:p>
    <w:p w:rsidR="00400965" w:rsidRDefault="00400965" w:rsidP="008D7D39">
      <w:pPr>
        <w:pStyle w:val="ListNo1"/>
        <w:numPr>
          <w:ilvl w:val="0"/>
          <w:numId w:val="51"/>
        </w:numPr>
      </w:pPr>
      <w:r>
        <w:t xml:space="preserve">ESSENCE - January 2014. </w:t>
      </w:r>
    </w:p>
    <w:p w:rsidR="005C2D56" w:rsidRDefault="002109A4" w:rsidP="00400965">
      <w:pPr>
        <w:pStyle w:val="NoNum"/>
      </w:pPr>
      <w:r>
        <w:t xml:space="preserve">Mr Bucoy agreed that it </w:t>
      </w:r>
      <w:r w:rsidRPr="00923899">
        <w:t xml:space="preserve">would be “disastrous” if every time Pinnacle’s designers came up with a style name for a DELPHINE Product it was required to check the </w:t>
      </w:r>
      <w:r>
        <w:t xml:space="preserve">register of </w:t>
      </w:r>
      <w:r w:rsidRPr="00923899">
        <w:t>trade marks</w:t>
      </w:r>
      <w:r>
        <w:t>.</w:t>
      </w:r>
    </w:p>
    <w:p w:rsidR="00FF3105" w:rsidRDefault="00FF3105" w:rsidP="00FF3105">
      <w:pPr>
        <w:pStyle w:val="ParaNumbering"/>
        <w:tabs>
          <w:tab w:val="num" w:pos="720"/>
        </w:tabs>
        <w:ind w:left="0"/>
      </w:pPr>
      <w:r>
        <w:t>Mr Saunders</w:t>
      </w:r>
      <w:r w:rsidR="004D4101">
        <w:t xml:space="preserve"> </w:t>
      </w:r>
      <w:r w:rsidR="009B4BBC">
        <w:t xml:space="preserve">also </w:t>
      </w:r>
      <w:r w:rsidR="00330354">
        <w:t>gave evidence</w:t>
      </w:r>
      <w:r w:rsidR="009B4BBC">
        <w:t xml:space="preserve"> confirming </w:t>
      </w:r>
      <w:r w:rsidR="0017352F">
        <w:t>the widespread use of women’s names</w:t>
      </w:r>
      <w:r w:rsidR="00025393">
        <w:t xml:space="preserve"> as product names</w:t>
      </w:r>
      <w:r w:rsidR="004D4101">
        <w:t xml:space="preserve"> in the women’s fashion industry</w:t>
      </w:r>
      <w:r w:rsidR="00025393">
        <w:t>.</w:t>
      </w:r>
      <w:r w:rsidR="0017352F">
        <w:t xml:space="preserve"> </w:t>
      </w:r>
      <w:r>
        <w:t xml:space="preserve"> He said that in his experience</w:t>
      </w:r>
      <w:r w:rsidRPr="000702D7">
        <w:t xml:space="preserve"> </w:t>
      </w:r>
      <w:r>
        <w:t>style or product names are easier for people to remember than other kinds of words and are more convenient.  In his view using a wom</w:t>
      </w:r>
      <w:r w:rsidR="00291ADF">
        <w:t>e</w:t>
      </w:r>
      <w:r>
        <w:t xml:space="preserve">n’s name can add “a poetic, feminine quality” to a garment.  He said that </w:t>
      </w:r>
      <w:r w:rsidR="00E60898">
        <w:t xml:space="preserve">during his time in the women’s fashion industry </w:t>
      </w:r>
      <w:r>
        <w:t xml:space="preserve">he had seen many hundreds of products named by reference to women’s names, and that in his experience the use of women’s names as style names or product names was </w:t>
      </w:r>
      <w:r w:rsidR="002E4245">
        <w:t>“</w:t>
      </w:r>
      <w:r>
        <w:t>extremely common</w:t>
      </w:r>
      <w:r w:rsidR="002E4245">
        <w:t>”</w:t>
      </w:r>
      <w:r>
        <w:t>.</w:t>
      </w:r>
      <w:r w:rsidR="00380D45">
        <w:t xml:space="preserve">  </w:t>
      </w:r>
      <w:r>
        <w:t xml:space="preserve">I accept </w:t>
      </w:r>
      <w:r w:rsidR="00D12A58">
        <w:t xml:space="preserve">that </w:t>
      </w:r>
      <w:r>
        <w:t>evidence.</w:t>
      </w:r>
      <w:r w:rsidR="00025393" w:rsidRPr="00025393">
        <w:t xml:space="preserve"> </w:t>
      </w:r>
    </w:p>
    <w:p w:rsidR="00E93FAB" w:rsidRDefault="00E93FAB" w:rsidP="00E93FAB">
      <w:pPr>
        <w:pStyle w:val="ParaNumbering"/>
        <w:tabs>
          <w:tab w:val="num" w:pos="720"/>
        </w:tabs>
        <w:ind w:left="0"/>
      </w:pPr>
      <w:r>
        <w:t>There</w:t>
      </w:r>
      <w:r w:rsidR="00E60898">
        <w:t xml:space="preserve"> was </w:t>
      </w:r>
      <w:r>
        <w:t xml:space="preserve">also </w:t>
      </w:r>
      <w:r w:rsidR="00E60898">
        <w:t xml:space="preserve">some </w:t>
      </w:r>
      <w:r>
        <w:t>evidence that DELPHINE, which</w:t>
      </w:r>
      <w:r w:rsidR="00FE2554">
        <w:t xml:space="preserve"> I consider to be </w:t>
      </w:r>
      <w:r>
        <w:t>a woman’s name, was used by other traders in relation to women’s apparel.</w:t>
      </w:r>
      <w:r w:rsidRPr="00291ADF">
        <w:t xml:space="preserve"> </w:t>
      </w:r>
      <w:r>
        <w:t xml:space="preserve"> In cross-examination Mr Bucoy was taken to pages from the websites of a variety of traders marketing and selling women’s apparel in Australia under the name DELPHINE (Exhibit R4).  The evidence shows that:</w:t>
      </w:r>
    </w:p>
    <w:p w:rsidR="00E93FAB" w:rsidRDefault="00E93FAB" w:rsidP="00E97DF6">
      <w:pPr>
        <w:pStyle w:val="ListNo1"/>
        <w:numPr>
          <w:ilvl w:val="0"/>
          <w:numId w:val="30"/>
        </w:numPr>
      </w:pPr>
      <w:r>
        <w:t>THE ICONIC website,</w:t>
      </w:r>
      <w:r w:rsidR="00E60898">
        <w:t xml:space="preserve"> which was </w:t>
      </w:r>
      <w:r>
        <w:t>the principal online stockist of DELPHINE Products, marketed women’s</w:t>
      </w:r>
      <w:r w:rsidR="00E60898">
        <w:t xml:space="preserve"> apparel </w:t>
      </w:r>
      <w:r>
        <w:t xml:space="preserve">in Australia under various different </w:t>
      </w:r>
      <w:r w:rsidR="00E60898">
        <w:t xml:space="preserve">women’s fashion </w:t>
      </w:r>
      <w:r>
        <w:t>brands,</w:t>
      </w:r>
      <w:r w:rsidR="00E60898">
        <w:t xml:space="preserve"> using </w:t>
      </w:r>
      <w:r>
        <w:t>DELPHINE as a style or product name.  On</w:t>
      </w:r>
      <w:r w:rsidR="00E60898">
        <w:t xml:space="preserve"> this </w:t>
      </w:r>
      <w:r>
        <w:t>website</w:t>
      </w:r>
      <w:r w:rsidR="00E60898">
        <w:t xml:space="preserve"> such</w:t>
      </w:r>
      <w:r w:rsidR="00FE2554">
        <w:t xml:space="preserve"> marketing </w:t>
      </w:r>
      <w:r>
        <w:t xml:space="preserve">sometimes appeared directly alongside advertisements for DELPHINE Products.  The </w:t>
      </w:r>
      <w:r w:rsidR="00E60898">
        <w:t xml:space="preserve">relevant </w:t>
      </w:r>
      <w:r>
        <w:t xml:space="preserve">apparel </w:t>
      </w:r>
      <w:r w:rsidR="00E60898">
        <w:t xml:space="preserve">marketed on THE ICONIC website </w:t>
      </w:r>
      <w:r>
        <w:t>include</w:t>
      </w:r>
      <w:r w:rsidR="00E60898">
        <w:t>d</w:t>
      </w:r>
      <w:r>
        <w:t xml:space="preserve">: </w:t>
      </w:r>
    </w:p>
    <w:p w:rsidR="00E93FAB" w:rsidRDefault="00E93FAB" w:rsidP="0045682F">
      <w:pPr>
        <w:pStyle w:val="ListNo2"/>
        <w:numPr>
          <w:ilvl w:val="0"/>
          <w:numId w:val="39"/>
        </w:numPr>
        <w:ind w:left="1418" w:hanging="720"/>
      </w:pPr>
      <w:r>
        <w:t>the Delphine Support Sports Bra and Delphine Oversized Sweat,</w:t>
      </w:r>
      <w:r w:rsidR="00E60898">
        <w:t xml:space="preserve"> under </w:t>
      </w:r>
      <w:r>
        <w:t>the Lorna Jane brand</w:t>
      </w:r>
      <w:r w:rsidR="00FE2554">
        <w:t>, which is</w:t>
      </w:r>
      <w:r>
        <w:t xml:space="preserve"> a well-known women’s athletic wear company;</w:t>
      </w:r>
      <w:r w:rsidRPr="00291ADF">
        <w:t xml:space="preserve"> </w:t>
      </w:r>
    </w:p>
    <w:p w:rsidR="00E93FAB" w:rsidRDefault="00E93FAB" w:rsidP="0045682F">
      <w:pPr>
        <w:pStyle w:val="ListNo2"/>
        <w:numPr>
          <w:ilvl w:val="0"/>
          <w:numId w:val="39"/>
        </w:numPr>
        <w:ind w:left="1418" w:hanging="720"/>
      </w:pPr>
      <w:r>
        <w:t>the Delphine Long Sleeve Mini,</w:t>
      </w:r>
      <w:r w:rsidR="00E60898">
        <w:t xml:space="preserve"> under </w:t>
      </w:r>
      <w:r>
        <w:t>the Rebecca Vallance brand;</w:t>
      </w:r>
    </w:p>
    <w:p w:rsidR="00E93FAB" w:rsidRDefault="00E93FAB" w:rsidP="0045682F">
      <w:pPr>
        <w:pStyle w:val="ListNo2"/>
        <w:numPr>
          <w:ilvl w:val="0"/>
          <w:numId w:val="39"/>
        </w:numPr>
        <w:ind w:left="1418" w:hanging="720"/>
      </w:pPr>
      <w:r>
        <w:t>the Delphine Midi Dress,</w:t>
      </w:r>
      <w:r w:rsidR="00E60898">
        <w:t xml:space="preserve"> under </w:t>
      </w:r>
      <w:r>
        <w:t>the Tussah brand;</w:t>
      </w:r>
      <w:r w:rsidRPr="009136A8">
        <w:t xml:space="preserve"> </w:t>
      </w:r>
    </w:p>
    <w:p w:rsidR="00E93FAB" w:rsidRDefault="00E93FAB" w:rsidP="0045682F">
      <w:pPr>
        <w:pStyle w:val="ListNo2"/>
        <w:numPr>
          <w:ilvl w:val="0"/>
          <w:numId w:val="39"/>
        </w:numPr>
        <w:ind w:left="1418" w:hanging="720"/>
      </w:pPr>
      <w:r>
        <w:t>the Delphine Denim Shorts,</w:t>
      </w:r>
      <w:r w:rsidR="00E60898">
        <w:t xml:space="preserve"> under </w:t>
      </w:r>
      <w:r>
        <w:t xml:space="preserve">the Camilla and Marc brand; </w:t>
      </w:r>
    </w:p>
    <w:p w:rsidR="00E93FAB" w:rsidRDefault="00E93FAB" w:rsidP="0045682F">
      <w:pPr>
        <w:pStyle w:val="ListNo2"/>
        <w:numPr>
          <w:ilvl w:val="0"/>
          <w:numId w:val="39"/>
        </w:numPr>
        <w:ind w:left="1418" w:hanging="720"/>
      </w:pPr>
      <w:r>
        <w:t>the Delphine Dress, Delphine Top and Delphine Skirt,</w:t>
      </w:r>
      <w:r w:rsidR="00E60898">
        <w:t xml:space="preserve"> under </w:t>
      </w:r>
      <w:r>
        <w:t>the Princess Highway brand; and</w:t>
      </w:r>
      <w:r w:rsidRPr="009136A8">
        <w:t xml:space="preserve"> </w:t>
      </w:r>
    </w:p>
    <w:p w:rsidR="00E93FAB" w:rsidRDefault="00E93FAB" w:rsidP="0045682F">
      <w:pPr>
        <w:pStyle w:val="ListNo2"/>
        <w:numPr>
          <w:ilvl w:val="0"/>
          <w:numId w:val="39"/>
        </w:numPr>
        <w:ind w:left="1418" w:hanging="720"/>
      </w:pPr>
      <w:r>
        <w:t>the Delphine Long Sleeve Dress,</w:t>
      </w:r>
      <w:r w:rsidR="00E60898">
        <w:t xml:space="preserve"> under </w:t>
      </w:r>
      <w:r>
        <w:t>the Rusty brand.</w:t>
      </w:r>
      <w:r w:rsidRPr="009136A8">
        <w:t xml:space="preserve"> </w:t>
      </w:r>
    </w:p>
    <w:p w:rsidR="00E93FAB" w:rsidRDefault="00E93FAB" w:rsidP="00E97DF6">
      <w:pPr>
        <w:pStyle w:val="ListNo1"/>
        <w:numPr>
          <w:ilvl w:val="0"/>
          <w:numId w:val="30"/>
        </w:numPr>
      </w:pPr>
      <w:r>
        <w:t xml:space="preserve">the Myer website which advertised a dress with the name Delphine, under the </w:t>
      </w:r>
      <w:r w:rsidR="00E60898">
        <w:t xml:space="preserve">Leona Edmiston </w:t>
      </w:r>
      <w:r>
        <w:t>brand</w:t>
      </w:r>
      <w:r w:rsidR="00E60898">
        <w:t xml:space="preserve">, a </w:t>
      </w:r>
      <w:r>
        <w:t>well-known Australian designer;</w:t>
      </w:r>
      <w:r w:rsidRPr="009136A8">
        <w:t xml:space="preserve"> </w:t>
      </w:r>
    </w:p>
    <w:p w:rsidR="00E93FAB" w:rsidRDefault="00E93FAB" w:rsidP="00E97DF6">
      <w:pPr>
        <w:pStyle w:val="ListNo1"/>
        <w:numPr>
          <w:ilvl w:val="0"/>
          <w:numId w:val="30"/>
        </w:numPr>
      </w:pPr>
      <w:r>
        <w:lastRenderedPageBreak/>
        <w:t>the Fame and Partners website which advertised a dress named The Delphine</w:t>
      </w:r>
      <w:r w:rsidR="00E60898">
        <w:t xml:space="preserve"> under </w:t>
      </w:r>
      <w:r>
        <w:t>the Fame and Partners brand;</w:t>
      </w:r>
      <w:r w:rsidRPr="00291ADF">
        <w:t xml:space="preserve"> </w:t>
      </w:r>
    </w:p>
    <w:p w:rsidR="00E93FAB" w:rsidRDefault="00E93FAB" w:rsidP="00E97DF6">
      <w:pPr>
        <w:pStyle w:val="ListNo1"/>
        <w:numPr>
          <w:ilvl w:val="0"/>
          <w:numId w:val="30"/>
        </w:numPr>
      </w:pPr>
      <w:r>
        <w:t>the Ozsale website which marketed a dress named the Delphine Shift Dress,</w:t>
      </w:r>
      <w:r w:rsidR="00E60898">
        <w:t xml:space="preserve"> under </w:t>
      </w:r>
      <w:r>
        <w:t>the French Connection brand;</w:t>
      </w:r>
    </w:p>
    <w:p w:rsidR="00E93FAB" w:rsidRDefault="00E93FAB" w:rsidP="00E97DF6">
      <w:pPr>
        <w:pStyle w:val="ListNo1"/>
        <w:numPr>
          <w:ilvl w:val="0"/>
          <w:numId w:val="30"/>
        </w:numPr>
      </w:pPr>
      <w:r>
        <w:t>the Mytheresa website which marketed an embroidered linen shirt</w:t>
      </w:r>
      <w:r w:rsidR="00E60898">
        <w:t xml:space="preserve"> named </w:t>
      </w:r>
      <w:r>
        <w:t>Delphine,</w:t>
      </w:r>
      <w:r w:rsidR="00E60898">
        <w:t xml:space="preserve"> under </w:t>
      </w:r>
      <w:r>
        <w:t>the Isabel Marant brand;</w:t>
      </w:r>
      <w:r w:rsidRPr="009136A8">
        <w:t xml:space="preserve"> </w:t>
      </w:r>
      <w:r w:rsidR="00E17C83">
        <w:t>and</w:t>
      </w:r>
    </w:p>
    <w:p w:rsidR="00E93FAB" w:rsidRDefault="00E93FAB" w:rsidP="00E97DF6">
      <w:pPr>
        <w:pStyle w:val="ListNo1"/>
        <w:numPr>
          <w:ilvl w:val="0"/>
          <w:numId w:val="30"/>
        </w:numPr>
      </w:pPr>
      <w:r>
        <w:t>the Surfstitch website which marketed a dress</w:t>
      </w:r>
      <w:r w:rsidR="00E60898">
        <w:t xml:space="preserve"> named </w:t>
      </w:r>
      <w:r>
        <w:t xml:space="preserve">Delphine Long Sleeve Dress. </w:t>
      </w:r>
    </w:p>
    <w:p w:rsidR="00E93FAB" w:rsidRDefault="00E93FAB" w:rsidP="00E93FAB">
      <w:pPr>
        <w:pStyle w:val="ParaNumbering"/>
        <w:tabs>
          <w:tab w:val="num" w:pos="720"/>
        </w:tabs>
        <w:ind w:left="0"/>
      </w:pPr>
      <w:r>
        <w:t xml:space="preserve">In </w:t>
      </w:r>
      <w:r w:rsidR="008118D9">
        <w:t>cross-examination</w:t>
      </w:r>
      <w:r>
        <w:t xml:space="preserve"> Mr Bucoy accepted that when consumers looked at THE ICONIC website and saw DELPHINE Products advertised next to garments by Lorna Jane and other traders also using the name DELPHINE, they would be used to seeing that kind of marketing and use of style names.</w:t>
      </w:r>
      <w:r w:rsidRPr="009136A8">
        <w:t xml:space="preserve"> </w:t>
      </w:r>
      <w:r>
        <w:t xml:space="preserve"> He accepted that consumers would understand that the brand was, for example Princess Highway, and DELPHINE was just the name of that garment.  He accepted that there was available for consumers to see, from a range of trading sources, multiple uses of the name DELPHINE by different brands to identify their particular garments.</w:t>
      </w:r>
      <w:r w:rsidRPr="00B575AF">
        <w:t xml:space="preserve"> </w:t>
      </w:r>
      <w:r w:rsidR="00981409">
        <w:t xml:space="preserve"> </w:t>
      </w:r>
      <w:r>
        <w:t>Importantly Mr Bucoy accepted that this kind of usage of DELPHINE by other traders in Australia also happened in 2016.</w:t>
      </w:r>
    </w:p>
    <w:p w:rsidR="00E43370" w:rsidRDefault="008F6DB1" w:rsidP="00FF3105">
      <w:pPr>
        <w:pStyle w:val="ParaNumbering"/>
        <w:tabs>
          <w:tab w:val="num" w:pos="720"/>
        </w:tabs>
        <w:ind w:left="0"/>
      </w:pPr>
      <w:r>
        <w:t>I am satisfied that</w:t>
      </w:r>
      <w:r w:rsidR="00E93FAB">
        <w:t xml:space="preserve"> up to and including </w:t>
      </w:r>
      <w:r w:rsidR="00900A30">
        <w:t xml:space="preserve">the </w:t>
      </w:r>
      <w:r w:rsidR="00D12A58">
        <w:t xml:space="preserve">relevant </w:t>
      </w:r>
      <w:r w:rsidR="00900A30">
        <w:t xml:space="preserve">period </w:t>
      </w:r>
      <w:r w:rsidR="00D12A58">
        <w:t xml:space="preserve">it was commonplace for </w:t>
      </w:r>
      <w:r w:rsidR="00F036E7">
        <w:t>traders marketing and selling women’s fashion</w:t>
      </w:r>
      <w:r w:rsidR="00FE2554" w:rsidRPr="00FE2554">
        <w:t xml:space="preserve"> </w:t>
      </w:r>
      <w:r w:rsidR="00FE2554">
        <w:t>in Australia</w:t>
      </w:r>
      <w:r w:rsidR="00F036E7">
        <w:t xml:space="preserve">, including women’s swimwear, </w:t>
      </w:r>
      <w:r w:rsidR="00D12A58">
        <w:t xml:space="preserve">to use </w:t>
      </w:r>
      <w:r>
        <w:t>style names</w:t>
      </w:r>
      <w:r w:rsidR="00F036E7">
        <w:t xml:space="preserve"> including women’s names in relation to their products.</w:t>
      </w:r>
      <w:r w:rsidR="007B0A55">
        <w:t xml:space="preserve"> </w:t>
      </w:r>
      <w:r w:rsidR="009B4BBC">
        <w:t xml:space="preserve"> I </w:t>
      </w:r>
      <w:r w:rsidR="00E43370">
        <w:t>infer that</w:t>
      </w:r>
      <w:r w:rsidR="00E93FAB">
        <w:t xml:space="preserve"> during the relevant period </w:t>
      </w:r>
      <w:r w:rsidR="00E43370">
        <w:t xml:space="preserve">consumers </w:t>
      </w:r>
      <w:r w:rsidR="00D12A58">
        <w:t xml:space="preserve">in Australia </w:t>
      </w:r>
      <w:r w:rsidR="00900A30">
        <w:t>were</w:t>
      </w:r>
      <w:r w:rsidR="00E93FAB">
        <w:t xml:space="preserve"> accustomed </w:t>
      </w:r>
      <w:r w:rsidR="00E43370">
        <w:t>to seeing style names</w:t>
      </w:r>
      <w:r w:rsidR="00330354">
        <w:t>,</w:t>
      </w:r>
      <w:r w:rsidR="00E43370">
        <w:t xml:space="preserve"> </w:t>
      </w:r>
      <w:r w:rsidR="00E60898">
        <w:t>including women’s names</w:t>
      </w:r>
      <w:r w:rsidR="00330354">
        <w:t>,</w:t>
      </w:r>
      <w:r w:rsidR="00E60898">
        <w:t xml:space="preserve"> </w:t>
      </w:r>
      <w:r w:rsidR="00E43370">
        <w:t>used</w:t>
      </w:r>
      <w:r w:rsidR="00F036E7">
        <w:t xml:space="preserve"> in relation to</w:t>
      </w:r>
      <w:r w:rsidR="00D12A58">
        <w:t xml:space="preserve"> women’s fashion</w:t>
      </w:r>
      <w:r w:rsidR="00E60898">
        <w:t>,</w:t>
      </w:r>
      <w:r w:rsidR="00D12A58">
        <w:t xml:space="preserve"> including women’s swimwear</w:t>
      </w:r>
      <w:r w:rsidR="00E43370">
        <w:t>.</w:t>
      </w:r>
      <w:r w:rsidR="00C63A34" w:rsidRPr="00C63A34">
        <w:t xml:space="preserve"> </w:t>
      </w:r>
    </w:p>
    <w:p w:rsidR="00767B09" w:rsidRDefault="001F25CC" w:rsidP="001F25CC">
      <w:pPr>
        <w:pStyle w:val="Heading3"/>
      </w:pPr>
      <w:r>
        <w:t>Triangl’s use of style names</w:t>
      </w:r>
    </w:p>
    <w:p w:rsidR="00686FD8" w:rsidRDefault="001F25CC" w:rsidP="001F25CC">
      <w:pPr>
        <w:pStyle w:val="ParaNumbering"/>
        <w:tabs>
          <w:tab w:val="num" w:pos="720"/>
        </w:tabs>
        <w:ind w:left="0"/>
      </w:pPr>
      <w:r>
        <w:t>Mr Ellis</w:t>
      </w:r>
      <w:r w:rsidR="00E60898">
        <w:t xml:space="preserve"> stated </w:t>
      </w:r>
      <w:r w:rsidR="00F9666F">
        <w:t>that</w:t>
      </w:r>
      <w:r>
        <w:t xml:space="preserve"> at </w:t>
      </w:r>
      <w:r w:rsidR="00686FD8">
        <w:t>the time Triangl was starting up</w:t>
      </w:r>
      <w:r>
        <w:t xml:space="preserve"> he </w:t>
      </w:r>
      <w:r w:rsidR="00686FD8">
        <w:t>carried out Google searches of women’s swimwear brands to see how those brands operated.</w:t>
      </w:r>
      <w:r w:rsidR="00E60898">
        <w:t xml:space="preserve">  He said that</w:t>
      </w:r>
      <w:r w:rsidR="002E7D13">
        <w:t>,</w:t>
      </w:r>
      <w:r w:rsidR="00E60898">
        <w:t xml:space="preserve"> his having </w:t>
      </w:r>
      <w:r>
        <w:t xml:space="preserve">seen </w:t>
      </w:r>
      <w:r w:rsidR="00686FD8">
        <w:t>that many brands in the women’s swimwear industry adopted style names for their products</w:t>
      </w:r>
      <w:r w:rsidR="002E7D13">
        <w:t>,</w:t>
      </w:r>
      <w:r w:rsidR="00686FD8">
        <w:t xml:space="preserve"> Triangl decided to</w:t>
      </w:r>
      <w:r w:rsidR="00767B09">
        <w:t xml:space="preserve"> use the same practice</w:t>
      </w:r>
      <w:r w:rsidRPr="001F25CC">
        <w:t xml:space="preserve"> </w:t>
      </w:r>
      <w:r>
        <w:t>when it commenced operations</w:t>
      </w:r>
      <w:r w:rsidR="00686FD8">
        <w:t>.</w:t>
      </w:r>
    </w:p>
    <w:p w:rsidR="00686FD8" w:rsidRDefault="009B4BBC" w:rsidP="00686FD8">
      <w:pPr>
        <w:pStyle w:val="ParaNumbering"/>
        <w:tabs>
          <w:tab w:val="num" w:pos="720"/>
        </w:tabs>
        <w:ind w:left="0"/>
      </w:pPr>
      <w:r>
        <w:t xml:space="preserve">He said and I accept </w:t>
      </w:r>
      <w:r w:rsidR="00686FD8">
        <w:t xml:space="preserve">that since </w:t>
      </w:r>
      <w:r w:rsidR="00F65B4D">
        <w:t xml:space="preserve">commencement of </w:t>
      </w:r>
      <w:r w:rsidR="00E60898">
        <w:t xml:space="preserve">the </w:t>
      </w:r>
      <w:r w:rsidR="00686FD8">
        <w:t>Triangl</w:t>
      </w:r>
      <w:r w:rsidR="001F25CC">
        <w:t xml:space="preserve"> </w:t>
      </w:r>
      <w:r w:rsidR="00E60898">
        <w:t xml:space="preserve">business </w:t>
      </w:r>
      <w:r w:rsidR="00D12A58">
        <w:t xml:space="preserve">it </w:t>
      </w:r>
      <w:r w:rsidR="002E7D13">
        <w:t xml:space="preserve">has </w:t>
      </w:r>
      <w:r w:rsidR="00D12A58">
        <w:t xml:space="preserve">consistently </w:t>
      </w:r>
      <w:r w:rsidR="00686FD8">
        <w:t xml:space="preserve">used </w:t>
      </w:r>
      <w:r w:rsidR="00D12A58">
        <w:t xml:space="preserve">style names </w:t>
      </w:r>
      <w:r w:rsidR="00686FD8">
        <w:t>to identify</w:t>
      </w:r>
      <w:r w:rsidR="00DD788C">
        <w:t xml:space="preserve"> and</w:t>
      </w:r>
      <w:r w:rsidR="00686FD8">
        <w:t xml:space="preserve"> different</w:t>
      </w:r>
      <w:r w:rsidR="00DD788C">
        <w:t xml:space="preserve">iate between </w:t>
      </w:r>
      <w:r w:rsidR="00FC0158">
        <w:t xml:space="preserve">TRIANGL </w:t>
      </w:r>
      <w:r w:rsidR="00686FD8">
        <w:t>bikini styles</w:t>
      </w:r>
      <w:r w:rsidR="00DD788C">
        <w:t xml:space="preserve"> </w:t>
      </w:r>
      <w:r w:rsidR="00D12A58">
        <w:t>in</w:t>
      </w:r>
      <w:r w:rsidR="00DD788C">
        <w:t xml:space="preserve"> </w:t>
      </w:r>
      <w:r w:rsidR="00D12A58">
        <w:t>its</w:t>
      </w:r>
      <w:r w:rsidR="00DD788C">
        <w:t xml:space="preserve"> range</w:t>
      </w:r>
      <w:r w:rsidR="00D12A58">
        <w:t>, including women’s names</w:t>
      </w:r>
      <w:r w:rsidR="00224653">
        <w:t>.</w:t>
      </w:r>
      <w:r w:rsidR="005D6D10">
        <w:t xml:space="preserve">  He</w:t>
      </w:r>
      <w:r w:rsidR="00E60898">
        <w:t xml:space="preserve"> adduced a </w:t>
      </w:r>
      <w:r w:rsidR="00686FD8">
        <w:t>list of</w:t>
      </w:r>
      <w:r w:rsidR="005D6D10">
        <w:t xml:space="preserve"> approximately</w:t>
      </w:r>
      <w:r w:rsidR="00686FD8">
        <w:t xml:space="preserve"> </w:t>
      </w:r>
      <w:r w:rsidR="005D6D10">
        <w:t>100</w:t>
      </w:r>
      <w:r w:rsidR="00686FD8">
        <w:t xml:space="preserve"> style names used by Triangl</w:t>
      </w:r>
      <w:r w:rsidR="001F25CC">
        <w:t xml:space="preserve"> </w:t>
      </w:r>
      <w:r w:rsidR="00D05AE1">
        <w:t xml:space="preserve">and the date when their use </w:t>
      </w:r>
      <w:r w:rsidR="00346788">
        <w:t>started and finished</w:t>
      </w:r>
      <w:r w:rsidR="00D05AE1">
        <w:t xml:space="preserve">. </w:t>
      </w:r>
      <w:r w:rsidR="00D12A58">
        <w:t xml:space="preserve">Many </w:t>
      </w:r>
      <w:r w:rsidR="001F25CC">
        <w:t>of</w:t>
      </w:r>
      <w:r w:rsidR="00D05AE1">
        <w:t xml:space="preserve"> the style names Triangl used </w:t>
      </w:r>
      <w:r w:rsidR="00686FD8">
        <w:t>are women’s names</w:t>
      </w:r>
      <w:r w:rsidR="001F25CC">
        <w:t>,</w:t>
      </w:r>
      <w:r w:rsidR="00D05AE1">
        <w:t xml:space="preserve"> but it also used </w:t>
      </w:r>
      <w:r w:rsidR="001F25CC">
        <w:t xml:space="preserve">other </w:t>
      </w:r>
      <w:r w:rsidR="00F9666F">
        <w:t xml:space="preserve">non-descriptive </w:t>
      </w:r>
      <w:r w:rsidR="00686FD8">
        <w:t xml:space="preserve">style names </w:t>
      </w:r>
      <w:r w:rsidR="00A00EB4">
        <w:t xml:space="preserve">(for example, </w:t>
      </w:r>
      <w:r w:rsidR="00686FD8">
        <w:t xml:space="preserve">“Confetti Garden”, </w:t>
      </w:r>
      <w:r w:rsidR="00686FD8">
        <w:lastRenderedPageBreak/>
        <w:t>“Poker Face”, “Charms” and “Famous”</w:t>
      </w:r>
      <w:r w:rsidR="00A00EB4">
        <w:t>)</w:t>
      </w:r>
      <w:r w:rsidR="00C719DB">
        <w:t xml:space="preserve"> and</w:t>
      </w:r>
      <w:r w:rsidR="00885BF8">
        <w:t xml:space="preserve"> t</w:t>
      </w:r>
      <w:r w:rsidR="001F25CC">
        <w:t xml:space="preserve">he </w:t>
      </w:r>
      <w:r w:rsidR="00D05AE1">
        <w:t>great majority of</w:t>
      </w:r>
      <w:r w:rsidR="008F1746">
        <w:t xml:space="preserve"> the names Triangl used </w:t>
      </w:r>
      <w:r w:rsidR="00885BF8">
        <w:t xml:space="preserve">are </w:t>
      </w:r>
      <w:r w:rsidR="001F25CC">
        <w:t>no</w:t>
      </w:r>
      <w:r w:rsidR="00D12A58">
        <w:t>n-</w:t>
      </w:r>
      <w:r w:rsidR="001F25CC">
        <w:t>descriptive.</w:t>
      </w:r>
      <w:r w:rsidR="004C36DC" w:rsidRPr="004C36DC">
        <w:t xml:space="preserve"> </w:t>
      </w:r>
    </w:p>
    <w:p w:rsidR="00A00EB4" w:rsidRDefault="00E60898" w:rsidP="00A00EB4">
      <w:pPr>
        <w:pStyle w:val="ParaNumbering"/>
        <w:tabs>
          <w:tab w:val="num" w:pos="720"/>
        </w:tabs>
        <w:ind w:left="0"/>
      </w:pPr>
      <w:r>
        <w:t xml:space="preserve">Mr Ellis said and I accept </w:t>
      </w:r>
      <w:r w:rsidR="00A00EB4">
        <w:t>that the process within Triangl by which style names were chosen for</w:t>
      </w:r>
      <w:r w:rsidR="00A00EB4" w:rsidRPr="008978BD">
        <w:t xml:space="preserve"> </w:t>
      </w:r>
      <w:r w:rsidR="00A00EB4">
        <w:t xml:space="preserve">its bikinis was quite informal.  </w:t>
      </w:r>
      <w:r w:rsidR="001F25CC">
        <w:t>He said that c</w:t>
      </w:r>
      <w:r w:rsidR="00A00EB4">
        <w:t xml:space="preserve">ommonly </w:t>
      </w:r>
      <w:r w:rsidR="00F545F3">
        <w:t>he</w:t>
      </w:r>
      <w:r w:rsidR="00A00EB4">
        <w:t>, Ms Deering or another member of</w:t>
      </w:r>
      <w:r w:rsidR="00A00EB4" w:rsidRPr="008978BD">
        <w:t xml:space="preserve"> </w:t>
      </w:r>
      <w:r w:rsidR="00A00EB4">
        <w:t>Triangl’s public relations or marketing team suggested a loose theme for a product range (e.g. “Bond Girls” or “European Summer”) and then Triangl staff members contributed names along the lines of the selected theme.  The names were then assigned to a bikini style on a “first-come, first-served basis”; that is</w:t>
      </w:r>
      <w:r w:rsidR="00981409">
        <w:t>,</w:t>
      </w:r>
      <w:r w:rsidR="00A00EB4">
        <w:t xml:space="preserve"> no particular name was singled out for a particular bikini. </w:t>
      </w:r>
      <w:r w:rsidR="00F545F3">
        <w:t xml:space="preserve"> Mr Ellis said that Triangl</w:t>
      </w:r>
      <w:r>
        <w:t xml:space="preserve"> did </w:t>
      </w:r>
      <w:r w:rsidR="00F545F3">
        <w:t>not consider that it</w:t>
      </w:r>
      <w:r>
        <w:t xml:space="preserve"> had </w:t>
      </w:r>
      <w:r w:rsidR="00F545F3">
        <w:t>exclusive rights to any of the style names that it</w:t>
      </w:r>
      <w:r>
        <w:t xml:space="preserve"> employed</w:t>
      </w:r>
      <w:r w:rsidR="00F545F3">
        <w:t xml:space="preserve">, </w:t>
      </w:r>
      <w:r>
        <w:t>and</w:t>
      </w:r>
      <w:r w:rsidR="002E7D13">
        <w:t xml:space="preserve"> saw them as just </w:t>
      </w:r>
      <w:r w:rsidR="00F545F3">
        <w:t xml:space="preserve">a convenient way of delineating between </w:t>
      </w:r>
      <w:r w:rsidR="00D12A58">
        <w:t xml:space="preserve">its </w:t>
      </w:r>
      <w:r w:rsidR="00F545F3">
        <w:t>different products.</w:t>
      </w:r>
    </w:p>
    <w:p w:rsidR="00E93FAB" w:rsidRDefault="00D12A58" w:rsidP="009C2D36">
      <w:pPr>
        <w:pStyle w:val="ParaNumbering"/>
        <w:tabs>
          <w:tab w:val="num" w:pos="720"/>
        </w:tabs>
        <w:ind w:left="0"/>
      </w:pPr>
      <w:r>
        <w:t xml:space="preserve">In </w:t>
      </w:r>
      <w:r w:rsidR="008118D9">
        <w:t>cross-examination</w:t>
      </w:r>
      <w:r>
        <w:t xml:space="preserve"> </w:t>
      </w:r>
      <w:r w:rsidR="00E60898">
        <w:t xml:space="preserve">senior counsel for Pinnacle </w:t>
      </w:r>
      <w:r w:rsidR="005D6D10">
        <w:t>put to Mr Ellis that the bulk of the women’s names Triangl used are not commonplace and they were chosen because they are unusual or distinctive.  Mr Ellis denied</w:t>
      </w:r>
      <w:r w:rsidR="00E60898">
        <w:t xml:space="preserve"> that this was Triangl’s intention</w:t>
      </w:r>
      <w:r w:rsidR="00F37DAC">
        <w:t xml:space="preserve">, but he </w:t>
      </w:r>
      <w:r w:rsidR="005D6D10">
        <w:t>accepted that some staff members who chose style names as part of the informal process he outlined might have been looking for names which were distinctive</w:t>
      </w:r>
      <w:r w:rsidR="00F37DAC">
        <w:t xml:space="preserve">. </w:t>
      </w:r>
      <w:r w:rsidR="008B4A71">
        <w:t xml:space="preserve"> </w:t>
      </w:r>
      <w:r w:rsidR="00F37DAC">
        <w:t>He</w:t>
      </w:r>
      <w:r w:rsidR="00D406D1">
        <w:t xml:space="preserve"> said </w:t>
      </w:r>
      <w:r w:rsidR="00F545F3">
        <w:t>that if that</w:t>
      </w:r>
      <w:r w:rsidR="00F37DAC">
        <w:t xml:space="preserve"> occurred</w:t>
      </w:r>
      <w:r w:rsidR="00F545F3">
        <w:t xml:space="preserve"> it was not</w:t>
      </w:r>
      <w:r w:rsidR="005D6D10">
        <w:t xml:space="preserve"> at Triangl’s direction. </w:t>
      </w:r>
    </w:p>
    <w:p w:rsidR="005D6D10" w:rsidRDefault="00F37DAC" w:rsidP="009C2D36">
      <w:pPr>
        <w:pStyle w:val="ParaNumbering"/>
        <w:tabs>
          <w:tab w:val="num" w:pos="720"/>
        </w:tabs>
        <w:ind w:left="0"/>
      </w:pPr>
      <w:r>
        <w:t xml:space="preserve">Mr Ellis also </w:t>
      </w:r>
      <w:r w:rsidR="005D6D10">
        <w:t>said that style names did not matter to</w:t>
      </w:r>
      <w:r w:rsidR="005D6D10" w:rsidRPr="005D6D10">
        <w:t xml:space="preserve"> </w:t>
      </w:r>
      <w:r w:rsidR="005D6D10">
        <w:t xml:space="preserve">Triangl, </w:t>
      </w:r>
      <w:r w:rsidR="00F545F3">
        <w:t xml:space="preserve">that </w:t>
      </w:r>
      <w:r w:rsidR="005D6D10">
        <w:t xml:space="preserve">it did not “care that much” about style names, and </w:t>
      </w:r>
      <w:r w:rsidR="00F545F3">
        <w:t xml:space="preserve">that </w:t>
      </w:r>
      <w:r w:rsidR="00303D42">
        <w:t>in</w:t>
      </w:r>
      <w:r w:rsidR="00D406D1">
        <w:t xml:space="preserve"> the context of the international market in which Triangl operated </w:t>
      </w:r>
      <w:r w:rsidR="00303D42">
        <w:t xml:space="preserve">the names </w:t>
      </w:r>
      <w:r w:rsidR="00D406D1">
        <w:t xml:space="preserve">it </w:t>
      </w:r>
      <w:r w:rsidR="00303D42">
        <w:t xml:space="preserve">used </w:t>
      </w:r>
      <w:r w:rsidR="00F545F3">
        <w:t xml:space="preserve">as style names were </w:t>
      </w:r>
      <w:r w:rsidR="005D6D10">
        <w:t>not unusual</w:t>
      </w:r>
      <w:r w:rsidR="00F545F3">
        <w:t>,</w:t>
      </w:r>
      <w:r w:rsidR="005D6D10">
        <w:t xml:space="preserve"> </w:t>
      </w:r>
      <w:r w:rsidR="00303D42">
        <w:t>although</w:t>
      </w:r>
      <w:r w:rsidR="00F545F3">
        <w:t xml:space="preserve"> it</w:t>
      </w:r>
      <w:r w:rsidR="00E60898">
        <w:t xml:space="preserve"> might </w:t>
      </w:r>
      <w:r w:rsidR="00F545F3">
        <w:t>be said</w:t>
      </w:r>
      <w:r w:rsidR="00303D42">
        <w:t xml:space="preserve"> they were</w:t>
      </w:r>
      <w:r w:rsidR="00981409">
        <w:t xml:space="preserve"> so</w:t>
      </w:r>
      <w:r w:rsidR="00303D42">
        <w:t xml:space="preserve"> in an Australian context</w:t>
      </w:r>
      <w:r w:rsidR="005D6D10">
        <w:t>.  In his view there was no value, benefit or reputation to be attributed to Triangl in the style names that it applied to its bikini styles.  I accept Mr Ellis’ evidence</w:t>
      </w:r>
      <w:r w:rsidR="00C1570A">
        <w:t xml:space="preserve"> in this regard</w:t>
      </w:r>
      <w:r w:rsidR="00D406D1">
        <w:t xml:space="preserve"> but </w:t>
      </w:r>
      <w:r w:rsidR="00A64A32">
        <w:t xml:space="preserve">the question as to whether Triangl’s use of DELPHINE constituted use </w:t>
      </w:r>
      <w:r w:rsidR="00A64A32" w:rsidRPr="00A64A32">
        <w:rPr>
          <w:i/>
        </w:rPr>
        <w:t>as a trade mark</w:t>
      </w:r>
      <w:r w:rsidR="00A64A32">
        <w:t xml:space="preserve"> </w:t>
      </w:r>
      <w:r w:rsidR="00C1570A">
        <w:t xml:space="preserve">does not turn on Triangl’s intent and it </w:t>
      </w:r>
      <w:r w:rsidR="00A64A32">
        <w:t>is a</w:t>
      </w:r>
      <w:r w:rsidR="00C1570A">
        <w:t xml:space="preserve"> matter </w:t>
      </w:r>
      <w:r w:rsidR="00A64A32">
        <w:t>for the Court</w:t>
      </w:r>
      <w:r w:rsidR="00D57E6E">
        <w:t xml:space="preserve"> to decide</w:t>
      </w:r>
      <w:r w:rsidR="005D6D10">
        <w:t>.</w:t>
      </w:r>
      <w:r w:rsidR="00A64A32">
        <w:t xml:space="preserve"> </w:t>
      </w:r>
    </w:p>
    <w:p w:rsidR="005D6D10" w:rsidRDefault="005D6D10" w:rsidP="005D6D10">
      <w:pPr>
        <w:pStyle w:val="Heading2"/>
      </w:pPr>
      <w:r>
        <w:t xml:space="preserve">Triangl’s decision to use DELPHINE </w:t>
      </w:r>
    </w:p>
    <w:p w:rsidR="005D6D10" w:rsidRDefault="005D6D10" w:rsidP="005D6D10">
      <w:pPr>
        <w:pStyle w:val="ParaNumbering"/>
        <w:tabs>
          <w:tab w:val="num" w:pos="720"/>
        </w:tabs>
        <w:ind w:left="0"/>
      </w:pPr>
      <w:r>
        <w:t>Mr Ellis</w:t>
      </w:r>
      <w:r w:rsidR="00D406D1">
        <w:t xml:space="preserve"> deposed </w:t>
      </w:r>
      <w:r>
        <w:t xml:space="preserve">that he was unable to recall specifically who chose the name </w:t>
      </w:r>
      <w:r w:rsidR="00C1570A">
        <w:t xml:space="preserve">DELPHINE </w:t>
      </w:r>
      <w:r>
        <w:t>for one of the four new bikini styles Triangl was planning to launch as part of its Spring/Summer 2016 campaign.</w:t>
      </w:r>
      <w:r w:rsidR="00C1570A">
        <w:t xml:space="preserve">  Then, in </w:t>
      </w:r>
      <w:r>
        <w:t>cross</w:t>
      </w:r>
      <w:r w:rsidR="008118D9">
        <w:t>-</w:t>
      </w:r>
      <w:r>
        <w:t>examination</w:t>
      </w:r>
      <w:r w:rsidR="00C1570A">
        <w:t>,</w:t>
      </w:r>
      <w:r>
        <w:t xml:space="preserve"> he said that a designer Triangl employed at the time came up with the names </w:t>
      </w:r>
      <w:r w:rsidR="002447EF">
        <w:t>PALOMA, LOTTE, BIBI and DELPHINE</w:t>
      </w:r>
      <w:r>
        <w:t xml:space="preserve"> for </w:t>
      </w:r>
      <w:r w:rsidR="00D406D1">
        <w:t xml:space="preserve">the four </w:t>
      </w:r>
      <w:r>
        <w:t>styles</w:t>
      </w:r>
      <w:r w:rsidR="00D406D1">
        <w:t xml:space="preserve"> in the new collection</w:t>
      </w:r>
      <w:r>
        <w:t>.</w:t>
      </w:r>
      <w:r w:rsidR="00C1570A">
        <w:t xml:space="preserve">  He said that the </w:t>
      </w:r>
      <w:r>
        <w:t xml:space="preserve">designer had an Italian background and she was trying to give the collection a more Mediterranean slant “just to vary it up - to step away from what we had done previously”.  He said that Triangl chose the name DELPHINE along with PALOMA, </w:t>
      </w:r>
      <w:r>
        <w:lastRenderedPageBreak/>
        <w:t>LOTTE and BIBI as the new style names in line with the informal naming practice</w:t>
      </w:r>
      <w:r w:rsidR="004C6A2E">
        <w:t xml:space="preserve"> </w:t>
      </w:r>
      <w:r w:rsidR="00D37DC3">
        <w:t>outlined</w:t>
      </w:r>
      <w:r w:rsidR="00D406D1">
        <w:t xml:space="preserve"> above</w:t>
      </w:r>
      <w:r w:rsidR="00E93FAB">
        <w:t>, and</w:t>
      </w:r>
      <w:r>
        <w:t xml:space="preserve"> the four style names </w:t>
      </w:r>
      <w:r w:rsidR="00E93FAB">
        <w:t xml:space="preserve">chosen </w:t>
      </w:r>
      <w:r>
        <w:t xml:space="preserve">were </w:t>
      </w:r>
      <w:r w:rsidR="00D406D1">
        <w:t xml:space="preserve">then </w:t>
      </w:r>
      <w:r>
        <w:t>arbitrarily assigned to the four new bikini styles.  I accept his evidence in this regard.</w:t>
      </w:r>
    </w:p>
    <w:p w:rsidR="003F5EA3" w:rsidRDefault="00D406D1" w:rsidP="003F5EA3">
      <w:pPr>
        <w:pStyle w:val="ParaNumbering"/>
        <w:tabs>
          <w:tab w:val="num" w:pos="720"/>
        </w:tabs>
        <w:ind w:left="0"/>
      </w:pPr>
      <w:r>
        <w:t xml:space="preserve">I </w:t>
      </w:r>
      <w:r w:rsidR="00E93FAB">
        <w:t xml:space="preserve">also </w:t>
      </w:r>
      <w:r>
        <w:t xml:space="preserve">accept Mr Ellis' evidence </w:t>
      </w:r>
      <w:r w:rsidR="003F5EA3">
        <w:t xml:space="preserve">that he </w:t>
      </w:r>
      <w:r w:rsidR="003F5EA3" w:rsidRPr="001C505E">
        <w:t>was unaware of the existence of Pinnacle and of the DELPHINE Trade Mark at the time Triangl</w:t>
      </w:r>
      <w:r>
        <w:t xml:space="preserve"> decided to use </w:t>
      </w:r>
      <w:r w:rsidR="003F5EA3" w:rsidRPr="001C505E">
        <w:t>the name DELPHINE</w:t>
      </w:r>
      <w:r w:rsidR="003F5EA3">
        <w:t xml:space="preserve">. </w:t>
      </w:r>
    </w:p>
    <w:p w:rsidR="005D6D10" w:rsidRPr="001C505E" w:rsidRDefault="005D6D10" w:rsidP="005D6D10">
      <w:pPr>
        <w:pStyle w:val="Heading2"/>
      </w:pPr>
      <w:r>
        <w:t>Triangl’s use of</w:t>
      </w:r>
      <w:r w:rsidRPr="00641889">
        <w:t xml:space="preserve"> </w:t>
      </w:r>
      <w:r>
        <w:t>DELPHINE</w:t>
      </w:r>
      <w:r w:rsidRPr="00641889">
        <w:t xml:space="preserve"> </w:t>
      </w:r>
    </w:p>
    <w:p w:rsidR="005D6D10" w:rsidRDefault="00C1570A" w:rsidP="005D6D10">
      <w:pPr>
        <w:pStyle w:val="ParaNumbering"/>
        <w:tabs>
          <w:tab w:val="num" w:pos="720"/>
        </w:tabs>
        <w:ind w:left="0"/>
      </w:pPr>
      <w:r>
        <w:t>It is</w:t>
      </w:r>
      <w:r w:rsidR="002E7D13">
        <w:t xml:space="preserve"> uncontentious </w:t>
      </w:r>
      <w:r>
        <w:t xml:space="preserve">that during </w:t>
      </w:r>
      <w:r w:rsidR="00D12A58">
        <w:t>the relevant period (</w:t>
      </w:r>
      <w:r w:rsidR="005D6D10">
        <w:t>24 April 2016</w:t>
      </w:r>
      <w:r w:rsidR="00D12A58">
        <w:t xml:space="preserve"> to </w:t>
      </w:r>
      <w:r w:rsidR="005D6D10">
        <w:t>2 June 2016</w:t>
      </w:r>
      <w:r w:rsidR="00D12A58">
        <w:t>)</w:t>
      </w:r>
      <w:r w:rsidR="00D12A58" w:rsidDel="00D12A58">
        <w:t xml:space="preserve"> </w:t>
      </w:r>
      <w:r w:rsidR="005D6D10">
        <w:t>Triangl</w:t>
      </w:r>
      <w:r w:rsidR="00DE1C96">
        <w:t xml:space="preserve"> marketed and sold in Australia a bikini style in three colours and floral designs </w:t>
      </w:r>
      <w:r w:rsidR="005D6D10">
        <w:t xml:space="preserve">under the name DELPHINE, </w:t>
      </w:r>
      <w:r w:rsidR="00DE1C96">
        <w:t>naming the three</w:t>
      </w:r>
      <w:r w:rsidR="000B6B54">
        <w:t xml:space="preserve"> different </w:t>
      </w:r>
      <w:r w:rsidR="00DE1C96">
        <w:t xml:space="preserve">designs as </w:t>
      </w:r>
      <w:r w:rsidR="005D6D10">
        <w:t>DELPHINE</w:t>
      </w:r>
      <w:r w:rsidR="00981409">
        <w:t xml:space="preserve"> –</w:t>
      </w:r>
      <w:r w:rsidR="005D6D10">
        <w:t xml:space="preserve"> FIORE, DELPHINE –</w:t>
      </w:r>
      <w:r w:rsidR="00981409">
        <w:t xml:space="preserve"> </w:t>
      </w:r>
      <w:r w:rsidR="005D6D10">
        <w:t xml:space="preserve">FIORE ROSA and DELPHINE – FIORE NERO (the </w:t>
      </w:r>
      <w:r w:rsidR="00AE6CAD">
        <w:rPr>
          <w:b/>
        </w:rPr>
        <w:t>Triangl DELPHINE</w:t>
      </w:r>
      <w:r w:rsidR="00702FD1">
        <w:rPr>
          <w:b/>
        </w:rPr>
        <w:t xml:space="preserve"> bikinis</w:t>
      </w:r>
      <w:r w:rsidR="00D37DC3">
        <w:t>).</w:t>
      </w:r>
    </w:p>
    <w:p w:rsidR="005D6D10" w:rsidRDefault="005D6D10" w:rsidP="005D6D10">
      <w:pPr>
        <w:pStyle w:val="ParaNumbering"/>
        <w:tabs>
          <w:tab w:val="num" w:pos="720"/>
        </w:tabs>
        <w:ind w:left="0"/>
      </w:pPr>
      <w:r>
        <w:t>It is</w:t>
      </w:r>
      <w:r w:rsidR="00C1570A">
        <w:t xml:space="preserve"> </w:t>
      </w:r>
      <w:r w:rsidR="002E7D13">
        <w:t xml:space="preserve">also </w:t>
      </w:r>
      <w:r w:rsidR="00C1570A">
        <w:t xml:space="preserve">uncontentious </w:t>
      </w:r>
      <w:r>
        <w:t xml:space="preserve">that Triangl </w:t>
      </w:r>
      <w:r w:rsidR="001731DD">
        <w:t xml:space="preserve">only </w:t>
      </w:r>
      <w:r>
        <w:t xml:space="preserve">used the name DELPHINE </w:t>
      </w:r>
      <w:r w:rsidR="00DE1C96">
        <w:t xml:space="preserve">in Australia </w:t>
      </w:r>
      <w:r>
        <w:t>in that short period and that its use was restricted to:</w:t>
      </w:r>
    </w:p>
    <w:p w:rsidR="005D6D10" w:rsidRDefault="005D6D10" w:rsidP="00E97DF6">
      <w:pPr>
        <w:pStyle w:val="ListNo1"/>
        <w:numPr>
          <w:ilvl w:val="0"/>
          <w:numId w:val="26"/>
        </w:numPr>
      </w:pPr>
      <w:r>
        <w:t>the</w:t>
      </w:r>
      <w:r w:rsidRPr="00340DB3">
        <w:t xml:space="preserve"> </w:t>
      </w:r>
      <w:r>
        <w:t>TRIANGL website;</w:t>
      </w:r>
    </w:p>
    <w:p w:rsidR="005D6D10" w:rsidRDefault="005D6D10" w:rsidP="00E97DF6">
      <w:pPr>
        <w:pStyle w:val="ListNo1"/>
        <w:numPr>
          <w:ilvl w:val="0"/>
          <w:numId w:val="26"/>
        </w:numPr>
      </w:pPr>
      <w:r>
        <w:t>three electronic direct mail (</w:t>
      </w:r>
      <w:r w:rsidRPr="00AC7EE6">
        <w:rPr>
          <w:b/>
        </w:rPr>
        <w:t>EDM</w:t>
      </w:r>
      <w:r>
        <w:t>) communications with customers and prospective customers who had set up an account</w:t>
      </w:r>
      <w:r w:rsidR="003F5EA3">
        <w:t xml:space="preserve"> through </w:t>
      </w:r>
      <w:r>
        <w:t>the</w:t>
      </w:r>
      <w:r w:rsidRPr="00340DB3">
        <w:t xml:space="preserve"> </w:t>
      </w:r>
      <w:r>
        <w:t>TRIANGL website;</w:t>
      </w:r>
      <w:r w:rsidR="00E17C83">
        <w:t xml:space="preserve"> and</w:t>
      </w:r>
    </w:p>
    <w:p w:rsidR="005D6D10" w:rsidRDefault="005D6D10" w:rsidP="00E97DF6">
      <w:pPr>
        <w:pStyle w:val="ListNo1"/>
        <w:numPr>
          <w:ilvl w:val="0"/>
          <w:numId w:val="26"/>
        </w:numPr>
      </w:pPr>
      <w:r>
        <w:t>12 posts on the</w:t>
      </w:r>
      <w:r w:rsidRPr="00340DB3">
        <w:t xml:space="preserve"> </w:t>
      </w:r>
      <w:r>
        <w:t>TRIANGL Instagram page, 7 posts on the</w:t>
      </w:r>
      <w:r w:rsidRPr="00340DB3">
        <w:t xml:space="preserve"> </w:t>
      </w:r>
      <w:r>
        <w:t xml:space="preserve">TRIANGL Facebook page, and in a press pack sent to Elise Garland Public Relations in June 2016 </w:t>
      </w:r>
      <w:r w:rsidR="00283225">
        <w:t xml:space="preserve">(the </w:t>
      </w:r>
      <w:r w:rsidR="00283225">
        <w:rPr>
          <w:b/>
        </w:rPr>
        <w:t>press pack</w:t>
      </w:r>
      <w:r w:rsidR="00283225">
        <w:t>)</w:t>
      </w:r>
      <w:r>
        <w:t>.</w:t>
      </w:r>
    </w:p>
    <w:p w:rsidR="00DE1C96" w:rsidRDefault="00DE1C96" w:rsidP="005D6D10">
      <w:pPr>
        <w:pStyle w:val="NoNum"/>
      </w:pPr>
      <w:r>
        <w:t>Pinnacle</w:t>
      </w:r>
      <w:r w:rsidR="003F5EA3">
        <w:t xml:space="preserve"> </w:t>
      </w:r>
      <w:r>
        <w:t xml:space="preserve">relied upon </w:t>
      </w:r>
      <w:r w:rsidRPr="00CE37CC">
        <w:t>Triangl</w:t>
      </w:r>
      <w:r>
        <w:t>’s use of DELPHINE on the TRIANGL website and in the EDMs</w:t>
      </w:r>
      <w:r w:rsidR="001731DD">
        <w:t xml:space="preserve"> for the claim of trade mark infringement</w:t>
      </w:r>
      <w:r w:rsidR="003F5EA3">
        <w:t>.</w:t>
      </w:r>
      <w:r w:rsidR="008C413C" w:rsidRPr="008C413C">
        <w:t xml:space="preserve"> </w:t>
      </w:r>
      <w:r w:rsidR="003F5EA3">
        <w:t xml:space="preserve"> It only relied on </w:t>
      </w:r>
      <w:r w:rsidR="001731DD">
        <w:t xml:space="preserve">Triangl’s </w:t>
      </w:r>
      <w:r w:rsidR="003F5EA3">
        <w:t xml:space="preserve">use of DELPHINE </w:t>
      </w:r>
      <w:r>
        <w:t xml:space="preserve">on </w:t>
      </w:r>
      <w:r w:rsidR="001731DD">
        <w:t xml:space="preserve">the </w:t>
      </w:r>
      <w:r w:rsidR="003F5EA3">
        <w:t>TRIANGL Instagram and Facebook page</w:t>
      </w:r>
      <w:r w:rsidR="001731DD">
        <w:t>s</w:t>
      </w:r>
      <w:r w:rsidR="003F5EA3">
        <w:t xml:space="preserve"> as part of the context in which a consumer would perceive the </w:t>
      </w:r>
      <w:r w:rsidR="00C1570A">
        <w:t xml:space="preserve">use of DELPHINE on the </w:t>
      </w:r>
      <w:r w:rsidR="003F5EA3">
        <w:t>TRIANGL website</w:t>
      </w:r>
      <w:r w:rsidR="00C1570A">
        <w:t xml:space="preserve"> and in the </w:t>
      </w:r>
      <w:r w:rsidR="003F5EA3">
        <w:t xml:space="preserve">EDMs.  It did not rely on the use of DELPHINE </w:t>
      </w:r>
      <w:r>
        <w:t>in the press pack</w:t>
      </w:r>
      <w:r w:rsidR="001731DD">
        <w:t xml:space="preserve">. </w:t>
      </w:r>
      <w:r w:rsidR="008B4A71">
        <w:t xml:space="preserve"> </w:t>
      </w:r>
      <w:r>
        <w:t>I proceed upon that basis.</w:t>
      </w:r>
    </w:p>
    <w:p w:rsidR="005D6D10" w:rsidRDefault="00F9162B" w:rsidP="00F9162B">
      <w:pPr>
        <w:pStyle w:val="Heading3"/>
      </w:pPr>
      <w:r>
        <w:t>The use of</w:t>
      </w:r>
      <w:r w:rsidRPr="00F9162B">
        <w:t xml:space="preserve"> </w:t>
      </w:r>
      <w:r>
        <w:t>DELPHINE on the</w:t>
      </w:r>
      <w:r w:rsidRPr="00F9162B">
        <w:t xml:space="preserve"> </w:t>
      </w:r>
      <w:r>
        <w:t>TRIANGL website</w:t>
      </w:r>
    </w:p>
    <w:p w:rsidR="001731DD" w:rsidRDefault="00F9162B" w:rsidP="00274BAE">
      <w:pPr>
        <w:pStyle w:val="ParaNumbering"/>
        <w:tabs>
          <w:tab w:val="num" w:pos="720"/>
        </w:tabs>
        <w:ind w:left="0"/>
      </w:pPr>
      <w:r>
        <w:t>Ms Lambrianidis</w:t>
      </w:r>
      <w:r w:rsidR="00C1570A">
        <w:t xml:space="preserve"> adduced</w:t>
      </w:r>
      <w:r w:rsidR="00B42C4E">
        <w:t xml:space="preserve"> screenshots of </w:t>
      </w:r>
      <w:r w:rsidR="008203A1">
        <w:t>web</w:t>
      </w:r>
      <w:r w:rsidR="001731DD">
        <w:t>pages</w:t>
      </w:r>
      <w:r w:rsidR="00B42C4E">
        <w:t xml:space="preserve"> on </w:t>
      </w:r>
      <w:r>
        <w:t>the TRIANGL website</w:t>
      </w:r>
      <w:r w:rsidR="00B42C4E">
        <w:t xml:space="preserve"> which she took </w:t>
      </w:r>
      <w:r>
        <w:t>on or around 10 May 2016.</w:t>
      </w:r>
      <w:r w:rsidR="001731DD">
        <w:t xml:space="preserve"> </w:t>
      </w:r>
      <w:r w:rsidR="00981409">
        <w:t xml:space="preserve"> </w:t>
      </w:r>
      <w:r w:rsidR="001731DD">
        <w:t xml:space="preserve">An image of the first </w:t>
      </w:r>
      <w:r w:rsidR="00783FB3">
        <w:t xml:space="preserve">screenshot </w:t>
      </w:r>
      <w:r w:rsidR="00C1570A">
        <w:t xml:space="preserve">she adduced </w:t>
      </w:r>
      <w:r w:rsidR="001731DD">
        <w:t>is reproduced below.</w:t>
      </w:r>
      <w:r w:rsidR="00C1570A">
        <w:t xml:space="preserve">  As is apparent, the </w:t>
      </w:r>
      <w:r w:rsidR="001731DD">
        <w:t xml:space="preserve">TRIANGL </w:t>
      </w:r>
      <w:r w:rsidR="00C1570A">
        <w:t xml:space="preserve">Trade Mark </w:t>
      </w:r>
      <w:r w:rsidR="001731DD">
        <w:t>is central</w:t>
      </w:r>
      <w:r w:rsidR="00C1570A">
        <w:t xml:space="preserve"> and </w:t>
      </w:r>
      <w:r w:rsidR="001731DD">
        <w:t>prominent at the top of the page and the name DELPHINE accompanied by either FIORE, FIORE ROSA or FIORE NERO appears under each</w:t>
      </w:r>
      <w:r w:rsidR="00C1570A">
        <w:t xml:space="preserve"> colour or pattern variant of the bikinis</w:t>
      </w:r>
      <w:r w:rsidR="001731DD">
        <w:t>.</w:t>
      </w:r>
    </w:p>
    <w:p w:rsidR="00F9162B" w:rsidRPr="001D5297" w:rsidRDefault="00D967EA" w:rsidP="004C4B24">
      <w:pPr>
        <w:pStyle w:val="NoNum"/>
        <w:jc w:val="center"/>
      </w:pPr>
      <w:r>
        <w:rPr>
          <w:noProof/>
          <w:lang w:eastAsia="en-AU"/>
        </w:rPr>
        <w:lastRenderedPageBreak/>
        <w:drawing>
          <wp:inline distT="0" distB="0" distL="0" distR="0">
            <wp:extent cx="5732145" cy="320167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 1.jpg"/>
                    <pic:cNvPicPr/>
                  </pic:nvPicPr>
                  <pic:blipFill>
                    <a:blip r:embed="rId16">
                      <a:extLst>
                        <a:ext uri="{28A0092B-C50C-407E-A947-70E740481C1C}">
                          <a14:useLocalDpi xmlns:a14="http://schemas.microsoft.com/office/drawing/2010/main" val="0"/>
                        </a:ext>
                      </a:extLst>
                    </a:blip>
                    <a:stretch>
                      <a:fillRect/>
                    </a:stretch>
                  </pic:blipFill>
                  <pic:spPr>
                    <a:xfrm>
                      <a:off x="0" y="0"/>
                      <a:ext cx="5732145" cy="3201670"/>
                    </a:xfrm>
                    <a:prstGeom prst="rect">
                      <a:avLst/>
                    </a:prstGeom>
                  </pic:spPr>
                </pic:pic>
              </a:graphicData>
            </a:graphic>
          </wp:inline>
        </w:drawing>
      </w:r>
    </w:p>
    <w:p w:rsidR="00B36D0E" w:rsidRDefault="00B36D0E" w:rsidP="009B0C54">
      <w:pPr>
        <w:pStyle w:val="ParaNumbering"/>
        <w:tabs>
          <w:tab w:val="num" w:pos="720"/>
        </w:tabs>
        <w:ind w:left="0"/>
      </w:pPr>
      <w:r w:rsidRPr="001D5297">
        <w:t>It is impossible to read</w:t>
      </w:r>
      <w:r w:rsidR="00C1570A" w:rsidRPr="001D5297">
        <w:t xml:space="preserve"> from the image </w:t>
      </w:r>
      <w:r w:rsidR="002E7D13" w:rsidRPr="001D5297">
        <w:t xml:space="preserve">reproduced </w:t>
      </w:r>
      <w:r w:rsidRPr="001D5297">
        <w:t>above but the domain address</w:t>
      </w:r>
      <w:r>
        <w:t xml:space="preserve"> </w:t>
      </w:r>
      <w:r w:rsidR="00783FB3">
        <w:t>&lt;</w:t>
      </w:r>
      <w:hyperlink r:id="rId17">
        <w:r>
          <w:t>http://australia.triangl.com/collections/new-</w:t>
        </w:r>
      </w:hyperlink>
      <w:r>
        <w:t>arrivals/products/delphine-fiore-nero-br-in-regular-or-cheeky-bum</w:t>
      </w:r>
      <w:r w:rsidR="00783FB3">
        <w:t>&gt;</w:t>
      </w:r>
      <w:r w:rsidRPr="00DA6C3D">
        <w:t xml:space="preserve"> </w:t>
      </w:r>
      <w:r>
        <w:t>appears in small font at the base of the page.</w:t>
      </w:r>
      <w:r w:rsidR="00C1570A">
        <w:t xml:space="preserve">  This </w:t>
      </w:r>
      <w:r w:rsidR="00CB2EFF">
        <w:t xml:space="preserve">indicates </w:t>
      </w:r>
      <w:r>
        <w:t>that</w:t>
      </w:r>
      <w:r w:rsidR="00C1570A">
        <w:t xml:space="preserve"> the </w:t>
      </w:r>
      <w:r>
        <w:t>page was reached by the user clicking on the “New Arrivals” button</w:t>
      </w:r>
      <w:r w:rsidR="008203A1">
        <w:t>.</w:t>
      </w:r>
      <w:r>
        <w:t xml:space="preserve"> </w:t>
      </w:r>
      <w:r w:rsidR="008B4A71">
        <w:t xml:space="preserve"> </w:t>
      </w:r>
      <w:r>
        <w:t xml:space="preserve">Pinnacle did not </w:t>
      </w:r>
      <w:r w:rsidR="008203A1">
        <w:t>however</w:t>
      </w:r>
      <w:r w:rsidR="009B4BBC">
        <w:t xml:space="preserve"> adduce screenshots </w:t>
      </w:r>
      <w:r w:rsidR="008203A1">
        <w:t>of</w:t>
      </w:r>
      <w:r>
        <w:t xml:space="preserve"> the page showing the three other new </w:t>
      </w:r>
      <w:r w:rsidR="00CB2EFF">
        <w:t xml:space="preserve">TRIANGL </w:t>
      </w:r>
      <w:r>
        <w:t xml:space="preserve">bikini styles </w:t>
      </w:r>
      <w:r w:rsidR="00CB2EFF">
        <w:t xml:space="preserve">in the Spring/Summer 2016 campaign </w:t>
      </w:r>
      <w:r>
        <w:t>which I infer</w:t>
      </w:r>
      <w:r w:rsidR="002E7D13">
        <w:t xml:space="preserve"> were shown when the “</w:t>
      </w:r>
      <w:r>
        <w:t>New Arrivals</w:t>
      </w:r>
      <w:r w:rsidR="002E7D13">
        <w:t>” button was clicked</w:t>
      </w:r>
      <w:r>
        <w:t xml:space="preserve">. </w:t>
      </w:r>
    </w:p>
    <w:p w:rsidR="00D31601" w:rsidRDefault="00A31B44" w:rsidP="00D31601">
      <w:pPr>
        <w:pStyle w:val="ParaNumbering"/>
        <w:tabs>
          <w:tab w:val="num" w:pos="720"/>
        </w:tabs>
        <w:ind w:left="0"/>
      </w:pPr>
      <w:r>
        <w:t xml:space="preserve">An image of the </w:t>
      </w:r>
      <w:r w:rsidR="00D31601">
        <w:t xml:space="preserve">second </w:t>
      </w:r>
      <w:r w:rsidR="00783FB3">
        <w:t>screenshot</w:t>
      </w:r>
      <w:r w:rsidR="008203A1">
        <w:t xml:space="preserve"> Ms Lambrianidis</w:t>
      </w:r>
      <w:r w:rsidR="00C1570A">
        <w:t xml:space="preserve"> adduced </w:t>
      </w:r>
      <w:r w:rsidR="003F5EA3">
        <w:t xml:space="preserve">is reproduced </w:t>
      </w:r>
      <w:r>
        <w:t>below</w:t>
      </w:r>
      <w:r w:rsidR="008203A1">
        <w:t>.</w:t>
      </w:r>
      <w:r w:rsidR="00981409">
        <w:t xml:space="preserve"> </w:t>
      </w:r>
      <w:r w:rsidR="008203A1">
        <w:t xml:space="preserve"> </w:t>
      </w:r>
      <w:r w:rsidR="00395D14">
        <w:t>I infer that a user of the website would arrive at this page by clicking on the image of the DELPHINE- FIORE ROSA bikini on the page displayed in the first screenshot.</w:t>
      </w:r>
    </w:p>
    <w:p w:rsidR="00F9162B" w:rsidRPr="004938DB" w:rsidRDefault="00D967EA" w:rsidP="002B1B74">
      <w:pPr>
        <w:pStyle w:val="NoNum"/>
        <w:jc w:val="center"/>
      </w:pPr>
      <w:r>
        <w:rPr>
          <w:noProof/>
          <w:lang w:eastAsia="en-AU"/>
        </w:rPr>
        <w:lastRenderedPageBreak/>
        <w:drawing>
          <wp:inline distT="0" distB="0" distL="0" distR="0">
            <wp:extent cx="5732145" cy="344614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angle 2.jpg"/>
                    <pic:cNvPicPr/>
                  </pic:nvPicPr>
                  <pic:blipFill>
                    <a:blip r:embed="rId18">
                      <a:extLst>
                        <a:ext uri="{28A0092B-C50C-407E-A947-70E740481C1C}">
                          <a14:useLocalDpi xmlns:a14="http://schemas.microsoft.com/office/drawing/2010/main" val="0"/>
                        </a:ext>
                      </a:extLst>
                    </a:blip>
                    <a:stretch>
                      <a:fillRect/>
                    </a:stretch>
                  </pic:blipFill>
                  <pic:spPr>
                    <a:xfrm>
                      <a:off x="0" y="0"/>
                      <a:ext cx="5732145" cy="3446145"/>
                    </a:xfrm>
                    <a:prstGeom prst="rect">
                      <a:avLst/>
                    </a:prstGeom>
                  </pic:spPr>
                </pic:pic>
              </a:graphicData>
            </a:graphic>
          </wp:inline>
        </w:drawing>
      </w:r>
    </w:p>
    <w:p w:rsidR="00F9162B" w:rsidRDefault="00CB2EFF" w:rsidP="00CB2EFF">
      <w:pPr>
        <w:pStyle w:val="ParaNumbering"/>
        <w:tabs>
          <w:tab w:val="num" w:pos="720"/>
        </w:tabs>
        <w:ind w:left="0"/>
      </w:pPr>
      <w:r w:rsidRPr="004938DB">
        <w:t>Pinnacle</w:t>
      </w:r>
      <w:r w:rsidR="00F9162B" w:rsidRPr="004938DB">
        <w:t xml:space="preserve"> did not</w:t>
      </w:r>
      <w:r w:rsidR="00A31B44" w:rsidRPr="004938DB">
        <w:t xml:space="preserve"> </w:t>
      </w:r>
      <w:r w:rsidR="008203A1" w:rsidRPr="004938DB">
        <w:t>put</w:t>
      </w:r>
      <w:r w:rsidR="00A31B44" w:rsidRPr="004938DB">
        <w:t xml:space="preserve"> </w:t>
      </w:r>
      <w:r w:rsidRPr="004938DB">
        <w:t xml:space="preserve">into evidence </w:t>
      </w:r>
      <w:r w:rsidR="00A31B44" w:rsidRPr="004938DB">
        <w:t xml:space="preserve">any </w:t>
      </w:r>
      <w:r w:rsidR="001731DD" w:rsidRPr="004938DB">
        <w:t xml:space="preserve">other </w:t>
      </w:r>
      <w:r w:rsidR="00B42C4E" w:rsidRPr="004938DB">
        <w:t xml:space="preserve">screenshots </w:t>
      </w:r>
      <w:r w:rsidR="001731DD" w:rsidRPr="004938DB">
        <w:t>from</w:t>
      </w:r>
      <w:r w:rsidR="0069036D" w:rsidRPr="004938DB">
        <w:t xml:space="preserve"> the </w:t>
      </w:r>
      <w:r w:rsidRPr="004938DB">
        <w:t xml:space="preserve">TRIANGL </w:t>
      </w:r>
      <w:r w:rsidR="0069036D" w:rsidRPr="004938DB">
        <w:t>website</w:t>
      </w:r>
      <w:r w:rsidRPr="004938DB">
        <w:t xml:space="preserve"> during the relevant period</w:t>
      </w:r>
      <w:r w:rsidR="00DE1C96" w:rsidRPr="004938DB">
        <w:t>.</w:t>
      </w:r>
      <w:r w:rsidR="008203A1" w:rsidRPr="004938DB">
        <w:t xml:space="preserve"> </w:t>
      </w:r>
      <w:r w:rsidR="008B4A71" w:rsidRPr="004938DB">
        <w:t xml:space="preserve"> </w:t>
      </w:r>
      <w:r w:rsidRPr="004938DB">
        <w:t>For example</w:t>
      </w:r>
      <w:r w:rsidR="008203A1" w:rsidRPr="004938DB">
        <w:t>,</w:t>
      </w:r>
      <w:r w:rsidRPr="004938DB">
        <w:t xml:space="preserve"> it did not put into evidence: (</w:t>
      </w:r>
      <w:r w:rsidR="00981409">
        <w:t>i</w:t>
      </w:r>
      <w:r>
        <w:t>) the home page; (</w:t>
      </w:r>
      <w:r w:rsidR="00981409">
        <w:t>ii</w:t>
      </w:r>
      <w:r>
        <w:t xml:space="preserve">) the page which appeared if the user clicked the </w:t>
      </w:r>
      <w:r w:rsidR="002E7D13">
        <w:t>“</w:t>
      </w:r>
      <w:r>
        <w:t>View All</w:t>
      </w:r>
      <w:r w:rsidR="002E7D13">
        <w:t>”</w:t>
      </w:r>
      <w:r>
        <w:t xml:space="preserve"> button; or (</w:t>
      </w:r>
      <w:r w:rsidR="00981409">
        <w:t>iii</w:t>
      </w:r>
      <w:r>
        <w:t xml:space="preserve">) the </w:t>
      </w:r>
      <w:r w:rsidR="008203A1">
        <w:t xml:space="preserve">page </w:t>
      </w:r>
      <w:r>
        <w:t xml:space="preserve">which appeared if the user clicked the </w:t>
      </w:r>
      <w:r w:rsidR="002E7D13">
        <w:t>“</w:t>
      </w:r>
      <w:r>
        <w:t>New Arrivals</w:t>
      </w:r>
      <w:r w:rsidR="002E7D13">
        <w:t>”</w:t>
      </w:r>
      <w:r>
        <w:t xml:space="preserve"> button.</w:t>
      </w:r>
      <w:r w:rsidR="006447CA">
        <w:t xml:space="preserve">  </w:t>
      </w:r>
      <w:r w:rsidR="009B4BBC">
        <w:t xml:space="preserve">In my view it </w:t>
      </w:r>
      <w:r>
        <w:t>did not</w:t>
      </w:r>
      <w:r w:rsidR="00C1570A">
        <w:t xml:space="preserve"> provide </w:t>
      </w:r>
      <w:r>
        <w:t>the full context in which a</w:t>
      </w:r>
      <w:r w:rsidR="00C1570A">
        <w:t xml:space="preserve"> person </w:t>
      </w:r>
      <w:r>
        <w:t>viewing the TRIANGL website in the relevant period would have seen and understood</w:t>
      </w:r>
      <w:r w:rsidR="004156CD">
        <w:t xml:space="preserve"> </w:t>
      </w:r>
      <w:r>
        <w:t xml:space="preserve">the pages </w:t>
      </w:r>
      <w:r w:rsidR="00B42C4E">
        <w:t>on which Pinnacle’s case relied</w:t>
      </w:r>
      <w:r>
        <w:t>.</w:t>
      </w:r>
    </w:p>
    <w:p w:rsidR="00F9162B" w:rsidRDefault="00E26DCC" w:rsidP="00F9162B">
      <w:pPr>
        <w:pStyle w:val="ParaNumbering"/>
        <w:tabs>
          <w:tab w:val="num" w:pos="720"/>
        </w:tabs>
        <w:ind w:left="0"/>
      </w:pPr>
      <w:r>
        <w:t>Mr Ellis</w:t>
      </w:r>
      <w:r w:rsidR="002E7D13">
        <w:t xml:space="preserve"> said</w:t>
      </w:r>
      <w:r w:rsidR="00B36D0E">
        <w:t>, and I accept,</w:t>
      </w:r>
      <w:r>
        <w:t xml:space="preserve"> </w:t>
      </w:r>
      <w:r w:rsidR="00F9162B">
        <w:t>that</w:t>
      </w:r>
      <w:r>
        <w:t xml:space="preserve"> in </w:t>
      </w:r>
      <w:r w:rsidR="00F9162B">
        <w:t xml:space="preserve">the relevant period </w:t>
      </w:r>
      <w:r w:rsidR="00D011D6">
        <w:t xml:space="preserve">potential </w:t>
      </w:r>
      <w:r w:rsidR="00F9162B">
        <w:t>Australian customers were required to take the following steps if they wished to make a purchase on the T</w:t>
      </w:r>
      <w:r w:rsidR="00D628E4">
        <w:t>RIANGL</w:t>
      </w:r>
      <w:r w:rsidR="00F9162B">
        <w:t xml:space="preserve"> website:</w:t>
      </w:r>
    </w:p>
    <w:p w:rsidR="00F9162B" w:rsidRDefault="00F9162B" w:rsidP="0045682F">
      <w:pPr>
        <w:pStyle w:val="ListNo1"/>
        <w:numPr>
          <w:ilvl w:val="0"/>
          <w:numId w:val="38"/>
        </w:numPr>
      </w:pPr>
      <w:r>
        <w:t>visit the home page of the website which prominently bears the TRIANGL Trade Mark and name;</w:t>
      </w:r>
    </w:p>
    <w:p w:rsidR="00F9162B" w:rsidRDefault="00F9162B" w:rsidP="0045682F">
      <w:pPr>
        <w:pStyle w:val="ListNo1"/>
        <w:numPr>
          <w:ilvl w:val="0"/>
          <w:numId w:val="38"/>
        </w:numPr>
      </w:pPr>
      <w:r>
        <w:t>select their region as Australia, which then directed the customer to the page of the TRIANGL website targeted at Australia;</w:t>
      </w:r>
    </w:p>
    <w:p w:rsidR="00F9162B" w:rsidRDefault="00F9162B" w:rsidP="0045682F">
      <w:pPr>
        <w:pStyle w:val="ListNo1"/>
        <w:numPr>
          <w:ilvl w:val="0"/>
          <w:numId w:val="38"/>
        </w:numPr>
      </w:pPr>
      <w:r>
        <w:t>select an option labelled “Shop” from the range of options listed;</w:t>
      </w:r>
      <w:r w:rsidR="002A36DC" w:rsidRPr="002A36DC">
        <w:t xml:space="preserve"> </w:t>
      </w:r>
    </w:p>
    <w:p w:rsidR="00F9162B" w:rsidRDefault="00F9162B" w:rsidP="0045682F">
      <w:pPr>
        <w:pStyle w:val="ListNo1"/>
        <w:numPr>
          <w:ilvl w:val="0"/>
          <w:numId w:val="38"/>
        </w:numPr>
      </w:pPr>
      <w:r>
        <w:t xml:space="preserve">select an option from a drop-down menu of buttons which then appeared, namely one of </w:t>
      </w:r>
      <w:r w:rsidR="002E7D13">
        <w:t>“</w:t>
      </w:r>
      <w:r>
        <w:t>New Arrivals</w:t>
      </w:r>
      <w:r w:rsidR="002E7D13">
        <w:t>”</w:t>
      </w:r>
      <w:r>
        <w:t xml:space="preserve">, </w:t>
      </w:r>
      <w:r w:rsidR="002E7D13">
        <w:t>“</w:t>
      </w:r>
      <w:r>
        <w:t>TRIANGL</w:t>
      </w:r>
      <w:r w:rsidR="002E7D13">
        <w:t>”</w:t>
      </w:r>
      <w:r>
        <w:t xml:space="preserve">, </w:t>
      </w:r>
      <w:r w:rsidR="002E7D13">
        <w:t>“</w:t>
      </w:r>
      <w:r>
        <w:t>Balconnet</w:t>
      </w:r>
      <w:r w:rsidR="002E7D13">
        <w:t>”</w:t>
      </w:r>
      <w:r>
        <w:t xml:space="preserve">, </w:t>
      </w:r>
      <w:r w:rsidR="002E7D13">
        <w:t>“</w:t>
      </w:r>
      <w:r>
        <w:t>Cheeky</w:t>
      </w:r>
      <w:r w:rsidR="002E7D13">
        <w:t>”</w:t>
      </w:r>
      <w:r>
        <w:t xml:space="preserve">, </w:t>
      </w:r>
      <w:r w:rsidR="002E7D13">
        <w:t>“</w:t>
      </w:r>
      <w:r>
        <w:t>Strapless</w:t>
      </w:r>
      <w:r w:rsidR="002E7D13">
        <w:t>”</w:t>
      </w:r>
      <w:r>
        <w:t xml:space="preserve"> and </w:t>
      </w:r>
      <w:r w:rsidR="002E7D13">
        <w:t>“</w:t>
      </w:r>
      <w:r>
        <w:t>View All</w:t>
      </w:r>
      <w:r w:rsidR="002E7D13">
        <w:t>”</w:t>
      </w:r>
      <w:r>
        <w:t xml:space="preserve"> which in each case </w:t>
      </w:r>
      <w:r w:rsidR="002E7D13">
        <w:t xml:space="preserve">led to </w:t>
      </w:r>
      <w:r>
        <w:t>a page showing images of various TRIANGL bikinis together with the style name of that bikini and its price;</w:t>
      </w:r>
      <w:r w:rsidR="002A36DC" w:rsidRPr="002A36DC">
        <w:t xml:space="preserve"> </w:t>
      </w:r>
    </w:p>
    <w:p w:rsidR="00F9162B" w:rsidRDefault="00F9162B" w:rsidP="0045682F">
      <w:pPr>
        <w:pStyle w:val="ListNo1"/>
        <w:numPr>
          <w:ilvl w:val="0"/>
          <w:numId w:val="38"/>
        </w:numPr>
      </w:pPr>
      <w:r>
        <w:lastRenderedPageBreak/>
        <w:t>click on a particular product to arrive at a page dedicated to that product, at which a number of different viewing angles of the bikini were available;</w:t>
      </w:r>
      <w:r w:rsidR="002A36DC" w:rsidRPr="002A36DC">
        <w:t xml:space="preserve"> </w:t>
      </w:r>
    </w:p>
    <w:p w:rsidR="00F9162B" w:rsidRDefault="00F9162B" w:rsidP="0045682F">
      <w:pPr>
        <w:pStyle w:val="ListNo1"/>
        <w:numPr>
          <w:ilvl w:val="0"/>
          <w:numId w:val="38"/>
        </w:numPr>
      </w:pPr>
      <w:r>
        <w:t>select the size and bottom shape for the bikini and “add” the TRIANGL product to their “cart”;</w:t>
      </w:r>
      <w:r w:rsidR="002A36DC" w:rsidRPr="002A36DC">
        <w:t xml:space="preserve"> </w:t>
      </w:r>
    </w:p>
    <w:p w:rsidR="00F9162B" w:rsidRDefault="00F9162B" w:rsidP="0045682F">
      <w:pPr>
        <w:pStyle w:val="ListNo1"/>
        <w:numPr>
          <w:ilvl w:val="0"/>
          <w:numId w:val="38"/>
        </w:numPr>
      </w:pPr>
      <w:r>
        <w:t>click on a “check-out” button where they would be presented with an image of the product to the customer had selected together with the name of that product style, the size, bottom shape and price of that product;</w:t>
      </w:r>
      <w:r w:rsidR="002A36DC" w:rsidRPr="002A36DC">
        <w:t xml:space="preserve"> </w:t>
      </w:r>
    </w:p>
    <w:p w:rsidR="00F9162B" w:rsidRDefault="00F9162B" w:rsidP="0045682F">
      <w:pPr>
        <w:pStyle w:val="ListNo1"/>
        <w:numPr>
          <w:ilvl w:val="0"/>
          <w:numId w:val="38"/>
        </w:numPr>
      </w:pPr>
      <w:r>
        <w:t xml:space="preserve">click on a box labelled “continue </w:t>
      </w:r>
      <w:r w:rsidR="00981409">
        <w:t>to</w:t>
      </w:r>
      <w:r>
        <w:t xml:space="preserve"> next step”, and then enter the shipping address and contact details;</w:t>
      </w:r>
      <w:r w:rsidR="002A36DC" w:rsidRPr="002A36DC">
        <w:t xml:space="preserve"> </w:t>
      </w:r>
    </w:p>
    <w:p w:rsidR="00F9162B" w:rsidRDefault="00F9162B" w:rsidP="0045682F">
      <w:pPr>
        <w:pStyle w:val="ListNo1"/>
        <w:numPr>
          <w:ilvl w:val="0"/>
          <w:numId w:val="38"/>
        </w:numPr>
      </w:pPr>
      <w:r>
        <w:t xml:space="preserve">select a shipping method, which was limited to a single method of Flat Rate Shipping </w:t>
      </w:r>
      <w:r w:rsidR="00D3221E">
        <w:t xml:space="preserve">of </w:t>
      </w:r>
      <w:r>
        <w:t>AUD$10 for Australian customers; and</w:t>
      </w:r>
    </w:p>
    <w:p w:rsidR="00F9162B" w:rsidRDefault="00F9162B" w:rsidP="0045682F">
      <w:pPr>
        <w:pStyle w:val="ListNo1"/>
        <w:numPr>
          <w:ilvl w:val="0"/>
          <w:numId w:val="38"/>
        </w:numPr>
      </w:pPr>
      <w:r>
        <w:t>confirm all of their previously entered details and provide payment details.</w:t>
      </w:r>
      <w:r w:rsidR="002A36DC" w:rsidRPr="002A36DC">
        <w:t xml:space="preserve"> </w:t>
      </w:r>
    </w:p>
    <w:p w:rsidR="009B4BBC" w:rsidRDefault="009B4BBC" w:rsidP="009B4BBC">
      <w:pPr>
        <w:pStyle w:val="ParaNumbering"/>
        <w:tabs>
          <w:tab w:val="num" w:pos="720"/>
        </w:tabs>
        <w:ind w:left="0"/>
      </w:pPr>
      <w:r>
        <w:t>Mr Ellis said and I accept that during the relevant period the name DELPHINE appeared on the Australian version of the TRIANGL website if the user selected either the “New Arrivals” or “View All” buttons.</w:t>
      </w:r>
      <w:r w:rsidRPr="0069036D">
        <w:t xml:space="preserve"> </w:t>
      </w:r>
      <w:r>
        <w:t xml:space="preserve"> Having regard to his evidence and the structure of the</w:t>
      </w:r>
      <w:r w:rsidRPr="00E26DCC">
        <w:t xml:space="preserve"> </w:t>
      </w:r>
      <w:r>
        <w:t xml:space="preserve">TRIANGL website, I infer that there were further relevant pages on the TRIANGL website to those Pinnacle adduced. </w:t>
      </w:r>
    </w:p>
    <w:p w:rsidR="00F9162B" w:rsidRDefault="00D011D6" w:rsidP="00FB1E4A">
      <w:pPr>
        <w:pStyle w:val="ParaNumbering"/>
        <w:tabs>
          <w:tab w:val="num" w:pos="720"/>
        </w:tabs>
        <w:ind w:left="0"/>
      </w:pPr>
      <w:r>
        <w:t>Mr Ellis</w:t>
      </w:r>
      <w:r w:rsidR="00FB1E4A">
        <w:t xml:space="preserve"> adduced</w:t>
      </w:r>
      <w:r w:rsidR="001E0E0A">
        <w:t xml:space="preserve"> screenshots of webpages on </w:t>
      </w:r>
      <w:r w:rsidR="00F9162B">
        <w:t>the TRIANGL website</w:t>
      </w:r>
      <w:r w:rsidR="00B42C4E">
        <w:t>, which I infer were taken</w:t>
      </w:r>
      <w:r>
        <w:t xml:space="preserve"> </w:t>
      </w:r>
      <w:r w:rsidR="002E7D13">
        <w:t>when he made his affidavit</w:t>
      </w:r>
      <w:r w:rsidR="002E7D13" w:rsidDel="0029359A">
        <w:t xml:space="preserve"> </w:t>
      </w:r>
      <w:r w:rsidR="00B42C4E">
        <w:t xml:space="preserve">in or about </w:t>
      </w:r>
      <w:r w:rsidR="00F9162B">
        <w:t>August 2018</w:t>
      </w:r>
      <w:r w:rsidR="009B4BBC">
        <w:t xml:space="preserve"> and he </w:t>
      </w:r>
      <w:r w:rsidR="000B6B54">
        <w:t>said</w:t>
      </w:r>
      <w:r w:rsidR="00F9162B">
        <w:t xml:space="preserve"> that the website had only been altered slightly in the period between </w:t>
      </w:r>
      <w:r w:rsidR="002D1D54">
        <w:t>April</w:t>
      </w:r>
      <w:r w:rsidR="00F9162B">
        <w:t>-June 2016 and August 2018</w:t>
      </w:r>
      <w:r w:rsidR="00FB1E4A">
        <w:t>.</w:t>
      </w:r>
      <w:r w:rsidR="008B4A71">
        <w:t xml:space="preserve"> </w:t>
      </w:r>
      <w:r w:rsidR="00FB1E4A">
        <w:t xml:space="preserve"> T</w:t>
      </w:r>
      <w:r>
        <w:t xml:space="preserve">he only change </w:t>
      </w:r>
      <w:r w:rsidR="000B6B54">
        <w:t xml:space="preserve">he </w:t>
      </w:r>
      <w:r w:rsidR="00F9162B">
        <w:t>identified</w:t>
      </w:r>
      <w:r>
        <w:t xml:space="preserve"> was </w:t>
      </w:r>
      <w:r w:rsidR="00F9162B">
        <w:t>that</w:t>
      </w:r>
      <w:r w:rsidR="002E7D13">
        <w:t>,</w:t>
      </w:r>
      <w:r w:rsidR="000B6B54">
        <w:t xml:space="preserve"> </w:t>
      </w:r>
      <w:r w:rsidR="00B42C4E">
        <w:t>during the relevant period</w:t>
      </w:r>
      <w:r w:rsidR="0029359A">
        <w:t>,</w:t>
      </w:r>
      <w:r w:rsidR="00B42C4E">
        <w:t xml:space="preserve"> </w:t>
      </w:r>
      <w:r w:rsidR="000B6B54">
        <w:t xml:space="preserve">style names of </w:t>
      </w:r>
      <w:r>
        <w:t xml:space="preserve">each </w:t>
      </w:r>
      <w:r w:rsidR="000B6B54">
        <w:t>bikini</w:t>
      </w:r>
      <w:r>
        <w:t xml:space="preserve"> </w:t>
      </w:r>
      <w:r w:rsidR="00B42C4E">
        <w:t xml:space="preserve">style </w:t>
      </w:r>
      <w:r w:rsidR="000B6B54">
        <w:t>appeared under</w:t>
      </w:r>
      <w:r w:rsidR="00B42C4E">
        <w:t xml:space="preserve"> the relevant </w:t>
      </w:r>
      <w:r>
        <w:t>image</w:t>
      </w:r>
      <w:r w:rsidR="00B42C4E">
        <w:t>,</w:t>
      </w:r>
      <w:r w:rsidR="002E7D13">
        <w:t xml:space="preserve"> whereas </w:t>
      </w:r>
      <w:r>
        <w:t xml:space="preserve">by </w:t>
      </w:r>
      <w:r w:rsidR="005C5A81">
        <w:t>August 2018</w:t>
      </w:r>
      <w:r>
        <w:t xml:space="preserve"> </w:t>
      </w:r>
      <w:r w:rsidR="005C5A81">
        <w:t xml:space="preserve">the website </w:t>
      </w:r>
      <w:r>
        <w:t xml:space="preserve">had been changed so that </w:t>
      </w:r>
      <w:r w:rsidR="005C5A81">
        <w:t>the style names</w:t>
      </w:r>
      <w:r>
        <w:t xml:space="preserve"> were only displayed </w:t>
      </w:r>
      <w:r w:rsidR="005C5A81">
        <w:t>if the</w:t>
      </w:r>
      <w:r w:rsidR="00B42C4E">
        <w:t xml:space="preserve"> computer </w:t>
      </w:r>
      <w:r w:rsidR="005C5A81">
        <w:t>mouse was hovere</w:t>
      </w:r>
      <w:r w:rsidR="000B6B54">
        <w:t>d over</w:t>
      </w:r>
      <w:r w:rsidR="00B42C4E">
        <w:t xml:space="preserve"> the relevant </w:t>
      </w:r>
      <w:r w:rsidR="000B6B54">
        <w:t xml:space="preserve">image.  </w:t>
      </w:r>
      <w:r>
        <w:t>I accept his evidence</w:t>
      </w:r>
      <w:r w:rsidR="009E3391">
        <w:t xml:space="preserve"> in this regard</w:t>
      </w:r>
      <w:r w:rsidR="008F1746">
        <w:t>; having regard to which</w:t>
      </w:r>
      <w:r w:rsidR="00FB1E4A">
        <w:t xml:space="preserve"> </w:t>
      </w:r>
      <w:r w:rsidR="005C5A81">
        <w:t xml:space="preserve">some limited </w:t>
      </w:r>
      <w:r w:rsidR="00F9162B">
        <w:t>inferences</w:t>
      </w:r>
      <w:r w:rsidR="000B6B54">
        <w:t xml:space="preserve"> </w:t>
      </w:r>
      <w:r>
        <w:t xml:space="preserve">can be drawn about </w:t>
      </w:r>
      <w:r w:rsidR="00F9162B">
        <w:t>the appearance of</w:t>
      </w:r>
      <w:r w:rsidR="005C5A81">
        <w:t xml:space="preserve"> the home page</w:t>
      </w:r>
      <w:r w:rsidR="009B4BBC">
        <w:t>,</w:t>
      </w:r>
      <w:r w:rsidR="005C5A81">
        <w:t xml:space="preserve"> the </w:t>
      </w:r>
      <w:r w:rsidR="002E7D13">
        <w:t>“</w:t>
      </w:r>
      <w:r w:rsidR="005C5A81">
        <w:t>New Arrivals</w:t>
      </w:r>
      <w:r w:rsidR="002E7D13">
        <w:t>”</w:t>
      </w:r>
      <w:r w:rsidR="009B4BBC">
        <w:t xml:space="preserve"> and the </w:t>
      </w:r>
      <w:r w:rsidR="002E7D13">
        <w:t>“</w:t>
      </w:r>
      <w:r w:rsidR="005C5A81">
        <w:t>View All</w:t>
      </w:r>
      <w:r w:rsidR="002E7D13">
        <w:t>”</w:t>
      </w:r>
      <w:r w:rsidR="005C5A81">
        <w:t xml:space="preserve"> pages</w:t>
      </w:r>
      <w:r>
        <w:t xml:space="preserve"> of the </w:t>
      </w:r>
      <w:r w:rsidR="00FB1E4A">
        <w:t xml:space="preserve">TRIANGL </w:t>
      </w:r>
      <w:r>
        <w:t>website during the relevant period</w:t>
      </w:r>
      <w:r w:rsidR="00F9162B">
        <w:t>.</w:t>
      </w:r>
    </w:p>
    <w:p w:rsidR="008C46E4" w:rsidRDefault="004156CD" w:rsidP="008C46E4">
      <w:pPr>
        <w:pStyle w:val="ParaNumbering"/>
        <w:tabs>
          <w:tab w:val="clear" w:pos="1865"/>
          <w:tab w:val="num" w:pos="720"/>
          <w:tab w:val="num" w:pos="1440"/>
        </w:tabs>
        <w:ind w:left="0"/>
      </w:pPr>
      <w:r>
        <w:t>One of the</w:t>
      </w:r>
      <w:r w:rsidR="00B42C4E">
        <w:t xml:space="preserve"> screenshots </w:t>
      </w:r>
      <w:r w:rsidR="00D011D6">
        <w:t>Mr Ellis</w:t>
      </w:r>
      <w:r w:rsidR="00FB1E4A">
        <w:t xml:space="preserve"> adduced </w:t>
      </w:r>
      <w:r>
        <w:t>is</w:t>
      </w:r>
      <w:r w:rsidR="00B42C4E">
        <w:t xml:space="preserve"> a copy of the </w:t>
      </w:r>
      <w:r w:rsidR="008C46E4">
        <w:t xml:space="preserve">TRIANGL </w:t>
      </w:r>
      <w:r w:rsidR="00F9162B">
        <w:t>home page</w:t>
      </w:r>
      <w:r w:rsidR="00FB1E4A">
        <w:t xml:space="preserve"> as at </w:t>
      </w:r>
      <w:r w:rsidR="00F9162B">
        <w:t>August 2018.</w:t>
      </w:r>
      <w:r w:rsidR="00FB1E4A">
        <w:t xml:space="preserve">  It </w:t>
      </w:r>
      <w:r w:rsidR="009E3391">
        <w:t xml:space="preserve">carries </w:t>
      </w:r>
      <w:r w:rsidR="00D011D6">
        <w:t>a prominent TRIANGL brand at the top</w:t>
      </w:r>
      <w:r w:rsidR="00C3730F">
        <w:t>,</w:t>
      </w:r>
      <w:r w:rsidR="00D011D6">
        <w:t xml:space="preserve"> below which appear </w:t>
      </w:r>
      <w:r w:rsidR="00F9162B">
        <w:t xml:space="preserve">the following buttons: </w:t>
      </w:r>
      <w:r w:rsidR="00AE5CD6">
        <w:t>“</w:t>
      </w:r>
      <w:r w:rsidR="00F9162B">
        <w:t>Home</w:t>
      </w:r>
      <w:r w:rsidR="00AE5CD6">
        <w:t>”,</w:t>
      </w:r>
      <w:r w:rsidR="00F9162B">
        <w:t xml:space="preserve"> </w:t>
      </w:r>
      <w:r w:rsidR="00AE5CD6">
        <w:t>“</w:t>
      </w:r>
      <w:r w:rsidR="00F9162B">
        <w:t>Shop</w:t>
      </w:r>
      <w:r w:rsidR="00AE5CD6">
        <w:t>”,</w:t>
      </w:r>
      <w:r w:rsidR="00F9162B">
        <w:t xml:space="preserve"> </w:t>
      </w:r>
      <w:r w:rsidR="00AE5CD6">
        <w:t>“</w:t>
      </w:r>
      <w:r w:rsidR="00F9162B">
        <w:t>Triangl Girls</w:t>
      </w:r>
      <w:r w:rsidR="00AE5CD6">
        <w:t>”,</w:t>
      </w:r>
      <w:r w:rsidR="00F9162B">
        <w:t xml:space="preserve"> </w:t>
      </w:r>
      <w:r w:rsidR="00AE5CD6">
        <w:t>“</w:t>
      </w:r>
      <w:r w:rsidR="00F9162B">
        <w:t>Lookbook</w:t>
      </w:r>
      <w:r w:rsidR="00AE5CD6">
        <w:t>”,</w:t>
      </w:r>
      <w:r w:rsidR="00F9162B">
        <w:t xml:space="preserve"> </w:t>
      </w:r>
      <w:r w:rsidR="00AE5CD6">
        <w:t>“</w:t>
      </w:r>
      <w:r w:rsidR="00F9162B">
        <w:t>Customer Care</w:t>
      </w:r>
      <w:r w:rsidR="00AE5CD6">
        <w:t>”,</w:t>
      </w:r>
      <w:r w:rsidR="00F9162B">
        <w:t xml:space="preserve"> </w:t>
      </w:r>
      <w:r w:rsidR="00AE5CD6">
        <w:t>“</w:t>
      </w:r>
      <w:r w:rsidR="00F9162B">
        <w:t>Sizing</w:t>
      </w:r>
      <w:r w:rsidR="00AE5CD6">
        <w:t>”,</w:t>
      </w:r>
      <w:r w:rsidR="00F9162B">
        <w:t xml:space="preserve"> </w:t>
      </w:r>
      <w:r w:rsidR="00AE5CD6">
        <w:t>“</w:t>
      </w:r>
      <w:r w:rsidR="00F9162B">
        <w:t>Where to Buy</w:t>
      </w:r>
      <w:r w:rsidR="00AE5CD6">
        <w:t>”,</w:t>
      </w:r>
      <w:r w:rsidR="00F9162B">
        <w:t xml:space="preserve"> and </w:t>
      </w:r>
      <w:r w:rsidR="00AE5CD6">
        <w:t>“</w:t>
      </w:r>
      <w:r w:rsidR="00F9162B">
        <w:t>My Account</w:t>
      </w:r>
      <w:r w:rsidR="00AE5CD6">
        <w:t>”</w:t>
      </w:r>
      <w:r w:rsidR="00CF7F02">
        <w:t>; superimposed over a full-page image of a model wearing a Triangl branded bikini</w:t>
      </w:r>
      <w:r w:rsidR="00F9162B">
        <w:t xml:space="preserve">.  </w:t>
      </w:r>
      <w:r w:rsidR="008C46E4">
        <w:t xml:space="preserve">The same buttons appear in the screenshots obtained by Ms Lambrianidis in </w:t>
      </w:r>
      <w:r w:rsidR="008C46E4">
        <w:lastRenderedPageBreak/>
        <w:t>May 2016.  I infer that during the relevant period the home page had a similar structure with the same or similar menu items.</w:t>
      </w:r>
    </w:p>
    <w:p w:rsidR="00CF7F02" w:rsidRDefault="00C3730F" w:rsidP="00CF7F02">
      <w:pPr>
        <w:pStyle w:val="ParaNumbering"/>
        <w:tabs>
          <w:tab w:val="num" w:pos="720"/>
        </w:tabs>
        <w:ind w:left="0"/>
      </w:pPr>
      <w:r>
        <w:t>Mr Ellis</w:t>
      </w:r>
      <w:r w:rsidR="004156CD">
        <w:t xml:space="preserve"> also</w:t>
      </w:r>
      <w:r w:rsidR="00FB1E4A">
        <w:t xml:space="preserve"> adduced a</w:t>
      </w:r>
      <w:r w:rsidR="00B42C4E">
        <w:t xml:space="preserve"> screenshot of </w:t>
      </w:r>
      <w:r w:rsidR="00FB1E4A">
        <w:t xml:space="preserve">the TRIANGL website as at August 2018 which </w:t>
      </w:r>
      <w:r w:rsidR="00F9162B">
        <w:t>shows the drop-down menu which appears when the “Shop” button is clicked</w:t>
      </w:r>
      <w:r w:rsidR="00FB1E4A">
        <w:t xml:space="preserve">.  </w:t>
      </w:r>
      <w:r w:rsidR="00395D14">
        <w:t>The menu has the following buttons: “New Arrivals”, “Cheeky Bum”, “High Waist”, “Triangl” “Crop Top”, “Strapless”, “Balconett”, “One Piece”, “Accessories”, and “View All”.  Having regard to Mr Ellis’ evidence, it is likely that during the relevant period the “Shop” page of the TRIANGL website had a similar structure with the same or similar menu items.</w:t>
      </w:r>
    </w:p>
    <w:p w:rsidR="007B7B04" w:rsidRDefault="004156CD" w:rsidP="00CF7F02">
      <w:pPr>
        <w:pStyle w:val="ParaNumbering"/>
        <w:tabs>
          <w:tab w:val="num" w:pos="720"/>
        </w:tabs>
        <w:ind w:left="0"/>
      </w:pPr>
      <w:r>
        <w:t>As Mr Ellis’ evidence</w:t>
      </w:r>
      <w:r w:rsidR="00FB1E4A">
        <w:t xml:space="preserve"> tends to show</w:t>
      </w:r>
      <w:r>
        <w:t xml:space="preserve">, </w:t>
      </w:r>
      <w:r w:rsidR="00C3730F">
        <w:t xml:space="preserve">upon clicking </w:t>
      </w:r>
      <w:r w:rsidR="00F9162B">
        <w:t>one of</w:t>
      </w:r>
      <w:r w:rsidR="00C3730F">
        <w:t xml:space="preserve"> those </w:t>
      </w:r>
      <w:r w:rsidR="00F9162B">
        <w:t>buttons</w:t>
      </w:r>
      <w:r w:rsidR="00C805D3">
        <w:t>,</w:t>
      </w:r>
      <w:r w:rsidR="00583324">
        <w:t xml:space="preserve"> the user would </w:t>
      </w:r>
      <w:r w:rsidR="00C3730F">
        <w:t xml:space="preserve">be taken to </w:t>
      </w:r>
      <w:r w:rsidR="00F9162B">
        <w:t>a page dedicated to that type of product</w:t>
      </w:r>
      <w:r w:rsidR="0071481F">
        <w:t xml:space="preserve">, </w:t>
      </w:r>
      <w:r w:rsidR="00F9162B">
        <w:t>for example</w:t>
      </w:r>
      <w:r w:rsidR="002734A3">
        <w:t>:</w:t>
      </w:r>
      <w:r w:rsidR="00F9162B">
        <w:t xml:space="preserve"> </w:t>
      </w:r>
      <w:r w:rsidR="00AE5CD6">
        <w:t>“</w:t>
      </w:r>
      <w:r w:rsidR="00F9162B">
        <w:t>New Arrivals</w:t>
      </w:r>
      <w:r w:rsidR="00AE5CD6">
        <w:t>” which showed the latest collection</w:t>
      </w:r>
      <w:r w:rsidR="005C5A81">
        <w:t xml:space="preserve">, </w:t>
      </w:r>
      <w:r w:rsidR="00AE5CD6">
        <w:t>or “</w:t>
      </w:r>
      <w:r w:rsidR="005C5A81">
        <w:t>High Waist</w:t>
      </w:r>
      <w:r w:rsidR="00AE5CD6">
        <w:t>”</w:t>
      </w:r>
      <w:r w:rsidR="00F9162B">
        <w:t xml:space="preserve"> </w:t>
      </w:r>
      <w:r w:rsidR="00AE5CD6">
        <w:t xml:space="preserve">which showed bikinis in a high waisted style </w:t>
      </w:r>
      <w:r w:rsidR="00F9162B">
        <w:t xml:space="preserve">or </w:t>
      </w:r>
      <w:r w:rsidR="00AE5CD6">
        <w:t>“Strapless” which showed strapless bikinis</w:t>
      </w:r>
      <w:r w:rsidR="00F9162B">
        <w:t>.</w:t>
      </w:r>
      <w:r w:rsidR="00FB1E4A">
        <w:t xml:space="preserve">  I infer </w:t>
      </w:r>
      <w:r w:rsidR="0071481F">
        <w:t>that i</w:t>
      </w:r>
      <w:r w:rsidR="005C5A81">
        <w:t>f</w:t>
      </w:r>
      <w:r w:rsidR="007B7B04">
        <w:t xml:space="preserve"> during the relevant period an Australian consumer clicked on:</w:t>
      </w:r>
    </w:p>
    <w:p w:rsidR="00583324" w:rsidRDefault="00583324" w:rsidP="008D7D39">
      <w:pPr>
        <w:pStyle w:val="ListNo1"/>
        <w:numPr>
          <w:ilvl w:val="0"/>
          <w:numId w:val="47"/>
        </w:numPr>
      </w:pPr>
      <w:r>
        <w:t xml:space="preserve">the </w:t>
      </w:r>
      <w:r w:rsidR="00AE5CD6">
        <w:t>“</w:t>
      </w:r>
      <w:r>
        <w:t>View All</w:t>
      </w:r>
      <w:r w:rsidR="00AE5CD6">
        <w:t>”</w:t>
      </w:r>
      <w:r>
        <w:t xml:space="preserve"> button</w:t>
      </w:r>
      <w:r w:rsidR="00D3221E">
        <w:t>,</w:t>
      </w:r>
      <w:r w:rsidR="004156CD">
        <w:t xml:space="preserve"> he or she </w:t>
      </w:r>
      <w:r>
        <w:t>would</w:t>
      </w:r>
      <w:r w:rsidR="00AE5CD6">
        <w:t xml:space="preserve"> have arrived </w:t>
      </w:r>
      <w:r w:rsidR="00FB1E4A">
        <w:t xml:space="preserve">at </w:t>
      </w:r>
      <w:r w:rsidR="0029359A">
        <w:t xml:space="preserve">a </w:t>
      </w:r>
      <w:r w:rsidR="00D91BBA">
        <w:t xml:space="preserve">page with images of </w:t>
      </w:r>
      <w:r>
        <w:t>all of Triangl’s bikini styles,</w:t>
      </w:r>
      <w:r w:rsidR="00AE5CD6">
        <w:t xml:space="preserve"> including </w:t>
      </w:r>
      <w:r>
        <w:t xml:space="preserve">the </w:t>
      </w:r>
      <w:r w:rsidR="00AE6CAD">
        <w:t>Triangl DELPHINE</w:t>
      </w:r>
      <w:r w:rsidR="00702FD1">
        <w:t xml:space="preserve"> </w:t>
      </w:r>
      <w:r>
        <w:t>bikinis; or</w:t>
      </w:r>
    </w:p>
    <w:p w:rsidR="007B7B04" w:rsidRDefault="007B7B04" w:rsidP="008D7D39">
      <w:pPr>
        <w:pStyle w:val="ListNo1"/>
        <w:numPr>
          <w:ilvl w:val="0"/>
          <w:numId w:val="47"/>
        </w:numPr>
      </w:pPr>
      <w:r>
        <w:t xml:space="preserve">the </w:t>
      </w:r>
      <w:r w:rsidR="00AE5CD6">
        <w:t>“</w:t>
      </w:r>
      <w:r w:rsidR="00F9162B">
        <w:t>New Arrivals</w:t>
      </w:r>
      <w:r w:rsidR="00AE5CD6">
        <w:t>”</w:t>
      </w:r>
      <w:r w:rsidR="00F9162B">
        <w:t xml:space="preserve"> button</w:t>
      </w:r>
      <w:r w:rsidR="00D3221E">
        <w:t>,</w:t>
      </w:r>
      <w:r w:rsidR="004156CD">
        <w:t xml:space="preserve"> he or she </w:t>
      </w:r>
      <w:r w:rsidR="00C3730F">
        <w:t>would be</w:t>
      </w:r>
      <w:r w:rsidR="00FB1E4A">
        <w:t xml:space="preserve"> arrive at </w:t>
      </w:r>
      <w:r w:rsidR="004156CD">
        <w:t xml:space="preserve">a page </w:t>
      </w:r>
      <w:r w:rsidR="00D91BBA">
        <w:t xml:space="preserve">with </w:t>
      </w:r>
      <w:r w:rsidR="0071481F">
        <w:t xml:space="preserve">images of </w:t>
      </w:r>
      <w:r w:rsidR="00D91BBA">
        <w:t xml:space="preserve">each </w:t>
      </w:r>
      <w:r w:rsidR="005C5A81">
        <w:t xml:space="preserve">the </w:t>
      </w:r>
      <w:r w:rsidR="00C3730F">
        <w:t>four new bikini styles Triangl was marketing as part of its Spring/Summer 2016 campaign,</w:t>
      </w:r>
      <w:r w:rsidR="00AE5CD6">
        <w:t xml:space="preserve"> including </w:t>
      </w:r>
      <w:r w:rsidR="00C3730F">
        <w:t xml:space="preserve">the </w:t>
      </w:r>
      <w:r w:rsidR="00AE6CAD">
        <w:t>Triangl DELPHINE</w:t>
      </w:r>
      <w:r w:rsidR="00702FD1">
        <w:t xml:space="preserve"> bikinis</w:t>
      </w:r>
      <w:r w:rsidR="00583324">
        <w:t>.</w:t>
      </w:r>
      <w:r w:rsidR="00F9162B">
        <w:t xml:space="preserve"> </w:t>
      </w:r>
    </w:p>
    <w:p w:rsidR="00D91BBA" w:rsidRDefault="004156CD" w:rsidP="00D91BBA">
      <w:pPr>
        <w:pStyle w:val="Heading4"/>
      </w:pPr>
      <w:r>
        <w:t>What</w:t>
      </w:r>
      <w:r w:rsidR="00F37DAC">
        <w:t xml:space="preserve"> is </w:t>
      </w:r>
      <w:r>
        <w:t>likely to</w:t>
      </w:r>
      <w:r w:rsidR="00F37DAC">
        <w:t xml:space="preserve"> have been </w:t>
      </w:r>
      <w:r>
        <w:t xml:space="preserve">shown </w:t>
      </w:r>
      <w:r w:rsidR="008F0AB0">
        <w:t xml:space="preserve">to a consumer using </w:t>
      </w:r>
      <w:r>
        <w:t>the</w:t>
      </w:r>
      <w:r w:rsidR="00D91BBA">
        <w:t xml:space="preserve"> View All button</w:t>
      </w:r>
    </w:p>
    <w:p w:rsidR="007B7B04" w:rsidRDefault="004B4361" w:rsidP="004B4361">
      <w:pPr>
        <w:pStyle w:val="ParaNumbering"/>
        <w:tabs>
          <w:tab w:val="num" w:pos="720"/>
        </w:tabs>
        <w:ind w:left="0"/>
      </w:pPr>
      <w:r>
        <w:t>To understand what</w:t>
      </w:r>
      <w:r w:rsidR="004156CD">
        <w:t xml:space="preserve"> a consumer </w:t>
      </w:r>
      <w:r>
        <w:t xml:space="preserve">is likely to have seen upon clicking the </w:t>
      </w:r>
      <w:r w:rsidR="00AE5CD6">
        <w:t>“</w:t>
      </w:r>
      <w:r>
        <w:t>View All</w:t>
      </w:r>
      <w:r w:rsidR="00AE5CD6">
        <w:t>”</w:t>
      </w:r>
      <w:r w:rsidR="00583324">
        <w:t xml:space="preserve"> button </w:t>
      </w:r>
      <w:r>
        <w:t xml:space="preserve">on the </w:t>
      </w:r>
      <w:r w:rsidR="00B42C4E">
        <w:t xml:space="preserve">TRIANGL </w:t>
      </w:r>
      <w:r>
        <w:t xml:space="preserve">website </w:t>
      </w:r>
      <w:r w:rsidR="00FB1E4A">
        <w:t>during the relevant period</w:t>
      </w:r>
      <w:r w:rsidR="0029359A">
        <w:t>,</w:t>
      </w:r>
      <w:r w:rsidR="00FB1E4A">
        <w:t xml:space="preserve"> </w:t>
      </w:r>
      <w:r>
        <w:t>it</w:t>
      </w:r>
      <w:r w:rsidR="007B7B04">
        <w:t xml:space="preserve"> is necessary to understand </w:t>
      </w:r>
      <w:r w:rsidR="00F9162B">
        <w:t>that Triangl</w:t>
      </w:r>
      <w:r w:rsidR="005C5A81">
        <w:t xml:space="preserve"> marketed and sold many </w:t>
      </w:r>
      <w:r w:rsidR="00F9162B">
        <w:t>different bikini styles</w:t>
      </w:r>
      <w:r w:rsidR="00B42C4E">
        <w:t xml:space="preserve">. </w:t>
      </w:r>
      <w:r w:rsidR="00FB1E4A">
        <w:t xml:space="preserve"> </w:t>
      </w:r>
      <w:r w:rsidR="00DA03AA">
        <w:t>Mr Ellis</w:t>
      </w:r>
      <w:r w:rsidR="00B42C4E">
        <w:t xml:space="preserve"> said and I accept </w:t>
      </w:r>
      <w:r w:rsidR="007B7B04">
        <w:t xml:space="preserve">that in 2016 </w:t>
      </w:r>
      <w:r w:rsidR="00DA03AA">
        <w:t>Triangl</w:t>
      </w:r>
      <w:r w:rsidR="00D91BBA">
        <w:t xml:space="preserve"> had </w:t>
      </w:r>
      <w:r w:rsidR="00DA03AA">
        <w:t>approximately 35 bikini styles.</w:t>
      </w:r>
      <w:r w:rsidR="00AE5CD6">
        <w:t xml:space="preserve">  It is appropriate to </w:t>
      </w:r>
      <w:r w:rsidR="00B42C4E">
        <w:t xml:space="preserve">infer that clicking on the </w:t>
      </w:r>
      <w:r w:rsidR="00AE5CD6">
        <w:t>“</w:t>
      </w:r>
      <w:r w:rsidR="008F0AB0">
        <w:t>View All</w:t>
      </w:r>
      <w:r w:rsidR="00AE5CD6">
        <w:t>”</w:t>
      </w:r>
      <w:r w:rsidR="00B42C4E">
        <w:t xml:space="preserve"> button </w:t>
      </w:r>
      <w:r w:rsidR="008F0AB0">
        <w:t>would</w:t>
      </w:r>
      <w:r w:rsidR="00B42C4E">
        <w:t xml:space="preserve"> take the user to </w:t>
      </w:r>
      <w:r w:rsidR="008F0AB0">
        <w:t xml:space="preserve">images of 35 bikini styles </w:t>
      </w:r>
      <w:r w:rsidR="005E5C64">
        <w:t>which would appear</w:t>
      </w:r>
      <w:r w:rsidR="00AE5CD6">
        <w:t xml:space="preserve"> above </w:t>
      </w:r>
      <w:r w:rsidR="005E5C64">
        <w:t>the</w:t>
      </w:r>
      <w:r w:rsidR="00B42C4E">
        <w:t xml:space="preserve"> </w:t>
      </w:r>
      <w:r w:rsidR="008F0AB0">
        <w:t>style names</w:t>
      </w:r>
      <w:r w:rsidR="005E5C64">
        <w:t xml:space="preserve"> of those bikinis</w:t>
      </w:r>
      <w:r w:rsidR="00B42C4E">
        <w:t>.</w:t>
      </w:r>
      <w:r w:rsidR="00AE5CD6">
        <w:t xml:space="preserve">  The number of bikini styles meant that </w:t>
      </w:r>
      <w:r w:rsidR="008F0AB0">
        <w:t>the</w:t>
      </w:r>
      <w:r w:rsidR="00B42C4E">
        <w:t xml:space="preserve"> user</w:t>
      </w:r>
      <w:r w:rsidR="00AE5CD6">
        <w:t xml:space="preserve"> would be required </w:t>
      </w:r>
      <w:r w:rsidR="008F0AB0">
        <w:t>to scroll through a number of different views to see all</w:t>
      </w:r>
      <w:r w:rsidR="005E5C64">
        <w:t xml:space="preserve"> of</w:t>
      </w:r>
      <w:r w:rsidR="008F0AB0">
        <w:t xml:space="preserve"> the bikini</w:t>
      </w:r>
      <w:r w:rsidR="00C805D3">
        <w:t xml:space="preserve">s, included in which was </w:t>
      </w:r>
      <w:r w:rsidR="00C924E0">
        <w:t xml:space="preserve">the </w:t>
      </w:r>
      <w:r w:rsidR="00AE6CAD">
        <w:t>Triangl DELPHINE</w:t>
      </w:r>
      <w:r w:rsidR="00702FD1">
        <w:t xml:space="preserve"> bikinis</w:t>
      </w:r>
      <w:r w:rsidR="00DA03AA">
        <w:t>.</w:t>
      </w:r>
      <w:r w:rsidR="00717FB9">
        <w:t xml:space="preserve"> </w:t>
      </w:r>
      <w:r w:rsidR="00DA03AA">
        <w:t xml:space="preserve"> </w:t>
      </w:r>
    </w:p>
    <w:p w:rsidR="00D91BBA" w:rsidRDefault="00F37DAC" w:rsidP="00D91BBA">
      <w:pPr>
        <w:pStyle w:val="Heading4"/>
      </w:pPr>
      <w:r>
        <w:t xml:space="preserve">What is likely to have been shown </w:t>
      </w:r>
      <w:r w:rsidR="008F0AB0">
        <w:t xml:space="preserve">to a consumer using </w:t>
      </w:r>
      <w:r>
        <w:t xml:space="preserve">the </w:t>
      </w:r>
      <w:r w:rsidR="00D91BBA">
        <w:t>New Arrivals button</w:t>
      </w:r>
    </w:p>
    <w:p w:rsidR="002A6576" w:rsidRDefault="00D91BBA" w:rsidP="00612AF0">
      <w:pPr>
        <w:pStyle w:val="ParaNumbering"/>
        <w:tabs>
          <w:tab w:val="num" w:pos="720"/>
        </w:tabs>
        <w:ind w:left="0"/>
      </w:pPr>
      <w:r>
        <w:t>For</w:t>
      </w:r>
      <w:r w:rsidR="008F0AB0">
        <w:t xml:space="preserve"> similar </w:t>
      </w:r>
      <w:r>
        <w:t>reasons</w:t>
      </w:r>
      <w:r w:rsidR="005E5C64">
        <w:t>,</w:t>
      </w:r>
      <w:r w:rsidR="008F0AB0">
        <w:t xml:space="preserve"> I </w:t>
      </w:r>
      <w:r w:rsidR="007B52D1">
        <w:t xml:space="preserve">infer that </w:t>
      </w:r>
      <w:r w:rsidR="002A6576">
        <w:t>a</w:t>
      </w:r>
      <w:r w:rsidR="00B42C4E">
        <w:t xml:space="preserve"> user </w:t>
      </w:r>
      <w:r w:rsidR="008F0AB0">
        <w:t xml:space="preserve">that </w:t>
      </w:r>
      <w:r w:rsidR="002A6576">
        <w:t>clicked on</w:t>
      </w:r>
      <w:r w:rsidR="00F1390B">
        <w:t xml:space="preserve"> the </w:t>
      </w:r>
      <w:r w:rsidR="00AE5CD6">
        <w:t>“</w:t>
      </w:r>
      <w:r w:rsidR="00F1390B">
        <w:t>New Arrivals</w:t>
      </w:r>
      <w:r w:rsidR="00AE5CD6">
        <w:t>”</w:t>
      </w:r>
      <w:r w:rsidR="00F1390B">
        <w:t xml:space="preserve"> button</w:t>
      </w:r>
      <w:r w:rsidR="004B4361">
        <w:t xml:space="preserve"> </w:t>
      </w:r>
      <w:r w:rsidR="008F0AB0">
        <w:t xml:space="preserve">during the relevant period </w:t>
      </w:r>
      <w:r w:rsidR="00F1390B">
        <w:t>would arrive at a</w:t>
      </w:r>
      <w:r w:rsidR="00C924E0">
        <w:t xml:space="preserve"> </w:t>
      </w:r>
      <w:r w:rsidR="0071481F">
        <w:t>page</w:t>
      </w:r>
      <w:r w:rsidR="005F7D90">
        <w:t xml:space="preserve"> with </w:t>
      </w:r>
      <w:r w:rsidR="00F1390B">
        <w:t>images of the four new bikini styles Triangl had launched as part of its Spring/Summer 2016 campaign</w:t>
      </w:r>
      <w:r w:rsidR="008F0AB0">
        <w:t xml:space="preserve"> under </w:t>
      </w:r>
      <w:r w:rsidR="00F1390B">
        <w:t xml:space="preserve">their </w:t>
      </w:r>
      <w:r w:rsidR="005F7D90">
        <w:t xml:space="preserve">respective </w:t>
      </w:r>
      <w:r w:rsidR="00F1390B">
        <w:t xml:space="preserve">style names </w:t>
      </w:r>
      <w:r w:rsidR="00F1390B">
        <w:lastRenderedPageBreak/>
        <w:t>PALOMA, LOTTE, BIBI and DELPHINE</w:t>
      </w:r>
      <w:r w:rsidR="002A6576">
        <w:t>.</w:t>
      </w:r>
      <w:r w:rsidR="00B17380">
        <w:t xml:space="preserve">  </w:t>
      </w:r>
      <w:r w:rsidR="005F7D90">
        <w:t>L</w:t>
      </w:r>
      <w:r w:rsidR="00B17380">
        <w:t xml:space="preserve">ike </w:t>
      </w:r>
      <w:r w:rsidR="002A6576">
        <w:t xml:space="preserve">the </w:t>
      </w:r>
      <w:r>
        <w:t>three colour</w:t>
      </w:r>
      <w:r w:rsidR="008F0AB0">
        <w:t xml:space="preserve"> or </w:t>
      </w:r>
      <w:r>
        <w:t xml:space="preserve">pattern variants of the </w:t>
      </w:r>
      <w:r w:rsidR="00AE6CAD">
        <w:t>Triangl DELPHINE</w:t>
      </w:r>
      <w:r w:rsidR="00702FD1">
        <w:t xml:space="preserve"> bikinis</w:t>
      </w:r>
      <w:r w:rsidR="00B17380">
        <w:t>,</w:t>
      </w:r>
      <w:r w:rsidR="002A6576">
        <w:t xml:space="preserve"> the </w:t>
      </w:r>
      <w:r w:rsidR="00B17380">
        <w:t xml:space="preserve">new </w:t>
      </w:r>
      <w:r w:rsidR="002A6576">
        <w:t xml:space="preserve">PALOMA, LOTTE and BIBI </w:t>
      </w:r>
      <w:r w:rsidR="00B17380">
        <w:t xml:space="preserve">bikini </w:t>
      </w:r>
      <w:r w:rsidR="002A6576">
        <w:t xml:space="preserve">styles also had </w:t>
      </w:r>
      <w:r w:rsidR="00853BF5">
        <w:t>colour</w:t>
      </w:r>
      <w:r w:rsidR="008F0AB0">
        <w:t xml:space="preserve"> or </w:t>
      </w:r>
      <w:r w:rsidR="00853BF5">
        <w:t xml:space="preserve">pattern </w:t>
      </w:r>
      <w:r w:rsidR="002A6576">
        <w:t>variants.</w:t>
      </w:r>
      <w:r w:rsidR="004B4361">
        <w:t xml:space="preserve"> </w:t>
      </w:r>
      <w:r w:rsidR="00D3221E">
        <w:t xml:space="preserve"> </w:t>
      </w:r>
      <w:r>
        <w:t>Some of</w:t>
      </w:r>
      <w:r w:rsidR="008F0AB0">
        <w:t xml:space="preserve"> these variants </w:t>
      </w:r>
      <w:r w:rsidR="002A6576">
        <w:t xml:space="preserve">can be seen from </w:t>
      </w:r>
      <w:r w:rsidR="008F0AB0">
        <w:t>T</w:t>
      </w:r>
      <w:r w:rsidR="00702FD1">
        <w:t xml:space="preserve">riangl’s </w:t>
      </w:r>
      <w:r w:rsidR="002A6576">
        <w:t>press pack</w:t>
      </w:r>
      <w:r w:rsidR="00583324">
        <w:t>,</w:t>
      </w:r>
      <w:r w:rsidR="00B17380">
        <w:t xml:space="preserve"> images </w:t>
      </w:r>
      <w:r w:rsidR="00583209">
        <w:t>from</w:t>
      </w:r>
      <w:r w:rsidR="00583324">
        <w:t xml:space="preserve"> which are reproduced below</w:t>
      </w:r>
      <w:r w:rsidR="002A6576">
        <w:t>.</w:t>
      </w:r>
      <w:r w:rsidR="008F0AB0">
        <w:t xml:space="preserve">  </w:t>
      </w:r>
    </w:p>
    <w:p w:rsidR="00FA7119" w:rsidRDefault="00A45165" w:rsidP="00FA7119">
      <w:pPr>
        <w:pStyle w:val="NoNum"/>
        <w:jc w:val="center"/>
      </w:pPr>
      <w:r>
        <w:rPr>
          <w:noProof/>
          <w:lang w:eastAsia="en-AU"/>
        </w:rPr>
        <w:drawing>
          <wp:inline distT="0" distB="0" distL="0" distR="0">
            <wp:extent cx="5238750" cy="7391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6.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7391400"/>
                    </a:xfrm>
                    <a:prstGeom prst="rect">
                      <a:avLst/>
                    </a:prstGeom>
                  </pic:spPr>
                </pic:pic>
              </a:graphicData>
            </a:graphic>
          </wp:inline>
        </w:drawing>
      </w:r>
    </w:p>
    <w:p w:rsidR="00FA7119" w:rsidRDefault="00A45165" w:rsidP="00FA7119">
      <w:pPr>
        <w:pStyle w:val="NoNum"/>
        <w:jc w:val="center"/>
      </w:pPr>
      <w:r>
        <w:rPr>
          <w:noProof/>
          <w:lang w:eastAsia="en-AU"/>
        </w:rPr>
        <w:lastRenderedPageBreak/>
        <w:drawing>
          <wp:inline distT="0" distB="0" distL="0" distR="0">
            <wp:extent cx="4972050" cy="74485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7.jpg"/>
                    <pic:cNvPicPr/>
                  </pic:nvPicPr>
                  <pic:blipFill>
                    <a:blip r:embed="rId20">
                      <a:extLst>
                        <a:ext uri="{28A0092B-C50C-407E-A947-70E740481C1C}">
                          <a14:useLocalDpi xmlns:a14="http://schemas.microsoft.com/office/drawing/2010/main" val="0"/>
                        </a:ext>
                      </a:extLst>
                    </a:blip>
                    <a:stretch>
                      <a:fillRect/>
                    </a:stretch>
                  </pic:blipFill>
                  <pic:spPr>
                    <a:xfrm>
                      <a:off x="0" y="0"/>
                      <a:ext cx="4972050" cy="7448550"/>
                    </a:xfrm>
                    <a:prstGeom prst="rect">
                      <a:avLst/>
                    </a:prstGeom>
                  </pic:spPr>
                </pic:pic>
              </a:graphicData>
            </a:graphic>
          </wp:inline>
        </w:drawing>
      </w:r>
    </w:p>
    <w:p w:rsidR="008F0AB0" w:rsidRDefault="008F0AB0" w:rsidP="00D91BBA">
      <w:pPr>
        <w:pStyle w:val="ParaNumbering"/>
        <w:tabs>
          <w:tab w:val="num" w:pos="720"/>
        </w:tabs>
        <w:ind w:left="0"/>
      </w:pPr>
      <w:r>
        <w:t xml:space="preserve">It is appropriate to infer that a consumer that clicked on the </w:t>
      </w:r>
      <w:r w:rsidR="005F7D90">
        <w:t>“</w:t>
      </w:r>
      <w:r>
        <w:t>New Arrivals</w:t>
      </w:r>
      <w:r w:rsidR="005F7D90">
        <w:t>”</w:t>
      </w:r>
      <w:r>
        <w:t xml:space="preserve"> button on the TRIANGL website during the relevant period would be taken to images of four new TRIANGL bikini styles under their respective style names including the different variants of the new styles.  </w:t>
      </w:r>
      <w:r w:rsidR="005F7D90">
        <w:t xml:space="preserve">The number of bikini styles meant that the user would be </w:t>
      </w:r>
      <w:r w:rsidR="00B17380">
        <w:t xml:space="preserve">required to scroll through </w:t>
      </w:r>
      <w:r w:rsidR="00B17380">
        <w:lastRenderedPageBreak/>
        <w:t xml:space="preserve">several views in order to </w:t>
      </w:r>
      <w:r>
        <w:t xml:space="preserve">see all the </w:t>
      </w:r>
      <w:r w:rsidR="005F7D90">
        <w:t xml:space="preserve">variants of the new collections, including </w:t>
      </w:r>
      <w:r w:rsidR="00B17380">
        <w:t xml:space="preserve">the </w:t>
      </w:r>
      <w:r w:rsidR="00AE6CAD">
        <w:t>Triangl DELPHINE</w:t>
      </w:r>
      <w:r w:rsidR="00702FD1">
        <w:t xml:space="preserve"> bikinis</w:t>
      </w:r>
      <w:r>
        <w:t>.</w:t>
      </w:r>
    </w:p>
    <w:p w:rsidR="00D91BBA" w:rsidRDefault="008F0AB0" w:rsidP="00D91BBA">
      <w:pPr>
        <w:pStyle w:val="ParaNumbering"/>
        <w:tabs>
          <w:tab w:val="num" w:pos="720"/>
        </w:tabs>
        <w:ind w:left="0"/>
      </w:pPr>
      <w:r>
        <w:t xml:space="preserve">Thus, whether </w:t>
      </w:r>
      <w:r w:rsidR="00B17380">
        <w:t xml:space="preserve">during the relevant period </w:t>
      </w:r>
      <w:r w:rsidR="00D91BBA">
        <w:t>a</w:t>
      </w:r>
      <w:r w:rsidR="00B17380">
        <w:t xml:space="preserve"> user </w:t>
      </w:r>
      <w:r w:rsidR="004B4361">
        <w:t xml:space="preserve">clicked on the </w:t>
      </w:r>
      <w:r w:rsidR="005F7D90">
        <w:t>“</w:t>
      </w:r>
      <w:r w:rsidR="004B4361">
        <w:t>View All</w:t>
      </w:r>
      <w:r w:rsidR="005F7D90">
        <w:t>”</w:t>
      </w:r>
      <w:r w:rsidR="004B4361">
        <w:t xml:space="preserve"> or </w:t>
      </w:r>
      <w:r w:rsidR="005F7D90">
        <w:t>“</w:t>
      </w:r>
      <w:r w:rsidR="004B4361">
        <w:t>New Arrivals</w:t>
      </w:r>
      <w:r w:rsidR="005F7D90">
        <w:t>”</w:t>
      </w:r>
      <w:r w:rsidR="004B4361">
        <w:t xml:space="preserve"> button </w:t>
      </w:r>
      <w:r w:rsidR="00583324">
        <w:t xml:space="preserve">on the TRIANGL website </w:t>
      </w:r>
      <w:r>
        <w:t xml:space="preserve">he or she </w:t>
      </w:r>
      <w:r w:rsidR="00583324">
        <w:t>would</w:t>
      </w:r>
      <w:r>
        <w:t xml:space="preserve"> arrive at </w:t>
      </w:r>
      <w:r w:rsidR="00853BF5">
        <w:t>page</w:t>
      </w:r>
      <w:r>
        <w:t>s</w:t>
      </w:r>
      <w:r w:rsidR="00853BF5">
        <w:t xml:space="preserve"> </w:t>
      </w:r>
      <w:r w:rsidR="00583209">
        <w:t xml:space="preserve">carrying </w:t>
      </w:r>
      <w:r w:rsidR="004B4361">
        <w:t xml:space="preserve">images of a variety of </w:t>
      </w:r>
      <w:r w:rsidR="00CB2EFF">
        <w:t xml:space="preserve">TRIANGL </w:t>
      </w:r>
      <w:r w:rsidR="004B4361">
        <w:t>bikini styles</w:t>
      </w:r>
      <w:r>
        <w:t xml:space="preserve"> under </w:t>
      </w:r>
      <w:r w:rsidR="004B4361">
        <w:t>different style name</w:t>
      </w:r>
      <w:r>
        <w:t>s</w:t>
      </w:r>
      <w:r w:rsidR="00B17380">
        <w:t xml:space="preserve">, including </w:t>
      </w:r>
      <w:r w:rsidR="009E3391">
        <w:t xml:space="preserve">the </w:t>
      </w:r>
      <w:r w:rsidR="00AE6CAD">
        <w:t>Triangl DELPHINE</w:t>
      </w:r>
      <w:r w:rsidR="00702FD1">
        <w:t xml:space="preserve"> bikinis</w:t>
      </w:r>
      <w:r w:rsidR="004B4361">
        <w:t xml:space="preserve">.  </w:t>
      </w:r>
      <w:r w:rsidR="00F37DAC">
        <w:t>Then,</w:t>
      </w:r>
      <w:r w:rsidR="009E3391">
        <w:t xml:space="preserve"> if the consumer clicked on an image of those bikinis he or she would be taken </w:t>
      </w:r>
      <w:r w:rsidR="00F37DAC">
        <w:t xml:space="preserve">to </w:t>
      </w:r>
      <w:r w:rsidR="009E3391">
        <w:t xml:space="preserve">the images to </w:t>
      </w:r>
      <w:r w:rsidR="00F37DAC">
        <w:t>which Ms Lambrianidis referred.</w:t>
      </w:r>
      <w:r w:rsidR="00F37DAC" w:rsidRPr="0093450A">
        <w:t xml:space="preserve"> </w:t>
      </w:r>
      <w:r w:rsidR="009E3391">
        <w:t xml:space="preserve"> </w:t>
      </w:r>
    </w:p>
    <w:p w:rsidR="005D189E" w:rsidRDefault="00BB6BE6" w:rsidP="00D344C9">
      <w:pPr>
        <w:pStyle w:val="Heading3"/>
        <w:rPr>
          <w:rStyle w:val="PageNumber"/>
        </w:rPr>
      </w:pPr>
      <w:r>
        <w:t xml:space="preserve">The </w:t>
      </w:r>
      <w:r w:rsidR="00641889">
        <w:t>use of</w:t>
      </w:r>
      <w:r w:rsidR="00D510C8">
        <w:t xml:space="preserve"> </w:t>
      </w:r>
      <w:r w:rsidR="00641889">
        <w:t>DELPHINE</w:t>
      </w:r>
      <w:r w:rsidR="00641889" w:rsidRPr="00641889">
        <w:t xml:space="preserve"> </w:t>
      </w:r>
      <w:r w:rsidR="00641889">
        <w:t xml:space="preserve">on </w:t>
      </w:r>
      <w:r>
        <w:t>the</w:t>
      </w:r>
      <w:r w:rsidR="00641889">
        <w:t xml:space="preserve"> EDMs</w:t>
      </w:r>
    </w:p>
    <w:p w:rsidR="00A92B4A" w:rsidRDefault="008F0AB0" w:rsidP="00B81E69">
      <w:pPr>
        <w:pStyle w:val="ParaNumbering"/>
        <w:tabs>
          <w:tab w:val="num" w:pos="720"/>
        </w:tabs>
        <w:ind w:left="0"/>
      </w:pPr>
      <w:r>
        <w:t xml:space="preserve">It is uncontroversial that in </w:t>
      </w:r>
      <w:r w:rsidR="005D189E" w:rsidRPr="00330881">
        <w:rPr>
          <w:rStyle w:val="PageNumber"/>
        </w:rPr>
        <w:t>the</w:t>
      </w:r>
      <w:r w:rsidR="00D344C9">
        <w:rPr>
          <w:rStyle w:val="PageNumber"/>
        </w:rPr>
        <w:t xml:space="preserve"> relevant period Triangl sent </w:t>
      </w:r>
      <w:r w:rsidR="005D189E" w:rsidRPr="00330881">
        <w:rPr>
          <w:rStyle w:val="PageNumber"/>
        </w:rPr>
        <w:t>three EDMs</w:t>
      </w:r>
      <w:r w:rsidR="00D344C9">
        <w:rPr>
          <w:rStyle w:val="PageNumber"/>
        </w:rPr>
        <w:t xml:space="preserve"> to persons </w:t>
      </w:r>
      <w:r w:rsidR="005D189E" w:rsidRPr="00330881">
        <w:rPr>
          <w:rStyle w:val="PageNumber"/>
        </w:rPr>
        <w:t>who had signed up</w:t>
      </w:r>
      <w:r w:rsidR="00D344C9">
        <w:rPr>
          <w:rStyle w:val="PageNumber"/>
        </w:rPr>
        <w:t xml:space="preserve"> on its website</w:t>
      </w:r>
      <w:r w:rsidR="005D189E" w:rsidRPr="00330881">
        <w:rPr>
          <w:rStyle w:val="PageNumber"/>
        </w:rPr>
        <w:t xml:space="preserve"> to receive such marketing.</w:t>
      </w:r>
      <w:r w:rsidR="007E6DF0">
        <w:rPr>
          <w:rStyle w:val="PageNumber"/>
        </w:rPr>
        <w:t xml:space="preserve"> </w:t>
      </w:r>
      <w:r w:rsidR="005D189E" w:rsidRPr="00330881">
        <w:rPr>
          <w:rStyle w:val="PageNumber"/>
        </w:rPr>
        <w:t xml:space="preserve"> Copies of the EDMs were annexed to the affidavits of Ms Lambrianidis, Mr Petale</w:t>
      </w:r>
      <w:r w:rsidR="007E6DF0">
        <w:rPr>
          <w:rStyle w:val="PageNumber"/>
        </w:rPr>
        <w:t>, Mr Bucoy</w:t>
      </w:r>
      <w:r w:rsidR="005D189E" w:rsidRPr="00330881">
        <w:rPr>
          <w:rStyle w:val="PageNumber"/>
        </w:rPr>
        <w:t xml:space="preserve"> and Mr Ellis</w:t>
      </w:r>
      <w:r w:rsidR="008118D9">
        <w:rPr>
          <w:rStyle w:val="PageNumber"/>
        </w:rPr>
        <w:t>,</w:t>
      </w:r>
      <w:r w:rsidR="00D344C9">
        <w:rPr>
          <w:rStyle w:val="PageNumber"/>
        </w:rPr>
        <w:t xml:space="preserve"> </w:t>
      </w:r>
      <w:r>
        <w:rPr>
          <w:rStyle w:val="PageNumber"/>
        </w:rPr>
        <w:t xml:space="preserve">images from </w:t>
      </w:r>
      <w:r w:rsidR="00D344C9">
        <w:rPr>
          <w:rStyle w:val="PageNumber"/>
        </w:rPr>
        <w:t>which I reproduce below</w:t>
      </w:r>
      <w:r w:rsidR="005F7D90">
        <w:rPr>
          <w:rStyle w:val="PageNumber"/>
        </w:rPr>
        <w:t xml:space="preserve">.  It is though necessary to keep </w:t>
      </w:r>
      <w:r w:rsidR="005D0662">
        <w:t>in mind that</w:t>
      </w:r>
      <w:r w:rsidR="00D344C9">
        <w:t xml:space="preserve"> </w:t>
      </w:r>
      <w:r>
        <w:t xml:space="preserve">the EDMs </w:t>
      </w:r>
      <w:r w:rsidR="00D344C9">
        <w:t xml:space="preserve">would have been </w:t>
      </w:r>
      <w:r w:rsidR="005D0662">
        <w:t xml:space="preserve">viewed </w:t>
      </w:r>
      <w:r w:rsidR="00583209">
        <w:t>by</w:t>
      </w:r>
      <w:r w:rsidR="00D344C9">
        <w:t xml:space="preserve"> consumers </w:t>
      </w:r>
      <w:r w:rsidR="005D0662">
        <w:t xml:space="preserve">as </w:t>
      </w:r>
      <w:r w:rsidR="00D344C9">
        <w:t xml:space="preserve">an </w:t>
      </w:r>
      <w:r w:rsidR="005D0662">
        <w:t xml:space="preserve">attachment to </w:t>
      </w:r>
      <w:r w:rsidR="00D344C9">
        <w:t xml:space="preserve">an </w:t>
      </w:r>
      <w:r w:rsidR="005D0662">
        <w:t>email.</w:t>
      </w:r>
      <w:r w:rsidR="007E6DF0" w:rsidRPr="007E6DF0">
        <w:t xml:space="preserve"> </w:t>
      </w:r>
    </w:p>
    <w:p w:rsidR="005D0662" w:rsidRDefault="008C46E4" w:rsidP="00D11520">
      <w:pPr>
        <w:pStyle w:val="ParaNumbering"/>
        <w:pageBreakBefore/>
        <w:tabs>
          <w:tab w:val="num" w:pos="720"/>
        </w:tabs>
        <w:ind w:left="0"/>
      </w:pPr>
      <w:r>
        <w:lastRenderedPageBreak/>
        <w:t xml:space="preserve">Reproduced below </w:t>
      </w:r>
      <w:r w:rsidR="005F7D90">
        <w:t xml:space="preserve">is an </w:t>
      </w:r>
      <w:r w:rsidR="00D344C9">
        <w:t xml:space="preserve">image </w:t>
      </w:r>
      <w:r w:rsidR="00E17C83">
        <w:t xml:space="preserve">of </w:t>
      </w:r>
      <w:r w:rsidR="00D344C9">
        <w:t xml:space="preserve">the </w:t>
      </w:r>
      <w:r w:rsidR="005D0662">
        <w:t>first EDM</w:t>
      </w:r>
      <w:r>
        <w:t xml:space="preserve">.  It carries a prominent TRIANGL brand, centred at the top of the page, above an image of a model wearing a </w:t>
      </w:r>
      <w:r w:rsidR="009B4BBC">
        <w:t xml:space="preserve">Triangl DELPHINE </w:t>
      </w:r>
      <w:r>
        <w:t>bikini, above images of the three</w:t>
      </w:r>
      <w:r w:rsidR="00395D14">
        <w:t xml:space="preserve"> </w:t>
      </w:r>
      <w:r w:rsidR="00AE6CAD">
        <w:t>Triangl DELPHINE</w:t>
      </w:r>
      <w:r w:rsidR="00395D14">
        <w:t xml:space="preserve"> bikini styles, </w:t>
      </w:r>
      <w:r w:rsidR="00C947C7">
        <w:t>followed by the name DELPHINE</w:t>
      </w:r>
      <w:r w:rsidR="00A05E09">
        <w:t xml:space="preserve"> in a smaller and less </w:t>
      </w:r>
      <w:r w:rsidR="00C947C7">
        <w:t xml:space="preserve">prominent </w:t>
      </w:r>
      <w:r w:rsidR="00A05E09">
        <w:t xml:space="preserve">font </w:t>
      </w:r>
      <w:r w:rsidR="00C947C7">
        <w:t xml:space="preserve">than TRIANGL, above the words SUMMERTIME FLORALS in </w:t>
      </w:r>
      <w:r w:rsidR="00A05E09">
        <w:t xml:space="preserve">again </w:t>
      </w:r>
      <w:r w:rsidR="00C947C7">
        <w:t>smaller font</w:t>
      </w:r>
      <w:r w:rsidR="00A05E09">
        <w:t>, and above</w:t>
      </w:r>
      <w:r w:rsidR="00C947C7">
        <w:t xml:space="preserve"> a SHOP NOW button over the </w:t>
      </w:r>
      <w:r w:rsidR="00A05E09">
        <w:t>name</w:t>
      </w:r>
      <w:r w:rsidR="00C947C7">
        <w:t xml:space="preserve"> </w:t>
      </w:r>
      <w:r w:rsidR="00AE6CAD">
        <w:t xml:space="preserve">of the website </w:t>
      </w:r>
      <w:r w:rsidR="00A05E09">
        <w:t xml:space="preserve">TRIANGL.COM </w:t>
      </w:r>
      <w:r w:rsidR="00C947C7">
        <w:t>in again smaller font</w:t>
      </w:r>
      <w:r w:rsidR="00CF7F02">
        <w:t>.  It is unnecessary to show the image of the model and I have redacted it.</w:t>
      </w:r>
    </w:p>
    <w:p w:rsidR="00FA7119" w:rsidRDefault="00241976" w:rsidP="00AE6CAD">
      <w:pPr>
        <w:pStyle w:val="NoNum"/>
        <w:jc w:val="center"/>
      </w:pPr>
      <w:r>
        <w:rPr>
          <w:noProof/>
          <w:lang w:eastAsia="en-AU"/>
        </w:rPr>
        <w:drawing>
          <wp:inline distT="0" distB="0" distL="0" distR="0" wp14:anchorId="3AA95638" wp14:editId="17F3534B">
            <wp:extent cx="3500846" cy="5409488"/>
            <wp:effectExtent l="0" t="0" r="444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nacle_Page_1.jpg"/>
                    <pic:cNvPicPr/>
                  </pic:nvPicPr>
                  <pic:blipFill>
                    <a:blip r:embed="rId21">
                      <a:extLst>
                        <a:ext uri="{28A0092B-C50C-407E-A947-70E740481C1C}">
                          <a14:useLocalDpi xmlns:a14="http://schemas.microsoft.com/office/drawing/2010/main" val="0"/>
                        </a:ext>
                      </a:extLst>
                    </a:blip>
                    <a:stretch>
                      <a:fillRect/>
                    </a:stretch>
                  </pic:blipFill>
                  <pic:spPr>
                    <a:xfrm>
                      <a:off x="0" y="0"/>
                      <a:ext cx="3500846" cy="5409488"/>
                    </a:xfrm>
                    <a:prstGeom prst="rect">
                      <a:avLst/>
                    </a:prstGeom>
                  </pic:spPr>
                </pic:pic>
              </a:graphicData>
            </a:graphic>
          </wp:inline>
        </w:drawing>
      </w:r>
    </w:p>
    <w:p w:rsidR="005D0662" w:rsidRDefault="00C947C7" w:rsidP="00D11520">
      <w:pPr>
        <w:pStyle w:val="ParaNumbering"/>
        <w:pageBreakBefore/>
        <w:tabs>
          <w:tab w:val="num" w:pos="720"/>
        </w:tabs>
        <w:ind w:left="0"/>
      </w:pPr>
      <w:r>
        <w:lastRenderedPageBreak/>
        <w:t xml:space="preserve">Reproduced below </w:t>
      </w:r>
      <w:r w:rsidR="005F7D90">
        <w:t xml:space="preserve">is an </w:t>
      </w:r>
      <w:r w:rsidR="00D344C9">
        <w:t xml:space="preserve">image </w:t>
      </w:r>
      <w:r w:rsidR="00E17C83">
        <w:t xml:space="preserve">of </w:t>
      </w:r>
      <w:r w:rsidR="00D344C9">
        <w:t xml:space="preserve">the </w:t>
      </w:r>
      <w:r w:rsidR="005D0662">
        <w:t>second EDM</w:t>
      </w:r>
      <w:r w:rsidR="004938DB">
        <w:t>.</w:t>
      </w:r>
      <w:r w:rsidR="00D77554" w:rsidRPr="00D77554">
        <w:t xml:space="preserve"> </w:t>
      </w:r>
      <w:r>
        <w:t xml:space="preserve">It carries a prominent TRIANGL brand, centred at the top of the page, above an image of two models wearing </w:t>
      </w:r>
      <w:r w:rsidR="009B4BBC">
        <w:t xml:space="preserve">two different Triangl DELPHINE </w:t>
      </w:r>
      <w:r>
        <w:t>bikini</w:t>
      </w:r>
      <w:r w:rsidR="009B4BBC">
        <w:t xml:space="preserve"> styles</w:t>
      </w:r>
      <w:r>
        <w:t xml:space="preserve">, above images of two </w:t>
      </w:r>
      <w:r w:rsidR="00AE6CAD">
        <w:t xml:space="preserve">Triangl </w:t>
      </w:r>
      <w:r>
        <w:t>bikini styles, followed by the names PALOMA</w:t>
      </w:r>
      <w:r w:rsidR="00A05E09">
        <w:t xml:space="preserve"> &amp; </w:t>
      </w:r>
      <w:r>
        <w:t>DELPHINE</w:t>
      </w:r>
      <w:r w:rsidR="00A05E09">
        <w:t xml:space="preserve"> in smaller and less prominent font </w:t>
      </w:r>
      <w:r>
        <w:t xml:space="preserve">than TRIANGL, </w:t>
      </w:r>
      <w:r w:rsidR="00A05E09">
        <w:t>above</w:t>
      </w:r>
      <w:r>
        <w:t xml:space="preserve"> a SHOP NOW button over the </w:t>
      </w:r>
      <w:r w:rsidR="00A05E09">
        <w:t>name</w:t>
      </w:r>
      <w:r>
        <w:t xml:space="preserve"> </w:t>
      </w:r>
      <w:r w:rsidR="00AE6CAD">
        <w:t xml:space="preserve">of the website </w:t>
      </w:r>
      <w:r w:rsidR="00A05E09">
        <w:t xml:space="preserve">TRIANGL.COM </w:t>
      </w:r>
      <w:r>
        <w:t>in again smaller font</w:t>
      </w:r>
      <w:r w:rsidR="00CF7F02">
        <w:t>.</w:t>
      </w:r>
      <w:r>
        <w:t xml:space="preserve"> </w:t>
      </w:r>
      <w:r w:rsidR="00CF7F02">
        <w:t xml:space="preserve"> I have </w:t>
      </w:r>
      <w:r w:rsidR="009B4BBC">
        <w:t xml:space="preserve">again </w:t>
      </w:r>
      <w:r w:rsidR="00CF7F02">
        <w:t>redacted the image of the models.</w:t>
      </w:r>
    </w:p>
    <w:p w:rsidR="00FA7119" w:rsidRDefault="00241976" w:rsidP="002B1B74">
      <w:pPr>
        <w:pStyle w:val="NoNum"/>
        <w:jc w:val="center"/>
        <w:rPr>
          <w:highlight w:val="yellow"/>
        </w:rPr>
      </w:pPr>
      <w:r>
        <w:rPr>
          <w:noProof/>
          <w:lang w:eastAsia="en-AU"/>
        </w:rPr>
        <w:drawing>
          <wp:inline distT="0" distB="0" distL="0" distR="0" wp14:anchorId="04DCF4DE" wp14:editId="38B8C3B6">
            <wp:extent cx="3362036" cy="65208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nacle_Page_2.jpg"/>
                    <pic:cNvPicPr/>
                  </pic:nvPicPr>
                  <pic:blipFill>
                    <a:blip r:embed="rId22">
                      <a:extLst>
                        <a:ext uri="{28A0092B-C50C-407E-A947-70E740481C1C}">
                          <a14:useLocalDpi xmlns:a14="http://schemas.microsoft.com/office/drawing/2010/main" val="0"/>
                        </a:ext>
                      </a:extLst>
                    </a:blip>
                    <a:stretch>
                      <a:fillRect/>
                    </a:stretch>
                  </pic:blipFill>
                  <pic:spPr>
                    <a:xfrm>
                      <a:off x="0" y="0"/>
                      <a:ext cx="3362036" cy="6520873"/>
                    </a:xfrm>
                    <a:prstGeom prst="rect">
                      <a:avLst/>
                    </a:prstGeom>
                  </pic:spPr>
                </pic:pic>
              </a:graphicData>
            </a:graphic>
          </wp:inline>
        </w:drawing>
      </w:r>
    </w:p>
    <w:p w:rsidR="00A05E09" w:rsidRDefault="00A05E09" w:rsidP="00D11520">
      <w:pPr>
        <w:pStyle w:val="ParaNumbering"/>
        <w:pageBreakBefore/>
        <w:tabs>
          <w:tab w:val="num" w:pos="720"/>
        </w:tabs>
        <w:ind w:left="0"/>
      </w:pPr>
      <w:r>
        <w:lastRenderedPageBreak/>
        <w:t xml:space="preserve">Reproduced below </w:t>
      </w:r>
      <w:r w:rsidR="005F7D90">
        <w:t xml:space="preserve">is an </w:t>
      </w:r>
      <w:r w:rsidR="00D344C9">
        <w:t xml:space="preserve">image </w:t>
      </w:r>
      <w:r w:rsidR="00E17C83">
        <w:t xml:space="preserve">of </w:t>
      </w:r>
      <w:r w:rsidR="00D344C9">
        <w:t xml:space="preserve">the </w:t>
      </w:r>
      <w:r w:rsidR="005D0662">
        <w:t>third EDM</w:t>
      </w:r>
      <w:r>
        <w:t xml:space="preserve">. It also carries a prominent TRIANGL brand, centred at the top of the page, above an image of a model wearing a </w:t>
      </w:r>
      <w:r w:rsidR="009B4BBC">
        <w:t xml:space="preserve">Triangl DELPHINE </w:t>
      </w:r>
      <w:r>
        <w:t>bikini, above the words AMBER FLORALS in the next largest font, followed by the name THE DELPHINE</w:t>
      </w:r>
      <w:r w:rsidR="000604F0">
        <w:t xml:space="preserve"> </w:t>
      </w:r>
      <w:r>
        <w:t xml:space="preserve">- FIORE GALLO in smaller font, above an image of the bikini that the model is wearing.  Below that appears an image of three pattern variants of the same bikini, above a SHOP NOW button over the name </w:t>
      </w:r>
      <w:r w:rsidR="00AE6CAD">
        <w:t xml:space="preserve">of the website </w:t>
      </w:r>
      <w:r>
        <w:t>TRIANGL.COM in again smaller font.</w:t>
      </w:r>
      <w:r w:rsidR="00CF7F02">
        <w:t xml:space="preserve"> </w:t>
      </w:r>
      <w:r w:rsidR="004938DB">
        <w:t xml:space="preserve"> </w:t>
      </w:r>
      <w:r w:rsidR="00CF7F02">
        <w:t>Again, I have redacted the image of the model.</w:t>
      </w:r>
    </w:p>
    <w:p w:rsidR="00FA7119" w:rsidRDefault="00241976" w:rsidP="002B1B74">
      <w:pPr>
        <w:pStyle w:val="NoNum"/>
        <w:jc w:val="center"/>
      </w:pPr>
      <w:r>
        <w:rPr>
          <w:noProof/>
          <w:lang w:eastAsia="en-AU"/>
        </w:rPr>
        <w:drawing>
          <wp:inline distT="0" distB="0" distL="0" distR="0" wp14:anchorId="6B4B1121" wp14:editId="156C9C19">
            <wp:extent cx="2261601" cy="6840187"/>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nnacle_Page_3.jpg"/>
                    <pic:cNvPicPr/>
                  </pic:nvPicPr>
                  <pic:blipFill>
                    <a:blip r:embed="rId23">
                      <a:extLst>
                        <a:ext uri="{28A0092B-C50C-407E-A947-70E740481C1C}">
                          <a14:useLocalDpi xmlns:a14="http://schemas.microsoft.com/office/drawing/2010/main" val="0"/>
                        </a:ext>
                      </a:extLst>
                    </a:blip>
                    <a:stretch>
                      <a:fillRect/>
                    </a:stretch>
                  </pic:blipFill>
                  <pic:spPr>
                    <a:xfrm>
                      <a:off x="0" y="0"/>
                      <a:ext cx="2267029" cy="6856604"/>
                    </a:xfrm>
                    <a:prstGeom prst="rect">
                      <a:avLst/>
                    </a:prstGeom>
                  </pic:spPr>
                </pic:pic>
              </a:graphicData>
            </a:graphic>
          </wp:inline>
        </w:drawing>
      </w:r>
    </w:p>
    <w:p w:rsidR="004B1791" w:rsidRDefault="004B1791" w:rsidP="004B1791">
      <w:pPr>
        <w:pStyle w:val="Heading2"/>
      </w:pPr>
      <w:r>
        <w:lastRenderedPageBreak/>
        <w:t>Pinnacle</w:t>
      </w:r>
      <w:r w:rsidR="00AF64C2">
        <w:t>’s</w:t>
      </w:r>
      <w:r w:rsidR="005F1A1C">
        <w:t xml:space="preserve"> letter of demand </w:t>
      </w:r>
      <w:r w:rsidR="008118D9">
        <w:t>and the filing of the proceeding</w:t>
      </w:r>
    </w:p>
    <w:p w:rsidR="004B1791" w:rsidRDefault="004B1791" w:rsidP="004B1791">
      <w:pPr>
        <w:pStyle w:val="ParaNumbering"/>
        <w:tabs>
          <w:tab w:val="num" w:pos="720"/>
        </w:tabs>
        <w:ind w:left="0"/>
      </w:pPr>
      <w:r>
        <w:t xml:space="preserve">On 16 May 2016 </w:t>
      </w:r>
      <w:r w:rsidR="00D344C9">
        <w:t xml:space="preserve">Pinnacle’s solicitors, </w:t>
      </w:r>
      <w:r>
        <w:t>Actuate IP</w:t>
      </w:r>
      <w:r w:rsidR="00D344C9">
        <w:t>,</w:t>
      </w:r>
      <w:r w:rsidR="00E77C3D">
        <w:t xml:space="preserve"> sent </w:t>
      </w:r>
      <w:r>
        <w:t>a letter of demand to Triang</w:t>
      </w:r>
      <w:r w:rsidR="00E77C3D">
        <w:t>l asserting</w:t>
      </w:r>
      <w:r>
        <w:t xml:space="preserve"> that</w:t>
      </w:r>
      <w:r w:rsidR="00C97BF0">
        <w:t xml:space="preserve"> it </w:t>
      </w:r>
      <w:r>
        <w:t>was selling a range of swimwear online by reference to the name DELPHINE.</w:t>
      </w:r>
      <w:r w:rsidR="00E77C3D">
        <w:t xml:space="preserve">  The letter</w:t>
      </w:r>
      <w:r w:rsidR="00AF64C2">
        <w:t xml:space="preserve"> stated </w:t>
      </w:r>
      <w:r>
        <w:t xml:space="preserve">that Pinnacle owned the </w:t>
      </w:r>
      <w:r w:rsidR="00D344C9">
        <w:t xml:space="preserve">registered </w:t>
      </w:r>
      <w:r>
        <w:t xml:space="preserve">DELPHINE </w:t>
      </w:r>
      <w:r w:rsidR="00D3221E">
        <w:t>Trade M</w:t>
      </w:r>
      <w:r w:rsidR="00D344C9">
        <w:t>ark</w:t>
      </w:r>
      <w:r>
        <w:t>, which covered swimwear, and it enclosed</w:t>
      </w:r>
      <w:r w:rsidR="00D344C9">
        <w:t xml:space="preserve"> copies of pages from </w:t>
      </w:r>
      <w:r>
        <w:t xml:space="preserve">the </w:t>
      </w:r>
      <w:r w:rsidR="00FC0158">
        <w:t xml:space="preserve">TRIANGL </w:t>
      </w:r>
      <w:r>
        <w:t>website</w:t>
      </w:r>
      <w:r w:rsidR="00D77554">
        <w:t>,</w:t>
      </w:r>
      <w:r>
        <w:t xml:space="preserve"> the EDM</w:t>
      </w:r>
      <w:r w:rsidR="00FC0158">
        <w:t>s</w:t>
      </w:r>
      <w:r w:rsidR="00D77554">
        <w:t xml:space="preserve">, and </w:t>
      </w:r>
      <w:r w:rsidR="00D344C9">
        <w:t xml:space="preserve">the TRIANGL </w:t>
      </w:r>
      <w:r w:rsidR="00D77554">
        <w:t>Facebook and Instagram accounts</w:t>
      </w:r>
      <w:r w:rsidR="00D344C9">
        <w:t xml:space="preserve"> which showed</w:t>
      </w:r>
      <w:r w:rsidR="00522FE4">
        <w:t xml:space="preserve"> Triangl’s </w:t>
      </w:r>
      <w:r w:rsidR="00D344C9">
        <w:t>use of</w:t>
      </w:r>
      <w:r w:rsidR="00522FE4">
        <w:t xml:space="preserve"> DELPHINE in relation to its bikinis</w:t>
      </w:r>
      <w:r w:rsidR="00D77554">
        <w:t>.</w:t>
      </w:r>
      <w:r w:rsidR="002769DD">
        <w:t xml:space="preserve"> </w:t>
      </w:r>
      <w:r w:rsidR="00D77554">
        <w:t xml:space="preserve"> </w:t>
      </w:r>
      <w:r w:rsidR="00522FE4">
        <w:t xml:space="preserve">Pinnacle </w:t>
      </w:r>
      <w:r w:rsidR="00C97BF0">
        <w:t xml:space="preserve">alleged </w:t>
      </w:r>
      <w:r w:rsidR="00D77554">
        <w:t xml:space="preserve">that Triangl’s marketing </w:t>
      </w:r>
      <w:r>
        <w:t>constituted</w:t>
      </w:r>
      <w:r w:rsidR="00522FE4">
        <w:t xml:space="preserve"> trade mark </w:t>
      </w:r>
      <w:r>
        <w:t>infringement, misleading or deceptive conduct and passing off.</w:t>
      </w:r>
      <w:r w:rsidR="00D77554" w:rsidRPr="00D77554">
        <w:t xml:space="preserve"> </w:t>
      </w:r>
    </w:p>
    <w:p w:rsidR="001954A5" w:rsidRDefault="00AF64C2" w:rsidP="00616CB4">
      <w:pPr>
        <w:pStyle w:val="ParaNumbering"/>
        <w:tabs>
          <w:tab w:val="num" w:pos="720"/>
        </w:tabs>
        <w:ind w:left="0"/>
      </w:pPr>
      <w:r>
        <w:t xml:space="preserve">Pinnacle’s solicitors </w:t>
      </w:r>
      <w:r w:rsidR="004B1791">
        <w:t>demanded that Triangl</w:t>
      </w:r>
      <w:r w:rsidR="00616CB4">
        <w:t xml:space="preserve"> </w:t>
      </w:r>
      <w:r w:rsidR="004B1791">
        <w:t>immediately cease any manufacture, importation, advertisement</w:t>
      </w:r>
      <w:r w:rsidR="00D3221E">
        <w:t>,</w:t>
      </w:r>
      <w:r w:rsidR="004B1791">
        <w:t xml:space="preserve"> promotion or sale of any products under or by reference to the DELPHINE Trade Mark</w:t>
      </w:r>
      <w:r w:rsidR="00D3221E">
        <w:t>,</w:t>
      </w:r>
      <w:r w:rsidR="004B1791">
        <w:t xml:space="preserve"> </w:t>
      </w:r>
      <w:r w:rsidR="00D3221E">
        <w:t xml:space="preserve">that Triangl </w:t>
      </w:r>
      <w:r w:rsidR="004B1791">
        <w:t>execute an enc</w:t>
      </w:r>
      <w:r w:rsidR="00616CB4">
        <w:t>losed deed of undertaking</w:t>
      </w:r>
      <w:r w:rsidR="00D3221E">
        <w:t>,</w:t>
      </w:r>
      <w:r w:rsidR="00616CB4">
        <w:t xml:space="preserve"> and </w:t>
      </w:r>
      <w:r w:rsidR="00D3221E">
        <w:t xml:space="preserve">that </w:t>
      </w:r>
      <w:r w:rsidR="004B1791">
        <w:t xml:space="preserve">upon provision of </w:t>
      </w:r>
      <w:r w:rsidR="00616CB4">
        <w:t xml:space="preserve">financial and other </w:t>
      </w:r>
      <w:r w:rsidR="004B1791">
        <w:t>information required</w:t>
      </w:r>
      <w:r w:rsidR="00616CB4">
        <w:t xml:space="preserve"> under </w:t>
      </w:r>
      <w:r w:rsidR="004B1791">
        <w:t>the deed, to pay compensation to Pinnacle.  The deed of un</w:t>
      </w:r>
      <w:r w:rsidR="00616CB4">
        <w:t xml:space="preserve">dertaking required that Triangl: </w:t>
      </w:r>
    </w:p>
    <w:p w:rsidR="001954A5" w:rsidRDefault="00616CB4" w:rsidP="008D7D39">
      <w:pPr>
        <w:pStyle w:val="ListNo1"/>
        <w:numPr>
          <w:ilvl w:val="0"/>
          <w:numId w:val="46"/>
        </w:numPr>
      </w:pPr>
      <w:r>
        <w:t>immediately cease and permanently refrain</w:t>
      </w:r>
      <w:r w:rsidRPr="00616CB4">
        <w:t xml:space="preserve"> </w:t>
      </w:r>
      <w:r>
        <w:t>from infringing Pinnacle’s intellectual property rights;</w:t>
      </w:r>
      <w:r w:rsidR="009D28EB" w:rsidRPr="009D28EB">
        <w:t xml:space="preserve"> </w:t>
      </w:r>
      <w:r>
        <w:t xml:space="preserve"> </w:t>
      </w:r>
    </w:p>
    <w:p w:rsidR="001954A5" w:rsidRDefault="00616CB4" w:rsidP="00D917F4">
      <w:pPr>
        <w:pStyle w:val="ListNo1"/>
        <w:numPr>
          <w:ilvl w:val="0"/>
          <w:numId w:val="62"/>
        </w:numPr>
      </w:pPr>
      <w:bookmarkStart w:id="22" w:name="_GoBack"/>
      <w:bookmarkEnd w:id="22"/>
      <w:r>
        <w:t>not use or authorise the use of the name DELPHINE</w:t>
      </w:r>
      <w:r w:rsidRPr="007E0A03">
        <w:t xml:space="preserve"> </w:t>
      </w:r>
      <w:r>
        <w:t>or any trade mark that is substantially identical or deceptively similar to the</w:t>
      </w:r>
      <w:r w:rsidRPr="007E0A03">
        <w:t xml:space="preserve"> </w:t>
      </w:r>
      <w:r>
        <w:t>DELPHINE</w:t>
      </w:r>
      <w:r w:rsidRPr="007E0A03">
        <w:t xml:space="preserve"> </w:t>
      </w:r>
      <w:r>
        <w:t>Trade Mark;</w:t>
      </w:r>
      <w:r w:rsidR="009D28EB" w:rsidRPr="009D28EB">
        <w:t xml:space="preserve">  </w:t>
      </w:r>
    </w:p>
    <w:p w:rsidR="001954A5" w:rsidRDefault="00616CB4" w:rsidP="00D917F4">
      <w:pPr>
        <w:pStyle w:val="ListNo1"/>
        <w:numPr>
          <w:ilvl w:val="0"/>
          <w:numId w:val="62"/>
        </w:numPr>
      </w:pPr>
      <w:r>
        <w:t>immediately cease and permanently refrain from manufacturing, importing, advertising, promoting, selling or otherwise dealing with any goods identical to or similar to the registered goods of the</w:t>
      </w:r>
      <w:r w:rsidRPr="007E0A03">
        <w:t xml:space="preserve"> </w:t>
      </w:r>
      <w:r>
        <w:t>DELPHINE Trade Mark or which bear the name</w:t>
      </w:r>
      <w:r w:rsidRPr="007E0A03">
        <w:t xml:space="preserve"> </w:t>
      </w:r>
      <w:r>
        <w:t>DELPHINE</w:t>
      </w:r>
      <w:r w:rsidRPr="007E0A03">
        <w:t xml:space="preserve"> </w:t>
      </w:r>
      <w:r>
        <w:t>or any trade mark that is substantially identical or deceptively similar to the</w:t>
      </w:r>
      <w:r w:rsidRPr="007E0A03">
        <w:t xml:space="preserve"> </w:t>
      </w:r>
      <w:r>
        <w:t>DELPHINE</w:t>
      </w:r>
      <w:r w:rsidRPr="007E0A03">
        <w:t xml:space="preserve"> </w:t>
      </w:r>
      <w:r>
        <w:t>Trade Mark;</w:t>
      </w:r>
      <w:r w:rsidR="009D28EB" w:rsidRPr="009D28EB">
        <w:t xml:space="preserve"> </w:t>
      </w:r>
    </w:p>
    <w:p w:rsidR="001954A5" w:rsidRDefault="00616CB4" w:rsidP="00D917F4">
      <w:pPr>
        <w:pStyle w:val="ListNo1"/>
        <w:numPr>
          <w:ilvl w:val="0"/>
          <w:numId w:val="62"/>
        </w:numPr>
      </w:pPr>
      <w:r>
        <w:t xml:space="preserve">within seven days provide copies of all tax invoices, import/purchase orders, receipts and other documentation in its possession or control that relate to the manufacture, importation, sale, promotion or any other dealings with the alleged infringing products including but not limited to the number of units manufactured and/or imported into Australia, the number of units sold in Australia, the per-unit sale price in Australia, and the gross profit made on the sales; </w:t>
      </w:r>
      <w:r w:rsidRPr="00616CB4">
        <w:t xml:space="preserve"> </w:t>
      </w:r>
    </w:p>
    <w:p w:rsidR="009D28EB" w:rsidRDefault="00616CB4" w:rsidP="00D917F4">
      <w:pPr>
        <w:pStyle w:val="ListNo1"/>
        <w:numPr>
          <w:ilvl w:val="0"/>
          <w:numId w:val="62"/>
        </w:numPr>
      </w:pPr>
      <w:r>
        <w:t>within 14 days surrender to Pinnacle for disposal as it sees fit all infringing products as well as any advertising and promotional material relating to those products</w:t>
      </w:r>
      <w:r w:rsidR="009D28EB">
        <w:t xml:space="preserve">; and </w:t>
      </w:r>
    </w:p>
    <w:p w:rsidR="00616CB4" w:rsidRDefault="009D28EB" w:rsidP="00D917F4">
      <w:pPr>
        <w:pStyle w:val="ListNo1"/>
        <w:numPr>
          <w:ilvl w:val="0"/>
          <w:numId w:val="62"/>
        </w:numPr>
      </w:pPr>
      <w:r>
        <w:t>refrain from representing that it has any connection, affiliation, sponsorship or association with Pinnacle or its products.</w:t>
      </w:r>
      <w:r w:rsidRPr="009D28EB">
        <w:t xml:space="preserve"> </w:t>
      </w:r>
    </w:p>
    <w:p w:rsidR="004B1791" w:rsidRDefault="004B1791" w:rsidP="004B1791">
      <w:pPr>
        <w:pStyle w:val="ParaNumbering"/>
        <w:tabs>
          <w:tab w:val="num" w:pos="720"/>
        </w:tabs>
        <w:ind w:left="0"/>
      </w:pPr>
      <w:r>
        <w:lastRenderedPageBreak/>
        <w:t>On 26 May 2016 Mr Ellis telephoned Ms Lambrianidis in</w:t>
      </w:r>
      <w:r w:rsidR="00C97BF0">
        <w:t xml:space="preserve"> response </w:t>
      </w:r>
      <w:r w:rsidR="0051310D">
        <w:t>to the letter of demand.  Ms </w:t>
      </w:r>
      <w:r>
        <w:t>Lambrianidis made a contemporaneous file note of the discussion that ensued.  She was not cross-examined and I accept her file note as a reasonably accurate account</w:t>
      </w:r>
      <w:r w:rsidR="00E77C3D">
        <w:t xml:space="preserve"> of that conversation</w:t>
      </w:r>
      <w:r>
        <w:t>.</w:t>
      </w:r>
      <w:r w:rsidR="00E77C3D">
        <w:t xml:space="preserve">  The file note </w:t>
      </w:r>
      <w:r w:rsidR="00D54327">
        <w:t>records the following:</w:t>
      </w:r>
      <w:r w:rsidR="00D54327" w:rsidRPr="00D54327">
        <w:t xml:space="preserve"> </w:t>
      </w:r>
    </w:p>
    <w:p w:rsidR="004B1791" w:rsidRDefault="004B1791" w:rsidP="0045682F">
      <w:pPr>
        <w:pStyle w:val="Quote1"/>
        <w:numPr>
          <w:ilvl w:val="0"/>
          <w:numId w:val="43"/>
        </w:numPr>
      </w:pPr>
      <w:r>
        <w:t>Craig said his company was not aware of our client’s DELPHINE brand up until they received our LOD.</w:t>
      </w:r>
      <w:r w:rsidR="00D54327">
        <w:t xml:space="preserve"> </w:t>
      </w:r>
    </w:p>
    <w:p w:rsidR="004B1791" w:rsidRDefault="004B1791" w:rsidP="0045682F">
      <w:pPr>
        <w:pStyle w:val="Quote1"/>
        <w:numPr>
          <w:ilvl w:val="0"/>
          <w:numId w:val="43"/>
        </w:numPr>
      </w:pPr>
      <w:r>
        <w:t>He appreciates the TM position given our client’s registered rights but he is not convinced that our client would be able to establish the ACL and passing off claims given DELPHINE is only 6 or so months old.  He said he doesn’t think that they have an “amazing” reputation given this short use and certainly consumers would not be confused by their respective brands, particularly given DELPHINE is used in conjunction with the TRIANGL brand.</w:t>
      </w:r>
      <w:r w:rsidR="00D54327">
        <w:t xml:space="preserve"> </w:t>
      </w:r>
    </w:p>
    <w:p w:rsidR="004B1791" w:rsidRDefault="004B1791" w:rsidP="0045682F">
      <w:pPr>
        <w:pStyle w:val="Quote1"/>
        <w:numPr>
          <w:ilvl w:val="0"/>
          <w:numId w:val="43"/>
        </w:numPr>
      </w:pPr>
      <w:r>
        <w:t>He said that the adoption of the DELPHINE name was not in an attempt to be deceptive and was adopted without the knowledge of our client’s brand.  His company has spent over US$1M being on the other side of the coin trying to protect its IP over the past three years so he is familiar with the process.</w:t>
      </w:r>
      <w:r w:rsidR="00D54327">
        <w:t xml:space="preserve"> </w:t>
      </w:r>
    </w:p>
    <w:p w:rsidR="004B1791" w:rsidRDefault="004B1791" w:rsidP="0045682F">
      <w:pPr>
        <w:pStyle w:val="Quote1"/>
        <w:numPr>
          <w:ilvl w:val="0"/>
          <w:numId w:val="43"/>
        </w:numPr>
      </w:pPr>
      <w:r>
        <w:t>Craig mentioned that they are an international business with no physical offices in AU and raised the difficulties of trying to serve court docs on foreign companies if Pinnacle want to pursue the matter further</w:t>
      </w:r>
      <w:r w:rsidR="00D54327">
        <w:t>.</w:t>
      </w:r>
    </w:p>
    <w:p w:rsidR="004B1791" w:rsidRDefault="004B1791" w:rsidP="0045682F">
      <w:pPr>
        <w:pStyle w:val="Quote1"/>
        <w:numPr>
          <w:ilvl w:val="0"/>
          <w:numId w:val="43"/>
        </w:numPr>
      </w:pPr>
      <w:r>
        <w:t>He said he is not going to pay a lawyer to handle the matter and respond to us.  Instead he wants to open up a discussion about the matter.  He said that if Triangl dig their heels in our client will spend $20-$30K to sue them which in his opinion is not a commercially viable decision for a 6 month old brand.  He considers that it is likely that our client has seen the success of Triangl and is now being opportunistic in trying to get some money out of them.  He said hand on heart that if he thought they were deliberately ripping off our client’s brand and damaging it they would pay but that i</w:t>
      </w:r>
      <w:r w:rsidR="00D54327">
        <w:t>s</w:t>
      </w:r>
      <w:r>
        <w:t xml:space="preserve"> not the case here.</w:t>
      </w:r>
      <w:r w:rsidR="00D54327" w:rsidRPr="00D54327">
        <w:t xml:space="preserve"> </w:t>
      </w:r>
    </w:p>
    <w:p w:rsidR="004B1791" w:rsidRDefault="004B1791" w:rsidP="0045682F">
      <w:pPr>
        <w:pStyle w:val="Quote1"/>
        <w:numPr>
          <w:ilvl w:val="0"/>
          <w:numId w:val="43"/>
        </w:numPr>
      </w:pPr>
      <w:r>
        <w:t>Craig said we would obviously advise our client not to waste its resources in pursuing such frivolous claims that is not worth it for them.</w:t>
      </w:r>
      <w:r w:rsidR="00D54327" w:rsidRPr="00D54327">
        <w:t xml:space="preserve"> </w:t>
      </w:r>
    </w:p>
    <w:p w:rsidR="004B1791" w:rsidRDefault="004B1791" w:rsidP="0045682F">
      <w:pPr>
        <w:pStyle w:val="Quote1"/>
        <w:numPr>
          <w:ilvl w:val="0"/>
          <w:numId w:val="43"/>
        </w:numPr>
      </w:pPr>
      <w:r>
        <w:t>I asked Craig whether he would be responding to the allegations in writing at all.  He said no.  I told him we will go back to the client with the matters discussed and ultimately how our client decides to proceed is entirely up to them.  Irrespective of whether their adoption of the DELPHINE brand was intentional or not, our client’s trade mark rights have been infringed and they are entitled to enforce them.  I also said that we are well versed with dealing with foreign companies and just because it could potentially be difficult to serve court documents on them, if it ultimately gets to that, doesn’t prevent our client from doing so.</w:t>
      </w:r>
      <w:r w:rsidR="00D54327" w:rsidRPr="00D54327">
        <w:t xml:space="preserve"> </w:t>
      </w:r>
    </w:p>
    <w:p w:rsidR="004B1791" w:rsidRDefault="004B1791" w:rsidP="0045682F">
      <w:pPr>
        <w:pStyle w:val="Quote1"/>
        <w:numPr>
          <w:ilvl w:val="0"/>
          <w:numId w:val="43"/>
        </w:numPr>
        <w:spacing w:after="240"/>
        <w:ind w:left="1094" w:hanging="357"/>
      </w:pPr>
      <w:r>
        <w:t xml:space="preserve">Craig’s email address is </w:t>
      </w:r>
      <w:r w:rsidR="00A45165">
        <w:t>[email address redacted]</w:t>
      </w:r>
      <w:r>
        <w:t xml:space="preserve"> and he is the owner of the company</w:t>
      </w:r>
      <w:r w:rsidR="001D6860">
        <w:t>.</w:t>
      </w:r>
      <w:r w:rsidR="00D54327">
        <w:t xml:space="preserve"> </w:t>
      </w:r>
    </w:p>
    <w:p w:rsidR="004B1791" w:rsidRDefault="00522FE4" w:rsidP="004B1791">
      <w:pPr>
        <w:pStyle w:val="ParaNumbering"/>
        <w:tabs>
          <w:tab w:val="num" w:pos="720"/>
        </w:tabs>
        <w:ind w:left="0"/>
      </w:pPr>
      <w:r>
        <w:t xml:space="preserve">It </w:t>
      </w:r>
      <w:r w:rsidR="00CB10B2">
        <w:t xml:space="preserve">appears that </w:t>
      </w:r>
      <w:r w:rsidR="004B1791">
        <w:t>Mr Ellis was</w:t>
      </w:r>
      <w:r w:rsidR="00CB10B2">
        <w:t xml:space="preserve"> </w:t>
      </w:r>
      <w:r w:rsidR="004B1791">
        <w:t xml:space="preserve">not </w:t>
      </w:r>
      <w:r>
        <w:t xml:space="preserve">at that point </w:t>
      </w:r>
      <w:r w:rsidR="004B1791">
        <w:t xml:space="preserve">prepared to cease </w:t>
      </w:r>
      <w:r w:rsidR="00E77C3D">
        <w:t xml:space="preserve">using </w:t>
      </w:r>
      <w:r w:rsidR="004B1791">
        <w:t>DELPHINE</w:t>
      </w:r>
      <w:r w:rsidR="00702FD1">
        <w:t xml:space="preserve"> as a style name</w:t>
      </w:r>
      <w:r w:rsidR="004B1791">
        <w:t>.  Instead he wanted to “open up a discussion about the matter”.</w:t>
      </w:r>
      <w:r w:rsidR="00D54327" w:rsidRPr="00D54327">
        <w:t xml:space="preserve"> </w:t>
      </w:r>
    </w:p>
    <w:p w:rsidR="004F3B40" w:rsidRDefault="004B1791" w:rsidP="004B1791">
      <w:pPr>
        <w:pStyle w:val="ParaNumbering"/>
        <w:tabs>
          <w:tab w:val="num" w:pos="720"/>
        </w:tabs>
        <w:ind w:left="0"/>
      </w:pPr>
      <w:r>
        <w:lastRenderedPageBreak/>
        <w:t>On 1 June 2016 Mr Petale</w:t>
      </w:r>
      <w:r w:rsidR="00C97BF0">
        <w:t xml:space="preserve"> and Ms Lambrianidis </w:t>
      </w:r>
      <w:r>
        <w:t>sent a</w:t>
      </w:r>
      <w:r w:rsidR="00C97BF0">
        <w:t>nother</w:t>
      </w:r>
      <w:r>
        <w:t xml:space="preserve"> letter to</w:t>
      </w:r>
      <w:r w:rsidRPr="00AE7EDC">
        <w:t xml:space="preserve"> </w:t>
      </w:r>
      <w:r w:rsidR="00C97BF0">
        <w:t>Triangl.  The letter referred</w:t>
      </w:r>
      <w:r>
        <w:t xml:space="preserve"> to Mr Ellis’ discussion with Ms</w:t>
      </w:r>
      <w:r w:rsidRPr="00AE7EDC">
        <w:t xml:space="preserve"> </w:t>
      </w:r>
      <w:r>
        <w:t>Lambrianidis and</w:t>
      </w:r>
      <w:r w:rsidR="00522FE4">
        <w:t xml:space="preserve"> noted </w:t>
      </w:r>
      <w:r w:rsidR="00C97BF0">
        <w:t xml:space="preserve">that </w:t>
      </w:r>
      <w:r w:rsidR="004F3B40">
        <w:t>Triangl’s refusal to comply with Pinnacle’s demands:</w:t>
      </w:r>
      <w:r w:rsidR="00D54327" w:rsidRPr="00D54327">
        <w:t xml:space="preserve"> </w:t>
      </w:r>
    </w:p>
    <w:p w:rsidR="004F3B40" w:rsidRDefault="004F3B40" w:rsidP="002B1B74">
      <w:pPr>
        <w:pStyle w:val="Quote1"/>
        <w:spacing w:after="240"/>
      </w:pPr>
      <w:r>
        <w:t>…appears to be based upon the misguided assumption that our client lacks the resolve to enforce its legal rights against your company and that the fact that your company is based in Hong Kong would cause difficulties for our client in terms of effecting service and the overall conduct of those proceedings.  Our client’s owners have been involved in the fashion industry for many years and in many other fashion ventures and labels apart from Delphine, and are well-versed in conducting these kinds of proceedings, including as against international entities.</w:t>
      </w:r>
      <w:r w:rsidR="00D54327" w:rsidRPr="00D54327">
        <w:t xml:space="preserve"> </w:t>
      </w:r>
    </w:p>
    <w:p w:rsidR="004B1791" w:rsidRDefault="00522FE4" w:rsidP="004F3B40">
      <w:pPr>
        <w:pStyle w:val="NoNum"/>
      </w:pPr>
      <w:r>
        <w:t xml:space="preserve">It </w:t>
      </w:r>
      <w:r w:rsidR="004F3B40">
        <w:t xml:space="preserve">said that </w:t>
      </w:r>
      <w:r w:rsidR="00C97BF0">
        <w:t xml:space="preserve">Pinnacle </w:t>
      </w:r>
      <w:r w:rsidR="004F3B40">
        <w:t>had instructed Actuate IP to prepare to initiate proceedings against Triangl</w:t>
      </w:r>
      <w:r w:rsidR="004B1791">
        <w:t>.</w:t>
      </w:r>
      <w:r w:rsidR="00BE182F" w:rsidRPr="00BE182F">
        <w:t xml:space="preserve"> </w:t>
      </w:r>
    </w:p>
    <w:p w:rsidR="004B1791" w:rsidRDefault="004B1791" w:rsidP="004B1791">
      <w:pPr>
        <w:pStyle w:val="ParaNumbering"/>
        <w:tabs>
          <w:tab w:val="num" w:pos="720"/>
        </w:tabs>
        <w:ind w:left="0"/>
      </w:pPr>
      <w:r>
        <w:t>On 2 June 2016 Mr Ellis telephoned Mr Petale in response to the 1 June letter.  Mr Petale gave the following account of the discussion that ensued.  He was not cross-examined and I accept</w:t>
      </w:r>
      <w:r w:rsidR="00522FE4">
        <w:t xml:space="preserve"> that his </w:t>
      </w:r>
      <w:r>
        <w:t>account</w:t>
      </w:r>
      <w:r w:rsidR="00522FE4">
        <w:t xml:space="preserve">, set out below, is </w:t>
      </w:r>
      <w:r w:rsidR="00E77C3D">
        <w:t>reasonably accurate</w:t>
      </w:r>
      <w:r>
        <w:t>:</w:t>
      </w:r>
      <w:r w:rsidR="00BE182F" w:rsidRPr="00BE182F">
        <w:t xml:space="preserve"> </w:t>
      </w:r>
    </w:p>
    <w:p w:rsidR="004B1791" w:rsidRDefault="004B1791" w:rsidP="004B1791">
      <w:pPr>
        <w:pStyle w:val="Quote1"/>
        <w:ind w:left="1440" w:hanging="703"/>
      </w:pPr>
      <w:r>
        <w:t>(a)</w:t>
      </w:r>
      <w:r>
        <w:tab/>
        <w:t>Mr Ellis said that Triangl had spent three years and close to US$1,000,000 defending its own intellectual property rights against infringers;</w:t>
      </w:r>
      <w:r w:rsidR="00BE182F" w:rsidRPr="00BE182F">
        <w:t xml:space="preserve"> </w:t>
      </w:r>
    </w:p>
    <w:p w:rsidR="004B1791" w:rsidRDefault="004B1791" w:rsidP="004B1791">
      <w:pPr>
        <w:pStyle w:val="Quote1"/>
        <w:ind w:left="1440" w:hanging="703"/>
      </w:pPr>
      <w:r>
        <w:t>(b)</w:t>
      </w:r>
      <w:r>
        <w:tab/>
        <w:t>Mr Ellis said that the name DELPHINE was chosen by Triangl as it was a girl’s name and Triangl used girls’ names for all its product lines;</w:t>
      </w:r>
      <w:r w:rsidR="00BE182F" w:rsidRPr="00BE182F">
        <w:t xml:space="preserve"> </w:t>
      </w:r>
    </w:p>
    <w:p w:rsidR="004B1791" w:rsidRDefault="004B1791" w:rsidP="004B1791">
      <w:pPr>
        <w:pStyle w:val="Quote1"/>
        <w:ind w:left="1440" w:hanging="703"/>
      </w:pPr>
      <w:r>
        <w:t>(c)</w:t>
      </w:r>
      <w:r>
        <w:tab/>
        <w:t>Mr Ellis said the name DELPHINE was being used descriptively;</w:t>
      </w:r>
      <w:r w:rsidR="00BE182F" w:rsidRPr="00BE182F">
        <w:t xml:space="preserve"> </w:t>
      </w:r>
    </w:p>
    <w:p w:rsidR="004B1791" w:rsidRDefault="004B1791" w:rsidP="004B1791">
      <w:pPr>
        <w:pStyle w:val="Quote1"/>
        <w:ind w:left="1440" w:hanging="703"/>
      </w:pPr>
      <w:r>
        <w:t>(d)</w:t>
      </w:r>
      <w:r>
        <w:tab/>
        <w:t xml:space="preserve">I said to Mr Ellis that using a girl’s name is not descriptive, and that it could still be use </w:t>
      </w:r>
      <w:r w:rsidRPr="00235777">
        <w:t>[sic]</w:t>
      </w:r>
      <w:r>
        <w:t xml:space="preserve"> as a trade mark even when used as a secondary trade mark in conjunction with the primary trade mark TRIANGL;</w:t>
      </w:r>
      <w:r w:rsidR="00BE182F" w:rsidRPr="00BE182F">
        <w:t xml:space="preserve"> </w:t>
      </w:r>
    </w:p>
    <w:p w:rsidR="004B1791" w:rsidRDefault="004B1791" w:rsidP="004B1791">
      <w:pPr>
        <w:pStyle w:val="Quote1"/>
        <w:ind w:left="1440" w:hanging="703"/>
      </w:pPr>
      <w:r>
        <w:t>(e)</w:t>
      </w:r>
      <w:r>
        <w:tab/>
        <w:t>Mr Ellis said that the conduct of Triangl cannot have amounted to passing off, being it was unintentional;</w:t>
      </w:r>
      <w:r w:rsidR="00BE182F" w:rsidRPr="00BE182F">
        <w:t xml:space="preserve"> </w:t>
      </w:r>
    </w:p>
    <w:p w:rsidR="004B1791" w:rsidRDefault="004B1791" w:rsidP="004B1791">
      <w:pPr>
        <w:pStyle w:val="Quote1"/>
        <w:ind w:left="1440" w:hanging="703"/>
      </w:pPr>
      <w:r>
        <w:t>(f)</w:t>
      </w:r>
      <w:r>
        <w:tab/>
        <w:t>I said to Mr Ellis that passing off was only one of the claims made by Pinnacle, and that, at the very least in relation to the trade mark infringement claim, it is irrelevant whether or not use of the trade mark was intentional;</w:t>
      </w:r>
      <w:r w:rsidR="00411B7F" w:rsidRPr="00411B7F">
        <w:t xml:space="preserve"> </w:t>
      </w:r>
    </w:p>
    <w:p w:rsidR="004B1791" w:rsidRDefault="004B1791" w:rsidP="004B1791">
      <w:pPr>
        <w:pStyle w:val="Quote1"/>
        <w:ind w:left="1440" w:hanging="703"/>
      </w:pPr>
      <w:r>
        <w:t>(g)</w:t>
      </w:r>
      <w:r>
        <w:tab/>
        <w:t xml:space="preserve">I said to Mr Ellis that Pinnacle’s primary concern was for Triangl to cease using the DELPHINE name, but that Pinnacle </w:t>
      </w:r>
      <w:r w:rsidR="00411B7F">
        <w:t xml:space="preserve">still </w:t>
      </w:r>
      <w:r>
        <w:t>also required the financial information sought in the First Letter and Second Letter in order to determine what, if any, monetary compensation it ought to seek from Triangl;</w:t>
      </w:r>
      <w:r w:rsidR="00411B7F" w:rsidRPr="00411B7F">
        <w:t xml:space="preserve"> </w:t>
      </w:r>
    </w:p>
    <w:p w:rsidR="004B1791" w:rsidRDefault="004B1791" w:rsidP="004B1791">
      <w:pPr>
        <w:pStyle w:val="Quote1"/>
        <w:ind w:left="1440" w:hanging="703"/>
      </w:pPr>
      <w:r>
        <w:t>(h)</w:t>
      </w:r>
      <w:r>
        <w:tab/>
        <w:t>Mr Ellis said that Triangl would be willing to cease using the DELPHINE name, and issue an apology, but only if Pinnacle agreed to forego any claim for monetary compensation;</w:t>
      </w:r>
      <w:r w:rsidR="00411B7F" w:rsidRPr="00411B7F">
        <w:t xml:space="preserve"> </w:t>
      </w:r>
    </w:p>
    <w:p w:rsidR="004B1791" w:rsidRDefault="004B1791" w:rsidP="004B1791">
      <w:pPr>
        <w:pStyle w:val="Quote1"/>
        <w:ind w:left="1440" w:hanging="703"/>
      </w:pPr>
      <w:r>
        <w:t>(i)</w:t>
      </w:r>
      <w:r>
        <w:tab/>
        <w:t>Mr Ellis said that Pinnacle should not need any financial information from Triangl in order to determine what damages it had suffered;</w:t>
      </w:r>
      <w:r w:rsidR="00411B7F" w:rsidRPr="00411B7F">
        <w:t xml:space="preserve"> </w:t>
      </w:r>
    </w:p>
    <w:p w:rsidR="004B1791" w:rsidRDefault="004B1791" w:rsidP="004B1791">
      <w:pPr>
        <w:pStyle w:val="Quote1"/>
        <w:ind w:left="1440" w:hanging="703"/>
      </w:pPr>
      <w:r>
        <w:t>(j)</w:t>
      </w:r>
      <w:r>
        <w:tab/>
        <w:t>I said to Mr Ellis that in legal proceedings Pinnacle would have the option of seeking either damages or an account of profits and therefore the requested financial information was relevant to Pinnacle’s assessment;</w:t>
      </w:r>
      <w:r w:rsidR="00411B7F" w:rsidRPr="00411B7F">
        <w:t xml:space="preserve"> </w:t>
      </w:r>
    </w:p>
    <w:p w:rsidR="004B1791" w:rsidRDefault="004B1791" w:rsidP="004B1791">
      <w:pPr>
        <w:pStyle w:val="Quote1"/>
        <w:ind w:left="1440" w:hanging="703"/>
      </w:pPr>
      <w:r>
        <w:t>(k)</w:t>
      </w:r>
      <w:r>
        <w:tab/>
        <w:t xml:space="preserve">Mr Ellis asked how much money Pinnacle intended to spend on legal </w:t>
      </w:r>
      <w:r>
        <w:lastRenderedPageBreak/>
        <w:t>proceedings in relation to this matter and whether it expected to profit from those proceeding in light of the potential monetary compensation involved;</w:t>
      </w:r>
      <w:r w:rsidR="00411B7F" w:rsidRPr="00411B7F">
        <w:t xml:space="preserve"> </w:t>
      </w:r>
    </w:p>
    <w:p w:rsidR="004B1791" w:rsidRDefault="004B1791" w:rsidP="004B1791">
      <w:pPr>
        <w:pStyle w:val="Quote1"/>
        <w:ind w:left="1440" w:hanging="703"/>
      </w:pPr>
      <w:r>
        <w:t>(l)</w:t>
      </w:r>
      <w:r>
        <w:tab/>
        <w:t>I said to Mr Ellis that it was ultimately Pinnacle’s decision whether or not to commence legal proceedings to protect its intellectual property rights, and that in any case Pinnacle was not in a position to answer Mr Ellis’ question given that it did not have the requested financial information from Triangl;</w:t>
      </w:r>
      <w:r w:rsidR="00411B7F" w:rsidRPr="00411B7F">
        <w:t xml:space="preserve"> </w:t>
      </w:r>
    </w:p>
    <w:p w:rsidR="004B1791" w:rsidRDefault="004B1791" w:rsidP="004B1791">
      <w:pPr>
        <w:pStyle w:val="Quote1"/>
        <w:ind w:left="1440" w:hanging="703"/>
      </w:pPr>
      <w:r>
        <w:t>(m)</w:t>
      </w:r>
      <w:r>
        <w:tab/>
        <w:t>I then asked Mr Ellis to confirm what Triangl’s position was in relation to the demands made in the First Letter and Second Letter, so that I could relay that position to Pinnacle;</w:t>
      </w:r>
      <w:r w:rsidR="00411B7F" w:rsidRPr="00411B7F">
        <w:t xml:space="preserve"> </w:t>
      </w:r>
    </w:p>
    <w:p w:rsidR="004B1791" w:rsidRDefault="004B1791" w:rsidP="004B1791">
      <w:pPr>
        <w:pStyle w:val="Quote1"/>
        <w:ind w:left="1440" w:hanging="703"/>
      </w:pPr>
      <w:r>
        <w:t>(n)</w:t>
      </w:r>
      <w:r>
        <w:tab/>
        <w:t>Mr Ellis said that Triangl would be willing to cease using the DELPHINE name, and issue an apology, but only if Pinnacle agreed to forego any claim for monetary compensation;</w:t>
      </w:r>
      <w:r w:rsidR="00411B7F" w:rsidRPr="00411B7F">
        <w:t xml:space="preserve"> </w:t>
      </w:r>
    </w:p>
    <w:p w:rsidR="004B1791" w:rsidRDefault="004B1791" w:rsidP="002B1B74">
      <w:pPr>
        <w:pStyle w:val="Quote1"/>
        <w:spacing w:after="240"/>
        <w:ind w:left="1440" w:hanging="703"/>
      </w:pPr>
      <w:r>
        <w:t>(o)</w:t>
      </w:r>
      <w:r>
        <w:tab/>
        <w:t>I said that I would relay Mr Ellis’ statements to Pinnacle and then the call was ended.</w:t>
      </w:r>
      <w:r w:rsidR="00411B7F" w:rsidRPr="00411B7F">
        <w:t xml:space="preserve"> </w:t>
      </w:r>
    </w:p>
    <w:p w:rsidR="004B1791" w:rsidRDefault="00E33C32" w:rsidP="004B1791">
      <w:pPr>
        <w:pStyle w:val="ParaNumbering"/>
        <w:tabs>
          <w:tab w:val="num" w:pos="720"/>
        </w:tabs>
        <w:ind w:left="0"/>
      </w:pPr>
      <w:r>
        <w:t>It appears that b</w:t>
      </w:r>
      <w:r w:rsidR="004B1791">
        <w:t>y this point Mr Ellis’ position had shifted</w:t>
      </w:r>
      <w:r w:rsidR="004F3B40">
        <w:t xml:space="preserve"> and </w:t>
      </w:r>
      <w:r w:rsidR="00E77C3D">
        <w:t xml:space="preserve">he </w:t>
      </w:r>
      <w:r w:rsidR="004B1791">
        <w:t xml:space="preserve">was prepared to agree to Triangl ceasing to use the name DELPHINE and </w:t>
      </w:r>
      <w:r w:rsidR="004B1791" w:rsidRPr="00F94E5E">
        <w:t>to provide an apology</w:t>
      </w:r>
      <w:r w:rsidR="004F3B40">
        <w:t>,</w:t>
      </w:r>
      <w:r w:rsidR="004B1791" w:rsidRPr="00F94E5E">
        <w:t xml:space="preserve"> </w:t>
      </w:r>
      <w:r w:rsidR="004B1791">
        <w:t xml:space="preserve">but only if Pinnacle agreed not </w:t>
      </w:r>
      <w:r w:rsidR="00411B7F">
        <w:t>to pursue a claim for damages.</w:t>
      </w:r>
      <w:r w:rsidR="00411B7F" w:rsidRPr="00411B7F">
        <w:t xml:space="preserve"> </w:t>
      </w:r>
    </w:p>
    <w:p w:rsidR="004B1791" w:rsidRDefault="004B1791" w:rsidP="00E77C3D">
      <w:pPr>
        <w:pStyle w:val="ParaNumbering"/>
        <w:tabs>
          <w:tab w:val="num" w:pos="720"/>
        </w:tabs>
        <w:ind w:left="0"/>
      </w:pPr>
      <w:r>
        <w:t>By the following day Mr Ellis’ position had shifted</w:t>
      </w:r>
      <w:r w:rsidR="00E77C3D">
        <w:t xml:space="preserve"> </w:t>
      </w:r>
      <w:r w:rsidR="00522FE4">
        <w:t xml:space="preserve">one step </w:t>
      </w:r>
      <w:r w:rsidR="00E77C3D">
        <w:t>further</w:t>
      </w:r>
      <w:r>
        <w:t>.</w:t>
      </w:r>
      <w:r w:rsidR="00E77C3D">
        <w:t xml:space="preserve">  On 3 June 2016 he </w:t>
      </w:r>
      <w:r>
        <w:t>sent an email to Mr Petale and Ms</w:t>
      </w:r>
      <w:r w:rsidRPr="00B120B1">
        <w:t xml:space="preserve"> </w:t>
      </w:r>
      <w:r>
        <w:t>Lambrianidis in which he strongly</w:t>
      </w:r>
      <w:r w:rsidR="00E77C3D">
        <w:t xml:space="preserve"> contested </w:t>
      </w:r>
      <w:r>
        <w:t>the assertion that</w:t>
      </w:r>
      <w:r w:rsidRPr="00B120B1">
        <w:t xml:space="preserve"> </w:t>
      </w:r>
      <w:r>
        <w:t>Triangl was infringing the</w:t>
      </w:r>
      <w:r w:rsidRPr="00B120B1">
        <w:t xml:space="preserve"> </w:t>
      </w:r>
      <w:r>
        <w:t>DELPHINE Trade Mark</w:t>
      </w:r>
      <w:r w:rsidR="00522FE4">
        <w:t xml:space="preserve"> but said that </w:t>
      </w:r>
      <w:r>
        <w:t>Triangl had “in good faith” removed the</w:t>
      </w:r>
      <w:r w:rsidR="00E77C3D">
        <w:t xml:space="preserve"> name </w:t>
      </w:r>
      <w:r>
        <w:t>DELPHINE</w:t>
      </w:r>
      <w:r w:rsidR="00E77C3D">
        <w:t xml:space="preserve"> </w:t>
      </w:r>
      <w:r>
        <w:t>from all</w:t>
      </w:r>
      <w:r w:rsidR="00522FE4">
        <w:t xml:space="preserve"> of its </w:t>
      </w:r>
      <w:r>
        <w:t>global websites and changed</w:t>
      </w:r>
      <w:r w:rsidR="00E77C3D">
        <w:t xml:space="preserve"> the name of the</w:t>
      </w:r>
      <w:r w:rsidR="00522FE4">
        <w:t xml:space="preserve"> relevant bikini style </w:t>
      </w:r>
      <w:r>
        <w:t xml:space="preserve">to DELILAH.  </w:t>
      </w:r>
      <w:r w:rsidR="00E33C32">
        <w:t xml:space="preserve">On the presumption that this step would be sufficient to quell the dispute, </w:t>
      </w:r>
      <w:r>
        <w:t xml:space="preserve">Mr Ellis requested that Pinnacle provide Triangl </w:t>
      </w:r>
      <w:r w:rsidR="00E33C32">
        <w:t xml:space="preserve">with </w:t>
      </w:r>
      <w:r>
        <w:t>a letter stating that no further action would be taken by it.</w:t>
      </w:r>
      <w:r w:rsidR="00411B7F" w:rsidRPr="00411B7F">
        <w:t xml:space="preserve"> </w:t>
      </w:r>
    </w:p>
    <w:p w:rsidR="004B1791" w:rsidRDefault="004B1791" w:rsidP="004B1791">
      <w:pPr>
        <w:pStyle w:val="ParaNumbering"/>
        <w:tabs>
          <w:tab w:val="num" w:pos="720"/>
        </w:tabs>
        <w:ind w:left="0"/>
      </w:pPr>
      <w:r>
        <w:t>Pinnacle did not agree to take no further action.  On 7 June 2016 Mr Petale wrote to Mr Ellis and rejected the contention that Triangl’s use of DELPHINE did not infringe</w:t>
      </w:r>
      <w:r w:rsidR="00522FE4">
        <w:t xml:space="preserve"> Pinnacle’s registered mark</w:t>
      </w:r>
      <w:r>
        <w:t xml:space="preserve">.  </w:t>
      </w:r>
      <w:r w:rsidR="00522FE4">
        <w:t>Mr Petale</w:t>
      </w:r>
      <w:r>
        <w:t xml:space="preserve"> seemed to accept that</w:t>
      </w:r>
      <w:r w:rsidRPr="00D56975">
        <w:t xml:space="preserve"> </w:t>
      </w:r>
      <w:r>
        <w:t>Triangl was no longer advertising bikinis for sale under the name DELPHINE and had changed the name of the</w:t>
      </w:r>
      <w:r w:rsidR="00522FE4">
        <w:t xml:space="preserve"> particular style </w:t>
      </w:r>
      <w:r>
        <w:t>to DELILAH, but</w:t>
      </w:r>
      <w:r w:rsidR="00522FE4">
        <w:t xml:space="preserve"> he required </w:t>
      </w:r>
      <w:r>
        <w:t>Triangl to provide the undertakings and the sales and financial information earlier demanded,</w:t>
      </w:r>
      <w:r w:rsidR="00E77C3D">
        <w:t xml:space="preserve"> together with </w:t>
      </w:r>
      <w:r>
        <w:t>delivery up of any infringing products bearing the</w:t>
      </w:r>
      <w:r w:rsidRPr="00B31F5C">
        <w:t xml:space="preserve"> </w:t>
      </w:r>
      <w:r>
        <w:t>DELPHINE</w:t>
      </w:r>
      <w:r w:rsidR="00522FE4">
        <w:t xml:space="preserve"> mark </w:t>
      </w:r>
      <w:r>
        <w:t>as well as any advertising material relating to those products.  He gave Triangl until close of business on 10 June 2016 to meet</w:t>
      </w:r>
      <w:r w:rsidR="00E77C3D">
        <w:t xml:space="preserve"> those </w:t>
      </w:r>
      <w:r>
        <w:t>demands.</w:t>
      </w:r>
      <w:r w:rsidR="00411B7F" w:rsidRPr="00411B7F">
        <w:t xml:space="preserve"> </w:t>
      </w:r>
    </w:p>
    <w:p w:rsidR="004B1791" w:rsidRDefault="004B1791" w:rsidP="00BB7F93">
      <w:pPr>
        <w:pStyle w:val="ParaNumbering"/>
        <w:tabs>
          <w:tab w:val="num" w:pos="720"/>
        </w:tabs>
        <w:ind w:left="0"/>
      </w:pPr>
      <w:r>
        <w:t xml:space="preserve">On 10 June 2016 </w:t>
      </w:r>
      <w:r w:rsidR="00411B7F">
        <w:t xml:space="preserve">Mr </w:t>
      </w:r>
      <w:r>
        <w:t>Stephen Stern</w:t>
      </w:r>
      <w:r w:rsidR="00D64F9D">
        <w:t xml:space="preserve">, a partner </w:t>
      </w:r>
      <w:r w:rsidR="00D3221E">
        <w:t xml:space="preserve">of </w:t>
      </w:r>
      <w:r>
        <w:t>Corrs</w:t>
      </w:r>
      <w:r w:rsidR="00D64F9D">
        <w:t>,</w:t>
      </w:r>
      <w:r>
        <w:t xml:space="preserve"> sent an email to Mr Petale advising that he had been instructed to act for</w:t>
      </w:r>
      <w:r w:rsidRPr="00B31F5C">
        <w:t xml:space="preserve"> </w:t>
      </w:r>
      <w:r>
        <w:t>Triangl</w:t>
      </w:r>
      <w:r w:rsidR="00E77C3D">
        <w:t xml:space="preserve"> and seeking </w:t>
      </w:r>
      <w:r>
        <w:t>further time within which to provide a response to the 7 June letter.</w:t>
      </w:r>
      <w:r w:rsidR="00E77C3D">
        <w:t xml:space="preserve">  It is unnecessary to repeat the arguments Mr Stern advanced</w:t>
      </w:r>
      <w:r w:rsidR="00522FE4">
        <w:t xml:space="preserve"> </w:t>
      </w:r>
      <w:r w:rsidR="00522FE4">
        <w:lastRenderedPageBreak/>
        <w:t xml:space="preserve">except to note that they are essentially the same as </w:t>
      </w:r>
      <w:r w:rsidR="00E77C3D">
        <w:t xml:space="preserve">the submissions </w:t>
      </w:r>
      <w:r w:rsidR="00522FE4">
        <w:t xml:space="preserve">Triangl ultimately </w:t>
      </w:r>
      <w:r w:rsidR="00E77C3D">
        <w:t>advanced in defending</w:t>
      </w:r>
      <w:r w:rsidR="00522FE4">
        <w:t xml:space="preserve"> this proceeding</w:t>
      </w:r>
      <w:r w:rsidR="00E77C3D">
        <w:t xml:space="preserve">.  </w:t>
      </w:r>
      <w:r>
        <w:t>Mr Stern</w:t>
      </w:r>
      <w:r w:rsidR="00522FE4">
        <w:t xml:space="preserve"> said </w:t>
      </w:r>
      <w:r w:rsidR="00E77C3D">
        <w:t>that</w:t>
      </w:r>
      <w:r w:rsidR="00E77C3D" w:rsidRPr="00E77C3D">
        <w:t xml:space="preserve"> </w:t>
      </w:r>
      <w:r w:rsidR="00E77C3D">
        <w:t>Triangl had</w:t>
      </w:r>
      <w:r w:rsidR="00F344D1">
        <w:t>:</w:t>
      </w:r>
    </w:p>
    <w:p w:rsidR="004B1791" w:rsidRDefault="00E77C3D" w:rsidP="002B1B74">
      <w:pPr>
        <w:pStyle w:val="Quote1"/>
        <w:spacing w:after="240"/>
      </w:pPr>
      <w:r w:rsidRPr="00E77C3D">
        <w:t>…</w:t>
      </w:r>
      <w:r w:rsidR="004B1791" w:rsidRPr="00E77C3D">
        <w:t xml:space="preserve"> as a gesture of good faith (and without any admission of liability), ceased and hereby agrees to forever desist from using the name Delphine in relation to its swimwear products.</w:t>
      </w:r>
      <w:r w:rsidR="004B1791">
        <w:t xml:space="preserve">  Indeed, our client was invited to do so by your firm as a way of resolving the entire issue and now considers this matter closed.</w:t>
      </w:r>
      <w:r w:rsidR="00F344D1" w:rsidRPr="00F344D1">
        <w:t xml:space="preserve"> </w:t>
      </w:r>
    </w:p>
    <w:p w:rsidR="00522FE4" w:rsidRDefault="004B1791" w:rsidP="004B1791">
      <w:pPr>
        <w:pStyle w:val="ParaNumbering"/>
        <w:tabs>
          <w:tab w:val="num" w:pos="720"/>
        </w:tabs>
        <w:ind w:left="0"/>
      </w:pPr>
      <w:r>
        <w:t>Pinnacle did not accept</w:t>
      </w:r>
      <w:r w:rsidR="00E77C3D">
        <w:t xml:space="preserve"> that </w:t>
      </w:r>
      <w:r w:rsidR="001437DC">
        <w:t>Triangl</w:t>
      </w:r>
      <w:r w:rsidR="00B66A8E">
        <w:t>’s agreement to cease</w:t>
      </w:r>
      <w:r w:rsidR="00E77C3D">
        <w:t xml:space="preserve"> us</w:t>
      </w:r>
      <w:r w:rsidR="00B66A8E">
        <w:t>ing</w:t>
      </w:r>
      <w:r w:rsidR="00E77C3D">
        <w:t xml:space="preserve"> DELPHINE</w:t>
      </w:r>
      <w:r w:rsidR="00522FE4">
        <w:t xml:space="preserve"> resolved the issue</w:t>
      </w:r>
      <w:r>
        <w:t xml:space="preserve">. </w:t>
      </w:r>
      <w:r w:rsidR="00F344D1">
        <w:t xml:space="preserve"> On 6 </w:t>
      </w:r>
      <w:r>
        <w:t>July 2016 Mr Petale requested Mr Stern’s advice as to whether he had instructions to accept service</w:t>
      </w:r>
      <w:r w:rsidR="001437DC">
        <w:t xml:space="preserve"> on </w:t>
      </w:r>
      <w:r>
        <w:t>Triangl</w:t>
      </w:r>
      <w:r w:rsidR="001437DC">
        <w:t>’s behalf</w:t>
      </w:r>
      <w:r w:rsidR="00522FE4">
        <w:t xml:space="preserve">.  On </w:t>
      </w:r>
      <w:r>
        <w:t>11 July 2016</w:t>
      </w:r>
      <w:r w:rsidR="001437DC">
        <w:t>,</w:t>
      </w:r>
      <w:r>
        <w:t xml:space="preserve"> Mr Stern said </w:t>
      </w:r>
      <w:r w:rsidR="00B66A8E">
        <w:t xml:space="preserve">that </w:t>
      </w:r>
      <w:r>
        <w:t>he did not have such instructions.  Later</w:t>
      </w:r>
      <w:r w:rsidR="00522FE4">
        <w:t xml:space="preserve"> that day </w:t>
      </w:r>
      <w:r>
        <w:t>Mr Ellis telephoned Mr Petale and asked why proceedings had been commenced when</w:t>
      </w:r>
      <w:r w:rsidRPr="008114C3">
        <w:t xml:space="preserve"> </w:t>
      </w:r>
      <w:r>
        <w:t xml:space="preserve">Triangl had ceased to use the name </w:t>
      </w:r>
      <w:r w:rsidR="001437DC">
        <w:t>DELPHINE</w:t>
      </w:r>
      <w:r>
        <w:t>.  Mr Petale</w:t>
      </w:r>
      <w:r w:rsidR="001437DC">
        <w:t xml:space="preserve"> said </w:t>
      </w:r>
      <w:r>
        <w:t>that Pinnacle required</w:t>
      </w:r>
      <w:r w:rsidRPr="004D32F7">
        <w:t xml:space="preserve"> </w:t>
      </w:r>
      <w:r>
        <w:t xml:space="preserve">Triangl to comply with its other demands including by providing the requested financial information.  </w:t>
      </w:r>
    </w:p>
    <w:p w:rsidR="004B1791" w:rsidRDefault="004B1791" w:rsidP="004B1791">
      <w:pPr>
        <w:pStyle w:val="ParaNumbering"/>
        <w:tabs>
          <w:tab w:val="num" w:pos="720"/>
        </w:tabs>
        <w:ind w:left="0"/>
      </w:pPr>
      <w:r>
        <w:t>On 13 July 2016 Pinnacle</w:t>
      </w:r>
      <w:r w:rsidR="00522FE4">
        <w:t xml:space="preserve"> filed </w:t>
      </w:r>
      <w:r w:rsidR="00F344D1">
        <w:t>the proceeding.</w:t>
      </w:r>
      <w:r w:rsidR="00F344D1" w:rsidRPr="00F344D1">
        <w:t xml:space="preserve"> </w:t>
      </w:r>
    </w:p>
    <w:p w:rsidR="00DE7E5F" w:rsidRDefault="00C9238F" w:rsidP="004B1791">
      <w:pPr>
        <w:pStyle w:val="ParaNumbering"/>
        <w:tabs>
          <w:tab w:val="num" w:pos="720"/>
        </w:tabs>
        <w:ind w:left="0"/>
      </w:pPr>
      <w:r>
        <w:t>In cross</w:t>
      </w:r>
      <w:r w:rsidR="008118D9">
        <w:t>-</w:t>
      </w:r>
      <w:r>
        <w:t xml:space="preserve">examination Mr Ellis </w:t>
      </w:r>
      <w:r w:rsidR="008118D9">
        <w:t xml:space="preserve">agreed </w:t>
      </w:r>
      <w:r>
        <w:t>that he sought to dissuade Pinnacle from taking any proceedings against Triangl for trade mark infringement</w:t>
      </w:r>
      <w:r w:rsidR="00522FE4">
        <w:t xml:space="preserve">.  He </w:t>
      </w:r>
      <w:r w:rsidR="005C2D56">
        <w:t xml:space="preserve">said </w:t>
      </w:r>
      <w:r w:rsidR="00522FE4">
        <w:t xml:space="preserve">that </w:t>
      </w:r>
      <w:r w:rsidR="005C2D56">
        <w:t xml:space="preserve">he did so because he considered litigation to </w:t>
      </w:r>
      <w:r w:rsidR="00DE7E5F">
        <w:t xml:space="preserve">be counter-productive in terms of the costs and resources involved  </w:t>
      </w:r>
      <w:r w:rsidR="00A54CE6">
        <w:t xml:space="preserve"> and he wanted to </w:t>
      </w:r>
      <w:r w:rsidR="00DE7E5F">
        <w:t>emphasise to Pinnacle and its lawyers that it would be difficult and expensive for it to pursue Triangl in regar</w:t>
      </w:r>
      <w:r w:rsidR="00C66394">
        <w:t>d to the alleged infringement.</w:t>
      </w:r>
      <w:r w:rsidR="002769DD">
        <w:t xml:space="preserve"> </w:t>
      </w:r>
      <w:r w:rsidR="00B66A8E" w:rsidRPr="00B66A8E">
        <w:t xml:space="preserve"> </w:t>
      </w:r>
      <w:r w:rsidR="005C45B3">
        <w:t xml:space="preserve">I accept </w:t>
      </w:r>
      <w:r w:rsidR="008118D9">
        <w:t xml:space="preserve">that </w:t>
      </w:r>
      <w:r w:rsidR="005C45B3">
        <w:t>evidence.</w:t>
      </w:r>
      <w:r w:rsidR="00D846FC">
        <w:t xml:space="preserve">  I</w:t>
      </w:r>
      <w:r w:rsidR="008118D9">
        <w:t xml:space="preserve"> also</w:t>
      </w:r>
      <w:r w:rsidR="00D846FC">
        <w:t xml:space="preserve"> accept Pinnacle’s contention that Mr Ellis </w:t>
      </w:r>
      <w:r w:rsidR="00D57E6E">
        <w:t xml:space="preserve">likely </w:t>
      </w:r>
      <w:r w:rsidR="00D846FC">
        <w:t>declined to instruct Mr Stern to accept service of the proceeding</w:t>
      </w:r>
      <w:r w:rsidR="00A54CE6">
        <w:t xml:space="preserve"> and that he </w:t>
      </w:r>
      <w:r w:rsidR="00D846FC">
        <w:t xml:space="preserve">did not inform </w:t>
      </w:r>
      <w:r w:rsidR="00A54CE6">
        <w:t xml:space="preserve">Pinnacle’s </w:t>
      </w:r>
      <w:r w:rsidR="00D846FC">
        <w:t xml:space="preserve">solicitors that it (initially) brought </w:t>
      </w:r>
      <w:r w:rsidR="00D846FC" w:rsidRPr="004F520E">
        <w:t xml:space="preserve">the proceeding against the wrong Triangl entity.  </w:t>
      </w:r>
    </w:p>
    <w:p w:rsidR="00DE7E5F" w:rsidRPr="004F520E" w:rsidRDefault="00AF64C2" w:rsidP="004B1791">
      <w:pPr>
        <w:pStyle w:val="ParaNumbering"/>
        <w:tabs>
          <w:tab w:val="num" w:pos="720"/>
        </w:tabs>
        <w:ind w:left="0"/>
      </w:pPr>
      <w:r>
        <w:t>Ultimately</w:t>
      </w:r>
      <w:r w:rsidR="00D57E6E">
        <w:t>,</w:t>
      </w:r>
      <w:r>
        <w:t xml:space="preserve"> </w:t>
      </w:r>
      <w:r w:rsidR="004B1791" w:rsidRPr="004F520E">
        <w:t>Pinnacle</w:t>
      </w:r>
      <w:r>
        <w:t xml:space="preserve"> experienced significant </w:t>
      </w:r>
      <w:r w:rsidR="00DE7E5F" w:rsidRPr="004F520E">
        <w:t>difficulties</w:t>
      </w:r>
      <w:r w:rsidR="005C2D56" w:rsidRPr="004F520E">
        <w:t xml:space="preserve"> in serving the proceeding </w:t>
      </w:r>
      <w:r w:rsidR="004B1791" w:rsidRPr="004F520E">
        <w:t>on Triangl in Hong Kong</w:t>
      </w:r>
      <w:r>
        <w:t xml:space="preserve"> and </w:t>
      </w:r>
      <w:r w:rsidR="005C45B3" w:rsidRPr="004F520E">
        <w:t xml:space="preserve">service was achieved through an order for substituted service. </w:t>
      </w:r>
      <w:r w:rsidR="005C45B3">
        <w:t xml:space="preserve"> </w:t>
      </w:r>
      <w:r w:rsidR="005C2D56" w:rsidRPr="004F520E">
        <w:t>In cross</w:t>
      </w:r>
      <w:r w:rsidR="00D3221E">
        <w:t>-</w:t>
      </w:r>
      <w:r w:rsidR="005C2D56" w:rsidRPr="004F520E">
        <w:t xml:space="preserve">examination </w:t>
      </w:r>
      <w:r w:rsidR="00EF420B" w:rsidRPr="004F520E">
        <w:t xml:space="preserve">Mr Ellis </w:t>
      </w:r>
      <w:r w:rsidR="005C2D56" w:rsidRPr="004F520E">
        <w:t xml:space="preserve">denied </w:t>
      </w:r>
      <w:r w:rsidR="00EF420B" w:rsidRPr="004F520E">
        <w:t xml:space="preserve">that he </w:t>
      </w:r>
      <w:r w:rsidR="005C2D56" w:rsidRPr="004F520E">
        <w:t xml:space="preserve">did not alert Pinnacle to the fact that it had commenced the proceeding against the wrong Triangl entity </w:t>
      </w:r>
      <w:r w:rsidR="00EF420B" w:rsidRPr="004F520E">
        <w:t>because</w:t>
      </w:r>
      <w:r w:rsidR="005C2D56" w:rsidRPr="004F520E">
        <w:t xml:space="preserve"> he </w:t>
      </w:r>
      <w:r w:rsidR="00EF420B" w:rsidRPr="004F520E">
        <w:t xml:space="preserve">wanted to make the case as difficult and expensive as possible for Pinnacle. </w:t>
      </w:r>
      <w:r w:rsidR="00DE7E5F" w:rsidRPr="004F520E">
        <w:t xml:space="preserve"> Mr Ellis said that</w:t>
      </w:r>
      <w:r w:rsidR="005C2D56" w:rsidRPr="004F520E">
        <w:t xml:space="preserve"> the </w:t>
      </w:r>
      <w:r w:rsidR="00DE7E5F" w:rsidRPr="004F520E">
        <w:t xml:space="preserve">last thing he was thinking about was whether Pinnacle was suing the right entity, and in any event the name of the proper respondent and its address appeared on the EDMs.  </w:t>
      </w:r>
      <w:r w:rsidR="005C2D56" w:rsidRPr="004F520E">
        <w:t xml:space="preserve">Essentially he said </w:t>
      </w:r>
      <w:r w:rsidR="004F520E">
        <w:t xml:space="preserve">that </w:t>
      </w:r>
      <w:r w:rsidR="005C2D56" w:rsidRPr="004F520E">
        <w:t>he did not inform Pinnacle of its mistake because he had a lot to do and he had to prioritise his work</w:t>
      </w:r>
      <w:r w:rsidR="00641889" w:rsidRPr="004F520E">
        <w:t>.</w:t>
      </w:r>
      <w:r w:rsidR="004F520E" w:rsidRPr="004F520E">
        <w:t xml:space="preserve"> </w:t>
      </w:r>
      <w:r w:rsidR="00D57E6E">
        <w:t xml:space="preserve"> </w:t>
      </w:r>
      <w:r w:rsidR="005C45B3">
        <w:t xml:space="preserve">I accept the thrust of </w:t>
      </w:r>
      <w:r w:rsidR="005F7D90">
        <w:t>t</w:t>
      </w:r>
      <w:r w:rsidR="005C45B3">
        <w:t>his evidence</w:t>
      </w:r>
      <w:r w:rsidR="005F7D90">
        <w:t xml:space="preserve"> but </w:t>
      </w:r>
      <w:r w:rsidR="00F02192">
        <w:t>I also infer that</w:t>
      </w:r>
      <w:r w:rsidR="005F7D90">
        <w:t xml:space="preserve"> he did not</w:t>
      </w:r>
      <w:r w:rsidR="00F02192">
        <w:t xml:space="preserve"> think </w:t>
      </w:r>
      <w:r w:rsidR="00C35206">
        <w:t>that</w:t>
      </w:r>
      <w:r w:rsidR="005F7D90">
        <w:t xml:space="preserve"> it was his obligation to inform Pinnacle of its mistake</w:t>
      </w:r>
      <w:r w:rsidR="005C45B3">
        <w:t>.</w:t>
      </w:r>
    </w:p>
    <w:p w:rsidR="00E5019B" w:rsidRPr="00E5019B" w:rsidRDefault="00E5019B" w:rsidP="00E5019B">
      <w:pPr>
        <w:pStyle w:val="Heading2"/>
      </w:pPr>
      <w:r w:rsidRPr="00E5019B">
        <w:lastRenderedPageBreak/>
        <w:t>The screenshots obtained through the Wayback Machine</w:t>
      </w:r>
    </w:p>
    <w:p w:rsidR="004F104F" w:rsidRDefault="00E5019B" w:rsidP="004F104F">
      <w:pPr>
        <w:pStyle w:val="ParaNumbering"/>
        <w:tabs>
          <w:tab w:val="num" w:pos="720"/>
        </w:tabs>
        <w:ind w:left="0"/>
      </w:pPr>
      <w:r w:rsidRPr="00E5019B">
        <w:t xml:space="preserve">Triangl sought to rely on the affidavit of Mr Lalande, a </w:t>
      </w:r>
      <w:r w:rsidR="002735EE">
        <w:t>trade mark practitioner</w:t>
      </w:r>
      <w:r w:rsidR="002735EE" w:rsidRPr="00E5019B" w:rsidDel="002735EE">
        <w:t xml:space="preserve"> </w:t>
      </w:r>
      <w:r w:rsidRPr="00E5019B">
        <w:t>with Corrs</w:t>
      </w:r>
      <w:r w:rsidR="005F7D90">
        <w:t>.</w:t>
      </w:r>
      <w:r w:rsidR="002769DD">
        <w:t xml:space="preserve"> </w:t>
      </w:r>
      <w:r w:rsidR="005F7D90">
        <w:t xml:space="preserve"> He deposed </w:t>
      </w:r>
      <w:r w:rsidRPr="00E5019B">
        <w:t xml:space="preserve">that he undertook </w:t>
      </w:r>
      <w:r w:rsidR="00A54CE6">
        <w:t>online</w:t>
      </w:r>
      <w:r w:rsidR="00A54CE6" w:rsidRPr="00E5019B">
        <w:t xml:space="preserve"> </w:t>
      </w:r>
      <w:r w:rsidRPr="00E5019B">
        <w:t>searches in July and August 2018</w:t>
      </w:r>
      <w:r w:rsidR="00F728A3">
        <w:t xml:space="preserve"> </w:t>
      </w:r>
      <w:r w:rsidRPr="00E5019B">
        <w:t xml:space="preserve">to search for historic versions of the websites of a range of women swimwear brands and fashion brands over the period from 2012 until June 2016.  </w:t>
      </w:r>
      <w:r w:rsidR="00F728A3">
        <w:t>To carry out those searches he</w:t>
      </w:r>
      <w:r w:rsidR="005F7D90">
        <w:t xml:space="preserve"> used </w:t>
      </w:r>
      <w:r w:rsidR="00F728A3">
        <w:t xml:space="preserve">the digital library of the Internet Archive, </w:t>
      </w:r>
      <w:r w:rsidR="005F7D90">
        <w:t xml:space="preserve">a not-for-profit organisation, </w:t>
      </w:r>
      <w:r w:rsidR="00F728A3">
        <w:t>which created and operates the website at &lt;</w:t>
      </w:r>
      <w:r w:rsidR="00F728A3" w:rsidRPr="005F7D90">
        <w:t>http://web.archive.org</w:t>
      </w:r>
      <w:r w:rsidR="00F728A3">
        <w:t>&gt; (known as the ‘Wayback Machine’</w:t>
      </w:r>
      <w:r w:rsidR="00B3591F">
        <w:t>)</w:t>
      </w:r>
      <w:r w:rsidR="00F728A3">
        <w:t>.  The Wayback Machine purports to archive pages of the internet such that they can later be accessed</w:t>
      </w:r>
      <w:r w:rsidR="005F7D90">
        <w:t xml:space="preserve"> through a search </w:t>
      </w:r>
      <w:r w:rsidR="00E17C83">
        <w:t>functionality</w:t>
      </w:r>
      <w:r w:rsidR="00F728A3">
        <w:t xml:space="preserve">.  </w:t>
      </w:r>
    </w:p>
    <w:p w:rsidR="00E5019B" w:rsidRPr="00E5019B" w:rsidRDefault="004F104F" w:rsidP="004F104F">
      <w:pPr>
        <w:pStyle w:val="ParaNumbering"/>
        <w:tabs>
          <w:tab w:val="num" w:pos="720"/>
        </w:tabs>
        <w:ind w:left="0"/>
      </w:pPr>
      <w:r>
        <w:t xml:space="preserve">Mr Lalande </w:t>
      </w:r>
      <w:r w:rsidR="00E5019B" w:rsidRPr="00E5019B">
        <w:t>said that:</w:t>
      </w:r>
    </w:p>
    <w:p w:rsidR="00E5019B" w:rsidRPr="00E5019B" w:rsidRDefault="00E5019B" w:rsidP="008D7D39">
      <w:pPr>
        <w:pStyle w:val="ListNo1"/>
        <w:numPr>
          <w:ilvl w:val="0"/>
          <w:numId w:val="56"/>
        </w:numPr>
      </w:pPr>
      <w:r w:rsidRPr="00E5019B">
        <w:t>on 20 July and 25 July 2018 he used the Wayback Machine to carry out searches of the websites of a range of women swimwear brands which sell swimwear in Australia for uses of women’s names as style names in relation to women’s swimwear over the period January 2016 to June 2016.  He took screenshots of pages from those websites and attached them to his affidavit.  If those screenshots are accepted as admissible they show that on various dates over the relevant period women’s swimwear brands named Baku Swimwear, Gypsea Swimwear, Myra Swim, Palm Swimwear, Rip Curl, Tigerlily, and Solid &amp; Striped used women’s names in relation to their swimwear styles.  The screenshots show approximately 45 examples of the use of women’s names as style names; and</w:t>
      </w:r>
    </w:p>
    <w:p w:rsidR="00E5019B" w:rsidRDefault="00E5019B" w:rsidP="008D7D39">
      <w:pPr>
        <w:pStyle w:val="ListNo1"/>
        <w:numPr>
          <w:ilvl w:val="0"/>
          <w:numId w:val="56"/>
        </w:numPr>
      </w:pPr>
      <w:r w:rsidRPr="00E5019B">
        <w:t>on 15 August 2018 he used the Wayback Machine to carry out searches of the websites of the fashion brands referred to by Mr Saunders in his report, over the period when Mr Saunders deposed that those fashion brands were his clients, again for use of women’s names as style names.  He took screenshots of pages from those websites and attached them to his affidavit.  If those pages are accepted as admissible they show that on various dates in 2012, 2013, 2015 and 2016, fashion and footwear brands such as Aje, Crocs, Lee Matthews, Moss &amp; Spy, Triumph and Zambelli used women’s names in relation to women’s clothing and footwear.</w:t>
      </w:r>
    </w:p>
    <w:p w:rsidR="009B4BBC" w:rsidRPr="00E5019B" w:rsidRDefault="009B4BBC" w:rsidP="007B0A55">
      <w:pPr>
        <w:pStyle w:val="ListNo1"/>
        <w:numPr>
          <w:ilvl w:val="0"/>
          <w:numId w:val="0"/>
        </w:numPr>
      </w:pPr>
      <w:r w:rsidRPr="00E5019B">
        <w:t xml:space="preserve">Some of the pages appear to have been aimed at Australian consumers because they carry prices in Australian dollars, and others do not.  I have not had regard to the screenshots that are not </w:t>
      </w:r>
      <w:r>
        <w:t>obviously</w:t>
      </w:r>
      <w:r w:rsidRPr="00E5019B">
        <w:t xml:space="preserve"> directed at Australian consumers.</w:t>
      </w:r>
    </w:p>
    <w:p w:rsidR="00E5019B" w:rsidRDefault="00E5019B" w:rsidP="00274BAE">
      <w:pPr>
        <w:pStyle w:val="ParaNumbering"/>
        <w:tabs>
          <w:tab w:val="num" w:pos="720"/>
        </w:tabs>
        <w:ind w:left="0"/>
      </w:pPr>
      <w:r>
        <w:lastRenderedPageBreak/>
        <w:t>F</w:t>
      </w:r>
      <w:r w:rsidRPr="00E5019B">
        <w:t>rom his searches Mr Lalande tabulated the relevant fashion brand, product type (e.g. bikini top and bottom, silk top, maxi dress or shirt), the women’s name used, and the date of the page he sought to rely on.  The tables</w:t>
      </w:r>
      <w:r w:rsidR="009B4BBC">
        <w:t xml:space="preserve"> are </w:t>
      </w:r>
      <w:r w:rsidRPr="00E5019B">
        <w:t xml:space="preserve">only for clarity and they do not add anything to the information contained in the screenshots. </w:t>
      </w:r>
      <w:r w:rsidR="009F1C6E">
        <w:t xml:space="preserve"> </w:t>
      </w:r>
    </w:p>
    <w:p w:rsidR="004F104F" w:rsidRDefault="004F104F" w:rsidP="004F104F">
      <w:pPr>
        <w:pStyle w:val="ParaNumbering"/>
        <w:tabs>
          <w:tab w:val="num" w:pos="720"/>
        </w:tabs>
        <w:ind w:left="0"/>
      </w:pPr>
      <w:r>
        <w:t>Triangl sought to adduce his evidence for the limited purpose of showing that, up to and including the relevant period, consumers in Australia were used to seeing women’s names used as style names in relation to women’s fashion, including women’s swimwear.</w:t>
      </w:r>
    </w:p>
    <w:p w:rsidR="00E5019B" w:rsidRPr="00E5019B" w:rsidRDefault="00E5019B" w:rsidP="00E5019B">
      <w:pPr>
        <w:pStyle w:val="ParaNumbering"/>
        <w:tabs>
          <w:tab w:val="num" w:pos="720"/>
        </w:tabs>
        <w:ind w:left="0"/>
      </w:pPr>
      <w:r w:rsidRPr="00E5019B">
        <w:t xml:space="preserve">Pinnacle objected to the admissibility of the screenshots and tables on the basis that this evidence </w:t>
      </w:r>
      <w:r w:rsidR="009F1C6E">
        <w:t>wa</w:t>
      </w:r>
      <w:r w:rsidRPr="00E5019B">
        <w:t xml:space="preserve">s inadmissible hearsay under s 59 of the </w:t>
      </w:r>
      <w:r w:rsidRPr="00E5019B">
        <w:rPr>
          <w:i/>
        </w:rPr>
        <w:t>Evidence Act 1995</w:t>
      </w:r>
      <w:r w:rsidRPr="00E5019B">
        <w:t xml:space="preserve"> (Cth) (the </w:t>
      </w:r>
      <w:r w:rsidRPr="00E5019B">
        <w:rPr>
          <w:b/>
        </w:rPr>
        <w:t>Evidence Act</w:t>
      </w:r>
      <w:r w:rsidRPr="00E5019B">
        <w:t>).  Pinnacle argued</w:t>
      </w:r>
      <w:r w:rsidR="009F1C6E">
        <w:t>, in the alternative,</w:t>
      </w:r>
      <w:r w:rsidRPr="00E5019B">
        <w:t xml:space="preserve"> that</w:t>
      </w:r>
      <w:r w:rsidR="009B4BBC">
        <w:t xml:space="preserve"> they </w:t>
      </w:r>
      <w:r w:rsidRPr="00E5019B">
        <w:t xml:space="preserve">should be excluded under the general discretion pursuant to s 135 or their use limited under s 136 to use which does not include establishing that prior to the relevant period traders in Australia actually used the names listed in the course of trade.  </w:t>
      </w:r>
    </w:p>
    <w:p w:rsidR="00E5019B" w:rsidRPr="00E5019B" w:rsidRDefault="00E5019B" w:rsidP="00E5019B">
      <w:pPr>
        <w:pStyle w:val="ParaNumbering"/>
        <w:tabs>
          <w:tab w:val="num" w:pos="720"/>
        </w:tabs>
        <w:ind w:left="0"/>
      </w:pPr>
      <w:r w:rsidRPr="00E5019B">
        <w:t>Triangl</w:t>
      </w:r>
      <w:r w:rsidR="009B4BBC">
        <w:t xml:space="preserve"> contended </w:t>
      </w:r>
      <w:r w:rsidRPr="00E5019B">
        <w:t xml:space="preserve">that the screenshots </w:t>
      </w:r>
      <w:r w:rsidR="006428B7">
        <w:t>were</w:t>
      </w:r>
      <w:r w:rsidR="006428B7" w:rsidRPr="00E5019B">
        <w:t xml:space="preserve"> </w:t>
      </w:r>
      <w:r w:rsidRPr="00E5019B">
        <w:t>not hearsay as it</w:t>
      </w:r>
      <w:r w:rsidR="006428B7">
        <w:t xml:space="preserve"> did </w:t>
      </w:r>
      <w:r w:rsidRPr="00E5019B">
        <w:t xml:space="preserve">not seek to adduce them to prove the truth of their contents.  I do not accept that.  </w:t>
      </w:r>
      <w:r w:rsidR="009F1C6E">
        <w:t>Triangl</w:t>
      </w:r>
      <w:r w:rsidRPr="00E5019B">
        <w:t xml:space="preserve"> relied upon the </w:t>
      </w:r>
      <w:r w:rsidR="009F1C6E">
        <w:t>screenshots</w:t>
      </w:r>
      <w:r w:rsidRPr="00E5019B">
        <w:t xml:space="preserve"> to make out its assertion that, up to and including the relevant period, consumers in Australia were used to seeing women’s names used as style names in relation to women’s fashion, including women’s swimwear.  Each screenshot only assists to establish that asserted fact if its content is accepted as showing that the website of the relevant fashion brand or online retailer marketed items of women’s fashion </w:t>
      </w:r>
      <w:r w:rsidR="004F104F">
        <w:t>or</w:t>
      </w:r>
      <w:r w:rsidR="004F104F" w:rsidRPr="00E5019B">
        <w:t xml:space="preserve"> </w:t>
      </w:r>
      <w:r w:rsidRPr="00E5019B">
        <w:t>swimwear in Australia and used wom</w:t>
      </w:r>
      <w:r w:rsidR="007470D4">
        <w:t>e</w:t>
      </w:r>
      <w:r w:rsidRPr="00E5019B">
        <w:t>n’s names as a style name</w:t>
      </w:r>
      <w:r w:rsidR="007470D4">
        <w:t>s</w:t>
      </w:r>
      <w:r w:rsidRPr="00E5019B">
        <w:t xml:space="preserve"> in relation to those goods.  In my view Triangl sought to use the </w:t>
      </w:r>
      <w:r w:rsidR="006428B7">
        <w:t>screenshots</w:t>
      </w:r>
      <w:r w:rsidRPr="00E5019B">
        <w:t xml:space="preserve"> to prove the truth of their contents. </w:t>
      </w:r>
      <w:r w:rsidR="007470D4">
        <w:t xml:space="preserve"> </w:t>
      </w:r>
      <w:r w:rsidR="006428B7">
        <w:t>They are</w:t>
      </w:r>
      <w:r w:rsidRPr="00E5019B">
        <w:t xml:space="preserve"> evidence of a previous out of court representation by the </w:t>
      </w:r>
      <w:r w:rsidR="006428B7">
        <w:t xml:space="preserve">relevant </w:t>
      </w:r>
      <w:r w:rsidRPr="00E5019B">
        <w:t>fashion house or online retailer to prove the fact asserted by the representation, which is inadmissible unless it falls within one of the exceptions to the hearsay rule.</w:t>
      </w:r>
    </w:p>
    <w:p w:rsidR="004F104F" w:rsidRDefault="009B4BBC" w:rsidP="00E5019B">
      <w:pPr>
        <w:pStyle w:val="ParaNumbering"/>
        <w:tabs>
          <w:tab w:val="num" w:pos="720"/>
        </w:tabs>
        <w:ind w:left="0"/>
      </w:pPr>
      <w:r>
        <w:t xml:space="preserve">There are authorities which provide that such documents do not </w:t>
      </w:r>
      <w:r w:rsidRPr="00E5019B">
        <w:t>fall within the business records exception in s 69 of the Evidence Act</w:t>
      </w:r>
      <w:r>
        <w:t xml:space="preserve"> but, f</w:t>
      </w:r>
      <w:r w:rsidR="004F104F">
        <w:t>or the reasons I explain</w:t>
      </w:r>
      <w:r>
        <w:t>,</w:t>
      </w:r>
      <w:r w:rsidR="00E5019B" w:rsidRPr="00E5019B">
        <w:t xml:space="preserve"> I consider </w:t>
      </w:r>
      <w:r>
        <w:t>that they do</w:t>
      </w:r>
      <w:r w:rsidR="00E5019B" w:rsidRPr="00E5019B">
        <w:t xml:space="preserve">.  </w:t>
      </w:r>
    </w:p>
    <w:p w:rsidR="00E5019B" w:rsidRPr="00E5019B" w:rsidRDefault="00E5019B" w:rsidP="00E5019B">
      <w:pPr>
        <w:pStyle w:val="ParaNumbering"/>
        <w:tabs>
          <w:tab w:val="num" w:pos="720"/>
        </w:tabs>
        <w:ind w:left="0"/>
      </w:pPr>
      <w:r w:rsidRPr="00E5019B">
        <w:t xml:space="preserve">In </w:t>
      </w:r>
      <w:r w:rsidRPr="00E5019B">
        <w:rPr>
          <w:i/>
        </w:rPr>
        <w:t>Roach v Page (No 27)</w:t>
      </w:r>
      <w:r w:rsidRPr="00E5019B">
        <w:t xml:space="preserve"> [2003] NSWSC 1046 (</w:t>
      </w:r>
      <w:r w:rsidRPr="00E5019B">
        <w:rPr>
          <w:b/>
          <w:i/>
        </w:rPr>
        <w:t>Roach v Page (No 27)</w:t>
      </w:r>
      <w:r w:rsidRPr="00E5019B">
        <w:t>), Sperling J held that extracts from websites operated by Irish and Dutch peat exporters, which described the quality control procedures undertaken by</w:t>
      </w:r>
      <w:r w:rsidR="004F104F">
        <w:t xml:space="preserve"> those businesses</w:t>
      </w:r>
      <w:r w:rsidRPr="00E5019B">
        <w:t xml:space="preserve">, constituted inadmissible hearsay.  His Honour referred to his earlier ruling in </w:t>
      </w:r>
      <w:r w:rsidRPr="00E5019B">
        <w:rPr>
          <w:i/>
        </w:rPr>
        <w:t xml:space="preserve">Roach v Page (No 15) </w:t>
      </w:r>
      <w:r w:rsidRPr="00E5019B">
        <w:t xml:space="preserve">[2003] NSWSC 939 in which he </w:t>
      </w:r>
      <w:r w:rsidRPr="00E5019B">
        <w:lastRenderedPageBreak/>
        <w:t xml:space="preserve">had observed that not every publication by a business is a “record of the business” within the meaning of s 69.  In the earlier ruling (at [5] and [6]), Sperling J said: </w:t>
      </w:r>
    </w:p>
    <w:p w:rsidR="00E5019B" w:rsidRPr="00E5019B" w:rsidRDefault="00E5019B" w:rsidP="002B1B74">
      <w:pPr>
        <w:pStyle w:val="Quote1"/>
      </w:pPr>
      <w:r w:rsidRPr="00E5019B">
        <w:t xml:space="preserve">The records of a business are the documents (or other means of holding information) by which activities of the business are recorded.  Business activities so recorded will typically include business operations so recorded, internal communications, and communications between the business and third parties. </w:t>
      </w:r>
    </w:p>
    <w:p w:rsidR="00E5019B" w:rsidRPr="00E5019B" w:rsidRDefault="00E5019B" w:rsidP="002B1B74">
      <w:pPr>
        <w:pStyle w:val="Quote1"/>
        <w:spacing w:after="240"/>
      </w:pPr>
      <w:r w:rsidRPr="00E5019B">
        <w:t xml:space="preserve">On the other hand, where it is a function of a business to publish books, newspapers, magazines, journals (including specialised professional, trade or industry journals), such publications are not records of the business.  They are the product of the business, not a record of its business activities.  Similarly, publications kept by a business such as journals or manuals (say, for reference purposes) are not records of the business. </w:t>
      </w:r>
    </w:p>
    <w:p w:rsidR="00E5019B" w:rsidRPr="00E5019B" w:rsidRDefault="00E5019B" w:rsidP="00E5019B">
      <w:pPr>
        <w:pStyle w:val="ParaNumbering"/>
        <w:tabs>
          <w:tab w:val="num" w:pos="720"/>
        </w:tabs>
        <w:ind w:left="0"/>
      </w:pPr>
      <w:r w:rsidRPr="00E5019B">
        <w:t xml:space="preserve">In </w:t>
      </w:r>
      <w:r w:rsidRPr="00E5019B">
        <w:rPr>
          <w:i/>
        </w:rPr>
        <w:t>Roach v Page (No 27)</w:t>
      </w:r>
      <w:r w:rsidRPr="00E5019B">
        <w:t xml:space="preserve"> Sperling J said (at [9]-[12]): </w:t>
      </w:r>
    </w:p>
    <w:p w:rsidR="00E5019B" w:rsidRPr="00E5019B" w:rsidRDefault="00E5019B" w:rsidP="002B1B74">
      <w:pPr>
        <w:pStyle w:val="Quote1"/>
        <w:rPr>
          <w:lang w:eastAsia="en-AU"/>
        </w:rPr>
      </w:pPr>
      <w:r w:rsidRPr="00E5019B">
        <w:t xml:space="preserve">So far as is presently relevant, it is the recording of business activities in the course of carrying on the business which is critical.  The publication of a book by a business providing a history of the business may record details of the business carried on but it is not a “record of business” within the meaning of s 69.  Similarly, a flyer or a media advertisement or a website publication, extolling the virtues of the business in the way such publications do, is not a record of a business merely because it purportedly records activities of the business. </w:t>
      </w:r>
    </w:p>
    <w:p w:rsidR="00E5019B" w:rsidRPr="00E5019B" w:rsidRDefault="00E5019B" w:rsidP="002B1B74">
      <w:pPr>
        <w:pStyle w:val="Quote1"/>
      </w:pPr>
      <w:r w:rsidRPr="00E5019B">
        <w:t xml:space="preserve">It is necessary to place such a restrictive construction on s 69 because it cannot have been intended that publications of this kind would qualify, any more than it would have been intended that – in the ordinary course – books, magazines or newspapers published by the business would be covered by that section. </w:t>
      </w:r>
    </w:p>
    <w:p w:rsidR="00E5019B" w:rsidRPr="00E5019B" w:rsidRDefault="00E5019B" w:rsidP="002B1B74">
      <w:pPr>
        <w:pStyle w:val="Quote1"/>
      </w:pPr>
      <w:r w:rsidRPr="00E5019B">
        <w:rPr>
          <w:b/>
        </w:rPr>
        <w:t>The thinking behind the section is clear enough.  Things recorded or communicated in the course of the business and constituting or concerning business activities are likely to be correct.  There is good reason for the courts to afford to such records the same kind of reliability as those engaged in business operations customarily do.  The same is not true of publications made for wider dissemination, for entertainment, for advertising or for public relations purposes.  Such publications are justifiably received with healthy scepticism</w:t>
      </w:r>
      <w:r w:rsidRPr="00E5019B">
        <w:t xml:space="preserve">. </w:t>
      </w:r>
    </w:p>
    <w:p w:rsidR="00E5019B" w:rsidRPr="00E5019B" w:rsidRDefault="00E5019B" w:rsidP="002B1B74">
      <w:pPr>
        <w:pStyle w:val="Quote1"/>
      </w:pPr>
      <w:r w:rsidRPr="00E5019B">
        <w:t xml:space="preserve">The publications now tendered are not business records within the meaning of s 69. </w:t>
      </w:r>
    </w:p>
    <w:p w:rsidR="00E5019B" w:rsidRPr="00E5019B" w:rsidRDefault="00E5019B" w:rsidP="002B1B74">
      <w:pPr>
        <w:pStyle w:val="Quote1"/>
        <w:spacing w:after="240"/>
      </w:pPr>
      <w:r w:rsidRPr="00E5019B">
        <w:t>(Emphasis added.)</w:t>
      </w:r>
    </w:p>
    <w:p w:rsidR="00E5019B" w:rsidRPr="00E5019B" w:rsidRDefault="00E5019B" w:rsidP="00E5019B">
      <w:pPr>
        <w:pStyle w:val="ParaNumbering"/>
        <w:tabs>
          <w:tab w:val="num" w:pos="720"/>
        </w:tabs>
        <w:ind w:left="0"/>
      </w:pPr>
      <w:r w:rsidRPr="00E5019B">
        <w:t xml:space="preserve">Sperling J’s reasoning has been cited with approval on many occasions, including in: </w:t>
      </w:r>
      <w:r w:rsidRPr="00E5019B">
        <w:rPr>
          <w:i/>
        </w:rPr>
        <w:t>Hansen Beverage Company v Bickfords (Australia) Pty Ltd</w:t>
      </w:r>
      <w:r w:rsidRPr="00E5019B">
        <w:t xml:space="preserve"> [2008] FCA 406; (2008) 75 IPR 505 at [133] (</w:t>
      </w:r>
      <w:r w:rsidRPr="00E5019B">
        <w:rPr>
          <w:b/>
          <w:i/>
        </w:rPr>
        <w:t>Hansen Beverage</w:t>
      </w:r>
      <w:r w:rsidRPr="00E5019B">
        <w:t xml:space="preserve">) (Middleton J); </w:t>
      </w:r>
      <w:r w:rsidRPr="00E5019B">
        <w:rPr>
          <w:i/>
        </w:rPr>
        <w:t>National Telecoms Group Ltd v John Fairfax Publications Pty Ltd (No 1)</w:t>
      </w:r>
      <w:r w:rsidRPr="00E5019B">
        <w:t xml:space="preserve"> [2011] NSWSC 455 at [70]-[71] (Davies J); </w:t>
      </w:r>
      <w:r w:rsidRPr="00E5019B">
        <w:rPr>
          <w:i/>
        </w:rPr>
        <w:t>McMahon v John Fairfax Publications Pty Ltd (No 4)</w:t>
      </w:r>
      <w:r w:rsidRPr="00E5019B">
        <w:t xml:space="preserve"> [2012] NSWSC 216 at [22]-[26] (McCallum J); and </w:t>
      </w:r>
      <w:r w:rsidRPr="00E5019B">
        <w:rPr>
          <w:i/>
        </w:rPr>
        <w:t>Australian Competition and Consumer Commission v Air New Zealand Limited (No 5)</w:t>
      </w:r>
      <w:r w:rsidRPr="00E5019B">
        <w:t xml:space="preserve"> [2012] FCA 1479; (2012) 301 ALR 352 at [11]-[15] (Perram J).  Pinnacle relied on this line of authorities to argue that the </w:t>
      </w:r>
      <w:r w:rsidR="00E61A39">
        <w:t>screenshots</w:t>
      </w:r>
      <w:r w:rsidR="004F104F">
        <w:t xml:space="preserve"> are not “</w:t>
      </w:r>
      <w:r w:rsidRPr="00E5019B">
        <w:t>business records</w:t>
      </w:r>
      <w:r w:rsidR="004F104F">
        <w:t>” within</w:t>
      </w:r>
      <w:r w:rsidR="00161EF5">
        <w:t xml:space="preserve"> the ambit of</w:t>
      </w:r>
      <w:r w:rsidR="004F104F">
        <w:t xml:space="preserve"> s 69</w:t>
      </w:r>
      <w:r w:rsidRPr="00E5019B">
        <w:t xml:space="preserve">. </w:t>
      </w:r>
    </w:p>
    <w:p w:rsidR="00E5019B" w:rsidRPr="00E5019B" w:rsidRDefault="00E5019B" w:rsidP="00E5019B">
      <w:pPr>
        <w:pStyle w:val="ParaNumbering"/>
        <w:tabs>
          <w:tab w:val="num" w:pos="720"/>
        </w:tabs>
        <w:ind w:left="0"/>
      </w:pPr>
      <w:r w:rsidRPr="00E5019B">
        <w:lastRenderedPageBreak/>
        <w:t>S</w:t>
      </w:r>
      <w:r>
        <w:t>pe</w:t>
      </w:r>
      <w:r w:rsidRPr="00E5019B">
        <w:t>rling J’s remarks in relation to the reliability of representations made on business websites are well made, and there are</w:t>
      </w:r>
      <w:r w:rsidR="00FF046A">
        <w:t xml:space="preserve"> sound </w:t>
      </w:r>
      <w:r w:rsidR="004F104F">
        <w:t xml:space="preserve">policy </w:t>
      </w:r>
      <w:r w:rsidRPr="00E5019B">
        <w:t>reasons for</w:t>
      </w:r>
      <w:r w:rsidR="004F104F">
        <w:t xml:space="preserve"> treating some</w:t>
      </w:r>
      <w:r w:rsidR="00FF046A">
        <w:t xml:space="preserve"> parts of</w:t>
      </w:r>
      <w:r w:rsidRPr="00E5019B">
        <w:t xml:space="preserve"> business website</w:t>
      </w:r>
      <w:r w:rsidR="004F104F">
        <w:t xml:space="preserve">s as not having </w:t>
      </w:r>
      <w:r w:rsidRPr="00E5019B">
        <w:t>the reliability of business records</w:t>
      </w:r>
      <w:r w:rsidR="004F104F">
        <w:t>.  Having said this,</w:t>
      </w:r>
      <w:r w:rsidR="00572B17">
        <w:t xml:space="preserve"> </w:t>
      </w:r>
      <w:r w:rsidR="00FF046A">
        <w:t xml:space="preserve">to decide whether a document is a business record requires </w:t>
      </w:r>
      <w:r w:rsidR="00572B17">
        <w:t>consideration</w:t>
      </w:r>
      <w:r w:rsidR="00FF046A">
        <w:t xml:space="preserve"> of the </w:t>
      </w:r>
      <w:r w:rsidRPr="00E5019B">
        <w:t>type of document in issue</w:t>
      </w:r>
      <w:r w:rsidR="00FF046A">
        <w:t xml:space="preserve"> and its contents</w:t>
      </w:r>
      <w:r w:rsidRPr="00E5019B">
        <w:t xml:space="preserve">.  I respectfully agree with O’Bryan J’s observations in </w:t>
      </w:r>
      <w:r w:rsidRPr="00E5019B">
        <w:rPr>
          <w:i/>
        </w:rPr>
        <w:t>Rodney Jane Racing</w:t>
      </w:r>
      <w:r w:rsidR="0051310D">
        <w:rPr>
          <w:i/>
        </w:rPr>
        <w:t xml:space="preserve"> Pty Ltd v Monster Energy Company </w:t>
      </w:r>
      <w:r w:rsidR="0051310D">
        <w:t>[2019] FCA 923; (2019)</w:t>
      </w:r>
      <w:r w:rsidR="00C6382F">
        <w:t xml:space="preserve"> </w:t>
      </w:r>
      <w:r w:rsidR="0051310D">
        <w:t>42 IPR 275 (</w:t>
      </w:r>
      <w:r w:rsidR="0051310D">
        <w:rPr>
          <w:b/>
          <w:i/>
        </w:rPr>
        <w:t>Rodney Jane Racing</w:t>
      </w:r>
      <w:r w:rsidR="0051310D">
        <w:t>)</w:t>
      </w:r>
      <w:r w:rsidRPr="00E5019B">
        <w:rPr>
          <w:i/>
        </w:rPr>
        <w:t xml:space="preserve"> </w:t>
      </w:r>
      <w:r w:rsidRPr="00E5019B">
        <w:t xml:space="preserve">(at [175]-[177]) where his Honour said: </w:t>
      </w:r>
    </w:p>
    <w:p w:rsidR="00E5019B" w:rsidRPr="00E5019B" w:rsidRDefault="00E5019B" w:rsidP="002B1B74">
      <w:pPr>
        <w:pStyle w:val="Quote1"/>
      </w:pPr>
      <w:r w:rsidRPr="00E5019B">
        <w:t xml:space="preserve">Sperling J’s rulings were, of course, directed to the specific types of documents in issue before him.  In </w:t>
      </w:r>
      <w:r w:rsidRPr="00E5019B">
        <w:rPr>
          <w:i/>
        </w:rPr>
        <w:t>Southern Cross Airports v Chief Cmr of State Revenue</w:t>
      </w:r>
      <w:r w:rsidRPr="00E5019B">
        <w:t xml:space="preserve"> [2011] NSWSC 349, Gzell J cautioned against applying Sperling J’s reasoning as a rule of law in place of the statutory test, stating (at [41]-[44]): </w:t>
      </w:r>
    </w:p>
    <w:p w:rsidR="00E5019B" w:rsidRPr="00E5019B" w:rsidRDefault="00E5019B" w:rsidP="002B1B74">
      <w:pPr>
        <w:pStyle w:val="Quote2"/>
      </w:pPr>
      <w:r w:rsidRPr="00E5019B">
        <w:t xml:space="preserve">I do not understand Sperling J to have spoken categorically about what constituted a business record.  In addition to the documents by which activities of a business are recorded I would include as business records documents relevant to the conduct of the business. </w:t>
      </w:r>
    </w:p>
    <w:p w:rsidR="00E5019B" w:rsidRPr="00E5019B" w:rsidRDefault="00E5019B" w:rsidP="002B1B74">
      <w:pPr>
        <w:pStyle w:val="Quote2"/>
      </w:pPr>
      <w:r w:rsidRPr="00E5019B">
        <w:t xml:space="preserve">The introductory words of s 69(1)(a)(i) of the Evidence Act that the provision applies to a document that is, or forms part of, the records belonging to or kept in the course of, or for the purposes of a business, encompasses more than documents recording the activities of a business. </w:t>
      </w:r>
    </w:p>
    <w:p w:rsidR="00E5019B" w:rsidRPr="00E5019B" w:rsidRDefault="00E5019B" w:rsidP="002B1B74">
      <w:pPr>
        <w:pStyle w:val="Quote2"/>
      </w:pPr>
      <w:r w:rsidRPr="00E5019B">
        <w:t xml:space="preserve">For example, a valuation of the assets of a business for insurance purposes or for the purpose of determining appropriate depreciation rates does not record the activities of a business but it is kept in the course of, or for the purposes of, the business. </w:t>
      </w:r>
    </w:p>
    <w:p w:rsidR="00E5019B" w:rsidRPr="00E5019B" w:rsidRDefault="00E5019B" w:rsidP="002B1B74">
      <w:pPr>
        <w:pStyle w:val="Quote2"/>
      </w:pPr>
      <w:r w:rsidRPr="00E5019B">
        <w:t xml:space="preserve">It is preferable, in my view, not to seek to define a business record but to be guided to a decision whether or not a document is a business record by the terms of the statutory provision itself. </w:t>
      </w:r>
    </w:p>
    <w:p w:rsidR="00E5019B" w:rsidRPr="00E5019B" w:rsidRDefault="00E5019B" w:rsidP="002B1B74">
      <w:pPr>
        <w:pStyle w:val="Quote1"/>
      </w:pPr>
      <w:r w:rsidRPr="00E5019B">
        <w:t xml:space="preserve">Similarly, in </w:t>
      </w:r>
      <w:r w:rsidRPr="00E5019B">
        <w:rPr>
          <w:i/>
        </w:rPr>
        <w:t>Charan v Nationwide News Pty Ltd</w:t>
      </w:r>
      <w:r w:rsidRPr="00E5019B">
        <w:t xml:space="preserve"> [2018] VSC 3, Forrest J observed (at [463]): </w:t>
      </w:r>
    </w:p>
    <w:p w:rsidR="00E5019B" w:rsidRPr="00E5019B" w:rsidRDefault="00E5019B" w:rsidP="002B1B74">
      <w:pPr>
        <w:pStyle w:val="Quote2"/>
      </w:pPr>
      <w:r w:rsidRPr="00E5019B">
        <w:t xml:space="preserve">…the distinction between “product” and “records” is problematic.  It does not appear in the text of s 69(1). The language used in the provision is broad and appears to encompass any documents kept by a person, body or organisation “in the course of, or for the purposes of” a business.  To exclude documents that are part of the records of an organisation, however generated and for whatever purpose under this provision (as opposed to a subsequent discretionary exclusion under s 135) involves, I think, an artificial distinction not covered by the wording of the section. </w:t>
      </w:r>
    </w:p>
    <w:p w:rsidR="00E5019B" w:rsidRPr="00E5019B" w:rsidRDefault="00E5019B" w:rsidP="002B1B74">
      <w:pPr>
        <w:pStyle w:val="Quote1"/>
        <w:spacing w:after="240"/>
      </w:pPr>
      <w:r w:rsidRPr="00E5019B">
        <w:t xml:space="preserve">As recognised by Perram J in both </w:t>
      </w:r>
      <w:r w:rsidRPr="00E5019B">
        <w:rPr>
          <w:i/>
        </w:rPr>
        <w:t>ACCC v Air New Zealand Ltd (No 5)</w:t>
      </w:r>
      <w:r w:rsidRPr="00E5019B">
        <w:t xml:space="preserve"> and </w:t>
      </w:r>
      <w:r w:rsidRPr="00E5019B">
        <w:rPr>
          <w:i/>
        </w:rPr>
        <w:t>Voxson Pty Ltd v Telstra Corporation Ltd (No 10)</w:t>
      </w:r>
      <w:r w:rsidRPr="00E5019B">
        <w:t xml:space="preserve"> (2018) 134 IPR 99 at [37] (</w:t>
      </w:r>
      <w:r w:rsidRPr="00E5019B">
        <w:rPr>
          <w:b/>
          <w:i/>
        </w:rPr>
        <w:t>Voxson</w:t>
      </w:r>
      <w:r w:rsidRPr="00E5019B">
        <w:t xml:space="preserve">), there is no invariable rule that pages of a website are not business records within the meaning of s 69.  Ultimately, whether the results of an internet search can be shown to be a business record within the meaning of s 69 depends upon the content of the webpage and what is able to be established (whether directly or by inference) about the content of the page.  Business records include invoices (as per </w:t>
      </w:r>
      <w:r w:rsidRPr="00E5019B">
        <w:rPr>
          <w:i/>
        </w:rPr>
        <w:t>Asden Developments Pty Ltd (in liq) v Dinoris (No 2)</w:t>
      </w:r>
      <w:r w:rsidRPr="00E5019B">
        <w:t xml:space="preserve"> (2015) 235 FCR 382 at [11]-[16] per Reeves J) and contractual terms and conditions and customer communications (as per </w:t>
      </w:r>
      <w:r w:rsidRPr="00E5019B">
        <w:rPr>
          <w:i/>
        </w:rPr>
        <w:t xml:space="preserve">Dowling v Commonwealth </w:t>
      </w:r>
      <w:r w:rsidRPr="00E5019B">
        <w:rPr>
          <w:i/>
        </w:rPr>
        <w:lastRenderedPageBreak/>
        <w:t>Bank of Australia</w:t>
      </w:r>
      <w:r w:rsidRPr="00E5019B">
        <w:t xml:space="preserve"> [2008] FCA 59 at [13], [15] per Reeves J). </w:t>
      </w:r>
    </w:p>
    <w:p w:rsidR="00E5019B" w:rsidRPr="00E5019B" w:rsidRDefault="00E5019B" w:rsidP="00E5019B">
      <w:pPr>
        <w:pStyle w:val="ParaNumbering"/>
        <w:tabs>
          <w:tab w:val="num" w:pos="720"/>
        </w:tabs>
        <w:ind w:left="0"/>
      </w:pPr>
      <w:r w:rsidRPr="00E5019B">
        <w:t xml:space="preserve">O’Bryan J concluded (at [178]): </w:t>
      </w:r>
    </w:p>
    <w:p w:rsidR="00E5019B" w:rsidRPr="00E5019B" w:rsidRDefault="00E5019B" w:rsidP="002B1B74">
      <w:pPr>
        <w:pStyle w:val="Quote1"/>
      </w:pPr>
      <w:r w:rsidRPr="00E5019B">
        <w:t xml:space="preserve">In my view, </w:t>
      </w:r>
      <w:r w:rsidRPr="002B1B74">
        <w:rPr>
          <w:b/>
        </w:rPr>
        <w:t>documents by which a business offers a product for sale, which typically includes a description of the product and the price and possibly other terms and conditions of the offer, would constitute business records within the meaning of s 69. That would be so whether the documents are made available to potential customers via the company’s website or in the company’s retail store.</w:t>
      </w:r>
      <w:r w:rsidRPr="00E5019B">
        <w:t xml:space="preserve"> However, documents which are merely promotional or descriptive of the activities of a company, such as might be found on an “About Us” link on a website, are unlikely to constitute business records, consistently with the conclusions reached in </w:t>
      </w:r>
      <w:r w:rsidRPr="00E5019B">
        <w:rPr>
          <w:i/>
        </w:rPr>
        <w:t>Roach v Page (No 27)</w:t>
      </w:r>
      <w:r w:rsidRPr="00E5019B">
        <w:t xml:space="preserve"> and </w:t>
      </w:r>
      <w:r w:rsidRPr="00E5019B">
        <w:rPr>
          <w:i/>
        </w:rPr>
        <w:t>ACCC v Air New Zealand (No 5)</w:t>
      </w:r>
      <w:r w:rsidRPr="00E5019B">
        <w:t xml:space="preserve">. </w:t>
      </w:r>
    </w:p>
    <w:p w:rsidR="00E5019B" w:rsidRPr="00E5019B" w:rsidRDefault="00E5019B" w:rsidP="002B1B74">
      <w:pPr>
        <w:pStyle w:val="Quote1"/>
        <w:spacing w:after="240"/>
      </w:pPr>
      <w:r w:rsidRPr="00E5019B">
        <w:t xml:space="preserve">(Emphasis added.) </w:t>
      </w:r>
    </w:p>
    <w:p w:rsidR="00E5019B" w:rsidRDefault="00E5019B" w:rsidP="00C745A4">
      <w:pPr>
        <w:pStyle w:val="ParaNumbering"/>
        <w:tabs>
          <w:tab w:val="num" w:pos="720"/>
        </w:tabs>
        <w:ind w:left="0"/>
      </w:pPr>
      <w:r w:rsidRPr="00E5019B">
        <w:t>Selling goods or services online is now one of the most common methods by which retail commerce is undertaken, and the terms of the transaction are those set out on the website</w:t>
      </w:r>
      <w:r w:rsidR="000727A7">
        <w:t xml:space="preserve"> of the business</w:t>
      </w:r>
      <w:r w:rsidRPr="00E5019B">
        <w:t>.  Th</w:t>
      </w:r>
      <w:r w:rsidR="000727A7">
        <w:t xml:space="preserve">e </w:t>
      </w:r>
      <w:r w:rsidRPr="00E5019B">
        <w:t>part of a business website which offers a particular product for sale under a product name, with a product description and at a specified price is more than “a flyer or a media advertisement or a website publication extolling the virtues of the business”, to use Sperling J’s expression.  It sets out the essential terms of the proposed transaction, which will be completed if the consumer clicks on another button on the website and provides his or her credit card details.  If there is any dispute between the trader and a consumer in relation to the product sold through the website or its price, that part of the website will be central in the determination of that dispute.</w:t>
      </w:r>
      <w:r w:rsidR="004F104F">
        <w:t xml:space="preserve">  In my view it is appropriate </w:t>
      </w:r>
      <w:r w:rsidRPr="00E5019B">
        <w:t xml:space="preserve">to treat </w:t>
      </w:r>
      <w:r w:rsidR="004F104F">
        <w:t xml:space="preserve">the content of </w:t>
      </w:r>
      <w:r w:rsidRPr="00E5019B">
        <w:t>a webpage that sets out the product name, description and price as a business record.  Except perhaps in circumstances of fraud or misleading or deceptive conduct, of which there is no suggestion in the present case, it is hard to see why a business website would offer a product for sale under a product description and name and at a specified price unless that was actually the position.</w:t>
      </w:r>
      <w:r w:rsidR="004F104F">
        <w:t xml:space="preserve">  Such material is likely to be reliable.</w:t>
      </w:r>
    </w:p>
    <w:p w:rsidR="00E5019B" w:rsidRPr="00E5019B" w:rsidRDefault="00FF046A" w:rsidP="00C745A4">
      <w:pPr>
        <w:pStyle w:val="ParaNumbering"/>
        <w:tabs>
          <w:tab w:val="num" w:pos="720"/>
        </w:tabs>
        <w:ind w:left="0"/>
      </w:pPr>
      <w:r>
        <w:t xml:space="preserve">In my view </w:t>
      </w:r>
      <w:r w:rsidR="004F104F">
        <w:t xml:space="preserve">the type of </w:t>
      </w:r>
      <w:r w:rsidR="00E5019B" w:rsidRPr="00E5019B">
        <w:t>screenshots in issue in the present application</w:t>
      </w:r>
      <w:r w:rsidR="004F104F">
        <w:t xml:space="preserve"> fall </w:t>
      </w:r>
      <w:r w:rsidR="00E5019B" w:rsidRPr="00E5019B">
        <w:t xml:space="preserve">within the </w:t>
      </w:r>
      <w:r w:rsidR="0097633F">
        <w:t xml:space="preserve">“business records” </w:t>
      </w:r>
      <w:r w:rsidR="00E5019B" w:rsidRPr="00E5019B">
        <w:t xml:space="preserve">exception </w:t>
      </w:r>
      <w:r w:rsidR="0097633F">
        <w:t xml:space="preserve">to the hearsay rule </w:t>
      </w:r>
      <w:r w:rsidR="00E5019B" w:rsidRPr="00E5019B">
        <w:t>in s 69.</w:t>
      </w:r>
      <w:r w:rsidR="004F104F">
        <w:t xml:space="preserve">  They either are </w:t>
      </w:r>
      <w:r w:rsidR="00E5019B" w:rsidRPr="00E5019B" w:rsidDel="000E0E72">
        <w:t xml:space="preserve">or </w:t>
      </w:r>
      <w:r w:rsidR="00E5019B" w:rsidRPr="00E5019B">
        <w:t>form part of the records belonging to or kept by the relevant fashion house or online retailer in the course of or for the purposes of its business, or at any time was or formed part of such a record.</w:t>
      </w:r>
      <w:r w:rsidR="0097633F">
        <w:t xml:space="preserve">  They </w:t>
      </w:r>
      <w:r w:rsidR="00E5019B" w:rsidRPr="00E5019B">
        <w:t>contain a previous representation as to the product name, description and price made or recorded</w:t>
      </w:r>
      <w:r w:rsidR="0097633F">
        <w:t xml:space="preserve"> on the webpage </w:t>
      </w:r>
      <w:r w:rsidR="00E5019B" w:rsidRPr="00E5019B">
        <w:t>in the course of or for the purposes of</w:t>
      </w:r>
      <w:r w:rsidR="0097633F">
        <w:t xml:space="preserve"> that </w:t>
      </w:r>
      <w:r w:rsidR="00E5019B" w:rsidRPr="00E5019B">
        <w:t xml:space="preserve">business, </w:t>
      </w:r>
      <w:r w:rsidR="00E5019B">
        <w:t>and</w:t>
      </w:r>
      <w:r w:rsidR="00E5019B" w:rsidRPr="00E5019B">
        <w:t xml:space="preserve"> it is appropriate to infer </w:t>
      </w:r>
      <w:r w:rsidR="00E5019B">
        <w:rPr>
          <w:lang w:eastAsia="en-AU"/>
        </w:rPr>
        <w:t>that</w:t>
      </w:r>
      <w:r w:rsidR="0097633F">
        <w:t xml:space="preserve"> information was put on the website </w:t>
      </w:r>
      <w:r w:rsidR="00E5019B" w:rsidRPr="00E5019B">
        <w:t xml:space="preserve">by a person who had or might reasonably be supposed to </w:t>
      </w:r>
      <w:r w:rsidR="00E5019B" w:rsidRPr="00E5019B">
        <w:lastRenderedPageBreak/>
        <w:t xml:space="preserve">have had personal knowledge of the asserted fact, or was made on the basis of information directly or indirectly supplied by such a person. </w:t>
      </w:r>
    </w:p>
    <w:p w:rsidR="00E5019B" w:rsidRPr="00E5019B" w:rsidRDefault="0097633F" w:rsidP="00C745A4">
      <w:pPr>
        <w:pStyle w:val="ParaNumbering"/>
        <w:tabs>
          <w:tab w:val="num" w:pos="720"/>
        </w:tabs>
        <w:ind w:left="0"/>
      </w:pPr>
      <w:r>
        <w:t xml:space="preserve">The question </w:t>
      </w:r>
      <w:r w:rsidR="00E5019B" w:rsidRPr="00E5019B">
        <w:t>is</w:t>
      </w:r>
      <w:r>
        <w:t>, however,</w:t>
      </w:r>
      <w:r w:rsidR="00E5019B" w:rsidRPr="00E5019B">
        <w:t xml:space="preserve"> complicated by the fact that the screenshots (taken in 2018)</w:t>
      </w:r>
      <w:r>
        <w:t xml:space="preserve"> purport to be screenshots </w:t>
      </w:r>
      <w:r w:rsidR="00E5019B" w:rsidRPr="00E5019B">
        <w:t xml:space="preserve">of pages from websites as they appeared between 2012 and 2016, obtained </w:t>
      </w:r>
      <w:r>
        <w:t xml:space="preserve">by </w:t>
      </w:r>
      <w:r w:rsidR="00E5019B" w:rsidRPr="00E5019B">
        <w:t>using the Wayback Machine.  Each screenshot</w:t>
      </w:r>
      <w:r>
        <w:t xml:space="preserve"> purports to be </w:t>
      </w:r>
      <w:r w:rsidR="00E5019B" w:rsidRPr="00E5019B">
        <w:t>a digital copy of a page said by the Internet Archive</w:t>
      </w:r>
      <w:r>
        <w:t xml:space="preserve"> </w:t>
      </w:r>
      <w:r w:rsidR="00E5019B" w:rsidRPr="00E5019B">
        <w:t xml:space="preserve">to have been present on the website of the relevant fashion house or online retailer on the date specified.  Each </w:t>
      </w:r>
      <w:r w:rsidR="0083523D">
        <w:t xml:space="preserve">image </w:t>
      </w:r>
      <w:r>
        <w:t xml:space="preserve">therefore </w:t>
      </w:r>
      <w:r w:rsidR="00E5019B" w:rsidRPr="00E5019B">
        <w:t xml:space="preserve">involves a representation by the Internet Archive that it copied the page into its archive and recorded the date on which it did so and that the page which appears in its archive is the page which existed on that date. </w:t>
      </w:r>
      <w:r w:rsidR="00572B17">
        <w:t xml:space="preserve"> </w:t>
      </w:r>
      <w:r w:rsidR="00E5019B" w:rsidRPr="00E5019B">
        <w:t xml:space="preserve">Triangl </w:t>
      </w:r>
      <w:r w:rsidR="00E61A39">
        <w:t>sought</w:t>
      </w:r>
      <w:r w:rsidR="00E61A39" w:rsidRPr="00E5019B">
        <w:t xml:space="preserve"> </w:t>
      </w:r>
      <w:r w:rsidR="00E5019B" w:rsidRPr="00E5019B">
        <w:t xml:space="preserve">to adduce the screenshots as evidence that those </w:t>
      </w:r>
      <w:r w:rsidR="008F1746">
        <w:t xml:space="preserve">website </w:t>
      </w:r>
      <w:r w:rsidR="00E5019B" w:rsidRPr="00E5019B">
        <w:t>pages were in fact in that form</w:t>
      </w:r>
      <w:r w:rsidR="00572B17">
        <w:t>,</w:t>
      </w:r>
      <w:r w:rsidR="00E5019B" w:rsidRPr="00E5019B">
        <w:t xml:space="preserve"> on those dates.</w:t>
      </w:r>
    </w:p>
    <w:p w:rsidR="00C745A4" w:rsidRDefault="00E5019B" w:rsidP="00C745A4">
      <w:pPr>
        <w:pStyle w:val="ParaNumbering"/>
        <w:tabs>
          <w:tab w:val="num" w:pos="720"/>
        </w:tabs>
        <w:ind w:left="0"/>
      </w:pPr>
      <w:r w:rsidRPr="00E5019B">
        <w:t xml:space="preserve">In </w:t>
      </w:r>
      <w:r w:rsidRPr="00C745A4">
        <w:rPr>
          <w:i/>
        </w:rPr>
        <w:t>Voxson Pty Ltd v Telstra Corporation Limited (No 10)</w:t>
      </w:r>
      <w:r w:rsidRPr="00E5019B">
        <w:t xml:space="preserve"> [2018] FCA 376; (2018) 134 IPR 99 (</w:t>
      </w:r>
      <w:r w:rsidRPr="00C745A4">
        <w:rPr>
          <w:b/>
          <w:i/>
        </w:rPr>
        <w:t>Voxson</w:t>
      </w:r>
      <w:r w:rsidRPr="00E5019B">
        <w:t>) at [35]-[37]</w:t>
      </w:r>
      <w:r w:rsidR="00572B17">
        <w:t xml:space="preserve"> Perram J</w:t>
      </w:r>
      <w:r w:rsidRPr="00E5019B">
        <w:t xml:space="preserve"> considered the admissibility of archived webpages produced by the Wayback Machine, through which Voxson sought to prove the truth of their contents.  His Honour said that this “involves second-hand hearsay: a representation by the operator of the Wayback Machine that the webpages had a particular content on a particular date and a representation by the Respondents by means of the pages in question as to the matters which Voxson seeks to prove.”</w:t>
      </w:r>
    </w:p>
    <w:p w:rsidR="0097633F" w:rsidRDefault="00C745A4" w:rsidP="00C745A4">
      <w:pPr>
        <w:pStyle w:val="ParaNumbering"/>
        <w:tabs>
          <w:tab w:val="num" w:pos="720"/>
        </w:tabs>
        <w:ind w:left="0"/>
      </w:pPr>
      <w:r>
        <w:t>C</w:t>
      </w:r>
      <w:r w:rsidRPr="00C745A4">
        <w:t>opies</w:t>
      </w:r>
      <w:r w:rsidRPr="00E5019B">
        <w:t xml:space="preserve"> of historical versions of webpages obtained by use of the Wayback Machine have been</w:t>
      </w:r>
      <w:r w:rsidR="0097633F">
        <w:t xml:space="preserve"> held </w:t>
      </w:r>
      <w:r w:rsidRPr="00E5019B">
        <w:t xml:space="preserve">to constitute inadmissible hearsay in a number of cases, including </w:t>
      </w:r>
      <w:r w:rsidRPr="00C745A4">
        <w:rPr>
          <w:i/>
        </w:rPr>
        <w:t>E &amp; J Gallo Winery v Lion Nathan Australia Pty Ltd</w:t>
      </w:r>
      <w:r w:rsidRPr="00E5019B">
        <w:t xml:space="preserve"> [2008] FCA 934; (2008) 77 IPR 69 (</w:t>
      </w:r>
      <w:r w:rsidRPr="00C745A4">
        <w:rPr>
          <w:b/>
          <w:i/>
        </w:rPr>
        <w:t>Gallo Winery</w:t>
      </w:r>
      <w:r w:rsidRPr="00E5019B">
        <w:t xml:space="preserve">) at [126]-[127] (Flick J); </w:t>
      </w:r>
      <w:r w:rsidRPr="00C745A4">
        <w:rPr>
          <w:i/>
        </w:rPr>
        <w:t>Shape Shopfitters Pty Ltd v Shape Australia Pty Ltd (No 2)</w:t>
      </w:r>
      <w:r w:rsidRPr="00E5019B">
        <w:t xml:space="preserve"> [2017] FCA 474 (</w:t>
      </w:r>
      <w:r w:rsidRPr="00C745A4">
        <w:rPr>
          <w:b/>
          <w:i/>
        </w:rPr>
        <w:t>Shape Shopfitters</w:t>
      </w:r>
      <w:r w:rsidRPr="00E5019B">
        <w:t xml:space="preserve">) at [21]-[23] (Mortimer J); </w:t>
      </w:r>
      <w:r w:rsidRPr="00C745A4">
        <w:rPr>
          <w:i/>
        </w:rPr>
        <w:t xml:space="preserve">Voxson </w:t>
      </w:r>
      <w:r w:rsidRPr="00E5019B">
        <w:t xml:space="preserve">at [35]-[37] (Perram J) and </w:t>
      </w:r>
      <w:r w:rsidRPr="00C745A4">
        <w:rPr>
          <w:i/>
        </w:rPr>
        <w:t xml:space="preserve">Rodney Jane Racing </w:t>
      </w:r>
      <w:r w:rsidRPr="00E5019B">
        <w:t>at [169], [179].</w:t>
      </w:r>
      <w:r w:rsidR="0097633F">
        <w:t xml:space="preserve">  </w:t>
      </w:r>
    </w:p>
    <w:p w:rsidR="00C745A4" w:rsidRPr="00E5019B" w:rsidRDefault="0097633F" w:rsidP="00C745A4">
      <w:pPr>
        <w:pStyle w:val="ParaNumbering"/>
        <w:tabs>
          <w:tab w:val="num" w:pos="720"/>
        </w:tabs>
        <w:ind w:left="0"/>
      </w:pPr>
      <w:r>
        <w:t xml:space="preserve">I note however that, </w:t>
      </w:r>
      <w:r w:rsidR="00C745A4" w:rsidRPr="00E5019B">
        <w:t xml:space="preserve">in </w:t>
      </w:r>
      <w:r>
        <w:t xml:space="preserve">each of </w:t>
      </w:r>
      <w:r w:rsidR="00C745A4" w:rsidRPr="00E5019B">
        <w:t>those cases</w:t>
      </w:r>
      <w:r>
        <w:t>,</w:t>
      </w:r>
      <w:r w:rsidR="00C745A4" w:rsidRPr="00E5019B">
        <w:t xml:space="preserve"> there was no admissible evidence before the Court as to the operation of the Wayback Machine.  </w:t>
      </w:r>
    </w:p>
    <w:p w:rsidR="00C745A4" w:rsidRPr="00E5019B" w:rsidRDefault="00C745A4" w:rsidP="008D7D39">
      <w:pPr>
        <w:pStyle w:val="ListNo1"/>
        <w:numPr>
          <w:ilvl w:val="0"/>
          <w:numId w:val="57"/>
        </w:numPr>
      </w:pPr>
      <w:r w:rsidRPr="00E5019B">
        <w:t xml:space="preserve">In </w:t>
      </w:r>
      <w:r w:rsidRPr="002B1B74">
        <w:rPr>
          <w:i/>
        </w:rPr>
        <w:t xml:space="preserve">Gallo Winery </w:t>
      </w:r>
      <w:r w:rsidR="008F1746">
        <w:t>Flick J said (at</w:t>
      </w:r>
      <w:r w:rsidR="008F1746" w:rsidRPr="00E5019B">
        <w:t xml:space="preserve"> [124]</w:t>
      </w:r>
      <w:r w:rsidR="008F1746">
        <w:t xml:space="preserve">) </w:t>
      </w:r>
      <w:r w:rsidRPr="00E5019B">
        <w:t>the only material before the Court as to the operation of the Wayback Machine was a page from the Internet Archive website</w:t>
      </w:r>
      <w:r w:rsidR="008F1746">
        <w:t xml:space="preserve"> which</w:t>
      </w:r>
      <w:r w:rsidRPr="00E5019B">
        <w:t xml:space="preserve"> said: </w:t>
      </w:r>
    </w:p>
    <w:p w:rsidR="00C745A4" w:rsidRPr="00E5019B" w:rsidRDefault="00C745A4" w:rsidP="002B1B74">
      <w:pPr>
        <w:pStyle w:val="Quote2"/>
      </w:pPr>
      <w:r w:rsidRPr="00E5019B">
        <w:t xml:space="preserve">The Internet Archive Wayback Machine is a service that allows people to visit archived versions of Web sites.  Visitors to the Wayback Machine can type in a URL, select a date range, and then begin surfing on an archived version of </w:t>
      </w:r>
      <w:r w:rsidRPr="00E5019B">
        <w:lastRenderedPageBreak/>
        <w:t xml:space="preserve">the Web. </w:t>
      </w:r>
    </w:p>
    <w:p w:rsidR="00C745A4" w:rsidRPr="00E5019B" w:rsidRDefault="008F1746" w:rsidP="002B1B74">
      <w:pPr>
        <w:pStyle w:val="ListNo1"/>
        <w:numPr>
          <w:ilvl w:val="0"/>
          <w:numId w:val="0"/>
        </w:numPr>
        <w:ind w:left="720"/>
      </w:pPr>
      <w:r>
        <w:t xml:space="preserve">His Honour </w:t>
      </w:r>
      <w:r w:rsidR="00C745A4" w:rsidRPr="00E5019B">
        <w:t xml:space="preserve">said (at [127]) that: </w:t>
      </w:r>
    </w:p>
    <w:p w:rsidR="00C745A4" w:rsidRPr="00E5019B" w:rsidRDefault="00C745A4" w:rsidP="002B1B74">
      <w:pPr>
        <w:pStyle w:val="Quote2"/>
      </w:pPr>
      <w:r w:rsidRPr="00E5019B">
        <w:t xml:space="preserve">Nothing is known as to the “business” of the “Internet Archive Wayback Machine” other than the hearsay statement itself that it “allows people to visit archived versions of Web sites.”  And nothing is known as to the knowledge of the persons who recorded the information. </w:t>
      </w:r>
    </w:p>
    <w:p w:rsidR="00C745A4" w:rsidRPr="00E5019B" w:rsidRDefault="00C745A4" w:rsidP="008D7D39">
      <w:pPr>
        <w:pStyle w:val="ListNo1"/>
        <w:numPr>
          <w:ilvl w:val="0"/>
          <w:numId w:val="57"/>
        </w:numPr>
      </w:pPr>
      <w:r w:rsidRPr="00E5019B">
        <w:t xml:space="preserve">In </w:t>
      </w:r>
      <w:r w:rsidRPr="00C745A4">
        <w:rPr>
          <w:i/>
        </w:rPr>
        <w:t>Shape</w:t>
      </w:r>
      <w:r w:rsidRPr="00E5019B">
        <w:rPr>
          <w:i/>
        </w:rPr>
        <w:t xml:space="preserve"> Shopfitters </w:t>
      </w:r>
      <w:r w:rsidRPr="00E5019B">
        <w:t xml:space="preserve">(at [23]) Mortimer J said the reasoning adopted by Flick J in </w:t>
      </w:r>
      <w:r w:rsidRPr="00E5019B">
        <w:rPr>
          <w:i/>
        </w:rPr>
        <w:t>Gallo Winery</w:t>
      </w:r>
      <w:r w:rsidRPr="00E5019B">
        <w:t xml:space="preserve"> was applicable in this case because “no evidence has been adduced to this Court in relation to the provenance of the Internet Archive WayBack Machine.” </w:t>
      </w:r>
    </w:p>
    <w:p w:rsidR="00C745A4" w:rsidRPr="00E5019B" w:rsidRDefault="00C745A4" w:rsidP="008D7D39">
      <w:pPr>
        <w:pStyle w:val="ListNo1"/>
        <w:numPr>
          <w:ilvl w:val="0"/>
          <w:numId w:val="57"/>
        </w:numPr>
      </w:pPr>
      <w:r w:rsidRPr="00E5019B">
        <w:t xml:space="preserve">In </w:t>
      </w:r>
      <w:r w:rsidRPr="00E5019B">
        <w:rPr>
          <w:i/>
        </w:rPr>
        <w:t>Voxson</w:t>
      </w:r>
      <w:r w:rsidRPr="00E5019B">
        <w:t xml:space="preserve"> the only information before the Court as to the operation of the Wayback Machine was again a page from the Internet Archive website.  Perram J said (at [37]): </w:t>
      </w:r>
    </w:p>
    <w:p w:rsidR="00C745A4" w:rsidRPr="00E5019B" w:rsidRDefault="00C745A4" w:rsidP="002B1B74">
      <w:pPr>
        <w:pStyle w:val="Quote2"/>
      </w:pPr>
      <w:r w:rsidRPr="00E5019B">
        <w:t xml:space="preserve">An attempt was made to prove some facts about the Wayback Machine from its public information page at archive.org/about.  However, that involves relying on that page for the truth of its contents which is a hearsay use of the material (to which objection was taken). </w:t>
      </w:r>
    </w:p>
    <w:p w:rsidR="00C745A4" w:rsidRPr="00E5019B" w:rsidRDefault="002B1B74" w:rsidP="002B1B74">
      <w:pPr>
        <w:pStyle w:val="ListNo1"/>
        <w:numPr>
          <w:ilvl w:val="0"/>
          <w:numId w:val="0"/>
        </w:numPr>
        <w:ind w:left="720"/>
      </w:pPr>
      <w:r>
        <w:t>and</w:t>
      </w:r>
    </w:p>
    <w:p w:rsidR="00C745A4" w:rsidRDefault="00C745A4" w:rsidP="008D7D39">
      <w:pPr>
        <w:pStyle w:val="ListNo1"/>
        <w:numPr>
          <w:ilvl w:val="0"/>
          <w:numId w:val="57"/>
        </w:numPr>
      </w:pPr>
      <w:r w:rsidRPr="00E5019B">
        <w:t xml:space="preserve">In </w:t>
      </w:r>
      <w:r w:rsidRPr="00E5019B">
        <w:rPr>
          <w:i/>
        </w:rPr>
        <w:t xml:space="preserve">Rodney Jane Racing </w:t>
      </w:r>
      <w:r w:rsidRPr="00E5019B">
        <w:t xml:space="preserve">O’Bryan J said (at [181]) that no evidence had been adduced concerning the business of the Wayback Machine. </w:t>
      </w:r>
    </w:p>
    <w:p w:rsidR="0097633F" w:rsidRPr="0097633F" w:rsidRDefault="0097633F" w:rsidP="0097633F">
      <w:pPr>
        <w:pStyle w:val="NoNum"/>
        <w:rPr>
          <w:szCs w:val="24"/>
          <w:lang w:eastAsia="en-AU"/>
        </w:rPr>
      </w:pPr>
      <w:r>
        <w:t xml:space="preserve">This stands in contrast to the present case where the Court has the evidence of Mr Butler, an employee of </w:t>
      </w:r>
      <w:r w:rsidR="005E07B7">
        <w:t>t</w:t>
      </w:r>
      <w:r w:rsidR="000727A7">
        <w:t xml:space="preserve">he </w:t>
      </w:r>
      <w:r>
        <w:t>Internet Archive, as to the operation of the Wayback Machine</w:t>
      </w:r>
      <w:r w:rsidR="00FF046A">
        <w:t>.</w:t>
      </w:r>
      <w:r w:rsidR="007B0A55">
        <w:t xml:space="preserve"> </w:t>
      </w:r>
      <w:r w:rsidR="00FF046A">
        <w:t xml:space="preserve"> In my view </w:t>
      </w:r>
      <w:r w:rsidR="000727A7">
        <w:t>the</w:t>
      </w:r>
      <w:r>
        <w:t xml:space="preserve"> earlier decisions can be distinguished</w:t>
      </w:r>
      <w:r w:rsidR="00FF046A">
        <w:t xml:space="preserve"> on that basis</w:t>
      </w:r>
      <w:r>
        <w:t xml:space="preserve">. </w:t>
      </w:r>
    </w:p>
    <w:p w:rsidR="00C745A4" w:rsidRPr="00E5019B" w:rsidRDefault="006447CA" w:rsidP="00C745A4">
      <w:pPr>
        <w:pStyle w:val="ParaNumbering"/>
        <w:tabs>
          <w:tab w:val="num" w:pos="720"/>
        </w:tabs>
        <w:ind w:left="0"/>
      </w:pPr>
      <w:r>
        <w:t xml:space="preserve">I consider that </w:t>
      </w:r>
      <w:r w:rsidR="00C745A4" w:rsidRPr="00E5019B">
        <w:t xml:space="preserve">the representation by the Internet Archive </w:t>
      </w:r>
      <w:r w:rsidR="0083523D">
        <w:t xml:space="preserve">– </w:t>
      </w:r>
      <w:r w:rsidR="00C745A4" w:rsidRPr="00E5019B">
        <w:t>that the Wayback Machine copied the relevant webpage into its archive and recorded the date on which it did so, and that the page</w:t>
      </w:r>
      <w:r w:rsidR="0097633F">
        <w:t xml:space="preserve"> retrieved </w:t>
      </w:r>
      <w:r w:rsidR="00C745A4" w:rsidRPr="00E5019B">
        <w:t xml:space="preserve">from its archive is the </w:t>
      </w:r>
      <w:r w:rsidR="00070580">
        <w:t xml:space="preserve">same </w:t>
      </w:r>
      <w:r w:rsidR="00C745A4" w:rsidRPr="00E5019B">
        <w:t>page which existed on that date</w:t>
      </w:r>
      <w:r w:rsidR="0097633F">
        <w:t xml:space="preserve"> </w:t>
      </w:r>
      <w:r w:rsidR="0083523D">
        <w:t>–</w:t>
      </w:r>
      <w:r w:rsidR="00C745A4" w:rsidRPr="00E5019B">
        <w:t xml:space="preserve"> is only hearsay under s 59 if the archiving and retrieval process involved human input. </w:t>
      </w:r>
      <w:r w:rsidR="002769DD">
        <w:t xml:space="preserve"> </w:t>
      </w:r>
      <w:r w:rsidR="00C745A4" w:rsidRPr="00E5019B">
        <w:t xml:space="preserve">That is, that a person or persons was involved in copying and uploading the page to the Internet Archive database or later retrieving it for production. </w:t>
      </w:r>
      <w:r w:rsidR="000727A7">
        <w:t xml:space="preserve"> </w:t>
      </w:r>
      <w:r w:rsidR="00C745A4" w:rsidRPr="00E5019B" w:rsidDel="006B1FB6">
        <w:t xml:space="preserve">Section 59 of the Evidence Act is </w:t>
      </w:r>
      <w:r w:rsidR="00C745A4" w:rsidRPr="00E5019B">
        <w:t xml:space="preserve">concerned with representations “made by a person”.  In Odgers S, </w:t>
      </w:r>
      <w:r w:rsidR="00C745A4" w:rsidRPr="00C745A4">
        <w:rPr>
          <w:i/>
        </w:rPr>
        <w:t>Uniform Evidence Law</w:t>
      </w:r>
      <w:r w:rsidR="00C745A4" w:rsidRPr="00E5019B">
        <w:t>, (14</w:t>
      </w:r>
      <w:r w:rsidR="00C745A4" w:rsidRPr="00C745A4">
        <w:t>th</w:t>
      </w:r>
      <w:r w:rsidR="00C745A4" w:rsidRPr="00E5019B">
        <w:t xml:space="preserve"> ed, Lawbook Co, 2019) at 382 the learned author states “[i]t is clear that this provision does not apply to machine generated information in respect of which there is no relevant human input.” In </w:t>
      </w:r>
      <w:r w:rsidR="00C745A4" w:rsidRPr="00C745A4">
        <w:rPr>
          <w:i/>
        </w:rPr>
        <w:t>Cross on Evidence</w:t>
      </w:r>
      <w:r w:rsidR="00C745A4" w:rsidRPr="00E5019B">
        <w:t xml:space="preserve"> (10th Aust ed, Lexis Nexis Butterworths, 2015) 1,358</w:t>
      </w:r>
      <w:r w:rsidR="00C745A4" w:rsidRPr="00E5019B" w:rsidDel="005F0437">
        <w:t xml:space="preserve"> </w:t>
      </w:r>
      <w:r w:rsidR="00C745A4" w:rsidRPr="00E5019B">
        <w:t>[35560]</w:t>
      </w:r>
      <w:r w:rsidR="00670E23">
        <w:t>,</w:t>
      </w:r>
      <w:r w:rsidR="00C745A4" w:rsidRPr="00E5019B">
        <w:t xml:space="preserve"> Heydon </w:t>
      </w:r>
      <w:r w:rsidR="005247E0">
        <w:t xml:space="preserve">J.D. </w:t>
      </w:r>
      <w:r w:rsidR="00C745A4" w:rsidRPr="00E5019B">
        <w:t xml:space="preserve">similarly states that “the narrow definition of hearsay in s 59 as </w:t>
      </w:r>
      <w:r w:rsidR="00670E23">
        <w:t>‘</w:t>
      </w:r>
      <w:r w:rsidR="00C745A4" w:rsidRPr="00E5019B">
        <w:t xml:space="preserve">evidence of a previous representation made </w:t>
      </w:r>
      <w:r w:rsidR="00C745A4" w:rsidRPr="00C745A4">
        <w:t>by</w:t>
      </w:r>
      <w:r w:rsidR="00C745A4" w:rsidRPr="00E5019B">
        <w:t xml:space="preserve"> </w:t>
      </w:r>
      <w:r w:rsidR="00C745A4" w:rsidRPr="00C745A4">
        <w:t>a person</w:t>
      </w:r>
      <w:r w:rsidR="00670E23">
        <w:t>’</w:t>
      </w:r>
      <w:r w:rsidR="00C745A4" w:rsidRPr="00E5019B">
        <w:t xml:space="preserve"> does not render machine-generated material hearsay” (emphasis in original).  In </w:t>
      </w:r>
      <w:r w:rsidR="00C745A4" w:rsidRPr="00C745A4">
        <w:rPr>
          <w:i/>
        </w:rPr>
        <w:t xml:space="preserve">Australian Competition and Consumer Commission v Meriton Property Services Pty Ltd </w:t>
      </w:r>
      <w:r w:rsidR="00C745A4" w:rsidRPr="00E5019B">
        <w:lastRenderedPageBreak/>
        <w:t xml:space="preserve">[2017] FCA 1305; (2017) 350 ALR 494 at [43] Moshinsky J cited these references with apparent approval.  </w:t>
      </w:r>
    </w:p>
    <w:p w:rsidR="00C745A4" w:rsidRPr="00E5019B" w:rsidRDefault="0097633F" w:rsidP="00C745A4">
      <w:pPr>
        <w:pStyle w:val="ParaNumbering"/>
        <w:tabs>
          <w:tab w:val="num" w:pos="720"/>
        </w:tabs>
        <w:ind w:left="0"/>
      </w:pPr>
      <w:r>
        <w:t>I</w:t>
      </w:r>
      <w:r w:rsidR="00C745A4" w:rsidRPr="00E5019B">
        <w:t xml:space="preserve">f the archive of webpages held within the Internet Archive is </w:t>
      </w:r>
      <w:r w:rsidR="004273DE">
        <w:t xml:space="preserve">automatically </w:t>
      </w:r>
      <w:r w:rsidR="00C745A4" w:rsidRPr="00E5019B">
        <w:t>populated by a software program that crawls the internet, capturing the content of pages as it goes and producing the archived pages on request then, at least insofar as the above representation is concerned, the pages produced by the machine do not fall within the scope of s 59</w:t>
      </w:r>
      <w:r w:rsidR="004273DE">
        <w:t>.  That is because</w:t>
      </w:r>
      <w:r w:rsidR="00C745A4" w:rsidRPr="00E5019B">
        <w:t xml:space="preserve"> they cannot, at least in any meaningful way, be said to be representations made </w:t>
      </w:r>
      <w:r w:rsidR="00C745A4" w:rsidRPr="00E5019B">
        <w:rPr>
          <w:i/>
        </w:rPr>
        <w:t>by a person</w:t>
      </w:r>
      <w:r w:rsidR="00C745A4" w:rsidRPr="00E5019B">
        <w:t xml:space="preserve">: see Gans J, Palmer A and Roberts A, </w:t>
      </w:r>
      <w:r w:rsidR="00C745A4" w:rsidRPr="00E5019B">
        <w:rPr>
          <w:i/>
        </w:rPr>
        <w:t>Uniform Evidence</w:t>
      </w:r>
      <w:r w:rsidR="00C745A4" w:rsidRPr="00E5019B">
        <w:t xml:space="preserve">, (3rd ed, Oxford University Press 2019) [5.2.4].  </w:t>
      </w:r>
    </w:p>
    <w:p w:rsidR="00E5019B" w:rsidRPr="00E5019B" w:rsidRDefault="00E5019B" w:rsidP="00ED7AA3">
      <w:pPr>
        <w:pStyle w:val="ParaNumbering"/>
        <w:tabs>
          <w:tab w:val="num" w:pos="720"/>
        </w:tabs>
        <w:ind w:left="0"/>
      </w:pPr>
      <w:r w:rsidRPr="00E5019B">
        <w:t xml:space="preserve">To establish that the archiving and retrieval of historic webpages by operation of the Wayback Machine does not involve human input Triangl relied on the evidence of Mr Butler, the office manager of the Internet Archive.  He was cross-examined.  Mr Butler said (at paragraphs [2] to [5] of his affidavit): </w:t>
      </w:r>
    </w:p>
    <w:p w:rsidR="00E5019B" w:rsidRPr="00E5019B" w:rsidRDefault="00E5019B" w:rsidP="002B1B74">
      <w:pPr>
        <w:pStyle w:val="Quote1"/>
      </w:pPr>
      <w:r w:rsidRPr="00E5019B">
        <w:t xml:space="preserve">The Internet Archive is a website (located at https://archive.org) that provides access to a digital library of Internet sites and other cultural artefacts in a digital form.  Like a paper library, the Internet Archive provides free access to researchers, historians, scholars, and the general public. … </w:t>
      </w:r>
    </w:p>
    <w:p w:rsidR="00E5019B" w:rsidRPr="00E5019B" w:rsidRDefault="00E5019B" w:rsidP="002B1B74">
      <w:pPr>
        <w:pStyle w:val="Quote1"/>
      </w:pPr>
      <w:r w:rsidRPr="00E5019B">
        <w:t xml:space="preserve">The Internet Archive has created a service known as the Wayback Machine (located at https://web.archive.org).  The Wayback Machine makes it possible to surf more than 400 billion pages stored in the Internet Archive’s web archive.  Visitors to the Wayback Machine can search archives by URL (i.e., a website address).  If archived records for a URL are available, the visitor will be presented with a list of available dates.  The visitor may select one of those dates, and then begin surfing on an archived version of the Web.  The links on the archived files, when served by the Wayback Machine, point to other archived files (whether HTML pages or images).  If a visitor clicks on a link on an archived page, the Wayback Machine will serve the archive file with the closest available date to the page upon which the link appeared and was clicked. </w:t>
      </w:r>
    </w:p>
    <w:p w:rsidR="00E5019B" w:rsidRPr="00E5019B" w:rsidRDefault="00E5019B" w:rsidP="002B1B74">
      <w:pPr>
        <w:pStyle w:val="Quote1"/>
      </w:pPr>
      <w:r w:rsidRPr="00E5019B">
        <w:rPr>
          <w:b/>
        </w:rPr>
        <w:t>The archived data made viewable and browseable by the Wayback Machine is compiled by the Internet Archive using software programs known as crawlers that surf the Web and automatically store copies of website files, preserving these files as they exist at the point of time of capture.</w:t>
      </w:r>
      <w:r w:rsidRPr="00E5019B">
        <w:t xml:space="preserve"> </w:t>
      </w:r>
    </w:p>
    <w:p w:rsidR="00E5019B" w:rsidRPr="00E5019B" w:rsidRDefault="00E5019B" w:rsidP="002B1B74">
      <w:pPr>
        <w:pStyle w:val="Quote1"/>
      </w:pPr>
      <w:r w:rsidRPr="00E5019B">
        <w:t xml:space="preserve">The Internet Archive assigns a URL on its site to the archived files in the format http://web.archive.org/web/[Year in yyyy][Month in mm][Day in dd][Time code in hh:mm:ss]/[Archived URL].  Thus, the Internet Archive URL http://web.archive.org/web/19970126045828/http://www.archive.org/ would be the URL for the record of the Internet Archive homepage HTML file (http://www.archive.org) archived on January 26, 1997 at 4:58 a.m. and 28 seconds (1997/01/26 at 04:58:28).  A web browser may be set such that a printout from it will display the URL of a webpage in the printout’s footer.  The date assigned by the Internet Archive applies to the HTML file but not to image files linked therein.  Thus images that appear on the printed page may not have been archived on the same date as the HTML file.  Likewise, if a website is designed with “frames”, the date assigned </w:t>
      </w:r>
      <w:r w:rsidRPr="00E5019B">
        <w:lastRenderedPageBreak/>
        <w:t xml:space="preserve">by the Internet Archive applies to the frameset as a whole, and not the individual pages within each frame. </w:t>
      </w:r>
    </w:p>
    <w:p w:rsidR="00E5019B" w:rsidRPr="00E5019B" w:rsidRDefault="00E5019B" w:rsidP="002B1B74">
      <w:pPr>
        <w:pStyle w:val="Quote1"/>
        <w:spacing w:after="240"/>
      </w:pPr>
      <w:r w:rsidRPr="00E5019B">
        <w:t>(Emphasis added.)</w:t>
      </w:r>
    </w:p>
    <w:p w:rsidR="00E5019B" w:rsidRPr="00E5019B" w:rsidRDefault="00E5019B" w:rsidP="00C745A4">
      <w:pPr>
        <w:pStyle w:val="ParaNumbering"/>
        <w:tabs>
          <w:tab w:val="num" w:pos="720"/>
        </w:tabs>
        <w:ind w:left="0"/>
      </w:pPr>
      <w:r w:rsidRPr="00E5019B">
        <w:t>Pinnacle objected to the admissibility of paragraphs [4] and [5] of Mr Butler’s affidavit on the basis that they were themselves inadmissible hearsay, or alternatively that they ought be excluded under the general discretion pursuant to s 135</w:t>
      </w:r>
      <w:r w:rsidR="00B3591F">
        <w:t>,</w:t>
      </w:r>
      <w:r w:rsidRPr="00E5019B">
        <w:t xml:space="preserve"> or their use limited under s 136.  The gist of its objection was that Mr Butler did not have personal knowledge </w:t>
      </w:r>
      <w:r w:rsidR="00B3591F">
        <w:t>of</w:t>
      </w:r>
      <w:r w:rsidRPr="00E5019B">
        <w:t xml:space="preserve"> the </w:t>
      </w:r>
      <w:r w:rsidR="00B3591F">
        <w:t xml:space="preserve">precise </w:t>
      </w:r>
      <w:r w:rsidRPr="00E5019B">
        <w:t xml:space="preserve">operation of the Wayback Machine and that his asserted knowledge as to its operation was </w:t>
      </w:r>
      <w:r w:rsidR="00B3591F">
        <w:t>merely</w:t>
      </w:r>
      <w:r w:rsidR="00B3591F" w:rsidRPr="00E5019B">
        <w:t xml:space="preserve"> </w:t>
      </w:r>
      <w:r w:rsidRPr="00E5019B">
        <w:t xml:space="preserve">what he had been told by other persons employed by the Internet Archive.  Pinnacle also contended that Triangl did not establish that the screenshots </w:t>
      </w:r>
      <w:r w:rsidR="00B3591F">
        <w:t>were</w:t>
      </w:r>
      <w:r w:rsidR="00B3591F" w:rsidRPr="00E5019B">
        <w:t xml:space="preserve"> </w:t>
      </w:r>
      <w:r w:rsidRPr="00E5019B">
        <w:t xml:space="preserve">accurate and reliable copies of the webpages as they appeared between 2012 and 2016.  </w:t>
      </w:r>
    </w:p>
    <w:p w:rsidR="00E5019B" w:rsidRDefault="00E5019B" w:rsidP="00C745A4">
      <w:pPr>
        <w:pStyle w:val="ParaNumbering"/>
        <w:tabs>
          <w:tab w:val="num" w:pos="720"/>
        </w:tabs>
        <w:ind w:left="0"/>
      </w:pPr>
      <w:r w:rsidRPr="00E5019B">
        <w:t>Mr Butler testified that he has been the office manager of the Internet Archive for the past nine years, working within the Administration and Finance division of the organisation, which is a different division to the division responsible for the web archiving program.</w:t>
      </w:r>
      <w:r w:rsidR="002769DD">
        <w:t xml:space="preserve"> </w:t>
      </w:r>
      <w:r w:rsidRPr="00E5019B">
        <w:t xml:space="preserve"> Th</w:t>
      </w:r>
      <w:r w:rsidR="00B3591F">
        <w:t>e</w:t>
      </w:r>
      <w:r w:rsidRPr="00E5019B">
        <w:t xml:space="preserve"> </w:t>
      </w:r>
      <w:r w:rsidR="00B3591F">
        <w:t xml:space="preserve">latter </w:t>
      </w:r>
      <w:r w:rsidRPr="00E5019B">
        <w:t>division has specialist engineers responsible for creating and maintaining the web crawler programs and systems.</w:t>
      </w:r>
      <w:r w:rsidR="00FF046A">
        <w:t xml:space="preserve"> </w:t>
      </w:r>
      <w:r w:rsidR="007B0A55">
        <w:t xml:space="preserve"> </w:t>
      </w:r>
      <w:r w:rsidR="00FF046A">
        <w:t xml:space="preserve">He said </w:t>
      </w:r>
      <w:r w:rsidRPr="00E5019B">
        <w:t>that he does not have any responsibility for</w:t>
      </w:r>
      <w:r w:rsidR="00B3591F">
        <w:t>,</w:t>
      </w:r>
      <w:r w:rsidRPr="00E5019B">
        <w:t xml:space="preserve"> nor the professional capability to perform</w:t>
      </w:r>
      <w:r w:rsidR="00293F59">
        <w:t>,</w:t>
      </w:r>
      <w:r w:rsidRPr="00E5019B">
        <w:t xml:space="preserve"> computer programming</w:t>
      </w:r>
      <w:r w:rsidR="00E61A39">
        <w:t>.  He does not</w:t>
      </w:r>
      <w:r w:rsidRPr="00E5019B">
        <w:t xml:space="preserve"> design or maintain the programs used within the web archiving division and he does not work on or understand the comput</w:t>
      </w:r>
      <w:r w:rsidR="00293F59">
        <w:t>ing</w:t>
      </w:r>
      <w:r w:rsidRPr="00E5019B">
        <w:t xml:space="preserve"> code</w:t>
      </w:r>
      <w:r w:rsidR="00E61A39">
        <w:t>s</w:t>
      </w:r>
      <w:r w:rsidRPr="00E5019B">
        <w:t xml:space="preserve"> or algorithms behind the web crawler programs.  </w:t>
      </w:r>
    </w:p>
    <w:p w:rsidR="00C745A4" w:rsidRDefault="00C745A4" w:rsidP="00C745A4">
      <w:pPr>
        <w:pStyle w:val="ParaNumbering"/>
        <w:tabs>
          <w:tab w:val="num" w:pos="720"/>
        </w:tabs>
        <w:ind w:left="0"/>
      </w:pPr>
      <w:r w:rsidRPr="00E5019B">
        <w:t>It is clear that there would be persons employed by the Internet Archive who would be better placed than Mr Butler to give evidence about the operation of the Wayback Machine, but for its own operational reasons the Internet Archive makes</w:t>
      </w:r>
      <w:r w:rsidR="006428B7">
        <w:t xml:space="preserve"> only</w:t>
      </w:r>
      <w:r w:rsidRPr="00E5019B">
        <w:t xml:space="preserve"> Mr Butler available to give such evidence.  He said that he has given depositions regarding the Wayback Machine on approximately 25 to 30 occasions and that he has handled all of the requests for such testimony since early 2009. </w:t>
      </w:r>
      <w:r w:rsidR="0083523D">
        <w:t xml:space="preserve"> </w:t>
      </w:r>
      <w:r w:rsidRPr="00E5019B">
        <w:t>While it would have been better if one of the Internet Archive’s computer engineers gave evidence about the Wayback Machine’s operation</w:t>
      </w:r>
      <w:r w:rsidR="001E7AAC">
        <w:t>,</w:t>
      </w:r>
      <w:r w:rsidRPr="00E5019B">
        <w:t xml:space="preserve"> I consider Mr Butler's evidence to be sufficient to establish that there is no relevant human input in the archiving and retrieval of webpages by the Wayback Machine.</w:t>
      </w:r>
    </w:p>
    <w:p w:rsidR="00C745A4" w:rsidRPr="00E5019B" w:rsidRDefault="00FF046A" w:rsidP="00C745A4">
      <w:pPr>
        <w:pStyle w:val="ParaNumbering"/>
        <w:tabs>
          <w:tab w:val="num" w:pos="720"/>
        </w:tabs>
        <w:ind w:left="0"/>
      </w:pPr>
      <w:r>
        <w:t xml:space="preserve">Essentially this is because </w:t>
      </w:r>
      <w:r w:rsidR="00C745A4" w:rsidRPr="00E5019B">
        <w:t>Mr Butler deposed that he made his affidavit from his own personal knowledge save where stated otherwise or where the context indicated to the contrary.  He</w:t>
      </w:r>
      <w:r>
        <w:t xml:space="preserve"> said </w:t>
      </w:r>
      <w:r w:rsidR="00C745A4" w:rsidRPr="00E5019B">
        <w:t xml:space="preserve">that the Wayback Machine uses “software programs known as crawlers that surf the Web and automatically store copies of website files, preserving these files as they exist at the point of </w:t>
      </w:r>
      <w:r w:rsidR="00C745A4" w:rsidRPr="00E5019B">
        <w:lastRenderedPageBreak/>
        <w:t xml:space="preserve">time of capture.”  </w:t>
      </w:r>
      <w:r>
        <w:t xml:space="preserve">He was cross-examined and the </w:t>
      </w:r>
      <w:r w:rsidR="00C745A4" w:rsidRPr="00E5019B">
        <w:t>thrust of his</w:t>
      </w:r>
      <w:r w:rsidR="00760BE9">
        <w:t xml:space="preserve"> evidence</w:t>
      </w:r>
      <w:r>
        <w:t xml:space="preserve"> remained </w:t>
      </w:r>
      <w:r w:rsidR="00C745A4" w:rsidRPr="00E5019B">
        <w:t xml:space="preserve">that, on the basis of his own experience, he was not aware of any human action involved in the archiving process once a web crawler has found a particular web page, and that there was no human intervention in the process of a web crawler actively requesting a record and storing it along with the attendant metadata that web crawlers usually gather so that the record can be preserved and later incorporated into a search.  </w:t>
      </w:r>
    </w:p>
    <w:p w:rsidR="00E5019B" w:rsidRDefault="00E5019B" w:rsidP="00C745A4">
      <w:pPr>
        <w:pStyle w:val="ParaNumbering"/>
        <w:tabs>
          <w:tab w:val="num" w:pos="720"/>
        </w:tabs>
        <w:ind w:left="0"/>
      </w:pPr>
      <w:r w:rsidRPr="00E5019B">
        <w:t>Mr Butler was a credible witness and he readily made concessions about the gaps in his knowledge</w:t>
      </w:r>
      <w:r w:rsidR="00760BE9">
        <w:t xml:space="preserve"> including by conceding that </w:t>
      </w:r>
      <w:r w:rsidRPr="00E5019B">
        <w:t>he does not have personal knowledge of the computer code or algorithms lying behind the web crawlers’ operations</w:t>
      </w:r>
      <w:r w:rsidR="00760BE9">
        <w:t>.</w:t>
      </w:r>
      <w:r w:rsidR="001E7AAC">
        <w:t xml:space="preserve"> </w:t>
      </w:r>
      <w:r w:rsidR="00760BE9">
        <w:t xml:space="preserve"> B</w:t>
      </w:r>
      <w:r w:rsidRPr="00E5019B">
        <w:t xml:space="preserve">ut that does not mean that he does not know, from his </w:t>
      </w:r>
      <w:r w:rsidR="003E7EB4">
        <w:t xml:space="preserve">own </w:t>
      </w:r>
      <w:r w:rsidRPr="00E5019B">
        <w:t xml:space="preserve">personal knowledge, that the Wayback Machine </w:t>
      </w:r>
      <w:r w:rsidRPr="00A06C53">
        <w:rPr>
          <w:i/>
        </w:rPr>
        <w:t>automatically</w:t>
      </w:r>
      <w:r w:rsidRPr="00E5019B">
        <w:t xml:space="preserve"> archives and retrieve webpages, that is, without relevant human input.  </w:t>
      </w:r>
    </w:p>
    <w:p w:rsidR="00760BE9" w:rsidRDefault="00760BE9" w:rsidP="00C745A4">
      <w:pPr>
        <w:pStyle w:val="ParaNumbering"/>
        <w:tabs>
          <w:tab w:val="num" w:pos="720"/>
        </w:tabs>
        <w:ind w:left="0"/>
      </w:pPr>
      <w:r>
        <w:t xml:space="preserve">He </w:t>
      </w:r>
      <w:r w:rsidR="00C745A4" w:rsidRPr="00E5019B">
        <w:t xml:space="preserve">has been employed as the office manager of the Internet Archive for nine years and it is appropriate to infer from his position and the length of his employment that he would know whether or not the organisation employs people to undertake duties </w:t>
      </w:r>
      <w:r>
        <w:t xml:space="preserve">which involve </w:t>
      </w:r>
      <w:r w:rsidR="00C745A4" w:rsidRPr="00E5019B">
        <w:t xml:space="preserve">archiving and retrieving webpages, and appropriate to conclude that he has a proper basis for his </w:t>
      </w:r>
      <w:r w:rsidR="005247E0">
        <w:t>evidence</w:t>
      </w:r>
      <w:r w:rsidR="005247E0" w:rsidRPr="00E5019B">
        <w:t xml:space="preserve"> </w:t>
      </w:r>
      <w:r w:rsidR="00C745A4" w:rsidRPr="00E5019B">
        <w:t xml:space="preserve">that the </w:t>
      </w:r>
      <w:r w:rsidR="00C55087">
        <w:t>work</w:t>
      </w:r>
      <w:r w:rsidR="005247E0">
        <w:t xml:space="preserve"> involved</w:t>
      </w:r>
      <w:r w:rsidR="00C55087" w:rsidRPr="00E5019B">
        <w:t xml:space="preserve"> </w:t>
      </w:r>
      <w:r w:rsidR="005247E0">
        <w:t>in</w:t>
      </w:r>
      <w:r w:rsidR="00C55087">
        <w:t xml:space="preserve"> undertaking such </w:t>
      </w:r>
      <w:r w:rsidR="005247E0">
        <w:t>tasks at the Internet Archive</w:t>
      </w:r>
      <w:r w:rsidR="00C55087">
        <w:t xml:space="preserve"> </w:t>
      </w:r>
      <w:r w:rsidR="00C745A4" w:rsidRPr="00E5019B">
        <w:t>does not involve</w:t>
      </w:r>
      <w:r w:rsidR="00C55087">
        <w:t xml:space="preserve"> </w:t>
      </w:r>
      <w:r w:rsidR="005247E0">
        <w:t>human input</w:t>
      </w:r>
      <w:r w:rsidR="00C745A4" w:rsidRPr="00E5019B">
        <w:t xml:space="preserve">.  </w:t>
      </w:r>
    </w:p>
    <w:p w:rsidR="00760BE9" w:rsidRDefault="00FF046A" w:rsidP="00C745A4">
      <w:pPr>
        <w:pStyle w:val="ParaNumbering"/>
        <w:tabs>
          <w:tab w:val="num" w:pos="720"/>
        </w:tabs>
        <w:ind w:left="0"/>
      </w:pPr>
      <w:r>
        <w:t xml:space="preserve">Other </w:t>
      </w:r>
      <w:r w:rsidR="00760BE9">
        <w:t>aspects of his evidence also show that h</w:t>
      </w:r>
      <w:r w:rsidR="00C745A4" w:rsidRPr="00E5019B">
        <w:t>is knowledge about the Wayback Machine</w:t>
      </w:r>
      <w:r w:rsidR="00760BE9">
        <w:t xml:space="preserve"> is </w:t>
      </w:r>
      <w:r w:rsidR="00C745A4" w:rsidRPr="00E5019B">
        <w:t>not limited to what had been told by others.  He said that he had operated a web crawler through an interface that the organisation provided to its partners and</w:t>
      </w:r>
      <w:r w:rsidR="003E7EB4">
        <w:t xml:space="preserve"> that</w:t>
      </w:r>
      <w:r w:rsidR="00C745A4" w:rsidRPr="00E5019B">
        <w:t xml:space="preserve"> he had archived individual pages </w:t>
      </w:r>
      <w:r>
        <w:t>(</w:t>
      </w:r>
      <w:r w:rsidR="00C745A4" w:rsidRPr="00E5019B">
        <w:t>which I understood to be an interface provided to show how a web</w:t>
      </w:r>
      <w:r w:rsidR="003E7EB4">
        <w:t xml:space="preserve"> </w:t>
      </w:r>
      <w:r w:rsidR="00C745A4" w:rsidRPr="00E5019B">
        <w:t>crawler operates rather than a contradiction of his express evidence that the archiving and retrieval of webpages did not involve relevant human input</w:t>
      </w:r>
      <w:r>
        <w:t>)</w:t>
      </w:r>
      <w:r w:rsidR="00C745A4" w:rsidRPr="00E5019B">
        <w:t xml:space="preserve">.  Mr Butler also said that, while he did not have the professional capacity to check within the computer system, he had on various occasions personally checked that the Wayback Machine took the user to the closest archived file to the date searched.  </w:t>
      </w:r>
    </w:p>
    <w:p w:rsidR="00C745A4" w:rsidRPr="00E5019B" w:rsidRDefault="00760BE9" w:rsidP="00C745A4">
      <w:pPr>
        <w:pStyle w:val="ParaNumbering"/>
        <w:tabs>
          <w:tab w:val="num" w:pos="720"/>
        </w:tabs>
        <w:ind w:left="0"/>
      </w:pPr>
      <w:r w:rsidRPr="00E5019B">
        <w:t xml:space="preserve">I can see no proper basis to treat Mr Butler’s evidence as inadmissible hearsay, </w:t>
      </w:r>
      <w:r>
        <w:t xml:space="preserve">nor </w:t>
      </w:r>
      <w:r w:rsidRPr="00E5019B">
        <w:t>to exclude it under s 136 on the basis that its probative value is substantially outweighed by the danger that it might be unfairly prejudicial to Pinnacle</w:t>
      </w:r>
      <w:r>
        <w:t>,</w:t>
      </w:r>
      <w:r w:rsidRPr="00E5019B">
        <w:t xml:space="preserve"> or to limit its use under s 135 because of the danger that the evidence might be unfairly prejudicial to Pinnacle.</w:t>
      </w:r>
      <w:r w:rsidR="00FF046A">
        <w:t xml:space="preserve"> </w:t>
      </w:r>
      <w:r w:rsidR="007B0A55">
        <w:t xml:space="preserve"> </w:t>
      </w:r>
      <w:r w:rsidR="00FF046A">
        <w:t xml:space="preserve">On </w:t>
      </w:r>
      <w:r w:rsidR="00C745A4" w:rsidRPr="00E5019B">
        <w:t xml:space="preserve">the basis of his evidence I am satisfied that there is no relevant human input in the archiving and retrieval of webpages </w:t>
      </w:r>
      <w:r w:rsidR="00C745A4" w:rsidRPr="00E5019B">
        <w:lastRenderedPageBreak/>
        <w:t>by the Wayback Machine</w:t>
      </w:r>
      <w:r w:rsidR="00C55087">
        <w:t>.</w:t>
      </w:r>
      <w:r>
        <w:t xml:space="preserve"> </w:t>
      </w:r>
      <w:r w:rsidR="00C55087">
        <w:t>T</w:t>
      </w:r>
      <w:r>
        <w:t>he screenshots Triangl sought to adduce through Mr Lalande are not inadmissible hearsay</w:t>
      </w:r>
      <w:r w:rsidR="00C745A4" w:rsidRPr="00E5019B">
        <w:t xml:space="preserve">.  </w:t>
      </w:r>
    </w:p>
    <w:p w:rsidR="00C745A4" w:rsidRPr="00E5019B" w:rsidRDefault="00C55087" w:rsidP="00C745A4">
      <w:pPr>
        <w:pStyle w:val="ParaNumbering"/>
        <w:tabs>
          <w:tab w:val="num" w:pos="720"/>
        </w:tabs>
        <w:ind w:left="0"/>
      </w:pPr>
      <w:r>
        <w:t xml:space="preserve">Nor do I </w:t>
      </w:r>
      <w:r w:rsidR="00760BE9">
        <w:t xml:space="preserve">accept Pinnacle's contention that </w:t>
      </w:r>
      <w:r w:rsidR="00C745A4" w:rsidRPr="00E5019B">
        <w:t>the screenshots</w:t>
      </w:r>
      <w:r w:rsidR="00760BE9">
        <w:t xml:space="preserve"> and </w:t>
      </w:r>
      <w:r w:rsidR="00C745A4" w:rsidRPr="00E5019B">
        <w:t xml:space="preserve">the tables </w:t>
      </w:r>
      <w:r w:rsidR="00760BE9">
        <w:t xml:space="preserve">Mr Lalande </w:t>
      </w:r>
      <w:r w:rsidR="00C745A4" w:rsidRPr="00E5019B">
        <w:t>created from them should be excluded</w:t>
      </w:r>
      <w:r>
        <w:t xml:space="preserve"> pursuant to </w:t>
      </w:r>
      <w:r w:rsidR="00760BE9">
        <w:t xml:space="preserve">the discretion </w:t>
      </w:r>
      <w:r>
        <w:t>in</w:t>
      </w:r>
      <w:r w:rsidR="0083523D">
        <w:t xml:space="preserve"> </w:t>
      </w:r>
      <w:r w:rsidR="00C745A4" w:rsidRPr="00E5019B">
        <w:t>s 135</w:t>
      </w:r>
      <w:r w:rsidR="00C753BC">
        <w:t>,</w:t>
      </w:r>
      <w:r w:rsidR="00C745A4" w:rsidRPr="00E5019B">
        <w:t xml:space="preserve"> or that the use of that evidence should be limited under s 136.</w:t>
      </w:r>
      <w:r w:rsidR="00760BE9">
        <w:t xml:space="preserve"> </w:t>
      </w:r>
    </w:p>
    <w:p w:rsidR="00E5019B" w:rsidRPr="00E5019B" w:rsidRDefault="00E5019B" w:rsidP="00C745A4">
      <w:pPr>
        <w:pStyle w:val="ParaNumbering"/>
        <w:tabs>
          <w:tab w:val="num" w:pos="720"/>
        </w:tabs>
        <w:ind w:left="0"/>
      </w:pPr>
      <w:r w:rsidRPr="00E5019B">
        <w:t xml:space="preserve">Pinnacle’s contention that the screenshots should not be considered to be reliable copies of the webpages as they appeared at the time has little merit when one has regard to the limited purpose for which Triangl relied on them.  </w:t>
      </w:r>
      <w:r w:rsidR="00760BE9">
        <w:t xml:space="preserve">While </w:t>
      </w:r>
      <w:r w:rsidRPr="00E5019B">
        <w:t>Mr Butler accepted that it is possible for the Wayback Machine to reproduce historic pages which do not include all of the archived external links, and that it is possible for images to become separated from text</w:t>
      </w:r>
      <w:r w:rsidR="00760BE9">
        <w:t>, t</w:t>
      </w:r>
      <w:r w:rsidRPr="00E5019B">
        <w:t>he presence or absence of any external links and the possibility that images could be separated from text is of no significance in the present case.  Each screenshot is only advanced to show that as at the date recorded the relevant website advertised an item of women’s apparel or swimwear using a woman’s name as a style name.</w:t>
      </w:r>
    </w:p>
    <w:p w:rsidR="00CA071B" w:rsidRPr="0083523D" w:rsidRDefault="00FF046A" w:rsidP="00C745A4">
      <w:pPr>
        <w:pStyle w:val="ParaNumbering"/>
        <w:tabs>
          <w:tab w:val="num" w:pos="720"/>
        </w:tabs>
        <w:ind w:left="0"/>
      </w:pPr>
      <w:r>
        <w:t>R</w:t>
      </w:r>
      <w:r w:rsidR="00CA071B">
        <w:t xml:space="preserve">ecently, in </w:t>
      </w:r>
      <w:r w:rsidR="00E5019B" w:rsidRPr="00E5019B">
        <w:rPr>
          <w:i/>
          <w:lang w:val="en-US"/>
        </w:rPr>
        <w:t>Dyno Nobel Inc v Orica Explosives Technology Pty Ltd (No 2)</w:t>
      </w:r>
      <w:r w:rsidR="00E5019B" w:rsidRPr="00E5019B">
        <w:rPr>
          <w:lang w:val="en-US"/>
        </w:rPr>
        <w:t xml:space="preserve"> [2019] FCA 1552</w:t>
      </w:r>
      <w:r w:rsidR="00CA071B">
        <w:rPr>
          <w:lang w:val="en-US"/>
        </w:rPr>
        <w:t xml:space="preserve"> </w:t>
      </w:r>
      <w:r w:rsidR="00CA071B" w:rsidRPr="00E5019B">
        <w:rPr>
          <w:lang w:val="en-US"/>
        </w:rPr>
        <w:t>at [9]</w:t>
      </w:r>
      <w:r w:rsidR="00CA071B">
        <w:rPr>
          <w:lang w:val="en-US"/>
        </w:rPr>
        <w:t>,</w:t>
      </w:r>
      <w:r w:rsidR="00E5019B" w:rsidRPr="00E5019B">
        <w:rPr>
          <w:lang w:val="en-US"/>
        </w:rPr>
        <w:t xml:space="preserve"> Burley J </w:t>
      </w:r>
      <w:r w:rsidR="00CA071B">
        <w:rPr>
          <w:lang w:val="en-US"/>
        </w:rPr>
        <w:t xml:space="preserve">held </w:t>
      </w:r>
      <w:r w:rsidR="00CA071B" w:rsidRPr="00E5019B">
        <w:rPr>
          <w:lang w:val="en-US"/>
        </w:rPr>
        <w:t xml:space="preserve">that </w:t>
      </w:r>
      <w:r w:rsidR="00CA071B">
        <w:rPr>
          <w:lang w:val="en-US"/>
        </w:rPr>
        <w:t xml:space="preserve">printouts of </w:t>
      </w:r>
      <w:r w:rsidR="00CA071B" w:rsidRPr="00E5019B">
        <w:rPr>
          <w:lang w:val="en-US"/>
        </w:rPr>
        <w:t>pages</w:t>
      </w:r>
      <w:r w:rsidR="00CA071B">
        <w:rPr>
          <w:lang w:val="en-US"/>
        </w:rPr>
        <w:t xml:space="preserve"> obtained by using </w:t>
      </w:r>
      <w:r w:rsidR="00CA071B" w:rsidRPr="00E5019B">
        <w:rPr>
          <w:lang w:val="en-US"/>
        </w:rPr>
        <w:t>the Wayback Machine</w:t>
      </w:r>
      <w:r w:rsidR="00CA071B">
        <w:rPr>
          <w:lang w:val="en-US"/>
        </w:rPr>
        <w:t xml:space="preserve"> constitute </w:t>
      </w:r>
      <w:r w:rsidR="00CA071B" w:rsidRPr="00E5019B">
        <w:rPr>
          <w:lang w:val="en-US"/>
        </w:rPr>
        <w:t>hearsay</w:t>
      </w:r>
      <w:r w:rsidR="00CA071B">
        <w:rPr>
          <w:lang w:val="en-US"/>
        </w:rPr>
        <w:t xml:space="preserve">.  While his Honour </w:t>
      </w:r>
      <w:r w:rsidR="00CA071B" w:rsidRPr="00E5019B">
        <w:rPr>
          <w:lang w:val="en-US"/>
        </w:rPr>
        <w:t>had evidence from Mr Butler regarding the operation of the Wayback Machine</w:t>
      </w:r>
      <w:r w:rsidR="00CA071B">
        <w:rPr>
          <w:lang w:val="en-US"/>
        </w:rPr>
        <w:t xml:space="preserve"> it does not appear that he was asked to consider whether the printouts did not constitute </w:t>
      </w:r>
      <w:r w:rsidR="00CA071B" w:rsidRPr="00E5019B">
        <w:rPr>
          <w:lang w:val="en-US"/>
        </w:rPr>
        <w:t>hearsay because</w:t>
      </w:r>
      <w:r w:rsidR="00CA071B">
        <w:rPr>
          <w:lang w:val="en-US"/>
        </w:rPr>
        <w:t xml:space="preserve"> they were </w:t>
      </w:r>
      <w:r w:rsidR="00CA071B" w:rsidRPr="00E5019B">
        <w:rPr>
          <w:lang w:val="en-US"/>
        </w:rPr>
        <w:t>machine generated</w:t>
      </w:r>
      <w:r w:rsidR="00CA071B">
        <w:rPr>
          <w:lang w:val="en-US"/>
        </w:rPr>
        <w:t xml:space="preserve"> and the relevant representation was not made “by a person”</w:t>
      </w:r>
      <w:r w:rsidR="00CA071B" w:rsidRPr="00E5019B">
        <w:rPr>
          <w:lang w:val="en-US"/>
        </w:rPr>
        <w:t xml:space="preserve">.  </w:t>
      </w:r>
    </w:p>
    <w:p w:rsidR="00E5019B" w:rsidRPr="00E5019B" w:rsidRDefault="00CA071B" w:rsidP="00C745A4">
      <w:pPr>
        <w:pStyle w:val="ParaNumbering"/>
        <w:tabs>
          <w:tab w:val="num" w:pos="720"/>
        </w:tabs>
        <w:ind w:left="0"/>
      </w:pPr>
      <w:r>
        <w:rPr>
          <w:lang w:val="en-US"/>
        </w:rPr>
        <w:t xml:space="preserve">In relation </w:t>
      </w:r>
      <w:r w:rsidR="00E5019B" w:rsidRPr="00E5019B">
        <w:rPr>
          <w:lang w:val="en-US"/>
        </w:rPr>
        <w:t>to the reliability of</w:t>
      </w:r>
      <w:r>
        <w:rPr>
          <w:lang w:val="en-US"/>
        </w:rPr>
        <w:t xml:space="preserve"> printouts of webpages obtained through the Wayback Machine </w:t>
      </w:r>
      <w:r w:rsidR="00E5019B" w:rsidRPr="00E5019B">
        <w:rPr>
          <w:lang w:val="en-US"/>
        </w:rPr>
        <w:t>his Honour said (at [21]):</w:t>
      </w:r>
    </w:p>
    <w:p w:rsidR="00E5019B" w:rsidRPr="00E5019B" w:rsidRDefault="00E5019B" w:rsidP="002B1B74">
      <w:pPr>
        <w:pStyle w:val="Quote1"/>
        <w:spacing w:after="240"/>
      </w:pPr>
      <w:r w:rsidRPr="00E5019B">
        <w:rPr>
          <w:lang w:val="en-US"/>
        </w:rPr>
        <w:t>The evidence of Mr Butler explains the mechanical process by which the Wayback materials are collected. It operates to capture and date the ephemera of the internet. I accept that the Wayback materials are likely to be a reliable indication of the content of the i-kon website at different points of time</w:t>
      </w:r>
      <w:r w:rsidR="001D6860">
        <w:rPr>
          <w:lang w:val="en-US"/>
        </w:rPr>
        <w:t xml:space="preserve">. </w:t>
      </w:r>
      <w:r w:rsidRPr="00E5019B">
        <w:rPr>
          <w:lang w:val="en-US"/>
        </w:rPr>
        <w:t>…</w:t>
      </w:r>
      <w:r w:rsidR="001D6860">
        <w:rPr>
          <w:lang w:val="en-US"/>
        </w:rPr>
        <w:t xml:space="preserve"> </w:t>
      </w:r>
      <w:r w:rsidRPr="00E5019B">
        <w:rPr>
          <w:lang w:val="en-US"/>
        </w:rPr>
        <w:t>Having regard to the process by which the Wayback materials are collected and retrieved, and in the absence of material pointing to inaccuracy or other reasons why they should not be accepted, it seems to me that the objection advanced by Orica is purely technical in nature, and is not based on an absence of probative value or relevance of the materials concerned…</w:t>
      </w:r>
    </w:p>
    <w:p w:rsidR="00E5019B" w:rsidRPr="00E5019B" w:rsidRDefault="00E5019B" w:rsidP="002B1B74">
      <w:pPr>
        <w:pStyle w:val="NoNum"/>
      </w:pPr>
      <w:r w:rsidRPr="00E5019B">
        <w:t xml:space="preserve">In the circumstances Burley J considered it appropriate to exercise the power under s 190(3) of the Evidence Act to waive s 59, and to accept the </w:t>
      </w:r>
      <w:r w:rsidR="00C55087">
        <w:t xml:space="preserve">printouts of </w:t>
      </w:r>
      <w:r w:rsidR="004C4212">
        <w:t xml:space="preserve">webpages produced by </w:t>
      </w:r>
      <w:r w:rsidR="004D6E41">
        <w:t>the Wayback Machine</w:t>
      </w:r>
      <w:r w:rsidRPr="00E5019B">
        <w:t xml:space="preserve"> as admissible.</w:t>
      </w:r>
    </w:p>
    <w:p w:rsidR="00E5019B" w:rsidRPr="00E5019B" w:rsidRDefault="00CA071B" w:rsidP="00C745A4">
      <w:pPr>
        <w:pStyle w:val="ParaNumbering"/>
        <w:tabs>
          <w:tab w:val="num" w:pos="720"/>
        </w:tabs>
        <w:ind w:left="0"/>
      </w:pPr>
      <w:r w:rsidRPr="00E5019B">
        <w:lastRenderedPageBreak/>
        <w:t xml:space="preserve">I take a similar view </w:t>
      </w:r>
      <w:r>
        <w:t xml:space="preserve">of the reliability of the screenshots Triangl sought to adduce </w:t>
      </w:r>
      <w:r w:rsidRPr="00E5019B">
        <w:t xml:space="preserve">in the present case.  </w:t>
      </w:r>
      <w:r w:rsidR="00E5019B" w:rsidRPr="00E5019B">
        <w:t>Pinnacle cannot test the screenshots</w:t>
      </w:r>
      <w:r>
        <w:t xml:space="preserve"> by </w:t>
      </w:r>
      <w:r w:rsidR="00E5019B" w:rsidRPr="00E5019B">
        <w:t>cross</w:t>
      </w:r>
      <w:r w:rsidR="005163CD">
        <w:t>-</w:t>
      </w:r>
      <w:r w:rsidR="00E5019B" w:rsidRPr="00E5019B">
        <w:t>examination but</w:t>
      </w:r>
      <w:r>
        <w:t xml:space="preserve"> having regard to </w:t>
      </w:r>
      <w:r w:rsidR="00E5019B" w:rsidRPr="00E5019B">
        <w:t xml:space="preserve">the limited purpose for which it is adduced, </w:t>
      </w:r>
      <w:r>
        <w:t xml:space="preserve">and the other evidence, it is not </w:t>
      </w:r>
      <w:r w:rsidR="004D6E41" w:rsidRPr="00E5019B">
        <w:t xml:space="preserve">unfairly prejudicial to Pinnacle </w:t>
      </w:r>
      <w:r>
        <w:t>to admit the evidence</w:t>
      </w:r>
      <w:r w:rsidR="005247E0">
        <w:t>.  Essentially this is because</w:t>
      </w:r>
      <w:r w:rsidR="004C4212">
        <w:t>:</w:t>
      </w:r>
    </w:p>
    <w:p w:rsidR="00CA071B" w:rsidRDefault="00CA071B" w:rsidP="008D7D39">
      <w:pPr>
        <w:pStyle w:val="ListNo1"/>
        <w:numPr>
          <w:ilvl w:val="0"/>
          <w:numId w:val="58"/>
        </w:numPr>
      </w:pPr>
      <w:r>
        <w:t xml:space="preserve">like Burley J, I consider </w:t>
      </w:r>
      <w:r w:rsidR="004C4212">
        <w:t xml:space="preserve">that </w:t>
      </w:r>
      <w:r>
        <w:t>the screenshots are likely to be a reliable indication of the content of the relevant websites at different points in time.  Even if there were some small errors</w:t>
      </w:r>
      <w:r w:rsidR="00AA2A0F">
        <w:t xml:space="preserve"> in the reproduction of </w:t>
      </w:r>
      <w:r w:rsidR="005247E0">
        <w:t xml:space="preserve">a </w:t>
      </w:r>
      <w:r w:rsidR="00AA2A0F">
        <w:t xml:space="preserve">webpage or in the date recorded, such </w:t>
      </w:r>
      <w:r w:rsidR="004C4212">
        <w:t xml:space="preserve">variance </w:t>
      </w:r>
      <w:r w:rsidR="00AA2A0F">
        <w:t>would be of</w:t>
      </w:r>
      <w:r w:rsidR="00C55087">
        <w:t xml:space="preserve"> little </w:t>
      </w:r>
      <w:r w:rsidR="00AA2A0F">
        <w:t>moment</w:t>
      </w:r>
      <w:r w:rsidR="00C55087">
        <w:t xml:space="preserve"> </w:t>
      </w:r>
      <w:r w:rsidR="005247E0">
        <w:t xml:space="preserve">having regard to </w:t>
      </w:r>
      <w:r w:rsidR="00C55087">
        <w:t>the circumstances of the present case</w:t>
      </w:r>
      <w:r w:rsidR="005247E0">
        <w:t xml:space="preserve"> and the limited purpose for which the evidence is adduced</w:t>
      </w:r>
      <w:r w:rsidR="00AA2A0F">
        <w:t>;</w:t>
      </w:r>
      <w:r w:rsidR="003A5E8C">
        <w:t xml:space="preserve"> and</w:t>
      </w:r>
    </w:p>
    <w:p w:rsidR="00E5019B" w:rsidRPr="00E5019B" w:rsidRDefault="00C55087" w:rsidP="008D7D39">
      <w:pPr>
        <w:pStyle w:val="ListNo1"/>
        <w:numPr>
          <w:ilvl w:val="0"/>
          <w:numId w:val="58"/>
        </w:numPr>
      </w:pPr>
      <w:r w:rsidRPr="00E5019B">
        <w:t>Pinnacle did not cross</w:t>
      </w:r>
      <w:r>
        <w:t>-</w:t>
      </w:r>
      <w:r w:rsidRPr="00E5019B">
        <w:t xml:space="preserve">examine </w:t>
      </w:r>
      <w:r w:rsidRPr="004D6E41">
        <w:t>Mr Ellis and Mr Saunders on their evidence that the use of style names, including women's names, in the women's fashion industry in Australia</w:t>
      </w:r>
      <w:r w:rsidRPr="00E5019B">
        <w:t xml:space="preserve"> was </w:t>
      </w:r>
      <w:r w:rsidRPr="004D6E41">
        <w:t>common</w:t>
      </w:r>
      <w:r w:rsidRPr="00E5019B">
        <w:t>place</w:t>
      </w:r>
      <w:r w:rsidRPr="004D6E41">
        <w:t>.</w:t>
      </w:r>
      <w:r>
        <w:t xml:space="preserve">  </w:t>
      </w:r>
      <w:r w:rsidR="00E5019B" w:rsidRPr="00E5019B">
        <w:t xml:space="preserve">Mr Bucoy </w:t>
      </w:r>
      <w:r>
        <w:t xml:space="preserve">himself </w:t>
      </w:r>
      <w:r w:rsidR="00E5019B" w:rsidRPr="00E5019B">
        <w:t>accepted that traders in the women’s fashion industry assign style or product names to their products because it is a more convenient way of identifying the product, more convenient than requiring either the business or the customer to have to describe all the characteristics of the garment they are talking about, and easier and more convenient than using a model or style number</w:t>
      </w:r>
      <w:r w:rsidR="00AA2A0F">
        <w:t xml:space="preserve">.  </w:t>
      </w:r>
      <w:r w:rsidR="000727A7">
        <w:t xml:space="preserve">Further, </w:t>
      </w:r>
      <w:r w:rsidRPr="00E5019B">
        <w:t>the evidence shows that Pinnacle itself repeatedly used style names, including women’s names, in relation to DELPHINE Products</w:t>
      </w:r>
      <w:r>
        <w:t xml:space="preserve">. </w:t>
      </w:r>
      <w:r w:rsidR="000727A7">
        <w:t xml:space="preserve"> </w:t>
      </w:r>
      <w:r>
        <w:t>It is difficult to see what prejudice Pinnacle might suffer through its inability to cross-examine the operators of the</w:t>
      </w:r>
      <w:r w:rsidR="003A5E8C">
        <w:t xml:space="preserve"> relevant </w:t>
      </w:r>
      <w:r>
        <w:t>websites</w:t>
      </w:r>
      <w:r w:rsidR="000727A7">
        <w:t xml:space="preserve"> when the screenshots do no more than show examples of </w:t>
      </w:r>
      <w:r w:rsidR="005E07B7">
        <w:t>a practice which Mr Bucoy accepted was common</w:t>
      </w:r>
      <w:r w:rsidR="003A5E8C">
        <w:t>.</w:t>
      </w:r>
    </w:p>
    <w:p w:rsidR="00E5019B" w:rsidRPr="00E5019B" w:rsidRDefault="00E5019B" w:rsidP="00C745A4">
      <w:pPr>
        <w:pStyle w:val="ParaNumbering"/>
        <w:tabs>
          <w:tab w:val="num" w:pos="720"/>
        </w:tabs>
        <w:ind w:left="0"/>
      </w:pPr>
      <w:r w:rsidRPr="00E5019B">
        <w:t>Sections 57 and 146 of the Evidence Act also</w:t>
      </w:r>
      <w:r w:rsidR="00292598">
        <w:t xml:space="preserve"> bear upon</w:t>
      </w:r>
      <w:r w:rsidR="00AA2A0F">
        <w:t xml:space="preserve"> this </w:t>
      </w:r>
      <w:r w:rsidR="00292598">
        <w:t>analysis</w:t>
      </w:r>
      <w:r w:rsidRPr="00E5019B">
        <w:t>.  Section 57 provides that, where the relevance of evidence adduced by a party depends on the court making another finding, including a finding that the evidence is what the party claims it to be, the court may find that the evidence is relevant if it is reasonably open to make that finding.  Having regard to the unremarkable content of the screenshots obtained by use of the Wayback Machine, the evidence of Mr Butler</w:t>
      </w:r>
      <w:r w:rsidR="00AA2A0F">
        <w:t xml:space="preserve"> as to its operation</w:t>
      </w:r>
      <w:r w:rsidRPr="00E5019B">
        <w:t xml:space="preserve">, and because the screenshots are adduced for a limited purpose, </w:t>
      </w:r>
      <w:r w:rsidR="00292598">
        <w:t xml:space="preserve">I consider </w:t>
      </w:r>
      <w:r w:rsidRPr="00E5019B">
        <w:t>it is reasonably open</w:t>
      </w:r>
      <w:r w:rsidR="00292598">
        <w:t xml:space="preserve"> </w:t>
      </w:r>
      <w:r w:rsidRPr="00E5019B">
        <w:t xml:space="preserve">to find that the screenshots are copies of webpages as they existed on the dates represented. </w:t>
      </w:r>
    </w:p>
    <w:p w:rsidR="00E5019B" w:rsidRPr="00E5019B" w:rsidRDefault="00E5019B" w:rsidP="00C745A4">
      <w:pPr>
        <w:pStyle w:val="ParaNumbering"/>
        <w:tabs>
          <w:tab w:val="num" w:pos="720"/>
        </w:tabs>
        <w:ind w:left="0"/>
      </w:pPr>
      <w:r w:rsidRPr="00E5019B">
        <w:t xml:space="preserve">Section 146(1) applies to “a document or thing”; (a) that is produced wholly or partly by a device or process; and (b) that is tendered by a party who asserts that, in producing the </w:t>
      </w:r>
      <w:r w:rsidRPr="00E5019B">
        <w:lastRenderedPageBreak/>
        <w:t xml:space="preserve">document or thing, the device or process has produced a particular outcome.  Section 146(2) provides: </w:t>
      </w:r>
    </w:p>
    <w:p w:rsidR="00E5019B" w:rsidRPr="00E5019B" w:rsidRDefault="00E5019B" w:rsidP="002B1B74">
      <w:pPr>
        <w:pStyle w:val="Quote1"/>
        <w:spacing w:after="240"/>
      </w:pPr>
      <w:r w:rsidRPr="00E5019B">
        <w:t xml:space="preserve">If it is reasonably open to find that the device or process is one that, or is of a kind that, if properly used, ordinarily produces that outcome, it is presumed (unless evidence sufficient to raise doubt about the presumption is adduced) that, in producing the document or thing on the occasion in question, the device or process produced that outcome. </w:t>
      </w:r>
    </w:p>
    <w:p w:rsidR="00E5019B" w:rsidRDefault="00E5019B" w:rsidP="00C745A4">
      <w:pPr>
        <w:pStyle w:val="ParaNumbering"/>
        <w:tabs>
          <w:tab w:val="num" w:pos="720"/>
        </w:tabs>
        <w:ind w:left="0"/>
      </w:pPr>
      <w:r w:rsidRPr="00E5019B">
        <w:t xml:space="preserve">On the basis of Mr Butler’s evidence, it is reasonably open to find that the Wayback Machine, if properly used, ordinarily produces the webpage that the machine automatically archived on an earlier date.  It is to be presumed that the machine produced that outcome unless evidence is adduced sufficient to raise doubt about the presumption and Pinnacle did not do so.  </w:t>
      </w:r>
    </w:p>
    <w:p w:rsidR="00E5019B" w:rsidRPr="00E5019B" w:rsidRDefault="00C745A4" w:rsidP="00010A15">
      <w:pPr>
        <w:pStyle w:val="ParaNumbering"/>
        <w:tabs>
          <w:tab w:val="num" w:pos="720"/>
        </w:tabs>
        <w:ind w:left="0"/>
      </w:pPr>
      <w:r>
        <w:t>Fi</w:t>
      </w:r>
      <w:r w:rsidRPr="00E5019B">
        <w:t>nally,</w:t>
      </w:r>
      <w:r w:rsidR="00FF046A">
        <w:t xml:space="preserve"> I should note </w:t>
      </w:r>
      <w:r w:rsidR="00010A15">
        <w:t xml:space="preserve">that </w:t>
      </w:r>
      <w:r w:rsidRPr="00E5019B">
        <w:t xml:space="preserve">notwithstanding the strenuous dispute between the parties in relation to whether the </w:t>
      </w:r>
      <w:r w:rsidR="00FF046A">
        <w:t xml:space="preserve">relevant </w:t>
      </w:r>
      <w:r w:rsidRPr="00E5019B">
        <w:t xml:space="preserve">screenshots are admissible, little or nothing turns on whether they are.  </w:t>
      </w:r>
      <w:r w:rsidR="00AA2A0F">
        <w:t xml:space="preserve">Even if the screenshots </w:t>
      </w:r>
      <w:r w:rsidR="003A5E8C">
        <w:t xml:space="preserve">are </w:t>
      </w:r>
      <w:r w:rsidR="00AA2A0F">
        <w:t>not accepted as admissible, h</w:t>
      </w:r>
      <w:r w:rsidR="00AA2A0F" w:rsidRPr="00E5019B">
        <w:t xml:space="preserve">aving </w:t>
      </w:r>
      <w:r w:rsidRPr="00E5019B">
        <w:t xml:space="preserve">regard to the evidence of Mr Bucoy, Mr Ellis and Mr Saunders I am satisfied that up to and including the relevant period consumers in Australia were used to seeing women’s names used as style names in relation to women’s fashion, including women’s swimwear.  The screenshots </w:t>
      </w:r>
      <w:r w:rsidR="004C4212">
        <w:t xml:space="preserve">merely </w:t>
      </w:r>
      <w:r w:rsidRPr="00E5019B">
        <w:t xml:space="preserve">provide examples of such use over the period from 2012 to 2016.  </w:t>
      </w:r>
    </w:p>
    <w:p w:rsidR="00BD0DCC" w:rsidRDefault="00BD0DCC" w:rsidP="00BD0DCC">
      <w:pPr>
        <w:pStyle w:val="Heading2"/>
      </w:pPr>
      <w:r>
        <w:t>The expert evidence</w:t>
      </w:r>
    </w:p>
    <w:p w:rsidR="00BD0DCC" w:rsidRDefault="00BD0DCC" w:rsidP="00BD0DCC">
      <w:pPr>
        <w:pStyle w:val="Heading3"/>
      </w:pPr>
      <w:r>
        <w:t>Dr Downes’</w:t>
      </w:r>
      <w:r w:rsidR="00225C51">
        <w:t xml:space="preserve"> evidence</w:t>
      </w:r>
    </w:p>
    <w:p w:rsidR="00D80338" w:rsidRDefault="00032E22" w:rsidP="00BD0DCC">
      <w:pPr>
        <w:pStyle w:val="ParaNumbering"/>
        <w:tabs>
          <w:tab w:val="num" w:pos="720"/>
        </w:tabs>
        <w:ind w:left="0"/>
      </w:pPr>
      <w:r>
        <w:t>Dr Downes</w:t>
      </w:r>
      <w:r w:rsidR="00590464">
        <w:t>, a lecturer in marketing and a marketing consultant,</w:t>
      </w:r>
      <w:r>
        <w:t xml:space="preserve"> was engaged by Pinnacle to provide an expert opinion</w:t>
      </w:r>
      <w:r w:rsidR="00D80338">
        <w:t xml:space="preserve"> and he provided two reports dated 27 March 2018 and 18 September 2018</w:t>
      </w:r>
      <w:r w:rsidR="000727A7">
        <w:t>,</w:t>
      </w:r>
      <w:r w:rsidR="00DC4086">
        <w:t xml:space="preserve"> respectively</w:t>
      </w:r>
      <w:r w:rsidR="00D80338">
        <w:t xml:space="preserve">. </w:t>
      </w:r>
    </w:p>
    <w:p w:rsidR="00A43823" w:rsidRDefault="00D80338" w:rsidP="00A43823">
      <w:pPr>
        <w:pStyle w:val="ParaNumbering"/>
        <w:tabs>
          <w:tab w:val="num" w:pos="720"/>
        </w:tabs>
        <w:ind w:left="0"/>
      </w:pPr>
      <w:r>
        <w:t xml:space="preserve">He </w:t>
      </w:r>
      <w:r w:rsidR="00BD0DCC">
        <w:t>is the principal and founder of Q</w:t>
      </w:r>
      <w:r w:rsidR="00DC4086">
        <w:t>B</w:t>
      </w:r>
      <w:r w:rsidR="00BD0DCC">
        <w:t>rand Consulting Pty Ltd which specialises in management consulting relating to business strategy, marketing communication strategy, brand strategy, marketing and consumer research and creative direction and development for a range of business clients.  He has worked continuously in the field of marketing and communications since 1988</w:t>
      </w:r>
      <w:r w:rsidR="00847798">
        <w:t>, doing so</w:t>
      </w:r>
      <w:r w:rsidR="00BD0DCC">
        <w:t xml:space="preserve"> for a nu</w:t>
      </w:r>
      <w:r w:rsidR="00FA20C8">
        <w:t>mber of different organisations.</w:t>
      </w:r>
      <w:r w:rsidR="00DC4086" w:rsidRPr="00DC4086">
        <w:t xml:space="preserve"> </w:t>
      </w:r>
      <w:r w:rsidR="00FA20C8">
        <w:t xml:space="preserve"> </w:t>
      </w:r>
    </w:p>
    <w:p w:rsidR="00BD0DCC" w:rsidRDefault="00FA20C8" w:rsidP="00A43823">
      <w:pPr>
        <w:pStyle w:val="ParaNumbering"/>
        <w:tabs>
          <w:tab w:val="num" w:pos="720"/>
        </w:tabs>
        <w:ind w:left="0"/>
      </w:pPr>
      <w:r>
        <w:t>He</w:t>
      </w:r>
      <w:r w:rsidR="00BD0DCC">
        <w:t xml:space="preserve"> graduated with the degree of Master of Marketing fr</w:t>
      </w:r>
      <w:r>
        <w:t>om Melbourne University in 2004</w:t>
      </w:r>
      <w:r w:rsidR="00A43823">
        <w:t>.</w:t>
      </w:r>
      <w:r w:rsidR="002614B2" w:rsidRPr="002614B2">
        <w:t xml:space="preserve"> </w:t>
      </w:r>
      <w:r w:rsidR="00A43823">
        <w:t xml:space="preserve"> F</w:t>
      </w:r>
      <w:r w:rsidR="00847798">
        <w:t xml:space="preserve">rom </w:t>
      </w:r>
      <w:r w:rsidR="00BD0DCC">
        <w:t>July 2004</w:t>
      </w:r>
      <w:r w:rsidR="00847798">
        <w:t xml:space="preserve"> to </w:t>
      </w:r>
      <w:r w:rsidR="00BD0DCC">
        <w:t>December 2006 he was a Lecturer in the School of Economics, Finance and Marketing at RMIT University (</w:t>
      </w:r>
      <w:r w:rsidR="00BD0DCC" w:rsidRPr="00A43823">
        <w:rPr>
          <w:b/>
        </w:rPr>
        <w:t>RMIT</w:t>
      </w:r>
      <w:r w:rsidR="00BD0DCC">
        <w:t xml:space="preserve">), and he coordinated postgraduate courses in Brand and Product Management and Services Marketing and Management as part of RMIT’s Master </w:t>
      </w:r>
      <w:r w:rsidR="00847798">
        <w:t xml:space="preserve">of </w:t>
      </w:r>
      <w:r w:rsidR="00847798">
        <w:lastRenderedPageBreak/>
        <w:t>Busi</w:t>
      </w:r>
      <w:r w:rsidR="00A43823">
        <w:t>ness (Marketing) program.</w:t>
      </w:r>
      <w:r w:rsidR="002614B2">
        <w:t xml:space="preserve"> </w:t>
      </w:r>
      <w:r w:rsidR="00A43823">
        <w:t xml:space="preserve"> F</w:t>
      </w:r>
      <w:r w:rsidR="00847798">
        <w:t xml:space="preserve">rom </w:t>
      </w:r>
      <w:r w:rsidR="00BD0DCC">
        <w:t>February 2007</w:t>
      </w:r>
      <w:r w:rsidR="00847798">
        <w:t xml:space="preserve"> to </w:t>
      </w:r>
      <w:r w:rsidR="00BD0DCC">
        <w:t>June 2009 he was a Lecturer and course coordinator in the Master of Communications (Advertising) program at RMIT, and instructed or lectured in the postgraduate courses in Advertising Theory and Practice an</w:t>
      </w:r>
      <w:r w:rsidR="00847798">
        <w:t xml:space="preserve">d </w:t>
      </w:r>
      <w:r w:rsidR="00A43823">
        <w:t>Advertising Strategy Planning.</w:t>
      </w:r>
      <w:r w:rsidR="002614B2" w:rsidRPr="002614B2">
        <w:t xml:space="preserve"> </w:t>
      </w:r>
      <w:r w:rsidR="00A43823">
        <w:t xml:space="preserve"> F</w:t>
      </w:r>
      <w:r w:rsidR="00BD0DCC">
        <w:t xml:space="preserve">rom February 2016 </w:t>
      </w:r>
      <w:r w:rsidR="00847798">
        <w:t>to</w:t>
      </w:r>
      <w:r w:rsidR="00BD0DCC">
        <w:t xml:space="preserve"> June 2017 he was a sessional Lecturer at the University of Melbourne where he taught the postgraduate subject Brand Management as part of that university’s Master </w:t>
      </w:r>
      <w:r w:rsidR="00A43823">
        <w:t>of Marketing program.</w:t>
      </w:r>
      <w:r w:rsidR="002614B2">
        <w:t xml:space="preserve"> </w:t>
      </w:r>
      <w:r w:rsidR="00A43823">
        <w:t xml:space="preserve"> H</w:t>
      </w:r>
      <w:r w:rsidR="00BD0DCC">
        <w:t xml:space="preserve">e has provided expert evidence </w:t>
      </w:r>
      <w:r w:rsidR="00847798">
        <w:t xml:space="preserve">for a wide range of clients </w:t>
      </w:r>
      <w:r w:rsidR="00BD0DCC">
        <w:t>in relation to marketing and survey design in the legal and regulatory matters concerning trade practices, trade</w:t>
      </w:r>
      <w:r w:rsidR="00783FB3">
        <w:t xml:space="preserve"> </w:t>
      </w:r>
      <w:r w:rsidR="00BD0DCC">
        <w:t>marks and advertising.</w:t>
      </w:r>
      <w:r w:rsidR="002614B2" w:rsidRPr="002614B2">
        <w:t xml:space="preserve"> </w:t>
      </w:r>
    </w:p>
    <w:p w:rsidR="00A43823" w:rsidRDefault="00847798" w:rsidP="00BD0DCC">
      <w:pPr>
        <w:pStyle w:val="ParaNumbering"/>
        <w:tabs>
          <w:tab w:val="num" w:pos="720"/>
        </w:tabs>
        <w:ind w:left="0"/>
      </w:pPr>
      <w:r>
        <w:t xml:space="preserve">Dr Downes </w:t>
      </w:r>
      <w:r w:rsidR="00A53FAF">
        <w:t xml:space="preserve">said </w:t>
      </w:r>
      <w:r w:rsidR="00BD0DCC">
        <w:t>that brand associations are learned by consumers, both actively and passively, through exposure to marketing activities, particularly marketing communications, undertaken by the brand owner and through direct experience of the brand in retail and consumption settings and in use</w:t>
      </w:r>
      <w:r w:rsidR="00E75CC0">
        <w:t>.</w:t>
      </w:r>
      <w:r w:rsidR="00CE5B58">
        <w:t xml:space="preserve"> </w:t>
      </w:r>
      <w:r w:rsidR="00E75CC0">
        <w:t xml:space="preserve"> He </w:t>
      </w:r>
      <w:r w:rsidR="00A43823">
        <w:t xml:space="preserve">explained his opinion </w:t>
      </w:r>
      <w:r w:rsidR="00E75CC0">
        <w:t>that</w:t>
      </w:r>
      <w:r w:rsidR="00BD0DCC">
        <w:t xml:space="preserve"> names, logos, symbols and colours that are used by traders may become “brand elements” or “brand identity elements”.  He said </w:t>
      </w:r>
      <w:r w:rsidR="00E75CC0">
        <w:t xml:space="preserve">such brand elements </w:t>
      </w:r>
      <w:r w:rsidR="00BD0DCC">
        <w:t xml:space="preserve">become stored in the memories of consumers as nodes and they serve as ‘hooks’ from which other less tangible but potentially more valuable associations, meanings and attitudes, </w:t>
      </w:r>
      <w:r w:rsidR="00E75CC0">
        <w:t>can be hung.</w:t>
      </w:r>
      <w:r w:rsidR="00E75CC0" w:rsidRPr="00E75CC0">
        <w:t xml:space="preserve"> </w:t>
      </w:r>
    </w:p>
    <w:p w:rsidR="00BD0DCC" w:rsidRDefault="00BD0DCC" w:rsidP="00BD0DCC">
      <w:pPr>
        <w:pStyle w:val="ParaNumbering"/>
        <w:tabs>
          <w:tab w:val="num" w:pos="720"/>
        </w:tabs>
        <w:ind w:left="0"/>
      </w:pPr>
      <w:r>
        <w:t>For example,</w:t>
      </w:r>
      <w:r w:rsidR="00A43823">
        <w:t xml:space="preserve"> Dr Downes explained </w:t>
      </w:r>
      <w:r>
        <w:t xml:space="preserve">that the </w:t>
      </w:r>
      <w:r w:rsidR="00AE4E3E">
        <w:t xml:space="preserve">Coca-Cola </w:t>
      </w:r>
      <w:r w:rsidR="00A43823">
        <w:t xml:space="preserve">brand </w:t>
      </w:r>
      <w:r>
        <w:t>is not stored in a consumer’s memory as a single mark.  He said the branding elements in a consumer</w:t>
      </w:r>
      <w:r w:rsidR="0065094D">
        <w:t>’</w:t>
      </w:r>
      <w:r>
        <w:t>s mind are likely to include, amongst other things, the words “Coca-Cola” and “Coke” and specific fonts and design elements such as the ‘dynamic ribbon device’, the shape of the iconic Coca-Cola bottle and a predominantly red and white colour scheme.</w:t>
      </w:r>
      <w:r w:rsidR="0065094D" w:rsidRPr="0065094D">
        <w:t xml:space="preserve"> </w:t>
      </w:r>
    </w:p>
    <w:p w:rsidR="00BD0DCC" w:rsidRDefault="00A43823" w:rsidP="00BD0DCC">
      <w:pPr>
        <w:pStyle w:val="ParaNumbering"/>
        <w:tabs>
          <w:tab w:val="num" w:pos="720"/>
        </w:tabs>
        <w:ind w:left="0"/>
      </w:pPr>
      <w:r>
        <w:t xml:space="preserve">Dr Downes </w:t>
      </w:r>
      <w:r w:rsidR="00BD0DCC">
        <w:t xml:space="preserve">described the concept of </w:t>
      </w:r>
      <w:r w:rsidR="00BD0DCC">
        <w:rPr>
          <w:i/>
        </w:rPr>
        <w:t xml:space="preserve">brand equity </w:t>
      </w:r>
      <w:r w:rsidR="00BD0DCC">
        <w:t>which he defined as the value that a brand adds above the value of the generic product or service at its core, in terms of the differential marketing effects and consumer responses uniquely attributable to the brand.</w:t>
      </w:r>
      <w:r>
        <w:t xml:space="preserve">  </w:t>
      </w:r>
      <w:r w:rsidR="00701797">
        <w:t>He said that many companies also seek to ‘license’ well-known brands owned by other companies in order to transfer awareness and favourable associations from</w:t>
      </w:r>
      <w:r>
        <w:t xml:space="preserve"> that </w:t>
      </w:r>
      <w:r w:rsidR="00701797">
        <w:t>brand to</w:t>
      </w:r>
      <w:r>
        <w:t xml:space="preserve"> their products</w:t>
      </w:r>
      <w:r w:rsidR="00701797">
        <w:t>.</w:t>
      </w:r>
      <w:r>
        <w:t xml:space="preserve">  He said that by </w:t>
      </w:r>
      <w:r w:rsidR="00701797">
        <w:t>adopting some brand elements used by a successful brand</w:t>
      </w:r>
      <w:r>
        <w:t xml:space="preserve"> another trader </w:t>
      </w:r>
      <w:r w:rsidR="00701797">
        <w:t>can capture some of the value of the set of associations that already exist in the minds of consumers familiar with that brand.</w:t>
      </w:r>
      <w:r w:rsidR="0065094D" w:rsidRPr="0065094D">
        <w:t xml:space="preserve"> </w:t>
      </w:r>
    </w:p>
    <w:p w:rsidR="00BD0DCC" w:rsidRDefault="00A43823" w:rsidP="00BD0DCC">
      <w:pPr>
        <w:pStyle w:val="ParaNumbering"/>
        <w:tabs>
          <w:tab w:val="num" w:pos="720"/>
        </w:tabs>
        <w:ind w:left="0"/>
      </w:pPr>
      <w:r>
        <w:t xml:space="preserve">He said </w:t>
      </w:r>
      <w:r w:rsidR="0065094D">
        <w:t xml:space="preserve">that </w:t>
      </w:r>
      <w:r>
        <w:t xml:space="preserve">a </w:t>
      </w:r>
      <w:r w:rsidR="00BD0DCC">
        <w:t>portfolio of brands and brand extensions, and the hierarchy and interrelationships of brands within that portfolio, is often described by the name “brand architecture”.</w:t>
      </w:r>
      <w:r>
        <w:t xml:space="preserve">  In </w:t>
      </w:r>
      <w:r>
        <w:lastRenderedPageBreak/>
        <w:t>Dr</w:t>
      </w:r>
      <w:r w:rsidR="003E6D07">
        <w:t> </w:t>
      </w:r>
      <w:r>
        <w:t xml:space="preserve">Downes’ opinion </w:t>
      </w:r>
      <w:r w:rsidR="00BD0DCC">
        <w:t>the simplest representation of possible levels of the brand hierarchy</w:t>
      </w:r>
      <w:r>
        <w:t xml:space="preserve"> is </w:t>
      </w:r>
      <w:r w:rsidR="00BD0DCC">
        <w:t>as follows</w:t>
      </w:r>
      <w:r>
        <w:t>, from top to bottom</w:t>
      </w:r>
      <w:r w:rsidR="00BD0DCC">
        <w:t>:</w:t>
      </w:r>
      <w:r w:rsidR="00B83ECE" w:rsidRPr="00B83ECE">
        <w:t xml:space="preserve"> </w:t>
      </w:r>
    </w:p>
    <w:p w:rsidR="00BD0DCC" w:rsidRDefault="00BD0DCC" w:rsidP="00E97DF6">
      <w:pPr>
        <w:pStyle w:val="ListNo1"/>
        <w:numPr>
          <w:ilvl w:val="0"/>
          <w:numId w:val="31"/>
        </w:numPr>
      </w:pPr>
      <w:r>
        <w:t>corporate or company brand</w:t>
      </w:r>
      <w:r w:rsidR="001A79BD">
        <w:t>, which is the overall or head brand</w:t>
      </w:r>
      <w:r>
        <w:t>;</w:t>
      </w:r>
      <w:r w:rsidR="00B83ECE" w:rsidRPr="00B83ECE">
        <w:t xml:space="preserve"> </w:t>
      </w:r>
    </w:p>
    <w:p w:rsidR="00BD0DCC" w:rsidRDefault="00BD0DCC" w:rsidP="00E97DF6">
      <w:pPr>
        <w:pStyle w:val="ListNo1"/>
        <w:numPr>
          <w:ilvl w:val="0"/>
          <w:numId w:val="31"/>
        </w:numPr>
      </w:pPr>
      <w:r>
        <w:t xml:space="preserve">family brand, </w:t>
      </w:r>
      <w:r w:rsidR="000727A7">
        <w:t xml:space="preserve">which is </w:t>
      </w:r>
      <w:r>
        <w:t>a brand that is used in more than one product category but is not necessarily the name of the company or corporation;</w:t>
      </w:r>
      <w:r w:rsidR="00B83ECE" w:rsidRPr="00B83ECE">
        <w:t xml:space="preserve"> </w:t>
      </w:r>
    </w:p>
    <w:p w:rsidR="00BD0DCC" w:rsidRDefault="00BD0DCC" w:rsidP="00E97DF6">
      <w:pPr>
        <w:pStyle w:val="ListNo1"/>
        <w:numPr>
          <w:ilvl w:val="0"/>
          <w:numId w:val="31"/>
        </w:numPr>
      </w:pPr>
      <w:r>
        <w:t>individual brand</w:t>
      </w:r>
      <w:r w:rsidR="000727A7">
        <w:t>, which is</w:t>
      </w:r>
      <w:r>
        <w:t xml:space="preserve"> a brand </w:t>
      </w:r>
      <w:r w:rsidR="00B83ECE">
        <w:t xml:space="preserve">that </w:t>
      </w:r>
      <w:r>
        <w:t xml:space="preserve">is restricted essentially </w:t>
      </w:r>
      <w:r w:rsidR="00B83ECE">
        <w:t xml:space="preserve">to </w:t>
      </w:r>
      <w:r>
        <w:t>one product category</w:t>
      </w:r>
      <w:r w:rsidR="00B83ECE">
        <w:t>,</w:t>
      </w:r>
      <w:r>
        <w:t xml:space="preserve"> although it may be used for several product types; and</w:t>
      </w:r>
    </w:p>
    <w:p w:rsidR="00BD0DCC" w:rsidRDefault="00BD0DCC" w:rsidP="00E97DF6">
      <w:pPr>
        <w:pStyle w:val="ListNo1"/>
        <w:numPr>
          <w:ilvl w:val="0"/>
          <w:numId w:val="31"/>
        </w:numPr>
      </w:pPr>
      <w:r>
        <w:t>modifier</w:t>
      </w:r>
      <w:r w:rsidR="000727A7">
        <w:t xml:space="preserve">, </w:t>
      </w:r>
      <w:r>
        <w:t>which describes a specific size, flavour, configuration</w:t>
      </w:r>
      <w:r w:rsidR="00B83ECE">
        <w:t xml:space="preserve"> or</w:t>
      </w:r>
      <w:r>
        <w:t xml:space="preserve"> function of the product.</w:t>
      </w:r>
      <w:r w:rsidR="00B83ECE" w:rsidRPr="00B83ECE">
        <w:t xml:space="preserve"> </w:t>
      </w:r>
    </w:p>
    <w:p w:rsidR="00A43823" w:rsidRDefault="00A43823" w:rsidP="00A43823">
      <w:pPr>
        <w:pStyle w:val="NoNum"/>
      </w:pPr>
      <w:r>
        <w:t xml:space="preserve">He </w:t>
      </w:r>
      <w:r w:rsidR="00BB7627">
        <w:t xml:space="preserve">said that </w:t>
      </w:r>
      <w:r w:rsidR="001A79BD">
        <w:t xml:space="preserve">each of </w:t>
      </w:r>
      <w:r w:rsidR="00BB7627">
        <w:t>a family brand or</w:t>
      </w:r>
      <w:r w:rsidR="00B83ECE">
        <w:t xml:space="preserve"> an</w:t>
      </w:r>
      <w:r w:rsidR="00BB7627">
        <w:t xml:space="preserve"> individual brand</w:t>
      </w:r>
      <w:r>
        <w:t xml:space="preserve"> </w:t>
      </w:r>
      <w:r w:rsidR="00B83ECE">
        <w:t>can be</w:t>
      </w:r>
      <w:r>
        <w:t xml:space="preserve"> </w:t>
      </w:r>
      <w:r w:rsidR="00BB7627">
        <w:t xml:space="preserve">referred to as a </w:t>
      </w:r>
      <w:r w:rsidR="00B83ECE">
        <w:t>“</w:t>
      </w:r>
      <w:r w:rsidR="00BB7627">
        <w:t>sub-brand</w:t>
      </w:r>
      <w:r w:rsidR="00B83ECE">
        <w:t>”.</w:t>
      </w:r>
      <w:r w:rsidR="00B83ECE" w:rsidRPr="00B83ECE">
        <w:t xml:space="preserve"> </w:t>
      </w:r>
    </w:p>
    <w:p w:rsidR="00BD0DCC" w:rsidRDefault="00A43823" w:rsidP="00BD0DCC">
      <w:pPr>
        <w:pStyle w:val="ParaNumbering"/>
        <w:tabs>
          <w:tab w:val="num" w:pos="720"/>
        </w:tabs>
        <w:ind w:left="0"/>
      </w:pPr>
      <w:r>
        <w:t xml:space="preserve">Dr Downes </w:t>
      </w:r>
      <w:r w:rsidR="00BD0DCC">
        <w:t xml:space="preserve">used Toyota </w:t>
      </w:r>
      <w:r>
        <w:t xml:space="preserve">and its automotive brands as an example of </w:t>
      </w:r>
      <w:r w:rsidR="0021787B">
        <w:t xml:space="preserve">such </w:t>
      </w:r>
      <w:r>
        <w:t xml:space="preserve">brand architecture.  He </w:t>
      </w:r>
      <w:r w:rsidR="00BD0DCC">
        <w:t>said</w:t>
      </w:r>
      <w:r>
        <w:t xml:space="preserve"> that</w:t>
      </w:r>
      <w:r w:rsidR="00BD0DCC">
        <w:t>:</w:t>
      </w:r>
      <w:r w:rsidR="00B83ECE" w:rsidRPr="00B83ECE">
        <w:t xml:space="preserve"> </w:t>
      </w:r>
    </w:p>
    <w:p w:rsidR="00BD0DCC" w:rsidRDefault="00BD0DCC" w:rsidP="00E97DF6">
      <w:pPr>
        <w:pStyle w:val="ListNo1"/>
        <w:numPr>
          <w:ilvl w:val="0"/>
          <w:numId w:val="32"/>
        </w:numPr>
      </w:pPr>
      <w:r>
        <w:t xml:space="preserve">the name TOYOTA operates as a corporate </w:t>
      </w:r>
      <w:r w:rsidR="00A43823">
        <w:t xml:space="preserve">or head </w:t>
      </w:r>
      <w:r>
        <w:t>brand;</w:t>
      </w:r>
      <w:r w:rsidR="00B83ECE" w:rsidRPr="00B83ECE">
        <w:t xml:space="preserve"> </w:t>
      </w:r>
    </w:p>
    <w:p w:rsidR="00BD0DCC" w:rsidRDefault="00BD0DCC" w:rsidP="00E97DF6">
      <w:pPr>
        <w:pStyle w:val="ListNo1"/>
        <w:numPr>
          <w:ilvl w:val="0"/>
          <w:numId w:val="32"/>
        </w:numPr>
      </w:pPr>
      <w:r>
        <w:t>the name LANDCRUISER operates as a family brand or sub brand;</w:t>
      </w:r>
      <w:r w:rsidR="00B83ECE" w:rsidRPr="00B83ECE">
        <w:t xml:space="preserve"> </w:t>
      </w:r>
    </w:p>
    <w:p w:rsidR="00BD0DCC" w:rsidRDefault="00BD0DCC" w:rsidP="00E97DF6">
      <w:pPr>
        <w:pStyle w:val="ListNo1"/>
        <w:numPr>
          <w:ilvl w:val="0"/>
          <w:numId w:val="32"/>
        </w:numPr>
      </w:pPr>
      <w:r>
        <w:t xml:space="preserve">names such as YARIS, COROLLA, CAMRY, </w:t>
      </w:r>
      <w:r w:rsidR="00BA4682">
        <w:t>KLUGER and RAV4 operate as sub-</w:t>
      </w:r>
      <w:r>
        <w:t>brands or individual brands;</w:t>
      </w:r>
      <w:r w:rsidR="00B83ECE" w:rsidRPr="00B83ECE">
        <w:t xml:space="preserve"> </w:t>
      </w:r>
    </w:p>
    <w:p w:rsidR="00BD0DCC" w:rsidRDefault="00BD0DCC" w:rsidP="00E97DF6">
      <w:pPr>
        <w:pStyle w:val="ListNo1"/>
        <w:numPr>
          <w:ilvl w:val="0"/>
          <w:numId w:val="32"/>
        </w:numPr>
      </w:pPr>
      <w:r>
        <w:t>the name PRADO operates as an individual brand beneath the family brand LANDCRUISER; and</w:t>
      </w:r>
    </w:p>
    <w:p w:rsidR="00BD0DCC" w:rsidRDefault="00BD0DCC" w:rsidP="00E97DF6">
      <w:pPr>
        <w:pStyle w:val="ListNo1"/>
        <w:numPr>
          <w:ilvl w:val="0"/>
          <w:numId w:val="32"/>
        </w:numPr>
      </w:pPr>
      <w:r>
        <w:t>the terms GX, GXL and CRUISER operate as modifiers beneath the sub brand levels.</w:t>
      </w:r>
      <w:r w:rsidR="00B83ECE" w:rsidRPr="00B83ECE">
        <w:t xml:space="preserve"> </w:t>
      </w:r>
    </w:p>
    <w:p w:rsidR="00BD0DCC" w:rsidRPr="003C3980" w:rsidRDefault="00A43823" w:rsidP="003C3980">
      <w:pPr>
        <w:pStyle w:val="NoNum"/>
      </w:pPr>
      <w:r w:rsidRPr="003C3980">
        <w:t xml:space="preserve">In </w:t>
      </w:r>
      <w:r w:rsidR="00BD0DCC" w:rsidRPr="003C3980">
        <w:t xml:space="preserve">the case of TOYOTA vehicles </w:t>
      </w:r>
      <w:r w:rsidRPr="003C3980">
        <w:t xml:space="preserve">Dr Downes considered that </w:t>
      </w:r>
      <w:r w:rsidR="00BD0DCC" w:rsidRPr="003C3980">
        <w:t>YARIS, COROLLA and RAV4 are likely to be perceived by consumers as identifying specific products from a particular source even when used without the corporate brand name TOYOTA.  By contrast the modifiers GX, GXL and CRUISER do not identify and are not capable of identifying specific product ranges.</w:t>
      </w:r>
      <w:r w:rsidR="00BB7627" w:rsidRPr="003C3980">
        <w:t xml:space="preserve">  Thus </w:t>
      </w:r>
      <w:r w:rsidR="00BD0DCC" w:rsidRPr="003C3980">
        <w:t xml:space="preserve">a consumer may refer to his or her car as a RAV4 when speaking to other consumers and that will carry a specific set of brand associations even in the absence of the </w:t>
      </w:r>
      <w:r w:rsidRPr="003C3980">
        <w:t xml:space="preserve">TOYOTA </w:t>
      </w:r>
      <w:r w:rsidR="00BD0DCC" w:rsidRPr="003C3980">
        <w:t>brand name.</w:t>
      </w:r>
      <w:r w:rsidR="008C0011" w:rsidRPr="003C3980">
        <w:t xml:space="preserve"> </w:t>
      </w:r>
      <w:r w:rsidR="00BD0DCC" w:rsidRPr="003C3980">
        <w:t xml:space="preserve"> Dr Downe</w:t>
      </w:r>
      <w:r w:rsidRPr="003C3980">
        <w:t xml:space="preserve"> said that it </w:t>
      </w:r>
      <w:r w:rsidR="00BD0DCC" w:rsidRPr="003C3980">
        <w:t>is very common for a number of sub-brands to become associated in the minds of consumers with one particular company.</w:t>
      </w:r>
      <w:r w:rsidR="008C0011" w:rsidRPr="003C3980">
        <w:t xml:space="preserve"> </w:t>
      </w:r>
    </w:p>
    <w:p w:rsidR="00BD0DCC" w:rsidRDefault="00A43823" w:rsidP="00BD0DCC">
      <w:pPr>
        <w:pStyle w:val="ParaNumbering"/>
        <w:tabs>
          <w:tab w:val="num" w:pos="720"/>
        </w:tabs>
        <w:ind w:left="0"/>
      </w:pPr>
      <w:r>
        <w:t xml:space="preserve">He further </w:t>
      </w:r>
      <w:r w:rsidR="00BD0DCC">
        <w:t>said that a family brand or individual brand may not be associated in the minds of consumers of the particular company or corporation but may nonetheless identify a specific product from a specific origin and be linked to a specific set of associations and brand meaning.</w:t>
      </w:r>
      <w:r>
        <w:t xml:space="preserve">  </w:t>
      </w:r>
      <w:r>
        <w:lastRenderedPageBreak/>
        <w:t>He used the example of</w:t>
      </w:r>
      <w:r w:rsidRPr="00A43823">
        <w:t xml:space="preserve"> </w:t>
      </w:r>
      <w:r>
        <w:t xml:space="preserve">WHISKAS </w:t>
      </w:r>
      <w:r w:rsidR="00D86654">
        <w:t>and noted</w:t>
      </w:r>
      <w:r>
        <w:t xml:space="preserve"> that</w:t>
      </w:r>
      <w:r w:rsidR="00BD0DCC">
        <w:t xml:space="preserve"> while many Australian consumers may recognise</w:t>
      </w:r>
      <w:r>
        <w:t xml:space="preserve"> that name as </w:t>
      </w:r>
      <w:r w:rsidR="00BD0DCC">
        <w:t>identifying a particular brand of cat food</w:t>
      </w:r>
      <w:r w:rsidR="00D86654">
        <w:t>,</w:t>
      </w:r>
      <w:r w:rsidR="00BD0DCC">
        <w:t xml:space="preserve"> they may be unaware that the brand is owned by the multinational company Mars Incorporated,</w:t>
      </w:r>
      <w:r>
        <w:t xml:space="preserve"> </w:t>
      </w:r>
      <w:r w:rsidR="00D86654">
        <w:t>which is</w:t>
      </w:r>
      <w:r w:rsidR="00BD0DCC">
        <w:t xml:space="preserve"> the same company </w:t>
      </w:r>
      <w:r w:rsidR="00D86654">
        <w:t xml:space="preserve">that </w:t>
      </w:r>
      <w:r w:rsidR="00BD0DCC">
        <w:t>makes M&amp;M’s confectionery products.</w:t>
      </w:r>
      <w:r w:rsidR="00D86654" w:rsidRPr="00D86654">
        <w:t xml:space="preserve"> </w:t>
      </w:r>
      <w:r w:rsidR="00BD0DCC">
        <w:t xml:space="preserve"> </w:t>
      </w:r>
    </w:p>
    <w:p w:rsidR="00A97EC7" w:rsidRDefault="00A97EC7" w:rsidP="00BD0DCC">
      <w:pPr>
        <w:pStyle w:val="ParaNumbering"/>
        <w:tabs>
          <w:tab w:val="num" w:pos="720"/>
        </w:tabs>
        <w:ind w:left="0"/>
      </w:pPr>
      <w:r>
        <w:t>Dr Downes</w:t>
      </w:r>
      <w:r w:rsidR="001F3E66">
        <w:t xml:space="preserve"> pointed out </w:t>
      </w:r>
      <w:r>
        <w:t xml:space="preserve">that competitors might seek to gain a market advantage by using one or more brand identity elements that consumers may perceive to be the same as, or similar to, </w:t>
      </w:r>
      <w:r w:rsidR="001F3E66">
        <w:t xml:space="preserve">brand </w:t>
      </w:r>
      <w:r>
        <w:t>identity elements of a brand they know and to which they have favourable attitudes and behavioural intentions.  He said that such a competitor would, in effect, be attempting to leverage the brand equity created by the owner of the original brand.</w:t>
      </w:r>
      <w:r w:rsidR="00D86654" w:rsidRPr="00D86654">
        <w:t xml:space="preserve"> </w:t>
      </w:r>
      <w:r>
        <w:t xml:space="preserve"> </w:t>
      </w:r>
    </w:p>
    <w:p w:rsidR="00BD0DCC" w:rsidRDefault="00E32F25" w:rsidP="00BD0DCC">
      <w:pPr>
        <w:pStyle w:val="ParaNumbering"/>
        <w:tabs>
          <w:tab w:val="num" w:pos="720"/>
        </w:tabs>
        <w:ind w:left="0"/>
      </w:pPr>
      <w:r>
        <w:t xml:space="preserve">Pinnacle provided Dr Downes </w:t>
      </w:r>
      <w:r w:rsidR="00BD0DCC">
        <w:t xml:space="preserve">with copies of </w:t>
      </w:r>
      <w:r w:rsidR="001F3E66">
        <w:t xml:space="preserve">the pages from the TRIANGL website which </w:t>
      </w:r>
      <w:r w:rsidR="00A32047">
        <w:t>are</w:t>
      </w:r>
      <w:r w:rsidR="00583209">
        <w:t xml:space="preserve"> reproduced </w:t>
      </w:r>
      <w:r w:rsidR="001F3E66">
        <w:t>above, the first of the EDMs</w:t>
      </w:r>
      <w:r>
        <w:t>, and</w:t>
      </w:r>
      <w:r w:rsidR="001F3E66">
        <w:t xml:space="preserve"> pages from Triangl’s </w:t>
      </w:r>
      <w:r>
        <w:t>Facebook page and Instagram account</w:t>
      </w:r>
      <w:r w:rsidR="00BD0DCC">
        <w:t>.</w:t>
      </w:r>
    </w:p>
    <w:p w:rsidR="00BD0DCC" w:rsidRDefault="001F3E66" w:rsidP="00BD0DCC">
      <w:pPr>
        <w:pStyle w:val="ParaNumbering"/>
        <w:tabs>
          <w:tab w:val="num" w:pos="720"/>
        </w:tabs>
        <w:ind w:left="0"/>
      </w:pPr>
      <w:r>
        <w:t xml:space="preserve">In conclusion </w:t>
      </w:r>
      <w:r w:rsidR="00BD0DCC">
        <w:t>Dr Downes</w:t>
      </w:r>
      <w:r>
        <w:t xml:space="preserve"> provided </w:t>
      </w:r>
      <w:r w:rsidR="00BD0DCC">
        <w:t xml:space="preserve">the following opinion: </w:t>
      </w:r>
    </w:p>
    <w:p w:rsidR="00BD0DCC" w:rsidRDefault="003C3980" w:rsidP="003C3980">
      <w:pPr>
        <w:pStyle w:val="Quote1"/>
        <w:ind w:left="1418" w:hanging="681"/>
      </w:pPr>
      <w:r>
        <w:t>44.</w:t>
      </w:r>
      <w:r>
        <w:tab/>
      </w:r>
      <w:r w:rsidR="00BD0DCC">
        <w:t>Based on my review of these materials, in my opinion an ordinary Australian consumer is very likely to perceive DELPHINE to be a brand or sub-brand of the TRIANGL brand and hence of the TRIANGL group.  I say this for the following reasons:</w:t>
      </w:r>
      <w:r w:rsidR="001C088D" w:rsidRPr="001C088D">
        <w:t xml:space="preserve"> </w:t>
      </w:r>
    </w:p>
    <w:p w:rsidR="00BD0DCC" w:rsidRDefault="003C3980" w:rsidP="003C3980">
      <w:pPr>
        <w:pStyle w:val="Quote2"/>
        <w:ind w:left="2160" w:hanging="720"/>
      </w:pPr>
      <w:r>
        <w:t>44.1</w:t>
      </w:r>
      <w:r>
        <w:tab/>
      </w:r>
      <w:r w:rsidR="00BD0DCC">
        <w:t>The word DELPHINE is presented and, in my opinion, likely to be interpreted by Australian consumers as identifying a range of swimwear rather than being descriptive of any characteristics or functions of the swimwear;</w:t>
      </w:r>
      <w:r w:rsidR="001C088D" w:rsidRPr="001C088D">
        <w:t xml:space="preserve"> </w:t>
      </w:r>
    </w:p>
    <w:p w:rsidR="00BD0DCC" w:rsidRDefault="003C3980" w:rsidP="003C3980">
      <w:pPr>
        <w:pStyle w:val="Quote2"/>
        <w:ind w:left="2160" w:hanging="720"/>
      </w:pPr>
      <w:r>
        <w:t>44.2</w:t>
      </w:r>
      <w:r>
        <w:tab/>
      </w:r>
      <w:r w:rsidR="00BD0DCC">
        <w:t>The word DELPHINE is likely to be regarded by most Australian consumers as a specific name, possibly a feminine given name, applied to one or more models of swimwear products or a range of swimwear with the effect of distinguishing it from other models or ranges of products offered under the overall TRIANGL name.</w:t>
      </w:r>
      <w:r w:rsidR="001C088D" w:rsidRPr="001C088D">
        <w:t xml:space="preserve"> </w:t>
      </w:r>
    </w:p>
    <w:p w:rsidR="00BD0DCC" w:rsidRDefault="003C3980" w:rsidP="003C3980">
      <w:pPr>
        <w:pStyle w:val="Quote1"/>
        <w:spacing w:after="240"/>
        <w:ind w:left="1440" w:hanging="703"/>
      </w:pPr>
      <w:r>
        <w:t>45.</w:t>
      </w:r>
      <w:r>
        <w:tab/>
      </w:r>
      <w:r w:rsidR="00BD0DCC">
        <w:t xml:space="preserve">In my opinion, and based on the brand architecture concept that I have explained earlier in this report, Australian consumers are likely to perceive the English </w:t>
      </w:r>
      <w:r w:rsidR="001C088D">
        <w:t xml:space="preserve">phrase </w:t>
      </w:r>
      <w:r w:rsidR="00BD0DCC">
        <w:t>“SUMMERTIME FLORALS” and/or the Italian phrases FIORE (“flower”), FIORE ROSA (“pink flower”) and FIORE NERO (“black flower”) as modifiers</w:t>
      </w:r>
      <w:r w:rsidR="00A20A9D">
        <w:t>.</w:t>
      </w:r>
      <w:r w:rsidR="00BD0DCC">
        <w:t xml:space="preserve"> </w:t>
      </w:r>
      <w:r w:rsidR="00A20A9D">
        <w:t xml:space="preserve"> T</w:t>
      </w:r>
      <w:r w:rsidR="00BD0DCC">
        <w:t>hese words and phrases describe design features of the swimwear (print or pattern and colour) and are presented as subordinate to both the parent brand TRIANGL and the sub-brand DELPHINE in the brand hierarchy of the swimwear products.</w:t>
      </w:r>
      <w:r w:rsidR="00A20A9D" w:rsidRPr="00A20A9D">
        <w:t xml:space="preserve"> </w:t>
      </w:r>
    </w:p>
    <w:p w:rsidR="00225C51" w:rsidRDefault="00225C51" w:rsidP="00225C51">
      <w:pPr>
        <w:pStyle w:val="ParaNumbering"/>
        <w:tabs>
          <w:tab w:val="num" w:pos="720"/>
        </w:tabs>
        <w:ind w:left="0"/>
      </w:pPr>
      <w:r>
        <w:t xml:space="preserve">Dr Downes </w:t>
      </w:r>
      <w:r w:rsidR="001F3E66">
        <w:t>provided a second report in which</w:t>
      </w:r>
      <w:r w:rsidR="003A3E7A">
        <w:t xml:space="preserve"> </w:t>
      </w:r>
      <w:r w:rsidR="00DD49DA">
        <w:t xml:space="preserve">he </w:t>
      </w:r>
      <w:r w:rsidR="003A3E7A">
        <w:t xml:space="preserve">criticised </w:t>
      </w:r>
      <w:r>
        <w:t>Mr Saunders</w:t>
      </w:r>
      <w:r w:rsidR="003A3E7A">
        <w:t xml:space="preserve">’ report.  </w:t>
      </w:r>
      <w:r w:rsidR="005E026E">
        <w:t>He said that i</w:t>
      </w:r>
      <w:r w:rsidR="003A3E7A">
        <w:t xml:space="preserve">n his opinion Mr Saunders used </w:t>
      </w:r>
      <w:r>
        <w:t>terminology and gave descriptions and explanations of the roles and functions of names for brands, collections and products that did not appear to be based on a clear and consistent taxonomy of brand architecture</w:t>
      </w:r>
      <w:r w:rsidR="00E0473A">
        <w:t>,</w:t>
      </w:r>
      <w:r>
        <w:t xml:space="preserve"> which were unclear, confusing </w:t>
      </w:r>
      <w:r>
        <w:lastRenderedPageBreak/>
        <w:t>and internally inconsistent</w:t>
      </w:r>
      <w:r w:rsidR="00E0473A">
        <w:t>, and which were not supported by the examples he cited</w:t>
      </w:r>
      <w:r>
        <w:t>.</w:t>
      </w:r>
      <w:r w:rsidR="001F3E66">
        <w:t xml:space="preserve">  He </w:t>
      </w:r>
      <w:r>
        <w:t xml:space="preserve">said that Mr Saunders did not clearly describe how a “style name” or “product name” differed from a name used as a brand identity element, which made his analysis unclear. </w:t>
      </w:r>
    </w:p>
    <w:p w:rsidR="00225C51" w:rsidRDefault="00225C51" w:rsidP="005A3D95">
      <w:pPr>
        <w:pStyle w:val="ParaNumbering"/>
        <w:tabs>
          <w:tab w:val="num" w:pos="720"/>
        </w:tabs>
        <w:ind w:left="0"/>
      </w:pPr>
      <w:r>
        <w:t>Dr Downes criticised Mr Saunders’ evidence that “the primary purpose of the name of the product is to act as a reference point that enables identification of the product from the range of products that are offer</w:t>
      </w:r>
      <w:r w:rsidR="001F3E66">
        <w:t>ed under the same brand” which “</w:t>
      </w:r>
      <w:r>
        <w:t xml:space="preserve">allows for consumers to identify which product </w:t>
      </w:r>
      <w:r w:rsidR="001A79BD">
        <w:t xml:space="preserve">they </w:t>
      </w:r>
      <w:r>
        <w:t>are interested in.”</w:t>
      </w:r>
      <w:r w:rsidR="001F3E66">
        <w:t xml:space="preserve">  In Dr Downes’ opinion </w:t>
      </w:r>
      <w:r>
        <w:t xml:space="preserve">a name that </w:t>
      </w:r>
      <w:r w:rsidR="001F3E66">
        <w:t xml:space="preserve">consumers use to identify, not merely to describe, a particular product or group of products that are offered under a brand is functioning as a brand identity element. </w:t>
      </w:r>
      <w:r w:rsidR="00A20A9D">
        <w:t xml:space="preserve"> </w:t>
      </w:r>
      <w:r>
        <w:t>He noted that Mr Saunders said that in his experience “names are</w:t>
      </w:r>
      <w:r w:rsidR="001D6860">
        <w:t xml:space="preserve"> </w:t>
      </w:r>
      <w:r>
        <w:t>…</w:t>
      </w:r>
      <w:r w:rsidR="001D6860">
        <w:t xml:space="preserve"> </w:t>
      </w:r>
      <w:r>
        <w:t>easier for people to remember than other kinds of words” and are “convenient for customers”.  In Dr Downes’ opinion Mr Saunders there referred to the function of a name as a means by which customers can easily and reliably identify specific products from a specific source, in other words, as a brand identity element.</w:t>
      </w:r>
      <w:r w:rsidR="006D091D" w:rsidRPr="006D091D">
        <w:t xml:space="preserve"> </w:t>
      </w:r>
    </w:p>
    <w:p w:rsidR="00225C51" w:rsidRDefault="00225C51" w:rsidP="00225C51">
      <w:pPr>
        <w:pStyle w:val="ParaNumbering"/>
        <w:tabs>
          <w:tab w:val="num" w:pos="720"/>
        </w:tabs>
        <w:ind w:left="0"/>
      </w:pPr>
      <w:r>
        <w:t>Dr Downes referred to examples where women’s names</w:t>
      </w:r>
      <w:r w:rsidR="001F3E66">
        <w:t xml:space="preserve"> function as a </w:t>
      </w:r>
      <w:r>
        <w:t>brand,</w:t>
      </w:r>
      <w:r w:rsidR="001F3E66">
        <w:t xml:space="preserve"> being </w:t>
      </w:r>
      <w:r>
        <w:t xml:space="preserve">the Spanish-based fashion retailer Zara, the Australian women’s fashion retailer Sussan, and the French fashion brand Chloe.  He said </w:t>
      </w:r>
      <w:r w:rsidR="006D091D">
        <w:t xml:space="preserve">that </w:t>
      </w:r>
      <w:r>
        <w:t>it was hard to imagine any other fashion brand choosing to identify a product line using a wom</w:t>
      </w:r>
      <w:r w:rsidR="006D091D">
        <w:t>a</w:t>
      </w:r>
      <w:r>
        <w:t>n’s name such as Zara, Sussan or Chloe without considering that consumers might be confused by such a use.</w:t>
      </w:r>
      <w:r w:rsidR="006D091D" w:rsidRPr="006D091D">
        <w:t xml:space="preserve"> </w:t>
      </w:r>
    </w:p>
    <w:p w:rsidR="00225C51" w:rsidRDefault="001F3E66" w:rsidP="00225C51">
      <w:pPr>
        <w:pStyle w:val="ParaNumbering"/>
        <w:tabs>
          <w:tab w:val="num" w:pos="720"/>
        </w:tabs>
        <w:ind w:left="0"/>
      </w:pPr>
      <w:r>
        <w:t xml:space="preserve">He </w:t>
      </w:r>
      <w:r w:rsidR="00225C51">
        <w:t>disagreed with Mr Saunders</w:t>
      </w:r>
      <w:r>
        <w:t>’</w:t>
      </w:r>
      <w:r w:rsidR="00225C51">
        <w:t xml:space="preserve"> characterisation of sub-brands in the fashion industry as being </w:t>
      </w:r>
      <w:r w:rsidR="006D091D">
        <w:t xml:space="preserve">often </w:t>
      </w:r>
      <w:r w:rsidR="00225C51">
        <w:t xml:space="preserve">used independently of the head brand and with his characterisation of Miu Miu, Y-3 and Topman as sub-brands. </w:t>
      </w:r>
      <w:r>
        <w:t xml:space="preserve"> He also disagree</w:t>
      </w:r>
      <w:r w:rsidR="00872FED">
        <w:t>d</w:t>
      </w:r>
      <w:r>
        <w:t xml:space="preserve"> with Mr Saunders’</w:t>
      </w:r>
      <w:r w:rsidR="00225C51">
        <w:t xml:space="preserve"> view</w:t>
      </w:r>
      <w:r>
        <w:t xml:space="preserve"> that</w:t>
      </w:r>
      <w:r w:rsidRPr="001F3E66">
        <w:t xml:space="preserve"> </w:t>
      </w:r>
      <w:r>
        <w:t xml:space="preserve">Purple Label did not function as a sub-brand </w:t>
      </w:r>
      <w:r w:rsidR="00DD3705">
        <w:t>of the head Ralph Lauren brand.</w:t>
      </w:r>
      <w:r>
        <w:t xml:space="preserve"> </w:t>
      </w:r>
      <w:r w:rsidR="00DD3705">
        <w:t xml:space="preserve"> </w:t>
      </w:r>
      <w:r>
        <w:t>He said that</w:t>
      </w:r>
      <w:r w:rsidR="00225C51">
        <w:t xml:space="preserve"> </w:t>
      </w:r>
      <w:r w:rsidR="002B6AB1">
        <w:t>based on his observations</w:t>
      </w:r>
      <w:r>
        <w:t xml:space="preserve"> it did </w:t>
      </w:r>
      <w:r w:rsidR="00225C51">
        <w:t xml:space="preserve">and </w:t>
      </w:r>
      <w:r>
        <w:t>it was rarely</w:t>
      </w:r>
      <w:r w:rsidR="00225C51">
        <w:t xml:space="preserve"> if ever used independently of </w:t>
      </w:r>
      <w:r>
        <w:t>Ralph Lauren</w:t>
      </w:r>
      <w:r w:rsidR="00E14732">
        <w:t xml:space="preserve">.  </w:t>
      </w:r>
      <w:r w:rsidR="00A20A9D">
        <w:t>In his opinion, Mr </w:t>
      </w:r>
      <w:r w:rsidR="00225C51">
        <w:t>Saunders’ conclusion that Australian consumers would not consider</w:t>
      </w:r>
      <w:r w:rsidR="00225C51" w:rsidRPr="004C755D">
        <w:t xml:space="preserve"> </w:t>
      </w:r>
      <w:r w:rsidR="00225C51">
        <w:t xml:space="preserve">DELPHINE to be a sub-brand of </w:t>
      </w:r>
      <w:r w:rsidR="002B6AB1">
        <w:t>TRIANGL</w:t>
      </w:r>
      <w:r>
        <w:t xml:space="preserve"> was </w:t>
      </w:r>
      <w:r w:rsidR="00225C51">
        <w:t xml:space="preserve">not supported by </w:t>
      </w:r>
      <w:r w:rsidR="002B6AB1">
        <w:t>an</w:t>
      </w:r>
      <w:r w:rsidR="00225C51">
        <w:t xml:space="preserve"> analysis of Triangl</w:t>
      </w:r>
      <w:r w:rsidR="002B6AB1">
        <w:t>’s</w:t>
      </w:r>
      <w:r w:rsidR="00225C51">
        <w:t xml:space="preserve"> </w:t>
      </w:r>
      <w:r w:rsidR="002B6AB1">
        <w:t xml:space="preserve">impugned marketing </w:t>
      </w:r>
      <w:r w:rsidR="00225C51">
        <w:t>material and</w:t>
      </w:r>
      <w:r>
        <w:t xml:space="preserve"> was </w:t>
      </w:r>
      <w:r w:rsidR="00225C51">
        <w:t>contradicted by some of the cases and examples he cited.</w:t>
      </w:r>
      <w:r w:rsidR="00E14732" w:rsidRPr="00E14732">
        <w:t xml:space="preserve"> </w:t>
      </w:r>
    </w:p>
    <w:p w:rsidR="00D816E6" w:rsidRDefault="00D816E6" w:rsidP="00D816E6">
      <w:pPr>
        <w:pStyle w:val="ParaNumbering"/>
        <w:tabs>
          <w:tab w:val="num" w:pos="720"/>
        </w:tabs>
        <w:ind w:left="0"/>
      </w:pPr>
      <w:r>
        <w:t>In cross</w:t>
      </w:r>
      <w:r w:rsidR="008118D9">
        <w:t>-</w:t>
      </w:r>
      <w:r>
        <w:t xml:space="preserve">examination Dr Downes was taken to the first EDM.  He accepted that TRIANGL </w:t>
      </w:r>
      <w:r w:rsidR="007C17D9">
        <w:t xml:space="preserve">was </w:t>
      </w:r>
      <w:r>
        <w:t>the dominant branding statement on that EDM and that it indicate</w:t>
      </w:r>
      <w:r w:rsidR="007C17D9">
        <w:t>d</w:t>
      </w:r>
      <w:r>
        <w:t xml:space="preserve"> where the bikinis being advertised are from, which is reinforced by the reference to TRIANGL.COM under the SHOP NOW button.  He accepted that the EDM advertised a particular bikini style in three colours or prints and that there was no difference in the style, being a simple product available in three </w:t>
      </w:r>
      <w:r>
        <w:lastRenderedPageBreak/>
        <w:t>colours.  In his opinion consumers would understand that the bikini range (as he called it) is named DELPHINE and that it is on the</w:t>
      </w:r>
      <w:r w:rsidRPr="00E73919">
        <w:t xml:space="preserve"> </w:t>
      </w:r>
      <w:r>
        <w:t>TRIANGL website and available through</w:t>
      </w:r>
      <w:r w:rsidRPr="00E73919">
        <w:t xml:space="preserve"> </w:t>
      </w:r>
      <w:r>
        <w:t xml:space="preserve">TRIANGL. </w:t>
      </w:r>
    </w:p>
    <w:p w:rsidR="00D816E6" w:rsidRDefault="00D816E6" w:rsidP="00D816E6">
      <w:pPr>
        <w:pStyle w:val="ParaNumbering"/>
        <w:tabs>
          <w:tab w:val="num" w:pos="720"/>
        </w:tabs>
        <w:ind w:left="0"/>
      </w:pPr>
      <w:r>
        <w:t>Then Dr Downes was taken to the first screenshot from the TRIANGL website.  He accepted that</w:t>
      </w:r>
      <w:r w:rsidR="001A79BD">
        <w:t xml:space="preserve"> the</w:t>
      </w:r>
      <w:r>
        <w:t xml:space="preserve"> TRIANGL logo which appeared at the top of the page in large font was the dominant branding statement, and said that this was reinforced by the TRIANGL GIRLS button which appeared immediately below it.  He said that button indicated to consumers that that there are likely to be images of girls promoting the</w:t>
      </w:r>
      <w:r w:rsidRPr="006135B7">
        <w:t xml:space="preserve"> </w:t>
      </w:r>
      <w:r>
        <w:t xml:space="preserve">TRIANGL brand.  Dr Downes expressed the opinion that consumers would understand that what is advertised </w:t>
      </w:r>
      <w:r w:rsidR="002735EE">
        <w:t xml:space="preserve">is </w:t>
      </w:r>
      <w:r>
        <w:t>a range of bikinis under the name DELPHINE presented by TRIANGL.  In his opinion</w:t>
      </w:r>
      <w:r w:rsidR="007C17D9">
        <w:t xml:space="preserve"> the</w:t>
      </w:r>
      <w:r>
        <w:t xml:space="preserve"> names </w:t>
      </w:r>
      <w:r w:rsidRPr="009609A9">
        <w:rPr>
          <w:caps/>
        </w:rPr>
        <w:t>Fiore, Fiore Rosa and FIORE Nero</w:t>
      </w:r>
      <w:r>
        <w:t xml:space="preserve"> were just product descriptors while he regarded the name DELPHINE as having greater brand significance.  In his view the fact that the word DELPHINE preceded each of the colour or pattern descriptors was likely to suggest to consumers that the advertisement promoted three variants of a bikini within or under the name</w:t>
      </w:r>
      <w:r w:rsidRPr="00EF0D04">
        <w:t xml:space="preserve"> </w:t>
      </w:r>
      <w:r>
        <w:t>DELPHINE.  That is, it conveyed a DELPHINE identity to the range or style of bikinis marketed under the TRIANGL brand.</w:t>
      </w:r>
      <w:r w:rsidR="00B81401" w:rsidRPr="00B81401">
        <w:t xml:space="preserve"> </w:t>
      </w:r>
    </w:p>
    <w:p w:rsidR="00D816E6" w:rsidRDefault="002B6AB1" w:rsidP="00885054">
      <w:pPr>
        <w:pStyle w:val="ParaNumbering"/>
        <w:tabs>
          <w:tab w:val="num" w:pos="720"/>
        </w:tabs>
        <w:ind w:left="0"/>
      </w:pPr>
      <w:r w:rsidRPr="004D2A03">
        <w:t xml:space="preserve">Dr Downes </w:t>
      </w:r>
      <w:r w:rsidR="001E7A4F" w:rsidRPr="004D2A03">
        <w:t xml:space="preserve">accepted </w:t>
      </w:r>
      <w:r w:rsidR="00D418AD">
        <w:t>in cross</w:t>
      </w:r>
      <w:r w:rsidR="008118D9">
        <w:t>-</w:t>
      </w:r>
      <w:r w:rsidR="00D418AD">
        <w:t xml:space="preserve">examination </w:t>
      </w:r>
      <w:r w:rsidR="001E7A4F" w:rsidRPr="004D2A03">
        <w:t xml:space="preserve">that Toyota had put significant investment into the name Prado and reiterated his view that it had become a sub brand within the Toyota brand.  </w:t>
      </w:r>
      <w:r w:rsidR="00D816E6">
        <w:t>He said that, b</w:t>
      </w:r>
      <w:r w:rsidR="001E7A4F" w:rsidRPr="004D2A03">
        <w:t xml:space="preserve">ecause of the investment that had been made </w:t>
      </w:r>
      <w:r w:rsidR="00F70BDC" w:rsidRPr="004D2A03">
        <w:t xml:space="preserve">by Toyota </w:t>
      </w:r>
      <w:r w:rsidR="001E7A4F" w:rsidRPr="004D2A03">
        <w:t>and the brand equity that had been built up, that</w:t>
      </w:r>
      <w:r w:rsidR="00F70BDC" w:rsidRPr="004D2A03">
        <w:t xml:space="preserve"> when consumers heard the names </w:t>
      </w:r>
      <w:r w:rsidR="001E7A4F" w:rsidRPr="004D2A03">
        <w:t>Corolla, RAV4, Prado or LandCruiser they would recognise that</w:t>
      </w:r>
      <w:r w:rsidRPr="004D2A03">
        <w:t xml:space="preserve"> those vehicles </w:t>
      </w:r>
      <w:r w:rsidR="001E7A4F" w:rsidRPr="004D2A03">
        <w:t>came from a single</w:t>
      </w:r>
      <w:r w:rsidR="00F70BDC" w:rsidRPr="004D2A03">
        <w:t xml:space="preserve"> trade source</w:t>
      </w:r>
      <w:r w:rsidRPr="004D2A03">
        <w:t xml:space="preserve">.  He considered that </w:t>
      </w:r>
      <w:r w:rsidR="00F70BDC" w:rsidRPr="004D2A03">
        <w:t xml:space="preserve">vehicle descriptors or designations such as GXL, VX or </w:t>
      </w:r>
      <w:r w:rsidRPr="004D2A03">
        <w:t xml:space="preserve">KAKADU </w:t>
      </w:r>
      <w:r w:rsidR="00F70BDC" w:rsidRPr="004D2A03">
        <w:t>did not carry the same brand equity implications and they would not, standing alone, indicate a particular trade source.</w:t>
      </w:r>
    </w:p>
    <w:p w:rsidR="00BE23A1" w:rsidRDefault="00BE23A1" w:rsidP="00885054">
      <w:pPr>
        <w:pStyle w:val="ParaNumbering"/>
        <w:tabs>
          <w:tab w:val="num" w:pos="720"/>
        </w:tabs>
        <w:ind w:left="0"/>
      </w:pPr>
      <w:r>
        <w:t xml:space="preserve">I have no reason to doubt Dr Downes qualifications, his expertise or his preparedness to assist the Court with his evidence.  But in some </w:t>
      </w:r>
      <w:r w:rsidR="007C17D9">
        <w:t xml:space="preserve">important </w:t>
      </w:r>
      <w:r>
        <w:t xml:space="preserve">respects his evidence was unclear, sometimes it shifted, and sometimes I reached the view that his </w:t>
      </w:r>
      <w:r w:rsidR="007C17D9">
        <w:t xml:space="preserve">opinion </w:t>
      </w:r>
      <w:r>
        <w:t>was not rooted in the reality of the women’s fashion industry.</w:t>
      </w:r>
      <w:r w:rsidR="000F7F10">
        <w:t xml:space="preserve"> </w:t>
      </w:r>
      <w:r>
        <w:t xml:space="preserve"> In the finish</w:t>
      </w:r>
      <w:r w:rsidR="00B81401">
        <w:t>,</w:t>
      </w:r>
      <w:r>
        <w:t xml:space="preserve"> I did not find his opinion persuasive.</w:t>
      </w:r>
      <w:r w:rsidR="00B81401" w:rsidRPr="00B81401">
        <w:t xml:space="preserve"> </w:t>
      </w:r>
    </w:p>
    <w:p w:rsidR="007402BD" w:rsidRDefault="007402BD" w:rsidP="007402BD">
      <w:pPr>
        <w:pStyle w:val="Heading3"/>
      </w:pPr>
      <w:r>
        <w:t>Mr Saunders’</w:t>
      </w:r>
      <w:r w:rsidR="00225C51">
        <w:t xml:space="preserve"> evidence</w:t>
      </w:r>
    </w:p>
    <w:p w:rsidR="0008002B" w:rsidRDefault="00032E22" w:rsidP="007402BD">
      <w:pPr>
        <w:pStyle w:val="ParaNumbering"/>
        <w:tabs>
          <w:tab w:val="num" w:pos="720"/>
        </w:tabs>
        <w:ind w:left="0"/>
      </w:pPr>
      <w:r>
        <w:t xml:space="preserve">Mr Saunders </w:t>
      </w:r>
      <w:r w:rsidR="007402BD">
        <w:t>is a public relations and marketing consultant to companies in the fashion and cosmetic sector</w:t>
      </w:r>
      <w:r w:rsidR="001A79BD">
        <w:t>s</w:t>
      </w:r>
      <w:r>
        <w:t xml:space="preserve">, and </w:t>
      </w:r>
      <w:r w:rsidR="00E0473A">
        <w:t xml:space="preserve">he </w:t>
      </w:r>
      <w:r>
        <w:t>has had a long career in the fashion industry</w:t>
      </w:r>
      <w:r w:rsidR="00427C5A">
        <w:t>, which has included the following</w:t>
      </w:r>
      <w:r w:rsidR="0008002B">
        <w:t>:</w:t>
      </w:r>
      <w:r w:rsidR="00427C5A" w:rsidRPr="00427C5A">
        <w:t xml:space="preserve"> </w:t>
      </w:r>
    </w:p>
    <w:p w:rsidR="0008002B" w:rsidRDefault="0008002B" w:rsidP="0045682F">
      <w:pPr>
        <w:pStyle w:val="ListNo1"/>
        <w:numPr>
          <w:ilvl w:val="0"/>
          <w:numId w:val="33"/>
        </w:numPr>
      </w:pPr>
      <w:r>
        <w:t xml:space="preserve">he began his career in </w:t>
      </w:r>
      <w:r w:rsidR="00032E22">
        <w:t>1979</w:t>
      </w:r>
      <w:r>
        <w:t xml:space="preserve"> working </w:t>
      </w:r>
      <w:r w:rsidR="00032E22">
        <w:t>as a journalist for ACP Magazines,</w:t>
      </w:r>
      <w:r w:rsidR="001353BD">
        <w:t xml:space="preserve"> </w:t>
      </w:r>
      <w:r w:rsidR="00DD49DA">
        <w:t xml:space="preserve">where he </w:t>
      </w:r>
      <w:r w:rsidR="001353BD">
        <w:t xml:space="preserve">was </w:t>
      </w:r>
      <w:r>
        <w:t xml:space="preserve">promoted to the position of Fashion Writer and Stylist </w:t>
      </w:r>
      <w:r w:rsidR="00032E22">
        <w:t xml:space="preserve">for the women’s fashion </w:t>
      </w:r>
      <w:r w:rsidR="00032E22">
        <w:lastRenderedPageBreak/>
        <w:t xml:space="preserve">magazine, </w:t>
      </w:r>
      <w:r w:rsidR="00032E22">
        <w:rPr>
          <w:i/>
        </w:rPr>
        <w:t xml:space="preserve">Mode </w:t>
      </w:r>
      <w:r w:rsidR="00032E22" w:rsidRPr="00032E22">
        <w:t>magazine</w:t>
      </w:r>
      <w:r>
        <w:t>.  In that role he wrote articles</w:t>
      </w:r>
      <w:r w:rsidR="00032E22">
        <w:t xml:space="preserve"> on all elements of the fashion world including on the introduction of new designers and the launch of new collections each season.  As a Stylist he was involved in selecting the topics for and preparing the photographic essays </w:t>
      </w:r>
      <w:r>
        <w:t>for the magazine;</w:t>
      </w:r>
      <w:r w:rsidR="00427C5A" w:rsidRPr="00427C5A">
        <w:t xml:space="preserve"> </w:t>
      </w:r>
    </w:p>
    <w:p w:rsidR="007402BD" w:rsidRDefault="0008002B" w:rsidP="0045682F">
      <w:pPr>
        <w:pStyle w:val="ListNo1"/>
        <w:numPr>
          <w:ilvl w:val="0"/>
          <w:numId w:val="33"/>
        </w:numPr>
      </w:pPr>
      <w:r>
        <w:t xml:space="preserve">from 1984 to 1988 he worked </w:t>
      </w:r>
      <w:r w:rsidR="00032E22">
        <w:t>as the Fashion Advertising Manager at the Grace Bros chain of department stores.</w:t>
      </w:r>
      <w:r>
        <w:t xml:space="preserve">  Its </w:t>
      </w:r>
      <w:r w:rsidR="00032E22">
        <w:t>main channel for advertising fashion products was catalogues delivered directly to potential customers and advertisements in magazines</w:t>
      </w:r>
      <w:r w:rsidR="00427C5A">
        <w:t>.</w:t>
      </w:r>
      <w:r>
        <w:t xml:space="preserve"> and Mr Saunders</w:t>
      </w:r>
      <w:r w:rsidR="00427C5A">
        <w:t>, amongst other things,</w:t>
      </w:r>
      <w:r>
        <w:t xml:space="preserve"> </w:t>
      </w:r>
      <w:r w:rsidR="00032E22">
        <w:t>organised the production of the advertisements</w:t>
      </w:r>
      <w:r>
        <w:t xml:space="preserve"> and supervise</w:t>
      </w:r>
      <w:r w:rsidR="00427C5A">
        <w:t>d</w:t>
      </w:r>
      <w:r>
        <w:t xml:space="preserve"> junior advertising staff;</w:t>
      </w:r>
      <w:r w:rsidR="00427C5A" w:rsidRPr="00427C5A">
        <w:t xml:space="preserve"> </w:t>
      </w:r>
    </w:p>
    <w:p w:rsidR="00032E22" w:rsidRDefault="0008002B" w:rsidP="0045682F">
      <w:pPr>
        <w:pStyle w:val="ListNo1"/>
        <w:numPr>
          <w:ilvl w:val="0"/>
          <w:numId w:val="33"/>
        </w:numPr>
      </w:pPr>
      <w:r>
        <w:t>from 1988 to 1990 he worked as a</w:t>
      </w:r>
      <w:r w:rsidR="00032E22">
        <w:t xml:space="preserve"> Fashion Director at </w:t>
      </w:r>
      <w:r w:rsidR="00032E22" w:rsidRPr="0008002B">
        <w:rPr>
          <w:i/>
        </w:rPr>
        <w:t>Follow Me Gentlemen</w:t>
      </w:r>
      <w:r w:rsidR="00032E22">
        <w:t xml:space="preserve"> magazine</w:t>
      </w:r>
      <w:r>
        <w:t>, where he had editorial oversight of the fashion section and selected the focus and tone of each issue’s fashion reporting;</w:t>
      </w:r>
    </w:p>
    <w:p w:rsidR="0008002B" w:rsidRDefault="0008002B" w:rsidP="0045682F">
      <w:pPr>
        <w:pStyle w:val="ListNo1"/>
        <w:numPr>
          <w:ilvl w:val="0"/>
          <w:numId w:val="33"/>
        </w:numPr>
      </w:pPr>
      <w:r>
        <w:t>from 1990 to 1994 he became a Model Manager at Priscilla’s Model Management, a well-known Australian modelling agency, which provided models to many internationally well-known magazines and represent</w:t>
      </w:r>
      <w:r w:rsidR="001A79BD">
        <w:t>ed</w:t>
      </w:r>
      <w:r>
        <w:t xml:space="preserve"> many successful fashion models.  In this role he regularly travelled to the international fashion capitals of the world to scout new fashion models and </w:t>
      </w:r>
      <w:r w:rsidRPr="007C17D9">
        <w:t>broker the exchange of models</w:t>
      </w:r>
      <w:r w:rsidR="00A20A9D">
        <w:t xml:space="preserve"> between agents located in different countries</w:t>
      </w:r>
      <w:r>
        <w:t>;</w:t>
      </w:r>
      <w:r w:rsidR="00A20A9D" w:rsidRPr="00A20A9D">
        <w:t xml:space="preserve"> </w:t>
      </w:r>
    </w:p>
    <w:p w:rsidR="0008002B" w:rsidRDefault="0008002B" w:rsidP="0045682F">
      <w:pPr>
        <w:pStyle w:val="ListNo1"/>
        <w:numPr>
          <w:ilvl w:val="0"/>
          <w:numId w:val="33"/>
        </w:numPr>
      </w:pPr>
      <w:r>
        <w:t>from 1994 to 1998 he worked for The ARC Factory, a Sydney based PR company, where he established a fashion public relations arm of the company.  During this period he had the carriage of public relations campaigns for well-known Australian international fashion brands including Bonds, Just Jeans, Esprit, Scanlan and Theodore, Calibre, Oxford, Dachet and Marcs</w:t>
      </w:r>
      <w:r w:rsidR="002B1FF1">
        <w:t>;</w:t>
      </w:r>
    </w:p>
    <w:p w:rsidR="002B1FF1" w:rsidRDefault="00847798" w:rsidP="0045682F">
      <w:pPr>
        <w:pStyle w:val="ListNo1"/>
        <w:numPr>
          <w:ilvl w:val="0"/>
          <w:numId w:val="33"/>
        </w:numPr>
      </w:pPr>
      <w:r>
        <w:t xml:space="preserve">in </w:t>
      </w:r>
      <w:r w:rsidR="002B1FF1">
        <w:t xml:space="preserve">1999 he founded his own public relations company, Worling Saunders PR, where he worked </w:t>
      </w:r>
      <w:r w:rsidR="00ED3487">
        <w:t xml:space="preserve">as a director </w:t>
      </w:r>
      <w:r w:rsidR="002B1FF1">
        <w:t>until about 2005.  In this period he began to explore his interest in the beauty industry but continued to run national public relations campaigns for well-known Australian and international fashion brands including</w:t>
      </w:r>
      <w:r w:rsidR="000727A7">
        <w:t>:</w:t>
      </w:r>
      <w:r w:rsidR="002B1FF1">
        <w:t xml:space="preserve"> Zambelli, Moss &amp; Spy, Lisa Ho, Carla Zampatti, Leona Edmiston, Jets Swimwear, Crocs and Canterbury</w:t>
      </w:r>
      <w:r w:rsidR="00ED3487">
        <w:t>;</w:t>
      </w:r>
      <w:r w:rsidR="00597E5C" w:rsidRPr="00597E5C">
        <w:t xml:space="preserve"> </w:t>
      </w:r>
    </w:p>
    <w:p w:rsidR="00ED3487" w:rsidRDefault="00847798" w:rsidP="0045682F">
      <w:pPr>
        <w:pStyle w:val="ListNo1"/>
        <w:numPr>
          <w:ilvl w:val="0"/>
          <w:numId w:val="33"/>
        </w:numPr>
      </w:pPr>
      <w:r>
        <w:t xml:space="preserve">in </w:t>
      </w:r>
      <w:r w:rsidR="00ED3487">
        <w:t>2005 he founded Saunders &amp; Co PR (which was rebranded as Tomorrowland in about 2014)</w:t>
      </w:r>
      <w:r>
        <w:t>,</w:t>
      </w:r>
      <w:r w:rsidR="00ED3487">
        <w:t xml:space="preserve"> where he worked until 2017.  In this period he concentrated more on the beauty industry but continued to carry out campaigns for well-known international and Australian fashion brands, both high-end and low-end, including</w:t>
      </w:r>
      <w:r w:rsidR="000727A7">
        <w:t>:</w:t>
      </w:r>
      <w:r w:rsidR="00ED3487">
        <w:t xml:space="preserve"> Ezibuy, Peter Alexander, Aje, Lee Matthews, Michael Lo Sordo,</w:t>
      </w:r>
      <w:r w:rsidR="00597E5C">
        <w:t xml:space="preserve"> Hardy Bros,</w:t>
      </w:r>
      <w:r w:rsidR="00ED3487">
        <w:t xml:space="preserve"> Celine Eyewear, Rare </w:t>
      </w:r>
      <w:r w:rsidR="00ED3487">
        <w:lastRenderedPageBreak/>
        <w:t>Denim, Attic &amp; Arida, Triumph, Big W, Best &amp; Less, Coast, 2xist, Ruby Rose, Flinders Lane and Target Designer Collaborations;</w:t>
      </w:r>
      <w:r w:rsidR="00597E5C" w:rsidRPr="00597E5C">
        <w:t xml:space="preserve"> </w:t>
      </w:r>
      <w:r w:rsidR="00ED3487">
        <w:t xml:space="preserve"> </w:t>
      </w:r>
    </w:p>
    <w:p w:rsidR="00ED3487" w:rsidRDefault="00ED3487" w:rsidP="0045682F">
      <w:pPr>
        <w:pStyle w:val="ListNo1"/>
        <w:numPr>
          <w:ilvl w:val="0"/>
          <w:numId w:val="33"/>
        </w:numPr>
      </w:pPr>
      <w:r>
        <w:t>after leaving Tomorrowland in 2017, he founded Talentland, through which he currently provides managing and mentoring services to professionals in creative industries including photographers, cosmetic artist and stylists; and</w:t>
      </w:r>
    </w:p>
    <w:p w:rsidR="00ED3487" w:rsidRPr="007402BD" w:rsidRDefault="00ED3487" w:rsidP="0045682F">
      <w:pPr>
        <w:pStyle w:val="ListNo1"/>
        <w:numPr>
          <w:ilvl w:val="0"/>
          <w:numId w:val="33"/>
        </w:numPr>
      </w:pPr>
      <w:r>
        <w:t>in about October 2017, as a side project, he founded his own fashion brand for men’s and women’s lifestyle apparel, Jed &amp; Rex.  He</w:t>
      </w:r>
      <w:r w:rsidR="001353BD">
        <w:t xml:space="preserve"> designs </w:t>
      </w:r>
      <w:r>
        <w:t>the garments to be offered and</w:t>
      </w:r>
      <w:r w:rsidR="001353BD">
        <w:t xml:space="preserve"> promotes </w:t>
      </w:r>
      <w:r>
        <w:t>the brand and its products.</w:t>
      </w:r>
      <w:r w:rsidR="00597E5C" w:rsidRPr="00597E5C">
        <w:t xml:space="preserve"> </w:t>
      </w:r>
      <w:r>
        <w:t xml:space="preserve"> Jed &amp; Rex has released one collection and is currently stocked by six retailers.</w:t>
      </w:r>
      <w:r w:rsidR="00597E5C" w:rsidRPr="00597E5C">
        <w:t xml:space="preserve"> </w:t>
      </w:r>
    </w:p>
    <w:p w:rsidR="007402BD" w:rsidRDefault="00847798" w:rsidP="00CA0AC8">
      <w:pPr>
        <w:pStyle w:val="ParaNumbering"/>
        <w:tabs>
          <w:tab w:val="num" w:pos="720"/>
        </w:tabs>
        <w:ind w:left="0"/>
      </w:pPr>
      <w:r>
        <w:t>He described the goal of public relations in the fashion industry as being to strengthen the client’s brand.</w:t>
      </w:r>
      <w:r w:rsidR="00E6796F">
        <w:t xml:space="preserve">  He said that</w:t>
      </w:r>
      <w:r w:rsidR="00292598">
        <w:t>,</w:t>
      </w:r>
      <w:r w:rsidR="00E6796F">
        <w:t xml:space="preserve"> in </w:t>
      </w:r>
      <w:r>
        <w:t>preparing a public relations strategy</w:t>
      </w:r>
      <w:r w:rsidR="00292598">
        <w:t>,</w:t>
      </w:r>
      <w:r>
        <w:t xml:space="preserve"> the first step he always undertook was to assess the client’s current position in the fashion industry which involve</w:t>
      </w:r>
      <w:r w:rsidR="00836462">
        <w:t>d</w:t>
      </w:r>
      <w:r>
        <w:t xml:space="preserve"> considering its current and planned range of garments and how they were styled and promoted to consumers</w:t>
      </w:r>
      <w:r w:rsidR="00292598">
        <w:t xml:space="preserve">. </w:t>
      </w:r>
      <w:r w:rsidR="000F7F10">
        <w:t xml:space="preserve"> </w:t>
      </w:r>
      <w:r w:rsidR="00292598">
        <w:t>He would</w:t>
      </w:r>
      <w:r>
        <w:t xml:space="preserve"> try to understand how the client’s customers perceive the brand (including what fashion tier the brand occupied, and the qualities associated with the brand) and the position of </w:t>
      </w:r>
      <w:r w:rsidR="00292598">
        <w:t xml:space="preserve">its </w:t>
      </w:r>
      <w:r>
        <w:t>competitors.  This required that he become very familiar with the way in which the clients garments were being designed, marketed and promoted.</w:t>
      </w:r>
      <w:r w:rsidR="00597E5C" w:rsidRPr="00597E5C">
        <w:t xml:space="preserve"> </w:t>
      </w:r>
    </w:p>
    <w:p w:rsidR="0070456D" w:rsidRDefault="001D3840" w:rsidP="00CA0AC8">
      <w:pPr>
        <w:pStyle w:val="ParaNumbering"/>
        <w:tabs>
          <w:tab w:val="num" w:pos="720"/>
        </w:tabs>
        <w:ind w:left="0"/>
      </w:pPr>
      <w:r>
        <w:t xml:space="preserve">Mr Saunders said that in his experience the selection of names for individual women’s fashions </w:t>
      </w:r>
      <w:r w:rsidR="00836462">
        <w:t>products</w:t>
      </w:r>
      <w:r>
        <w:t xml:space="preserve"> did not involve a significant degree of consideration, reflecting the fact that the specific product name was of much less importance than the brand under which the product is being sold.  While brand names required significant planning and discussion, he could not recall a time at which he was consulted to help develop the name for an individual fashion </w:t>
      </w:r>
      <w:r w:rsidR="00836462">
        <w:t>product</w:t>
      </w:r>
      <w:r>
        <w:t>.  In his experience the extent of the consideration given to naming specific products was limited to developing a consistent theme for the collection, to help differentiate that collection from previous collections under the same brand.  He said that, for example, for one year a collection might be</w:t>
      </w:r>
      <w:r w:rsidR="00DB5412">
        <w:t xml:space="preserve"> called</w:t>
      </w:r>
      <w:r>
        <w:t xml:space="preserve"> “Beaches”</w:t>
      </w:r>
      <w:r w:rsidR="0070456D">
        <w:t xml:space="preserve"> and products within that collection might be named “Bondi”, “Tamarama” or “Palm” and the next year the collection might be</w:t>
      </w:r>
      <w:r w:rsidR="00DB5412">
        <w:t xml:space="preserve"> called</w:t>
      </w:r>
      <w:r w:rsidR="0070456D">
        <w:t xml:space="preserve"> “Women in Literature” and the products might be named “Charlotte”, “Emily” or “Jane”.</w:t>
      </w:r>
      <w:r w:rsidR="00DB5412" w:rsidRPr="00DB5412">
        <w:t xml:space="preserve"> </w:t>
      </w:r>
    </w:p>
    <w:p w:rsidR="001D3840" w:rsidRDefault="00836462" w:rsidP="00CA0AC8">
      <w:pPr>
        <w:pStyle w:val="ParaNumbering"/>
        <w:tabs>
          <w:tab w:val="num" w:pos="720"/>
        </w:tabs>
        <w:ind w:left="0"/>
      </w:pPr>
      <w:r>
        <w:t xml:space="preserve">He said that </w:t>
      </w:r>
      <w:r w:rsidR="0070456D">
        <w:t>designers sometimes took a feature of a given design and selected a corresponding wom</w:t>
      </w:r>
      <w:r w:rsidR="00291ADF">
        <w:t>e</w:t>
      </w:r>
      <w:r w:rsidR="0070456D">
        <w:t>n’s name.</w:t>
      </w:r>
      <w:r w:rsidR="00DB5412">
        <w:t xml:space="preserve"> </w:t>
      </w:r>
      <w:r w:rsidR="0070456D">
        <w:t xml:space="preserve"> For example, a Latin influenced gown with a frill might be given the name “the Carmen” as a nod to Carmen Miranda, </w:t>
      </w:r>
      <w:r>
        <w:t xml:space="preserve">and he said that </w:t>
      </w:r>
      <w:r w:rsidR="0070456D">
        <w:t>Morrisey Edmiston launched a collection</w:t>
      </w:r>
      <w:r>
        <w:t xml:space="preserve"> which included </w:t>
      </w:r>
      <w:r w:rsidR="0070456D">
        <w:t>a dress inspired by Liza Minnelli named “Liza”.</w:t>
      </w:r>
      <w:r>
        <w:t xml:space="preserve">  When </w:t>
      </w:r>
      <w:r w:rsidR="0070456D">
        <w:t xml:space="preserve">he was </w:t>
      </w:r>
      <w:r w:rsidR="0070456D">
        <w:lastRenderedPageBreak/>
        <w:t>working at Saunders &amp; Co</w:t>
      </w:r>
      <w:r>
        <w:t xml:space="preserve"> he said that</w:t>
      </w:r>
      <w:r w:rsidR="0070456D">
        <w:t xml:space="preserve"> Zambelli launched a collection which included women’s shirts named after women, including a shirt named “Roberta” named after a Zambelli office</w:t>
      </w:r>
      <w:r>
        <w:t xml:space="preserve"> worker</w:t>
      </w:r>
      <w:r w:rsidR="0070456D">
        <w:t>.</w:t>
      </w:r>
      <w:r w:rsidR="00DB5412" w:rsidRPr="00DB5412">
        <w:t xml:space="preserve"> </w:t>
      </w:r>
    </w:p>
    <w:p w:rsidR="0070456D" w:rsidRDefault="00836462" w:rsidP="0070456D">
      <w:pPr>
        <w:pStyle w:val="ParaNumbering"/>
        <w:tabs>
          <w:tab w:val="num" w:pos="720"/>
        </w:tabs>
        <w:ind w:left="0"/>
      </w:pPr>
      <w:r>
        <w:t xml:space="preserve">In relation to the use of product names or style names </w:t>
      </w:r>
      <w:r w:rsidR="0070456D">
        <w:t>Mr Saunders said:</w:t>
      </w:r>
      <w:r w:rsidR="00A20A9D" w:rsidRPr="00A20A9D">
        <w:t xml:space="preserve"> </w:t>
      </w:r>
    </w:p>
    <w:p w:rsidR="0070456D" w:rsidRDefault="00836462" w:rsidP="0070456D">
      <w:pPr>
        <w:pStyle w:val="Quote1"/>
      </w:pPr>
      <w:r>
        <w:t>…</w:t>
      </w:r>
      <w:r w:rsidR="0070456D">
        <w:t>in my experience as a designer and in promoting products in the fashion industry</w:t>
      </w:r>
      <w:r w:rsidR="00A20A9D">
        <w:t>,</w:t>
      </w:r>
      <w:r w:rsidR="0070456D">
        <w:t xml:space="preserve"> </w:t>
      </w:r>
      <w:r w:rsidR="0070456D" w:rsidRPr="0070456D">
        <w:rPr>
          <w:b/>
        </w:rPr>
        <w:t>the primary purpose of the name of the product is to act as a reference point that enables identification of the product from the range of products that are offered under the same brand</w:t>
      </w:r>
      <w:r w:rsidR="0070456D">
        <w:t xml:space="preserve">.  This enables </w:t>
      </w:r>
      <w:r w:rsidR="00DB5412">
        <w:t>the</w:t>
      </w:r>
      <w:r w:rsidR="0070456D">
        <w:t xml:space="preserve"> designer to keep track of the various styles for stockkeeping purposes, and allows for consumers to identify which product they are interested in…</w:t>
      </w:r>
      <w:r w:rsidR="00A20A9D" w:rsidRPr="00A20A9D">
        <w:t xml:space="preserve"> </w:t>
      </w:r>
    </w:p>
    <w:p w:rsidR="0070456D" w:rsidRDefault="0070456D" w:rsidP="0070456D">
      <w:pPr>
        <w:pStyle w:val="Quote1"/>
      </w:pPr>
      <w:r w:rsidRPr="0070456D">
        <w:rPr>
          <w:b/>
        </w:rPr>
        <w:t>In the case of women’s fashion in particular, the use of women’s names as product names is extremely common, in my experience.</w:t>
      </w:r>
      <w:r>
        <w:t xml:space="preserve">  Names are, in my experience, easier for people to remember than other kinds of words, and women’s names specifically add a poetic, feminine quality to garments, while being convenient to consumers.  </w:t>
      </w:r>
      <w:r w:rsidRPr="0070456D">
        <w:rPr>
          <w:b/>
        </w:rPr>
        <w:t>I have seen many hundreds of products named by reference to women’s names during my time in the women’s fashion industry</w:t>
      </w:r>
      <w:r>
        <w:t>.</w:t>
      </w:r>
      <w:r w:rsidR="00A20A9D" w:rsidRPr="00A20A9D">
        <w:t xml:space="preserve"> </w:t>
      </w:r>
    </w:p>
    <w:p w:rsidR="0070456D" w:rsidRPr="0070456D" w:rsidRDefault="0070456D" w:rsidP="003C3980">
      <w:pPr>
        <w:pStyle w:val="Quote1"/>
        <w:spacing w:after="240"/>
      </w:pPr>
      <w:r w:rsidRPr="0070456D">
        <w:t>(Emphasis added.)</w:t>
      </w:r>
      <w:r w:rsidR="00A20A9D" w:rsidRPr="00A20A9D">
        <w:t xml:space="preserve"> </w:t>
      </w:r>
    </w:p>
    <w:p w:rsidR="0070456D" w:rsidRDefault="0070456D" w:rsidP="0070456D">
      <w:pPr>
        <w:pStyle w:val="ParaNumbering"/>
        <w:tabs>
          <w:tab w:val="num" w:pos="720"/>
        </w:tabs>
        <w:ind w:left="0"/>
      </w:pPr>
      <w:r>
        <w:t>Mr Saunders accepted that sub-brands exist within the fashion industry, but said that in his experience sub-brands in the fashion industry typically refer to a range of products and styles so as to create a separate image for the sub-brand, and will often relate to a specific category of garments</w:t>
      </w:r>
      <w:r w:rsidR="00CA0AC8">
        <w:t>.  He referred to the following examples of sub-brands which he said are used independently of the head-brand including:</w:t>
      </w:r>
      <w:r w:rsidR="00681452" w:rsidRPr="00681452">
        <w:t xml:space="preserve"> </w:t>
      </w:r>
    </w:p>
    <w:p w:rsidR="00CA0AC8" w:rsidRDefault="00CA0AC8" w:rsidP="0045682F">
      <w:pPr>
        <w:pStyle w:val="ListNo1"/>
        <w:numPr>
          <w:ilvl w:val="0"/>
          <w:numId w:val="34"/>
        </w:numPr>
      </w:pPr>
      <w:r>
        <w:t xml:space="preserve">Purple Label </w:t>
      </w:r>
      <w:r w:rsidR="00DB5412">
        <w:t>–</w:t>
      </w:r>
      <w:r>
        <w:t xml:space="preserve"> the luxury menswear sub-brand of Ralph Lauren;</w:t>
      </w:r>
      <w:r w:rsidR="00681452" w:rsidRPr="00681452">
        <w:t xml:space="preserve"> </w:t>
      </w:r>
    </w:p>
    <w:p w:rsidR="00CA0AC8" w:rsidRDefault="00CA0AC8" w:rsidP="0045682F">
      <w:pPr>
        <w:pStyle w:val="ListNo1"/>
        <w:numPr>
          <w:ilvl w:val="0"/>
          <w:numId w:val="34"/>
        </w:numPr>
      </w:pPr>
      <w:r>
        <w:t xml:space="preserve">Miu Miu </w:t>
      </w:r>
      <w:r w:rsidR="00DB5412">
        <w:t>–</w:t>
      </w:r>
      <w:r>
        <w:t xml:space="preserve"> being a ‘diffusion brand’ of Prada.  He described a diffusion brand as a sub brand of a well-known brand which is intended to be more accessible, and often more “edgy”;</w:t>
      </w:r>
      <w:r w:rsidR="00681452" w:rsidRPr="00681452">
        <w:t xml:space="preserve"> </w:t>
      </w:r>
    </w:p>
    <w:p w:rsidR="00CA0AC8" w:rsidRDefault="00CA0AC8" w:rsidP="0045682F">
      <w:pPr>
        <w:pStyle w:val="ListNo1"/>
        <w:numPr>
          <w:ilvl w:val="0"/>
          <w:numId w:val="34"/>
        </w:numPr>
      </w:pPr>
      <w:r>
        <w:t xml:space="preserve">Y-3 </w:t>
      </w:r>
      <w:r w:rsidR="00DB5412">
        <w:t>–</w:t>
      </w:r>
      <w:r>
        <w:t xml:space="preserve"> the sportswear brand of well-known Japanese designer Yohiji Yamamoto in collaboration with Adidas; </w:t>
      </w:r>
    </w:p>
    <w:p w:rsidR="00CA0AC8" w:rsidRDefault="00CA0AC8" w:rsidP="0045682F">
      <w:pPr>
        <w:pStyle w:val="ListNo1"/>
        <w:numPr>
          <w:ilvl w:val="0"/>
          <w:numId w:val="34"/>
        </w:numPr>
      </w:pPr>
      <w:r>
        <w:t xml:space="preserve">TOPMAN </w:t>
      </w:r>
      <w:r w:rsidR="00DB5412">
        <w:t>–</w:t>
      </w:r>
      <w:r>
        <w:t xml:space="preserve"> the menswear equivalent to international fashion retailer Topshop; and</w:t>
      </w:r>
      <w:r w:rsidR="00681452" w:rsidRPr="00681452">
        <w:t xml:space="preserve"> </w:t>
      </w:r>
    </w:p>
    <w:p w:rsidR="00CA0AC8" w:rsidRPr="007C17D9" w:rsidRDefault="00CA0AC8" w:rsidP="0045682F">
      <w:pPr>
        <w:pStyle w:val="ListNo1"/>
        <w:numPr>
          <w:ilvl w:val="0"/>
          <w:numId w:val="34"/>
        </w:numPr>
      </w:pPr>
      <w:r w:rsidRPr="007C17D9">
        <w:t>Jets by Jodie Boffa</w:t>
      </w:r>
      <w:r w:rsidR="00A20A9D" w:rsidRPr="007C17D9">
        <w:t xml:space="preserve"> </w:t>
      </w:r>
      <w:r w:rsidR="000727A7">
        <w:t>–</w:t>
      </w:r>
      <w:r w:rsidRPr="007C17D9">
        <w:t xml:space="preserve"> </w:t>
      </w:r>
      <w:r w:rsidR="001849FD">
        <w:t xml:space="preserve">a swimwear brand </w:t>
      </w:r>
      <w:r w:rsidR="00A20A9D" w:rsidRPr="007C17D9">
        <w:t xml:space="preserve">which </w:t>
      </w:r>
      <w:r w:rsidR="001849FD">
        <w:t xml:space="preserve">was </w:t>
      </w:r>
      <w:r w:rsidRPr="007C17D9">
        <w:t>previously owned by Seafolly.</w:t>
      </w:r>
      <w:r w:rsidR="00681452" w:rsidRPr="00DB5412">
        <w:t xml:space="preserve"> </w:t>
      </w:r>
    </w:p>
    <w:p w:rsidR="00CA0AC8" w:rsidRDefault="00836462" w:rsidP="00CA0AC8">
      <w:pPr>
        <w:pStyle w:val="ParaNumbering"/>
        <w:tabs>
          <w:tab w:val="num" w:pos="720"/>
        </w:tabs>
        <w:ind w:left="0"/>
      </w:pPr>
      <w:r>
        <w:t xml:space="preserve">He said that </w:t>
      </w:r>
      <w:r w:rsidR="00CA0AC8">
        <w:t xml:space="preserve">such sub-brands are usually separately promoted, whether by way of a separate website or a separate section of a website, </w:t>
      </w:r>
      <w:r w:rsidR="000727A7">
        <w:t xml:space="preserve">that </w:t>
      </w:r>
      <w:r w:rsidR="00CA0AC8">
        <w:t xml:space="preserve">the sub-brand will usually have a range of products that will change from season to season, and </w:t>
      </w:r>
      <w:r w:rsidR="000727A7">
        <w:t xml:space="preserve">that </w:t>
      </w:r>
      <w:r w:rsidR="00CA0AC8">
        <w:t xml:space="preserve">in his experience </w:t>
      </w:r>
      <w:r>
        <w:t xml:space="preserve">it </w:t>
      </w:r>
      <w:r w:rsidR="00CA0AC8">
        <w:t>will usually have its own logo.</w:t>
      </w:r>
      <w:r>
        <w:t xml:space="preserve">  In his view </w:t>
      </w:r>
      <w:r w:rsidR="00CA0AC8">
        <w:t>such sub-brands are different from a style name, and when a product is removed from sale its style name will not be reused so as to avoid confusion within the brand.</w:t>
      </w:r>
      <w:r w:rsidR="001849FD" w:rsidRPr="001849FD">
        <w:t xml:space="preserve"> </w:t>
      </w:r>
    </w:p>
    <w:p w:rsidR="0070456D" w:rsidRDefault="00CA0AC8" w:rsidP="00CA0AC8">
      <w:pPr>
        <w:pStyle w:val="ParaNumbering"/>
        <w:tabs>
          <w:tab w:val="num" w:pos="720"/>
        </w:tabs>
        <w:ind w:left="0"/>
      </w:pPr>
      <w:r>
        <w:lastRenderedPageBreak/>
        <w:t>Mr Saunders disagreed with Dr Downes’ reasoning and his conclusion that Australian consumers would perceive</w:t>
      </w:r>
      <w:r w:rsidRPr="00CA0AC8">
        <w:t xml:space="preserve"> </w:t>
      </w:r>
      <w:r>
        <w:t>DELPHINE</w:t>
      </w:r>
      <w:r w:rsidRPr="00CA0AC8">
        <w:t xml:space="preserve"> </w:t>
      </w:r>
      <w:r>
        <w:t>to be a brand or sub-brand of the TRIANGL brand.  Having regard to the</w:t>
      </w:r>
      <w:r w:rsidR="00836462">
        <w:t xml:space="preserve"> impugned Triangl marketing material </w:t>
      </w:r>
      <w:r>
        <w:t>he</w:t>
      </w:r>
      <w:r w:rsidR="00836462">
        <w:t xml:space="preserve"> noted </w:t>
      </w:r>
      <w:r>
        <w:t>that DELPHINE was never used without at least one use of the brand TRIANGL</w:t>
      </w:r>
      <w:r w:rsidR="00836462">
        <w:t>.  He said</w:t>
      </w:r>
      <w:r w:rsidR="00C47D10">
        <w:t>:</w:t>
      </w:r>
      <w:r w:rsidR="00681452" w:rsidRPr="00681452">
        <w:t xml:space="preserve"> </w:t>
      </w:r>
    </w:p>
    <w:p w:rsidR="00C47D10" w:rsidRDefault="00836462" w:rsidP="003C3980">
      <w:pPr>
        <w:pStyle w:val="Quote1"/>
        <w:spacing w:after="240"/>
      </w:pPr>
      <w:r>
        <w:t>B</w:t>
      </w:r>
      <w:r w:rsidR="00C47D10">
        <w:t>ased on my experience in promoting fashion products to Australian consumers, I consider that Australian consumers would not consider</w:t>
      </w:r>
      <w:r w:rsidR="00C47D10" w:rsidRPr="00C47D10">
        <w:t xml:space="preserve"> </w:t>
      </w:r>
      <w:r w:rsidR="00C47D10">
        <w:t>DELPHINE to be a sub-brand of Triangl, but rather a specific style and product being offered for sale across three different colours.</w:t>
      </w:r>
      <w:r w:rsidR="00681452" w:rsidRPr="00681452">
        <w:t xml:space="preserve"> </w:t>
      </w:r>
    </w:p>
    <w:p w:rsidR="00013BA4" w:rsidRPr="00457039" w:rsidRDefault="00457039" w:rsidP="0082269B">
      <w:pPr>
        <w:pStyle w:val="ParaNumbering"/>
        <w:tabs>
          <w:tab w:val="num" w:pos="720"/>
        </w:tabs>
        <w:ind w:left="0"/>
      </w:pPr>
      <w:r w:rsidRPr="00457039">
        <w:t>In cross</w:t>
      </w:r>
      <w:r w:rsidR="008118D9">
        <w:t>-</w:t>
      </w:r>
      <w:r w:rsidRPr="00457039">
        <w:t xml:space="preserve">examination </w:t>
      </w:r>
      <w:r w:rsidR="00971360" w:rsidRPr="00457039">
        <w:t>Mr Saunders readily accepted that it is possible to have</w:t>
      </w:r>
      <w:r w:rsidRPr="00457039">
        <w:t xml:space="preserve"> a</w:t>
      </w:r>
      <w:r w:rsidR="00971360" w:rsidRPr="00457039">
        <w:t xml:space="preserve"> sub-brand of a</w:t>
      </w:r>
      <w:r w:rsidRPr="00457039">
        <w:t xml:space="preserve"> trader </w:t>
      </w:r>
      <w:r w:rsidR="00971360" w:rsidRPr="00457039">
        <w:t>that</w:t>
      </w:r>
      <w:r w:rsidRPr="00457039">
        <w:t xml:space="preserve"> is </w:t>
      </w:r>
      <w:r w:rsidR="00971360" w:rsidRPr="00457039">
        <w:t>well-known in</w:t>
      </w:r>
      <w:r w:rsidRPr="00457039">
        <w:t xml:space="preserve"> its </w:t>
      </w:r>
      <w:r w:rsidR="00971360" w:rsidRPr="00457039">
        <w:t xml:space="preserve">own right, and that such </w:t>
      </w:r>
      <w:r w:rsidRPr="00457039">
        <w:t xml:space="preserve">a </w:t>
      </w:r>
      <w:r w:rsidR="00971360" w:rsidRPr="00457039">
        <w:t>sub-brand become</w:t>
      </w:r>
      <w:r w:rsidR="001A79BD">
        <w:t>s</w:t>
      </w:r>
      <w:r w:rsidR="00971360" w:rsidRPr="00457039">
        <w:t xml:space="preserve"> so well-known that</w:t>
      </w:r>
      <w:r w:rsidRPr="00457039">
        <w:t xml:space="preserve"> it </w:t>
      </w:r>
      <w:r w:rsidR="00971360" w:rsidRPr="00457039">
        <w:t>would be identified with the</w:t>
      </w:r>
      <w:r w:rsidRPr="00457039">
        <w:t xml:space="preserve"> trader</w:t>
      </w:r>
      <w:r w:rsidR="00971360" w:rsidRPr="00457039">
        <w:t xml:space="preserve">, whether or not the </w:t>
      </w:r>
      <w:r w:rsidRPr="00457039">
        <w:t>trader’s</w:t>
      </w:r>
      <w:r w:rsidR="00971360" w:rsidRPr="00457039">
        <w:t xml:space="preserve"> name </w:t>
      </w:r>
      <w:r w:rsidRPr="00457039">
        <w:t xml:space="preserve">or brand </w:t>
      </w:r>
      <w:r w:rsidR="00971360" w:rsidRPr="00457039">
        <w:t xml:space="preserve">is used with </w:t>
      </w:r>
      <w:r w:rsidRPr="00457039">
        <w:t>it</w:t>
      </w:r>
      <w:r w:rsidR="00971360" w:rsidRPr="00457039">
        <w:t xml:space="preserve">.  </w:t>
      </w:r>
      <w:r w:rsidR="00013BA4" w:rsidRPr="00457039">
        <w:t>He</w:t>
      </w:r>
      <w:r w:rsidRPr="00457039">
        <w:t xml:space="preserve"> accepted </w:t>
      </w:r>
      <w:r w:rsidR="00013BA4" w:rsidRPr="00457039">
        <w:t>that was possible with fashion brands just as it applied to other products.</w:t>
      </w:r>
      <w:r w:rsidRPr="00457039">
        <w:t xml:space="preserve"> </w:t>
      </w:r>
      <w:r w:rsidR="00441259">
        <w:t xml:space="preserve"> </w:t>
      </w:r>
      <w:r>
        <w:t>Senior Counsel for Pinnacle then took</w:t>
      </w:r>
      <w:r w:rsidR="00013BA4" w:rsidRPr="00457039">
        <w:t xml:space="preserve"> Mr Saunders to several </w:t>
      </w:r>
      <w:r w:rsidR="00E6796F">
        <w:t xml:space="preserve">pages from the </w:t>
      </w:r>
      <w:r w:rsidR="001A79BD">
        <w:t>TRIANGL</w:t>
      </w:r>
      <w:r w:rsidR="001A79BD" w:rsidRPr="00457039">
        <w:t xml:space="preserve"> </w:t>
      </w:r>
      <w:r w:rsidR="00013BA4" w:rsidRPr="00457039">
        <w:t>Facebook</w:t>
      </w:r>
      <w:r w:rsidR="00E6796F">
        <w:t xml:space="preserve"> account </w:t>
      </w:r>
      <w:r w:rsidR="00013BA4" w:rsidRPr="00457039">
        <w:t xml:space="preserve">during the relevant period where, above a picture of a model wearing a </w:t>
      </w:r>
      <w:r w:rsidR="00AE6CAD">
        <w:t>Triangl DELPHINE</w:t>
      </w:r>
      <w:r w:rsidR="00395D14">
        <w:t xml:space="preserve"> </w:t>
      </w:r>
      <w:r w:rsidR="00013BA4" w:rsidRPr="00457039">
        <w:t>bikini, the words DELPHINE or THE DELPHINE appeared.</w:t>
      </w:r>
      <w:r w:rsidR="00AA2A0F">
        <w:t xml:space="preserve">  Mr Saunders </w:t>
      </w:r>
      <w:r w:rsidR="00013BA4" w:rsidRPr="00457039">
        <w:t xml:space="preserve">accepted that the capitalisation of DELPHINE and use of </w:t>
      </w:r>
      <w:r>
        <w:t>THE DELPHINE</w:t>
      </w:r>
      <w:r w:rsidR="00013BA4" w:rsidRPr="00457039">
        <w:t xml:space="preserve"> was an attempt to emphasise these products as a distinct product coming uniquely from TRIANGL.  He said the same about the use of DELPHINE in the EDMs.</w:t>
      </w:r>
      <w:r w:rsidR="001A79BD">
        <w:t xml:space="preserve"> </w:t>
      </w:r>
      <w:r w:rsidR="00167998">
        <w:t xml:space="preserve"> As I later explain, Pinnacle </w:t>
      </w:r>
      <w:r w:rsidR="007C17D9">
        <w:t xml:space="preserve">sought </w:t>
      </w:r>
      <w:r w:rsidR="00167998">
        <w:t>to give that exchange more significance than i</w:t>
      </w:r>
      <w:r w:rsidR="007C17D9">
        <w:t>t</w:t>
      </w:r>
      <w:r w:rsidR="00964E30">
        <w:t xml:space="preserve"> </w:t>
      </w:r>
      <w:r w:rsidR="00AA2A0F">
        <w:t>warrants</w:t>
      </w:r>
      <w:r w:rsidR="00167998">
        <w:t>.</w:t>
      </w:r>
      <w:r w:rsidR="00441259" w:rsidRPr="00441259">
        <w:t xml:space="preserve"> </w:t>
      </w:r>
    </w:p>
    <w:p w:rsidR="00FB6AEA" w:rsidRDefault="00FB6AEA" w:rsidP="00FB6AEA">
      <w:pPr>
        <w:pStyle w:val="Heading1"/>
      </w:pPr>
      <w:r>
        <w:t>Pinnacle’s submissions</w:t>
      </w:r>
    </w:p>
    <w:p w:rsidR="00FB6AEA" w:rsidRDefault="003F5EA3" w:rsidP="00FB6AEA">
      <w:pPr>
        <w:pStyle w:val="ParaNumbering"/>
        <w:tabs>
          <w:tab w:val="num" w:pos="720"/>
        </w:tabs>
        <w:ind w:left="0"/>
      </w:pPr>
      <w:r>
        <w:t xml:space="preserve">It is common ground between the parties that Pinnacle’s </w:t>
      </w:r>
      <w:r w:rsidR="00FB6AEA">
        <w:t>claim</w:t>
      </w:r>
      <w:r>
        <w:t xml:space="preserve"> of </w:t>
      </w:r>
      <w:r w:rsidR="00AA2A0F">
        <w:t xml:space="preserve">trade mark </w:t>
      </w:r>
      <w:r w:rsidR="00FB6AEA">
        <w:t>infringement turn</w:t>
      </w:r>
      <w:r w:rsidR="00AA2A0F">
        <w:t>s</w:t>
      </w:r>
      <w:r w:rsidR="00FB6AEA">
        <w:t xml:space="preserve"> solely upon the question </w:t>
      </w:r>
      <w:r w:rsidR="00AA2A0F">
        <w:t xml:space="preserve">as to </w:t>
      </w:r>
      <w:r w:rsidR="00FB6AEA">
        <w:t xml:space="preserve">whether Triangl’s admitted use </w:t>
      </w:r>
      <w:r w:rsidR="00594D69">
        <w:t xml:space="preserve">of DELPHINE </w:t>
      </w:r>
      <w:r w:rsidR="00FB6AEA">
        <w:t xml:space="preserve">amounted to use </w:t>
      </w:r>
      <w:r w:rsidR="00FB6AEA" w:rsidRPr="004C4212">
        <w:rPr>
          <w:i/>
        </w:rPr>
        <w:t>as a trade</w:t>
      </w:r>
      <w:r w:rsidR="00783FB3" w:rsidRPr="004C4212">
        <w:rPr>
          <w:i/>
        </w:rPr>
        <w:t xml:space="preserve"> </w:t>
      </w:r>
      <w:r w:rsidR="00FB6AEA" w:rsidRPr="004C4212">
        <w:rPr>
          <w:i/>
        </w:rPr>
        <w:t xml:space="preserve">mark </w:t>
      </w:r>
      <w:r w:rsidR="00FB6AEA">
        <w:t xml:space="preserve">for the purposes of s 120 of the Act.  </w:t>
      </w:r>
      <w:r>
        <w:t>T</w:t>
      </w:r>
      <w:r w:rsidR="00FB6AEA">
        <w:t>he registration of the</w:t>
      </w:r>
      <w:r w:rsidR="00FB6AEA" w:rsidRPr="00336E42">
        <w:t xml:space="preserve"> </w:t>
      </w:r>
      <w:r w:rsidR="00FB6AEA">
        <w:t>DELPHINE Trade Mark,</w:t>
      </w:r>
      <w:r w:rsidR="00FB6AEA" w:rsidRPr="00336E42">
        <w:t xml:space="preserve"> </w:t>
      </w:r>
      <w:r w:rsidR="00FB6AEA">
        <w:t>Triangl’s acts of use, the identity of the</w:t>
      </w:r>
      <w:r w:rsidR="00FB6AEA" w:rsidRPr="00336E42">
        <w:t xml:space="preserve"> </w:t>
      </w:r>
      <w:r w:rsidR="00FB6AEA">
        <w:t>DELPHINE Trade Mark with the name used by</w:t>
      </w:r>
      <w:r w:rsidR="00FB6AEA" w:rsidRPr="00336E42">
        <w:t xml:space="preserve"> </w:t>
      </w:r>
      <w:r w:rsidR="00FB6AEA">
        <w:t>Triangl, and the class of goods in question are not in controversy.</w:t>
      </w:r>
      <w:r w:rsidR="005E7CC0" w:rsidRPr="005E7CC0">
        <w:t xml:space="preserve"> </w:t>
      </w:r>
    </w:p>
    <w:p w:rsidR="00FB6AEA" w:rsidRDefault="00FB6AEA" w:rsidP="00FB6AEA">
      <w:pPr>
        <w:pStyle w:val="ParaNumbering"/>
        <w:tabs>
          <w:tab w:val="num" w:pos="720"/>
        </w:tabs>
        <w:ind w:left="0"/>
      </w:pPr>
      <w:r>
        <w:t xml:space="preserve">Pinnacle </w:t>
      </w:r>
      <w:r w:rsidR="008B205D">
        <w:t xml:space="preserve">said </w:t>
      </w:r>
      <w:r w:rsidR="00AA2A0F">
        <w:t xml:space="preserve">and I accept </w:t>
      </w:r>
      <w:r>
        <w:t>that the principal question of whether the name</w:t>
      </w:r>
      <w:r w:rsidRPr="00336E42">
        <w:t xml:space="preserve"> </w:t>
      </w:r>
      <w:r>
        <w:t xml:space="preserve">DELPHINE was used to </w:t>
      </w:r>
      <w:r w:rsidRPr="004C4212">
        <w:t xml:space="preserve">distinguish </w:t>
      </w:r>
      <w:r>
        <w:t>Triangl’s goods from those of other traders is an objective one which is to be determined from the perspective of the consumer.</w:t>
      </w:r>
      <w:r w:rsidR="00E6796F">
        <w:t xml:space="preserve">  Pinnacle submitted</w:t>
      </w:r>
      <w:r>
        <w:t xml:space="preserve"> </w:t>
      </w:r>
      <w:r w:rsidR="008B205D">
        <w:t>(</w:t>
      </w:r>
      <w:r>
        <w:t>and I accept</w:t>
      </w:r>
      <w:r w:rsidR="008B205D">
        <w:t>)</w:t>
      </w:r>
      <w:r>
        <w:t xml:space="preserve"> that there is no dichotomy involved in identifying what function was performed by </w:t>
      </w:r>
      <w:r w:rsidR="00702FD1">
        <w:t xml:space="preserve">Triangl’s </w:t>
      </w:r>
      <w:r>
        <w:t>use of the name</w:t>
      </w:r>
      <w:r w:rsidRPr="00BF39D7">
        <w:t xml:space="preserve"> </w:t>
      </w:r>
      <w:r>
        <w:t xml:space="preserve">DELPHINE in relation to the </w:t>
      </w:r>
      <w:r w:rsidR="00AE6CAD">
        <w:t>Triangl DELPHINE</w:t>
      </w:r>
      <w:r w:rsidR="00702FD1">
        <w:t xml:space="preserve"> bikinis</w:t>
      </w:r>
      <w:r>
        <w:t>.  The function</w:t>
      </w:r>
      <w:r w:rsidR="00070869">
        <w:t xml:space="preserve"> of the use</w:t>
      </w:r>
      <w:r>
        <w:t xml:space="preserve"> is not limited to </w:t>
      </w:r>
      <w:r w:rsidRPr="00BF39D7">
        <w:rPr>
          <w:i/>
        </w:rPr>
        <w:t>either</w:t>
      </w:r>
      <w:r>
        <w:t xml:space="preserve"> distinguishing</w:t>
      </w:r>
      <w:r w:rsidRPr="00BF39D7">
        <w:t xml:space="preserve"> </w:t>
      </w:r>
      <w:r>
        <w:t xml:space="preserve">Triangl’s goods from those of other traders </w:t>
      </w:r>
      <w:r w:rsidRPr="00BF39D7">
        <w:rPr>
          <w:i/>
        </w:rPr>
        <w:t xml:space="preserve">or </w:t>
      </w:r>
      <w:r w:rsidRPr="00BF39D7">
        <w:t>distinguishing the goods amongst its own line of goods</w:t>
      </w:r>
      <w:r>
        <w:t xml:space="preserve">.  </w:t>
      </w:r>
      <w:r w:rsidR="00280F1F">
        <w:t xml:space="preserve">In the event that it does both, </w:t>
      </w:r>
      <w:r w:rsidR="000B0159">
        <w:t xml:space="preserve">such use </w:t>
      </w:r>
      <w:r w:rsidR="00280F1F">
        <w:t>will</w:t>
      </w:r>
      <w:r w:rsidR="000B0159">
        <w:t xml:space="preserve"> </w:t>
      </w:r>
      <w:r w:rsidR="00280F1F">
        <w:t xml:space="preserve">still constitute </w:t>
      </w:r>
      <w:r w:rsidR="000B0159">
        <w:t xml:space="preserve">use </w:t>
      </w:r>
      <w:r>
        <w:t xml:space="preserve">as a trade mark for the purposes of s 120 of the Act.  Provided </w:t>
      </w:r>
      <w:r w:rsidR="00280F1F">
        <w:t xml:space="preserve">that Pinnacle </w:t>
      </w:r>
      <w:r w:rsidR="00280F1F">
        <w:lastRenderedPageBreak/>
        <w:t xml:space="preserve">establishes that </w:t>
      </w:r>
      <w:r>
        <w:t>one of the roles of the use of the name</w:t>
      </w:r>
      <w:r w:rsidRPr="00BF39D7">
        <w:t xml:space="preserve"> </w:t>
      </w:r>
      <w:r>
        <w:t xml:space="preserve">DELPHINE </w:t>
      </w:r>
      <w:r w:rsidR="00280F1F">
        <w:t xml:space="preserve">was </w:t>
      </w:r>
      <w:r>
        <w:t>to distinguish</w:t>
      </w:r>
      <w:r w:rsidRPr="00BF39D7">
        <w:t xml:space="preserve"> </w:t>
      </w:r>
      <w:r>
        <w:t>Triangl’s goods dealt with or provided in the course of trade</w:t>
      </w:r>
      <w:r w:rsidR="00E6796F">
        <w:t xml:space="preserve"> from the goods of other traders</w:t>
      </w:r>
      <w:r w:rsidR="00280F1F">
        <w:t>,</w:t>
      </w:r>
      <w:r>
        <w:t xml:space="preserve"> the display of the word in advertising will be</w:t>
      </w:r>
      <w:r w:rsidR="00AA2A0F">
        <w:t xml:space="preserve"> use as a</w:t>
      </w:r>
      <w:r>
        <w:t xml:space="preserve"> trade mark.</w:t>
      </w:r>
      <w:r w:rsidR="00070869" w:rsidRPr="00070869">
        <w:t xml:space="preserve"> </w:t>
      </w:r>
    </w:p>
    <w:p w:rsidR="00FB6AEA" w:rsidRDefault="00FB6AEA" w:rsidP="00FB6AEA">
      <w:pPr>
        <w:pStyle w:val="ParaNumbering"/>
        <w:tabs>
          <w:tab w:val="num" w:pos="720"/>
        </w:tabs>
        <w:ind w:left="0"/>
      </w:pPr>
      <w:r>
        <w:t>Pinnacle contended that the impugned advertising material prominently featured DELPHINE in the following ways:</w:t>
      </w:r>
      <w:r w:rsidR="00070869" w:rsidRPr="00070869">
        <w:t xml:space="preserve"> </w:t>
      </w:r>
    </w:p>
    <w:p w:rsidR="00FB6AEA" w:rsidRDefault="00FB6AEA" w:rsidP="0045682F">
      <w:pPr>
        <w:pStyle w:val="ListNo1"/>
        <w:numPr>
          <w:ilvl w:val="0"/>
          <w:numId w:val="36"/>
        </w:numPr>
      </w:pPr>
      <w:r>
        <w:t xml:space="preserve">on the TRIANGL website </w:t>
      </w:r>
      <w:r w:rsidR="00070869">
        <w:t>–</w:t>
      </w:r>
      <w:r>
        <w:t xml:space="preserve"> under pictures of three different swimsuit sets and in a title above three drop-down boxes which appear to be designed to facilitate online purchase; and</w:t>
      </w:r>
    </w:p>
    <w:p w:rsidR="00FB6AEA" w:rsidRDefault="00FB6AEA" w:rsidP="0045682F">
      <w:pPr>
        <w:pStyle w:val="ListNo1"/>
        <w:numPr>
          <w:ilvl w:val="0"/>
          <w:numId w:val="36"/>
        </w:numPr>
      </w:pPr>
      <w:r>
        <w:t xml:space="preserve">on the EDMs </w:t>
      </w:r>
      <w:r w:rsidR="00070869">
        <w:t>–</w:t>
      </w:r>
      <w:r>
        <w:t xml:space="preserve"> as a stand alone logo.</w:t>
      </w:r>
      <w:r w:rsidR="00070869" w:rsidRPr="00070869">
        <w:t xml:space="preserve"> </w:t>
      </w:r>
    </w:p>
    <w:p w:rsidR="00F441F7" w:rsidRDefault="00550A54" w:rsidP="003E6A46">
      <w:pPr>
        <w:pStyle w:val="ParaNumbering"/>
        <w:tabs>
          <w:tab w:val="num" w:pos="720"/>
        </w:tabs>
        <w:ind w:left="0"/>
      </w:pPr>
      <w:r>
        <w:t>It submitted that in</w:t>
      </w:r>
      <w:r w:rsidR="00F441F7">
        <w:t xml:space="preserve"> the EDMs </w:t>
      </w:r>
      <w:r>
        <w:t xml:space="preserve">the name TRIANGL appeared, together with a photograph of a model wearing a bikini below which appeared, in capitals in bold print, DELPHINE, then the more descriptive phrase “Summertime Florals”, and then the Shop Now button which appeared above TRIANGL.COM </w:t>
      </w:r>
      <w:r w:rsidR="00F441F7">
        <w:t xml:space="preserve">in </w:t>
      </w:r>
      <w:r>
        <w:t>smaller font</w:t>
      </w:r>
      <w:r w:rsidR="00F441F7">
        <w:t>.  It argued that the name</w:t>
      </w:r>
      <w:r w:rsidR="00F441F7" w:rsidRPr="00F441F7">
        <w:t xml:space="preserve"> </w:t>
      </w:r>
      <w:r w:rsidR="00F441F7">
        <w:t>DELPHINE is presented in relation to the goods in a prominent fashion in a way that makes it stand out from the other language which appears on the page.</w:t>
      </w:r>
      <w:r w:rsidR="00592478">
        <w:t xml:space="preserve"> </w:t>
      </w:r>
      <w:r w:rsidR="00F441F7">
        <w:t xml:space="preserve"> It contended that the manner in which</w:t>
      </w:r>
      <w:r w:rsidR="007C17D9">
        <w:t xml:space="preserve"> the name </w:t>
      </w:r>
      <w:r w:rsidR="00F441F7">
        <w:t>is used indicate</w:t>
      </w:r>
      <w:r w:rsidR="00D63D64">
        <w:t>d</w:t>
      </w:r>
      <w:r w:rsidR="00F441F7">
        <w:t xml:space="preserve"> that</w:t>
      </w:r>
      <w:r w:rsidR="00F441F7" w:rsidRPr="00F441F7">
        <w:t xml:space="preserve"> </w:t>
      </w:r>
      <w:r w:rsidR="00F441F7">
        <w:t xml:space="preserve">DELPHINE </w:t>
      </w:r>
      <w:r w:rsidR="009412AF">
        <w:t xml:space="preserve">swimwear </w:t>
      </w:r>
      <w:r w:rsidR="00F441F7">
        <w:t xml:space="preserve">is a product provided by </w:t>
      </w:r>
      <w:r w:rsidR="003E6A46">
        <w:t xml:space="preserve">TRIANGL </w:t>
      </w:r>
      <w:r w:rsidR="00F441F7">
        <w:t xml:space="preserve">and </w:t>
      </w:r>
      <w:r w:rsidR="003E6A46">
        <w:t>a</w:t>
      </w:r>
      <w:r w:rsidR="00F441F7">
        <w:t xml:space="preserve">ssociated definitively and exclusively with </w:t>
      </w:r>
      <w:r w:rsidR="003E6A46">
        <w:t>that brand</w:t>
      </w:r>
      <w:r w:rsidR="00F441F7">
        <w:t>.  It submitted that the name</w:t>
      </w:r>
      <w:r w:rsidR="00F441F7" w:rsidRPr="00F441F7">
        <w:t xml:space="preserve"> </w:t>
      </w:r>
      <w:r w:rsidR="00F441F7">
        <w:t>DELPHINE is not used in a way that suggests it is merely a style descriptor, or an aide m</w:t>
      </w:r>
      <w:r w:rsidR="00D63D64">
        <w:t>é</w:t>
      </w:r>
      <w:r w:rsidR="00F441F7">
        <w:t>moir for a customer while sorting around on a webpage.</w:t>
      </w:r>
      <w:r w:rsidR="000F7F10">
        <w:t xml:space="preserve"> </w:t>
      </w:r>
      <w:r w:rsidR="00F441F7">
        <w:t xml:space="preserve"> </w:t>
      </w:r>
      <w:r w:rsidR="003E6A46">
        <w:t xml:space="preserve">It </w:t>
      </w:r>
      <w:r w:rsidR="00F441F7">
        <w:t>contended that the same is true of the use of</w:t>
      </w:r>
      <w:r w:rsidR="00F441F7" w:rsidRPr="00F441F7">
        <w:t xml:space="preserve"> </w:t>
      </w:r>
      <w:r w:rsidR="00F441F7">
        <w:t>DELPHINE on the</w:t>
      </w:r>
      <w:r w:rsidR="00F441F7" w:rsidRPr="00F441F7">
        <w:t xml:space="preserve"> </w:t>
      </w:r>
      <w:r w:rsidR="00F441F7">
        <w:t>TRIANGL website</w:t>
      </w:r>
      <w:r w:rsidR="000B0159">
        <w:t xml:space="preserve"> and </w:t>
      </w:r>
      <w:r w:rsidR="00F441F7">
        <w:t>argued that</w:t>
      </w:r>
      <w:r w:rsidR="003E6A46">
        <w:t xml:space="preserve"> </w:t>
      </w:r>
      <w:r w:rsidR="00F441F7">
        <w:t>DELPHINE was prominently displayed and centred as the mark associated with the different colour</w:t>
      </w:r>
      <w:r w:rsidR="00B25228">
        <w:t xml:space="preserve"> and</w:t>
      </w:r>
      <w:r w:rsidR="003E6A46">
        <w:t xml:space="preserve"> </w:t>
      </w:r>
      <w:r w:rsidR="00F441F7">
        <w:t>pattern variants, such that it establishes itself as a brand provided by</w:t>
      </w:r>
      <w:r w:rsidR="00F441F7" w:rsidRPr="00F441F7">
        <w:t xml:space="preserve"> </w:t>
      </w:r>
      <w:r w:rsidR="00F441F7">
        <w:t>TRIANGL as part of its range of unique products.</w:t>
      </w:r>
      <w:r w:rsidR="00AA0344" w:rsidRPr="00AA0344">
        <w:t xml:space="preserve"> </w:t>
      </w:r>
    </w:p>
    <w:p w:rsidR="00F441F7" w:rsidRDefault="00B25228" w:rsidP="00FB6AEA">
      <w:pPr>
        <w:pStyle w:val="ParaNumbering"/>
        <w:tabs>
          <w:tab w:val="num" w:pos="720"/>
        </w:tabs>
        <w:ind w:left="0"/>
      </w:pPr>
      <w:r>
        <w:t>Pinnacle</w:t>
      </w:r>
      <w:r w:rsidR="00F441F7">
        <w:t xml:space="preserve"> also relied on the use of</w:t>
      </w:r>
      <w:r w:rsidR="00F441F7" w:rsidRPr="00F441F7">
        <w:t xml:space="preserve"> </w:t>
      </w:r>
      <w:r w:rsidR="00F441F7">
        <w:t>DELPHINE on</w:t>
      </w:r>
      <w:r w:rsidR="00F441F7" w:rsidRPr="00F441F7">
        <w:t xml:space="preserve"> </w:t>
      </w:r>
      <w:r w:rsidR="00F441F7">
        <w:t>TRIANGL’s Instagram and Facebook pages, as part of the context in which consumers would have read the TRIANGL website or EDMs.  It noted that on</w:t>
      </w:r>
      <w:r w:rsidR="00E95C5F">
        <w:t xml:space="preserve"> one </w:t>
      </w:r>
      <w:r w:rsidR="00F441F7">
        <w:t>Instagram page “Triangl” appeared in lowercase whereas</w:t>
      </w:r>
      <w:r w:rsidR="00F441F7" w:rsidRPr="00F441F7">
        <w:t xml:space="preserve"> </w:t>
      </w:r>
      <w:r w:rsidR="00F441F7">
        <w:t>DELPHINE appeared in uppercase and</w:t>
      </w:r>
      <w:r w:rsidR="003E6A46">
        <w:t xml:space="preserve"> was </w:t>
      </w:r>
      <w:r w:rsidR="00F441F7">
        <w:t>emphasised above the surrounding text</w:t>
      </w:r>
      <w:r w:rsidR="00E95C5F">
        <w:t>.  It argued that the same approach carried through onto TRIANGL’s Facebook pages where the word</w:t>
      </w:r>
      <w:r w:rsidR="00E95C5F" w:rsidRPr="00E95C5F">
        <w:t xml:space="preserve"> </w:t>
      </w:r>
      <w:r w:rsidR="00E95C5F">
        <w:t>DELPHINE was capitalised and in one example it was given additional emphasis as “The</w:t>
      </w:r>
      <w:r w:rsidR="00E95C5F" w:rsidRPr="00E95C5F">
        <w:t xml:space="preserve"> </w:t>
      </w:r>
      <w:r w:rsidR="00E95C5F">
        <w:t>DELPHINE”.</w:t>
      </w:r>
      <w:r w:rsidRPr="00B25228">
        <w:t xml:space="preserve"> </w:t>
      </w:r>
    </w:p>
    <w:p w:rsidR="00103B79" w:rsidRDefault="00103B79" w:rsidP="001E3DFF">
      <w:pPr>
        <w:pStyle w:val="ParaNumbering"/>
        <w:tabs>
          <w:tab w:val="num" w:pos="720"/>
        </w:tabs>
        <w:ind w:left="0"/>
      </w:pPr>
      <w:r>
        <w:t>It argued that there was no inherent inconsistency between using the name</w:t>
      </w:r>
      <w:r w:rsidRPr="00103B79">
        <w:t xml:space="preserve"> </w:t>
      </w:r>
      <w:r>
        <w:t>DELPHINE as a trade mark on a website associated with</w:t>
      </w:r>
      <w:r w:rsidRPr="00103B79">
        <w:t xml:space="preserve"> </w:t>
      </w:r>
      <w:r>
        <w:t>TRIANGL, any more than there is any inconsistency with using Coco Pops as a brand in association with Kellogg’s.</w:t>
      </w:r>
      <w:r w:rsidR="002946BD">
        <w:t xml:space="preserve"> </w:t>
      </w:r>
      <w:r>
        <w:t xml:space="preserve"> It relied on the observation</w:t>
      </w:r>
      <w:r w:rsidR="0042509E">
        <w:t>s</w:t>
      </w:r>
      <w:r>
        <w:t xml:space="preserve"> </w:t>
      </w:r>
      <w:r>
        <w:lastRenderedPageBreak/>
        <w:t xml:space="preserve">of Allsop J, </w:t>
      </w:r>
      <w:r w:rsidR="009C32EF">
        <w:t>(</w:t>
      </w:r>
      <w:r>
        <w:t>as his Honour</w:t>
      </w:r>
      <w:r w:rsidR="009C32EF">
        <w:t>)</w:t>
      </w:r>
      <w:r>
        <w:t xml:space="preserve"> then was, in </w:t>
      </w:r>
      <w:r w:rsidRPr="00D47D17">
        <w:rPr>
          <w:i/>
        </w:rPr>
        <w:t>Anheuser-Busch Inc v Budejovick</w:t>
      </w:r>
      <w:r w:rsidR="002946BD">
        <w:rPr>
          <w:i/>
        </w:rPr>
        <w:t>y</w:t>
      </w:r>
      <w:r w:rsidRPr="00D47D17">
        <w:rPr>
          <w:i/>
        </w:rPr>
        <w:t xml:space="preserve"> Budvar, </w:t>
      </w:r>
      <w:r w:rsidR="002946BD">
        <w:rPr>
          <w:i/>
        </w:rPr>
        <w:t xml:space="preserve">Narodni </w:t>
      </w:r>
      <w:r w:rsidRPr="00D47D17">
        <w:rPr>
          <w:i/>
        </w:rPr>
        <w:t xml:space="preserve">Podnik &amp; Ors </w:t>
      </w:r>
      <w:r w:rsidR="002946BD" w:rsidRPr="00D47D17">
        <w:t>[2002] FCA 390</w:t>
      </w:r>
      <w:r w:rsidR="002946BD">
        <w:t xml:space="preserve">; </w:t>
      </w:r>
      <w:r>
        <w:t xml:space="preserve">(2002) 56 IPR 182 </w:t>
      </w:r>
      <w:r w:rsidRPr="00D47D17">
        <w:t>at [186]-[189]</w:t>
      </w:r>
      <w:r>
        <w:t xml:space="preserve"> (</w:t>
      </w:r>
      <w:r w:rsidRPr="00D47D17">
        <w:rPr>
          <w:b/>
          <w:i/>
        </w:rPr>
        <w:t>Anheuser-Busch</w:t>
      </w:r>
      <w:r>
        <w:t>),</w:t>
      </w:r>
      <w:r w:rsidR="0042509E">
        <w:t xml:space="preserve"> and noted </w:t>
      </w:r>
      <w:r>
        <w:t>that</w:t>
      </w:r>
      <w:r w:rsidR="001E3DFF">
        <w:t xml:space="preserve"> just </w:t>
      </w:r>
      <w:r>
        <w:t>because</w:t>
      </w:r>
      <w:r w:rsidR="00AA2A0F">
        <w:t xml:space="preserve"> one </w:t>
      </w:r>
      <w:r>
        <w:t xml:space="preserve">part of </w:t>
      </w:r>
      <w:r w:rsidR="0042509E">
        <w:t>a</w:t>
      </w:r>
      <w:r>
        <w:t xml:space="preserve"> label is the obvious and important “brand”</w:t>
      </w:r>
      <w:r w:rsidR="001E3DFF">
        <w:t xml:space="preserve"> does not mean that another part of the label cannot act to distinguish the goods</w:t>
      </w:r>
      <w:r>
        <w:t>.</w:t>
      </w:r>
      <w:r w:rsidR="001E3DFF">
        <w:t xml:space="preserve">  Pinnacle</w:t>
      </w:r>
      <w:r w:rsidR="003E6A46">
        <w:t xml:space="preserve"> also</w:t>
      </w:r>
      <w:r w:rsidR="001E3DFF">
        <w:t xml:space="preserve"> relied </w:t>
      </w:r>
      <w:r w:rsidR="0042509E">
        <w:t xml:space="preserve">to similar effect </w:t>
      </w:r>
      <w:r w:rsidR="001E3DFF">
        <w:t xml:space="preserve">on the decision of Burley J in </w:t>
      </w:r>
      <w:r w:rsidR="001E3DFF" w:rsidRPr="001E3DFF">
        <w:rPr>
          <w:i/>
        </w:rPr>
        <w:t>Bohemia Crystal Pty Ltd v Host Corporation Pty Ltd</w:t>
      </w:r>
      <w:r w:rsidR="001E3DFF" w:rsidRPr="001E3DFF">
        <w:t xml:space="preserve"> </w:t>
      </w:r>
      <w:r w:rsidR="002946BD" w:rsidRPr="001E3DFF">
        <w:t xml:space="preserve">[2018] FCA </w:t>
      </w:r>
      <w:r w:rsidR="002946BD">
        <w:t xml:space="preserve">235; </w:t>
      </w:r>
      <w:r w:rsidR="0042509E">
        <w:t xml:space="preserve">(2018) 354 ALR 353 </w:t>
      </w:r>
      <w:r w:rsidR="00312804">
        <w:t>(</w:t>
      </w:r>
      <w:r w:rsidR="00312804" w:rsidRPr="00312804">
        <w:rPr>
          <w:b/>
          <w:i/>
        </w:rPr>
        <w:t>Bohemia Crystal</w:t>
      </w:r>
      <w:r w:rsidR="00312804">
        <w:t xml:space="preserve">) </w:t>
      </w:r>
      <w:r w:rsidR="001E3DFF">
        <w:t xml:space="preserve">at </w:t>
      </w:r>
      <w:r w:rsidR="002946BD">
        <w:t>[</w:t>
      </w:r>
      <w:r w:rsidR="001E3DFF">
        <w:t>278</w:t>
      </w:r>
      <w:r w:rsidR="002946BD">
        <w:t>]</w:t>
      </w:r>
      <w:r w:rsidR="001E3DFF">
        <w:t xml:space="preserve"> where his Honour found that the use of one obvious trade</w:t>
      </w:r>
      <w:r w:rsidR="0042509E">
        <w:t xml:space="preserve"> </w:t>
      </w:r>
      <w:r w:rsidR="001E3DFF">
        <w:t>mark, Banquet, did not preclude the existence of a further trade</w:t>
      </w:r>
      <w:r w:rsidR="0042509E">
        <w:t xml:space="preserve"> </w:t>
      </w:r>
      <w:r w:rsidR="001E3DFF">
        <w:t>mark</w:t>
      </w:r>
      <w:r w:rsidR="0042509E">
        <w:t>.</w:t>
      </w:r>
      <w:r w:rsidR="002946BD" w:rsidRPr="002946BD">
        <w:t xml:space="preserve"> </w:t>
      </w:r>
    </w:p>
    <w:p w:rsidR="001E3DFF" w:rsidRDefault="001E3DFF" w:rsidP="00FB6AEA">
      <w:pPr>
        <w:pStyle w:val="ParaNumbering"/>
        <w:tabs>
          <w:tab w:val="num" w:pos="720"/>
        </w:tabs>
        <w:ind w:left="0"/>
      </w:pPr>
      <w:r>
        <w:t>On Pinnacle’s argument</w:t>
      </w:r>
      <w:r w:rsidR="003E6A46">
        <w:t>,</w:t>
      </w:r>
      <w:r>
        <w:t xml:space="preserve"> Triangl adopted</w:t>
      </w:r>
      <w:r w:rsidR="003E6A46">
        <w:t xml:space="preserve"> the </w:t>
      </w:r>
      <w:r>
        <w:t xml:space="preserve">name </w:t>
      </w:r>
      <w:r w:rsidR="003E6A46">
        <w:t xml:space="preserve">DELPHINE </w:t>
      </w:r>
      <w:r>
        <w:t>which is distinctive and which it emphasised in respect of the bikinis it offered for sale</w:t>
      </w:r>
      <w:r w:rsidR="003E6A46">
        <w:t>. I</w:t>
      </w:r>
      <w:r>
        <w:t>t said that the way in which</w:t>
      </w:r>
      <w:r w:rsidRPr="001E3DFF">
        <w:t xml:space="preserve"> </w:t>
      </w:r>
      <w:r>
        <w:t>DELPHINE was used</w:t>
      </w:r>
      <w:r w:rsidR="003E6A46">
        <w:t xml:space="preserve"> distinguished </w:t>
      </w:r>
      <w:r>
        <w:t>the</w:t>
      </w:r>
      <w:r w:rsidR="003E6A46">
        <w:t xml:space="preserve"> bikinis </w:t>
      </w:r>
      <w:r>
        <w:t xml:space="preserve">as </w:t>
      </w:r>
      <w:r w:rsidR="003E6A46">
        <w:t xml:space="preserve">TRIANGL’s </w:t>
      </w:r>
      <w:r>
        <w:t xml:space="preserve">goods in the course of trade, and that it was a “big call” </w:t>
      </w:r>
      <w:r w:rsidR="003E6A46">
        <w:t xml:space="preserve">for the Court </w:t>
      </w:r>
      <w:r>
        <w:t>to accept that</w:t>
      </w:r>
      <w:r w:rsidR="003E6A46">
        <w:t xml:space="preserve"> the name </w:t>
      </w:r>
      <w:r>
        <w:t xml:space="preserve">was not used to distinguish those goods from the goods of other traders. </w:t>
      </w:r>
      <w:r w:rsidR="00502B87" w:rsidRPr="00502B87">
        <w:t xml:space="preserve"> </w:t>
      </w:r>
      <w:r>
        <w:t>It argued that consumers would see the</w:t>
      </w:r>
      <w:r w:rsidRPr="001E3DFF">
        <w:t xml:space="preserve"> </w:t>
      </w:r>
      <w:r w:rsidR="00AE6CAD">
        <w:t>Triangl DELPHINE</w:t>
      </w:r>
      <w:r w:rsidR="00702FD1">
        <w:t xml:space="preserve"> bikinis</w:t>
      </w:r>
      <w:r>
        <w:t xml:space="preserve"> as a range of bikinis</w:t>
      </w:r>
      <w:r w:rsidR="00395D14">
        <w:t xml:space="preserve"> marketed </w:t>
      </w:r>
      <w:r>
        <w:t>by</w:t>
      </w:r>
      <w:r w:rsidRPr="001E3DFF">
        <w:t xml:space="preserve"> </w:t>
      </w:r>
      <w:r>
        <w:t>TRIANGL which it</w:t>
      </w:r>
      <w:r w:rsidR="003E6A46">
        <w:t xml:space="preserve"> intended </w:t>
      </w:r>
      <w:r>
        <w:t>to tell the world are its goods</w:t>
      </w:r>
      <w:r w:rsidR="005E07B7">
        <w:t>,</w:t>
      </w:r>
      <w:r>
        <w:t xml:space="preserve"> to distinguish those goods from the goods of other traders.</w:t>
      </w:r>
      <w:r w:rsidR="00502B87" w:rsidRPr="00502B87">
        <w:t xml:space="preserve"> </w:t>
      </w:r>
    </w:p>
    <w:p w:rsidR="00FB6AEA" w:rsidRDefault="00FB6AEA" w:rsidP="00FB6AEA">
      <w:pPr>
        <w:pStyle w:val="ParaNumbering"/>
        <w:tabs>
          <w:tab w:val="num" w:pos="720"/>
        </w:tabs>
        <w:ind w:left="0"/>
      </w:pPr>
      <w:r>
        <w:t>Pinnacle</w:t>
      </w:r>
      <w:r w:rsidR="00AA2A0F">
        <w:t xml:space="preserve"> submitted </w:t>
      </w:r>
      <w:r w:rsidR="003E6A46">
        <w:t>that both</w:t>
      </w:r>
      <w:r>
        <w:t xml:space="preserve"> Dr Downes and Mr Saunders expressed </w:t>
      </w:r>
      <w:r w:rsidR="0042509E">
        <w:t xml:space="preserve">the </w:t>
      </w:r>
      <w:r>
        <w:t>opinion that Triangl’s use of</w:t>
      </w:r>
      <w:r w:rsidRPr="00CA14CF">
        <w:t xml:space="preserve"> </w:t>
      </w:r>
      <w:r>
        <w:t xml:space="preserve">DELPHINE was likely to be perceived by consumers </w:t>
      </w:r>
      <w:r w:rsidR="003E6A46">
        <w:t xml:space="preserve">as </w:t>
      </w:r>
      <w:r>
        <w:t>distinguishing its goods from those of other traders.  It</w:t>
      </w:r>
      <w:r w:rsidR="003E6A46">
        <w:t xml:space="preserve"> argued </w:t>
      </w:r>
      <w:r>
        <w:t>that Dr Downes said</w:t>
      </w:r>
      <w:r w:rsidR="003E6A46">
        <w:t xml:space="preserve"> </w:t>
      </w:r>
      <w:r>
        <w:t>in his report and that Mr Saunders</w:t>
      </w:r>
      <w:r w:rsidR="003E6A46">
        <w:t xml:space="preserve"> accepted </w:t>
      </w:r>
      <w:r w:rsidR="000B0159">
        <w:t>in cross</w:t>
      </w:r>
      <w:r w:rsidR="008118D9">
        <w:t>-</w:t>
      </w:r>
      <w:r w:rsidR="000B0159">
        <w:t xml:space="preserve">examination </w:t>
      </w:r>
      <w:r>
        <w:t>that:</w:t>
      </w:r>
      <w:r w:rsidR="007C1351" w:rsidRPr="007C1351">
        <w:t xml:space="preserve"> </w:t>
      </w:r>
      <w:r>
        <w:t xml:space="preserve"> </w:t>
      </w:r>
    </w:p>
    <w:p w:rsidR="00FB6AEA" w:rsidRDefault="00FB6AEA" w:rsidP="0045682F">
      <w:pPr>
        <w:pStyle w:val="ListNo1"/>
        <w:numPr>
          <w:ilvl w:val="0"/>
          <w:numId w:val="35"/>
        </w:numPr>
      </w:pPr>
      <w:r>
        <w:t xml:space="preserve">the use of </w:t>
      </w:r>
      <w:r w:rsidR="0042509E">
        <w:t>“</w:t>
      </w:r>
      <w:r>
        <w:t>T</w:t>
      </w:r>
      <w:r w:rsidR="0042509E">
        <w:t>he</w:t>
      </w:r>
      <w:r>
        <w:t xml:space="preserve"> DELPHINE</w:t>
      </w:r>
      <w:r w:rsidR="0042509E">
        <w:t>”</w:t>
      </w:r>
      <w:r>
        <w:t xml:space="preserve"> in relation to a </w:t>
      </w:r>
      <w:r w:rsidR="00AE6CAD">
        <w:t>Triangl DELPHINE</w:t>
      </w:r>
      <w:r>
        <w:t xml:space="preserve"> bikini on TRIANGL</w:t>
      </w:r>
      <w:r w:rsidR="0042509E">
        <w:t>’s</w:t>
      </w:r>
      <w:r>
        <w:t xml:space="preserve"> Facebook page identified it as a distinct product coming uniquely from</w:t>
      </w:r>
      <w:r w:rsidRPr="003B4CBF">
        <w:t xml:space="preserve"> </w:t>
      </w:r>
      <w:r>
        <w:t>Triangl; and</w:t>
      </w:r>
    </w:p>
    <w:p w:rsidR="00FB6AEA" w:rsidRDefault="00FB6AEA" w:rsidP="0045682F">
      <w:pPr>
        <w:pStyle w:val="ListNo1"/>
        <w:numPr>
          <w:ilvl w:val="0"/>
          <w:numId w:val="35"/>
        </w:numPr>
      </w:pPr>
      <w:r>
        <w:t xml:space="preserve">the use of DELPHINE over the description </w:t>
      </w:r>
      <w:r w:rsidRPr="003B4CBF">
        <w:rPr>
          <w:caps/>
        </w:rPr>
        <w:t>Summertime Florals</w:t>
      </w:r>
      <w:r>
        <w:t xml:space="preserve"> on</w:t>
      </w:r>
      <w:r>
        <w:rPr>
          <w:caps/>
        </w:rPr>
        <w:t xml:space="preserve"> </w:t>
      </w:r>
      <w:r w:rsidR="0042509E">
        <w:t xml:space="preserve">the </w:t>
      </w:r>
      <w:r>
        <w:t>EDMs emphasised the name of the product coming from</w:t>
      </w:r>
      <w:r w:rsidRPr="003B4CBF">
        <w:t xml:space="preserve"> </w:t>
      </w:r>
      <w:r w:rsidR="0042509E">
        <w:t xml:space="preserve">TRIANGL </w:t>
      </w:r>
      <w:r>
        <w:t>and suggested that it was a unique product to that supplier.</w:t>
      </w:r>
      <w:r w:rsidR="007C1351" w:rsidRPr="007C1351">
        <w:t xml:space="preserve"> </w:t>
      </w:r>
    </w:p>
    <w:p w:rsidR="00FB6AEA" w:rsidRDefault="00FB6AEA" w:rsidP="00FB6AEA">
      <w:pPr>
        <w:pStyle w:val="NoNum"/>
      </w:pPr>
      <w:r>
        <w:t>Pinnacle argued</w:t>
      </w:r>
      <w:r w:rsidR="00E32D96">
        <w:t xml:space="preserve"> that such a </w:t>
      </w:r>
      <w:r>
        <w:t xml:space="preserve">conclusion was </w:t>
      </w:r>
      <w:r w:rsidR="00E32D96">
        <w:t>un</w:t>
      </w:r>
      <w:r>
        <w:t>surprising</w:t>
      </w:r>
      <w:r w:rsidR="0042509E">
        <w:t xml:space="preserve"> when </w:t>
      </w:r>
      <w:r>
        <w:t>the manner in which</w:t>
      </w:r>
      <w:r w:rsidRPr="001F7172">
        <w:t xml:space="preserve"> </w:t>
      </w:r>
      <w:r>
        <w:t>Triangl used</w:t>
      </w:r>
      <w:r w:rsidRPr="001F7172">
        <w:t xml:space="preserve"> </w:t>
      </w:r>
      <w:r>
        <w:t>DELPHINE was precisely to suggest that DELPHINE swimwear was unique to it.</w:t>
      </w:r>
      <w:r w:rsidR="007C1351" w:rsidRPr="007C1351">
        <w:t xml:space="preserve"> </w:t>
      </w:r>
    </w:p>
    <w:p w:rsidR="00FB6AEA" w:rsidRDefault="00FB6AEA" w:rsidP="00FB6AEA">
      <w:pPr>
        <w:pStyle w:val="ParaNumbering"/>
        <w:tabs>
          <w:tab w:val="num" w:pos="720"/>
        </w:tabs>
        <w:ind w:left="0"/>
      </w:pPr>
      <w:r>
        <w:t>Pinnacle</w:t>
      </w:r>
      <w:r w:rsidR="003E6A46">
        <w:t xml:space="preserve"> submitted </w:t>
      </w:r>
      <w:r>
        <w:t xml:space="preserve">that the Court should give little weight to the evidence of Mr Ellis.  </w:t>
      </w:r>
      <w:r w:rsidR="00312804">
        <w:t>I</w:t>
      </w:r>
      <w:r>
        <w:t>t noted that Mr Ellis initially agreed that Triangl selected style names so that they become associated with the product and</w:t>
      </w:r>
      <w:r w:rsidR="00312804">
        <w:t xml:space="preserve"> could be brought </w:t>
      </w:r>
      <w:r>
        <w:t xml:space="preserve">to mind when somebody is trying to remember it, </w:t>
      </w:r>
      <w:r w:rsidR="00312804">
        <w:t xml:space="preserve">and argued that </w:t>
      </w:r>
      <w:r>
        <w:t>his evidence that he did not seek the selection of names that were distinctive should not be accepted.</w:t>
      </w:r>
      <w:r w:rsidR="00312804">
        <w:t xml:space="preserve">  It</w:t>
      </w:r>
      <w:r w:rsidR="003E6A46">
        <w:t xml:space="preserve"> contended </w:t>
      </w:r>
      <w:r>
        <w:t>that the list of names</w:t>
      </w:r>
      <w:r w:rsidRPr="001F7172">
        <w:t xml:space="preserve"> </w:t>
      </w:r>
      <w:r>
        <w:t xml:space="preserve">Triangl used show that they are distinctive, </w:t>
      </w:r>
      <w:r>
        <w:lastRenderedPageBreak/>
        <w:t>and</w:t>
      </w:r>
      <w:r w:rsidR="003E6A46">
        <w:t xml:space="preserve"> argued </w:t>
      </w:r>
      <w:r>
        <w:t xml:space="preserve">that Mr Ellis’ denial that </w:t>
      </w:r>
      <w:r w:rsidR="00312804">
        <w:t xml:space="preserve">the </w:t>
      </w:r>
      <w:r w:rsidR="000B0159">
        <w:t xml:space="preserve">style </w:t>
      </w:r>
      <w:r w:rsidR="00312804">
        <w:t xml:space="preserve">names </w:t>
      </w:r>
      <w:r>
        <w:t>Mylos, Paxi, Myrina, Tilos, Idra</w:t>
      </w:r>
      <w:r w:rsidR="00A97603">
        <w:t>,</w:t>
      </w:r>
      <w:r>
        <w:t xml:space="preserve"> Skalia and Sydos were unusual names was not credible.  Pinnacle also submitted that Mr Ellis’ evidence that Triangl did not give consideration to the similarity of DELPHINE and DELILAH when it selected the replacement name, and </w:t>
      </w:r>
      <w:r w:rsidR="00B32B13">
        <w:t xml:space="preserve">his evidence </w:t>
      </w:r>
      <w:r>
        <w:t>that the two names are not similar, was not believable.</w:t>
      </w:r>
      <w:r w:rsidR="00A97603" w:rsidRPr="00A97603">
        <w:t xml:space="preserve"> </w:t>
      </w:r>
    </w:p>
    <w:p w:rsidR="00FB6AEA" w:rsidRDefault="00FB6AEA" w:rsidP="00FB6AEA">
      <w:pPr>
        <w:pStyle w:val="ParaNumbering"/>
        <w:tabs>
          <w:tab w:val="num" w:pos="720"/>
        </w:tabs>
        <w:ind w:left="0"/>
      </w:pPr>
      <w:r>
        <w:t>Pinnacle argued that the Court should find that Mr Ellis’ interest in the outcome of the case coloured his evidence and opinions</w:t>
      </w:r>
      <w:r w:rsidR="000B0159">
        <w:t xml:space="preserve"> as to </w:t>
      </w:r>
      <w:r>
        <w:t>the function of the style names adopted by</w:t>
      </w:r>
      <w:r w:rsidRPr="0003632E">
        <w:t xml:space="preserve"> </w:t>
      </w:r>
      <w:r>
        <w:t>Triangl.</w:t>
      </w:r>
      <w:r w:rsidR="000B0159">
        <w:t xml:space="preserve">  It </w:t>
      </w:r>
      <w:r>
        <w:t xml:space="preserve">argued that </w:t>
      </w:r>
      <w:r w:rsidR="000B0159">
        <w:t xml:space="preserve">in any event </w:t>
      </w:r>
      <w:r>
        <w:t>his evidence focused on what he or Triangl sought to achieve rather than the manner in which the use of names would be understood by consumers.</w:t>
      </w:r>
      <w:r w:rsidR="00B75BFB" w:rsidRPr="00B75BFB">
        <w:t xml:space="preserve"> </w:t>
      </w:r>
    </w:p>
    <w:p w:rsidR="00FB6AEA" w:rsidRDefault="00FB6AEA" w:rsidP="00FB6AEA">
      <w:pPr>
        <w:pStyle w:val="ParaNumbering"/>
        <w:tabs>
          <w:tab w:val="num" w:pos="720"/>
        </w:tabs>
        <w:ind w:left="0"/>
      </w:pPr>
      <w:r>
        <w:t>Finally, Pinnacle submitted that</w:t>
      </w:r>
      <w:r w:rsidRPr="00E50A50">
        <w:t xml:space="preserve"> </w:t>
      </w:r>
      <w:r>
        <w:t>Triangl’s reliance on the fact that other traders in the women’s fashion industry used the name</w:t>
      </w:r>
      <w:r w:rsidRPr="00E50A50">
        <w:t xml:space="preserve"> </w:t>
      </w:r>
      <w:r>
        <w:t>DELPHINE on their garments</w:t>
      </w:r>
      <w:r w:rsidR="000B0159">
        <w:t xml:space="preserve"> did </w:t>
      </w:r>
      <w:r>
        <w:t>not detract from the conclusion that Triangl’s use of</w:t>
      </w:r>
      <w:r w:rsidRPr="00CA14CF">
        <w:t xml:space="preserve"> </w:t>
      </w:r>
      <w:r>
        <w:t>DELPHINE was likely to be understood by consumers as distinguishing its goods from those of other traders.  It argued that the “abstract suggestion” put to Dr Downes in cross</w:t>
      </w:r>
      <w:r w:rsidR="008118D9">
        <w:t>-</w:t>
      </w:r>
      <w:r>
        <w:t>examination</w:t>
      </w:r>
      <w:r w:rsidR="00967356">
        <w:t>,</w:t>
      </w:r>
      <w:r>
        <w:t xml:space="preserve"> that the presence of other traders using the same name would mean </w:t>
      </w:r>
      <w:r w:rsidR="00B75BFB">
        <w:t xml:space="preserve">that </w:t>
      </w:r>
      <w:r>
        <w:t>the name did not tell consumers much as between brands</w:t>
      </w:r>
      <w:r w:rsidR="00280F1F">
        <w:t>,</w:t>
      </w:r>
      <w:r>
        <w:t xml:space="preserve"> amounted to no more than a suggestion that </w:t>
      </w:r>
      <w:r w:rsidR="00E32D96">
        <w:t>Triangl’s</w:t>
      </w:r>
      <w:r>
        <w:t xml:space="preserve"> use of </w:t>
      </w:r>
      <w:r w:rsidR="00E32D96">
        <w:t>DE</w:t>
      </w:r>
      <w:r w:rsidR="00967356">
        <w:t>L</w:t>
      </w:r>
      <w:r w:rsidR="00E32D96">
        <w:t>PHINE</w:t>
      </w:r>
      <w:r>
        <w:t xml:space="preserve"> as a trade mark may not </w:t>
      </w:r>
      <w:r w:rsidR="00E32D96">
        <w:t xml:space="preserve">have been </w:t>
      </w:r>
      <w:r>
        <w:t>successful.</w:t>
      </w:r>
      <w:r w:rsidR="00B75BFB" w:rsidRPr="00B75BFB">
        <w:t xml:space="preserve"> </w:t>
      </w:r>
    </w:p>
    <w:p w:rsidR="00BD0DCC" w:rsidRDefault="00E32D96" w:rsidP="00336E42">
      <w:pPr>
        <w:pStyle w:val="Heading1"/>
      </w:pPr>
      <w:r>
        <w:t xml:space="preserve">Consideration </w:t>
      </w:r>
    </w:p>
    <w:p w:rsidR="00312804" w:rsidRDefault="00312804" w:rsidP="00312804">
      <w:pPr>
        <w:pStyle w:val="ParaNumbering"/>
        <w:tabs>
          <w:tab w:val="num" w:pos="720"/>
        </w:tabs>
        <w:ind w:left="0"/>
      </w:pPr>
      <w:r>
        <w:t>Section 120(1) of the Act provides:</w:t>
      </w:r>
      <w:r w:rsidR="002946BD" w:rsidRPr="002946BD">
        <w:t xml:space="preserve"> </w:t>
      </w:r>
    </w:p>
    <w:p w:rsidR="00312804" w:rsidRDefault="00312804" w:rsidP="00312804">
      <w:pPr>
        <w:pStyle w:val="Quote1"/>
      </w:pPr>
      <w:r>
        <w:t xml:space="preserve">A person infringes a registered trade mark if the person uses </w:t>
      </w:r>
      <w:r w:rsidRPr="002C0A44">
        <w:rPr>
          <w:b/>
        </w:rPr>
        <w:t>as a trade mark</w:t>
      </w:r>
      <w:r>
        <w:t xml:space="preserve"> a sign that is substantially identical with, or deceptively similar to, the trade mark in relation to goods or services in respect of which the trade mark is registered.</w:t>
      </w:r>
      <w:r w:rsidR="002946BD" w:rsidRPr="002946BD">
        <w:t xml:space="preserve"> </w:t>
      </w:r>
    </w:p>
    <w:p w:rsidR="00312804" w:rsidRDefault="00312804" w:rsidP="003C3980">
      <w:pPr>
        <w:pStyle w:val="Quote1"/>
        <w:spacing w:after="240"/>
      </w:pPr>
      <w:r>
        <w:t>(Emphasis added.)</w:t>
      </w:r>
      <w:r w:rsidR="002946BD" w:rsidRPr="002946BD">
        <w:t xml:space="preserve"> </w:t>
      </w:r>
    </w:p>
    <w:p w:rsidR="00312804" w:rsidRDefault="00312804" w:rsidP="00312804">
      <w:pPr>
        <w:pStyle w:val="NoNum"/>
      </w:pPr>
      <w:r>
        <w:t>It is</w:t>
      </w:r>
      <w:r w:rsidR="000B0159">
        <w:t xml:space="preserve"> common ground </w:t>
      </w:r>
      <w:r>
        <w:t xml:space="preserve">that Triangl used the name DELPHINE in a way which was substantially identical with the DELPHINE Trade Mark in relation to goods covered by that trade mark. </w:t>
      </w:r>
    </w:p>
    <w:p w:rsidR="00312804" w:rsidRDefault="00312804" w:rsidP="00312804">
      <w:pPr>
        <w:pStyle w:val="ParaNumbering"/>
        <w:tabs>
          <w:tab w:val="num" w:pos="720"/>
        </w:tabs>
        <w:ind w:left="0"/>
      </w:pPr>
      <w:r>
        <w:t xml:space="preserve">Section 7(4) of the Act </w:t>
      </w:r>
      <w:r w:rsidR="00B32B13">
        <w:t xml:space="preserve">relevantly </w:t>
      </w:r>
      <w:r>
        <w:t>provides:</w:t>
      </w:r>
      <w:r w:rsidR="00A32D23" w:rsidRPr="00A32D23">
        <w:t xml:space="preserve"> </w:t>
      </w:r>
    </w:p>
    <w:p w:rsidR="00312804" w:rsidRDefault="00B75BFB" w:rsidP="003C3980">
      <w:pPr>
        <w:pStyle w:val="Quote1"/>
        <w:spacing w:after="240"/>
      </w:pPr>
      <w:r>
        <w:rPr>
          <w:b/>
        </w:rPr>
        <w:t>“</w:t>
      </w:r>
      <w:r w:rsidR="00312804" w:rsidRPr="00E62073">
        <w:rPr>
          <w:b/>
        </w:rPr>
        <w:t>use of a trade mark in relation to goods</w:t>
      </w:r>
      <w:r>
        <w:rPr>
          <w:b/>
        </w:rPr>
        <w:t>”</w:t>
      </w:r>
      <w:r w:rsidR="00312804">
        <w:t xml:space="preserve"> means use of the trade mark upon, or in physical or other relation to</w:t>
      </w:r>
      <w:r w:rsidR="00A32D23">
        <w:t>,</w:t>
      </w:r>
      <w:r w:rsidR="00312804">
        <w:t xml:space="preserve"> the goods</w:t>
      </w:r>
      <w:r w:rsidR="00B32B13">
        <w:t>…</w:t>
      </w:r>
      <w:r w:rsidR="00A32D23" w:rsidRPr="00A32D23">
        <w:t xml:space="preserve"> </w:t>
      </w:r>
    </w:p>
    <w:p w:rsidR="00312804" w:rsidRDefault="00312804" w:rsidP="00312804">
      <w:pPr>
        <w:pStyle w:val="NoNum"/>
      </w:pPr>
      <w:r>
        <w:t xml:space="preserve">It is uncontentious that Triangl’s use of DELPHINE on its advertising material was use “in relation” to goods. </w:t>
      </w:r>
    </w:p>
    <w:p w:rsidR="00312804" w:rsidRDefault="00312804" w:rsidP="00312804">
      <w:pPr>
        <w:pStyle w:val="ParaNumbering"/>
        <w:tabs>
          <w:tab w:val="num" w:pos="720"/>
        </w:tabs>
        <w:ind w:left="0"/>
      </w:pPr>
      <w:r>
        <w:lastRenderedPageBreak/>
        <w:t>The question is whether or not Pinnacle established that Triangl</w:t>
      </w:r>
      <w:r w:rsidR="000B0159">
        <w:t xml:space="preserve">’s use of </w:t>
      </w:r>
      <w:r>
        <w:t xml:space="preserve">DELPHINE </w:t>
      </w:r>
      <w:r w:rsidR="000B0159">
        <w:t xml:space="preserve">was use </w:t>
      </w:r>
      <w:r w:rsidRPr="00A06C53">
        <w:rPr>
          <w:i/>
        </w:rPr>
        <w:t>as a trade mark</w:t>
      </w:r>
      <w:r>
        <w:t>.</w:t>
      </w:r>
      <w:r w:rsidR="00364C2E">
        <w:t xml:space="preserve"> </w:t>
      </w:r>
      <w:r>
        <w:t xml:space="preserve"> Section 17 of the Act provides:</w:t>
      </w:r>
      <w:r w:rsidR="00EF4659" w:rsidRPr="00EF4659">
        <w:t xml:space="preserve"> </w:t>
      </w:r>
    </w:p>
    <w:p w:rsidR="00312804" w:rsidRDefault="00312804" w:rsidP="003C3980">
      <w:pPr>
        <w:pStyle w:val="Quote1"/>
        <w:spacing w:after="240"/>
      </w:pPr>
      <w:r>
        <w:t>A trade mark is a sign used, or intended to be used, to distinguish goods or services dealt with or provided in the course of trade by a person from goods or services so dealt with or provided by any other person.</w:t>
      </w:r>
      <w:r w:rsidR="00EF4659" w:rsidRPr="00EF4659">
        <w:t xml:space="preserve"> </w:t>
      </w:r>
    </w:p>
    <w:p w:rsidR="00312804" w:rsidRDefault="000B0159" w:rsidP="00312804">
      <w:pPr>
        <w:pStyle w:val="NoNum"/>
      </w:pPr>
      <w:r>
        <w:t>T</w:t>
      </w:r>
      <w:r w:rsidR="00312804">
        <w:t xml:space="preserve">o constitute use </w:t>
      </w:r>
      <w:r w:rsidR="00312804" w:rsidRPr="002C0A44">
        <w:rPr>
          <w:i/>
        </w:rPr>
        <w:t>as a trade mark</w:t>
      </w:r>
      <w:r w:rsidR="00312804">
        <w:t xml:space="preserve"> </w:t>
      </w:r>
      <w:r>
        <w:t xml:space="preserve">Triangl’s </w:t>
      </w:r>
      <w:r w:rsidR="00312804">
        <w:t>use of DELPHINE must</w:t>
      </w:r>
      <w:r>
        <w:t xml:space="preserve"> </w:t>
      </w:r>
      <w:r w:rsidR="00D62AE7">
        <w:t xml:space="preserve">have </w:t>
      </w:r>
      <w:r>
        <w:t>be</w:t>
      </w:r>
      <w:r w:rsidR="00D62AE7">
        <w:t>en</w:t>
      </w:r>
      <w:r>
        <w:t xml:space="preserve"> used or intended to be used </w:t>
      </w:r>
      <w:r w:rsidR="00312804">
        <w:t xml:space="preserve">to </w:t>
      </w:r>
      <w:r w:rsidR="00312804" w:rsidRPr="00406F03">
        <w:rPr>
          <w:i/>
        </w:rPr>
        <w:t>distinguish</w:t>
      </w:r>
      <w:r w:rsidR="00312804">
        <w:t xml:space="preserve"> Triangl’s swimwear</w:t>
      </w:r>
      <w:r w:rsidR="00D62AE7">
        <w:t>,</w:t>
      </w:r>
      <w:r w:rsidR="00312804">
        <w:t xml:space="preserve"> </w:t>
      </w:r>
      <w:r>
        <w:t>dealt with in the course of trade</w:t>
      </w:r>
      <w:r w:rsidR="00D62AE7">
        <w:t>,</w:t>
      </w:r>
      <w:r>
        <w:t xml:space="preserve"> </w:t>
      </w:r>
      <w:r w:rsidR="00312804">
        <w:t xml:space="preserve">from swimwear dealt with by other traders. </w:t>
      </w:r>
    </w:p>
    <w:p w:rsidR="00312804" w:rsidRDefault="00312804" w:rsidP="00312804">
      <w:pPr>
        <w:pStyle w:val="ParaNumbering"/>
        <w:tabs>
          <w:tab w:val="num" w:pos="720"/>
        </w:tabs>
        <w:ind w:left="0"/>
      </w:pPr>
      <w:r>
        <w:t>The question as to whether Triangl used DELPHINE to distinguish its goods from the goods of other traders is an objective one, and it is</w:t>
      </w:r>
      <w:r w:rsidR="00BA4682">
        <w:t xml:space="preserve"> to</w:t>
      </w:r>
      <w:r>
        <w:t xml:space="preserve"> be determined from the perspective of the consumer: </w:t>
      </w:r>
      <w:r w:rsidR="007A6C2A" w:rsidRPr="002946BD">
        <w:rPr>
          <w:i/>
          <w:szCs w:val="24"/>
        </w:rPr>
        <w:t>Shell Co (Aust) Ltd v Esso Standard Oil (Australia) Ltd</w:t>
      </w:r>
      <w:r w:rsidR="007A6C2A" w:rsidRPr="002946BD">
        <w:rPr>
          <w:szCs w:val="24"/>
        </w:rPr>
        <w:t xml:space="preserve"> [1963] HCA 66</w:t>
      </w:r>
      <w:r w:rsidR="007A6C2A">
        <w:rPr>
          <w:szCs w:val="24"/>
        </w:rPr>
        <w:t xml:space="preserve">; </w:t>
      </w:r>
      <w:r w:rsidR="007A6C2A" w:rsidRPr="002946BD">
        <w:rPr>
          <w:szCs w:val="24"/>
        </w:rPr>
        <w:t>(1963) 109 CLR 407 (</w:t>
      </w:r>
      <w:r w:rsidR="007A6C2A" w:rsidRPr="002946BD">
        <w:rPr>
          <w:b/>
          <w:i/>
          <w:szCs w:val="24"/>
        </w:rPr>
        <w:t>Shell</w:t>
      </w:r>
      <w:r w:rsidR="007A6C2A" w:rsidRPr="002946BD">
        <w:rPr>
          <w:szCs w:val="24"/>
        </w:rPr>
        <w:t>)</w:t>
      </w:r>
      <w:r w:rsidR="007A6C2A">
        <w:rPr>
          <w:szCs w:val="24"/>
        </w:rPr>
        <w:t xml:space="preserve"> </w:t>
      </w:r>
      <w:r w:rsidR="00B32B13" w:rsidRPr="00D47D17">
        <w:t>at 425</w:t>
      </w:r>
      <w:r w:rsidR="008B205D">
        <w:t xml:space="preserve"> (Kitto J)</w:t>
      </w:r>
      <w:r w:rsidR="00B32B13">
        <w:t xml:space="preserve">; </w:t>
      </w:r>
      <w:r w:rsidR="00B32B13" w:rsidRPr="000077B6">
        <w:rPr>
          <w:i/>
        </w:rPr>
        <w:t xml:space="preserve">Johnson &amp; Johnson Australia Pty Ltd v Sterling Pharmaceuticals Pty Ltd </w:t>
      </w:r>
      <w:r w:rsidR="00A07F76">
        <w:t xml:space="preserve">[1991] FCA 402; </w:t>
      </w:r>
      <w:r w:rsidR="00B32B13" w:rsidRPr="000077B6">
        <w:t xml:space="preserve">(1991) 30 FCR 326 </w:t>
      </w:r>
      <w:r w:rsidR="00B32B13">
        <w:t>(</w:t>
      </w:r>
      <w:r w:rsidR="00B32B13" w:rsidRPr="000077B6">
        <w:rPr>
          <w:b/>
          <w:i/>
        </w:rPr>
        <w:t>Johnson &amp; Johnson</w:t>
      </w:r>
      <w:r w:rsidR="00B32B13">
        <w:t xml:space="preserve">) </w:t>
      </w:r>
      <w:r w:rsidR="00B32B13" w:rsidRPr="00D47D17">
        <w:t>at</w:t>
      </w:r>
      <w:r w:rsidR="00B32B13">
        <w:t xml:space="preserve"> </w:t>
      </w:r>
      <w:r w:rsidR="00B32B13" w:rsidRPr="00D47D17">
        <w:t>339-340</w:t>
      </w:r>
      <w:r w:rsidR="00B32B13">
        <w:t xml:space="preserve"> (Lockhart J)</w:t>
      </w:r>
      <w:r w:rsidR="00B32B13" w:rsidRPr="00D47D17">
        <w:t>;</w:t>
      </w:r>
      <w:r w:rsidR="00B32B13">
        <w:t xml:space="preserve"> </w:t>
      </w:r>
      <w:r w:rsidRPr="00D47D17">
        <w:rPr>
          <w:i/>
        </w:rPr>
        <w:t>Playgro Pty Ltd v Playgo Art &amp; Craft Manufactory Ltd (No.2)</w:t>
      </w:r>
      <w:r w:rsidRPr="00D47D17">
        <w:t xml:space="preserve"> [2016] FCA 478</w:t>
      </w:r>
      <w:r w:rsidR="00714749">
        <w:t>; (2016) 118 IPR 514</w:t>
      </w:r>
      <w:r w:rsidRPr="00D47D17">
        <w:t xml:space="preserve"> at [15]</w:t>
      </w:r>
      <w:r w:rsidR="00714749">
        <w:t xml:space="preserve"> (Moshinsky J)</w:t>
      </w:r>
      <w:r>
        <w:t>.</w:t>
      </w:r>
      <w:r w:rsidR="00372855">
        <w:t xml:space="preserve"> </w:t>
      </w:r>
    </w:p>
    <w:p w:rsidR="00312804" w:rsidRDefault="00312804" w:rsidP="00312804">
      <w:pPr>
        <w:pStyle w:val="ParaNumbering"/>
        <w:tabs>
          <w:tab w:val="num" w:pos="720"/>
        </w:tabs>
        <w:ind w:left="0"/>
      </w:pPr>
      <w:r>
        <w:t>The reference in s 17 to the need for a trade mark to distinguish goods from those of other traders expresses the essential characteristic of a trade mark; to indicate the origin of the goods to which it is applied.  The primary function of a trade mark is to indicate a connection in the course of trade between the goods and the person who applies the mark to the goods; to dist</w:t>
      </w:r>
      <w:r w:rsidRPr="0007161B">
        <w:rPr>
          <w:szCs w:val="24"/>
        </w:rPr>
        <w:t xml:space="preserve">inguish the commercial origin of the goods sold under the mark: </w:t>
      </w:r>
      <w:r w:rsidRPr="0007161B">
        <w:rPr>
          <w:i/>
          <w:szCs w:val="24"/>
        </w:rPr>
        <w:t xml:space="preserve">E &amp; J Gallo Winery v Lion Nathan (Aust) Pty Ltd </w:t>
      </w:r>
      <w:r w:rsidR="0007161B">
        <w:rPr>
          <w:szCs w:val="24"/>
        </w:rPr>
        <w:t xml:space="preserve">[2010] HCA 15; </w:t>
      </w:r>
      <w:r w:rsidRPr="0007161B">
        <w:rPr>
          <w:szCs w:val="24"/>
        </w:rPr>
        <w:t xml:space="preserve">(2010) </w:t>
      </w:r>
      <w:r w:rsidRPr="00406F03">
        <w:t xml:space="preserve">241 CLR 144 </w:t>
      </w:r>
      <w:r w:rsidR="0007161B">
        <w:t>(</w:t>
      </w:r>
      <w:r w:rsidR="0007161B" w:rsidRPr="000077B6">
        <w:rPr>
          <w:b/>
          <w:i/>
        </w:rPr>
        <w:t>Gallo</w:t>
      </w:r>
      <w:r w:rsidR="0007161B">
        <w:t xml:space="preserve">) </w:t>
      </w:r>
      <w:r w:rsidRPr="00406F03">
        <w:t>at [41]-[43]</w:t>
      </w:r>
      <w:r w:rsidR="0007161B">
        <w:t xml:space="preserve"> (French CJ, Gummow, Crennan and Bell JJ)</w:t>
      </w:r>
      <w:r>
        <w:t xml:space="preserve">; </w:t>
      </w:r>
      <w:r w:rsidRPr="000077B6">
        <w:rPr>
          <w:i/>
        </w:rPr>
        <w:t xml:space="preserve">PepsiCo Australia Pty Ltd v Kettle Chip Co Pty Ltd </w:t>
      </w:r>
      <w:r w:rsidR="00A07F76">
        <w:t xml:space="preserve">[1996] FCA 48; </w:t>
      </w:r>
      <w:r w:rsidRPr="000077B6">
        <w:t>(1996) 135 ALR 192</w:t>
      </w:r>
      <w:r>
        <w:rPr>
          <w:sz w:val="18"/>
        </w:rPr>
        <w:t xml:space="preserve"> (</w:t>
      </w:r>
      <w:r w:rsidRPr="000077B6">
        <w:rPr>
          <w:b/>
          <w:i/>
        </w:rPr>
        <w:t>PepsiCo</w:t>
      </w:r>
      <w:r>
        <w:rPr>
          <w:sz w:val="18"/>
        </w:rPr>
        <w:t xml:space="preserve">) </w:t>
      </w:r>
      <w:r w:rsidRPr="000077B6">
        <w:t>at 212</w:t>
      </w:r>
      <w:r>
        <w:t xml:space="preserve"> (Sackville J with whom Lockhart J agreed)</w:t>
      </w:r>
      <w:r w:rsidR="0077289B">
        <w:t>.</w:t>
      </w:r>
      <w:r w:rsidRPr="000077B6">
        <w:t xml:space="preserve"> </w:t>
      </w:r>
    </w:p>
    <w:p w:rsidR="00312804" w:rsidRDefault="00312804" w:rsidP="00312804">
      <w:pPr>
        <w:pStyle w:val="ParaNumbering"/>
        <w:tabs>
          <w:tab w:val="num" w:pos="720"/>
        </w:tabs>
        <w:ind w:left="0"/>
      </w:pPr>
      <w:r>
        <w:t>To show use as a trade mark it is not enough merely to show that the mark was applied in relation to goods “so as to refer to those goods”:</w:t>
      </w:r>
      <w:r w:rsidRPr="00A851B5">
        <w:rPr>
          <w:i/>
        </w:rPr>
        <w:t xml:space="preserve"> </w:t>
      </w:r>
      <w:r w:rsidR="00901F67">
        <w:rPr>
          <w:i/>
        </w:rPr>
        <w:t xml:space="preserve">Johnson &amp; Johnson </w:t>
      </w:r>
      <w:r w:rsidR="00901F67" w:rsidRPr="00D62AE7">
        <w:t>at 348</w:t>
      </w:r>
      <w:r>
        <w:t xml:space="preserve">.  As Kitto J said in </w:t>
      </w:r>
      <w:r>
        <w:rPr>
          <w:i/>
        </w:rPr>
        <w:t xml:space="preserve">Shell </w:t>
      </w:r>
      <w:r>
        <w:t xml:space="preserve">(at 425), </w:t>
      </w:r>
      <w:r w:rsidR="009C32EF">
        <w:t>the kind of consumer response that would indicate an infringement would be to think</w:t>
      </w:r>
      <w:r>
        <w:t xml:space="preserve">, “[t]here I see something that the Shell people are showing me as being a mark by which I may know that any petrol in relation to which I see it used is theirs.”  </w:t>
      </w:r>
    </w:p>
    <w:p w:rsidR="00312804" w:rsidRDefault="00312804" w:rsidP="00312804">
      <w:pPr>
        <w:pStyle w:val="ParaNumbering"/>
        <w:tabs>
          <w:tab w:val="num" w:pos="720"/>
        </w:tabs>
        <w:ind w:left="0"/>
      </w:pPr>
      <w:r>
        <w:t>The display of a sign or mark in relation to goods may</w:t>
      </w:r>
      <w:r w:rsidR="00E32D96">
        <w:t>, of course,</w:t>
      </w:r>
      <w:r>
        <w:t xml:space="preserve"> have more than one role.  As Allsop J explained in </w:t>
      </w:r>
      <w:r w:rsidRPr="00D47D17">
        <w:rPr>
          <w:i/>
        </w:rPr>
        <w:t>Anheuser-Busch</w:t>
      </w:r>
      <w:r>
        <w:rPr>
          <w:i/>
        </w:rPr>
        <w:t xml:space="preserve"> </w:t>
      </w:r>
      <w:r>
        <w:t>at [189]:</w:t>
      </w:r>
      <w:r w:rsidR="00D2662B" w:rsidRPr="00D2662B">
        <w:t xml:space="preserve"> </w:t>
      </w:r>
    </w:p>
    <w:p w:rsidR="00312804" w:rsidRDefault="00312804" w:rsidP="00D2662B">
      <w:pPr>
        <w:pStyle w:val="Quote1"/>
        <w:spacing w:after="240"/>
      </w:pPr>
      <w:r w:rsidRPr="00D47D17">
        <w:t>The usage of a word may fulfil more than one purpose on a label.</w:t>
      </w:r>
      <w:r w:rsidR="00D2662B">
        <w:t xml:space="preserve"> </w:t>
      </w:r>
      <w:r w:rsidRPr="00D47D17">
        <w:t xml:space="preserve"> For example a word may have a descriptive element, but also an element of trade mark or </w:t>
      </w:r>
      <w:r>
        <w:t xml:space="preserve">branding or </w:t>
      </w:r>
      <w:r>
        <w:lastRenderedPageBreak/>
        <w:t>distinguishing role</w:t>
      </w:r>
      <w:r w:rsidRPr="00D47D17">
        <w:t xml:space="preserve">. </w:t>
      </w:r>
      <w:r w:rsidR="00D2662B">
        <w:t xml:space="preserve"> </w:t>
      </w:r>
      <w:r w:rsidRPr="00D47D17">
        <w:t xml:space="preserve">Equally, a word may have a role in identifying a geographical location, but also a trade mark or branding or distinguishing role. </w:t>
      </w:r>
      <w:r w:rsidR="00D2662B">
        <w:t xml:space="preserve"> </w:t>
      </w:r>
      <w:r w:rsidRPr="00D47D17">
        <w:t>It depends on context.</w:t>
      </w:r>
      <w:r w:rsidR="00D2662B" w:rsidRPr="00D2662B">
        <w:t xml:space="preserve"> </w:t>
      </w:r>
    </w:p>
    <w:p w:rsidR="009C32EF" w:rsidRDefault="009C32EF" w:rsidP="003C3980">
      <w:pPr>
        <w:pStyle w:val="Quote1"/>
        <w:spacing w:after="240"/>
      </w:pPr>
      <w:r>
        <w:t>(Citations omitted.)</w:t>
      </w:r>
    </w:p>
    <w:p w:rsidR="00312804" w:rsidRDefault="00312804" w:rsidP="00312804">
      <w:pPr>
        <w:pStyle w:val="NoNum"/>
      </w:pPr>
      <w:r>
        <w:t xml:space="preserve">Provided </w:t>
      </w:r>
      <w:r w:rsidR="00F82EBE">
        <w:t xml:space="preserve">that </w:t>
      </w:r>
      <w:r>
        <w:t xml:space="preserve">one of the roles is to distinguish the trader’s goods dealt with or provided in the course of trade from </w:t>
      </w:r>
      <w:r w:rsidR="00E32D96">
        <w:t xml:space="preserve">the </w:t>
      </w:r>
      <w:r w:rsidR="00F82EBE">
        <w:t xml:space="preserve">goods </w:t>
      </w:r>
      <w:r>
        <w:t xml:space="preserve">of other traders, the display of the mark in advertising will be use as a trade mark.  </w:t>
      </w:r>
    </w:p>
    <w:p w:rsidR="00312804" w:rsidRDefault="00312804" w:rsidP="00312804">
      <w:pPr>
        <w:pStyle w:val="ParaNumbering"/>
        <w:tabs>
          <w:tab w:val="num" w:pos="720"/>
        </w:tabs>
        <w:ind w:left="0"/>
      </w:pPr>
      <w:r>
        <w:t xml:space="preserve">The setting or context in which a particular mark is used may be critical.  Where the prominence or positioning of the mark on advertising material, including its font size, styling, colour and shading, suggest that it has greater significance than the respondent’s trade mark, or where it is an invented word, the mark may well be found to be used as a trade mark: </w:t>
      </w:r>
      <w:r w:rsidRPr="00DB1DB2">
        <w:rPr>
          <w:i/>
        </w:rPr>
        <w:t>Beecham Group plc v Colgate-Palmolive Pty Ltd</w:t>
      </w:r>
      <w:r w:rsidRPr="00DB1DB2">
        <w:t xml:space="preserve"> </w:t>
      </w:r>
      <w:r w:rsidR="00D2662B">
        <w:t xml:space="preserve">[2005] FCA 838; </w:t>
      </w:r>
      <w:r w:rsidRPr="00DB1DB2">
        <w:t xml:space="preserve">(2005) 66 IPR 254 </w:t>
      </w:r>
      <w:r>
        <w:t>(</w:t>
      </w:r>
      <w:r w:rsidRPr="00DB1DB2">
        <w:rPr>
          <w:b/>
          <w:i/>
        </w:rPr>
        <w:t>Beecham</w:t>
      </w:r>
      <w:r>
        <w:t xml:space="preserve">) </w:t>
      </w:r>
      <w:r w:rsidRPr="00DB1DB2">
        <w:t>at [47]-[49]</w:t>
      </w:r>
      <w:r>
        <w:t xml:space="preserve"> (Emmett J)</w:t>
      </w:r>
      <w:r w:rsidRPr="00DB1DB2">
        <w:t>;</w:t>
      </w:r>
      <w:r>
        <w:rPr>
          <w:sz w:val="18"/>
        </w:rPr>
        <w:t xml:space="preserve"> </w:t>
      </w:r>
      <w:r w:rsidRPr="00DB1DB2">
        <w:rPr>
          <w:i/>
        </w:rPr>
        <w:t>PepsiCo</w:t>
      </w:r>
      <w:r>
        <w:rPr>
          <w:i/>
          <w:sz w:val="18"/>
        </w:rPr>
        <w:t xml:space="preserve"> </w:t>
      </w:r>
      <w:r w:rsidRPr="00DB1DB2">
        <w:t>at 217</w:t>
      </w:r>
      <w:r>
        <w:t xml:space="preserve">; </w:t>
      </w:r>
      <w:r>
        <w:rPr>
          <w:i/>
        </w:rPr>
        <w:t>Johnson &amp; Johnson</w:t>
      </w:r>
      <w:r w:rsidR="00431A2F">
        <w:t xml:space="preserve"> at 343</w:t>
      </w:r>
      <w:r w:rsidR="008B205D">
        <w:t xml:space="preserve"> (Burchett J)</w:t>
      </w:r>
      <w:r w:rsidR="008B205D">
        <w:rPr>
          <w:i/>
        </w:rPr>
        <w:t>.</w:t>
      </w:r>
      <w:r w:rsidR="008B205D">
        <w:t xml:space="preserve">  </w:t>
      </w:r>
    </w:p>
    <w:p w:rsidR="00312804" w:rsidRDefault="00312804" w:rsidP="00312804">
      <w:pPr>
        <w:pStyle w:val="ParaNumbering"/>
        <w:tabs>
          <w:tab w:val="num" w:pos="720"/>
        </w:tabs>
        <w:ind w:left="0"/>
      </w:pPr>
      <w:r>
        <w:t xml:space="preserve">Use of </w:t>
      </w:r>
      <w:r w:rsidR="00BE782A">
        <w:t>a mark</w:t>
      </w:r>
      <w:r>
        <w:t xml:space="preserve"> in conjunction with the respondent’s own distinctive mark, or some other indicia identifying the respondent as the commercial origin of the goods </w:t>
      </w:r>
      <w:r w:rsidR="00BE782A">
        <w:t xml:space="preserve">or </w:t>
      </w:r>
      <w:r>
        <w:t xml:space="preserve">services, </w:t>
      </w:r>
      <w:r w:rsidRPr="008D2579">
        <w:rPr>
          <w:i/>
        </w:rPr>
        <w:t>may</w:t>
      </w:r>
      <w:r>
        <w:t xml:space="preserve"> but will not necessarily</w:t>
      </w:r>
      <w:r w:rsidR="00B32B13">
        <w:t xml:space="preserve"> negative </w:t>
      </w:r>
      <w:r>
        <w:t xml:space="preserve">the impugned use as a trade mark: see </w:t>
      </w:r>
      <w:r w:rsidRPr="00F94652">
        <w:t xml:space="preserve">Davidson and Horak, </w:t>
      </w:r>
      <w:r w:rsidRPr="00F94652">
        <w:rPr>
          <w:i/>
        </w:rPr>
        <w:t>Shanahan’s Australian Law of Trade Marks and Passing Off</w:t>
      </w:r>
      <w:r w:rsidRPr="00F94652">
        <w:t>, 6th ed, (2016), p 658 and the authorities cited at</w:t>
      </w:r>
      <w:r>
        <w:t xml:space="preserve"> footnote </w:t>
      </w:r>
      <w:r w:rsidRPr="00F94652">
        <w:t>52.</w:t>
      </w:r>
      <w:r>
        <w:t xml:space="preserve">  Even so, as Allsop J said in </w:t>
      </w:r>
      <w:r w:rsidRPr="00D47D17">
        <w:rPr>
          <w:i/>
        </w:rPr>
        <w:t>Anheuser-Busch</w:t>
      </w:r>
      <w:r>
        <w:rPr>
          <w:i/>
        </w:rPr>
        <w:t xml:space="preserve"> </w:t>
      </w:r>
      <w:r>
        <w:t>(at [191]):</w:t>
      </w:r>
    </w:p>
    <w:p w:rsidR="00312804" w:rsidRDefault="00312804" w:rsidP="00312804">
      <w:pPr>
        <w:pStyle w:val="Quote1"/>
        <w:rPr>
          <w:b/>
        </w:rPr>
      </w:pPr>
      <w:r>
        <w:t>It is not to the point, with respect, to say that because another part of the label</w:t>
      </w:r>
      <w:r w:rsidR="00DC08C5">
        <w:t xml:space="preserve"> </w:t>
      </w:r>
      <w:r>
        <w:t>…</w:t>
      </w:r>
      <w:r w:rsidR="00DC08C5">
        <w:t xml:space="preserve"> </w:t>
      </w:r>
      <w:r>
        <w:t xml:space="preserve">is the obvious and important “brand”, that another part of the label cannot act to distinguish the goods.  The “branding function”, if that expression is merely used as a synonym for the contents of ss 7 and 17 of the </w:t>
      </w:r>
      <w:r w:rsidRPr="008D2579">
        <w:rPr>
          <w:i/>
        </w:rPr>
        <w:t>Trade Marks Act 1995</w:t>
      </w:r>
      <w:r>
        <w:t xml:space="preserve">, can be carried out in different places on packaging with different degrees of strength and subtlety.  </w:t>
      </w:r>
      <w:r w:rsidRPr="008D2579">
        <w:rPr>
          <w:b/>
        </w:rPr>
        <w:t>Of course, the existence on a label of a clear dominant “brand” is of relevance to the assessment of what would be taken to be the effect of the balance of the label.</w:t>
      </w:r>
      <w:r w:rsidR="00DC08C5" w:rsidRPr="00DC08C5">
        <w:t xml:space="preserve"> </w:t>
      </w:r>
    </w:p>
    <w:p w:rsidR="00312804" w:rsidRDefault="00312804" w:rsidP="003C3980">
      <w:pPr>
        <w:pStyle w:val="Quote1"/>
        <w:spacing w:after="240"/>
      </w:pPr>
      <w:r w:rsidRPr="008D2579">
        <w:t>(Emphasis added.)</w:t>
      </w:r>
    </w:p>
    <w:p w:rsidR="00312804" w:rsidRDefault="00312804" w:rsidP="00312804">
      <w:pPr>
        <w:pStyle w:val="ParaNumbering"/>
        <w:tabs>
          <w:tab w:val="num" w:pos="720"/>
        </w:tabs>
        <w:ind w:left="0"/>
      </w:pPr>
      <w:r>
        <w:t>In my view Pinnacle</w:t>
      </w:r>
      <w:r w:rsidR="00E32D96">
        <w:t xml:space="preserve"> did not </w:t>
      </w:r>
      <w:r>
        <w:t>establish that</w:t>
      </w:r>
      <w:r w:rsidRPr="00E32F25">
        <w:t xml:space="preserve"> </w:t>
      </w:r>
      <w:r>
        <w:t>Triangl</w:t>
      </w:r>
      <w:r w:rsidR="008B205D">
        <w:t xml:space="preserve"> infringed the DELPHINE Trade Mark pursuant to </w:t>
      </w:r>
      <w:r>
        <w:t>s 120 of the Act.</w:t>
      </w:r>
      <w:r w:rsidR="00DC08C5" w:rsidRPr="00DC08C5">
        <w:t xml:space="preserve"> </w:t>
      </w:r>
    </w:p>
    <w:p w:rsidR="000B6B54" w:rsidRDefault="004B4361" w:rsidP="00594D69">
      <w:pPr>
        <w:pStyle w:val="ParaNumbering"/>
        <w:tabs>
          <w:tab w:val="num" w:pos="720"/>
        </w:tabs>
        <w:ind w:left="0"/>
      </w:pPr>
      <w:r w:rsidRPr="00594D69">
        <w:rPr>
          <w:i/>
        </w:rPr>
        <w:t>First</w:t>
      </w:r>
      <w:r>
        <w:t>,</w:t>
      </w:r>
      <w:r w:rsidR="002C0A44">
        <w:t xml:space="preserve"> any question as to whether Triangl </w:t>
      </w:r>
      <w:r w:rsidR="002C0A44" w:rsidRPr="00594D69">
        <w:rPr>
          <w:i/>
        </w:rPr>
        <w:t xml:space="preserve">intended </w:t>
      </w:r>
      <w:r w:rsidR="002C0A44">
        <w:t>its use of DELPHINE</w:t>
      </w:r>
      <w:r w:rsidR="00594D69">
        <w:t xml:space="preserve"> to distinguish its products dealt with or provided in the course of trade from products dealt with by another trader can be speedily dealt with.</w:t>
      </w:r>
      <w:r w:rsidR="00DC08C5">
        <w:t xml:space="preserve"> </w:t>
      </w:r>
      <w:r w:rsidR="00594D69" w:rsidRPr="00594D69">
        <w:t xml:space="preserve"> </w:t>
      </w:r>
      <w:r w:rsidR="00594D69">
        <w:t>I accept Mr Ellis’ evidence that Triangl did not intend its use of DELPHINE to distinguish its products from products dealt with or provided by other traders.</w:t>
      </w:r>
      <w:r w:rsidR="00312804">
        <w:t xml:space="preserve">  It intended</w:t>
      </w:r>
      <w:r w:rsidR="00594D69">
        <w:t xml:space="preserve"> the name as a reference point </w:t>
      </w:r>
      <w:r w:rsidR="00D54702">
        <w:t xml:space="preserve">for consumers </w:t>
      </w:r>
      <w:r w:rsidR="00594D69">
        <w:t xml:space="preserve">to distinguish the </w:t>
      </w:r>
      <w:r w:rsidR="00AE6CAD">
        <w:t>Triangl DELPHINE</w:t>
      </w:r>
      <w:r w:rsidR="00702FD1">
        <w:t xml:space="preserve"> bikinis</w:t>
      </w:r>
      <w:r w:rsidR="00594D69">
        <w:t xml:space="preserve"> from </w:t>
      </w:r>
      <w:r w:rsidR="00D54702">
        <w:t xml:space="preserve">its </w:t>
      </w:r>
      <w:r w:rsidR="00594D69">
        <w:t>other styles in its extensive bikini range.</w:t>
      </w:r>
      <w:r w:rsidR="0048083B">
        <w:t xml:space="preserve">  </w:t>
      </w:r>
    </w:p>
    <w:p w:rsidR="0073782A" w:rsidRDefault="00594D69" w:rsidP="0090782C">
      <w:pPr>
        <w:pStyle w:val="ParaNumbering"/>
        <w:tabs>
          <w:tab w:val="num" w:pos="720"/>
        </w:tabs>
        <w:ind w:left="0"/>
      </w:pPr>
      <w:r>
        <w:rPr>
          <w:i/>
        </w:rPr>
        <w:lastRenderedPageBreak/>
        <w:t>Second</w:t>
      </w:r>
      <w:r w:rsidR="00E32F25">
        <w:t xml:space="preserve">, </w:t>
      </w:r>
      <w:r w:rsidR="008B205D">
        <w:t>it is</w:t>
      </w:r>
      <w:r w:rsidR="00E32D96">
        <w:t xml:space="preserve"> uncontroversial </w:t>
      </w:r>
      <w:r w:rsidR="008B205D">
        <w:t xml:space="preserve">that </w:t>
      </w:r>
      <w:r w:rsidR="0082269B">
        <w:t>whether consumers</w:t>
      </w:r>
      <w:r w:rsidR="008B205D">
        <w:t xml:space="preserve"> were </w:t>
      </w:r>
      <w:r w:rsidR="0082269B">
        <w:t xml:space="preserve">likely </w:t>
      </w:r>
      <w:r w:rsidR="0048083B">
        <w:t xml:space="preserve">to </w:t>
      </w:r>
      <w:r w:rsidR="0082269B">
        <w:t xml:space="preserve">perceive that </w:t>
      </w:r>
      <w:r w:rsidR="008B205D">
        <w:t xml:space="preserve">Triangl’s use of </w:t>
      </w:r>
      <w:r w:rsidR="0082269B">
        <w:t>DELPHINE operate</w:t>
      </w:r>
      <w:r w:rsidR="008B205D">
        <w:t>d</w:t>
      </w:r>
      <w:r w:rsidR="0082269B">
        <w:t xml:space="preserve"> to distinguish Triangl’s</w:t>
      </w:r>
      <w:r w:rsidR="00E32D96">
        <w:t xml:space="preserve"> goods </w:t>
      </w:r>
      <w:r w:rsidR="0082269B">
        <w:t>from</w:t>
      </w:r>
      <w:r w:rsidR="00E32D96">
        <w:t xml:space="preserve"> the goods </w:t>
      </w:r>
      <w:r w:rsidR="0082269B">
        <w:t xml:space="preserve">of other traders </w:t>
      </w:r>
      <w:r>
        <w:t xml:space="preserve">is an objective one, to be determined from </w:t>
      </w:r>
      <w:r w:rsidR="0082269B">
        <w:t>the perspective of the consumer</w:t>
      </w:r>
      <w:r w:rsidR="00DC08C5">
        <w:t xml:space="preserve">: </w:t>
      </w:r>
      <w:r w:rsidR="00DC08C5">
        <w:rPr>
          <w:i/>
        </w:rPr>
        <w:t>Shell</w:t>
      </w:r>
      <w:r w:rsidR="00DC08C5">
        <w:t xml:space="preserve"> at 425</w:t>
      </w:r>
      <w:r w:rsidR="008B205D">
        <w:t>.</w:t>
      </w:r>
      <w:r w:rsidR="0082269B">
        <w:t xml:space="preserve">  </w:t>
      </w:r>
    </w:p>
    <w:p w:rsidR="00AA68B9" w:rsidRPr="00A07F76" w:rsidRDefault="00AA68B9" w:rsidP="00AA68B9">
      <w:pPr>
        <w:pStyle w:val="ParaNumbering"/>
        <w:tabs>
          <w:tab w:val="num" w:pos="720"/>
        </w:tabs>
        <w:ind w:left="0"/>
      </w:pPr>
      <w:r w:rsidRPr="00A07F76">
        <w:t>The first</w:t>
      </w:r>
      <w:r w:rsidR="00E32D96" w:rsidRPr="00A07F76">
        <w:t xml:space="preserve"> screenshot </w:t>
      </w:r>
      <w:r w:rsidRPr="00A07F76">
        <w:t>from the TRIANGL website (shown above at [</w:t>
      </w:r>
      <w:r w:rsidR="00E32D96" w:rsidRPr="00A07F76">
        <w:t>55</w:t>
      </w:r>
      <w:r w:rsidRPr="00A07F76">
        <w:t xml:space="preserve">]) prominently carries the TRIANGL Trade Mark.  It dominates the page and indicates the trade source of the bikinis to consumers.  That is reinforced by the TRIANGL GIRLS button which appeared immediately below the logo, and also by the domain name of the website which is </w:t>
      </w:r>
      <w:r w:rsidR="00783FB3" w:rsidRPr="00A07F76">
        <w:t>&lt;</w:t>
      </w:r>
      <w:r w:rsidRPr="00A07F76">
        <w:t>http://australia.triangl.com</w:t>
      </w:r>
      <w:r w:rsidR="00783FB3" w:rsidRPr="00A07F76">
        <w:t>&gt;</w:t>
      </w:r>
      <w:r w:rsidRPr="00A07F76">
        <w:t xml:space="preserve">.  Dr Downes accepted that the TRIANGL logo is the dominant message informing consumers as to where the advertised bikinis were from, and that it was reinforced by the TRIANGL GIRLS button. </w:t>
      </w:r>
    </w:p>
    <w:p w:rsidR="00AA68B9" w:rsidRPr="00A07F76" w:rsidRDefault="00AA68B9" w:rsidP="00AA68B9">
      <w:pPr>
        <w:pStyle w:val="ParaNumbering"/>
        <w:tabs>
          <w:tab w:val="num" w:pos="720"/>
        </w:tabs>
        <w:ind w:left="0"/>
      </w:pPr>
      <w:r w:rsidRPr="00A07F76">
        <w:t>The second</w:t>
      </w:r>
      <w:r w:rsidR="00E32D96" w:rsidRPr="00A07F76">
        <w:t xml:space="preserve"> screenshot </w:t>
      </w:r>
      <w:r w:rsidRPr="00A07F76">
        <w:t>(shown above at [</w:t>
      </w:r>
      <w:r w:rsidR="00E32D96" w:rsidRPr="00A07F76">
        <w:t>57</w:t>
      </w:r>
      <w:r w:rsidRPr="00A07F76">
        <w:t xml:space="preserve">]) also carries a prominent TRIANGL logo.  It is in a similar font size to the words DELPHINE-FIORE ROSA, but </w:t>
      </w:r>
      <w:r w:rsidR="00E32D96" w:rsidRPr="00A07F76">
        <w:t xml:space="preserve">it is located at the top and in the middle and </w:t>
      </w:r>
      <w:r w:rsidRPr="00A07F76">
        <w:t>it dominates the page</w:t>
      </w:r>
      <w:r w:rsidR="00E32D96" w:rsidRPr="00A07F76">
        <w:t>, thereby indicating</w:t>
      </w:r>
      <w:r w:rsidRPr="00A07F76">
        <w:t xml:space="preserve"> the trade source.  On this page the image of the bikini and </w:t>
      </w:r>
      <w:r w:rsidR="00E32D96" w:rsidRPr="00A07F76">
        <w:t xml:space="preserve">DELPHINE </w:t>
      </w:r>
      <w:r w:rsidRPr="00A07F76">
        <w:t>is enlarged, but that is because that bikini style has been selected for viewing by the consumer clicking</w:t>
      </w:r>
      <w:r w:rsidR="00E32D96" w:rsidRPr="00A07F76">
        <w:t xml:space="preserve"> that image </w:t>
      </w:r>
      <w:r w:rsidRPr="00A07F76">
        <w:t>on the</w:t>
      </w:r>
      <w:r w:rsidR="00E32D96" w:rsidRPr="00A07F76">
        <w:t xml:space="preserve"> previous </w:t>
      </w:r>
      <w:r w:rsidRPr="00A07F76">
        <w:t xml:space="preserve">page.  </w:t>
      </w:r>
    </w:p>
    <w:p w:rsidR="00AA68B9" w:rsidRDefault="00AA68B9" w:rsidP="00AA68B9">
      <w:pPr>
        <w:pStyle w:val="ParaNumbering"/>
        <w:tabs>
          <w:tab w:val="num" w:pos="720"/>
        </w:tabs>
        <w:ind w:left="0"/>
      </w:pPr>
      <w:r>
        <w:t>On both webpages the name DELPHINE is rendered in the same font size as the names</w:t>
      </w:r>
      <w:r w:rsidR="00E32D96">
        <w:t xml:space="preserve"> </w:t>
      </w:r>
      <w:r>
        <w:t xml:space="preserve">given to the different colour and floral patterns. </w:t>
      </w:r>
      <w:r w:rsidR="000F7F10">
        <w:t xml:space="preserve"> </w:t>
      </w:r>
      <w:r>
        <w:t xml:space="preserve">That is not suggestive of a mark rising to the significance of distinguishing the commercial origin of the goods.  </w:t>
      </w:r>
    </w:p>
    <w:p w:rsidR="005F7A1B" w:rsidRDefault="00AA68B9" w:rsidP="00AA68B9">
      <w:pPr>
        <w:pStyle w:val="ParaNumbering"/>
        <w:tabs>
          <w:tab w:val="num" w:pos="720"/>
        </w:tabs>
        <w:ind w:left="0"/>
      </w:pPr>
      <w:r>
        <w:t>Further, t</w:t>
      </w:r>
      <w:r w:rsidR="005F7A1B">
        <w:t xml:space="preserve">he context </w:t>
      </w:r>
      <w:r w:rsidR="008B4CA0">
        <w:t xml:space="preserve">or setting </w:t>
      </w:r>
      <w:r w:rsidR="005F7A1B">
        <w:t xml:space="preserve">in which </w:t>
      </w:r>
      <w:r w:rsidR="00E32D96">
        <w:t xml:space="preserve">Triangl </w:t>
      </w:r>
      <w:r w:rsidR="008B4CA0">
        <w:t>use</w:t>
      </w:r>
      <w:r w:rsidR="00E32D96">
        <w:t>d</w:t>
      </w:r>
      <w:r w:rsidR="008B4CA0">
        <w:t xml:space="preserve"> </w:t>
      </w:r>
      <w:r w:rsidR="00967356">
        <w:t xml:space="preserve">the </w:t>
      </w:r>
      <w:r w:rsidR="003A5E8C">
        <w:t>name</w:t>
      </w:r>
      <w:r w:rsidR="00967356">
        <w:t xml:space="preserve"> </w:t>
      </w:r>
      <w:r w:rsidR="008B4CA0">
        <w:t>DELPHINE</w:t>
      </w:r>
      <w:r w:rsidR="0090782C">
        <w:t xml:space="preserve"> </w:t>
      </w:r>
      <w:r>
        <w:t xml:space="preserve">on </w:t>
      </w:r>
      <w:r w:rsidR="00E32D96">
        <w:t>its</w:t>
      </w:r>
      <w:r>
        <w:t xml:space="preserve"> website </w:t>
      </w:r>
      <w:r w:rsidR="0090782C">
        <w:t>is</w:t>
      </w:r>
      <w:r w:rsidR="008B4CA0">
        <w:t xml:space="preserve"> of critical importance; </w:t>
      </w:r>
      <w:r w:rsidR="00F64836">
        <w:t xml:space="preserve">in </w:t>
      </w:r>
      <w:r w:rsidR="00F64836">
        <w:rPr>
          <w:i/>
        </w:rPr>
        <w:t xml:space="preserve">Shell </w:t>
      </w:r>
      <w:r w:rsidR="009422E1">
        <w:t xml:space="preserve">at 422 </w:t>
      </w:r>
      <w:r w:rsidR="008B4CA0">
        <w:t>Kitto</w:t>
      </w:r>
      <w:r w:rsidR="009422E1">
        <w:t xml:space="preserve"> J</w:t>
      </w:r>
      <w:r w:rsidR="008B4CA0">
        <w:t xml:space="preserve"> described it as “all important”</w:t>
      </w:r>
      <w:r w:rsidR="0090782C">
        <w:t xml:space="preserve">.  </w:t>
      </w:r>
      <w:r>
        <w:t>T</w:t>
      </w:r>
      <w:r w:rsidR="008B4CA0">
        <w:t xml:space="preserve">he context </w:t>
      </w:r>
      <w:r w:rsidR="009422E1">
        <w:t xml:space="preserve">in this case </w:t>
      </w:r>
      <w:r w:rsidR="005F7A1B">
        <w:t>include</w:t>
      </w:r>
      <w:r w:rsidR="003D5750">
        <w:t>s</w:t>
      </w:r>
      <w:r w:rsidR="008B4CA0">
        <w:t xml:space="preserve"> that</w:t>
      </w:r>
      <w:r w:rsidR="005F7A1B">
        <w:t>:</w:t>
      </w:r>
      <w:r w:rsidR="005F7A1B" w:rsidRPr="00353241">
        <w:t xml:space="preserve"> </w:t>
      </w:r>
    </w:p>
    <w:p w:rsidR="005F7A1B" w:rsidRDefault="008B4CA0" w:rsidP="0045682F">
      <w:pPr>
        <w:pStyle w:val="ListNo1"/>
        <w:numPr>
          <w:ilvl w:val="0"/>
          <w:numId w:val="40"/>
        </w:numPr>
      </w:pPr>
      <w:r>
        <w:t xml:space="preserve">many </w:t>
      </w:r>
      <w:r w:rsidR="005F7A1B">
        <w:t>consumers</w:t>
      </w:r>
      <w:r>
        <w:t xml:space="preserve"> will have </w:t>
      </w:r>
      <w:r w:rsidR="005F7A1B">
        <w:t>arrive</w:t>
      </w:r>
      <w:r>
        <w:t>d</w:t>
      </w:r>
      <w:r w:rsidR="005F7A1B">
        <w:t xml:space="preserve"> at the </w:t>
      </w:r>
      <w:r w:rsidR="0062584B">
        <w:t>web</w:t>
      </w:r>
      <w:r w:rsidR="005F7A1B">
        <w:t>page</w:t>
      </w:r>
      <w:r>
        <w:t xml:space="preserve">s promoting </w:t>
      </w:r>
      <w:r w:rsidRPr="008B4CA0">
        <w:t>the</w:t>
      </w:r>
      <w:r w:rsidRPr="009422E1">
        <w:rPr>
          <w:rStyle w:val="CommentReference"/>
          <w:sz w:val="24"/>
        </w:rPr>
        <w:t xml:space="preserve"> </w:t>
      </w:r>
      <w:r w:rsidR="00AE6CAD">
        <w:t>Triangl DELPHINE</w:t>
      </w:r>
      <w:r w:rsidRPr="009422E1">
        <w:rPr>
          <w:rStyle w:val="CommentReference"/>
          <w:sz w:val="24"/>
        </w:rPr>
        <w:t xml:space="preserve"> bikinis </w:t>
      </w:r>
      <w:r w:rsidR="005F7A1B">
        <w:t>after</w:t>
      </w:r>
      <w:r>
        <w:t xml:space="preserve"> viewing </w:t>
      </w:r>
      <w:r w:rsidR="005F7A1B">
        <w:t xml:space="preserve">the </w:t>
      </w:r>
      <w:r w:rsidR="003D5750">
        <w:t xml:space="preserve">TRIANGL </w:t>
      </w:r>
      <w:r w:rsidR="005F7A1B">
        <w:t>home page</w:t>
      </w:r>
      <w:r>
        <w:t xml:space="preserve"> or having viewed it in the same session</w:t>
      </w:r>
      <w:r w:rsidR="005F7A1B">
        <w:t xml:space="preserve">.  The home page </w:t>
      </w:r>
      <w:r>
        <w:t xml:space="preserve">which appeared </w:t>
      </w:r>
      <w:r w:rsidR="005F7A1B">
        <w:t xml:space="preserve">during the </w:t>
      </w:r>
      <w:r w:rsidR="0062584B">
        <w:t xml:space="preserve">relevant </w:t>
      </w:r>
      <w:r w:rsidR="005F7A1B">
        <w:t>period is not in evidence but it is appropriate to infer that it was similar in structure to the home page in 2018 and that it carried a prominent</w:t>
      </w:r>
      <w:r w:rsidR="005F7A1B" w:rsidRPr="007B48D1">
        <w:t xml:space="preserve"> </w:t>
      </w:r>
      <w:r w:rsidR="005F7A1B">
        <w:t xml:space="preserve">TRIANGL logo.  </w:t>
      </w:r>
      <w:r>
        <w:t>This is</w:t>
      </w:r>
      <w:r w:rsidR="0056531F">
        <w:t xml:space="preserve"> significant </w:t>
      </w:r>
      <w:r>
        <w:t>to what consumers</w:t>
      </w:r>
      <w:r w:rsidR="0056531F">
        <w:t xml:space="preserve"> were likely to </w:t>
      </w:r>
      <w:r>
        <w:t>perceive</w:t>
      </w:r>
      <w:r w:rsidR="0056531F">
        <w:t xml:space="preserve"> to be </w:t>
      </w:r>
      <w:r w:rsidR="005F7A1B">
        <w:t>the trade source of the bikinis;</w:t>
      </w:r>
      <w:r w:rsidR="005F7A1B" w:rsidRPr="00E407F7">
        <w:t xml:space="preserve"> </w:t>
      </w:r>
    </w:p>
    <w:p w:rsidR="005F7A1B" w:rsidRDefault="0054617F" w:rsidP="0045682F">
      <w:pPr>
        <w:pStyle w:val="ListNo1"/>
        <w:numPr>
          <w:ilvl w:val="0"/>
          <w:numId w:val="40"/>
        </w:numPr>
      </w:pPr>
      <w:r>
        <w:t>n</w:t>
      </w:r>
      <w:r w:rsidR="00937C18">
        <w:t xml:space="preserve">avigation of the website was </w:t>
      </w:r>
      <w:r w:rsidR="00AF6DBF">
        <w:t>controlled</w:t>
      </w:r>
      <w:r>
        <w:t xml:space="preserve"> by use of the drop-down menu</w:t>
      </w:r>
      <w:r w:rsidR="0056531F">
        <w:t>s</w:t>
      </w:r>
      <w:r>
        <w:t xml:space="preserve"> I have described above</w:t>
      </w:r>
      <w:r w:rsidR="005F7A1B">
        <w:t>.  If</w:t>
      </w:r>
      <w:r w:rsidR="003D5750">
        <w:t xml:space="preserve"> </w:t>
      </w:r>
      <w:r w:rsidR="008B4CA0">
        <w:t xml:space="preserve">a </w:t>
      </w:r>
      <w:r w:rsidR="005F7A1B">
        <w:t xml:space="preserve">consumer clicked the </w:t>
      </w:r>
      <w:r w:rsidR="0056531F">
        <w:t>“</w:t>
      </w:r>
      <w:r w:rsidR="005F7A1B">
        <w:t>View All</w:t>
      </w:r>
      <w:r w:rsidR="0056531F">
        <w:t>”</w:t>
      </w:r>
      <w:r w:rsidR="005F7A1B">
        <w:t xml:space="preserve"> button </w:t>
      </w:r>
      <w:r w:rsidR="003D5750">
        <w:t xml:space="preserve">he or she </w:t>
      </w:r>
      <w:r w:rsidR="005F7A1B">
        <w:t>would</w:t>
      </w:r>
      <w:r w:rsidR="0056531F">
        <w:t xml:space="preserve"> arrive at a page </w:t>
      </w:r>
      <w:r w:rsidR="005F7A1B">
        <w:t>carrying images of approximately 35 Triangl bikini styles</w:t>
      </w:r>
      <w:r w:rsidR="008B4CA0">
        <w:t xml:space="preserve"> with different </w:t>
      </w:r>
      <w:r w:rsidR="005F7A1B">
        <w:t>style name</w:t>
      </w:r>
      <w:r w:rsidR="008B4CA0">
        <w:t>s</w:t>
      </w:r>
      <w:r w:rsidR="005F7A1B">
        <w:t xml:space="preserve"> and </w:t>
      </w:r>
      <w:r w:rsidR="008B4CA0">
        <w:t xml:space="preserve">different </w:t>
      </w:r>
      <w:r w:rsidR="005F7A1B">
        <w:t>names for the colour and pattern variants</w:t>
      </w:r>
      <w:r w:rsidR="008B4CA0">
        <w:t xml:space="preserve"> within styles.  Amongst </w:t>
      </w:r>
      <w:r w:rsidR="008B4CA0">
        <w:lastRenderedPageBreak/>
        <w:t>those images</w:t>
      </w:r>
      <w:r w:rsidR="00702FD1">
        <w:t xml:space="preserve"> </w:t>
      </w:r>
      <w:r w:rsidR="005F7A1B">
        <w:t xml:space="preserve">consumers would find </w:t>
      </w:r>
      <w:r w:rsidR="00853BF5">
        <w:t xml:space="preserve">images of </w:t>
      </w:r>
      <w:r w:rsidR="005F7A1B">
        <w:t xml:space="preserve">the </w:t>
      </w:r>
      <w:r w:rsidR="00AE6CAD">
        <w:t>Triangl DELPHINE</w:t>
      </w:r>
      <w:r w:rsidR="00702FD1">
        <w:t xml:space="preserve"> bikinis</w:t>
      </w:r>
      <w:r w:rsidR="00853BF5">
        <w:t xml:space="preserve">.  </w:t>
      </w:r>
      <w:r w:rsidR="00702FD1">
        <w:t xml:space="preserve">It is likely that </w:t>
      </w:r>
      <w:r w:rsidR="00853BF5">
        <w:t>the consumer</w:t>
      </w:r>
      <w:r w:rsidR="00702FD1">
        <w:t xml:space="preserve"> would scroll </w:t>
      </w:r>
      <w:r w:rsidR="00853BF5">
        <w:t>through numerous bikini styles and their variants each with different style names</w:t>
      </w:r>
      <w:r w:rsidR="003D5750">
        <w:t>; and</w:t>
      </w:r>
    </w:p>
    <w:p w:rsidR="005F7A1B" w:rsidRDefault="00853BF5" w:rsidP="0045682F">
      <w:pPr>
        <w:pStyle w:val="ListNo1"/>
        <w:numPr>
          <w:ilvl w:val="0"/>
          <w:numId w:val="40"/>
        </w:numPr>
      </w:pPr>
      <w:r>
        <w:t>if</w:t>
      </w:r>
      <w:r w:rsidR="00713893">
        <w:t xml:space="preserve"> a </w:t>
      </w:r>
      <w:r w:rsidR="003D5750">
        <w:t xml:space="preserve">consumer </w:t>
      </w:r>
      <w:r w:rsidR="005F7A1B">
        <w:t xml:space="preserve">clicked the </w:t>
      </w:r>
      <w:r w:rsidR="0056531F">
        <w:t>“</w:t>
      </w:r>
      <w:r w:rsidR="005F7A1B">
        <w:t>New Arrivals</w:t>
      </w:r>
      <w:r w:rsidR="0056531F">
        <w:t>”</w:t>
      </w:r>
      <w:r w:rsidR="005F7A1B">
        <w:t xml:space="preserve"> button</w:t>
      </w:r>
      <w:r w:rsidR="003D5750">
        <w:t xml:space="preserve"> he or she </w:t>
      </w:r>
      <w:r w:rsidR="005F7A1B">
        <w:t xml:space="preserve">would be taken to a </w:t>
      </w:r>
      <w:r>
        <w:t>web</w:t>
      </w:r>
      <w:r w:rsidR="005F7A1B">
        <w:t>page carrying images of the four new bikini styles Triangl had just launched with the style names PALOMA, LOTTE, BIBI and DELPHINE</w:t>
      </w:r>
      <w:r w:rsidR="0056531F">
        <w:t xml:space="preserve"> and their </w:t>
      </w:r>
      <w:r w:rsidR="005F7A1B">
        <w:t xml:space="preserve">different colour and pattern variants. </w:t>
      </w:r>
      <w:r>
        <w:t xml:space="preserve"> It </w:t>
      </w:r>
      <w:r w:rsidR="00713893">
        <w:t xml:space="preserve">is likely that the consumer </w:t>
      </w:r>
      <w:r>
        <w:t>would</w:t>
      </w:r>
      <w:r w:rsidR="00713893">
        <w:t xml:space="preserve"> scroll through </w:t>
      </w:r>
      <w:r>
        <w:t xml:space="preserve">the different bikini styles </w:t>
      </w:r>
      <w:r w:rsidR="00656EDC">
        <w:t xml:space="preserve">and </w:t>
      </w:r>
      <w:r>
        <w:t>their variants</w:t>
      </w:r>
      <w:r w:rsidR="000727A7">
        <w:t>.</w:t>
      </w:r>
    </w:p>
    <w:p w:rsidR="00980678" w:rsidRDefault="00980678" w:rsidP="00980678">
      <w:pPr>
        <w:pStyle w:val="ParaNumbering"/>
        <w:tabs>
          <w:tab w:val="num" w:pos="720"/>
        </w:tabs>
        <w:ind w:left="0"/>
      </w:pPr>
      <w:r>
        <w:t>When these matters are considered together it is likely that consumers</w:t>
      </w:r>
      <w:r w:rsidR="0056531F">
        <w:t xml:space="preserve"> would understand </w:t>
      </w:r>
      <w:r>
        <w:t xml:space="preserve">that Triangl offered </w:t>
      </w:r>
      <w:r w:rsidR="00D628E4">
        <w:t xml:space="preserve">a range of bikini styles for sale, each with a name, including a bikini style </w:t>
      </w:r>
      <w:r>
        <w:t>named DELPHINE, which was available in three colours and floral patterns.  It is likely</w:t>
      </w:r>
      <w:r w:rsidR="0056531F">
        <w:t xml:space="preserve"> </w:t>
      </w:r>
      <w:r w:rsidR="00AB2550">
        <w:t xml:space="preserve">that </w:t>
      </w:r>
      <w:r w:rsidR="0056531F">
        <w:t xml:space="preserve">they </w:t>
      </w:r>
      <w:r>
        <w:t>would understand that TRIANGL</w:t>
      </w:r>
      <w:r w:rsidR="0056531F">
        <w:t xml:space="preserve"> was </w:t>
      </w:r>
      <w:r>
        <w:t>the trade source of the bikinis</w:t>
      </w:r>
      <w:r w:rsidR="0056531F">
        <w:t>.  It is</w:t>
      </w:r>
      <w:r>
        <w:t xml:space="preserve"> unlikely that they would perceive that DELPHINE </w:t>
      </w:r>
      <w:r w:rsidR="0056531F">
        <w:t xml:space="preserve">(or </w:t>
      </w:r>
      <w:r>
        <w:t xml:space="preserve">the other style names </w:t>
      </w:r>
      <w:r w:rsidR="0056531F">
        <w:t xml:space="preserve">such as PALOMA, LOTTE, BIBI) </w:t>
      </w:r>
      <w:r>
        <w:t>operated as badges of origin.</w:t>
      </w:r>
    </w:p>
    <w:p w:rsidR="005F7A1B" w:rsidRDefault="00D628E4" w:rsidP="0056531F">
      <w:pPr>
        <w:pStyle w:val="ParaNumbering"/>
        <w:tabs>
          <w:tab w:val="num" w:pos="720"/>
        </w:tabs>
        <w:ind w:left="0"/>
      </w:pPr>
      <w:r>
        <w:t xml:space="preserve">Indeed, </w:t>
      </w:r>
      <w:r w:rsidR="0073782A">
        <w:t>Pinnacle’s central proposition has an air of unreality,</w:t>
      </w:r>
      <w:r>
        <w:t xml:space="preserve"> as illustrated by </w:t>
      </w:r>
      <w:r w:rsidR="005F7A1B">
        <w:t>Dr Downes’ evidence</w:t>
      </w:r>
      <w:r w:rsidR="0062584B">
        <w:t>.</w:t>
      </w:r>
      <w:r w:rsidR="003A5E8C">
        <w:t xml:space="preserve">  First Dr Downes’ said </w:t>
      </w:r>
      <w:r w:rsidR="005F7A1B">
        <w:t>that each of the names PALOMA, LOTTE, BIBI, and DELPHINE would be perceived by consumers as sub-brands</w:t>
      </w:r>
      <w:r w:rsidR="0062584B">
        <w:t xml:space="preserve"> of TRIANGL</w:t>
      </w:r>
      <w:r w:rsidR="003A5E8C">
        <w:t xml:space="preserve">. </w:t>
      </w:r>
      <w:r w:rsidR="00C753BC">
        <w:t xml:space="preserve"> </w:t>
      </w:r>
      <w:r w:rsidR="003A5E8C">
        <w:t>Th</w:t>
      </w:r>
      <w:r w:rsidR="0073782A">
        <w:t>en</w:t>
      </w:r>
      <w:r w:rsidR="003A5E8C">
        <w:t xml:space="preserve"> he was </w:t>
      </w:r>
      <w:r w:rsidR="0073782A">
        <w:t xml:space="preserve">taken to Triangl’s press pack which showed </w:t>
      </w:r>
      <w:r w:rsidR="003A5E8C">
        <w:t xml:space="preserve">its </w:t>
      </w:r>
      <w:r w:rsidR="0073782A">
        <w:t xml:space="preserve">use of further style names such as </w:t>
      </w:r>
      <w:r w:rsidR="005F7A1B" w:rsidRPr="00134F82">
        <w:t>DREE, JEAN, CATIA, LOUIE, REMY and DEVON</w:t>
      </w:r>
      <w:r w:rsidR="0073782A">
        <w:t>,</w:t>
      </w:r>
      <w:r w:rsidR="003A5E8C">
        <w:t xml:space="preserve"> and </w:t>
      </w:r>
      <w:r>
        <w:t xml:space="preserve">he </w:t>
      </w:r>
      <w:r w:rsidR="003A5E8C">
        <w:t xml:space="preserve">said </w:t>
      </w:r>
      <w:r w:rsidR="0073782A">
        <w:t>that they too would be perceived by consumers to be sub-brands</w:t>
      </w:r>
      <w:r w:rsidR="005F7A1B">
        <w:t>.</w:t>
      </w:r>
      <w:r w:rsidR="0073782A">
        <w:t xml:space="preserve">  </w:t>
      </w:r>
      <w:r w:rsidR="005315B8">
        <w:t>If Dr Downes’ proposition was to be accepted, the logical outcome</w:t>
      </w:r>
      <w:r>
        <w:t xml:space="preserve"> is </w:t>
      </w:r>
      <w:r w:rsidR="005315B8">
        <w:t>that each</w:t>
      </w:r>
      <w:r w:rsidR="0056531F">
        <w:t xml:space="preserve"> of the 35</w:t>
      </w:r>
      <w:r w:rsidR="005315B8">
        <w:t xml:space="preserve"> bikini </w:t>
      </w:r>
      <w:r w:rsidR="0056531F">
        <w:t xml:space="preserve">styles </w:t>
      </w:r>
      <w:r w:rsidR="005315B8">
        <w:t>that Triangl</w:t>
      </w:r>
      <w:r w:rsidR="0056531F">
        <w:t xml:space="preserve"> marketed and sold were likely to be </w:t>
      </w:r>
      <w:r w:rsidR="00AB3C36">
        <w:t>perceived by consumers to</w:t>
      </w:r>
      <w:r>
        <w:t xml:space="preserve"> operate as </w:t>
      </w:r>
      <w:r w:rsidR="00AB3C36">
        <w:t>sub-brands.</w:t>
      </w:r>
      <w:r w:rsidR="003A5E8C">
        <w:t xml:space="preserve">  I consider it to be quite </w:t>
      </w:r>
      <w:r w:rsidR="0062584B">
        <w:t xml:space="preserve">improbable </w:t>
      </w:r>
      <w:r w:rsidR="005F7A1B">
        <w:t>that consumers would</w:t>
      </w:r>
      <w:r w:rsidR="0073782A">
        <w:t xml:space="preserve"> perceive </w:t>
      </w:r>
      <w:r w:rsidR="005F7A1B">
        <w:t xml:space="preserve">that the 35 </w:t>
      </w:r>
      <w:r w:rsidR="003D5750">
        <w:t xml:space="preserve">style </w:t>
      </w:r>
      <w:r w:rsidR="005F7A1B">
        <w:t xml:space="preserve">names </w:t>
      </w:r>
      <w:r w:rsidR="0073782A">
        <w:t xml:space="preserve">Triangl gave to its </w:t>
      </w:r>
      <w:r w:rsidR="00656EDC">
        <w:t xml:space="preserve">different </w:t>
      </w:r>
      <w:r w:rsidR="005F7A1B">
        <w:t>bikini</w:t>
      </w:r>
      <w:r w:rsidR="003D5750">
        <w:t xml:space="preserve"> styles </w:t>
      </w:r>
      <w:r w:rsidR="005F7A1B">
        <w:t xml:space="preserve">represented 35 different </w:t>
      </w:r>
      <w:r w:rsidR="0062584B">
        <w:t>sub brands</w:t>
      </w:r>
      <w:r w:rsidR="003D5750">
        <w:t xml:space="preserve"> of TRIANGL</w:t>
      </w:r>
      <w:r>
        <w:t xml:space="preserve"> which </w:t>
      </w:r>
      <w:r w:rsidR="0073782A">
        <w:t>operated to distinguish</w:t>
      </w:r>
      <w:r>
        <w:t xml:space="preserve"> each </w:t>
      </w:r>
      <w:r w:rsidR="0073782A">
        <w:t>bikini style from the goods of other traders</w:t>
      </w:r>
      <w:r w:rsidR="005F7A1B">
        <w:t>.  It is more likely that</w:t>
      </w:r>
      <w:r w:rsidR="0073782A">
        <w:t xml:space="preserve"> they </w:t>
      </w:r>
      <w:r w:rsidR="005F7A1B">
        <w:t xml:space="preserve">would understand that </w:t>
      </w:r>
      <w:r w:rsidR="0073782A">
        <w:t xml:space="preserve">Triangl was the trade source of the 35 different styles (including their colour and pattern variants) </w:t>
      </w:r>
      <w:r w:rsidR="005F7A1B">
        <w:t>and that the style names</w:t>
      </w:r>
      <w:r w:rsidR="0073782A">
        <w:t xml:space="preserve"> operated to identify or </w:t>
      </w:r>
      <w:r w:rsidR="005F7A1B">
        <w:t>delineate between the different styles of bikini which Triangl</w:t>
      </w:r>
      <w:r w:rsidR="0073782A">
        <w:t xml:space="preserve"> offered </w:t>
      </w:r>
      <w:r w:rsidR="005F7A1B">
        <w:t>for sale.</w:t>
      </w:r>
    </w:p>
    <w:p w:rsidR="005F7A1B" w:rsidRDefault="0073782A" w:rsidP="005F7A1B">
      <w:pPr>
        <w:pStyle w:val="ParaNumbering"/>
        <w:tabs>
          <w:tab w:val="num" w:pos="720"/>
        </w:tabs>
        <w:ind w:left="0"/>
      </w:pPr>
      <w:r>
        <w:t xml:space="preserve">That </w:t>
      </w:r>
      <w:r w:rsidR="0062584B">
        <w:t>conclusion is supported by</w:t>
      </w:r>
      <w:r w:rsidR="005F7A1B">
        <w:t>:</w:t>
      </w:r>
      <w:r w:rsidR="005F7A1B" w:rsidRPr="00FF3963">
        <w:t xml:space="preserve"> </w:t>
      </w:r>
    </w:p>
    <w:p w:rsidR="005F7A1B" w:rsidRDefault="005F7A1B" w:rsidP="0045682F">
      <w:pPr>
        <w:pStyle w:val="ListNo1"/>
        <w:numPr>
          <w:ilvl w:val="0"/>
          <w:numId w:val="42"/>
        </w:numPr>
      </w:pPr>
      <w:r>
        <w:t>Mr Ellis’ evidence that style names do not matter</w:t>
      </w:r>
      <w:r w:rsidR="002D46DD">
        <w:t xml:space="preserve"> and</w:t>
      </w:r>
      <w:r>
        <w:t xml:space="preserve"> that they have no value to Triangl</w:t>
      </w:r>
      <w:r w:rsidR="00D628E4">
        <w:t>,</w:t>
      </w:r>
      <w:r w:rsidR="0056531F">
        <w:t xml:space="preserve"> which </w:t>
      </w:r>
      <w:r w:rsidR="00D628E4">
        <w:t xml:space="preserve">evidence </w:t>
      </w:r>
      <w:r w:rsidR="0056531F">
        <w:t>I accept</w:t>
      </w:r>
      <w:r>
        <w:t>;</w:t>
      </w:r>
      <w:r w:rsidRPr="00FF3963">
        <w:t xml:space="preserve"> </w:t>
      </w:r>
      <w:r>
        <w:t xml:space="preserve"> </w:t>
      </w:r>
    </w:p>
    <w:p w:rsidR="005F7A1B" w:rsidRDefault="005F7A1B" w:rsidP="0045682F">
      <w:pPr>
        <w:pStyle w:val="ListNo1"/>
        <w:numPr>
          <w:ilvl w:val="0"/>
          <w:numId w:val="42"/>
        </w:numPr>
      </w:pPr>
      <w:r>
        <w:lastRenderedPageBreak/>
        <w:t>Mr Bucoy’s evidence to similar effect in relation to style names.  He accepted that consumers do not remember style names and that they only remember the head brand.  When asked about one of Pinnacle’s own style names he said “I don’t think it really matters”;</w:t>
      </w:r>
      <w:r w:rsidRPr="00FF3963">
        <w:t xml:space="preserve"> </w:t>
      </w:r>
      <w:r w:rsidR="003D5750">
        <w:t>and</w:t>
      </w:r>
    </w:p>
    <w:p w:rsidR="005F7A1B" w:rsidRDefault="0062584B" w:rsidP="0045682F">
      <w:pPr>
        <w:pStyle w:val="ListNo1"/>
        <w:numPr>
          <w:ilvl w:val="0"/>
          <w:numId w:val="42"/>
        </w:numPr>
      </w:pPr>
      <w:r>
        <w:t>the inference I have drawn that</w:t>
      </w:r>
      <w:r w:rsidR="0056531F">
        <w:t xml:space="preserve"> up to and including </w:t>
      </w:r>
      <w:r>
        <w:t xml:space="preserve">the relevant period </w:t>
      </w:r>
      <w:r w:rsidR="005F7A1B">
        <w:t>consumers of women’s fashion</w:t>
      </w:r>
      <w:r w:rsidR="0056531F">
        <w:t xml:space="preserve"> were used </w:t>
      </w:r>
      <w:r w:rsidR="005F7A1B">
        <w:t>to seeing style names including women’s names used in relation to women’s fashion</w:t>
      </w:r>
      <w:r w:rsidR="0073782A">
        <w:t>,</w:t>
      </w:r>
      <w:r w:rsidR="005F7A1B">
        <w:t xml:space="preserve"> including swimwear</w:t>
      </w:r>
      <w:r w:rsidR="003D5750">
        <w:t>.</w:t>
      </w:r>
    </w:p>
    <w:p w:rsidR="00980678" w:rsidRDefault="00D628E4" w:rsidP="002D46DD">
      <w:pPr>
        <w:pStyle w:val="ParaNumbering"/>
        <w:tabs>
          <w:tab w:val="num" w:pos="720"/>
        </w:tabs>
        <w:ind w:left="0"/>
      </w:pPr>
      <w:r>
        <w:t xml:space="preserve">Mr Ellis was not challenged on his evidence as to the steps potential Australian customers were required to take if they wished to make a purchase on the TRIANGL website, but </w:t>
      </w:r>
      <w:r w:rsidR="00980678">
        <w:t xml:space="preserve">I accept the possibility that consumers could have directly arrived at the webpages displaying the </w:t>
      </w:r>
      <w:r w:rsidR="00AE6CAD">
        <w:t>Triangl DELPHINE</w:t>
      </w:r>
      <w:r w:rsidR="00980678">
        <w:t xml:space="preserve"> bikinis</w:t>
      </w:r>
      <w:r w:rsidR="001F4EAA">
        <w:t xml:space="preserve"> through either direct links </w:t>
      </w:r>
      <w:r>
        <w:t xml:space="preserve">from social media </w:t>
      </w:r>
      <w:r w:rsidR="001F4EAA">
        <w:t xml:space="preserve">or </w:t>
      </w:r>
      <w:r w:rsidR="0056531F">
        <w:t xml:space="preserve">through a </w:t>
      </w:r>
      <w:r w:rsidR="001F4EAA">
        <w:t>search engine</w:t>
      </w:r>
      <w:r>
        <w:t xml:space="preserve">. </w:t>
      </w:r>
      <w:r w:rsidR="00294124">
        <w:t xml:space="preserve"> </w:t>
      </w:r>
      <w:r>
        <w:t>If that occurred</w:t>
      </w:r>
      <w:r w:rsidR="00294124">
        <w:t>,</w:t>
      </w:r>
      <w:r>
        <w:t xml:space="preserve"> </w:t>
      </w:r>
      <w:r w:rsidR="0056531F">
        <w:t xml:space="preserve">the home page, “View All” page, or </w:t>
      </w:r>
      <w:r w:rsidR="002D46DD">
        <w:t>“</w:t>
      </w:r>
      <w:r w:rsidR="0056531F">
        <w:t>New Arrivals</w:t>
      </w:r>
      <w:r w:rsidR="002D46DD">
        <w:t>”</w:t>
      </w:r>
      <w:r w:rsidR="0056531F">
        <w:t xml:space="preserve"> page</w:t>
      </w:r>
      <w:r>
        <w:t>s</w:t>
      </w:r>
      <w:r w:rsidR="0056531F">
        <w:t xml:space="preserve"> </w:t>
      </w:r>
      <w:r>
        <w:t xml:space="preserve">of the website </w:t>
      </w:r>
      <w:r w:rsidR="0056531F">
        <w:t xml:space="preserve">would not be the consumer’s starting point.  </w:t>
      </w:r>
      <w:r w:rsidR="00980678">
        <w:t>In cross</w:t>
      </w:r>
      <w:r w:rsidR="008118D9">
        <w:t>-</w:t>
      </w:r>
      <w:r w:rsidR="00980678">
        <w:t xml:space="preserve">examination Mr Bucoy said, in effect, that if a consumer performed an internet search using the word </w:t>
      </w:r>
      <w:r w:rsidR="0056531F">
        <w:t>“</w:t>
      </w:r>
      <w:r w:rsidR="00980678">
        <w:t>Delphine</w:t>
      </w:r>
      <w:r w:rsidR="0056531F">
        <w:t>”</w:t>
      </w:r>
      <w:r w:rsidR="00980678">
        <w:t xml:space="preserve"> he or she</w:t>
      </w:r>
      <w:r w:rsidR="00980678" w:rsidRPr="00DA03AA">
        <w:t xml:space="preserve"> </w:t>
      </w:r>
      <w:r w:rsidR="00980678">
        <w:t xml:space="preserve">might come across the </w:t>
      </w:r>
      <w:r w:rsidR="00AE6CAD">
        <w:t>Triangl DELPHINE</w:t>
      </w:r>
      <w:r w:rsidR="00980678">
        <w:t xml:space="preserve"> bikinis on the website and decide to purchase that product rather than going on to find DELPHINE products.  Pinnacle contended that it could be inferred that was the case.  There is </w:t>
      </w:r>
      <w:r>
        <w:t xml:space="preserve">however </w:t>
      </w:r>
      <w:r w:rsidR="00980678">
        <w:t xml:space="preserve">no evidence to show that if during the relevant period a consumer performed an internet search by reference to the word Delphine that the </w:t>
      </w:r>
      <w:r w:rsidR="00AE6CAD">
        <w:t>Triangl DELPHINE</w:t>
      </w:r>
      <w:r w:rsidR="00980678">
        <w:t xml:space="preserve"> bikinis would come up</w:t>
      </w:r>
      <w:r w:rsidR="00980678" w:rsidRPr="006936C3">
        <w:t xml:space="preserve"> </w:t>
      </w:r>
      <w:r w:rsidR="00980678">
        <w:t xml:space="preserve">in the search results, nor is there evidence to establish where the </w:t>
      </w:r>
      <w:r w:rsidR="00AE6CAD">
        <w:t>Triangl DELPHINE</w:t>
      </w:r>
      <w:r w:rsidR="00980678">
        <w:t xml:space="preserve"> bikinis would rank in the search results if they did come up.  It would have been relatively straightforward for Pinnacle to establish such matters and it did not do so.</w:t>
      </w:r>
      <w:r w:rsidR="001F4EAA">
        <w:t xml:space="preserve">  </w:t>
      </w:r>
      <w:r w:rsidR="002D46DD">
        <w:t>While</w:t>
      </w:r>
      <w:r w:rsidR="00980678">
        <w:t xml:space="preserve"> I accept that some consumers may have arrived at the relevant webpages through direct links </w:t>
      </w:r>
      <w:r w:rsidR="002D46DD">
        <w:t>or a search engine</w:t>
      </w:r>
      <w:r w:rsidR="00294124">
        <w:t>,</w:t>
      </w:r>
      <w:r w:rsidR="002D46DD">
        <w:t xml:space="preserve"> t</w:t>
      </w:r>
      <w:r w:rsidR="00980678">
        <w:t xml:space="preserve">here was no evidence regarding the use of such pathways and I will not speculate as to how commonly </w:t>
      </w:r>
      <w:r>
        <w:t xml:space="preserve">they were used by </w:t>
      </w:r>
      <w:r w:rsidR="00980678">
        <w:t xml:space="preserve">consumers.  Further, even if consumers arrived </w:t>
      </w:r>
      <w:r w:rsidR="001F4EAA">
        <w:t>at</w:t>
      </w:r>
      <w:r w:rsidR="00980678">
        <w:t xml:space="preserve"> the website through </w:t>
      </w:r>
      <w:r w:rsidR="001F4EAA">
        <w:t>those pathways,</w:t>
      </w:r>
      <w:r w:rsidR="00980678">
        <w:t xml:space="preserve"> it is reasonable to expect that many of them will have viewed the other new bikini styles Triangl promoted</w:t>
      </w:r>
      <w:r w:rsidR="00086B14">
        <w:t>, and so my observations about the relevant context remain apt</w:t>
      </w:r>
      <w:r w:rsidR="00980678">
        <w:t>.</w:t>
      </w:r>
    </w:p>
    <w:p w:rsidR="0072719B" w:rsidRDefault="008B6999" w:rsidP="00D9012E">
      <w:pPr>
        <w:pStyle w:val="ParaNumbering"/>
        <w:tabs>
          <w:tab w:val="num" w:pos="720"/>
        </w:tabs>
        <w:ind w:left="0"/>
      </w:pPr>
      <w:r>
        <w:t>In r</w:t>
      </w:r>
      <w:r w:rsidR="0072719B">
        <w:t>elation to the use of DELPHINE i</w:t>
      </w:r>
      <w:r>
        <w:t>n the EDM</w:t>
      </w:r>
      <w:r w:rsidR="00B26F4D">
        <w:t>s</w:t>
      </w:r>
      <w:r w:rsidR="00077E1E">
        <w:t xml:space="preserve"> that Triangl sent to its subscribers</w:t>
      </w:r>
      <w:r w:rsidR="0072719B">
        <w:t>:</w:t>
      </w:r>
      <w:r w:rsidR="00077E1E" w:rsidRPr="00077E1E">
        <w:t xml:space="preserve"> </w:t>
      </w:r>
    </w:p>
    <w:p w:rsidR="0072719B" w:rsidRDefault="0072719B" w:rsidP="0045682F">
      <w:pPr>
        <w:pStyle w:val="ListNo1"/>
        <w:numPr>
          <w:ilvl w:val="0"/>
          <w:numId w:val="41"/>
        </w:numPr>
      </w:pPr>
      <w:r>
        <w:t>the first EDM is dominated by the</w:t>
      </w:r>
      <w:r w:rsidRPr="005D0662">
        <w:t xml:space="preserve"> </w:t>
      </w:r>
      <w:r>
        <w:t>TRIANGL logo which appears at the top of the page in prominent large bold font,</w:t>
      </w:r>
      <w:r w:rsidR="00A776A3">
        <w:t xml:space="preserve"> and the name</w:t>
      </w:r>
      <w:r w:rsidR="00A776A3" w:rsidRPr="00877A93">
        <w:t xml:space="preserve"> </w:t>
      </w:r>
      <w:r w:rsidR="00A776A3">
        <w:t>DELPHINE is less prominent</w:t>
      </w:r>
      <w:r w:rsidR="00077E1E">
        <w:t xml:space="preserve"> and placed at the bottom of the page</w:t>
      </w:r>
      <w:r w:rsidR="00A776A3">
        <w:t xml:space="preserve">.  </w:t>
      </w:r>
      <w:r w:rsidR="00DC7FF3">
        <w:t>T</w:t>
      </w:r>
      <w:r w:rsidR="00A776A3">
        <w:t xml:space="preserve">hat </w:t>
      </w:r>
      <w:r>
        <w:t>TRIANGL</w:t>
      </w:r>
      <w:r w:rsidR="00A776A3">
        <w:t xml:space="preserve"> is </w:t>
      </w:r>
      <w:r>
        <w:t>the trade source of the bikinis</w:t>
      </w:r>
      <w:r w:rsidR="00A776A3">
        <w:t xml:space="preserve"> </w:t>
      </w:r>
      <w:r>
        <w:t xml:space="preserve">is reinforced by the </w:t>
      </w:r>
      <w:r w:rsidR="00DC7FF3">
        <w:t xml:space="preserve">link </w:t>
      </w:r>
      <w:r>
        <w:t>to</w:t>
      </w:r>
      <w:r w:rsidR="00DC7FF3">
        <w:t xml:space="preserve"> the</w:t>
      </w:r>
      <w:r>
        <w:t xml:space="preserve"> </w:t>
      </w:r>
      <w:r w:rsidR="000727A7">
        <w:t>T</w:t>
      </w:r>
      <w:r w:rsidR="005E07B7">
        <w:t>RIANGL</w:t>
      </w:r>
      <w:r w:rsidR="000727A7">
        <w:t xml:space="preserve"> website</w:t>
      </w:r>
      <w:r>
        <w:t xml:space="preserve"> above the </w:t>
      </w:r>
      <w:r w:rsidR="000727A7">
        <w:t>“</w:t>
      </w:r>
      <w:r w:rsidRPr="00A776A3">
        <w:rPr>
          <w:caps/>
        </w:rPr>
        <w:t>Shop Now</w:t>
      </w:r>
      <w:r w:rsidR="000727A7">
        <w:rPr>
          <w:caps/>
        </w:rPr>
        <w:t>”</w:t>
      </w:r>
      <w:r>
        <w:t xml:space="preserve"> button;</w:t>
      </w:r>
      <w:r w:rsidR="00ED74B4" w:rsidRPr="00ED74B4">
        <w:t xml:space="preserve"> </w:t>
      </w:r>
    </w:p>
    <w:p w:rsidR="0072719B" w:rsidRDefault="0072719B" w:rsidP="0045682F">
      <w:pPr>
        <w:pStyle w:val="ListNo1"/>
        <w:numPr>
          <w:ilvl w:val="0"/>
          <w:numId w:val="41"/>
        </w:numPr>
      </w:pPr>
      <w:r>
        <w:lastRenderedPageBreak/>
        <w:t xml:space="preserve">the second EDM is </w:t>
      </w:r>
      <w:r w:rsidR="00A776A3">
        <w:t xml:space="preserve">also </w:t>
      </w:r>
      <w:r>
        <w:t>dominated by the TRIANGL logo which appears at the top of the pa</w:t>
      </w:r>
      <w:r w:rsidR="00A776A3">
        <w:t>ge in prominent large bold font.</w:t>
      </w:r>
      <w:r>
        <w:t xml:space="preserve"> </w:t>
      </w:r>
      <w:r w:rsidR="00DC7FF3">
        <w:t xml:space="preserve"> </w:t>
      </w:r>
      <w:r w:rsidR="00A776A3">
        <w:t xml:space="preserve">The name DELPHINE is less prominent and occurs in </w:t>
      </w:r>
      <w:r w:rsidR="00DC7FF3">
        <w:t>concert with</w:t>
      </w:r>
      <w:r w:rsidR="002D46DD">
        <w:t xml:space="preserve"> another </w:t>
      </w:r>
      <w:r w:rsidR="00A776A3">
        <w:t>style name, PALOMA</w:t>
      </w:r>
      <w:r w:rsidR="00182AA8">
        <w:t>.  F</w:t>
      </w:r>
      <w:r w:rsidR="002D46DD">
        <w:t xml:space="preserve">or </w:t>
      </w:r>
      <w:r w:rsidR="00A776A3">
        <w:t>consumers to</w:t>
      </w:r>
      <w:r w:rsidR="002D46DD">
        <w:t xml:space="preserve"> perceive </w:t>
      </w:r>
      <w:r w:rsidR="00A776A3">
        <w:t>that</w:t>
      </w:r>
      <w:r w:rsidR="00A776A3" w:rsidRPr="00877A93">
        <w:t xml:space="preserve"> </w:t>
      </w:r>
      <w:r w:rsidR="00A776A3">
        <w:t>the name DELPHINE identified the trade source of</w:t>
      </w:r>
      <w:r w:rsidR="002D46DD">
        <w:t xml:space="preserve"> that bikini style</w:t>
      </w:r>
      <w:r w:rsidR="00A776A3">
        <w:t xml:space="preserve"> they would</w:t>
      </w:r>
      <w:r w:rsidR="00980678">
        <w:t xml:space="preserve"> </w:t>
      </w:r>
      <w:r w:rsidR="00182AA8">
        <w:t xml:space="preserve">have to </w:t>
      </w:r>
      <w:r w:rsidR="00A776A3">
        <w:t>think the same</w:t>
      </w:r>
      <w:r w:rsidR="00980678">
        <w:t xml:space="preserve"> in relation to the name </w:t>
      </w:r>
      <w:r w:rsidR="00A776A3">
        <w:t xml:space="preserve">PALOMA.  </w:t>
      </w:r>
      <w:r w:rsidR="00ED74B4">
        <w:t xml:space="preserve">The </w:t>
      </w:r>
      <w:r w:rsidR="00B26F4D">
        <w:t>TRIANGL</w:t>
      </w:r>
      <w:r w:rsidR="00ED74B4">
        <w:t xml:space="preserve"> website link appearing just above the </w:t>
      </w:r>
      <w:r w:rsidR="002D46DD">
        <w:t>“</w:t>
      </w:r>
      <w:r w:rsidR="00ED74B4">
        <w:t>SHOP NOW</w:t>
      </w:r>
      <w:r w:rsidR="002D46DD">
        <w:t>”</w:t>
      </w:r>
      <w:r w:rsidR="00ED74B4">
        <w:t xml:space="preserve"> button reinforces that </w:t>
      </w:r>
      <w:r w:rsidR="00A776A3">
        <w:t>TRIANGL is the trade source of the bikinis</w:t>
      </w:r>
      <w:r w:rsidR="00ED74B4">
        <w:t>;</w:t>
      </w:r>
      <w:r>
        <w:t xml:space="preserve"> and</w:t>
      </w:r>
    </w:p>
    <w:p w:rsidR="00182AA8" w:rsidRDefault="0072719B" w:rsidP="0045682F">
      <w:pPr>
        <w:pStyle w:val="ListNo1"/>
        <w:numPr>
          <w:ilvl w:val="0"/>
          <w:numId w:val="41"/>
        </w:numPr>
      </w:pPr>
      <w:r>
        <w:t>the third EDM is dominated by the</w:t>
      </w:r>
      <w:r w:rsidRPr="00877A93">
        <w:t xml:space="preserve"> </w:t>
      </w:r>
      <w:r>
        <w:t>TRIANGL logo and it subordinates the name DELPHINE even further</w:t>
      </w:r>
      <w:r w:rsidR="00A776A3">
        <w:t xml:space="preserve">. </w:t>
      </w:r>
      <w:r w:rsidR="00ED74B4">
        <w:t xml:space="preserve"> </w:t>
      </w:r>
      <w:r w:rsidR="00A776A3">
        <w:t>While this EDM</w:t>
      </w:r>
      <w:r w:rsidR="00980678">
        <w:t xml:space="preserve"> emphasises </w:t>
      </w:r>
      <w:r w:rsidR="00A776A3">
        <w:t xml:space="preserve">the word Delphine by describing the bikini as </w:t>
      </w:r>
      <w:r w:rsidR="00ED74B4">
        <w:t>“</w:t>
      </w:r>
      <w:r w:rsidR="00A776A3">
        <w:t>THE DELPHINE</w:t>
      </w:r>
      <w:r w:rsidR="00ED74B4">
        <w:t>”</w:t>
      </w:r>
      <w:r w:rsidR="00A776A3">
        <w:t>, that</w:t>
      </w:r>
      <w:r w:rsidR="00ED74B4">
        <w:t xml:space="preserve"> name</w:t>
      </w:r>
      <w:r w:rsidR="00A776A3">
        <w:t xml:space="preserve"> appears in small font under the heading AMBER FLORALS, followed by a</w:t>
      </w:r>
      <w:r w:rsidR="00ED74B4">
        <w:t xml:space="preserve"> short</w:t>
      </w:r>
      <w:r w:rsidR="00A776A3">
        <w:t xml:space="preserve"> description of </w:t>
      </w:r>
      <w:r w:rsidR="00ED74B4">
        <w:t xml:space="preserve">the </w:t>
      </w:r>
      <w:r w:rsidR="00A776A3">
        <w:t>bikini.</w:t>
      </w:r>
      <w:r w:rsidR="002D46DD">
        <w:t xml:space="preserve">  </w:t>
      </w:r>
    </w:p>
    <w:p w:rsidR="00256BD6" w:rsidRDefault="002D46DD" w:rsidP="00294124">
      <w:pPr>
        <w:pStyle w:val="ListNo1"/>
        <w:numPr>
          <w:ilvl w:val="0"/>
          <w:numId w:val="0"/>
        </w:numPr>
      </w:pPr>
      <w:r>
        <w:t xml:space="preserve">I consider it </w:t>
      </w:r>
      <w:r w:rsidR="00256BD6">
        <w:t>unlikely that a cons</w:t>
      </w:r>
      <w:r w:rsidR="00ED74B4">
        <w:t xml:space="preserve">umer viewing </w:t>
      </w:r>
      <w:r w:rsidR="00182AA8">
        <w:t xml:space="preserve">the </w:t>
      </w:r>
      <w:r w:rsidR="00ED74B4">
        <w:t>EDM</w:t>
      </w:r>
      <w:r w:rsidR="00182AA8">
        <w:t>s</w:t>
      </w:r>
      <w:r w:rsidR="00ED74B4">
        <w:t xml:space="preserve"> would</w:t>
      </w:r>
      <w:r w:rsidR="00182AA8">
        <w:t xml:space="preserve"> perceive </w:t>
      </w:r>
      <w:r w:rsidR="00ED74B4">
        <w:t>that the word DELPHINE is</w:t>
      </w:r>
      <w:r w:rsidR="00B26F4D">
        <w:t xml:space="preserve"> used </w:t>
      </w:r>
      <w:r w:rsidR="00ED74B4">
        <w:t>as a</w:t>
      </w:r>
      <w:r w:rsidR="00980678">
        <w:t xml:space="preserve"> badge </w:t>
      </w:r>
      <w:r w:rsidR="00ED74B4">
        <w:t xml:space="preserve">of origin. </w:t>
      </w:r>
    </w:p>
    <w:p w:rsidR="00256BD6" w:rsidRDefault="00980678" w:rsidP="00B26F4D">
      <w:pPr>
        <w:pStyle w:val="ParaNumbering"/>
        <w:tabs>
          <w:tab w:val="num" w:pos="720"/>
        </w:tabs>
        <w:ind w:left="0"/>
      </w:pPr>
      <w:r>
        <w:t xml:space="preserve">Again, the </w:t>
      </w:r>
      <w:r w:rsidR="00256BD6">
        <w:t>context</w:t>
      </w:r>
      <w:r w:rsidR="00B26F4D">
        <w:t xml:space="preserve"> </w:t>
      </w:r>
      <w:r>
        <w:t xml:space="preserve">or setting </w:t>
      </w:r>
      <w:r w:rsidR="00B26F4D">
        <w:t>in which consumers</w:t>
      </w:r>
      <w:r>
        <w:t xml:space="preserve"> viewed </w:t>
      </w:r>
      <w:r w:rsidR="00B26F4D">
        <w:t xml:space="preserve">the </w:t>
      </w:r>
      <w:r w:rsidR="00256BD6">
        <w:t>EDM</w:t>
      </w:r>
      <w:r w:rsidR="00B26F4D">
        <w:t>s</w:t>
      </w:r>
      <w:r>
        <w:t xml:space="preserve"> is important</w:t>
      </w:r>
      <w:r w:rsidR="00256BD6">
        <w:t>.</w:t>
      </w:r>
      <w:r>
        <w:t xml:space="preserve">  These direct mail </w:t>
      </w:r>
      <w:r w:rsidR="00B26F4D">
        <w:t xml:space="preserve">communications were </w:t>
      </w:r>
      <w:r w:rsidR="00256BD6">
        <w:t>only sent to</w:t>
      </w:r>
      <w:r w:rsidR="00B26F4D">
        <w:t xml:space="preserve"> persons </w:t>
      </w:r>
      <w:r w:rsidR="00256BD6">
        <w:t xml:space="preserve">who </w:t>
      </w:r>
      <w:r w:rsidR="00656EDC">
        <w:t xml:space="preserve">had </w:t>
      </w:r>
      <w:r w:rsidR="00256BD6">
        <w:t xml:space="preserve">taken </w:t>
      </w:r>
      <w:r w:rsidR="00656EDC">
        <w:t xml:space="preserve">the </w:t>
      </w:r>
      <w:r w:rsidR="00256BD6">
        <w:t>active step</w:t>
      </w:r>
      <w:r w:rsidR="00656EDC">
        <w:t xml:space="preserve"> of signing up </w:t>
      </w:r>
      <w:r w:rsidR="00256BD6">
        <w:t>to Triangl’s mailing list</w:t>
      </w:r>
      <w:r w:rsidR="00B26F4D">
        <w:t>.</w:t>
      </w:r>
      <w:r w:rsidR="004242C5">
        <w:t xml:space="preserve"> </w:t>
      </w:r>
      <w:r w:rsidR="00B26F4D">
        <w:t xml:space="preserve"> That </w:t>
      </w:r>
      <w:r w:rsidR="00371698">
        <w:t>increases the improbability that</w:t>
      </w:r>
      <w:r>
        <w:t xml:space="preserve"> they </w:t>
      </w:r>
      <w:r w:rsidR="00371698">
        <w:t>would</w:t>
      </w:r>
      <w:r>
        <w:t xml:space="preserve"> perceive </w:t>
      </w:r>
      <w:r w:rsidR="00371698">
        <w:t>that DELPHINE was being used as a trade mark or</w:t>
      </w:r>
      <w:r w:rsidR="002D46DD">
        <w:t xml:space="preserve"> as indicating </w:t>
      </w:r>
      <w:r w:rsidR="00371698">
        <w:t>the trade source of the swimwear.</w:t>
      </w:r>
      <w:r w:rsidR="004242C5" w:rsidRPr="004242C5">
        <w:t xml:space="preserve"> </w:t>
      </w:r>
    </w:p>
    <w:p w:rsidR="004518BD" w:rsidRDefault="002D46DD" w:rsidP="004518BD">
      <w:pPr>
        <w:pStyle w:val="ParaNumbering"/>
        <w:tabs>
          <w:tab w:val="num" w:pos="720"/>
        </w:tabs>
        <w:ind w:left="0"/>
      </w:pPr>
      <w:r>
        <w:t xml:space="preserve">While </w:t>
      </w:r>
      <w:r w:rsidR="004518BD">
        <w:t>different layers of marketing can distinguish goods in multiple ways, with different degrees of strength and subtlety</w:t>
      </w:r>
      <w:r>
        <w:t xml:space="preserve">, I consider it is unlikely that </w:t>
      </w:r>
      <w:r w:rsidR="00F64836">
        <w:t>consumers</w:t>
      </w:r>
      <w:r>
        <w:t xml:space="preserve"> would perceive </w:t>
      </w:r>
      <w:r w:rsidR="00F64836">
        <w:t>from the marketing on the TRIANGL website</w:t>
      </w:r>
      <w:r w:rsidR="00182AA8">
        <w:t xml:space="preserve"> or </w:t>
      </w:r>
      <w:r w:rsidR="00F64836">
        <w:t xml:space="preserve">in the EDMs </w:t>
      </w:r>
      <w:r w:rsidR="004518BD">
        <w:t>that DELPHINE</w:t>
      </w:r>
      <w:r w:rsidR="00182AA8">
        <w:t xml:space="preserve"> operated as </w:t>
      </w:r>
      <w:r w:rsidR="004518BD">
        <w:t>a sub-brand of Triangl</w:t>
      </w:r>
      <w:r w:rsidR="00F64836">
        <w:t xml:space="preserve"> or </w:t>
      </w:r>
      <w:r w:rsidR="004518BD">
        <w:t>as a badge of origin.</w:t>
      </w:r>
    </w:p>
    <w:p w:rsidR="00B65B83" w:rsidRDefault="007569DC" w:rsidP="00B65B83">
      <w:pPr>
        <w:pStyle w:val="ParaNumbering"/>
        <w:tabs>
          <w:tab w:val="num" w:pos="720"/>
        </w:tabs>
        <w:ind w:left="0"/>
      </w:pPr>
      <w:r w:rsidRPr="007569DC">
        <w:rPr>
          <w:i/>
        </w:rPr>
        <w:t>Third</w:t>
      </w:r>
      <w:r>
        <w:t>, I do not accept Pinnacle’s contention that</w:t>
      </w:r>
      <w:r w:rsidR="003F7D15">
        <w:t xml:space="preserve"> D</w:t>
      </w:r>
      <w:r w:rsidR="005E07B7">
        <w:t>ELPHINE</w:t>
      </w:r>
      <w:r w:rsidR="003F7D15">
        <w:t xml:space="preserve"> </w:t>
      </w:r>
      <w:r w:rsidR="00567D0D">
        <w:t>is</w:t>
      </w:r>
      <w:r w:rsidR="00B65B83">
        <w:t xml:space="preserve"> unusual or distinctive</w:t>
      </w:r>
      <w:r w:rsidR="003F7D15">
        <w:t xml:space="preserve"> </w:t>
      </w:r>
      <w:r w:rsidR="000727A7">
        <w:t xml:space="preserve">to the extent </w:t>
      </w:r>
      <w:r w:rsidR="003F7D15">
        <w:t>that</w:t>
      </w:r>
      <w:r w:rsidR="00567D0D">
        <w:t xml:space="preserve"> it is </w:t>
      </w:r>
      <w:r w:rsidR="003F7D15">
        <w:t xml:space="preserve">likely to be remembered by consumers and to develop a brand identity in </w:t>
      </w:r>
      <w:r w:rsidR="00567D0D">
        <w:t xml:space="preserve">its </w:t>
      </w:r>
      <w:r w:rsidR="003F7D15">
        <w:t>own right.</w:t>
      </w:r>
      <w:r w:rsidR="00313DEC">
        <w:t xml:space="preserve"> </w:t>
      </w:r>
      <w:r w:rsidR="00B65B83">
        <w:t xml:space="preserve"> </w:t>
      </w:r>
      <w:r w:rsidR="00916378" w:rsidRPr="00916378">
        <w:t>Mr Ellis</w:t>
      </w:r>
      <w:r w:rsidR="00182AA8">
        <w:t xml:space="preserve"> said and I accept </w:t>
      </w:r>
      <w:r w:rsidR="00916378" w:rsidRPr="00916378">
        <w:t xml:space="preserve">that </w:t>
      </w:r>
      <w:r w:rsidR="003F7D15">
        <w:t>style names do not matter</w:t>
      </w:r>
      <w:r w:rsidR="002D46DD">
        <w:t xml:space="preserve"> </w:t>
      </w:r>
      <w:r w:rsidR="00182AA8">
        <w:t xml:space="preserve">to Triangl </w:t>
      </w:r>
      <w:r w:rsidR="002D46DD">
        <w:t xml:space="preserve">and </w:t>
      </w:r>
      <w:r w:rsidR="003F7D15">
        <w:t xml:space="preserve">that they have no value to </w:t>
      </w:r>
      <w:r w:rsidR="00182AA8">
        <w:t>it</w:t>
      </w:r>
      <w:r w:rsidR="00916378" w:rsidRPr="00916378">
        <w:t>.</w:t>
      </w:r>
      <w:r w:rsidR="00916378">
        <w:t xml:space="preserve">  </w:t>
      </w:r>
      <w:r w:rsidR="003F7D15">
        <w:t>Mr Bucoy</w:t>
      </w:r>
      <w:r w:rsidR="002D46DD">
        <w:t xml:space="preserve"> </w:t>
      </w:r>
      <w:r w:rsidR="00182AA8">
        <w:t xml:space="preserve">also </w:t>
      </w:r>
      <w:r w:rsidR="002D46DD">
        <w:t xml:space="preserve">accepted </w:t>
      </w:r>
      <w:r w:rsidR="003F7D15">
        <w:t>that consumers do not remember style names and they only remember the head brand</w:t>
      </w:r>
      <w:r w:rsidR="0061355A">
        <w:t xml:space="preserve"> </w:t>
      </w:r>
      <w:r w:rsidR="006B2569">
        <w:t>or the website on which the product is sold</w:t>
      </w:r>
      <w:r w:rsidR="003F7D15">
        <w:t>.</w:t>
      </w:r>
      <w:r w:rsidR="00567D0D">
        <w:t xml:space="preserve"> </w:t>
      </w:r>
      <w:r w:rsidR="006B2569">
        <w:t xml:space="preserve"> </w:t>
      </w:r>
    </w:p>
    <w:p w:rsidR="004518BD" w:rsidRDefault="005E07B7" w:rsidP="00916378">
      <w:pPr>
        <w:pStyle w:val="ParaNumbering"/>
        <w:tabs>
          <w:tab w:val="num" w:pos="720"/>
        </w:tabs>
        <w:ind w:left="0"/>
      </w:pPr>
      <w:r>
        <w:t xml:space="preserve">While </w:t>
      </w:r>
      <w:r w:rsidR="004518BD">
        <w:t>I accept Pinnacle’s contention that</w:t>
      </w:r>
      <w:r w:rsidR="00BE397A">
        <w:t xml:space="preserve"> style names</w:t>
      </w:r>
      <w:r w:rsidR="004518BD">
        <w:t xml:space="preserve"> such as </w:t>
      </w:r>
      <w:r w:rsidR="004518BD" w:rsidRPr="00916378">
        <w:t>Mylos, Paxi, Myrina, Tilos, Idra, Skalia and Syros</w:t>
      </w:r>
      <w:r w:rsidR="004518BD">
        <w:t xml:space="preserve">, as used in </w:t>
      </w:r>
      <w:r w:rsidR="004518BD" w:rsidRPr="00916378">
        <w:t>Triangl’s most recent collection</w:t>
      </w:r>
      <w:r w:rsidR="004518BD">
        <w:t>,</w:t>
      </w:r>
      <w:r w:rsidR="002D46DD">
        <w:t xml:space="preserve"> would be perceived by Australian consumers as </w:t>
      </w:r>
      <w:r w:rsidR="004518BD">
        <w:t>unusual that</w:t>
      </w:r>
      <w:r w:rsidR="00D82A00">
        <w:t>,</w:t>
      </w:r>
      <w:r w:rsidR="004518BD">
        <w:t xml:space="preserve"> </w:t>
      </w:r>
      <w:r w:rsidR="00D82A00">
        <w:t xml:space="preserve">in </w:t>
      </w:r>
      <w:r w:rsidR="002D46DD">
        <w:t xml:space="preserve">and </w:t>
      </w:r>
      <w:r w:rsidR="00D82A00">
        <w:t xml:space="preserve">of itself, </w:t>
      </w:r>
      <w:r w:rsidR="004518BD">
        <w:t xml:space="preserve">does not show that they are likely to be </w:t>
      </w:r>
      <w:r w:rsidR="002D46DD">
        <w:t xml:space="preserve">seen as distinctive or </w:t>
      </w:r>
      <w:r w:rsidR="004518BD">
        <w:t>remembered by</w:t>
      </w:r>
      <w:r w:rsidR="002D46DD">
        <w:t xml:space="preserve"> them</w:t>
      </w:r>
      <w:r w:rsidR="004518BD" w:rsidRPr="00916378">
        <w:t>.</w:t>
      </w:r>
      <w:r w:rsidR="004518BD">
        <w:t xml:space="preserve">  </w:t>
      </w:r>
      <w:r w:rsidR="00E8059F">
        <w:t>W</w:t>
      </w:r>
      <w:r w:rsidR="004518BD">
        <w:t xml:space="preserve">hile consumers are likely to find it easy to recollect that these names have a Greek flavour, perhaps bringing to mind </w:t>
      </w:r>
      <w:r w:rsidR="004518BD" w:rsidRPr="00916378">
        <w:t xml:space="preserve">the attractiveness of sundrenched </w:t>
      </w:r>
      <w:r w:rsidR="004518BD">
        <w:lastRenderedPageBreak/>
        <w:t xml:space="preserve">Greek islands and </w:t>
      </w:r>
      <w:r w:rsidR="004518BD" w:rsidRPr="00916378">
        <w:t>Mediterranean beaches</w:t>
      </w:r>
      <w:r w:rsidR="004518BD">
        <w:t>, I doubt that they would readily remember the names themselves</w:t>
      </w:r>
      <w:r w:rsidR="00BA4682">
        <w:t xml:space="preserve"> or that they operate as sub-</w:t>
      </w:r>
      <w:r>
        <w:t>brands</w:t>
      </w:r>
      <w:r w:rsidR="004518BD">
        <w:t xml:space="preserve">.  </w:t>
      </w:r>
    </w:p>
    <w:p w:rsidR="00B65B83" w:rsidRDefault="00567D0D" w:rsidP="00DB4375">
      <w:pPr>
        <w:pStyle w:val="ParaNumbering"/>
        <w:tabs>
          <w:tab w:val="num" w:pos="720"/>
        </w:tabs>
        <w:ind w:left="0"/>
      </w:pPr>
      <w:r>
        <w:t>Nor does</w:t>
      </w:r>
      <w:r w:rsidR="004518BD">
        <w:t xml:space="preserve"> Pinnacle's contention regarding unusual </w:t>
      </w:r>
      <w:r>
        <w:t>style names</w:t>
      </w:r>
      <w:r w:rsidR="004518BD">
        <w:t xml:space="preserve"> such as</w:t>
      </w:r>
      <w:r>
        <w:t xml:space="preserve"> </w:t>
      </w:r>
      <w:r w:rsidR="004518BD" w:rsidRPr="00916378">
        <w:t>Mylos, Paxi, Myrina, Tilos, Idra, Skalia and Syros</w:t>
      </w:r>
      <w:r w:rsidR="004518BD">
        <w:t xml:space="preserve"> </w:t>
      </w:r>
      <w:r>
        <w:t>provide much assistance</w:t>
      </w:r>
      <w:r w:rsidR="00E8059F">
        <w:t xml:space="preserve"> for its case </w:t>
      </w:r>
      <w:r>
        <w:t xml:space="preserve">in relation to a </w:t>
      </w:r>
      <w:r w:rsidR="0051073D">
        <w:t>less exotic</w:t>
      </w:r>
      <w:r w:rsidR="004518BD">
        <w:t xml:space="preserve"> </w:t>
      </w:r>
      <w:r>
        <w:t>name like Delphine.</w:t>
      </w:r>
      <w:r w:rsidR="00393767">
        <w:t xml:space="preserve"> </w:t>
      </w:r>
      <w:r>
        <w:t xml:space="preserve"> </w:t>
      </w:r>
      <w:r w:rsidR="005E07B7">
        <w:t>Triangl used many style names which can fairly be described as ordinary and not distinctive, for example:</w:t>
      </w:r>
      <w:r w:rsidR="005E07B7" w:rsidRPr="0069791B">
        <w:t xml:space="preserve"> </w:t>
      </w:r>
      <w:r w:rsidR="005E07B7">
        <w:t>Poppy; Farrah; Delilah; Jean; Elle; Camille;</w:t>
      </w:r>
      <w:r w:rsidR="005E07B7" w:rsidRPr="00567D0D">
        <w:rPr>
          <w:spacing w:val="-18"/>
        </w:rPr>
        <w:t xml:space="preserve"> </w:t>
      </w:r>
      <w:r w:rsidR="005E07B7">
        <w:t>Elisa; Cassie; Abbey; Grace; Kayla; Becca; Bianca; Cora; Mimi; Cindy; Gemma; Milly; Lily; Lulu; Brigitte; Patti; Bella; Heidi; Remy; Estella; Yasmin; Isabel; Nicola; Lana; Petra; Mia; Sophia; Chantelle; Leah; Rochelle; Faye; Nadia; Penelope; Talia; and Candice.  I do not accept that Triangl</w:t>
      </w:r>
      <w:r w:rsidR="00182AA8">
        <w:t xml:space="preserve"> tried </w:t>
      </w:r>
      <w:r w:rsidR="005E07B7">
        <w:t xml:space="preserve">to use style names for the purpose of seeking to develop a brand identity in the use of those names.  </w:t>
      </w:r>
      <w:r>
        <w:t>In the context that</w:t>
      </w:r>
      <w:r w:rsidR="003A5E8C">
        <w:t>,</w:t>
      </w:r>
      <w:r>
        <w:t xml:space="preserve"> </w:t>
      </w:r>
      <w:r w:rsidR="007E29D9">
        <w:t>up to and including the relevant period</w:t>
      </w:r>
      <w:r w:rsidR="003A5E8C">
        <w:t>,</w:t>
      </w:r>
      <w:r w:rsidR="007E29D9">
        <w:t xml:space="preserve"> Australian consumers were used to seeing </w:t>
      </w:r>
      <w:r>
        <w:t>women’s names</w:t>
      </w:r>
      <w:r w:rsidR="004518BD">
        <w:t xml:space="preserve"> </w:t>
      </w:r>
      <w:r>
        <w:t>used as style names</w:t>
      </w:r>
      <w:r w:rsidR="007E29D9">
        <w:t xml:space="preserve"> in relation to </w:t>
      </w:r>
      <w:r>
        <w:t xml:space="preserve">women’s fashion </w:t>
      </w:r>
      <w:r w:rsidR="007E29D9">
        <w:t>garments and swimwear</w:t>
      </w:r>
      <w:r>
        <w:t>, I do not consider</w:t>
      </w:r>
      <w:r w:rsidR="004518BD">
        <w:t xml:space="preserve"> that </w:t>
      </w:r>
      <w:r w:rsidR="007E29D9">
        <w:t xml:space="preserve">the </w:t>
      </w:r>
      <w:r w:rsidR="00393767">
        <w:t>name</w:t>
      </w:r>
      <w:r w:rsidR="007E29D9">
        <w:t xml:space="preserve"> Delphine is so </w:t>
      </w:r>
      <w:r>
        <w:t>unusual or distinctive that</w:t>
      </w:r>
      <w:r w:rsidR="00617FD0">
        <w:t xml:space="preserve"> </w:t>
      </w:r>
      <w:r>
        <w:t>consumers</w:t>
      </w:r>
      <w:r w:rsidR="00617FD0">
        <w:t xml:space="preserve"> are likely to </w:t>
      </w:r>
      <w:r>
        <w:t>perceive</w:t>
      </w:r>
      <w:r w:rsidR="00182AA8">
        <w:t xml:space="preserve"> that it operated as </w:t>
      </w:r>
      <w:r>
        <w:t>a sub-brand of Triangl.</w:t>
      </w:r>
      <w:r w:rsidR="00393767" w:rsidRPr="00393767">
        <w:t xml:space="preserve"> </w:t>
      </w:r>
      <w:r>
        <w:t xml:space="preserve"> </w:t>
      </w:r>
    </w:p>
    <w:p w:rsidR="00083775" w:rsidRDefault="00083775" w:rsidP="00083775">
      <w:pPr>
        <w:pStyle w:val="ParaNumbering"/>
        <w:tabs>
          <w:tab w:val="num" w:pos="720"/>
        </w:tabs>
        <w:ind w:left="0"/>
      </w:pPr>
      <w:r>
        <w:rPr>
          <w:i/>
        </w:rPr>
        <w:t>Fourth</w:t>
      </w:r>
      <w:r>
        <w:t>, Pinnacle</w:t>
      </w:r>
      <w:r w:rsidR="007E29D9">
        <w:t xml:space="preserve"> was wrong in submitting </w:t>
      </w:r>
      <w:r>
        <w:t>that Mr Saunders</w:t>
      </w:r>
      <w:r w:rsidR="007E29D9">
        <w:t xml:space="preserve"> said </w:t>
      </w:r>
      <w:r>
        <w:t>that Triangl’s use of</w:t>
      </w:r>
      <w:r w:rsidRPr="00CA14CF">
        <w:t xml:space="preserve"> </w:t>
      </w:r>
      <w:r>
        <w:t>DELPHINE was likely to be perceived by consumers as distinguishing its goods from those of other traders.</w:t>
      </w:r>
      <w:r w:rsidR="007E29D9">
        <w:t xml:space="preserve">  For this submission</w:t>
      </w:r>
      <w:r w:rsidR="0051073D">
        <w:t>,</w:t>
      </w:r>
      <w:r w:rsidR="007E29D9">
        <w:t xml:space="preserve"> Pinnacle </w:t>
      </w:r>
      <w:r>
        <w:t xml:space="preserve">relied on </w:t>
      </w:r>
      <w:r w:rsidR="009B0C54">
        <w:t>a</w:t>
      </w:r>
      <w:r>
        <w:t xml:space="preserve"> passage of cross</w:t>
      </w:r>
      <w:r w:rsidR="008118D9">
        <w:t>-</w:t>
      </w:r>
      <w:r>
        <w:t>examination in which Mr Saunders was taken to two TRIANGL Facebook pages.  One showed a picture of a young woman wearing a Triangl bikini, above which appeared the words:</w:t>
      </w:r>
    </w:p>
    <w:p w:rsidR="00083775" w:rsidRDefault="00083775" w:rsidP="00083775">
      <w:pPr>
        <w:pStyle w:val="Quote1"/>
      </w:pPr>
      <w:r>
        <w:t>DELPHINE</w:t>
      </w:r>
    </w:p>
    <w:p w:rsidR="00083775" w:rsidRDefault="00083775" w:rsidP="00083775">
      <w:pPr>
        <w:pStyle w:val="Quote1"/>
      </w:pPr>
      <w:r>
        <w:t>Nadia Rosa wearing ‘Fiore Nero’</w:t>
      </w:r>
    </w:p>
    <w:p w:rsidR="00083775" w:rsidRDefault="00083775" w:rsidP="003C3980">
      <w:pPr>
        <w:pStyle w:val="Quote1"/>
        <w:spacing w:after="240"/>
      </w:pPr>
      <w:r>
        <w:t>#trianglgirls @nadsirose</w:t>
      </w:r>
    </w:p>
    <w:p w:rsidR="00083775" w:rsidRDefault="00083775" w:rsidP="00083775">
      <w:pPr>
        <w:pStyle w:val="NoNum"/>
      </w:pPr>
      <w:r>
        <w:t>The other showed another picture of a young woman wearing a Triangl bikini above which appeared the words:</w:t>
      </w:r>
      <w:r w:rsidRPr="002165E7">
        <w:t xml:space="preserve"> </w:t>
      </w:r>
    </w:p>
    <w:p w:rsidR="00083775" w:rsidRDefault="00083775" w:rsidP="00083775">
      <w:pPr>
        <w:pStyle w:val="Quote1"/>
      </w:pPr>
      <w:r>
        <w:t>The DELPHINE</w:t>
      </w:r>
    </w:p>
    <w:p w:rsidR="00083775" w:rsidRDefault="00083775" w:rsidP="00083775">
      <w:pPr>
        <w:pStyle w:val="Quote1"/>
      </w:pPr>
      <w:r>
        <w:t>Shoot day with #trianglgirl @meganbethi</w:t>
      </w:r>
    </w:p>
    <w:p w:rsidR="00083775" w:rsidRDefault="00083775" w:rsidP="003C3980">
      <w:pPr>
        <w:pStyle w:val="Quote1"/>
        <w:spacing w:after="240"/>
      </w:pPr>
      <w:r>
        <w:t>Megan wears ‘Fiore Gallo’</w:t>
      </w:r>
    </w:p>
    <w:p w:rsidR="00083775" w:rsidRDefault="00083775" w:rsidP="00083775">
      <w:pPr>
        <w:pStyle w:val="NoNum"/>
      </w:pPr>
      <w:r>
        <w:t>Mr Saunders accepted</w:t>
      </w:r>
      <w:r w:rsidRPr="001C4F12">
        <w:t xml:space="preserve"> </w:t>
      </w:r>
      <w:r>
        <w:t>that the word</w:t>
      </w:r>
      <w:r w:rsidRPr="00C31506">
        <w:t xml:space="preserve"> </w:t>
      </w:r>
      <w:r>
        <w:t xml:space="preserve">DELPHINE page was capitalised so as “to emphasise the name of that </w:t>
      </w:r>
      <w:r w:rsidRPr="007630A9">
        <w:t>product</w:t>
      </w:r>
      <w:r>
        <w:t xml:space="preserve"> coming from Triangl” and “to suggest that it is a unique product to Triangl”</w:t>
      </w:r>
      <w:r w:rsidR="007E29D9">
        <w:t>.  He accepted that</w:t>
      </w:r>
      <w:r>
        <w:t xml:space="preserve"> the use of </w:t>
      </w:r>
      <w:r w:rsidR="007E29D9">
        <w:t xml:space="preserve">“The </w:t>
      </w:r>
      <w:r>
        <w:t>DELPHINE</w:t>
      </w:r>
      <w:r w:rsidR="007E29D9">
        <w:t>”</w:t>
      </w:r>
      <w:r>
        <w:t xml:space="preserve"> emphasised that the bikini was a </w:t>
      </w:r>
      <w:r>
        <w:lastRenderedPageBreak/>
        <w:t xml:space="preserve">“singular or distinct </w:t>
      </w:r>
      <w:r w:rsidRPr="007630A9">
        <w:t>item</w:t>
      </w:r>
      <w:r>
        <w:t xml:space="preserve"> identifiable as the Delphine” and that it came from and was unique to</w:t>
      </w:r>
      <w:r w:rsidRPr="00C31506">
        <w:t xml:space="preserve"> </w:t>
      </w:r>
      <w:r>
        <w:t>Triangl.</w:t>
      </w:r>
      <w:r w:rsidRPr="002165E7">
        <w:t xml:space="preserve"> </w:t>
      </w:r>
    </w:p>
    <w:p w:rsidR="00083775" w:rsidRDefault="007E29D9" w:rsidP="00083775">
      <w:pPr>
        <w:pStyle w:val="ParaNumbering"/>
        <w:tabs>
          <w:tab w:val="num" w:pos="720"/>
        </w:tabs>
        <w:ind w:left="0"/>
      </w:pPr>
      <w:r>
        <w:t xml:space="preserve">I do not consider </w:t>
      </w:r>
      <w:r w:rsidR="005E07B7">
        <w:t xml:space="preserve">that </w:t>
      </w:r>
      <w:r>
        <w:t xml:space="preserve">exchange has </w:t>
      </w:r>
      <w:r w:rsidR="00083775">
        <w:t>the significance which Pinnacle sought to give it.  Having regard to the totality of his evidence</w:t>
      </w:r>
      <w:r w:rsidR="00D82A00">
        <w:t>, it is clear that</w:t>
      </w:r>
      <w:r w:rsidR="00083775">
        <w:t xml:space="preserve"> Mr Saunders meant only that consumers were likely to think that the </w:t>
      </w:r>
      <w:r w:rsidR="00AE6CAD">
        <w:t>Triangl DELPHINE</w:t>
      </w:r>
      <w:r w:rsidR="00083775">
        <w:t xml:space="preserve"> bikinis were unique to</w:t>
      </w:r>
      <w:r w:rsidR="00083775" w:rsidRPr="007630A9">
        <w:t xml:space="preserve"> </w:t>
      </w:r>
      <w:r w:rsidR="00083775">
        <w:t xml:space="preserve">Triangl.  He did not say that consumers were likely to think that the name DELPHINE was unique to Triangl, such that it indicated the trade source of the bikinis. </w:t>
      </w:r>
      <w:r w:rsidR="00083775" w:rsidRPr="001A00C4">
        <w:t xml:space="preserve"> </w:t>
      </w:r>
      <w:r w:rsidR="00083775">
        <w:t xml:space="preserve">Whether consumers are likely to perceive the </w:t>
      </w:r>
      <w:r w:rsidR="00AE6CAD">
        <w:t>Triangl DELPHINE</w:t>
      </w:r>
      <w:r w:rsidR="00083775">
        <w:t xml:space="preserve"> bikinis as </w:t>
      </w:r>
      <w:r w:rsidR="00D82A00">
        <w:t xml:space="preserve">being </w:t>
      </w:r>
      <w:r w:rsidR="00083775">
        <w:t>unique to Triangl is not</w:t>
      </w:r>
      <w:r w:rsidR="00D82A00">
        <w:t xml:space="preserve"> the relevant enquiry</w:t>
      </w:r>
      <w:r w:rsidR="00083775">
        <w:t xml:space="preserve">.  </w:t>
      </w:r>
      <w:r w:rsidR="00D82A00">
        <w:t xml:space="preserve">The question </w:t>
      </w:r>
      <w:r w:rsidR="00083775">
        <w:t>is whether consumers</w:t>
      </w:r>
      <w:r w:rsidR="003A5E8C">
        <w:t xml:space="preserve"> are likely to have </w:t>
      </w:r>
      <w:r w:rsidR="00083775">
        <w:t>perceive</w:t>
      </w:r>
      <w:r w:rsidR="003A5E8C">
        <w:t>d</w:t>
      </w:r>
      <w:r w:rsidR="00083775">
        <w:t xml:space="preserve"> that </w:t>
      </w:r>
      <w:r w:rsidR="00D63BCA">
        <w:t xml:space="preserve">the name </w:t>
      </w:r>
      <w:r w:rsidR="00083775" w:rsidRPr="00BB1446">
        <w:t>DELPHINE</w:t>
      </w:r>
      <w:r>
        <w:t xml:space="preserve"> was being used </w:t>
      </w:r>
      <w:r w:rsidR="00083775">
        <w:t>to indicate the trade origin of the goods.</w:t>
      </w:r>
      <w:r w:rsidR="00294124">
        <w:t xml:space="preserve"> </w:t>
      </w:r>
      <w:r w:rsidR="00182AA8">
        <w:t xml:space="preserve"> I note also that </w:t>
      </w:r>
      <w:r w:rsidR="00083775">
        <w:t>Pinnacle did not rely upon</w:t>
      </w:r>
      <w:r>
        <w:t xml:space="preserve"> these </w:t>
      </w:r>
      <w:r w:rsidR="00083775">
        <w:t>Facebook</w:t>
      </w:r>
      <w:r>
        <w:t xml:space="preserve"> pages </w:t>
      </w:r>
      <w:r w:rsidR="00083775">
        <w:t xml:space="preserve">to establish </w:t>
      </w:r>
      <w:r>
        <w:t xml:space="preserve">the alleged </w:t>
      </w:r>
      <w:r w:rsidR="00083775">
        <w:t>trade mark infringement</w:t>
      </w:r>
      <w:r>
        <w:t>.</w:t>
      </w:r>
      <w:r w:rsidR="00EF5977">
        <w:t xml:space="preserve"> </w:t>
      </w:r>
      <w:r>
        <w:t xml:space="preserve"> It </w:t>
      </w:r>
      <w:r w:rsidR="00083775">
        <w:t xml:space="preserve">only relied on it as part of the context in which consumers viewed the impugned TRIANGL website and EDMs. </w:t>
      </w:r>
    </w:p>
    <w:p w:rsidR="007E29D9" w:rsidRDefault="009B0C54" w:rsidP="007E29D9">
      <w:pPr>
        <w:pStyle w:val="ParaNumbering"/>
        <w:tabs>
          <w:tab w:val="num" w:pos="720"/>
        </w:tabs>
        <w:ind w:left="0"/>
      </w:pPr>
      <w:r w:rsidRPr="00D82A00">
        <w:rPr>
          <w:i/>
        </w:rPr>
        <w:t>Fifth</w:t>
      </w:r>
      <w:r w:rsidR="00B37A32">
        <w:t>,</w:t>
      </w:r>
      <w:r w:rsidR="00B37A32" w:rsidRPr="00B37A32">
        <w:rPr>
          <w:i/>
        </w:rPr>
        <w:t xml:space="preserve"> </w:t>
      </w:r>
      <w:r w:rsidR="007E29D9">
        <w:t>I do not accept Dr Downes’ opinion that consumers are likely to perceive the use of DELPHINE on</w:t>
      </w:r>
      <w:r w:rsidR="007E29D9" w:rsidRPr="0012071C">
        <w:t xml:space="preserve"> </w:t>
      </w:r>
      <w:r w:rsidR="007E29D9">
        <w:t xml:space="preserve">Triangl’s website and in its EDMs as indicating that DELPHINE is a sub brand of the TRIANGL head brand. </w:t>
      </w:r>
    </w:p>
    <w:p w:rsidR="00182AA8" w:rsidRDefault="00182AA8" w:rsidP="00182AA8">
      <w:pPr>
        <w:pStyle w:val="ParaNumbering"/>
        <w:tabs>
          <w:tab w:val="num" w:pos="720"/>
        </w:tabs>
        <w:ind w:left="0"/>
      </w:pPr>
      <w:r>
        <w:t>I accept that Dr Downes is a well-qualified marketing and branding expert and I consider that he tried to assist the Court in his evidence.</w:t>
      </w:r>
      <w:r w:rsidR="00294124">
        <w:t xml:space="preserve"> </w:t>
      </w:r>
      <w:r>
        <w:t xml:space="preserve"> However, </w:t>
      </w:r>
      <w:r w:rsidRPr="00872FED">
        <w:t xml:space="preserve">in some </w:t>
      </w:r>
      <w:r>
        <w:t xml:space="preserve">important </w:t>
      </w:r>
      <w:r w:rsidRPr="00872FED">
        <w:t xml:space="preserve">respects </w:t>
      </w:r>
      <w:r>
        <w:t xml:space="preserve">I found </w:t>
      </w:r>
      <w:r w:rsidRPr="00872FED">
        <w:t>his</w:t>
      </w:r>
      <w:r>
        <w:t xml:space="preserve"> evidence to be </w:t>
      </w:r>
      <w:r w:rsidRPr="00872FED">
        <w:t>unclear</w:t>
      </w:r>
      <w:r>
        <w:t xml:space="preserve"> and sometimes his evidence appeared to shift. </w:t>
      </w:r>
      <w:r w:rsidR="00294124">
        <w:t xml:space="preserve"> </w:t>
      </w:r>
      <w:r>
        <w:t xml:space="preserve">I also found that his opinion did not sit well with some other evidence which I have accepted.  Unlike Mr Saunders, Dr Downes does not have any direct experience in the marketing of women’s fashion or in how consumers of women’s fashion understand such marketing, and he </w:t>
      </w:r>
      <w:r w:rsidRPr="00872FED">
        <w:t xml:space="preserve">accepted that his opinion </w:t>
      </w:r>
      <w:r>
        <w:t xml:space="preserve">as to how consumers are likely to respond to the marketing of women’s fashion </w:t>
      </w:r>
      <w:r w:rsidRPr="00872FED">
        <w:t>was based on general principles of marketing and of consumer behaviour, and his understanding of brands across a broad spectrum.</w:t>
      </w:r>
      <w:r w:rsidRPr="00872FED">
        <w:rPr>
          <w:rStyle w:val="CommentReference"/>
        </w:rPr>
        <w:t xml:space="preserve"> </w:t>
      </w:r>
      <w:r w:rsidRPr="00042923">
        <w:t xml:space="preserve"> </w:t>
      </w:r>
      <w:r>
        <w:t xml:space="preserve"> In the finish, I concluded that his opinion was insufficiently rooted in the reality of the marketing of women’s fashion. </w:t>
      </w:r>
    </w:p>
    <w:p w:rsidR="00EC764C" w:rsidRDefault="00EC764C" w:rsidP="00EC764C">
      <w:pPr>
        <w:pStyle w:val="ParaNumbering"/>
        <w:tabs>
          <w:tab w:val="num" w:pos="720"/>
        </w:tabs>
        <w:ind w:left="0"/>
      </w:pPr>
      <w:r>
        <w:t>Mr Saunders does not have Dr Downes’ academic qualifications, but he has a great deal of experience working in and around the women’s fashion sector, and he has been directly involved in marketing women’s fashion for a range of well-known Australian and international fashion brands.  He gave clear evidence based upon his lengthy experience, his evidence did not shift, and I found his opinion to be more compatible with other evidence which I have accepted.  I prefer his opinion to that of Dr Downes.</w:t>
      </w:r>
      <w:r w:rsidRPr="00042923">
        <w:t xml:space="preserve"> </w:t>
      </w:r>
    </w:p>
    <w:p w:rsidR="00F64836" w:rsidRDefault="00617FD0" w:rsidP="00D82A00">
      <w:pPr>
        <w:pStyle w:val="ParaNumbering"/>
        <w:tabs>
          <w:tab w:val="num" w:pos="720"/>
        </w:tabs>
        <w:ind w:left="0"/>
      </w:pPr>
      <w:r>
        <w:lastRenderedPageBreak/>
        <w:t>In his first report</w:t>
      </w:r>
      <w:r w:rsidR="007E29D9">
        <w:t xml:space="preserve"> Dr Downes </w:t>
      </w:r>
      <w:r>
        <w:t>said</w:t>
      </w:r>
      <w:r w:rsidR="00F64836">
        <w:t>:</w:t>
      </w:r>
    </w:p>
    <w:p w:rsidR="00F64836" w:rsidRDefault="00F64836" w:rsidP="003C3980">
      <w:pPr>
        <w:pStyle w:val="Quote1"/>
        <w:spacing w:after="240"/>
      </w:pPr>
      <w:r>
        <w:t>…</w:t>
      </w:r>
      <w:r w:rsidR="00617FD0">
        <w:t>in my opinion an ordinary Australian consumer is very likely to perceive</w:t>
      </w:r>
      <w:r w:rsidR="00B37A32" w:rsidRPr="00AF72BA">
        <w:t xml:space="preserve"> </w:t>
      </w:r>
      <w:r w:rsidR="00B37A32">
        <w:t xml:space="preserve">DELPHINE </w:t>
      </w:r>
      <w:r w:rsidR="00617FD0">
        <w:t xml:space="preserve">to be a brand or sub-brand of the TRIANGL brand and hence of the TRIANGL group.  </w:t>
      </w:r>
    </w:p>
    <w:p w:rsidR="00F64836" w:rsidRDefault="00617FD0" w:rsidP="00943708">
      <w:pPr>
        <w:pStyle w:val="NoNum"/>
      </w:pPr>
      <w:r>
        <w:t>He said further that</w:t>
      </w:r>
      <w:r w:rsidR="00F64836">
        <w:t>:</w:t>
      </w:r>
    </w:p>
    <w:p w:rsidR="00BA4682" w:rsidRDefault="00F64836" w:rsidP="003C3980">
      <w:pPr>
        <w:pStyle w:val="Quote1"/>
        <w:spacing w:after="240"/>
      </w:pPr>
      <w:r>
        <w:t>T</w:t>
      </w:r>
      <w:r w:rsidR="00617FD0">
        <w:t>he word</w:t>
      </w:r>
      <w:r w:rsidR="00617FD0" w:rsidRPr="00617FD0">
        <w:t xml:space="preserve"> </w:t>
      </w:r>
      <w:r w:rsidR="00617FD0">
        <w:t xml:space="preserve">DELPHINE is likely to be regarded by most Australian consumers as a specific name, possibly a feminine given name, applied to one or more models of swimwear products or a range of swimwear </w:t>
      </w:r>
      <w:r w:rsidR="00B37A32" w:rsidRPr="00F173A3">
        <w:rPr>
          <w:i/>
        </w:rPr>
        <w:t>with the effect of distinguishing it from other models or ranges of products offered</w:t>
      </w:r>
      <w:r w:rsidR="00B37A32">
        <w:t xml:space="preserve"> </w:t>
      </w:r>
      <w:r w:rsidR="00B37A32" w:rsidRPr="00A626EF">
        <w:rPr>
          <w:i/>
        </w:rPr>
        <w:t>under the overall TRIANGL name</w:t>
      </w:r>
      <w:r>
        <w:t>.</w:t>
      </w:r>
      <w:r w:rsidR="00B37A32">
        <w:t xml:space="preserve"> </w:t>
      </w:r>
    </w:p>
    <w:p w:rsidR="00F64836" w:rsidRDefault="00B37A32" w:rsidP="003C3980">
      <w:pPr>
        <w:pStyle w:val="Quote1"/>
        <w:spacing w:after="240"/>
      </w:pPr>
      <w:r>
        <w:t>(</w:t>
      </w:r>
      <w:r w:rsidR="00BA4682">
        <w:t>E</w:t>
      </w:r>
      <w:r>
        <w:t>mphasis added</w:t>
      </w:r>
      <w:r w:rsidR="00BA4682">
        <w:t>.</w:t>
      </w:r>
      <w:r>
        <w:t xml:space="preserve">)  </w:t>
      </w:r>
    </w:p>
    <w:p w:rsidR="00B37A32" w:rsidRDefault="00F64836" w:rsidP="00943708">
      <w:pPr>
        <w:pStyle w:val="NoNum"/>
      </w:pPr>
      <w:r>
        <w:t xml:space="preserve">In oral evidence </w:t>
      </w:r>
      <w:r w:rsidR="0046555A">
        <w:t>h</w:t>
      </w:r>
      <w:r w:rsidR="00B37A32">
        <w:t>e</w:t>
      </w:r>
      <w:r>
        <w:t xml:space="preserve"> said </w:t>
      </w:r>
      <w:r w:rsidR="00B37A32">
        <w:t xml:space="preserve">that the name DELPHINE acted as a brand identity element because it allowed consumers to differentiate </w:t>
      </w:r>
      <w:r w:rsidR="00B37A32" w:rsidRPr="00A626EF">
        <w:rPr>
          <w:i/>
        </w:rPr>
        <w:t>within</w:t>
      </w:r>
      <w:r w:rsidR="00B37A32">
        <w:t xml:space="preserve"> the TRIANGL brand</w:t>
      </w:r>
      <w:r w:rsidR="00A2602B">
        <w:t xml:space="preserve">.  </w:t>
      </w:r>
      <w:r w:rsidR="006447CA">
        <w:t>T</w:t>
      </w:r>
      <w:r w:rsidR="00A2602B">
        <w:t xml:space="preserve">hat tends to </w:t>
      </w:r>
      <w:r w:rsidR="00083775">
        <w:t>undermine the proposition that Triangl’s use of DELPHINE was such that consumers would perceive DELPHINE to be a sub-brand of Triangl</w:t>
      </w:r>
      <w:r w:rsidR="00B37A32">
        <w:t>.</w:t>
      </w:r>
    </w:p>
    <w:p w:rsidR="00BE23A1" w:rsidRPr="00A07F76" w:rsidRDefault="008C788F" w:rsidP="00CA7DF8">
      <w:pPr>
        <w:pStyle w:val="ParaNumbering"/>
        <w:tabs>
          <w:tab w:val="num" w:pos="720"/>
        </w:tabs>
        <w:ind w:left="0"/>
      </w:pPr>
      <w:r w:rsidRPr="00A07F76">
        <w:t xml:space="preserve">An </w:t>
      </w:r>
      <w:r w:rsidR="002109A4" w:rsidRPr="00A07F76">
        <w:t xml:space="preserve">example </w:t>
      </w:r>
      <w:r w:rsidR="00010F5F" w:rsidRPr="00A07F76">
        <w:t xml:space="preserve">of </w:t>
      </w:r>
      <w:r w:rsidR="002109A4" w:rsidRPr="00A07F76">
        <w:t xml:space="preserve">where </w:t>
      </w:r>
      <w:r w:rsidR="00BE23A1" w:rsidRPr="00A07F76">
        <w:t>Dr Downes</w:t>
      </w:r>
      <w:r w:rsidR="00ED3392" w:rsidRPr="00A07F76">
        <w:t>’ evidence appeared to shift</w:t>
      </w:r>
      <w:r w:rsidR="002B57BE" w:rsidRPr="00A07F76">
        <w:t xml:space="preserve"> is </w:t>
      </w:r>
      <w:r w:rsidR="00BE23A1" w:rsidRPr="00A07F76">
        <w:t xml:space="preserve">when he was taken </w:t>
      </w:r>
      <w:r w:rsidR="00AF4593" w:rsidRPr="00A07F76">
        <w:t>in cross</w:t>
      </w:r>
      <w:r w:rsidR="008118D9" w:rsidRPr="00A07F76">
        <w:t>-</w:t>
      </w:r>
      <w:r w:rsidR="00AF4593" w:rsidRPr="00A07F76">
        <w:t xml:space="preserve">examination to some </w:t>
      </w:r>
      <w:r w:rsidR="00BE23A1" w:rsidRPr="00A07F76">
        <w:t xml:space="preserve">pages of </w:t>
      </w:r>
      <w:r w:rsidRPr="00A07F76">
        <w:t xml:space="preserve">Triangl’s </w:t>
      </w:r>
      <w:r w:rsidR="00BE23A1" w:rsidRPr="00A07F76">
        <w:t>press pack</w:t>
      </w:r>
      <w:r w:rsidRPr="00A07F76">
        <w:t xml:space="preserve"> promoting </w:t>
      </w:r>
      <w:r w:rsidR="00BE23A1" w:rsidRPr="00A07F76">
        <w:t xml:space="preserve">the four </w:t>
      </w:r>
      <w:r w:rsidRPr="00A07F76">
        <w:t xml:space="preserve">new </w:t>
      </w:r>
      <w:r w:rsidR="00BE23A1" w:rsidRPr="00A07F76">
        <w:t>bikini styles launched in Triangl’s Spring/Summer 2016 campaign</w:t>
      </w:r>
      <w:r w:rsidR="00AF4593" w:rsidRPr="00A07F76">
        <w:t xml:space="preserve"> (</w:t>
      </w:r>
      <w:r w:rsidRPr="00A07F76">
        <w:t xml:space="preserve">part of which can be seen </w:t>
      </w:r>
      <w:r w:rsidR="00AF4593" w:rsidRPr="00A07F76">
        <w:t>at [</w:t>
      </w:r>
      <w:r w:rsidR="00A2602B" w:rsidRPr="00A07F76">
        <w:t>66</w:t>
      </w:r>
      <w:r w:rsidR="00AF4593" w:rsidRPr="00A07F76">
        <w:t xml:space="preserve">] above).  </w:t>
      </w:r>
      <w:r w:rsidR="00BE23A1" w:rsidRPr="00A07F76">
        <w:t>Senior Counsel for Triangl</w:t>
      </w:r>
      <w:r w:rsidR="00DB4375" w:rsidRPr="00A07F76">
        <w:t xml:space="preserve"> asked </w:t>
      </w:r>
      <w:r w:rsidR="00BE23A1" w:rsidRPr="00A07F76">
        <w:t>Dr Downes to accept that</w:t>
      </w:r>
      <w:r w:rsidR="00DB4375" w:rsidRPr="00A07F76">
        <w:t xml:space="preserve"> the press pack </w:t>
      </w:r>
      <w:r w:rsidR="00BE23A1" w:rsidRPr="00A07F76">
        <w:t>showed a range of bikinis, each with wom</w:t>
      </w:r>
      <w:r w:rsidR="00291ADF" w:rsidRPr="00A07F76">
        <w:t>e</w:t>
      </w:r>
      <w:r w:rsidR="00BE23A1" w:rsidRPr="00A07F76">
        <w:t>n’s name</w:t>
      </w:r>
      <w:r w:rsidR="002B57BE" w:rsidRPr="00A07F76">
        <w:t>s</w:t>
      </w:r>
      <w:r w:rsidR="00BE23A1" w:rsidRPr="00A07F76">
        <w:t xml:space="preserve"> as the first reference followed by another word which was possibly evocative of an aspect of the bikini.  </w:t>
      </w:r>
      <w:r w:rsidR="00DB4375" w:rsidRPr="00A07F76">
        <w:t xml:space="preserve">At first </w:t>
      </w:r>
      <w:r w:rsidR="00BE23A1" w:rsidRPr="00A07F76">
        <w:t>Dr Downes ba</w:t>
      </w:r>
      <w:r w:rsidR="00926698" w:rsidRPr="00A07F76">
        <w:t>u</w:t>
      </w:r>
      <w:r w:rsidR="00BE23A1" w:rsidRPr="00A07F76">
        <w:t xml:space="preserve">lked at the suggestion that </w:t>
      </w:r>
      <w:r w:rsidR="00DB4375" w:rsidRPr="00A07F76">
        <w:t xml:space="preserve">all </w:t>
      </w:r>
      <w:r w:rsidR="00E94CCC" w:rsidRPr="00A07F76">
        <w:t xml:space="preserve">of </w:t>
      </w:r>
      <w:r w:rsidR="00BE23A1" w:rsidRPr="00A07F76">
        <w:t xml:space="preserve">the names </w:t>
      </w:r>
      <w:r w:rsidR="00DB4375" w:rsidRPr="00A07F76">
        <w:t xml:space="preserve">PALOMA, LOTTE, BIBI and DELPHINE </w:t>
      </w:r>
      <w:r w:rsidR="00BE23A1" w:rsidRPr="00A07F76">
        <w:t xml:space="preserve">were women’s names, but then accepted that they were.  Then he </w:t>
      </w:r>
      <w:r w:rsidR="00DB4375" w:rsidRPr="00A07F76">
        <w:t xml:space="preserve">described the promotional material as showing </w:t>
      </w:r>
      <w:r w:rsidR="00BE23A1" w:rsidRPr="00A07F76">
        <w:t xml:space="preserve">a </w:t>
      </w:r>
      <w:r w:rsidR="00DB4375" w:rsidRPr="00A07F76">
        <w:t>“</w:t>
      </w:r>
      <w:r w:rsidR="00BE23A1" w:rsidRPr="00A07F76">
        <w:t>brand product matrix</w:t>
      </w:r>
      <w:r w:rsidR="00DB4375" w:rsidRPr="00A07F76">
        <w:t>”</w:t>
      </w:r>
      <w:r w:rsidR="00BE23A1" w:rsidRPr="00A07F76">
        <w:t xml:space="preserve"> in which the columns or vertical axis</w:t>
      </w:r>
      <w:r w:rsidR="00DB4375" w:rsidRPr="00A07F76">
        <w:t xml:space="preserve"> showed </w:t>
      </w:r>
      <w:r w:rsidR="0051073D" w:rsidRPr="00A07F76">
        <w:t xml:space="preserve">the products of a </w:t>
      </w:r>
      <w:r w:rsidR="00BE23A1" w:rsidRPr="00A07F76">
        <w:t xml:space="preserve">sub-brand of TRIANGL named DELPHINE </w:t>
      </w:r>
      <w:r w:rsidR="0051073D" w:rsidRPr="00A07F76">
        <w:t xml:space="preserve">which included </w:t>
      </w:r>
      <w:r w:rsidR="00BE23A1" w:rsidRPr="00A07F76">
        <w:t>DELPHINE-ROSA, DELPHINE-NERO, and then the next column</w:t>
      </w:r>
      <w:r w:rsidR="00ED3392" w:rsidRPr="00A07F76">
        <w:t xml:space="preserve"> </w:t>
      </w:r>
      <w:r w:rsidR="0051073D" w:rsidRPr="00A07F76">
        <w:t xml:space="preserve">showed a </w:t>
      </w:r>
      <w:r w:rsidR="00BE23A1" w:rsidRPr="00A07F76">
        <w:t xml:space="preserve">sub-brand of TRIANGL named PALOMA.  Then he </w:t>
      </w:r>
      <w:r w:rsidR="00DB4375" w:rsidRPr="00A07F76">
        <w:t xml:space="preserve">seemed to </w:t>
      </w:r>
      <w:r w:rsidR="005E07B7" w:rsidRPr="00A07F76">
        <w:t xml:space="preserve">shift away from </w:t>
      </w:r>
      <w:r w:rsidR="00BE23A1" w:rsidRPr="00A07F76">
        <w:t>that proposition.</w:t>
      </w:r>
      <w:r w:rsidR="00ED3392" w:rsidRPr="00A07F76">
        <w:t xml:space="preserve">  </w:t>
      </w:r>
      <w:r w:rsidR="00E94CCC" w:rsidRPr="00A07F76">
        <w:t xml:space="preserve">He </w:t>
      </w:r>
      <w:r w:rsidR="00DB4375" w:rsidRPr="00A07F76">
        <w:t xml:space="preserve">said </w:t>
      </w:r>
      <w:r w:rsidR="00BE23A1" w:rsidRPr="00A07F76">
        <w:t xml:space="preserve">that the fact that the names of the bikini styles are in two parts </w:t>
      </w:r>
      <w:r w:rsidR="00ED3392" w:rsidRPr="00A07F76">
        <w:t>(</w:t>
      </w:r>
      <w:r w:rsidR="005B7310" w:rsidRPr="00A07F76">
        <w:t xml:space="preserve">e.g. </w:t>
      </w:r>
      <w:r w:rsidR="00ED3392" w:rsidRPr="00A07F76">
        <w:t>DELPHINE-ROS</w:t>
      </w:r>
      <w:r w:rsidR="00BA4682">
        <w:t>A, DELPHINE-NERO, and DELPHINE-</w:t>
      </w:r>
      <w:r w:rsidR="00ED3392" w:rsidRPr="00A07F76">
        <w:t xml:space="preserve">GIALLO; BIBI-TERRA, BIBI-SOL and BIBI-LUNA; LOTTE-BONBON, LOTTE-CITRON and LOTTE </w:t>
      </w:r>
      <w:r w:rsidR="00BA4682">
        <w:t>ZUCCA; and PALOMA-NERO, PALOMA-</w:t>
      </w:r>
      <w:r w:rsidR="00ED3392" w:rsidRPr="00A07F76">
        <w:t xml:space="preserve">BLU and PALOMA-ARIANCA) </w:t>
      </w:r>
      <w:r w:rsidR="00BE23A1" w:rsidRPr="00A07F76">
        <w:t xml:space="preserve">and that some elements of those names </w:t>
      </w:r>
      <w:r w:rsidR="00ED3392" w:rsidRPr="00A07F76">
        <w:t>(e.g. PALOMA, LOTTE, BIBI and DELPHINE)</w:t>
      </w:r>
      <w:r w:rsidR="00DB4375" w:rsidRPr="00A07F76">
        <w:t xml:space="preserve"> were </w:t>
      </w:r>
      <w:r w:rsidR="00BE23A1" w:rsidRPr="00A07F76">
        <w:t xml:space="preserve">repeated </w:t>
      </w:r>
      <w:r w:rsidR="00010F5F" w:rsidRPr="00A07F76">
        <w:t>and the other elements were d</w:t>
      </w:r>
      <w:r w:rsidR="00252570" w:rsidRPr="00A07F76">
        <w:t>escriptive of particular colour</w:t>
      </w:r>
      <w:r w:rsidR="00010F5F" w:rsidRPr="00A07F76">
        <w:t xml:space="preserve"> or pattern variants,</w:t>
      </w:r>
      <w:r w:rsidR="00E94CCC" w:rsidRPr="00A07F76">
        <w:t xml:space="preserve"> </w:t>
      </w:r>
      <w:r w:rsidR="00BE23A1" w:rsidRPr="00A07F76">
        <w:t>suggested that</w:t>
      </w:r>
      <w:r w:rsidR="00010F5F" w:rsidRPr="00A07F76">
        <w:t xml:space="preserve"> </w:t>
      </w:r>
      <w:r w:rsidR="002D5772" w:rsidRPr="00A07F76">
        <w:t>PALOMA, LOTTE, BIBI and DELPHINE</w:t>
      </w:r>
      <w:r w:rsidR="002D5772" w:rsidRPr="00A07F76" w:rsidDel="002D5772">
        <w:t xml:space="preserve"> </w:t>
      </w:r>
      <w:r w:rsidR="00BE23A1" w:rsidRPr="00A07F76">
        <w:t>had a function to identify a particular group of products offered for sale under the name TRIANGL.</w:t>
      </w:r>
      <w:r w:rsidR="00DE2EDB" w:rsidRPr="00A07F76">
        <w:t xml:space="preserve"> </w:t>
      </w:r>
    </w:p>
    <w:p w:rsidR="00BE23A1" w:rsidRDefault="00ED3392" w:rsidP="00153308">
      <w:pPr>
        <w:pStyle w:val="ParaNumbering"/>
        <w:tabs>
          <w:tab w:val="num" w:pos="720"/>
        </w:tabs>
        <w:ind w:left="0"/>
      </w:pPr>
      <w:r>
        <w:lastRenderedPageBreak/>
        <w:t>An</w:t>
      </w:r>
      <w:r w:rsidR="00EC764C">
        <w:t>other</w:t>
      </w:r>
      <w:r w:rsidR="00022219">
        <w:t xml:space="preserve"> example </w:t>
      </w:r>
      <w:r w:rsidR="00010F5F">
        <w:t xml:space="preserve">of </w:t>
      </w:r>
      <w:r w:rsidR="00022219">
        <w:t>where Dr Downes’ evidence</w:t>
      </w:r>
      <w:r w:rsidR="00EC764C">
        <w:t xml:space="preserve"> appeared to shift </w:t>
      </w:r>
      <w:r w:rsidR="002B57BE">
        <w:t xml:space="preserve">(or </w:t>
      </w:r>
      <w:r w:rsidR="00EC764C">
        <w:t>was unclear</w:t>
      </w:r>
      <w:r w:rsidR="002B57BE">
        <w:t>)</w:t>
      </w:r>
      <w:r w:rsidR="00010F5F">
        <w:t xml:space="preserve"> can be seen </w:t>
      </w:r>
      <w:r w:rsidR="00022219">
        <w:t>in his evidence</w:t>
      </w:r>
      <w:r w:rsidR="00010F5F">
        <w:t xml:space="preserve"> in relation to how a product name could develop into a </w:t>
      </w:r>
      <w:r w:rsidR="00022219">
        <w:t>sub-brand.</w:t>
      </w:r>
      <w:r w:rsidR="00387D37">
        <w:t xml:space="preserve">  </w:t>
      </w:r>
      <w:r w:rsidR="00010F5F">
        <w:t>H</w:t>
      </w:r>
      <w:r w:rsidR="00E10BAD">
        <w:t xml:space="preserve">e </w:t>
      </w:r>
      <w:r w:rsidR="00022219">
        <w:t xml:space="preserve">said that </w:t>
      </w:r>
      <w:r w:rsidR="00BE23A1">
        <w:t>in the fashion industry</w:t>
      </w:r>
      <w:r w:rsidR="00E10BAD">
        <w:t xml:space="preserve"> it </w:t>
      </w:r>
      <w:r w:rsidR="00BE23A1">
        <w:t>was “less common” for</w:t>
      </w:r>
      <w:r w:rsidR="00E10BAD">
        <w:t xml:space="preserve"> a single product to operate as a sub-brand,</w:t>
      </w:r>
      <w:r w:rsidR="00010F5F">
        <w:t xml:space="preserve"> which </w:t>
      </w:r>
      <w:r w:rsidR="00E10BAD">
        <w:t xml:space="preserve">occurred </w:t>
      </w:r>
      <w:r w:rsidR="00010F5F">
        <w:t xml:space="preserve">only </w:t>
      </w:r>
      <w:r w:rsidR="00E10BAD">
        <w:t>with “</w:t>
      </w:r>
      <w:r w:rsidR="00BE23A1">
        <w:t>exceptional products</w:t>
      </w:r>
      <w:r w:rsidR="00E10BAD">
        <w:t>”</w:t>
      </w:r>
      <w:r w:rsidR="00BE23A1">
        <w:t xml:space="preserve"> like Levi 501 jeans or </w:t>
      </w:r>
      <w:r w:rsidR="00022219">
        <w:t>Herm</w:t>
      </w:r>
      <w:r w:rsidR="00EE2C4D">
        <w:t>é</w:t>
      </w:r>
      <w:r w:rsidR="00022219">
        <w:t xml:space="preserve">s </w:t>
      </w:r>
      <w:r w:rsidR="00BE23A1">
        <w:t>Birkin handbag</w:t>
      </w:r>
      <w:r w:rsidR="00022219">
        <w:t>s</w:t>
      </w:r>
      <w:r>
        <w:t xml:space="preserve">.  He said that such products develop their own brand identity because they </w:t>
      </w:r>
      <w:r w:rsidR="00E10BAD" w:rsidRPr="00E10BAD">
        <w:rPr>
          <w:i/>
        </w:rPr>
        <w:t>“</w:t>
      </w:r>
      <w:r w:rsidR="00E10BAD" w:rsidRPr="00E10BAD">
        <w:t>strike a chord at the right time</w:t>
      </w:r>
      <w:r w:rsidR="00EE2C4D">
        <w:t>”</w:t>
      </w:r>
      <w:r w:rsidR="00E10BAD" w:rsidRPr="00E10BAD">
        <w:t xml:space="preserve">, they </w:t>
      </w:r>
      <w:r w:rsidR="00EE2C4D">
        <w:t>“</w:t>
      </w:r>
      <w:r w:rsidR="00E10BAD" w:rsidRPr="00E10BAD">
        <w:t>encapsulate or capture a mood or something like that and they go on to acquire this…identity in their own right”.</w:t>
      </w:r>
      <w:r w:rsidR="00BE23A1">
        <w:t xml:space="preserve"> </w:t>
      </w:r>
      <w:r w:rsidR="00EE2C4D">
        <w:t xml:space="preserve"> </w:t>
      </w:r>
      <w:r w:rsidR="00E10BAD">
        <w:t>That</w:t>
      </w:r>
      <w:r w:rsidR="00387D37">
        <w:t xml:space="preserve"> </w:t>
      </w:r>
      <w:r w:rsidR="00010F5F">
        <w:t xml:space="preserve">evidence </w:t>
      </w:r>
      <w:r w:rsidR="002B57BE">
        <w:t xml:space="preserve">was compatible </w:t>
      </w:r>
      <w:r w:rsidR="00387D37">
        <w:t xml:space="preserve">with his </w:t>
      </w:r>
      <w:r w:rsidR="00E10BAD">
        <w:t>evidence</w:t>
      </w:r>
      <w:r w:rsidR="002B57BE">
        <w:t xml:space="preserve"> about </w:t>
      </w:r>
      <w:r w:rsidR="00387D37">
        <w:t xml:space="preserve">the significant </w:t>
      </w:r>
      <w:r w:rsidR="00E10BAD">
        <w:t>investment</w:t>
      </w:r>
      <w:r w:rsidR="00387D37">
        <w:t xml:space="preserve"> Toyota made in</w:t>
      </w:r>
      <w:r w:rsidR="00A2602B">
        <w:t xml:space="preserve"> cars </w:t>
      </w:r>
      <w:r w:rsidR="00387D37">
        <w:t xml:space="preserve">such as </w:t>
      </w:r>
      <w:r w:rsidR="00010F5F">
        <w:t xml:space="preserve">the </w:t>
      </w:r>
      <w:r w:rsidR="00387D37">
        <w:t>Prado</w:t>
      </w:r>
      <w:r w:rsidR="00E94CCC">
        <w:t>,</w:t>
      </w:r>
      <w:r w:rsidR="00010F5F">
        <w:t xml:space="preserve"> which had the effect of building </w:t>
      </w:r>
      <w:r w:rsidR="00E10BAD" w:rsidRPr="004D2A03">
        <w:t>brand</w:t>
      </w:r>
      <w:r w:rsidR="00387D37">
        <w:t xml:space="preserve"> equity</w:t>
      </w:r>
      <w:r w:rsidR="002B57BE">
        <w:t xml:space="preserve"> in </w:t>
      </w:r>
      <w:r w:rsidR="002109A4">
        <w:t>that</w:t>
      </w:r>
      <w:r w:rsidR="002B57BE">
        <w:t xml:space="preserve"> name</w:t>
      </w:r>
      <w:r w:rsidR="00E10BAD">
        <w:t>.</w:t>
      </w:r>
      <w:r w:rsidR="00EE2C4D" w:rsidRPr="00EE2C4D">
        <w:t xml:space="preserve"> </w:t>
      </w:r>
    </w:p>
    <w:p w:rsidR="00BE23A1" w:rsidRDefault="00010F5F" w:rsidP="00CA7DF8">
      <w:pPr>
        <w:pStyle w:val="ParaNumbering"/>
        <w:tabs>
          <w:tab w:val="num" w:pos="720"/>
        </w:tabs>
        <w:ind w:left="0"/>
      </w:pPr>
      <w:r>
        <w:t>I</w:t>
      </w:r>
      <w:r w:rsidR="00387D37">
        <w:t>f</w:t>
      </w:r>
      <w:r w:rsidR="002B57BE">
        <w:t xml:space="preserve"> </w:t>
      </w:r>
      <w:r>
        <w:t xml:space="preserve">one accepts </w:t>
      </w:r>
      <w:r w:rsidR="002B57BE">
        <w:t xml:space="preserve">Dr Downes’ evidence </w:t>
      </w:r>
      <w:r w:rsidR="002D388E">
        <w:t xml:space="preserve">that </w:t>
      </w:r>
      <w:r w:rsidR="00387D37">
        <w:t>for</w:t>
      </w:r>
      <w:r w:rsidR="006F0194">
        <w:t xml:space="preserve"> the name of a single product in the fashion industry </w:t>
      </w:r>
      <w:r w:rsidR="00387D37">
        <w:t>to become a sub-brand its own right</w:t>
      </w:r>
      <w:r w:rsidR="006F0194">
        <w:t>,</w:t>
      </w:r>
      <w:r w:rsidR="00387D37">
        <w:t xml:space="preserve"> the product must be an exceptional one and capture a mood in the market</w:t>
      </w:r>
      <w:r>
        <w:t>,</w:t>
      </w:r>
      <w:r w:rsidR="002D388E">
        <w:t xml:space="preserve"> </w:t>
      </w:r>
      <w:r w:rsidR="00E10BAD" w:rsidRPr="00863143">
        <w:t>then Pinnacle</w:t>
      </w:r>
      <w:r w:rsidR="00EC764C">
        <w:t xml:space="preserve"> plainly failed to </w:t>
      </w:r>
      <w:r w:rsidR="00E94CCC">
        <w:t>establish</w:t>
      </w:r>
      <w:r w:rsidR="002D388E">
        <w:t xml:space="preserve"> that </w:t>
      </w:r>
      <w:r>
        <w:t xml:space="preserve">consumers would perceive </w:t>
      </w:r>
      <w:r w:rsidR="002D388E">
        <w:t>DELPHINE as a sub brand of TRIANGL</w:t>
      </w:r>
      <w:r w:rsidR="00E10BAD" w:rsidRPr="00863143">
        <w:t xml:space="preserve">.  There is no evidence that </w:t>
      </w:r>
      <w:r w:rsidR="00387D37">
        <w:t xml:space="preserve">the </w:t>
      </w:r>
      <w:r w:rsidR="00AE6CAD">
        <w:t>Triangl DELPHINE</w:t>
      </w:r>
      <w:r w:rsidR="00702FD1">
        <w:t xml:space="preserve"> bikinis</w:t>
      </w:r>
      <w:r w:rsidR="00387D37">
        <w:t xml:space="preserve"> are </w:t>
      </w:r>
      <w:r w:rsidR="002D388E">
        <w:t xml:space="preserve">an </w:t>
      </w:r>
      <w:r w:rsidR="00387D37">
        <w:t>exceptional product or that they captured a mood in the market</w:t>
      </w:r>
      <w:r w:rsidR="00252570">
        <w:t>, t</w:t>
      </w:r>
      <w:r w:rsidR="002D388E">
        <w:t>he</w:t>
      </w:r>
      <w:r w:rsidR="00252570">
        <w:t xml:space="preserve"> bikinis were only</w:t>
      </w:r>
      <w:r w:rsidR="00A2602B">
        <w:t xml:space="preserve"> marketed under that name for six weeks</w:t>
      </w:r>
      <w:r w:rsidR="00252570">
        <w:t>,</w:t>
      </w:r>
      <w:r w:rsidR="002D388E">
        <w:t xml:space="preserve"> </w:t>
      </w:r>
      <w:r w:rsidR="00387D37">
        <w:t xml:space="preserve">and </w:t>
      </w:r>
      <w:r w:rsidR="002D388E">
        <w:t xml:space="preserve">there is </w:t>
      </w:r>
      <w:r w:rsidR="00387D37">
        <w:t xml:space="preserve">no evidence that </w:t>
      </w:r>
      <w:r w:rsidR="00E10BAD" w:rsidRPr="00863143">
        <w:t>Triangl used DELPHINE so extensively that it</w:t>
      </w:r>
      <w:r w:rsidR="00387D37">
        <w:t xml:space="preserve"> acquired its own identity as </w:t>
      </w:r>
      <w:r w:rsidR="00EE2C4D">
        <w:t xml:space="preserve">a sub-brand. </w:t>
      </w:r>
    </w:p>
    <w:p w:rsidR="00D63BCA" w:rsidRDefault="00206987" w:rsidP="00CA7DF8">
      <w:pPr>
        <w:pStyle w:val="ParaNumbering"/>
        <w:tabs>
          <w:tab w:val="num" w:pos="720"/>
        </w:tabs>
        <w:ind w:left="0"/>
      </w:pPr>
      <w:r>
        <w:t>Dr Downes</w:t>
      </w:r>
      <w:r w:rsidR="006F0194">
        <w:t xml:space="preserve"> </w:t>
      </w:r>
      <w:r w:rsidR="00252570">
        <w:t xml:space="preserve">then offered </w:t>
      </w:r>
      <w:r>
        <w:t>a more expansive</w:t>
      </w:r>
      <w:r w:rsidR="00252570">
        <w:t xml:space="preserve"> opinion as to the </w:t>
      </w:r>
      <w:r w:rsidR="002D388E">
        <w:t>level of</w:t>
      </w:r>
      <w:r w:rsidR="00252570">
        <w:t xml:space="preserve"> use required before consumers would perceive </w:t>
      </w:r>
      <w:r>
        <w:t>a product or style name</w:t>
      </w:r>
      <w:r w:rsidR="002D388E">
        <w:t xml:space="preserve"> </w:t>
      </w:r>
      <w:r>
        <w:t>as a sub-brand.  In cross</w:t>
      </w:r>
      <w:r w:rsidR="008118D9">
        <w:t>-</w:t>
      </w:r>
      <w:r>
        <w:t xml:space="preserve">examination he was taken to </w:t>
      </w:r>
      <w:r w:rsidR="00252570">
        <w:t>Triangl’s</w:t>
      </w:r>
      <w:r>
        <w:t xml:space="preserve"> press pack and</w:t>
      </w:r>
      <w:r w:rsidR="00252570">
        <w:t>, as I have said,</w:t>
      </w:r>
      <w:r>
        <w:t xml:space="preserve"> he</w:t>
      </w:r>
      <w:r w:rsidR="005B7310">
        <w:t xml:space="preserve"> offered the opinion </w:t>
      </w:r>
      <w:r>
        <w:t>that</w:t>
      </w:r>
      <w:r w:rsidR="00252570">
        <w:t xml:space="preserve"> because</w:t>
      </w:r>
      <w:r w:rsidR="00D63BCA">
        <w:t>:</w:t>
      </w:r>
    </w:p>
    <w:p w:rsidR="00D63BCA" w:rsidRDefault="00206987" w:rsidP="008D7D39">
      <w:pPr>
        <w:pStyle w:val="ListNo1"/>
        <w:numPr>
          <w:ilvl w:val="0"/>
          <w:numId w:val="53"/>
        </w:numPr>
      </w:pPr>
      <w:r w:rsidRPr="00206987">
        <w:t>the names of the bikini styles are in two parts</w:t>
      </w:r>
      <w:r w:rsidR="00D63BCA">
        <w:t>;</w:t>
      </w:r>
    </w:p>
    <w:p w:rsidR="00D63BCA" w:rsidRDefault="00252570" w:rsidP="008D7D39">
      <w:pPr>
        <w:pStyle w:val="ListNo1"/>
        <w:numPr>
          <w:ilvl w:val="0"/>
          <w:numId w:val="53"/>
        </w:numPr>
      </w:pPr>
      <w:r>
        <w:t>the</w:t>
      </w:r>
      <w:r w:rsidR="00206987" w:rsidRPr="00206987">
        <w:t xml:space="preserve"> </w:t>
      </w:r>
      <w:r w:rsidRPr="00206987">
        <w:t>PALOMA</w:t>
      </w:r>
      <w:r>
        <w:t>,</w:t>
      </w:r>
      <w:r w:rsidRPr="00206987">
        <w:t xml:space="preserve"> LOTTE</w:t>
      </w:r>
      <w:r>
        <w:t>,</w:t>
      </w:r>
      <w:r w:rsidRPr="00206987">
        <w:t xml:space="preserve"> BIBI </w:t>
      </w:r>
      <w:r>
        <w:t xml:space="preserve">and </w:t>
      </w:r>
      <w:r w:rsidRPr="00206987">
        <w:t xml:space="preserve">DELPHINE </w:t>
      </w:r>
      <w:r w:rsidR="00206987" w:rsidRPr="00206987">
        <w:t>elements of those names are repeated</w:t>
      </w:r>
      <w:r>
        <w:t xml:space="preserve">; and </w:t>
      </w:r>
    </w:p>
    <w:p w:rsidR="00D63BCA" w:rsidRDefault="00252570" w:rsidP="008D7D39">
      <w:pPr>
        <w:pStyle w:val="ListNo1"/>
        <w:numPr>
          <w:ilvl w:val="0"/>
          <w:numId w:val="53"/>
        </w:numPr>
      </w:pPr>
      <w:r>
        <w:t>the other elements of the names were descriptive of particular colour or pattern variants</w:t>
      </w:r>
      <w:r w:rsidR="00EC764C">
        <w:t>;</w:t>
      </w:r>
    </w:p>
    <w:p w:rsidR="00CA7DF8" w:rsidRDefault="00206987" w:rsidP="003A5E8C">
      <w:pPr>
        <w:pStyle w:val="NoNum"/>
      </w:pPr>
      <w:r w:rsidRPr="00206987">
        <w:t xml:space="preserve">the names </w:t>
      </w:r>
      <w:r w:rsidR="00252570" w:rsidRPr="00206987">
        <w:t>PALOMA</w:t>
      </w:r>
      <w:r w:rsidR="00252570">
        <w:t>,</w:t>
      </w:r>
      <w:r w:rsidR="00252570" w:rsidRPr="00206987">
        <w:t xml:space="preserve"> LOTTE</w:t>
      </w:r>
      <w:r w:rsidR="00252570">
        <w:t>,</w:t>
      </w:r>
      <w:r w:rsidR="00252570" w:rsidRPr="00206987">
        <w:t xml:space="preserve"> BIBI </w:t>
      </w:r>
      <w:r w:rsidR="00252570">
        <w:t xml:space="preserve">and </w:t>
      </w:r>
      <w:r w:rsidR="00252570" w:rsidRPr="00206987">
        <w:t>DELPHINE</w:t>
      </w:r>
      <w:r w:rsidR="00252570" w:rsidRPr="00206987" w:rsidDel="00252570">
        <w:t xml:space="preserve"> </w:t>
      </w:r>
      <w:r w:rsidR="00811086">
        <w:t xml:space="preserve">each </w:t>
      </w:r>
      <w:r w:rsidRPr="00206987">
        <w:t>had a function to identify a particular group of products</w:t>
      </w:r>
      <w:r>
        <w:t xml:space="preserve"> marketed </w:t>
      </w:r>
      <w:r w:rsidRPr="00206987">
        <w:t>under the TRIANGL</w:t>
      </w:r>
      <w:r>
        <w:t xml:space="preserve"> brand</w:t>
      </w:r>
      <w:r w:rsidR="00A2602B">
        <w:t xml:space="preserve">, and that </w:t>
      </w:r>
      <w:r w:rsidRPr="00206987">
        <w:t>consumers were likely to perceive each of those names as sub-brands</w:t>
      </w:r>
      <w:r w:rsidR="00C95AB0">
        <w:t>.</w:t>
      </w:r>
    </w:p>
    <w:p w:rsidR="00CA7DF8" w:rsidRDefault="00CA7DF8" w:rsidP="00D11520">
      <w:pPr>
        <w:pStyle w:val="ParaNumbering"/>
        <w:pageBreakBefore/>
        <w:tabs>
          <w:tab w:val="num" w:pos="720"/>
        </w:tabs>
        <w:ind w:left="0"/>
      </w:pPr>
      <w:r w:rsidRPr="00CA7DF8">
        <w:lastRenderedPageBreak/>
        <w:t>Dr Downes was then taken to the next page of the press pack, an image of which</w:t>
      </w:r>
      <w:r w:rsidR="005B7310">
        <w:t xml:space="preserve"> is</w:t>
      </w:r>
      <w:r w:rsidR="00583209">
        <w:t xml:space="preserve"> reproduced </w:t>
      </w:r>
      <w:r w:rsidRPr="00CA7DF8">
        <w:t>below.</w:t>
      </w:r>
    </w:p>
    <w:p w:rsidR="0077445E" w:rsidRPr="00CA7DF8" w:rsidRDefault="00A45165" w:rsidP="0077445E">
      <w:pPr>
        <w:pStyle w:val="NoNum"/>
        <w:jc w:val="center"/>
      </w:pPr>
      <w:r>
        <w:rPr>
          <w:noProof/>
          <w:lang w:eastAsia="en-AU"/>
        </w:rPr>
        <w:drawing>
          <wp:inline distT="0" distB="0" distL="0" distR="0">
            <wp:extent cx="5162550" cy="73818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9.jpg"/>
                    <pic:cNvPicPr/>
                  </pic:nvPicPr>
                  <pic:blipFill>
                    <a:blip r:embed="rId24">
                      <a:extLst>
                        <a:ext uri="{28A0092B-C50C-407E-A947-70E740481C1C}">
                          <a14:useLocalDpi xmlns:a14="http://schemas.microsoft.com/office/drawing/2010/main" val="0"/>
                        </a:ext>
                      </a:extLst>
                    </a:blip>
                    <a:stretch>
                      <a:fillRect/>
                    </a:stretch>
                  </pic:blipFill>
                  <pic:spPr>
                    <a:xfrm>
                      <a:off x="0" y="0"/>
                      <a:ext cx="5162550" cy="7381875"/>
                    </a:xfrm>
                    <a:prstGeom prst="rect">
                      <a:avLst/>
                    </a:prstGeom>
                  </pic:spPr>
                </pic:pic>
              </a:graphicData>
            </a:graphic>
          </wp:inline>
        </w:drawing>
      </w:r>
    </w:p>
    <w:p w:rsidR="00BD5C9C" w:rsidRDefault="00811086" w:rsidP="00583209">
      <w:pPr>
        <w:pStyle w:val="NoNum"/>
      </w:pPr>
      <w:r>
        <w:t>He</w:t>
      </w:r>
      <w:r w:rsidR="00252570">
        <w:t xml:space="preserve"> </w:t>
      </w:r>
      <w:r w:rsidR="00EC764C">
        <w:t xml:space="preserve">then </w:t>
      </w:r>
      <w:r w:rsidR="00A2602B">
        <w:t xml:space="preserve">said </w:t>
      </w:r>
      <w:r w:rsidR="00CA7DF8">
        <w:t xml:space="preserve">that </w:t>
      </w:r>
      <w:r w:rsidR="00CA7DF8" w:rsidRPr="00CA7DF8">
        <w:t>the names DREE, JEAN, CATIA, LOUIE, REMY and DEVON also</w:t>
      </w:r>
      <w:r w:rsidR="00CA7DF8">
        <w:t xml:space="preserve"> operated </w:t>
      </w:r>
      <w:r w:rsidR="00CA7DF8" w:rsidRPr="00CA7DF8">
        <w:t>as sub-brand</w:t>
      </w:r>
      <w:r w:rsidR="00CA7DF8">
        <w:t>s</w:t>
      </w:r>
      <w:r w:rsidR="00CA7DF8" w:rsidRPr="00CA7DF8">
        <w:t xml:space="preserve"> within the TRIANGL brand</w:t>
      </w:r>
      <w:r w:rsidR="00CA7DF8">
        <w:t xml:space="preserve"> and would be perceived in that way by consumers</w:t>
      </w:r>
      <w:r w:rsidR="00CA7DF8" w:rsidRPr="00CA7DF8">
        <w:t>.</w:t>
      </w:r>
      <w:r w:rsidR="00A2602B">
        <w:t xml:space="preserve">  </w:t>
      </w:r>
      <w:r w:rsidR="00A2602B">
        <w:lastRenderedPageBreak/>
        <w:t>In the finish</w:t>
      </w:r>
      <w:r w:rsidR="005B7310">
        <w:t xml:space="preserve"> Dr Downes</w:t>
      </w:r>
      <w:r w:rsidR="00EC764C">
        <w:t xml:space="preserve"> offered the opinion </w:t>
      </w:r>
      <w:r w:rsidR="005B7310">
        <w:t xml:space="preserve">that </w:t>
      </w:r>
      <w:r w:rsidR="00CA7DF8">
        <w:t xml:space="preserve">if a trader gives a name to a product, intending it to identify a product </w:t>
      </w:r>
      <w:r w:rsidR="00CA7DF8" w:rsidRPr="00CA7DF8">
        <w:rPr>
          <w:i/>
        </w:rPr>
        <w:t>within the brand</w:t>
      </w:r>
      <w:r w:rsidR="00CA7DF8">
        <w:t xml:space="preserve">, then the name can and does perform the function of a </w:t>
      </w:r>
      <w:r w:rsidR="00334CB2">
        <w:t>sub-</w:t>
      </w:r>
      <w:r w:rsidR="00CA7DF8">
        <w:t xml:space="preserve">brand. </w:t>
      </w:r>
    </w:p>
    <w:p w:rsidR="002D388E" w:rsidRDefault="00823F71" w:rsidP="00AD0EBC">
      <w:pPr>
        <w:pStyle w:val="ParaNumbering"/>
        <w:tabs>
          <w:tab w:val="num" w:pos="720"/>
        </w:tabs>
        <w:ind w:left="0"/>
      </w:pPr>
      <w:r>
        <w:t>Dr Downes’</w:t>
      </w:r>
      <w:r w:rsidR="005B7310">
        <w:t xml:space="preserve"> final</w:t>
      </w:r>
      <w:r w:rsidR="00252570">
        <w:t xml:space="preserve"> position sat </w:t>
      </w:r>
      <w:r w:rsidR="00E13EDA">
        <w:t xml:space="preserve">poorly </w:t>
      </w:r>
      <w:r w:rsidR="00BD5C9C">
        <w:t>with</w:t>
      </w:r>
      <w:r w:rsidR="00AD0EBC">
        <w:t xml:space="preserve"> </w:t>
      </w:r>
      <w:r>
        <w:t xml:space="preserve">his </w:t>
      </w:r>
      <w:r w:rsidR="00BD5C9C">
        <w:t xml:space="preserve">earlier evidence that it was “less common” for </w:t>
      </w:r>
      <w:r w:rsidR="005B7310">
        <w:t xml:space="preserve">a </w:t>
      </w:r>
      <w:r w:rsidR="00BD5C9C">
        <w:t xml:space="preserve">single product </w:t>
      </w:r>
      <w:r w:rsidR="005B7310">
        <w:t xml:space="preserve">in the fashion industry </w:t>
      </w:r>
      <w:r w:rsidR="00BD5C9C">
        <w:t xml:space="preserve">to </w:t>
      </w:r>
      <w:r w:rsidR="005B7310">
        <w:t xml:space="preserve">acquire sufficient brand identity in its own right so as to </w:t>
      </w:r>
      <w:r w:rsidR="00BD5C9C">
        <w:t>operate as a sub-brand</w:t>
      </w:r>
      <w:r w:rsidR="005B7310">
        <w:t>,</w:t>
      </w:r>
      <w:r w:rsidR="00BD5C9C">
        <w:t xml:space="preserve"> and that this only occurred with “exceptional products” which strike a chord or encapsulate a mood</w:t>
      </w:r>
      <w:r w:rsidR="005B7310">
        <w:t xml:space="preserve"> in the market</w:t>
      </w:r>
      <w:r w:rsidR="00AD0EBC">
        <w:t xml:space="preserve">. </w:t>
      </w:r>
      <w:r w:rsidR="006F0194">
        <w:t xml:space="preserve"> </w:t>
      </w:r>
      <w:r w:rsidR="002D388E">
        <w:t>At the least</w:t>
      </w:r>
      <w:r w:rsidR="00E94CCC">
        <w:t>,</w:t>
      </w:r>
      <w:r w:rsidR="002D388E">
        <w:t xml:space="preserve"> his evidence is unclear.</w:t>
      </w:r>
    </w:p>
    <w:p w:rsidR="00C95AB0" w:rsidRDefault="002109A4" w:rsidP="00AD0EBC">
      <w:pPr>
        <w:pStyle w:val="ParaNumbering"/>
        <w:tabs>
          <w:tab w:val="num" w:pos="720"/>
        </w:tabs>
        <w:ind w:left="0"/>
      </w:pPr>
      <w:r>
        <w:t xml:space="preserve">Further, </w:t>
      </w:r>
      <w:r w:rsidR="002D388E">
        <w:t xml:space="preserve">his opinion </w:t>
      </w:r>
      <w:r>
        <w:t xml:space="preserve">that </w:t>
      </w:r>
      <w:r w:rsidR="00252570">
        <w:t xml:space="preserve">PALOMA, LOTTE, BIBI and </w:t>
      </w:r>
      <w:r>
        <w:t>DELPHINE</w:t>
      </w:r>
      <w:r w:rsidR="003A483B">
        <w:t>,</w:t>
      </w:r>
      <w:r>
        <w:t xml:space="preserve"> </w:t>
      </w:r>
      <w:r w:rsidR="00252570">
        <w:t xml:space="preserve">along with </w:t>
      </w:r>
      <w:r w:rsidR="00252570" w:rsidRPr="00CA7DF8">
        <w:t>DREE, JEAN, CATIA, LOUIE, REMY and DEVON</w:t>
      </w:r>
      <w:r w:rsidR="00252570">
        <w:t xml:space="preserve">, were likely to </w:t>
      </w:r>
      <w:r>
        <w:t>be perceived by consumers to be sub</w:t>
      </w:r>
      <w:r w:rsidR="00252570">
        <w:t>-</w:t>
      </w:r>
      <w:r>
        <w:t>brand</w:t>
      </w:r>
      <w:r w:rsidR="00252570">
        <w:t>s</w:t>
      </w:r>
      <w:r>
        <w:t xml:space="preserve"> of TRIANGL</w:t>
      </w:r>
      <w:r w:rsidR="00860443">
        <w:t xml:space="preserve"> does not marry well </w:t>
      </w:r>
      <w:r w:rsidR="002D388E">
        <w:t>with other evidence</w:t>
      </w:r>
      <w:r w:rsidR="00252570">
        <w:t xml:space="preserve"> that I </w:t>
      </w:r>
      <w:r w:rsidR="00A2602B">
        <w:t xml:space="preserve">have </w:t>
      </w:r>
      <w:r w:rsidR="00252570">
        <w:t>accept</w:t>
      </w:r>
      <w:r w:rsidR="00A2602B">
        <w:t>ed</w:t>
      </w:r>
      <w:r w:rsidR="006F0194">
        <w:t>,</w:t>
      </w:r>
      <w:r w:rsidR="002D388E">
        <w:t xml:space="preserve"> particularly</w:t>
      </w:r>
      <w:r w:rsidR="006F0194">
        <w:t xml:space="preserve">: </w:t>
      </w:r>
    </w:p>
    <w:p w:rsidR="003E1B21" w:rsidRDefault="006F0194" w:rsidP="008D7D39">
      <w:pPr>
        <w:pStyle w:val="ListNo1"/>
        <w:numPr>
          <w:ilvl w:val="0"/>
          <w:numId w:val="49"/>
        </w:numPr>
      </w:pPr>
      <w:r>
        <w:t>Mr Ellis’ evidence that style names do not matter</w:t>
      </w:r>
      <w:r w:rsidR="007B2409">
        <w:t xml:space="preserve"> and</w:t>
      </w:r>
      <w:r>
        <w:t xml:space="preserve"> that they have no value to Triangl;</w:t>
      </w:r>
    </w:p>
    <w:p w:rsidR="003E1B21" w:rsidRDefault="006F0194" w:rsidP="00AC0CA0">
      <w:pPr>
        <w:pStyle w:val="ListNo1"/>
        <w:numPr>
          <w:ilvl w:val="0"/>
          <w:numId w:val="49"/>
        </w:numPr>
      </w:pPr>
      <w:r>
        <w:t>Mr Bucoy’s evidence</w:t>
      </w:r>
      <w:r w:rsidRPr="006F0194">
        <w:t xml:space="preserve"> </w:t>
      </w:r>
      <w:r>
        <w:t xml:space="preserve">that consumers do not remember style names and </w:t>
      </w:r>
      <w:r w:rsidR="00811086">
        <w:t xml:space="preserve">that </w:t>
      </w:r>
      <w:r>
        <w:t>they only remember the head brand</w:t>
      </w:r>
      <w:r w:rsidR="00A2602B">
        <w:t xml:space="preserve">, and his statement </w:t>
      </w:r>
      <w:r>
        <w:t>when asked about one of Pinnacle’s own style names that “I don’t think it really matters</w:t>
      </w:r>
      <w:r w:rsidR="00811086">
        <w:t>”</w:t>
      </w:r>
      <w:r>
        <w:t>;</w:t>
      </w:r>
      <w:r w:rsidR="00583209">
        <w:t xml:space="preserve"> </w:t>
      </w:r>
      <w:r w:rsidR="00B6767E">
        <w:t xml:space="preserve">and </w:t>
      </w:r>
    </w:p>
    <w:p w:rsidR="00FF4708" w:rsidRDefault="006F0194" w:rsidP="008D7D39">
      <w:pPr>
        <w:pStyle w:val="ListNo1"/>
        <w:numPr>
          <w:ilvl w:val="0"/>
          <w:numId w:val="49"/>
        </w:numPr>
      </w:pPr>
      <w:r>
        <w:t xml:space="preserve">the evidence of Mr Ellis, Mr Bucoy and Mr Saunders which shows that </w:t>
      </w:r>
      <w:r w:rsidR="00583209">
        <w:t xml:space="preserve">prior to and in the relevant period </w:t>
      </w:r>
      <w:r>
        <w:t>it</w:t>
      </w:r>
      <w:r w:rsidR="00583209">
        <w:t xml:space="preserve"> was </w:t>
      </w:r>
      <w:r>
        <w:t xml:space="preserve">common practice </w:t>
      </w:r>
      <w:r w:rsidR="00583209">
        <w:t xml:space="preserve">for traders </w:t>
      </w:r>
      <w:r>
        <w:t>in the women’s fashion industry, including women’s swimwear, to give style names to their products so as</w:t>
      </w:r>
      <w:r w:rsidR="0051073D">
        <w:t xml:space="preserve"> to</w:t>
      </w:r>
      <w:r>
        <w:t xml:space="preserve"> allow easier identification in relation to the product </w:t>
      </w:r>
      <w:r w:rsidRPr="00FF4708">
        <w:rPr>
          <w:i/>
        </w:rPr>
        <w:t>within that brand</w:t>
      </w:r>
      <w:r w:rsidRPr="00E13EDA">
        <w:t>.</w:t>
      </w:r>
      <w:r w:rsidR="00B6767E" w:rsidRPr="00E13EDA">
        <w:t xml:space="preserve">  </w:t>
      </w:r>
    </w:p>
    <w:p w:rsidR="00AC0CA0" w:rsidRDefault="00943708" w:rsidP="00AC0CA0">
      <w:pPr>
        <w:pStyle w:val="NoNum"/>
      </w:pPr>
      <w:r>
        <w:t>Dr Downes</w:t>
      </w:r>
      <w:r w:rsidR="002735EE">
        <w:t>’</w:t>
      </w:r>
      <w:r>
        <w:t xml:space="preserve"> opinion</w:t>
      </w:r>
      <w:r w:rsidR="00860443">
        <w:t xml:space="preserve"> </w:t>
      </w:r>
      <w:r w:rsidR="00AC0CA0">
        <w:t xml:space="preserve">does not </w:t>
      </w:r>
      <w:r w:rsidR="00860443">
        <w:t xml:space="preserve">sit well with the inference </w:t>
      </w:r>
      <w:r w:rsidR="0051073D">
        <w:t xml:space="preserve">that </w:t>
      </w:r>
      <w:r w:rsidR="00860443">
        <w:t xml:space="preserve">I have drawn that </w:t>
      </w:r>
      <w:r w:rsidR="002D5772">
        <w:t xml:space="preserve">up to and </w:t>
      </w:r>
      <w:r w:rsidR="00860443">
        <w:t xml:space="preserve">during the relevant period consumers of women’s fashion </w:t>
      </w:r>
      <w:r w:rsidR="002D5772">
        <w:t xml:space="preserve">and swimwear in Australia </w:t>
      </w:r>
      <w:r w:rsidR="00BA4682">
        <w:t xml:space="preserve">were </w:t>
      </w:r>
      <w:r w:rsidR="0051073D">
        <w:t xml:space="preserve">accustomed </w:t>
      </w:r>
      <w:r w:rsidR="00860443">
        <w:t xml:space="preserve">to seeing style names including women’s names used in relation to women’s fashion, including swimwear. </w:t>
      </w:r>
      <w:r w:rsidR="00294124">
        <w:t xml:space="preserve"> </w:t>
      </w:r>
      <w:r w:rsidR="00AC0CA0">
        <w:t>Nor does it sit well with</w:t>
      </w:r>
      <w:r w:rsidR="00860443">
        <w:t xml:space="preserve"> </w:t>
      </w:r>
      <w:r w:rsidR="00AC0CA0">
        <w:rPr>
          <w:szCs w:val="24"/>
          <w:lang w:eastAsia="en-AU"/>
        </w:rPr>
        <w:t>Mr Bucoy’s acceptance that a number of other women’s fashion brands used the name Delphine as a style name</w:t>
      </w:r>
      <w:r w:rsidR="00AC0CA0">
        <w:t>, including during 2016.</w:t>
      </w:r>
      <w:r w:rsidR="00294124">
        <w:t xml:space="preserve"> </w:t>
      </w:r>
      <w:r w:rsidR="00AC0CA0">
        <w:t xml:space="preserve"> In that regard I note Dr Downes’ acceptance that, if the name DELPHINE was used by many other fashion industry traders to refer to garments within their ranges, a consumer might not be able to identify products from a particular source by reference to that name, and that if numerous traders are using the same designation then it is not being used as a sub-brand.</w:t>
      </w:r>
    </w:p>
    <w:p w:rsidR="00AD0EBC" w:rsidRPr="00923899" w:rsidRDefault="003A483B" w:rsidP="00A17A58">
      <w:pPr>
        <w:pStyle w:val="ParaNumbering"/>
        <w:tabs>
          <w:tab w:val="num" w:pos="720"/>
        </w:tabs>
        <w:ind w:left="0"/>
      </w:pPr>
      <w:r>
        <w:t>If</w:t>
      </w:r>
      <w:r w:rsidR="00860443">
        <w:t xml:space="preserve"> one </w:t>
      </w:r>
      <w:r>
        <w:t>was to accept Dr Downes</w:t>
      </w:r>
      <w:r w:rsidR="00A2602B">
        <w:t>’ final position</w:t>
      </w:r>
      <w:r w:rsidR="00811086">
        <w:t xml:space="preserve"> –</w:t>
      </w:r>
      <w:r w:rsidR="00FF56F2">
        <w:t xml:space="preserve"> that</w:t>
      </w:r>
      <w:r w:rsidR="00A2602B">
        <w:t xml:space="preserve"> where </w:t>
      </w:r>
      <w:r w:rsidR="00860443">
        <w:t xml:space="preserve">a trader gives a name to a product intending </w:t>
      </w:r>
      <w:r w:rsidR="00CD4905">
        <w:t xml:space="preserve">for </w:t>
      </w:r>
      <w:r w:rsidR="00860443">
        <w:t xml:space="preserve">it to identify a product </w:t>
      </w:r>
      <w:r w:rsidR="00860443" w:rsidRPr="00860443">
        <w:rPr>
          <w:i/>
        </w:rPr>
        <w:t>within the brand</w:t>
      </w:r>
      <w:r w:rsidR="00860443">
        <w:t xml:space="preserve">, then the name can and does perform the function of a sub-brand </w:t>
      </w:r>
      <w:r w:rsidR="00811086">
        <w:t>–</w:t>
      </w:r>
      <w:r w:rsidR="00A17A58">
        <w:t xml:space="preserve"> </w:t>
      </w:r>
      <w:r w:rsidR="00860443">
        <w:t xml:space="preserve">then </w:t>
      </w:r>
      <w:r w:rsidR="00FF56F2">
        <w:t>all style names</w:t>
      </w:r>
      <w:r w:rsidR="00860443">
        <w:t xml:space="preserve"> constitute </w:t>
      </w:r>
      <w:r w:rsidR="00FF56F2">
        <w:t>sub-brand</w:t>
      </w:r>
      <w:r w:rsidR="00860443">
        <w:t>s.</w:t>
      </w:r>
      <w:r w:rsidR="00EF5977">
        <w:t xml:space="preserve"> </w:t>
      </w:r>
      <w:r w:rsidR="00860443">
        <w:t xml:space="preserve"> </w:t>
      </w:r>
      <w:r w:rsidR="00A2602B">
        <w:t>T</w:t>
      </w:r>
      <w:r w:rsidR="00860443">
        <w:t>hat is at odds with the reality of marketing in the women’s fashion industry</w:t>
      </w:r>
      <w:r w:rsidR="00FF56F2">
        <w:t xml:space="preserve"> </w:t>
      </w:r>
      <w:r w:rsidR="00860443">
        <w:t xml:space="preserve">and of the </w:t>
      </w:r>
      <w:r w:rsidR="00A2602B">
        <w:t xml:space="preserve">inference I have drawn that </w:t>
      </w:r>
      <w:r w:rsidR="00A2602B">
        <w:lastRenderedPageBreak/>
        <w:t>consumers are used to seeing women’s names used as style names</w:t>
      </w:r>
      <w:r w:rsidR="00860443">
        <w:t xml:space="preserve">.  I note again that </w:t>
      </w:r>
      <w:r w:rsidR="00D5113A">
        <w:t xml:space="preserve">Pinnacle itself used style names for its </w:t>
      </w:r>
      <w:r w:rsidR="00D5113A" w:rsidRPr="00923899">
        <w:t>products</w:t>
      </w:r>
      <w:r w:rsidR="00A2602B">
        <w:t xml:space="preserve"> and</w:t>
      </w:r>
      <w:r w:rsidR="00A17A58">
        <w:t xml:space="preserve"> </w:t>
      </w:r>
      <w:r w:rsidR="0086210D">
        <w:t xml:space="preserve">that </w:t>
      </w:r>
      <w:r w:rsidR="00A17A58">
        <w:t xml:space="preserve">many </w:t>
      </w:r>
      <w:r w:rsidR="00A17A58" w:rsidRPr="00923899">
        <w:t>of the style names which Pinnacle used</w:t>
      </w:r>
      <w:r w:rsidR="00A17A58">
        <w:t xml:space="preserve"> in relation to </w:t>
      </w:r>
      <w:r w:rsidR="00A17A58" w:rsidRPr="00923899">
        <w:t>DELPHINE Products</w:t>
      </w:r>
      <w:r w:rsidR="00A17A58">
        <w:t xml:space="preserve"> had been previously </w:t>
      </w:r>
      <w:r w:rsidR="00A17A58" w:rsidRPr="00923899">
        <w:t xml:space="preserve">registered as </w:t>
      </w:r>
      <w:r w:rsidR="00A17A58">
        <w:t xml:space="preserve">Australian </w:t>
      </w:r>
      <w:r w:rsidR="00A17A58" w:rsidRPr="00923899">
        <w:t>trade</w:t>
      </w:r>
      <w:r w:rsidR="00783FB3">
        <w:t xml:space="preserve"> </w:t>
      </w:r>
      <w:r w:rsidR="00A17A58" w:rsidRPr="00923899">
        <w:t xml:space="preserve">marks </w:t>
      </w:r>
      <w:r w:rsidR="00A17A58">
        <w:t xml:space="preserve">by other traders </w:t>
      </w:r>
      <w:r w:rsidR="00A17A58" w:rsidRPr="00923899">
        <w:t xml:space="preserve">in respect </w:t>
      </w:r>
      <w:r w:rsidR="00A17A58">
        <w:t xml:space="preserve">of </w:t>
      </w:r>
      <w:r w:rsidR="00A17A58" w:rsidRPr="00923899">
        <w:t>goods</w:t>
      </w:r>
      <w:r w:rsidR="00A17A58">
        <w:t xml:space="preserve"> in the same class</w:t>
      </w:r>
      <w:r w:rsidR="00A2602B">
        <w:t>.</w:t>
      </w:r>
      <w:r w:rsidR="003740B0">
        <w:t xml:space="preserve">  </w:t>
      </w:r>
    </w:p>
    <w:p w:rsidR="00DD3705" w:rsidRDefault="00486C60" w:rsidP="00DD3705">
      <w:pPr>
        <w:pStyle w:val="ParaNumbering"/>
        <w:tabs>
          <w:tab w:val="num" w:pos="720"/>
        </w:tabs>
        <w:ind w:left="0"/>
      </w:pPr>
      <w:r>
        <w:t xml:space="preserve">What </w:t>
      </w:r>
      <w:r w:rsidR="00D32DEA">
        <w:t xml:space="preserve">all </w:t>
      </w:r>
      <w:r w:rsidR="00B31FF9">
        <w:t>this shows up is that Dr Downes’</w:t>
      </w:r>
      <w:r w:rsidR="00177C16">
        <w:t xml:space="preserve"> </w:t>
      </w:r>
      <w:r w:rsidR="00BA0E82">
        <w:t xml:space="preserve">understanding </w:t>
      </w:r>
      <w:r w:rsidR="00177C16">
        <w:t xml:space="preserve">as to when use of </w:t>
      </w:r>
      <w:r w:rsidR="002D4C31">
        <w:t>a</w:t>
      </w:r>
      <w:r w:rsidR="00E6628A">
        <w:t xml:space="preserve"> </w:t>
      </w:r>
      <w:r w:rsidR="002D4C31">
        <w:t xml:space="preserve">product </w:t>
      </w:r>
      <w:r w:rsidR="00B6767E">
        <w:t xml:space="preserve">or style </w:t>
      </w:r>
      <w:r w:rsidR="002D4C31">
        <w:t>name</w:t>
      </w:r>
      <w:r w:rsidR="00E6628A">
        <w:t xml:space="preserve"> </w:t>
      </w:r>
      <w:r w:rsidR="00177C16">
        <w:t xml:space="preserve">constitutes use as </w:t>
      </w:r>
      <w:r w:rsidR="00B31FF9">
        <w:t>sub-brand</w:t>
      </w:r>
      <w:r w:rsidR="00E6628A">
        <w:t xml:space="preserve"> differs from </w:t>
      </w:r>
      <w:r w:rsidR="00B31FF9">
        <w:t>the</w:t>
      </w:r>
      <w:r w:rsidR="00526A1B">
        <w:t xml:space="preserve"> </w:t>
      </w:r>
      <w:r w:rsidR="00D32DEA">
        <w:t>requirements of the Act</w:t>
      </w:r>
      <w:r w:rsidR="00E6628A">
        <w:t xml:space="preserve"> regarding </w:t>
      </w:r>
      <w:r w:rsidR="00B31FF9">
        <w:t xml:space="preserve">what </w:t>
      </w:r>
      <w:r w:rsidR="002D4C31">
        <w:t xml:space="preserve">use </w:t>
      </w:r>
      <w:r w:rsidR="00A17A58">
        <w:t xml:space="preserve">of a name may </w:t>
      </w:r>
      <w:r w:rsidR="00B31FF9">
        <w:t xml:space="preserve">constitute use </w:t>
      </w:r>
      <w:r w:rsidR="00B31FF9" w:rsidRPr="00B6767E">
        <w:rPr>
          <w:i/>
        </w:rPr>
        <w:t>as a trade mark</w:t>
      </w:r>
      <w:r w:rsidR="00B31FF9">
        <w:t>.  Dr Downes</w:t>
      </w:r>
      <w:r w:rsidR="002D4C31">
        <w:t>’ opinion</w:t>
      </w:r>
      <w:r w:rsidR="00B31FF9">
        <w:t xml:space="preserve"> </w:t>
      </w:r>
      <w:r w:rsidR="00621FC3">
        <w:t xml:space="preserve">shifted at times but </w:t>
      </w:r>
      <w:r w:rsidR="00A17A58">
        <w:t>in the finish he</w:t>
      </w:r>
      <w:r w:rsidR="00621FC3">
        <w:t xml:space="preserve"> said that </w:t>
      </w:r>
      <w:r w:rsidR="00B31FF9">
        <w:t>a</w:t>
      </w:r>
      <w:r w:rsidR="007229D7">
        <w:t xml:space="preserve"> name</w:t>
      </w:r>
      <w:r w:rsidR="002D4C31">
        <w:t xml:space="preserve"> operates </w:t>
      </w:r>
      <w:r w:rsidR="00B31FF9">
        <w:t>as a sub-brand if a trader gives a name to a product</w:t>
      </w:r>
      <w:r w:rsidR="00BB1446">
        <w:t xml:space="preserve"> so as </w:t>
      </w:r>
      <w:r w:rsidR="00B37A32">
        <w:t>to</w:t>
      </w:r>
      <w:r w:rsidR="0047719E">
        <w:t xml:space="preserve"> identify and</w:t>
      </w:r>
      <w:r w:rsidR="00B37A32">
        <w:t xml:space="preserve"> differentiate between products </w:t>
      </w:r>
      <w:r w:rsidR="00B37A32" w:rsidRPr="0047719E">
        <w:rPr>
          <w:i/>
        </w:rPr>
        <w:t>within</w:t>
      </w:r>
      <w:r w:rsidR="00B37A32">
        <w:t xml:space="preserve"> the trader’s brand</w:t>
      </w:r>
      <w:r w:rsidR="00E6628A">
        <w:t>, whereas s</w:t>
      </w:r>
      <w:r w:rsidR="00B31FF9">
        <w:t xml:space="preserve"> 17 of the Act provides that a</w:t>
      </w:r>
      <w:r w:rsidR="00E6628A">
        <w:t xml:space="preserve"> name </w:t>
      </w:r>
      <w:r w:rsidR="00B31FF9">
        <w:t xml:space="preserve">is used as a trade mark when it is used to </w:t>
      </w:r>
      <w:r w:rsidR="00B31FF9" w:rsidRPr="0047719E">
        <w:t>distinguish</w:t>
      </w:r>
      <w:r w:rsidR="00B31FF9">
        <w:t xml:space="preserve"> the trader’s goods from the goods of other traders</w:t>
      </w:r>
      <w:r w:rsidR="007229D7">
        <w:t>.  The two are not the same.</w:t>
      </w:r>
    </w:p>
    <w:p w:rsidR="00470CCC" w:rsidRDefault="00A17A58" w:rsidP="003740B0">
      <w:pPr>
        <w:pStyle w:val="ParaNumbering"/>
        <w:tabs>
          <w:tab w:val="num" w:pos="720"/>
        </w:tabs>
        <w:ind w:left="0"/>
      </w:pPr>
      <w:r>
        <w:rPr>
          <w:i/>
        </w:rPr>
        <w:t>Sixth</w:t>
      </w:r>
      <w:r w:rsidR="00BB1446">
        <w:t xml:space="preserve">, </w:t>
      </w:r>
      <w:r w:rsidR="003740B0">
        <w:t xml:space="preserve">I accept </w:t>
      </w:r>
      <w:r w:rsidR="00BB1446">
        <w:t>Mr Saunders’</w:t>
      </w:r>
      <w:r w:rsidR="003740B0">
        <w:t xml:space="preserve"> evidence </w:t>
      </w:r>
      <w:r w:rsidR="00BB1446">
        <w:t>that consumers</w:t>
      </w:r>
      <w:r w:rsidR="003740B0">
        <w:t xml:space="preserve"> were </w:t>
      </w:r>
      <w:r w:rsidR="00BB1446">
        <w:t xml:space="preserve">unlikely to perceive DELPHINE to be a sub-brand of Triangl, and instead were likely to perceive it as a specific </w:t>
      </w:r>
      <w:r>
        <w:t xml:space="preserve">TRIANGL </w:t>
      </w:r>
      <w:r w:rsidR="00BB1446">
        <w:t>style being offered for sale</w:t>
      </w:r>
      <w:r w:rsidR="008B388A">
        <w:t xml:space="preserve"> in </w:t>
      </w:r>
      <w:r w:rsidR="00BB1446">
        <w:t>three different colours</w:t>
      </w:r>
      <w:r w:rsidR="008B388A">
        <w:t xml:space="preserve"> or patterns</w:t>
      </w:r>
      <w:r w:rsidR="00BB1446">
        <w:t>.</w:t>
      </w:r>
      <w:r w:rsidR="00B6767E">
        <w:t xml:space="preserve">  </w:t>
      </w:r>
      <w:r w:rsidR="00E13EDA">
        <w:t xml:space="preserve">He is experienced in the </w:t>
      </w:r>
      <w:r>
        <w:t xml:space="preserve">women’s fashion </w:t>
      </w:r>
      <w:r w:rsidR="00E13EDA">
        <w:t>industry, he gave clear evidence which did not shift, and his opinion</w:t>
      </w:r>
      <w:r w:rsidR="003740B0">
        <w:t xml:space="preserve"> marries better with what consumers are likely to have</w:t>
      </w:r>
      <w:r w:rsidR="006538CB">
        <w:t xml:space="preserve"> understood </w:t>
      </w:r>
      <w:r w:rsidR="003740B0">
        <w:t xml:space="preserve">from </w:t>
      </w:r>
      <w:r w:rsidR="0047719E">
        <w:t xml:space="preserve">the prominent </w:t>
      </w:r>
      <w:r w:rsidR="0047719E" w:rsidRPr="00BB1446">
        <w:t xml:space="preserve">TRIANGL </w:t>
      </w:r>
      <w:r w:rsidR="0047719E">
        <w:t xml:space="preserve">branding on the </w:t>
      </w:r>
      <w:r w:rsidR="003740B0">
        <w:t xml:space="preserve">TRIANGL </w:t>
      </w:r>
      <w:r w:rsidR="0047719E">
        <w:t>website and EDMs</w:t>
      </w:r>
      <w:r w:rsidR="003740B0">
        <w:t>, and the context in which they saw that marketing</w:t>
      </w:r>
      <w:r>
        <w:t xml:space="preserve">. </w:t>
      </w:r>
      <w:r w:rsidR="00E13EDA">
        <w:t xml:space="preserve"> </w:t>
      </w:r>
      <w:r>
        <w:t xml:space="preserve">His opinion also better </w:t>
      </w:r>
      <w:r w:rsidR="008B388A">
        <w:t xml:space="preserve">aligns </w:t>
      </w:r>
      <w:r w:rsidR="00470CCC">
        <w:t>with the evidence of Mr Ellis</w:t>
      </w:r>
      <w:r w:rsidR="00B358B9">
        <w:t xml:space="preserve"> and</w:t>
      </w:r>
      <w:r w:rsidR="00470CCC">
        <w:t xml:space="preserve"> Mr Bucoy</w:t>
      </w:r>
      <w:r w:rsidR="00B6767E">
        <w:t xml:space="preserve"> </w:t>
      </w:r>
      <w:r>
        <w:t>regarding the use of style names in women’s fashion</w:t>
      </w:r>
      <w:r w:rsidR="00B358B9">
        <w:t xml:space="preserve"> and</w:t>
      </w:r>
      <w:r>
        <w:t xml:space="preserve"> </w:t>
      </w:r>
      <w:r w:rsidR="00B6767E">
        <w:t>the inference</w:t>
      </w:r>
      <w:r w:rsidR="00B358B9">
        <w:t xml:space="preserve"> that</w:t>
      </w:r>
      <w:r w:rsidR="00B6767E">
        <w:t xml:space="preserve"> </w:t>
      </w:r>
      <w:r w:rsidR="00E13EDA">
        <w:t xml:space="preserve">I have drawn </w:t>
      </w:r>
      <w:r w:rsidR="00251D8B">
        <w:t>that</w:t>
      </w:r>
      <w:r w:rsidR="00251D8B" w:rsidRPr="00251D8B">
        <w:t xml:space="preserve"> </w:t>
      </w:r>
      <w:r w:rsidR="00251D8B">
        <w:t>consumers of women’s fashion</w:t>
      </w:r>
      <w:r w:rsidR="00B358B9">
        <w:t xml:space="preserve"> in Australia,</w:t>
      </w:r>
      <w:r w:rsidR="00251D8B">
        <w:t xml:space="preserve"> </w:t>
      </w:r>
      <w:r w:rsidR="00B6767E">
        <w:t>including swimwear</w:t>
      </w:r>
      <w:r w:rsidR="00B358B9">
        <w:t>,</w:t>
      </w:r>
      <w:r w:rsidR="00470CCC">
        <w:t xml:space="preserve"> </w:t>
      </w:r>
      <w:r w:rsidR="00251D8B">
        <w:t>are</w:t>
      </w:r>
      <w:r w:rsidR="003740B0">
        <w:t xml:space="preserve"> used </w:t>
      </w:r>
      <w:r w:rsidR="00251D8B">
        <w:t>to seeing style names</w:t>
      </w:r>
      <w:r>
        <w:t xml:space="preserve">, </w:t>
      </w:r>
      <w:r w:rsidR="00B358B9">
        <w:t>and in particular</w:t>
      </w:r>
      <w:r>
        <w:t xml:space="preserve"> women’s names,</w:t>
      </w:r>
      <w:r w:rsidR="00251D8B">
        <w:t xml:space="preserve"> </w:t>
      </w:r>
      <w:r w:rsidR="00B358B9">
        <w:t xml:space="preserve">being </w:t>
      </w:r>
      <w:r w:rsidR="00251D8B">
        <w:t xml:space="preserve">used to identify </w:t>
      </w:r>
      <w:r w:rsidR="0047719E">
        <w:t>and</w:t>
      </w:r>
      <w:r w:rsidR="00B6767E">
        <w:t xml:space="preserve"> differentiate </w:t>
      </w:r>
      <w:r w:rsidR="00251D8B">
        <w:t xml:space="preserve">between </w:t>
      </w:r>
      <w:r w:rsidR="003740B0">
        <w:t xml:space="preserve">a trader’s </w:t>
      </w:r>
      <w:r w:rsidR="00251D8B">
        <w:t>product</w:t>
      </w:r>
      <w:r w:rsidR="003740B0">
        <w:t xml:space="preserve"> line</w:t>
      </w:r>
      <w:r w:rsidR="00811086">
        <w:t>s</w:t>
      </w:r>
      <w:r w:rsidR="00251D8B">
        <w:t>.</w:t>
      </w:r>
      <w:r w:rsidR="00B6767E">
        <w:t xml:space="preserve">  </w:t>
      </w:r>
      <w:r w:rsidR="005C5EE5">
        <w:t>The fact that</w:t>
      </w:r>
      <w:r w:rsidR="00B6767E">
        <w:t xml:space="preserve"> both Mr Ellis and Mr Bucoy</w:t>
      </w:r>
      <w:r w:rsidR="005C5EE5">
        <w:t>, antagonists in the proceeding, agreed that style names</w:t>
      </w:r>
      <w:r w:rsidR="002D5772">
        <w:t xml:space="preserve"> do not</w:t>
      </w:r>
      <w:r w:rsidR="00AC0CA0">
        <w:t xml:space="preserve"> have </w:t>
      </w:r>
      <w:r w:rsidR="002D5772">
        <w:t xml:space="preserve">significance </w:t>
      </w:r>
      <w:r w:rsidR="005C5EE5">
        <w:t>in the marketing of women’s fashion carries</w:t>
      </w:r>
      <w:r w:rsidR="002D5772">
        <w:t xml:space="preserve"> </w:t>
      </w:r>
      <w:r w:rsidR="005C5EE5">
        <w:t>weight.</w:t>
      </w:r>
      <w:r w:rsidR="00621FC3" w:rsidRPr="00621FC3">
        <w:t xml:space="preserve"> </w:t>
      </w:r>
    </w:p>
    <w:p w:rsidR="00E13EDA" w:rsidRDefault="00E13EDA" w:rsidP="00B6767E">
      <w:pPr>
        <w:pStyle w:val="ParaNumbering"/>
        <w:tabs>
          <w:tab w:val="num" w:pos="720"/>
        </w:tabs>
        <w:ind w:left="0"/>
      </w:pPr>
      <w:r>
        <w:t>Pinnacle</w:t>
      </w:r>
      <w:r w:rsidR="00AC0CA0">
        <w:t xml:space="preserve"> failed to </w:t>
      </w:r>
      <w:r>
        <w:t xml:space="preserve">establish on the balance of probabilities that Triangl used, or intended to use DELPHINE to distinguish its goods dealt with or provided in the course of trade from goods or services so dealt with or provided by another trader. </w:t>
      </w:r>
      <w:r w:rsidR="00620ED2">
        <w:t xml:space="preserve"> </w:t>
      </w:r>
      <w:r>
        <w:t>It did not establish that Triangl’s</w:t>
      </w:r>
      <w:r w:rsidR="00AC0CA0">
        <w:t xml:space="preserve"> admitted</w:t>
      </w:r>
      <w:r>
        <w:t xml:space="preserve"> use </w:t>
      </w:r>
      <w:r w:rsidR="00EE435C">
        <w:t xml:space="preserve">of DELPHINE </w:t>
      </w:r>
      <w:r>
        <w:t xml:space="preserve">was use </w:t>
      </w:r>
      <w:r w:rsidRPr="00E13EDA">
        <w:rPr>
          <w:i/>
        </w:rPr>
        <w:t>as a trade mark</w:t>
      </w:r>
      <w:r w:rsidR="00EE435C">
        <w:rPr>
          <w:i/>
        </w:rPr>
        <w:t xml:space="preserve"> </w:t>
      </w:r>
      <w:r w:rsidR="00EE435C">
        <w:t>and it therefore did not make out its case of trade mark infringement</w:t>
      </w:r>
      <w:r>
        <w:t>.</w:t>
      </w:r>
      <w:r w:rsidR="00620ED2" w:rsidRPr="00620ED2">
        <w:t xml:space="preserve"> </w:t>
      </w:r>
    </w:p>
    <w:p w:rsidR="005F1A1C" w:rsidRDefault="005F1A1C" w:rsidP="005F1A1C">
      <w:pPr>
        <w:pStyle w:val="Heading1"/>
      </w:pPr>
      <w:r>
        <w:t>Damages</w:t>
      </w:r>
    </w:p>
    <w:p w:rsidR="005F1A1C" w:rsidRDefault="005F1A1C" w:rsidP="005F1A1C">
      <w:pPr>
        <w:pStyle w:val="ParaNumbering"/>
        <w:tabs>
          <w:tab w:val="num" w:pos="720"/>
        </w:tabs>
        <w:ind w:left="0"/>
      </w:pPr>
      <w:r>
        <w:t>Given my decision</w:t>
      </w:r>
      <w:r w:rsidR="003740B0">
        <w:t xml:space="preserve"> on liability </w:t>
      </w:r>
      <w:r>
        <w:t xml:space="preserve">it is </w:t>
      </w:r>
      <w:r w:rsidR="00EE435C">
        <w:t xml:space="preserve">strictly </w:t>
      </w:r>
      <w:r>
        <w:t xml:space="preserve">unnecessary to decide the question of damages.  </w:t>
      </w:r>
      <w:r w:rsidR="00EE435C">
        <w:t>But</w:t>
      </w:r>
      <w:r w:rsidR="007F5841">
        <w:t xml:space="preserve"> in case </w:t>
      </w:r>
      <w:r w:rsidR="00EE435C">
        <w:t xml:space="preserve">I am </w:t>
      </w:r>
      <w:r w:rsidR="003740B0">
        <w:t xml:space="preserve">held to be </w:t>
      </w:r>
      <w:r w:rsidR="00EE435C">
        <w:t xml:space="preserve">wrong in </w:t>
      </w:r>
      <w:r w:rsidR="003740B0">
        <w:t xml:space="preserve">reaching </w:t>
      </w:r>
      <w:r w:rsidR="00EE435C">
        <w:t>that view, and</w:t>
      </w:r>
      <w:r w:rsidR="007F5841">
        <w:t xml:space="preserve"> having regard to the fact that </w:t>
      </w:r>
      <w:r>
        <w:t>the issue was fully argued</w:t>
      </w:r>
      <w:r w:rsidR="00EE435C">
        <w:t xml:space="preserve">, I will also </w:t>
      </w:r>
      <w:r>
        <w:t>set out my view</w:t>
      </w:r>
      <w:r w:rsidR="00EE435C">
        <w:t>s</w:t>
      </w:r>
      <w:r>
        <w:t xml:space="preserve"> in</w:t>
      </w:r>
      <w:r w:rsidR="00EE435C">
        <w:t xml:space="preserve"> relation to damages</w:t>
      </w:r>
      <w:r>
        <w:t xml:space="preserve">.  </w:t>
      </w:r>
    </w:p>
    <w:p w:rsidR="005F1A1C" w:rsidRDefault="003740B0" w:rsidP="005F1A1C">
      <w:pPr>
        <w:pStyle w:val="ParaNumbering"/>
        <w:tabs>
          <w:tab w:val="num" w:pos="720"/>
        </w:tabs>
        <w:ind w:left="0"/>
      </w:pPr>
      <w:r>
        <w:lastRenderedPageBreak/>
        <w:t xml:space="preserve">On the assumption that Pinnacle succeeded in establishing an infringement of its trade mark, I consider </w:t>
      </w:r>
      <w:r w:rsidR="00811086">
        <w:t xml:space="preserve">that </w:t>
      </w:r>
      <w:r>
        <w:t xml:space="preserve">it showed, at best, an entitlement to only very modest </w:t>
      </w:r>
      <w:r w:rsidR="005F1A1C">
        <w:t>damage</w:t>
      </w:r>
      <w:r>
        <w:t>s</w:t>
      </w:r>
      <w:r w:rsidR="00EE435C">
        <w:t xml:space="preserve">. </w:t>
      </w:r>
    </w:p>
    <w:p w:rsidR="005F1A1C" w:rsidRDefault="005F1A1C" w:rsidP="005F1A1C">
      <w:pPr>
        <w:pStyle w:val="Heading2"/>
      </w:pPr>
      <w:r>
        <w:t>Damages for lost sales</w:t>
      </w:r>
    </w:p>
    <w:p w:rsidR="005F1A1C" w:rsidRPr="00A07F76" w:rsidRDefault="00EE435C" w:rsidP="005F1A1C">
      <w:pPr>
        <w:pStyle w:val="ParaNumbering"/>
        <w:tabs>
          <w:tab w:val="num" w:pos="720"/>
        </w:tabs>
        <w:ind w:left="0"/>
        <w:rPr>
          <w:szCs w:val="24"/>
          <w:lang w:eastAsia="en-AU"/>
        </w:rPr>
      </w:pPr>
      <w:r w:rsidRPr="00A07F76">
        <w:t>I</w:t>
      </w:r>
      <w:r w:rsidR="00D84688" w:rsidRPr="00A07F76">
        <w:t>t became</w:t>
      </w:r>
      <w:r w:rsidRPr="00A07F76">
        <w:t xml:space="preserve"> clear </w:t>
      </w:r>
      <w:r w:rsidR="00D84688" w:rsidRPr="00A07F76">
        <w:t xml:space="preserve">during the course of the hearing that </w:t>
      </w:r>
      <w:r w:rsidR="005F1A1C" w:rsidRPr="00A07F76">
        <w:t>Pinnacle did not</w:t>
      </w:r>
      <w:r w:rsidRPr="00A07F76">
        <w:t xml:space="preserve"> offer </w:t>
      </w:r>
      <w:r w:rsidR="005F1A1C" w:rsidRPr="00A07F76">
        <w:t xml:space="preserve">any </w:t>
      </w:r>
      <w:r w:rsidRPr="00A07F76">
        <w:t xml:space="preserve">DELPHINE </w:t>
      </w:r>
      <w:r w:rsidR="005F1A1C" w:rsidRPr="00A07F76">
        <w:t>swimwear</w:t>
      </w:r>
      <w:r w:rsidR="000C51CF" w:rsidRPr="00A07F76">
        <w:t xml:space="preserve"> </w:t>
      </w:r>
      <w:r w:rsidRPr="00A07F76">
        <w:t xml:space="preserve">for sale in the relevant period </w:t>
      </w:r>
      <w:r w:rsidR="000C51CF" w:rsidRPr="00A07F76">
        <w:t>(as noted above at [</w:t>
      </w:r>
      <w:r w:rsidR="001A2CF6" w:rsidRPr="00A07F76">
        <w:t>2</w:t>
      </w:r>
      <w:r w:rsidR="003740B0" w:rsidRPr="00A07F76">
        <w:t>8</w:t>
      </w:r>
      <w:r w:rsidR="000C51CF" w:rsidRPr="00A07F76">
        <w:t>])</w:t>
      </w:r>
      <w:r w:rsidR="005F1A1C" w:rsidRPr="00A07F76">
        <w:t>.</w:t>
      </w:r>
      <w:r w:rsidR="003740B0" w:rsidRPr="00A07F76">
        <w:t xml:space="preserve">  During that period it </w:t>
      </w:r>
      <w:r w:rsidR="005F1A1C" w:rsidRPr="00A07F76">
        <w:t>only sold two styles of one-piece leotard, neither of which was marketed as swimwear or</w:t>
      </w:r>
      <w:r w:rsidR="003740B0" w:rsidRPr="00A07F76">
        <w:t xml:space="preserve"> likely to be purchased </w:t>
      </w:r>
      <w:r w:rsidR="005F1A1C" w:rsidRPr="00A07F76">
        <w:t xml:space="preserve">for swimming. </w:t>
      </w:r>
      <w:r w:rsidR="00D84688" w:rsidRPr="00A07F76">
        <w:t xml:space="preserve"> </w:t>
      </w:r>
      <w:r w:rsidR="005F1A1C" w:rsidRPr="00A07F76">
        <w:t>Mr Bucoy accepted that the Weekend Warrior and Cross Over leotards were not substitutable for TRIANGL bikinis.  In opening the case</w:t>
      </w:r>
      <w:r w:rsidR="001A2CF6" w:rsidRPr="00A07F76">
        <w:t>,</w:t>
      </w:r>
      <w:r w:rsidR="005F1A1C" w:rsidRPr="00A07F76">
        <w:t xml:space="preserve"> Senior Counsel for Pinnacle said that</w:t>
      </w:r>
      <w:r w:rsidR="00D84688" w:rsidRPr="00A07F76">
        <w:t xml:space="preserve"> it </w:t>
      </w:r>
      <w:r w:rsidR="005F1A1C" w:rsidRPr="00A07F76">
        <w:t xml:space="preserve">was seeking </w:t>
      </w:r>
      <w:r w:rsidR="00AC0CA0">
        <w:t xml:space="preserve">only </w:t>
      </w:r>
      <w:r w:rsidR="005F1A1C" w:rsidRPr="00A07F76">
        <w:t xml:space="preserve">$2,500 in damages for lost sales and in a confidential annexure to his affidavit Mr Bucoy set out </w:t>
      </w:r>
      <w:r w:rsidR="00D84688" w:rsidRPr="00A07F76">
        <w:t xml:space="preserve">the </w:t>
      </w:r>
      <w:r w:rsidR="005F1A1C" w:rsidRPr="00A07F76">
        <w:t xml:space="preserve">basis upon which </w:t>
      </w:r>
      <w:r w:rsidRPr="00A07F76">
        <w:t xml:space="preserve">Pinnacle contended </w:t>
      </w:r>
      <w:r w:rsidR="005F1A1C" w:rsidRPr="00A07F76">
        <w:t>lost sales</w:t>
      </w:r>
      <w:r w:rsidRPr="00A07F76">
        <w:t xml:space="preserve"> should </w:t>
      </w:r>
      <w:r w:rsidR="00D84688" w:rsidRPr="00A07F76">
        <w:t xml:space="preserve">be </w:t>
      </w:r>
      <w:r w:rsidR="005F1A1C" w:rsidRPr="00A07F76">
        <w:t>calculated.  In cross</w:t>
      </w:r>
      <w:r w:rsidR="008118D9" w:rsidRPr="00A07F76">
        <w:t>-</w:t>
      </w:r>
      <w:r w:rsidR="005F1A1C" w:rsidRPr="00A07F76">
        <w:t>examination Mr Bucoy was unable to articulate a coherent basis for even that modest claim.  Ultimately, Pinnacle abandoned</w:t>
      </w:r>
      <w:r w:rsidR="003740B0" w:rsidRPr="00A07F76">
        <w:t xml:space="preserve"> the </w:t>
      </w:r>
      <w:r w:rsidR="005F1A1C" w:rsidRPr="00A07F76">
        <w:t>claim for</w:t>
      </w:r>
      <w:r w:rsidRPr="00A07F76">
        <w:t xml:space="preserve"> damages for</w:t>
      </w:r>
      <w:r w:rsidR="005F1A1C" w:rsidRPr="00A07F76">
        <w:t xml:space="preserve"> lost sales.</w:t>
      </w:r>
      <w:r w:rsidR="005F1A1C" w:rsidRPr="00A07F76">
        <w:rPr>
          <w:szCs w:val="24"/>
          <w:lang w:eastAsia="en-AU"/>
        </w:rPr>
        <w:t xml:space="preserve"> </w:t>
      </w:r>
    </w:p>
    <w:p w:rsidR="005F1A1C" w:rsidRDefault="005F1A1C" w:rsidP="005F1A1C">
      <w:pPr>
        <w:pStyle w:val="Heading2"/>
        <w:rPr>
          <w:lang w:eastAsia="en-AU"/>
        </w:rPr>
      </w:pPr>
      <w:r>
        <w:rPr>
          <w:lang w:eastAsia="en-AU"/>
        </w:rPr>
        <w:t>Damages for diminution of reputation</w:t>
      </w:r>
    </w:p>
    <w:p w:rsidR="005F1A1C" w:rsidRDefault="00D953CD" w:rsidP="005F1A1C">
      <w:pPr>
        <w:pStyle w:val="ParaNumbering"/>
        <w:tabs>
          <w:tab w:val="num" w:pos="720"/>
        </w:tabs>
        <w:ind w:left="0"/>
      </w:pPr>
      <w:r>
        <w:t>D</w:t>
      </w:r>
      <w:r w:rsidR="005F1A1C">
        <w:t>amages may be awarded under s 126(1) of the Act</w:t>
      </w:r>
      <w:r>
        <w:t xml:space="preserve"> for loss of reputation in a trade mark</w:t>
      </w:r>
      <w:r w:rsidR="005F1A1C">
        <w:t xml:space="preserve">.  Pinnacle sought damages for diminution of </w:t>
      </w:r>
      <w:r w:rsidR="00D84688">
        <w:t xml:space="preserve">DELPHINE’s </w:t>
      </w:r>
      <w:r w:rsidR="005F1A1C">
        <w:t>reputation for originality</w:t>
      </w:r>
      <w:r w:rsidR="00334CB2">
        <w:t>,</w:t>
      </w:r>
      <w:r w:rsidR="005F1A1C">
        <w:t xml:space="preserve"> not any reputation it had for any specific one or more of its trade</w:t>
      </w:r>
      <w:r w:rsidR="00783FB3">
        <w:t xml:space="preserve"> </w:t>
      </w:r>
      <w:r w:rsidR="005F1A1C">
        <w:t>marked goods</w:t>
      </w:r>
      <w:r w:rsidR="00EE435C">
        <w:t xml:space="preserve">: see </w:t>
      </w:r>
      <w:r w:rsidR="005F1A1C">
        <w:rPr>
          <w:i/>
        </w:rPr>
        <w:t>Review Australia Pty Ltd v Innovative Lifestyle Investments Pty Ltd</w:t>
      </w:r>
      <w:r w:rsidR="005F1A1C">
        <w:t xml:space="preserve"> </w:t>
      </w:r>
      <w:r w:rsidR="009F0A31">
        <w:t xml:space="preserve">[2008] FCA 74; </w:t>
      </w:r>
      <w:r w:rsidR="005F1A1C">
        <w:t xml:space="preserve">(2008) 166 FCR 358 at [30]-[31].  </w:t>
      </w:r>
    </w:p>
    <w:p w:rsidR="005F1A1C" w:rsidRDefault="005F1A1C" w:rsidP="005F1A1C">
      <w:pPr>
        <w:pStyle w:val="ParaNumbering"/>
        <w:tabs>
          <w:tab w:val="num" w:pos="720"/>
        </w:tabs>
        <w:ind w:left="0"/>
      </w:pPr>
      <w:r>
        <w:t xml:space="preserve">As Gordon J explained in </w:t>
      </w:r>
      <w:r>
        <w:rPr>
          <w:i/>
          <w:iCs/>
        </w:rPr>
        <w:t>GM Holden Ltd v Paine</w:t>
      </w:r>
      <w:r>
        <w:t xml:space="preserve"> [2011] FCA 569; (2011) 281 ALR 406 at [90]:</w:t>
      </w:r>
    </w:p>
    <w:p w:rsidR="005F1A1C" w:rsidRDefault="005F1A1C" w:rsidP="005F1A1C">
      <w:pPr>
        <w:pStyle w:val="Quote1"/>
      </w:pPr>
      <w:r>
        <w:t>Where reputational damages are sought, evidence is usually led to establish: (a) the importance of singularity, distinctiveness, quality or some other commercially valuable aspect of reputation to the victim; and (b) how, and to what extent, the infringing product or conduct damaged that aspect of the victim’s reputation.</w:t>
      </w:r>
    </w:p>
    <w:p w:rsidR="005F1A1C" w:rsidRDefault="005F1A1C" w:rsidP="0045682F">
      <w:pPr>
        <w:pStyle w:val="Quote1"/>
        <w:spacing w:after="240"/>
      </w:pPr>
      <w:r>
        <w:t xml:space="preserve">(Footnotes omitted.) </w:t>
      </w:r>
    </w:p>
    <w:p w:rsidR="005F1A1C" w:rsidRDefault="005F1A1C" w:rsidP="005F1A1C">
      <w:pPr>
        <w:pStyle w:val="ParaNumbering"/>
        <w:tabs>
          <w:tab w:val="num" w:pos="720"/>
        </w:tabs>
        <w:ind w:left="0"/>
      </w:pPr>
      <w:r>
        <w:t>In support of its claim for reputational damages Pinnacle submitted</w:t>
      </w:r>
      <w:r w:rsidR="00EE435C">
        <w:t xml:space="preserve"> </w:t>
      </w:r>
      <w:r>
        <w:t>that at the time of the infringing conduct:</w:t>
      </w:r>
    </w:p>
    <w:p w:rsidR="005F1A1C" w:rsidRDefault="005F1A1C" w:rsidP="0045682F">
      <w:pPr>
        <w:pStyle w:val="ListNo1"/>
        <w:numPr>
          <w:ilvl w:val="0"/>
          <w:numId w:val="44"/>
        </w:numPr>
      </w:pPr>
      <w:r>
        <w:t>it had operated a business in Australia under the DELPHINE Trade Mark since in or around August 2015 providing women’s fashion, including some swimwear;</w:t>
      </w:r>
    </w:p>
    <w:p w:rsidR="005F1A1C" w:rsidRDefault="005F1A1C" w:rsidP="0045682F">
      <w:pPr>
        <w:pStyle w:val="ListNo1"/>
        <w:numPr>
          <w:ilvl w:val="0"/>
          <w:numId w:val="44"/>
        </w:numPr>
      </w:pPr>
      <w:r>
        <w:t>from around August 2015 it put considerable effort into the launch of the DELPHINE brand, including through online promotion and commercial discussions; and</w:t>
      </w:r>
    </w:p>
    <w:p w:rsidR="005F1A1C" w:rsidRDefault="005F1A1C" w:rsidP="0045682F">
      <w:pPr>
        <w:pStyle w:val="ListNo1"/>
        <w:numPr>
          <w:ilvl w:val="0"/>
          <w:numId w:val="44"/>
        </w:numPr>
      </w:pPr>
      <w:r>
        <w:lastRenderedPageBreak/>
        <w:t xml:space="preserve">it </w:t>
      </w:r>
      <w:r w:rsidR="00DC52F9">
        <w:t xml:space="preserve">had </w:t>
      </w:r>
      <w:r>
        <w:t>registered the DELPHINE Trade Mark in Australia, New Zealand, the United States and the United Kingdom.</w:t>
      </w:r>
    </w:p>
    <w:p w:rsidR="00EE435C" w:rsidRDefault="00EE435C" w:rsidP="005F1A1C">
      <w:pPr>
        <w:pStyle w:val="NoNum"/>
      </w:pPr>
      <w:r>
        <w:t xml:space="preserve">I accept those submissions.  </w:t>
      </w:r>
    </w:p>
    <w:p w:rsidR="00EE435C" w:rsidRDefault="005F1A1C" w:rsidP="001A2CF6">
      <w:pPr>
        <w:pStyle w:val="ParaNumbering"/>
        <w:tabs>
          <w:tab w:val="num" w:pos="720"/>
        </w:tabs>
        <w:ind w:left="0"/>
      </w:pPr>
      <w:r>
        <w:t>Pinnacle</w:t>
      </w:r>
      <w:r w:rsidR="00D953CD">
        <w:t xml:space="preserve"> contended </w:t>
      </w:r>
      <w:r>
        <w:t xml:space="preserve">that the modesty of </w:t>
      </w:r>
      <w:r w:rsidR="00EE435C">
        <w:t xml:space="preserve">its </w:t>
      </w:r>
      <w:r>
        <w:t xml:space="preserve">sales of DELPHINE swimwear </w:t>
      </w:r>
      <w:r w:rsidR="00EE435C">
        <w:t xml:space="preserve">during the relevant period </w:t>
      </w:r>
      <w:r>
        <w:t>was not critical to this head of damage as the claim focused on Pinnacle’s reputation for providing various uniquely branded women’s fashion goods.</w:t>
      </w:r>
      <w:r w:rsidR="00334CB2">
        <w:t xml:space="preserve"> </w:t>
      </w:r>
      <w:r w:rsidR="00EE435C">
        <w:t xml:space="preserve"> I </w:t>
      </w:r>
      <w:r w:rsidR="00D953CD">
        <w:t xml:space="preserve">broadly </w:t>
      </w:r>
      <w:r w:rsidR="00EE435C">
        <w:t>accept that submission</w:t>
      </w:r>
      <w:r w:rsidR="00AC0CA0">
        <w:t xml:space="preserve"> too</w:t>
      </w:r>
      <w:r w:rsidR="00EE435C">
        <w:t xml:space="preserve">.  </w:t>
      </w:r>
    </w:p>
    <w:p w:rsidR="005F1A1C" w:rsidRDefault="00EE435C" w:rsidP="001A2CF6">
      <w:pPr>
        <w:pStyle w:val="ParaNumbering"/>
        <w:tabs>
          <w:tab w:val="num" w:pos="720"/>
        </w:tabs>
        <w:ind w:left="0"/>
      </w:pPr>
      <w:r>
        <w:t>Pinnacle</w:t>
      </w:r>
      <w:r w:rsidR="00AC0CA0">
        <w:t xml:space="preserve"> submitted </w:t>
      </w:r>
      <w:r w:rsidR="005F1A1C">
        <w:t>that an award of $10,000</w:t>
      </w:r>
      <w:r w:rsidR="00D953CD">
        <w:t xml:space="preserve"> was </w:t>
      </w:r>
      <w:r w:rsidR="005F1A1C">
        <w:t>appropriate</w:t>
      </w:r>
      <w:r w:rsidR="00D953CD">
        <w:t xml:space="preserve"> for this head of damage</w:t>
      </w:r>
      <w:r w:rsidR="005F1A1C">
        <w:t>.</w:t>
      </w:r>
      <w:r w:rsidR="00D953CD">
        <w:t xml:space="preserve"> </w:t>
      </w:r>
      <w:r w:rsidR="00811086">
        <w:t xml:space="preserve"> </w:t>
      </w:r>
      <w:r w:rsidR="00D953CD">
        <w:t>I disagree.</w:t>
      </w:r>
    </w:p>
    <w:p w:rsidR="005F1A1C" w:rsidRDefault="005F1A1C" w:rsidP="00D84688">
      <w:pPr>
        <w:pStyle w:val="ParaNumbering"/>
        <w:tabs>
          <w:tab w:val="num" w:pos="720"/>
        </w:tabs>
        <w:ind w:left="0"/>
      </w:pPr>
      <w:r>
        <w:t xml:space="preserve">In </w:t>
      </w:r>
      <w:r w:rsidRPr="00D84688">
        <w:rPr>
          <w:i/>
        </w:rPr>
        <w:t>Facton Ltd v Rifai Fashions Pty Ltd</w:t>
      </w:r>
      <w:r>
        <w:t xml:space="preserve"> [2012] FCAFC 9;</w:t>
      </w:r>
      <w:r w:rsidR="00D51167">
        <w:t xml:space="preserve"> </w:t>
      </w:r>
      <w:r>
        <w:t xml:space="preserve">(2012) </w:t>
      </w:r>
      <w:r w:rsidR="00A07F76">
        <w:t xml:space="preserve">199 </w:t>
      </w:r>
      <w:r>
        <w:t>FCR 569 (</w:t>
      </w:r>
      <w:r w:rsidRPr="00D84688">
        <w:rPr>
          <w:b/>
          <w:i/>
        </w:rPr>
        <w:t>Facton</w:t>
      </w:r>
      <w:r>
        <w:t>) (Lander, Gilmour and Gordon JJ) the Full Court</w:t>
      </w:r>
      <w:r w:rsidR="00D84688">
        <w:t xml:space="preserve"> dealt with </w:t>
      </w:r>
      <w:r>
        <w:t>an appeal</w:t>
      </w:r>
      <w:r w:rsidR="00D84688">
        <w:t xml:space="preserve"> from a refusal </w:t>
      </w:r>
      <w:r>
        <w:t>t</w:t>
      </w:r>
      <w:r w:rsidR="00380D45">
        <w:t xml:space="preserve">o order reputational damages.  </w:t>
      </w:r>
      <w:r w:rsidR="00D84688">
        <w:t xml:space="preserve">The facts </w:t>
      </w:r>
      <w:r w:rsidR="00DC52F9">
        <w:t xml:space="preserve">in that case were </w:t>
      </w:r>
      <w:r>
        <w:t xml:space="preserve">that </w:t>
      </w:r>
      <w:r w:rsidR="00D84688">
        <w:t>the Facton</w:t>
      </w:r>
      <w:r>
        <w:t xml:space="preserve"> </w:t>
      </w:r>
      <w:r w:rsidR="00D84688">
        <w:t xml:space="preserve">parties </w:t>
      </w:r>
      <w:r>
        <w:t>owned various Australian “G-Star” trade</w:t>
      </w:r>
      <w:r w:rsidR="00783FB3">
        <w:t xml:space="preserve"> </w:t>
      </w:r>
      <w:r>
        <w:t xml:space="preserve">marks, and the respondents imported and sold counterfeit “G-Star” branded apparel at a market stall they operated. </w:t>
      </w:r>
      <w:r w:rsidR="00334CB2">
        <w:t xml:space="preserve"> </w:t>
      </w:r>
      <w:r>
        <w:t xml:space="preserve">The evidence showed that the respondents had sold approximately 140 counterfeit items but </w:t>
      </w:r>
      <w:r w:rsidR="00D84688">
        <w:t xml:space="preserve">the </w:t>
      </w:r>
      <w:r>
        <w:t>primary judge said that the number of items the respondents actually sold was likely to be significantly greater than</w:t>
      </w:r>
      <w:r w:rsidR="000273F0">
        <w:t xml:space="preserve"> that.  Amongst other things, </w:t>
      </w:r>
      <w:r>
        <w:t xml:space="preserve">the evidence showed that the respondents had imported a further 2,857 items of G-Star branded apparel which had been seized by Australian customs. </w:t>
      </w:r>
    </w:p>
    <w:p w:rsidR="005F1A1C" w:rsidRDefault="000273F0" w:rsidP="005F1A1C">
      <w:pPr>
        <w:pStyle w:val="ParaNumbering"/>
        <w:tabs>
          <w:tab w:val="num" w:pos="720"/>
        </w:tabs>
        <w:ind w:left="0"/>
      </w:pPr>
      <w:r>
        <w:t xml:space="preserve">The primary judge found that </w:t>
      </w:r>
      <w:r w:rsidR="005F1A1C">
        <w:t>G-Star Australia had a very substantial turnover which was to a significant degree generated by and reliant on the</w:t>
      </w:r>
      <w:r>
        <w:t xml:space="preserve"> reputation of the G-Star brand</w:t>
      </w:r>
      <w:r w:rsidR="00696E36">
        <w:t xml:space="preserve">; </w:t>
      </w:r>
      <w:r>
        <w:t xml:space="preserve">that </w:t>
      </w:r>
      <w:r w:rsidR="005F1A1C">
        <w:t>G-Star had established a substantial, exclusive and valuable reputation in Australia in relation to their trade</w:t>
      </w:r>
      <w:r w:rsidR="00B139AE">
        <w:t xml:space="preserve"> </w:t>
      </w:r>
      <w:r w:rsidR="005F1A1C">
        <w:t>marks, brand an</w:t>
      </w:r>
      <w:r>
        <w:t>d goods</w:t>
      </w:r>
      <w:r w:rsidR="00D84688">
        <w:t>;</w:t>
      </w:r>
      <w:r>
        <w:t xml:space="preserve"> that </w:t>
      </w:r>
      <w:r w:rsidR="005F1A1C">
        <w:t>G-Star’s brand would be diminished by the sale of the counterfeit items</w:t>
      </w:r>
      <w:r w:rsidR="00D84688">
        <w:t>;</w:t>
      </w:r>
      <w:r w:rsidR="005F1A1C">
        <w:t xml:space="preserve"> and that customers would be lost because G-Star goods would no</w:t>
      </w:r>
      <w:r>
        <w:t xml:space="preserve"> longer be considered exclusive</w:t>
      </w:r>
      <w:r w:rsidR="005F1A1C">
        <w:t>: see</w:t>
      </w:r>
      <w:r w:rsidR="005F1A1C" w:rsidRPr="000273F0">
        <w:rPr>
          <w:i/>
        </w:rPr>
        <w:t xml:space="preserve"> Facton </w:t>
      </w:r>
      <w:r w:rsidR="005F1A1C">
        <w:t xml:space="preserve">at [118]-[119].  </w:t>
      </w:r>
      <w:r>
        <w:t xml:space="preserve">Notwithstanding this, in the absence of evidence as to the value of the </w:t>
      </w:r>
      <w:r w:rsidR="00696E36">
        <w:t xml:space="preserve">Facton parties’ </w:t>
      </w:r>
      <w:r>
        <w:t>goodwill and reputation the primary judge was not prepared to speculate and declined to order damages</w:t>
      </w:r>
      <w:r w:rsidR="00696E36">
        <w:t xml:space="preserve"> for diminution of reputation</w:t>
      </w:r>
      <w:r w:rsidR="00D84688">
        <w:t xml:space="preserve">: </w:t>
      </w:r>
      <w:r w:rsidR="00D84688" w:rsidRPr="005D3099">
        <w:rPr>
          <w:i/>
        </w:rPr>
        <w:t>Facton</w:t>
      </w:r>
      <w:r w:rsidR="00D84688">
        <w:t xml:space="preserve"> at [26]</w:t>
      </w:r>
      <w:r>
        <w:t>.</w:t>
      </w:r>
    </w:p>
    <w:p w:rsidR="005F1A1C" w:rsidRDefault="000273F0" w:rsidP="005F1A1C">
      <w:pPr>
        <w:pStyle w:val="ParaNumbering"/>
        <w:tabs>
          <w:tab w:val="num" w:pos="720"/>
        </w:tabs>
        <w:ind w:left="0"/>
      </w:pPr>
      <w:r>
        <w:t xml:space="preserve">In separate judgments the Full Court disagreed with the primary judge’s approach.  </w:t>
      </w:r>
      <w:r w:rsidR="005F1A1C">
        <w:t>Lander and Gordon JJ</w:t>
      </w:r>
      <w:r>
        <w:t xml:space="preserve"> said </w:t>
      </w:r>
      <w:r w:rsidR="005F1A1C">
        <w:t>(at [27])</w:t>
      </w:r>
      <w:r>
        <w:t xml:space="preserve"> that </w:t>
      </w:r>
      <w:r w:rsidR="005F1A1C">
        <w:t xml:space="preserve">they could not think of any further evidence that </w:t>
      </w:r>
      <w:r w:rsidR="00696E36">
        <w:t>the Facton</w:t>
      </w:r>
      <w:r w:rsidR="005F1A1C">
        <w:t xml:space="preserve"> </w:t>
      </w:r>
      <w:r w:rsidR="00696E36">
        <w:t xml:space="preserve">parties </w:t>
      </w:r>
      <w:r w:rsidR="005F1A1C">
        <w:t>could have produced in relation to the damage to their reputation</w:t>
      </w:r>
      <w:r w:rsidR="00D84688">
        <w:t>.  Their Honours</w:t>
      </w:r>
      <w:r>
        <w:t xml:space="preserve"> said the following </w:t>
      </w:r>
      <w:r w:rsidR="005F1A1C">
        <w:t>(at [28]):</w:t>
      </w:r>
    </w:p>
    <w:p w:rsidR="005F1A1C" w:rsidRDefault="005F1A1C" w:rsidP="005F1A1C">
      <w:pPr>
        <w:pStyle w:val="Quote1"/>
      </w:pPr>
      <w:r>
        <w:lastRenderedPageBreak/>
        <w:t xml:space="preserve">It is not easy in any given case to establish a reputation and to identify in monetary terms the value of the loss of that reputation. However, in our opinion the appellants established the former, and the Court was obliged to consider the latter: </w:t>
      </w:r>
      <w:r>
        <w:rPr>
          <w:i/>
        </w:rPr>
        <w:t xml:space="preserve">Enzed Holdings Ltd v Wynthea Pty Ltd </w:t>
      </w:r>
      <w:r>
        <w:t xml:space="preserve">(1984) 4 FCR 450. In </w:t>
      </w:r>
      <w:r>
        <w:rPr>
          <w:i/>
        </w:rPr>
        <w:t>The Commonwealth of Australia v Amann Aviation Pty Ltd</w:t>
      </w:r>
      <w:r>
        <w:t xml:space="preserve"> (1991) 174 CLR 64 at 83, Mason CJ and Dawson J said:</w:t>
      </w:r>
    </w:p>
    <w:p w:rsidR="005F1A1C" w:rsidRDefault="005F1A1C" w:rsidP="005F1A1C">
      <w:pPr>
        <w:pStyle w:val="Quote2"/>
      </w:pPr>
      <w:r>
        <w:t xml:space="preserve">The settled rule, both here and in England, is that mere difficulty in estimating damages does not relieve a court from the responsibility of estimating them as best it can. Indeed, in </w:t>
      </w:r>
      <w:r>
        <w:rPr>
          <w:i/>
        </w:rPr>
        <w:t xml:space="preserve">Jones v. Schiffmann </w:t>
      </w:r>
      <w:r>
        <w:t xml:space="preserve">Menzies J. went so far as to say that the “assessment of damages … does sometimes, of necessity involve what is guess work rather than estimation”. Where precise evidence is not available the court must do the best it can. And uncertainty as to the profits to be derived from a business by reason of contingencies is not a reason for a court refusing to assess damages. </w:t>
      </w:r>
    </w:p>
    <w:p w:rsidR="005F1A1C" w:rsidRDefault="005F1A1C" w:rsidP="0045682F">
      <w:pPr>
        <w:pStyle w:val="Quote2"/>
        <w:spacing w:after="240"/>
      </w:pPr>
      <w:r>
        <w:t>(Footnotes omitted.)</w:t>
      </w:r>
    </w:p>
    <w:p w:rsidR="005F1A1C" w:rsidRDefault="005F1A1C" w:rsidP="005F1A1C">
      <w:pPr>
        <w:pStyle w:val="ParaNumbering"/>
        <w:tabs>
          <w:tab w:val="num" w:pos="720"/>
        </w:tabs>
        <w:ind w:left="0"/>
      </w:pPr>
      <w:r>
        <w:t>Gilmour J said (at [122]-[123]):</w:t>
      </w:r>
    </w:p>
    <w:p w:rsidR="005F1A1C" w:rsidRDefault="00423C55" w:rsidP="00423C55">
      <w:pPr>
        <w:pStyle w:val="Quote1"/>
        <w:ind w:left="1418" w:hanging="681"/>
      </w:pPr>
      <w:r>
        <w:t>[122]</w:t>
      </w:r>
      <w:r>
        <w:tab/>
      </w:r>
      <w:r w:rsidR="005F1A1C">
        <w:t>Damages for loss of reputation were awarded without the requirement of any such “evidentiary starting point” by:</w:t>
      </w:r>
    </w:p>
    <w:p w:rsidR="005F1A1C" w:rsidRDefault="00423C55" w:rsidP="00423C55">
      <w:pPr>
        <w:pStyle w:val="Quote2"/>
        <w:ind w:left="2160" w:hanging="720"/>
      </w:pPr>
      <w:r>
        <w:t>(a)</w:t>
      </w:r>
      <w:r>
        <w:tab/>
      </w:r>
      <w:r w:rsidR="005F1A1C">
        <w:t xml:space="preserve">Jessup J in </w:t>
      </w:r>
      <w:r w:rsidR="005F1A1C">
        <w:rPr>
          <w:i/>
        </w:rPr>
        <w:t>Review Australia Pty Ltd v Innovative Lifestyle Investments Pty Ltd</w:t>
      </w:r>
      <w:r w:rsidR="005F1A1C">
        <w:t xml:space="preserve"> (2008) 166 FCR 358 at [30] where his Honour proceeded on the basis of evidence from the applicant’s director that the applicant “put considerable value by the perceived originality of its garments. It was an important aspect of the applicant’s image in the market”;</w:t>
      </w:r>
    </w:p>
    <w:p w:rsidR="005F1A1C" w:rsidRDefault="00423C55" w:rsidP="00423C55">
      <w:pPr>
        <w:pStyle w:val="Quote2"/>
        <w:ind w:left="2160" w:hanging="720"/>
      </w:pPr>
      <w:r>
        <w:t>(b)</w:t>
      </w:r>
      <w:r>
        <w:tab/>
      </w:r>
      <w:r w:rsidR="005F1A1C">
        <w:t xml:space="preserve">Kenny J in </w:t>
      </w:r>
      <w:r w:rsidR="005F1A1C">
        <w:rPr>
          <w:i/>
        </w:rPr>
        <w:t>Review Australia v New Cover</w:t>
      </w:r>
      <w:r w:rsidR="005F1A1C">
        <w:t xml:space="preserve">, where her Honour proceeded on the basis that the applicant ‘put substantial value on its image as “very feminine, girly, sort of romantic” – an image achieved through its designs’ and that ‘it was plain enough that “exclusivity” (and design “freshness”) was of commercial value since . . . Review did not sell through other branded stores because it was not seen as “part of its business strategy”’; </w:t>
      </w:r>
    </w:p>
    <w:p w:rsidR="005F1A1C" w:rsidRDefault="00423C55" w:rsidP="00423C55">
      <w:pPr>
        <w:pStyle w:val="Quote2"/>
        <w:ind w:left="2160" w:hanging="720"/>
      </w:pPr>
      <w:r>
        <w:t>(c)</w:t>
      </w:r>
      <w:r>
        <w:tab/>
      </w:r>
      <w:r w:rsidR="005F1A1C">
        <w:t xml:space="preserve">Gordon J in </w:t>
      </w:r>
      <w:r w:rsidR="005F1A1C">
        <w:rPr>
          <w:i/>
        </w:rPr>
        <w:t>Elwood v Cotton On</w:t>
      </w:r>
      <w:r w:rsidR="005F1A1C">
        <w:t xml:space="preserve">, where her Honour noted that the applicant had adduced no evidence of the damage it allegedly suffered to its reputation by reason of the infringement of its copyright, but proceeded to speculate as to what was the commercially valuable aspect of the applicant’s reputation and how, and to what extent was it damaged by the conduct of the respondent; </w:t>
      </w:r>
    </w:p>
    <w:p w:rsidR="005F1A1C" w:rsidRDefault="00423C55" w:rsidP="00423C55">
      <w:pPr>
        <w:pStyle w:val="Quote2"/>
        <w:ind w:left="2160" w:hanging="720"/>
      </w:pPr>
      <w:r>
        <w:t>(d)</w:t>
      </w:r>
      <w:r>
        <w:tab/>
      </w:r>
      <w:r w:rsidR="005F1A1C">
        <w:t xml:space="preserve">Gordon J in </w:t>
      </w:r>
      <w:r w:rsidR="005F1A1C">
        <w:rPr>
          <w:i/>
        </w:rPr>
        <w:t>GM Holden Ltd v Paine</w:t>
      </w:r>
      <w:r w:rsidR="005F1A1C">
        <w:t>, where her Honour proceeded on the basis of the applicant’s evidence as to the reputation established in the Holden brand as a result of longstanding investment in creating exclusive designs, by which “the applicants have developed a substantial reputation in Australia for its innovative and exclusive wheel designs”.</w:t>
      </w:r>
    </w:p>
    <w:p w:rsidR="005F1A1C" w:rsidRDefault="005F1A1C" w:rsidP="00423C55">
      <w:pPr>
        <w:pStyle w:val="Quote1"/>
        <w:spacing w:after="240"/>
        <w:ind w:left="1417" w:hanging="680"/>
      </w:pPr>
      <w:r>
        <w:t>[123]</w:t>
      </w:r>
      <w:r w:rsidR="00423C55">
        <w:tab/>
      </w:r>
      <w:r>
        <w:t>…</w:t>
      </w:r>
      <w:r w:rsidR="00257EAF">
        <w:t xml:space="preserve"> </w:t>
      </w:r>
      <w:r>
        <w:t>I accept the appellants’ submissions that on this issue, the trial judge had received as much if not more evidence from the appellants as was adduced by the applicants in any of</w:t>
      </w:r>
      <w:r>
        <w:rPr>
          <w:i/>
        </w:rPr>
        <w:t xml:space="preserve"> Review v Innovative</w:t>
      </w:r>
      <w:r>
        <w:t xml:space="preserve">, </w:t>
      </w:r>
      <w:r>
        <w:rPr>
          <w:i/>
        </w:rPr>
        <w:t>Review v New Cover</w:t>
      </w:r>
      <w:r>
        <w:t xml:space="preserve">, </w:t>
      </w:r>
      <w:r>
        <w:rPr>
          <w:i/>
        </w:rPr>
        <w:t xml:space="preserve">Elwood v Cotton On </w:t>
      </w:r>
      <w:r>
        <w:t xml:space="preserve">or </w:t>
      </w:r>
      <w:r>
        <w:rPr>
          <w:i/>
        </w:rPr>
        <w:t>GM Holden v Paine</w:t>
      </w:r>
      <w:r w:rsidR="001D6860">
        <w:t xml:space="preserve"> </w:t>
      </w:r>
      <w:r>
        <w:t>…</w:t>
      </w:r>
    </w:p>
    <w:p w:rsidR="00D84688" w:rsidRDefault="005F1A1C" w:rsidP="000273F0">
      <w:pPr>
        <w:pStyle w:val="NoNum"/>
      </w:pPr>
      <w:r>
        <w:lastRenderedPageBreak/>
        <w:t>Gilmour J held (at [127]) that the primary judge erred by requiring, as a precondition to damages for loss of reputation, that the appellants must provide further, unspecified, evidence as to the value of their reputation and goodwill.</w:t>
      </w:r>
      <w:r w:rsidR="000273F0">
        <w:t xml:space="preserve"> </w:t>
      </w:r>
    </w:p>
    <w:p w:rsidR="002D1D54" w:rsidRDefault="00696E36" w:rsidP="005D3099">
      <w:pPr>
        <w:pStyle w:val="ParaNumbering"/>
        <w:tabs>
          <w:tab w:val="num" w:pos="720"/>
        </w:tabs>
        <w:ind w:left="0"/>
      </w:pPr>
      <w:r>
        <w:t xml:space="preserve">Even so, the </w:t>
      </w:r>
      <w:r w:rsidR="005F1A1C">
        <w:t>Full Court</w:t>
      </w:r>
      <w:r w:rsidR="00D84688">
        <w:t xml:space="preserve"> </w:t>
      </w:r>
      <w:r w:rsidR="000273F0">
        <w:t>awarded</w:t>
      </w:r>
      <w:r w:rsidR="00D84688">
        <w:t xml:space="preserve"> </w:t>
      </w:r>
      <w:r w:rsidR="005D3099">
        <w:t xml:space="preserve">only </w:t>
      </w:r>
      <w:r w:rsidR="000273F0">
        <w:t xml:space="preserve">$5,000 </w:t>
      </w:r>
      <w:r w:rsidR="005F1A1C">
        <w:t>damages for loss of value in reputation</w:t>
      </w:r>
      <w:r>
        <w:t>.</w:t>
      </w:r>
      <w:r w:rsidR="00294124">
        <w:t xml:space="preserve"> </w:t>
      </w:r>
      <w:r>
        <w:t xml:space="preserve"> Their Honours took that view</w:t>
      </w:r>
      <w:r w:rsidR="00D953CD">
        <w:t xml:space="preserve"> notwithstanding </w:t>
      </w:r>
      <w:r w:rsidR="005D3099">
        <w:t xml:space="preserve">that it was taken to be established that the Facton parties had a substantial, exclusive and valuable reputation in Australia in relation to their trade marks, brand and goods; that G-Star’s brand would be diminished by the sale of the counterfeit items; and that customers would be lost because G-Star goods would no longer be considered exclusive.  </w:t>
      </w:r>
    </w:p>
    <w:p w:rsidR="00924330" w:rsidRDefault="00D953CD" w:rsidP="006538CB">
      <w:pPr>
        <w:pStyle w:val="ParaNumbering"/>
        <w:tabs>
          <w:tab w:val="num" w:pos="720"/>
        </w:tabs>
        <w:ind w:left="0"/>
      </w:pPr>
      <w:r>
        <w:t xml:space="preserve">The findings regarding </w:t>
      </w:r>
      <w:r w:rsidR="00696E36">
        <w:t xml:space="preserve">the </w:t>
      </w:r>
      <w:r>
        <w:t>Facton</w:t>
      </w:r>
      <w:r w:rsidR="00696E36">
        <w:t xml:space="preserve"> parties</w:t>
      </w:r>
      <w:r>
        <w:t xml:space="preserve">’ reputation and its value stands </w:t>
      </w:r>
      <w:r w:rsidR="005D3099">
        <w:t>in contrast to the present case</w:t>
      </w:r>
      <w:r>
        <w:t>.</w:t>
      </w:r>
      <w:r w:rsidR="002D1D54">
        <w:t xml:space="preserve"> </w:t>
      </w:r>
      <w:r w:rsidR="0004469D">
        <w:t xml:space="preserve"> </w:t>
      </w:r>
      <w:r w:rsidR="006538CB">
        <w:t xml:space="preserve">Pinnacle did not put on evidence as to its marketing expenditure up to the relevant period. </w:t>
      </w:r>
      <w:r w:rsidR="00924330">
        <w:t>The label only came into existence in August 2015 and the alleged infringing conduct occurred less than one year later</w:t>
      </w:r>
      <w:r w:rsidR="006538CB">
        <w:t>,</w:t>
      </w:r>
      <w:r w:rsidR="00924330">
        <w:t xml:space="preserve"> at a point when the brand was in an early stage of development. </w:t>
      </w:r>
      <w:r w:rsidR="0004469D">
        <w:t xml:space="preserve"> </w:t>
      </w:r>
      <w:r w:rsidR="006538CB">
        <w:t>In</w:t>
      </w:r>
      <w:r w:rsidR="00924330">
        <w:t xml:space="preserve"> the relevant period DELPHNE was a small label which was just starting up and it had not achieved a substantial reputation for uniquely branded women’s fashion products.  </w:t>
      </w:r>
    </w:p>
    <w:p w:rsidR="00924330" w:rsidRDefault="00924330" w:rsidP="009A450A">
      <w:pPr>
        <w:pStyle w:val="ParaNumbering"/>
        <w:tabs>
          <w:tab w:val="num" w:pos="720"/>
        </w:tabs>
        <w:ind w:left="0"/>
      </w:pPr>
      <w:r>
        <w:t>To some degree</w:t>
      </w:r>
      <w:r w:rsidR="0004469D">
        <w:t>,</w:t>
      </w:r>
      <w:r>
        <w:t xml:space="preserve"> the likely extent of</w:t>
      </w:r>
      <w:r w:rsidR="006538CB">
        <w:t xml:space="preserve"> Pinnacle's </w:t>
      </w:r>
      <w:r>
        <w:t xml:space="preserve">reputation can be inferred from its modest sales.  </w:t>
      </w:r>
      <w:r w:rsidR="006538CB">
        <w:t xml:space="preserve">It did not put on evidence of its </w:t>
      </w:r>
      <w:r w:rsidR="00386497">
        <w:t>sales figures for the year up to June 2016</w:t>
      </w:r>
      <w:r w:rsidR="006538CB">
        <w:t>;</w:t>
      </w:r>
      <w:r w:rsidR="00386497">
        <w:t xml:space="preserve"> it only provided total sales figures as at October 2017</w:t>
      </w:r>
      <w:r w:rsidR="006538CB">
        <w:t xml:space="preserve"> by which date </w:t>
      </w:r>
      <w:r w:rsidR="00386497">
        <w:t xml:space="preserve">(after more than two years of operation) total sales were $391,512.  For the six months from 1 December 2015 to 1 June 2016 Pinnacle’s sales of the (misleadingly described) Delphine Swimwear Products totalled only $366.  </w:t>
      </w:r>
      <w:r>
        <w:t xml:space="preserve">The evidence </w:t>
      </w:r>
      <w:r w:rsidR="00386497">
        <w:t>tends to show</w:t>
      </w:r>
      <w:r>
        <w:t xml:space="preserve"> that </w:t>
      </w:r>
      <w:r w:rsidR="00386497">
        <w:t>during the</w:t>
      </w:r>
      <w:r>
        <w:t xml:space="preserve"> period between August 2015 and 2 June 2016 Pinnacle offered a </w:t>
      </w:r>
      <w:r w:rsidR="00386497">
        <w:t>limited</w:t>
      </w:r>
      <w:r>
        <w:t xml:space="preserve"> range of Delphine Products through a </w:t>
      </w:r>
      <w:r w:rsidR="00386497">
        <w:t>small</w:t>
      </w:r>
      <w:r>
        <w:t xml:space="preserve"> number of stockists</w:t>
      </w:r>
      <w:r w:rsidR="006538CB">
        <w:t xml:space="preserve">, and </w:t>
      </w:r>
      <w:r>
        <w:t xml:space="preserve">I infer that </w:t>
      </w:r>
      <w:r w:rsidR="006538CB">
        <w:t>its sales</w:t>
      </w:r>
      <w:r>
        <w:t xml:space="preserve"> were modest</w:t>
      </w:r>
      <w:r w:rsidR="006538CB">
        <w:t xml:space="preserve"> up to </w:t>
      </w:r>
      <w:r>
        <w:t>June 2016.</w:t>
      </w:r>
      <w:r w:rsidR="00386497">
        <w:t xml:space="preserve"> </w:t>
      </w:r>
      <w:r w:rsidR="0004469D">
        <w:t xml:space="preserve"> </w:t>
      </w:r>
      <w:r>
        <w:t>To the extent that</w:t>
      </w:r>
      <w:r w:rsidR="00386497">
        <w:t>, by the relevant period,</w:t>
      </w:r>
      <w:r>
        <w:t xml:space="preserve"> </w:t>
      </w:r>
      <w:r w:rsidR="00386497">
        <w:t>Pinnacle</w:t>
      </w:r>
      <w:r>
        <w:t xml:space="preserve"> </w:t>
      </w:r>
      <w:r w:rsidRPr="006538CB">
        <w:rPr>
          <w:i/>
        </w:rPr>
        <w:t>may</w:t>
      </w:r>
      <w:r>
        <w:t xml:space="preserve"> have developed a reputation</w:t>
      </w:r>
      <w:r w:rsidR="00386497">
        <w:t xml:space="preserve"> for uniquely branded women’s fashion products</w:t>
      </w:r>
      <w:r w:rsidR="0004469D">
        <w:t>,</w:t>
      </w:r>
      <w:r>
        <w:t xml:space="preserve"> it was not notable or strong.</w:t>
      </w:r>
      <w:r w:rsidR="006538CB">
        <w:t xml:space="preserve">  It</w:t>
      </w:r>
      <w:r w:rsidR="00696E36">
        <w:t xml:space="preserve"> is </w:t>
      </w:r>
      <w:r w:rsidR="006538CB">
        <w:t xml:space="preserve">more apt to </w:t>
      </w:r>
      <w:r>
        <w:t xml:space="preserve">describe </w:t>
      </w:r>
      <w:r w:rsidR="00386497">
        <w:t>any such</w:t>
      </w:r>
      <w:r>
        <w:t xml:space="preserve"> reputation as budding or nascent.  </w:t>
      </w:r>
    </w:p>
    <w:p w:rsidR="00924330" w:rsidRDefault="00386497" w:rsidP="006538CB">
      <w:pPr>
        <w:pStyle w:val="ParaNumbering"/>
        <w:tabs>
          <w:tab w:val="num" w:pos="720"/>
        </w:tabs>
        <w:ind w:left="0"/>
      </w:pPr>
      <w:r>
        <w:t>It is also</w:t>
      </w:r>
      <w:r w:rsidR="00924330">
        <w:t xml:space="preserve"> difficult to see how </w:t>
      </w:r>
      <w:r>
        <w:t xml:space="preserve">Pinnacle </w:t>
      </w:r>
      <w:r w:rsidR="00924330">
        <w:t>suffered any loss of reputation for originality</w:t>
      </w:r>
      <w:r w:rsidRPr="00386497">
        <w:t xml:space="preserve"> </w:t>
      </w:r>
      <w:r>
        <w:t>in the DELPHINE brand</w:t>
      </w:r>
      <w:r w:rsidR="00924330">
        <w:t>.  This is not a case involving a counterfeit or “knockoff” product of inferior quality which caused loss of reputation to an established brand.  During the relevant period DELPHINE was far from an established brand and the evidence indicates that Triangl’s products are not “knockoffs” or of inferior quality</w:t>
      </w:r>
      <w:r>
        <w:t>.</w:t>
      </w:r>
      <w:r w:rsidR="006538CB">
        <w:t xml:space="preserve">  On the evidence </w:t>
      </w:r>
      <w:r>
        <w:t>its bikinis</w:t>
      </w:r>
      <w:r w:rsidR="00924330">
        <w:t xml:space="preserve"> are likely to be seen by consumers as good quality and desirable.  </w:t>
      </w:r>
    </w:p>
    <w:p w:rsidR="005F1A1C" w:rsidRDefault="00386497" w:rsidP="009A450A">
      <w:pPr>
        <w:pStyle w:val="ParaNumbering"/>
        <w:tabs>
          <w:tab w:val="num" w:pos="720"/>
        </w:tabs>
        <w:ind w:left="0"/>
      </w:pPr>
      <w:r>
        <w:lastRenderedPageBreak/>
        <w:t xml:space="preserve">In circumstances where, during the relevant period: (i) the reputation of the DELPHINE brand was </w:t>
      </w:r>
      <w:r w:rsidR="000C341F">
        <w:t>nascent and unlikely to have any substantial value</w:t>
      </w:r>
      <w:r>
        <w:t xml:space="preserve">; (ii) Pinnacle put on little to show the importance of singularity, distinctiveness, or originality to the reputation of the DELPHINE brand; </w:t>
      </w:r>
      <w:r w:rsidR="00CF1846">
        <w:t xml:space="preserve">and </w:t>
      </w:r>
      <w:r>
        <w:t xml:space="preserve">(iii) </w:t>
      </w:r>
      <w:r w:rsidR="0004469D">
        <w:t>Pinnacle</w:t>
      </w:r>
      <w:r>
        <w:t xml:space="preserve"> did not </w:t>
      </w:r>
      <w:r w:rsidR="000273F0">
        <w:t>advance</w:t>
      </w:r>
      <w:r w:rsidR="002D1D54">
        <w:t xml:space="preserve"> any evidence </w:t>
      </w:r>
      <w:r w:rsidR="005F1A1C">
        <w:t xml:space="preserve">to show how or to what extent the reputation of that brand was damaged by </w:t>
      </w:r>
      <w:r w:rsidR="005D3099">
        <w:t>the</w:t>
      </w:r>
      <w:r w:rsidR="005F1A1C">
        <w:t xml:space="preserve"> infringing conduct</w:t>
      </w:r>
      <w:r w:rsidR="00CF1846">
        <w:t xml:space="preserve">; </w:t>
      </w:r>
      <w:r w:rsidR="000E2918">
        <w:t xml:space="preserve">I assess </w:t>
      </w:r>
      <w:r w:rsidR="00CF1846">
        <w:t xml:space="preserve">Pinnacle’s claim for damages for diminution of reputation </w:t>
      </w:r>
      <w:r w:rsidR="000E2918">
        <w:t xml:space="preserve">as </w:t>
      </w:r>
      <w:r w:rsidR="00CF1846" w:rsidRPr="009A450A">
        <w:rPr>
          <w:i/>
        </w:rPr>
        <w:t>de minim</w:t>
      </w:r>
      <w:r w:rsidR="000E2918">
        <w:rPr>
          <w:i/>
        </w:rPr>
        <w:t>i</w:t>
      </w:r>
      <w:r w:rsidR="00CF1846" w:rsidRPr="009A450A">
        <w:rPr>
          <w:i/>
        </w:rPr>
        <w:t>s</w:t>
      </w:r>
      <w:r w:rsidR="00CF1846">
        <w:t>.</w:t>
      </w:r>
      <w:r w:rsidR="002D5772">
        <w:t xml:space="preserve">  Nonetheless, if infringement was made out it would be appropriate to award a nominal sum for loss of reputation. </w:t>
      </w:r>
      <w:r w:rsidR="00924330">
        <w:t xml:space="preserve">I would </w:t>
      </w:r>
      <w:r w:rsidR="008B570C">
        <w:t xml:space="preserve">allow </w:t>
      </w:r>
      <w:r w:rsidR="005F1A1C">
        <w:t>$</w:t>
      </w:r>
      <w:r w:rsidR="00924330">
        <w:t>2,5</w:t>
      </w:r>
      <w:r w:rsidR="005F1A1C">
        <w:t>00 for such damages.</w:t>
      </w:r>
    </w:p>
    <w:p w:rsidR="005F1A1C" w:rsidRDefault="005F1A1C" w:rsidP="005F1A1C">
      <w:pPr>
        <w:pStyle w:val="Heading2"/>
      </w:pPr>
      <w:r>
        <w:t>Additional damages</w:t>
      </w:r>
    </w:p>
    <w:p w:rsidR="005F1A1C" w:rsidRDefault="005F1A1C" w:rsidP="00F85FFA">
      <w:pPr>
        <w:pStyle w:val="ParaNumbering"/>
        <w:tabs>
          <w:tab w:val="num" w:pos="720"/>
        </w:tabs>
        <w:ind w:left="0"/>
      </w:pPr>
      <w:r>
        <w:t>Pinnacle also sought an amount of $25,000 for additional damages under s 126(2) of the Act.</w:t>
      </w:r>
      <w:r w:rsidR="00F85FFA">
        <w:t xml:space="preserve"> </w:t>
      </w:r>
      <w:r>
        <w:t>Section 126(2) provides:</w:t>
      </w:r>
    </w:p>
    <w:p w:rsidR="005F1A1C" w:rsidRDefault="005F1A1C" w:rsidP="005F1A1C">
      <w:pPr>
        <w:pStyle w:val="Quote1"/>
      </w:pPr>
      <w:r>
        <w:t xml:space="preserve">A court may include an additional amount in an assessment of damages for an infringement of a registered trade mark, if the court considers it appropriate to do so having regard to: </w:t>
      </w:r>
    </w:p>
    <w:p w:rsidR="005F1A1C" w:rsidRDefault="004F72F4" w:rsidP="004F72F4">
      <w:pPr>
        <w:pStyle w:val="Quote1"/>
      </w:pPr>
      <w:r>
        <w:t>(a)</w:t>
      </w:r>
      <w:r>
        <w:tab/>
      </w:r>
      <w:r w:rsidR="005F1A1C">
        <w:t xml:space="preserve">the flagrancy of the infringement; and </w:t>
      </w:r>
    </w:p>
    <w:p w:rsidR="005F1A1C" w:rsidRDefault="004F72F4" w:rsidP="004F72F4">
      <w:pPr>
        <w:pStyle w:val="Quote1"/>
      </w:pPr>
      <w:r>
        <w:t>(b)</w:t>
      </w:r>
      <w:r>
        <w:tab/>
      </w:r>
      <w:r w:rsidR="005F1A1C">
        <w:t>the need to deter similar infringements of registered trade marks; and</w:t>
      </w:r>
    </w:p>
    <w:p w:rsidR="005F1A1C" w:rsidRDefault="004F72F4" w:rsidP="004F72F4">
      <w:pPr>
        <w:pStyle w:val="Quote1"/>
      </w:pPr>
      <w:r>
        <w:t>(c)</w:t>
      </w:r>
      <w:r>
        <w:tab/>
      </w:r>
      <w:r w:rsidR="005F1A1C">
        <w:t xml:space="preserve">the conduct of the party that infringed the registered trade mark that occurred: </w:t>
      </w:r>
    </w:p>
    <w:p w:rsidR="005F1A1C" w:rsidRDefault="005F1A1C" w:rsidP="004F72F4">
      <w:pPr>
        <w:pStyle w:val="Quote2"/>
      </w:pPr>
      <w:r>
        <w:t>(i)</w:t>
      </w:r>
      <w:r>
        <w:tab/>
        <w:t xml:space="preserve">after the act constituting the infringement; or </w:t>
      </w:r>
    </w:p>
    <w:p w:rsidR="005F1A1C" w:rsidRDefault="005F1A1C" w:rsidP="004F72F4">
      <w:pPr>
        <w:pStyle w:val="Quote2"/>
        <w:ind w:left="2160" w:hanging="720"/>
      </w:pPr>
      <w:r>
        <w:t>(ii)</w:t>
      </w:r>
      <w:r>
        <w:tab/>
        <w:t xml:space="preserve">after that party was informed that it had allegedly infringed the registered trade mark; and </w:t>
      </w:r>
    </w:p>
    <w:p w:rsidR="005F1A1C" w:rsidRDefault="004F72F4" w:rsidP="004F72F4">
      <w:pPr>
        <w:pStyle w:val="Quote1"/>
        <w:ind w:left="1440" w:hanging="703"/>
      </w:pPr>
      <w:r>
        <w:t>(d)</w:t>
      </w:r>
      <w:r>
        <w:tab/>
      </w:r>
      <w:r w:rsidR="005F1A1C">
        <w:t xml:space="preserve">any benefit shown to have accrued to that party because of the infringement; and </w:t>
      </w:r>
    </w:p>
    <w:p w:rsidR="005F1A1C" w:rsidRDefault="004F72F4" w:rsidP="004F72F4">
      <w:pPr>
        <w:pStyle w:val="Quote1"/>
        <w:spacing w:after="240"/>
      </w:pPr>
      <w:r>
        <w:t>(e)</w:t>
      </w:r>
      <w:r>
        <w:tab/>
      </w:r>
      <w:r w:rsidR="005F1A1C">
        <w:t>all other relevant matters.</w:t>
      </w:r>
    </w:p>
    <w:p w:rsidR="005F1A1C" w:rsidRDefault="008B570C" w:rsidP="005F1A1C">
      <w:pPr>
        <w:pStyle w:val="ParaNumbering"/>
        <w:tabs>
          <w:tab w:val="num" w:pos="720"/>
        </w:tabs>
        <w:ind w:left="0"/>
      </w:pPr>
      <w:r>
        <w:t xml:space="preserve">The provision </w:t>
      </w:r>
      <w:r w:rsidR="005F1A1C">
        <w:t xml:space="preserve">was inserted into the Act by the </w:t>
      </w:r>
      <w:r w:rsidR="005F1A1C">
        <w:rPr>
          <w:i/>
        </w:rPr>
        <w:t xml:space="preserve">Intellectual Property Laws Amendment (Raising the Bar) Act 2012 </w:t>
      </w:r>
      <w:r w:rsidR="005F1A1C">
        <w:t xml:space="preserve">(Cth), and it is in similar terms to s 115(4) of the </w:t>
      </w:r>
      <w:r w:rsidR="005F1A1C">
        <w:rPr>
          <w:i/>
        </w:rPr>
        <w:t>Copyright Act 1968</w:t>
      </w:r>
      <w:r w:rsidR="005F1A1C">
        <w:t xml:space="preserve"> (Cth), s 122(1A) of the </w:t>
      </w:r>
      <w:r w:rsidR="005F1A1C">
        <w:rPr>
          <w:i/>
        </w:rPr>
        <w:t>Patents Act 1990</w:t>
      </w:r>
      <w:r w:rsidR="005F1A1C">
        <w:t xml:space="preserve"> (Cth) and s 75(3) of the </w:t>
      </w:r>
      <w:r w:rsidR="005F1A1C">
        <w:rPr>
          <w:i/>
        </w:rPr>
        <w:t>Designs Act 2003</w:t>
      </w:r>
      <w:r w:rsidR="005F1A1C">
        <w:t xml:space="preserve"> (Cth).  Its apparent purpose was to bring the Act into line with other intellectual property laws, as the second reading speech of the amending act</w:t>
      </w:r>
      <w:r>
        <w:t xml:space="preserve"> expressly </w:t>
      </w:r>
      <w:r w:rsidR="005F1A1C">
        <w:t>stated.  The Explanatory Memorandum</w:t>
      </w:r>
      <w:r>
        <w:t xml:space="preserve"> said </w:t>
      </w:r>
      <w:r w:rsidR="005F1A1C">
        <w:t>that the provision is intended to provide a means by which courts could provide an effective deterrent to intentional counterfeiting,</w:t>
      </w:r>
      <w:r>
        <w:t xml:space="preserve"> as follows</w:t>
      </w:r>
      <w:r w:rsidR="005F1A1C">
        <w:t xml:space="preserve">: </w:t>
      </w:r>
    </w:p>
    <w:p w:rsidR="005F1A1C" w:rsidRDefault="005F1A1C" w:rsidP="005F1A1C">
      <w:pPr>
        <w:pStyle w:val="Quote1"/>
      </w:pPr>
      <w:r>
        <w:t xml:space="preserve">Additionally, stakeholders have submitted that many counterfeiters do not maintain sufficient business records to enable a satisfactory calculation of ordinary damages or an account of profits: purely nominal damages may be regarded by counterfeiters as merely the ‘cost of doing business’, rather than an effective deterrent. </w:t>
      </w:r>
      <w:r w:rsidRPr="002D5772">
        <w:rPr>
          <w:b/>
        </w:rPr>
        <w:t>The</w:t>
      </w:r>
      <w:r>
        <w:t xml:space="preserve"> </w:t>
      </w:r>
      <w:r>
        <w:rPr>
          <w:b/>
        </w:rPr>
        <w:t xml:space="preserve">absence of additional damages under the Trade Marks Act limits the ability of a court to </w:t>
      </w:r>
      <w:r>
        <w:rPr>
          <w:b/>
        </w:rPr>
        <w:lastRenderedPageBreak/>
        <w:t>provide an effective deterrent to intentional counterfeiting</w:t>
      </w:r>
      <w:r>
        <w:t>.</w:t>
      </w:r>
    </w:p>
    <w:p w:rsidR="005F1A1C" w:rsidRDefault="005F1A1C" w:rsidP="004F72F4">
      <w:pPr>
        <w:pStyle w:val="Quote1"/>
        <w:spacing w:after="240"/>
      </w:pPr>
      <w:r>
        <w:t>(Emphasis added.  Footnotes omitted.)</w:t>
      </w:r>
    </w:p>
    <w:p w:rsidR="005F1A1C" w:rsidRDefault="005F1A1C" w:rsidP="005F1A1C">
      <w:pPr>
        <w:pStyle w:val="ParaNumbering"/>
        <w:tabs>
          <w:tab w:val="num" w:pos="720"/>
        </w:tabs>
        <w:ind w:left="0"/>
      </w:pPr>
      <w:r>
        <w:t xml:space="preserve">I respectfully adopt the useful summary of the relevant principles in relation to additional damages set out by Wigney J in </w:t>
      </w:r>
      <w:r>
        <w:rPr>
          <w:i/>
        </w:rPr>
        <w:t>Truong Giang Corporation v Tung Mau Quach and Ors</w:t>
      </w:r>
      <w:r>
        <w:t xml:space="preserve"> [2015] FCA 1097; (2015) 114 IPR 498 (</w:t>
      </w:r>
      <w:r>
        <w:rPr>
          <w:b/>
          <w:i/>
        </w:rPr>
        <w:t>Truong Giang</w:t>
      </w:r>
      <w:r>
        <w:t>) at [132]-[140]</w:t>
      </w:r>
      <w:r w:rsidR="008B570C">
        <w:t>.  His Honour said</w:t>
      </w:r>
      <w:r>
        <w:t>:</w:t>
      </w:r>
    </w:p>
    <w:p w:rsidR="005F1A1C" w:rsidRDefault="005F1A1C" w:rsidP="005F1A1C">
      <w:pPr>
        <w:pStyle w:val="Quote1"/>
        <w:ind w:left="709"/>
      </w:pPr>
      <w:r>
        <w:t xml:space="preserve">Whilst there is little authority concerning s 126(2) of the TM Act, given its similarity to s 115(4) of the Copyright Act, it is relevant to consider the following principles that have been applied to that section. </w:t>
      </w:r>
    </w:p>
    <w:p w:rsidR="005F1A1C" w:rsidRDefault="005F1A1C" w:rsidP="005F1A1C">
      <w:pPr>
        <w:pStyle w:val="Quote1"/>
        <w:ind w:left="709"/>
      </w:pPr>
      <w:r>
        <w:t xml:space="preserve">First, it is not necessary that any amount of additional damages be proportionate to any award of compensatory damages: </w:t>
      </w:r>
      <w:r>
        <w:rPr>
          <w:i/>
        </w:rPr>
        <w:t>Futuretronics.com.au Pty Ltd v Graphix Labels Pty Ltd (No 2)</w:t>
      </w:r>
      <w:r>
        <w:t xml:space="preserve"> (2008) 76 IPR 763 (</w:t>
      </w:r>
      <w:r>
        <w:rPr>
          <w:i/>
        </w:rPr>
        <w:t>Futuretronics</w:t>
      </w:r>
      <w:r>
        <w:t>) at [17].</w:t>
      </w:r>
    </w:p>
    <w:p w:rsidR="005F1A1C" w:rsidRDefault="005F1A1C" w:rsidP="005F1A1C">
      <w:pPr>
        <w:pStyle w:val="Quote1"/>
        <w:ind w:left="709"/>
      </w:pPr>
      <w:r>
        <w:t xml:space="preserve">Second, an award of additional damages involves an element of penalty:  </w:t>
      </w:r>
      <w:r>
        <w:rPr>
          <w:i/>
        </w:rPr>
        <w:t>Facton Ltd v Rifai Fashions Pty Ltd</w:t>
      </w:r>
      <w:r>
        <w:t xml:space="preserve"> (2012) 199 FCR 569 (Facton) at [33], [89]. </w:t>
      </w:r>
    </w:p>
    <w:p w:rsidR="005F1A1C" w:rsidRDefault="005F1A1C" w:rsidP="005F1A1C">
      <w:pPr>
        <w:pStyle w:val="Quote1"/>
        <w:ind w:left="709"/>
      </w:pPr>
      <w:r>
        <w:t xml:space="preserve">Third, part of the function of an award of additional damages is to mark the Court’s disapproval or opprobrium of the infringing conduct: </w:t>
      </w:r>
      <w:r>
        <w:rPr>
          <w:i/>
        </w:rPr>
        <w:t>Facton</w:t>
      </w:r>
      <w:r>
        <w:t xml:space="preserve"> at [36]. </w:t>
      </w:r>
    </w:p>
    <w:p w:rsidR="005F1A1C" w:rsidRDefault="005F1A1C" w:rsidP="005F1A1C">
      <w:pPr>
        <w:pStyle w:val="Quote1"/>
        <w:ind w:left="709"/>
      </w:pPr>
      <w:r>
        <w:t xml:space="preserve">Fourth, the matters set out in s 126(2)(a)-(d) of the TM Act are not preconditions to an award of additional damages: </w:t>
      </w:r>
      <w:r>
        <w:rPr>
          <w:i/>
        </w:rPr>
        <w:t>Futuretronics</w:t>
      </w:r>
      <w:r>
        <w:t xml:space="preserve"> at [17].</w:t>
      </w:r>
    </w:p>
    <w:p w:rsidR="005F1A1C" w:rsidRDefault="005F1A1C" w:rsidP="005F1A1C">
      <w:pPr>
        <w:pStyle w:val="Quote1"/>
        <w:ind w:left="709"/>
      </w:pPr>
      <w:r>
        <w:t xml:space="preserve">Fifth, conduct which may properly be seen as flagrant includes conduct which involves a deliberate and calculated infringement, a calculated disregard of the applicant’s rights, or a cynical pursuit of benefit:  </w:t>
      </w:r>
      <w:r>
        <w:rPr>
          <w:i/>
        </w:rPr>
        <w:t>Futuretronics</w:t>
      </w:r>
      <w:r>
        <w:t xml:space="preserve"> at [19];  </w:t>
      </w:r>
      <w:r>
        <w:rPr>
          <w:i/>
        </w:rPr>
        <w:t>Facton</w:t>
      </w:r>
      <w:r>
        <w:t xml:space="preserve"> at [92].</w:t>
      </w:r>
    </w:p>
    <w:p w:rsidR="005F1A1C" w:rsidRDefault="005F1A1C" w:rsidP="005F1A1C">
      <w:pPr>
        <w:pStyle w:val="Quote1"/>
        <w:ind w:left="709"/>
      </w:pPr>
      <w:r>
        <w:t xml:space="preserve">Sixth, post-infringement conduct within s 126(2)(c) of the TM Act is unlikely to include the respondent’s conduct of the infringement proceedings. Such conduct is more relevant to the appropriate order as to costs:  </w:t>
      </w:r>
      <w:r>
        <w:rPr>
          <w:i/>
        </w:rPr>
        <w:t>Futuretronics</w:t>
      </w:r>
      <w:r>
        <w:t xml:space="preserve"> at [17]; </w:t>
      </w:r>
      <w:r>
        <w:rPr>
          <w:i/>
        </w:rPr>
        <w:t>Flags 2000 Pty Ltd v Smith</w:t>
      </w:r>
      <w:r>
        <w:t xml:space="preserve"> (2003) 59 IPR 191 at [31]-[34]. That said, it is difficult to see why some aspects of the conduct, by a respondent, in defence of infringement proceedings, might not be relevant to the award of additional damages: cf. </w:t>
      </w:r>
      <w:r>
        <w:rPr>
          <w:i/>
        </w:rPr>
        <w:t>Facton</w:t>
      </w:r>
      <w:r>
        <w:t xml:space="preserve"> at [44], [69]. Conduct of the proceedings which involved high-handedness, dishonesty, recalcitrance, or flagrant disregard of, or deficiencies in compliance with, discovery orders or notices to produce, might, at the very least, suggest a greater need for an award of additional damages that would deter future infringing conduct by the respondent. </w:t>
      </w:r>
    </w:p>
    <w:p w:rsidR="005F1A1C" w:rsidRDefault="005F1A1C" w:rsidP="005F1A1C">
      <w:pPr>
        <w:pStyle w:val="Quote1"/>
        <w:ind w:left="709"/>
      </w:pPr>
      <w:r>
        <w:t xml:space="preserve">Seventh, an award of additional damages can encompass damages which, at common law, would be aggravated or exemplary damages:  </w:t>
      </w:r>
      <w:r>
        <w:rPr>
          <w:i/>
        </w:rPr>
        <w:t>Futuretronics</w:t>
      </w:r>
      <w:r>
        <w:t xml:space="preserve"> at [17].  The matters specified in s 126(2) of the TM Act are of a kind which are taken into account in determining whether a party is entitled to aggravated or exemplary damages at common law, but in the end result the damages to be awarded are not aggravated or exemplary damages, but additional damages, being of a type sui generis:  </w:t>
      </w:r>
      <w:r>
        <w:rPr>
          <w:i/>
        </w:rPr>
        <w:t>Facton</w:t>
      </w:r>
      <w:r>
        <w:t xml:space="preserve"> at [33]-[36], [91].</w:t>
      </w:r>
    </w:p>
    <w:p w:rsidR="005F1A1C" w:rsidRDefault="005F1A1C" w:rsidP="004F72F4">
      <w:pPr>
        <w:pStyle w:val="Quote1"/>
        <w:spacing w:after="240"/>
        <w:ind w:left="709"/>
      </w:pPr>
      <w:r>
        <w:t xml:space="preserve">In </w:t>
      </w:r>
      <w:r>
        <w:rPr>
          <w:i/>
        </w:rPr>
        <w:t>Halal Certification Authority Pty Ltd v Scadilone Pty Ltd</w:t>
      </w:r>
      <w:r>
        <w:t xml:space="preserve"> (2014) 107 IPR 23 at [111], Perram J considered that if additional damages are appropriate, the damages to be awarded must operate as a sufficient deterrent to ensure that the conduct will not occur again.</w:t>
      </w:r>
    </w:p>
    <w:p w:rsidR="005F1A1C" w:rsidRDefault="005F1A1C" w:rsidP="005F1A1C">
      <w:pPr>
        <w:pStyle w:val="ParaNumbering"/>
        <w:tabs>
          <w:tab w:val="num" w:pos="720"/>
        </w:tabs>
        <w:ind w:left="0"/>
      </w:pPr>
      <w:r>
        <w:t>Pinnacle submitted that the Explanatory Memorandum</w:t>
      </w:r>
      <w:r w:rsidR="00F85FFA">
        <w:t xml:space="preserve"> shows </w:t>
      </w:r>
      <w:r>
        <w:t xml:space="preserve">that one of the purposes of s 126(2) is to provide an effective deterrent in circumstances where purely nominal damages </w:t>
      </w:r>
      <w:r>
        <w:lastRenderedPageBreak/>
        <w:t>may be regarded by an infringer as a cost of doing business.</w:t>
      </w:r>
      <w:r w:rsidR="00F85FFA">
        <w:t xml:space="preserve">  Pinnacle </w:t>
      </w:r>
      <w:r>
        <w:t xml:space="preserve">focused on </w:t>
      </w:r>
      <w:r w:rsidR="008B570C">
        <w:t xml:space="preserve">Mr Ellis’ and Triangl’s </w:t>
      </w:r>
      <w:r>
        <w:t xml:space="preserve">conduct </w:t>
      </w:r>
      <w:r w:rsidR="008B570C">
        <w:t>after receipt of</w:t>
      </w:r>
      <w:r w:rsidR="00F85FFA">
        <w:t xml:space="preserve"> Pinnacle's </w:t>
      </w:r>
      <w:r>
        <w:t>letter of demand</w:t>
      </w:r>
      <w:r w:rsidR="00F85FFA">
        <w:t xml:space="preserve"> and it </w:t>
      </w:r>
      <w:r>
        <w:t>argued that</w:t>
      </w:r>
      <w:r w:rsidR="00F85FFA">
        <w:t xml:space="preserve"> such </w:t>
      </w:r>
      <w:r>
        <w:t>conduct included:</w:t>
      </w:r>
    </w:p>
    <w:p w:rsidR="005F1A1C" w:rsidRDefault="008B570C" w:rsidP="008D7D39">
      <w:pPr>
        <w:pStyle w:val="ListNo1"/>
        <w:numPr>
          <w:ilvl w:val="0"/>
          <w:numId w:val="45"/>
        </w:numPr>
      </w:pPr>
      <w:r>
        <w:t xml:space="preserve">Triangl </w:t>
      </w:r>
      <w:r w:rsidR="005F1A1C">
        <w:t>selling 214 items in Australia</w:t>
      </w:r>
      <w:r>
        <w:t xml:space="preserve"> after </w:t>
      </w:r>
      <w:r w:rsidR="00F85FFA">
        <w:t xml:space="preserve">receipt of </w:t>
      </w:r>
      <w:r>
        <w:t>the letter of demand</w:t>
      </w:r>
      <w:r w:rsidR="005F1A1C">
        <w:t>,</w:t>
      </w:r>
      <w:r>
        <w:t xml:space="preserve"> which is </w:t>
      </w:r>
      <w:r w:rsidR="005F1A1C">
        <w:t>more than half of the total Australian sales it made; and</w:t>
      </w:r>
    </w:p>
    <w:p w:rsidR="005F1A1C" w:rsidRDefault="008B570C" w:rsidP="008D7D39">
      <w:pPr>
        <w:pStyle w:val="ListNo1"/>
        <w:numPr>
          <w:ilvl w:val="0"/>
          <w:numId w:val="45"/>
        </w:numPr>
      </w:pPr>
      <w:r>
        <w:t xml:space="preserve">Mr Ellis </w:t>
      </w:r>
      <w:r w:rsidR="005F1A1C">
        <w:t>displaying a disregard for Pinnacle’s rights under the DELPHINE mark during</w:t>
      </w:r>
      <w:r>
        <w:t xml:space="preserve"> his </w:t>
      </w:r>
      <w:r w:rsidR="005F1A1C">
        <w:t>telephone discussion</w:t>
      </w:r>
      <w:r>
        <w:t xml:space="preserve"> with </w:t>
      </w:r>
      <w:r w:rsidR="005F1A1C">
        <w:t>Ms Lambrianidis on 26 May 2016, in which</w:t>
      </w:r>
      <w:r>
        <w:t xml:space="preserve"> he </w:t>
      </w:r>
      <w:r w:rsidR="005F1A1C">
        <w:t>foreshadowed that Pinnacle would encounter difficulties in serving proceedings on Triangl.</w:t>
      </w:r>
    </w:p>
    <w:p w:rsidR="005F1A1C" w:rsidRDefault="00F85FFA" w:rsidP="008B570C">
      <w:pPr>
        <w:pStyle w:val="NoNum"/>
      </w:pPr>
      <w:r>
        <w:t xml:space="preserve">It </w:t>
      </w:r>
      <w:r w:rsidR="005F1A1C">
        <w:t>contended that Mr Ellis’</w:t>
      </w:r>
      <w:r w:rsidR="0070759B">
        <w:t xml:space="preserve"> remarks in which he foreshadowed </w:t>
      </w:r>
      <w:r w:rsidR="005F1A1C">
        <w:t>difficulties</w:t>
      </w:r>
      <w:r w:rsidR="0070759B">
        <w:t xml:space="preserve"> for Pinnacle in serving any proceeding </w:t>
      </w:r>
      <w:r w:rsidR="005F1A1C">
        <w:t>and the subsequent difficulties that ensued are not matters of a procedural nature for which the appropriate remedy</w:t>
      </w:r>
      <w:r w:rsidR="008B570C">
        <w:t xml:space="preserve"> is</w:t>
      </w:r>
      <w:r w:rsidR="005F1A1C">
        <w:t xml:space="preserve"> costs.  It argued that they are part and parcel of Mr Ellis’ disregard for Pinnacle’s registered rights and they are aspects of the conduct which is relevant to its claim for additional damages.</w:t>
      </w:r>
    </w:p>
    <w:p w:rsidR="005F1A1C" w:rsidRDefault="005F1A1C" w:rsidP="005F1A1C">
      <w:pPr>
        <w:pStyle w:val="ParaNumbering"/>
        <w:tabs>
          <w:tab w:val="num" w:pos="720"/>
        </w:tabs>
        <w:ind w:left="0"/>
      </w:pPr>
      <w:r>
        <w:t>It</w:t>
      </w:r>
      <w:r w:rsidR="008B570C">
        <w:t xml:space="preserve"> submitted </w:t>
      </w:r>
      <w:r>
        <w:t xml:space="preserve">that upon receipt of Pinnacle’s letter of demand on about 16 May 2016 the appropriate course for </w:t>
      </w:r>
      <w:r w:rsidR="00F85FFA">
        <w:t xml:space="preserve">Mr Ellis </w:t>
      </w:r>
      <w:r>
        <w:t xml:space="preserve">to take was </w:t>
      </w:r>
      <w:r w:rsidR="00F85FFA">
        <w:t xml:space="preserve">for Triangl </w:t>
      </w:r>
      <w:r>
        <w:t xml:space="preserve">to immediately cease use of the DELPHINE mark, and then seek legal advice.  </w:t>
      </w:r>
      <w:r w:rsidR="00F85FFA">
        <w:t xml:space="preserve">It argued that, instead, </w:t>
      </w:r>
      <w:r>
        <w:t xml:space="preserve">Mr Ellis deferred </w:t>
      </w:r>
      <w:r w:rsidR="00F85FFA">
        <w:t xml:space="preserve">the </w:t>
      </w:r>
      <w:r>
        <w:t xml:space="preserve">decision while protesting to Pinnacle’s solicitors, refused to provide what Pinnacle described as “fairly standard undertakings” and proceeded to sell another 214 bikinis in Australia under the DELPHINE brand before finally ceasing to use the name DELPHINE on 2 June 2016.  When Triangl ceased using the DELPHINE mark on 2 June </w:t>
      </w:r>
      <w:r w:rsidR="00A8707A">
        <w:t xml:space="preserve">2016 </w:t>
      </w:r>
      <w:r>
        <w:t>it replaced it with the name DELILAH</w:t>
      </w:r>
      <w:r w:rsidR="00F85FFA">
        <w:t xml:space="preserve"> which </w:t>
      </w:r>
      <w:r>
        <w:t>Pinnacle</w:t>
      </w:r>
      <w:r w:rsidR="00F85FFA">
        <w:t xml:space="preserve"> said </w:t>
      </w:r>
      <w:r>
        <w:t xml:space="preserve">demonstrated a continuing disregard for Pinnacle’s rights because </w:t>
      </w:r>
      <w:r w:rsidR="00A8707A">
        <w:t>DELILAH</w:t>
      </w:r>
      <w:r w:rsidR="00A8707A" w:rsidDel="00A8707A">
        <w:t xml:space="preserve"> </w:t>
      </w:r>
      <w:r>
        <w:t xml:space="preserve">is </w:t>
      </w:r>
      <w:r w:rsidR="00F85FFA">
        <w:t xml:space="preserve">a similar name.  It described the similarities as being that DELILAH is </w:t>
      </w:r>
      <w:r>
        <w:t xml:space="preserve">another female name with the </w:t>
      </w:r>
      <w:r w:rsidR="00A8707A">
        <w:t xml:space="preserve">first three letters </w:t>
      </w:r>
      <w:r>
        <w:t>“DEL”</w:t>
      </w:r>
      <w:r w:rsidR="00A8707A">
        <w:t>, describing those letters as a prefix</w:t>
      </w:r>
      <w:r w:rsidR="00F85FFA">
        <w:t xml:space="preserve">, and it argued </w:t>
      </w:r>
      <w:r>
        <w:t xml:space="preserve">that Mr Ellis’ evidence as to the reasons for </w:t>
      </w:r>
      <w:r w:rsidR="00F85FFA">
        <w:t xml:space="preserve">Triangl </w:t>
      </w:r>
      <w:r>
        <w:t>moving to</w:t>
      </w:r>
      <w:r w:rsidR="00F85FFA">
        <w:t xml:space="preserve"> that </w:t>
      </w:r>
      <w:r>
        <w:t>name were elusive.</w:t>
      </w:r>
    </w:p>
    <w:p w:rsidR="005F1A1C" w:rsidRDefault="005F1A1C" w:rsidP="005F1A1C">
      <w:pPr>
        <w:pStyle w:val="ParaNumbering"/>
        <w:tabs>
          <w:tab w:val="num" w:pos="720"/>
        </w:tabs>
        <w:ind w:left="0"/>
      </w:pPr>
      <w:r>
        <w:t>Pinnacle</w:t>
      </w:r>
      <w:r w:rsidR="008B570C">
        <w:t xml:space="preserve"> also argued </w:t>
      </w:r>
      <w:r>
        <w:t>that it was clear from Mr Ellis’ evidence that he accepted no responsibility for his conduct and believed that he and Triangl had done nothing wrong.  It</w:t>
      </w:r>
      <w:r w:rsidR="00C57F95">
        <w:t xml:space="preserve"> said </w:t>
      </w:r>
      <w:r>
        <w:t>that having regard to the size and scope of Triangl’s business it is unlikely that it would be deterred from further infringing conduct in the future if it is not ordered to pay additional damages.</w:t>
      </w:r>
      <w:r w:rsidR="00C57F95">
        <w:t xml:space="preserve">  On this factor alone it argued that </w:t>
      </w:r>
      <w:r>
        <w:t xml:space="preserve">the award must well exceed the net profit Triangl made from sales of DELPHINE goods in Australia, and noted that in </w:t>
      </w:r>
      <w:r>
        <w:rPr>
          <w:i/>
        </w:rPr>
        <w:t xml:space="preserve">Facton </w:t>
      </w:r>
      <w:r>
        <w:t xml:space="preserve">the Full Court awarded additional </w:t>
      </w:r>
      <w:r>
        <w:lastRenderedPageBreak/>
        <w:t>damages of $25,000 in a case which involve the sale of 140 items of apparel and an estimated profit of</w:t>
      </w:r>
      <w:r w:rsidR="00C57F95">
        <w:t xml:space="preserve"> only</w:t>
      </w:r>
      <w:r>
        <w:t xml:space="preserve"> $11,000.</w:t>
      </w:r>
    </w:p>
    <w:p w:rsidR="005F1A1C" w:rsidRDefault="00F85FFA" w:rsidP="005F1A1C">
      <w:pPr>
        <w:pStyle w:val="Heading3"/>
      </w:pPr>
      <w:r>
        <w:t>Analysis</w:t>
      </w:r>
    </w:p>
    <w:p w:rsidR="005F1A1C" w:rsidRPr="00555B6D" w:rsidRDefault="00CA58EA" w:rsidP="002D25EE">
      <w:pPr>
        <w:pStyle w:val="ParaNumbering"/>
        <w:tabs>
          <w:tab w:val="num" w:pos="720"/>
        </w:tabs>
        <w:ind w:left="0"/>
      </w:pPr>
      <w:r>
        <w:t>In seeking additional damages Pinnacle focused on the conduct of Triangl after it received</w:t>
      </w:r>
      <w:r w:rsidR="00F85FFA">
        <w:t xml:space="preserve"> Pinnacle's </w:t>
      </w:r>
      <w:r>
        <w:t>letter of demand</w:t>
      </w:r>
      <w:r w:rsidR="007A13CB">
        <w:t>.</w:t>
      </w:r>
      <w:r w:rsidR="00C16113">
        <w:t xml:space="preserve"> </w:t>
      </w:r>
      <w:r w:rsidR="007A13CB">
        <w:t xml:space="preserve"> </w:t>
      </w:r>
      <w:r w:rsidR="002D25EE">
        <w:t xml:space="preserve">I do not accept </w:t>
      </w:r>
      <w:r w:rsidR="005B6037">
        <w:t xml:space="preserve">the thrust of </w:t>
      </w:r>
      <w:r w:rsidR="002D25EE">
        <w:t>Pinnacle’s contentions and,</w:t>
      </w:r>
      <w:r w:rsidR="005B6037">
        <w:t xml:space="preserve"> </w:t>
      </w:r>
      <w:r w:rsidR="000E2918">
        <w:t>if</w:t>
      </w:r>
      <w:r w:rsidR="005B6037">
        <w:t xml:space="preserve"> </w:t>
      </w:r>
      <w:r w:rsidR="002D25EE">
        <w:t>trade mark infringement</w:t>
      </w:r>
      <w:r w:rsidR="005B6037">
        <w:t xml:space="preserve"> was established</w:t>
      </w:r>
      <w:r w:rsidR="002D25EE">
        <w:t xml:space="preserve"> I would not </w:t>
      </w:r>
      <w:r w:rsidR="0070759B">
        <w:t>award</w:t>
      </w:r>
      <w:r w:rsidR="000E2918">
        <w:t xml:space="preserve"> any</w:t>
      </w:r>
      <w:r w:rsidR="0070759B">
        <w:t xml:space="preserve"> additional damages</w:t>
      </w:r>
      <w:r w:rsidR="002D25EE">
        <w:t>.</w:t>
      </w:r>
    </w:p>
    <w:p w:rsidR="005F1A1C" w:rsidRDefault="005F1A1C" w:rsidP="005F1A1C">
      <w:pPr>
        <w:pStyle w:val="ParaNumbering"/>
        <w:tabs>
          <w:tab w:val="num" w:pos="720"/>
        </w:tabs>
        <w:ind w:left="0"/>
      </w:pPr>
      <w:r>
        <w:rPr>
          <w:i/>
        </w:rPr>
        <w:t>First</w:t>
      </w:r>
      <w:r>
        <w:t xml:space="preserve">, </w:t>
      </w:r>
      <w:r w:rsidR="000E2918">
        <w:t xml:space="preserve">Pinnacle did not contend that </w:t>
      </w:r>
      <w:r>
        <w:t xml:space="preserve">Triangl’s conduct in </w:t>
      </w:r>
      <w:r w:rsidR="00C008B2">
        <w:t xml:space="preserve">marketing and </w:t>
      </w:r>
      <w:r>
        <w:t xml:space="preserve">selling the </w:t>
      </w:r>
      <w:r w:rsidR="00AE6CAD">
        <w:t>Triangl DELPHINE</w:t>
      </w:r>
      <w:r w:rsidR="00702FD1">
        <w:t xml:space="preserve"> bikinis</w:t>
      </w:r>
      <w:r>
        <w:t xml:space="preserve"> </w:t>
      </w:r>
      <w:r w:rsidR="002D25EE">
        <w:t xml:space="preserve">prior to its receipt of the letter of demand </w:t>
      </w:r>
      <w:r w:rsidR="000E2918">
        <w:t>w</w:t>
      </w:r>
      <w:r>
        <w:t>as flagrant, deliberate or calculated, nor as a cynical pursuit of benefit.</w:t>
      </w:r>
      <w:r w:rsidR="005B6037">
        <w:t xml:space="preserve">  Nor is this a </w:t>
      </w:r>
      <w:r>
        <w:t>case of counterfeiting which requires additional damages as a deterrent.  I accept Mr Ellis’ evidence as to how Triangl chose the name DELPHINE</w:t>
      </w:r>
      <w:r w:rsidR="0091514B">
        <w:t>;</w:t>
      </w:r>
      <w:r>
        <w:t xml:space="preserve"> his evidence that at the time</w:t>
      </w:r>
      <w:r w:rsidR="0091514B">
        <w:t xml:space="preserve"> that</w:t>
      </w:r>
      <w:r>
        <w:t xml:space="preserve"> Triangl used </w:t>
      </w:r>
      <w:r w:rsidR="0091514B">
        <w:t xml:space="preserve">the </w:t>
      </w:r>
      <w:r>
        <w:t>name he was unaware of the existence of Pinnacle and of the DELPHINE mark</w:t>
      </w:r>
      <w:r w:rsidR="0091514B">
        <w:t>;</w:t>
      </w:r>
      <w:r w:rsidR="00C57F95">
        <w:t xml:space="preserve"> and that </w:t>
      </w:r>
      <w:r>
        <w:t xml:space="preserve">he intended to use the name </w:t>
      </w:r>
      <w:r w:rsidR="00C008B2">
        <w:t xml:space="preserve">DELPHINE </w:t>
      </w:r>
      <w:r>
        <w:t>as a style name rather than as a badge of origin.</w:t>
      </w:r>
      <w:r w:rsidR="00C57F95">
        <w:t xml:space="preserve"> </w:t>
      </w:r>
      <w:r w:rsidR="00EF5977">
        <w:t xml:space="preserve"> </w:t>
      </w:r>
      <w:r w:rsidR="00C008B2">
        <w:t xml:space="preserve">As Pinnacle’s own use of style names </w:t>
      </w:r>
      <w:r w:rsidR="0091514B">
        <w:t>demonstrate</w:t>
      </w:r>
      <w:r w:rsidR="005B6037">
        <w:t>s</w:t>
      </w:r>
      <w:r w:rsidR="00C008B2">
        <w:t>, Triangl was merely following industry practice in ascribing a style name to one of its bikini styles.</w:t>
      </w:r>
    </w:p>
    <w:p w:rsidR="002D25EE" w:rsidRDefault="005F1A1C" w:rsidP="005F1A1C">
      <w:pPr>
        <w:pStyle w:val="ParaNumbering"/>
        <w:tabs>
          <w:tab w:val="num" w:pos="720"/>
        </w:tabs>
        <w:ind w:left="0"/>
      </w:pPr>
      <w:r>
        <w:rPr>
          <w:i/>
        </w:rPr>
        <w:t>Second</w:t>
      </w:r>
      <w:r>
        <w:t>,</w:t>
      </w:r>
      <w:r w:rsidR="000E2918">
        <w:t xml:space="preserve"> </w:t>
      </w:r>
      <w:r w:rsidR="009D667C">
        <w:t>f</w:t>
      </w:r>
      <w:r w:rsidR="009D667C" w:rsidRPr="00555B6D">
        <w:t>lagrancy is not essential</w:t>
      </w:r>
      <w:r w:rsidR="009D667C">
        <w:t xml:space="preserve"> before </w:t>
      </w:r>
      <w:r w:rsidR="009D667C" w:rsidRPr="00555B6D">
        <w:t>an award of additional damages</w:t>
      </w:r>
      <w:r w:rsidR="009D667C">
        <w:t xml:space="preserve"> can be made, but I can see little or nothing </w:t>
      </w:r>
      <w:r w:rsidR="009D667C" w:rsidRPr="00555B6D">
        <w:t xml:space="preserve">in </w:t>
      </w:r>
      <w:r w:rsidR="009D667C">
        <w:t xml:space="preserve">Triangl’s conduct in marketing and selling the Triangl DELPHINE bikinis </w:t>
      </w:r>
      <w:r w:rsidR="009D667C" w:rsidRPr="0091514B">
        <w:rPr>
          <w:i/>
        </w:rPr>
        <w:t>after</w:t>
      </w:r>
      <w:r w:rsidR="009D667C">
        <w:t xml:space="preserve"> its receipt of the letter of demand </w:t>
      </w:r>
      <w:r w:rsidR="009D667C" w:rsidRPr="00555B6D">
        <w:t>to</w:t>
      </w:r>
      <w:r w:rsidR="009D667C">
        <w:t xml:space="preserve"> indicate </w:t>
      </w:r>
      <w:r w:rsidR="009D667C" w:rsidRPr="00555B6D">
        <w:t>that additional damages should be awarded</w:t>
      </w:r>
      <w:r w:rsidR="009D667C">
        <w:t xml:space="preserve">.  That conduct </w:t>
      </w:r>
      <w:r w:rsidR="000E2918">
        <w:t>w</w:t>
      </w:r>
      <w:r w:rsidR="002D25EE">
        <w:t xml:space="preserve">as </w:t>
      </w:r>
      <w:r w:rsidR="009D667C">
        <w:t xml:space="preserve">not in my view </w:t>
      </w:r>
      <w:r w:rsidR="002D25EE" w:rsidRPr="00555B6D">
        <w:t>flagrant, deliberate or calculated,</w:t>
      </w:r>
      <w:r w:rsidR="009D667C">
        <w:t xml:space="preserve"> nor did it </w:t>
      </w:r>
      <w:r w:rsidR="00CD4905">
        <w:t>display</w:t>
      </w:r>
      <w:r w:rsidR="00024458">
        <w:t xml:space="preserve"> </w:t>
      </w:r>
      <w:r w:rsidR="002D25EE" w:rsidRPr="00555B6D">
        <w:t>a cynical pursuit of benefit.</w:t>
      </w:r>
      <w:r w:rsidR="00024458">
        <w:t xml:space="preserve">  </w:t>
      </w:r>
      <w:r w:rsidR="000E2918">
        <w:t>Triangl’s conduct does not require</w:t>
      </w:r>
      <w:r w:rsidR="009D667C">
        <w:t xml:space="preserve"> additional </w:t>
      </w:r>
      <w:r w:rsidR="000E2918">
        <w:t>damages</w:t>
      </w:r>
      <w:r w:rsidR="002D25EE" w:rsidRPr="00555B6D">
        <w:t xml:space="preserve"> to mark the Court’s disapproval or opprobrium of the infringing conduct, to punish Triangl</w:t>
      </w:r>
      <w:r w:rsidR="000E2918">
        <w:t>,</w:t>
      </w:r>
      <w:r w:rsidR="002D25EE" w:rsidRPr="00555B6D">
        <w:t xml:space="preserve"> to deter Triangl from again engaging in similar conduct</w:t>
      </w:r>
      <w:r w:rsidR="000E2918">
        <w:t>, or to strip Triangl of profits unfairly made</w:t>
      </w:r>
      <w:r w:rsidR="002D25EE" w:rsidRPr="00555B6D">
        <w:t xml:space="preserve">. </w:t>
      </w:r>
    </w:p>
    <w:p w:rsidR="005F1A1C" w:rsidRDefault="000E2918" w:rsidP="005F1A1C">
      <w:pPr>
        <w:pStyle w:val="ParaNumbering"/>
        <w:tabs>
          <w:tab w:val="num" w:pos="720"/>
        </w:tabs>
        <w:ind w:left="0"/>
      </w:pPr>
      <w:r>
        <w:t>In my view</w:t>
      </w:r>
      <w:r w:rsidR="00B70256">
        <w:t xml:space="preserve"> </w:t>
      </w:r>
      <w:r w:rsidR="00024458">
        <w:t xml:space="preserve">the </w:t>
      </w:r>
      <w:r w:rsidR="005F1A1C">
        <w:t xml:space="preserve">time Triangl took to cease marketing and selling the </w:t>
      </w:r>
      <w:r w:rsidR="00AE6CAD">
        <w:t>Triangl DELPHINE</w:t>
      </w:r>
      <w:r w:rsidR="00702FD1">
        <w:t xml:space="preserve"> bikinis</w:t>
      </w:r>
      <w:r w:rsidR="005F1A1C">
        <w:t xml:space="preserve"> after it received Pinnacle’s letter of demand</w:t>
      </w:r>
      <w:r w:rsidR="00024458">
        <w:t xml:space="preserve"> </w:t>
      </w:r>
      <w:r w:rsidR="00B70256">
        <w:t>was</w:t>
      </w:r>
      <w:r w:rsidR="00024458">
        <w:t xml:space="preserve"> </w:t>
      </w:r>
      <w:r>
        <w:t xml:space="preserve">not </w:t>
      </w:r>
      <w:r w:rsidR="005F1A1C">
        <w:t>gross.  Pinnacle sent a letter of demand on 16 May 2016 which gave Triangl a deadline of 4:00 pm on 23 May to cease using the mark and to provide the undertakings it sought.  Triangl ceased using the mark on 2 June 2016, that is, 10 days</w:t>
      </w:r>
      <w:r w:rsidR="00024458">
        <w:t xml:space="preserve"> after </w:t>
      </w:r>
      <w:r w:rsidR="005F1A1C">
        <w:t xml:space="preserve">the deadline, and within two and a half weeks of the letter of demand.  That period of delay was not unreasonable when Triangl used </w:t>
      </w:r>
      <w:r w:rsidR="0010068C">
        <w:t xml:space="preserve">the name </w:t>
      </w:r>
      <w:r w:rsidR="005F1A1C">
        <w:t xml:space="preserve">DELPHINE </w:t>
      </w:r>
      <w:r w:rsidR="0010068C">
        <w:t xml:space="preserve">in marketing </w:t>
      </w:r>
      <w:r w:rsidR="005F1A1C">
        <w:t xml:space="preserve">around the world, the infringement was not clear-cut, and Mr Ellis took the position (justifiably as I have found) that Triangl’s use of the name DELPHINE was not use as a trade mark.  He was entitled to take some time to consider Triangl’s position and to seek to persuade Pinnacle </w:t>
      </w:r>
      <w:r w:rsidR="005F1A1C">
        <w:lastRenderedPageBreak/>
        <w:t>away from bringing proceedings.</w:t>
      </w:r>
      <w:r w:rsidR="009D667C">
        <w:t xml:space="preserve">  In the circumstances the </w:t>
      </w:r>
      <w:r w:rsidR="005F1A1C">
        <w:t>level of delay does not justify an award of additional damages.</w:t>
      </w:r>
    </w:p>
    <w:p w:rsidR="00C57F95" w:rsidRDefault="00C57F95" w:rsidP="005F1A1C">
      <w:pPr>
        <w:pStyle w:val="ParaNumbering"/>
        <w:tabs>
          <w:tab w:val="num" w:pos="720"/>
        </w:tabs>
        <w:ind w:left="0"/>
      </w:pPr>
      <w:r>
        <w:t>Pinnacle</w:t>
      </w:r>
      <w:r w:rsidR="002D25EE">
        <w:t xml:space="preserve"> </w:t>
      </w:r>
      <w:r w:rsidR="0010068C">
        <w:t xml:space="preserve">sought to </w:t>
      </w:r>
      <w:r w:rsidR="002D25EE">
        <w:t>rel</w:t>
      </w:r>
      <w:r w:rsidR="0010068C">
        <w:t>y</w:t>
      </w:r>
      <w:r w:rsidR="002D25EE">
        <w:t xml:space="preserve"> </w:t>
      </w:r>
      <w:r>
        <w:t xml:space="preserve">on the fact that Triangl sold </w:t>
      </w:r>
      <w:r w:rsidR="00243AA3">
        <w:t xml:space="preserve">214 </w:t>
      </w:r>
      <w:r w:rsidR="00AE6CAD">
        <w:t>Triangl DELPHINE</w:t>
      </w:r>
      <w:r w:rsidR="00702FD1">
        <w:t xml:space="preserve"> bikinis</w:t>
      </w:r>
      <w:r w:rsidR="00243AA3">
        <w:t xml:space="preserve"> in</w:t>
      </w:r>
      <w:r w:rsidR="00C008B2">
        <w:t xml:space="preserve"> Australia in</w:t>
      </w:r>
      <w:r w:rsidR="00243AA3">
        <w:t xml:space="preserve"> the 21 days after its receipt of </w:t>
      </w:r>
      <w:r w:rsidR="00C008B2">
        <w:t xml:space="preserve">Pinnacle’s </w:t>
      </w:r>
      <w:r w:rsidR="00243AA3">
        <w:t>letter of demand</w:t>
      </w:r>
      <w:r w:rsidR="002D25EE" w:rsidRPr="002D25EE">
        <w:t xml:space="preserve"> </w:t>
      </w:r>
      <w:r w:rsidR="002D25EE">
        <w:t>on 16 May 2016</w:t>
      </w:r>
      <w:r w:rsidR="00B70256">
        <w:t>,</w:t>
      </w:r>
      <w:r w:rsidR="002D25EE">
        <w:t xml:space="preserve"> </w:t>
      </w:r>
      <w:r w:rsidR="0010068C">
        <w:t xml:space="preserve">which is </w:t>
      </w:r>
      <w:r w:rsidR="00C008B2">
        <w:t>slightly more than the</w:t>
      </w:r>
      <w:r>
        <w:t xml:space="preserve"> 189 </w:t>
      </w:r>
      <w:r w:rsidR="00AE6CAD">
        <w:t>Triangl DELPHINE</w:t>
      </w:r>
      <w:r w:rsidR="00C008B2">
        <w:t xml:space="preserve"> bikinis it sold </w:t>
      </w:r>
      <w:r>
        <w:t xml:space="preserve">in the 22 days </w:t>
      </w:r>
      <w:r w:rsidR="0010068C">
        <w:t xml:space="preserve">between </w:t>
      </w:r>
      <w:r>
        <w:t xml:space="preserve">24 April </w:t>
      </w:r>
      <w:r w:rsidR="00CF60A4">
        <w:t>2016</w:t>
      </w:r>
      <w:r w:rsidR="00C008B2">
        <w:t xml:space="preserve"> </w:t>
      </w:r>
      <w:r w:rsidR="0010068C">
        <w:t xml:space="preserve">and </w:t>
      </w:r>
      <w:r w:rsidR="00C008B2">
        <w:t xml:space="preserve">its </w:t>
      </w:r>
      <w:r w:rsidR="00243AA3">
        <w:t>receipt of</w:t>
      </w:r>
      <w:r w:rsidR="002D25EE">
        <w:t xml:space="preserve"> that </w:t>
      </w:r>
      <w:r w:rsidR="00243AA3">
        <w:t>letter.</w:t>
      </w:r>
      <w:r>
        <w:t xml:space="preserve">  </w:t>
      </w:r>
      <w:r w:rsidR="0010068C">
        <w:t>However t</w:t>
      </w:r>
      <w:r>
        <w:t xml:space="preserve">he evidence does not indicate that Triangl did anything to cause that slight uptick in the </w:t>
      </w:r>
      <w:r w:rsidR="0010068C">
        <w:t xml:space="preserve">volume </w:t>
      </w:r>
      <w:r>
        <w:t>of sales and</w:t>
      </w:r>
      <w:r w:rsidR="009D667C">
        <w:t xml:space="preserve"> does not </w:t>
      </w:r>
      <w:r>
        <w:t xml:space="preserve">indicate a need for additional damages to mark the Court’s disapproval or opprobrium, or to punish or deter.  </w:t>
      </w:r>
    </w:p>
    <w:p w:rsidR="00C57F95" w:rsidRDefault="005F1A1C" w:rsidP="005F1A1C">
      <w:pPr>
        <w:pStyle w:val="ParaNumbering"/>
        <w:tabs>
          <w:tab w:val="num" w:pos="720"/>
        </w:tabs>
        <w:ind w:left="0"/>
      </w:pPr>
      <w:r>
        <w:rPr>
          <w:i/>
        </w:rPr>
        <w:t>Third</w:t>
      </w:r>
      <w:r>
        <w:t xml:space="preserve">, </w:t>
      </w:r>
      <w:r w:rsidR="00C008B2">
        <w:t xml:space="preserve">I am not persuaded that </w:t>
      </w:r>
      <w:r w:rsidR="00C57F95">
        <w:t>Mr Ellis’</w:t>
      </w:r>
      <w:r w:rsidR="00C008B2">
        <w:t xml:space="preserve"> remarks to </w:t>
      </w:r>
      <w:r w:rsidR="00C57F95">
        <w:t xml:space="preserve">Ms Lambrianidis </w:t>
      </w:r>
      <w:r>
        <w:t>on 26 May</w:t>
      </w:r>
      <w:r w:rsidR="009D667C">
        <w:t xml:space="preserve"> point towards making </w:t>
      </w:r>
      <w:r w:rsidR="00C008B2">
        <w:t xml:space="preserve">an award of </w:t>
      </w:r>
      <w:r>
        <w:t>additional damages.</w:t>
      </w:r>
      <w:r w:rsidR="00C008B2">
        <w:t xml:space="preserve">  Mr Ellis </w:t>
      </w:r>
      <w:r>
        <w:t xml:space="preserve">took an essentially commercial approach and tried to persuade Pinnacle away from bringing proceedings, including because of </w:t>
      </w:r>
      <w:r w:rsidR="00C008B2">
        <w:t xml:space="preserve">the </w:t>
      </w:r>
      <w:r>
        <w:t xml:space="preserve">difficulties likely to be associated with service of any proceedings </w:t>
      </w:r>
      <w:r w:rsidR="00C008B2">
        <w:t xml:space="preserve">that were filed </w:t>
      </w:r>
      <w:r>
        <w:t xml:space="preserve">and because the amount at stake was not worth the legal costs.  </w:t>
      </w:r>
      <w:r w:rsidR="00C57F95">
        <w:t>He could have chosen to make</w:t>
      </w:r>
      <w:r w:rsidR="00C008B2">
        <w:t xml:space="preserve"> it </w:t>
      </w:r>
      <w:r w:rsidR="00C57F95">
        <w:t xml:space="preserve">easier for Pinnacle </w:t>
      </w:r>
      <w:r w:rsidR="00C008B2">
        <w:t xml:space="preserve">to serve its proceeding </w:t>
      </w:r>
      <w:r w:rsidR="00C57F95">
        <w:t>but</w:t>
      </w:r>
      <w:r w:rsidR="00C008B2">
        <w:t xml:space="preserve"> </w:t>
      </w:r>
      <w:r w:rsidR="0010068C">
        <w:t>I do not consider</w:t>
      </w:r>
      <w:r w:rsidR="00B70256">
        <w:t xml:space="preserve"> that</w:t>
      </w:r>
      <w:r w:rsidR="0010068C">
        <w:t xml:space="preserve"> he was</w:t>
      </w:r>
      <w:r w:rsidR="00C008B2">
        <w:t xml:space="preserve"> </w:t>
      </w:r>
      <w:r w:rsidR="00C57F95">
        <w:t>obliged to do so.</w:t>
      </w:r>
      <w:r w:rsidR="00B97EF3">
        <w:t xml:space="preserve"> </w:t>
      </w:r>
      <w:r w:rsidR="00C57F95" w:rsidRPr="00C57F95">
        <w:t xml:space="preserve"> </w:t>
      </w:r>
      <w:r w:rsidR="00C57F95">
        <w:t>He was correct in understanding that the amount at stake was not worth the costs</w:t>
      </w:r>
      <w:r w:rsidR="00B97EF3">
        <w:t>.</w:t>
      </w:r>
      <w:r w:rsidR="00C57F95">
        <w:t xml:space="preserve">  </w:t>
      </w:r>
    </w:p>
    <w:p w:rsidR="005F1A1C" w:rsidRDefault="00C008B2" w:rsidP="005F1A1C">
      <w:pPr>
        <w:pStyle w:val="ParaNumbering"/>
        <w:tabs>
          <w:tab w:val="num" w:pos="720"/>
        </w:tabs>
        <w:ind w:left="0"/>
      </w:pPr>
      <w:r>
        <w:rPr>
          <w:i/>
        </w:rPr>
        <w:t>Fourth</w:t>
      </w:r>
      <w:r w:rsidR="005F1A1C">
        <w:t xml:space="preserve">, </w:t>
      </w:r>
      <w:r w:rsidR="009D667C">
        <w:t>on my view of the evidence the profits Triangl made from sales of the relevant bikinis should not be seen as attributable to its use of DELPHINE.</w:t>
      </w:r>
      <w:r w:rsidR="003D105D">
        <w:t xml:space="preserve"> </w:t>
      </w:r>
      <w:r w:rsidR="009D667C">
        <w:t xml:space="preserve"> In fact, it appears that sales of Triangl’s bikinis increased once the name was changed to DELILAH.</w:t>
      </w:r>
      <w:r w:rsidR="00EB58F0">
        <w:t xml:space="preserve">  I can see </w:t>
      </w:r>
      <w:r w:rsidR="0010068C">
        <w:t>no basis for awarding additional damages in order to remove any benefit that accrued to Triangl</w:t>
      </w:r>
      <w:r w:rsidR="00243AA3">
        <w:t>.</w:t>
      </w:r>
      <w:r w:rsidR="002D25EE">
        <w:t xml:space="preserve">  </w:t>
      </w:r>
    </w:p>
    <w:p w:rsidR="0010068C" w:rsidRDefault="00E136EB" w:rsidP="004242C5">
      <w:pPr>
        <w:pStyle w:val="ParaNumbering"/>
        <w:tabs>
          <w:tab w:val="num" w:pos="720"/>
        </w:tabs>
        <w:ind w:left="0"/>
      </w:pPr>
      <w:r>
        <w:rPr>
          <w:i/>
        </w:rPr>
        <w:t>Fifth</w:t>
      </w:r>
      <w:r w:rsidR="005F1A1C">
        <w:t xml:space="preserve">, </w:t>
      </w:r>
      <w:r w:rsidR="0010068C">
        <w:t xml:space="preserve">I do not consider that </w:t>
      </w:r>
      <w:r w:rsidR="005F1A1C">
        <w:t xml:space="preserve">Triangl’s conduct </w:t>
      </w:r>
      <w:r w:rsidR="000E2918">
        <w:t xml:space="preserve">in relation to service of the proceeding and in </w:t>
      </w:r>
      <w:r w:rsidR="00C753BC">
        <w:t xml:space="preserve">not </w:t>
      </w:r>
      <w:r w:rsidR="006447CA">
        <w:t xml:space="preserve">assisting to </w:t>
      </w:r>
      <w:r w:rsidR="000E2918">
        <w:t xml:space="preserve">identify the correct respondent </w:t>
      </w:r>
      <w:r w:rsidR="0010068C">
        <w:t xml:space="preserve">indicates </w:t>
      </w:r>
      <w:r w:rsidR="005F1A1C">
        <w:t>that an award of additional damages is appropriate.</w:t>
      </w:r>
      <w:r w:rsidR="003E4193">
        <w:t xml:space="preserve"> </w:t>
      </w:r>
      <w:r w:rsidR="005F1A1C">
        <w:t xml:space="preserve"> </w:t>
      </w:r>
      <w:r w:rsidR="0010068C">
        <w:t xml:space="preserve">I accept that Mr Ellis could have made it easier for Pinnacle to serve the proceeding and he could have informed Pinnacle that it initially brought the proceeding against the wrong Triangl entity, but </w:t>
      </w:r>
      <w:r w:rsidR="006447CA">
        <w:t xml:space="preserve">I do not consider that </w:t>
      </w:r>
      <w:r w:rsidR="0010068C">
        <w:t xml:space="preserve">he was obliged to.  I note also that the correct entity was set out on the EDMs which Pinnacle had and relied upon to establish the infringing conduct.  </w:t>
      </w:r>
    </w:p>
    <w:p w:rsidR="005F1A1C" w:rsidRDefault="005F7A95" w:rsidP="00BC2364">
      <w:pPr>
        <w:pStyle w:val="ParaNumbering"/>
        <w:tabs>
          <w:tab w:val="num" w:pos="720"/>
        </w:tabs>
        <w:spacing w:before="240"/>
        <w:ind w:left="0"/>
      </w:pPr>
      <w:r>
        <w:t xml:space="preserve">While </w:t>
      </w:r>
      <w:r w:rsidR="00EB58F0">
        <w:t xml:space="preserve">I consider </w:t>
      </w:r>
      <w:r w:rsidR="0070759B">
        <w:t xml:space="preserve">it is open to treat </w:t>
      </w:r>
      <w:r w:rsidR="005F1A1C">
        <w:t>a respondent’s conduct in the course of infringement proceedings</w:t>
      </w:r>
      <w:r w:rsidR="0070759B">
        <w:t xml:space="preserve"> as </w:t>
      </w:r>
      <w:r w:rsidR="005F1A1C">
        <w:t>a relevant consideration in relation to additional damages</w:t>
      </w:r>
      <w:r>
        <w:t>, t</w:t>
      </w:r>
      <w:r w:rsidR="005F1A1C">
        <w:t xml:space="preserve">he present case is not like </w:t>
      </w:r>
      <w:r w:rsidR="005F1A1C" w:rsidRPr="00BC2364">
        <w:rPr>
          <w:i/>
        </w:rPr>
        <w:t xml:space="preserve">Facton </w:t>
      </w:r>
      <w:r w:rsidR="005F1A1C">
        <w:t>where the respondents refused to acknowledge wrongdoing and denied the infringement until the last minute (</w:t>
      </w:r>
      <w:r w:rsidR="005F1A1C" w:rsidRPr="00BC2364">
        <w:rPr>
          <w:i/>
        </w:rPr>
        <w:t xml:space="preserve">Facton </w:t>
      </w:r>
      <w:r w:rsidR="005F1A1C">
        <w:t>at [44])</w:t>
      </w:r>
      <w:r w:rsidR="00EB58F0">
        <w:t xml:space="preserve">. </w:t>
      </w:r>
      <w:r w:rsidR="003D105D">
        <w:t xml:space="preserve"> </w:t>
      </w:r>
      <w:r w:rsidR="00EB58F0">
        <w:t>N</w:t>
      </w:r>
      <w:r w:rsidR="005F1A1C">
        <w:t xml:space="preserve">or was </w:t>
      </w:r>
      <w:r w:rsidR="00EB58F0">
        <w:t xml:space="preserve">Mr Ellis’ </w:t>
      </w:r>
      <w:r w:rsidR="005F1A1C">
        <w:t>conduct like filing a defence which</w:t>
      </w:r>
      <w:r w:rsidR="0010068C">
        <w:t xml:space="preserve"> was </w:t>
      </w:r>
      <w:r w:rsidR="003E4193">
        <w:t>later</w:t>
      </w:r>
      <w:r w:rsidR="005F1A1C">
        <w:t xml:space="preserve"> proved to be false</w:t>
      </w:r>
      <w:r w:rsidR="003E4193">
        <w:t>,</w:t>
      </w:r>
      <w:r w:rsidR="005F1A1C">
        <w:t xml:space="preserve"> as part of a continuing pattern of conduct which </w:t>
      </w:r>
      <w:r w:rsidR="005F1A1C">
        <w:lastRenderedPageBreak/>
        <w:t xml:space="preserve">recognised the illegality of the enterprise in which the respondents were engaged: </w:t>
      </w:r>
      <w:r w:rsidR="005F1A1C" w:rsidRPr="00BC2364">
        <w:rPr>
          <w:i/>
          <w:iCs/>
        </w:rPr>
        <w:t>Microsoft Corp v Goodview Electronics Pty Ltd</w:t>
      </w:r>
      <w:r w:rsidR="005F1A1C">
        <w:t xml:space="preserve"> [2000] FCA 1852; (2000) 49 IPR 578 at [61]-[64] (Branson J).  </w:t>
      </w:r>
      <w:r w:rsidR="0070759B">
        <w:t>T</w:t>
      </w:r>
      <w:r w:rsidR="005F1A1C">
        <w:t xml:space="preserve">o use </w:t>
      </w:r>
      <w:r w:rsidR="0091514B">
        <w:t xml:space="preserve">the words of </w:t>
      </w:r>
      <w:r w:rsidR="005F1A1C">
        <w:t xml:space="preserve">Wigney J in </w:t>
      </w:r>
      <w:r w:rsidR="005F1A1C" w:rsidRPr="00BC2364">
        <w:rPr>
          <w:i/>
        </w:rPr>
        <w:t xml:space="preserve">Truong Giang </w:t>
      </w:r>
      <w:r w:rsidR="005F1A1C">
        <w:t>at [138]</w:t>
      </w:r>
      <w:r w:rsidR="0070759B">
        <w:t>,</w:t>
      </w:r>
      <w:r w:rsidR="005F1A1C">
        <w:t xml:space="preserve"> </w:t>
      </w:r>
      <w:r w:rsidR="0070759B">
        <w:t xml:space="preserve">Triangl’s conduct </w:t>
      </w:r>
      <w:r w:rsidR="0010068C">
        <w:t xml:space="preserve">after the commencement of proceedings </w:t>
      </w:r>
      <w:r w:rsidR="0070759B">
        <w:t xml:space="preserve">did not </w:t>
      </w:r>
      <w:r w:rsidR="005F1A1C">
        <w:t>involve “high-handedness, dishonesty, recalcitrance, or flagrant disregard of, or deficiencies in compliance with</w:t>
      </w:r>
      <w:r w:rsidR="001E2422">
        <w:t>,</w:t>
      </w:r>
      <w:r w:rsidR="005F1A1C">
        <w:t xml:space="preserve"> discovery orders or notices to produce”.</w:t>
      </w:r>
      <w:r w:rsidR="00BC2364">
        <w:t xml:space="preserve"> </w:t>
      </w:r>
      <w:r w:rsidR="00EF5977">
        <w:t xml:space="preserve"> </w:t>
      </w:r>
      <w:r w:rsidR="00EB58F0">
        <w:t xml:space="preserve">Mr Ellis’ and </w:t>
      </w:r>
      <w:r w:rsidR="005F1A1C">
        <w:t>Triangl’s conduct</w:t>
      </w:r>
      <w:r w:rsidR="0010068C">
        <w:t xml:space="preserve"> was not </w:t>
      </w:r>
      <w:r w:rsidR="00243AA3">
        <w:t>of a</w:t>
      </w:r>
      <w:r w:rsidR="005F1A1C">
        <w:t xml:space="preserve"> type which</w:t>
      </w:r>
      <w:r w:rsidR="00243AA3">
        <w:t xml:space="preserve"> indicates </w:t>
      </w:r>
      <w:r w:rsidR="005F1A1C">
        <w:t>an award of additional damages</w:t>
      </w:r>
      <w:r w:rsidR="00243AA3">
        <w:t xml:space="preserve"> is appropriate.  </w:t>
      </w:r>
      <w:r w:rsidR="006447CA">
        <w:t xml:space="preserve">To the extent that </w:t>
      </w:r>
      <w:r w:rsidR="00EB58F0">
        <w:t xml:space="preserve">their </w:t>
      </w:r>
      <w:r w:rsidR="00243AA3">
        <w:t xml:space="preserve">conduct </w:t>
      </w:r>
      <w:r w:rsidR="006447CA">
        <w:t xml:space="preserve">might be said to warrant some sanction it </w:t>
      </w:r>
      <w:r w:rsidR="005F1A1C">
        <w:t xml:space="preserve">is more </w:t>
      </w:r>
      <w:r w:rsidR="00243AA3">
        <w:t xml:space="preserve">likely to be </w:t>
      </w:r>
      <w:r w:rsidR="005F1A1C">
        <w:t>relevant</w:t>
      </w:r>
      <w:r w:rsidR="00243AA3">
        <w:t xml:space="preserve"> </w:t>
      </w:r>
      <w:r w:rsidR="006447CA">
        <w:t xml:space="preserve">to </w:t>
      </w:r>
      <w:r w:rsidR="00243AA3">
        <w:t xml:space="preserve">the issue of </w:t>
      </w:r>
      <w:r w:rsidR="005F1A1C">
        <w:t>costs</w:t>
      </w:r>
      <w:r w:rsidR="00EB58F0">
        <w:t>, and that is a question for another day</w:t>
      </w:r>
      <w:r w:rsidR="005F1A1C">
        <w:t xml:space="preserve">:  see </w:t>
      </w:r>
      <w:r w:rsidR="005F1A1C" w:rsidRPr="00BC2364">
        <w:rPr>
          <w:i/>
        </w:rPr>
        <w:t xml:space="preserve">Futuretronics.com.au Pty Ltd v Graphix Labels Pty Ltd (No 2) </w:t>
      </w:r>
      <w:r w:rsidR="005F1A1C">
        <w:t xml:space="preserve">[2008] FCA 746; (2008) 76 IPR 763 at [17] (Besanko J); </w:t>
      </w:r>
      <w:r w:rsidR="005F1A1C" w:rsidRPr="00BC2364">
        <w:rPr>
          <w:i/>
        </w:rPr>
        <w:t>Flags 2000 Pty Ltd v Smith</w:t>
      </w:r>
      <w:r w:rsidR="005F1A1C">
        <w:t xml:space="preserve"> [2003] FCA 1067; (2003) 59 IPR 191 at </w:t>
      </w:r>
      <w:r w:rsidR="00440276">
        <w:t>[40]</w:t>
      </w:r>
      <w:r w:rsidR="005F1A1C">
        <w:t xml:space="preserve"> (Goldberg J).  </w:t>
      </w:r>
    </w:p>
    <w:p w:rsidR="002C1B8B" w:rsidRPr="002C1B8B" w:rsidRDefault="002C1B8B" w:rsidP="0091514B">
      <w:pPr>
        <w:pStyle w:val="Heading1"/>
      </w:pPr>
      <w:r w:rsidRPr="002C1B8B">
        <w:t>Triangl’s Cross</w:t>
      </w:r>
      <w:r w:rsidR="008118D9">
        <w:t>-</w:t>
      </w:r>
      <w:r w:rsidRPr="002C1B8B">
        <w:t>Claim</w:t>
      </w:r>
    </w:p>
    <w:p w:rsidR="002C1B8B" w:rsidRPr="002C1B8B" w:rsidRDefault="002C1B8B" w:rsidP="002C1B8B">
      <w:pPr>
        <w:pStyle w:val="ParaNumbering"/>
        <w:tabs>
          <w:tab w:val="num" w:pos="720"/>
        </w:tabs>
        <w:ind w:left="0"/>
      </w:pPr>
      <w:r w:rsidRPr="002C1B8B">
        <w:t>In the cross</w:t>
      </w:r>
      <w:r w:rsidR="008118D9">
        <w:t>-</w:t>
      </w:r>
      <w:r w:rsidRPr="002C1B8B">
        <w:t xml:space="preserve">claim Triangl alleged that Pinnacle was not the first </w:t>
      </w:r>
      <w:r w:rsidR="002D25EE">
        <w:t xml:space="preserve">trader in Australia </w:t>
      </w:r>
      <w:r w:rsidRPr="002C1B8B">
        <w:t xml:space="preserve">to use DELPHINE as a trade mark in relation to the goods for which that mark is registered, being clothing, headwear and swimwear.  </w:t>
      </w:r>
      <w:r w:rsidR="002D25EE">
        <w:t>The priority date of</w:t>
      </w:r>
      <w:r w:rsidRPr="002C1B8B">
        <w:t xml:space="preserve"> the </w:t>
      </w:r>
      <w:r w:rsidR="002D25EE" w:rsidRPr="002C1B8B">
        <w:t xml:space="preserve">DELPHINE </w:t>
      </w:r>
      <w:r w:rsidR="002D25EE">
        <w:t xml:space="preserve">Trade Mark is </w:t>
      </w:r>
      <w:r w:rsidRPr="002C1B8B">
        <w:t>6 July 2015</w:t>
      </w:r>
      <w:r w:rsidR="002D25EE">
        <w:t xml:space="preserve"> and Triangl alleged that</w:t>
      </w:r>
      <w:r w:rsidRPr="002C1B8B">
        <w:t xml:space="preserve"> </w:t>
      </w:r>
      <w:r w:rsidR="002D25EE">
        <w:t xml:space="preserve">prior to that date </w:t>
      </w:r>
      <w:r w:rsidRPr="002C1B8B">
        <w:t>two other traders</w:t>
      </w:r>
      <w:r w:rsidR="002D25EE">
        <w:t xml:space="preserve"> in Australia</w:t>
      </w:r>
      <w:r w:rsidRPr="002C1B8B">
        <w:t xml:space="preserve"> used trade marks </w:t>
      </w:r>
      <w:r w:rsidR="007F5841">
        <w:t xml:space="preserve">which </w:t>
      </w:r>
      <w:r w:rsidR="007F5841" w:rsidRPr="002C1B8B">
        <w:t xml:space="preserve">shared a ‘substantial identity’ with the DELPHINE mark </w:t>
      </w:r>
      <w:r w:rsidRPr="002C1B8B">
        <w:t xml:space="preserve">in relation to goods of the same kind.  It contended that Pinnacle was therefore not the owner of the DELPHINE mark and that its registration of the mark should be cancelled under s 88 of the Act. </w:t>
      </w:r>
    </w:p>
    <w:p w:rsidR="007F5841" w:rsidRDefault="002C1B8B" w:rsidP="002C1B8B">
      <w:pPr>
        <w:pStyle w:val="ParaNumbering"/>
        <w:tabs>
          <w:tab w:val="num" w:pos="720"/>
        </w:tabs>
        <w:ind w:left="0"/>
      </w:pPr>
      <w:r w:rsidRPr="002C1B8B">
        <w:t xml:space="preserve">Triangl sought cancellation </w:t>
      </w:r>
      <w:r w:rsidRPr="002C1B8B">
        <w:rPr>
          <w:szCs w:val="24"/>
        </w:rPr>
        <w:t>of the</w:t>
      </w:r>
      <w:r w:rsidRPr="002C1B8B">
        <w:t xml:space="preserve"> registration of the DELPHINE mark not because of any claim it</w:t>
      </w:r>
      <w:r w:rsidR="007F5841">
        <w:t xml:space="preserve"> had </w:t>
      </w:r>
      <w:r w:rsidRPr="002C1B8B">
        <w:t>to</w:t>
      </w:r>
      <w:r w:rsidR="007F5841">
        <w:t xml:space="preserve"> any right or entitlement in relation to </w:t>
      </w:r>
      <w:r w:rsidRPr="002C1B8B">
        <w:t>that name or brand but as a collateral means of defending Pinnacle’s claim of trade mark infringement.</w:t>
      </w:r>
      <w:r w:rsidR="007F5841">
        <w:rPr>
          <w:szCs w:val="24"/>
        </w:rPr>
        <w:t xml:space="preserve">  It </w:t>
      </w:r>
      <w:r w:rsidRPr="002C1B8B">
        <w:t>took the position that if the Court found that Triangl’s use of the name DELPHINE did not constitute use as a trade mark, it did not seek that the cross</w:t>
      </w:r>
      <w:r w:rsidR="008118D9">
        <w:t>-</w:t>
      </w:r>
      <w:r w:rsidRPr="002C1B8B">
        <w:t xml:space="preserve">claim be determined.  </w:t>
      </w:r>
    </w:p>
    <w:p w:rsidR="002C1B8B" w:rsidRPr="002C1B8B" w:rsidRDefault="00BC2364" w:rsidP="002C1B8B">
      <w:pPr>
        <w:pStyle w:val="ParaNumbering"/>
        <w:tabs>
          <w:tab w:val="num" w:pos="720"/>
        </w:tabs>
        <w:ind w:left="0"/>
      </w:pPr>
      <w:r>
        <w:t>H</w:t>
      </w:r>
      <w:r w:rsidR="007F5841">
        <w:t xml:space="preserve">aving regard to the </w:t>
      </w:r>
      <w:r w:rsidR="002C1B8B" w:rsidRPr="002C1B8B">
        <w:t xml:space="preserve">dismissal of Pinnacle’s claim it is </w:t>
      </w:r>
      <w:r>
        <w:t xml:space="preserve">therefore </w:t>
      </w:r>
      <w:r w:rsidR="002C1B8B" w:rsidRPr="002C1B8B">
        <w:t xml:space="preserve">strictly </w:t>
      </w:r>
      <w:r w:rsidR="007F5841">
        <w:t>un</w:t>
      </w:r>
      <w:r w:rsidR="002C1B8B" w:rsidRPr="002C1B8B">
        <w:t>necessary to decide the cross</w:t>
      </w:r>
      <w:r w:rsidR="008118D9">
        <w:t>-</w:t>
      </w:r>
      <w:r w:rsidR="002C1B8B" w:rsidRPr="002C1B8B">
        <w:t>claim</w:t>
      </w:r>
      <w:r w:rsidR="007F5841">
        <w:t>.  But</w:t>
      </w:r>
      <w:r>
        <w:t xml:space="preserve"> if </w:t>
      </w:r>
      <w:r w:rsidR="007F5841">
        <w:t xml:space="preserve">I am </w:t>
      </w:r>
      <w:r>
        <w:t xml:space="preserve">held to be </w:t>
      </w:r>
      <w:r w:rsidR="007F5841">
        <w:t>wrong in</w:t>
      </w:r>
      <w:r>
        <w:t xml:space="preserve"> dismissing Pinnacle’s claim</w:t>
      </w:r>
      <w:r w:rsidR="007F5841">
        <w:t>, and having regard to the fact that the cross</w:t>
      </w:r>
      <w:r w:rsidR="008118D9">
        <w:t>-</w:t>
      </w:r>
      <w:r w:rsidR="007F5841">
        <w:t>claim was fully argued,</w:t>
      </w:r>
      <w:r>
        <w:t xml:space="preserve"> it is appropriate to </w:t>
      </w:r>
      <w:r w:rsidR="007F5841">
        <w:t xml:space="preserve">set out my views in relation to it.  </w:t>
      </w:r>
    </w:p>
    <w:p w:rsidR="002C1B8B" w:rsidRPr="002C1B8B" w:rsidRDefault="002C1B8B" w:rsidP="00EF7252">
      <w:pPr>
        <w:pStyle w:val="Heading2"/>
      </w:pPr>
      <w:r w:rsidRPr="002C1B8B">
        <w:lastRenderedPageBreak/>
        <w:t>Relevant legislation and principles</w:t>
      </w:r>
    </w:p>
    <w:p w:rsidR="002C1B8B" w:rsidRPr="002C1B8B" w:rsidRDefault="007F5841" w:rsidP="002C1B8B">
      <w:pPr>
        <w:pStyle w:val="ParaNumbering"/>
        <w:tabs>
          <w:tab w:val="num" w:pos="720"/>
        </w:tabs>
        <w:ind w:left="0"/>
      </w:pPr>
      <w:r>
        <w:t>Relevantly, s</w:t>
      </w:r>
      <w:r w:rsidRPr="002C1B8B">
        <w:t xml:space="preserve"> </w:t>
      </w:r>
      <w:r w:rsidR="002C1B8B" w:rsidRPr="002C1B8B">
        <w:t xml:space="preserve">88 of the Act empowers the Court to cancel the registration of a trade mark on the application of an aggrieved person, on “any of the grounds on which the registration of the trade mark could have been opposed” under the Act. </w:t>
      </w:r>
    </w:p>
    <w:p w:rsidR="002C1B8B" w:rsidRPr="002C1B8B" w:rsidRDefault="002C1B8B" w:rsidP="002C1B8B">
      <w:pPr>
        <w:pStyle w:val="ParaNumbering"/>
        <w:tabs>
          <w:tab w:val="num" w:pos="720"/>
        </w:tabs>
        <w:ind w:left="0"/>
      </w:pPr>
      <w:r w:rsidRPr="002C1B8B">
        <w:t xml:space="preserve">Section 58 </w:t>
      </w:r>
      <w:r w:rsidR="007F5841">
        <w:t xml:space="preserve">of the Act </w:t>
      </w:r>
      <w:r w:rsidRPr="002C1B8B">
        <w:t>provides:</w:t>
      </w:r>
    </w:p>
    <w:p w:rsidR="002C1B8B" w:rsidRPr="002C1B8B" w:rsidRDefault="002C1B8B" w:rsidP="004F72F4">
      <w:pPr>
        <w:pStyle w:val="Quote1"/>
        <w:spacing w:after="240"/>
      </w:pPr>
      <w:r w:rsidRPr="002C1B8B">
        <w:t>The registration of a trade mark may be opposed on the ground that the applicant is not the owner of the trade mark.</w:t>
      </w:r>
    </w:p>
    <w:p w:rsidR="002C1B8B" w:rsidRPr="002C1B8B" w:rsidRDefault="002C1B8B" w:rsidP="004F72F4">
      <w:pPr>
        <w:pStyle w:val="NoNum"/>
      </w:pPr>
      <w:r w:rsidRPr="002C1B8B">
        <w:t>Under s 6 “the applicant” in relation to an application for a trade mark means “the person in whose name the application is for the time being proceeding”.  Thus, registration of a trade mark may be cancelled if the applicant for registration was not the owner of the mark</w:t>
      </w:r>
      <w:r w:rsidR="007C5EE6">
        <w:t xml:space="preserve"> a</w:t>
      </w:r>
      <w:r w:rsidRPr="002C1B8B">
        <w:t>t the time of that application.</w:t>
      </w:r>
    </w:p>
    <w:p w:rsidR="007F5841" w:rsidRDefault="002C1B8B" w:rsidP="002C1B8B">
      <w:pPr>
        <w:pStyle w:val="ParaNumbering"/>
        <w:tabs>
          <w:tab w:val="num" w:pos="720"/>
        </w:tabs>
        <w:ind w:left="0"/>
      </w:pPr>
      <w:r w:rsidRPr="002C1B8B">
        <w:t xml:space="preserve">In </w:t>
      </w:r>
      <w:r w:rsidRPr="002C1B8B">
        <w:rPr>
          <w:i/>
        </w:rPr>
        <w:t>Accor Australia &amp; New Zealand Hospitality Pty Ltd v Liv Pty Ltd</w:t>
      </w:r>
      <w:r w:rsidRPr="002C1B8B">
        <w:t xml:space="preserve"> [2017] FCAFC 56; (2017) 345 ALR 205 (</w:t>
      </w:r>
      <w:r w:rsidRPr="002C1B8B">
        <w:rPr>
          <w:b/>
          <w:i/>
        </w:rPr>
        <w:t>Accor</w:t>
      </w:r>
      <w:r w:rsidRPr="002C1B8B">
        <w:t xml:space="preserve">) at [165] Greenwood, Besanko and Katzmann JJ explained that, conformably with ss 27 and 58 of the Act, the basis of a claim to ownership of a trade mark is the combined effect of authorship (meaning origination of the trade mark or first adoption of it) coupled with (at the date of application for registration) either actual use or an intention to use the trade mark in relation to specified goods or services.  The Act provides for “registration of ownership not ownership by registration”: </w:t>
      </w:r>
      <w:r w:rsidRPr="002C1B8B">
        <w:rPr>
          <w:i/>
          <w:iCs/>
        </w:rPr>
        <w:t>PB Foods v Malanda Dairyfoods Ltd</w:t>
      </w:r>
      <w:r w:rsidRPr="002C1B8B">
        <w:t xml:space="preserve"> [1999] FCA 1602; (1999) 47 IPR 47 at [78]-[80] (Carr J) cited with approval in </w:t>
      </w:r>
      <w:r w:rsidRPr="002C1B8B">
        <w:rPr>
          <w:bCs/>
          <w:i/>
          <w:iCs/>
        </w:rPr>
        <w:t>Accor</w:t>
      </w:r>
      <w:r w:rsidRPr="002C1B8B">
        <w:rPr>
          <w:i/>
          <w:iCs/>
        </w:rPr>
        <w:t xml:space="preserve"> </w:t>
      </w:r>
      <w:r w:rsidRPr="002C1B8B">
        <w:t xml:space="preserve">at [170]. </w:t>
      </w:r>
    </w:p>
    <w:p w:rsidR="002C1B8B" w:rsidRPr="002C1B8B" w:rsidRDefault="002C1B8B" w:rsidP="002C1B8B">
      <w:pPr>
        <w:pStyle w:val="ParaNumbering"/>
        <w:tabs>
          <w:tab w:val="num" w:pos="720"/>
        </w:tabs>
        <w:ind w:left="0"/>
      </w:pPr>
      <w:r w:rsidRPr="002C1B8B">
        <w:t xml:space="preserve">A claim to ownership of a trade mark will be defeated by prior use in Australia of the mark, as a trade mark, in relation to the goods or services for which that mark is registered: </w:t>
      </w:r>
      <w:r w:rsidRPr="002C1B8B">
        <w:rPr>
          <w:i/>
        </w:rPr>
        <w:t>Pham Global Pty Ltd v Insight Clinical Imaging Pty Ltd</w:t>
      </w:r>
      <w:r w:rsidRPr="002C1B8B">
        <w:t xml:space="preserve"> [2017] FCAFC 83; (2017) 251 FCR 379 (</w:t>
      </w:r>
      <w:r w:rsidRPr="002C1B8B">
        <w:rPr>
          <w:b/>
          <w:i/>
        </w:rPr>
        <w:t>Pham Global</w:t>
      </w:r>
      <w:r w:rsidRPr="002C1B8B">
        <w:t xml:space="preserve">) at [50] (Greenwood, Jagot and Beach JJ). </w:t>
      </w:r>
    </w:p>
    <w:p w:rsidR="002C1B8B" w:rsidRPr="002C1B8B" w:rsidRDefault="002C1B8B" w:rsidP="002C1B8B">
      <w:pPr>
        <w:pStyle w:val="ParaNumbering"/>
        <w:tabs>
          <w:tab w:val="num" w:pos="720"/>
        </w:tabs>
        <w:ind w:left="0"/>
      </w:pPr>
      <w:r w:rsidRPr="002C1B8B">
        <w:t xml:space="preserve">To show use of a trade mark it is not necessary that there be an “actual dealing” in goods or services bearing the mark. </w:t>
      </w:r>
      <w:r w:rsidR="009C335B">
        <w:t xml:space="preserve"> </w:t>
      </w:r>
      <w:r w:rsidRPr="002C1B8B">
        <w:t xml:space="preserve">It is sufficient if goods or services have been offered for sale under the mark or that the mark has been used in an advertisement of goods or services, as use in an advertisement is sufficient to constitute use in the course of trade.  Where </w:t>
      </w:r>
      <w:r w:rsidRPr="002C1B8B">
        <w:rPr>
          <w:i/>
        </w:rPr>
        <w:t xml:space="preserve">actual use </w:t>
      </w:r>
      <w:r w:rsidRPr="002C1B8B">
        <w:t>of the mark</w:t>
      </w:r>
      <w:r w:rsidRPr="002C1B8B">
        <w:rPr>
          <w:i/>
        </w:rPr>
        <w:t xml:space="preserve"> </w:t>
      </w:r>
      <w:r w:rsidRPr="002C1B8B">
        <w:t>(as distinct from an intention to offer or supply goods or services bearing the mark) is relied upon as establishing first use</w:t>
      </w:r>
      <w:r w:rsidR="002D5772">
        <w:t>,</w:t>
      </w:r>
      <w:r w:rsidRPr="002C1B8B">
        <w:t xml:space="preserve"> “a very small amount of use will suffice”: </w:t>
      </w:r>
      <w:r w:rsidRPr="002C1B8B">
        <w:rPr>
          <w:i/>
        </w:rPr>
        <w:t>Accor</w:t>
      </w:r>
      <w:r w:rsidRPr="002C1B8B">
        <w:t xml:space="preserve"> at [167]-[169].</w:t>
      </w:r>
    </w:p>
    <w:p w:rsidR="002C1B8B" w:rsidRPr="002C1B8B" w:rsidRDefault="002C1B8B" w:rsidP="002C1B8B">
      <w:pPr>
        <w:pStyle w:val="ParaNumbering"/>
        <w:tabs>
          <w:tab w:val="num" w:pos="720"/>
        </w:tabs>
        <w:ind w:left="0"/>
        <w:rPr>
          <w:szCs w:val="24"/>
        </w:rPr>
      </w:pPr>
      <w:r w:rsidRPr="002C1B8B">
        <w:rPr>
          <w:szCs w:val="24"/>
        </w:rPr>
        <w:lastRenderedPageBreak/>
        <w:t xml:space="preserve">The mark said to have been </w:t>
      </w:r>
      <w:r w:rsidR="00CD4905">
        <w:rPr>
          <w:szCs w:val="24"/>
        </w:rPr>
        <w:t xml:space="preserve">used </w:t>
      </w:r>
      <w:r w:rsidRPr="002C1B8B">
        <w:rPr>
          <w:szCs w:val="24"/>
        </w:rPr>
        <w:t>prior need not be identical to the registered trade mark, and ‘substantial identity’ between the two marks will suffice.  That is, there may be additions or alterations, as long as they do not substantially affect the identity of the mark: s 7 of the Act</w:t>
      </w:r>
      <w:r w:rsidRPr="002C1B8B">
        <w:t xml:space="preserve">.  </w:t>
      </w:r>
      <w:r w:rsidR="0080272F">
        <w:t>I</w:t>
      </w:r>
      <w:r w:rsidR="0080272F" w:rsidRPr="002C1B8B">
        <w:t xml:space="preserve">n </w:t>
      </w:r>
      <w:r w:rsidR="0080272F" w:rsidRPr="002C1B8B">
        <w:rPr>
          <w:i/>
        </w:rPr>
        <w:t xml:space="preserve">Shell </w:t>
      </w:r>
      <w:r w:rsidR="0080272F" w:rsidRPr="002C1B8B">
        <w:t>at 414 Windeyer J</w:t>
      </w:r>
      <w:r w:rsidR="0080272F">
        <w:t xml:space="preserve"> expressed the well-accepted </w:t>
      </w:r>
      <w:r w:rsidRPr="002C1B8B">
        <w:t>test for deciding whether a mark is substantially identical to a registered trade mark as follows:</w:t>
      </w:r>
    </w:p>
    <w:p w:rsidR="002C1B8B" w:rsidRPr="002C1B8B" w:rsidRDefault="002C1B8B" w:rsidP="00031CD5">
      <w:pPr>
        <w:pStyle w:val="Quote1"/>
      </w:pPr>
      <w:r w:rsidRPr="002C1B8B">
        <w:t>In considering whether marks are substantially identical they should, I think, be compared side-by-side, their similarities and differences noted and the importance of these assessed having regard to the essential features of the registered mark and the total impression of resemblance or dissimilarity that emerges from the comparison. “The identification of an essential feature depends” it has been said, “partly on the Court’s own judgment and partly on the burden of the evidence that his place before it”.  Whether there is substantial identity is a question of fact.</w:t>
      </w:r>
    </w:p>
    <w:p w:rsidR="002C1B8B" w:rsidRPr="002C1B8B" w:rsidRDefault="002C1B8B" w:rsidP="00031CD5">
      <w:pPr>
        <w:pStyle w:val="Quote1"/>
        <w:spacing w:after="240"/>
      </w:pPr>
      <w:r w:rsidRPr="002C1B8B">
        <w:t>(Footnotes omitted.)</w:t>
      </w:r>
    </w:p>
    <w:p w:rsidR="002C1B8B" w:rsidRPr="002C1B8B" w:rsidRDefault="002C1B8B" w:rsidP="00031CD5">
      <w:pPr>
        <w:pStyle w:val="NoNum"/>
      </w:pPr>
      <w:r w:rsidRPr="002C1B8B">
        <w:t xml:space="preserve">If a total impression of similarity emerges from a comparison between the two marks, the marks are “substantially identical”: </w:t>
      </w:r>
      <w:r w:rsidRPr="002C1B8B">
        <w:rPr>
          <w:i/>
        </w:rPr>
        <w:t>Carnival Cruise Lines Inc v Sitmar Cruises Ltd</w:t>
      </w:r>
      <w:r w:rsidRPr="002C1B8B">
        <w:t xml:space="preserve"> [1994] FCA 68; (1994) 120 ALR 495 (</w:t>
      </w:r>
      <w:r w:rsidRPr="002C1B8B">
        <w:rPr>
          <w:b/>
          <w:i/>
        </w:rPr>
        <w:t>Carnival Cruise Lines</w:t>
      </w:r>
      <w:r w:rsidRPr="002C1B8B">
        <w:t xml:space="preserve">) at 513 (Gummow J).  </w:t>
      </w:r>
    </w:p>
    <w:p w:rsidR="002C1B8B" w:rsidRPr="002C1B8B" w:rsidRDefault="002C1B8B" w:rsidP="00622022">
      <w:pPr>
        <w:pStyle w:val="Heading2"/>
      </w:pPr>
      <w:r w:rsidRPr="002C1B8B">
        <w:t>The evidence</w:t>
      </w:r>
    </w:p>
    <w:p w:rsidR="002C1B8B" w:rsidRPr="002C1B8B" w:rsidRDefault="002C1B8B" w:rsidP="002C1B8B">
      <w:pPr>
        <w:pStyle w:val="ParaNumbering"/>
        <w:tabs>
          <w:tab w:val="num" w:pos="720"/>
        </w:tabs>
        <w:ind w:left="0"/>
      </w:pPr>
      <w:r w:rsidRPr="002C1B8B">
        <w:t>Triangl relied on the following material in relation to the alleged prior use:</w:t>
      </w:r>
    </w:p>
    <w:p w:rsidR="002C1B8B" w:rsidRPr="002C1B8B" w:rsidRDefault="002C1B8B" w:rsidP="008D7D39">
      <w:pPr>
        <w:pStyle w:val="ListNo1"/>
        <w:numPr>
          <w:ilvl w:val="0"/>
          <w:numId w:val="59"/>
        </w:numPr>
      </w:pPr>
      <w:r w:rsidRPr="002C1B8B">
        <w:t>two affidavits of Mr Ben Mawby, a solicitor employed by Corrs, affirmed 24 April 2018 and 20 October 2018;</w:t>
      </w:r>
    </w:p>
    <w:p w:rsidR="002C1B8B" w:rsidRPr="002C1B8B" w:rsidRDefault="00CD4905" w:rsidP="008D7D39">
      <w:pPr>
        <w:pStyle w:val="ListNo1"/>
        <w:numPr>
          <w:ilvl w:val="0"/>
          <w:numId w:val="59"/>
        </w:numPr>
      </w:pPr>
      <w:r>
        <w:t xml:space="preserve">an affidavit of </w:t>
      </w:r>
      <w:r w:rsidR="002C1B8B" w:rsidRPr="002C1B8B">
        <w:t>Mr Christopher Butler, the office manager of the Internet Archive, affirmed 11 June 2018 ; and</w:t>
      </w:r>
    </w:p>
    <w:p w:rsidR="002C1B8B" w:rsidRPr="002C1B8B" w:rsidRDefault="00CD4905" w:rsidP="008D7D39">
      <w:pPr>
        <w:pStyle w:val="ListNo1"/>
        <w:numPr>
          <w:ilvl w:val="0"/>
          <w:numId w:val="59"/>
        </w:numPr>
      </w:pPr>
      <w:r>
        <w:t>an affidavit of</w:t>
      </w:r>
      <w:r w:rsidRPr="002C1B8B">
        <w:t xml:space="preserve"> </w:t>
      </w:r>
      <w:r w:rsidR="002C1B8B" w:rsidRPr="002C1B8B">
        <w:t xml:space="preserve">Mr James Beavis, a solicitor employed by Corrs, affirmed 8 October 2018.  </w:t>
      </w:r>
    </w:p>
    <w:p w:rsidR="002C1B8B" w:rsidRPr="002C1B8B" w:rsidRDefault="002C1B8B" w:rsidP="00031CD5">
      <w:pPr>
        <w:pStyle w:val="NoNum"/>
      </w:pPr>
      <w:r w:rsidRPr="002C1B8B">
        <w:t>Mr Mawby was cross</w:t>
      </w:r>
      <w:r w:rsidR="008118D9">
        <w:t>-</w:t>
      </w:r>
      <w:r w:rsidRPr="002C1B8B">
        <w:t xml:space="preserve">examined. </w:t>
      </w:r>
      <w:r w:rsidR="00136D60">
        <w:t xml:space="preserve"> </w:t>
      </w:r>
      <w:r w:rsidRPr="002C1B8B">
        <w:t>Mr Butler</w:t>
      </w:r>
      <w:r w:rsidR="00BC2364">
        <w:t>’s evidence was relied upon</w:t>
      </w:r>
      <w:r w:rsidRPr="002C1B8B">
        <w:t xml:space="preserve"> in a </w:t>
      </w:r>
      <w:r w:rsidRPr="00622022">
        <w:rPr>
          <w:i/>
        </w:rPr>
        <w:t>voir dire</w:t>
      </w:r>
      <w:r w:rsidRPr="002C1B8B">
        <w:t xml:space="preserve"> as to the admissibility of</w:t>
      </w:r>
      <w:r w:rsidR="00BC2364">
        <w:t xml:space="preserve"> screenshots obtained by Mr Mawby using </w:t>
      </w:r>
      <w:r w:rsidRPr="002C1B8B">
        <w:t xml:space="preserve">the Wayback Machine.  </w:t>
      </w:r>
    </w:p>
    <w:p w:rsidR="002C1B8B" w:rsidRPr="002C1B8B" w:rsidRDefault="002C1B8B" w:rsidP="002C1B8B">
      <w:pPr>
        <w:pStyle w:val="ParaNumbering"/>
        <w:tabs>
          <w:tab w:val="num" w:pos="720"/>
        </w:tabs>
        <w:ind w:left="0"/>
      </w:pPr>
      <w:r w:rsidRPr="002C1B8B">
        <w:t>Triangl also relied on documents produced by Delfina Sport Pty Ltd (</w:t>
      </w:r>
      <w:r w:rsidRPr="002C1B8B">
        <w:rPr>
          <w:b/>
        </w:rPr>
        <w:t>Delfina Sport</w:t>
      </w:r>
      <w:r w:rsidRPr="002C1B8B">
        <w:t>) in response to a subpoena.</w:t>
      </w:r>
    </w:p>
    <w:p w:rsidR="002C1B8B" w:rsidRPr="002C1B8B" w:rsidRDefault="002C1B8B" w:rsidP="005270D1">
      <w:pPr>
        <w:pStyle w:val="Heading2"/>
      </w:pPr>
      <w:r w:rsidRPr="002C1B8B">
        <w:t>The onus</w:t>
      </w:r>
    </w:p>
    <w:p w:rsidR="002C1B8B" w:rsidRPr="002C1B8B" w:rsidRDefault="002C1B8B" w:rsidP="002C1B8B">
      <w:pPr>
        <w:pStyle w:val="ParaNumbering"/>
        <w:tabs>
          <w:tab w:val="num" w:pos="720"/>
        </w:tabs>
        <w:ind w:left="0"/>
      </w:pPr>
      <w:r w:rsidRPr="002C1B8B">
        <w:t>Triangl</w:t>
      </w:r>
      <w:r w:rsidR="00BC2364">
        <w:t xml:space="preserve"> bore </w:t>
      </w:r>
      <w:r w:rsidRPr="002C1B8B">
        <w:t>the onus of proving</w:t>
      </w:r>
      <w:r w:rsidR="00BC2364">
        <w:t xml:space="preserve"> on the balance of probabilities </w:t>
      </w:r>
      <w:r w:rsidRPr="002C1B8B">
        <w:t xml:space="preserve">that Pinnacle </w:t>
      </w:r>
      <w:r w:rsidR="00257EAF">
        <w:t>wa</w:t>
      </w:r>
      <w:r w:rsidRPr="002C1B8B">
        <w:t xml:space="preserve">s not the owner of the DELPHINE mark: </w:t>
      </w:r>
      <w:r w:rsidRPr="002C1B8B">
        <w:rPr>
          <w:i/>
          <w:iCs/>
        </w:rPr>
        <w:t xml:space="preserve">Lomas v Winton Shire Council </w:t>
      </w:r>
      <w:r w:rsidR="00841926">
        <w:rPr>
          <w:iCs/>
        </w:rPr>
        <w:t>[2002] FCAFC 413</w:t>
      </w:r>
      <w:r w:rsidR="00A07F76">
        <w:rPr>
          <w:iCs/>
        </w:rPr>
        <w:t>;</w:t>
      </w:r>
      <w:r w:rsidR="00841926">
        <w:rPr>
          <w:iCs/>
        </w:rPr>
        <w:t xml:space="preserve"> </w:t>
      </w:r>
      <w:r w:rsidR="00841926">
        <w:t>(</w:t>
      </w:r>
      <w:r w:rsidRPr="002C1B8B">
        <w:t>2003</w:t>
      </w:r>
      <w:r w:rsidR="00841926">
        <w:t>)</w:t>
      </w:r>
      <w:r w:rsidRPr="002C1B8B">
        <w:t xml:space="preserve"> AIPC 91-839 at [36] (Cooper, Kiefel and Emmett JJ).  Triangl was </w:t>
      </w:r>
      <w:r w:rsidR="00841926">
        <w:t xml:space="preserve">thus </w:t>
      </w:r>
      <w:r w:rsidRPr="002C1B8B">
        <w:t xml:space="preserve">required to establish that the </w:t>
      </w:r>
      <w:r w:rsidRPr="002C1B8B">
        <w:lastRenderedPageBreak/>
        <w:t>marks</w:t>
      </w:r>
      <w:r w:rsidRPr="002C1B8B">
        <w:rPr>
          <w:szCs w:val="24"/>
        </w:rPr>
        <w:t xml:space="preserve"> </w:t>
      </w:r>
      <w:r w:rsidR="00841926">
        <w:rPr>
          <w:szCs w:val="24"/>
        </w:rPr>
        <w:t xml:space="preserve">that </w:t>
      </w:r>
      <w:r w:rsidRPr="002C1B8B">
        <w:rPr>
          <w:szCs w:val="24"/>
        </w:rPr>
        <w:t>it allege</w:t>
      </w:r>
      <w:r w:rsidR="00BC2364">
        <w:rPr>
          <w:szCs w:val="24"/>
        </w:rPr>
        <w:t>d</w:t>
      </w:r>
      <w:r w:rsidRPr="002C1B8B">
        <w:rPr>
          <w:szCs w:val="24"/>
        </w:rPr>
        <w:t xml:space="preserve"> were used by traders </w:t>
      </w:r>
      <w:r w:rsidR="007F5841">
        <w:rPr>
          <w:szCs w:val="24"/>
        </w:rPr>
        <w:t xml:space="preserve">other than Pinnacle </w:t>
      </w:r>
      <w:r w:rsidRPr="002C1B8B">
        <w:rPr>
          <w:szCs w:val="24"/>
        </w:rPr>
        <w:t xml:space="preserve">prior to 6 July 2015 are identical or substantially identical to </w:t>
      </w:r>
      <w:r w:rsidR="007F5841">
        <w:rPr>
          <w:szCs w:val="24"/>
        </w:rPr>
        <w:t>the DELPHINE Trade Mark</w:t>
      </w:r>
      <w:r w:rsidRPr="002C1B8B">
        <w:rPr>
          <w:szCs w:val="24"/>
        </w:rPr>
        <w:t xml:space="preserve"> and were used</w:t>
      </w:r>
      <w:r w:rsidRPr="002C1B8B">
        <w:t xml:space="preserve"> in relation to the goods or services for which that mark is registered.</w:t>
      </w:r>
    </w:p>
    <w:p w:rsidR="002C1B8B" w:rsidRPr="002C1B8B" w:rsidRDefault="006D060E" w:rsidP="009D2C1B">
      <w:pPr>
        <w:pStyle w:val="Heading2"/>
      </w:pPr>
      <w:r>
        <w:t xml:space="preserve">The </w:t>
      </w:r>
      <w:r w:rsidR="00FC240C">
        <w:t>DELFINA</w:t>
      </w:r>
      <w:r w:rsidR="00FC240C" w:rsidRPr="002C1B8B">
        <w:t xml:space="preserve"> </w:t>
      </w:r>
      <w:r>
        <w:t>mark</w:t>
      </w:r>
    </w:p>
    <w:p w:rsidR="002C1B8B" w:rsidRDefault="00FC240C" w:rsidP="002C1B8B">
      <w:pPr>
        <w:pStyle w:val="ParaNumbering"/>
        <w:tabs>
          <w:tab w:val="num" w:pos="720"/>
        </w:tabs>
        <w:ind w:left="0"/>
      </w:pPr>
      <w:r>
        <w:t>In the first limb of the cross</w:t>
      </w:r>
      <w:r w:rsidR="008118D9">
        <w:t>-</w:t>
      </w:r>
      <w:r>
        <w:t xml:space="preserve">claim </w:t>
      </w:r>
      <w:r w:rsidR="002C1B8B" w:rsidRPr="002C1B8B">
        <w:t>Triangl allege</w:t>
      </w:r>
      <w:r w:rsidR="007F5841">
        <w:t>d</w:t>
      </w:r>
      <w:r w:rsidR="002C1B8B" w:rsidRPr="002C1B8B">
        <w:t xml:space="preserve"> that from 2013</w:t>
      </w:r>
      <w:r w:rsidR="007F5841">
        <w:t xml:space="preserve"> </w:t>
      </w:r>
      <w:r w:rsidR="002C1B8B" w:rsidRPr="002C1B8B">
        <w:t xml:space="preserve">Delfina Sport promoted, distributed, supplied, offered for sale and sold swimwear in Australia under and by reference to </w:t>
      </w:r>
      <w:r w:rsidR="00A63410">
        <w:t xml:space="preserve">a </w:t>
      </w:r>
      <w:r w:rsidR="002C1B8B" w:rsidRPr="002C1B8B">
        <w:t>DELFINA mark</w:t>
      </w:r>
      <w:r w:rsidR="009B78F0">
        <w:t xml:space="preserve">, </w:t>
      </w:r>
      <w:r w:rsidR="00A63410">
        <w:t>which</w:t>
      </w:r>
      <w:r w:rsidR="009B78F0">
        <w:t xml:space="preserve"> is substantially identical </w:t>
      </w:r>
      <w:r w:rsidR="009B78F0" w:rsidRPr="002C1B8B">
        <w:rPr>
          <w:szCs w:val="24"/>
        </w:rPr>
        <w:t xml:space="preserve">to </w:t>
      </w:r>
      <w:r w:rsidR="009B78F0">
        <w:rPr>
          <w:szCs w:val="24"/>
        </w:rPr>
        <w:t xml:space="preserve">the DELPHINE </w:t>
      </w:r>
      <w:r w:rsidR="00A63410">
        <w:rPr>
          <w:szCs w:val="24"/>
        </w:rPr>
        <w:t>Trade M</w:t>
      </w:r>
      <w:r w:rsidR="009B78F0">
        <w:rPr>
          <w:szCs w:val="24"/>
        </w:rPr>
        <w:t>ark</w:t>
      </w:r>
      <w:r w:rsidR="002C1B8B" w:rsidRPr="002C1B8B">
        <w:t xml:space="preserve">.  </w:t>
      </w:r>
    </w:p>
    <w:p w:rsidR="007F5841" w:rsidRDefault="00BC2364" w:rsidP="00FC5F8F">
      <w:pPr>
        <w:pStyle w:val="ParaNumbering"/>
        <w:tabs>
          <w:tab w:val="num" w:pos="720"/>
        </w:tabs>
        <w:ind w:left="0"/>
      </w:pPr>
      <w:r>
        <w:t xml:space="preserve">To establish this limb </w:t>
      </w:r>
      <w:r w:rsidR="002C1B8B" w:rsidRPr="002C1B8B">
        <w:t>Triangl relied on four documents</w:t>
      </w:r>
      <w:r>
        <w:t>, but it did not</w:t>
      </w:r>
      <w:r w:rsidR="002C1B8B" w:rsidRPr="002C1B8B">
        <w:t xml:space="preserve"> adduce evidence from any officer or employee of Delfina Sport whom it said had created the documents, or from any consumer or trader who had dealt with Delfina Sport in the course of trade</w:t>
      </w:r>
      <w:r w:rsidR="007F5841">
        <w:t xml:space="preserve">. </w:t>
      </w:r>
      <w:r w:rsidR="00923729">
        <w:t xml:space="preserve"> For the reasons I explain</w:t>
      </w:r>
      <w:r w:rsidR="00FC5F8F">
        <w:t>,</w:t>
      </w:r>
      <w:r w:rsidR="007F5841">
        <w:t xml:space="preserve"> I am not satisfied that </w:t>
      </w:r>
      <w:r w:rsidR="00735845">
        <w:t xml:space="preserve">prior to 6 July 2015 </w:t>
      </w:r>
      <w:r w:rsidR="007F5841">
        <w:t>Delfina Sport</w:t>
      </w:r>
      <w:r w:rsidR="00923729">
        <w:t xml:space="preserve"> marketed or sold </w:t>
      </w:r>
      <w:r w:rsidR="007F5841">
        <w:t>swimwear in Australia under and by reference to DELFINA as a trade mark.</w:t>
      </w:r>
    </w:p>
    <w:p w:rsidR="002C1B8B" w:rsidRPr="002C1B8B" w:rsidRDefault="00923729" w:rsidP="002C1B8B">
      <w:pPr>
        <w:pStyle w:val="ParaNumbering"/>
        <w:tabs>
          <w:tab w:val="num" w:pos="720"/>
        </w:tabs>
        <w:ind w:left="0"/>
      </w:pPr>
      <w:r>
        <w:t xml:space="preserve">The </w:t>
      </w:r>
      <w:r w:rsidR="009D2C1B">
        <w:t xml:space="preserve">first document </w:t>
      </w:r>
      <w:r w:rsidR="009D2C1B" w:rsidRPr="002C1B8B">
        <w:t>produced by Delfina Sport</w:t>
      </w:r>
      <w:r w:rsidR="009D2C1B">
        <w:t xml:space="preserve"> upon which </w:t>
      </w:r>
      <w:r w:rsidR="002C1B8B" w:rsidRPr="002C1B8B">
        <w:t xml:space="preserve">Triangl </w:t>
      </w:r>
      <w:r w:rsidR="00BC2364">
        <w:t xml:space="preserve">sought to </w:t>
      </w:r>
      <w:r w:rsidR="00BC2364" w:rsidRPr="002C1B8B">
        <w:t>rel</w:t>
      </w:r>
      <w:r w:rsidR="00BC2364">
        <w:t>y</w:t>
      </w:r>
      <w:r w:rsidR="00BC2364" w:rsidRPr="002C1B8B">
        <w:t xml:space="preserve"> </w:t>
      </w:r>
      <w:r w:rsidR="002C1B8B" w:rsidRPr="002C1B8B">
        <w:t>is, on its face, a post</w:t>
      </w:r>
      <w:r w:rsidR="00B70256">
        <w:t xml:space="preserve"> which appears to have been</w:t>
      </w:r>
      <w:r w:rsidR="002C1B8B" w:rsidRPr="002C1B8B">
        <w:t xml:space="preserve"> made on 15 January 2015</w:t>
      </w:r>
      <w:r w:rsidR="00B907E0">
        <w:t xml:space="preserve"> </w:t>
      </w:r>
      <w:r w:rsidR="002C1B8B" w:rsidRPr="002C1B8B">
        <w:t xml:space="preserve">on </w:t>
      </w:r>
      <w:r w:rsidR="00BC2364" w:rsidRPr="002C1B8B">
        <w:t>Delfina Sport</w:t>
      </w:r>
      <w:r w:rsidR="00BC2364">
        <w:t>’s</w:t>
      </w:r>
      <w:r w:rsidR="002C1B8B" w:rsidRPr="002C1B8B">
        <w:t xml:space="preserve"> Facebook</w:t>
      </w:r>
      <w:r w:rsidR="00CD4905">
        <w:t xml:space="preserve"> page</w:t>
      </w:r>
      <w:r w:rsidR="002C1B8B" w:rsidRPr="002C1B8B">
        <w:t xml:space="preserve"> </w:t>
      </w:r>
      <w:r w:rsidR="009D2C1B">
        <w:t>(</w:t>
      </w:r>
      <w:r w:rsidR="002C1B8B" w:rsidRPr="002C1B8B">
        <w:t>MFI-3, p.9</w:t>
      </w:r>
      <w:r w:rsidR="009D2C1B">
        <w:t>)</w:t>
      </w:r>
      <w:r w:rsidR="002C1B8B" w:rsidRPr="002C1B8B">
        <w:t xml:space="preserve"> (</w:t>
      </w:r>
      <w:r w:rsidR="002C1B8B" w:rsidRPr="002C1B8B">
        <w:rPr>
          <w:b/>
        </w:rPr>
        <w:t>Document 1</w:t>
      </w:r>
      <w:r w:rsidR="002C1B8B" w:rsidRPr="002C1B8B">
        <w:t>)</w:t>
      </w:r>
      <w:r w:rsidR="00BC2364">
        <w:t xml:space="preserve">.  The </w:t>
      </w:r>
      <w:r w:rsidR="00B70256">
        <w:t xml:space="preserve">post </w:t>
      </w:r>
      <w:r w:rsidR="00BC2364">
        <w:t xml:space="preserve">carries </w:t>
      </w:r>
      <w:r w:rsidR="009D2C1B">
        <w:t>a Delfina Sport logo</w:t>
      </w:r>
      <w:r w:rsidR="00BC2364">
        <w:t xml:space="preserve"> and it </w:t>
      </w:r>
      <w:r w:rsidR="002C1B8B" w:rsidRPr="002C1B8B">
        <w:t>shows a</w:t>
      </w:r>
      <w:r w:rsidR="00B907E0">
        <w:t xml:space="preserve"> composite image of three</w:t>
      </w:r>
      <w:r w:rsidR="002C1B8B" w:rsidRPr="002C1B8B">
        <w:t xml:space="preserve"> swimmer</w:t>
      </w:r>
      <w:r w:rsidR="00B907E0">
        <w:t>s</w:t>
      </w:r>
      <w:r w:rsidR="00B46176">
        <w:t xml:space="preserve">, each </w:t>
      </w:r>
      <w:r w:rsidR="002C1B8B" w:rsidRPr="002C1B8B">
        <w:t>wearing a swimsuit</w:t>
      </w:r>
      <w:r w:rsidR="00B46176">
        <w:t xml:space="preserve"> and swimming cap</w:t>
      </w:r>
      <w:r w:rsidR="002C1B8B" w:rsidRPr="002C1B8B">
        <w:t>, accompanied by the words; “We will be having a sale on all swimming costumes</w:t>
      </w:r>
      <w:r w:rsidR="00B46176">
        <w:t xml:space="preserve"> …</w:t>
      </w:r>
      <w:r w:rsidR="002C1B8B" w:rsidRPr="002C1B8B">
        <w:t>”.  The</w:t>
      </w:r>
      <w:r w:rsidR="00B46176">
        <w:t>re appears to be branding on two of the three swimsuits but it is difficult to make out the</w:t>
      </w:r>
      <w:r w:rsidR="00BC2364">
        <w:t xml:space="preserve"> brand </w:t>
      </w:r>
      <w:r w:rsidR="00B46176">
        <w:t>from the image.</w:t>
      </w:r>
      <w:r w:rsidR="002C1B8B" w:rsidRPr="002C1B8B">
        <w:t xml:space="preserve"> </w:t>
      </w:r>
    </w:p>
    <w:p w:rsidR="009B17C2" w:rsidRDefault="002C1B8B" w:rsidP="002C1B8B">
      <w:pPr>
        <w:pStyle w:val="ParaNumbering"/>
        <w:tabs>
          <w:tab w:val="num" w:pos="720"/>
        </w:tabs>
        <w:ind w:left="0"/>
      </w:pPr>
      <w:r w:rsidRPr="002C1B8B">
        <w:t>Triangl relied on this document to</w:t>
      </w:r>
      <w:r w:rsidR="009D2C1B">
        <w:t xml:space="preserve"> establish </w:t>
      </w:r>
      <w:r w:rsidRPr="002C1B8B">
        <w:t>that</w:t>
      </w:r>
      <w:r w:rsidR="009D2C1B">
        <w:t xml:space="preserve">, prior to 6 July 2015, </w:t>
      </w:r>
      <w:r w:rsidRPr="002C1B8B">
        <w:t>Delfina Sport promoted</w:t>
      </w:r>
      <w:r w:rsidR="009D2C1B">
        <w:t xml:space="preserve"> and</w:t>
      </w:r>
      <w:r w:rsidRPr="002C1B8B">
        <w:t xml:space="preserve"> offered </w:t>
      </w:r>
      <w:r w:rsidR="009D2C1B" w:rsidRPr="002C1B8B">
        <w:t xml:space="preserve">swimwear </w:t>
      </w:r>
      <w:r w:rsidRPr="002C1B8B">
        <w:t xml:space="preserve">for sale in Australia under and by reference to DELFINA as a trade mark.  </w:t>
      </w:r>
      <w:r w:rsidR="009B17C2">
        <w:t xml:space="preserve">Triangl seeks to adduce it as evidence of the truth of its contents </w:t>
      </w:r>
      <w:r w:rsidRPr="002C1B8B">
        <w:t xml:space="preserve">and the document is </w:t>
      </w:r>
      <w:r w:rsidR="00B70256">
        <w:t xml:space="preserve">therefore </w:t>
      </w:r>
      <w:r w:rsidRPr="002C1B8B">
        <w:t xml:space="preserve">inadmissible </w:t>
      </w:r>
      <w:r w:rsidR="009B17C2">
        <w:t xml:space="preserve">hearsay </w:t>
      </w:r>
      <w:r w:rsidRPr="002C1B8B">
        <w:t>unless it falls within one of the exceptions</w:t>
      </w:r>
      <w:r w:rsidR="009B17C2">
        <w:t xml:space="preserve"> to the hearsay rule</w:t>
      </w:r>
      <w:r w:rsidRPr="002C1B8B">
        <w:t xml:space="preserve">.  Triangl argued that the document falls within the business records exception in s 59 of the Evidence Act, but I am not persuaded that it does.  </w:t>
      </w:r>
    </w:p>
    <w:p w:rsidR="00EE11A0" w:rsidRPr="009B17C2" w:rsidRDefault="002C1B8B" w:rsidP="009B17C2">
      <w:pPr>
        <w:pStyle w:val="ParaNumbering"/>
        <w:tabs>
          <w:tab w:val="num" w:pos="720"/>
        </w:tabs>
        <w:ind w:left="0"/>
        <w:rPr>
          <w:lang w:val="en-US"/>
        </w:rPr>
      </w:pPr>
      <w:r w:rsidRPr="002C1B8B">
        <w:t>The fact that</w:t>
      </w:r>
      <w:r w:rsidR="009B17C2">
        <w:t xml:space="preserve"> the document </w:t>
      </w:r>
      <w:r w:rsidRPr="002C1B8B">
        <w:t>was produced by Delfina Sport in response to a subpoena does not</w:t>
      </w:r>
      <w:r w:rsidR="009D2C1B">
        <w:t xml:space="preserve"> establish </w:t>
      </w:r>
      <w:r w:rsidRPr="002C1B8B">
        <w:t xml:space="preserve">that it is a business record of that company, and Triangl did not adduce any evidence in that regard.  </w:t>
      </w:r>
      <w:r w:rsidR="009D2C1B">
        <w:t>In this regard I</w:t>
      </w:r>
      <w:r w:rsidR="00EE11A0">
        <w:t xml:space="preserve"> note the reasoning of </w:t>
      </w:r>
      <w:r w:rsidR="009D2C1B">
        <w:t xml:space="preserve">Middleton J </w:t>
      </w:r>
      <w:r w:rsidR="00EE11A0" w:rsidRPr="009B17C2">
        <w:rPr>
          <w:lang w:val="en-US"/>
        </w:rPr>
        <w:t xml:space="preserve">in </w:t>
      </w:r>
      <w:r w:rsidR="00EE11A0" w:rsidRPr="009B17C2">
        <w:rPr>
          <w:bCs/>
          <w:i/>
          <w:iCs/>
          <w:lang w:val="en-US"/>
        </w:rPr>
        <w:t>Hansen Beverage</w:t>
      </w:r>
      <w:r w:rsidR="00EE11A0" w:rsidRPr="009B17C2">
        <w:rPr>
          <w:b/>
          <w:bCs/>
          <w:i/>
          <w:iCs/>
          <w:lang w:val="en-US"/>
        </w:rPr>
        <w:t xml:space="preserve"> </w:t>
      </w:r>
      <w:r w:rsidR="00EE11A0" w:rsidRPr="009B17C2">
        <w:rPr>
          <w:iCs/>
          <w:lang w:val="en-US"/>
        </w:rPr>
        <w:t>at [131]-[133], where his Honour said:</w:t>
      </w:r>
    </w:p>
    <w:p w:rsidR="00EE11A0" w:rsidRDefault="00EE11A0" w:rsidP="005270D1">
      <w:pPr>
        <w:pStyle w:val="Quote1"/>
        <w:rPr>
          <w:lang w:val="en-US"/>
        </w:rPr>
      </w:pPr>
      <w:r>
        <w:rPr>
          <w:lang w:val="en-US"/>
        </w:rPr>
        <w:t xml:space="preserve">In my view, s 69(1) was drafted deliberately broadly, with the rationale being to allow as an exception to the hearsay rule the tender of documents which, by virtue of the fact they are kept as records of the business, should be assumed to be accurate.  However, a document created to be sold as part of a business should not be considered to be a </w:t>
      </w:r>
      <w:r>
        <w:rPr>
          <w:lang w:val="en-US"/>
        </w:rPr>
        <w:lastRenderedPageBreak/>
        <w:t xml:space="preserve">record kept </w:t>
      </w:r>
      <w:r>
        <w:rPr>
          <w:i/>
          <w:iCs/>
          <w:lang w:val="en-US"/>
        </w:rPr>
        <w:t>in the course of or for the purposes of</w:t>
      </w:r>
      <w:r>
        <w:rPr>
          <w:lang w:val="en-US"/>
        </w:rPr>
        <w:t xml:space="preserve"> the business, just because there is reason to believe that the document is to be regarded as reliable and accurate.  One has to determine whether the document is in truth a record of the type described in s 69(1).  </w:t>
      </w:r>
    </w:p>
    <w:p w:rsidR="00EE11A0" w:rsidRDefault="00EE11A0" w:rsidP="005270D1">
      <w:pPr>
        <w:pStyle w:val="Quote1"/>
        <w:rPr>
          <w:lang w:val="en-US"/>
        </w:rPr>
      </w:pPr>
      <w:r>
        <w:rPr>
          <w:lang w:val="en-US"/>
        </w:rPr>
        <w:t xml:space="preserve">In my view the documents sought to be tendered as the three exhibits are not to be regarded as documents which are or form part of the ‘records’ of OzTAM.  Merely describing the documents as the ordinary stock in trade of a business, or the produce of the core business activities of a business, does not necessarily mean that such documents form part of the records of a company in the course of, or for the purposes of its business within the meaning of s 69(1).  </w:t>
      </w:r>
    </w:p>
    <w:p w:rsidR="00EE11A0" w:rsidRDefault="00EE11A0" w:rsidP="005270D1">
      <w:pPr>
        <w:pStyle w:val="Quote1"/>
        <w:rPr>
          <w:lang w:val="en-US"/>
        </w:rPr>
      </w:pPr>
      <w:r>
        <w:rPr>
          <w:lang w:val="en-US"/>
        </w:rPr>
        <w:t>The records referred to in s 69(1) of the Evidence Act are the documents a business generates in the course of, or for the purpose of the business, not documents which it may have or keep as the product of that business.  The concept of a business record is an internal record, kept in an organised form accessible in the usual course of business, actually recording the business activities themselves and does not include the product of the business itself.</w:t>
      </w:r>
    </w:p>
    <w:p w:rsidR="00EE11A0" w:rsidRDefault="00EE11A0" w:rsidP="00031CD5">
      <w:pPr>
        <w:pStyle w:val="Quote1"/>
        <w:spacing w:after="240"/>
        <w:rPr>
          <w:lang w:val="en-US"/>
        </w:rPr>
      </w:pPr>
      <w:r>
        <w:rPr>
          <w:lang w:val="en-US"/>
        </w:rPr>
        <w:t xml:space="preserve">(Citations omitted.) </w:t>
      </w:r>
    </w:p>
    <w:p w:rsidR="002B1E64" w:rsidRDefault="00EE11A0" w:rsidP="00EE11A0">
      <w:pPr>
        <w:pStyle w:val="ParaNumbering"/>
        <w:tabs>
          <w:tab w:val="num" w:pos="720"/>
        </w:tabs>
        <w:ind w:left="0"/>
      </w:pPr>
      <w:r>
        <w:t xml:space="preserve">I am not satisfied that </w:t>
      </w:r>
      <w:r w:rsidR="009B17C2">
        <w:t xml:space="preserve">this </w:t>
      </w:r>
      <w:r>
        <w:t xml:space="preserve">apparent copy of a page from Delfina Sport’s Facebook account is an internal record of that business </w:t>
      </w:r>
      <w:r w:rsidR="00CD4905">
        <w:t xml:space="preserve">which records its </w:t>
      </w:r>
      <w:r>
        <w:t xml:space="preserve">business activities, rather than being a product of the business itself.  </w:t>
      </w:r>
    </w:p>
    <w:p w:rsidR="009B17C2" w:rsidRDefault="00EE11A0" w:rsidP="002B1E64">
      <w:pPr>
        <w:pStyle w:val="ParaNumbering"/>
        <w:tabs>
          <w:tab w:val="num" w:pos="720"/>
        </w:tabs>
        <w:ind w:left="0"/>
      </w:pPr>
      <w:r>
        <w:t>But even if I am</w:t>
      </w:r>
      <w:r w:rsidR="002B1E64">
        <w:t xml:space="preserve"> wrong </w:t>
      </w:r>
      <w:r>
        <w:t>in that</w:t>
      </w:r>
      <w:r w:rsidR="00BC2364">
        <w:t xml:space="preserve"> conclusion </w:t>
      </w:r>
      <w:r>
        <w:t xml:space="preserve">and </w:t>
      </w:r>
      <w:r w:rsidR="002C1B8B" w:rsidRPr="002C1B8B">
        <w:t>Document 1</w:t>
      </w:r>
      <w:r w:rsidR="009D2C1B">
        <w:t xml:space="preserve"> is admissible</w:t>
      </w:r>
      <w:r w:rsidR="009B17C2">
        <w:t xml:space="preserve"> evidence</w:t>
      </w:r>
      <w:r w:rsidR="00EB68ED">
        <w:t>,</w:t>
      </w:r>
      <w:r w:rsidR="002B1E64">
        <w:t xml:space="preserve"> </w:t>
      </w:r>
      <w:r w:rsidR="002C1B8B" w:rsidRPr="002C1B8B">
        <w:t>it has little probative value.</w:t>
      </w:r>
      <w:r w:rsidR="002B1E64">
        <w:t xml:space="preserve">  </w:t>
      </w:r>
      <w:r w:rsidR="009E7A77">
        <w:t>The image of the branding on the swimwear is incomplete and unclear</w:t>
      </w:r>
      <w:r w:rsidR="00BC2364">
        <w:t xml:space="preserve"> </w:t>
      </w:r>
      <w:r w:rsidR="009B17C2">
        <w:t xml:space="preserve">and I am not persuaded that </w:t>
      </w:r>
      <w:r w:rsidR="00BC2364">
        <w:t>it</w:t>
      </w:r>
      <w:r w:rsidR="009B17C2">
        <w:t xml:space="preserve"> says </w:t>
      </w:r>
      <w:r w:rsidR="009E7A77">
        <w:t xml:space="preserve">DELFINA </w:t>
      </w:r>
      <w:r w:rsidR="009B17C2">
        <w:t xml:space="preserve">rather than DELFINA </w:t>
      </w:r>
      <w:r w:rsidR="009E7A77">
        <w:t xml:space="preserve">SPORT.  </w:t>
      </w:r>
    </w:p>
    <w:p w:rsidR="009B17C2" w:rsidRDefault="009B17C2" w:rsidP="002B1E64">
      <w:pPr>
        <w:pStyle w:val="ParaNumbering"/>
        <w:tabs>
          <w:tab w:val="num" w:pos="720"/>
        </w:tabs>
        <w:ind w:left="0"/>
      </w:pPr>
      <w:r>
        <w:t>Further, while t</w:t>
      </w:r>
      <w:r w:rsidR="009E7A77">
        <w:t xml:space="preserve">he document </w:t>
      </w:r>
      <w:r w:rsidR="00EE11A0">
        <w:t xml:space="preserve">was produced in response to a subpoena requiring </w:t>
      </w:r>
      <w:r w:rsidR="0078400B">
        <w:t xml:space="preserve">the production of documents evidencing use of the name </w:t>
      </w:r>
      <w:r>
        <w:t xml:space="preserve">DELFINA </w:t>
      </w:r>
      <w:r w:rsidR="0078400B">
        <w:t>in the promotion and sale of swimwear before 6 July 2015</w:t>
      </w:r>
      <w:r w:rsidR="00EB68ED">
        <w:t xml:space="preserve">, </w:t>
      </w:r>
      <w:r w:rsidR="002B1E64">
        <w:t xml:space="preserve">in the absence of further </w:t>
      </w:r>
      <w:r w:rsidR="00EE11A0">
        <w:t xml:space="preserve">evidence the status of the document is </w:t>
      </w:r>
      <w:r w:rsidR="00110379">
        <w:t>uncertain</w:t>
      </w:r>
      <w:r w:rsidR="002C1B8B" w:rsidRPr="002C1B8B">
        <w:t xml:space="preserve">.  It may, for example, be a mock-up of a Facebook advertisement that Delfina Sport considered running but did not proceed with.  There is nothing to prove that it was ever published, whether by posting it on Delfina Sport’s Facebook page or </w:t>
      </w:r>
      <w:r w:rsidR="008562D0">
        <w:t xml:space="preserve">uploading it on any other </w:t>
      </w:r>
      <w:r w:rsidR="002C1B8B" w:rsidRPr="002C1B8B">
        <w:t xml:space="preserve">internet </w:t>
      </w:r>
      <w:r w:rsidR="008562D0">
        <w:t xml:space="preserve">page </w:t>
      </w:r>
      <w:r w:rsidR="002C1B8B" w:rsidRPr="002C1B8B">
        <w:t>or social media</w:t>
      </w:r>
      <w:r w:rsidR="008562D0">
        <w:t xml:space="preserve"> channel</w:t>
      </w:r>
      <w:r w:rsidR="002C1B8B" w:rsidRPr="002C1B8B">
        <w:t xml:space="preserve">, </w:t>
      </w:r>
      <w:r w:rsidR="008562D0">
        <w:t xml:space="preserve">by </w:t>
      </w:r>
      <w:r w:rsidR="002C1B8B" w:rsidRPr="002C1B8B">
        <w:t xml:space="preserve">running it as an advertisement, or </w:t>
      </w:r>
      <w:r w:rsidR="008562D0">
        <w:t xml:space="preserve">by </w:t>
      </w:r>
      <w:r w:rsidR="002C1B8B" w:rsidRPr="002C1B8B">
        <w:t xml:space="preserve">sending it to consumers.  </w:t>
      </w:r>
    </w:p>
    <w:p w:rsidR="002C1B8B" w:rsidRPr="002C1B8B" w:rsidRDefault="009B17C2" w:rsidP="009B17C2">
      <w:pPr>
        <w:pStyle w:val="ParaNumbering"/>
        <w:tabs>
          <w:tab w:val="num" w:pos="720"/>
        </w:tabs>
        <w:ind w:left="0"/>
      </w:pPr>
      <w:r>
        <w:t xml:space="preserve">Finally, even </w:t>
      </w:r>
      <w:r w:rsidR="00EE11A0">
        <w:t xml:space="preserve">if the document is </w:t>
      </w:r>
      <w:r w:rsidR="002C1B8B" w:rsidRPr="002C1B8B">
        <w:t>taken at face value, it is an isolated Facebook post which can only be a snapshot of what was available</w:t>
      </w:r>
      <w:r w:rsidR="002B1E64">
        <w:t xml:space="preserve"> for consumers to read </w:t>
      </w:r>
      <w:r w:rsidR="002C1B8B" w:rsidRPr="002C1B8B">
        <w:t xml:space="preserve">at that time, and without any context to allow Pinnacle to understand or test </w:t>
      </w:r>
      <w:r>
        <w:t>its</w:t>
      </w:r>
      <w:r w:rsidRPr="002C1B8B">
        <w:t xml:space="preserve"> </w:t>
      </w:r>
      <w:r w:rsidR="002C1B8B" w:rsidRPr="002C1B8B">
        <w:t xml:space="preserve">true meaning. </w:t>
      </w:r>
      <w:r w:rsidR="00EF5977">
        <w:t xml:space="preserve"> </w:t>
      </w:r>
      <w:r>
        <w:t>Had</w:t>
      </w:r>
      <w:r w:rsidR="009E7A77">
        <w:t xml:space="preserve"> the document</w:t>
      </w:r>
      <w:r>
        <w:t xml:space="preserve"> been </w:t>
      </w:r>
      <w:r w:rsidR="009E7A77">
        <w:t>admissible</w:t>
      </w:r>
      <w:r w:rsidR="00110379">
        <w:t>,</w:t>
      </w:r>
      <w:r w:rsidR="002B1E64">
        <w:t xml:space="preserve"> </w:t>
      </w:r>
      <w:r w:rsidR="002C1B8B" w:rsidRPr="002C1B8B">
        <w:t xml:space="preserve">I would </w:t>
      </w:r>
      <w:r w:rsidR="009E7A77">
        <w:t xml:space="preserve">have </w:t>
      </w:r>
      <w:r w:rsidR="002C1B8B" w:rsidRPr="002C1B8B">
        <w:t>exercised my discretion to exclude it under s 135 of the Evidence Act</w:t>
      </w:r>
      <w:r w:rsidR="002B1E64">
        <w:t>.</w:t>
      </w:r>
      <w:r>
        <w:t xml:space="preserve">  I consider its </w:t>
      </w:r>
      <w:r w:rsidR="00EB68ED" w:rsidRPr="002C1B8B">
        <w:t>probative value is low for the reasons</w:t>
      </w:r>
      <w:r w:rsidR="00EB68ED">
        <w:t xml:space="preserve"> already stated and that v</w:t>
      </w:r>
      <w:r w:rsidR="002C1B8B" w:rsidRPr="002C1B8B">
        <w:t xml:space="preserve">alue is substantially outweighed by the danger of prejudice to Pinnacle.  </w:t>
      </w:r>
      <w:r w:rsidR="002B1E64">
        <w:t xml:space="preserve">The document </w:t>
      </w:r>
      <w:r w:rsidR="002C1B8B" w:rsidRPr="002C1B8B">
        <w:t>is</w:t>
      </w:r>
      <w:r w:rsidR="002B1E64">
        <w:t xml:space="preserve"> relevant </w:t>
      </w:r>
      <w:r w:rsidR="002C1B8B" w:rsidRPr="002C1B8B">
        <w:t xml:space="preserve">to the central issue </w:t>
      </w:r>
      <w:r w:rsidR="002B1E64">
        <w:t>in the cross</w:t>
      </w:r>
      <w:r w:rsidR="008118D9">
        <w:t>-</w:t>
      </w:r>
      <w:r w:rsidR="002B1E64">
        <w:t>claim</w:t>
      </w:r>
      <w:r w:rsidR="00110379">
        <w:t xml:space="preserve"> because</w:t>
      </w:r>
      <w:r w:rsidR="007C6FEC">
        <w:t xml:space="preserve"> it is</w:t>
      </w:r>
      <w:r w:rsidR="002B1E64">
        <w:t xml:space="preserve"> </w:t>
      </w:r>
      <w:r w:rsidR="007C6FEC">
        <w:t>the only evidence Triangl adduced</w:t>
      </w:r>
      <w:r w:rsidR="009E7A77">
        <w:t xml:space="preserve"> which</w:t>
      </w:r>
      <w:r>
        <w:t xml:space="preserve"> carries a </w:t>
      </w:r>
      <w:r w:rsidR="007C6FEC">
        <w:t>date</w:t>
      </w:r>
      <w:r w:rsidR="009E7A77">
        <w:t xml:space="preserve"> earlier than the priority date</w:t>
      </w:r>
      <w:r w:rsidR="007C6FEC">
        <w:t xml:space="preserve">, </w:t>
      </w:r>
      <w:r w:rsidR="002B1E64">
        <w:t xml:space="preserve">and </w:t>
      </w:r>
      <w:r w:rsidR="00597E37" w:rsidRPr="002C1B8B">
        <w:t>Triangl</w:t>
      </w:r>
      <w:r w:rsidR="00597E37">
        <w:t xml:space="preserve"> did </w:t>
      </w:r>
      <w:r w:rsidR="00597E37" w:rsidRPr="002C1B8B">
        <w:t>not call any witnesses on</w:t>
      </w:r>
      <w:r>
        <w:t xml:space="preserve"> </w:t>
      </w:r>
      <w:r w:rsidR="00A63410">
        <w:t xml:space="preserve">this </w:t>
      </w:r>
      <w:r w:rsidR="00597E37" w:rsidRPr="002C1B8B">
        <w:t>issue</w:t>
      </w:r>
      <w:r w:rsidR="00597E37">
        <w:t>.</w:t>
      </w:r>
      <w:r w:rsidR="007C6FEC">
        <w:t xml:space="preserve">  </w:t>
      </w:r>
      <w:r>
        <w:lastRenderedPageBreak/>
        <w:t xml:space="preserve">Further, the document </w:t>
      </w:r>
      <w:r w:rsidR="001D63E7" w:rsidRPr="002C1B8B">
        <w:t>does not</w:t>
      </w:r>
      <w:r>
        <w:t xml:space="preserve"> show that </w:t>
      </w:r>
      <w:r w:rsidR="001D63E7" w:rsidRPr="002C1B8B">
        <w:t>Delfina Sport</w:t>
      </w:r>
      <w:r>
        <w:t xml:space="preserve"> continued </w:t>
      </w:r>
      <w:r w:rsidR="001D63E7" w:rsidRPr="002C1B8B">
        <w:t xml:space="preserve">such use or ownership of </w:t>
      </w:r>
      <w:r w:rsidR="001D63E7">
        <w:t xml:space="preserve">the </w:t>
      </w:r>
      <w:r>
        <w:t xml:space="preserve">asserted </w:t>
      </w:r>
      <w:r w:rsidR="001D63E7" w:rsidRPr="002C1B8B">
        <w:t>DELFINA</w:t>
      </w:r>
      <w:r w:rsidR="001D63E7">
        <w:t xml:space="preserve"> mark as at </w:t>
      </w:r>
      <w:r w:rsidR="001D63E7" w:rsidRPr="002C1B8B">
        <w:t>the priority date.  Ownership can be lost, such as by way of abandonment</w:t>
      </w:r>
      <w:r w:rsidR="00110379">
        <w:t>,</w:t>
      </w:r>
      <w:r w:rsidR="001D63E7">
        <w:t xml:space="preserve"> and </w:t>
      </w:r>
      <w:r w:rsidR="001D63E7" w:rsidRPr="002C1B8B">
        <w:t xml:space="preserve">Triangl did not call </w:t>
      </w:r>
      <w:r w:rsidR="001D63E7">
        <w:t xml:space="preserve">any officer or employee of </w:t>
      </w:r>
      <w:r w:rsidR="001D63E7" w:rsidRPr="002C1B8B">
        <w:t>Delfina Sport</w:t>
      </w:r>
      <w:r w:rsidR="00A63410">
        <w:t xml:space="preserve"> to show continued ownership as at the priority date</w:t>
      </w:r>
      <w:r>
        <w:t xml:space="preserve">.  Admitting the evidence would place </w:t>
      </w:r>
      <w:r w:rsidR="001D63E7" w:rsidRPr="002C1B8B">
        <w:t>Pinnacle at a</w:t>
      </w:r>
      <w:r w:rsidR="001D63E7">
        <w:t xml:space="preserve"> real </w:t>
      </w:r>
      <w:r w:rsidR="001D63E7" w:rsidRPr="002C1B8B">
        <w:t>disadvantage in attempting to prove any change in the asserted use</w:t>
      </w:r>
      <w:r w:rsidR="002C1B8B" w:rsidRPr="002C1B8B">
        <w:t xml:space="preserve">: see </w:t>
      </w:r>
      <w:r w:rsidR="002C1B8B" w:rsidRPr="009B17C2">
        <w:rPr>
          <w:i/>
        </w:rPr>
        <w:t xml:space="preserve">Leybourne v Permanent Custodians Limited </w:t>
      </w:r>
      <w:r w:rsidR="002C1B8B" w:rsidRPr="002C1B8B">
        <w:t>[2010] NSWCA 78 (</w:t>
      </w:r>
      <w:r w:rsidR="002C1B8B" w:rsidRPr="009B17C2">
        <w:rPr>
          <w:b/>
          <w:i/>
        </w:rPr>
        <w:t>Leybourne</w:t>
      </w:r>
      <w:r w:rsidR="002C1B8B" w:rsidRPr="002C1B8B">
        <w:t>) at [82] (Giles and Tobias JJA, Sackville AJA)</w:t>
      </w:r>
      <w:r w:rsidR="00B76490">
        <w:t>;</w:t>
      </w:r>
      <w:r w:rsidR="002C1B8B" w:rsidRPr="002C1B8B">
        <w:t xml:space="preserve"> </w:t>
      </w:r>
      <w:r w:rsidR="002C1B8B" w:rsidRPr="009B17C2">
        <w:rPr>
          <w:i/>
        </w:rPr>
        <w:t>Shape Shopfitters Pty Ltd</w:t>
      </w:r>
      <w:r w:rsidR="002C1B8B" w:rsidRPr="002C1B8B">
        <w:t xml:space="preserve"> at [26] (Mortimer J).</w:t>
      </w:r>
    </w:p>
    <w:p w:rsidR="002C1B8B" w:rsidRPr="002C1B8B" w:rsidRDefault="00105A20" w:rsidP="002C1B8B">
      <w:pPr>
        <w:pStyle w:val="ParaNumbering"/>
        <w:tabs>
          <w:tab w:val="num" w:pos="720"/>
        </w:tabs>
        <w:ind w:left="0"/>
      </w:pPr>
      <w:r>
        <w:t xml:space="preserve">The second document </w:t>
      </w:r>
      <w:r w:rsidRPr="002C1B8B">
        <w:t>produced by Delfina Sport</w:t>
      </w:r>
      <w:r>
        <w:t xml:space="preserve"> upon which </w:t>
      </w:r>
      <w:r w:rsidR="00A27B02">
        <w:t>Triangl</w:t>
      </w:r>
      <w:r w:rsidR="009B17C2">
        <w:t xml:space="preserve"> sought to rely </w:t>
      </w:r>
      <w:r w:rsidR="00A27B02">
        <w:t>is</w:t>
      </w:r>
      <w:r w:rsidR="002C1B8B" w:rsidRPr="002C1B8B">
        <w:t xml:space="preserve"> a photograph of a woman wearing a swimsuit with </w:t>
      </w:r>
      <w:r w:rsidR="00503B3A">
        <w:t>DELFINA</w:t>
      </w:r>
      <w:r w:rsidR="00503B3A" w:rsidRPr="002C1B8B">
        <w:t xml:space="preserve"> </w:t>
      </w:r>
      <w:r w:rsidR="002C1B8B" w:rsidRPr="002C1B8B">
        <w:t>written prominently on the front</w:t>
      </w:r>
      <w:r w:rsidR="00503B3A">
        <w:t xml:space="preserve"> (</w:t>
      </w:r>
      <w:r w:rsidR="002C1B8B" w:rsidRPr="002C1B8B">
        <w:t>MFI-3, p.3</w:t>
      </w:r>
      <w:r w:rsidR="00503B3A">
        <w:t>)</w:t>
      </w:r>
      <w:r w:rsidR="002C1B8B" w:rsidRPr="002C1B8B">
        <w:t xml:space="preserve"> (</w:t>
      </w:r>
      <w:r w:rsidR="002C1B8B" w:rsidRPr="002C1B8B">
        <w:rPr>
          <w:b/>
        </w:rPr>
        <w:t>Document</w:t>
      </w:r>
      <w:r w:rsidR="002C1B8B" w:rsidRPr="002C1B8B">
        <w:t xml:space="preserve"> </w:t>
      </w:r>
      <w:r w:rsidR="002C1B8B" w:rsidRPr="002C1B8B">
        <w:rPr>
          <w:b/>
        </w:rPr>
        <w:t>2</w:t>
      </w:r>
      <w:r w:rsidR="002C1B8B" w:rsidRPr="002C1B8B">
        <w:t>).  The</w:t>
      </w:r>
      <w:r w:rsidR="00540B4A">
        <w:t xml:space="preserve">re are a number of deficiencies with this evidence.  First, the photograph </w:t>
      </w:r>
      <w:r w:rsidR="002C1B8B" w:rsidRPr="002C1B8B">
        <w:t xml:space="preserve">is undated and </w:t>
      </w:r>
      <w:r w:rsidR="00540B4A">
        <w:t xml:space="preserve">it does not show usage of DELFINA before the priority date.  Second, there </w:t>
      </w:r>
      <w:r w:rsidR="002C1B8B" w:rsidRPr="002C1B8B">
        <w:t>is nothing to show that</w:t>
      </w:r>
      <w:r w:rsidR="00540B4A">
        <w:t xml:space="preserve"> the photograph </w:t>
      </w:r>
      <w:r w:rsidR="002C1B8B" w:rsidRPr="002C1B8B">
        <w:t xml:space="preserve">was published </w:t>
      </w:r>
      <w:r w:rsidR="00503B3A">
        <w:t xml:space="preserve">to consumers before </w:t>
      </w:r>
      <w:r w:rsidR="002C1B8B" w:rsidRPr="002C1B8B">
        <w:t>the priority date</w:t>
      </w:r>
      <w:r w:rsidR="00503B3A">
        <w:t xml:space="preserve"> or indeed that it </w:t>
      </w:r>
      <w:r w:rsidR="002C1B8B" w:rsidRPr="002C1B8B">
        <w:t>was published at all.</w:t>
      </w:r>
      <w:r w:rsidR="00C316B2">
        <w:t xml:space="preserve">  There is no </w:t>
      </w:r>
      <w:r w:rsidR="002C1B8B" w:rsidRPr="002C1B8B">
        <w:t>evidence that the swimming costume</w:t>
      </w:r>
      <w:r w:rsidR="00C316B2">
        <w:t xml:space="preserve"> displayed in the photograph </w:t>
      </w:r>
      <w:r w:rsidR="002C1B8B" w:rsidRPr="002C1B8B">
        <w:t xml:space="preserve">is one that was available commercially, </w:t>
      </w:r>
      <w:r w:rsidR="00AC64CE">
        <w:t>or</w:t>
      </w:r>
      <w:r w:rsidR="00AC64CE" w:rsidRPr="002C1B8B">
        <w:t xml:space="preserve"> </w:t>
      </w:r>
      <w:r w:rsidR="002C1B8B" w:rsidRPr="002C1B8B">
        <w:t>that the photograph was part of a promotional campaign advertising the swimwear.  Triangl relied on the document for the same purpose</w:t>
      </w:r>
      <w:r w:rsidR="005234B8">
        <w:t xml:space="preserve"> as Document 1 and it </w:t>
      </w:r>
      <w:r w:rsidR="002C1B8B" w:rsidRPr="002C1B8B">
        <w:t xml:space="preserve">is inadmissible </w:t>
      </w:r>
      <w:r w:rsidR="00540B4A">
        <w:t xml:space="preserve">hearsay </w:t>
      </w:r>
      <w:r w:rsidR="002C1B8B" w:rsidRPr="002C1B8B">
        <w:t>for the same reason</w:t>
      </w:r>
      <w:r w:rsidR="000F54E6">
        <w:t>.</w:t>
      </w:r>
      <w:r w:rsidR="00540B4A">
        <w:t xml:space="preserve">  Except that it was produced by Delfina Sport in response to a subpoena</w:t>
      </w:r>
      <w:r w:rsidR="00CD4905">
        <w:t>,</w:t>
      </w:r>
      <w:r w:rsidR="00540B4A">
        <w:t xml:space="preserve"> there is </w:t>
      </w:r>
      <w:r w:rsidR="00EF5977">
        <w:t>nothing to</w:t>
      </w:r>
      <w:r w:rsidR="00540B4A">
        <w:t xml:space="preserve"> indicate that </w:t>
      </w:r>
      <w:r w:rsidR="002C1B8B" w:rsidRPr="002C1B8B">
        <w:t xml:space="preserve">it falls within the business records exception.  </w:t>
      </w:r>
    </w:p>
    <w:p w:rsidR="002C1B8B" w:rsidRPr="002C1B8B" w:rsidRDefault="000F54E6" w:rsidP="002C1B8B">
      <w:pPr>
        <w:pStyle w:val="ParaNumbering"/>
        <w:tabs>
          <w:tab w:val="num" w:pos="720"/>
        </w:tabs>
        <w:ind w:left="0"/>
      </w:pPr>
      <w:r>
        <w:t xml:space="preserve">But even if I am wrong in that view and </w:t>
      </w:r>
      <w:r w:rsidRPr="002C1B8B">
        <w:t xml:space="preserve">Document </w:t>
      </w:r>
      <w:r>
        <w:t xml:space="preserve">2 is admissible, in my view it has </w:t>
      </w:r>
      <w:r w:rsidR="002C1B8B" w:rsidRPr="002C1B8B">
        <w:t>negligible probative weight.  Triangl</w:t>
      </w:r>
      <w:r w:rsidR="001C2D19">
        <w:t xml:space="preserve"> argued that the photograph </w:t>
      </w:r>
      <w:r w:rsidR="002C1B8B" w:rsidRPr="002C1B8B">
        <w:t xml:space="preserve">casts light upon the position before the priority date as there is no reason to think that Delfina Sport’s use of </w:t>
      </w:r>
      <w:r w:rsidR="001C2D19">
        <w:t>DELFINA</w:t>
      </w:r>
      <w:r w:rsidR="001C2D19" w:rsidRPr="002C1B8B">
        <w:t xml:space="preserve"> </w:t>
      </w:r>
      <w:r w:rsidR="002C1B8B" w:rsidRPr="002C1B8B">
        <w:t>before the priority date was different from its current use.  I accept that evidence of later events may throw light upon the true position at an earlier date</w:t>
      </w:r>
      <w:r w:rsidR="00540B4A">
        <w:t xml:space="preserve"> (see</w:t>
      </w:r>
      <w:r w:rsidR="002C1B8B" w:rsidRPr="002C1B8B">
        <w:t xml:space="preserve"> </w:t>
      </w:r>
      <w:r w:rsidR="002C1B8B" w:rsidRPr="002C1B8B">
        <w:rPr>
          <w:i/>
        </w:rPr>
        <w:t xml:space="preserve">Conde Nast Publications Pty Ltd v Taylor </w:t>
      </w:r>
      <w:r w:rsidR="00AC64CE">
        <w:t>[1998</w:t>
      </w:r>
      <w:r w:rsidR="00257EAF">
        <w:t>]</w:t>
      </w:r>
      <w:r w:rsidR="00AC64CE">
        <w:t xml:space="preserve"> FCA 864; </w:t>
      </w:r>
      <w:r w:rsidR="002C1B8B" w:rsidRPr="002C1B8B">
        <w:t>(1998) 41 IPR 505 at 509</w:t>
      </w:r>
      <w:r w:rsidR="00257EAF">
        <w:t>)</w:t>
      </w:r>
      <w:r w:rsidR="00540B4A">
        <w:t>, but</w:t>
      </w:r>
      <w:r w:rsidR="001C2D19">
        <w:t xml:space="preserve"> </w:t>
      </w:r>
      <w:r w:rsidR="00540B4A">
        <w:t xml:space="preserve">of itself </w:t>
      </w:r>
      <w:r w:rsidR="002C1B8B" w:rsidRPr="002C1B8B">
        <w:t>the photograph</w:t>
      </w:r>
      <w:r w:rsidR="001C2D19">
        <w:t xml:space="preserve"> is insufficient to </w:t>
      </w:r>
      <w:r w:rsidR="002C1B8B" w:rsidRPr="002C1B8B">
        <w:t xml:space="preserve">establish use of DELFINA as a trade mark </w:t>
      </w:r>
      <w:r w:rsidR="00540B4A">
        <w:t xml:space="preserve">either </w:t>
      </w:r>
      <w:r w:rsidR="002C1B8B" w:rsidRPr="002C1B8B">
        <w:t xml:space="preserve">before </w:t>
      </w:r>
      <w:r w:rsidR="00540B4A">
        <w:t xml:space="preserve">or after </w:t>
      </w:r>
      <w:r w:rsidR="002C1B8B" w:rsidRPr="002C1B8B">
        <w:t xml:space="preserve">the priority date.  </w:t>
      </w:r>
    </w:p>
    <w:p w:rsidR="002C1B8B" w:rsidRPr="002C1B8B" w:rsidRDefault="00EA3CC0" w:rsidP="002C1B8B">
      <w:pPr>
        <w:pStyle w:val="ParaNumbering"/>
        <w:tabs>
          <w:tab w:val="num" w:pos="720"/>
        </w:tabs>
        <w:ind w:left="0"/>
      </w:pPr>
      <w:r>
        <w:t xml:space="preserve">The third document upon which </w:t>
      </w:r>
      <w:r w:rsidR="002C1B8B" w:rsidRPr="002C1B8B">
        <w:t>Triangl relied</w:t>
      </w:r>
      <w:r w:rsidR="008A4EEF">
        <w:t xml:space="preserve"> is </w:t>
      </w:r>
      <w:r w:rsidR="002C1B8B" w:rsidRPr="002C1B8B">
        <w:t xml:space="preserve">a screenshot of a webpage from the Delfina Sport website at </w:t>
      </w:r>
      <w:r w:rsidR="00A95F12">
        <w:t>&lt;</w:t>
      </w:r>
      <w:r w:rsidR="002C1B8B" w:rsidRPr="002C1B8B">
        <w:t>www.delfinasport.com</w:t>
      </w:r>
      <w:r w:rsidR="00A95F12">
        <w:t>&gt;</w:t>
      </w:r>
      <w:r w:rsidR="002C1B8B" w:rsidRPr="002C1B8B">
        <w:t>, taken by Mr Mawby on 12 April 2018</w:t>
      </w:r>
      <w:r w:rsidR="008A4EEF">
        <w:t xml:space="preserve"> (</w:t>
      </w:r>
      <w:r w:rsidR="002C1B8B" w:rsidRPr="002C1B8B">
        <w:t>annexure BAM-10 to Mr Mawby’s first affidavit</w:t>
      </w:r>
      <w:r w:rsidR="008A4EEF">
        <w:t>)</w:t>
      </w:r>
      <w:r w:rsidR="002C1B8B" w:rsidRPr="002C1B8B">
        <w:t xml:space="preserve"> (</w:t>
      </w:r>
      <w:r w:rsidR="002C1B8B" w:rsidRPr="002C1B8B">
        <w:rPr>
          <w:b/>
        </w:rPr>
        <w:t>Document</w:t>
      </w:r>
      <w:r w:rsidR="002C1B8B" w:rsidRPr="002C1B8B">
        <w:t xml:space="preserve"> </w:t>
      </w:r>
      <w:r w:rsidR="002C1B8B" w:rsidRPr="002C1B8B">
        <w:rPr>
          <w:b/>
        </w:rPr>
        <w:t>3</w:t>
      </w:r>
      <w:r w:rsidR="002C1B8B" w:rsidRPr="002C1B8B">
        <w:t>).</w:t>
      </w:r>
      <w:r w:rsidR="008A4EEF">
        <w:t xml:space="preserve">  The webpage includes </w:t>
      </w:r>
      <w:r w:rsidR="002C1B8B" w:rsidRPr="002C1B8B">
        <w:t xml:space="preserve">a photograph of a swimmer wearing a swimsuit with </w:t>
      </w:r>
      <w:r w:rsidR="003D029C">
        <w:t>DELFINA</w:t>
      </w:r>
      <w:r w:rsidR="003D029C" w:rsidRPr="002C1B8B">
        <w:t xml:space="preserve"> </w:t>
      </w:r>
      <w:r w:rsidR="002C1B8B" w:rsidRPr="002C1B8B">
        <w:t>written prominently on the front, accompanied by</w:t>
      </w:r>
      <w:r w:rsidR="008A4EEF">
        <w:t xml:space="preserve"> promotional material regarding </w:t>
      </w:r>
      <w:r w:rsidR="002C1B8B" w:rsidRPr="002C1B8B">
        <w:t xml:space="preserve">Delfina Sport swimwear.  </w:t>
      </w:r>
    </w:p>
    <w:p w:rsidR="002C1B8B" w:rsidRPr="002C1B8B" w:rsidRDefault="002C1B8B" w:rsidP="002C1B8B">
      <w:pPr>
        <w:pStyle w:val="ParaNumbering"/>
        <w:tabs>
          <w:tab w:val="num" w:pos="720"/>
        </w:tabs>
        <w:ind w:left="0"/>
      </w:pPr>
      <w:r w:rsidRPr="002C1B8B">
        <w:t>Triangl adduced this document for the same purpose</w:t>
      </w:r>
      <w:r w:rsidR="00791D1F">
        <w:t xml:space="preserve"> and </w:t>
      </w:r>
      <w:r w:rsidRPr="002C1B8B">
        <w:t>it is inadmissible</w:t>
      </w:r>
      <w:r w:rsidR="00540B4A">
        <w:t xml:space="preserve"> hearsay</w:t>
      </w:r>
      <w:r w:rsidRPr="002C1B8B">
        <w:t xml:space="preserve"> unless it falls within one of the exceptions.</w:t>
      </w:r>
      <w:r w:rsidR="00791D1F">
        <w:t xml:space="preserve">  Triangl argued that it </w:t>
      </w:r>
      <w:r w:rsidRPr="002C1B8B">
        <w:t xml:space="preserve">falls within the business records </w:t>
      </w:r>
      <w:r w:rsidRPr="002C1B8B">
        <w:lastRenderedPageBreak/>
        <w:t>exception</w:t>
      </w:r>
      <w:r w:rsidR="00340DAB">
        <w:t xml:space="preserve"> but I am not persuaded that it does</w:t>
      </w:r>
      <w:r w:rsidRPr="002C1B8B">
        <w:t>.</w:t>
      </w:r>
      <w:r w:rsidR="00540B4A">
        <w:t xml:space="preserve">  But even </w:t>
      </w:r>
      <w:r w:rsidR="00B410C5">
        <w:t xml:space="preserve">if I am wrong in that view and </w:t>
      </w:r>
      <w:r w:rsidR="00B410C5" w:rsidRPr="002C1B8B">
        <w:t xml:space="preserve">Document </w:t>
      </w:r>
      <w:r w:rsidR="00FD49CB">
        <w:t>3</w:t>
      </w:r>
      <w:r w:rsidR="00B410C5">
        <w:t xml:space="preserve"> is admissible, it has</w:t>
      </w:r>
      <w:r w:rsidRPr="002C1B8B">
        <w:t xml:space="preserve"> little probative value.  Mr Mawby took the screenshot in April 2018, almost 3 years after the priority date</w:t>
      </w:r>
      <w:r w:rsidR="00B410C5">
        <w:t>,</w:t>
      </w:r>
      <w:r w:rsidRPr="002C1B8B">
        <w:t xml:space="preserve"> and</w:t>
      </w:r>
      <w:r w:rsidR="00540B4A">
        <w:t xml:space="preserve"> it is insufficient to </w:t>
      </w:r>
      <w:r w:rsidRPr="002C1B8B">
        <w:t xml:space="preserve">establish a basis for cancellation under s </w:t>
      </w:r>
      <w:r w:rsidR="00B410C5">
        <w:t>8</w:t>
      </w:r>
      <w:r w:rsidR="00B410C5" w:rsidRPr="002C1B8B">
        <w:t xml:space="preserve">8 </w:t>
      </w:r>
      <w:r w:rsidRPr="002C1B8B">
        <w:t>of the Act.  Triangl argued that the document gives context to and reinforces the pre-priority date use but there is no</w:t>
      </w:r>
      <w:r w:rsidR="00540B4A">
        <w:t xml:space="preserve"> cogent </w:t>
      </w:r>
      <w:r w:rsidRPr="002C1B8B">
        <w:t xml:space="preserve">evidence of </w:t>
      </w:r>
      <w:r w:rsidR="00540B4A">
        <w:t xml:space="preserve">the </w:t>
      </w:r>
      <w:r w:rsidRPr="002C1B8B">
        <w:t xml:space="preserve">use </w:t>
      </w:r>
      <w:r w:rsidR="00B410C5">
        <w:t xml:space="preserve">of DELFINA </w:t>
      </w:r>
      <w:r w:rsidRPr="002C1B8B">
        <w:t>before the priority date.</w:t>
      </w:r>
    </w:p>
    <w:p w:rsidR="002C1B8B" w:rsidRPr="002C1B8B" w:rsidRDefault="001167C3" w:rsidP="002C1B8B">
      <w:pPr>
        <w:pStyle w:val="ParaNumbering"/>
        <w:tabs>
          <w:tab w:val="num" w:pos="720"/>
        </w:tabs>
        <w:ind w:left="0"/>
      </w:pPr>
      <w:r>
        <w:t xml:space="preserve">The fourth document upon which Triangl relied is </w:t>
      </w:r>
      <w:r w:rsidR="002C1B8B" w:rsidRPr="002C1B8B">
        <w:t xml:space="preserve">an undated spreadsheet </w:t>
      </w:r>
      <w:r w:rsidR="00DE5E0B">
        <w:t xml:space="preserve">produced by Delfina Sport </w:t>
      </w:r>
      <w:r w:rsidR="00F41D51">
        <w:t>(</w:t>
      </w:r>
      <w:r w:rsidR="002C1B8B" w:rsidRPr="002C1B8B">
        <w:t>MFI-3 at pages 13-28</w:t>
      </w:r>
      <w:r w:rsidR="00F41D51">
        <w:t>)</w:t>
      </w:r>
      <w:r w:rsidR="002C1B8B" w:rsidRPr="002C1B8B">
        <w:t xml:space="preserve"> (</w:t>
      </w:r>
      <w:r w:rsidR="002C1B8B" w:rsidRPr="002C1B8B">
        <w:rPr>
          <w:b/>
        </w:rPr>
        <w:t>Document 4</w:t>
      </w:r>
      <w:r w:rsidR="002C1B8B" w:rsidRPr="002C1B8B">
        <w:t xml:space="preserve">).  </w:t>
      </w:r>
      <w:r w:rsidR="00F41D51">
        <w:t>T</w:t>
      </w:r>
      <w:r w:rsidR="002C1B8B" w:rsidRPr="002C1B8B">
        <w:t>he spreadsheet records transaction details for the sale of hundreds of items of swimwear by Delfina Sport from January 2015 through 2016</w:t>
      </w:r>
      <w:r w:rsidR="00F41D51">
        <w:t>, and it lists the brand as Delfina</w:t>
      </w:r>
      <w:r w:rsidR="002C1B8B" w:rsidRPr="002C1B8B">
        <w:t>.  Triangl adduced the spreadsheet for the same purpose as the other documents but</w:t>
      </w:r>
      <w:r w:rsidR="00F41D51">
        <w:t xml:space="preserve">, differently to </w:t>
      </w:r>
      <w:r w:rsidR="00CD4905">
        <w:t>those other documents</w:t>
      </w:r>
      <w:r w:rsidR="00F41D51">
        <w:t>,</w:t>
      </w:r>
      <w:r w:rsidR="00540B4A">
        <w:t xml:space="preserve"> I consider</w:t>
      </w:r>
      <w:r w:rsidR="00DE5E0B">
        <w:t xml:space="preserve"> that</w:t>
      </w:r>
      <w:r w:rsidR="00540B4A">
        <w:t xml:space="preserve"> </w:t>
      </w:r>
      <w:r w:rsidR="002C1B8B" w:rsidRPr="002C1B8B">
        <w:t>it falls within the business records exception.</w:t>
      </w:r>
      <w:r w:rsidR="000F53A9">
        <w:t xml:space="preserve"> </w:t>
      </w:r>
      <w:r w:rsidR="00EF5977">
        <w:t xml:space="preserve"> </w:t>
      </w:r>
      <w:r w:rsidR="000F53A9">
        <w:t xml:space="preserve">On its face it is </w:t>
      </w:r>
      <w:r w:rsidR="000F53A9">
        <w:rPr>
          <w:lang w:val="en-US"/>
        </w:rPr>
        <w:t>an internal record</w:t>
      </w:r>
      <w:r w:rsidR="005A3664">
        <w:rPr>
          <w:lang w:val="en-US"/>
        </w:rPr>
        <w:t xml:space="preserve"> </w:t>
      </w:r>
      <w:r w:rsidR="000F53A9">
        <w:rPr>
          <w:lang w:val="en-US"/>
        </w:rPr>
        <w:t xml:space="preserve">of Delfina Sport, kept in an organised form </w:t>
      </w:r>
      <w:r w:rsidR="000F53A9" w:rsidRPr="00094355">
        <w:t>accessible in the usual course of business,</w:t>
      </w:r>
      <w:r w:rsidR="00540B4A" w:rsidRPr="00094355">
        <w:t xml:space="preserve"> which records its </w:t>
      </w:r>
      <w:r w:rsidR="000F53A9" w:rsidRPr="00094355">
        <w:t>business activities.</w:t>
      </w:r>
    </w:p>
    <w:p w:rsidR="00FB0D8A" w:rsidRDefault="00540B4A" w:rsidP="00094355">
      <w:pPr>
        <w:pStyle w:val="ParaNumbering"/>
        <w:tabs>
          <w:tab w:val="num" w:pos="720"/>
        </w:tabs>
        <w:ind w:left="0"/>
      </w:pPr>
      <w:r>
        <w:t xml:space="preserve">Even so, </w:t>
      </w:r>
      <w:r w:rsidR="005A3664">
        <w:t xml:space="preserve">the </w:t>
      </w:r>
      <w:r w:rsidR="005A3664" w:rsidRPr="002C1B8B">
        <w:t xml:space="preserve">probative value </w:t>
      </w:r>
      <w:r w:rsidR="005A3664">
        <w:t xml:space="preserve">of the spreadsheet </w:t>
      </w:r>
      <w:r w:rsidR="005A3664" w:rsidRPr="002C1B8B">
        <w:t xml:space="preserve">is </w:t>
      </w:r>
      <w:r w:rsidR="00DE7FD4">
        <w:t>low</w:t>
      </w:r>
      <w:r w:rsidR="00342999">
        <w:t>, and its probative value</w:t>
      </w:r>
      <w:r w:rsidR="00342999" w:rsidRPr="00342999">
        <w:t xml:space="preserve"> </w:t>
      </w:r>
      <w:r w:rsidR="00342999">
        <w:t xml:space="preserve">is </w:t>
      </w:r>
      <w:r w:rsidR="00342999" w:rsidRPr="002C1B8B">
        <w:t>substantially outweighed by the danger of prejudice to Pinnacle</w:t>
      </w:r>
      <w:r w:rsidR="00CD4905">
        <w:t>,</w:t>
      </w:r>
      <w:r w:rsidR="00342999">
        <w:t xml:space="preserve"> such that it is appropriate </w:t>
      </w:r>
      <w:r w:rsidR="00342999" w:rsidRPr="002C1B8B">
        <w:t>to exclude</w:t>
      </w:r>
      <w:r w:rsidR="00342999">
        <w:t xml:space="preserve"> it </w:t>
      </w:r>
      <w:r w:rsidR="00342999" w:rsidRPr="002C1B8B">
        <w:t>under s 135 of the Evidence Act</w:t>
      </w:r>
      <w:r w:rsidR="00DE7FD4">
        <w:t xml:space="preserve">. </w:t>
      </w:r>
      <w:r w:rsidR="00A95F12">
        <w:t xml:space="preserve"> </w:t>
      </w:r>
      <w:r w:rsidR="005A6BE0" w:rsidRPr="002C1B8B">
        <w:t>I have concerns about the spreadsheet’s reliability</w:t>
      </w:r>
      <w:r w:rsidR="00EA35A4">
        <w:t xml:space="preserve"> as it </w:t>
      </w:r>
      <w:r w:rsidR="005A6BE0" w:rsidRPr="002C1B8B">
        <w:t>records</w:t>
      </w:r>
      <w:r w:rsidR="00EA35A4">
        <w:t xml:space="preserve"> </w:t>
      </w:r>
      <w:r w:rsidR="005A6BE0" w:rsidRPr="002C1B8B">
        <w:t>the customer for each of the hundreds of transactions</w:t>
      </w:r>
      <w:r w:rsidR="00EA35A4">
        <w:t xml:space="preserve"> set out </w:t>
      </w:r>
      <w:r w:rsidR="00A63410">
        <w:t>a</w:t>
      </w:r>
      <w:r w:rsidR="00EA35A4">
        <w:t xml:space="preserve">s </w:t>
      </w:r>
      <w:r w:rsidR="005A6BE0" w:rsidRPr="002C1B8B">
        <w:t>Mr Tyler Martin, the managing director of Delfina Sport at the time</w:t>
      </w:r>
      <w:r w:rsidR="00EA35A4">
        <w:t xml:space="preserve">.  That </w:t>
      </w:r>
      <w:r w:rsidR="005A6BE0" w:rsidRPr="002C1B8B">
        <w:t>is inherently unlikely</w:t>
      </w:r>
      <w:r>
        <w:t xml:space="preserve"> and requires explanation which </w:t>
      </w:r>
      <w:r w:rsidR="00A63410">
        <w:t>Triangl’s evidence did not provide</w:t>
      </w:r>
      <w:r w:rsidR="005A6BE0" w:rsidRPr="002C1B8B">
        <w:t>.</w:t>
      </w:r>
      <w:r w:rsidR="00EA35A4">
        <w:t xml:space="preserve">  Further</w:t>
      </w:r>
      <w:r w:rsidR="005A6BE0" w:rsidRPr="002C1B8B">
        <w:t>, the spreadsheet</w:t>
      </w:r>
      <w:r>
        <w:t xml:space="preserve"> only </w:t>
      </w:r>
      <w:r w:rsidR="005A6BE0" w:rsidRPr="002C1B8B">
        <w:t xml:space="preserve">assists Triangl </w:t>
      </w:r>
      <w:r w:rsidR="00EA35A4">
        <w:t>to establish prior use of DELFINA</w:t>
      </w:r>
      <w:r>
        <w:t xml:space="preserve"> through </w:t>
      </w:r>
      <w:r w:rsidR="00EA35A4">
        <w:t>the</w:t>
      </w:r>
      <w:r w:rsidR="00EA35A4" w:rsidRPr="002C1B8B">
        <w:t xml:space="preserve"> </w:t>
      </w:r>
      <w:r w:rsidR="005A6BE0" w:rsidRPr="002C1B8B">
        <w:t>column titled “Brand” which</w:t>
      </w:r>
      <w:r>
        <w:t xml:space="preserve"> records the name “</w:t>
      </w:r>
      <w:r w:rsidR="005A6BE0" w:rsidRPr="002C1B8B">
        <w:t>Delfina</w:t>
      </w:r>
      <w:r>
        <w:t>”</w:t>
      </w:r>
      <w:r w:rsidR="005A6BE0" w:rsidRPr="002C1B8B">
        <w:t xml:space="preserve"> for</w:t>
      </w:r>
      <w:r w:rsidR="00EA35A4">
        <w:t xml:space="preserve"> each </w:t>
      </w:r>
      <w:r w:rsidR="005A6BE0" w:rsidRPr="002C1B8B">
        <w:t>of the hundreds of transactions.</w:t>
      </w:r>
      <w:r>
        <w:t xml:space="preserve">  That </w:t>
      </w:r>
      <w:r w:rsidR="00A95F12">
        <w:t xml:space="preserve">identification </w:t>
      </w:r>
      <w:r>
        <w:t xml:space="preserve">seems unlikely when all of the other documents produced tend to show that Delfina Sport is the company </w:t>
      </w:r>
      <w:r w:rsidR="00A63410">
        <w:t xml:space="preserve">name and </w:t>
      </w:r>
      <w:r>
        <w:t xml:space="preserve">brand.  This </w:t>
      </w:r>
      <w:r w:rsidR="00342999">
        <w:t xml:space="preserve">too </w:t>
      </w:r>
      <w:r>
        <w:t xml:space="preserve">required </w:t>
      </w:r>
      <w:r w:rsidR="00CB1EA7">
        <w:t xml:space="preserve">an </w:t>
      </w:r>
      <w:r>
        <w:t>explanation</w:t>
      </w:r>
      <w:r w:rsidR="00CB1EA7">
        <w:t>,</w:t>
      </w:r>
      <w:r>
        <w:t xml:space="preserve"> which was not forthcoming.</w:t>
      </w:r>
    </w:p>
    <w:p w:rsidR="002C1B8B" w:rsidRDefault="005A3664" w:rsidP="00CB1EA7">
      <w:pPr>
        <w:pStyle w:val="ParaNumbering"/>
        <w:tabs>
          <w:tab w:val="num" w:pos="720"/>
        </w:tabs>
        <w:ind w:left="0"/>
      </w:pPr>
      <w:r>
        <w:t>T</w:t>
      </w:r>
      <w:r w:rsidR="002C1B8B" w:rsidRPr="002C1B8B">
        <w:t>he spreadsheet is</w:t>
      </w:r>
      <w:r w:rsidR="00E12FF1">
        <w:t xml:space="preserve"> relevant </w:t>
      </w:r>
      <w:r w:rsidR="002C1B8B" w:rsidRPr="002C1B8B">
        <w:t xml:space="preserve">to the central issue </w:t>
      </w:r>
      <w:r>
        <w:t>in the cross</w:t>
      </w:r>
      <w:r w:rsidR="008118D9">
        <w:t>-</w:t>
      </w:r>
      <w:r>
        <w:t xml:space="preserve">claim, </w:t>
      </w:r>
      <w:r w:rsidR="00E12FF1">
        <w:t xml:space="preserve">and </w:t>
      </w:r>
      <w:r w:rsidR="00CD585C">
        <w:t>Triangl did not call any officer or employee of</w:t>
      </w:r>
      <w:r w:rsidR="00CD585C" w:rsidRPr="00D80C9F">
        <w:t xml:space="preserve"> </w:t>
      </w:r>
      <w:r w:rsidR="00CD585C">
        <w:t>Delfina Sport to explain the entries in the “Brand” column.</w:t>
      </w:r>
      <w:r w:rsidR="00E12FF1">
        <w:t xml:space="preserve"> </w:t>
      </w:r>
      <w:r w:rsidR="00FB0D8A">
        <w:t xml:space="preserve"> </w:t>
      </w:r>
      <w:r w:rsidR="00CD585C" w:rsidRPr="002C1B8B">
        <w:t>Pinnacle is unable to properly investigate the</w:t>
      </w:r>
      <w:r w:rsidR="00CD585C">
        <w:t xml:space="preserve"> document </w:t>
      </w:r>
      <w:r w:rsidR="00CD585C" w:rsidRPr="002C1B8B">
        <w:t xml:space="preserve">and it </w:t>
      </w:r>
      <w:r w:rsidR="00CD585C">
        <w:t>did</w:t>
      </w:r>
      <w:r w:rsidR="00CD585C" w:rsidRPr="002C1B8B">
        <w:t xml:space="preserve"> not have any opportunity to cross-examine a witness in relation to it</w:t>
      </w:r>
      <w:r w:rsidR="00CD585C">
        <w:t xml:space="preserve"> which places it at a significant advantage</w:t>
      </w:r>
      <w:r w:rsidR="002C1B8B" w:rsidRPr="002C1B8B">
        <w:t xml:space="preserve">: see </w:t>
      </w:r>
      <w:r w:rsidR="002C1B8B" w:rsidRPr="002C1B8B">
        <w:rPr>
          <w:i/>
        </w:rPr>
        <w:t xml:space="preserve">Leybourne </w:t>
      </w:r>
      <w:r w:rsidR="002C1B8B" w:rsidRPr="002C1B8B">
        <w:t>at [82]</w:t>
      </w:r>
      <w:r w:rsidR="00BA4682">
        <w:t>;</w:t>
      </w:r>
      <w:r w:rsidR="002C1B8B" w:rsidRPr="002C1B8B">
        <w:t xml:space="preserve"> </w:t>
      </w:r>
      <w:r w:rsidR="002C1B8B" w:rsidRPr="002C1B8B">
        <w:rPr>
          <w:i/>
        </w:rPr>
        <w:t xml:space="preserve">Shape Shopfitters </w:t>
      </w:r>
      <w:r w:rsidR="002C1B8B" w:rsidRPr="002C1B8B">
        <w:t>at [26]</w:t>
      </w:r>
      <w:r w:rsidR="002C1B8B" w:rsidRPr="002C1B8B">
        <w:rPr>
          <w:i/>
        </w:rPr>
        <w:t>.</w:t>
      </w:r>
    </w:p>
    <w:p w:rsidR="000B1F68" w:rsidRDefault="00CB1EA7" w:rsidP="00CB1EA7">
      <w:pPr>
        <w:pStyle w:val="ParaNumbering"/>
        <w:tabs>
          <w:tab w:val="num" w:pos="720"/>
        </w:tabs>
        <w:ind w:left="0"/>
      </w:pPr>
      <w:r>
        <w:t>Finally, I note that Triangl sought to adduce evidence</w:t>
      </w:r>
      <w:r w:rsidR="000B1F68">
        <w:t xml:space="preserve"> of Australian Trade Mark searches made </w:t>
      </w:r>
      <w:r>
        <w:t>Mr Mawby</w:t>
      </w:r>
      <w:r w:rsidR="000B1F68">
        <w:t xml:space="preserve"> for “Delfina” in class 25.  If the search results are relevant and admissible</w:t>
      </w:r>
      <w:r>
        <w:t>,</w:t>
      </w:r>
      <w:r w:rsidR="000B1F68">
        <w:t xml:space="preserve"> they tend to </w:t>
      </w:r>
      <w:r>
        <w:t>show that</w:t>
      </w:r>
      <w:r w:rsidR="000B1F68">
        <w:t>:</w:t>
      </w:r>
    </w:p>
    <w:p w:rsidR="00CB1EA7" w:rsidRDefault="000B1F68" w:rsidP="008D7D39">
      <w:pPr>
        <w:pStyle w:val="ListNo1"/>
        <w:numPr>
          <w:ilvl w:val="0"/>
          <w:numId w:val="52"/>
        </w:numPr>
      </w:pPr>
      <w:r>
        <w:lastRenderedPageBreak/>
        <w:t xml:space="preserve">on 3 April 2015 an </w:t>
      </w:r>
      <w:r w:rsidR="009A450A">
        <w:t xml:space="preserve">entity noted as being “DELFINA” OOD </w:t>
      </w:r>
      <w:r>
        <w:t xml:space="preserve"> lodged Australian Trade Mark application </w:t>
      </w:r>
      <w:r w:rsidR="00ED1D25">
        <w:t xml:space="preserve">No 1699265 </w:t>
      </w:r>
      <w:r>
        <w:t xml:space="preserve">to register the word DELFINA combined with a Dolphin Silhouette (the </w:t>
      </w:r>
      <w:r w:rsidRPr="00094355">
        <w:rPr>
          <w:b/>
        </w:rPr>
        <w:t>D</w:t>
      </w:r>
      <w:r w:rsidR="00500EA8" w:rsidRPr="00094355">
        <w:rPr>
          <w:b/>
        </w:rPr>
        <w:t>elfina</w:t>
      </w:r>
      <w:r w:rsidR="005F7A95">
        <w:rPr>
          <w:b/>
        </w:rPr>
        <w:t xml:space="preserve"> </w:t>
      </w:r>
      <w:r w:rsidR="00A8299B">
        <w:rPr>
          <w:b/>
        </w:rPr>
        <w:t xml:space="preserve">Dolphin </w:t>
      </w:r>
      <w:r w:rsidRPr="00094355">
        <w:rPr>
          <w:b/>
        </w:rPr>
        <w:t>Mark</w:t>
      </w:r>
      <w:r>
        <w:t>)</w:t>
      </w:r>
      <w:r w:rsidR="00ED1D25">
        <w:t xml:space="preserve"> for Class 25 goods, including clothing and swimwear</w:t>
      </w:r>
      <w:r>
        <w:t>.  An image of th</w:t>
      </w:r>
      <w:r w:rsidR="00ED1D25">
        <w:t>e</w:t>
      </w:r>
      <w:r>
        <w:t xml:space="preserve"> mark</w:t>
      </w:r>
      <w:r w:rsidR="009A450A">
        <w:t xml:space="preserve"> that is the subject of </w:t>
      </w:r>
      <w:r w:rsidR="005F7A95">
        <w:t>t</w:t>
      </w:r>
      <w:r w:rsidR="009A450A">
        <w:t>he application</w:t>
      </w:r>
      <w:r>
        <w:t xml:space="preserve"> is reproduced below:</w:t>
      </w:r>
    </w:p>
    <w:p w:rsidR="009A450A" w:rsidRDefault="00A45165" w:rsidP="00031CD5">
      <w:pPr>
        <w:pStyle w:val="NoNum"/>
        <w:jc w:val="center"/>
      </w:pPr>
      <w:r>
        <w:rPr>
          <w:noProof/>
          <w:lang w:eastAsia="en-AU"/>
        </w:rPr>
        <w:drawing>
          <wp:inline distT="0" distB="0" distL="0" distR="0">
            <wp:extent cx="3015914" cy="1459313"/>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10.jpg"/>
                    <pic:cNvPicPr/>
                  </pic:nvPicPr>
                  <pic:blipFill>
                    <a:blip r:embed="rId25">
                      <a:extLst>
                        <a:ext uri="{28A0092B-C50C-407E-A947-70E740481C1C}">
                          <a14:useLocalDpi xmlns:a14="http://schemas.microsoft.com/office/drawing/2010/main" val="0"/>
                        </a:ext>
                      </a:extLst>
                    </a:blip>
                    <a:stretch>
                      <a:fillRect/>
                    </a:stretch>
                  </pic:blipFill>
                  <pic:spPr>
                    <a:xfrm>
                      <a:off x="0" y="0"/>
                      <a:ext cx="3049596" cy="1475611"/>
                    </a:xfrm>
                    <a:prstGeom prst="rect">
                      <a:avLst/>
                    </a:prstGeom>
                  </pic:spPr>
                </pic:pic>
              </a:graphicData>
            </a:graphic>
          </wp:inline>
        </w:drawing>
      </w:r>
    </w:p>
    <w:p w:rsidR="000B1F68" w:rsidRDefault="00ED1D25" w:rsidP="00094355">
      <w:pPr>
        <w:pStyle w:val="ListNo1"/>
        <w:numPr>
          <w:ilvl w:val="0"/>
          <w:numId w:val="0"/>
        </w:numPr>
        <w:ind w:left="720"/>
      </w:pPr>
      <w:r>
        <w:t>That application lapsed and was withdrawn on 24 November 2016.</w:t>
      </w:r>
    </w:p>
    <w:p w:rsidR="00ED1D25" w:rsidRPr="002C1B8B" w:rsidRDefault="00ED1D25" w:rsidP="008D7D39">
      <w:pPr>
        <w:pStyle w:val="ListNo1"/>
        <w:numPr>
          <w:ilvl w:val="0"/>
          <w:numId w:val="52"/>
        </w:numPr>
      </w:pPr>
      <w:r>
        <w:t>on 13 November 2017</w:t>
      </w:r>
      <w:r w:rsidR="009A450A">
        <w:t xml:space="preserve">, </w:t>
      </w:r>
      <w:r w:rsidR="00500EA8">
        <w:t>“DELFINA” OOD</w:t>
      </w:r>
      <w:r w:rsidR="009A450A">
        <w:t xml:space="preserve"> </w:t>
      </w:r>
      <w:r>
        <w:t xml:space="preserve">lodged </w:t>
      </w:r>
      <w:r w:rsidR="00A8299B">
        <w:t xml:space="preserve">another </w:t>
      </w:r>
      <w:r>
        <w:t>Australian Trade Mark application</w:t>
      </w:r>
      <w:r w:rsidR="00500EA8">
        <w:t>,</w:t>
      </w:r>
      <w:r>
        <w:t xml:space="preserve"> No 1886901</w:t>
      </w:r>
      <w:r w:rsidR="00500EA8">
        <w:t>,</w:t>
      </w:r>
      <w:r>
        <w:t xml:space="preserve"> for the Delfina</w:t>
      </w:r>
      <w:r w:rsidR="005F7A95">
        <w:t xml:space="preserve"> </w:t>
      </w:r>
      <w:r w:rsidR="00A8299B">
        <w:t>Dolphin</w:t>
      </w:r>
      <w:r>
        <w:t xml:space="preserve"> Mark for Class 25 goods including clothing and swimwear. </w:t>
      </w:r>
      <w:r w:rsidR="00500EA8">
        <w:t xml:space="preserve"> </w:t>
      </w:r>
      <w:r>
        <w:t>That trade mark application was the subject of an adverse report by IP Australia on 15 March 2018, which concluded that the application did not meet the requirements of the Act</w:t>
      </w:r>
      <w:r w:rsidR="00D3374F">
        <w:t xml:space="preserve"> because the</w:t>
      </w:r>
      <w:r w:rsidR="00A8299B">
        <w:t xml:space="preserve"> mark </w:t>
      </w:r>
      <w:r w:rsidR="005F7A95">
        <w:t xml:space="preserve">was found to </w:t>
      </w:r>
      <w:r>
        <w:t>closely resemble</w:t>
      </w:r>
      <w:r w:rsidR="00D3374F">
        <w:t xml:space="preserve"> an earlier trade mark in respect of the same class of goods</w:t>
      </w:r>
      <w:r w:rsidR="00A8299B">
        <w:t>; being the DELPHINE Trade Mark</w:t>
      </w:r>
      <w:r w:rsidR="00D3374F">
        <w:t xml:space="preserve">. </w:t>
      </w:r>
    </w:p>
    <w:p w:rsidR="00D3374F" w:rsidRDefault="00D3374F" w:rsidP="00D3374F">
      <w:pPr>
        <w:pStyle w:val="ParaNumbering"/>
        <w:tabs>
          <w:tab w:val="num" w:pos="720"/>
        </w:tabs>
        <w:ind w:left="0"/>
      </w:pPr>
      <w:r>
        <w:t xml:space="preserve">Pinnacle objected to this evidence on the basis of relevance.  It argued that the search in relation to application No 1699265 did not show use of DELFINA before the priority date, only that someone had applied to register the </w:t>
      </w:r>
      <w:r w:rsidR="00A8299B">
        <w:t>Delfina</w:t>
      </w:r>
      <w:r w:rsidR="005F7A95">
        <w:t xml:space="preserve"> </w:t>
      </w:r>
      <w:r w:rsidR="00A8299B">
        <w:t xml:space="preserve">Dolphin Mark </w:t>
      </w:r>
      <w:r>
        <w:t>before the priority date and had allowed that application to lapse.  I accept that contention.</w:t>
      </w:r>
      <w:r w:rsidR="00500EA8">
        <w:t xml:space="preserve"> </w:t>
      </w:r>
      <w:r>
        <w:t xml:space="preserve"> Without more the document is not capable of </w:t>
      </w:r>
      <w:r w:rsidR="00500EA8">
        <w:t>establishing</w:t>
      </w:r>
      <w:r>
        <w:t xml:space="preserve"> whether DELFINA</w:t>
      </w:r>
      <w:r w:rsidR="00A8299B">
        <w:t xml:space="preserve"> </w:t>
      </w:r>
      <w:r w:rsidR="00A8299B" w:rsidRPr="00500EA8">
        <w:rPr>
          <w:i/>
        </w:rPr>
        <w:t>solus</w:t>
      </w:r>
      <w:r>
        <w:t xml:space="preserve"> was used as a mark</w:t>
      </w:r>
      <w:r w:rsidR="00A8299B">
        <w:t xml:space="preserve"> </w:t>
      </w:r>
      <w:r w:rsidR="00500EA8">
        <w:t xml:space="preserve">by another trader </w:t>
      </w:r>
      <w:r w:rsidR="00A8299B">
        <w:t xml:space="preserve">before </w:t>
      </w:r>
      <w:r>
        <w:t xml:space="preserve">the priority date of the DELPHINE </w:t>
      </w:r>
      <w:r w:rsidR="00A8299B">
        <w:t>Trade M</w:t>
      </w:r>
      <w:r>
        <w:t xml:space="preserve">ark. </w:t>
      </w:r>
      <w:r w:rsidR="00500EA8">
        <w:t xml:space="preserve"> </w:t>
      </w:r>
      <w:r>
        <w:t>Even if the</w:t>
      </w:r>
      <w:r w:rsidR="00A8299B">
        <w:t xml:space="preserve"> document </w:t>
      </w:r>
      <w:r>
        <w:t>is accepted as marginally relevant</w:t>
      </w:r>
      <w:r w:rsidR="00500EA8">
        <w:t>,</w:t>
      </w:r>
      <w:r>
        <w:t xml:space="preserve"> its probative value is substantially outweighed by the prejudice that Pinnacle might suffer</w:t>
      </w:r>
      <w:r w:rsidR="00A8299B">
        <w:t xml:space="preserve"> because it is </w:t>
      </w:r>
      <w:r>
        <w:t>unable to test the question of usage</w:t>
      </w:r>
      <w:r w:rsidR="00A8299B">
        <w:t xml:space="preserve"> or understand why the application was allowed to lapse</w:t>
      </w:r>
      <w:r>
        <w:t xml:space="preserve"> through cross examination. </w:t>
      </w:r>
      <w:r w:rsidR="00A8299B">
        <w:t xml:space="preserve"> </w:t>
      </w:r>
      <w:r w:rsidR="00500EA8">
        <w:t>For that reason, even i</w:t>
      </w:r>
      <w:r w:rsidR="00A8299B">
        <w:t xml:space="preserve">f the document </w:t>
      </w:r>
      <w:r w:rsidR="00500EA8">
        <w:t>wa</w:t>
      </w:r>
      <w:r w:rsidR="00A8299B">
        <w:t>s relevant</w:t>
      </w:r>
      <w:r w:rsidR="00500EA8">
        <w:t>,</w:t>
      </w:r>
      <w:r w:rsidR="00A8299B">
        <w:t xml:space="preserve"> I would exclude it under s 135.</w:t>
      </w:r>
    </w:p>
    <w:p w:rsidR="00A8299B" w:rsidRDefault="00A8299B" w:rsidP="00D3374F">
      <w:pPr>
        <w:pStyle w:val="ParaNumbering"/>
        <w:tabs>
          <w:tab w:val="num" w:pos="720"/>
        </w:tabs>
        <w:ind w:left="0"/>
      </w:pPr>
      <w:r>
        <w:t xml:space="preserve">The search in relation to application No 1886901 is also irrelevant.  This application was made after the priority date of the DELPHINE mark and, without more, it does not show prior usage of DELFINA.  I </w:t>
      </w:r>
      <w:r w:rsidR="005F7A95">
        <w:t xml:space="preserve">do </w:t>
      </w:r>
      <w:r>
        <w:t xml:space="preserve">not agree with the view </w:t>
      </w:r>
      <w:r w:rsidR="005F7A95">
        <w:t xml:space="preserve">apparently </w:t>
      </w:r>
      <w:r>
        <w:t xml:space="preserve">expressed by IP Australia regarding the </w:t>
      </w:r>
      <w:r>
        <w:lastRenderedPageBreak/>
        <w:t xml:space="preserve">resemblance of </w:t>
      </w:r>
      <w:r w:rsidR="005F7A95">
        <w:t xml:space="preserve">the </w:t>
      </w:r>
      <w:r>
        <w:t>Delfina</w:t>
      </w:r>
      <w:r w:rsidR="005F7A95">
        <w:t xml:space="preserve"> </w:t>
      </w:r>
      <w:r>
        <w:t>Dolphin Mark with the DELPHINE mark, but the question does not arise.</w:t>
      </w:r>
    </w:p>
    <w:p w:rsidR="002C1B8B" w:rsidRPr="002C1B8B" w:rsidRDefault="00CD585C" w:rsidP="007C5EE6">
      <w:pPr>
        <w:pStyle w:val="ParaNumbering"/>
        <w:tabs>
          <w:tab w:val="num" w:pos="720"/>
        </w:tabs>
        <w:ind w:left="0"/>
      </w:pPr>
      <w:r>
        <w:t>Pinnacle did not establish on the balance of probabilities that</w:t>
      </w:r>
      <w:r w:rsidR="00647E99">
        <w:t>, before the priority date,</w:t>
      </w:r>
      <w:r>
        <w:t xml:space="preserve"> Delfina Sport</w:t>
      </w:r>
      <w:r w:rsidR="00647E99">
        <w:t xml:space="preserve"> marketed and offered for sale </w:t>
      </w:r>
      <w:r w:rsidR="00647E99" w:rsidRPr="002C1B8B">
        <w:t>swimwear in Australia under and by reference to DELFINA as a trade mark</w:t>
      </w:r>
      <w:r w:rsidR="00647E99">
        <w:t xml:space="preserve">. </w:t>
      </w:r>
      <w:r w:rsidR="00FD49CB">
        <w:t xml:space="preserve"> </w:t>
      </w:r>
    </w:p>
    <w:p w:rsidR="002C1B8B" w:rsidRPr="002C1B8B" w:rsidRDefault="006D060E" w:rsidP="00647E99">
      <w:pPr>
        <w:pStyle w:val="Heading2"/>
      </w:pPr>
      <w:r>
        <w:t xml:space="preserve">The </w:t>
      </w:r>
      <w:r w:rsidR="002C1B8B" w:rsidRPr="002C1B8B">
        <w:t xml:space="preserve">Delfina </w:t>
      </w:r>
      <w:r w:rsidR="002C1B8B" w:rsidRPr="006D060E">
        <w:t>S</w:t>
      </w:r>
      <w:r w:rsidR="002C1B8B" w:rsidRPr="002C1B8B">
        <w:t>port</w:t>
      </w:r>
      <w:r>
        <w:t xml:space="preserve"> mark</w:t>
      </w:r>
    </w:p>
    <w:p w:rsidR="002C1B8B" w:rsidRPr="002C1B8B" w:rsidRDefault="0080272F" w:rsidP="00031CD5">
      <w:pPr>
        <w:pStyle w:val="ParaNumbering"/>
        <w:tabs>
          <w:tab w:val="num" w:pos="720"/>
        </w:tabs>
        <w:ind w:left="0"/>
      </w:pPr>
      <w:r>
        <w:t xml:space="preserve">In the </w:t>
      </w:r>
      <w:r w:rsidR="002C1B8B" w:rsidRPr="002C1B8B">
        <w:t>second limb of Triangl</w:t>
      </w:r>
      <w:r w:rsidR="00647E99">
        <w:t>’s cross</w:t>
      </w:r>
      <w:r w:rsidR="008118D9">
        <w:t>-</w:t>
      </w:r>
      <w:r w:rsidR="00647E99">
        <w:t>claim</w:t>
      </w:r>
      <w:r w:rsidR="00500EA8">
        <w:t>,</w:t>
      </w:r>
      <w:r>
        <w:t xml:space="preserve"> it alleged </w:t>
      </w:r>
      <w:r w:rsidR="002C1B8B" w:rsidRPr="002C1B8B">
        <w:t xml:space="preserve">that, from January 2015, Delfina Sport promoted, distributed, supplied, offered for sale and sold swimwear in Australia under and by reference to </w:t>
      </w:r>
      <w:r w:rsidR="00A63410">
        <w:t xml:space="preserve">a </w:t>
      </w:r>
      <w:r w:rsidR="002C1B8B" w:rsidRPr="002C1B8B">
        <w:t>DELFINA SPORT mark</w:t>
      </w:r>
      <w:r w:rsidR="00647E99">
        <w:t xml:space="preserve">, which </w:t>
      </w:r>
      <w:r w:rsidR="002C1B8B" w:rsidRPr="002C1B8B">
        <w:t xml:space="preserve">is substantially identical to the DELPHINE </w:t>
      </w:r>
      <w:r w:rsidR="00A63410">
        <w:t>Trade M</w:t>
      </w:r>
      <w:r w:rsidR="002C1B8B" w:rsidRPr="002C1B8B">
        <w:t xml:space="preserve">ark. </w:t>
      </w:r>
    </w:p>
    <w:p w:rsidR="002C1B8B" w:rsidRPr="002C1B8B" w:rsidRDefault="00647E99" w:rsidP="00031CD5">
      <w:pPr>
        <w:pStyle w:val="ParaNumbering"/>
        <w:tabs>
          <w:tab w:val="num" w:pos="720"/>
        </w:tabs>
        <w:ind w:left="0"/>
      </w:pPr>
      <w:r>
        <w:t>As</w:t>
      </w:r>
      <w:r w:rsidR="0080272F">
        <w:t xml:space="preserve"> I have </w:t>
      </w:r>
      <w:r w:rsidR="00500EA8">
        <w:t>set out above</w:t>
      </w:r>
      <w:r>
        <w:t>, t</w:t>
      </w:r>
      <w:r w:rsidRPr="002C1B8B">
        <w:t xml:space="preserve">he </w:t>
      </w:r>
      <w:r w:rsidR="002C1B8B" w:rsidRPr="002C1B8B">
        <w:t xml:space="preserve">DELPHINE </w:t>
      </w:r>
      <w:r>
        <w:t>Trade M</w:t>
      </w:r>
      <w:r w:rsidR="002C1B8B" w:rsidRPr="002C1B8B">
        <w:t>ark</w:t>
      </w:r>
      <w:r w:rsidR="0080272F">
        <w:t xml:space="preserve"> is </w:t>
      </w:r>
      <w:r w:rsidR="002C1B8B" w:rsidRPr="002C1B8B">
        <w:t>as follows.</w:t>
      </w:r>
    </w:p>
    <w:p w:rsidR="002C1B8B" w:rsidRPr="002C1B8B" w:rsidRDefault="00A45165" w:rsidP="00031CD5">
      <w:pPr>
        <w:pStyle w:val="NoNum"/>
        <w:jc w:val="center"/>
      </w:pPr>
      <w:r>
        <w:rPr>
          <w:noProof/>
          <w:lang w:eastAsia="en-AU"/>
        </w:rPr>
        <w:drawing>
          <wp:inline distT="0" distB="0" distL="0" distR="0">
            <wp:extent cx="2095500" cy="5238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11.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523875"/>
                    </a:xfrm>
                    <a:prstGeom prst="rect">
                      <a:avLst/>
                    </a:prstGeom>
                  </pic:spPr>
                </pic:pic>
              </a:graphicData>
            </a:graphic>
          </wp:inline>
        </w:drawing>
      </w:r>
    </w:p>
    <w:p w:rsidR="00FD49CB" w:rsidRDefault="00647E99" w:rsidP="00031CD5">
      <w:pPr>
        <w:pStyle w:val="NoNum"/>
      </w:pPr>
      <w:r>
        <w:t xml:space="preserve">DELPHINE is in uppercase and it is not italicised, stylised or in a particular colour. </w:t>
      </w:r>
    </w:p>
    <w:p w:rsidR="002C1B8B" w:rsidRPr="002C1B8B" w:rsidRDefault="00FD49CB" w:rsidP="00031CD5">
      <w:pPr>
        <w:pStyle w:val="ParaNumbering"/>
        <w:tabs>
          <w:tab w:val="num" w:pos="720"/>
        </w:tabs>
        <w:ind w:left="0"/>
      </w:pPr>
      <w:r>
        <w:t>The mark that</w:t>
      </w:r>
      <w:r w:rsidR="002C1B8B" w:rsidRPr="002C1B8B">
        <w:t xml:space="preserve"> Delfina Sport used </w:t>
      </w:r>
      <w:r w:rsidR="000F5DA3">
        <w:t xml:space="preserve">and which </w:t>
      </w:r>
      <w:r w:rsidR="00F245FF">
        <w:t xml:space="preserve">Triangl submitted is </w:t>
      </w:r>
      <w:r w:rsidRPr="002C1B8B">
        <w:t>substantially identical to the DELPHINE mark</w:t>
      </w:r>
      <w:r w:rsidR="0080272F">
        <w:t xml:space="preserve"> is </w:t>
      </w:r>
      <w:r>
        <w:t>as follows:</w:t>
      </w:r>
      <w:r w:rsidR="002C1B8B" w:rsidRPr="002C1B8B">
        <w:t xml:space="preserve"> </w:t>
      </w:r>
    </w:p>
    <w:p w:rsidR="00B907E0" w:rsidRDefault="00A45165" w:rsidP="00031CD5">
      <w:pPr>
        <w:pStyle w:val="NoNum"/>
        <w:jc w:val="center"/>
      </w:pPr>
      <w:r>
        <w:rPr>
          <w:noProof/>
          <w:lang w:eastAsia="en-AU"/>
        </w:rPr>
        <w:drawing>
          <wp:inline distT="0" distB="0" distL="0" distR="0">
            <wp:extent cx="2628900" cy="7334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12.jpg"/>
                    <pic:cNvPicPr/>
                  </pic:nvPicPr>
                  <pic:blipFill>
                    <a:blip r:embed="rId26">
                      <a:extLst>
                        <a:ext uri="{28A0092B-C50C-407E-A947-70E740481C1C}">
                          <a14:useLocalDpi xmlns:a14="http://schemas.microsoft.com/office/drawing/2010/main" val="0"/>
                        </a:ext>
                      </a:extLst>
                    </a:blip>
                    <a:stretch>
                      <a:fillRect/>
                    </a:stretch>
                  </pic:blipFill>
                  <pic:spPr>
                    <a:xfrm>
                      <a:off x="0" y="0"/>
                      <a:ext cx="2628900" cy="733425"/>
                    </a:xfrm>
                    <a:prstGeom prst="rect">
                      <a:avLst/>
                    </a:prstGeom>
                  </pic:spPr>
                </pic:pic>
              </a:graphicData>
            </a:graphic>
          </wp:inline>
        </w:drawing>
      </w:r>
    </w:p>
    <w:p w:rsidR="002C1B8B" w:rsidRPr="002C1B8B" w:rsidRDefault="002C1B8B" w:rsidP="00031CD5">
      <w:pPr>
        <w:pStyle w:val="NoNum"/>
      </w:pPr>
      <w:r w:rsidRPr="002C1B8B">
        <w:t xml:space="preserve">: the </w:t>
      </w:r>
      <w:r w:rsidRPr="00031CD5">
        <w:rPr>
          <w:b/>
        </w:rPr>
        <w:t>DELFINA SPORT mark</w:t>
      </w:r>
      <w:r w:rsidRPr="002C1B8B">
        <w:t>.</w:t>
      </w:r>
    </w:p>
    <w:p w:rsidR="002C1B8B" w:rsidRPr="002C1B8B" w:rsidRDefault="002C1B8B" w:rsidP="002C1B8B">
      <w:pPr>
        <w:pStyle w:val="ParaNumbering"/>
        <w:tabs>
          <w:tab w:val="num" w:pos="720"/>
        </w:tabs>
        <w:ind w:left="0"/>
      </w:pPr>
      <w:r w:rsidRPr="002C1B8B">
        <w:t>Triangl</w:t>
      </w:r>
      <w:r w:rsidR="00647E99">
        <w:t xml:space="preserve"> again </w:t>
      </w:r>
      <w:r w:rsidRPr="002C1B8B">
        <w:t>relied upon documents produced by Delfina Sport in answer to a subpoena.</w:t>
      </w:r>
      <w:r w:rsidR="00F245FF">
        <w:t xml:space="preserve">  Again, it </w:t>
      </w:r>
      <w:r w:rsidRPr="002C1B8B">
        <w:t>did not adduce any evidence from an officer or employee of Delfina Sport whom it said had created the documents,</w:t>
      </w:r>
      <w:r w:rsidR="00647E99">
        <w:t xml:space="preserve"> or </w:t>
      </w:r>
      <w:r w:rsidRPr="002C1B8B">
        <w:t>from any consumer or trader who had dealt with Delfina Sport in the course of trade.  Triangl relied on the following documents:</w:t>
      </w:r>
    </w:p>
    <w:p w:rsidR="002C1B8B" w:rsidRPr="002C1B8B" w:rsidRDefault="002C1B8B" w:rsidP="008D7D39">
      <w:pPr>
        <w:pStyle w:val="ListNo1"/>
        <w:numPr>
          <w:ilvl w:val="0"/>
          <w:numId w:val="60"/>
        </w:numPr>
      </w:pPr>
      <w:r w:rsidRPr="002C1B8B">
        <w:t xml:space="preserve">four documents (all except one produced by Delfina Sport in answer to a subpoena) which are, on their face, copies of posts on </w:t>
      </w:r>
      <w:r w:rsidR="00F245FF" w:rsidRPr="002C1B8B">
        <w:t>Delfina Sport</w:t>
      </w:r>
      <w:r w:rsidR="00F245FF">
        <w:t>’s</w:t>
      </w:r>
      <w:r w:rsidRPr="002C1B8B">
        <w:t xml:space="preserve"> Facebook page</w:t>
      </w:r>
      <w:r w:rsidR="00F245FF">
        <w:t>,</w:t>
      </w:r>
      <w:r w:rsidRPr="002C1B8B">
        <w:t xml:space="preserve"> being; </w:t>
      </w:r>
    </w:p>
    <w:p w:rsidR="002C1B8B" w:rsidRPr="002C1B8B" w:rsidRDefault="00960CE9" w:rsidP="008D7D39">
      <w:pPr>
        <w:pStyle w:val="ListNo2"/>
        <w:numPr>
          <w:ilvl w:val="0"/>
          <w:numId w:val="61"/>
        </w:numPr>
        <w:ind w:left="1418" w:hanging="709"/>
      </w:pPr>
      <w:r>
        <w:t>Document 1</w:t>
      </w:r>
      <w:r w:rsidR="007C45BB">
        <w:t>,</w:t>
      </w:r>
      <w:r>
        <w:t xml:space="preserve"> to which I referred</w:t>
      </w:r>
      <w:r w:rsidR="005B0131">
        <w:t xml:space="preserve"> above</w:t>
      </w:r>
      <w:r>
        <w:t xml:space="preserve">, being </w:t>
      </w:r>
      <w:r w:rsidR="002C1B8B" w:rsidRPr="002C1B8B">
        <w:t xml:space="preserve">a </w:t>
      </w:r>
      <w:r w:rsidR="007C45BB">
        <w:t xml:space="preserve">Facebook </w:t>
      </w:r>
      <w:r w:rsidR="002C1B8B" w:rsidRPr="002C1B8B">
        <w:t xml:space="preserve">post </w:t>
      </w:r>
      <w:r w:rsidR="00F245FF">
        <w:t xml:space="preserve">apparently </w:t>
      </w:r>
      <w:r w:rsidR="002C1B8B" w:rsidRPr="002C1B8B">
        <w:t xml:space="preserve">made on 15 January 2015 </w:t>
      </w:r>
      <w:r w:rsidR="00B46176">
        <w:t>which</w:t>
      </w:r>
      <w:r w:rsidR="002C1B8B" w:rsidRPr="002C1B8B">
        <w:t xml:space="preserve"> includes a </w:t>
      </w:r>
      <w:r w:rsidR="00B46176">
        <w:t>composite image of three</w:t>
      </w:r>
      <w:r w:rsidR="00B46176" w:rsidRPr="002C1B8B">
        <w:t xml:space="preserve"> swimmer</w:t>
      </w:r>
      <w:r w:rsidR="00B46176">
        <w:t xml:space="preserve">s, each </w:t>
      </w:r>
      <w:r w:rsidR="00B46176" w:rsidRPr="002C1B8B">
        <w:lastRenderedPageBreak/>
        <w:t>wearing a swimsuit</w:t>
      </w:r>
      <w:r w:rsidR="00B46176">
        <w:t>s and swimming cap</w:t>
      </w:r>
      <w:r w:rsidR="005B0131">
        <w:t>,</w:t>
      </w:r>
      <w:r w:rsidR="00B46176" w:rsidRPr="002C1B8B">
        <w:t xml:space="preserve"> </w:t>
      </w:r>
      <w:r w:rsidR="00B907E0">
        <w:t xml:space="preserve">and </w:t>
      </w:r>
      <w:r w:rsidR="002C1B8B" w:rsidRPr="002C1B8B">
        <w:t>the words “We will be having a sale on all swimming costumes</w:t>
      </w:r>
      <w:r w:rsidR="00B907E0">
        <w:t xml:space="preserve"> </w:t>
      </w:r>
      <w:r w:rsidR="002C1B8B" w:rsidRPr="002C1B8B">
        <w:t xml:space="preserve">…”;  </w:t>
      </w:r>
    </w:p>
    <w:p w:rsidR="002C1B8B" w:rsidRPr="002C1B8B" w:rsidRDefault="002C1B8B" w:rsidP="008D7D39">
      <w:pPr>
        <w:pStyle w:val="ListNo2"/>
        <w:numPr>
          <w:ilvl w:val="0"/>
          <w:numId w:val="61"/>
        </w:numPr>
        <w:ind w:left="1418" w:hanging="709"/>
      </w:pPr>
      <w:r w:rsidRPr="002C1B8B">
        <w:t xml:space="preserve">a </w:t>
      </w:r>
      <w:r w:rsidR="007C45BB">
        <w:t xml:space="preserve">Facebook </w:t>
      </w:r>
      <w:r w:rsidRPr="002C1B8B">
        <w:t xml:space="preserve">post </w:t>
      </w:r>
      <w:r w:rsidR="00F245FF">
        <w:t xml:space="preserve">apparently </w:t>
      </w:r>
      <w:r w:rsidRPr="002C1B8B">
        <w:t>made on 20 January 2015</w:t>
      </w:r>
      <w:r w:rsidR="00960CE9">
        <w:t xml:space="preserve"> (</w:t>
      </w:r>
      <w:r w:rsidRPr="002C1B8B">
        <w:t>MFI-3</w:t>
      </w:r>
      <w:r w:rsidR="00257EAF">
        <w:t>,</w:t>
      </w:r>
      <w:r w:rsidRPr="002C1B8B">
        <w:t xml:space="preserve"> p</w:t>
      </w:r>
      <w:r w:rsidR="00257EAF">
        <w:t xml:space="preserve"> </w:t>
      </w:r>
      <w:r w:rsidRPr="002C1B8B">
        <w:t>8</w:t>
      </w:r>
      <w:r w:rsidR="00960CE9">
        <w:t>)</w:t>
      </w:r>
      <w:r w:rsidRPr="002C1B8B">
        <w:t xml:space="preserve"> (</w:t>
      </w:r>
      <w:r w:rsidRPr="002C1B8B">
        <w:rPr>
          <w:b/>
        </w:rPr>
        <w:t>Document 5</w:t>
      </w:r>
      <w:r w:rsidRPr="002C1B8B">
        <w:t>)</w:t>
      </w:r>
      <w:r w:rsidR="00B46176">
        <w:t xml:space="preserve"> which</w:t>
      </w:r>
      <w:r w:rsidRPr="002C1B8B">
        <w:t xml:space="preserve"> </w:t>
      </w:r>
      <w:r w:rsidR="00B46176">
        <w:t>contains a cartoon</w:t>
      </w:r>
      <w:r w:rsidR="00280036">
        <w:t xml:space="preserve"> about a Delfina Sport sale and </w:t>
      </w:r>
      <w:r w:rsidRPr="002C1B8B">
        <w:t xml:space="preserve">states “SALE UNTIL VALENTINES DAY. 20% OFF SWIMMING COSTUMES” and “20% of all swimming specific products until Valentines Day!  Thats </w:t>
      </w:r>
      <w:r w:rsidR="00B46176">
        <w:t xml:space="preserve">[sic] </w:t>
      </w:r>
      <w:r w:rsidRPr="002C1B8B">
        <w:t>all FINA Approved costumes, our entire range of swimming costumes male and female, bikinis</w:t>
      </w:r>
      <w:r w:rsidR="00B46176">
        <w:t xml:space="preserve"> </w:t>
      </w:r>
      <w:r w:rsidRPr="002C1B8B">
        <w:t>…”;</w:t>
      </w:r>
    </w:p>
    <w:p w:rsidR="002C1B8B" w:rsidRPr="002C1B8B" w:rsidRDefault="002C1B8B" w:rsidP="008D7D39">
      <w:pPr>
        <w:pStyle w:val="ListNo2"/>
        <w:numPr>
          <w:ilvl w:val="0"/>
          <w:numId w:val="61"/>
        </w:numPr>
        <w:ind w:left="1418" w:hanging="709"/>
      </w:pPr>
      <w:r w:rsidRPr="002C1B8B">
        <w:t xml:space="preserve">a post </w:t>
      </w:r>
      <w:r w:rsidR="00F245FF">
        <w:t xml:space="preserve">apparently </w:t>
      </w:r>
      <w:r w:rsidRPr="002C1B8B">
        <w:t>made on 22 January 2015</w:t>
      </w:r>
      <w:r w:rsidR="00960CE9">
        <w:t xml:space="preserve"> (</w:t>
      </w:r>
      <w:r w:rsidRPr="002C1B8B">
        <w:t>MFI-3</w:t>
      </w:r>
      <w:r w:rsidR="00257EAF">
        <w:t>,</w:t>
      </w:r>
      <w:r w:rsidRPr="002C1B8B">
        <w:t xml:space="preserve"> p</w:t>
      </w:r>
      <w:r w:rsidR="00257EAF">
        <w:t xml:space="preserve"> </w:t>
      </w:r>
      <w:r w:rsidRPr="002C1B8B">
        <w:t>7</w:t>
      </w:r>
      <w:r w:rsidR="00960CE9">
        <w:t>)</w:t>
      </w:r>
      <w:r w:rsidRPr="002C1B8B">
        <w:t xml:space="preserve"> (</w:t>
      </w:r>
      <w:r w:rsidRPr="002C1B8B">
        <w:rPr>
          <w:b/>
        </w:rPr>
        <w:t>Document 6</w:t>
      </w:r>
      <w:r w:rsidRPr="002C1B8B">
        <w:t>)</w:t>
      </w:r>
      <w:r w:rsidR="00960CE9">
        <w:t xml:space="preserve"> </w:t>
      </w:r>
      <w:r w:rsidR="00280036">
        <w:t>w</w:t>
      </w:r>
      <w:r w:rsidR="00B46176">
        <w:t xml:space="preserve">hich </w:t>
      </w:r>
      <w:r w:rsidRPr="002C1B8B">
        <w:t xml:space="preserve"> </w:t>
      </w:r>
      <w:r w:rsidR="00280036">
        <w:t xml:space="preserve">contains an image of a swimming pool and superimposed text which </w:t>
      </w:r>
      <w:r w:rsidRPr="002C1B8B">
        <w:t>states “SALE UNTIL VALENTINES DAY. 20% OFF ALL SWIMMING COSTUMES”;</w:t>
      </w:r>
    </w:p>
    <w:p w:rsidR="002C1B8B" w:rsidRPr="002C1B8B" w:rsidRDefault="002C1B8B" w:rsidP="008D7D39">
      <w:pPr>
        <w:pStyle w:val="ListNo2"/>
        <w:numPr>
          <w:ilvl w:val="0"/>
          <w:numId w:val="61"/>
        </w:numPr>
        <w:ind w:left="1418" w:hanging="709"/>
      </w:pPr>
      <w:r w:rsidRPr="002C1B8B">
        <w:t xml:space="preserve">a post </w:t>
      </w:r>
      <w:r w:rsidR="00F245FF">
        <w:t xml:space="preserve">apparently </w:t>
      </w:r>
      <w:r w:rsidRPr="002C1B8B">
        <w:t>made on 12 March 2014</w:t>
      </w:r>
      <w:r w:rsidR="00960CE9">
        <w:t xml:space="preserve"> which contains </w:t>
      </w:r>
      <w:r w:rsidR="00280036">
        <w:t xml:space="preserve">a photo of three male swimmers and the text </w:t>
      </w:r>
      <w:r w:rsidRPr="002C1B8B">
        <w:t>“Delfina Sport’s own Jayden Robert Hadler</w:t>
      </w:r>
      <w:r w:rsidR="00280036">
        <w:t xml:space="preserve"> </w:t>
      </w:r>
      <w:r w:rsidRPr="002C1B8B">
        <w:t>… in his Delfina Sport togs!”</w:t>
      </w:r>
      <w:r w:rsidR="00960CE9">
        <w:t xml:space="preserve"> (</w:t>
      </w:r>
      <w:r w:rsidRPr="002C1B8B">
        <w:t>annexure BAM-12 to Mr Mawby’s first affidavit</w:t>
      </w:r>
      <w:r w:rsidR="00960CE9">
        <w:t>)</w:t>
      </w:r>
      <w:r w:rsidRPr="002C1B8B">
        <w:t xml:space="preserve"> (</w:t>
      </w:r>
      <w:r w:rsidRPr="002C1B8B">
        <w:rPr>
          <w:b/>
        </w:rPr>
        <w:t>Document 7</w:t>
      </w:r>
      <w:r w:rsidRPr="002C1B8B">
        <w:t>);</w:t>
      </w:r>
    </w:p>
    <w:p w:rsidR="002C1B8B" w:rsidRPr="002C1B8B" w:rsidRDefault="002C1B8B" w:rsidP="008D7D39">
      <w:pPr>
        <w:pStyle w:val="ListNo1"/>
        <w:numPr>
          <w:ilvl w:val="0"/>
          <w:numId w:val="60"/>
        </w:numPr>
      </w:pPr>
      <w:r w:rsidRPr="002C1B8B">
        <w:t>a</w:t>
      </w:r>
      <w:r w:rsidR="00960CE9">
        <w:t xml:space="preserve"> marketing </w:t>
      </w:r>
      <w:r w:rsidRPr="002C1B8B">
        <w:t xml:space="preserve">email dated 20 January 2015 </w:t>
      </w:r>
      <w:r w:rsidR="00960CE9">
        <w:t>(</w:t>
      </w:r>
      <w:r w:rsidRPr="002C1B8B">
        <w:t>MFI-3</w:t>
      </w:r>
      <w:r w:rsidR="00257EAF">
        <w:t>,</w:t>
      </w:r>
      <w:r w:rsidRPr="002C1B8B">
        <w:t xml:space="preserve">  pp</w:t>
      </w:r>
      <w:r w:rsidR="00257EAF">
        <w:t xml:space="preserve"> </w:t>
      </w:r>
      <w:r w:rsidRPr="002C1B8B">
        <w:t>30-32</w:t>
      </w:r>
      <w:r w:rsidR="00960CE9">
        <w:t>)</w:t>
      </w:r>
      <w:r w:rsidRPr="002C1B8B">
        <w:t xml:space="preserve"> (</w:t>
      </w:r>
      <w:r w:rsidRPr="002C1B8B">
        <w:rPr>
          <w:b/>
        </w:rPr>
        <w:t>Document 8</w:t>
      </w:r>
      <w:r w:rsidRPr="002C1B8B">
        <w:t>)</w:t>
      </w:r>
      <w:r w:rsidR="00960CE9">
        <w:t xml:space="preserve"> which contains </w:t>
      </w:r>
      <w:r w:rsidRPr="002C1B8B">
        <w:t>multiple uses of</w:t>
      </w:r>
      <w:r w:rsidR="00960CE9">
        <w:t xml:space="preserve"> </w:t>
      </w:r>
      <w:r w:rsidR="00D96239">
        <w:t>the name Delfina Sport</w:t>
      </w:r>
      <w:r w:rsidR="00960CE9">
        <w:t xml:space="preserve"> and </w:t>
      </w:r>
      <w:r w:rsidRPr="002C1B8B">
        <w:t>describes Delfina Sport as a “one-stop shop</w:t>
      </w:r>
      <w:r w:rsidR="00D96239">
        <w:t xml:space="preserve"> when it comes to customisable swimwear</w:t>
      </w:r>
      <w:r w:rsidRPr="002C1B8B">
        <w:t>”</w:t>
      </w:r>
      <w:r w:rsidR="00960CE9">
        <w:t>.  The email</w:t>
      </w:r>
      <w:r w:rsidRPr="002C1B8B">
        <w:t xml:space="preserve"> includes a list of products including “Female Bladebacks”, “Female Openbacks” and “Female Bikinis;</w:t>
      </w:r>
      <w:r w:rsidR="00280036">
        <w:t xml:space="preserve"> and</w:t>
      </w:r>
    </w:p>
    <w:p w:rsidR="002C1B8B" w:rsidRPr="002C1B8B" w:rsidRDefault="00D96239" w:rsidP="008D7D39">
      <w:pPr>
        <w:pStyle w:val="ListNo1"/>
        <w:numPr>
          <w:ilvl w:val="0"/>
          <w:numId w:val="60"/>
        </w:numPr>
      </w:pPr>
      <w:r>
        <w:t>30</w:t>
      </w:r>
      <w:r w:rsidR="002C1B8B" w:rsidRPr="002C1B8B">
        <w:t xml:space="preserve"> tax invoices from Delfina Sport for goods including swimwear</w:t>
      </w:r>
      <w:r w:rsidR="00960CE9">
        <w:t xml:space="preserve"> (</w:t>
      </w:r>
      <w:r w:rsidR="002C1B8B" w:rsidRPr="002C1B8B">
        <w:t>MFI-3</w:t>
      </w:r>
      <w:r w:rsidR="00257EAF">
        <w:t>,</w:t>
      </w:r>
      <w:r w:rsidR="002C1B8B" w:rsidRPr="002C1B8B">
        <w:t xml:space="preserve"> pp 33-62</w:t>
      </w:r>
      <w:r w:rsidR="00960CE9">
        <w:t>)</w:t>
      </w:r>
      <w:r w:rsidR="002C1B8B" w:rsidRPr="002C1B8B">
        <w:t xml:space="preserve"> (</w:t>
      </w:r>
      <w:r w:rsidR="00960CE9">
        <w:rPr>
          <w:b/>
        </w:rPr>
        <w:t>Document 9</w:t>
      </w:r>
      <w:r w:rsidR="002C1B8B" w:rsidRPr="002C1B8B">
        <w:t xml:space="preserve">). </w:t>
      </w:r>
    </w:p>
    <w:p w:rsidR="002C1B8B" w:rsidRPr="002C1B8B" w:rsidRDefault="002C1B8B" w:rsidP="0080272F">
      <w:pPr>
        <w:pStyle w:val="ParaNumbering"/>
        <w:tabs>
          <w:tab w:val="num" w:pos="720"/>
        </w:tabs>
        <w:ind w:left="0"/>
      </w:pPr>
      <w:r w:rsidRPr="002C1B8B">
        <w:t>Pinnacle objected to the admissibility of some of this material but, given my conclusion</w:t>
      </w:r>
      <w:r w:rsidR="00257EAF">
        <w:t xml:space="preserve"> on this</w:t>
      </w:r>
      <w:r w:rsidR="00960CE9">
        <w:t xml:space="preserve"> limb of the cross</w:t>
      </w:r>
      <w:r w:rsidR="008118D9">
        <w:t>-</w:t>
      </w:r>
      <w:r w:rsidR="00960CE9">
        <w:t>claim</w:t>
      </w:r>
      <w:r w:rsidRPr="002C1B8B">
        <w:t>, it is unnecessary to</w:t>
      </w:r>
      <w:r w:rsidR="00F245FF">
        <w:t xml:space="preserve"> decide </w:t>
      </w:r>
      <w:r w:rsidRPr="002C1B8B">
        <w:t>the objections.  I proceed on the assumption that from before the</w:t>
      </w:r>
      <w:r w:rsidR="001F7E7F">
        <w:t xml:space="preserve"> 6 July </w:t>
      </w:r>
      <w:r w:rsidRPr="002C1B8B">
        <w:t>2015</w:t>
      </w:r>
      <w:r w:rsidR="001F7E7F">
        <w:t xml:space="preserve"> priority date</w:t>
      </w:r>
      <w:r w:rsidRPr="002C1B8B">
        <w:t>, Delfina Sport</w:t>
      </w:r>
      <w:r w:rsidR="00960CE9">
        <w:t xml:space="preserve"> marketed and offered for sale </w:t>
      </w:r>
      <w:r w:rsidRPr="002C1B8B">
        <w:t>swimwear in Australia under and by reference to DELFINA SPORT as a trade mark.</w:t>
      </w:r>
      <w:r w:rsidR="001F7E7F">
        <w:t xml:space="preserve">  The remaining </w:t>
      </w:r>
      <w:r w:rsidRPr="002C1B8B">
        <w:t xml:space="preserve">question is whether the DELFINA SPORT mark is identical or substantially identical to </w:t>
      </w:r>
      <w:r w:rsidRPr="0080272F">
        <w:rPr>
          <w:szCs w:val="24"/>
        </w:rPr>
        <w:t>the DELPHINE mark such as to constitute prior use.</w:t>
      </w:r>
    </w:p>
    <w:p w:rsidR="002C1B8B" w:rsidRPr="002C1B8B" w:rsidRDefault="002C1B8B" w:rsidP="006C7416">
      <w:pPr>
        <w:pStyle w:val="Heading3"/>
      </w:pPr>
      <w:r w:rsidRPr="002C1B8B">
        <w:t xml:space="preserve">Triangl’s submissions </w:t>
      </w:r>
    </w:p>
    <w:p w:rsidR="002C1B8B" w:rsidRPr="00A07F76" w:rsidRDefault="002C1B8B" w:rsidP="002C1B8B">
      <w:pPr>
        <w:pStyle w:val="ParaNumbering"/>
        <w:tabs>
          <w:tab w:val="num" w:pos="720"/>
        </w:tabs>
        <w:ind w:left="0"/>
      </w:pPr>
      <w:r w:rsidRPr="00A07F76">
        <w:t xml:space="preserve">Triangl submitted that the Court should find that </w:t>
      </w:r>
      <w:r w:rsidR="00960CE9" w:rsidRPr="00A07F76">
        <w:t xml:space="preserve">the </w:t>
      </w:r>
      <w:r w:rsidRPr="00A07F76">
        <w:t xml:space="preserve">DELPHINE and DELFINA SPORT </w:t>
      </w:r>
      <w:r w:rsidR="00960CE9" w:rsidRPr="00A07F76">
        <w:t xml:space="preserve">marks </w:t>
      </w:r>
      <w:r w:rsidRPr="00A07F76">
        <w:t>are substantially identical</w:t>
      </w:r>
      <w:r w:rsidR="00960CE9" w:rsidRPr="00A07F76">
        <w:t xml:space="preserve"> and </w:t>
      </w:r>
      <w:r w:rsidRPr="00A07F76">
        <w:t xml:space="preserve">contended that the authorities demonstrate that the test of </w:t>
      </w:r>
      <w:r w:rsidRPr="00A07F76">
        <w:lastRenderedPageBreak/>
        <w:t>substantial identity allows multiple differences between the compared marks.</w:t>
      </w:r>
      <w:r w:rsidR="009438C2" w:rsidRPr="00A07F76">
        <w:t xml:space="preserve"> </w:t>
      </w:r>
      <w:r w:rsidRPr="00A07F76">
        <w:t xml:space="preserve"> I</w:t>
      </w:r>
      <w:r w:rsidR="00960CE9" w:rsidRPr="00A07F76">
        <w:t xml:space="preserve"> accept </w:t>
      </w:r>
      <w:r w:rsidR="0080272F" w:rsidRPr="00A07F76">
        <w:t xml:space="preserve">that and note </w:t>
      </w:r>
      <w:r w:rsidR="005D3D88" w:rsidRPr="00A07F76">
        <w:t>the well-accepted test for deciding whether a mark is substantially identical to a registered trade mark</w:t>
      </w:r>
      <w:r w:rsidR="0080272F" w:rsidRPr="00A07F76">
        <w:t>, set out</w:t>
      </w:r>
      <w:r w:rsidR="005D3D88" w:rsidRPr="00A07F76">
        <w:t xml:space="preserve"> above </w:t>
      </w:r>
      <w:r w:rsidR="009438C2" w:rsidRPr="00A07F76">
        <w:t>at [</w:t>
      </w:r>
      <w:r w:rsidR="0080272F" w:rsidRPr="00A07F76">
        <w:t>24</w:t>
      </w:r>
      <w:r w:rsidR="00BA4682">
        <w:t>8</w:t>
      </w:r>
      <w:r w:rsidR="009438C2" w:rsidRPr="00A07F76">
        <w:t>]</w:t>
      </w:r>
      <w:r w:rsidRPr="00A07F76">
        <w:t xml:space="preserve">.  </w:t>
      </w:r>
    </w:p>
    <w:p w:rsidR="00EF6F19" w:rsidRDefault="002C1B8B" w:rsidP="002C1B8B">
      <w:pPr>
        <w:pStyle w:val="ParaNumbering"/>
        <w:tabs>
          <w:tab w:val="num" w:pos="720"/>
        </w:tabs>
        <w:ind w:left="0"/>
      </w:pPr>
      <w:r w:rsidRPr="002C1B8B">
        <w:t>Triangl’s</w:t>
      </w:r>
      <w:r w:rsidR="005D3D88">
        <w:t xml:space="preserve"> argument </w:t>
      </w:r>
      <w:r w:rsidRPr="002C1B8B">
        <w:t>commenced with a comparison of the words DELPHINE and DELFINA</w:t>
      </w:r>
      <w:r w:rsidR="005D3D88">
        <w:t xml:space="preserve"> and it submitted</w:t>
      </w:r>
      <w:r w:rsidRPr="002C1B8B">
        <w:t xml:space="preserve"> that there are only two differences between the two words, being</w:t>
      </w:r>
      <w:r w:rsidR="00EF6F19">
        <w:t xml:space="preserve"> that</w:t>
      </w:r>
      <w:r w:rsidR="009438C2">
        <w:t>:</w:t>
      </w:r>
      <w:r w:rsidRPr="002C1B8B">
        <w:t xml:space="preserve"> </w:t>
      </w:r>
    </w:p>
    <w:p w:rsidR="007C7D73" w:rsidRDefault="002C1B8B" w:rsidP="007C7D73">
      <w:pPr>
        <w:pStyle w:val="ListNo1"/>
        <w:numPr>
          <w:ilvl w:val="0"/>
          <w:numId w:val="50"/>
        </w:numPr>
      </w:pPr>
      <w:r w:rsidRPr="002C1B8B">
        <w:t xml:space="preserve">the “f” phoneme is represented by “PH” in the DELPHINE mark and by “f” in DELFINA; and </w:t>
      </w:r>
    </w:p>
    <w:p w:rsidR="00EF6F19" w:rsidRDefault="002C1B8B" w:rsidP="007C7D73">
      <w:pPr>
        <w:pStyle w:val="ListNo1"/>
        <w:numPr>
          <w:ilvl w:val="0"/>
          <w:numId w:val="50"/>
        </w:numPr>
      </w:pPr>
      <w:r w:rsidRPr="002C1B8B">
        <w:t xml:space="preserve">the final letter of the two marks is different.  </w:t>
      </w:r>
    </w:p>
    <w:p w:rsidR="002C1B8B" w:rsidRPr="002C1B8B" w:rsidRDefault="002C1B8B" w:rsidP="00930069">
      <w:pPr>
        <w:pStyle w:val="NoNum"/>
      </w:pPr>
      <w:r w:rsidRPr="002C1B8B">
        <w:t>It said that the similarities of those two words, particularly viewed overall, render the differences slight.  It contended that the overall idea of the two words is the same, dominated by the “DEL” prefix and the homophonic second syllable.  It said that overall similarity was unsurprising when, having regard to a book of baby names adduced in evidence, the two words are variations of the same name meaning</w:t>
      </w:r>
      <w:r w:rsidR="00EF1392">
        <w:t>:</w:t>
      </w:r>
      <w:r w:rsidRPr="002C1B8B">
        <w:t xml:space="preserve"> “dolphin”, “resembling a dolphin”, “woman from Delphi” or “calmness”.  It contended that the total impression is one of resemblance.</w:t>
      </w:r>
    </w:p>
    <w:p w:rsidR="002C1B8B" w:rsidRPr="002C1B8B" w:rsidRDefault="007C45BB" w:rsidP="002C1B8B">
      <w:pPr>
        <w:pStyle w:val="ParaNumbering"/>
        <w:tabs>
          <w:tab w:val="num" w:pos="720"/>
        </w:tabs>
        <w:ind w:left="0"/>
      </w:pPr>
      <w:r>
        <w:t>Triangl</w:t>
      </w:r>
      <w:r w:rsidR="0080272F">
        <w:t xml:space="preserve"> </w:t>
      </w:r>
      <w:r>
        <w:t xml:space="preserve">noted </w:t>
      </w:r>
      <w:r w:rsidR="002C1B8B" w:rsidRPr="002C1B8B">
        <w:t xml:space="preserve">that in </w:t>
      </w:r>
      <w:r w:rsidR="002C1B8B" w:rsidRPr="002C1B8B">
        <w:rPr>
          <w:i/>
        </w:rPr>
        <w:t xml:space="preserve">Pham Global </w:t>
      </w:r>
      <w:r w:rsidR="002C1B8B" w:rsidRPr="002C1B8B">
        <w:t>the Full Court found that the following two marks are substantially identical</w:t>
      </w:r>
      <w:r w:rsidR="00BA4682">
        <w:t>:</w:t>
      </w:r>
    </w:p>
    <w:p w:rsidR="006266CB" w:rsidRDefault="000337CE" w:rsidP="000337CE">
      <w:pPr>
        <w:pStyle w:val="NoNum"/>
        <w:jc w:val="center"/>
      </w:pPr>
      <w:r w:rsidRPr="002C1B8B">
        <w:rPr>
          <w:noProof/>
          <w:lang w:eastAsia="en-AU"/>
        </w:rPr>
        <w:drawing>
          <wp:inline distT="0" distB="0" distL="0" distR="0" wp14:anchorId="3DD96665" wp14:editId="583A0EBA">
            <wp:extent cx="4934585" cy="1949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of Trade Marks.jpg"/>
                    <pic:cNvPicPr/>
                  </pic:nvPicPr>
                  <pic:blipFill rotWithShape="1">
                    <a:blip r:embed="rId27" cstate="print">
                      <a:extLst>
                        <a:ext uri="{28A0092B-C50C-407E-A947-70E740481C1C}">
                          <a14:useLocalDpi xmlns:a14="http://schemas.microsoft.com/office/drawing/2010/main" val="0"/>
                        </a:ext>
                      </a:extLst>
                    </a:blip>
                    <a:srcRect l="6332" t="10614" r="7611" b="41293"/>
                    <a:stretch/>
                  </pic:blipFill>
                  <pic:spPr bwMode="auto">
                    <a:xfrm>
                      <a:off x="0" y="0"/>
                      <a:ext cx="4934585" cy="1949450"/>
                    </a:xfrm>
                    <a:prstGeom prst="rect">
                      <a:avLst/>
                    </a:prstGeom>
                    <a:ln>
                      <a:noFill/>
                    </a:ln>
                    <a:extLst>
                      <a:ext uri="{53640926-AAD7-44D8-BBD7-CCE9431645EC}">
                        <a14:shadowObscured xmlns:a14="http://schemas.microsoft.com/office/drawing/2010/main"/>
                      </a:ext>
                    </a:extLst>
                  </pic:spPr>
                </pic:pic>
              </a:graphicData>
            </a:graphic>
          </wp:inline>
        </w:drawing>
      </w:r>
    </w:p>
    <w:p w:rsidR="002C1B8B" w:rsidRPr="002C1B8B" w:rsidRDefault="002C1B8B" w:rsidP="00031CD5">
      <w:pPr>
        <w:pStyle w:val="NoNum"/>
      </w:pPr>
      <w:r w:rsidRPr="002C1B8B">
        <w:t>It</w:t>
      </w:r>
      <w:r w:rsidR="0080272F">
        <w:t xml:space="preserve"> said </w:t>
      </w:r>
      <w:r w:rsidRPr="002C1B8B">
        <w:t>that the differences between</w:t>
      </w:r>
      <w:r w:rsidR="00257EAF">
        <w:t xml:space="preserve"> the </w:t>
      </w:r>
      <w:r w:rsidRPr="002C1B8B">
        <w:t xml:space="preserve">DELPHINE </w:t>
      </w:r>
      <w:r w:rsidR="00257EAF">
        <w:t xml:space="preserve">Trade Mark </w:t>
      </w:r>
      <w:r w:rsidRPr="002C1B8B">
        <w:t xml:space="preserve">and </w:t>
      </w:r>
      <w:r w:rsidR="00257EAF">
        <w:t xml:space="preserve">the </w:t>
      </w:r>
      <w:r w:rsidR="0080272F" w:rsidRPr="002C1B8B">
        <w:t>DEL</w:t>
      </w:r>
      <w:r w:rsidR="0080272F">
        <w:t>F</w:t>
      </w:r>
      <w:r w:rsidR="0080272F" w:rsidRPr="002C1B8B">
        <w:t>INA</w:t>
      </w:r>
      <w:r w:rsidR="0080272F">
        <w:t xml:space="preserve"> </w:t>
      </w:r>
      <w:r w:rsidR="00257EAF">
        <w:t>SPORT mark</w:t>
      </w:r>
      <w:r w:rsidRPr="002C1B8B">
        <w:t xml:space="preserve"> are far less significant than those in </w:t>
      </w:r>
      <w:r w:rsidRPr="002C1B8B">
        <w:rPr>
          <w:i/>
        </w:rPr>
        <w:t>Pham Global.</w:t>
      </w:r>
    </w:p>
    <w:p w:rsidR="005F7A95" w:rsidRDefault="002C1B8B" w:rsidP="002C1B8B">
      <w:pPr>
        <w:pStyle w:val="ParaNumbering"/>
        <w:tabs>
          <w:tab w:val="num" w:pos="720"/>
        </w:tabs>
        <w:ind w:left="0"/>
      </w:pPr>
      <w:r w:rsidRPr="002C1B8B">
        <w:t xml:space="preserve">Triangl contended that the SPORT element of the DELFINA SPORT mark can be discounted for the purposes of comparing the two marks because it does not substantially affect the identity of the mark.  It relied on the decision in </w:t>
      </w:r>
      <w:r w:rsidRPr="002C1B8B">
        <w:rPr>
          <w:i/>
        </w:rPr>
        <w:t>Accor</w:t>
      </w:r>
      <w:r w:rsidRPr="002C1B8B">
        <w:t xml:space="preserve"> which considered</w:t>
      </w:r>
      <w:r w:rsidR="005D3D88">
        <w:t xml:space="preserve"> </w:t>
      </w:r>
      <w:r w:rsidRPr="002C1B8B">
        <w:t xml:space="preserve">whether the </w:t>
      </w:r>
      <w:r w:rsidR="0080272F">
        <w:t xml:space="preserve">following </w:t>
      </w:r>
      <w:r w:rsidRPr="002C1B8B">
        <w:t>mark</w:t>
      </w:r>
      <w:r w:rsidR="005F7A95">
        <w:t>:</w:t>
      </w:r>
    </w:p>
    <w:p w:rsidR="005F7A95" w:rsidRDefault="005F7A95" w:rsidP="00031CD5">
      <w:pPr>
        <w:pStyle w:val="NoNum"/>
        <w:jc w:val="center"/>
      </w:pPr>
      <w:r w:rsidRPr="002C1B8B">
        <w:rPr>
          <w:noProof/>
          <w:lang w:eastAsia="en-AU"/>
        </w:rPr>
        <w:lastRenderedPageBreak/>
        <w:drawing>
          <wp:inline distT="0" distB="0" distL="0" distR="0" wp14:anchorId="792E78AB" wp14:editId="7A8922D0">
            <wp:extent cx="12573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bour Lights.jpg"/>
                    <pic:cNvPicPr/>
                  </pic:nvPicPr>
                  <pic:blipFill>
                    <a:blip r:embed="rId28">
                      <a:extLst>
                        <a:ext uri="{28A0092B-C50C-407E-A947-70E740481C1C}">
                          <a14:useLocalDpi xmlns:a14="http://schemas.microsoft.com/office/drawing/2010/main" val="0"/>
                        </a:ext>
                      </a:extLst>
                    </a:blip>
                    <a:stretch>
                      <a:fillRect/>
                    </a:stretch>
                  </pic:blipFill>
                  <pic:spPr>
                    <a:xfrm>
                      <a:off x="0" y="0"/>
                      <a:ext cx="1257300" cy="438150"/>
                    </a:xfrm>
                    <a:prstGeom prst="rect">
                      <a:avLst/>
                    </a:prstGeom>
                  </pic:spPr>
                </pic:pic>
              </a:graphicData>
            </a:graphic>
          </wp:inline>
        </w:drawing>
      </w:r>
    </w:p>
    <w:p w:rsidR="002C1B8B" w:rsidRPr="002C1B8B" w:rsidRDefault="005F7A95" w:rsidP="000337CE">
      <w:pPr>
        <w:pStyle w:val="NoNum"/>
      </w:pPr>
      <w:r>
        <w:t xml:space="preserve">which has </w:t>
      </w:r>
      <w:r w:rsidR="0080272F" w:rsidRPr="002C1B8B">
        <w:t xml:space="preserve">a device of five gold stars above the words HARBOUR LIGHTS, </w:t>
      </w:r>
      <w:r>
        <w:t>followed by</w:t>
      </w:r>
      <w:r w:rsidR="0080272F" w:rsidRPr="002C1B8B">
        <w:t xml:space="preserve"> the words A NEW STAR SHINES</w:t>
      </w:r>
      <w:r>
        <w:t>,</w:t>
      </w:r>
      <w:r w:rsidR="0080272F" w:rsidRPr="002C1B8B">
        <w:t xml:space="preserve"> </w:t>
      </w:r>
      <w:r w:rsidR="007C45BB" w:rsidRPr="002C1B8B">
        <w:t xml:space="preserve">was substantially identical with the registered </w:t>
      </w:r>
      <w:r w:rsidR="007C45BB">
        <w:t>word</w:t>
      </w:r>
      <w:r w:rsidR="007C45BB" w:rsidRPr="002C1B8B">
        <w:t xml:space="preserve"> mark </w:t>
      </w:r>
      <w:r w:rsidR="007C45BB">
        <w:t>“</w:t>
      </w:r>
      <w:r w:rsidR="007C45BB" w:rsidRPr="002C1B8B">
        <w:t>HARBOUR LIGHTS</w:t>
      </w:r>
      <w:r w:rsidR="007C45BB">
        <w:t>”</w:t>
      </w:r>
      <w:r w:rsidR="00EF1392">
        <w:t>.</w:t>
      </w:r>
    </w:p>
    <w:p w:rsidR="002C76A7" w:rsidRDefault="005D3D88" w:rsidP="002C76A7">
      <w:pPr>
        <w:pStyle w:val="ParaNumbering"/>
        <w:tabs>
          <w:tab w:val="num" w:pos="720"/>
        </w:tabs>
        <w:ind w:left="0"/>
      </w:pPr>
      <w:r>
        <w:t xml:space="preserve">In </w:t>
      </w:r>
      <w:r w:rsidRPr="00AC24E8">
        <w:rPr>
          <w:i/>
        </w:rPr>
        <w:t>Accor</w:t>
      </w:r>
      <w:r>
        <w:t xml:space="preserve"> at first instance the </w:t>
      </w:r>
      <w:r w:rsidR="002C1B8B" w:rsidRPr="002C1B8B">
        <w:t xml:space="preserve">primary judge said that </w:t>
      </w:r>
      <w:r w:rsidR="00462106">
        <w:t>the</w:t>
      </w:r>
      <w:r w:rsidR="00462106" w:rsidRPr="002C1B8B">
        <w:t xml:space="preserve"> </w:t>
      </w:r>
      <w:r w:rsidR="002C1B8B" w:rsidRPr="002C1B8B">
        <w:t xml:space="preserve">device of five gold stars above the words HARBOUR LIGHTS and the words A NEW STAR SHINES formed a composite mark which, on a side-by-side comparison with the registered HARBOUR LIGHTS word mark, meant that </w:t>
      </w:r>
      <w:r w:rsidR="00D47B03">
        <w:t xml:space="preserve">the marks were </w:t>
      </w:r>
      <w:r w:rsidR="002C1B8B" w:rsidRPr="002C1B8B">
        <w:t>distinguish</w:t>
      </w:r>
      <w:r w:rsidR="00D47B03">
        <w:t>abl</w:t>
      </w:r>
      <w:r w:rsidR="002C1B8B" w:rsidRPr="002C1B8B">
        <w:t xml:space="preserve">e: see </w:t>
      </w:r>
      <w:bookmarkStart w:id="23" w:name="AppealFrom"/>
      <w:bookmarkEnd w:id="23"/>
      <w:r w:rsidR="002C1B8B" w:rsidRPr="002C1B8B">
        <w:rPr>
          <w:i/>
          <w:iCs/>
        </w:rPr>
        <w:t xml:space="preserve">Accor Australia &amp; New Zealand Hospitality Pty Ltd v Liv Pty Ltd </w:t>
      </w:r>
      <w:r w:rsidR="002C1B8B" w:rsidRPr="002C1B8B">
        <w:t>[2015] FCA 554</w:t>
      </w:r>
      <w:r w:rsidR="00256104">
        <w:t>; (2015) 112 IPR 494</w:t>
      </w:r>
      <w:r w:rsidR="002C1B8B" w:rsidRPr="002C1B8B">
        <w:t xml:space="preserve"> at [108]</w:t>
      </w:r>
      <w:r w:rsidR="00622022">
        <w:t xml:space="preserve"> and</w:t>
      </w:r>
      <w:r w:rsidR="002C1B8B" w:rsidRPr="002C1B8B">
        <w:t xml:space="preserve"> [111].  On appeal the Full Court disagreed with the primary judge’s conclusion that the addition of the five gold stars </w:t>
      </w:r>
      <w:r w:rsidR="003C718D">
        <w:t xml:space="preserve">and the </w:t>
      </w:r>
      <w:r w:rsidR="002C1B8B" w:rsidRPr="002C1B8B">
        <w:t xml:space="preserve">words </w:t>
      </w:r>
      <w:r w:rsidR="003C718D">
        <w:t>“</w:t>
      </w:r>
      <w:r w:rsidR="002C1B8B" w:rsidRPr="002C1B8B">
        <w:t>A N</w:t>
      </w:r>
      <w:r w:rsidR="003C718D">
        <w:t>ew</w:t>
      </w:r>
      <w:r w:rsidR="002C1B8B" w:rsidRPr="002C1B8B">
        <w:t xml:space="preserve"> S</w:t>
      </w:r>
      <w:r w:rsidR="003C718D">
        <w:t>tar</w:t>
      </w:r>
      <w:r w:rsidR="002C1B8B" w:rsidRPr="002C1B8B">
        <w:t xml:space="preserve"> S</w:t>
      </w:r>
      <w:r w:rsidR="003C718D">
        <w:t>hines”</w:t>
      </w:r>
      <w:r w:rsidR="002C1B8B" w:rsidRPr="002C1B8B">
        <w:t xml:space="preserve"> substantially affect</w:t>
      </w:r>
      <w:r w:rsidR="003C718D">
        <w:t>ed</w:t>
      </w:r>
      <w:r w:rsidR="002C1B8B" w:rsidRPr="002C1B8B">
        <w:t xml:space="preserve"> the identity of the marks in the words alone: </w:t>
      </w:r>
      <w:r w:rsidR="002C1B8B" w:rsidRPr="002C1B8B">
        <w:rPr>
          <w:i/>
        </w:rPr>
        <w:t xml:space="preserve">Accor </w:t>
      </w:r>
      <w:r w:rsidR="002C1B8B" w:rsidRPr="002C1B8B">
        <w:t>at [213].</w:t>
      </w:r>
      <w:r w:rsidR="002C76A7">
        <w:t xml:space="preserve">  The Full Court (at [211]) cited French CJ, Gummow, Crennan and Bell JJ in </w:t>
      </w:r>
      <w:r w:rsidR="002C76A7" w:rsidRPr="00930069">
        <w:rPr>
          <w:i/>
        </w:rPr>
        <w:t>Gallo</w:t>
      </w:r>
      <w:r w:rsidR="002C76A7">
        <w:t xml:space="preserve"> where their Honours described the position in that case in the following terms:</w:t>
      </w:r>
    </w:p>
    <w:p w:rsidR="002C1B8B" w:rsidRDefault="002C76A7" w:rsidP="00031CD5">
      <w:pPr>
        <w:pStyle w:val="Quote1"/>
        <w:spacing w:after="240"/>
      </w:pPr>
      <w:r>
        <w:rPr>
          <w:shd w:val="clear" w:color="auto" w:fill="FFFFFF"/>
        </w:rPr>
        <w:t>The addition of the device to the registered trade mark is </w:t>
      </w:r>
      <w:r>
        <w:rPr>
          <w:i/>
          <w:iCs/>
          <w:shd w:val="clear" w:color="auto" w:fill="FFFFFF"/>
        </w:rPr>
        <w:t>not </w:t>
      </w:r>
      <w:r>
        <w:rPr>
          <w:shd w:val="clear" w:color="auto" w:fill="FFFFFF"/>
        </w:rPr>
        <w:t>a feature which </w:t>
      </w:r>
      <w:r>
        <w:rPr>
          <w:i/>
          <w:iCs/>
          <w:shd w:val="clear" w:color="auto" w:fill="FFFFFF"/>
        </w:rPr>
        <w:t>separately distinguishes</w:t>
      </w:r>
      <w:r>
        <w:rPr>
          <w:shd w:val="clear" w:color="auto" w:fill="FFFFFF"/>
        </w:rPr>
        <w:t> the goods or </w:t>
      </w:r>
      <w:r>
        <w:rPr>
          <w:i/>
          <w:iCs/>
          <w:shd w:val="clear" w:color="auto" w:fill="FFFFFF"/>
        </w:rPr>
        <w:t>substantially affects</w:t>
      </w:r>
      <w:r>
        <w:rPr>
          <w:shd w:val="clear" w:color="auto" w:fill="FFFFFF"/>
        </w:rPr>
        <w:t> the identity of the registered trade mark because consumers are likely to identify the products sold under the registered trade mark with the device </w:t>
      </w:r>
      <w:r>
        <w:rPr>
          <w:i/>
          <w:iCs/>
          <w:shd w:val="clear" w:color="auto" w:fill="FFFFFF"/>
        </w:rPr>
        <w:t>by reference to the word</w:t>
      </w:r>
      <w:r>
        <w:rPr>
          <w:shd w:val="clear" w:color="auto" w:fill="FFFFFF"/>
        </w:rPr>
        <w:t> </w:t>
      </w:r>
      <w:r>
        <w:rPr>
          <w:i/>
          <w:iCs/>
          <w:shd w:val="clear" w:color="auto" w:fill="FFFFFF"/>
        </w:rPr>
        <w:t>BAREFOOT</w:t>
      </w:r>
      <w:r>
        <w:rPr>
          <w:shd w:val="clear" w:color="auto" w:fill="FFFFFF"/>
        </w:rPr>
        <w:t>. </w:t>
      </w:r>
    </w:p>
    <w:p w:rsidR="002C1B8B" w:rsidRPr="002C1B8B" w:rsidRDefault="002C1B8B" w:rsidP="002C1B8B">
      <w:pPr>
        <w:pStyle w:val="ParaNumbering"/>
        <w:tabs>
          <w:tab w:val="num" w:pos="720"/>
        </w:tabs>
        <w:ind w:left="0"/>
      </w:pPr>
      <w:r w:rsidRPr="002C1B8B">
        <w:t xml:space="preserve">Triangl also relied on the Full Court’s observation in </w:t>
      </w:r>
      <w:r w:rsidRPr="002C1B8B">
        <w:rPr>
          <w:i/>
        </w:rPr>
        <w:t xml:space="preserve">Pham Global </w:t>
      </w:r>
      <w:r w:rsidRPr="002C1B8B">
        <w:t>which considered the words</w:t>
      </w:r>
      <w:r w:rsidRPr="002C1B8B">
        <w:rPr>
          <w:i/>
        </w:rPr>
        <w:t xml:space="preserve"> “</w:t>
      </w:r>
      <w:r w:rsidRPr="002C1B8B">
        <w:t>C</w:t>
      </w:r>
      <w:r w:rsidR="00191370">
        <w:t xml:space="preserve">linical </w:t>
      </w:r>
      <w:r w:rsidRPr="002C1B8B">
        <w:t>I</w:t>
      </w:r>
      <w:r w:rsidR="00191370">
        <w:t>maging</w:t>
      </w:r>
      <w:r w:rsidRPr="002C1B8B">
        <w:t>” and “R</w:t>
      </w:r>
      <w:r w:rsidR="00191370">
        <w:t>adiology</w:t>
      </w:r>
      <w:r w:rsidRPr="002C1B8B">
        <w:t xml:space="preserve">” in two </w:t>
      </w:r>
      <w:r w:rsidR="00191370">
        <w:t xml:space="preserve">respective </w:t>
      </w:r>
      <w:r w:rsidRPr="002C1B8B">
        <w:t>marks which it said were descriptive of the relevant services.  In that case the Full Court said (at [52]:</w:t>
      </w:r>
    </w:p>
    <w:p w:rsidR="002C1B8B" w:rsidRPr="002C1B8B" w:rsidRDefault="002C1B8B" w:rsidP="00031CD5">
      <w:pPr>
        <w:pStyle w:val="Quote1"/>
      </w:pPr>
      <w:r w:rsidRPr="002C1B8B">
        <w:t xml:space="preserve">The required exercise of side-by-side comparison is not carried out in a factual and legislative vacuum. The purpose of the exercise is to decide if two trade marks are substantially identical, where a trade mark is “a sign used, or intended to be used, to distinguish goods or services dealt with or provided in the course of trade by a person from goods or services so dealt with or provided by any other person” (s 17). Given this context, </w:t>
      </w:r>
      <w:r w:rsidRPr="002C1B8B">
        <w:rPr>
          <w:b/>
        </w:rPr>
        <w:t>it is unlikely that the essential elements of a mark or its dominant cognitive clues are to be found in mere descriptive elements, which are not apt to perform this distinguishing role in respect of the relevant goods or services.</w:t>
      </w:r>
      <w:r w:rsidRPr="002C1B8B">
        <w:t xml:space="preserve">  While this does not mean that differences, including descriptive differences, may be ignored, it does mean that the side-by-side comparison is to be carried out cognisant of the essential elements of the mark.</w:t>
      </w:r>
    </w:p>
    <w:p w:rsidR="002C1B8B" w:rsidRPr="002C1B8B" w:rsidRDefault="002C1B8B" w:rsidP="00031CD5">
      <w:pPr>
        <w:pStyle w:val="Quote1"/>
        <w:spacing w:after="240"/>
      </w:pPr>
      <w:r w:rsidRPr="002C1B8B">
        <w:t>(Emphasis added.)</w:t>
      </w:r>
    </w:p>
    <w:p w:rsidR="002C1B8B" w:rsidRPr="002C1B8B" w:rsidRDefault="002C1B8B" w:rsidP="002C1B8B">
      <w:pPr>
        <w:pStyle w:val="ParaNumbering"/>
        <w:tabs>
          <w:tab w:val="num" w:pos="720"/>
        </w:tabs>
        <w:ind w:left="0"/>
      </w:pPr>
      <w:r w:rsidRPr="002C1B8B">
        <w:t>Triangl submitted that the word SPORT is not an essential element or dominant cognitive cue in the DELFINA SPORT mark.  It argued that SPORT is descriptive of the goods in question and not apt to perform a distinguishing role in respect of the goods.</w:t>
      </w:r>
      <w:r w:rsidR="00930069">
        <w:t xml:space="preserve">  On its argument </w:t>
      </w:r>
      <w:r w:rsidRPr="002C1B8B">
        <w:t xml:space="preserve">SPORT </w:t>
      </w:r>
      <w:r w:rsidRPr="002C1B8B">
        <w:lastRenderedPageBreak/>
        <w:t xml:space="preserve">does not substantially affect the identity of DELFINA SPORT and on the test enunciated in </w:t>
      </w:r>
      <w:r w:rsidRPr="002C1B8B">
        <w:rPr>
          <w:i/>
        </w:rPr>
        <w:t xml:space="preserve">Accor </w:t>
      </w:r>
      <w:r w:rsidRPr="002C1B8B">
        <w:t xml:space="preserve">and </w:t>
      </w:r>
      <w:r w:rsidRPr="002C1B8B">
        <w:rPr>
          <w:i/>
        </w:rPr>
        <w:t>Pham Global</w:t>
      </w:r>
      <w:r w:rsidRPr="002C1B8B">
        <w:t xml:space="preserve"> the DELPHINE and DELFINA SPORT marks should be found to be substantially identical.</w:t>
      </w:r>
    </w:p>
    <w:p w:rsidR="002C1B8B" w:rsidRPr="002C1B8B" w:rsidRDefault="002C1B8B" w:rsidP="00930069">
      <w:pPr>
        <w:pStyle w:val="Heading3"/>
      </w:pPr>
      <w:r w:rsidRPr="002C1B8B">
        <w:t xml:space="preserve">Consideration </w:t>
      </w:r>
    </w:p>
    <w:p w:rsidR="002C1B8B" w:rsidRPr="002C1B8B" w:rsidRDefault="002C1B8B" w:rsidP="002C1B8B">
      <w:pPr>
        <w:pStyle w:val="ParaNumbering"/>
        <w:tabs>
          <w:tab w:val="num" w:pos="720"/>
        </w:tabs>
        <w:ind w:left="0"/>
      </w:pPr>
      <w:r w:rsidRPr="002C1B8B">
        <w:t>For</w:t>
      </w:r>
      <w:r w:rsidR="005F7A95">
        <w:t xml:space="preserve"> convenience </w:t>
      </w:r>
      <w:r w:rsidRPr="002C1B8B">
        <w:t>I</w:t>
      </w:r>
      <w:r w:rsidR="00D47B03">
        <w:t xml:space="preserve"> again</w:t>
      </w:r>
      <w:r w:rsidRPr="002C1B8B">
        <w:t xml:space="preserve"> set out the two marks</w:t>
      </w:r>
      <w:r w:rsidR="0080272F">
        <w:t>, side-by-side</w:t>
      </w:r>
      <w:r w:rsidRPr="002C1B8B">
        <w:t>.</w:t>
      </w:r>
    </w:p>
    <w:p w:rsidR="00191370" w:rsidRPr="00031CD5" w:rsidRDefault="00A45165" w:rsidP="00031CD5">
      <w:pPr>
        <w:pStyle w:val="NoNum"/>
        <w:jc w:val="center"/>
      </w:pPr>
      <w:r>
        <w:rPr>
          <w:noProof/>
          <w:lang w:eastAsia="en-AU"/>
        </w:rPr>
        <w:drawing>
          <wp:inline distT="0" distB="0" distL="0" distR="0">
            <wp:extent cx="2095500" cy="5238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13.jpg"/>
                    <pic:cNvPicPr/>
                  </pic:nvPicPr>
                  <pic:blipFill>
                    <a:blip r:embed="rId13">
                      <a:extLst>
                        <a:ext uri="{28A0092B-C50C-407E-A947-70E740481C1C}">
                          <a14:useLocalDpi xmlns:a14="http://schemas.microsoft.com/office/drawing/2010/main" val="0"/>
                        </a:ext>
                      </a:extLst>
                    </a:blip>
                    <a:stretch>
                      <a:fillRect/>
                    </a:stretch>
                  </pic:blipFill>
                  <pic:spPr>
                    <a:xfrm>
                      <a:off x="0" y="0"/>
                      <a:ext cx="2095500" cy="523875"/>
                    </a:xfrm>
                    <a:prstGeom prst="rect">
                      <a:avLst/>
                    </a:prstGeom>
                  </pic:spPr>
                </pic:pic>
              </a:graphicData>
            </a:graphic>
          </wp:inline>
        </w:drawing>
      </w:r>
      <w:r w:rsidR="00031CD5">
        <w:rPr>
          <w:noProof/>
          <w:lang w:eastAsia="en-AU"/>
        </w:rPr>
        <w:t xml:space="preserve">                       </w:t>
      </w:r>
      <w:r>
        <w:rPr>
          <w:noProof/>
          <w:lang w:eastAsia="en-AU"/>
        </w:rPr>
        <w:drawing>
          <wp:inline distT="0" distB="0" distL="0" distR="0">
            <wp:extent cx="2628900" cy="73342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14.jpg"/>
                    <pic:cNvPicPr/>
                  </pic:nvPicPr>
                  <pic:blipFill>
                    <a:blip r:embed="rId26">
                      <a:extLst>
                        <a:ext uri="{28A0092B-C50C-407E-A947-70E740481C1C}">
                          <a14:useLocalDpi xmlns:a14="http://schemas.microsoft.com/office/drawing/2010/main" val="0"/>
                        </a:ext>
                      </a:extLst>
                    </a:blip>
                    <a:stretch>
                      <a:fillRect/>
                    </a:stretch>
                  </pic:blipFill>
                  <pic:spPr>
                    <a:xfrm>
                      <a:off x="0" y="0"/>
                      <a:ext cx="2628900" cy="733425"/>
                    </a:xfrm>
                    <a:prstGeom prst="rect">
                      <a:avLst/>
                    </a:prstGeom>
                  </pic:spPr>
                </pic:pic>
              </a:graphicData>
            </a:graphic>
          </wp:inline>
        </w:drawing>
      </w:r>
    </w:p>
    <w:p w:rsidR="002C1B8B" w:rsidRPr="002C1B8B" w:rsidRDefault="002C1B8B" w:rsidP="002C1B8B">
      <w:pPr>
        <w:pStyle w:val="ParaNumbering"/>
        <w:tabs>
          <w:tab w:val="num" w:pos="720"/>
        </w:tabs>
        <w:ind w:left="0"/>
      </w:pPr>
      <w:r w:rsidRPr="002C1B8B">
        <w:t xml:space="preserve">The question as to whether these marks are substantially identical is a question of fact to be determined by a side-by-side comparison, noting the similarities and differences, and assessing the importance of these having regard to the essential features of the registered mark.  If a total impression of similarity emerges from a comparison between the two marks then they are substantially identical: </w:t>
      </w:r>
      <w:r w:rsidRPr="002C1B8B">
        <w:rPr>
          <w:i/>
        </w:rPr>
        <w:t xml:space="preserve">Shell </w:t>
      </w:r>
      <w:r w:rsidRPr="002C1B8B">
        <w:t xml:space="preserve">at 414; </w:t>
      </w:r>
      <w:r w:rsidRPr="002C1B8B">
        <w:rPr>
          <w:i/>
        </w:rPr>
        <w:t>Carnival Cruise Lines</w:t>
      </w:r>
      <w:r w:rsidRPr="002C1B8B">
        <w:t xml:space="preserve"> at 513.  </w:t>
      </w:r>
    </w:p>
    <w:p w:rsidR="002C1B8B" w:rsidRPr="002C1B8B" w:rsidRDefault="002C1B8B" w:rsidP="00930069">
      <w:pPr>
        <w:pStyle w:val="ParaNumbering"/>
        <w:tabs>
          <w:tab w:val="num" w:pos="720"/>
        </w:tabs>
        <w:ind w:left="0"/>
      </w:pPr>
      <w:r w:rsidRPr="002C1B8B">
        <w:t>There are some similarities between the two marks</w:t>
      </w:r>
      <w:r w:rsidR="0080272F">
        <w:t xml:space="preserve"> and I accept </w:t>
      </w:r>
      <w:r w:rsidRPr="002C1B8B">
        <w:t>that the overall idea of DELPHINE and DELFINA is similar</w:t>
      </w:r>
      <w:r w:rsidR="0080272F">
        <w:t>.  B</w:t>
      </w:r>
      <w:r w:rsidRPr="002C1B8B">
        <w:t xml:space="preserve">oth commence with </w:t>
      </w:r>
      <w:r w:rsidR="00CE0BF3">
        <w:t>the letters</w:t>
      </w:r>
      <w:r w:rsidRPr="002C1B8B">
        <w:t xml:space="preserve"> “DEL</w:t>
      </w:r>
      <w:r w:rsidR="00622022" w:rsidRPr="002C1B8B">
        <w:t>”,</w:t>
      </w:r>
      <w:r w:rsidRPr="002C1B8B">
        <w:t xml:space="preserve"> the “f” phenome in both sounds the same, and they have a homophonic second syllable.  Having said this, the differences are </w:t>
      </w:r>
      <w:r w:rsidR="00F1331A">
        <w:t>such that</w:t>
      </w:r>
      <w:r w:rsidRPr="002C1B8B">
        <w:t xml:space="preserve"> a total impression of similarity does not emerge.  </w:t>
      </w:r>
    </w:p>
    <w:p w:rsidR="002C1B8B" w:rsidRPr="002C1B8B" w:rsidRDefault="002C1B8B" w:rsidP="002C1B8B">
      <w:pPr>
        <w:pStyle w:val="ParaNumbering"/>
        <w:tabs>
          <w:tab w:val="num" w:pos="720"/>
        </w:tabs>
        <w:ind w:left="0"/>
      </w:pPr>
      <w:r w:rsidRPr="002C1B8B">
        <w:rPr>
          <w:i/>
        </w:rPr>
        <w:t>First</w:t>
      </w:r>
      <w:r w:rsidRPr="002C1B8B">
        <w:t xml:space="preserve">, the DELPHINE mark and the DELFINA SPORT mark are different in overall appearance in a way which is apt to distinguish them.  The DELPHINE mark is not stylised.  It is uppercase and there is nothing about the font style, size, colour or shape which distinguishes it. </w:t>
      </w:r>
      <w:r w:rsidR="00D47B03">
        <w:t xml:space="preserve"> </w:t>
      </w:r>
      <w:r w:rsidRPr="002C1B8B">
        <w:t xml:space="preserve">The DELFINA SPORT mark is </w:t>
      </w:r>
      <w:r w:rsidR="00F1331A">
        <w:t xml:space="preserve">in a </w:t>
      </w:r>
      <w:r w:rsidRPr="002C1B8B">
        <w:t xml:space="preserve">stylised </w:t>
      </w:r>
      <w:r w:rsidR="00F1331A">
        <w:t xml:space="preserve">font </w:t>
      </w:r>
      <w:r w:rsidRPr="002C1B8B">
        <w:t xml:space="preserve">with DELFINA in </w:t>
      </w:r>
      <w:r w:rsidR="00F1331A">
        <w:t xml:space="preserve">title </w:t>
      </w:r>
      <w:r w:rsidRPr="002C1B8B">
        <w:t>case and italicised, and SPORT</w:t>
      </w:r>
      <w:r w:rsidR="00817801">
        <w:t xml:space="preserve"> in </w:t>
      </w:r>
      <w:r w:rsidRPr="002C1B8B">
        <w:t xml:space="preserve">uppercase, italicised, and set </w:t>
      </w:r>
      <w:r w:rsidR="00F1331A">
        <w:t xml:space="preserve">below and </w:t>
      </w:r>
      <w:r w:rsidRPr="002C1B8B">
        <w:t>to the right.  The DELFINA SPORT mark is sea blue in colour on a white background, and it has a lighter blue wave running through DELFINA.  The evidence also show</w:t>
      </w:r>
      <w:r w:rsidR="00930069">
        <w:t>s</w:t>
      </w:r>
      <w:r w:rsidRPr="002C1B8B">
        <w:t xml:space="preserve"> a variant in which the </w:t>
      </w:r>
      <w:r w:rsidR="00DB5529">
        <w:t>text is</w:t>
      </w:r>
      <w:r w:rsidRPr="002C1B8B">
        <w:t xml:space="preserve"> in white on a sea blue background.  That variant appears, for example, on the documents produced on subpoena which purport to be posts on Delfina Sport’s Facebook page.</w:t>
      </w:r>
      <w:r w:rsidR="00817801">
        <w:t xml:space="preserve">  The overall appearance is markedly different.</w:t>
      </w:r>
    </w:p>
    <w:p w:rsidR="002C1B8B" w:rsidRPr="002C1B8B" w:rsidRDefault="002C1B8B" w:rsidP="002C1B8B">
      <w:pPr>
        <w:pStyle w:val="ParaNumbering"/>
        <w:tabs>
          <w:tab w:val="num" w:pos="720"/>
        </w:tabs>
        <w:ind w:left="0"/>
      </w:pPr>
      <w:r w:rsidRPr="002C1B8B">
        <w:rPr>
          <w:i/>
        </w:rPr>
        <w:t>Second</w:t>
      </w:r>
      <w:r w:rsidRPr="002C1B8B">
        <w:t>, the DELFINA element of the DELFINA SPORT mark</w:t>
      </w:r>
      <w:r w:rsidR="00817801">
        <w:t xml:space="preserve"> is </w:t>
      </w:r>
      <w:r w:rsidRPr="002C1B8B">
        <w:t>different</w:t>
      </w:r>
      <w:r w:rsidR="00817801">
        <w:t xml:space="preserve"> to DELPHINE</w:t>
      </w:r>
      <w:r w:rsidRPr="002C1B8B">
        <w:t xml:space="preserve">.  </w:t>
      </w:r>
      <w:r w:rsidR="00817801">
        <w:t>T</w:t>
      </w:r>
      <w:r w:rsidR="00257EAF">
        <w:t xml:space="preserve">he letters </w:t>
      </w:r>
      <w:r w:rsidRPr="002C1B8B">
        <w:t>“F” and “PH” look different when the marks are viewed, and (putting to one side the fact that there are two elements to the DELFINA SPORT mark) DELFINA has a distinctly different sound to DELPHINE because it ends with “a”.</w:t>
      </w:r>
    </w:p>
    <w:p w:rsidR="002C1B8B" w:rsidRPr="002C1B8B" w:rsidRDefault="002C1B8B" w:rsidP="002C1B8B">
      <w:pPr>
        <w:pStyle w:val="ParaNumbering"/>
        <w:tabs>
          <w:tab w:val="num" w:pos="720"/>
        </w:tabs>
        <w:ind w:left="0"/>
      </w:pPr>
      <w:r w:rsidRPr="002C1B8B">
        <w:rPr>
          <w:i/>
        </w:rPr>
        <w:lastRenderedPageBreak/>
        <w:t>Third</w:t>
      </w:r>
      <w:r w:rsidRPr="002C1B8B">
        <w:t>, the DELFINA SPORT mark includes the SPORT element, and that element is given some prominence by being stylised, capitalised, italicised and offset.  The fact that the name is double-barre</w:t>
      </w:r>
      <w:r w:rsidR="00C7381B">
        <w:t>l</w:t>
      </w:r>
      <w:r w:rsidRPr="002C1B8B">
        <w:t>led, with both elements being given some prominence, is significant to the overall impression of difference that emerges.</w:t>
      </w:r>
    </w:p>
    <w:p w:rsidR="002C1B8B" w:rsidRPr="002C1B8B" w:rsidRDefault="002C1B8B" w:rsidP="002C1B8B">
      <w:pPr>
        <w:pStyle w:val="ParaNumbering"/>
        <w:tabs>
          <w:tab w:val="num" w:pos="720"/>
        </w:tabs>
        <w:ind w:left="0"/>
      </w:pPr>
      <w:r w:rsidRPr="002C1B8B">
        <w:t>SPORT is descriptive</w:t>
      </w:r>
      <w:r w:rsidR="00D47B03" w:rsidRPr="00D47B03">
        <w:t xml:space="preserve"> </w:t>
      </w:r>
      <w:r w:rsidR="00D47B03">
        <w:t>to an extent</w:t>
      </w:r>
      <w:r w:rsidR="00930069">
        <w:t xml:space="preserve"> which reduces its</w:t>
      </w:r>
      <w:r w:rsidR="00817801">
        <w:t xml:space="preserve"> capacity </w:t>
      </w:r>
      <w:r w:rsidR="00930069">
        <w:t xml:space="preserve">to </w:t>
      </w:r>
      <w:r w:rsidRPr="002C1B8B">
        <w:t>perform a distinguishing role</w:t>
      </w:r>
      <w:r w:rsidR="00930069">
        <w:t xml:space="preserve">, </w:t>
      </w:r>
      <w:r w:rsidR="00104820">
        <w:t xml:space="preserve">but </w:t>
      </w:r>
      <w:r w:rsidRPr="002C1B8B">
        <w:t xml:space="preserve">SPORT may be a reference to an </w:t>
      </w:r>
      <w:r w:rsidR="00930069">
        <w:t xml:space="preserve">almost </w:t>
      </w:r>
      <w:r w:rsidRPr="002C1B8B">
        <w:t>endless array of goods</w:t>
      </w:r>
      <w:r w:rsidR="00104820">
        <w:t xml:space="preserve"> and the level of </w:t>
      </w:r>
      <w:r w:rsidR="00ED0433">
        <w:t xml:space="preserve">its </w:t>
      </w:r>
      <w:r w:rsidR="00104820">
        <w:t>descriptiveness is</w:t>
      </w:r>
      <w:r w:rsidR="00622022">
        <w:t xml:space="preserve"> therefore</w:t>
      </w:r>
      <w:r w:rsidR="00104820">
        <w:t xml:space="preserve"> low</w:t>
      </w:r>
      <w:r w:rsidR="00C7381B">
        <w:t xml:space="preserve">. </w:t>
      </w:r>
      <w:r w:rsidR="00D47B03">
        <w:t xml:space="preserve"> </w:t>
      </w:r>
      <w:r w:rsidR="00ED0433">
        <w:t>In my view it</w:t>
      </w:r>
      <w:r w:rsidR="00817801">
        <w:t xml:space="preserve"> serves to distinguish to an extent</w:t>
      </w:r>
      <w:r w:rsidR="00ED0433">
        <w:t>.</w:t>
      </w:r>
    </w:p>
    <w:p w:rsidR="002C1B8B" w:rsidRPr="002C1B8B" w:rsidRDefault="002C1B8B" w:rsidP="002C1B8B">
      <w:pPr>
        <w:pStyle w:val="ParaNumbering"/>
        <w:tabs>
          <w:tab w:val="num" w:pos="720"/>
        </w:tabs>
        <w:ind w:left="0"/>
      </w:pPr>
      <w:r w:rsidRPr="002C1B8B">
        <w:t xml:space="preserve">The position in the present case is different to that in </w:t>
      </w:r>
      <w:r w:rsidRPr="002C1B8B">
        <w:rPr>
          <w:i/>
        </w:rPr>
        <w:t xml:space="preserve">Pham Global </w:t>
      </w:r>
      <w:r w:rsidRPr="002C1B8B">
        <w:t>where the Full Court found that the words</w:t>
      </w:r>
      <w:r w:rsidRPr="002C1B8B">
        <w:rPr>
          <w:i/>
        </w:rPr>
        <w:t xml:space="preserve"> </w:t>
      </w:r>
      <w:r w:rsidRPr="002C1B8B">
        <w:rPr>
          <w:caps/>
        </w:rPr>
        <w:t>Clinical Imaging</w:t>
      </w:r>
      <w:r w:rsidRPr="002C1B8B">
        <w:t xml:space="preserve"> and </w:t>
      </w:r>
      <w:r w:rsidRPr="002C1B8B">
        <w:rPr>
          <w:caps/>
        </w:rPr>
        <w:t>Radiology</w:t>
      </w:r>
      <w:r w:rsidRPr="002C1B8B">
        <w:t xml:space="preserve"> described the services both companies offered under the respective marks.  It is relevant too that both marks in that case had similar distinctive faded double crest or circle devices and identical dominant cognitive cues, namely </w:t>
      </w:r>
      <w:r w:rsidRPr="002C1B8B">
        <w:rPr>
          <w:caps/>
        </w:rPr>
        <w:t>Insight</w:t>
      </w:r>
      <w:r w:rsidRPr="002C1B8B">
        <w:t xml:space="preserve">, so that all that was left that was substantially different between the two marks was the purely descriptive words </w:t>
      </w:r>
      <w:r w:rsidRPr="002C1B8B">
        <w:rPr>
          <w:caps/>
        </w:rPr>
        <w:t>Clinical Imaging</w:t>
      </w:r>
      <w:r w:rsidRPr="002C1B8B">
        <w:t xml:space="preserve"> and </w:t>
      </w:r>
      <w:r w:rsidRPr="002C1B8B">
        <w:rPr>
          <w:caps/>
        </w:rPr>
        <w:t>Radiology</w:t>
      </w:r>
      <w:r w:rsidRPr="002C1B8B">
        <w:t>.  That is not analogous to a side-by-side comparison of DELFINA SPORT and DELPHINE.</w:t>
      </w:r>
    </w:p>
    <w:p w:rsidR="002C1B8B" w:rsidRPr="002C1B8B" w:rsidRDefault="00817801" w:rsidP="002C1B8B">
      <w:pPr>
        <w:pStyle w:val="ParaNumbering"/>
        <w:tabs>
          <w:tab w:val="num" w:pos="720"/>
        </w:tabs>
        <w:ind w:left="0"/>
      </w:pPr>
      <w:r>
        <w:t xml:space="preserve">I do not consider </w:t>
      </w:r>
      <w:r w:rsidR="00D47B03">
        <w:t xml:space="preserve">that </w:t>
      </w:r>
      <w:r w:rsidR="00ED0433">
        <w:t>Triangl</w:t>
      </w:r>
      <w:r>
        <w:t xml:space="preserve"> established </w:t>
      </w:r>
      <w:r w:rsidR="002C1B8B" w:rsidRPr="002C1B8B">
        <w:t>that the two marks are substantially identical</w:t>
      </w:r>
      <w:r w:rsidR="00ED0433">
        <w:t xml:space="preserve"> and</w:t>
      </w:r>
      <w:r w:rsidR="002C1B8B" w:rsidRPr="002C1B8B">
        <w:t xml:space="preserve"> </w:t>
      </w:r>
      <w:r w:rsidR="00ED0433">
        <w:t>t</w:t>
      </w:r>
      <w:r w:rsidR="002C1B8B" w:rsidRPr="002C1B8B">
        <w:t>his limb of the cross</w:t>
      </w:r>
      <w:r w:rsidR="00C7381B">
        <w:t>-claim</w:t>
      </w:r>
      <w:r w:rsidR="002C1B8B" w:rsidRPr="002C1B8B">
        <w:t xml:space="preserve"> fails.</w:t>
      </w:r>
    </w:p>
    <w:p w:rsidR="002C1B8B" w:rsidRPr="002C1B8B" w:rsidRDefault="006D6D22" w:rsidP="00622022">
      <w:pPr>
        <w:pStyle w:val="Heading2"/>
      </w:pPr>
      <w:r>
        <w:t>THE ICONIC</w:t>
      </w:r>
    </w:p>
    <w:p w:rsidR="002C1B8B" w:rsidRPr="002C1B8B" w:rsidRDefault="00817801" w:rsidP="002C1B8B">
      <w:pPr>
        <w:pStyle w:val="ParaNumbering"/>
        <w:tabs>
          <w:tab w:val="num" w:pos="720"/>
        </w:tabs>
        <w:ind w:left="0"/>
      </w:pPr>
      <w:r>
        <w:t xml:space="preserve">In the </w:t>
      </w:r>
      <w:r w:rsidR="002C1B8B" w:rsidRPr="002C1B8B">
        <w:t>third limb of Triangl</w:t>
      </w:r>
      <w:r w:rsidR="00ED0433">
        <w:t>’s cross</w:t>
      </w:r>
      <w:r w:rsidR="008118D9">
        <w:t>-</w:t>
      </w:r>
      <w:r w:rsidR="00ED0433">
        <w:t xml:space="preserve">claim </w:t>
      </w:r>
      <w:r>
        <w:t xml:space="preserve">it </w:t>
      </w:r>
      <w:r w:rsidR="00ED0433">
        <w:t>alleged</w:t>
      </w:r>
      <w:r w:rsidR="002C1B8B" w:rsidRPr="002C1B8B">
        <w:t xml:space="preserve"> that, from at least September 2013, </w:t>
      </w:r>
      <w:r w:rsidR="00423A8A">
        <w:t xml:space="preserve">the online retailer </w:t>
      </w:r>
      <w:r w:rsidR="006D6D22">
        <w:t>THE ICONIC</w:t>
      </w:r>
      <w:r w:rsidR="002C1B8B" w:rsidRPr="002C1B8B">
        <w:t xml:space="preserve"> promoted, distributed, supplied, offered for sale and/or sold jackets using its Facebook page and website in Australia, under and by reference to the name DELPHINE.</w:t>
      </w:r>
    </w:p>
    <w:p w:rsidR="002C1B8B" w:rsidRPr="002C1B8B" w:rsidRDefault="002C1B8B" w:rsidP="002C1B8B">
      <w:pPr>
        <w:pStyle w:val="ParaNumbering"/>
        <w:tabs>
          <w:tab w:val="num" w:pos="720"/>
        </w:tabs>
        <w:ind w:left="0"/>
      </w:pPr>
      <w:r w:rsidRPr="002C1B8B">
        <w:t>Again, Triangl only relied on a few documents to establish this part of its cross</w:t>
      </w:r>
      <w:r w:rsidR="008118D9">
        <w:t>-</w:t>
      </w:r>
      <w:r w:rsidRPr="002C1B8B">
        <w:t xml:space="preserve">claim.  It did not adduce evidence from any officer or employee of </w:t>
      </w:r>
      <w:r w:rsidR="006D6D22">
        <w:t>THE ICONIC</w:t>
      </w:r>
      <w:r w:rsidRPr="002C1B8B">
        <w:t xml:space="preserve"> whom it said had created or published the</w:t>
      </w:r>
      <w:r w:rsidR="0045022B">
        <w:t xml:space="preserve"> marketing material</w:t>
      </w:r>
      <w:r w:rsidRPr="002C1B8B">
        <w:t>,</w:t>
      </w:r>
      <w:r w:rsidR="0045022B">
        <w:t xml:space="preserve"> or </w:t>
      </w:r>
      <w:r w:rsidRPr="002C1B8B">
        <w:t xml:space="preserve">from any consumer or trader who had dealt with </w:t>
      </w:r>
      <w:r w:rsidR="006D6D22">
        <w:t>THE ICONIC</w:t>
      </w:r>
      <w:r w:rsidRPr="002C1B8B">
        <w:t xml:space="preserve"> in the course of trade.</w:t>
      </w:r>
    </w:p>
    <w:p w:rsidR="002C1B8B" w:rsidRPr="002C1B8B" w:rsidRDefault="002C1B8B" w:rsidP="002C1B8B">
      <w:pPr>
        <w:pStyle w:val="ParaNumbering"/>
        <w:tabs>
          <w:tab w:val="num" w:pos="720"/>
        </w:tabs>
        <w:ind w:left="0"/>
      </w:pPr>
      <w:r w:rsidRPr="002C1B8B">
        <w:t>Triangl relied upon the following evidence:</w:t>
      </w:r>
    </w:p>
    <w:p w:rsidR="002C1B8B" w:rsidRPr="002C1B8B" w:rsidRDefault="002C1B8B" w:rsidP="008D7D39">
      <w:pPr>
        <w:pStyle w:val="ListNo1"/>
        <w:numPr>
          <w:ilvl w:val="0"/>
          <w:numId w:val="54"/>
        </w:numPr>
      </w:pPr>
      <w:r w:rsidRPr="002C1B8B">
        <w:t xml:space="preserve">on 6 July 2017 Mr Mawby conducted a search on </w:t>
      </w:r>
      <w:r w:rsidR="006D6D22">
        <w:t>THE ICONIC</w:t>
      </w:r>
      <w:r w:rsidRPr="002C1B8B">
        <w:t xml:space="preserve"> Facebook page located at </w:t>
      </w:r>
      <w:r w:rsidR="00EF1392">
        <w:t>&lt;</w:t>
      </w:r>
      <w:r w:rsidRPr="002C1B8B">
        <w:t>www.facebook.com/pg/IconicAU</w:t>
      </w:r>
      <w:r w:rsidR="00EF1392">
        <w:t>&gt;</w:t>
      </w:r>
      <w:r w:rsidRPr="002C1B8B">
        <w:t xml:space="preserve"> for posts which included the word “Delphine”.  He located an advertisement posted on 19 September 2013 which advertised a </w:t>
      </w:r>
      <w:r w:rsidRPr="002C1B8B">
        <w:lastRenderedPageBreak/>
        <w:t>camouflage denim jacket for sale in Australia under the name “The Motel - Delphine Jacket”; and</w:t>
      </w:r>
    </w:p>
    <w:p w:rsidR="002C1B8B" w:rsidRPr="002C1B8B" w:rsidRDefault="002C1B8B" w:rsidP="008D7D39">
      <w:pPr>
        <w:pStyle w:val="ListNo1"/>
        <w:numPr>
          <w:ilvl w:val="0"/>
          <w:numId w:val="54"/>
        </w:numPr>
      </w:pPr>
      <w:r w:rsidRPr="002C1B8B">
        <w:t xml:space="preserve">on 3 October 2018 Mr Beavis used the Wayback Machine to carry out a search to clarify whether THE ICONIC’s promotion of a denim jacket under the name “Delphine” was directed to consumers in Australia website.  He annexed a screenshot of a webpage from THE ICONIC website at </w:t>
      </w:r>
      <w:r w:rsidR="00EF1392">
        <w:t>&lt;</w:t>
      </w:r>
      <w:r w:rsidRPr="002C1B8B">
        <w:t>www.theiconic.com.au</w:t>
      </w:r>
      <w:r w:rsidR="00EF1392">
        <w:t>&gt;</w:t>
      </w:r>
      <w:r w:rsidRPr="002C1B8B">
        <w:t>, produced by the Wayback Machine, which listed a camouflage print jacket named “The Motel Delphine Jacket” advertised for sale in Australia.</w:t>
      </w:r>
    </w:p>
    <w:p w:rsidR="0045022B" w:rsidRDefault="002C1B8B" w:rsidP="002C1B8B">
      <w:pPr>
        <w:pStyle w:val="ParaNumbering"/>
        <w:tabs>
          <w:tab w:val="num" w:pos="720"/>
        </w:tabs>
        <w:ind w:left="0"/>
      </w:pPr>
      <w:r w:rsidRPr="002C1B8B">
        <w:t>Pinnacle argued that there is no admissible evidence of prior use of DELPHINE by any entity, let alone evidence that would suffice to establish opposition to registration under s 58 of the Act.</w:t>
      </w:r>
      <w:r w:rsidR="0045022B">
        <w:t xml:space="preserve">  It submitted </w:t>
      </w:r>
      <w:r w:rsidRPr="002C1B8B">
        <w:t xml:space="preserve">that the evidence of Mr Mawby and Mr Beavis is hearsay because no witness attested to viewing the </w:t>
      </w:r>
      <w:r w:rsidR="0045022B">
        <w:t>relevant web</w:t>
      </w:r>
      <w:r w:rsidRPr="002C1B8B">
        <w:t>pages prior to 6 July 2015 or to having personal knowledge of the purported content.</w:t>
      </w:r>
      <w:r w:rsidR="0045022B">
        <w:t xml:space="preserve">  It also contended that it would be prejudiced if the evidence was admitted because it would be unable </w:t>
      </w:r>
      <w:r w:rsidRPr="002C1B8B">
        <w:t>to cross</w:t>
      </w:r>
      <w:r w:rsidR="008118D9">
        <w:t>-</w:t>
      </w:r>
      <w:r w:rsidRPr="002C1B8B">
        <w:t>examine the alleged</w:t>
      </w:r>
      <w:r w:rsidR="0045022B">
        <w:t xml:space="preserve"> prior user </w:t>
      </w:r>
      <w:r w:rsidRPr="002C1B8B">
        <w:t xml:space="preserve">of </w:t>
      </w:r>
      <w:r w:rsidR="0045022B">
        <w:t xml:space="preserve">DELPHINE brand or </w:t>
      </w:r>
      <w:r w:rsidRPr="002C1B8B">
        <w:t>investigate their alleged claim to ownership as at 6 July 2015.</w:t>
      </w:r>
      <w:r w:rsidR="0045022B">
        <w:t xml:space="preserve">  </w:t>
      </w:r>
    </w:p>
    <w:p w:rsidR="00423A8A" w:rsidRPr="002C1B8B" w:rsidRDefault="008D3F2A" w:rsidP="0045022B">
      <w:pPr>
        <w:pStyle w:val="ParaNumbering"/>
        <w:tabs>
          <w:tab w:val="num" w:pos="720"/>
        </w:tabs>
        <w:ind w:left="0"/>
      </w:pPr>
      <w:r>
        <w:t>T</w:t>
      </w:r>
      <w:r w:rsidR="0045022B">
        <w:t xml:space="preserve">here is substance to some of </w:t>
      </w:r>
      <w:r w:rsidR="002C1B8B" w:rsidRPr="002C1B8B">
        <w:t>Pinnacle’s objections</w:t>
      </w:r>
      <w:r>
        <w:t>,</w:t>
      </w:r>
      <w:r w:rsidR="002C1B8B" w:rsidRPr="002C1B8B">
        <w:t xml:space="preserve"> </w:t>
      </w:r>
      <w:r>
        <w:t xml:space="preserve">but </w:t>
      </w:r>
      <w:r w:rsidR="002C1B8B" w:rsidRPr="002C1B8B">
        <w:t>it is unnecessary to decide</w:t>
      </w:r>
      <w:r w:rsidR="0045022B">
        <w:t xml:space="preserve"> </w:t>
      </w:r>
      <w:r>
        <w:t xml:space="preserve">them </w:t>
      </w:r>
      <w:r w:rsidR="0045022B">
        <w:t xml:space="preserve">because </w:t>
      </w:r>
      <w:r w:rsidR="002C1B8B" w:rsidRPr="002C1B8B">
        <w:t>Triangl accepted that the brand used in both advertisements is MOTEL and that DELPHINE is just a style name</w:t>
      </w:r>
      <w:r w:rsidR="00F02192">
        <w:t xml:space="preserve">, and that the advertisements </w:t>
      </w:r>
      <w:r w:rsidR="00AE32A2">
        <w:t>do</w:t>
      </w:r>
      <w:r w:rsidR="00AE32A2" w:rsidRPr="002C1B8B">
        <w:t xml:space="preserve"> </w:t>
      </w:r>
      <w:r w:rsidR="002C1B8B" w:rsidRPr="002C1B8B">
        <w:t>not show prior use of DELPHINE as a trade mark.  It advanced this</w:t>
      </w:r>
      <w:r w:rsidR="0045022B">
        <w:t xml:space="preserve"> limb </w:t>
      </w:r>
      <w:r w:rsidR="002C1B8B" w:rsidRPr="002C1B8B">
        <w:t xml:space="preserve">of the cross claim </w:t>
      </w:r>
      <w:r w:rsidR="008712FF">
        <w:t xml:space="preserve">in the alternative, and only sought to pursue it </w:t>
      </w:r>
      <w:r w:rsidR="002C1B8B" w:rsidRPr="002C1B8B">
        <w:t>if it was unsuccessful</w:t>
      </w:r>
      <w:r w:rsidR="008712FF">
        <w:t xml:space="preserve"> in defending </w:t>
      </w:r>
      <w:r w:rsidR="002C1B8B" w:rsidRPr="002C1B8B">
        <w:t>the infringement claim.</w:t>
      </w:r>
    </w:p>
    <w:p w:rsidR="002C1B8B" w:rsidRPr="002C1B8B" w:rsidRDefault="002C1B8B" w:rsidP="008D3F2A">
      <w:pPr>
        <w:pStyle w:val="Heading1"/>
      </w:pPr>
      <w:r w:rsidRPr="002C1B8B">
        <w:t>Costs</w:t>
      </w:r>
    </w:p>
    <w:p w:rsidR="002C1B8B" w:rsidRDefault="002C1B8B" w:rsidP="002C1B8B">
      <w:pPr>
        <w:pStyle w:val="ParaNumbering"/>
        <w:tabs>
          <w:tab w:val="num" w:pos="720"/>
        </w:tabs>
        <w:ind w:left="0"/>
      </w:pPr>
      <w:r>
        <w:t xml:space="preserve">I have ordered dismissal of </w:t>
      </w:r>
      <w:r w:rsidR="00EF1392">
        <w:t xml:space="preserve">each of </w:t>
      </w:r>
      <w:r>
        <w:t>the claim and the cross</w:t>
      </w:r>
      <w:r w:rsidR="008118D9">
        <w:t>-</w:t>
      </w:r>
      <w:r>
        <w:t>claim.  The parties are directed to file and serve submissions on the question of costs within 21 days, and to file and serve any submissions in reply within seven days thereafter.</w:t>
      </w:r>
    </w:p>
    <w:tbl>
      <w:tblPr>
        <w:tblW w:w="0" w:type="auto"/>
        <w:tblLook w:val="04A0" w:firstRow="1" w:lastRow="0" w:firstColumn="1" w:lastColumn="0" w:noHBand="0" w:noVBand="1"/>
      </w:tblPr>
      <w:tblGrid>
        <w:gridCol w:w="3794"/>
      </w:tblGrid>
      <w:tr w:rsidR="00A07F76" w:rsidRPr="00A07F76">
        <w:tc>
          <w:tcPr>
            <w:tcW w:w="3794" w:type="dxa"/>
            <w:shd w:val="clear" w:color="auto" w:fill="auto"/>
          </w:tcPr>
          <w:p w:rsidR="00A07F76" w:rsidRPr="00A07F76" w:rsidRDefault="00A07F76" w:rsidP="00A07F76">
            <w:pPr>
              <w:pStyle w:val="Normal1linespace"/>
            </w:pPr>
            <w:bookmarkStart w:id="24" w:name="Certification"/>
            <w:r w:rsidRPr="00A07F76">
              <w:t xml:space="preserve">I certify that the preceding </w:t>
            </w:r>
            <w:bookmarkStart w:id="25" w:name="NumberWord"/>
            <w:r>
              <w:t>two hundred and ninety-eight</w:t>
            </w:r>
            <w:bookmarkEnd w:id="25"/>
            <w:r w:rsidRPr="00A07F76">
              <w:t xml:space="preserve"> (</w:t>
            </w:r>
            <w:bookmarkStart w:id="26" w:name="NumberNumeral"/>
            <w:r>
              <w:t>298</w:t>
            </w:r>
            <w:bookmarkEnd w:id="26"/>
            <w:r w:rsidRPr="00A07F76">
              <w:t xml:space="preserve">) numbered </w:t>
            </w:r>
            <w:bookmarkStart w:id="27" w:name="CertPara"/>
            <w:r>
              <w:t>paragraphs are</w:t>
            </w:r>
            <w:bookmarkEnd w:id="27"/>
            <w:r w:rsidRPr="00A07F76">
              <w:t xml:space="preserve"> a true copy of the Reasons for Judgment herein of the Honourable </w:t>
            </w:r>
            <w:bookmarkStart w:id="28" w:name="Justice"/>
            <w:r>
              <w:t>Justice Murphy</w:t>
            </w:r>
            <w:bookmarkEnd w:id="28"/>
            <w:r w:rsidRPr="00A07F76">
              <w:t>.</w:t>
            </w:r>
          </w:p>
        </w:tc>
      </w:tr>
    </w:tbl>
    <w:p w:rsidR="00D02219" w:rsidRDefault="00D02219" w:rsidP="00A07F76">
      <w:pPr>
        <w:pStyle w:val="BodyText"/>
      </w:pPr>
    </w:p>
    <w:p w:rsidR="00A07F76" w:rsidRDefault="00A07F76" w:rsidP="00A07F76">
      <w:pPr>
        <w:pStyle w:val="BodyText"/>
      </w:pPr>
      <w:r>
        <w:t>Associate:</w:t>
      </w:r>
      <w:r w:rsidR="001D6860">
        <w:t xml:space="preserve">  </w:t>
      </w:r>
    </w:p>
    <w:p w:rsidR="009E30D5" w:rsidRDefault="00A07F76" w:rsidP="008D7D39">
      <w:pPr>
        <w:pStyle w:val="BodyText"/>
        <w:tabs>
          <w:tab w:val="left" w:pos="1134"/>
        </w:tabs>
      </w:pPr>
      <w:r>
        <w:t>Dated:</w:t>
      </w:r>
      <w:r>
        <w:tab/>
      </w:r>
      <w:bookmarkStart w:id="29" w:name="CertifyDated"/>
      <w:r w:rsidR="00BA4682">
        <w:t xml:space="preserve">10 </w:t>
      </w:r>
      <w:r>
        <w:t>October 2019</w:t>
      </w:r>
      <w:bookmarkEnd w:id="24"/>
      <w:bookmarkEnd w:id="29"/>
    </w:p>
    <w:sectPr w:rsidR="009E30D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B24" w:rsidRDefault="004C4B24">
      <w:pPr>
        <w:spacing w:line="20" w:lineRule="exact"/>
      </w:pPr>
    </w:p>
    <w:p w:rsidR="004C4B24" w:rsidRDefault="004C4B24"/>
    <w:p w:rsidR="004C4B24" w:rsidRDefault="004C4B24"/>
  </w:endnote>
  <w:endnote w:type="continuationSeparator" w:id="0">
    <w:p w:rsidR="004C4B24" w:rsidRDefault="004C4B24">
      <w:r>
        <w:t xml:space="preserve"> </w:t>
      </w:r>
    </w:p>
    <w:p w:rsidR="004C4B24" w:rsidRDefault="004C4B24"/>
    <w:p w:rsidR="004C4B24" w:rsidRDefault="004C4B24"/>
  </w:endnote>
  <w:endnote w:type="continuationNotice" w:id="1">
    <w:p w:rsidR="004C4B24" w:rsidRDefault="004C4B24">
      <w:r>
        <w:t xml:space="preserve"> </w:t>
      </w:r>
    </w:p>
    <w:p w:rsidR="004C4B24" w:rsidRDefault="004C4B24"/>
    <w:p w:rsidR="004C4B24" w:rsidRDefault="004C4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24" w:rsidRDefault="004C4B24">
    <w:pPr>
      <w:tabs>
        <w:tab w:val="center" w:pos="4512"/>
      </w:tabs>
      <w:suppressAutoHyphen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24" w:rsidRPr="009E6612" w:rsidRDefault="004C4B24" w:rsidP="009E6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B24" w:rsidRDefault="004C4B24"/>
    <w:p w:rsidR="004C4B24" w:rsidRDefault="004C4B24"/>
    <w:p w:rsidR="004C4B24" w:rsidRDefault="004C4B24"/>
  </w:footnote>
  <w:footnote w:type="continuationSeparator" w:id="0">
    <w:p w:rsidR="004C4B24" w:rsidRDefault="004C4B24">
      <w:r>
        <w:continuationSeparator/>
      </w:r>
    </w:p>
    <w:p w:rsidR="004C4B24" w:rsidRDefault="004C4B24"/>
    <w:p w:rsidR="004C4B24" w:rsidRDefault="004C4B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24" w:rsidRDefault="004C4B24">
    <w:pPr>
      <w:tabs>
        <w:tab w:val="center" w:pos="4512"/>
      </w:tabs>
      <w:suppressAutoHyphens/>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24" w:rsidRPr="00714B37" w:rsidRDefault="004C4B24" w:rsidP="00714B37">
    <w:pPr>
      <w:tabs>
        <w:tab w:val="center" w:pos="4512"/>
      </w:tabs>
      <w:suppressAutoHyphens/>
    </w:pPr>
    <w:r>
      <w:tab/>
      <w:t xml:space="preserve">- </w:t>
    </w:r>
    <w:r>
      <w:fldChar w:fldCharType="begin"/>
    </w:r>
    <w:r>
      <w:instrText>page \* arabic</w:instrText>
    </w:r>
    <w:r>
      <w:fldChar w:fldCharType="separate"/>
    </w:r>
    <w:r w:rsidR="00D917F4">
      <w:rPr>
        <w:noProof/>
      </w:rPr>
      <w:t>36</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B24" w:rsidRDefault="004C4B24" w:rsidP="00714B37">
    <w:pPr>
      <w:tabs>
        <w:tab w:val="center" w:pos="4512"/>
      </w:tabs>
      <w:suppressAutoHyphen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364C3"/>
    <w:multiLevelType w:val="singleLevel"/>
    <w:tmpl w:val="AF7E0414"/>
    <w:lvl w:ilvl="0">
      <w:start w:val="1"/>
      <w:numFmt w:val="lowerLetter"/>
      <w:lvlText w:val="(%1)"/>
      <w:lvlJc w:val="left"/>
      <w:pPr>
        <w:tabs>
          <w:tab w:val="num" w:pos="720"/>
        </w:tabs>
        <w:ind w:left="720" w:hanging="720"/>
      </w:pPr>
      <w:rPr>
        <w:rFonts w:hint="default"/>
      </w:rPr>
    </w:lvl>
  </w:abstractNum>
  <w:abstractNum w:abstractNumId="11" w15:restartNumberingAfterBreak="0">
    <w:nsid w:val="00B957A4"/>
    <w:multiLevelType w:val="singleLevel"/>
    <w:tmpl w:val="77F2EFE8"/>
    <w:lvl w:ilvl="0">
      <w:start w:val="1"/>
      <w:numFmt w:val="lowerLetter"/>
      <w:lvlText w:val="(%1)"/>
      <w:lvlJc w:val="left"/>
      <w:pPr>
        <w:tabs>
          <w:tab w:val="num" w:pos="720"/>
        </w:tabs>
        <w:ind w:left="720" w:hanging="720"/>
      </w:pPr>
      <w:rPr>
        <w:rFonts w:hint="default"/>
      </w:rPr>
    </w:lvl>
  </w:abstractNum>
  <w:abstractNum w:abstractNumId="12" w15:restartNumberingAfterBreak="0">
    <w:nsid w:val="018B57E2"/>
    <w:multiLevelType w:val="singleLevel"/>
    <w:tmpl w:val="8EC48C62"/>
    <w:lvl w:ilvl="0">
      <w:start w:val="1"/>
      <w:numFmt w:val="lowerLetter"/>
      <w:lvlText w:val="(%1)"/>
      <w:lvlJc w:val="left"/>
      <w:pPr>
        <w:tabs>
          <w:tab w:val="num" w:pos="720"/>
        </w:tabs>
        <w:ind w:left="720" w:hanging="720"/>
      </w:pPr>
      <w:rPr>
        <w:rFonts w:hint="default"/>
      </w:rPr>
    </w:lvl>
  </w:abstractNum>
  <w:abstractNum w:abstractNumId="13" w15:restartNumberingAfterBreak="0">
    <w:nsid w:val="02406D9B"/>
    <w:multiLevelType w:val="singleLevel"/>
    <w:tmpl w:val="AF7E0414"/>
    <w:lvl w:ilvl="0">
      <w:start w:val="1"/>
      <w:numFmt w:val="lowerLetter"/>
      <w:lvlText w:val="(%1)"/>
      <w:lvlJc w:val="left"/>
      <w:pPr>
        <w:tabs>
          <w:tab w:val="num" w:pos="720"/>
        </w:tabs>
        <w:ind w:left="720" w:hanging="720"/>
      </w:pPr>
      <w:rPr>
        <w:rFonts w:hint="default"/>
      </w:rPr>
    </w:lvl>
  </w:abstractNum>
  <w:abstractNum w:abstractNumId="14" w15:restartNumberingAfterBreak="0">
    <w:nsid w:val="02F06BFC"/>
    <w:multiLevelType w:val="hybridMultilevel"/>
    <w:tmpl w:val="D028143C"/>
    <w:lvl w:ilvl="0" w:tplc="5CA0D43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950F23"/>
    <w:multiLevelType w:val="singleLevel"/>
    <w:tmpl w:val="77F2EFE8"/>
    <w:lvl w:ilvl="0">
      <w:start w:val="1"/>
      <w:numFmt w:val="lowerLetter"/>
      <w:lvlText w:val="(%1)"/>
      <w:lvlJc w:val="left"/>
      <w:pPr>
        <w:tabs>
          <w:tab w:val="num" w:pos="720"/>
        </w:tabs>
        <w:ind w:left="720" w:hanging="720"/>
      </w:pPr>
      <w:rPr>
        <w:rFonts w:hint="default"/>
      </w:rPr>
    </w:lvl>
  </w:abstractNum>
  <w:abstractNum w:abstractNumId="16" w15:restartNumberingAfterBreak="0">
    <w:nsid w:val="090527C4"/>
    <w:multiLevelType w:val="singleLevel"/>
    <w:tmpl w:val="F17A6AEC"/>
    <w:lvl w:ilvl="0">
      <w:start w:val="1"/>
      <w:numFmt w:val="lowerLetter"/>
      <w:lvlText w:val="(%1)"/>
      <w:lvlJc w:val="left"/>
      <w:pPr>
        <w:tabs>
          <w:tab w:val="num" w:pos="720"/>
        </w:tabs>
        <w:ind w:left="720" w:hanging="720"/>
      </w:pPr>
      <w:rPr>
        <w:rFonts w:hint="default"/>
      </w:rPr>
    </w:lvl>
  </w:abstractNum>
  <w:abstractNum w:abstractNumId="17" w15:restartNumberingAfterBreak="0">
    <w:nsid w:val="0B9B7C7A"/>
    <w:multiLevelType w:val="hybridMultilevel"/>
    <w:tmpl w:val="0D8E828C"/>
    <w:lvl w:ilvl="0" w:tplc="D9564422">
      <w:start w:val="1"/>
      <w:numFmt w:val="bullet"/>
      <w:pStyle w:val="Quote2Bullet"/>
      <w:lvlText w:val=""/>
      <w:lvlJc w:val="left"/>
      <w:pPr>
        <w:ind w:left="2160" w:hanging="360"/>
      </w:pPr>
      <w:rPr>
        <w:rFonts w:ascii="Wingdings" w:hAnsi="Wingdings" w:hint="default"/>
      </w:rPr>
    </w:lvl>
    <w:lvl w:ilvl="1" w:tplc="470AA09E" w:tentative="1">
      <w:start w:val="1"/>
      <w:numFmt w:val="bullet"/>
      <w:lvlText w:val="o"/>
      <w:lvlJc w:val="left"/>
      <w:pPr>
        <w:ind w:left="2880" w:hanging="360"/>
      </w:pPr>
      <w:rPr>
        <w:rFonts w:ascii="Courier New" w:hAnsi="Courier New" w:cs="Courier New" w:hint="default"/>
      </w:rPr>
    </w:lvl>
    <w:lvl w:ilvl="2" w:tplc="6D9201D4" w:tentative="1">
      <w:start w:val="1"/>
      <w:numFmt w:val="bullet"/>
      <w:lvlText w:val=""/>
      <w:lvlJc w:val="left"/>
      <w:pPr>
        <w:ind w:left="3600" w:hanging="360"/>
      </w:pPr>
      <w:rPr>
        <w:rFonts w:ascii="Wingdings" w:hAnsi="Wingdings" w:hint="default"/>
      </w:rPr>
    </w:lvl>
    <w:lvl w:ilvl="3" w:tplc="8CCE2DF8" w:tentative="1">
      <w:start w:val="1"/>
      <w:numFmt w:val="bullet"/>
      <w:lvlText w:val=""/>
      <w:lvlJc w:val="left"/>
      <w:pPr>
        <w:ind w:left="4320" w:hanging="360"/>
      </w:pPr>
      <w:rPr>
        <w:rFonts w:ascii="Symbol" w:hAnsi="Symbol" w:hint="default"/>
      </w:rPr>
    </w:lvl>
    <w:lvl w:ilvl="4" w:tplc="E954CF8A" w:tentative="1">
      <w:start w:val="1"/>
      <w:numFmt w:val="bullet"/>
      <w:lvlText w:val="o"/>
      <w:lvlJc w:val="left"/>
      <w:pPr>
        <w:ind w:left="5040" w:hanging="360"/>
      </w:pPr>
      <w:rPr>
        <w:rFonts w:ascii="Courier New" w:hAnsi="Courier New" w:cs="Courier New" w:hint="default"/>
      </w:rPr>
    </w:lvl>
    <w:lvl w:ilvl="5" w:tplc="9EDA8C14" w:tentative="1">
      <w:start w:val="1"/>
      <w:numFmt w:val="bullet"/>
      <w:lvlText w:val=""/>
      <w:lvlJc w:val="left"/>
      <w:pPr>
        <w:ind w:left="5760" w:hanging="360"/>
      </w:pPr>
      <w:rPr>
        <w:rFonts w:ascii="Wingdings" w:hAnsi="Wingdings" w:hint="default"/>
      </w:rPr>
    </w:lvl>
    <w:lvl w:ilvl="6" w:tplc="723E4286" w:tentative="1">
      <w:start w:val="1"/>
      <w:numFmt w:val="bullet"/>
      <w:lvlText w:val=""/>
      <w:lvlJc w:val="left"/>
      <w:pPr>
        <w:ind w:left="6480" w:hanging="360"/>
      </w:pPr>
      <w:rPr>
        <w:rFonts w:ascii="Symbol" w:hAnsi="Symbol" w:hint="default"/>
      </w:rPr>
    </w:lvl>
    <w:lvl w:ilvl="7" w:tplc="81A89BD0" w:tentative="1">
      <w:start w:val="1"/>
      <w:numFmt w:val="bullet"/>
      <w:lvlText w:val="o"/>
      <w:lvlJc w:val="left"/>
      <w:pPr>
        <w:ind w:left="7200" w:hanging="360"/>
      </w:pPr>
      <w:rPr>
        <w:rFonts w:ascii="Courier New" w:hAnsi="Courier New" w:cs="Courier New" w:hint="default"/>
      </w:rPr>
    </w:lvl>
    <w:lvl w:ilvl="8" w:tplc="F17A7C8E" w:tentative="1">
      <w:start w:val="1"/>
      <w:numFmt w:val="bullet"/>
      <w:lvlText w:val=""/>
      <w:lvlJc w:val="left"/>
      <w:pPr>
        <w:ind w:left="7920" w:hanging="360"/>
      </w:pPr>
      <w:rPr>
        <w:rFonts w:ascii="Wingdings" w:hAnsi="Wingdings" w:hint="default"/>
      </w:rPr>
    </w:lvl>
  </w:abstractNum>
  <w:abstractNum w:abstractNumId="18" w15:restartNumberingAfterBreak="0">
    <w:nsid w:val="15C71FAE"/>
    <w:multiLevelType w:val="singleLevel"/>
    <w:tmpl w:val="AF7E0414"/>
    <w:lvl w:ilvl="0">
      <w:start w:val="1"/>
      <w:numFmt w:val="lowerLetter"/>
      <w:lvlText w:val="(%1)"/>
      <w:lvlJc w:val="left"/>
      <w:pPr>
        <w:tabs>
          <w:tab w:val="num" w:pos="720"/>
        </w:tabs>
        <w:ind w:left="720" w:hanging="720"/>
      </w:pPr>
      <w:rPr>
        <w:rFonts w:hint="default"/>
      </w:rPr>
    </w:lvl>
  </w:abstractNum>
  <w:abstractNum w:abstractNumId="19"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15:restartNumberingAfterBreak="0">
    <w:nsid w:val="17014993"/>
    <w:multiLevelType w:val="singleLevel"/>
    <w:tmpl w:val="8EC48C62"/>
    <w:lvl w:ilvl="0">
      <w:start w:val="1"/>
      <w:numFmt w:val="lowerLetter"/>
      <w:lvlText w:val="(%1)"/>
      <w:lvlJc w:val="left"/>
      <w:pPr>
        <w:tabs>
          <w:tab w:val="num" w:pos="720"/>
        </w:tabs>
        <w:ind w:left="720" w:hanging="720"/>
      </w:pPr>
      <w:rPr>
        <w:rFonts w:hint="default"/>
      </w:rPr>
    </w:lvl>
  </w:abstractNum>
  <w:abstractNum w:abstractNumId="21" w15:restartNumberingAfterBreak="0">
    <w:nsid w:val="198E7FAB"/>
    <w:multiLevelType w:val="singleLevel"/>
    <w:tmpl w:val="AF7E0414"/>
    <w:lvl w:ilvl="0">
      <w:start w:val="1"/>
      <w:numFmt w:val="lowerLetter"/>
      <w:lvlText w:val="(%1)"/>
      <w:lvlJc w:val="left"/>
      <w:pPr>
        <w:tabs>
          <w:tab w:val="num" w:pos="720"/>
        </w:tabs>
        <w:ind w:left="720" w:hanging="720"/>
      </w:pPr>
      <w:rPr>
        <w:rFonts w:hint="default"/>
      </w:rPr>
    </w:lvl>
  </w:abstractNum>
  <w:abstractNum w:abstractNumId="22"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3" w15:restartNumberingAfterBreak="0">
    <w:nsid w:val="1D6D11B7"/>
    <w:multiLevelType w:val="singleLevel"/>
    <w:tmpl w:val="AF7E0414"/>
    <w:lvl w:ilvl="0">
      <w:start w:val="1"/>
      <w:numFmt w:val="lowerLetter"/>
      <w:lvlText w:val="(%1)"/>
      <w:lvlJc w:val="left"/>
      <w:pPr>
        <w:tabs>
          <w:tab w:val="num" w:pos="720"/>
        </w:tabs>
        <w:ind w:left="720" w:hanging="720"/>
      </w:pPr>
      <w:rPr>
        <w:rFonts w:hint="default"/>
      </w:rPr>
    </w:lvl>
  </w:abstractNum>
  <w:abstractNum w:abstractNumId="24" w15:restartNumberingAfterBreak="0">
    <w:nsid w:val="29AE3DD1"/>
    <w:multiLevelType w:val="singleLevel"/>
    <w:tmpl w:val="5C92B9B0"/>
    <w:lvl w:ilvl="0">
      <w:start w:val="1"/>
      <w:numFmt w:val="decimal"/>
      <w:lvlRestart w:val="0"/>
      <w:pStyle w:val="ParaNumbering"/>
      <w:lvlText w:val="%1"/>
      <w:lvlJc w:val="left"/>
      <w:pPr>
        <w:tabs>
          <w:tab w:val="num" w:pos="1865"/>
        </w:tabs>
        <w:ind w:left="1145" w:hanging="720"/>
      </w:pPr>
      <w:rPr>
        <w:rFonts w:hint="default"/>
        <w:sz w:val="20"/>
      </w:rPr>
    </w:lvl>
  </w:abstractNum>
  <w:abstractNum w:abstractNumId="25"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6" w15:restartNumberingAfterBreak="0">
    <w:nsid w:val="2B06526F"/>
    <w:multiLevelType w:val="singleLevel"/>
    <w:tmpl w:val="AF7E0414"/>
    <w:lvl w:ilvl="0">
      <w:start w:val="1"/>
      <w:numFmt w:val="lowerLetter"/>
      <w:lvlText w:val="(%1)"/>
      <w:lvlJc w:val="left"/>
      <w:pPr>
        <w:tabs>
          <w:tab w:val="num" w:pos="720"/>
        </w:tabs>
        <w:ind w:left="720" w:hanging="720"/>
      </w:pPr>
      <w:rPr>
        <w:rFonts w:hint="default"/>
      </w:rPr>
    </w:lvl>
  </w:abstractNum>
  <w:abstractNum w:abstractNumId="27" w15:restartNumberingAfterBreak="0">
    <w:nsid w:val="2BD660D9"/>
    <w:multiLevelType w:val="singleLevel"/>
    <w:tmpl w:val="AF7E0414"/>
    <w:lvl w:ilvl="0">
      <w:start w:val="1"/>
      <w:numFmt w:val="lowerLetter"/>
      <w:lvlText w:val="(%1)"/>
      <w:lvlJc w:val="left"/>
      <w:pPr>
        <w:tabs>
          <w:tab w:val="num" w:pos="720"/>
        </w:tabs>
        <w:ind w:left="720" w:hanging="720"/>
      </w:pPr>
      <w:rPr>
        <w:rFonts w:hint="default"/>
      </w:rPr>
    </w:lvl>
  </w:abstractNum>
  <w:abstractNum w:abstractNumId="28" w15:restartNumberingAfterBreak="0">
    <w:nsid w:val="2CDD461A"/>
    <w:multiLevelType w:val="hybridMultilevel"/>
    <w:tmpl w:val="6F72F164"/>
    <w:lvl w:ilvl="0" w:tplc="066CCD36">
      <w:start w:val="1"/>
      <w:numFmt w:val="lowerRoman"/>
      <w:lvlText w:val="(%1)"/>
      <w:lvlJc w:val="left"/>
      <w:pPr>
        <w:ind w:left="720" w:hanging="360"/>
      </w:pPr>
      <w:rPr>
        <w:rFonts w:ascii="Times New Roman" w:eastAsia="Batang" w:hAnsi="Times New Roman" w:cs="Times New Roman"/>
      </w:rPr>
    </w:lvl>
    <w:lvl w:ilvl="1" w:tplc="2CE6E468" w:tentative="1">
      <w:start w:val="1"/>
      <w:numFmt w:val="lowerLetter"/>
      <w:lvlText w:val="%2."/>
      <w:lvlJc w:val="left"/>
      <w:pPr>
        <w:ind w:left="1440" w:hanging="360"/>
      </w:pPr>
    </w:lvl>
    <w:lvl w:ilvl="2" w:tplc="2CE83FB2" w:tentative="1">
      <w:start w:val="1"/>
      <w:numFmt w:val="lowerRoman"/>
      <w:lvlText w:val="%3."/>
      <w:lvlJc w:val="right"/>
      <w:pPr>
        <w:ind w:left="2160" w:hanging="180"/>
      </w:pPr>
    </w:lvl>
    <w:lvl w:ilvl="3" w:tplc="F774B384" w:tentative="1">
      <w:start w:val="1"/>
      <w:numFmt w:val="decimal"/>
      <w:lvlText w:val="%4."/>
      <w:lvlJc w:val="left"/>
      <w:pPr>
        <w:ind w:left="2880" w:hanging="360"/>
      </w:pPr>
    </w:lvl>
    <w:lvl w:ilvl="4" w:tplc="64523612" w:tentative="1">
      <w:start w:val="1"/>
      <w:numFmt w:val="lowerLetter"/>
      <w:lvlText w:val="%5."/>
      <w:lvlJc w:val="left"/>
      <w:pPr>
        <w:ind w:left="3600" w:hanging="360"/>
      </w:pPr>
    </w:lvl>
    <w:lvl w:ilvl="5" w:tplc="A2D2C384" w:tentative="1">
      <w:start w:val="1"/>
      <w:numFmt w:val="lowerRoman"/>
      <w:lvlText w:val="%6."/>
      <w:lvlJc w:val="right"/>
      <w:pPr>
        <w:ind w:left="4320" w:hanging="180"/>
      </w:pPr>
    </w:lvl>
    <w:lvl w:ilvl="6" w:tplc="2ACC2EC4" w:tentative="1">
      <w:start w:val="1"/>
      <w:numFmt w:val="decimal"/>
      <w:lvlText w:val="%7."/>
      <w:lvlJc w:val="left"/>
      <w:pPr>
        <w:ind w:left="5040" w:hanging="360"/>
      </w:pPr>
    </w:lvl>
    <w:lvl w:ilvl="7" w:tplc="5DDC4E5A" w:tentative="1">
      <w:start w:val="1"/>
      <w:numFmt w:val="lowerLetter"/>
      <w:lvlText w:val="%8."/>
      <w:lvlJc w:val="left"/>
      <w:pPr>
        <w:ind w:left="5760" w:hanging="360"/>
      </w:pPr>
    </w:lvl>
    <w:lvl w:ilvl="8" w:tplc="2836F0FC" w:tentative="1">
      <w:start w:val="1"/>
      <w:numFmt w:val="lowerRoman"/>
      <w:lvlText w:val="%9."/>
      <w:lvlJc w:val="right"/>
      <w:pPr>
        <w:ind w:left="6480" w:hanging="180"/>
      </w:pPr>
    </w:lvl>
  </w:abstractNum>
  <w:abstractNum w:abstractNumId="29" w15:restartNumberingAfterBreak="0">
    <w:nsid w:val="2DBC2EC1"/>
    <w:multiLevelType w:val="singleLevel"/>
    <w:tmpl w:val="8EC48C62"/>
    <w:lvl w:ilvl="0">
      <w:start w:val="1"/>
      <w:numFmt w:val="lowerLetter"/>
      <w:lvlText w:val="(%1)"/>
      <w:lvlJc w:val="left"/>
      <w:pPr>
        <w:tabs>
          <w:tab w:val="num" w:pos="720"/>
        </w:tabs>
        <w:ind w:left="720" w:hanging="720"/>
      </w:pPr>
      <w:rPr>
        <w:rFonts w:hint="default"/>
      </w:rPr>
    </w:lvl>
  </w:abstractNum>
  <w:abstractNum w:abstractNumId="30" w15:restartNumberingAfterBreak="0">
    <w:nsid w:val="33561E2E"/>
    <w:multiLevelType w:val="hybridMultilevel"/>
    <w:tmpl w:val="E0D27D0E"/>
    <w:lvl w:ilvl="0" w:tplc="CCAA50C0">
      <w:start w:val="1"/>
      <w:numFmt w:val="bullet"/>
      <w:pStyle w:val="Quote3Bullet"/>
      <w:lvlText w:val=""/>
      <w:lvlJc w:val="left"/>
      <w:pPr>
        <w:ind w:left="2880" w:hanging="360"/>
      </w:pPr>
      <w:rPr>
        <w:rFonts w:ascii="Wingdings" w:hAnsi="Wingdings" w:hint="default"/>
      </w:rPr>
    </w:lvl>
    <w:lvl w:ilvl="1" w:tplc="7084E14C" w:tentative="1">
      <w:start w:val="1"/>
      <w:numFmt w:val="bullet"/>
      <w:lvlText w:val="o"/>
      <w:lvlJc w:val="left"/>
      <w:pPr>
        <w:ind w:left="3600" w:hanging="360"/>
      </w:pPr>
      <w:rPr>
        <w:rFonts w:ascii="Courier New" w:hAnsi="Courier New" w:cs="Courier New" w:hint="default"/>
      </w:rPr>
    </w:lvl>
    <w:lvl w:ilvl="2" w:tplc="ADD08F0E" w:tentative="1">
      <w:start w:val="1"/>
      <w:numFmt w:val="bullet"/>
      <w:lvlText w:val=""/>
      <w:lvlJc w:val="left"/>
      <w:pPr>
        <w:ind w:left="4320" w:hanging="360"/>
      </w:pPr>
      <w:rPr>
        <w:rFonts w:ascii="Wingdings" w:hAnsi="Wingdings" w:hint="default"/>
      </w:rPr>
    </w:lvl>
    <w:lvl w:ilvl="3" w:tplc="B2C6CF70" w:tentative="1">
      <w:start w:val="1"/>
      <w:numFmt w:val="bullet"/>
      <w:lvlText w:val=""/>
      <w:lvlJc w:val="left"/>
      <w:pPr>
        <w:ind w:left="5040" w:hanging="360"/>
      </w:pPr>
      <w:rPr>
        <w:rFonts w:ascii="Symbol" w:hAnsi="Symbol" w:hint="default"/>
      </w:rPr>
    </w:lvl>
    <w:lvl w:ilvl="4" w:tplc="9D6A727A" w:tentative="1">
      <w:start w:val="1"/>
      <w:numFmt w:val="bullet"/>
      <w:lvlText w:val="o"/>
      <w:lvlJc w:val="left"/>
      <w:pPr>
        <w:ind w:left="5760" w:hanging="360"/>
      </w:pPr>
      <w:rPr>
        <w:rFonts w:ascii="Courier New" w:hAnsi="Courier New" w:cs="Courier New" w:hint="default"/>
      </w:rPr>
    </w:lvl>
    <w:lvl w:ilvl="5" w:tplc="2A2E9E7A" w:tentative="1">
      <w:start w:val="1"/>
      <w:numFmt w:val="bullet"/>
      <w:lvlText w:val=""/>
      <w:lvlJc w:val="left"/>
      <w:pPr>
        <w:ind w:left="6480" w:hanging="360"/>
      </w:pPr>
      <w:rPr>
        <w:rFonts w:ascii="Wingdings" w:hAnsi="Wingdings" w:hint="default"/>
      </w:rPr>
    </w:lvl>
    <w:lvl w:ilvl="6" w:tplc="5BF2E3CC" w:tentative="1">
      <w:start w:val="1"/>
      <w:numFmt w:val="bullet"/>
      <w:lvlText w:val=""/>
      <w:lvlJc w:val="left"/>
      <w:pPr>
        <w:ind w:left="7200" w:hanging="360"/>
      </w:pPr>
      <w:rPr>
        <w:rFonts w:ascii="Symbol" w:hAnsi="Symbol" w:hint="default"/>
      </w:rPr>
    </w:lvl>
    <w:lvl w:ilvl="7" w:tplc="ADEE0A9E" w:tentative="1">
      <w:start w:val="1"/>
      <w:numFmt w:val="bullet"/>
      <w:lvlText w:val="o"/>
      <w:lvlJc w:val="left"/>
      <w:pPr>
        <w:ind w:left="7920" w:hanging="360"/>
      </w:pPr>
      <w:rPr>
        <w:rFonts w:ascii="Courier New" w:hAnsi="Courier New" w:cs="Courier New" w:hint="default"/>
      </w:rPr>
    </w:lvl>
    <w:lvl w:ilvl="8" w:tplc="B440734E" w:tentative="1">
      <w:start w:val="1"/>
      <w:numFmt w:val="bullet"/>
      <w:lvlText w:val=""/>
      <w:lvlJc w:val="left"/>
      <w:pPr>
        <w:ind w:left="8640" w:hanging="360"/>
      </w:pPr>
      <w:rPr>
        <w:rFonts w:ascii="Wingdings" w:hAnsi="Wingdings" w:hint="default"/>
      </w:rPr>
    </w:lvl>
  </w:abstractNum>
  <w:abstractNum w:abstractNumId="31" w15:restartNumberingAfterBreak="0">
    <w:nsid w:val="34957BBB"/>
    <w:multiLevelType w:val="hybridMultilevel"/>
    <w:tmpl w:val="0A328958"/>
    <w:lvl w:ilvl="0" w:tplc="205495AC">
      <w:start w:val="2"/>
      <w:numFmt w:val="lowerLetter"/>
      <w:lvlText w:val="(%1)"/>
      <w:lvlJc w:val="left"/>
      <w:pPr>
        <w:tabs>
          <w:tab w:val="num" w:pos="720"/>
        </w:tabs>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135AA1"/>
    <w:multiLevelType w:val="singleLevel"/>
    <w:tmpl w:val="4234298A"/>
    <w:lvl w:ilvl="0">
      <w:start w:val="1"/>
      <w:numFmt w:val="lowerLetter"/>
      <w:pStyle w:val="ListNo1"/>
      <w:lvlText w:val="(%1)"/>
      <w:lvlJc w:val="left"/>
      <w:pPr>
        <w:tabs>
          <w:tab w:val="num" w:pos="720"/>
        </w:tabs>
        <w:ind w:left="720" w:hanging="720"/>
      </w:pPr>
      <w:rPr>
        <w:rFonts w:hint="default"/>
      </w:rPr>
    </w:lvl>
  </w:abstractNum>
  <w:abstractNum w:abstractNumId="33" w15:restartNumberingAfterBreak="0">
    <w:nsid w:val="37FA3CB2"/>
    <w:multiLevelType w:val="singleLevel"/>
    <w:tmpl w:val="0DC80352"/>
    <w:lvl w:ilvl="0">
      <w:start w:val="1"/>
      <w:numFmt w:val="lowerLetter"/>
      <w:lvlText w:val="(%1)"/>
      <w:lvlJc w:val="left"/>
      <w:pPr>
        <w:tabs>
          <w:tab w:val="num" w:pos="720"/>
        </w:tabs>
        <w:ind w:left="720" w:hanging="720"/>
      </w:pPr>
      <w:rPr>
        <w:rFonts w:ascii="Times New Roman" w:eastAsia="Times New Roman" w:hAnsi="Times New Roman" w:cs="Times New Roman" w:hint="default"/>
        <w:spacing w:val="-3"/>
        <w:w w:val="99"/>
        <w:sz w:val="24"/>
        <w:szCs w:val="24"/>
        <w:lang w:val="en-AU" w:eastAsia="en-AU" w:bidi="en-AU"/>
      </w:rPr>
    </w:lvl>
  </w:abstractNum>
  <w:abstractNum w:abstractNumId="34" w15:restartNumberingAfterBreak="0">
    <w:nsid w:val="39930DB2"/>
    <w:multiLevelType w:val="singleLevel"/>
    <w:tmpl w:val="AF7E0414"/>
    <w:lvl w:ilvl="0">
      <w:start w:val="1"/>
      <w:numFmt w:val="lowerLetter"/>
      <w:lvlText w:val="(%1)"/>
      <w:lvlJc w:val="left"/>
      <w:pPr>
        <w:tabs>
          <w:tab w:val="num" w:pos="720"/>
        </w:tabs>
        <w:ind w:left="720" w:hanging="720"/>
      </w:pPr>
      <w:rPr>
        <w:rFonts w:hint="default"/>
      </w:rPr>
    </w:lvl>
  </w:abstractNum>
  <w:abstractNum w:abstractNumId="35" w15:restartNumberingAfterBreak="0">
    <w:nsid w:val="448E388F"/>
    <w:multiLevelType w:val="singleLevel"/>
    <w:tmpl w:val="77F2EFE8"/>
    <w:lvl w:ilvl="0">
      <w:start w:val="1"/>
      <w:numFmt w:val="lowerLetter"/>
      <w:lvlText w:val="(%1)"/>
      <w:lvlJc w:val="left"/>
      <w:pPr>
        <w:tabs>
          <w:tab w:val="num" w:pos="720"/>
        </w:tabs>
        <w:ind w:left="720" w:hanging="720"/>
      </w:pPr>
      <w:rPr>
        <w:rFonts w:hint="default"/>
      </w:rPr>
    </w:lvl>
  </w:abstractNum>
  <w:abstractNum w:abstractNumId="36" w15:restartNumberingAfterBreak="0">
    <w:nsid w:val="45434B2B"/>
    <w:multiLevelType w:val="hybridMultilevel"/>
    <w:tmpl w:val="28F23F7E"/>
    <w:lvl w:ilvl="0" w:tplc="0CD23E68">
      <w:start w:val="1"/>
      <w:numFmt w:val="bullet"/>
      <w:lvlText w:val="-"/>
      <w:lvlJc w:val="left"/>
      <w:pPr>
        <w:ind w:left="1097" w:hanging="360"/>
      </w:pPr>
      <w:rPr>
        <w:rFonts w:ascii="Times New Roman" w:eastAsia="Batang" w:hAnsi="Times New Roman" w:cs="Times New Roman" w:hint="default"/>
      </w:rPr>
    </w:lvl>
    <w:lvl w:ilvl="1" w:tplc="7A0A608A" w:tentative="1">
      <w:start w:val="1"/>
      <w:numFmt w:val="bullet"/>
      <w:lvlText w:val="o"/>
      <w:lvlJc w:val="left"/>
      <w:pPr>
        <w:ind w:left="1817" w:hanging="360"/>
      </w:pPr>
      <w:rPr>
        <w:rFonts w:ascii="Courier New" w:hAnsi="Courier New" w:cs="Courier New" w:hint="default"/>
      </w:rPr>
    </w:lvl>
    <w:lvl w:ilvl="2" w:tplc="2410F846" w:tentative="1">
      <w:start w:val="1"/>
      <w:numFmt w:val="bullet"/>
      <w:lvlText w:val=""/>
      <w:lvlJc w:val="left"/>
      <w:pPr>
        <w:ind w:left="2537" w:hanging="360"/>
      </w:pPr>
      <w:rPr>
        <w:rFonts w:ascii="Wingdings" w:hAnsi="Wingdings" w:hint="default"/>
      </w:rPr>
    </w:lvl>
    <w:lvl w:ilvl="3" w:tplc="5F523C04" w:tentative="1">
      <w:start w:val="1"/>
      <w:numFmt w:val="bullet"/>
      <w:lvlText w:val=""/>
      <w:lvlJc w:val="left"/>
      <w:pPr>
        <w:ind w:left="3257" w:hanging="360"/>
      </w:pPr>
      <w:rPr>
        <w:rFonts w:ascii="Symbol" w:hAnsi="Symbol" w:hint="default"/>
      </w:rPr>
    </w:lvl>
    <w:lvl w:ilvl="4" w:tplc="BC20CC7C" w:tentative="1">
      <w:start w:val="1"/>
      <w:numFmt w:val="bullet"/>
      <w:lvlText w:val="o"/>
      <w:lvlJc w:val="left"/>
      <w:pPr>
        <w:ind w:left="3977" w:hanging="360"/>
      </w:pPr>
      <w:rPr>
        <w:rFonts w:ascii="Courier New" w:hAnsi="Courier New" w:cs="Courier New" w:hint="default"/>
      </w:rPr>
    </w:lvl>
    <w:lvl w:ilvl="5" w:tplc="30F0D15E" w:tentative="1">
      <w:start w:val="1"/>
      <w:numFmt w:val="bullet"/>
      <w:lvlText w:val=""/>
      <w:lvlJc w:val="left"/>
      <w:pPr>
        <w:ind w:left="4697" w:hanging="360"/>
      </w:pPr>
      <w:rPr>
        <w:rFonts w:ascii="Wingdings" w:hAnsi="Wingdings" w:hint="default"/>
      </w:rPr>
    </w:lvl>
    <w:lvl w:ilvl="6" w:tplc="891200AE" w:tentative="1">
      <w:start w:val="1"/>
      <w:numFmt w:val="bullet"/>
      <w:lvlText w:val=""/>
      <w:lvlJc w:val="left"/>
      <w:pPr>
        <w:ind w:left="5417" w:hanging="360"/>
      </w:pPr>
      <w:rPr>
        <w:rFonts w:ascii="Symbol" w:hAnsi="Symbol" w:hint="default"/>
      </w:rPr>
    </w:lvl>
    <w:lvl w:ilvl="7" w:tplc="794E4910" w:tentative="1">
      <w:start w:val="1"/>
      <w:numFmt w:val="bullet"/>
      <w:lvlText w:val="o"/>
      <w:lvlJc w:val="left"/>
      <w:pPr>
        <w:ind w:left="6137" w:hanging="360"/>
      </w:pPr>
      <w:rPr>
        <w:rFonts w:ascii="Courier New" w:hAnsi="Courier New" w:cs="Courier New" w:hint="default"/>
      </w:rPr>
    </w:lvl>
    <w:lvl w:ilvl="8" w:tplc="45EE3824" w:tentative="1">
      <w:start w:val="1"/>
      <w:numFmt w:val="bullet"/>
      <w:lvlText w:val=""/>
      <w:lvlJc w:val="left"/>
      <w:pPr>
        <w:ind w:left="6857" w:hanging="360"/>
      </w:pPr>
      <w:rPr>
        <w:rFonts w:ascii="Wingdings" w:hAnsi="Wingdings" w:hint="default"/>
      </w:rPr>
    </w:lvl>
  </w:abstractNum>
  <w:abstractNum w:abstractNumId="37" w15:restartNumberingAfterBreak="0">
    <w:nsid w:val="457A1C22"/>
    <w:multiLevelType w:val="singleLevel"/>
    <w:tmpl w:val="AF7E0414"/>
    <w:lvl w:ilvl="0">
      <w:start w:val="1"/>
      <w:numFmt w:val="lowerLetter"/>
      <w:lvlText w:val="(%1)"/>
      <w:lvlJc w:val="left"/>
      <w:pPr>
        <w:tabs>
          <w:tab w:val="num" w:pos="720"/>
        </w:tabs>
        <w:ind w:left="720" w:hanging="720"/>
      </w:pPr>
      <w:rPr>
        <w:rFonts w:hint="default"/>
      </w:rPr>
    </w:lvl>
  </w:abstractNum>
  <w:abstractNum w:abstractNumId="38"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4CEE0239"/>
    <w:multiLevelType w:val="hybridMultilevel"/>
    <w:tmpl w:val="E1E4AC36"/>
    <w:lvl w:ilvl="0" w:tplc="40C2D68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3A771F"/>
    <w:multiLevelType w:val="singleLevel"/>
    <w:tmpl w:val="F17A6AEC"/>
    <w:lvl w:ilvl="0">
      <w:start w:val="1"/>
      <w:numFmt w:val="lowerLetter"/>
      <w:lvlText w:val="(%1)"/>
      <w:lvlJc w:val="left"/>
      <w:pPr>
        <w:tabs>
          <w:tab w:val="num" w:pos="720"/>
        </w:tabs>
        <w:ind w:left="720" w:hanging="720"/>
      </w:pPr>
      <w:rPr>
        <w:rFonts w:hint="default"/>
      </w:rPr>
    </w:lvl>
  </w:abstractNum>
  <w:abstractNum w:abstractNumId="42" w15:restartNumberingAfterBreak="0">
    <w:nsid w:val="5F161B9F"/>
    <w:multiLevelType w:val="singleLevel"/>
    <w:tmpl w:val="AF7E0414"/>
    <w:lvl w:ilvl="0">
      <w:start w:val="1"/>
      <w:numFmt w:val="lowerLetter"/>
      <w:lvlText w:val="(%1)"/>
      <w:lvlJc w:val="left"/>
      <w:pPr>
        <w:tabs>
          <w:tab w:val="num" w:pos="720"/>
        </w:tabs>
        <w:ind w:left="720" w:hanging="720"/>
      </w:pPr>
      <w:rPr>
        <w:rFonts w:hint="default"/>
      </w:rPr>
    </w:lvl>
  </w:abstractNum>
  <w:abstractNum w:abstractNumId="4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6E255F0C"/>
    <w:multiLevelType w:val="singleLevel"/>
    <w:tmpl w:val="AF7E0414"/>
    <w:lvl w:ilvl="0">
      <w:start w:val="1"/>
      <w:numFmt w:val="lowerLetter"/>
      <w:lvlText w:val="(%1)"/>
      <w:lvlJc w:val="left"/>
      <w:pPr>
        <w:tabs>
          <w:tab w:val="num" w:pos="720"/>
        </w:tabs>
        <w:ind w:left="720" w:hanging="720"/>
      </w:pPr>
      <w:rPr>
        <w:rFonts w:hint="default"/>
      </w:rPr>
    </w:lvl>
  </w:abstractNum>
  <w:abstractNum w:abstractNumId="45" w15:restartNumberingAfterBreak="0">
    <w:nsid w:val="6F9B6398"/>
    <w:multiLevelType w:val="hybridMultilevel"/>
    <w:tmpl w:val="0E4CBD92"/>
    <w:lvl w:ilvl="0" w:tplc="EB70B8CA">
      <w:start w:val="1"/>
      <w:numFmt w:val="bullet"/>
      <w:pStyle w:val="Quote1Bullet"/>
      <w:lvlText w:val=""/>
      <w:lvlJc w:val="left"/>
      <w:pPr>
        <w:ind w:left="1457" w:hanging="360"/>
      </w:pPr>
      <w:rPr>
        <w:rFonts w:ascii="Wingdings" w:hAnsi="Wingdings" w:hint="default"/>
      </w:rPr>
    </w:lvl>
    <w:lvl w:ilvl="1" w:tplc="D3E6D780" w:tentative="1">
      <w:start w:val="1"/>
      <w:numFmt w:val="bullet"/>
      <w:lvlText w:val="o"/>
      <w:lvlJc w:val="left"/>
      <w:pPr>
        <w:ind w:left="2177" w:hanging="360"/>
      </w:pPr>
      <w:rPr>
        <w:rFonts w:ascii="Courier New" w:hAnsi="Courier New" w:cs="Courier New" w:hint="default"/>
      </w:rPr>
    </w:lvl>
    <w:lvl w:ilvl="2" w:tplc="CB1EC60A" w:tentative="1">
      <w:start w:val="1"/>
      <w:numFmt w:val="bullet"/>
      <w:lvlText w:val=""/>
      <w:lvlJc w:val="left"/>
      <w:pPr>
        <w:ind w:left="2897" w:hanging="360"/>
      </w:pPr>
      <w:rPr>
        <w:rFonts w:ascii="Wingdings" w:hAnsi="Wingdings" w:hint="default"/>
      </w:rPr>
    </w:lvl>
    <w:lvl w:ilvl="3" w:tplc="1A663F24" w:tentative="1">
      <w:start w:val="1"/>
      <w:numFmt w:val="bullet"/>
      <w:lvlText w:val=""/>
      <w:lvlJc w:val="left"/>
      <w:pPr>
        <w:ind w:left="3617" w:hanging="360"/>
      </w:pPr>
      <w:rPr>
        <w:rFonts w:ascii="Symbol" w:hAnsi="Symbol" w:hint="default"/>
      </w:rPr>
    </w:lvl>
    <w:lvl w:ilvl="4" w:tplc="D1D8E8C8" w:tentative="1">
      <w:start w:val="1"/>
      <w:numFmt w:val="bullet"/>
      <w:lvlText w:val="o"/>
      <w:lvlJc w:val="left"/>
      <w:pPr>
        <w:ind w:left="4337" w:hanging="360"/>
      </w:pPr>
      <w:rPr>
        <w:rFonts w:ascii="Courier New" w:hAnsi="Courier New" w:cs="Courier New" w:hint="default"/>
      </w:rPr>
    </w:lvl>
    <w:lvl w:ilvl="5" w:tplc="FBA2322C" w:tentative="1">
      <w:start w:val="1"/>
      <w:numFmt w:val="bullet"/>
      <w:lvlText w:val=""/>
      <w:lvlJc w:val="left"/>
      <w:pPr>
        <w:ind w:left="5057" w:hanging="360"/>
      </w:pPr>
      <w:rPr>
        <w:rFonts w:ascii="Wingdings" w:hAnsi="Wingdings" w:hint="default"/>
      </w:rPr>
    </w:lvl>
    <w:lvl w:ilvl="6" w:tplc="30DE233C" w:tentative="1">
      <w:start w:val="1"/>
      <w:numFmt w:val="bullet"/>
      <w:lvlText w:val=""/>
      <w:lvlJc w:val="left"/>
      <w:pPr>
        <w:ind w:left="5777" w:hanging="360"/>
      </w:pPr>
      <w:rPr>
        <w:rFonts w:ascii="Symbol" w:hAnsi="Symbol" w:hint="default"/>
      </w:rPr>
    </w:lvl>
    <w:lvl w:ilvl="7" w:tplc="028CFEE0" w:tentative="1">
      <w:start w:val="1"/>
      <w:numFmt w:val="bullet"/>
      <w:lvlText w:val="o"/>
      <w:lvlJc w:val="left"/>
      <w:pPr>
        <w:ind w:left="6497" w:hanging="360"/>
      </w:pPr>
      <w:rPr>
        <w:rFonts w:ascii="Courier New" w:hAnsi="Courier New" w:cs="Courier New" w:hint="default"/>
      </w:rPr>
    </w:lvl>
    <w:lvl w:ilvl="8" w:tplc="99A24D3E" w:tentative="1">
      <w:start w:val="1"/>
      <w:numFmt w:val="bullet"/>
      <w:lvlText w:val=""/>
      <w:lvlJc w:val="left"/>
      <w:pPr>
        <w:ind w:left="7217" w:hanging="360"/>
      </w:pPr>
      <w:rPr>
        <w:rFonts w:ascii="Wingdings" w:hAnsi="Wingdings" w:hint="default"/>
      </w:rPr>
    </w:lvl>
  </w:abstractNum>
  <w:abstractNum w:abstractNumId="46" w15:restartNumberingAfterBreak="0">
    <w:nsid w:val="74C74CC7"/>
    <w:multiLevelType w:val="singleLevel"/>
    <w:tmpl w:val="AF7E0414"/>
    <w:lvl w:ilvl="0">
      <w:start w:val="1"/>
      <w:numFmt w:val="lowerLetter"/>
      <w:lvlText w:val="(%1)"/>
      <w:lvlJc w:val="left"/>
      <w:pPr>
        <w:tabs>
          <w:tab w:val="num" w:pos="720"/>
        </w:tabs>
        <w:ind w:left="720" w:hanging="720"/>
      </w:pPr>
    </w:lvl>
  </w:abstractNum>
  <w:abstractNum w:abstractNumId="47" w15:restartNumberingAfterBreak="0">
    <w:nsid w:val="794F1080"/>
    <w:multiLevelType w:val="singleLevel"/>
    <w:tmpl w:val="AF7E0414"/>
    <w:lvl w:ilvl="0">
      <w:start w:val="1"/>
      <w:numFmt w:val="lowerLetter"/>
      <w:lvlText w:val="(%1)"/>
      <w:lvlJc w:val="left"/>
      <w:pPr>
        <w:tabs>
          <w:tab w:val="num" w:pos="720"/>
        </w:tabs>
        <w:ind w:left="720" w:hanging="720"/>
      </w:pPr>
      <w:rPr>
        <w:rFonts w:hint="default"/>
      </w:rPr>
    </w:lvl>
  </w:abstractNum>
  <w:abstractNum w:abstractNumId="48" w15:restartNumberingAfterBreak="0">
    <w:nsid w:val="7B791AA4"/>
    <w:multiLevelType w:val="singleLevel"/>
    <w:tmpl w:val="8EC48C62"/>
    <w:lvl w:ilvl="0">
      <w:start w:val="1"/>
      <w:numFmt w:val="lowerLetter"/>
      <w:lvlText w:val="(%1)"/>
      <w:lvlJc w:val="left"/>
      <w:pPr>
        <w:tabs>
          <w:tab w:val="num" w:pos="720"/>
        </w:tabs>
        <w:ind w:left="720" w:hanging="720"/>
      </w:pPr>
      <w:rPr>
        <w:rFonts w:hint="default"/>
      </w:rPr>
    </w:lvl>
  </w:abstractNum>
  <w:abstractNum w:abstractNumId="4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50" w15:restartNumberingAfterBreak="0">
    <w:nsid w:val="7FB217B9"/>
    <w:multiLevelType w:val="singleLevel"/>
    <w:tmpl w:val="AF7E0414"/>
    <w:lvl w:ilvl="0">
      <w:start w:val="1"/>
      <w:numFmt w:val="lowerLetter"/>
      <w:lvlText w:val="(%1)"/>
      <w:lvlJc w:val="left"/>
      <w:pPr>
        <w:tabs>
          <w:tab w:val="num" w:pos="720"/>
        </w:tabs>
        <w:ind w:left="720" w:hanging="720"/>
      </w:pPr>
      <w:rPr>
        <w:rFonts w:hint="default"/>
      </w:rPr>
    </w:lvl>
  </w:abstractNum>
  <w:num w:numId="1">
    <w:abstractNumId w:val="2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3"/>
  </w:num>
  <w:num w:numId="14">
    <w:abstractNumId w:val="38"/>
  </w:num>
  <w:num w:numId="15">
    <w:abstractNumId w:val="39"/>
  </w:num>
  <w:num w:numId="16">
    <w:abstractNumId w:val="49"/>
  </w:num>
  <w:num w:numId="17">
    <w:abstractNumId w:val="22"/>
  </w:num>
  <w:num w:numId="18">
    <w:abstractNumId w:val="45"/>
  </w:num>
  <w:num w:numId="19">
    <w:abstractNumId w:val="17"/>
  </w:num>
  <w:num w:numId="20">
    <w:abstractNumId w:val="30"/>
  </w:num>
  <w:num w:numId="21">
    <w:abstractNumId w:val="25"/>
  </w:num>
  <w:num w:numId="22">
    <w:abstractNumId w:val="25"/>
  </w:num>
  <w:num w:numId="23">
    <w:abstractNumId w:val="35"/>
  </w:num>
  <w:num w:numId="24">
    <w:abstractNumId w:val="15"/>
  </w:num>
  <w:num w:numId="25">
    <w:abstractNumId w:val="29"/>
  </w:num>
  <w:num w:numId="26">
    <w:abstractNumId w:val="12"/>
  </w:num>
  <w:num w:numId="27">
    <w:abstractNumId w:val="41"/>
    <w:lvlOverride w:ilvl="0">
      <w:startOverride w:val="1"/>
    </w:lvlOverride>
  </w:num>
  <w:num w:numId="28">
    <w:abstractNumId w:val="21"/>
  </w:num>
  <w:num w:numId="29">
    <w:abstractNumId w:val="32"/>
  </w:num>
  <w:num w:numId="30">
    <w:abstractNumId w:val="27"/>
  </w:num>
  <w:num w:numId="31">
    <w:abstractNumId w:val="26"/>
    <w:lvlOverride w:ilvl="0">
      <w:startOverride w:val="1"/>
    </w:lvlOverride>
  </w:num>
  <w:num w:numId="32">
    <w:abstractNumId w:val="48"/>
    <w:lvlOverride w:ilvl="0">
      <w:startOverride w:val="1"/>
    </w:lvlOverride>
  </w:num>
  <w:num w:numId="33">
    <w:abstractNumId w:val="37"/>
  </w:num>
  <w:num w:numId="34">
    <w:abstractNumId w:val="34"/>
  </w:num>
  <w:num w:numId="35">
    <w:abstractNumId w:val="18"/>
  </w:num>
  <w:num w:numId="36">
    <w:abstractNumId w:val="44"/>
  </w:num>
  <w:num w:numId="37">
    <w:abstractNumId w:val="50"/>
  </w:num>
  <w:num w:numId="38">
    <w:abstractNumId w:val="20"/>
    <w:lvlOverride w:ilvl="0">
      <w:startOverride w:val="1"/>
    </w:lvlOverride>
  </w:num>
  <w:num w:numId="39">
    <w:abstractNumId w:val="28"/>
  </w:num>
  <w:num w:numId="40">
    <w:abstractNumId w:val="10"/>
  </w:num>
  <w:num w:numId="41">
    <w:abstractNumId w:val="23"/>
  </w:num>
  <w:num w:numId="42">
    <w:abstractNumId w:val="33"/>
  </w:num>
  <w:num w:numId="43">
    <w:abstractNumId w:val="36"/>
  </w:num>
  <w:num w:numId="44">
    <w:abstractNumId w:val="46"/>
    <w:lvlOverride w:ilvl="0">
      <w:startOverride w:val="1"/>
    </w:lvlOverride>
  </w:num>
  <w:num w:numId="45">
    <w:abstractNumId w:val="13"/>
  </w:num>
  <w:num w:numId="46">
    <w:abstractNumId w:val="32"/>
    <w:lvlOverride w:ilvl="0">
      <w:startOverride w:val="1"/>
    </w:lvlOverride>
  </w:num>
  <w:num w:numId="47">
    <w:abstractNumId w:val="42"/>
  </w:num>
  <w:num w:numId="48">
    <w:abstractNumId w:val="32"/>
  </w:num>
  <w:num w:numId="49">
    <w:abstractNumId w:val="32"/>
    <w:lvlOverride w:ilvl="0">
      <w:startOverride w:val="1"/>
    </w:lvlOverride>
  </w:num>
  <w:num w:numId="50">
    <w:abstractNumId w:val="32"/>
    <w:lvlOverride w:ilvl="0">
      <w:startOverride w:val="1"/>
    </w:lvlOverride>
  </w:num>
  <w:num w:numId="51">
    <w:abstractNumId w:val="11"/>
    <w:lvlOverride w:ilvl="0">
      <w:startOverride w:val="1"/>
    </w:lvlOverride>
  </w:num>
  <w:num w:numId="52">
    <w:abstractNumId w:val="16"/>
  </w:num>
  <w:num w:numId="53">
    <w:abstractNumId w:val="47"/>
  </w:num>
  <w:num w:numId="54">
    <w:abstractNumId w:val="32"/>
    <w:lvlOverride w:ilvl="0">
      <w:startOverride w:val="1"/>
    </w:lvlOverride>
  </w:num>
  <w:num w:numId="55">
    <w:abstractNumId w:val="14"/>
  </w:num>
  <w:num w:numId="56">
    <w:abstractNumId w:val="32"/>
    <w:lvlOverride w:ilvl="0">
      <w:startOverride w:val="1"/>
    </w:lvlOverride>
  </w:num>
  <w:num w:numId="57">
    <w:abstractNumId w:val="32"/>
    <w:lvlOverride w:ilvl="0">
      <w:startOverride w:val="1"/>
    </w:lvlOverride>
  </w:num>
  <w:num w:numId="58">
    <w:abstractNumId w:val="32"/>
    <w:lvlOverride w:ilvl="0">
      <w:startOverride w:val="1"/>
    </w:lvlOverride>
  </w:num>
  <w:num w:numId="59">
    <w:abstractNumId w:val="32"/>
    <w:lvlOverride w:ilvl="0">
      <w:startOverride w:val="1"/>
    </w:lvlOverride>
  </w:num>
  <w:num w:numId="60">
    <w:abstractNumId w:val="32"/>
    <w:lvlOverride w:ilvl="0">
      <w:startOverride w:val="1"/>
    </w:lvlOverride>
  </w:num>
  <w:num w:numId="61">
    <w:abstractNumId w:val="40"/>
  </w:num>
  <w:num w:numId="62">
    <w:abstractNumId w:val="3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Pinnacle Runway Pty Ltd"/>
    <w:docVar w:name="CounselParties" w:val="Respondent"/>
    <w:docVar w:name="CounselType" w:val="Solicitor for the "/>
    <w:docVar w:name="Cross1AndAnother" w:val="True"/>
    <w:docVar w:name="Cross1AndOthers" w:val="False"/>
    <w:docVar w:name="Cross2AndAnother" w:val="True"/>
    <w:docVar w:name="Cross2AndOthers" w:val="False"/>
    <w:docVar w:name="Cross-Claimant" w:val="Triangl Group Limited"/>
    <w:docVar w:name="Cross-Respondent" w:val="Pinnacle Runway Pty Ltd"/>
    <w:docVar w:name="Defenders" w:val="(and another named in the Schedule)"/>
    <w:docVar w:name="dgnword-docGUID" w:val="{D9C300B6-4DDF-4374-B245-39F4C73BEEB8}"/>
    <w:docVar w:name="dgnword-eventsink" w:val="664664408"/>
    <w:docVar w:name="Division" w:val="General Division"/>
    <w:docVar w:name="DocCreated" w:val="True"/>
    <w:docVar w:name="FileNumbers" w:val="VID 794 of 2016"/>
    <w:docVar w:name="HearingDate" w:val="22-24 October 2018"/>
    <w:docVar w:name="Initiators" w:val="(and another named in the Schedule)"/>
    <w:docVar w:name="Judgdate" w:val="** October 2019"/>
    <w:docVar w:name="Judge" w:val="Murphy"/>
    <w:docVar w:name="Justices" w:val="Justice"/>
    <w:docVar w:name="lstEntryList" w:val="-1"/>
    <w:docVar w:name="myEntryList" w:val="Counsel for the Applicant=**|Solicitor for the Applicant=**|Counsel for the Respondents=**|Solicitor for the Respondents=**"/>
    <w:docVar w:name="NSD" w:val="NSD "/>
    <w:docVar w:name="NumApps" w:val="1"/>
    <w:docVar w:name="NumApps_" w:val="2"/>
    <w:docVar w:name="NumCrossResps" w:val="1"/>
    <w:docVar w:name="NumDefs" w:val="2"/>
    <w:docVar w:name="NumOthers" w:val="1"/>
    <w:docVar w:name="OtherNum" w:val="0"/>
    <w:docVar w:name="Parties1" w:val="Applicant"/>
    <w:docVar w:name="Parties2" w:val="Respondent"/>
    <w:docVar w:name="Parties3" w:val="Cross-Claimant"/>
    <w:docVar w:name="Parties4" w:val="Cross-Respondent"/>
    <w:docVar w:name="Parties5" w:val="Intervener"/>
    <w:docVar w:name="PracticeArea" w:val="Intellectual Property"/>
    <w:docVar w:name="RESAndAnother" w:val="True"/>
    <w:docVar w:name="RESAndOthers" w:val="False"/>
    <w:docVar w:name="Respondent" w:val="Triangl Limited|Triangl Group Limited"/>
    <w:docVar w:name="ResState" w:val="Victoria"/>
    <w:docVar w:name="SubArea" w:val="Trade Marks (IP)"/>
  </w:docVars>
  <w:rsids>
    <w:rsidRoot w:val="001B3C13"/>
    <w:rsid w:val="00000B5E"/>
    <w:rsid w:val="00001510"/>
    <w:rsid w:val="0000255C"/>
    <w:rsid w:val="00003B44"/>
    <w:rsid w:val="00007003"/>
    <w:rsid w:val="000077B6"/>
    <w:rsid w:val="00010A15"/>
    <w:rsid w:val="00010F5F"/>
    <w:rsid w:val="00013854"/>
    <w:rsid w:val="00013BA4"/>
    <w:rsid w:val="0001469E"/>
    <w:rsid w:val="0001475C"/>
    <w:rsid w:val="00015993"/>
    <w:rsid w:val="00022219"/>
    <w:rsid w:val="00022289"/>
    <w:rsid w:val="00024458"/>
    <w:rsid w:val="000249F9"/>
    <w:rsid w:val="00025393"/>
    <w:rsid w:val="000253C7"/>
    <w:rsid w:val="000258E9"/>
    <w:rsid w:val="00026239"/>
    <w:rsid w:val="000273F0"/>
    <w:rsid w:val="00027952"/>
    <w:rsid w:val="000302B2"/>
    <w:rsid w:val="00030607"/>
    <w:rsid w:val="00030EE7"/>
    <w:rsid w:val="00031CD5"/>
    <w:rsid w:val="0003287E"/>
    <w:rsid w:val="00032E22"/>
    <w:rsid w:val="00032F9F"/>
    <w:rsid w:val="000337CE"/>
    <w:rsid w:val="00033869"/>
    <w:rsid w:val="00033A7B"/>
    <w:rsid w:val="0003632E"/>
    <w:rsid w:val="00041815"/>
    <w:rsid w:val="00041C07"/>
    <w:rsid w:val="00041C44"/>
    <w:rsid w:val="00042923"/>
    <w:rsid w:val="00043D20"/>
    <w:rsid w:val="0004469D"/>
    <w:rsid w:val="00045BB7"/>
    <w:rsid w:val="00052398"/>
    <w:rsid w:val="00053AD1"/>
    <w:rsid w:val="00055719"/>
    <w:rsid w:val="0005641B"/>
    <w:rsid w:val="000604F0"/>
    <w:rsid w:val="00061608"/>
    <w:rsid w:val="00063D27"/>
    <w:rsid w:val="0006423E"/>
    <w:rsid w:val="0006621D"/>
    <w:rsid w:val="00067766"/>
    <w:rsid w:val="000702D7"/>
    <w:rsid w:val="00070580"/>
    <w:rsid w:val="00070869"/>
    <w:rsid w:val="0007161B"/>
    <w:rsid w:val="000727A7"/>
    <w:rsid w:val="00072C56"/>
    <w:rsid w:val="000741A4"/>
    <w:rsid w:val="00077E1E"/>
    <w:rsid w:val="0008002B"/>
    <w:rsid w:val="00081497"/>
    <w:rsid w:val="0008215A"/>
    <w:rsid w:val="000823FA"/>
    <w:rsid w:val="00082E6D"/>
    <w:rsid w:val="00083775"/>
    <w:rsid w:val="00086B14"/>
    <w:rsid w:val="00086B7D"/>
    <w:rsid w:val="000871F9"/>
    <w:rsid w:val="000876D9"/>
    <w:rsid w:val="00093C64"/>
    <w:rsid w:val="00093CE6"/>
    <w:rsid w:val="00094355"/>
    <w:rsid w:val="00095F62"/>
    <w:rsid w:val="0009752B"/>
    <w:rsid w:val="000A048F"/>
    <w:rsid w:val="000A2E76"/>
    <w:rsid w:val="000A4807"/>
    <w:rsid w:val="000A4BE4"/>
    <w:rsid w:val="000A6656"/>
    <w:rsid w:val="000A6CCE"/>
    <w:rsid w:val="000B0159"/>
    <w:rsid w:val="000B091F"/>
    <w:rsid w:val="000B1F68"/>
    <w:rsid w:val="000B2230"/>
    <w:rsid w:val="000B30BB"/>
    <w:rsid w:val="000B4C65"/>
    <w:rsid w:val="000B6B54"/>
    <w:rsid w:val="000B77D5"/>
    <w:rsid w:val="000C023E"/>
    <w:rsid w:val="000C2100"/>
    <w:rsid w:val="000C341F"/>
    <w:rsid w:val="000C5195"/>
    <w:rsid w:val="000C51CF"/>
    <w:rsid w:val="000C62EF"/>
    <w:rsid w:val="000D2137"/>
    <w:rsid w:val="000D326A"/>
    <w:rsid w:val="000D3FD2"/>
    <w:rsid w:val="000D4BA7"/>
    <w:rsid w:val="000E2918"/>
    <w:rsid w:val="000E3FC8"/>
    <w:rsid w:val="000E4EC9"/>
    <w:rsid w:val="000E6453"/>
    <w:rsid w:val="000E795C"/>
    <w:rsid w:val="000E7BAE"/>
    <w:rsid w:val="000F099A"/>
    <w:rsid w:val="000F133D"/>
    <w:rsid w:val="000F53A9"/>
    <w:rsid w:val="000F54E6"/>
    <w:rsid w:val="000F5C8E"/>
    <w:rsid w:val="000F5DA3"/>
    <w:rsid w:val="000F7F10"/>
    <w:rsid w:val="0010068C"/>
    <w:rsid w:val="00103B79"/>
    <w:rsid w:val="00104748"/>
    <w:rsid w:val="00104820"/>
    <w:rsid w:val="0010536B"/>
    <w:rsid w:val="001059DF"/>
    <w:rsid w:val="00105A20"/>
    <w:rsid w:val="00105A41"/>
    <w:rsid w:val="001076DB"/>
    <w:rsid w:val="0011023A"/>
    <w:rsid w:val="00110379"/>
    <w:rsid w:val="0011145C"/>
    <w:rsid w:val="001128BD"/>
    <w:rsid w:val="00112976"/>
    <w:rsid w:val="0011419D"/>
    <w:rsid w:val="00116418"/>
    <w:rsid w:val="001167C3"/>
    <w:rsid w:val="001176C7"/>
    <w:rsid w:val="0012071C"/>
    <w:rsid w:val="001249BA"/>
    <w:rsid w:val="00126787"/>
    <w:rsid w:val="00127C27"/>
    <w:rsid w:val="00127FDB"/>
    <w:rsid w:val="001302B0"/>
    <w:rsid w:val="00132054"/>
    <w:rsid w:val="00133573"/>
    <w:rsid w:val="00133A58"/>
    <w:rsid w:val="00133C8E"/>
    <w:rsid w:val="00134CD5"/>
    <w:rsid w:val="00134F82"/>
    <w:rsid w:val="001353BD"/>
    <w:rsid w:val="00136D60"/>
    <w:rsid w:val="0013714D"/>
    <w:rsid w:val="00140A58"/>
    <w:rsid w:val="00140EFA"/>
    <w:rsid w:val="001437DC"/>
    <w:rsid w:val="00146595"/>
    <w:rsid w:val="00146BCF"/>
    <w:rsid w:val="00150C3E"/>
    <w:rsid w:val="0015125B"/>
    <w:rsid w:val="00153308"/>
    <w:rsid w:val="00156B26"/>
    <w:rsid w:val="00157DF5"/>
    <w:rsid w:val="00161023"/>
    <w:rsid w:val="00161069"/>
    <w:rsid w:val="001614C1"/>
    <w:rsid w:val="00161EF5"/>
    <w:rsid w:val="001639EF"/>
    <w:rsid w:val="00165052"/>
    <w:rsid w:val="0016619E"/>
    <w:rsid w:val="001661F6"/>
    <w:rsid w:val="0016626D"/>
    <w:rsid w:val="00167998"/>
    <w:rsid w:val="00172653"/>
    <w:rsid w:val="001727A4"/>
    <w:rsid w:val="00172831"/>
    <w:rsid w:val="00173004"/>
    <w:rsid w:val="001731DD"/>
    <w:rsid w:val="0017352F"/>
    <w:rsid w:val="0017376C"/>
    <w:rsid w:val="001738AB"/>
    <w:rsid w:val="00175A1D"/>
    <w:rsid w:val="001765E0"/>
    <w:rsid w:val="00177759"/>
    <w:rsid w:val="00177C16"/>
    <w:rsid w:val="0018066F"/>
    <w:rsid w:val="00182930"/>
    <w:rsid w:val="00182AA8"/>
    <w:rsid w:val="0018337F"/>
    <w:rsid w:val="001840F7"/>
    <w:rsid w:val="001849FD"/>
    <w:rsid w:val="00185E6B"/>
    <w:rsid w:val="0018618E"/>
    <w:rsid w:val="00186F30"/>
    <w:rsid w:val="00187BBC"/>
    <w:rsid w:val="00187DE0"/>
    <w:rsid w:val="00190F50"/>
    <w:rsid w:val="00191370"/>
    <w:rsid w:val="001914B4"/>
    <w:rsid w:val="00191BDE"/>
    <w:rsid w:val="00192AEC"/>
    <w:rsid w:val="001932F3"/>
    <w:rsid w:val="00193F58"/>
    <w:rsid w:val="001954A5"/>
    <w:rsid w:val="001A00C4"/>
    <w:rsid w:val="001A2CF6"/>
    <w:rsid w:val="001A4309"/>
    <w:rsid w:val="001A5BAA"/>
    <w:rsid w:val="001A6FBB"/>
    <w:rsid w:val="001A79BD"/>
    <w:rsid w:val="001B0083"/>
    <w:rsid w:val="001B1053"/>
    <w:rsid w:val="001B11AE"/>
    <w:rsid w:val="001B14AC"/>
    <w:rsid w:val="001B2170"/>
    <w:rsid w:val="001B39D3"/>
    <w:rsid w:val="001B3C13"/>
    <w:rsid w:val="001B7134"/>
    <w:rsid w:val="001B76AB"/>
    <w:rsid w:val="001B7940"/>
    <w:rsid w:val="001C088D"/>
    <w:rsid w:val="001C2D19"/>
    <w:rsid w:val="001C37CA"/>
    <w:rsid w:val="001C4F12"/>
    <w:rsid w:val="001C5004"/>
    <w:rsid w:val="001C505E"/>
    <w:rsid w:val="001C5ADE"/>
    <w:rsid w:val="001C69E2"/>
    <w:rsid w:val="001C7001"/>
    <w:rsid w:val="001D1D3A"/>
    <w:rsid w:val="001D1E24"/>
    <w:rsid w:val="001D2E7E"/>
    <w:rsid w:val="001D333D"/>
    <w:rsid w:val="001D34E6"/>
    <w:rsid w:val="001D3840"/>
    <w:rsid w:val="001D3E5E"/>
    <w:rsid w:val="001D4303"/>
    <w:rsid w:val="001D5297"/>
    <w:rsid w:val="001D5562"/>
    <w:rsid w:val="001D63E7"/>
    <w:rsid w:val="001D6746"/>
    <w:rsid w:val="001D6860"/>
    <w:rsid w:val="001D70F7"/>
    <w:rsid w:val="001E0E0A"/>
    <w:rsid w:val="001E2422"/>
    <w:rsid w:val="001E33CF"/>
    <w:rsid w:val="001E3B49"/>
    <w:rsid w:val="001E3DFF"/>
    <w:rsid w:val="001E419C"/>
    <w:rsid w:val="001E7388"/>
    <w:rsid w:val="001E7A4F"/>
    <w:rsid w:val="001E7AAC"/>
    <w:rsid w:val="001F0A08"/>
    <w:rsid w:val="001F13DD"/>
    <w:rsid w:val="001F25CC"/>
    <w:rsid w:val="001F2DBC"/>
    <w:rsid w:val="001F2F97"/>
    <w:rsid w:val="001F3E66"/>
    <w:rsid w:val="001F4EAA"/>
    <w:rsid w:val="001F51C2"/>
    <w:rsid w:val="001F63D3"/>
    <w:rsid w:val="001F7172"/>
    <w:rsid w:val="001F73E8"/>
    <w:rsid w:val="001F7E7F"/>
    <w:rsid w:val="00200FFF"/>
    <w:rsid w:val="0020262C"/>
    <w:rsid w:val="00206786"/>
    <w:rsid w:val="00206987"/>
    <w:rsid w:val="00206E83"/>
    <w:rsid w:val="002109A4"/>
    <w:rsid w:val="00210B6F"/>
    <w:rsid w:val="00211A20"/>
    <w:rsid w:val="0021311D"/>
    <w:rsid w:val="002165E7"/>
    <w:rsid w:val="0021678D"/>
    <w:rsid w:val="0021787B"/>
    <w:rsid w:val="00217B01"/>
    <w:rsid w:val="00224537"/>
    <w:rsid w:val="00224653"/>
    <w:rsid w:val="00225C51"/>
    <w:rsid w:val="00230621"/>
    <w:rsid w:val="00235777"/>
    <w:rsid w:val="00235956"/>
    <w:rsid w:val="00237DF5"/>
    <w:rsid w:val="00241976"/>
    <w:rsid w:val="00242310"/>
    <w:rsid w:val="002434BB"/>
    <w:rsid w:val="00243AA3"/>
    <w:rsid w:val="002447EF"/>
    <w:rsid w:val="00247C9A"/>
    <w:rsid w:val="0025160C"/>
    <w:rsid w:val="00251D8B"/>
    <w:rsid w:val="00252570"/>
    <w:rsid w:val="002535D0"/>
    <w:rsid w:val="002539B3"/>
    <w:rsid w:val="00253F7A"/>
    <w:rsid w:val="00255810"/>
    <w:rsid w:val="00256104"/>
    <w:rsid w:val="002562A4"/>
    <w:rsid w:val="002562CA"/>
    <w:rsid w:val="00256BD6"/>
    <w:rsid w:val="00257394"/>
    <w:rsid w:val="00257C3E"/>
    <w:rsid w:val="00257EAF"/>
    <w:rsid w:val="002602C2"/>
    <w:rsid w:val="002614B2"/>
    <w:rsid w:val="00264A2D"/>
    <w:rsid w:val="002659CB"/>
    <w:rsid w:val="002666C9"/>
    <w:rsid w:val="00270136"/>
    <w:rsid w:val="00273411"/>
    <w:rsid w:val="002734A3"/>
    <w:rsid w:val="002735EE"/>
    <w:rsid w:val="00274BAE"/>
    <w:rsid w:val="00274EAE"/>
    <w:rsid w:val="00274F5B"/>
    <w:rsid w:val="00276302"/>
    <w:rsid w:val="002769DD"/>
    <w:rsid w:val="00276C3E"/>
    <w:rsid w:val="00277C75"/>
    <w:rsid w:val="00277D5F"/>
    <w:rsid w:val="00280036"/>
    <w:rsid w:val="00280836"/>
    <w:rsid w:val="00280F1F"/>
    <w:rsid w:val="0028102D"/>
    <w:rsid w:val="00281306"/>
    <w:rsid w:val="002818A3"/>
    <w:rsid w:val="00282E1A"/>
    <w:rsid w:val="00283225"/>
    <w:rsid w:val="002851BC"/>
    <w:rsid w:val="00290B35"/>
    <w:rsid w:val="00291099"/>
    <w:rsid w:val="0029113B"/>
    <w:rsid w:val="00291ADF"/>
    <w:rsid w:val="00292598"/>
    <w:rsid w:val="002934C0"/>
    <w:rsid w:val="0029359A"/>
    <w:rsid w:val="00293F59"/>
    <w:rsid w:val="00294124"/>
    <w:rsid w:val="002946BD"/>
    <w:rsid w:val="002952C9"/>
    <w:rsid w:val="00295C04"/>
    <w:rsid w:val="00296184"/>
    <w:rsid w:val="002A1B50"/>
    <w:rsid w:val="002A36DC"/>
    <w:rsid w:val="002A42DA"/>
    <w:rsid w:val="002A6452"/>
    <w:rsid w:val="002A647D"/>
    <w:rsid w:val="002A6576"/>
    <w:rsid w:val="002B0E91"/>
    <w:rsid w:val="002B1B74"/>
    <w:rsid w:val="002B1E64"/>
    <w:rsid w:val="002B1FF1"/>
    <w:rsid w:val="002B466A"/>
    <w:rsid w:val="002B57BE"/>
    <w:rsid w:val="002B6779"/>
    <w:rsid w:val="002B6AB1"/>
    <w:rsid w:val="002B71C0"/>
    <w:rsid w:val="002B7A34"/>
    <w:rsid w:val="002C0A44"/>
    <w:rsid w:val="002C139B"/>
    <w:rsid w:val="002C1B8B"/>
    <w:rsid w:val="002C31AD"/>
    <w:rsid w:val="002C3559"/>
    <w:rsid w:val="002C7385"/>
    <w:rsid w:val="002C76A7"/>
    <w:rsid w:val="002D1792"/>
    <w:rsid w:val="002D1D54"/>
    <w:rsid w:val="002D25EE"/>
    <w:rsid w:val="002D2DBB"/>
    <w:rsid w:val="002D388E"/>
    <w:rsid w:val="002D46DD"/>
    <w:rsid w:val="002D4C31"/>
    <w:rsid w:val="002D54A6"/>
    <w:rsid w:val="002D5772"/>
    <w:rsid w:val="002D7285"/>
    <w:rsid w:val="002E0D3B"/>
    <w:rsid w:val="002E2CF8"/>
    <w:rsid w:val="002E3640"/>
    <w:rsid w:val="002E3C6D"/>
    <w:rsid w:val="002E4245"/>
    <w:rsid w:val="002E6A7A"/>
    <w:rsid w:val="002E6A98"/>
    <w:rsid w:val="002E7D13"/>
    <w:rsid w:val="002F14E0"/>
    <w:rsid w:val="002F14FC"/>
    <w:rsid w:val="002F1E49"/>
    <w:rsid w:val="002F4500"/>
    <w:rsid w:val="002F4E9C"/>
    <w:rsid w:val="002F7935"/>
    <w:rsid w:val="003000FD"/>
    <w:rsid w:val="0030057F"/>
    <w:rsid w:val="00301550"/>
    <w:rsid w:val="00303D42"/>
    <w:rsid w:val="003040E4"/>
    <w:rsid w:val="0030495C"/>
    <w:rsid w:val="00304EA6"/>
    <w:rsid w:val="00305699"/>
    <w:rsid w:val="00310394"/>
    <w:rsid w:val="0031256C"/>
    <w:rsid w:val="00312804"/>
    <w:rsid w:val="00312B25"/>
    <w:rsid w:val="00313DEC"/>
    <w:rsid w:val="00314D6C"/>
    <w:rsid w:val="00314F4F"/>
    <w:rsid w:val="003167A0"/>
    <w:rsid w:val="00316D2A"/>
    <w:rsid w:val="00317C53"/>
    <w:rsid w:val="00320014"/>
    <w:rsid w:val="00322A7C"/>
    <w:rsid w:val="00325084"/>
    <w:rsid w:val="003259F8"/>
    <w:rsid w:val="003269ED"/>
    <w:rsid w:val="00327342"/>
    <w:rsid w:val="00330354"/>
    <w:rsid w:val="0033378D"/>
    <w:rsid w:val="00334CB2"/>
    <w:rsid w:val="00334D3F"/>
    <w:rsid w:val="00334F2B"/>
    <w:rsid w:val="00336E42"/>
    <w:rsid w:val="003402D3"/>
    <w:rsid w:val="00340DAB"/>
    <w:rsid w:val="00340DB3"/>
    <w:rsid w:val="00342999"/>
    <w:rsid w:val="00343ABC"/>
    <w:rsid w:val="003463FE"/>
    <w:rsid w:val="00346788"/>
    <w:rsid w:val="00352417"/>
    <w:rsid w:val="00352ED8"/>
    <w:rsid w:val="00353241"/>
    <w:rsid w:val="00354233"/>
    <w:rsid w:val="00354A31"/>
    <w:rsid w:val="003554B3"/>
    <w:rsid w:val="00356632"/>
    <w:rsid w:val="00357BBF"/>
    <w:rsid w:val="00357C50"/>
    <w:rsid w:val="00360240"/>
    <w:rsid w:val="00362636"/>
    <w:rsid w:val="003630D5"/>
    <w:rsid w:val="00364C2E"/>
    <w:rsid w:val="00365D53"/>
    <w:rsid w:val="00366A83"/>
    <w:rsid w:val="003712CA"/>
    <w:rsid w:val="00371383"/>
    <w:rsid w:val="00371698"/>
    <w:rsid w:val="00371F34"/>
    <w:rsid w:val="00372855"/>
    <w:rsid w:val="003740B0"/>
    <w:rsid w:val="00374D49"/>
    <w:rsid w:val="00377529"/>
    <w:rsid w:val="00380D45"/>
    <w:rsid w:val="003817A2"/>
    <w:rsid w:val="0038375B"/>
    <w:rsid w:val="003845A9"/>
    <w:rsid w:val="00384CD6"/>
    <w:rsid w:val="00385E2D"/>
    <w:rsid w:val="003863C3"/>
    <w:rsid w:val="00386497"/>
    <w:rsid w:val="00387D37"/>
    <w:rsid w:val="00390883"/>
    <w:rsid w:val="003909D9"/>
    <w:rsid w:val="003922F8"/>
    <w:rsid w:val="00393767"/>
    <w:rsid w:val="003948DB"/>
    <w:rsid w:val="00395B24"/>
    <w:rsid w:val="00395D14"/>
    <w:rsid w:val="0039662C"/>
    <w:rsid w:val="00396AC5"/>
    <w:rsid w:val="00396BEB"/>
    <w:rsid w:val="003A08E4"/>
    <w:rsid w:val="003A112A"/>
    <w:rsid w:val="003A1C5E"/>
    <w:rsid w:val="003A21F3"/>
    <w:rsid w:val="003A2D38"/>
    <w:rsid w:val="003A3E7A"/>
    <w:rsid w:val="003A483B"/>
    <w:rsid w:val="003A4A32"/>
    <w:rsid w:val="003A5E8C"/>
    <w:rsid w:val="003A6179"/>
    <w:rsid w:val="003A6A10"/>
    <w:rsid w:val="003A778B"/>
    <w:rsid w:val="003A7ECC"/>
    <w:rsid w:val="003B062C"/>
    <w:rsid w:val="003B0B59"/>
    <w:rsid w:val="003B2C72"/>
    <w:rsid w:val="003B3C50"/>
    <w:rsid w:val="003B3CFB"/>
    <w:rsid w:val="003B3E93"/>
    <w:rsid w:val="003B4CBF"/>
    <w:rsid w:val="003B75C0"/>
    <w:rsid w:val="003C1333"/>
    <w:rsid w:val="003C20FF"/>
    <w:rsid w:val="003C3980"/>
    <w:rsid w:val="003C4705"/>
    <w:rsid w:val="003C5157"/>
    <w:rsid w:val="003C5388"/>
    <w:rsid w:val="003C56CB"/>
    <w:rsid w:val="003C718D"/>
    <w:rsid w:val="003D029C"/>
    <w:rsid w:val="003D105D"/>
    <w:rsid w:val="003D1DA6"/>
    <w:rsid w:val="003D2650"/>
    <w:rsid w:val="003D30EA"/>
    <w:rsid w:val="003D3419"/>
    <w:rsid w:val="003D3B4E"/>
    <w:rsid w:val="003D560C"/>
    <w:rsid w:val="003D5750"/>
    <w:rsid w:val="003D6655"/>
    <w:rsid w:val="003E1B21"/>
    <w:rsid w:val="003E35C9"/>
    <w:rsid w:val="003E4193"/>
    <w:rsid w:val="003E41B1"/>
    <w:rsid w:val="003E4348"/>
    <w:rsid w:val="003E5874"/>
    <w:rsid w:val="003E65DA"/>
    <w:rsid w:val="003E6A46"/>
    <w:rsid w:val="003E6D07"/>
    <w:rsid w:val="003E7EB4"/>
    <w:rsid w:val="003F0982"/>
    <w:rsid w:val="003F0CF7"/>
    <w:rsid w:val="003F193E"/>
    <w:rsid w:val="003F2E5B"/>
    <w:rsid w:val="003F34F1"/>
    <w:rsid w:val="003F412C"/>
    <w:rsid w:val="003F5EA3"/>
    <w:rsid w:val="003F7D15"/>
    <w:rsid w:val="00400965"/>
    <w:rsid w:val="004029A0"/>
    <w:rsid w:val="00402B56"/>
    <w:rsid w:val="00403977"/>
    <w:rsid w:val="00403B8A"/>
    <w:rsid w:val="00405404"/>
    <w:rsid w:val="00406F03"/>
    <w:rsid w:val="0040716B"/>
    <w:rsid w:val="0041064B"/>
    <w:rsid w:val="00411AE8"/>
    <w:rsid w:val="00411B7F"/>
    <w:rsid w:val="00413B74"/>
    <w:rsid w:val="00413D71"/>
    <w:rsid w:val="00414A6F"/>
    <w:rsid w:val="004156CD"/>
    <w:rsid w:val="00417FBF"/>
    <w:rsid w:val="00420754"/>
    <w:rsid w:val="00420A8B"/>
    <w:rsid w:val="0042184F"/>
    <w:rsid w:val="00423A8A"/>
    <w:rsid w:val="00423C55"/>
    <w:rsid w:val="004242C5"/>
    <w:rsid w:val="00424700"/>
    <w:rsid w:val="00424B78"/>
    <w:rsid w:val="00424ECF"/>
    <w:rsid w:val="0042509E"/>
    <w:rsid w:val="004273DE"/>
    <w:rsid w:val="00427C5A"/>
    <w:rsid w:val="00431A2F"/>
    <w:rsid w:val="00431DC0"/>
    <w:rsid w:val="0043275B"/>
    <w:rsid w:val="00432778"/>
    <w:rsid w:val="00433533"/>
    <w:rsid w:val="00435C5F"/>
    <w:rsid w:val="00437BA1"/>
    <w:rsid w:val="00440276"/>
    <w:rsid w:val="004411F8"/>
    <w:rsid w:val="00441259"/>
    <w:rsid w:val="00441E98"/>
    <w:rsid w:val="00444EC4"/>
    <w:rsid w:val="00445E7C"/>
    <w:rsid w:val="0044652F"/>
    <w:rsid w:val="00447D67"/>
    <w:rsid w:val="004501CC"/>
    <w:rsid w:val="0045022B"/>
    <w:rsid w:val="00450554"/>
    <w:rsid w:val="004518BD"/>
    <w:rsid w:val="00452424"/>
    <w:rsid w:val="004532F7"/>
    <w:rsid w:val="004536D4"/>
    <w:rsid w:val="00455489"/>
    <w:rsid w:val="0045682F"/>
    <w:rsid w:val="00457039"/>
    <w:rsid w:val="00461919"/>
    <w:rsid w:val="00462106"/>
    <w:rsid w:val="004640BD"/>
    <w:rsid w:val="004643E5"/>
    <w:rsid w:val="0046555A"/>
    <w:rsid w:val="0046674B"/>
    <w:rsid w:val="00470CCC"/>
    <w:rsid w:val="00472027"/>
    <w:rsid w:val="00472422"/>
    <w:rsid w:val="00472D09"/>
    <w:rsid w:val="00473CA4"/>
    <w:rsid w:val="004744FB"/>
    <w:rsid w:val="00477117"/>
    <w:rsid w:val="0047719E"/>
    <w:rsid w:val="00477A81"/>
    <w:rsid w:val="004804CF"/>
    <w:rsid w:val="0048083B"/>
    <w:rsid w:val="004845D0"/>
    <w:rsid w:val="00484962"/>
    <w:rsid w:val="00484D2D"/>
    <w:rsid w:val="00484F6D"/>
    <w:rsid w:val="00486C60"/>
    <w:rsid w:val="00486FCB"/>
    <w:rsid w:val="00491C08"/>
    <w:rsid w:val="0049338A"/>
    <w:rsid w:val="004938DB"/>
    <w:rsid w:val="0049417F"/>
    <w:rsid w:val="00496139"/>
    <w:rsid w:val="004A2AD8"/>
    <w:rsid w:val="004A508D"/>
    <w:rsid w:val="004A791F"/>
    <w:rsid w:val="004B1791"/>
    <w:rsid w:val="004B2216"/>
    <w:rsid w:val="004B3EFA"/>
    <w:rsid w:val="004B3FAA"/>
    <w:rsid w:val="004B4361"/>
    <w:rsid w:val="004B5434"/>
    <w:rsid w:val="004C197C"/>
    <w:rsid w:val="004C261F"/>
    <w:rsid w:val="004C2A87"/>
    <w:rsid w:val="004C3236"/>
    <w:rsid w:val="004C36DC"/>
    <w:rsid w:val="004C4212"/>
    <w:rsid w:val="004C4B24"/>
    <w:rsid w:val="004C4D7B"/>
    <w:rsid w:val="004C4ED3"/>
    <w:rsid w:val="004C52B1"/>
    <w:rsid w:val="004C58F3"/>
    <w:rsid w:val="004C6A2E"/>
    <w:rsid w:val="004C755D"/>
    <w:rsid w:val="004D059C"/>
    <w:rsid w:val="004D2A03"/>
    <w:rsid w:val="004D2EA5"/>
    <w:rsid w:val="004D32A6"/>
    <w:rsid w:val="004D32F7"/>
    <w:rsid w:val="004D3550"/>
    <w:rsid w:val="004D4101"/>
    <w:rsid w:val="004D52EA"/>
    <w:rsid w:val="004D53E5"/>
    <w:rsid w:val="004D5D6E"/>
    <w:rsid w:val="004D6BD4"/>
    <w:rsid w:val="004D6E41"/>
    <w:rsid w:val="004D7D58"/>
    <w:rsid w:val="004E0AF0"/>
    <w:rsid w:val="004E4F67"/>
    <w:rsid w:val="004F069F"/>
    <w:rsid w:val="004F104F"/>
    <w:rsid w:val="004F1C04"/>
    <w:rsid w:val="004F377D"/>
    <w:rsid w:val="004F3B40"/>
    <w:rsid w:val="004F520E"/>
    <w:rsid w:val="004F6F80"/>
    <w:rsid w:val="004F71EE"/>
    <w:rsid w:val="004F72F4"/>
    <w:rsid w:val="004F7E3D"/>
    <w:rsid w:val="00500EA8"/>
    <w:rsid w:val="005011F6"/>
    <w:rsid w:val="0050142A"/>
    <w:rsid w:val="00501A12"/>
    <w:rsid w:val="00502B87"/>
    <w:rsid w:val="005032C8"/>
    <w:rsid w:val="00503B3A"/>
    <w:rsid w:val="005049FD"/>
    <w:rsid w:val="0051053A"/>
    <w:rsid w:val="0051073D"/>
    <w:rsid w:val="0051310D"/>
    <w:rsid w:val="0051346D"/>
    <w:rsid w:val="00513EAE"/>
    <w:rsid w:val="005163CD"/>
    <w:rsid w:val="00516806"/>
    <w:rsid w:val="00516975"/>
    <w:rsid w:val="00522FE4"/>
    <w:rsid w:val="005234B8"/>
    <w:rsid w:val="005247E0"/>
    <w:rsid w:val="00524F8B"/>
    <w:rsid w:val="005256BA"/>
    <w:rsid w:val="00525A49"/>
    <w:rsid w:val="00526A1B"/>
    <w:rsid w:val="005270D1"/>
    <w:rsid w:val="00530538"/>
    <w:rsid w:val="005315B8"/>
    <w:rsid w:val="00535613"/>
    <w:rsid w:val="005359EB"/>
    <w:rsid w:val="00535FC7"/>
    <w:rsid w:val="0053607D"/>
    <w:rsid w:val="00537843"/>
    <w:rsid w:val="00540B4A"/>
    <w:rsid w:val="0054254A"/>
    <w:rsid w:val="00542D61"/>
    <w:rsid w:val="00545DE7"/>
    <w:rsid w:val="0054617F"/>
    <w:rsid w:val="005466B5"/>
    <w:rsid w:val="0055000F"/>
    <w:rsid w:val="005505B3"/>
    <w:rsid w:val="00550A54"/>
    <w:rsid w:val="005538F8"/>
    <w:rsid w:val="00554288"/>
    <w:rsid w:val="00554314"/>
    <w:rsid w:val="00555B6D"/>
    <w:rsid w:val="00556DF5"/>
    <w:rsid w:val="005629B3"/>
    <w:rsid w:val="00565285"/>
    <w:rsid w:val="0056531F"/>
    <w:rsid w:val="005663A0"/>
    <w:rsid w:val="00567559"/>
    <w:rsid w:val="0056757D"/>
    <w:rsid w:val="00567D0D"/>
    <w:rsid w:val="00567FB3"/>
    <w:rsid w:val="00570F60"/>
    <w:rsid w:val="00572B17"/>
    <w:rsid w:val="00573AC4"/>
    <w:rsid w:val="00573C69"/>
    <w:rsid w:val="005771EB"/>
    <w:rsid w:val="005801FC"/>
    <w:rsid w:val="00580248"/>
    <w:rsid w:val="00583209"/>
    <w:rsid w:val="00583324"/>
    <w:rsid w:val="00583DD7"/>
    <w:rsid w:val="0058411C"/>
    <w:rsid w:val="00590464"/>
    <w:rsid w:val="005904A7"/>
    <w:rsid w:val="00592478"/>
    <w:rsid w:val="00593971"/>
    <w:rsid w:val="00594D69"/>
    <w:rsid w:val="00595016"/>
    <w:rsid w:val="00597AAE"/>
    <w:rsid w:val="00597E37"/>
    <w:rsid w:val="00597E5C"/>
    <w:rsid w:val="005A0CF7"/>
    <w:rsid w:val="005A16C2"/>
    <w:rsid w:val="005A222C"/>
    <w:rsid w:val="005A3664"/>
    <w:rsid w:val="005A3D95"/>
    <w:rsid w:val="005A4727"/>
    <w:rsid w:val="005A4DF8"/>
    <w:rsid w:val="005A4F82"/>
    <w:rsid w:val="005A5305"/>
    <w:rsid w:val="005A6BE0"/>
    <w:rsid w:val="005A7EC0"/>
    <w:rsid w:val="005B0131"/>
    <w:rsid w:val="005B0FDC"/>
    <w:rsid w:val="005B1426"/>
    <w:rsid w:val="005B4D5F"/>
    <w:rsid w:val="005B57F7"/>
    <w:rsid w:val="005B6037"/>
    <w:rsid w:val="005B7310"/>
    <w:rsid w:val="005B7B37"/>
    <w:rsid w:val="005C0395"/>
    <w:rsid w:val="005C0A8E"/>
    <w:rsid w:val="005C1767"/>
    <w:rsid w:val="005C2D56"/>
    <w:rsid w:val="005C2E01"/>
    <w:rsid w:val="005C42EF"/>
    <w:rsid w:val="005C45B3"/>
    <w:rsid w:val="005C5A81"/>
    <w:rsid w:val="005C5EE5"/>
    <w:rsid w:val="005C79CA"/>
    <w:rsid w:val="005D0662"/>
    <w:rsid w:val="005D189E"/>
    <w:rsid w:val="005D3099"/>
    <w:rsid w:val="005D315C"/>
    <w:rsid w:val="005D3D88"/>
    <w:rsid w:val="005D4786"/>
    <w:rsid w:val="005D5969"/>
    <w:rsid w:val="005D6D10"/>
    <w:rsid w:val="005D7532"/>
    <w:rsid w:val="005E026E"/>
    <w:rsid w:val="005E02F5"/>
    <w:rsid w:val="005E0510"/>
    <w:rsid w:val="005E07B7"/>
    <w:rsid w:val="005E176E"/>
    <w:rsid w:val="005E218E"/>
    <w:rsid w:val="005E307C"/>
    <w:rsid w:val="005E35A0"/>
    <w:rsid w:val="005E4A38"/>
    <w:rsid w:val="005E5C64"/>
    <w:rsid w:val="005E6E6B"/>
    <w:rsid w:val="005E7CC0"/>
    <w:rsid w:val="005F0437"/>
    <w:rsid w:val="005F0D1B"/>
    <w:rsid w:val="005F1865"/>
    <w:rsid w:val="005F1A1C"/>
    <w:rsid w:val="005F26E7"/>
    <w:rsid w:val="005F302B"/>
    <w:rsid w:val="005F4C7F"/>
    <w:rsid w:val="005F4D59"/>
    <w:rsid w:val="005F7838"/>
    <w:rsid w:val="005F7A1B"/>
    <w:rsid w:val="005F7A95"/>
    <w:rsid w:val="005F7D90"/>
    <w:rsid w:val="006007BD"/>
    <w:rsid w:val="00600990"/>
    <w:rsid w:val="006013C8"/>
    <w:rsid w:val="00601484"/>
    <w:rsid w:val="0060246D"/>
    <w:rsid w:val="0060270D"/>
    <w:rsid w:val="00603435"/>
    <w:rsid w:val="00603911"/>
    <w:rsid w:val="00604611"/>
    <w:rsid w:val="0060545D"/>
    <w:rsid w:val="00606808"/>
    <w:rsid w:val="006103C0"/>
    <w:rsid w:val="00611377"/>
    <w:rsid w:val="00611586"/>
    <w:rsid w:val="00612453"/>
    <w:rsid w:val="00612AF0"/>
    <w:rsid w:val="0061355A"/>
    <w:rsid w:val="006135B7"/>
    <w:rsid w:val="00614B1D"/>
    <w:rsid w:val="00615694"/>
    <w:rsid w:val="00616CB4"/>
    <w:rsid w:val="00617F10"/>
    <w:rsid w:val="00617FD0"/>
    <w:rsid w:val="00620ED2"/>
    <w:rsid w:val="00620F4E"/>
    <w:rsid w:val="00621887"/>
    <w:rsid w:val="00621FC3"/>
    <w:rsid w:val="00622022"/>
    <w:rsid w:val="00624520"/>
    <w:rsid w:val="0062584B"/>
    <w:rsid w:val="006266CB"/>
    <w:rsid w:val="00627530"/>
    <w:rsid w:val="00632300"/>
    <w:rsid w:val="00632AD9"/>
    <w:rsid w:val="00632BB7"/>
    <w:rsid w:val="006357EF"/>
    <w:rsid w:val="00635B36"/>
    <w:rsid w:val="00636871"/>
    <w:rsid w:val="00636D97"/>
    <w:rsid w:val="00640F4E"/>
    <w:rsid w:val="00641889"/>
    <w:rsid w:val="006428B7"/>
    <w:rsid w:val="0064374D"/>
    <w:rsid w:val="00643DE0"/>
    <w:rsid w:val="006447CA"/>
    <w:rsid w:val="00644E85"/>
    <w:rsid w:val="00645492"/>
    <w:rsid w:val="00646E4F"/>
    <w:rsid w:val="00647E99"/>
    <w:rsid w:val="0065094D"/>
    <w:rsid w:val="00653322"/>
    <w:rsid w:val="006538CB"/>
    <w:rsid w:val="00654029"/>
    <w:rsid w:val="006562CB"/>
    <w:rsid w:val="00656EDC"/>
    <w:rsid w:val="0065718A"/>
    <w:rsid w:val="0066063F"/>
    <w:rsid w:val="00662553"/>
    <w:rsid w:val="00662BB0"/>
    <w:rsid w:val="00663878"/>
    <w:rsid w:val="0066567D"/>
    <w:rsid w:val="006667E4"/>
    <w:rsid w:val="006671EC"/>
    <w:rsid w:val="00667773"/>
    <w:rsid w:val="00667F7D"/>
    <w:rsid w:val="00670743"/>
    <w:rsid w:val="00670E23"/>
    <w:rsid w:val="00671901"/>
    <w:rsid w:val="0067257E"/>
    <w:rsid w:val="00672B96"/>
    <w:rsid w:val="00672E42"/>
    <w:rsid w:val="00673DB5"/>
    <w:rsid w:val="00680374"/>
    <w:rsid w:val="00681452"/>
    <w:rsid w:val="00682AE9"/>
    <w:rsid w:val="00684622"/>
    <w:rsid w:val="00686FD8"/>
    <w:rsid w:val="0069036D"/>
    <w:rsid w:val="00690EE2"/>
    <w:rsid w:val="006936C3"/>
    <w:rsid w:val="00694B0B"/>
    <w:rsid w:val="00696E36"/>
    <w:rsid w:val="00696FD3"/>
    <w:rsid w:val="0069791B"/>
    <w:rsid w:val="006A0E20"/>
    <w:rsid w:val="006A2BE1"/>
    <w:rsid w:val="006A5695"/>
    <w:rsid w:val="006A642C"/>
    <w:rsid w:val="006A7898"/>
    <w:rsid w:val="006B2569"/>
    <w:rsid w:val="006B35F6"/>
    <w:rsid w:val="006B3904"/>
    <w:rsid w:val="006B5B7D"/>
    <w:rsid w:val="006B7258"/>
    <w:rsid w:val="006B790F"/>
    <w:rsid w:val="006C16C3"/>
    <w:rsid w:val="006C21F5"/>
    <w:rsid w:val="006C259F"/>
    <w:rsid w:val="006C4FD1"/>
    <w:rsid w:val="006C5364"/>
    <w:rsid w:val="006C6169"/>
    <w:rsid w:val="006C7416"/>
    <w:rsid w:val="006D060E"/>
    <w:rsid w:val="006D091D"/>
    <w:rsid w:val="006D0ECF"/>
    <w:rsid w:val="006D1AEE"/>
    <w:rsid w:val="006D1D6D"/>
    <w:rsid w:val="006D4C92"/>
    <w:rsid w:val="006D4E21"/>
    <w:rsid w:val="006D4EB6"/>
    <w:rsid w:val="006D64E3"/>
    <w:rsid w:val="006D67BE"/>
    <w:rsid w:val="006D6D22"/>
    <w:rsid w:val="006E1FAC"/>
    <w:rsid w:val="006E2BAA"/>
    <w:rsid w:val="006E35BF"/>
    <w:rsid w:val="006E52C5"/>
    <w:rsid w:val="006E7850"/>
    <w:rsid w:val="006E7CBF"/>
    <w:rsid w:val="006F0194"/>
    <w:rsid w:val="006F0D7F"/>
    <w:rsid w:val="006F1F6B"/>
    <w:rsid w:val="006F3E3F"/>
    <w:rsid w:val="006F57A9"/>
    <w:rsid w:val="006F707C"/>
    <w:rsid w:val="00701797"/>
    <w:rsid w:val="00701803"/>
    <w:rsid w:val="007028D9"/>
    <w:rsid w:val="00702FD1"/>
    <w:rsid w:val="00704372"/>
    <w:rsid w:val="0070456D"/>
    <w:rsid w:val="00707218"/>
    <w:rsid w:val="00707577"/>
    <w:rsid w:val="0070759B"/>
    <w:rsid w:val="007104E5"/>
    <w:rsid w:val="00711715"/>
    <w:rsid w:val="00711856"/>
    <w:rsid w:val="00711C20"/>
    <w:rsid w:val="00712B1D"/>
    <w:rsid w:val="00713893"/>
    <w:rsid w:val="00714749"/>
    <w:rsid w:val="0071481F"/>
    <w:rsid w:val="00714B37"/>
    <w:rsid w:val="00716DEA"/>
    <w:rsid w:val="0071760C"/>
    <w:rsid w:val="00717FB9"/>
    <w:rsid w:val="00720469"/>
    <w:rsid w:val="00720F2F"/>
    <w:rsid w:val="007214C9"/>
    <w:rsid w:val="007216AB"/>
    <w:rsid w:val="00721E83"/>
    <w:rsid w:val="00722785"/>
    <w:rsid w:val="007229D7"/>
    <w:rsid w:val="00724C61"/>
    <w:rsid w:val="00726F4A"/>
    <w:rsid w:val="0072719B"/>
    <w:rsid w:val="00727281"/>
    <w:rsid w:val="007325D9"/>
    <w:rsid w:val="007340E5"/>
    <w:rsid w:val="00735845"/>
    <w:rsid w:val="007360CA"/>
    <w:rsid w:val="0073726E"/>
    <w:rsid w:val="0073782A"/>
    <w:rsid w:val="00737C19"/>
    <w:rsid w:val="007400E7"/>
    <w:rsid w:val="007402BD"/>
    <w:rsid w:val="0074385B"/>
    <w:rsid w:val="007461D5"/>
    <w:rsid w:val="007470D4"/>
    <w:rsid w:val="00750A7C"/>
    <w:rsid w:val="007528EA"/>
    <w:rsid w:val="007569DC"/>
    <w:rsid w:val="00760518"/>
    <w:rsid w:val="00760BE9"/>
    <w:rsid w:val="00760EC0"/>
    <w:rsid w:val="007630A9"/>
    <w:rsid w:val="00766631"/>
    <w:rsid w:val="00767485"/>
    <w:rsid w:val="00767B09"/>
    <w:rsid w:val="007723C0"/>
    <w:rsid w:val="0077289B"/>
    <w:rsid w:val="00772B87"/>
    <w:rsid w:val="00772D37"/>
    <w:rsid w:val="00772F6F"/>
    <w:rsid w:val="0077445E"/>
    <w:rsid w:val="00775CDD"/>
    <w:rsid w:val="00776712"/>
    <w:rsid w:val="0078003A"/>
    <w:rsid w:val="00780501"/>
    <w:rsid w:val="00780771"/>
    <w:rsid w:val="007810DA"/>
    <w:rsid w:val="0078193F"/>
    <w:rsid w:val="00782521"/>
    <w:rsid w:val="00783543"/>
    <w:rsid w:val="00783C10"/>
    <w:rsid w:val="00783FB3"/>
    <w:rsid w:val="0078400B"/>
    <w:rsid w:val="00785BD6"/>
    <w:rsid w:val="00791D1F"/>
    <w:rsid w:val="007929CF"/>
    <w:rsid w:val="007933E8"/>
    <w:rsid w:val="007949A6"/>
    <w:rsid w:val="007968DE"/>
    <w:rsid w:val="007A13CB"/>
    <w:rsid w:val="007A2EA4"/>
    <w:rsid w:val="007A34BD"/>
    <w:rsid w:val="007A3C95"/>
    <w:rsid w:val="007A4850"/>
    <w:rsid w:val="007A4883"/>
    <w:rsid w:val="007A4A4D"/>
    <w:rsid w:val="007A6C2A"/>
    <w:rsid w:val="007A6F28"/>
    <w:rsid w:val="007A7EAC"/>
    <w:rsid w:val="007B03C6"/>
    <w:rsid w:val="007B0A55"/>
    <w:rsid w:val="007B0DB1"/>
    <w:rsid w:val="007B2409"/>
    <w:rsid w:val="007B48D1"/>
    <w:rsid w:val="007B52D1"/>
    <w:rsid w:val="007B52D3"/>
    <w:rsid w:val="007B7B04"/>
    <w:rsid w:val="007C1351"/>
    <w:rsid w:val="007C146B"/>
    <w:rsid w:val="007C155D"/>
    <w:rsid w:val="007C17D9"/>
    <w:rsid w:val="007C3BF6"/>
    <w:rsid w:val="007C440B"/>
    <w:rsid w:val="007C45BB"/>
    <w:rsid w:val="007C5EE6"/>
    <w:rsid w:val="007C6933"/>
    <w:rsid w:val="007C6FEC"/>
    <w:rsid w:val="007C7C5C"/>
    <w:rsid w:val="007C7D73"/>
    <w:rsid w:val="007D0764"/>
    <w:rsid w:val="007D0FD2"/>
    <w:rsid w:val="007D2EF8"/>
    <w:rsid w:val="007D346B"/>
    <w:rsid w:val="007D3477"/>
    <w:rsid w:val="007D386A"/>
    <w:rsid w:val="007D561F"/>
    <w:rsid w:val="007D6A34"/>
    <w:rsid w:val="007D7FD2"/>
    <w:rsid w:val="007E0379"/>
    <w:rsid w:val="007E04E6"/>
    <w:rsid w:val="007E0A03"/>
    <w:rsid w:val="007E107A"/>
    <w:rsid w:val="007E13D9"/>
    <w:rsid w:val="007E29D9"/>
    <w:rsid w:val="007E41BE"/>
    <w:rsid w:val="007E4DB6"/>
    <w:rsid w:val="007E5B2F"/>
    <w:rsid w:val="007E6DF0"/>
    <w:rsid w:val="007E7CD4"/>
    <w:rsid w:val="007F02FE"/>
    <w:rsid w:val="007F12AC"/>
    <w:rsid w:val="007F159E"/>
    <w:rsid w:val="007F1953"/>
    <w:rsid w:val="007F3DC1"/>
    <w:rsid w:val="007F5841"/>
    <w:rsid w:val="007F6D47"/>
    <w:rsid w:val="007F756F"/>
    <w:rsid w:val="00801800"/>
    <w:rsid w:val="00801B5B"/>
    <w:rsid w:val="00801DAE"/>
    <w:rsid w:val="0080272F"/>
    <w:rsid w:val="00802AE5"/>
    <w:rsid w:val="0080550C"/>
    <w:rsid w:val="00806C0F"/>
    <w:rsid w:val="00811086"/>
    <w:rsid w:val="00811197"/>
    <w:rsid w:val="008114C3"/>
    <w:rsid w:val="008114F9"/>
    <w:rsid w:val="008118D9"/>
    <w:rsid w:val="0081308F"/>
    <w:rsid w:val="00814ACE"/>
    <w:rsid w:val="00814B1B"/>
    <w:rsid w:val="0081669B"/>
    <w:rsid w:val="00817801"/>
    <w:rsid w:val="008203A1"/>
    <w:rsid w:val="00821B77"/>
    <w:rsid w:val="00822603"/>
    <w:rsid w:val="0082269B"/>
    <w:rsid w:val="00823F71"/>
    <w:rsid w:val="00826061"/>
    <w:rsid w:val="00826876"/>
    <w:rsid w:val="008276B4"/>
    <w:rsid w:val="00830822"/>
    <w:rsid w:val="00830ED8"/>
    <w:rsid w:val="00831927"/>
    <w:rsid w:val="00831D07"/>
    <w:rsid w:val="00832858"/>
    <w:rsid w:val="0083523D"/>
    <w:rsid w:val="00836178"/>
    <w:rsid w:val="00836462"/>
    <w:rsid w:val="00836862"/>
    <w:rsid w:val="00841926"/>
    <w:rsid w:val="00841BD3"/>
    <w:rsid w:val="0084273D"/>
    <w:rsid w:val="0084273F"/>
    <w:rsid w:val="00843B1E"/>
    <w:rsid w:val="008441B9"/>
    <w:rsid w:val="0084486A"/>
    <w:rsid w:val="00844E3F"/>
    <w:rsid w:val="00845A83"/>
    <w:rsid w:val="00846E45"/>
    <w:rsid w:val="00847798"/>
    <w:rsid w:val="00850341"/>
    <w:rsid w:val="00851380"/>
    <w:rsid w:val="00851F43"/>
    <w:rsid w:val="00853BF5"/>
    <w:rsid w:val="008562D0"/>
    <w:rsid w:val="00857D6C"/>
    <w:rsid w:val="00860443"/>
    <w:rsid w:val="00860581"/>
    <w:rsid w:val="00860AAD"/>
    <w:rsid w:val="00860BC4"/>
    <w:rsid w:val="0086210D"/>
    <w:rsid w:val="00863143"/>
    <w:rsid w:val="00867FC6"/>
    <w:rsid w:val="008712BB"/>
    <w:rsid w:val="008712FF"/>
    <w:rsid w:val="00872FED"/>
    <w:rsid w:val="0087384B"/>
    <w:rsid w:val="00874457"/>
    <w:rsid w:val="00877640"/>
    <w:rsid w:val="00877A93"/>
    <w:rsid w:val="00877B88"/>
    <w:rsid w:val="00884B85"/>
    <w:rsid w:val="00884FA7"/>
    <w:rsid w:val="00885054"/>
    <w:rsid w:val="00885A98"/>
    <w:rsid w:val="00885BF8"/>
    <w:rsid w:val="00885CC6"/>
    <w:rsid w:val="00886100"/>
    <w:rsid w:val="0089120C"/>
    <w:rsid w:val="008959F1"/>
    <w:rsid w:val="008978BD"/>
    <w:rsid w:val="00897E9C"/>
    <w:rsid w:val="008A1A8F"/>
    <w:rsid w:val="008A2484"/>
    <w:rsid w:val="008A2D43"/>
    <w:rsid w:val="008A3A9E"/>
    <w:rsid w:val="008A4EEF"/>
    <w:rsid w:val="008A5CC0"/>
    <w:rsid w:val="008A6F7D"/>
    <w:rsid w:val="008B025F"/>
    <w:rsid w:val="008B205D"/>
    <w:rsid w:val="008B3330"/>
    <w:rsid w:val="008B388A"/>
    <w:rsid w:val="008B4A71"/>
    <w:rsid w:val="008B4CA0"/>
    <w:rsid w:val="008B570C"/>
    <w:rsid w:val="008B6999"/>
    <w:rsid w:val="008B743E"/>
    <w:rsid w:val="008B77EB"/>
    <w:rsid w:val="008C0011"/>
    <w:rsid w:val="008C26D9"/>
    <w:rsid w:val="008C2B44"/>
    <w:rsid w:val="008C413C"/>
    <w:rsid w:val="008C46E4"/>
    <w:rsid w:val="008C501B"/>
    <w:rsid w:val="008C6BBB"/>
    <w:rsid w:val="008C6D50"/>
    <w:rsid w:val="008C7167"/>
    <w:rsid w:val="008C7503"/>
    <w:rsid w:val="008C788F"/>
    <w:rsid w:val="008D160A"/>
    <w:rsid w:val="008D1617"/>
    <w:rsid w:val="008D1AAA"/>
    <w:rsid w:val="008D2579"/>
    <w:rsid w:val="008D262B"/>
    <w:rsid w:val="008D3F2A"/>
    <w:rsid w:val="008D53C9"/>
    <w:rsid w:val="008D7D39"/>
    <w:rsid w:val="008E08D5"/>
    <w:rsid w:val="008E0AE9"/>
    <w:rsid w:val="008E1E16"/>
    <w:rsid w:val="008E1FE1"/>
    <w:rsid w:val="008E22A1"/>
    <w:rsid w:val="008E3B2B"/>
    <w:rsid w:val="008E6110"/>
    <w:rsid w:val="008E6315"/>
    <w:rsid w:val="008E6B56"/>
    <w:rsid w:val="008E7D1A"/>
    <w:rsid w:val="008F0AB0"/>
    <w:rsid w:val="008F11E0"/>
    <w:rsid w:val="008F1746"/>
    <w:rsid w:val="008F336B"/>
    <w:rsid w:val="008F6DB1"/>
    <w:rsid w:val="008F78BC"/>
    <w:rsid w:val="008F7B63"/>
    <w:rsid w:val="008F7D6A"/>
    <w:rsid w:val="00900A30"/>
    <w:rsid w:val="00901F67"/>
    <w:rsid w:val="009054CB"/>
    <w:rsid w:val="00906E26"/>
    <w:rsid w:val="0090782C"/>
    <w:rsid w:val="00911BE5"/>
    <w:rsid w:val="00912C35"/>
    <w:rsid w:val="00912F94"/>
    <w:rsid w:val="009136A8"/>
    <w:rsid w:val="00914999"/>
    <w:rsid w:val="0091514B"/>
    <w:rsid w:val="00916378"/>
    <w:rsid w:val="00921013"/>
    <w:rsid w:val="00923729"/>
    <w:rsid w:val="00923798"/>
    <w:rsid w:val="00923899"/>
    <w:rsid w:val="00924330"/>
    <w:rsid w:val="0092590B"/>
    <w:rsid w:val="00925E60"/>
    <w:rsid w:val="009264B3"/>
    <w:rsid w:val="00926698"/>
    <w:rsid w:val="00926873"/>
    <w:rsid w:val="00926D4B"/>
    <w:rsid w:val="00926F23"/>
    <w:rsid w:val="0092711C"/>
    <w:rsid w:val="00927ADC"/>
    <w:rsid w:val="00927EE2"/>
    <w:rsid w:val="00930069"/>
    <w:rsid w:val="0093056A"/>
    <w:rsid w:val="0093450A"/>
    <w:rsid w:val="009365E0"/>
    <w:rsid w:val="0093729E"/>
    <w:rsid w:val="009378A0"/>
    <w:rsid w:val="00937C18"/>
    <w:rsid w:val="00937D8F"/>
    <w:rsid w:val="009412AF"/>
    <w:rsid w:val="00941D47"/>
    <w:rsid w:val="009422E1"/>
    <w:rsid w:val="0094236A"/>
    <w:rsid w:val="00942BA2"/>
    <w:rsid w:val="00943708"/>
    <w:rsid w:val="009438C2"/>
    <w:rsid w:val="00944C86"/>
    <w:rsid w:val="0094705E"/>
    <w:rsid w:val="00947AF1"/>
    <w:rsid w:val="00950DFB"/>
    <w:rsid w:val="00952817"/>
    <w:rsid w:val="00954579"/>
    <w:rsid w:val="00957DE8"/>
    <w:rsid w:val="009609A9"/>
    <w:rsid w:val="009609F0"/>
    <w:rsid w:val="00960CE9"/>
    <w:rsid w:val="00960ECB"/>
    <w:rsid w:val="009615D6"/>
    <w:rsid w:val="00964E30"/>
    <w:rsid w:val="00966329"/>
    <w:rsid w:val="00967356"/>
    <w:rsid w:val="00967855"/>
    <w:rsid w:val="00967A02"/>
    <w:rsid w:val="00971082"/>
    <w:rsid w:val="00971360"/>
    <w:rsid w:val="0097344C"/>
    <w:rsid w:val="0097633F"/>
    <w:rsid w:val="009804B3"/>
    <w:rsid w:val="00980678"/>
    <w:rsid w:val="00980736"/>
    <w:rsid w:val="00981409"/>
    <w:rsid w:val="00981A39"/>
    <w:rsid w:val="00987097"/>
    <w:rsid w:val="00990AA5"/>
    <w:rsid w:val="00991753"/>
    <w:rsid w:val="00994724"/>
    <w:rsid w:val="00995DE5"/>
    <w:rsid w:val="009A2EB7"/>
    <w:rsid w:val="009A36E8"/>
    <w:rsid w:val="009A3A9C"/>
    <w:rsid w:val="009A437E"/>
    <w:rsid w:val="009A450A"/>
    <w:rsid w:val="009A603C"/>
    <w:rsid w:val="009B009B"/>
    <w:rsid w:val="009B046C"/>
    <w:rsid w:val="009B0BEB"/>
    <w:rsid w:val="009B0C54"/>
    <w:rsid w:val="009B0D98"/>
    <w:rsid w:val="009B13FA"/>
    <w:rsid w:val="009B17C2"/>
    <w:rsid w:val="009B1E2D"/>
    <w:rsid w:val="009B2932"/>
    <w:rsid w:val="009B4001"/>
    <w:rsid w:val="009B40B9"/>
    <w:rsid w:val="009B4BBC"/>
    <w:rsid w:val="009B4D58"/>
    <w:rsid w:val="009B76EC"/>
    <w:rsid w:val="009B78F0"/>
    <w:rsid w:val="009C0361"/>
    <w:rsid w:val="009C1798"/>
    <w:rsid w:val="009C2D36"/>
    <w:rsid w:val="009C3125"/>
    <w:rsid w:val="009C32D9"/>
    <w:rsid w:val="009C32EF"/>
    <w:rsid w:val="009C335B"/>
    <w:rsid w:val="009C59FB"/>
    <w:rsid w:val="009C5BAF"/>
    <w:rsid w:val="009C6125"/>
    <w:rsid w:val="009C644B"/>
    <w:rsid w:val="009C68A4"/>
    <w:rsid w:val="009C6F3B"/>
    <w:rsid w:val="009D024D"/>
    <w:rsid w:val="009D1467"/>
    <w:rsid w:val="009D28EB"/>
    <w:rsid w:val="009D2C1B"/>
    <w:rsid w:val="009D667C"/>
    <w:rsid w:val="009E226D"/>
    <w:rsid w:val="009E30D5"/>
    <w:rsid w:val="009E3391"/>
    <w:rsid w:val="009E4B17"/>
    <w:rsid w:val="009E4FA6"/>
    <w:rsid w:val="009E590B"/>
    <w:rsid w:val="009E6612"/>
    <w:rsid w:val="009E7A77"/>
    <w:rsid w:val="009E7D93"/>
    <w:rsid w:val="009F0A31"/>
    <w:rsid w:val="009F1C6E"/>
    <w:rsid w:val="009F52C6"/>
    <w:rsid w:val="009F5C33"/>
    <w:rsid w:val="00A00EB4"/>
    <w:rsid w:val="00A03EAC"/>
    <w:rsid w:val="00A0485A"/>
    <w:rsid w:val="00A05E09"/>
    <w:rsid w:val="00A06C53"/>
    <w:rsid w:val="00A07F76"/>
    <w:rsid w:val="00A10767"/>
    <w:rsid w:val="00A11CA6"/>
    <w:rsid w:val="00A13200"/>
    <w:rsid w:val="00A15C94"/>
    <w:rsid w:val="00A15E55"/>
    <w:rsid w:val="00A17A58"/>
    <w:rsid w:val="00A2027A"/>
    <w:rsid w:val="00A20A9D"/>
    <w:rsid w:val="00A20C49"/>
    <w:rsid w:val="00A20D3B"/>
    <w:rsid w:val="00A230C1"/>
    <w:rsid w:val="00A23165"/>
    <w:rsid w:val="00A24C1D"/>
    <w:rsid w:val="00A2602B"/>
    <w:rsid w:val="00A269CA"/>
    <w:rsid w:val="00A27B02"/>
    <w:rsid w:val="00A30A4E"/>
    <w:rsid w:val="00A31B44"/>
    <w:rsid w:val="00A32047"/>
    <w:rsid w:val="00A32D23"/>
    <w:rsid w:val="00A336EE"/>
    <w:rsid w:val="00A359AC"/>
    <w:rsid w:val="00A36148"/>
    <w:rsid w:val="00A37561"/>
    <w:rsid w:val="00A37DC6"/>
    <w:rsid w:val="00A41413"/>
    <w:rsid w:val="00A435DC"/>
    <w:rsid w:val="00A43823"/>
    <w:rsid w:val="00A45165"/>
    <w:rsid w:val="00A45FB1"/>
    <w:rsid w:val="00A46CCC"/>
    <w:rsid w:val="00A50044"/>
    <w:rsid w:val="00A50674"/>
    <w:rsid w:val="00A51CFE"/>
    <w:rsid w:val="00A51D6C"/>
    <w:rsid w:val="00A53FAF"/>
    <w:rsid w:val="00A54CE6"/>
    <w:rsid w:val="00A61980"/>
    <w:rsid w:val="00A626EF"/>
    <w:rsid w:val="00A62B20"/>
    <w:rsid w:val="00A63410"/>
    <w:rsid w:val="00A641BE"/>
    <w:rsid w:val="00A64A32"/>
    <w:rsid w:val="00A64C0E"/>
    <w:rsid w:val="00A65519"/>
    <w:rsid w:val="00A66EA0"/>
    <w:rsid w:val="00A66F4C"/>
    <w:rsid w:val="00A66FB6"/>
    <w:rsid w:val="00A706F0"/>
    <w:rsid w:val="00A718F9"/>
    <w:rsid w:val="00A763DF"/>
    <w:rsid w:val="00A76C13"/>
    <w:rsid w:val="00A776A3"/>
    <w:rsid w:val="00A77E1F"/>
    <w:rsid w:val="00A81433"/>
    <w:rsid w:val="00A8299B"/>
    <w:rsid w:val="00A841BF"/>
    <w:rsid w:val="00A85020"/>
    <w:rsid w:val="00A851B5"/>
    <w:rsid w:val="00A8707A"/>
    <w:rsid w:val="00A92B4A"/>
    <w:rsid w:val="00A92E79"/>
    <w:rsid w:val="00A93046"/>
    <w:rsid w:val="00A950B6"/>
    <w:rsid w:val="00A95F12"/>
    <w:rsid w:val="00A97603"/>
    <w:rsid w:val="00A97873"/>
    <w:rsid w:val="00A97EC7"/>
    <w:rsid w:val="00AA0344"/>
    <w:rsid w:val="00AA1DC1"/>
    <w:rsid w:val="00AA2A0F"/>
    <w:rsid w:val="00AA2BE0"/>
    <w:rsid w:val="00AA2F0C"/>
    <w:rsid w:val="00AA46C6"/>
    <w:rsid w:val="00AA5A4E"/>
    <w:rsid w:val="00AA68B9"/>
    <w:rsid w:val="00AA70BC"/>
    <w:rsid w:val="00AB2550"/>
    <w:rsid w:val="00AB3C36"/>
    <w:rsid w:val="00AB41C1"/>
    <w:rsid w:val="00AB6AFF"/>
    <w:rsid w:val="00AC0CA0"/>
    <w:rsid w:val="00AC24E8"/>
    <w:rsid w:val="00AC4821"/>
    <w:rsid w:val="00AC5FEF"/>
    <w:rsid w:val="00AC64CE"/>
    <w:rsid w:val="00AC68FF"/>
    <w:rsid w:val="00AC7EE6"/>
    <w:rsid w:val="00AD0515"/>
    <w:rsid w:val="00AD0EBC"/>
    <w:rsid w:val="00AD12A8"/>
    <w:rsid w:val="00AD192A"/>
    <w:rsid w:val="00AD2C09"/>
    <w:rsid w:val="00AD663C"/>
    <w:rsid w:val="00AD6BFD"/>
    <w:rsid w:val="00AD6CB3"/>
    <w:rsid w:val="00AE023F"/>
    <w:rsid w:val="00AE025A"/>
    <w:rsid w:val="00AE32A2"/>
    <w:rsid w:val="00AE3B09"/>
    <w:rsid w:val="00AE3DD1"/>
    <w:rsid w:val="00AE4E3E"/>
    <w:rsid w:val="00AE5498"/>
    <w:rsid w:val="00AE5CD6"/>
    <w:rsid w:val="00AE6803"/>
    <w:rsid w:val="00AE6CAD"/>
    <w:rsid w:val="00AE7A52"/>
    <w:rsid w:val="00AE7EDC"/>
    <w:rsid w:val="00AF2A65"/>
    <w:rsid w:val="00AF3577"/>
    <w:rsid w:val="00AF35F9"/>
    <w:rsid w:val="00AF3919"/>
    <w:rsid w:val="00AF4593"/>
    <w:rsid w:val="00AF4CDF"/>
    <w:rsid w:val="00AF6232"/>
    <w:rsid w:val="00AF6241"/>
    <w:rsid w:val="00AF64C2"/>
    <w:rsid w:val="00AF6DBF"/>
    <w:rsid w:val="00AF72BA"/>
    <w:rsid w:val="00B01978"/>
    <w:rsid w:val="00B05C7D"/>
    <w:rsid w:val="00B06CD0"/>
    <w:rsid w:val="00B111E1"/>
    <w:rsid w:val="00B120B1"/>
    <w:rsid w:val="00B139AE"/>
    <w:rsid w:val="00B13B7D"/>
    <w:rsid w:val="00B1420D"/>
    <w:rsid w:val="00B14BE7"/>
    <w:rsid w:val="00B17380"/>
    <w:rsid w:val="00B20C8E"/>
    <w:rsid w:val="00B226C3"/>
    <w:rsid w:val="00B23B29"/>
    <w:rsid w:val="00B25228"/>
    <w:rsid w:val="00B26F4D"/>
    <w:rsid w:val="00B27255"/>
    <w:rsid w:val="00B27D33"/>
    <w:rsid w:val="00B31F5C"/>
    <w:rsid w:val="00B31FF9"/>
    <w:rsid w:val="00B32B13"/>
    <w:rsid w:val="00B32DE4"/>
    <w:rsid w:val="00B3344D"/>
    <w:rsid w:val="00B346C3"/>
    <w:rsid w:val="00B358B9"/>
    <w:rsid w:val="00B3591F"/>
    <w:rsid w:val="00B36D0E"/>
    <w:rsid w:val="00B37A32"/>
    <w:rsid w:val="00B410C5"/>
    <w:rsid w:val="00B42C4E"/>
    <w:rsid w:val="00B4471C"/>
    <w:rsid w:val="00B44827"/>
    <w:rsid w:val="00B451A6"/>
    <w:rsid w:val="00B45721"/>
    <w:rsid w:val="00B46176"/>
    <w:rsid w:val="00B47184"/>
    <w:rsid w:val="00B47D76"/>
    <w:rsid w:val="00B5132B"/>
    <w:rsid w:val="00B56723"/>
    <w:rsid w:val="00B575AF"/>
    <w:rsid w:val="00B612E3"/>
    <w:rsid w:val="00B645F6"/>
    <w:rsid w:val="00B65B83"/>
    <w:rsid w:val="00B66A8E"/>
    <w:rsid w:val="00B6767E"/>
    <w:rsid w:val="00B70256"/>
    <w:rsid w:val="00B722DE"/>
    <w:rsid w:val="00B72D16"/>
    <w:rsid w:val="00B75BFB"/>
    <w:rsid w:val="00B76490"/>
    <w:rsid w:val="00B76C44"/>
    <w:rsid w:val="00B77407"/>
    <w:rsid w:val="00B80183"/>
    <w:rsid w:val="00B81401"/>
    <w:rsid w:val="00B81E69"/>
    <w:rsid w:val="00B83ECE"/>
    <w:rsid w:val="00B83F87"/>
    <w:rsid w:val="00B84B59"/>
    <w:rsid w:val="00B86113"/>
    <w:rsid w:val="00B907E0"/>
    <w:rsid w:val="00B960FA"/>
    <w:rsid w:val="00B9671A"/>
    <w:rsid w:val="00B97EF3"/>
    <w:rsid w:val="00BA0E82"/>
    <w:rsid w:val="00BA25C2"/>
    <w:rsid w:val="00BA2EFA"/>
    <w:rsid w:val="00BA3DBC"/>
    <w:rsid w:val="00BA3F33"/>
    <w:rsid w:val="00BA4682"/>
    <w:rsid w:val="00BA55D5"/>
    <w:rsid w:val="00BB1446"/>
    <w:rsid w:val="00BB2DA2"/>
    <w:rsid w:val="00BB52A9"/>
    <w:rsid w:val="00BB56DC"/>
    <w:rsid w:val="00BB5959"/>
    <w:rsid w:val="00BB5E77"/>
    <w:rsid w:val="00BB63F3"/>
    <w:rsid w:val="00BB6BE6"/>
    <w:rsid w:val="00BB7627"/>
    <w:rsid w:val="00BB7F93"/>
    <w:rsid w:val="00BC0C60"/>
    <w:rsid w:val="00BC2364"/>
    <w:rsid w:val="00BC7CA2"/>
    <w:rsid w:val="00BD0DCC"/>
    <w:rsid w:val="00BD34C6"/>
    <w:rsid w:val="00BD5C9C"/>
    <w:rsid w:val="00BE182F"/>
    <w:rsid w:val="00BE183D"/>
    <w:rsid w:val="00BE23A1"/>
    <w:rsid w:val="00BE397A"/>
    <w:rsid w:val="00BE5A68"/>
    <w:rsid w:val="00BE782A"/>
    <w:rsid w:val="00BF39D7"/>
    <w:rsid w:val="00BF5D7A"/>
    <w:rsid w:val="00C008B2"/>
    <w:rsid w:val="00C00A61"/>
    <w:rsid w:val="00C02D33"/>
    <w:rsid w:val="00C050F7"/>
    <w:rsid w:val="00C06C69"/>
    <w:rsid w:val="00C07E0A"/>
    <w:rsid w:val="00C1116D"/>
    <w:rsid w:val="00C11AC7"/>
    <w:rsid w:val="00C1232C"/>
    <w:rsid w:val="00C1570A"/>
    <w:rsid w:val="00C15F85"/>
    <w:rsid w:val="00C16113"/>
    <w:rsid w:val="00C16516"/>
    <w:rsid w:val="00C16C6D"/>
    <w:rsid w:val="00C2287F"/>
    <w:rsid w:val="00C22EF9"/>
    <w:rsid w:val="00C23077"/>
    <w:rsid w:val="00C23310"/>
    <w:rsid w:val="00C302A1"/>
    <w:rsid w:val="00C310AF"/>
    <w:rsid w:val="00C31506"/>
    <w:rsid w:val="00C316B2"/>
    <w:rsid w:val="00C33289"/>
    <w:rsid w:val="00C35206"/>
    <w:rsid w:val="00C3525E"/>
    <w:rsid w:val="00C36168"/>
    <w:rsid w:val="00C36442"/>
    <w:rsid w:val="00C3730F"/>
    <w:rsid w:val="00C37597"/>
    <w:rsid w:val="00C400CE"/>
    <w:rsid w:val="00C410FD"/>
    <w:rsid w:val="00C42397"/>
    <w:rsid w:val="00C44193"/>
    <w:rsid w:val="00C44EE5"/>
    <w:rsid w:val="00C45AC7"/>
    <w:rsid w:val="00C46475"/>
    <w:rsid w:val="00C47D10"/>
    <w:rsid w:val="00C50297"/>
    <w:rsid w:val="00C5117C"/>
    <w:rsid w:val="00C515E2"/>
    <w:rsid w:val="00C51844"/>
    <w:rsid w:val="00C539FB"/>
    <w:rsid w:val="00C55087"/>
    <w:rsid w:val="00C57F95"/>
    <w:rsid w:val="00C6194D"/>
    <w:rsid w:val="00C61C05"/>
    <w:rsid w:val="00C61EB0"/>
    <w:rsid w:val="00C6382F"/>
    <w:rsid w:val="00C63A34"/>
    <w:rsid w:val="00C66394"/>
    <w:rsid w:val="00C719DB"/>
    <w:rsid w:val="00C72E99"/>
    <w:rsid w:val="00C7381B"/>
    <w:rsid w:val="00C745A4"/>
    <w:rsid w:val="00C75272"/>
    <w:rsid w:val="00C75375"/>
    <w:rsid w:val="00C753BC"/>
    <w:rsid w:val="00C767B5"/>
    <w:rsid w:val="00C770D7"/>
    <w:rsid w:val="00C805D3"/>
    <w:rsid w:val="00C80E04"/>
    <w:rsid w:val="00C82A3C"/>
    <w:rsid w:val="00C849FD"/>
    <w:rsid w:val="00C86A5C"/>
    <w:rsid w:val="00C9238F"/>
    <w:rsid w:val="00C924E0"/>
    <w:rsid w:val="00C926A4"/>
    <w:rsid w:val="00C939AE"/>
    <w:rsid w:val="00C93C6C"/>
    <w:rsid w:val="00C947C7"/>
    <w:rsid w:val="00C95AB0"/>
    <w:rsid w:val="00C969C7"/>
    <w:rsid w:val="00C97BF0"/>
    <w:rsid w:val="00CA071B"/>
    <w:rsid w:val="00CA0AC8"/>
    <w:rsid w:val="00CA14CF"/>
    <w:rsid w:val="00CA246D"/>
    <w:rsid w:val="00CA2F69"/>
    <w:rsid w:val="00CA461C"/>
    <w:rsid w:val="00CA50D9"/>
    <w:rsid w:val="00CA58EA"/>
    <w:rsid w:val="00CA6234"/>
    <w:rsid w:val="00CA6A9A"/>
    <w:rsid w:val="00CA6E18"/>
    <w:rsid w:val="00CA7DF8"/>
    <w:rsid w:val="00CB10B2"/>
    <w:rsid w:val="00CB13E6"/>
    <w:rsid w:val="00CB1EA7"/>
    <w:rsid w:val="00CB2EFF"/>
    <w:rsid w:val="00CB347D"/>
    <w:rsid w:val="00CB3BBC"/>
    <w:rsid w:val="00CB5636"/>
    <w:rsid w:val="00CB6F74"/>
    <w:rsid w:val="00CC10AB"/>
    <w:rsid w:val="00CC1E93"/>
    <w:rsid w:val="00CC4C7D"/>
    <w:rsid w:val="00CC6D2D"/>
    <w:rsid w:val="00CC6EF0"/>
    <w:rsid w:val="00CC7AE9"/>
    <w:rsid w:val="00CD22EF"/>
    <w:rsid w:val="00CD4905"/>
    <w:rsid w:val="00CD585C"/>
    <w:rsid w:val="00CE0BF3"/>
    <w:rsid w:val="00CE37CC"/>
    <w:rsid w:val="00CE5457"/>
    <w:rsid w:val="00CE5B58"/>
    <w:rsid w:val="00CE5C2A"/>
    <w:rsid w:val="00CE634E"/>
    <w:rsid w:val="00CE7949"/>
    <w:rsid w:val="00CF0709"/>
    <w:rsid w:val="00CF1846"/>
    <w:rsid w:val="00CF2CAF"/>
    <w:rsid w:val="00CF3776"/>
    <w:rsid w:val="00CF4BC0"/>
    <w:rsid w:val="00CF60A4"/>
    <w:rsid w:val="00CF7F02"/>
    <w:rsid w:val="00D0082F"/>
    <w:rsid w:val="00D00DAD"/>
    <w:rsid w:val="00D011D6"/>
    <w:rsid w:val="00D02219"/>
    <w:rsid w:val="00D03915"/>
    <w:rsid w:val="00D04D1F"/>
    <w:rsid w:val="00D05AE1"/>
    <w:rsid w:val="00D06067"/>
    <w:rsid w:val="00D06987"/>
    <w:rsid w:val="00D10F21"/>
    <w:rsid w:val="00D11520"/>
    <w:rsid w:val="00D11E17"/>
    <w:rsid w:val="00D12A3A"/>
    <w:rsid w:val="00D12A58"/>
    <w:rsid w:val="00D15938"/>
    <w:rsid w:val="00D15DB6"/>
    <w:rsid w:val="00D16719"/>
    <w:rsid w:val="00D24806"/>
    <w:rsid w:val="00D2662B"/>
    <w:rsid w:val="00D266B6"/>
    <w:rsid w:val="00D30F4F"/>
    <w:rsid w:val="00D31601"/>
    <w:rsid w:val="00D3187D"/>
    <w:rsid w:val="00D3221E"/>
    <w:rsid w:val="00D325C2"/>
    <w:rsid w:val="00D32DEA"/>
    <w:rsid w:val="00D3374F"/>
    <w:rsid w:val="00D33A87"/>
    <w:rsid w:val="00D34040"/>
    <w:rsid w:val="00D34475"/>
    <w:rsid w:val="00D344C9"/>
    <w:rsid w:val="00D34AF2"/>
    <w:rsid w:val="00D34E69"/>
    <w:rsid w:val="00D36A4B"/>
    <w:rsid w:val="00D375EE"/>
    <w:rsid w:val="00D37DC3"/>
    <w:rsid w:val="00D403CB"/>
    <w:rsid w:val="00D406D1"/>
    <w:rsid w:val="00D407EC"/>
    <w:rsid w:val="00D4187D"/>
    <w:rsid w:val="00D418AD"/>
    <w:rsid w:val="00D430AD"/>
    <w:rsid w:val="00D47B03"/>
    <w:rsid w:val="00D47D17"/>
    <w:rsid w:val="00D510C8"/>
    <w:rsid w:val="00D5113A"/>
    <w:rsid w:val="00D51167"/>
    <w:rsid w:val="00D52EE6"/>
    <w:rsid w:val="00D54327"/>
    <w:rsid w:val="00D54702"/>
    <w:rsid w:val="00D56975"/>
    <w:rsid w:val="00D56AF3"/>
    <w:rsid w:val="00D57B49"/>
    <w:rsid w:val="00D57DCF"/>
    <w:rsid w:val="00D57E6E"/>
    <w:rsid w:val="00D62699"/>
    <w:rsid w:val="00D62747"/>
    <w:rsid w:val="00D628E4"/>
    <w:rsid w:val="00D62AE7"/>
    <w:rsid w:val="00D63BCA"/>
    <w:rsid w:val="00D63D64"/>
    <w:rsid w:val="00D64DB8"/>
    <w:rsid w:val="00D64F9D"/>
    <w:rsid w:val="00D66760"/>
    <w:rsid w:val="00D71FC8"/>
    <w:rsid w:val="00D74E88"/>
    <w:rsid w:val="00D76F25"/>
    <w:rsid w:val="00D76F7E"/>
    <w:rsid w:val="00D77554"/>
    <w:rsid w:val="00D77771"/>
    <w:rsid w:val="00D80338"/>
    <w:rsid w:val="00D80C9F"/>
    <w:rsid w:val="00D815DB"/>
    <w:rsid w:val="00D816E6"/>
    <w:rsid w:val="00D82620"/>
    <w:rsid w:val="00D82A00"/>
    <w:rsid w:val="00D84688"/>
    <w:rsid w:val="00D846FC"/>
    <w:rsid w:val="00D84AD9"/>
    <w:rsid w:val="00D86166"/>
    <w:rsid w:val="00D86654"/>
    <w:rsid w:val="00D87D8F"/>
    <w:rsid w:val="00D9012E"/>
    <w:rsid w:val="00D917F4"/>
    <w:rsid w:val="00D91BBA"/>
    <w:rsid w:val="00D944BC"/>
    <w:rsid w:val="00D94C39"/>
    <w:rsid w:val="00D95190"/>
    <w:rsid w:val="00D953CD"/>
    <w:rsid w:val="00D96239"/>
    <w:rsid w:val="00D967EA"/>
    <w:rsid w:val="00D9725F"/>
    <w:rsid w:val="00DA01B1"/>
    <w:rsid w:val="00DA03AA"/>
    <w:rsid w:val="00DA11A2"/>
    <w:rsid w:val="00DA14ED"/>
    <w:rsid w:val="00DA1BEB"/>
    <w:rsid w:val="00DA1C07"/>
    <w:rsid w:val="00DA22D4"/>
    <w:rsid w:val="00DA322B"/>
    <w:rsid w:val="00DA41CF"/>
    <w:rsid w:val="00DA4BF1"/>
    <w:rsid w:val="00DA64FC"/>
    <w:rsid w:val="00DA6C3D"/>
    <w:rsid w:val="00DB1DB2"/>
    <w:rsid w:val="00DB2EF1"/>
    <w:rsid w:val="00DB3DE1"/>
    <w:rsid w:val="00DB4375"/>
    <w:rsid w:val="00DB5412"/>
    <w:rsid w:val="00DB5529"/>
    <w:rsid w:val="00DB5DA0"/>
    <w:rsid w:val="00DB5E7F"/>
    <w:rsid w:val="00DB710F"/>
    <w:rsid w:val="00DB716C"/>
    <w:rsid w:val="00DB79B4"/>
    <w:rsid w:val="00DC08C5"/>
    <w:rsid w:val="00DC4086"/>
    <w:rsid w:val="00DC4EAE"/>
    <w:rsid w:val="00DC52F9"/>
    <w:rsid w:val="00DC5C85"/>
    <w:rsid w:val="00DC7AD7"/>
    <w:rsid w:val="00DC7FF3"/>
    <w:rsid w:val="00DD1BCA"/>
    <w:rsid w:val="00DD3705"/>
    <w:rsid w:val="00DD3F37"/>
    <w:rsid w:val="00DD4236"/>
    <w:rsid w:val="00DD44F1"/>
    <w:rsid w:val="00DD49DA"/>
    <w:rsid w:val="00DD788C"/>
    <w:rsid w:val="00DE1C96"/>
    <w:rsid w:val="00DE268F"/>
    <w:rsid w:val="00DE2EDB"/>
    <w:rsid w:val="00DE3067"/>
    <w:rsid w:val="00DE5E0B"/>
    <w:rsid w:val="00DE6163"/>
    <w:rsid w:val="00DE7E5F"/>
    <w:rsid w:val="00DE7FD4"/>
    <w:rsid w:val="00DF0977"/>
    <w:rsid w:val="00DF12C2"/>
    <w:rsid w:val="00DF18D2"/>
    <w:rsid w:val="00DF2C75"/>
    <w:rsid w:val="00DF3863"/>
    <w:rsid w:val="00DF4E24"/>
    <w:rsid w:val="00DF6B2F"/>
    <w:rsid w:val="00E00F9D"/>
    <w:rsid w:val="00E027BC"/>
    <w:rsid w:val="00E03B20"/>
    <w:rsid w:val="00E04285"/>
    <w:rsid w:val="00E0473A"/>
    <w:rsid w:val="00E07199"/>
    <w:rsid w:val="00E07A4B"/>
    <w:rsid w:val="00E07C37"/>
    <w:rsid w:val="00E10BAD"/>
    <w:rsid w:val="00E12FF1"/>
    <w:rsid w:val="00E13449"/>
    <w:rsid w:val="00E136EB"/>
    <w:rsid w:val="00E13EDA"/>
    <w:rsid w:val="00E14732"/>
    <w:rsid w:val="00E14EA5"/>
    <w:rsid w:val="00E16C7C"/>
    <w:rsid w:val="00E17C83"/>
    <w:rsid w:val="00E21133"/>
    <w:rsid w:val="00E2327E"/>
    <w:rsid w:val="00E24A76"/>
    <w:rsid w:val="00E266EF"/>
    <w:rsid w:val="00E26DCC"/>
    <w:rsid w:val="00E316DD"/>
    <w:rsid w:val="00E31817"/>
    <w:rsid w:val="00E31B15"/>
    <w:rsid w:val="00E31C0C"/>
    <w:rsid w:val="00E32D96"/>
    <w:rsid w:val="00E32F25"/>
    <w:rsid w:val="00E33C32"/>
    <w:rsid w:val="00E40288"/>
    <w:rsid w:val="00E407F7"/>
    <w:rsid w:val="00E40F66"/>
    <w:rsid w:val="00E43370"/>
    <w:rsid w:val="00E43D3E"/>
    <w:rsid w:val="00E443CB"/>
    <w:rsid w:val="00E44B5C"/>
    <w:rsid w:val="00E47428"/>
    <w:rsid w:val="00E5019B"/>
    <w:rsid w:val="00E50A50"/>
    <w:rsid w:val="00E524E7"/>
    <w:rsid w:val="00E530EB"/>
    <w:rsid w:val="00E546C6"/>
    <w:rsid w:val="00E549B1"/>
    <w:rsid w:val="00E56ECB"/>
    <w:rsid w:val="00E57DC2"/>
    <w:rsid w:val="00E60898"/>
    <w:rsid w:val="00E61856"/>
    <w:rsid w:val="00E61A39"/>
    <w:rsid w:val="00E62073"/>
    <w:rsid w:val="00E64FEF"/>
    <w:rsid w:val="00E6628A"/>
    <w:rsid w:val="00E66B9F"/>
    <w:rsid w:val="00E66DAB"/>
    <w:rsid w:val="00E6796F"/>
    <w:rsid w:val="00E710D6"/>
    <w:rsid w:val="00E72910"/>
    <w:rsid w:val="00E73919"/>
    <w:rsid w:val="00E7451B"/>
    <w:rsid w:val="00E74FDA"/>
    <w:rsid w:val="00E75CC0"/>
    <w:rsid w:val="00E76BDD"/>
    <w:rsid w:val="00E76E45"/>
    <w:rsid w:val="00E775E8"/>
    <w:rsid w:val="00E777C9"/>
    <w:rsid w:val="00E77C3D"/>
    <w:rsid w:val="00E8059F"/>
    <w:rsid w:val="00E81DA6"/>
    <w:rsid w:val="00E836D8"/>
    <w:rsid w:val="00E8410A"/>
    <w:rsid w:val="00E84212"/>
    <w:rsid w:val="00E84C7E"/>
    <w:rsid w:val="00E8613C"/>
    <w:rsid w:val="00E86DBD"/>
    <w:rsid w:val="00E9076E"/>
    <w:rsid w:val="00E9086C"/>
    <w:rsid w:val="00E91950"/>
    <w:rsid w:val="00E91A0F"/>
    <w:rsid w:val="00E928F0"/>
    <w:rsid w:val="00E932C7"/>
    <w:rsid w:val="00E93FAB"/>
    <w:rsid w:val="00E94A71"/>
    <w:rsid w:val="00E94CCC"/>
    <w:rsid w:val="00E9537A"/>
    <w:rsid w:val="00E95C5F"/>
    <w:rsid w:val="00E97DF6"/>
    <w:rsid w:val="00EA03CE"/>
    <w:rsid w:val="00EA1102"/>
    <w:rsid w:val="00EA23E5"/>
    <w:rsid w:val="00EA3570"/>
    <w:rsid w:val="00EA35A4"/>
    <w:rsid w:val="00EA3CC0"/>
    <w:rsid w:val="00EA3D72"/>
    <w:rsid w:val="00EA4E2E"/>
    <w:rsid w:val="00EA69F4"/>
    <w:rsid w:val="00EB2CCB"/>
    <w:rsid w:val="00EB34E5"/>
    <w:rsid w:val="00EB4569"/>
    <w:rsid w:val="00EB4EC9"/>
    <w:rsid w:val="00EB58F0"/>
    <w:rsid w:val="00EB68ED"/>
    <w:rsid w:val="00EC0418"/>
    <w:rsid w:val="00EC47C2"/>
    <w:rsid w:val="00EC57A7"/>
    <w:rsid w:val="00EC764C"/>
    <w:rsid w:val="00ED0433"/>
    <w:rsid w:val="00ED0817"/>
    <w:rsid w:val="00ED1D25"/>
    <w:rsid w:val="00ED2677"/>
    <w:rsid w:val="00ED30A6"/>
    <w:rsid w:val="00ED3392"/>
    <w:rsid w:val="00ED3487"/>
    <w:rsid w:val="00ED491E"/>
    <w:rsid w:val="00ED74B4"/>
    <w:rsid w:val="00ED7AA3"/>
    <w:rsid w:val="00ED7DD9"/>
    <w:rsid w:val="00EE11A0"/>
    <w:rsid w:val="00EE1C31"/>
    <w:rsid w:val="00EE2C4D"/>
    <w:rsid w:val="00EE435C"/>
    <w:rsid w:val="00EE5F73"/>
    <w:rsid w:val="00EE68DD"/>
    <w:rsid w:val="00EE79DD"/>
    <w:rsid w:val="00EF0D04"/>
    <w:rsid w:val="00EF1392"/>
    <w:rsid w:val="00EF3113"/>
    <w:rsid w:val="00EF365D"/>
    <w:rsid w:val="00EF3F84"/>
    <w:rsid w:val="00EF40C1"/>
    <w:rsid w:val="00EF420B"/>
    <w:rsid w:val="00EF4659"/>
    <w:rsid w:val="00EF5977"/>
    <w:rsid w:val="00EF622F"/>
    <w:rsid w:val="00EF66EF"/>
    <w:rsid w:val="00EF6F19"/>
    <w:rsid w:val="00EF7252"/>
    <w:rsid w:val="00F015A8"/>
    <w:rsid w:val="00F02192"/>
    <w:rsid w:val="00F02F48"/>
    <w:rsid w:val="00F036E7"/>
    <w:rsid w:val="00F05881"/>
    <w:rsid w:val="00F077EF"/>
    <w:rsid w:val="00F12C7F"/>
    <w:rsid w:val="00F132AC"/>
    <w:rsid w:val="00F1331A"/>
    <w:rsid w:val="00F1390B"/>
    <w:rsid w:val="00F140C2"/>
    <w:rsid w:val="00F15DA1"/>
    <w:rsid w:val="00F173A3"/>
    <w:rsid w:val="00F176AC"/>
    <w:rsid w:val="00F21AD6"/>
    <w:rsid w:val="00F22658"/>
    <w:rsid w:val="00F22D82"/>
    <w:rsid w:val="00F236A8"/>
    <w:rsid w:val="00F245FF"/>
    <w:rsid w:val="00F2698D"/>
    <w:rsid w:val="00F27714"/>
    <w:rsid w:val="00F3015A"/>
    <w:rsid w:val="00F3276E"/>
    <w:rsid w:val="00F336AB"/>
    <w:rsid w:val="00F33D3C"/>
    <w:rsid w:val="00F33DD5"/>
    <w:rsid w:val="00F344D1"/>
    <w:rsid w:val="00F34CD1"/>
    <w:rsid w:val="00F35F69"/>
    <w:rsid w:val="00F36F7D"/>
    <w:rsid w:val="00F37982"/>
    <w:rsid w:val="00F37A91"/>
    <w:rsid w:val="00F37DAC"/>
    <w:rsid w:val="00F37DAF"/>
    <w:rsid w:val="00F41D51"/>
    <w:rsid w:val="00F42CFC"/>
    <w:rsid w:val="00F441F7"/>
    <w:rsid w:val="00F444FF"/>
    <w:rsid w:val="00F45CF5"/>
    <w:rsid w:val="00F46C37"/>
    <w:rsid w:val="00F477A2"/>
    <w:rsid w:val="00F47DB0"/>
    <w:rsid w:val="00F50C35"/>
    <w:rsid w:val="00F50E34"/>
    <w:rsid w:val="00F53EF7"/>
    <w:rsid w:val="00F545F3"/>
    <w:rsid w:val="00F54BF2"/>
    <w:rsid w:val="00F54CBC"/>
    <w:rsid w:val="00F55D84"/>
    <w:rsid w:val="00F60CC3"/>
    <w:rsid w:val="00F61608"/>
    <w:rsid w:val="00F61D23"/>
    <w:rsid w:val="00F63FC2"/>
    <w:rsid w:val="00F64836"/>
    <w:rsid w:val="00F652BD"/>
    <w:rsid w:val="00F65B4D"/>
    <w:rsid w:val="00F66022"/>
    <w:rsid w:val="00F70BDC"/>
    <w:rsid w:val="00F71C4B"/>
    <w:rsid w:val="00F728A3"/>
    <w:rsid w:val="00F72A28"/>
    <w:rsid w:val="00F75B80"/>
    <w:rsid w:val="00F76B99"/>
    <w:rsid w:val="00F82EBE"/>
    <w:rsid w:val="00F82EEA"/>
    <w:rsid w:val="00F85FFA"/>
    <w:rsid w:val="00F86040"/>
    <w:rsid w:val="00F9162B"/>
    <w:rsid w:val="00F92355"/>
    <w:rsid w:val="00F93963"/>
    <w:rsid w:val="00F93E10"/>
    <w:rsid w:val="00F94291"/>
    <w:rsid w:val="00F94652"/>
    <w:rsid w:val="00F9481B"/>
    <w:rsid w:val="00F94975"/>
    <w:rsid w:val="00F94E5E"/>
    <w:rsid w:val="00F96661"/>
    <w:rsid w:val="00F9666F"/>
    <w:rsid w:val="00F9686D"/>
    <w:rsid w:val="00F96FDF"/>
    <w:rsid w:val="00FA104A"/>
    <w:rsid w:val="00FA1EE9"/>
    <w:rsid w:val="00FA20C8"/>
    <w:rsid w:val="00FA332E"/>
    <w:rsid w:val="00FA541C"/>
    <w:rsid w:val="00FA7119"/>
    <w:rsid w:val="00FB060B"/>
    <w:rsid w:val="00FB0D8A"/>
    <w:rsid w:val="00FB1E4A"/>
    <w:rsid w:val="00FB304C"/>
    <w:rsid w:val="00FB6AEA"/>
    <w:rsid w:val="00FB6C29"/>
    <w:rsid w:val="00FB7982"/>
    <w:rsid w:val="00FB7EC5"/>
    <w:rsid w:val="00FC00B3"/>
    <w:rsid w:val="00FC0158"/>
    <w:rsid w:val="00FC04E8"/>
    <w:rsid w:val="00FC0734"/>
    <w:rsid w:val="00FC0FC5"/>
    <w:rsid w:val="00FC240C"/>
    <w:rsid w:val="00FC4A49"/>
    <w:rsid w:val="00FC5259"/>
    <w:rsid w:val="00FC579E"/>
    <w:rsid w:val="00FC588F"/>
    <w:rsid w:val="00FC5947"/>
    <w:rsid w:val="00FC5957"/>
    <w:rsid w:val="00FC5F8F"/>
    <w:rsid w:val="00FC610B"/>
    <w:rsid w:val="00FC7A0E"/>
    <w:rsid w:val="00FD0627"/>
    <w:rsid w:val="00FD49CB"/>
    <w:rsid w:val="00FD6B50"/>
    <w:rsid w:val="00FD6F4A"/>
    <w:rsid w:val="00FD7307"/>
    <w:rsid w:val="00FD7DF2"/>
    <w:rsid w:val="00FE183D"/>
    <w:rsid w:val="00FE1B30"/>
    <w:rsid w:val="00FE2554"/>
    <w:rsid w:val="00FE7B44"/>
    <w:rsid w:val="00FF046A"/>
    <w:rsid w:val="00FF21E4"/>
    <w:rsid w:val="00FF3105"/>
    <w:rsid w:val="00FF3752"/>
    <w:rsid w:val="00FF3963"/>
    <w:rsid w:val="00FF45CF"/>
    <w:rsid w:val="00FF4708"/>
    <w:rsid w:val="00FF5119"/>
    <w:rsid w:val="00FF56F2"/>
    <w:rsid w:val="00FF5DA5"/>
    <w:rsid w:val="00FF6132"/>
    <w:rsid w:val="00FF63A6"/>
    <w:rsid w:val="00FF63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6F246D6-96A5-4765-A0B5-29AA73FD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8"/>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numId w:val="0"/>
      </w:numPr>
      <w:tabs>
        <w:tab w:val="num" w:pos="720"/>
      </w:tabs>
      <w:ind w:left="720" w:hanging="720"/>
    </w:pPr>
  </w:style>
  <w:style w:type="paragraph" w:customStyle="1" w:styleId="ListNo3">
    <w:name w:val="List No 3"/>
    <w:basedOn w:val="ListNo2"/>
    <w:rsid w:val="00E14EA5"/>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2"/>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CommentTextChar">
    <w:name w:val="Comment Text Char"/>
    <w:basedOn w:val="DefaultParagraphFont"/>
    <w:link w:val="CommentText"/>
    <w:semiHidden/>
    <w:rsid w:val="00030EE7"/>
    <w:rPr>
      <w:lang w:eastAsia="en-US"/>
    </w:rPr>
  </w:style>
  <w:style w:type="character" w:customStyle="1" w:styleId="Heading2Char">
    <w:name w:val="Heading 2 Char"/>
    <w:basedOn w:val="DefaultParagraphFont"/>
    <w:link w:val="Heading2"/>
    <w:rsid w:val="00FC5259"/>
    <w:rPr>
      <w:b/>
      <w:sz w:val="24"/>
      <w:szCs w:val="24"/>
      <w:lang w:eastAsia="en-US"/>
    </w:rPr>
  </w:style>
  <w:style w:type="character" w:customStyle="1" w:styleId="Heading3Char">
    <w:name w:val="Heading 3 Char"/>
    <w:basedOn w:val="DefaultParagraphFont"/>
    <w:link w:val="Heading3"/>
    <w:rsid w:val="00921013"/>
    <w:rPr>
      <w:b/>
      <w:i/>
      <w:sz w:val="24"/>
      <w:lang w:eastAsia="en-US"/>
    </w:rPr>
  </w:style>
  <w:style w:type="paragraph" w:styleId="ListParagraph">
    <w:name w:val="List Paragraph"/>
    <w:basedOn w:val="Normal"/>
    <w:uiPriority w:val="1"/>
    <w:qFormat/>
    <w:rsid w:val="00823F71"/>
    <w:pPr>
      <w:ind w:left="720"/>
      <w:contextualSpacing/>
    </w:pPr>
  </w:style>
  <w:style w:type="character" w:customStyle="1" w:styleId="Heading4Char">
    <w:name w:val="Heading 4 Char"/>
    <w:basedOn w:val="DefaultParagraphFont"/>
    <w:link w:val="Heading4"/>
    <w:rsid w:val="001E33CF"/>
    <w:rPr>
      <w:i/>
      <w:sz w:val="24"/>
      <w:szCs w:val="24"/>
      <w:lang w:eastAsia="en-US"/>
    </w:rPr>
  </w:style>
  <w:style w:type="paragraph" w:customStyle="1" w:styleId="00f647f2">
    <w:name w:val="00f647f2"/>
    <w:basedOn w:val="Normal"/>
    <w:rsid w:val="001C7001"/>
    <w:pPr>
      <w:spacing w:before="100" w:beforeAutospacing="1" w:after="100" w:afterAutospacing="1" w:line="240" w:lineRule="auto"/>
      <w:jc w:val="left"/>
    </w:pPr>
    <w:rPr>
      <w:rFonts w:eastAsia="Times New Roman"/>
      <w:szCs w:val="24"/>
      <w:lang w:eastAsia="en-AU"/>
    </w:rPr>
  </w:style>
  <w:style w:type="paragraph" w:customStyle="1" w:styleId="00fb3bc2">
    <w:name w:val="00fb3bc2"/>
    <w:basedOn w:val="Normal"/>
    <w:rsid w:val="00BB52A9"/>
    <w:pPr>
      <w:spacing w:before="100" w:beforeAutospacing="1" w:after="100" w:afterAutospacing="1" w:line="240" w:lineRule="auto"/>
      <w:jc w:val="left"/>
    </w:pPr>
    <w:rPr>
      <w:rFonts w:eastAsia="Times New Roman"/>
      <w:szCs w:val="24"/>
      <w:lang w:eastAsia="en-AU"/>
    </w:rPr>
  </w:style>
  <w:style w:type="paragraph" w:styleId="Revision">
    <w:name w:val="Revision"/>
    <w:hidden/>
    <w:uiPriority w:val="99"/>
    <w:semiHidden/>
    <w:rsid w:val="00D15938"/>
    <w:rPr>
      <w:sz w:val="24"/>
      <w:lang w:eastAsia="en-US"/>
    </w:rPr>
  </w:style>
  <w:style w:type="paragraph" w:customStyle="1" w:styleId="005016d1">
    <w:name w:val="005016d1"/>
    <w:basedOn w:val="Normal"/>
    <w:rsid w:val="001840F7"/>
    <w:pPr>
      <w:spacing w:before="100" w:beforeAutospacing="1" w:after="100" w:afterAutospacing="1" w:line="240" w:lineRule="auto"/>
      <w:jc w:val="left"/>
    </w:pPr>
    <w:rPr>
      <w:rFonts w:eastAsia="Times New Roman"/>
      <w:szCs w:val="24"/>
      <w:lang w:eastAsia="en-AU"/>
    </w:rPr>
  </w:style>
  <w:style w:type="paragraph" w:customStyle="1" w:styleId="001a1e01">
    <w:name w:val="001a1e01"/>
    <w:basedOn w:val="Normal"/>
    <w:rsid w:val="00EE11A0"/>
    <w:pPr>
      <w:spacing w:after="300" w:line="240" w:lineRule="auto"/>
      <w:jc w:val="left"/>
    </w:pPr>
    <w:rPr>
      <w:rFonts w:ascii="Arial" w:eastAsia="Times New Roman" w:hAnsi="Arial" w:cs="Arial"/>
      <w:szCs w:val="24"/>
      <w:lang w:eastAsia="en-AU"/>
    </w:rPr>
  </w:style>
  <w:style w:type="paragraph" w:customStyle="1" w:styleId="00ed1660">
    <w:name w:val="00ed1660"/>
    <w:basedOn w:val="Normal"/>
    <w:rsid w:val="00EE11A0"/>
    <w:pPr>
      <w:spacing w:after="300" w:line="240" w:lineRule="auto"/>
      <w:jc w:val="left"/>
    </w:pPr>
    <w:rPr>
      <w:rFonts w:ascii="Arial" w:eastAsia="Times New Roman" w:hAnsi="Arial" w:cs="Arial"/>
      <w:szCs w:val="24"/>
      <w:lang w:eastAsia="en-AU"/>
    </w:rPr>
  </w:style>
  <w:style w:type="character" w:customStyle="1" w:styleId="Heading1Char">
    <w:name w:val="Heading 1 Char"/>
    <w:basedOn w:val="DefaultParagraphFont"/>
    <w:link w:val="Heading1"/>
    <w:rsid w:val="00E5019B"/>
    <w:rPr>
      <w:b/>
      <w:caps/>
      <w:kern w:val="28"/>
      <w:sz w:val="24"/>
      <w:lang w:eastAsia="en-US"/>
    </w:rPr>
  </w:style>
  <w:style w:type="character" w:customStyle="1" w:styleId="Heading5Char">
    <w:name w:val="Heading 5 Char"/>
    <w:basedOn w:val="DefaultParagraphFont"/>
    <w:link w:val="Heading5"/>
    <w:rsid w:val="00E5019B"/>
    <w:rPr>
      <w:b/>
      <w:kern w:val="28"/>
      <w:sz w:val="24"/>
      <w:lang w:eastAsia="en-US"/>
    </w:rPr>
  </w:style>
  <w:style w:type="character" w:customStyle="1" w:styleId="Heading6Char">
    <w:name w:val="Heading 6 Char"/>
    <w:basedOn w:val="DefaultParagraphFont"/>
    <w:link w:val="Heading6"/>
    <w:rsid w:val="00E5019B"/>
    <w:rPr>
      <w:b/>
      <w:sz w:val="24"/>
      <w:lang w:eastAsia="en-US"/>
    </w:rPr>
  </w:style>
  <w:style w:type="character" w:customStyle="1" w:styleId="Heading7Char">
    <w:name w:val="Heading 7 Char"/>
    <w:basedOn w:val="DefaultParagraphFont"/>
    <w:link w:val="Heading7"/>
    <w:rsid w:val="00E5019B"/>
    <w:rPr>
      <w:b/>
      <w:sz w:val="24"/>
      <w:lang w:eastAsia="en-US"/>
    </w:rPr>
  </w:style>
  <w:style w:type="character" w:customStyle="1" w:styleId="Heading8Char">
    <w:name w:val="Heading 8 Char"/>
    <w:basedOn w:val="DefaultParagraphFont"/>
    <w:link w:val="Heading8"/>
    <w:rsid w:val="00E5019B"/>
    <w:rPr>
      <w:b/>
      <w:sz w:val="24"/>
      <w:lang w:eastAsia="en-US"/>
    </w:rPr>
  </w:style>
  <w:style w:type="character" w:customStyle="1" w:styleId="Heading9Char">
    <w:name w:val="Heading 9 Char"/>
    <w:basedOn w:val="DefaultParagraphFont"/>
    <w:link w:val="Heading9"/>
    <w:rsid w:val="00E5019B"/>
    <w:rPr>
      <w:b/>
      <w:sz w:val="24"/>
      <w:lang w:eastAsia="en-US"/>
    </w:rPr>
  </w:style>
  <w:style w:type="character" w:customStyle="1" w:styleId="HeaderChar">
    <w:name w:val="Header Char"/>
    <w:basedOn w:val="DefaultParagraphFont"/>
    <w:link w:val="Header"/>
    <w:semiHidden/>
    <w:rsid w:val="00E5019B"/>
    <w:rPr>
      <w:sz w:val="24"/>
      <w:lang w:eastAsia="en-US"/>
    </w:rPr>
  </w:style>
  <w:style w:type="character" w:customStyle="1" w:styleId="FooterChar">
    <w:name w:val="Footer Char"/>
    <w:basedOn w:val="DefaultParagraphFont"/>
    <w:link w:val="Footer"/>
    <w:semiHidden/>
    <w:rsid w:val="00E5019B"/>
    <w:rPr>
      <w:sz w:val="24"/>
      <w:lang w:eastAsia="en-US"/>
    </w:rPr>
  </w:style>
  <w:style w:type="character" w:customStyle="1" w:styleId="BalloonTextChar">
    <w:name w:val="Balloon Text Char"/>
    <w:basedOn w:val="DefaultParagraphFont"/>
    <w:link w:val="BalloonText"/>
    <w:semiHidden/>
    <w:rsid w:val="00E5019B"/>
    <w:rPr>
      <w:rFonts w:ascii="Tahoma" w:hAnsi="Tahoma" w:cs="Tahoma"/>
      <w:sz w:val="16"/>
      <w:szCs w:val="16"/>
      <w:lang w:eastAsia="en-US"/>
    </w:rPr>
  </w:style>
  <w:style w:type="character" w:customStyle="1" w:styleId="CommentSubjectChar">
    <w:name w:val="Comment Subject Char"/>
    <w:basedOn w:val="CommentTextChar"/>
    <w:link w:val="CommentSubject"/>
    <w:semiHidden/>
    <w:rsid w:val="00E5019B"/>
    <w:rPr>
      <w:b/>
      <w:bCs/>
      <w:lang w:eastAsia="en-US"/>
    </w:rPr>
  </w:style>
  <w:style w:type="numbering" w:customStyle="1" w:styleId="1111111">
    <w:name w:val="1 / 1.1 / 1.1.11"/>
    <w:basedOn w:val="NoList"/>
    <w:next w:val="111111"/>
    <w:semiHidden/>
    <w:rsid w:val="00E5019B"/>
  </w:style>
  <w:style w:type="numbering" w:customStyle="1" w:styleId="1ai1">
    <w:name w:val="1 / a / i1"/>
    <w:basedOn w:val="NoList"/>
    <w:next w:val="1ai"/>
    <w:semiHidden/>
    <w:rsid w:val="00E5019B"/>
  </w:style>
  <w:style w:type="numbering" w:customStyle="1" w:styleId="ArticleSection1">
    <w:name w:val="Article / Section1"/>
    <w:basedOn w:val="NoList"/>
    <w:next w:val="ArticleSection"/>
    <w:semiHidden/>
    <w:rsid w:val="00E5019B"/>
  </w:style>
  <w:style w:type="character" w:customStyle="1" w:styleId="BodyText2Char">
    <w:name w:val="Body Text 2 Char"/>
    <w:basedOn w:val="DefaultParagraphFont"/>
    <w:link w:val="BodyText2"/>
    <w:semiHidden/>
    <w:rsid w:val="00E5019B"/>
    <w:rPr>
      <w:sz w:val="24"/>
      <w:lang w:eastAsia="en-US"/>
    </w:rPr>
  </w:style>
  <w:style w:type="character" w:customStyle="1" w:styleId="BodyText3Char">
    <w:name w:val="Body Text 3 Char"/>
    <w:basedOn w:val="DefaultParagraphFont"/>
    <w:link w:val="BodyText3"/>
    <w:semiHidden/>
    <w:rsid w:val="00E5019B"/>
    <w:rPr>
      <w:sz w:val="16"/>
      <w:szCs w:val="16"/>
      <w:lang w:eastAsia="en-US"/>
    </w:rPr>
  </w:style>
  <w:style w:type="character" w:customStyle="1" w:styleId="BodyTextFirstIndentChar">
    <w:name w:val="Body Text First Indent Char"/>
    <w:basedOn w:val="BodyTextChar"/>
    <w:link w:val="BodyTextFirstIndent"/>
    <w:semiHidden/>
    <w:rsid w:val="00E5019B"/>
    <w:rPr>
      <w:sz w:val="24"/>
      <w:lang w:eastAsia="en-US"/>
    </w:rPr>
  </w:style>
  <w:style w:type="character" w:customStyle="1" w:styleId="BodyTextIndentChar">
    <w:name w:val="Body Text Indent Char"/>
    <w:basedOn w:val="DefaultParagraphFont"/>
    <w:link w:val="BodyTextIndent"/>
    <w:semiHidden/>
    <w:rsid w:val="00E5019B"/>
    <w:rPr>
      <w:sz w:val="24"/>
      <w:lang w:eastAsia="en-US"/>
    </w:rPr>
  </w:style>
  <w:style w:type="character" w:customStyle="1" w:styleId="BodyTextFirstIndent2Char">
    <w:name w:val="Body Text First Indent 2 Char"/>
    <w:basedOn w:val="BodyTextIndentChar"/>
    <w:link w:val="BodyTextFirstIndent2"/>
    <w:semiHidden/>
    <w:rsid w:val="00E5019B"/>
    <w:rPr>
      <w:sz w:val="24"/>
      <w:lang w:eastAsia="en-US"/>
    </w:rPr>
  </w:style>
  <w:style w:type="character" w:customStyle="1" w:styleId="BodyTextIndent2Char">
    <w:name w:val="Body Text Indent 2 Char"/>
    <w:basedOn w:val="DefaultParagraphFont"/>
    <w:link w:val="BodyTextIndent2"/>
    <w:semiHidden/>
    <w:rsid w:val="00E5019B"/>
    <w:rPr>
      <w:sz w:val="24"/>
      <w:lang w:eastAsia="en-US"/>
    </w:rPr>
  </w:style>
  <w:style w:type="character" w:customStyle="1" w:styleId="BodyTextIndent3Char">
    <w:name w:val="Body Text Indent 3 Char"/>
    <w:basedOn w:val="DefaultParagraphFont"/>
    <w:link w:val="BodyTextIndent3"/>
    <w:semiHidden/>
    <w:rsid w:val="00E5019B"/>
    <w:rPr>
      <w:sz w:val="16"/>
      <w:szCs w:val="16"/>
      <w:lang w:eastAsia="en-US"/>
    </w:rPr>
  </w:style>
  <w:style w:type="character" w:customStyle="1" w:styleId="ClosingChar">
    <w:name w:val="Closing Char"/>
    <w:basedOn w:val="DefaultParagraphFont"/>
    <w:link w:val="Closing"/>
    <w:semiHidden/>
    <w:rsid w:val="00E5019B"/>
    <w:rPr>
      <w:sz w:val="24"/>
      <w:lang w:eastAsia="en-US"/>
    </w:rPr>
  </w:style>
  <w:style w:type="character" w:customStyle="1" w:styleId="DateChar">
    <w:name w:val="Date Char"/>
    <w:basedOn w:val="DefaultParagraphFont"/>
    <w:link w:val="Date"/>
    <w:semiHidden/>
    <w:rsid w:val="00E5019B"/>
    <w:rPr>
      <w:sz w:val="24"/>
      <w:lang w:eastAsia="en-US"/>
    </w:rPr>
  </w:style>
  <w:style w:type="character" w:customStyle="1" w:styleId="E-mailSignatureChar">
    <w:name w:val="E-mail Signature Char"/>
    <w:basedOn w:val="DefaultParagraphFont"/>
    <w:link w:val="E-mailSignature"/>
    <w:semiHidden/>
    <w:rsid w:val="00E5019B"/>
    <w:rPr>
      <w:sz w:val="24"/>
      <w:lang w:eastAsia="en-US"/>
    </w:rPr>
  </w:style>
  <w:style w:type="character" w:customStyle="1" w:styleId="HTMLAddressChar">
    <w:name w:val="HTML Address Char"/>
    <w:basedOn w:val="DefaultParagraphFont"/>
    <w:link w:val="HTMLAddress"/>
    <w:semiHidden/>
    <w:rsid w:val="00E5019B"/>
    <w:rPr>
      <w:i/>
      <w:iCs/>
      <w:sz w:val="24"/>
      <w:lang w:eastAsia="en-US"/>
    </w:rPr>
  </w:style>
  <w:style w:type="character" w:customStyle="1" w:styleId="HTMLPreformattedChar">
    <w:name w:val="HTML Preformatted Char"/>
    <w:basedOn w:val="DefaultParagraphFont"/>
    <w:link w:val="HTMLPreformatted"/>
    <w:semiHidden/>
    <w:rsid w:val="00E5019B"/>
    <w:rPr>
      <w:rFonts w:ascii="Courier New" w:hAnsi="Courier New" w:cs="Courier New"/>
      <w:lang w:eastAsia="en-US"/>
    </w:rPr>
  </w:style>
  <w:style w:type="character" w:customStyle="1" w:styleId="MessageHeaderChar">
    <w:name w:val="Message Header Char"/>
    <w:basedOn w:val="DefaultParagraphFont"/>
    <w:link w:val="MessageHeader"/>
    <w:semiHidden/>
    <w:rsid w:val="00E5019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E5019B"/>
    <w:rPr>
      <w:sz w:val="24"/>
      <w:lang w:eastAsia="en-US"/>
    </w:rPr>
  </w:style>
  <w:style w:type="character" w:customStyle="1" w:styleId="PlainTextChar">
    <w:name w:val="Plain Text Char"/>
    <w:basedOn w:val="DefaultParagraphFont"/>
    <w:link w:val="PlainText"/>
    <w:semiHidden/>
    <w:rsid w:val="00E5019B"/>
    <w:rPr>
      <w:rFonts w:ascii="Courier New" w:hAnsi="Courier New" w:cs="Courier New"/>
      <w:lang w:eastAsia="en-US"/>
    </w:rPr>
  </w:style>
  <w:style w:type="character" w:customStyle="1" w:styleId="SalutationChar">
    <w:name w:val="Salutation Char"/>
    <w:basedOn w:val="DefaultParagraphFont"/>
    <w:link w:val="Salutation"/>
    <w:semiHidden/>
    <w:rsid w:val="00E5019B"/>
    <w:rPr>
      <w:sz w:val="24"/>
      <w:lang w:eastAsia="en-US"/>
    </w:rPr>
  </w:style>
  <w:style w:type="character" w:customStyle="1" w:styleId="SignatureChar">
    <w:name w:val="Signature Char"/>
    <w:basedOn w:val="DefaultParagraphFont"/>
    <w:link w:val="Signature"/>
    <w:semiHidden/>
    <w:rsid w:val="00E5019B"/>
    <w:rPr>
      <w:sz w:val="24"/>
      <w:lang w:eastAsia="en-US"/>
    </w:rPr>
  </w:style>
  <w:style w:type="character" w:customStyle="1" w:styleId="SubtitleChar">
    <w:name w:val="Subtitle Char"/>
    <w:basedOn w:val="DefaultParagraphFont"/>
    <w:link w:val="Subtitle"/>
    <w:rsid w:val="00E5019B"/>
    <w:rPr>
      <w:rFonts w:ascii="Arial" w:hAnsi="Arial" w:cs="Arial"/>
      <w:sz w:val="24"/>
      <w:szCs w:val="24"/>
      <w:lang w:eastAsia="en-US"/>
    </w:rPr>
  </w:style>
  <w:style w:type="numbering" w:customStyle="1" w:styleId="FCListNo1">
    <w:name w:val="FCListNo1"/>
    <w:uiPriority w:val="99"/>
    <w:rsid w:val="00E5019B"/>
  </w:style>
  <w:style w:type="numbering" w:customStyle="1" w:styleId="FCOrders1">
    <w:name w:val="FCOrders1"/>
    <w:uiPriority w:val="99"/>
    <w:rsid w:val="00E5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825">
      <w:bodyDiv w:val="1"/>
      <w:marLeft w:val="0"/>
      <w:marRight w:val="0"/>
      <w:marTop w:val="0"/>
      <w:marBottom w:val="0"/>
      <w:divBdr>
        <w:top w:val="none" w:sz="0" w:space="0" w:color="auto"/>
        <w:left w:val="none" w:sz="0" w:space="0" w:color="auto"/>
        <w:bottom w:val="none" w:sz="0" w:space="0" w:color="auto"/>
        <w:right w:val="none" w:sz="0" w:space="0" w:color="auto"/>
      </w:divBdr>
    </w:div>
    <w:div w:id="288510331">
      <w:bodyDiv w:val="1"/>
      <w:marLeft w:val="0"/>
      <w:marRight w:val="0"/>
      <w:marTop w:val="0"/>
      <w:marBottom w:val="0"/>
      <w:divBdr>
        <w:top w:val="none" w:sz="0" w:space="0" w:color="auto"/>
        <w:left w:val="none" w:sz="0" w:space="0" w:color="auto"/>
        <w:bottom w:val="none" w:sz="0" w:space="0" w:color="auto"/>
        <w:right w:val="none" w:sz="0" w:space="0" w:color="auto"/>
      </w:divBdr>
    </w:div>
    <w:div w:id="338168012">
      <w:bodyDiv w:val="1"/>
      <w:marLeft w:val="0"/>
      <w:marRight w:val="0"/>
      <w:marTop w:val="0"/>
      <w:marBottom w:val="0"/>
      <w:divBdr>
        <w:top w:val="none" w:sz="0" w:space="0" w:color="auto"/>
        <w:left w:val="none" w:sz="0" w:space="0" w:color="auto"/>
        <w:bottom w:val="none" w:sz="0" w:space="0" w:color="auto"/>
        <w:right w:val="none" w:sz="0" w:space="0" w:color="auto"/>
      </w:divBdr>
    </w:div>
    <w:div w:id="406877072">
      <w:bodyDiv w:val="1"/>
      <w:marLeft w:val="0"/>
      <w:marRight w:val="0"/>
      <w:marTop w:val="0"/>
      <w:marBottom w:val="0"/>
      <w:divBdr>
        <w:top w:val="none" w:sz="0" w:space="0" w:color="auto"/>
        <w:left w:val="none" w:sz="0" w:space="0" w:color="auto"/>
        <w:bottom w:val="none" w:sz="0" w:space="0" w:color="auto"/>
        <w:right w:val="none" w:sz="0" w:space="0" w:color="auto"/>
      </w:divBdr>
    </w:div>
    <w:div w:id="573441097">
      <w:bodyDiv w:val="1"/>
      <w:marLeft w:val="0"/>
      <w:marRight w:val="0"/>
      <w:marTop w:val="0"/>
      <w:marBottom w:val="0"/>
      <w:divBdr>
        <w:top w:val="none" w:sz="0" w:space="0" w:color="auto"/>
        <w:left w:val="none" w:sz="0" w:space="0" w:color="auto"/>
        <w:bottom w:val="none" w:sz="0" w:space="0" w:color="auto"/>
        <w:right w:val="none" w:sz="0" w:space="0" w:color="auto"/>
      </w:divBdr>
    </w:div>
    <w:div w:id="613244984">
      <w:bodyDiv w:val="1"/>
      <w:marLeft w:val="0"/>
      <w:marRight w:val="0"/>
      <w:marTop w:val="0"/>
      <w:marBottom w:val="0"/>
      <w:divBdr>
        <w:top w:val="none" w:sz="0" w:space="0" w:color="auto"/>
        <w:left w:val="none" w:sz="0" w:space="0" w:color="auto"/>
        <w:bottom w:val="none" w:sz="0" w:space="0" w:color="auto"/>
        <w:right w:val="none" w:sz="0" w:space="0" w:color="auto"/>
      </w:divBdr>
    </w:div>
    <w:div w:id="634064494">
      <w:bodyDiv w:val="1"/>
      <w:marLeft w:val="0"/>
      <w:marRight w:val="0"/>
      <w:marTop w:val="0"/>
      <w:marBottom w:val="0"/>
      <w:divBdr>
        <w:top w:val="none" w:sz="0" w:space="0" w:color="auto"/>
        <w:left w:val="none" w:sz="0" w:space="0" w:color="auto"/>
        <w:bottom w:val="none" w:sz="0" w:space="0" w:color="auto"/>
        <w:right w:val="none" w:sz="0" w:space="0" w:color="auto"/>
      </w:divBdr>
    </w:div>
    <w:div w:id="654603587">
      <w:bodyDiv w:val="1"/>
      <w:marLeft w:val="0"/>
      <w:marRight w:val="0"/>
      <w:marTop w:val="0"/>
      <w:marBottom w:val="0"/>
      <w:divBdr>
        <w:top w:val="none" w:sz="0" w:space="0" w:color="auto"/>
        <w:left w:val="none" w:sz="0" w:space="0" w:color="auto"/>
        <w:bottom w:val="none" w:sz="0" w:space="0" w:color="auto"/>
        <w:right w:val="none" w:sz="0" w:space="0" w:color="auto"/>
      </w:divBdr>
      <w:divsChild>
        <w:div w:id="2123986583">
          <w:marLeft w:val="0"/>
          <w:marRight w:val="0"/>
          <w:marTop w:val="0"/>
          <w:marBottom w:val="0"/>
          <w:divBdr>
            <w:top w:val="none" w:sz="0" w:space="0" w:color="auto"/>
            <w:left w:val="none" w:sz="0" w:space="0" w:color="auto"/>
            <w:bottom w:val="none" w:sz="0" w:space="0" w:color="auto"/>
            <w:right w:val="none" w:sz="0" w:space="0" w:color="auto"/>
          </w:divBdr>
          <w:divsChild>
            <w:div w:id="1227718074">
              <w:marLeft w:val="0"/>
              <w:marRight w:val="0"/>
              <w:marTop w:val="0"/>
              <w:marBottom w:val="0"/>
              <w:divBdr>
                <w:top w:val="none" w:sz="0" w:space="0" w:color="auto"/>
                <w:left w:val="none" w:sz="0" w:space="0" w:color="auto"/>
                <w:bottom w:val="none" w:sz="0" w:space="0" w:color="auto"/>
                <w:right w:val="none" w:sz="0" w:space="0" w:color="auto"/>
              </w:divBdr>
              <w:divsChild>
                <w:div w:id="2011565305">
                  <w:marLeft w:val="0"/>
                  <w:marRight w:val="0"/>
                  <w:marTop w:val="0"/>
                  <w:marBottom w:val="0"/>
                  <w:divBdr>
                    <w:top w:val="none" w:sz="0" w:space="0" w:color="auto"/>
                    <w:left w:val="none" w:sz="0" w:space="0" w:color="auto"/>
                    <w:bottom w:val="none" w:sz="0" w:space="0" w:color="auto"/>
                    <w:right w:val="none" w:sz="0" w:space="0" w:color="auto"/>
                  </w:divBdr>
                  <w:divsChild>
                    <w:div w:id="1340621718">
                      <w:marLeft w:val="0"/>
                      <w:marRight w:val="0"/>
                      <w:marTop w:val="0"/>
                      <w:marBottom w:val="0"/>
                      <w:divBdr>
                        <w:top w:val="none" w:sz="0" w:space="0" w:color="auto"/>
                        <w:left w:val="none" w:sz="0" w:space="0" w:color="auto"/>
                        <w:bottom w:val="none" w:sz="0" w:space="0" w:color="auto"/>
                        <w:right w:val="none" w:sz="0" w:space="0" w:color="auto"/>
                      </w:divBdr>
                      <w:divsChild>
                        <w:div w:id="1852138555">
                          <w:marLeft w:val="0"/>
                          <w:marRight w:val="0"/>
                          <w:marTop w:val="0"/>
                          <w:marBottom w:val="0"/>
                          <w:divBdr>
                            <w:top w:val="none" w:sz="0" w:space="0" w:color="auto"/>
                            <w:left w:val="none" w:sz="0" w:space="0" w:color="auto"/>
                            <w:bottom w:val="none" w:sz="0" w:space="0" w:color="auto"/>
                            <w:right w:val="none" w:sz="0" w:space="0" w:color="auto"/>
                          </w:divBdr>
                          <w:divsChild>
                            <w:div w:id="1666976134">
                              <w:marLeft w:val="0"/>
                              <w:marRight w:val="0"/>
                              <w:marTop w:val="0"/>
                              <w:marBottom w:val="0"/>
                              <w:divBdr>
                                <w:top w:val="none" w:sz="0" w:space="0" w:color="auto"/>
                                <w:left w:val="none" w:sz="0" w:space="0" w:color="auto"/>
                                <w:bottom w:val="none" w:sz="0" w:space="0" w:color="auto"/>
                                <w:right w:val="none" w:sz="0" w:space="0" w:color="auto"/>
                              </w:divBdr>
                              <w:divsChild>
                                <w:div w:id="1422415016">
                                  <w:marLeft w:val="0"/>
                                  <w:marRight w:val="0"/>
                                  <w:marTop w:val="0"/>
                                  <w:marBottom w:val="0"/>
                                  <w:divBdr>
                                    <w:top w:val="none" w:sz="0" w:space="0" w:color="auto"/>
                                    <w:left w:val="none" w:sz="0" w:space="0" w:color="auto"/>
                                    <w:bottom w:val="none" w:sz="0" w:space="0" w:color="auto"/>
                                    <w:right w:val="none" w:sz="0" w:space="0" w:color="auto"/>
                                  </w:divBdr>
                                  <w:divsChild>
                                    <w:div w:id="940769949">
                                      <w:marLeft w:val="0"/>
                                      <w:marRight w:val="0"/>
                                      <w:marTop w:val="0"/>
                                      <w:marBottom w:val="0"/>
                                      <w:divBdr>
                                        <w:top w:val="none" w:sz="0" w:space="0" w:color="auto"/>
                                        <w:left w:val="none" w:sz="0" w:space="0" w:color="auto"/>
                                        <w:bottom w:val="none" w:sz="0" w:space="0" w:color="auto"/>
                                        <w:right w:val="none" w:sz="0" w:space="0" w:color="auto"/>
                                      </w:divBdr>
                                      <w:divsChild>
                                        <w:div w:id="1406299609">
                                          <w:marLeft w:val="0"/>
                                          <w:marRight w:val="0"/>
                                          <w:marTop w:val="0"/>
                                          <w:marBottom w:val="0"/>
                                          <w:divBdr>
                                            <w:top w:val="none" w:sz="0" w:space="0" w:color="auto"/>
                                            <w:left w:val="none" w:sz="0" w:space="0" w:color="auto"/>
                                            <w:bottom w:val="none" w:sz="0" w:space="0" w:color="auto"/>
                                            <w:right w:val="none" w:sz="0" w:space="0" w:color="auto"/>
                                          </w:divBdr>
                                          <w:divsChild>
                                            <w:div w:id="586766524">
                                              <w:marLeft w:val="0"/>
                                              <w:marRight w:val="0"/>
                                              <w:marTop w:val="0"/>
                                              <w:marBottom w:val="0"/>
                                              <w:divBdr>
                                                <w:top w:val="none" w:sz="0" w:space="0" w:color="auto"/>
                                                <w:left w:val="none" w:sz="0" w:space="0" w:color="auto"/>
                                                <w:bottom w:val="none" w:sz="0" w:space="0" w:color="auto"/>
                                                <w:right w:val="none" w:sz="0" w:space="0" w:color="auto"/>
                                              </w:divBdr>
                                              <w:divsChild>
                                                <w:div w:id="1455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3871028">
      <w:bodyDiv w:val="1"/>
      <w:marLeft w:val="0"/>
      <w:marRight w:val="0"/>
      <w:marTop w:val="0"/>
      <w:marBottom w:val="0"/>
      <w:divBdr>
        <w:top w:val="none" w:sz="0" w:space="0" w:color="auto"/>
        <w:left w:val="none" w:sz="0" w:space="0" w:color="auto"/>
        <w:bottom w:val="none" w:sz="0" w:space="0" w:color="auto"/>
        <w:right w:val="none" w:sz="0" w:space="0" w:color="auto"/>
      </w:divBdr>
    </w:div>
    <w:div w:id="765811318">
      <w:bodyDiv w:val="1"/>
      <w:marLeft w:val="0"/>
      <w:marRight w:val="0"/>
      <w:marTop w:val="0"/>
      <w:marBottom w:val="0"/>
      <w:divBdr>
        <w:top w:val="none" w:sz="0" w:space="0" w:color="auto"/>
        <w:left w:val="none" w:sz="0" w:space="0" w:color="auto"/>
        <w:bottom w:val="none" w:sz="0" w:space="0" w:color="auto"/>
        <w:right w:val="none" w:sz="0" w:space="0" w:color="auto"/>
      </w:divBdr>
    </w:div>
    <w:div w:id="785199363">
      <w:bodyDiv w:val="1"/>
      <w:marLeft w:val="0"/>
      <w:marRight w:val="0"/>
      <w:marTop w:val="0"/>
      <w:marBottom w:val="0"/>
      <w:divBdr>
        <w:top w:val="none" w:sz="0" w:space="0" w:color="auto"/>
        <w:left w:val="none" w:sz="0" w:space="0" w:color="auto"/>
        <w:bottom w:val="none" w:sz="0" w:space="0" w:color="auto"/>
        <w:right w:val="none" w:sz="0" w:space="0" w:color="auto"/>
      </w:divBdr>
    </w:div>
    <w:div w:id="811563411">
      <w:bodyDiv w:val="1"/>
      <w:marLeft w:val="0"/>
      <w:marRight w:val="0"/>
      <w:marTop w:val="0"/>
      <w:marBottom w:val="0"/>
      <w:divBdr>
        <w:top w:val="none" w:sz="0" w:space="0" w:color="auto"/>
        <w:left w:val="none" w:sz="0" w:space="0" w:color="auto"/>
        <w:bottom w:val="none" w:sz="0" w:space="0" w:color="auto"/>
        <w:right w:val="none" w:sz="0" w:space="0" w:color="auto"/>
      </w:divBdr>
    </w:div>
    <w:div w:id="885946841">
      <w:bodyDiv w:val="1"/>
      <w:marLeft w:val="0"/>
      <w:marRight w:val="0"/>
      <w:marTop w:val="0"/>
      <w:marBottom w:val="0"/>
      <w:divBdr>
        <w:top w:val="none" w:sz="0" w:space="0" w:color="auto"/>
        <w:left w:val="none" w:sz="0" w:space="0" w:color="auto"/>
        <w:bottom w:val="none" w:sz="0" w:space="0" w:color="auto"/>
        <w:right w:val="none" w:sz="0" w:space="0" w:color="auto"/>
      </w:divBdr>
    </w:div>
    <w:div w:id="893126207">
      <w:bodyDiv w:val="1"/>
      <w:marLeft w:val="0"/>
      <w:marRight w:val="0"/>
      <w:marTop w:val="0"/>
      <w:marBottom w:val="0"/>
      <w:divBdr>
        <w:top w:val="none" w:sz="0" w:space="0" w:color="auto"/>
        <w:left w:val="none" w:sz="0" w:space="0" w:color="auto"/>
        <w:bottom w:val="none" w:sz="0" w:space="0" w:color="auto"/>
        <w:right w:val="none" w:sz="0" w:space="0" w:color="auto"/>
      </w:divBdr>
    </w:div>
    <w:div w:id="986083160">
      <w:bodyDiv w:val="1"/>
      <w:marLeft w:val="0"/>
      <w:marRight w:val="0"/>
      <w:marTop w:val="0"/>
      <w:marBottom w:val="0"/>
      <w:divBdr>
        <w:top w:val="none" w:sz="0" w:space="0" w:color="auto"/>
        <w:left w:val="none" w:sz="0" w:space="0" w:color="auto"/>
        <w:bottom w:val="none" w:sz="0" w:space="0" w:color="auto"/>
        <w:right w:val="none" w:sz="0" w:space="0" w:color="auto"/>
      </w:divBdr>
    </w:div>
    <w:div w:id="1127625406">
      <w:bodyDiv w:val="1"/>
      <w:marLeft w:val="0"/>
      <w:marRight w:val="0"/>
      <w:marTop w:val="0"/>
      <w:marBottom w:val="0"/>
      <w:divBdr>
        <w:top w:val="none" w:sz="0" w:space="0" w:color="auto"/>
        <w:left w:val="none" w:sz="0" w:space="0" w:color="auto"/>
        <w:bottom w:val="none" w:sz="0" w:space="0" w:color="auto"/>
        <w:right w:val="none" w:sz="0" w:space="0" w:color="auto"/>
      </w:divBdr>
    </w:div>
    <w:div w:id="1148671754">
      <w:bodyDiv w:val="1"/>
      <w:marLeft w:val="0"/>
      <w:marRight w:val="0"/>
      <w:marTop w:val="0"/>
      <w:marBottom w:val="0"/>
      <w:divBdr>
        <w:top w:val="none" w:sz="0" w:space="0" w:color="auto"/>
        <w:left w:val="none" w:sz="0" w:space="0" w:color="auto"/>
        <w:bottom w:val="none" w:sz="0" w:space="0" w:color="auto"/>
        <w:right w:val="none" w:sz="0" w:space="0" w:color="auto"/>
      </w:divBdr>
      <w:divsChild>
        <w:div w:id="1755393502">
          <w:marLeft w:val="0"/>
          <w:marRight w:val="0"/>
          <w:marTop w:val="0"/>
          <w:marBottom w:val="0"/>
          <w:divBdr>
            <w:top w:val="none" w:sz="0" w:space="0" w:color="auto"/>
            <w:left w:val="none" w:sz="0" w:space="0" w:color="auto"/>
            <w:bottom w:val="none" w:sz="0" w:space="0" w:color="auto"/>
            <w:right w:val="none" w:sz="0" w:space="0" w:color="auto"/>
          </w:divBdr>
          <w:divsChild>
            <w:div w:id="1015422607">
              <w:marLeft w:val="0"/>
              <w:marRight w:val="0"/>
              <w:marTop w:val="0"/>
              <w:marBottom w:val="0"/>
              <w:divBdr>
                <w:top w:val="none" w:sz="0" w:space="0" w:color="auto"/>
                <w:left w:val="none" w:sz="0" w:space="0" w:color="auto"/>
                <w:bottom w:val="none" w:sz="0" w:space="0" w:color="auto"/>
                <w:right w:val="none" w:sz="0" w:space="0" w:color="auto"/>
              </w:divBdr>
              <w:divsChild>
                <w:div w:id="2073624591">
                  <w:marLeft w:val="0"/>
                  <w:marRight w:val="0"/>
                  <w:marTop w:val="0"/>
                  <w:marBottom w:val="0"/>
                  <w:divBdr>
                    <w:top w:val="none" w:sz="0" w:space="0" w:color="auto"/>
                    <w:left w:val="none" w:sz="0" w:space="0" w:color="auto"/>
                    <w:bottom w:val="none" w:sz="0" w:space="0" w:color="auto"/>
                    <w:right w:val="none" w:sz="0" w:space="0" w:color="auto"/>
                  </w:divBdr>
                  <w:divsChild>
                    <w:div w:id="1941640874">
                      <w:marLeft w:val="0"/>
                      <w:marRight w:val="0"/>
                      <w:marTop w:val="0"/>
                      <w:marBottom w:val="0"/>
                      <w:divBdr>
                        <w:top w:val="none" w:sz="0" w:space="0" w:color="auto"/>
                        <w:left w:val="none" w:sz="0" w:space="0" w:color="auto"/>
                        <w:bottom w:val="none" w:sz="0" w:space="0" w:color="auto"/>
                        <w:right w:val="none" w:sz="0" w:space="0" w:color="auto"/>
                      </w:divBdr>
                      <w:divsChild>
                        <w:div w:id="1815831098">
                          <w:marLeft w:val="0"/>
                          <w:marRight w:val="0"/>
                          <w:marTop w:val="0"/>
                          <w:marBottom w:val="0"/>
                          <w:divBdr>
                            <w:top w:val="none" w:sz="0" w:space="0" w:color="auto"/>
                            <w:left w:val="none" w:sz="0" w:space="0" w:color="auto"/>
                            <w:bottom w:val="none" w:sz="0" w:space="0" w:color="auto"/>
                            <w:right w:val="none" w:sz="0" w:space="0" w:color="auto"/>
                          </w:divBdr>
                          <w:divsChild>
                            <w:div w:id="305477021">
                              <w:marLeft w:val="0"/>
                              <w:marRight w:val="0"/>
                              <w:marTop w:val="0"/>
                              <w:marBottom w:val="0"/>
                              <w:divBdr>
                                <w:top w:val="none" w:sz="0" w:space="0" w:color="auto"/>
                                <w:left w:val="none" w:sz="0" w:space="0" w:color="auto"/>
                                <w:bottom w:val="none" w:sz="0" w:space="0" w:color="auto"/>
                                <w:right w:val="none" w:sz="0" w:space="0" w:color="auto"/>
                              </w:divBdr>
                              <w:divsChild>
                                <w:div w:id="1731031906">
                                  <w:marLeft w:val="0"/>
                                  <w:marRight w:val="0"/>
                                  <w:marTop w:val="0"/>
                                  <w:marBottom w:val="0"/>
                                  <w:divBdr>
                                    <w:top w:val="none" w:sz="0" w:space="0" w:color="auto"/>
                                    <w:left w:val="none" w:sz="0" w:space="0" w:color="auto"/>
                                    <w:bottom w:val="none" w:sz="0" w:space="0" w:color="auto"/>
                                    <w:right w:val="none" w:sz="0" w:space="0" w:color="auto"/>
                                  </w:divBdr>
                                  <w:divsChild>
                                    <w:div w:id="150952081">
                                      <w:marLeft w:val="0"/>
                                      <w:marRight w:val="0"/>
                                      <w:marTop w:val="0"/>
                                      <w:marBottom w:val="0"/>
                                      <w:divBdr>
                                        <w:top w:val="none" w:sz="0" w:space="0" w:color="auto"/>
                                        <w:left w:val="none" w:sz="0" w:space="0" w:color="auto"/>
                                        <w:bottom w:val="none" w:sz="0" w:space="0" w:color="auto"/>
                                        <w:right w:val="none" w:sz="0" w:space="0" w:color="auto"/>
                                      </w:divBdr>
                                      <w:divsChild>
                                        <w:div w:id="870531677">
                                          <w:marLeft w:val="0"/>
                                          <w:marRight w:val="0"/>
                                          <w:marTop w:val="0"/>
                                          <w:marBottom w:val="0"/>
                                          <w:divBdr>
                                            <w:top w:val="none" w:sz="0" w:space="0" w:color="auto"/>
                                            <w:left w:val="none" w:sz="0" w:space="0" w:color="auto"/>
                                            <w:bottom w:val="none" w:sz="0" w:space="0" w:color="auto"/>
                                            <w:right w:val="none" w:sz="0" w:space="0" w:color="auto"/>
                                          </w:divBdr>
                                          <w:divsChild>
                                            <w:div w:id="1761443713">
                                              <w:marLeft w:val="0"/>
                                              <w:marRight w:val="0"/>
                                              <w:marTop w:val="0"/>
                                              <w:marBottom w:val="0"/>
                                              <w:divBdr>
                                                <w:top w:val="none" w:sz="0" w:space="0" w:color="auto"/>
                                                <w:left w:val="none" w:sz="0" w:space="0" w:color="auto"/>
                                                <w:bottom w:val="none" w:sz="0" w:space="0" w:color="auto"/>
                                                <w:right w:val="none" w:sz="0" w:space="0" w:color="auto"/>
                                              </w:divBdr>
                                              <w:divsChild>
                                                <w:div w:id="12834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687839">
      <w:bodyDiv w:val="1"/>
      <w:marLeft w:val="0"/>
      <w:marRight w:val="0"/>
      <w:marTop w:val="0"/>
      <w:marBottom w:val="0"/>
      <w:divBdr>
        <w:top w:val="none" w:sz="0" w:space="0" w:color="auto"/>
        <w:left w:val="none" w:sz="0" w:space="0" w:color="auto"/>
        <w:bottom w:val="none" w:sz="0" w:space="0" w:color="auto"/>
        <w:right w:val="none" w:sz="0" w:space="0" w:color="auto"/>
      </w:divBdr>
    </w:div>
    <w:div w:id="1173884693">
      <w:bodyDiv w:val="1"/>
      <w:marLeft w:val="0"/>
      <w:marRight w:val="0"/>
      <w:marTop w:val="0"/>
      <w:marBottom w:val="0"/>
      <w:divBdr>
        <w:top w:val="none" w:sz="0" w:space="0" w:color="auto"/>
        <w:left w:val="none" w:sz="0" w:space="0" w:color="auto"/>
        <w:bottom w:val="none" w:sz="0" w:space="0" w:color="auto"/>
        <w:right w:val="none" w:sz="0" w:space="0" w:color="auto"/>
      </w:divBdr>
    </w:div>
    <w:div w:id="1175608639">
      <w:bodyDiv w:val="1"/>
      <w:marLeft w:val="0"/>
      <w:marRight w:val="0"/>
      <w:marTop w:val="0"/>
      <w:marBottom w:val="0"/>
      <w:divBdr>
        <w:top w:val="none" w:sz="0" w:space="0" w:color="auto"/>
        <w:left w:val="none" w:sz="0" w:space="0" w:color="auto"/>
        <w:bottom w:val="none" w:sz="0" w:space="0" w:color="auto"/>
        <w:right w:val="none" w:sz="0" w:space="0" w:color="auto"/>
      </w:divBdr>
    </w:div>
    <w:div w:id="1177034541">
      <w:bodyDiv w:val="1"/>
      <w:marLeft w:val="0"/>
      <w:marRight w:val="0"/>
      <w:marTop w:val="0"/>
      <w:marBottom w:val="0"/>
      <w:divBdr>
        <w:top w:val="none" w:sz="0" w:space="0" w:color="auto"/>
        <w:left w:val="none" w:sz="0" w:space="0" w:color="auto"/>
        <w:bottom w:val="none" w:sz="0" w:space="0" w:color="auto"/>
        <w:right w:val="none" w:sz="0" w:space="0" w:color="auto"/>
      </w:divBdr>
    </w:div>
    <w:div w:id="1179075878">
      <w:bodyDiv w:val="1"/>
      <w:marLeft w:val="0"/>
      <w:marRight w:val="0"/>
      <w:marTop w:val="0"/>
      <w:marBottom w:val="0"/>
      <w:divBdr>
        <w:top w:val="none" w:sz="0" w:space="0" w:color="auto"/>
        <w:left w:val="none" w:sz="0" w:space="0" w:color="auto"/>
        <w:bottom w:val="none" w:sz="0" w:space="0" w:color="auto"/>
        <w:right w:val="none" w:sz="0" w:space="0" w:color="auto"/>
      </w:divBdr>
    </w:div>
    <w:div w:id="1246569999">
      <w:bodyDiv w:val="1"/>
      <w:marLeft w:val="0"/>
      <w:marRight w:val="0"/>
      <w:marTop w:val="0"/>
      <w:marBottom w:val="0"/>
      <w:divBdr>
        <w:top w:val="none" w:sz="0" w:space="0" w:color="auto"/>
        <w:left w:val="none" w:sz="0" w:space="0" w:color="auto"/>
        <w:bottom w:val="none" w:sz="0" w:space="0" w:color="auto"/>
        <w:right w:val="none" w:sz="0" w:space="0" w:color="auto"/>
      </w:divBdr>
    </w:div>
    <w:div w:id="1268391430">
      <w:bodyDiv w:val="1"/>
      <w:marLeft w:val="0"/>
      <w:marRight w:val="0"/>
      <w:marTop w:val="0"/>
      <w:marBottom w:val="0"/>
      <w:divBdr>
        <w:top w:val="none" w:sz="0" w:space="0" w:color="auto"/>
        <w:left w:val="none" w:sz="0" w:space="0" w:color="auto"/>
        <w:bottom w:val="none" w:sz="0" w:space="0" w:color="auto"/>
        <w:right w:val="none" w:sz="0" w:space="0" w:color="auto"/>
      </w:divBdr>
    </w:div>
    <w:div w:id="1279799236">
      <w:bodyDiv w:val="1"/>
      <w:marLeft w:val="0"/>
      <w:marRight w:val="0"/>
      <w:marTop w:val="0"/>
      <w:marBottom w:val="0"/>
      <w:divBdr>
        <w:top w:val="none" w:sz="0" w:space="0" w:color="auto"/>
        <w:left w:val="none" w:sz="0" w:space="0" w:color="auto"/>
        <w:bottom w:val="none" w:sz="0" w:space="0" w:color="auto"/>
        <w:right w:val="none" w:sz="0" w:space="0" w:color="auto"/>
      </w:divBdr>
    </w:div>
    <w:div w:id="1283924795">
      <w:bodyDiv w:val="1"/>
      <w:marLeft w:val="0"/>
      <w:marRight w:val="0"/>
      <w:marTop w:val="0"/>
      <w:marBottom w:val="0"/>
      <w:divBdr>
        <w:top w:val="none" w:sz="0" w:space="0" w:color="auto"/>
        <w:left w:val="none" w:sz="0" w:space="0" w:color="auto"/>
        <w:bottom w:val="none" w:sz="0" w:space="0" w:color="auto"/>
        <w:right w:val="none" w:sz="0" w:space="0" w:color="auto"/>
      </w:divBdr>
    </w:div>
    <w:div w:id="1348944048">
      <w:bodyDiv w:val="1"/>
      <w:marLeft w:val="0"/>
      <w:marRight w:val="0"/>
      <w:marTop w:val="0"/>
      <w:marBottom w:val="0"/>
      <w:divBdr>
        <w:top w:val="none" w:sz="0" w:space="0" w:color="auto"/>
        <w:left w:val="none" w:sz="0" w:space="0" w:color="auto"/>
        <w:bottom w:val="none" w:sz="0" w:space="0" w:color="auto"/>
        <w:right w:val="none" w:sz="0" w:space="0" w:color="auto"/>
      </w:divBdr>
    </w:div>
    <w:div w:id="1425688322">
      <w:bodyDiv w:val="1"/>
      <w:marLeft w:val="0"/>
      <w:marRight w:val="0"/>
      <w:marTop w:val="0"/>
      <w:marBottom w:val="0"/>
      <w:divBdr>
        <w:top w:val="none" w:sz="0" w:space="0" w:color="auto"/>
        <w:left w:val="none" w:sz="0" w:space="0" w:color="auto"/>
        <w:bottom w:val="none" w:sz="0" w:space="0" w:color="auto"/>
        <w:right w:val="none" w:sz="0" w:space="0" w:color="auto"/>
      </w:divBdr>
    </w:div>
    <w:div w:id="1571772921">
      <w:bodyDiv w:val="1"/>
      <w:marLeft w:val="0"/>
      <w:marRight w:val="0"/>
      <w:marTop w:val="0"/>
      <w:marBottom w:val="0"/>
      <w:divBdr>
        <w:top w:val="none" w:sz="0" w:space="0" w:color="auto"/>
        <w:left w:val="none" w:sz="0" w:space="0" w:color="auto"/>
        <w:bottom w:val="none" w:sz="0" w:space="0" w:color="auto"/>
        <w:right w:val="none" w:sz="0" w:space="0" w:color="auto"/>
      </w:divBdr>
    </w:div>
    <w:div w:id="1600792082">
      <w:bodyDiv w:val="1"/>
      <w:marLeft w:val="0"/>
      <w:marRight w:val="0"/>
      <w:marTop w:val="0"/>
      <w:marBottom w:val="0"/>
      <w:divBdr>
        <w:top w:val="none" w:sz="0" w:space="0" w:color="auto"/>
        <w:left w:val="none" w:sz="0" w:space="0" w:color="auto"/>
        <w:bottom w:val="none" w:sz="0" w:space="0" w:color="auto"/>
        <w:right w:val="none" w:sz="0" w:space="0" w:color="auto"/>
      </w:divBdr>
    </w:div>
    <w:div w:id="1602109878">
      <w:bodyDiv w:val="1"/>
      <w:marLeft w:val="0"/>
      <w:marRight w:val="0"/>
      <w:marTop w:val="0"/>
      <w:marBottom w:val="0"/>
      <w:divBdr>
        <w:top w:val="none" w:sz="0" w:space="0" w:color="auto"/>
        <w:left w:val="none" w:sz="0" w:space="0" w:color="auto"/>
        <w:bottom w:val="none" w:sz="0" w:space="0" w:color="auto"/>
        <w:right w:val="none" w:sz="0" w:space="0" w:color="auto"/>
      </w:divBdr>
      <w:divsChild>
        <w:div w:id="1411345371">
          <w:marLeft w:val="0"/>
          <w:marRight w:val="0"/>
          <w:marTop w:val="0"/>
          <w:marBottom w:val="0"/>
          <w:divBdr>
            <w:top w:val="none" w:sz="0" w:space="0" w:color="auto"/>
            <w:left w:val="none" w:sz="0" w:space="0" w:color="auto"/>
            <w:bottom w:val="none" w:sz="0" w:space="0" w:color="auto"/>
            <w:right w:val="none" w:sz="0" w:space="0" w:color="auto"/>
          </w:divBdr>
          <w:divsChild>
            <w:div w:id="1023166841">
              <w:marLeft w:val="0"/>
              <w:marRight w:val="0"/>
              <w:marTop w:val="0"/>
              <w:marBottom w:val="0"/>
              <w:divBdr>
                <w:top w:val="none" w:sz="0" w:space="0" w:color="auto"/>
                <w:left w:val="none" w:sz="0" w:space="0" w:color="auto"/>
                <w:bottom w:val="none" w:sz="0" w:space="0" w:color="auto"/>
                <w:right w:val="none" w:sz="0" w:space="0" w:color="auto"/>
              </w:divBdr>
              <w:divsChild>
                <w:div w:id="1136484273">
                  <w:marLeft w:val="0"/>
                  <w:marRight w:val="0"/>
                  <w:marTop w:val="0"/>
                  <w:marBottom w:val="0"/>
                  <w:divBdr>
                    <w:top w:val="none" w:sz="0" w:space="0" w:color="auto"/>
                    <w:left w:val="none" w:sz="0" w:space="0" w:color="auto"/>
                    <w:bottom w:val="none" w:sz="0" w:space="0" w:color="auto"/>
                    <w:right w:val="none" w:sz="0" w:space="0" w:color="auto"/>
                  </w:divBdr>
                  <w:divsChild>
                    <w:div w:id="1717386556">
                      <w:marLeft w:val="0"/>
                      <w:marRight w:val="0"/>
                      <w:marTop w:val="0"/>
                      <w:marBottom w:val="0"/>
                      <w:divBdr>
                        <w:top w:val="none" w:sz="0" w:space="0" w:color="auto"/>
                        <w:left w:val="none" w:sz="0" w:space="0" w:color="auto"/>
                        <w:bottom w:val="none" w:sz="0" w:space="0" w:color="auto"/>
                        <w:right w:val="none" w:sz="0" w:space="0" w:color="auto"/>
                      </w:divBdr>
                      <w:divsChild>
                        <w:div w:id="1396129038">
                          <w:marLeft w:val="0"/>
                          <w:marRight w:val="0"/>
                          <w:marTop w:val="0"/>
                          <w:marBottom w:val="0"/>
                          <w:divBdr>
                            <w:top w:val="none" w:sz="0" w:space="0" w:color="auto"/>
                            <w:left w:val="none" w:sz="0" w:space="0" w:color="auto"/>
                            <w:bottom w:val="none" w:sz="0" w:space="0" w:color="auto"/>
                            <w:right w:val="none" w:sz="0" w:space="0" w:color="auto"/>
                          </w:divBdr>
                          <w:divsChild>
                            <w:div w:id="67576853">
                              <w:marLeft w:val="0"/>
                              <w:marRight w:val="0"/>
                              <w:marTop w:val="0"/>
                              <w:marBottom w:val="0"/>
                              <w:divBdr>
                                <w:top w:val="none" w:sz="0" w:space="0" w:color="auto"/>
                                <w:left w:val="none" w:sz="0" w:space="0" w:color="auto"/>
                                <w:bottom w:val="none" w:sz="0" w:space="0" w:color="auto"/>
                                <w:right w:val="none" w:sz="0" w:space="0" w:color="auto"/>
                              </w:divBdr>
                              <w:divsChild>
                                <w:div w:id="1007053902">
                                  <w:marLeft w:val="0"/>
                                  <w:marRight w:val="0"/>
                                  <w:marTop w:val="0"/>
                                  <w:marBottom w:val="0"/>
                                  <w:divBdr>
                                    <w:top w:val="none" w:sz="0" w:space="0" w:color="auto"/>
                                    <w:left w:val="none" w:sz="0" w:space="0" w:color="auto"/>
                                    <w:bottom w:val="none" w:sz="0" w:space="0" w:color="auto"/>
                                    <w:right w:val="none" w:sz="0" w:space="0" w:color="auto"/>
                                  </w:divBdr>
                                  <w:divsChild>
                                    <w:div w:id="540944945">
                                      <w:marLeft w:val="0"/>
                                      <w:marRight w:val="0"/>
                                      <w:marTop w:val="0"/>
                                      <w:marBottom w:val="0"/>
                                      <w:divBdr>
                                        <w:top w:val="none" w:sz="0" w:space="0" w:color="auto"/>
                                        <w:left w:val="none" w:sz="0" w:space="0" w:color="auto"/>
                                        <w:bottom w:val="none" w:sz="0" w:space="0" w:color="auto"/>
                                        <w:right w:val="none" w:sz="0" w:space="0" w:color="auto"/>
                                      </w:divBdr>
                                      <w:divsChild>
                                        <w:div w:id="74743591">
                                          <w:marLeft w:val="0"/>
                                          <w:marRight w:val="0"/>
                                          <w:marTop w:val="0"/>
                                          <w:marBottom w:val="0"/>
                                          <w:divBdr>
                                            <w:top w:val="none" w:sz="0" w:space="0" w:color="auto"/>
                                            <w:left w:val="none" w:sz="0" w:space="0" w:color="auto"/>
                                            <w:bottom w:val="none" w:sz="0" w:space="0" w:color="auto"/>
                                            <w:right w:val="none" w:sz="0" w:space="0" w:color="auto"/>
                                          </w:divBdr>
                                          <w:divsChild>
                                            <w:div w:id="663553972">
                                              <w:marLeft w:val="0"/>
                                              <w:marRight w:val="0"/>
                                              <w:marTop w:val="0"/>
                                              <w:marBottom w:val="0"/>
                                              <w:divBdr>
                                                <w:top w:val="none" w:sz="0" w:space="0" w:color="auto"/>
                                                <w:left w:val="none" w:sz="0" w:space="0" w:color="auto"/>
                                                <w:bottom w:val="none" w:sz="0" w:space="0" w:color="auto"/>
                                                <w:right w:val="none" w:sz="0" w:space="0" w:color="auto"/>
                                              </w:divBdr>
                                              <w:divsChild>
                                                <w:div w:id="5739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534763">
      <w:bodyDiv w:val="1"/>
      <w:marLeft w:val="0"/>
      <w:marRight w:val="0"/>
      <w:marTop w:val="0"/>
      <w:marBottom w:val="0"/>
      <w:divBdr>
        <w:top w:val="none" w:sz="0" w:space="0" w:color="auto"/>
        <w:left w:val="none" w:sz="0" w:space="0" w:color="auto"/>
        <w:bottom w:val="none" w:sz="0" w:space="0" w:color="auto"/>
        <w:right w:val="none" w:sz="0" w:space="0" w:color="auto"/>
      </w:divBdr>
    </w:div>
    <w:div w:id="1685935692">
      <w:bodyDiv w:val="1"/>
      <w:marLeft w:val="0"/>
      <w:marRight w:val="0"/>
      <w:marTop w:val="0"/>
      <w:marBottom w:val="0"/>
      <w:divBdr>
        <w:top w:val="none" w:sz="0" w:space="0" w:color="auto"/>
        <w:left w:val="none" w:sz="0" w:space="0" w:color="auto"/>
        <w:bottom w:val="none" w:sz="0" w:space="0" w:color="auto"/>
        <w:right w:val="none" w:sz="0" w:space="0" w:color="auto"/>
      </w:divBdr>
      <w:divsChild>
        <w:div w:id="1725786729">
          <w:marLeft w:val="0"/>
          <w:marRight w:val="0"/>
          <w:marTop w:val="0"/>
          <w:marBottom w:val="0"/>
          <w:divBdr>
            <w:top w:val="none" w:sz="0" w:space="0" w:color="auto"/>
            <w:left w:val="none" w:sz="0" w:space="0" w:color="auto"/>
            <w:bottom w:val="none" w:sz="0" w:space="0" w:color="auto"/>
            <w:right w:val="none" w:sz="0" w:space="0" w:color="auto"/>
          </w:divBdr>
          <w:divsChild>
            <w:div w:id="487136087">
              <w:marLeft w:val="0"/>
              <w:marRight w:val="0"/>
              <w:marTop w:val="0"/>
              <w:marBottom w:val="0"/>
              <w:divBdr>
                <w:top w:val="none" w:sz="0" w:space="0" w:color="auto"/>
                <w:left w:val="none" w:sz="0" w:space="0" w:color="auto"/>
                <w:bottom w:val="none" w:sz="0" w:space="0" w:color="auto"/>
                <w:right w:val="none" w:sz="0" w:space="0" w:color="auto"/>
              </w:divBdr>
              <w:divsChild>
                <w:div w:id="1001735377">
                  <w:marLeft w:val="0"/>
                  <w:marRight w:val="0"/>
                  <w:marTop w:val="0"/>
                  <w:marBottom w:val="0"/>
                  <w:divBdr>
                    <w:top w:val="none" w:sz="0" w:space="0" w:color="auto"/>
                    <w:left w:val="none" w:sz="0" w:space="0" w:color="auto"/>
                    <w:bottom w:val="none" w:sz="0" w:space="0" w:color="auto"/>
                    <w:right w:val="none" w:sz="0" w:space="0" w:color="auto"/>
                  </w:divBdr>
                  <w:divsChild>
                    <w:div w:id="45110109">
                      <w:marLeft w:val="0"/>
                      <w:marRight w:val="0"/>
                      <w:marTop w:val="0"/>
                      <w:marBottom w:val="0"/>
                      <w:divBdr>
                        <w:top w:val="none" w:sz="0" w:space="0" w:color="auto"/>
                        <w:left w:val="none" w:sz="0" w:space="0" w:color="auto"/>
                        <w:bottom w:val="none" w:sz="0" w:space="0" w:color="auto"/>
                        <w:right w:val="none" w:sz="0" w:space="0" w:color="auto"/>
                      </w:divBdr>
                      <w:divsChild>
                        <w:div w:id="782188445">
                          <w:marLeft w:val="0"/>
                          <w:marRight w:val="0"/>
                          <w:marTop w:val="0"/>
                          <w:marBottom w:val="0"/>
                          <w:divBdr>
                            <w:top w:val="none" w:sz="0" w:space="0" w:color="auto"/>
                            <w:left w:val="none" w:sz="0" w:space="0" w:color="auto"/>
                            <w:bottom w:val="none" w:sz="0" w:space="0" w:color="auto"/>
                            <w:right w:val="none" w:sz="0" w:space="0" w:color="auto"/>
                          </w:divBdr>
                          <w:divsChild>
                            <w:div w:id="363211160">
                              <w:marLeft w:val="0"/>
                              <w:marRight w:val="0"/>
                              <w:marTop w:val="0"/>
                              <w:marBottom w:val="0"/>
                              <w:divBdr>
                                <w:top w:val="none" w:sz="0" w:space="0" w:color="auto"/>
                                <w:left w:val="none" w:sz="0" w:space="0" w:color="auto"/>
                                <w:bottom w:val="none" w:sz="0" w:space="0" w:color="auto"/>
                                <w:right w:val="none" w:sz="0" w:space="0" w:color="auto"/>
                              </w:divBdr>
                              <w:divsChild>
                                <w:div w:id="1631978957">
                                  <w:marLeft w:val="0"/>
                                  <w:marRight w:val="0"/>
                                  <w:marTop w:val="0"/>
                                  <w:marBottom w:val="0"/>
                                  <w:divBdr>
                                    <w:top w:val="none" w:sz="0" w:space="0" w:color="auto"/>
                                    <w:left w:val="none" w:sz="0" w:space="0" w:color="auto"/>
                                    <w:bottom w:val="none" w:sz="0" w:space="0" w:color="auto"/>
                                    <w:right w:val="none" w:sz="0" w:space="0" w:color="auto"/>
                                  </w:divBdr>
                                  <w:divsChild>
                                    <w:div w:id="380177925">
                                      <w:marLeft w:val="0"/>
                                      <w:marRight w:val="0"/>
                                      <w:marTop w:val="0"/>
                                      <w:marBottom w:val="0"/>
                                      <w:divBdr>
                                        <w:top w:val="none" w:sz="0" w:space="0" w:color="auto"/>
                                        <w:left w:val="none" w:sz="0" w:space="0" w:color="auto"/>
                                        <w:bottom w:val="none" w:sz="0" w:space="0" w:color="auto"/>
                                        <w:right w:val="none" w:sz="0" w:space="0" w:color="auto"/>
                                      </w:divBdr>
                                      <w:divsChild>
                                        <w:div w:id="1896507924">
                                          <w:marLeft w:val="0"/>
                                          <w:marRight w:val="0"/>
                                          <w:marTop w:val="0"/>
                                          <w:marBottom w:val="0"/>
                                          <w:divBdr>
                                            <w:top w:val="none" w:sz="0" w:space="0" w:color="auto"/>
                                            <w:left w:val="none" w:sz="0" w:space="0" w:color="auto"/>
                                            <w:bottom w:val="none" w:sz="0" w:space="0" w:color="auto"/>
                                            <w:right w:val="none" w:sz="0" w:space="0" w:color="auto"/>
                                          </w:divBdr>
                                          <w:divsChild>
                                            <w:div w:id="988746199">
                                              <w:marLeft w:val="0"/>
                                              <w:marRight w:val="0"/>
                                              <w:marTop w:val="0"/>
                                              <w:marBottom w:val="0"/>
                                              <w:divBdr>
                                                <w:top w:val="none" w:sz="0" w:space="0" w:color="auto"/>
                                                <w:left w:val="none" w:sz="0" w:space="0" w:color="auto"/>
                                                <w:bottom w:val="none" w:sz="0" w:space="0" w:color="auto"/>
                                                <w:right w:val="none" w:sz="0" w:space="0" w:color="auto"/>
                                              </w:divBdr>
                                              <w:divsChild>
                                                <w:div w:id="4252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3696">
      <w:bodyDiv w:val="1"/>
      <w:marLeft w:val="0"/>
      <w:marRight w:val="0"/>
      <w:marTop w:val="0"/>
      <w:marBottom w:val="0"/>
      <w:divBdr>
        <w:top w:val="none" w:sz="0" w:space="0" w:color="auto"/>
        <w:left w:val="none" w:sz="0" w:space="0" w:color="auto"/>
        <w:bottom w:val="none" w:sz="0" w:space="0" w:color="auto"/>
        <w:right w:val="none" w:sz="0" w:space="0" w:color="auto"/>
      </w:divBdr>
      <w:divsChild>
        <w:div w:id="764154150">
          <w:marLeft w:val="0"/>
          <w:marRight w:val="0"/>
          <w:marTop w:val="0"/>
          <w:marBottom w:val="0"/>
          <w:divBdr>
            <w:top w:val="none" w:sz="0" w:space="0" w:color="auto"/>
            <w:left w:val="none" w:sz="0" w:space="0" w:color="auto"/>
            <w:bottom w:val="none" w:sz="0" w:space="0" w:color="auto"/>
            <w:right w:val="none" w:sz="0" w:space="0" w:color="auto"/>
          </w:divBdr>
          <w:divsChild>
            <w:div w:id="1689600786">
              <w:marLeft w:val="0"/>
              <w:marRight w:val="0"/>
              <w:marTop w:val="0"/>
              <w:marBottom w:val="0"/>
              <w:divBdr>
                <w:top w:val="none" w:sz="0" w:space="0" w:color="auto"/>
                <w:left w:val="none" w:sz="0" w:space="0" w:color="auto"/>
                <w:bottom w:val="none" w:sz="0" w:space="0" w:color="auto"/>
                <w:right w:val="none" w:sz="0" w:space="0" w:color="auto"/>
              </w:divBdr>
              <w:divsChild>
                <w:div w:id="1742172641">
                  <w:marLeft w:val="0"/>
                  <w:marRight w:val="0"/>
                  <w:marTop w:val="0"/>
                  <w:marBottom w:val="0"/>
                  <w:divBdr>
                    <w:top w:val="none" w:sz="0" w:space="0" w:color="auto"/>
                    <w:left w:val="none" w:sz="0" w:space="0" w:color="auto"/>
                    <w:bottom w:val="none" w:sz="0" w:space="0" w:color="auto"/>
                    <w:right w:val="none" w:sz="0" w:space="0" w:color="auto"/>
                  </w:divBdr>
                  <w:divsChild>
                    <w:div w:id="381902170">
                      <w:marLeft w:val="0"/>
                      <w:marRight w:val="0"/>
                      <w:marTop w:val="0"/>
                      <w:marBottom w:val="0"/>
                      <w:divBdr>
                        <w:top w:val="none" w:sz="0" w:space="0" w:color="auto"/>
                        <w:left w:val="none" w:sz="0" w:space="0" w:color="auto"/>
                        <w:bottom w:val="none" w:sz="0" w:space="0" w:color="auto"/>
                        <w:right w:val="none" w:sz="0" w:space="0" w:color="auto"/>
                      </w:divBdr>
                      <w:divsChild>
                        <w:div w:id="2017265215">
                          <w:marLeft w:val="0"/>
                          <w:marRight w:val="0"/>
                          <w:marTop w:val="0"/>
                          <w:marBottom w:val="0"/>
                          <w:divBdr>
                            <w:top w:val="none" w:sz="0" w:space="0" w:color="auto"/>
                            <w:left w:val="none" w:sz="0" w:space="0" w:color="auto"/>
                            <w:bottom w:val="none" w:sz="0" w:space="0" w:color="auto"/>
                            <w:right w:val="none" w:sz="0" w:space="0" w:color="auto"/>
                          </w:divBdr>
                          <w:divsChild>
                            <w:div w:id="10759968">
                              <w:marLeft w:val="0"/>
                              <w:marRight w:val="0"/>
                              <w:marTop w:val="0"/>
                              <w:marBottom w:val="0"/>
                              <w:divBdr>
                                <w:top w:val="none" w:sz="0" w:space="0" w:color="auto"/>
                                <w:left w:val="none" w:sz="0" w:space="0" w:color="auto"/>
                                <w:bottom w:val="none" w:sz="0" w:space="0" w:color="auto"/>
                                <w:right w:val="none" w:sz="0" w:space="0" w:color="auto"/>
                              </w:divBdr>
                              <w:divsChild>
                                <w:div w:id="892930138">
                                  <w:marLeft w:val="0"/>
                                  <w:marRight w:val="0"/>
                                  <w:marTop w:val="0"/>
                                  <w:marBottom w:val="0"/>
                                  <w:divBdr>
                                    <w:top w:val="none" w:sz="0" w:space="0" w:color="auto"/>
                                    <w:left w:val="none" w:sz="0" w:space="0" w:color="auto"/>
                                    <w:bottom w:val="none" w:sz="0" w:space="0" w:color="auto"/>
                                    <w:right w:val="none" w:sz="0" w:space="0" w:color="auto"/>
                                  </w:divBdr>
                                  <w:divsChild>
                                    <w:div w:id="66222844">
                                      <w:marLeft w:val="0"/>
                                      <w:marRight w:val="0"/>
                                      <w:marTop w:val="0"/>
                                      <w:marBottom w:val="0"/>
                                      <w:divBdr>
                                        <w:top w:val="none" w:sz="0" w:space="0" w:color="auto"/>
                                        <w:left w:val="none" w:sz="0" w:space="0" w:color="auto"/>
                                        <w:bottom w:val="none" w:sz="0" w:space="0" w:color="auto"/>
                                        <w:right w:val="none" w:sz="0" w:space="0" w:color="auto"/>
                                      </w:divBdr>
                                      <w:divsChild>
                                        <w:div w:id="1243637901">
                                          <w:marLeft w:val="0"/>
                                          <w:marRight w:val="0"/>
                                          <w:marTop w:val="0"/>
                                          <w:marBottom w:val="0"/>
                                          <w:divBdr>
                                            <w:top w:val="none" w:sz="0" w:space="0" w:color="auto"/>
                                            <w:left w:val="none" w:sz="0" w:space="0" w:color="auto"/>
                                            <w:bottom w:val="none" w:sz="0" w:space="0" w:color="auto"/>
                                            <w:right w:val="none" w:sz="0" w:space="0" w:color="auto"/>
                                          </w:divBdr>
                                          <w:divsChild>
                                            <w:div w:id="1879320360">
                                              <w:marLeft w:val="0"/>
                                              <w:marRight w:val="0"/>
                                              <w:marTop w:val="0"/>
                                              <w:marBottom w:val="0"/>
                                              <w:divBdr>
                                                <w:top w:val="none" w:sz="0" w:space="0" w:color="auto"/>
                                                <w:left w:val="none" w:sz="0" w:space="0" w:color="auto"/>
                                                <w:bottom w:val="none" w:sz="0" w:space="0" w:color="auto"/>
                                                <w:right w:val="none" w:sz="0" w:space="0" w:color="auto"/>
                                              </w:divBdr>
                                              <w:divsChild>
                                                <w:div w:id="2098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7676430">
      <w:bodyDiv w:val="1"/>
      <w:marLeft w:val="0"/>
      <w:marRight w:val="0"/>
      <w:marTop w:val="0"/>
      <w:marBottom w:val="0"/>
      <w:divBdr>
        <w:top w:val="none" w:sz="0" w:space="0" w:color="auto"/>
        <w:left w:val="none" w:sz="0" w:space="0" w:color="auto"/>
        <w:bottom w:val="none" w:sz="0" w:space="0" w:color="auto"/>
        <w:right w:val="none" w:sz="0" w:space="0" w:color="auto"/>
      </w:divBdr>
    </w:div>
    <w:div w:id="1777485115">
      <w:bodyDiv w:val="1"/>
      <w:marLeft w:val="0"/>
      <w:marRight w:val="0"/>
      <w:marTop w:val="0"/>
      <w:marBottom w:val="0"/>
      <w:divBdr>
        <w:top w:val="none" w:sz="0" w:space="0" w:color="auto"/>
        <w:left w:val="none" w:sz="0" w:space="0" w:color="auto"/>
        <w:bottom w:val="none" w:sz="0" w:space="0" w:color="auto"/>
        <w:right w:val="none" w:sz="0" w:space="0" w:color="auto"/>
      </w:divBdr>
    </w:div>
    <w:div w:id="1785149169">
      <w:bodyDiv w:val="1"/>
      <w:marLeft w:val="0"/>
      <w:marRight w:val="0"/>
      <w:marTop w:val="0"/>
      <w:marBottom w:val="0"/>
      <w:divBdr>
        <w:top w:val="none" w:sz="0" w:space="0" w:color="auto"/>
        <w:left w:val="none" w:sz="0" w:space="0" w:color="auto"/>
        <w:bottom w:val="none" w:sz="0" w:space="0" w:color="auto"/>
        <w:right w:val="none" w:sz="0" w:space="0" w:color="auto"/>
      </w:divBdr>
    </w:div>
    <w:div w:id="1823768519">
      <w:bodyDiv w:val="1"/>
      <w:marLeft w:val="0"/>
      <w:marRight w:val="0"/>
      <w:marTop w:val="0"/>
      <w:marBottom w:val="0"/>
      <w:divBdr>
        <w:top w:val="none" w:sz="0" w:space="0" w:color="auto"/>
        <w:left w:val="none" w:sz="0" w:space="0" w:color="auto"/>
        <w:bottom w:val="none" w:sz="0" w:space="0" w:color="auto"/>
        <w:right w:val="none" w:sz="0" w:space="0" w:color="auto"/>
      </w:divBdr>
    </w:div>
    <w:div w:id="1873763216">
      <w:bodyDiv w:val="1"/>
      <w:marLeft w:val="0"/>
      <w:marRight w:val="0"/>
      <w:marTop w:val="0"/>
      <w:marBottom w:val="0"/>
      <w:divBdr>
        <w:top w:val="none" w:sz="0" w:space="0" w:color="auto"/>
        <w:left w:val="none" w:sz="0" w:space="0" w:color="auto"/>
        <w:bottom w:val="none" w:sz="0" w:space="0" w:color="auto"/>
        <w:right w:val="none" w:sz="0" w:space="0" w:color="auto"/>
      </w:divBdr>
    </w:div>
    <w:div w:id="1935278591">
      <w:bodyDiv w:val="1"/>
      <w:marLeft w:val="0"/>
      <w:marRight w:val="0"/>
      <w:marTop w:val="0"/>
      <w:marBottom w:val="0"/>
      <w:divBdr>
        <w:top w:val="none" w:sz="0" w:space="0" w:color="auto"/>
        <w:left w:val="none" w:sz="0" w:space="0" w:color="auto"/>
        <w:bottom w:val="none" w:sz="0" w:space="0" w:color="auto"/>
        <w:right w:val="none" w:sz="0" w:space="0" w:color="auto"/>
      </w:divBdr>
    </w:div>
    <w:div w:id="1942487296">
      <w:bodyDiv w:val="1"/>
      <w:marLeft w:val="0"/>
      <w:marRight w:val="0"/>
      <w:marTop w:val="0"/>
      <w:marBottom w:val="0"/>
      <w:divBdr>
        <w:top w:val="none" w:sz="0" w:space="0" w:color="auto"/>
        <w:left w:val="none" w:sz="0" w:space="0" w:color="auto"/>
        <w:bottom w:val="none" w:sz="0" w:space="0" w:color="auto"/>
        <w:right w:val="none" w:sz="0" w:space="0" w:color="auto"/>
      </w:divBdr>
    </w:div>
    <w:div w:id="2007829459">
      <w:bodyDiv w:val="1"/>
      <w:marLeft w:val="0"/>
      <w:marRight w:val="0"/>
      <w:marTop w:val="0"/>
      <w:marBottom w:val="0"/>
      <w:divBdr>
        <w:top w:val="none" w:sz="0" w:space="0" w:color="auto"/>
        <w:left w:val="none" w:sz="0" w:space="0" w:color="auto"/>
        <w:bottom w:val="none" w:sz="0" w:space="0" w:color="auto"/>
        <w:right w:val="none" w:sz="0" w:space="0" w:color="auto"/>
      </w:divBdr>
    </w:div>
    <w:div w:id="209743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g"/><Relationship Id="rId18" Type="http://schemas.openxmlformats.org/officeDocument/2006/relationships/image" Target="media/image5.jpg"/><Relationship Id="rId26"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8.jp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australia.triangl.com/collections/new-" TargetMode="External"/><Relationship Id="rId25"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7.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0.jpg"/><Relationship Id="rId28" Type="http://schemas.openxmlformats.org/officeDocument/2006/relationships/image" Target="media/image15.jpg"/><Relationship Id="rId10" Type="http://schemas.openxmlformats.org/officeDocument/2006/relationships/footer" Target="foot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image" Target="media/image9.jpg"/><Relationship Id="rId27" Type="http://schemas.openxmlformats.org/officeDocument/2006/relationships/image" Target="media/image14.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F459-4374-47E0-B56C-DFB8B747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4</TotalTime>
  <Pages>97</Pages>
  <Words>37240</Words>
  <Characters>183008</Characters>
  <Application>Microsoft Office Word</Application>
  <DocSecurity>0</DocSecurity>
  <Lines>3050</Lines>
  <Paragraphs>891</Paragraphs>
  <ScaleCrop>false</ScaleCrop>
  <HeadingPairs>
    <vt:vector size="2" baseType="variant">
      <vt:variant>
        <vt:lpstr>Title</vt:lpstr>
      </vt:variant>
      <vt:variant>
        <vt:i4>1</vt:i4>
      </vt:variant>
    </vt:vector>
  </HeadingPairs>
  <TitlesOfParts>
    <vt:vector size="1" baseType="lpstr">
      <vt:lpstr>Pinnacle Runway Pty Ltd v Triangl Limited [2019] FCA 1662</vt:lpstr>
    </vt:vector>
  </TitlesOfParts>
  <Company>Federal Court of Australia</Company>
  <LinksUpToDate>false</LinksUpToDate>
  <CharactersWithSpaces>219357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Pinnacle Runway Pty Ltd v Triangl Limited [2019] FCA 1662</dc:title>
  <dc:subject/>
  <dc:creator>Justice Murphy (FCA)</dc:creator>
  <cp:keywords/>
  <dc:description/>
  <cp:lastModifiedBy>Sona Muradyan</cp:lastModifiedBy>
  <cp:revision>6</cp:revision>
  <cp:lastPrinted>2019-10-06T21:38:00Z</cp:lastPrinted>
  <dcterms:created xsi:type="dcterms:W3CDTF">2019-10-10T04:07:00Z</dcterms:created>
  <dcterms:modified xsi:type="dcterms:W3CDTF">2019-10-10T04:44:00Z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MURPHY J</vt:lpwstr>
  </property>
  <property fmtid="{D5CDD505-2E9C-101B-9397-08002B2CF9AE}" pid="4" name="Judgment_dated" linkTarget="Judgment_dated">
    <vt:lpwstr>10 October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16</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Intellectual Property</vt:lpwstr>
  </property>
  <property fmtid="{D5CDD505-2E9C-101B-9397-08002B2CF9AE}" pid="19" name="Sub Area">
    <vt:lpwstr>Trade Marks</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