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8285" w14:textId="6C3D6B8A" w:rsidR="00395B24" w:rsidRDefault="002C7385">
      <w:pPr>
        <w:pStyle w:val="NormalHeadings"/>
        <w:jc w:val="center"/>
        <w:rPr>
          <w:sz w:val="32"/>
        </w:rPr>
      </w:pPr>
      <w:r>
        <w:rPr>
          <w:sz w:val="32"/>
        </w:rPr>
        <w:t>FEDERAL COURT OF AUSTRALIA</w:t>
      </w:r>
    </w:p>
    <w:p w14:paraId="0B53725D" w14:textId="77777777" w:rsidR="00561CAB" w:rsidRDefault="00561CAB">
      <w:pPr>
        <w:pStyle w:val="NormalHeadings"/>
        <w:jc w:val="center"/>
        <w:rPr>
          <w:sz w:val="32"/>
        </w:rPr>
      </w:pPr>
    </w:p>
    <w:p w14:paraId="6E78F27F" w14:textId="42F14328" w:rsidR="00395B24" w:rsidRDefault="00561CAB" w:rsidP="00561CAB">
      <w:pPr>
        <w:pStyle w:val="MediaNeutralStyle"/>
      </w:pPr>
      <w:bookmarkStart w:id="0" w:name="MNC"/>
      <w:proofErr w:type="spellStart"/>
      <w:r>
        <w:t>Qudos</w:t>
      </w:r>
      <w:proofErr w:type="spellEnd"/>
      <w:r>
        <w:t xml:space="preserve"> Mutual Limited v Infosys Limited (No 2) [2019] FCA 1373</w:t>
      </w:r>
      <w:bookmarkEnd w:id="0"/>
    </w:p>
    <w:p w14:paraId="3CAA3883" w14:textId="77777777" w:rsidR="00561CAB" w:rsidRPr="00561CAB" w:rsidRDefault="00561CAB" w:rsidP="00561CAB">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53"/>
        <w:gridCol w:w="36"/>
      </w:tblGrid>
      <w:tr w:rsidR="00395B24" w14:paraId="49C30B38" w14:textId="77777777" w:rsidTr="00957419">
        <w:trPr>
          <w:gridAfter w:val="1"/>
          <w:wAfter w:w="36" w:type="dxa"/>
        </w:trPr>
        <w:tc>
          <w:tcPr>
            <w:tcW w:w="3085" w:type="dxa"/>
            <w:shd w:val="clear" w:color="auto" w:fill="auto"/>
          </w:tcPr>
          <w:p w14:paraId="53A28C51" w14:textId="66084047" w:rsidR="00395B24" w:rsidRDefault="002C7385" w:rsidP="00663878">
            <w:pPr>
              <w:pStyle w:val="Normal1linespace"/>
              <w:widowControl w:val="0"/>
              <w:jc w:val="left"/>
            </w:pPr>
            <w:r>
              <w:t>File number:</w:t>
            </w:r>
          </w:p>
        </w:tc>
        <w:tc>
          <w:tcPr>
            <w:tcW w:w="5953" w:type="dxa"/>
            <w:shd w:val="clear" w:color="auto" w:fill="auto"/>
          </w:tcPr>
          <w:p w14:paraId="1DEDE04F" w14:textId="77777777" w:rsidR="00395B24" w:rsidRPr="00895581" w:rsidRDefault="009E727D" w:rsidP="00895581">
            <w:pPr>
              <w:pStyle w:val="Normal1linespace"/>
              <w:jc w:val="left"/>
            </w:pPr>
            <w:r>
              <w:fldChar w:fldCharType="begin" w:fldLock="1"/>
            </w:r>
            <w:r>
              <w:instrText xml:space="preserve"> REF  FileNo  \* MERGEFORMAT </w:instrText>
            </w:r>
            <w:r>
              <w:fldChar w:fldCharType="separate"/>
            </w:r>
            <w:r w:rsidR="00895581" w:rsidRPr="00895581">
              <w:t>NSD 2075 of 2018</w:t>
            </w:r>
            <w:r>
              <w:fldChar w:fldCharType="end"/>
            </w:r>
          </w:p>
        </w:tc>
      </w:tr>
      <w:tr w:rsidR="00395B24" w14:paraId="5B7C1FE6" w14:textId="77777777" w:rsidTr="00957419">
        <w:trPr>
          <w:gridAfter w:val="1"/>
          <w:wAfter w:w="36" w:type="dxa"/>
        </w:trPr>
        <w:tc>
          <w:tcPr>
            <w:tcW w:w="3085" w:type="dxa"/>
            <w:shd w:val="clear" w:color="auto" w:fill="auto"/>
          </w:tcPr>
          <w:p w14:paraId="5A9238FC" w14:textId="77777777" w:rsidR="00395B24" w:rsidRDefault="00395B24" w:rsidP="00663878">
            <w:pPr>
              <w:pStyle w:val="Normal1linespace"/>
              <w:widowControl w:val="0"/>
              <w:jc w:val="left"/>
            </w:pPr>
          </w:p>
        </w:tc>
        <w:tc>
          <w:tcPr>
            <w:tcW w:w="5953" w:type="dxa"/>
            <w:shd w:val="clear" w:color="auto" w:fill="auto"/>
          </w:tcPr>
          <w:p w14:paraId="36A10CFD" w14:textId="77777777" w:rsidR="00395B24" w:rsidRDefault="00395B24" w:rsidP="00663878">
            <w:pPr>
              <w:pStyle w:val="Normal1linespace"/>
              <w:widowControl w:val="0"/>
              <w:jc w:val="left"/>
            </w:pPr>
          </w:p>
        </w:tc>
      </w:tr>
      <w:tr w:rsidR="00395B24" w14:paraId="4A407AC1" w14:textId="77777777" w:rsidTr="00957419">
        <w:trPr>
          <w:gridAfter w:val="1"/>
          <w:wAfter w:w="36" w:type="dxa"/>
        </w:trPr>
        <w:tc>
          <w:tcPr>
            <w:tcW w:w="3085" w:type="dxa"/>
            <w:shd w:val="clear" w:color="auto" w:fill="auto"/>
          </w:tcPr>
          <w:p w14:paraId="43E09A2A" w14:textId="440E96B2" w:rsidR="00395B24" w:rsidRDefault="002C7385" w:rsidP="00663878">
            <w:pPr>
              <w:pStyle w:val="Normal1linespace"/>
              <w:widowControl w:val="0"/>
              <w:jc w:val="left"/>
            </w:pPr>
            <w:r>
              <w:t>Judge:</w:t>
            </w:r>
          </w:p>
        </w:tc>
        <w:tc>
          <w:tcPr>
            <w:tcW w:w="5953" w:type="dxa"/>
            <w:shd w:val="clear" w:color="auto" w:fill="auto"/>
          </w:tcPr>
          <w:p w14:paraId="1A870E68" w14:textId="77777777" w:rsidR="00395B24" w:rsidRDefault="002C7385" w:rsidP="00663878">
            <w:pPr>
              <w:pStyle w:val="Normal1linespace"/>
              <w:widowControl w:val="0"/>
              <w:jc w:val="left"/>
              <w:rPr>
                <w:b/>
              </w:rPr>
            </w:pPr>
            <w:r w:rsidRPr="00895581">
              <w:rPr>
                <w:b/>
              </w:rPr>
              <w:fldChar w:fldCharType="begin" w:fldLock="1"/>
            </w:r>
            <w:r w:rsidRPr="00895581">
              <w:rPr>
                <w:b/>
              </w:rPr>
              <w:instrText xml:space="preserve"> REF  Judge  \* MERGEFORMAT </w:instrText>
            </w:r>
            <w:r w:rsidRPr="00895581">
              <w:rPr>
                <w:b/>
              </w:rPr>
              <w:fldChar w:fldCharType="separate"/>
            </w:r>
            <w:r w:rsidR="00895581" w:rsidRPr="00895581">
              <w:rPr>
                <w:b/>
                <w:caps/>
                <w:szCs w:val="24"/>
              </w:rPr>
              <w:t>BURLEY J</w:t>
            </w:r>
            <w:r w:rsidRPr="00895581">
              <w:rPr>
                <w:b/>
              </w:rPr>
              <w:fldChar w:fldCharType="end"/>
            </w:r>
          </w:p>
        </w:tc>
      </w:tr>
      <w:tr w:rsidR="00395B24" w14:paraId="69A7A24D" w14:textId="77777777" w:rsidTr="00957419">
        <w:trPr>
          <w:gridAfter w:val="1"/>
          <w:wAfter w:w="36" w:type="dxa"/>
        </w:trPr>
        <w:tc>
          <w:tcPr>
            <w:tcW w:w="3085" w:type="dxa"/>
            <w:shd w:val="clear" w:color="auto" w:fill="auto"/>
          </w:tcPr>
          <w:p w14:paraId="26B22930" w14:textId="77777777" w:rsidR="00395B24" w:rsidRDefault="00395B24" w:rsidP="00663878">
            <w:pPr>
              <w:pStyle w:val="Normal1linespace"/>
              <w:widowControl w:val="0"/>
              <w:jc w:val="left"/>
            </w:pPr>
          </w:p>
        </w:tc>
        <w:tc>
          <w:tcPr>
            <w:tcW w:w="5953" w:type="dxa"/>
            <w:shd w:val="clear" w:color="auto" w:fill="auto"/>
          </w:tcPr>
          <w:p w14:paraId="1BE2DF92" w14:textId="77777777" w:rsidR="00395B24" w:rsidRDefault="00395B24" w:rsidP="00663878">
            <w:pPr>
              <w:pStyle w:val="Normal1linespace"/>
              <w:widowControl w:val="0"/>
              <w:jc w:val="left"/>
            </w:pPr>
          </w:p>
        </w:tc>
      </w:tr>
      <w:tr w:rsidR="00395B24" w14:paraId="418B6E60" w14:textId="77777777" w:rsidTr="00957419">
        <w:trPr>
          <w:gridAfter w:val="1"/>
          <w:wAfter w:w="36" w:type="dxa"/>
        </w:trPr>
        <w:tc>
          <w:tcPr>
            <w:tcW w:w="3085" w:type="dxa"/>
            <w:shd w:val="clear" w:color="auto" w:fill="auto"/>
          </w:tcPr>
          <w:p w14:paraId="5F0A6200" w14:textId="77777777" w:rsidR="00395B24" w:rsidRDefault="002C7385" w:rsidP="00663878">
            <w:pPr>
              <w:pStyle w:val="Normal1linespace"/>
              <w:widowControl w:val="0"/>
              <w:jc w:val="left"/>
            </w:pPr>
            <w:r>
              <w:t>Date of judgment:</w:t>
            </w:r>
          </w:p>
        </w:tc>
        <w:tc>
          <w:tcPr>
            <w:tcW w:w="5953" w:type="dxa"/>
            <w:shd w:val="clear" w:color="auto" w:fill="auto"/>
          </w:tcPr>
          <w:p w14:paraId="2C5E87C5" w14:textId="1B675BA2" w:rsidR="00395B24" w:rsidRDefault="002E586E" w:rsidP="00663878">
            <w:pPr>
              <w:pStyle w:val="Normal1linespace"/>
              <w:widowControl w:val="0"/>
              <w:jc w:val="left"/>
            </w:pPr>
            <w:bookmarkStart w:id="1" w:name="JudgmentDate"/>
            <w:bookmarkEnd w:id="1"/>
            <w:r>
              <w:t>27 August 2019</w:t>
            </w:r>
          </w:p>
        </w:tc>
      </w:tr>
      <w:tr w:rsidR="00395B24" w14:paraId="4B8C2A61" w14:textId="77777777" w:rsidTr="00957419">
        <w:trPr>
          <w:gridAfter w:val="1"/>
          <w:wAfter w:w="36" w:type="dxa"/>
        </w:trPr>
        <w:tc>
          <w:tcPr>
            <w:tcW w:w="3085" w:type="dxa"/>
            <w:shd w:val="clear" w:color="auto" w:fill="auto"/>
          </w:tcPr>
          <w:p w14:paraId="1D16429A" w14:textId="77777777" w:rsidR="00395B24" w:rsidRDefault="00395B24" w:rsidP="00663878">
            <w:pPr>
              <w:pStyle w:val="Normal1linespace"/>
              <w:widowControl w:val="0"/>
              <w:jc w:val="left"/>
            </w:pPr>
          </w:p>
        </w:tc>
        <w:tc>
          <w:tcPr>
            <w:tcW w:w="5953" w:type="dxa"/>
            <w:shd w:val="clear" w:color="auto" w:fill="auto"/>
          </w:tcPr>
          <w:p w14:paraId="7A05CCBB" w14:textId="77777777" w:rsidR="00395B24" w:rsidRDefault="00395B24" w:rsidP="00663878">
            <w:pPr>
              <w:pStyle w:val="Normal1linespace"/>
              <w:widowControl w:val="0"/>
              <w:jc w:val="left"/>
            </w:pPr>
          </w:p>
        </w:tc>
      </w:tr>
      <w:tr w:rsidR="00395B24" w14:paraId="6A7F1E7A" w14:textId="77777777" w:rsidTr="00957419">
        <w:trPr>
          <w:gridAfter w:val="1"/>
          <w:wAfter w:w="36" w:type="dxa"/>
        </w:trPr>
        <w:tc>
          <w:tcPr>
            <w:tcW w:w="3085" w:type="dxa"/>
            <w:shd w:val="clear" w:color="auto" w:fill="auto"/>
          </w:tcPr>
          <w:p w14:paraId="5B429C3C" w14:textId="77777777" w:rsidR="00395B24" w:rsidRDefault="002C7385" w:rsidP="00663878">
            <w:pPr>
              <w:pStyle w:val="Normal1linespace"/>
              <w:widowControl w:val="0"/>
              <w:jc w:val="left"/>
            </w:pPr>
            <w:r>
              <w:t>Catchwords:</w:t>
            </w:r>
          </w:p>
        </w:tc>
        <w:tc>
          <w:tcPr>
            <w:tcW w:w="5953" w:type="dxa"/>
            <w:shd w:val="clear" w:color="auto" w:fill="auto"/>
          </w:tcPr>
          <w:p w14:paraId="25709133" w14:textId="700158CD" w:rsidR="00395B24" w:rsidRDefault="002A58E5" w:rsidP="00962768">
            <w:pPr>
              <w:pStyle w:val="Normal1linespace"/>
              <w:widowControl w:val="0"/>
              <w:spacing w:after="60"/>
              <w:jc w:val="left"/>
            </w:pPr>
            <w:bookmarkStart w:id="2" w:name="Catchwords"/>
            <w:r w:rsidRPr="00A00E06">
              <w:rPr>
                <w:b/>
              </w:rPr>
              <w:t>COSTS</w:t>
            </w:r>
            <w:r w:rsidRPr="002A58E5">
              <w:t xml:space="preserve"> – application for preliminary discovery pursuant to r 7.23 of the </w:t>
            </w:r>
            <w:r w:rsidRPr="00A00E06">
              <w:rPr>
                <w:i/>
              </w:rPr>
              <w:t>Federal Court Rules 2011</w:t>
            </w:r>
            <w:r w:rsidRPr="002A58E5">
              <w:t xml:space="preserve"> (</w:t>
            </w:r>
            <w:proofErr w:type="spellStart"/>
            <w:r w:rsidRPr="002A58E5">
              <w:t>Cth</w:t>
            </w:r>
            <w:proofErr w:type="spellEnd"/>
            <w:r w:rsidRPr="002A58E5">
              <w:t xml:space="preserve">) – where prospective applicant was successful in </w:t>
            </w:r>
            <w:r w:rsidR="00A00E06">
              <w:t>obtaining discovery from first prospective respondent but in narrower categories than claimed</w:t>
            </w:r>
            <w:r w:rsidRPr="002A58E5">
              <w:t xml:space="preserve"> – </w:t>
            </w:r>
            <w:r w:rsidR="001C331C">
              <w:t xml:space="preserve">where further documents requested following an initial discovery – </w:t>
            </w:r>
            <w:r w:rsidRPr="002A58E5">
              <w:t xml:space="preserve">discretion in making costs orders pursuant to s 43(2) of </w:t>
            </w:r>
            <w:r w:rsidR="00095437">
              <w:t xml:space="preserve">the </w:t>
            </w:r>
            <w:r w:rsidRPr="00A00E06">
              <w:rPr>
                <w:i/>
              </w:rPr>
              <w:t>Federal Court of Australia Act 1976</w:t>
            </w:r>
            <w:r w:rsidRPr="002A58E5">
              <w:t xml:space="preserve"> (</w:t>
            </w:r>
            <w:proofErr w:type="spellStart"/>
            <w:r w:rsidRPr="002A58E5">
              <w:t>Cth</w:t>
            </w:r>
            <w:proofErr w:type="spellEnd"/>
            <w:r w:rsidRPr="002A58E5">
              <w:t>)</w:t>
            </w:r>
            <w:r>
              <w:t xml:space="preserve"> </w:t>
            </w:r>
            <w:bookmarkEnd w:id="2"/>
          </w:p>
        </w:tc>
      </w:tr>
      <w:tr w:rsidR="00395B24" w14:paraId="33BEA190" w14:textId="77777777" w:rsidTr="00957419">
        <w:trPr>
          <w:gridAfter w:val="1"/>
          <w:wAfter w:w="36" w:type="dxa"/>
        </w:trPr>
        <w:tc>
          <w:tcPr>
            <w:tcW w:w="3085" w:type="dxa"/>
            <w:shd w:val="clear" w:color="auto" w:fill="auto"/>
          </w:tcPr>
          <w:p w14:paraId="29C11D11" w14:textId="77777777" w:rsidR="00395B24" w:rsidRDefault="00395B24" w:rsidP="00663878">
            <w:pPr>
              <w:pStyle w:val="Normal1linespace"/>
              <w:widowControl w:val="0"/>
              <w:jc w:val="left"/>
            </w:pPr>
          </w:p>
        </w:tc>
        <w:tc>
          <w:tcPr>
            <w:tcW w:w="5953" w:type="dxa"/>
            <w:shd w:val="clear" w:color="auto" w:fill="auto"/>
          </w:tcPr>
          <w:p w14:paraId="7084DA7B" w14:textId="77777777" w:rsidR="00395B24" w:rsidRDefault="00395B24" w:rsidP="00663878">
            <w:pPr>
              <w:pStyle w:val="Normal1linespace"/>
              <w:widowControl w:val="0"/>
              <w:jc w:val="left"/>
            </w:pPr>
          </w:p>
        </w:tc>
      </w:tr>
      <w:tr w:rsidR="00395B24" w14:paraId="235F89DC" w14:textId="77777777" w:rsidTr="00957419">
        <w:trPr>
          <w:gridAfter w:val="1"/>
          <w:wAfter w:w="36" w:type="dxa"/>
        </w:trPr>
        <w:tc>
          <w:tcPr>
            <w:tcW w:w="3085" w:type="dxa"/>
            <w:shd w:val="clear" w:color="auto" w:fill="auto"/>
          </w:tcPr>
          <w:p w14:paraId="3348D4F9" w14:textId="77777777" w:rsidR="00395B24" w:rsidRDefault="002C7385" w:rsidP="00663878">
            <w:pPr>
              <w:pStyle w:val="Normal1linespace"/>
              <w:widowControl w:val="0"/>
              <w:jc w:val="left"/>
            </w:pPr>
            <w:r>
              <w:t>Legislation:</w:t>
            </w:r>
          </w:p>
        </w:tc>
        <w:tc>
          <w:tcPr>
            <w:tcW w:w="5953" w:type="dxa"/>
            <w:shd w:val="clear" w:color="auto" w:fill="auto"/>
          </w:tcPr>
          <w:p w14:paraId="7EB1FED1" w14:textId="77777777" w:rsidR="002A58E5" w:rsidRDefault="002A58E5" w:rsidP="002A58E5">
            <w:pPr>
              <w:pStyle w:val="CasesLegislationAppealFrom"/>
              <w:spacing w:after="60"/>
            </w:pPr>
            <w:bookmarkStart w:id="3" w:name="Legislation"/>
            <w:r w:rsidRPr="00A00E06">
              <w:rPr>
                <w:i/>
              </w:rPr>
              <w:t>Federal Court of Australia Act 1976</w:t>
            </w:r>
            <w:r>
              <w:t xml:space="preserve"> (</w:t>
            </w:r>
            <w:proofErr w:type="spellStart"/>
            <w:r>
              <w:t>Cth</w:t>
            </w:r>
            <w:proofErr w:type="spellEnd"/>
            <w:r>
              <w:t>) s 43(2)</w:t>
            </w:r>
          </w:p>
          <w:p w14:paraId="0C1F2F20" w14:textId="0D89A013" w:rsidR="00395B24" w:rsidRDefault="002A58E5" w:rsidP="002A58E5">
            <w:pPr>
              <w:pStyle w:val="CasesLegislationAppealFrom"/>
              <w:spacing w:after="60"/>
            </w:pPr>
            <w:r w:rsidRPr="00A00E06">
              <w:rPr>
                <w:i/>
              </w:rPr>
              <w:t>Federal Court Rules 2011</w:t>
            </w:r>
            <w:r>
              <w:t xml:space="preserve"> (</w:t>
            </w:r>
            <w:proofErr w:type="spellStart"/>
            <w:r>
              <w:t>Cth</w:t>
            </w:r>
            <w:proofErr w:type="spellEnd"/>
            <w:r>
              <w:t>) r 7.23</w:t>
            </w:r>
            <w:r w:rsidR="002C7385">
              <w:t xml:space="preserve"> </w:t>
            </w:r>
            <w:bookmarkEnd w:id="3"/>
          </w:p>
        </w:tc>
      </w:tr>
      <w:tr w:rsidR="00395B24" w14:paraId="69D2EFCD" w14:textId="77777777" w:rsidTr="00957419">
        <w:trPr>
          <w:gridAfter w:val="1"/>
          <w:wAfter w:w="36" w:type="dxa"/>
        </w:trPr>
        <w:tc>
          <w:tcPr>
            <w:tcW w:w="3085" w:type="dxa"/>
            <w:shd w:val="clear" w:color="auto" w:fill="auto"/>
          </w:tcPr>
          <w:p w14:paraId="23388F58" w14:textId="77777777" w:rsidR="00395B24" w:rsidRDefault="00395B24" w:rsidP="00663878">
            <w:pPr>
              <w:pStyle w:val="Normal1linespace"/>
              <w:widowControl w:val="0"/>
              <w:jc w:val="left"/>
            </w:pPr>
          </w:p>
        </w:tc>
        <w:tc>
          <w:tcPr>
            <w:tcW w:w="5953" w:type="dxa"/>
            <w:shd w:val="clear" w:color="auto" w:fill="auto"/>
          </w:tcPr>
          <w:p w14:paraId="4BDFF551" w14:textId="77777777" w:rsidR="00395B24" w:rsidRDefault="00395B24" w:rsidP="00663878">
            <w:pPr>
              <w:pStyle w:val="Normal1linespace"/>
              <w:widowControl w:val="0"/>
              <w:jc w:val="left"/>
            </w:pPr>
          </w:p>
        </w:tc>
      </w:tr>
      <w:tr w:rsidR="00395B24" w14:paraId="0374DBCC" w14:textId="77777777" w:rsidTr="00957419">
        <w:trPr>
          <w:gridAfter w:val="1"/>
          <w:wAfter w:w="36" w:type="dxa"/>
        </w:trPr>
        <w:tc>
          <w:tcPr>
            <w:tcW w:w="3085" w:type="dxa"/>
            <w:shd w:val="clear" w:color="auto" w:fill="auto"/>
          </w:tcPr>
          <w:p w14:paraId="5C468155" w14:textId="77777777" w:rsidR="00395B24" w:rsidRDefault="002C7385" w:rsidP="00663878">
            <w:pPr>
              <w:pStyle w:val="Normal1linespace"/>
              <w:widowControl w:val="0"/>
              <w:jc w:val="left"/>
            </w:pPr>
            <w:r>
              <w:t>Cases cited:</w:t>
            </w:r>
          </w:p>
        </w:tc>
        <w:tc>
          <w:tcPr>
            <w:tcW w:w="5953" w:type="dxa"/>
            <w:shd w:val="clear" w:color="auto" w:fill="auto"/>
          </w:tcPr>
          <w:p w14:paraId="19AF463F" w14:textId="77777777" w:rsidR="002A58E5" w:rsidRDefault="002A58E5" w:rsidP="00A00E06">
            <w:pPr>
              <w:pStyle w:val="Normal1linespace"/>
              <w:widowControl w:val="0"/>
              <w:spacing w:after="60"/>
              <w:jc w:val="left"/>
            </w:pPr>
            <w:bookmarkStart w:id="4" w:name="Cases_Cited"/>
            <w:r w:rsidRPr="00A00E06">
              <w:rPr>
                <w:i/>
              </w:rPr>
              <w:t xml:space="preserve">Pfizer Ireland Pharmaceuticals v Samsung </w:t>
            </w:r>
            <w:proofErr w:type="spellStart"/>
            <w:r w:rsidRPr="00A00E06">
              <w:rPr>
                <w:i/>
              </w:rPr>
              <w:t>Bioepis</w:t>
            </w:r>
            <w:proofErr w:type="spellEnd"/>
            <w:r w:rsidRPr="00A00E06">
              <w:rPr>
                <w:i/>
              </w:rPr>
              <w:t xml:space="preserve"> AU Pty Ltd (No 2)</w:t>
            </w:r>
            <w:r>
              <w:t xml:space="preserve"> [2019] FCA 657</w:t>
            </w:r>
          </w:p>
          <w:p w14:paraId="17DC8F5F" w14:textId="22F42C15" w:rsidR="00395B24" w:rsidRDefault="002A58E5" w:rsidP="002A58E5">
            <w:pPr>
              <w:pStyle w:val="CasesLegislationAppealFrom"/>
              <w:spacing w:after="60"/>
            </w:pPr>
            <w:proofErr w:type="spellStart"/>
            <w:r w:rsidRPr="00A00E06">
              <w:rPr>
                <w:i/>
              </w:rPr>
              <w:t>Qudos</w:t>
            </w:r>
            <w:proofErr w:type="spellEnd"/>
            <w:r w:rsidRPr="00A00E06">
              <w:rPr>
                <w:i/>
              </w:rPr>
              <w:t xml:space="preserve"> Mutual Limited v Infosys Limited</w:t>
            </w:r>
            <w:r>
              <w:t xml:space="preserve"> [2019] FCA 702</w:t>
            </w:r>
            <w:bookmarkEnd w:id="4"/>
          </w:p>
        </w:tc>
      </w:tr>
      <w:tr w:rsidR="006A1A93" w:rsidRPr="009A40A6" w14:paraId="2A3A8234" w14:textId="77777777" w:rsidTr="006A1A93">
        <w:tc>
          <w:tcPr>
            <w:tcW w:w="3085" w:type="dxa"/>
            <w:shd w:val="clear" w:color="auto" w:fill="auto"/>
          </w:tcPr>
          <w:p w14:paraId="71FFED2E" w14:textId="77777777" w:rsidR="006A1A93" w:rsidRPr="009A40A6" w:rsidRDefault="006A1A93" w:rsidP="005B016C">
            <w:pPr>
              <w:pStyle w:val="Normal1linespace"/>
              <w:jc w:val="left"/>
            </w:pPr>
            <w:bookmarkStart w:id="5" w:name="CounselTable"/>
          </w:p>
        </w:tc>
        <w:tc>
          <w:tcPr>
            <w:tcW w:w="5989" w:type="dxa"/>
            <w:gridSpan w:val="2"/>
            <w:shd w:val="clear" w:color="auto" w:fill="auto"/>
          </w:tcPr>
          <w:p w14:paraId="023AF0F4" w14:textId="77777777" w:rsidR="006A1A93" w:rsidRPr="009A40A6" w:rsidRDefault="006A1A93" w:rsidP="005B016C">
            <w:pPr>
              <w:pStyle w:val="Normal1linespace"/>
              <w:jc w:val="left"/>
            </w:pPr>
          </w:p>
        </w:tc>
      </w:tr>
      <w:tr w:rsidR="006A1A93" w:rsidRPr="009A40A6" w14:paraId="60404E9A" w14:textId="77777777" w:rsidTr="006A1A93">
        <w:tc>
          <w:tcPr>
            <w:tcW w:w="3085" w:type="dxa"/>
            <w:shd w:val="clear" w:color="auto" w:fill="auto"/>
          </w:tcPr>
          <w:p w14:paraId="21A1DC43" w14:textId="77777777" w:rsidR="006A1A93" w:rsidRPr="009A40A6" w:rsidRDefault="006A1A93" w:rsidP="005B016C">
            <w:pPr>
              <w:pStyle w:val="Normal1linespace"/>
              <w:jc w:val="left"/>
            </w:pPr>
            <w:r w:rsidRPr="009A40A6">
              <w:t>Date of hearing:</w:t>
            </w:r>
          </w:p>
        </w:tc>
        <w:tc>
          <w:tcPr>
            <w:tcW w:w="5989" w:type="dxa"/>
            <w:gridSpan w:val="2"/>
            <w:shd w:val="clear" w:color="auto" w:fill="auto"/>
          </w:tcPr>
          <w:p w14:paraId="598BB8E0" w14:textId="77777777" w:rsidR="006A1A93" w:rsidRPr="009A40A6" w:rsidRDefault="006A1A93" w:rsidP="005B016C">
            <w:pPr>
              <w:pStyle w:val="Normal1linespace"/>
              <w:jc w:val="left"/>
            </w:pPr>
            <w:bookmarkStart w:id="6" w:name="HearingDate"/>
            <w:r>
              <w:t>2 May 2019</w:t>
            </w:r>
            <w:bookmarkEnd w:id="6"/>
          </w:p>
        </w:tc>
      </w:tr>
      <w:tr w:rsidR="006A1A93" w:rsidRPr="009A40A6" w14:paraId="5B96227E" w14:textId="77777777" w:rsidTr="006A1A93">
        <w:tc>
          <w:tcPr>
            <w:tcW w:w="3085" w:type="dxa"/>
            <w:shd w:val="clear" w:color="auto" w:fill="auto"/>
          </w:tcPr>
          <w:p w14:paraId="1E1452FF" w14:textId="77777777" w:rsidR="006A1A93" w:rsidRPr="009A40A6" w:rsidRDefault="006A1A93" w:rsidP="005B016C">
            <w:pPr>
              <w:pStyle w:val="Normal1linespace"/>
              <w:jc w:val="left"/>
            </w:pPr>
          </w:p>
        </w:tc>
        <w:tc>
          <w:tcPr>
            <w:tcW w:w="5989" w:type="dxa"/>
            <w:gridSpan w:val="2"/>
            <w:shd w:val="clear" w:color="auto" w:fill="auto"/>
          </w:tcPr>
          <w:p w14:paraId="0CC0CD71" w14:textId="77777777" w:rsidR="006A1A93" w:rsidRPr="009A40A6" w:rsidRDefault="006A1A93" w:rsidP="005B016C">
            <w:pPr>
              <w:pStyle w:val="Normal1linespace"/>
              <w:jc w:val="left"/>
            </w:pPr>
          </w:p>
        </w:tc>
      </w:tr>
      <w:tr w:rsidR="006A1A93" w:rsidRPr="009A40A6" w14:paraId="7827E34F" w14:textId="77777777" w:rsidTr="006A1A93">
        <w:tc>
          <w:tcPr>
            <w:tcW w:w="3085" w:type="dxa"/>
            <w:shd w:val="clear" w:color="auto" w:fill="auto"/>
          </w:tcPr>
          <w:p w14:paraId="47AB5BC6" w14:textId="618B3E10" w:rsidR="006A1A93" w:rsidRPr="009A40A6" w:rsidRDefault="006A1A93" w:rsidP="005B016C">
            <w:pPr>
              <w:pStyle w:val="Normal1linespace"/>
              <w:jc w:val="left"/>
            </w:pPr>
            <w:r>
              <w:t>Date of last submission:</w:t>
            </w:r>
          </w:p>
        </w:tc>
        <w:tc>
          <w:tcPr>
            <w:tcW w:w="5989" w:type="dxa"/>
            <w:gridSpan w:val="2"/>
            <w:shd w:val="clear" w:color="auto" w:fill="auto"/>
          </w:tcPr>
          <w:p w14:paraId="13ECA2A2" w14:textId="39FE5C1A" w:rsidR="006A1A93" w:rsidRPr="009A40A6" w:rsidRDefault="006A1A93" w:rsidP="006A1A93">
            <w:pPr>
              <w:pStyle w:val="Normal1linespace"/>
              <w:jc w:val="left"/>
            </w:pPr>
            <w:r>
              <w:t>11 June 2019</w:t>
            </w:r>
          </w:p>
        </w:tc>
      </w:tr>
      <w:tr w:rsidR="006A1A93" w:rsidRPr="009A40A6" w14:paraId="51B66989" w14:textId="77777777" w:rsidTr="006A1A93">
        <w:tc>
          <w:tcPr>
            <w:tcW w:w="3085" w:type="dxa"/>
            <w:shd w:val="clear" w:color="auto" w:fill="auto"/>
          </w:tcPr>
          <w:p w14:paraId="2D485253" w14:textId="77777777" w:rsidR="006A1A93" w:rsidRPr="009A40A6" w:rsidRDefault="006A1A93" w:rsidP="005B016C">
            <w:pPr>
              <w:pStyle w:val="Normal1linespace"/>
              <w:jc w:val="left"/>
            </w:pPr>
          </w:p>
        </w:tc>
        <w:tc>
          <w:tcPr>
            <w:tcW w:w="5989" w:type="dxa"/>
            <w:gridSpan w:val="2"/>
            <w:shd w:val="clear" w:color="auto" w:fill="auto"/>
          </w:tcPr>
          <w:p w14:paraId="4A8B011C" w14:textId="77777777" w:rsidR="006A1A93" w:rsidRPr="009A40A6" w:rsidRDefault="006A1A93" w:rsidP="005B016C">
            <w:pPr>
              <w:pStyle w:val="Normal1linespace"/>
              <w:jc w:val="left"/>
            </w:pPr>
          </w:p>
        </w:tc>
      </w:tr>
      <w:tr w:rsidR="006A1A93" w:rsidRPr="00F17599" w14:paraId="1C9B6019" w14:textId="77777777" w:rsidTr="006A1A93">
        <w:tc>
          <w:tcPr>
            <w:tcW w:w="3085" w:type="dxa"/>
            <w:shd w:val="clear" w:color="auto" w:fill="auto"/>
          </w:tcPr>
          <w:p w14:paraId="29B62FB0" w14:textId="77777777" w:rsidR="006A1A93" w:rsidRDefault="006A1A93" w:rsidP="005B016C">
            <w:pPr>
              <w:pStyle w:val="Normal1linespace"/>
              <w:widowControl w:val="0"/>
              <w:jc w:val="left"/>
            </w:pPr>
            <w:r>
              <w:t>Registry:</w:t>
            </w:r>
          </w:p>
        </w:tc>
        <w:tc>
          <w:tcPr>
            <w:tcW w:w="5989" w:type="dxa"/>
            <w:gridSpan w:val="2"/>
            <w:shd w:val="clear" w:color="auto" w:fill="auto"/>
          </w:tcPr>
          <w:p w14:paraId="4D504CB3" w14:textId="77777777" w:rsidR="006A1A93" w:rsidRPr="00F17599" w:rsidRDefault="009E727D" w:rsidP="005B016C">
            <w:pPr>
              <w:pStyle w:val="Normal1linespace"/>
              <w:widowControl w:val="0"/>
              <w:jc w:val="left"/>
            </w:pPr>
            <w:r>
              <w:fldChar w:fldCharType="begin" w:fldLock="1"/>
            </w:r>
            <w:r>
              <w:instrText xml:space="preserve"> DOCPROPERTY  Registry </w:instrText>
            </w:r>
            <w:r>
              <w:fldChar w:fldCharType="separate"/>
            </w:r>
            <w:r w:rsidR="006A1A93">
              <w:t>New South Wales</w:t>
            </w:r>
            <w:r>
              <w:fldChar w:fldCharType="end"/>
            </w:r>
          </w:p>
        </w:tc>
      </w:tr>
      <w:tr w:rsidR="006A1A93" w14:paraId="2B8636CC" w14:textId="77777777" w:rsidTr="006A1A93">
        <w:tc>
          <w:tcPr>
            <w:tcW w:w="3085" w:type="dxa"/>
            <w:shd w:val="clear" w:color="auto" w:fill="auto"/>
          </w:tcPr>
          <w:p w14:paraId="0FC2563C" w14:textId="77777777" w:rsidR="006A1A93" w:rsidRDefault="006A1A93" w:rsidP="005B016C">
            <w:pPr>
              <w:pStyle w:val="Normal1linespace"/>
              <w:widowControl w:val="0"/>
              <w:jc w:val="left"/>
            </w:pPr>
          </w:p>
        </w:tc>
        <w:tc>
          <w:tcPr>
            <w:tcW w:w="5989" w:type="dxa"/>
            <w:gridSpan w:val="2"/>
            <w:shd w:val="clear" w:color="auto" w:fill="auto"/>
          </w:tcPr>
          <w:p w14:paraId="2D72E349" w14:textId="77777777" w:rsidR="006A1A93" w:rsidRDefault="006A1A93" w:rsidP="005B016C">
            <w:pPr>
              <w:pStyle w:val="Normal1linespace"/>
              <w:widowControl w:val="0"/>
              <w:jc w:val="left"/>
            </w:pPr>
          </w:p>
        </w:tc>
      </w:tr>
      <w:tr w:rsidR="006A1A93" w:rsidRPr="00F17599" w14:paraId="70A835CE" w14:textId="77777777" w:rsidTr="006A1A93">
        <w:tc>
          <w:tcPr>
            <w:tcW w:w="3085" w:type="dxa"/>
            <w:shd w:val="clear" w:color="auto" w:fill="auto"/>
          </w:tcPr>
          <w:p w14:paraId="56F0EA54" w14:textId="77777777" w:rsidR="006A1A93" w:rsidRDefault="006A1A93" w:rsidP="005B016C">
            <w:pPr>
              <w:pStyle w:val="Normal1linespace"/>
              <w:widowControl w:val="0"/>
              <w:jc w:val="left"/>
            </w:pPr>
            <w:r>
              <w:t>Division:</w:t>
            </w:r>
          </w:p>
        </w:tc>
        <w:tc>
          <w:tcPr>
            <w:tcW w:w="5989" w:type="dxa"/>
            <w:gridSpan w:val="2"/>
            <w:shd w:val="clear" w:color="auto" w:fill="auto"/>
          </w:tcPr>
          <w:p w14:paraId="735A7786" w14:textId="77777777" w:rsidR="006A1A93" w:rsidRPr="00F17599" w:rsidRDefault="009E727D" w:rsidP="005B016C">
            <w:pPr>
              <w:pStyle w:val="Normal1linespace"/>
              <w:widowControl w:val="0"/>
              <w:jc w:val="left"/>
            </w:pPr>
            <w:r>
              <w:fldChar w:fldCharType="begin" w:fldLock="1"/>
            </w:r>
            <w:r>
              <w:instrText xml:space="preserve"> DOCPROPERTY  Division </w:instrText>
            </w:r>
            <w:r>
              <w:fldChar w:fldCharType="separate"/>
            </w:r>
            <w:r w:rsidR="006A1A93">
              <w:t>General Division</w:t>
            </w:r>
            <w:r>
              <w:fldChar w:fldCharType="end"/>
            </w:r>
          </w:p>
        </w:tc>
      </w:tr>
      <w:tr w:rsidR="006A1A93" w:rsidRPr="00F17599" w14:paraId="69B19E36" w14:textId="77777777" w:rsidTr="006A1A93">
        <w:tc>
          <w:tcPr>
            <w:tcW w:w="3085" w:type="dxa"/>
            <w:shd w:val="clear" w:color="auto" w:fill="auto"/>
          </w:tcPr>
          <w:p w14:paraId="00250FDC" w14:textId="77777777" w:rsidR="006A1A93" w:rsidRDefault="006A1A93" w:rsidP="005B016C">
            <w:pPr>
              <w:pStyle w:val="Normal1linespace"/>
              <w:widowControl w:val="0"/>
              <w:jc w:val="left"/>
            </w:pPr>
          </w:p>
        </w:tc>
        <w:tc>
          <w:tcPr>
            <w:tcW w:w="5989" w:type="dxa"/>
            <w:gridSpan w:val="2"/>
            <w:shd w:val="clear" w:color="auto" w:fill="auto"/>
          </w:tcPr>
          <w:p w14:paraId="28DE0D51" w14:textId="77777777" w:rsidR="006A1A93" w:rsidRPr="00F17599" w:rsidRDefault="006A1A93" w:rsidP="005B016C">
            <w:pPr>
              <w:pStyle w:val="Normal1linespace"/>
              <w:widowControl w:val="0"/>
              <w:jc w:val="left"/>
              <w:rPr>
                <w:b/>
              </w:rPr>
            </w:pPr>
          </w:p>
        </w:tc>
      </w:tr>
      <w:tr w:rsidR="006A1A93" w:rsidRPr="00F17599" w14:paraId="3935C4D9" w14:textId="77777777" w:rsidTr="006A1A93">
        <w:tc>
          <w:tcPr>
            <w:tcW w:w="3085" w:type="dxa"/>
            <w:shd w:val="clear" w:color="auto" w:fill="auto"/>
          </w:tcPr>
          <w:p w14:paraId="5E0F7846" w14:textId="77777777" w:rsidR="006A1A93" w:rsidRDefault="006A1A93" w:rsidP="005B016C">
            <w:pPr>
              <w:pStyle w:val="Normal1linespace"/>
              <w:widowControl w:val="0"/>
              <w:jc w:val="left"/>
            </w:pPr>
            <w:r>
              <w:t>National Practice Area:</w:t>
            </w:r>
          </w:p>
        </w:tc>
        <w:tc>
          <w:tcPr>
            <w:tcW w:w="5989" w:type="dxa"/>
            <w:gridSpan w:val="2"/>
            <w:shd w:val="clear" w:color="auto" w:fill="auto"/>
          </w:tcPr>
          <w:p w14:paraId="1285FC89" w14:textId="77777777" w:rsidR="006A1A93" w:rsidRPr="00F17599" w:rsidRDefault="009E727D" w:rsidP="005B016C">
            <w:pPr>
              <w:pStyle w:val="Normal1linespace"/>
              <w:widowControl w:val="0"/>
              <w:jc w:val="left"/>
              <w:rPr>
                <w:b/>
              </w:rPr>
            </w:pPr>
            <w:r>
              <w:fldChar w:fldCharType="begin" w:fldLock="1"/>
            </w:r>
            <w:r>
              <w:instrText xml:space="preserve"> DOCPROPERTY  "Practice Area"  \* MERGEFORMAT </w:instrText>
            </w:r>
            <w:r>
              <w:fldChar w:fldCharType="separate"/>
            </w:r>
            <w:r w:rsidR="006A1A93">
              <w:t>Intellectual Property</w:t>
            </w:r>
            <w:r>
              <w:fldChar w:fldCharType="end"/>
            </w:r>
          </w:p>
        </w:tc>
      </w:tr>
      <w:tr w:rsidR="006A1A93" w14:paraId="3B465158" w14:textId="77777777" w:rsidTr="006A1A93">
        <w:tc>
          <w:tcPr>
            <w:tcW w:w="3085" w:type="dxa"/>
            <w:shd w:val="clear" w:color="auto" w:fill="auto"/>
          </w:tcPr>
          <w:p w14:paraId="5ECD91B2" w14:textId="77777777" w:rsidR="006A1A93" w:rsidRDefault="006A1A93" w:rsidP="005B016C">
            <w:pPr>
              <w:pStyle w:val="Normal1linespace"/>
              <w:widowControl w:val="0"/>
              <w:jc w:val="left"/>
            </w:pPr>
          </w:p>
        </w:tc>
        <w:tc>
          <w:tcPr>
            <w:tcW w:w="5989" w:type="dxa"/>
            <w:gridSpan w:val="2"/>
            <w:shd w:val="clear" w:color="auto" w:fill="auto"/>
          </w:tcPr>
          <w:p w14:paraId="0F5B43D7" w14:textId="77777777" w:rsidR="006A1A93" w:rsidRDefault="006A1A93" w:rsidP="005B016C">
            <w:pPr>
              <w:pStyle w:val="Normal1linespace"/>
              <w:widowControl w:val="0"/>
              <w:jc w:val="left"/>
            </w:pPr>
          </w:p>
        </w:tc>
      </w:tr>
      <w:tr w:rsidR="006A1A93" w:rsidRPr="00435936" w14:paraId="4919A874" w14:textId="77777777" w:rsidTr="006A1A93">
        <w:tc>
          <w:tcPr>
            <w:tcW w:w="3085" w:type="dxa"/>
            <w:shd w:val="clear" w:color="auto" w:fill="auto"/>
          </w:tcPr>
          <w:p w14:paraId="13AB6654" w14:textId="77777777" w:rsidR="006A1A93" w:rsidRDefault="006A1A93" w:rsidP="005B016C">
            <w:pPr>
              <w:pStyle w:val="Normal1linespace"/>
              <w:widowControl w:val="0"/>
              <w:jc w:val="left"/>
            </w:pPr>
            <w:r>
              <w:t>Sub-area:</w:t>
            </w:r>
          </w:p>
        </w:tc>
        <w:tc>
          <w:tcPr>
            <w:tcW w:w="5989" w:type="dxa"/>
            <w:gridSpan w:val="2"/>
            <w:shd w:val="clear" w:color="auto" w:fill="auto"/>
          </w:tcPr>
          <w:p w14:paraId="31815153" w14:textId="77777777" w:rsidR="006A1A93" w:rsidRPr="00435936" w:rsidRDefault="009E727D" w:rsidP="005B016C">
            <w:pPr>
              <w:pStyle w:val="Normal1linespace"/>
              <w:widowControl w:val="0"/>
              <w:jc w:val="left"/>
            </w:pPr>
            <w:r>
              <w:fldChar w:fldCharType="begin" w:fldLock="1"/>
            </w:r>
            <w:r>
              <w:instrText xml:space="preserve"> DOCPROPERTY  "Sub Area"  \* MERGEFORMAT </w:instrText>
            </w:r>
            <w:r>
              <w:fldChar w:fldCharType="separate"/>
            </w:r>
            <w:r w:rsidR="006A1A93" w:rsidRPr="009A40A6">
              <w:rPr>
                <w:bCs/>
                <w:lang w:val="en-US"/>
              </w:rPr>
              <w:t>Copyright and Industrial</w:t>
            </w:r>
            <w:r w:rsidR="006A1A93">
              <w:t xml:space="preserve"> Designs</w:t>
            </w:r>
            <w:r>
              <w:fldChar w:fldCharType="end"/>
            </w:r>
          </w:p>
        </w:tc>
      </w:tr>
      <w:tr w:rsidR="006A1A93" w14:paraId="1629774D" w14:textId="77777777" w:rsidTr="006A1A93">
        <w:tc>
          <w:tcPr>
            <w:tcW w:w="3085" w:type="dxa"/>
            <w:shd w:val="clear" w:color="auto" w:fill="auto"/>
          </w:tcPr>
          <w:p w14:paraId="78605908" w14:textId="77777777" w:rsidR="006A1A93" w:rsidRDefault="006A1A93" w:rsidP="005B016C">
            <w:pPr>
              <w:pStyle w:val="Normal1linespace"/>
              <w:widowControl w:val="0"/>
              <w:jc w:val="left"/>
            </w:pPr>
          </w:p>
        </w:tc>
        <w:tc>
          <w:tcPr>
            <w:tcW w:w="5989" w:type="dxa"/>
            <w:gridSpan w:val="2"/>
            <w:shd w:val="clear" w:color="auto" w:fill="auto"/>
          </w:tcPr>
          <w:p w14:paraId="23448184" w14:textId="77777777" w:rsidR="006A1A93" w:rsidRDefault="006A1A93" w:rsidP="005B016C">
            <w:pPr>
              <w:pStyle w:val="Normal1linespace"/>
              <w:widowControl w:val="0"/>
              <w:jc w:val="left"/>
              <w:rPr>
                <w:b/>
              </w:rPr>
            </w:pPr>
          </w:p>
        </w:tc>
      </w:tr>
      <w:tr w:rsidR="006A1A93" w14:paraId="6B8CF949" w14:textId="77777777" w:rsidTr="006A1A93">
        <w:tc>
          <w:tcPr>
            <w:tcW w:w="3085" w:type="dxa"/>
            <w:shd w:val="clear" w:color="auto" w:fill="auto"/>
          </w:tcPr>
          <w:p w14:paraId="4FD2905A" w14:textId="77777777" w:rsidR="006A1A93" w:rsidRDefault="006A1A93" w:rsidP="005B016C">
            <w:pPr>
              <w:pStyle w:val="Normal1linespace"/>
              <w:widowControl w:val="0"/>
              <w:jc w:val="left"/>
            </w:pPr>
            <w:r>
              <w:t>Category:</w:t>
            </w:r>
          </w:p>
        </w:tc>
        <w:tc>
          <w:tcPr>
            <w:tcW w:w="5989" w:type="dxa"/>
            <w:gridSpan w:val="2"/>
            <w:shd w:val="clear" w:color="auto" w:fill="auto"/>
          </w:tcPr>
          <w:p w14:paraId="5BF89C31" w14:textId="77777777" w:rsidR="006A1A93" w:rsidRDefault="006A1A93" w:rsidP="005B016C">
            <w:pPr>
              <w:pStyle w:val="Normal1linespace"/>
              <w:widowControl w:val="0"/>
              <w:jc w:val="left"/>
            </w:pPr>
            <w:r>
              <w:t>Catchwords</w:t>
            </w:r>
          </w:p>
        </w:tc>
      </w:tr>
      <w:tr w:rsidR="006A1A93" w14:paraId="1C442A7F" w14:textId="77777777" w:rsidTr="006A1A93">
        <w:tc>
          <w:tcPr>
            <w:tcW w:w="3085" w:type="dxa"/>
            <w:shd w:val="clear" w:color="auto" w:fill="auto"/>
          </w:tcPr>
          <w:p w14:paraId="1A445E88" w14:textId="77777777" w:rsidR="006A1A93" w:rsidRDefault="006A1A93" w:rsidP="005B016C">
            <w:pPr>
              <w:pStyle w:val="Normal1linespace"/>
              <w:widowControl w:val="0"/>
              <w:jc w:val="left"/>
            </w:pPr>
          </w:p>
        </w:tc>
        <w:tc>
          <w:tcPr>
            <w:tcW w:w="5989" w:type="dxa"/>
            <w:gridSpan w:val="2"/>
            <w:shd w:val="clear" w:color="auto" w:fill="auto"/>
          </w:tcPr>
          <w:p w14:paraId="4BEB485E" w14:textId="77777777" w:rsidR="006A1A93" w:rsidRDefault="006A1A93" w:rsidP="005B016C">
            <w:pPr>
              <w:pStyle w:val="Normal1linespace"/>
              <w:widowControl w:val="0"/>
              <w:jc w:val="left"/>
            </w:pPr>
          </w:p>
        </w:tc>
      </w:tr>
      <w:tr w:rsidR="006A1A93" w14:paraId="6667BD9F" w14:textId="77777777" w:rsidTr="006A1A93">
        <w:tc>
          <w:tcPr>
            <w:tcW w:w="3085" w:type="dxa"/>
            <w:shd w:val="clear" w:color="auto" w:fill="auto"/>
          </w:tcPr>
          <w:p w14:paraId="7E1F16A3" w14:textId="77777777" w:rsidR="006A1A93" w:rsidRDefault="006A1A93" w:rsidP="005B016C">
            <w:pPr>
              <w:pStyle w:val="Normal1linespace"/>
              <w:widowControl w:val="0"/>
              <w:jc w:val="left"/>
            </w:pPr>
            <w:r>
              <w:t>Number of paragraphs:</w:t>
            </w:r>
          </w:p>
        </w:tc>
        <w:tc>
          <w:tcPr>
            <w:tcW w:w="5989" w:type="dxa"/>
            <w:gridSpan w:val="2"/>
            <w:shd w:val="clear" w:color="auto" w:fill="auto"/>
          </w:tcPr>
          <w:p w14:paraId="09B45684" w14:textId="3C964BD6" w:rsidR="006A1A93" w:rsidRDefault="006A1A93" w:rsidP="005B016C">
            <w:pPr>
              <w:pStyle w:val="Normal1linespace"/>
              <w:widowControl w:val="0"/>
              <w:jc w:val="left"/>
            </w:pPr>
            <w:r>
              <w:t>1</w:t>
            </w:r>
            <w:r w:rsidR="00095437">
              <w:t>5</w:t>
            </w:r>
          </w:p>
        </w:tc>
      </w:tr>
      <w:tr w:rsidR="006A1A93" w14:paraId="156D561B" w14:textId="77777777" w:rsidTr="006A1A93">
        <w:tc>
          <w:tcPr>
            <w:tcW w:w="3085" w:type="dxa"/>
            <w:shd w:val="clear" w:color="auto" w:fill="auto"/>
          </w:tcPr>
          <w:p w14:paraId="34E27B64" w14:textId="77777777" w:rsidR="006A1A93" w:rsidRDefault="006A1A93" w:rsidP="005B016C">
            <w:pPr>
              <w:pStyle w:val="Normal1linespace"/>
              <w:widowControl w:val="0"/>
              <w:jc w:val="left"/>
            </w:pPr>
          </w:p>
        </w:tc>
        <w:tc>
          <w:tcPr>
            <w:tcW w:w="5989" w:type="dxa"/>
            <w:gridSpan w:val="2"/>
            <w:shd w:val="clear" w:color="auto" w:fill="auto"/>
          </w:tcPr>
          <w:p w14:paraId="6FA4841E" w14:textId="77777777" w:rsidR="006A1A93" w:rsidRDefault="006A1A93" w:rsidP="005B016C">
            <w:pPr>
              <w:pStyle w:val="Normal1linespace"/>
              <w:widowControl w:val="0"/>
              <w:jc w:val="left"/>
            </w:pPr>
          </w:p>
        </w:tc>
      </w:tr>
      <w:tr w:rsidR="006A1A93" w14:paraId="5D4D8CA3" w14:textId="77777777" w:rsidTr="006A1A93">
        <w:tc>
          <w:tcPr>
            <w:tcW w:w="3085" w:type="dxa"/>
            <w:shd w:val="clear" w:color="auto" w:fill="auto"/>
          </w:tcPr>
          <w:p w14:paraId="1E8D102B" w14:textId="5B0FF1CD" w:rsidR="006A1A93" w:rsidRDefault="006A1A93" w:rsidP="005B016C">
            <w:pPr>
              <w:pStyle w:val="Normal1linespace"/>
              <w:widowControl w:val="0"/>
              <w:jc w:val="left"/>
            </w:pPr>
            <w:r>
              <w:t xml:space="preserve">Counsel for the </w:t>
            </w:r>
            <w:r w:rsidR="00095437">
              <w:t xml:space="preserve">Prospective </w:t>
            </w:r>
            <w:r>
              <w:t>Applicant:</w:t>
            </w:r>
          </w:p>
        </w:tc>
        <w:tc>
          <w:tcPr>
            <w:tcW w:w="5989" w:type="dxa"/>
            <w:gridSpan w:val="2"/>
            <w:shd w:val="clear" w:color="auto" w:fill="auto"/>
          </w:tcPr>
          <w:p w14:paraId="24B20A9A" w14:textId="1C11A7D8" w:rsidR="006A1A93" w:rsidRDefault="006A1A93" w:rsidP="005B016C">
            <w:pPr>
              <w:pStyle w:val="Normal1linespace"/>
              <w:widowControl w:val="0"/>
              <w:jc w:val="left"/>
            </w:pPr>
            <w:bookmarkStart w:id="7" w:name="AppCounsel"/>
            <w:bookmarkEnd w:id="7"/>
            <w:r>
              <w:t>Mr R. Cobden SC with Mr P. Flynn</w:t>
            </w:r>
          </w:p>
        </w:tc>
      </w:tr>
      <w:tr w:rsidR="006A1A93" w14:paraId="252BEA04" w14:textId="77777777" w:rsidTr="006A1A93">
        <w:tc>
          <w:tcPr>
            <w:tcW w:w="3085" w:type="dxa"/>
            <w:shd w:val="clear" w:color="auto" w:fill="auto"/>
          </w:tcPr>
          <w:p w14:paraId="03192921" w14:textId="77777777" w:rsidR="006A1A93" w:rsidRDefault="006A1A93" w:rsidP="005B016C">
            <w:pPr>
              <w:pStyle w:val="Normal1linespace"/>
              <w:widowControl w:val="0"/>
              <w:jc w:val="left"/>
            </w:pPr>
          </w:p>
        </w:tc>
        <w:tc>
          <w:tcPr>
            <w:tcW w:w="5989" w:type="dxa"/>
            <w:gridSpan w:val="2"/>
            <w:shd w:val="clear" w:color="auto" w:fill="auto"/>
          </w:tcPr>
          <w:p w14:paraId="774B7748" w14:textId="77777777" w:rsidR="006A1A93" w:rsidRDefault="006A1A93" w:rsidP="005B016C">
            <w:pPr>
              <w:pStyle w:val="Normal1linespace"/>
              <w:widowControl w:val="0"/>
              <w:jc w:val="left"/>
            </w:pPr>
          </w:p>
        </w:tc>
      </w:tr>
      <w:tr w:rsidR="006A1A93" w14:paraId="27F642B7" w14:textId="77777777" w:rsidTr="006A1A93">
        <w:tc>
          <w:tcPr>
            <w:tcW w:w="3085" w:type="dxa"/>
            <w:shd w:val="clear" w:color="auto" w:fill="auto"/>
          </w:tcPr>
          <w:p w14:paraId="20BD5261" w14:textId="55E1A696" w:rsidR="006A1A93" w:rsidRDefault="006A1A93" w:rsidP="005B016C">
            <w:pPr>
              <w:pStyle w:val="Normal1linespace"/>
              <w:widowControl w:val="0"/>
              <w:jc w:val="left"/>
            </w:pPr>
            <w:r>
              <w:t xml:space="preserve">Solicitor for the </w:t>
            </w:r>
            <w:r w:rsidR="00095437">
              <w:t xml:space="preserve">Prospective </w:t>
            </w:r>
            <w:r>
              <w:t>Applicant:</w:t>
            </w:r>
          </w:p>
        </w:tc>
        <w:tc>
          <w:tcPr>
            <w:tcW w:w="5989" w:type="dxa"/>
            <w:gridSpan w:val="2"/>
            <w:shd w:val="clear" w:color="auto" w:fill="auto"/>
          </w:tcPr>
          <w:p w14:paraId="1A0E0C30" w14:textId="1C4D47B1" w:rsidR="006A1A93" w:rsidRDefault="006A1A93" w:rsidP="005B016C">
            <w:pPr>
              <w:pStyle w:val="Normal1linespace"/>
              <w:widowControl w:val="0"/>
              <w:jc w:val="left"/>
            </w:pPr>
            <w:r>
              <w:t xml:space="preserve">Gilbert </w:t>
            </w:r>
            <w:r w:rsidR="002E586E">
              <w:t>+</w:t>
            </w:r>
            <w:r>
              <w:t xml:space="preserve"> Tobin</w:t>
            </w:r>
          </w:p>
        </w:tc>
      </w:tr>
      <w:tr w:rsidR="002E586E" w14:paraId="5ED4DF34" w14:textId="77777777" w:rsidTr="006A1A93">
        <w:tc>
          <w:tcPr>
            <w:tcW w:w="3085" w:type="dxa"/>
            <w:shd w:val="clear" w:color="auto" w:fill="auto"/>
          </w:tcPr>
          <w:p w14:paraId="634C1884" w14:textId="77777777" w:rsidR="002E586E" w:rsidRDefault="002E586E" w:rsidP="005B016C">
            <w:pPr>
              <w:pStyle w:val="Normal1linespace"/>
              <w:widowControl w:val="0"/>
              <w:jc w:val="left"/>
            </w:pPr>
          </w:p>
        </w:tc>
        <w:tc>
          <w:tcPr>
            <w:tcW w:w="5989" w:type="dxa"/>
            <w:gridSpan w:val="2"/>
            <w:shd w:val="clear" w:color="auto" w:fill="auto"/>
          </w:tcPr>
          <w:p w14:paraId="79557776" w14:textId="77777777" w:rsidR="002E586E" w:rsidRDefault="002E586E" w:rsidP="005B016C">
            <w:pPr>
              <w:pStyle w:val="Normal1linespace"/>
              <w:widowControl w:val="0"/>
              <w:jc w:val="left"/>
            </w:pPr>
          </w:p>
        </w:tc>
      </w:tr>
      <w:tr w:rsidR="006A1A93" w14:paraId="634B6684" w14:textId="77777777" w:rsidTr="006A1A93">
        <w:tc>
          <w:tcPr>
            <w:tcW w:w="3085" w:type="dxa"/>
            <w:shd w:val="clear" w:color="auto" w:fill="auto"/>
          </w:tcPr>
          <w:p w14:paraId="632182F4" w14:textId="3EA6947A" w:rsidR="006A1A93" w:rsidRDefault="006A1A93" w:rsidP="005B016C">
            <w:pPr>
              <w:pStyle w:val="Normal1linespace"/>
              <w:widowControl w:val="0"/>
              <w:jc w:val="left"/>
            </w:pPr>
            <w:r>
              <w:lastRenderedPageBreak/>
              <w:t xml:space="preserve">Counsel for the </w:t>
            </w:r>
            <w:r w:rsidR="00095437">
              <w:t xml:space="preserve">Prospective </w:t>
            </w:r>
            <w:r>
              <w:t>Respondents:</w:t>
            </w:r>
          </w:p>
        </w:tc>
        <w:tc>
          <w:tcPr>
            <w:tcW w:w="5989" w:type="dxa"/>
            <w:gridSpan w:val="2"/>
            <w:shd w:val="clear" w:color="auto" w:fill="auto"/>
          </w:tcPr>
          <w:p w14:paraId="17A9AC80" w14:textId="512FCB71" w:rsidR="006A1A93" w:rsidRDefault="006A1A93" w:rsidP="005B016C">
            <w:pPr>
              <w:pStyle w:val="Normal1linespace"/>
              <w:widowControl w:val="0"/>
              <w:jc w:val="left"/>
            </w:pPr>
            <w:r>
              <w:t xml:space="preserve">Mr </w:t>
            </w:r>
            <w:r w:rsidR="00A00E06">
              <w:t xml:space="preserve">J. </w:t>
            </w:r>
            <w:r>
              <w:t>Hennessy SC with Mr C. Burgess</w:t>
            </w:r>
          </w:p>
        </w:tc>
      </w:tr>
      <w:tr w:rsidR="006A1A93" w14:paraId="4D1B1899" w14:textId="77777777" w:rsidTr="006A1A93">
        <w:tc>
          <w:tcPr>
            <w:tcW w:w="3085" w:type="dxa"/>
            <w:shd w:val="clear" w:color="auto" w:fill="auto"/>
          </w:tcPr>
          <w:p w14:paraId="5EA8C2BF" w14:textId="77777777" w:rsidR="006A1A93" w:rsidRDefault="006A1A93" w:rsidP="005B016C">
            <w:pPr>
              <w:pStyle w:val="Normal1linespace"/>
              <w:widowControl w:val="0"/>
              <w:jc w:val="left"/>
            </w:pPr>
          </w:p>
        </w:tc>
        <w:tc>
          <w:tcPr>
            <w:tcW w:w="5989" w:type="dxa"/>
            <w:gridSpan w:val="2"/>
            <w:shd w:val="clear" w:color="auto" w:fill="auto"/>
          </w:tcPr>
          <w:p w14:paraId="0B440FB4" w14:textId="05E4C966" w:rsidR="006A1A93" w:rsidRDefault="00957419" w:rsidP="00957419">
            <w:pPr>
              <w:pStyle w:val="Normal1linespace"/>
              <w:widowControl w:val="0"/>
              <w:tabs>
                <w:tab w:val="left" w:pos="4375"/>
              </w:tabs>
              <w:jc w:val="left"/>
            </w:pPr>
            <w:r>
              <w:tab/>
            </w:r>
          </w:p>
        </w:tc>
      </w:tr>
      <w:tr w:rsidR="006A1A93" w14:paraId="74A9E744" w14:textId="77777777" w:rsidTr="006A1A93">
        <w:tc>
          <w:tcPr>
            <w:tcW w:w="3085" w:type="dxa"/>
            <w:shd w:val="clear" w:color="auto" w:fill="auto"/>
          </w:tcPr>
          <w:p w14:paraId="238B85DE" w14:textId="725EBBE1" w:rsidR="006A1A93" w:rsidRDefault="006A1A93" w:rsidP="005B016C">
            <w:pPr>
              <w:pStyle w:val="Normal1linespace"/>
              <w:widowControl w:val="0"/>
              <w:jc w:val="left"/>
            </w:pPr>
            <w:r>
              <w:t xml:space="preserve">Solicitor for the </w:t>
            </w:r>
            <w:r w:rsidR="00095437">
              <w:t xml:space="preserve">Prospective </w:t>
            </w:r>
            <w:r>
              <w:t>Respondents:</w:t>
            </w:r>
          </w:p>
        </w:tc>
        <w:tc>
          <w:tcPr>
            <w:tcW w:w="5989" w:type="dxa"/>
            <w:gridSpan w:val="2"/>
            <w:shd w:val="clear" w:color="auto" w:fill="auto"/>
          </w:tcPr>
          <w:p w14:paraId="3A9B58C9" w14:textId="77777777" w:rsidR="006A1A93" w:rsidRDefault="006A1A93" w:rsidP="005B016C">
            <w:pPr>
              <w:pStyle w:val="Normal1linespace"/>
              <w:widowControl w:val="0"/>
              <w:jc w:val="left"/>
            </w:pPr>
            <w:proofErr w:type="spellStart"/>
            <w:r>
              <w:t>Allens</w:t>
            </w:r>
            <w:proofErr w:type="spellEnd"/>
          </w:p>
        </w:tc>
      </w:tr>
    </w:tbl>
    <w:p w14:paraId="3520E200" w14:textId="77777777" w:rsidR="00395B24" w:rsidRDefault="002C7385">
      <w:pPr>
        <w:pStyle w:val="Normal1linespace"/>
      </w:pPr>
      <w:r>
        <w:t xml:space="preserve"> </w:t>
      </w:r>
      <w:bookmarkEnd w:id="5"/>
    </w:p>
    <w:p w14:paraId="498AD904" w14:textId="77777777" w:rsidR="0092590B" w:rsidRDefault="0092590B">
      <w:pPr>
        <w:pStyle w:val="Normal1linespace"/>
      </w:pPr>
    </w:p>
    <w:p w14:paraId="6EB43F13" w14:textId="77777777"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13E4A6D4"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0787070" w14:textId="77777777" w:rsidTr="00E81DA6">
        <w:tc>
          <w:tcPr>
            <w:tcW w:w="6912" w:type="dxa"/>
            <w:gridSpan w:val="2"/>
          </w:tcPr>
          <w:p w14:paraId="45E0CE49" w14:textId="77777777" w:rsidR="00A46CCC" w:rsidRPr="001765E0" w:rsidRDefault="00A46CCC" w:rsidP="00525A49">
            <w:pPr>
              <w:pStyle w:val="NormalHeadings"/>
            </w:pPr>
          </w:p>
        </w:tc>
        <w:tc>
          <w:tcPr>
            <w:tcW w:w="2330" w:type="dxa"/>
          </w:tcPr>
          <w:p w14:paraId="5C5693FE" w14:textId="77777777" w:rsidR="00A46CCC" w:rsidRDefault="00895581" w:rsidP="00F92355">
            <w:pPr>
              <w:pStyle w:val="NormalHeadings"/>
              <w:jc w:val="right"/>
            </w:pPr>
            <w:bookmarkStart w:id="8" w:name="FileNo"/>
            <w:r>
              <w:t>NSD 2075 of 2018</w:t>
            </w:r>
            <w:bookmarkEnd w:id="8"/>
          </w:p>
        </w:tc>
      </w:tr>
      <w:tr w:rsidR="00A76C13" w14:paraId="2CCA8BF1" w14:textId="77777777" w:rsidTr="00F461A4">
        <w:tc>
          <w:tcPr>
            <w:tcW w:w="9242" w:type="dxa"/>
            <w:gridSpan w:val="3"/>
          </w:tcPr>
          <w:p w14:paraId="277E2127" w14:textId="77777777" w:rsidR="00A76C13" w:rsidRPr="00A76C13" w:rsidRDefault="00895581" w:rsidP="00895581">
            <w:pPr>
              <w:pStyle w:val="NormalHeadings"/>
              <w:jc w:val="left"/>
            </w:pPr>
            <w:bookmarkStart w:id="9" w:name="InTheMatterOf"/>
            <w:r>
              <w:t xml:space="preserve"> </w:t>
            </w:r>
            <w:bookmarkEnd w:id="9"/>
          </w:p>
        </w:tc>
      </w:tr>
      <w:tr w:rsidR="00A46CCC" w14:paraId="66C9E3C4" w14:textId="77777777" w:rsidTr="005041F0">
        <w:trPr>
          <w:trHeight w:val="386"/>
        </w:trPr>
        <w:tc>
          <w:tcPr>
            <w:tcW w:w="2376" w:type="dxa"/>
          </w:tcPr>
          <w:p w14:paraId="7167796C" w14:textId="77777777" w:rsidR="00A46CCC" w:rsidRDefault="00A46CCC" w:rsidP="005041F0">
            <w:pPr>
              <w:pStyle w:val="NormalHeadings"/>
              <w:jc w:val="left"/>
              <w:rPr>
                <w:caps/>
                <w:szCs w:val="24"/>
              </w:rPr>
            </w:pPr>
            <w:bookmarkStart w:id="10" w:name="Parties"/>
            <w:r>
              <w:rPr>
                <w:caps/>
                <w:szCs w:val="24"/>
              </w:rPr>
              <w:t>BETWEEN:</w:t>
            </w:r>
          </w:p>
        </w:tc>
        <w:tc>
          <w:tcPr>
            <w:tcW w:w="6866" w:type="dxa"/>
            <w:gridSpan w:val="2"/>
          </w:tcPr>
          <w:p w14:paraId="29AA16C4" w14:textId="77777777" w:rsidR="00895581" w:rsidRDefault="00895581" w:rsidP="00895581">
            <w:pPr>
              <w:pStyle w:val="NormalHeadings"/>
              <w:jc w:val="left"/>
            </w:pPr>
            <w:bookmarkStart w:id="11" w:name="Applicant"/>
            <w:r>
              <w:t>QUDOS MUTUAL LIMITED (ACN 087 650 557)</w:t>
            </w:r>
          </w:p>
          <w:p w14:paraId="7D381612" w14:textId="77777777" w:rsidR="00895581" w:rsidRDefault="00895581" w:rsidP="00895581">
            <w:pPr>
              <w:pStyle w:val="PartyType"/>
            </w:pPr>
            <w:r>
              <w:t>Prospective Applicant</w:t>
            </w:r>
          </w:p>
          <w:bookmarkEnd w:id="11"/>
          <w:p w14:paraId="6BB3AB92" w14:textId="77777777" w:rsidR="00A46CCC" w:rsidRPr="006555B4" w:rsidRDefault="00A46CCC" w:rsidP="005041F0">
            <w:pPr>
              <w:pStyle w:val="NormalHeadings"/>
              <w:jc w:val="left"/>
            </w:pPr>
          </w:p>
        </w:tc>
      </w:tr>
      <w:tr w:rsidR="00A46CCC" w14:paraId="2A483735" w14:textId="77777777" w:rsidTr="005041F0">
        <w:trPr>
          <w:trHeight w:val="386"/>
        </w:trPr>
        <w:tc>
          <w:tcPr>
            <w:tcW w:w="2376" w:type="dxa"/>
          </w:tcPr>
          <w:p w14:paraId="6A33CD69" w14:textId="77777777" w:rsidR="00A46CCC" w:rsidRDefault="00A46CCC" w:rsidP="005041F0">
            <w:pPr>
              <w:pStyle w:val="NormalHeadings"/>
              <w:jc w:val="left"/>
              <w:rPr>
                <w:caps/>
                <w:szCs w:val="24"/>
              </w:rPr>
            </w:pPr>
            <w:r>
              <w:rPr>
                <w:caps/>
                <w:szCs w:val="24"/>
              </w:rPr>
              <w:t>AND:</w:t>
            </w:r>
          </w:p>
        </w:tc>
        <w:tc>
          <w:tcPr>
            <w:tcW w:w="6866" w:type="dxa"/>
            <w:gridSpan w:val="2"/>
          </w:tcPr>
          <w:p w14:paraId="605C34F8" w14:textId="77777777" w:rsidR="00895581" w:rsidRDefault="00895581" w:rsidP="00895581">
            <w:pPr>
              <w:pStyle w:val="NormalHeadings"/>
              <w:jc w:val="left"/>
            </w:pPr>
            <w:bookmarkStart w:id="12" w:name="Respondent"/>
            <w:r>
              <w:t>INFOSYS LIMITED (A FOREIGN COMPANY TRADING AS A FOREIGN REGISTERED COMPANY IN AUSTRALIA, REGISTERED IN AUSTRALIA AS INFOSYS TECHNOLOGIES LIMITED) (ABN 52 090 591 209)</w:t>
            </w:r>
          </w:p>
          <w:p w14:paraId="4C6909A6" w14:textId="77777777" w:rsidR="00895581" w:rsidRDefault="00895581" w:rsidP="00895581">
            <w:pPr>
              <w:pStyle w:val="PartyType"/>
            </w:pPr>
            <w:r>
              <w:t>First Prospective Respondent</w:t>
            </w:r>
          </w:p>
          <w:p w14:paraId="74A4134C" w14:textId="77777777" w:rsidR="00895581" w:rsidRDefault="00895581" w:rsidP="005041F0">
            <w:pPr>
              <w:pStyle w:val="NormalHeadings"/>
              <w:jc w:val="left"/>
              <w:rPr>
                <w:szCs w:val="24"/>
              </w:rPr>
            </w:pPr>
          </w:p>
          <w:p w14:paraId="55853D53" w14:textId="77777777" w:rsidR="00895581" w:rsidRDefault="00895581" w:rsidP="00895581">
            <w:pPr>
              <w:pStyle w:val="NormalHeadings"/>
              <w:jc w:val="left"/>
            </w:pPr>
            <w:r>
              <w:t>INFOSYS TECHNOLOGIES AUSTRALIA PTY LIMITED (ACN 054 141 365)</w:t>
            </w:r>
          </w:p>
          <w:p w14:paraId="738E7696" w14:textId="77777777" w:rsidR="00895581" w:rsidRDefault="00895581" w:rsidP="00895581">
            <w:pPr>
              <w:pStyle w:val="PartyType"/>
            </w:pPr>
            <w:r>
              <w:t>Second Prospective Respondent</w:t>
            </w:r>
          </w:p>
          <w:bookmarkEnd w:id="12"/>
          <w:p w14:paraId="3B6845BD" w14:textId="77777777" w:rsidR="00A46CCC" w:rsidRPr="006555B4" w:rsidRDefault="00A46CCC" w:rsidP="005041F0">
            <w:pPr>
              <w:pStyle w:val="NormalHeadings"/>
              <w:jc w:val="left"/>
            </w:pPr>
          </w:p>
        </w:tc>
      </w:tr>
    </w:tbl>
    <w:p w14:paraId="2F7AB409" w14:textId="77777777"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14:paraId="79465933" w14:textId="77777777">
        <w:tc>
          <w:tcPr>
            <w:tcW w:w="2376" w:type="dxa"/>
          </w:tcPr>
          <w:p w14:paraId="11599790" w14:textId="77777777" w:rsidR="00395B24" w:rsidRDefault="00895581">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14:paraId="35181E12" w14:textId="77777777" w:rsidR="00395B24" w:rsidRDefault="00895581">
            <w:pPr>
              <w:pStyle w:val="NormalHeadings"/>
              <w:jc w:val="left"/>
              <w:rPr>
                <w:caps/>
                <w:szCs w:val="24"/>
              </w:rPr>
            </w:pPr>
            <w:bookmarkStart w:id="15" w:name="Judge"/>
            <w:r>
              <w:rPr>
                <w:caps/>
                <w:szCs w:val="24"/>
              </w:rPr>
              <w:t>BURLEY J</w:t>
            </w:r>
            <w:bookmarkEnd w:id="15"/>
          </w:p>
        </w:tc>
      </w:tr>
      <w:tr w:rsidR="00395B24" w14:paraId="3BB8BB1B" w14:textId="77777777">
        <w:tc>
          <w:tcPr>
            <w:tcW w:w="2376" w:type="dxa"/>
          </w:tcPr>
          <w:p w14:paraId="1AD8F05E" w14:textId="77777777" w:rsidR="00395B24" w:rsidRDefault="002C7385">
            <w:pPr>
              <w:pStyle w:val="NormalHeadings"/>
              <w:spacing w:after="120"/>
              <w:jc w:val="left"/>
              <w:rPr>
                <w:caps/>
                <w:szCs w:val="24"/>
              </w:rPr>
            </w:pPr>
            <w:r>
              <w:rPr>
                <w:caps/>
                <w:szCs w:val="24"/>
              </w:rPr>
              <w:t>DATE OF ORDER:</w:t>
            </w:r>
          </w:p>
        </w:tc>
        <w:tc>
          <w:tcPr>
            <w:tcW w:w="6866" w:type="dxa"/>
          </w:tcPr>
          <w:p w14:paraId="0F89FCED" w14:textId="3AA34199" w:rsidR="00395B24" w:rsidRDefault="002E586E">
            <w:pPr>
              <w:pStyle w:val="NormalHeadings"/>
              <w:jc w:val="left"/>
              <w:rPr>
                <w:caps/>
                <w:szCs w:val="24"/>
              </w:rPr>
            </w:pPr>
            <w:bookmarkStart w:id="16" w:name="Judgment_Dated"/>
            <w:bookmarkEnd w:id="16"/>
            <w:r>
              <w:rPr>
                <w:caps/>
                <w:szCs w:val="24"/>
              </w:rPr>
              <w:t>27 August 2019</w:t>
            </w:r>
          </w:p>
        </w:tc>
      </w:tr>
    </w:tbl>
    <w:p w14:paraId="38EEDEB0" w14:textId="77777777" w:rsidR="00395B24" w:rsidRDefault="00395B24">
      <w:pPr>
        <w:pStyle w:val="NormalHeadings"/>
        <w:rPr>
          <w:b w:val="0"/>
        </w:rPr>
      </w:pPr>
    </w:p>
    <w:p w14:paraId="3EE1E4A6" w14:textId="77777777" w:rsidR="008D1617" w:rsidRDefault="008D1617">
      <w:pPr>
        <w:pStyle w:val="NormalHeadings"/>
        <w:rPr>
          <w:b w:val="0"/>
        </w:rPr>
      </w:pPr>
    </w:p>
    <w:p w14:paraId="7B0D7E8E" w14:textId="77777777" w:rsidR="00395B24" w:rsidRDefault="002C7385">
      <w:pPr>
        <w:pStyle w:val="NormalHeadings"/>
      </w:pPr>
      <w:r>
        <w:t>THE COURT ORDERS THAT:</w:t>
      </w:r>
    </w:p>
    <w:p w14:paraId="4FBD0E03" w14:textId="77777777" w:rsidR="00395B24" w:rsidRDefault="00395B24">
      <w:pPr>
        <w:pStyle w:val="NormalHeadings"/>
      </w:pPr>
    </w:p>
    <w:p w14:paraId="1D910C2A" w14:textId="4E51B3D4" w:rsidR="00CD2E0D" w:rsidRDefault="00CD2E0D" w:rsidP="005D1863">
      <w:pPr>
        <w:pStyle w:val="Order1"/>
      </w:pPr>
      <w:bookmarkStart w:id="17" w:name="Order_Start_Text"/>
      <w:bookmarkEnd w:id="17"/>
      <w:r>
        <w:t>Pursuant to r</w:t>
      </w:r>
      <w:r w:rsidR="005D1863" w:rsidRPr="005D1863">
        <w:t xml:space="preserve"> 7.23 of the </w:t>
      </w:r>
      <w:r w:rsidR="005D1863" w:rsidRPr="002E586E">
        <w:rPr>
          <w:i/>
        </w:rPr>
        <w:t>Federal Court Rules 2011</w:t>
      </w:r>
      <w:r w:rsidR="005D1863" w:rsidRPr="005D1863">
        <w:t xml:space="preserve"> (</w:t>
      </w:r>
      <w:proofErr w:type="spellStart"/>
      <w:r w:rsidR="005D1863" w:rsidRPr="005D1863">
        <w:t>Cth</w:t>
      </w:r>
      <w:proofErr w:type="spellEnd"/>
      <w:r w:rsidR="005D1863" w:rsidRPr="005D1863">
        <w:t xml:space="preserve">), </w:t>
      </w:r>
      <w:r w:rsidR="005D1863">
        <w:t xml:space="preserve">the first </w:t>
      </w:r>
      <w:r>
        <w:t xml:space="preserve">prospective </w:t>
      </w:r>
      <w:r w:rsidR="005D1863">
        <w:t>respondent</w:t>
      </w:r>
      <w:r w:rsidR="001F130F">
        <w:t xml:space="preserve"> (</w:t>
      </w:r>
      <w:r w:rsidR="001F130F">
        <w:rPr>
          <w:b/>
        </w:rPr>
        <w:t>Infosys</w:t>
      </w:r>
      <w:r w:rsidR="001F130F">
        <w:t>)</w:t>
      </w:r>
      <w:r w:rsidR="005D1863">
        <w:t xml:space="preserve"> </w:t>
      </w:r>
      <w:r>
        <w:t>produce to the prospective applicant</w:t>
      </w:r>
      <w:r w:rsidR="001F130F">
        <w:t xml:space="preserve"> (</w:t>
      </w:r>
      <w:proofErr w:type="spellStart"/>
      <w:r w:rsidR="001F130F">
        <w:rPr>
          <w:b/>
        </w:rPr>
        <w:t>Qudos</w:t>
      </w:r>
      <w:proofErr w:type="spellEnd"/>
      <w:r w:rsidR="001F130F">
        <w:t>)</w:t>
      </w:r>
      <w:r>
        <w:t>:</w:t>
      </w:r>
    </w:p>
    <w:p w14:paraId="1B157256" w14:textId="07C1E8A9" w:rsidR="005D1863" w:rsidRDefault="005D1863" w:rsidP="002E586E">
      <w:pPr>
        <w:pStyle w:val="Order2"/>
      </w:pPr>
      <w:r w:rsidRPr="005D1863">
        <w:t>b</w:t>
      </w:r>
      <w:r w:rsidR="00CD2E0D">
        <w:t xml:space="preserve">y </w:t>
      </w:r>
      <w:r w:rsidR="00801ED9">
        <w:t>3 September</w:t>
      </w:r>
      <w:r w:rsidR="002E586E">
        <w:t xml:space="preserve"> 2019</w:t>
      </w:r>
      <w:r w:rsidR="00CD2E0D">
        <w:t>, a copy of:</w:t>
      </w:r>
    </w:p>
    <w:p w14:paraId="5516E642" w14:textId="373892A3" w:rsidR="00CD2E0D" w:rsidRDefault="00CD2E0D" w:rsidP="00CD2E0D">
      <w:pPr>
        <w:pStyle w:val="Order3"/>
      </w:pPr>
      <w:r>
        <w:t xml:space="preserve">the source code of the user acceptance testing website (the </w:t>
      </w:r>
      <w:proofErr w:type="spellStart"/>
      <w:r w:rsidRPr="001F130F">
        <w:t>Qudos</w:t>
      </w:r>
      <w:proofErr w:type="spellEnd"/>
      <w:r w:rsidRPr="001F130F">
        <w:t xml:space="preserve"> UAT site</w:t>
      </w:r>
      <w:r>
        <w:t xml:space="preserve">) hosted by Infosys on the </w:t>
      </w:r>
      <w:proofErr w:type="spellStart"/>
      <w:r>
        <w:t>NextDC</w:t>
      </w:r>
      <w:proofErr w:type="spellEnd"/>
      <w:r>
        <w:t xml:space="preserve"> data centre (or any equivalent data centre) which contained a copy of the  online and mobile banking platform developed by Infosys for </w:t>
      </w:r>
      <w:proofErr w:type="spellStart"/>
      <w:r>
        <w:t>Qudos</w:t>
      </w:r>
      <w:proofErr w:type="spellEnd"/>
      <w:r>
        <w:t xml:space="preserve"> pursuant to the Master Banking Services Agreement dated 25 March 2015, as at 19 February 2018;  </w:t>
      </w:r>
    </w:p>
    <w:p w14:paraId="6A8C5448" w14:textId="1DFB7846" w:rsidR="00CD2E0D" w:rsidRDefault="00CD2E0D" w:rsidP="00CD2E0D">
      <w:pPr>
        <w:pStyle w:val="Order3"/>
      </w:pPr>
      <w:r>
        <w:t>the source code of the user experience and user interface of the mobile and online banking solution that Infosys developed for Australian Military Bank Limited (the AMB UX code) as at 19 February 2018, including the revision history thereof up to that date; and</w:t>
      </w:r>
    </w:p>
    <w:p w14:paraId="0A4A9B0E" w14:textId="69E40D5A" w:rsidR="00CD2E0D" w:rsidRDefault="00CD2E0D" w:rsidP="002E586E">
      <w:pPr>
        <w:pStyle w:val="Order2"/>
      </w:pPr>
      <w:r>
        <w:t xml:space="preserve">by </w:t>
      </w:r>
      <w:r w:rsidR="002E586E">
        <w:t xml:space="preserve">17 </w:t>
      </w:r>
      <w:r w:rsidR="00801ED9">
        <w:t>September</w:t>
      </w:r>
      <w:r w:rsidR="002E586E">
        <w:t xml:space="preserve"> 2019</w:t>
      </w:r>
      <w:r>
        <w:t>:</w:t>
      </w:r>
    </w:p>
    <w:p w14:paraId="4E6C244E" w14:textId="223FDE83" w:rsidR="0059387A" w:rsidRDefault="001F130F" w:rsidP="002E586E">
      <w:pPr>
        <w:pStyle w:val="Order3"/>
      </w:pPr>
      <w:r>
        <w:t>d</w:t>
      </w:r>
      <w:r w:rsidR="00CD2E0D" w:rsidRPr="00CD2E0D">
        <w:t>ocuments recording the development and preparation by Infosys of the</w:t>
      </w:r>
      <w:r w:rsidR="0059387A">
        <w:t xml:space="preserve"> source code identified in (1)(a</w:t>
      </w:r>
      <w:r w:rsidR="00CD2E0D" w:rsidRPr="00CD2E0D">
        <w:t>)</w:t>
      </w:r>
      <w:r w:rsidR="0059387A">
        <w:t>(ii)</w:t>
      </w:r>
      <w:r w:rsidR="00CD2E0D" w:rsidRPr="00CD2E0D">
        <w:t xml:space="preserve"> up to 19 February 2018, including </w:t>
      </w:r>
      <w:r w:rsidR="00CD2E0D" w:rsidRPr="00CD2E0D">
        <w:lastRenderedPageBreak/>
        <w:t>minutes of meetings and correspondenc</w:t>
      </w:r>
      <w:r>
        <w:t xml:space="preserve">e between Infosys </w:t>
      </w:r>
      <w:r w:rsidR="00CD2E0D" w:rsidRPr="00CD2E0D">
        <w:t xml:space="preserve">and Australian Military Bank Limited related to its development and preparation.   </w:t>
      </w:r>
    </w:p>
    <w:p w14:paraId="22CF6FD2" w14:textId="58F00ACE" w:rsidR="00DD2F5D" w:rsidRDefault="0059387A" w:rsidP="00DD2F5D">
      <w:pPr>
        <w:pStyle w:val="Order1"/>
      </w:pPr>
      <w:proofErr w:type="spellStart"/>
      <w:r>
        <w:t>Qudos</w:t>
      </w:r>
      <w:proofErr w:type="spellEnd"/>
      <w:r>
        <w:t xml:space="preserve"> </w:t>
      </w:r>
      <w:r w:rsidR="00DD2F5D">
        <w:t xml:space="preserve">pay 20% of </w:t>
      </w:r>
      <w:r w:rsidR="00DB68E2">
        <w:t>Infosys’</w:t>
      </w:r>
      <w:r w:rsidR="00DD2F5D">
        <w:t xml:space="preserve"> costs of the preliminary discovery application</w:t>
      </w:r>
      <w:r>
        <w:t>.</w:t>
      </w:r>
    </w:p>
    <w:p w14:paraId="0B017FE4" w14:textId="2EA3D1B8" w:rsidR="008663F0" w:rsidRDefault="00DD2F5D" w:rsidP="00DB68E2">
      <w:pPr>
        <w:pStyle w:val="Order1"/>
      </w:pPr>
      <w:r>
        <w:t xml:space="preserve">If no proceedings are commenced by </w:t>
      </w:r>
      <w:proofErr w:type="spellStart"/>
      <w:r w:rsidR="00DB68E2">
        <w:t>Qudos</w:t>
      </w:r>
      <w:proofErr w:type="spellEnd"/>
      <w:r w:rsidR="00DB68E2">
        <w:t xml:space="preserve"> </w:t>
      </w:r>
      <w:r w:rsidR="00DB68E2" w:rsidRPr="00DB68E2">
        <w:t>within 60 days of the date of compliance with the orders for preliminary discovery in Order 1 above</w:t>
      </w:r>
      <w:r w:rsidR="00DB68E2">
        <w:t>,</w:t>
      </w:r>
      <w:r>
        <w:t xml:space="preserve"> alleging that by producing computer software in the circumstances outlined in [1] of </w:t>
      </w:r>
      <w:proofErr w:type="spellStart"/>
      <w:r w:rsidRPr="00DD2F5D">
        <w:rPr>
          <w:i/>
        </w:rPr>
        <w:t>Qudos</w:t>
      </w:r>
      <w:proofErr w:type="spellEnd"/>
      <w:r w:rsidRPr="00DD2F5D">
        <w:rPr>
          <w:i/>
        </w:rPr>
        <w:t xml:space="preserve"> Mutual Limited v Infosys Limited</w:t>
      </w:r>
      <w:r>
        <w:rPr>
          <w:i/>
        </w:rPr>
        <w:t xml:space="preserve"> </w:t>
      </w:r>
      <w:r w:rsidRPr="00FC3641">
        <w:t>[2019] FCA 702</w:t>
      </w:r>
      <w:r w:rsidR="00DB68E2">
        <w:t>,</w:t>
      </w:r>
      <w:r>
        <w:t xml:space="preserve"> </w:t>
      </w:r>
      <w:r w:rsidR="00DB68E2">
        <w:t>Infosys</w:t>
      </w:r>
      <w:r>
        <w:t xml:space="preserve"> acted in breach of confidence, infringed copyright or acted in breach of contract</w:t>
      </w:r>
      <w:r w:rsidR="008663F0">
        <w:t>,</w:t>
      </w:r>
      <w:r>
        <w:t xml:space="preserve"> </w:t>
      </w:r>
      <w:proofErr w:type="spellStart"/>
      <w:r w:rsidR="00DB68E2">
        <w:t>Qudos</w:t>
      </w:r>
      <w:proofErr w:type="spellEnd"/>
      <w:r w:rsidR="00DB68E2">
        <w:t xml:space="preserve"> is to</w:t>
      </w:r>
      <w:r w:rsidR="008663F0">
        <w:t xml:space="preserve"> pay </w:t>
      </w:r>
      <w:r w:rsidR="00DB68E2">
        <w:t xml:space="preserve">Infosys’ </w:t>
      </w:r>
      <w:r w:rsidR="00962768">
        <w:t xml:space="preserve">reasonable </w:t>
      </w:r>
      <w:r>
        <w:t xml:space="preserve">costs of compliance with </w:t>
      </w:r>
      <w:r w:rsidR="00DB68E2">
        <w:t>the orders for preliminary discovery in Order 1 above and with the orders made on 20 December 2018</w:t>
      </w:r>
      <w:r w:rsidR="008663F0">
        <w:t>.</w:t>
      </w:r>
    </w:p>
    <w:p w14:paraId="539414EF" w14:textId="5DB13BA3" w:rsidR="00DD2F5D" w:rsidRDefault="008663F0" w:rsidP="00DD2F5D">
      <w:pPr>
        <w:pStyle w:val="Order1"/>
      </w:pPr>
      <w:r>
        <w:t>Otherwise than provided by Order 3 above, the costs of compliance with the orders for preliminary discovery be costs in the cause of th</w:t>
      </w:r>
      <w:r w:rsidR="00DD2F5D">
        <w:t>e proceedings</w:t>
      </w:r>
      <w:r>
        <w:t xml:space="preserve"> identified therein</w:t>
      </w:r>
      <w:r w:rsidR="00DD2F5D">
        <w:t>.</w:t>
      </w:r>
    </w:p>
    <w:p w14:paraId="72F3FD1F" w14:textId="04CC55EE" w:rsidR="008663F0" w:rsidRDefault="00DB68E2" w:rsidP="008663F0">
      <w:pPr>
        <w:pStyle w:val="Order1"/>
      </w:pPr>
      <w:proofErr w:type="spellStart"/>
      <w:r>
        <w:t>Qudos</w:t>
      </w:r>
      <w:proofErr w:type="spellEnd"/>
      <w:r w:rsidR="008663F0">
        <w:t xml:space="preserve"> pay the second </w:t>
      </w:r>
      <w:r w:rsidR="00095437">
        <w:t xml:space="preserve">prospective </w:t>
      </w:r>
      <w:r w:rsidR="008663F0">
        <w:t>respondent’s costs of the preliminary discovery application.</w:t>
      </w:r>
    </w:p>
    <w:p w14:paraId="7AA96E01" w14:textId="516ACE40" w:rsidR="00962768" w:rsidRDefault="00962768" w:rsidP="008663F0">
      <w:pPr>
        <w:pStyle w:val="Order1"/>
      </w:pPr>
      <w:r>
        <w:t>The proceedings otherwise be dismissed.</w:t>
      </w:r>
    </w:p>
    <w:p w14:paraId="2ACD657E" w14:textId="77777777" w:rsidR="00DB68E2" w:rsidRDefault="00DB68E2" w:rsidP="008663F0">
      <w:pPr>
        <w:pStyle w:val="Order1"/>
        <w:numPr>
          <w:ilvl w:val="0"/>
          <w:numId w:val="0"/>
        </w:numPr>
        <w:ind w:left="720"/>
      </w:pPr>
    </w:p>
    <w:p w14:paraId="26495598" w14:textId="77777777" w:rsidR="00395B24" w:rsidRDefault="00395B24" w:rsidP="002B0E91">
      <w:pPr>
        <w:pStyle w:val="BodyText"/>
      </w:pPr>
    </w:p>
    <w:p w14:paraId="66658188" w14:textId="77777777" w:rsidR="00395B24" w:rsidRDefault="002C7385" w:rsidP="004D53E5">
      <w:pPr>
        <w:pStyle w:val="SingleSpace"/>
      </w:pPr>
      <w:r>
        <w:t>Note:</w:t>
      </w:r>
      <w:r>
        <w:tab/>
        <w:t xml:space="preserve">Entry of orders is dealt with in Rule 39.32 of the </w:t>
      </w:r>
      <w:r>
        <w:rPr>
          <w:i/>
        </w:rPr>
        <w:t>Federal Court Rules 2011</w:t>
      </w:r>
      <w:r>
        <w:t>.</w:t>
      </w:r>
    </w:p>
    <w:p w14:paraId="5F272C06" w14:textId="77777777" w:rsidR="00395B24" w:rsidRDefault="00395B24" w:rsidP="002B0E91">
      <w:pPr>
        <w:pStyle w:val="BodyText"/>
      </w:pPr>
    </w:p>
    <w:p w14:paraId="7CD0D86A" w14:textId="77777777" w:rsidR="00395B24" w:rsidRDefault="00395B24" w:rsidP="001F2DBC">
      <w:pPr>
        <w:pStyle w:val="BodyText"/>
      </w:pPr>
    </w:p>
    <w:p w14:paraId="730B4C79" w14:textId="77777777" w:rsidR="0092590B" w:rsidRDefault="0092590B" w:rsidP="002B0E91">
      <w:pPr>
        <w:pStyle w:val="BodyText"/>
      </w:pPr>
    </w:p>
    <w:p w14:paraId="1381A270"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6F416C7D" w14:textId="77777777"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14:paraId="3BEBF464" w14:textId="77777777" w:rsidR="00395B24" w:rsidRPr="00EA03CE" w:rsidRDefault="005A6924" w:rsidP="005E0510">
      <w:pPr>
        <w:pStyle w:val="NormalHeadings"/>
        <w:spacing w:line="360" w:lineRule="auto"/>
        <w:jc w:val="left"/>
        <w:rPr>
          <w:sz w:val="26"/>
          <w:szCs w:val="26"/>
        </w:rPr>
      </w:pPr>
      <w:r>
        <w:rPr>
          <w:sz w:val="26"/>
          <w:szCs w:val="26"/>
        </w:rPr>
        <w:t>BURLEY J</w:t>
      </w:r>
      <w:r w:rsidR="00484F6D" w:rsidRPr="00EA03CE">
        <w:rPr>
          <w:sz w:val="26"/>
          <w:szCs w:val="26"/>
        </w:rPr>
        <w:t>:</w:t>
      </w:r>
    </w:p>
    <w:p w14:paraId="660B7944" w14:textId="542E9267" w:rsidR="0023668E" w:rsidRDefault="0023668E" w:rsidP="0023668E">
      <w:pPr>
        <w:pStyle w:val="ParaNumbering"/>
      </w:pPr>
      <w:r>
        <w:t xml:space="preserve">By originating application dated 5 November 2019, the prospective applicant </w:t>
      </w:r>
      <w:proofErr w:type="spellStart"/>
      <w:r w:rsidRPr="00387313">
        <w:rPr>
          <w:b/>
        </w:rPr>
        <w:t>Qudos</w:t>
      </w:r>
      <w:proofErr w:type="spellEnd"/>
      <w:r>
        <w:t xml:space="preserve"> Mutual L</w:t>
      </w:r>
      <w:r w:rsidR="005A6924">
        <w:t>imited</w:t>
      </w:r>
      <w:r>
        <w:t xml:space="preserve"> sought orders for preliminary discovery under r 7.23 of the </w:t>
      </w:r>
      <w:r>
        <w:rPr>
          <w:i/>
        </w:rPr>
        <w:t xml:space="preserve">Federal Court Rules 2011 </w:t>
      </w:r>
      <w:r>
        <w:t>(</w:t>
      </w:r>
      <w:proofErr w:type="spellStart"/>
      <w:r>
        <w:t>Cth</w:t>
      </w:r>
      <w:proofErr w:type="spellEnd"/>
      <w:r>
        <w:t>) (</w:t>
      </w:r>
      <w:r>
        <w:rPr>
          <w:b/>
        </w:rPr>
        <w:t>FCR</w:t>
      </w:r>
      <w:r>
        <w:t xml:space="preserve">). On 20 December 2018, the Court </w:t>
      </w:r>
      <w:r w:rsidR="00FE5FBD">
        <w:t>made consent orders for</w:t>
      </w:r>
      <w:r>
        <w:t xml:space="preserve"> the production of some of the categories of discovery sought by </w:t>
      </w:r>
      <w:proofErr w:type="spellStart"/>
      <w:r>
        <w:t>Qudos</w:t>
      </w:r>
      <w:proofErr w:type="spellEnd"/>
      <w:r>
        <w:t xml:space="preserve"> in its originating application</w:t>
      </w:r>
      <w:r w:rsidR="0019763D">
        <w:t xml:space="preserve"> (</w:t>
      </w:r>
      <w:r w:rsidR="0019763D" w:rsidRPr="002E586E">
        <w:rPr>
          <w:b/>
        </w:rPr>
        <w:t>20 December 2018 orders</w:t>
      </w:r>
      <w:r w:rsidR="0019763D">
        <w:t>)</w:t>
      </w:r>
      <w:r>
        <w:t xml:space="preserve">. Following production by the first </w:t>
      </w:r>
      <w:r w:rsidR="00AA2BEC">
        <w:t xml:space="preserve">prospective </w:t>
      </w:r>
      <w:r>
        <w:t xml:space="preserve">respondent, </w:t>
      </w:r>
      <w:r w:rsidRPr="00094BC0">
        <w:rPr>
          <w:b/>
        </w:rPr>
        <w:t>Infosys</w:t>
      </w:r>
      <w:r>
        <w:t xml:space="preserve">, </w:t>
      </w:r>
      <w:proofErr w:type="spellStart"/>
      <w:r>
        <w:t>Qudos</w:t>
      </w:r>
      <w:proofErr w:type="spellEnd"/>
      <w:r>
        <w:t xml:space="preserve"> amended its originating application to include additional proposed categories of discovery</w:t>
      </w:r>
      <w:r w:rsidR="00FE5FBD">
        <w:t xml:space="preserve">. Infosys resisted the provision of documents and on </w:t>
      </w:r>
      <w:r>
        <w:t xml:space="preserve">20 May 2019, I delivered </w:t>
      </w:r>
      <w:r w:rsidR="00FE5FBD">
        <w:t>my decision (</w:t>
      </w:r>
      <w:proofErr w:type="spellStart"/>
      <w:r w:rsidR="00FE5FBD" w:rsidRPr="0023668E">
        <w:rPr>
          <w:b/>
          <w:i/>
        </w:rPr>
        <w:t>Qudos</w:t>
      </w:r>
      <w:proofErr w:type="spellEnd"/>
      <w:r w:rsidR="00FE5FBD" w:rsidRPr="0023668E">
        <w:rPr>
          <w:b/>
          <w:i/>
        </w:rPr>
        <w:t xml:space="preserve"> Mutual</w:t>
      </w:r>
      <w:r w:rsidR="00FE5FBD">
        <w:rPr>
          <w:i/>
        </w:rPr>
        <w:t xml:space="preserve"> Limited v Infosys Limited </w:t>
      </w:r>
      <w:r w:rsidR="00FE5FBD" w:rsidRPr="00FC3641">
        <w:t>[2019] FCA 702</w:t>
      </w:r>
      <w:r w:rsidR="00FE5FBD">
        <w:t>)</w:t>
      </w:r>
      <w:r w:rsidR="00AA2BEC">
        <w:t>,</w:t>
      </w:r>
      <w:r w:rsidR="00FE5FBD">
        <w:t xml:space="preserve"> </w:t>
      </w:r>
      <w:r>
        <w:t xml:space="preserve">determining that </w:t>
      </w:r>
      <w:proofErr w:type="spellStart"/>
      <w:r>
        <w:t>Qudos</w:t>
      </w:r>
      <w:proofErr w:type="spellEnd"/>
      <w:r>
        <w:t xml:space="preserve"> is entitled to orders for the production of </w:t>
      </w:r>
      <w:r w:rsidR="00FE5FBD">
        <w:t xml:space="preserve">a limited class of the </w:t>
      </w:r>
      <w:r>
        <w:t>documents</w:t>
      </w:r>
      <w:r w:rsidR="00FE5FBD">
        <w:t xml:space="preserve"> that it sought, corresponding to the</w:t>
      </w:r>
      <w:r>
        <w:t xml:space="preserve"> categories set out in [5] </w:t>
      </w:r>
      <w:r w:rsidR="00FE5FBD">
        <w:t xml:space="preserve">of </w:t>
      </w:r>
      <w:proofErr w:type="spellStart"/>
      <w:r w:rsidR="00FE5FBD">
        <w:rPr>
          <w:i/>
        </w:rPr>
        <w:t>Qudos</w:t>
      </w:r>
      <w:proofErr w:type="spellEnd"/>
      <w:r w:rsidR="00FE5FBD">
        <w:rPr>
          <w:i/>
        </w:rPr>
        <w:t xml:space="preserve"> Mutual </w:t>
      </w:r>
      <w:r w:rsidR="00FE5FBD">
        <w:t>(</w:t>
      </w:r>
      <w:r w:rsidR="00FE5FBD">
        <w:rPr>
          <w:b/>
        </w:rPr>
        <w:t>20 May 2019 categories</w:t>
      </w:r>
      <w:r w:rsidR="00FE5FBD">
        <w:t>)</w:t>
      </w:r>
      <w:r>
        <w:t xml:space="preserve">. Prior to making final orders, I allowed the parties an opportunity to file written submissions on the questions of costs as well as the time required for compliance with the form of order set out at [5] in </w:t>
      </w:r>
      <w:proofErr w:type="spellStart"/>
      <w:r w:rsidR="00AA2BEC">
        <w:rPr>
          <w:i/>
        </w:rPr>
        <w:t>Qudos</w:t>
      </w:r>
      <w:proofErr w:type="spellEnd"/>
      <w:r w:rsidR="00AA2BEC">
        <w:rPr>
          <w:i/>
        </w:rPr>
        <w:t xml:space="preserve"> Mutual</w:t>
      </w:r>
      <w:r>
        <w:t xml:space="preserve">, which the parties have now done. In these reasons I adopt the abbreviations used in </w:t>
      </w:r>
      <w:proofErr w:type="spellStart"/>
      <w:r w:rsidR="00AA2BEC">
        <w:rPr>
          <w:i/>
        </w:rPr>
        <w:t>Qudos</w:t>
      </w:r>
      <w:proofErr w:type="spellEnd"/>
      <w:r w:rsidR="00AA2BEC">
        <w:rPr>
          <w:i/>
        </w:rPr>
        <w:t xml:space="preserve"> Mutual</w:t>
      </w:r>
      <w:r>
        <w:t>.</w:t>
      </w:r>
    </w:p>
    <w:p w14:paraId="613816D8" w14:textId="77777777" w:rsidR="00E64F95" w:rsidRDefault="0023668E" w:rsidP="00895581">
      <w:pPr>
        <w:pStyle w:val="ParaNumbering"/>
      </w:pPr>
      <w:r>
        <w:t xml:space="preserve">The parties have now agreed </w:t>
      </w:r>
      <w:r w:rsidR="00E64F95">
        <w:t xml:space="preserve">on </w:t>
      </w:r>
      <w:r>
        <w:t xml:space="preserve">a time for compliance with the form of order that was made in </w:t>
      </w:r>
      <w:proofErr w:type="spellStart"/>
      <w:r>
        <w:rPr>
          <w:i/>
        </w:rPr>
        <w:t>Qudos</w:t>
      </w:r>
      <w:proofErr w:type="spellEnd"/>
      <w:r>
        <w:rPr>
          <w:i/>
        </w:rPr>
        <w:t xml:space="preserve"> Mutual </w:t>
      </w:r>
      <w:r>
        <w:t xml:space="preserve">at [5]. However, they disagree as to the appropriate orders to be made regarding costs.  </w:t>
      </w:r>
    </w:p>
    <w:p w14:paraId="3FD140F3" w14:textId="07D6E36C" w:rsidR="00484F6D" w:rsidRDefault="0023668E" w:rsidP="00895581">
      <w:pPr>
        <w:pStyle w:val="ParaNumbering"/>
      </w:pPr>
      <w:proofErr w:type="spellStart"/>
      <w:r>
        <w:t>Qudos</w:t>
      </w:r>
      <w:proofErr w:type="spellEnd"/>
      <w:r>
        <w:t xml:space="preserve"> submits that there should be no order as to costs, save that its costs of </w:t>
      </w:r>
      <w:r w:rsidR="007E3B26">
        <w:t xml:space="preserve">and incidental to </w:t>
      </w:r>
      <w:r>
        <w:t>the application</w:t>
      </w:r>
      <w:r w:rsidR="007E3B26">
        <w:t>,</w:t>
      </w:r>
      <w:r>
        <w:t xml:space="preserve"> and Infosys’ </w:t>
      </w:r>
      <w:r w:rsidR="00FE5FBD">
        <w:t>reasonable expenses</w:t>
      </w:r>
      <w:r>
        <w:t xml:space="preserve"> of compliance</w:t>
      </w:r>
      <w:r w:rsidR="007E3B26">
        <w:t>,</w:t>
      </w:r>
      <w:r>
        <w:t xml:space="preserve"> should be the costs in any proceeding commenced by </w:t>
      </w:r>
      <w:proofErr w:type="spellStart"/>
      <w:r>
        <w:t>Qudos</w:t>
      </w:r>
      <w:proofErr w:type="spellEnd"/>
      <w:r>
        <w:t xml:space="preserve"> against Infosys, provided that th</w:t>
      </w:r>
      <w:r w:rsidR="007E3B26">
        <w:t>e</w:t>
      </w:r>
      <w:r>
        <w:t xml:space="preserve"> proceeding plead some or all of the facts or matters relied upon in the application for preliminary discovery</w:t>
      </w:r>
      <w:r w:rsidR="007E3B26">
        <w:t xml:space="preserve"> of documents within the 20 May 2019 categories,</w:t>
      </w:r>
      <w:r>
        <w:t xml:space="preserve"> and provided that, subject to further order, the proceeding is commenced within 60 days of the date of compliance with the orders for preliminary discovery. </w:t>
      </w:r>
      <w:r w:rsidR="00C833A0">
        <w:t xml:space="preserve">Alternatively, it submits that if no such proceedings are commenced, </w:t>
      </w:r>
      <w:proofErr w:type="spellStart"/>
      <w:r w:rsidR="00C833A0">
        <w:t>Qudos</w:t>
      </w:r>
      <w:proofErr w:type="spellEnd"/>
      <w:r w:rsidR="00C833A0">
        <w:t xml:space="preserve"> should pay Infosys’ costs of compliance with the 20 May 2019 categories. </w:t>
      </w:r>
    </w:p>
    <w:p w14:paraId="59B57401" w14:textId="757AF30E" w:rsidR="0023668E" w:rsidRDefault="0023668E" w:rsidP="00895581">
      <w:pPr>
        <w:pStyle w:val="ParaNumbering"/>
      </w:pPr>
      <w:r>
        <w:t>Infosys con</w:t>
      </w:r>
      <w:r w:rsidR="00E64F95">
        <w:t xml:space="preserve">tends that </w:t>
      </w:r>
      <w:proofErr w:type="spellStart"/>
      <w:r w:rsidR="00E64F95">
        <w:t>Qudos</w:t>
      </w:r>
      <w:proofErr w:type="spellEnd"/>
      <w:r w:rsidR="00E64F95">
        <w:t xml:space="preserve"> should pay 75% </w:t>
      </w:r>
      <w:r w:rsidR="00C833A0">
        <w:t xml:space="preserve">or alternatively 50% </w:t>
      </w:r>
      <w:r>
        <w:t xml:space="preserve">of </w:t>
      </w:r>
      <w:r w:rsidR="007E3B26">
        <w:t>Infosys’</w:t>
      </w:r>
      <w:r>
        <w:t xml:space="preserve"> costs of the application and all of its costs of compliance</w:t>
      </w:r>
      <w:r w:rsidR="00E64F95">
        <w:t>,</w:t>
      </w:r>
      <w:r>
        <w:t xml:space="preserve"> and that </w:t>
      </w:r>
      <w:proofErr w:type="spellStart"/>
      <w:r>
        <w:t>Qudos</w:t>
      </w:r>
      <w:proofErr w:type="spellEnd"/>
      <w:r>
        <w:t xml:space="preserve"> should pay all of the second </w:t>
      </w:r>
      <w:r w:rsidR="00095437">
        <w:t xml:space="preserve">prospective </w:t>
      </w:r>
      <w:r>
        <w:t>respondent’s costs, against wh</w:t>
      </w:r>
      <w:r w:rsidR="00473403">
        <w:t>om</w:t>
      </w:r>
      <w:r>
        <w:t xml:space="preserve"> the application was </w:t>
      </w:r>
      <w:r w:rsidR="006D0F0D">
        <w:t>unsuccessful</w:t>
      </w:r>
      <w:r>
        <w:t xml:space="preserve">. </w:t>
      </w:r>
    </w:p>
    <w:p w14:paraId="21304061" w14:textId="77777777" w:rsidR="0023668E" w:rsidRDefault="0023668E" w:rsidP="00895581">
      <w:pPr>
        <w:pStyle w:val="ParaNumbering"/>
      </w:pPr>
      <w:r>
        <w:lastRenderedPageBreak/>
        <w:t xml:space="preserve">The principles relevant to the award of costs in relation to preliminary discovery are summarised in </w:t>
      </w:r>
      <w:r>
        <w:rPr>
          <w:i/>
        </w:rPr>
        <w:t xml:space="preserve">Pfizer Ireland Pharmaceuticals v Samsung </w:t>
      </w:r>
      <w:proofErr w:type="spellStart"/>
      <w:r>
        <w:rPr>
          <w:i/>
        </w:rPr>
        <w:t>Bioepis</w:t>
      </w:r>
      <w:proofErr w:type="spellEnd"/>
      <w:r>
        <w:rPr>
          <w:i/>
        </w:rPr>
        <w:t xml:space="preserve"> AU Pty Ltd (No 2) </w:t>
      </w:r>
      <w:r>
        <w:t>[2019] FCA 657</w:t>
      </w:r>
      <w:r w:rsidR="007F1FB0">
        <w:t xml:space="preserve"> (Burley J)</w:t>
      </w:r>
      <w:r w:rsidR="00D57A15">
        <w:t xml:space="preserve"> (</w:t>
      </w:r>
      <w:r w:rsidR="00D57A15" w:rsidRPr="00D57A15">
        <w:rPr>
          <w:b/>
          <w:i/>
        </w:rPr>
        <w:t>Pfizer No 2</w:t>
      </w:r>
      <w:r w:rsidR="00D57A15">
        <w:t>)</w:t>
      </w:r>
      <w:r>
        <w:t xml:space="preserve"> at [25], and in the cases referred to there. Ultimately, the award of costs involves the exercise of the discretion conferred by s 43(2) of the </w:t>
      </w:r>
      <w:r>
        <w:rPr>
          <w:i/>
        </w:rPr>
        <w:t xml:space="preserve">Federal Court of Australia Act </w:t>
      </w:r>
      <w:r>
        <w:t>1976 (</w:t>
      </w:r>
      <w:proofErr w:type="spellStart"/>
      <w:r>
        <w:t>Cth</w:t>
      </w:r>
      <w:proofErr w:type="spellEnd"/>
      <w:r>
        <w:t>), having regard to the circumstances of the case.</w:t>
      </w:r>
    </w:p>
    <w:p w14:paraId="53227FEF" w14:textId="77777777" w:rsidR="0023668E" w:rsidRDefault="0023668E" w:rsidP="00895581">
      <w:pPr>
        <w:pStyle w:val="ParaNumbering"/>
      </w:pPr>
      <w:r>
        <w:t>In the present case</w:t>
      </w:r>
      <w:r w:rsidR="007F1FB0">
        <w:t>,</w:t>
      </w:r>
      <w:r w:rsidR="00804B90">
        <w:t xml:space="preserve"> the following matters are salient to the consideration of the award of costs:</w:t>
      </w:r>
    </w:p>
    <w:p w14:paraId="6D92E497" w14:textId="77777777" w:rsidR="00804B90" w:rsidRDefault="00804B90" w:rsidP="00962768">
      <w:pPr>
        <w:pStyle w:val="ListNo1"/>
      </w:pPr>
      <w:r>
        <w:t xml:space="preserve">After the proceedings were commenced in November 2018, Infosys voluntarily supplied documents to address </w:t>
      </w:r>
      <w:r w:rsidR="0082613C">
        <w:t xml:space="preserve">some of </w:t>
      </w:r>
      <w:r>
        <w:t xml:space="preserve">the matters raised in the affidavits in support; </w:t>
      </w:r>
      <w:proofErr w:type="spellStart"/>
      <w:r>
        <w:rPr>
          <w:i/>
        </w:rPr>
        <w:t>Qudos</w:t>
      </w:r>
      <w:proofErr w:type="spellEnd"/>
      <w:r>
        <w:rPr>
          <w:i/>
        </w:rPr>
        <w:t xml:space="preserve"> Mutual </w:t>
      </w:r>
      <w:r>
        <w:t>at [23];</w:t>
      </w:r>
    </w:p>
    <w:p w14:paraId="37585CDB" w14:textId="42A8517D" w:rsidR="00804B90" w:rsidRDefault="00804B90" w:rsidP="002E586E">
      <w:pPr>
        <w:pStyle w:val="ListNo1"/>
      </w:pPr>
      <w:r>
        <w:t>The documents produced included a copy of the</w:t>
      </w:r>
      <w:r w:rsidR="009F0A3A">
        <w:t xml:space="preserve"> </w:t>
      </w:r>
      <w:r w:rsidR="005A6C0F">
        <w:t xml:space="preserve">then </w:t>
      </w:r>
      <w:r w:rsidR="009F0A3A">
        <w:t>current</w:t>
      </w:r>
      <w:r w:rsidR="005A6C0F">
        <w:t xml:space="preserve"> </w:t>
      </w:r>
      <w:r w:rsidR="009F0A3A">
        <w:t>version of the</w:t>
      </w:r>
      <w:r>
        <w:t xml:space="preserve"> source code underlying the AMB UX;</w:t>
      </w:r>
    </w:p>
    <w:p w14:paraId="53EF1BE4" w14:textId="2B9725F9" w:rsidR="00804B90" w:rsidRDefault="00804B90" w:rsidP="002E586E">
      <w:pPr>
        <w:pStyle w:val="ListNo1"/>
      </w:pPr>
      <w:r>
        <w:t xml:space="preserve">After reviewing those documents, </w:t>
      </w:r>
      <w:proofErr w:type="spellStart"/>
      <w:r>
        <w:t>Qudos</w:t>
      </w:r>
      <w:proofErr w:type="spellEnd"/>
      <w:r>
        <w:t xml:space="preserve"> formed the view, supported by the expert evidence of Mr </w:t>
      </w:r>
      <w:r w:rsidR="005A6C0F">
        <w:t xml:space="preserve">Rodney </w:t>
      </w:r>
      <w:proofErr w:type="spellStart"/>
      <w:r>
        <w:t>McKemmish</w:t>
      </w:r>
      <w:proofErr w:type="spellEnd"/>
      <w:r>
        <w:t>, that it required further documents for inspection and in particular that it required the Febr</w:t>
      </w:r>
      <w:r w:rsidR="009F0A3A">
        <w:t xml:space="preserve">uary 2018 source code of the </w:t>
      </w:r>
      <w:r w:rsidR="00084CCE">
        <w:t xml:space="preserve">AMB </w:t>
      </w:r>
      <w:r w:rsidR="009F0A3A">
        <w:t>UX</w:t>
      </w:r>
      <w:r>
        <w:t xml:space="preserve">; </w:t>
      </w:r>
      <w:proofErr w:type="spellStart"/>
      <w:r>
        <w:rPr>
          <w:i/>
        </w:rPr>
        <w:t>Qudos</w:t>
      </w:r>
      <w:proofErr w:type="spellEnd"/>
      <w:r>
        <w:rPr>
          <w:i/>
        </w:rPr>
        <w:t xml:space="preserve"> Mutual </w:t>
      </w:r>
      <w:r>
        <w:t>at [30]</w:t>
      </w:r>
      <w:r w:rsidR="00D57A15">
        <w:t>;</w:t>
      </w:r>
    </w:p>
    <w:p w14:paraId="170DEDF8" w14:textId="2342D6A4" w:rsidR="00D57A15" w:rsidRDefault="00962768" w:rsidP="002E586E">
      <w:pPr>
        <w:pStyle w:val="ListNo1"/>
      </w:pPr>
      <w:proofErr w:type="spellStart"/>
      <w:r>
        <w:t>Qudos</w:t>
      </w:r>
      <w:proofErr w:type="spellEnd"/>
      <w:r>
        <w:t xml:space="preserve"> also pressed for production of the balance of the documents sought in its originating application. </w:t>
      </w:r>
      <w:r w:rsidR="00D57A15">
        <w:t xml:space="preserve">The types of documents sought were </w:t>
      </w:r>
      <w:r>
        <w:t xml:space="preserve">found to be </w:t>
      </w:r>
      <w:r w:rsidR="00D57A15">
        <w:t xml:space="preserve">extremely broad and the form of the list was prolix and oppressive; </w:t>
      </w:r>
      <w:proofErr w:type="spellStart"/>
      <w:r w:rsidR="00D57A15">
        <w:rPr>
          <w:i/>
        </w:rPr>
        <w:t>Qudos</w:t>
      </w:r>
      <w:proofErr w:type="spellEnd"/>
      <w:r w:rsidR="00D57A15">
        <w:rPr>
          <w:i/>
        </w:rPr>
        <w:t xml:space="preserve"> Mutual </w:t>
      </w:r>
      <w:r w:rsidR="00D57A15">
        <w:t xml:space="preserve">at [53]; </w:t>
      </w:r>
    </w:p>
    <w:p w14:paraId="0C6F0B67" w14:textId="0526F918" w:rsidR="00804B90" w:rsidRDefault="00804B90" w:rsidP="002E586E">
      <w:pPr>
        <w:pStyle w:val="ListNo1"/>
      </w:pPr>
      <w:r>
        <w:t xml:space="preserve">Infosys contended that the documents </w:t>
      </w:r>
      <w:r w:rsidR="00350E6C">
        <w:t xml:space="preserve">voluntarily </w:t>
      </w:r>
      <w:r>
        <w:t xml:space="preserve">provided were sufficient to enable </w:t>
      </w:r>
      <w:proofErr w:type="spellStart"/>
      <w:r>
        <w:t>Qudos</w:t>
      </w:r>
      <w:proofErr w:type="spellEnd"/>
      <w:r>
        <w:t xml:space="preserve"> to form a decision as to whether or not to commence proceedings. It filed the evidence of Mr </w:t>
      </w:r>
      <w:r w:rsidR="00350E6C">
        <w:t xml:space="preserve">Darren </w:t>
      </w:r>
      <w:r>
        <w:t>Michael to contest</w:t>
      </w:r>
      <w:r w:rsidR="00D57A15">
        <w:t xml:space="preserve"> the view</w:t>
      </w:r>
      <w:r w:rsidR="00350E6C">
        <w:t>s</w:t>
      </w:r>
      <w:r w:rsidR="00D57A15">
        <w:t xml:space="preserve"> held by Mr </w:t>
      </w:r>
      <w:proofErr w:type="spellStart"/>
      <w:r w:rsidR="00D57A15">
        <w:t>McKemmish</w:t>
      </w:r>
      <w:proofErr w:type="spellEnd"/>
      <w:r w:rsidR="00D57A15">
        <w:t xml:space="preserve">. It also objected to the form of the orders sought; </w:t>
      </w:r>
    </w:p>
    <w:p w14:paraId="1B152CC3" w14:textId="77777777" w:rsidR="00D57A15" w:rsidRDefault="00804B90" w:rsidP="002E586E">
      <w:pPr>
        <w:pStyle w:val="ListNo1"/>
      </w:pPr>
      <w:r>
        <w:t>The liability of Infosys to provide further documents was resolved i</w:t>
      </w:r>
      <w:r w:rsidR="00C833A0">
        <w:t xml:space="preserve">n favour of </w:t>
      </w:r>
      <w:proofErr w:type="spellStart"/>
      <w:r w:rsidR="00C833A0">
        <w:t>Qudos</w:t>
      </w:r>
      <w:proofErr w:type="spellEnd"/>
      <w:r w:rsidR="00C833A0">
        <w:t xml:space="preserve">, although the categories of documents sought were </w:t>
      </w:r>
      <w:r w:rsidR="00D57A15">
        <w:t xml:space="preserve">put into the simplified </w:t>
      </w:r>
      <w:r w:rsidR="004A0D62">
        <w:t xml:space="preserve">and narrower </w:t>
      </w:r>
      <w:r w:rsidR="00D57A15">
        <w:t xml:space="preserve">form </w:t>
      </w:r>
      <w:r w:rsidR="00DD2F5D">
        <w:t>of the 20 May 2019 categories</w:t>
      </w:r>
      <w:r w:rsidR="004A0D62">
        <w:t>;</w:t>
      </w:r>
    </w:p>
    <w:p w14:paraId="1662ED1D" w14:textId="77777777" w:rsidR="004A0D62" w:rsidRDefault="004A0D62" w:rsidP="002E586E">
      <w:pPr>
        <w:pStyle w:val="ListNo1"/>
      </w:pPr>
      <w:proofErr w:type="spellStart"/>
      <w:r>
        <w:t>Qudos</w:t>
      </w:r>
      <w:proofErr w:type="spellEnd"/>
      <w:r>
        <w:t xml:space="preserve"> was unable to justify the joinder of </w:t>
      </w:r>
      <w:r w:rsidRPr="002E586E">
        <w:rPr>
          <w:b/>
        </w:rPr>
        <w:t>Infosys Technologies</w:t>
      </w:r>
      <w:r w:rsidR="006D0F0D">
        <w:t xml:space="preserve"> Australia Pty Ltd</w:t>
      </w:r>
      <w:r>
        <w:t xml:space="preserve"> as the second </w:t>
      </w:r>
      <w:r w:rsidR="006D0F0D">
        <w:t xml:space="preserve">prospective </w:t>
      </w:r>
      <w:r>
        <w:t>respondent.</w:t>
      </w:r>
    </w:p>
    <w:p w14:paraId="6C2F34D2" w14:textId="484CD92D" w:rsidR="00994CAA" w:rsidRDefault="00D57A15" w:rsidP="00895F1B">
      <w:pPr>
        <w:pStyle w:val="ParaNumbering"/>
      </w:pPr>
      <w:r>
        <w:t xml:space="preserve">Having regard to the whole of the decision in </w:t>
      </w:r>
      <w:proofErr w:type="spellStart"/>
      <w:r w:rsidRPr="00994CAA">
        <w:rPr>
          <w:i/>
        </w:rPr>
        <w:t>Qudos</w:t>
      </w:r>
      <w:proofErr w:type="spellEnd"/>
      <w:r w:rsidRPr="00994CAA">
        <w:rPr>
          <w:i/>
        </w:rPr>
        <w:t xml:space="preserve"> Mutual</w:t>
      </w:r>
      <w:r>
        <w:t xml:space="preserve">, it is apparent that each party had a measure of success in the application. Infosys succeeded in challenging the form of the orders sought, but failed in its arguments that no additional discovery should be given at all. </w:t>
      </w:r>
      <w:r w:rsidR="00EC5B87">
        <w:t>I</w:t>
      </w:r>
      <w:r>
        <w:t xml:space="preserve">n the </w:t>
      </w:r>
      <w:r>
        <w:lastRenderedPageBreak/>
        <w:t xml:space="preserve">result, </w:t>
      </w:r>
      <w:proofErr w:type="spellStart"/>
      <w:r>
        <w:t>Qudos</w:t>
      </w:r>
      <w:proofErr w:type="spellEnd"/>
      <w:r>
        <w:t xml:space="preserve"> succeeded in its application. </w:t>
      </w:r>
      <w:r w:rsidR="004A0D62">
        <w:t>Infosys took the position that it fundamentally opposed orders for the supply of documents, which</w:t>
      </w:r>
      <w:r w:rsidR="00EC5B87">
        <w:t xml:space="preserve"> was a</w:t>
      </w:r>
      <w:r w:rsidR="004A0D62">
        <w:t xml:space="preserve"> position found not to be justified. </w:t>
      </w:r>
    </w:p>
    <w:p w14:paraId="6A0A3A79" w14:textId="2556C06A" w:rsidR="00994CAA" w:rsidRDefault="00994CAA" w:rsidP="00994CAA">
      <w:pPr>
        <w:pStyle w:val="ParaNumbering"/>
      </w:pPr>
      <w:proofErr w:type="spellStart"/>
      <w:r>
        <w:t>Qudos</w:t>
      </w:r>
      <w:proofErr w:type="spellEnd"/>
      <w:r>
        <w:t xml:space="preserve"> submits that by putting on the evidence of Mr Michael contesting matters of fact and arguing that no discovery should be required, Infosys entered the fray on a contested basis such that it exposed itself to an order for costs. It submits that in so doing, Infosys is exposed to an order for costs because it took an </w:t>
      </w:r>
      <w:r w:rsidR="00EC5B87">
        <w:t>“</w:t>
      </w:r>
      <w:r>
        <w:t>adversarial</w:t>
      </w:r>
      <w:r w:rsidR="00EC5B87">
        <w:t>”</w:t>
      </w:r>
      <w:r>
        <w:t xml:space="preserve"> approach to the application.  </w:t>
      </w:r>
    </w:p>
    <w:p w14:paraId="25721A3C" w14:textId="5C502071" w:rsidR="00DD2F5D" w:rsidRDefault="00994CAA" w:rsidP="00C833A0">
      <w:pPr>
        <w:pStyle w:val="ParaNumbering"/>
      </w:pPr>
      <w:r>
        <w:t xml:space="preserve">Infosys contends that the oppressive scope of the discovery sought by </w:t>
      </w:r>
      <w:proofErr w:type="spellStart"/>
      <w:r>
        <w:t>Qudos</w:t>
      </w:r>
      <w:proofErr w:type="spellEnd"/>
      <w:r w:rsidR="000224C0">
        <w:t>,</w:t>
      </w:r>
      <w:r>
        <w:t xml:space="preserve"> and the reasonable approach it took by agreeing to initial production in response to the application in December 2018</w:t>
      </w:r>
      <w:r w:rsidR="000224C0">
        <w:t>,</w:t>
      </w:r>
      <w:r>
        <w:t xml:space="preserve"> </w:t>
      </w:r>
      <w:r w:rsidR="00FC00C5">
        <w:t xml:space="preserve">justifies a costs award in its favour. It submits that after Infosys initially gave production, </w:t>
      </w:r>
      <w:proofErr w:type="spellStart"/>
      <w:r w:rsidR="00FC00C5">
        <w:t>Qudos</w:t>
      </w:r>
      <w:proofErr w:type="spellEnd"/>
      <w:r w:rsidR="00FC00C5">
        <w:t xml:space="preserve"> altered its course by insisting on the February 2018 source code and requesting production of the </w:t>
      </w:r>
      <w:proofErr w:type="spellStart"/>
      <w:r w:rsidR="00FC00C5">
        <w:t>Qudos</w:t>
      </w:r>
      <w:proofErr w:type="spellEnd"/>
      <w:r w:rsidR="00FC00C5">
        <w:t xml:space="preserve"> UAT site</w:t>
      </w:r>
      <w:r w:rsidR="000224C0">
        <w:t>, and</w:t>
      </w:r>
      <w:r w:rsidR="00FC00C5">
        <w:t xml:space="preserve"> </w:t>
      </w:r>
      <w:r w:rsidR="000224C0">
        <w:t>n</w:t>
      </w:r>
      <w:r w:rsidR="00FC00C5">
        <w:t xml:space="preserve">o </w:t>
      </w:r>
      <w:r w:rsidR="000224C0">
        <w:t xml:space="preserve">satisfactory </w:t>
      </w:r>
      <w:r w:rsidR="00FC00C5">
        <w:t xml:space="preserve">explanation </w:t>
      </w:r>
      <w:r w:rsidR="000224C0">
        <w:t>has been given</w:t>
      </w:r>
      <w:r w:rsidR="00FC00C5">
        <w:t xml:space="preserve"> by </w:t>
      </w:r>
      <w:proofErr w:type="spellStart"/>
      <w:r w:rsidR="00FC00C5">
        <w:t>Qudos</w:t>
      </w:r>
      <w:proofErr w:type="spellEnd"/>
      <w:r w:rsidR="00FC00C5">
        <w:t xml:space="preserve"> as to why it had not sought these earlier. The first time that </w:t>
      </w:r>
      <w:proofErr w:type="spellStart"/>
      <w:r w:rsidR="00FC00C5">
        <w:t>Qudos</w:t>
      </w:r>
      <w:proofErr w:type="spellEnd"/>
      <w:r w:rsidR="00FC00C5">
        <w:t xml:space="preserve"> indicated that it wanted any such documents was in the </w:t>
      </w:r>
      <w:r w:rsidR="00D02A1E">
        <w:t xml:space="preserve">Mr </w:t>
      </w:r>
      <w:proofErr w:type="spellStart"/>
      <w:r w:rsidR="00FC00C5">
        <w:t>McKemmish</w:t>
      </w:r>
      <w:r w:rsidR="00D02A1E">
        <w:t>’s</w:t>
      </w:r>
      <w:proofErr w:type="spellEnd"/>
      <w:r w:rsidR="00D02A1E">
        <w:t xml:space="preserve"> second</w:t>
      </w:r>
      <w:r w:rsidR="00FC00C5">
        <w:t xml:space="preserve"> affidavit, which was filed on 26 February 2019, and </w:t>
      </w:r>
      <w:proofErr w:type="spellStart"/>
      <w:r w:rsidR="00FC00C5">
        <w:t>Qudos</w:t>
      </w:r>
      <w:proofErr w:type="spellEnd"/>
      <w:r w:rsidR="00FC00C5">
        <w:t xml:space="preserve"> did not amend its originating application to reflect a reque</w:t>
      </w:r>
      <w:r w:rsidR="00C833A0">
        <w:t>st for those documents until 11 A</w:t>
      </w:r>
      <w:r w:rsidR="00FC00C5">
        <w:t xml:space="preserve">pril 2019. It submits that to the extent that it took an adversarial approach to the application, this was necessitated by the difficulties caused by the form of orders that </w:t>
      </w:r>
      <w:proofErr w:type="spellStart"/>
      <w:r w:rsidR="00FC00C5">
        <w:t>Qudos</w:t>
      </w:r>
      <w:proofErr w:type="spellEnd"/>
      <w:r w:rsidR="00FC00C5">
        <w:t xml:space="preserve"> sought. </w:t>
      </w:r>
      <w:r w:rsidR="00C833A0">
        <w:t xml:space="preserve"> </w:t>
      </w:r>
    </w:p>
    <w:p w14:paraId="25654751" w14:textId="4EDC2A06" w:rsidR="00994CAA" w:rsidRDefault="00C833A0" w:rsidP="00C833A0">
      <w:pPr>
        <w:pStyle w:val="ParaNumbering"/>
      </w:pPr>
      <w:proofErr w:type="spellStart"/>
      <w:r>
        <w:t>Qudos</w:t>
      </w:r>
      <w:proofErr w:type="spellEnd"/>
      <w:r>
        <w:t xml:space="preserve"> contends that it did not change its position</w:t>
      </w:r>
      <w:r w:rsidR="00480FE6">
        <w:t xml:space="preserve"> in any relevant sense</w:t>
      </w:r>
      <w:r>
        <w:t xml:space="preserve">. To the extent that there was a difficulty arising from a lack of specificity as to </w:t>
      </w:r>
      <w:r w:rsidR="00480FE6">
        <w:t xml:space="preserve">the </w:t>
      </w:r>
      <w:r>
        <w:t>date o</w:t>
      </w:r>
      <w:r w:rsidR="00480FE6">
        <w:t>r</w:t>
      </w:r>
      <w:r>
        <w:t xml:space="preserve"> </w:t>
      </w:r>
      <w:r w:rsidR="00480FE6">
        <w:t xml:space="preserve">the </w:t>
      </w:r>
      <w:r>
        <w:t>versions of the source code</w:t>
      </w:r>
      <w:r w:rsidR="00480FE6">
        <w:t xml:space="preserve"> sought</w:t>
      </w:r>
      <w:r>
        <w:t xml:space="preserve"> in the original orders, that is not a circumstance for which blame can be apportione</w:t>
      </w:r>
      <w:r w:rsidR="00480FE6">
        <w:t>d</w:t>
      </w:r>
      <w:r>
        <w:t xml:space="preserve">. It submits that it is to be inferred that Infosys in effect exploited the ambiguity of the </w:t>
      </w:r>
      <w:r w:rsidR="0019763D">
        <w:t>20 December 2018 orders</w:t>
      </w:r>
      <w:r w:rsidR="00D1243F">
        <w:t xml:space="preserve"> </w:t>
      </w:r>
      <w:r w:rsidR="00620DC6">
        <w:t>in relation to the original production of documents</w:t>
      </w:r>
      <w:r w:rsidR="00D1243F">
        <w:t>,</w:t>
      </w:r>
      <w:r w:rsidR="00620DC6">
        <w:t xml:space="preserve"> </w:t>
      </w:r>
      <w:r>
        <w:t xml:space="preserve">by </w:t>
      </w:r>
      <w:r w:rsidR="00620DC6">
        <w:t xml:space="preserve">producing documents on the narrowest basis </w:t>
      </w:r>
      <w:r>
        <w:t xml:space="preserve">available.  </w:t>
      </w:r>
    </w:p>
    <w:p w14:paraId="396DA7E6" w14:textId="43BC1EE3" w:rsidR="00C833A0" w:rsidRDefault="00C833A0" w:rsidP="00C833A0">
      <w:pPr>
        <w:pStyle w:val="ParaNumbering"/>
      </w:pPr>
      <w:r>
        <w:t>In the ordinary course, costs would not be awarded in favour of a prospective applicant, having regard to the extraordinary nature of the jurisdiction exercised under FCR 7.23, where intrusive discovery orders are made in the absence of substantive proceedings. Where the prospective applicant fails, it will have to pay the costs. Where it succeeds, it is generally appropriate for no order as to costs to be made unless the prospective respondent steps into the fray</w:t>
      </w:r>
      <w:r w:rsidR="00962768">
        <w:t>.</w:t>
      </w:r>
      <w:r>
        <w:t xml:space="preserve"> </w:t>
      </w:r>
    </w:p>
    <w:p w14:paraId="3ECEE23E" w14:textId="145CC66F" w:rsidR="00C833A0" w:rsidRDefault="00C833A0" w:rsidP="00994CAA">
      <w:pPr>
        <w:pStyle w:val="ParaNumbering"/>
      </w:pPr>
      <w:r>
        <w:t>In the present case</w:t>
      </w:r>
      <w:r w:rsidR="00D1243F">
        <w:t>,</w:t>
      </w:r>
      <w:r>
        <w:t xml:space="preserve"> there is merit flowing both ways. I accept that </w:t>
      </w:r>
      <w:proofErr w:type="spellStart"/>
      <w:r>
        <w:t>Qudos</w:t>
      </w:r>
      <w:proofErr w:type="spellEnd"/>
      <w:r>
        <w:t xml:space="preserve"> could, and should</w:t>
      </w:r>
      <w:r w:rsidR="00D1243F">
        <w:t>,</w:t>
      </w:r>
      <w:r>
        <w:t xml:space="preserve"> have been more careful to avoid ambiguity in its orders. The cost of the effort wasted as a result should not fall on the shoulders of Infosys. Similarly, </w:t>
      </w:r>
      <w:proofErr w:type="spellStart"/>
      <w:r>
        <w:t>Qudos</w:t>
      </w:r>
      <w:proofErr w:type="spellEnd"/>
      <w:r w:rsidR="00D1243F">
        <w:t>’</w:t>
      </w:r>
      <w:r>
        <w:t xml:space="preserve"> request</w:t>
      </w:r>
      <w:r w:rsidR="0019763D">
        <w:t>ed</w:t>
      </w:r>
      <w:r>
        <w:t xml:space="preserve"> </w:t>
      </w:r>
      <w:r w:rsidR="00A00E06">
        <w:t>categories of discovery</w:t>
      </w:r>
      <w:r w:rsidR="006975C9">
        <w:t xml:space="preserve"> </w:t>
      </w:r>
      <w:r w:rsidR="006975C9">
        <w:lastRenderedPageBreak/>
        <w:t xml:space="preserve">were </w:t>
      </w:r>
      <w:r>
        <w:t xml:space="preserve">poorly worded, for the reasons set out in </w:t>
      </w:r>
      <w:proofErr w:type="spellStart"/>
      <w:r>
        <w:rPr>
          <w:i/>
        </w:rPr>
        <w:t>Qudos</w:t>
      </w:r>
      <w:proofErr w:type="spellEnd"/>
      <w:r>
        <w:rPr>
          <w:i/>
        </w:rPr>
        <w:t xml:space="preserve"> Mutual </w:t>
      </w:r>
      <w:r>
        <w:t>at [</w:t>
      </w:r>
      <w:r w:rsidR="006975C9">
        <w:t>53</w:t>
      </w:r>
      <w:r>
        <w:t xml:space="preserve">]. On the other hand, rather than opposing the form of the production sought, Infosys elected to step into the fray, and opposed the grant of any further orders, albeit having volunteered production without opposition in the </w:t>
      </w:r>
      <w:r w:rsidR="0019763D">
        <w:t xml:space="preserve">20 </w:t>
      </w:r>
      <w:r>
        <w:t xml:space="preserve">December 2018 orders. </w:t>
      </w:r>
    </w:p>
    <w:p w14:paraId="14185CDD" w14:textId="7A5D6311" w:rsidR="00095437" w:rsidRDefault="00C833A0" w:rsidP="00962768">
      <w:pPr>
        <w:pStyle w:val="ParaNumbering"/>
      </w:pPr>
      <w:r>
        <w:t xml:space="preserve">Taking these matters together, in my view the appropriate orders to make are that </w:t>
      </w:r>
      <w:proofErr w:type="spellStart"/>
      <w:r>
        <w:t>Qudos</w:t>
      </w:r>
      <w:proofErr w:type="spellEnd"/>
      <w:r>
        <w:t xml:space="preserve"> should bear a limited amount </w:t>
      </w:r>
      <w:r w:rsidR="006975C9">
        <w:t>of the costs of its application.</w:t>
      </w:r>
      <w:r w:rsidR="00962768">
        <w:t xml:space="preserve"> Ultimately, </w:t>
      </w:r>
      <w:proofErr w:type="spellStart"/>
      <w:r w:rsidR="00962768">
        <w:t>Qudos</w:t>
      </w:r>
      <w:proofErr w:type="spellEnd"/>
      <w:r w:rsidR="00962768">
        <w:t>’</w:t>
      </w:r>
      <w:r w:rsidR="00962768" w:rsidRPr="00962768">
        <w:t xml:space="preserve"> success in the proceedings was limited to orders for the production of documents that was specifically sought by it midway through the proceedings (being the </w:t>
      </w:r>
      <w:proofErr w:type="spellStart"/>
      <w:r w:rsidR="00962768" w:rsidRPr="00962768">
        <w:t>Qudos</w:t>
      </w:r>
      <w:proofErr w:type="spellEnd"/>
      <w:r w:rsidR="00962768" w:rsidRPr="00962768">
        <w:t xml:space="preserve"> UAT Site and the February 2018 source code of the AMB UX), as well as a narrower </w:t>
      </w:r>
      <w:r w:rsidR="00962768">
        <w:t xml:space="preserve">range </w:t>
      </w:r>
      <w:r w:rsidR="00962768" w:rsidRPr="00962768">
        <w:t xml:space="preserve">of other documents than it sought in its originating application. A protracted litigation may well have been avoided if the original categories had been confined and included the </w:t>
      </w:r>
      <w:proofErr w:type="spellStart"/>
      <w:r w:rsidR="00962768" w:rsidRPr="00962768">
        <w:t>Qudos</w:t>
      </w:r>
      <w:proofErr w:type="spellEnd"/>
      <w:r w:rsidR="00962768" w:rsidRPr="00962768">
        <w:t xml:space="preserve"> UAT Site and the February 2018 source code of the AMB UX.</w:t>
      </w:r>
      <w:r w:rsidR="006975C9">
        <w:t xml:space="preserve"> </w:t>
      </w:r>
    </w:p>
    <w:p w14:paraId="21CA4D80" w14:textId="2E6C8433" w:rsidR="00C833A0" w:rsidRDefault="006975C9" w:rsidP="00962768">
      <w:pPr>
        <w:pStyle w:val="ParaNumbering"/>
      </w:pPr>
      <w:r>
        <w:t>The</w:t>
      </w:r>
      <w:r w:rsidR="0019763D">
        <w:t xml:space="preserve"> orders will</w:t>
      </w:r>
      <w:r>
        <w:t xml:space="preserve"> be that </w:t>
      </w:r>
      <w:proofErr w:type="spellStart"/>
      <w:r>
        <w:t>Qudos</w:t>
      </w:r>
      <w:proofErr w:type="spellEnd"/>
      <w:r>
        <w:t xml:space="preserve"> </w:t>
      </w:r>
      <w:r w:rsidR="00C833A0">
        <w:t>should pay:</w:t>
      </w:r>
    </w:p>
    <w:p w14:paraId="690BED55" w14:textId="2A739BE5" w:rsidR="006975C9" w:rsidRDefault="0019763D" w:rsidP="002E586E">
      <w:pPr>
        <w:pStyle w:val="ListNo1"/>
        <w:numPr>
          <w:ilvl w:val="0"/>
          <w:numId w:val="27"/>
        </w:numPr>
      </w:pPr>
      <w:r>
        <w:t>Infosys Technologies’</w:t>
      </w:r>
      <w:r w:rsidR="006975C9">
        <w:t xml:space="preserve"> costs of the preliminary discovery application;</w:t>
      </w:r>
    </w:p>
    <w:p w14:paraId="099CBAD0" w14:textId="77777777" w:rsidR="00C833A0" w:rsidRDefault="00FE5FBD" w:rsidP="00561CAB">
      <w:pPr>
        <w:pStyle w:val="ListNo1"/>
        <w:numPr>
          <w:ilvl w:val="0"/>
          <w:numId w:val="27"/>
        </w:numPr>
      </w:pPr>
      <w:r>
        <w:t>A small proportion, being 20%, of Infosys’ costs of the preliminary discovery application</w:t>
      </w:r>
      <w:r w:rsidR="006975C9">
        <w:t>;</w:t>
      </w:r>
    </w:p>
    <w:p w14:paraId="5CB76460" w14:textId="303079CF" w:rsidR="006975C9" w:rsidRDefault="00FE5FBD" w:rsidP="00561CAB">
      <w:pPr>
        <w:pStyle w:val="ListNo1"/>
        <w:numPr>
          <w:ilvl w:val="0"/>
          <w:numId w:val="27"/>
        </w:numPr>
      </w:pPr>
      <w:r>
        <w:t xml:space="preserve">If no proceedings are commenced </w:t>
      </w:r>
      <w:r w:rsidR="00DD2F5D">
        <w:t xml:space="preserve">by </w:t>
      </w:r>
      <w:proofErr w:type="spellStart"/>
      <w:r w:rsidR="00DD2F5D">
        <w:t>Qudos</w:t>
      </w:r>
      <w:proofErr w:type="spellEnd"/>
      <w:r w:rsidR="00DD2F5D">
        <w:t xml:space="preserve"> </w:t>
      </w:r>
      <w:r>
        <w:t>within 60 days of the date of compliance with the</w:t>
      </w:r>
      <w:r w:rsidR="005D1863">
        <w:t>se</w:t>
      </w:r>
      <w:r>
        <w:t xml:space="preserve"> orders, the costs of compliance with the o</w:t>
      </w:r>
      <w:r w:rsidR="006975C9">
        <w:t>rders for preliminary discovery;</w:t>
      </w:r>
    </w:p>
    <w:p w14:paraId="0292942A" w14:textId="5F21077B" w:rsidR="00FE5FBD" w:rsidRDefault="006975C9" w:rsidP="00561CAB">
      <w:pPr>
        <w:pStyle w:val="ListNo1"/>
        <w:numPr>
          <w:ilvl w:val="0"/>
          <w:numId w:val="27"/>
        </w:numPr>
      </w:pPr>
      <w:r>
        <w:t>If proceedings are commenced</w:t>
      </w:r>
      <w:r w:rsidR="00FE5FBD">
        <w:t>, the costs of compliance with the orders for preliminary discovery be costs in</w:t>
      </w:r>
      <w:r>
        <w:t xml:space="preserve"> the cause of those proceedings.</w:t>
      </w:r>
    </w:p>
    <w:p w14:paraId="705CEFD8" w14:textId="1128ED27" w:rsidR="00A00E06" w:rsidRDefault="005D1863" w:rsidP="002E586E">
      <w:pPr>
        <w:pStyle w:val="ParaNumbering"/>
      </w:pPr>
      <w:r>
        <w:t xml:space="preserve">Additionally, I will formally make the orders for preliminary discovery set out in [5] of </w:t>
      </w:r>
      <w:proofErr w:type="spellStart"/>
      <w:r>
        <w:rPr>
          <w:i/>
        </w:rPr>
        <w:t>Qudos</w:t>
      </w:r>
      <w:proofErr w:type="spellEnd"/>
      <w:r>
        <w:rPr>
          <w:i/>
        </w:rPr>
        <w:t xml:space="preserve"> Mutual</w:t>
      </w:r>
      <w:r w:rsidR="00DB68E2">
        <w:t xml:space="preserve"> that incorporates </w:t>
      </w:r>
      <w:r>
        <w:t>orders for the time of compliance as agreed between the parties.</w:t>
      </w:r>
    </w:p>
    <w:p w14:paraId="20F457CD" w14:textId="77777777" w:rsidR="00A00E06" w:rsidRDefault="00A00E06" w:rsidP="002E586E">
      <w:pPr>
        <w:pStyle w:val="ParaNumbering"/>
        <w:numPr>
          <w:ilvl w:val="0"/>
          <w:numId w:val="0"/>
        </w:numPr>
      </w:pPr>
    </w:p>
    <w:tbl>
      <w:tblPr>
        <w:tblW w:w="0" w:type="auto"/>
        <w:tblLook w:val="04A0" w:firstRow="1" w:lastRow="0" w:firstColumn="1" w:lastColumn="0" w:noHBand="0" w:noVBand="1"/>
      </w:tblPr>
      <w:tblGrid>
        <w:gridCol w:w="3794"/>
      </w:tblGrid>
      <w:tr w:rsidR="00A00E06" w:rsidRPr="00AB0E86" w14:paraId="76E70FC9" w14:textId="77777777" w:rsidTr="005B016C">
        <w:tc>
          <w:tcPr>
            <w:tcW w:w="3794" w:type="dxa"/>
            <w:shd w:val="clear" w:color="auto" w:fill="auto"/>
          </w:tcPr>
          <w:p w14:paraId="43AA4A09" w14:textId="1FE4BE25" w:rsidR="00A00E06" w:rsidRPr="00AB0E86" w:rsidRDefault="00A00E06" w:rsidP="00095437">
            <w:pPr>
              <w:pStyle w:val="Normal1linespace"/>
            </w:pPr>
            <w:r w:rsidRPr="00AB0E86">
              <w:t xml:space="preserve">I certify that the preceding </w:t>
            </w:r>
            <w:r w:rsidR="00095437">
              <w:t xml:space="preserve">fifteen </w:t>
            </w:r>
            <w:r w:rsidRPr="00527731">
              <w:t>(</w:t>
            </w:r>
            <w:r>
              <w:t>1</w:t>
            </w:r>
            <w:r w:rsidR="00095437">
              <w:t>5</w:t>
            </w:r>
            <w:r w:rsidRPr="00527731">
              <w:t>)</w:t>
            </w:r>
            <w:r w:rsidRPr="00AB0E86">
              <w:t xml:space="preserve"> numbered </w:t>
            </w:r>
            <w:bookmarkStart w:id="19" w:name="CertPara"/>
            <w:r>
              <w:t>paragraphs are</w:t>
            </w:r>
            <w:bookmarkEnd w:id="19"/>
            <w:r w:rsidRPr="00AB0E86">
              <w:t xml:space="preserve"> a true copy of the Reasons for Judgment herein of the Honourable </w:t>
            </w:r>
            <w:bookmarkStart w:id="20" w:name="Justice"/>
            <w:r>
              <w:t>Justice Burley</w:t>
            </w:r>
            <w:bookmarkEnd w:id="20"/>
            <w:r w:rsidRPr="00AB0E86">
              <w:t>.</w:t>
            </w:r>
          </w:p>
        </w:tc>
      </w:tr>
    </w:tbl>
    <w:p w14:paraId="19558E07" w14:textId="0D755409" w:rsidR="00A00E06" w:rsidRDefault="00A00E06" w:rsidP="00A00E06">
      <w:pPr>
        <w:pStyle w:val="ListNo1"/>
        <w:numPr>
          <w:ilvl w:val="0"/>
          <w:numId w:val="0"/>
        </w:numPr>
        <w:ind w:left="720" w:hanging="720"/>
      </w:pPr>
    </w:p>
    <w:p w14:paraId="02366DB3" w14:textId="77777777" w:rsidR="00A00E06" w:rsidRDefault="00A00E06" w:rsidP="00A00E06">
      <w:pPr>
        <w:pStyle w:val="BodyText"/>
      </w:pPr>
      <w:r>
        <w:t xml:space="preserve">Associate: </w:t>
      </w:r>
      <w:bookmarkStart w:id="21" w:name="_GoBack"/>
      <w:bookmarkEnd w:id="21"/>
    </w:p>
    <w:p w14:paraId="7D1B269E" w14:textId="77777777" w:rsidR="00A00E06" w:rsidRDefault="00A00E06" w:rsidP="00A00E06">
      <w:pPr>
        <w:pStyle w:val="BodyText"/>
      </w:pPr>
    </w:p>
    <w:p w14:paraId="6BEF4E87" w14:textId="255F4F42" w:rsidR="00AD7304" w:rsidRDefault="00A00E06" w:rsidP="00095437">
      <w:pPr>
        <w:pStyle w:val="BodyText"/>
        <w:tabs>
          <w:tab w:val="left" w:pos="1134"/>
        </w:tabs>
      </w:pPr>
      <w:r>
        <w:t>Dated:</w:t>
      </w:r>
      <w:r>
        <w:tab/>
      </w:r>
      <w:r w:rsidR="00957419">
        <w:t>27</w:t>
      </w:r>
      <w:r>
        <w:t xml:space="preserve"> August 2019</w:t>
      </w:r>
    </w:p>
    <w:sectPr w:rsidR="00AD7304">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59AB8" w14:textId="77777777" w:rsidR="00895581" w:rsidRDefault="00895581">
      <w:pPr>
        <w:spacing w:line="20" w:lineRule="exact"/>
      </w:pPr>
    </w:p>
    <w:p w14:paraId="07DD7012" w14:textId="77777777" w:rsidR="00895581" w:rsidRDefault="00895581"/>
    <w:p w14:paraId="55211351" w14:textId="77777777" w:rsidR="00895581" w:rsidRDefault="00895581"/>
  </w:endnote>
  <w:endnote w:type="continuationSeparator" w:id="0">
    <w:p w14:paraId="1924E5F4" w14:textId="77777777" w:rsidR="00895581" w:rsidRDefault="00895581">
      <w:r>
        <w:t xml:space="preserve"> </w:t>
      </w:r>
    </w:p>
    <w:p w14:paraId="37968274" w14:textId="77777777" w:rsidR="00895581" w:rsidRDefault="00895581"/>
    <w:p w14:paraId="24177A8D" w14:textId="77777777" w:rsidR="00895581" w:rsidRDefault="00895581"/>
  </w:endnote>
  <w:endnote w:type="continuationNotice" w:id="1">
    <w:p w14:paraId="3266B948" w14:textId="77777777" w:rsidR="00895581" w:rsidRDefault="00895581">
      <w:r>
        <w:t xml:space="preserve"> </w:t>
      </w:r>
    </w:p>
    <w:p w14:paraId="29DEBDDF" w14:textId="77777777" w:rsidR="00895581" w:rsidRDefault="00895581"/>
    <w:p w14:paraId="6126EF1F" w14:textId="77777777" w:rsidR="00895581" w:rsidRDefault="00895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2472D" w14:textId="6EA3C1BA"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4D3F" w14:textId="63C854D1"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C79BD" w14:textId="57494D1B"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2BF3" w14:textId="77777777" w:rsidR="00895581" w:rsidRDefault="00895581"/>
    <w:p w14:paraId="2272F8B3" w14:textId="77777777" w:rsidR="00895581" w:rsidRDefault="00895581"/>
    <w:p w14:paraId="2FBBA253" w14:textId="77777777" w:rsidR="00895581" w:rsidRDefault="00895581"/>
  </w:footnote>
  <w:footnote w:type="continuationSeparator" w:id="0">
    <w:p w14:paraId="136F5596" w14:textId="77777777" w:rsidR="00895581" w:rsidRDefault="00895581">
      <w:r>
        <w:continuationSeparator/>
      </w:r>
    </w:p>
    <w:p w14:paraId="31331676" w14:textId="77777777" w:rsidR="00895581" w:rsidRDefault="00895581"/>
    <w:p w14:paraId="0FF184D6" w14:textId="77777777" w:rsidR="00895581" w:rsidRDefault="008955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80F3" w14:textId="302CB649"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8A22DA">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2529"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8D18"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B05B" w14:textId="6B73229B" w:rsidR="00395B24" w:rsidRDefault="002C7385">
    <w:pPr>
      <w:tabs>
        <w:tab w:val="center" w:pos="4512"/>
      </w:tabs>
      <w:suppressAutoHyphens/>
    </w:pPr>
    <w:r>
      <w:tab/>
      <w:t xml:space="preserve">- </w:t>
    </w:r>
    <w:r>
      <w:fldChar w:fldCharType="begin"/>
    </w:r>
    <w:r>
      <w:instrText>page \* arabic</w:instrText>
    </w:r>
    <w:r>
      <w:fldChar w:fldCharType="separate"/>
    </w:r>
    <w:r w:rsidR="009E727D">
      <w:rPr>
        <w:noProof/>
      </w:rPr>
      <w:t>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9F86"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63FC7"/>
    <w:multiLevelType w:val="hybridMultilevel"/>
    <w:tmpl w:val="48A09BF0"/>
    <w:lvl w:ilvl="0" w:tplc="059C90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03F4C0A"/>
    <w:multiLevelType w:val="hybridMultilevel"/>
    <w:tmpl w:val="08C0FE08"/>
    <w:lvl w:ilvl="0" w:tplc="08088E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607A53"/>
    <w:multiLevelType w:val="hybridMultilevel"/>
    <w:tmpl w:val="D15C4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2148"/>
        </w:tabs>
        <w:ind w:left="1428" w:hanging="720"/>
      </w:pPr>
      <w:rPr>
        <w:rFonts w:hint="default"/>
        <w:sz w:val="20"/>
      </w:rPr>
    </w:lvl>
  </w:abstractNum>
  <w:abstractNum w:abstractNumId="17"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3"/>
  </w:num>
  <w:num w:numId="18">
    <w:abstractNumId w:val="23"/>
  </w:num>
  <w:num w:numId="19">
    <w:abstractNumId w:val="11"/>
  </w:num>
  <w:num w:numId="20">
    <w:abstractNumId w:val="18"/>
  </w:num>
  <w:num w:numId="21">
    <w:abstractNumId w:val="19"/>
  </w:num>
  <w:num w:numId="22">
    <w:abstractNumId w:val="17"/>
  </w:num>
  <w:num w:numId="23">
    <w:abstractNumId w:val="17"/>
  </w:num>
  <w:num w:numId="24">
    <w:abstractNumId w:val="14"/>
  </w:num>
  <w:num w:numId="25">
    <w:abstractNumId w:val="15"/>
  </w:num>
  <w:num w:numId="26">
    <w:abstractNumId w:val="10"/>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075 of 2018"/>
    <w:docVar w:name="Initiators" w:val="(and another named in the Schedule)"/>
    <w:docVar w:name="Judge" w:val="Burley"/>
    <w:docVar w:name="NSD" w:val="NSD "/>
    <w:docVar w:name="NumApps" w:val="1"/>
    <w:docVar w:name="NumCrossResps" w:val="0"/>
    <w:docVar w:name="NumDefs" w:val="2"/>
    <w:docVar w:name="NumOthers" w:val="0"/>
    <w:docVar w:name="OtherNum" w:val="0"/>
    <w:docVar w:name="Parties1" w:val="Prospective Applicant"/>
    <w:docVar w:name="Parties2" w:val="Respondent"/>
    <w:docVar w:name="Parties3" w:val="Cross-Appellant"/>
    <w:docVar w:name="Parties4" w:val="Cross-Defendant"/>
    <w:docVar w:name="Parties5" w:val="Intervener"/>
    <w:docVar w:name="PracticeArea" w:val="Intellectual Property"/>
    <w:docVar w:name="Prospective Applicant" w:val="Qudos Mutual Limited (ACN 087 650 557)"/>
    <w:docVar w:name="RESAndAnother" w:val="True"/>
    <w:docVar w:name="RESAndOthers" w:val="False"/>
    <w:docVar w:name="Respondent" w:val="Infosys Limited (a foreign company trading as a foreign registered company in Australia, registered in Australia as Infosys Technologies Limited) (ABN 52 090 591 209)|Infosys Technologies Australia Pty Limited (ACN 054 141 365)"/>
    <w:docVar w:name="ResState" w:val="New South Wales"/>
    <w:docVar w:name="SubArea" w:val="Copyright and Industrial Designs (IP)"/>
  </w:docVars>
  <w:rsids>
    <w:rsidRoot w:val="00895581"/>
    <w:rsid w:val="0001469E"/>
    <w:rsid w:val="00015993"/>
    <w:rsid w:val="00022289"/>
    <w:rsid w:val="000224C0"/>
    <w:rsid w:val="00032F9F"/>
    <w:rsid w:val="00041C07"/>
    <w:rsid w:val="00045BB7"/>
    <w:rsid w:val="00055719"/>
    <w:rsid w:val="0005641B"/>
    <w:rsid w:val="00081497"/>
    <w:rsid w:val="00084CCE"/>
    <w:rsid w:val="0009543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9763D"/>
    <w:rsid w:val="001A4309"/>
    <w:rsid w:val="001B1053"/>
    <w:rsid w:val="001B14AC"/>
    <w:rsid w:val="001B7940"/>
    <w:rsid w:val="001C331C"/>
    <w:rsid w:val="001C37CA"/>
    <w:rsid w:val="001D4303"/>
    <w:rsid w:val="001D6746"/>
    <w:rsid w:val="001E3B49"/>
    <w:rsid w:val="001E7388"/>
    <w:rsid w:val="001F130F"/>
    <w:rsid w:val="001F13DD"/>
    <w:rsid w:val="001F2DBC"/>
    <w:rsid w:val="001F73E8"/>
    <w:rsid w:val="0020262C"/>
    <w:rsid w:val="00224537"/>
    <w:rsid w:val="00235956"/>
    <w:rsid w:val="0023668E"/>
    <w:rsid w:val="00247C9A"/>
    <w:rsid w:val="0025160C"/>
    <w:rsid w:val="0025273D"/>
    <w:rsid w:val="002535D0"/>
    <w:rsid w:val="002539B3"/>
    <w:rsid w:val="00257C3E"/>
    <w:rsid w:val="002602C2"/>
    <w:rsid w:val="002666C9"/>
    <w:rsid w:val="00270136"/>
    <w:rsid w:val="00274F5B"/>
    <w:rsid w:val="00280836"/>
    <w:rsid w:val="00282E1A"/>
    <w:rsid w:val="0029113B"/>
    <w:rsid w:val="002934C0"/>
    <w:rsid w:val="002A1B50"/>
    <w:rsid w:val="002A58E5"/>
    <w:rsid w:val="002B0E91"/>
    <w:rsid w:val="002B6779"/>
    <w:rsid w:val="002B71C0"/>
    <w:rsid w:val="002B7A34"/>
    <w:rsid w:val="002C31AD"/>
    <w:rsid w:val="002C7385"/>
    <w:rsid w:val="002D2DBB"/>
    <w:rsid w:val="002D54A6"/>
    <w:rsid w:val="002E586E"/>
    <w:rsid w:val="002E6A7A"/>
    <w:rsid w:val="002F1E49"/>
    <w:rsid w:val="002F4E9C"/>
    <w:rsid w:val="0031256C"/>
    <w:rsid w:val="00314D6C"/>
    <w:rsid w:val="00316D2A"/>
    <w:rsid w:val="00322A7C"/>
    <w:rsid w:val="003402D3"/>
    <w:rsid w:val="00343ABC"/>
    <w:rsid w:val="003463FE"/>
    <w:rsid w:val="00350E6C"/>
    <w:rsid w:val="003554B3"/>
    <w:rsid w:val="00356632"/>
    <w:rsid w:val="003720BE"/>
    <w:rsid w:val="003845A9"/>
    <w:rsid w:val="00390883"/>
    <w:rsid w:val="003922F8"/>
    <w:rsid w:val="00395B24"/>
    <w:rsid w:val="003A2D38"/>
    <w:rsid w:val="003A7ECC"/>
    <w:rsid w:val="003B2C72"/>
    <w:rsid w:val="003C1333"/>
    <w:rsid w:val="003C20FF"/>
    <w:rsid w:val="003D2650"/>
    <w:rsid w:val="003D560C"/>
    <w:rsid w:val="003E5874"/>
    <w:rsid w:val="003F193E"/>
    <w:rsid w:val="003F34F1"/>
    <w:rsid w:val="003F6947"/>
    <w:rsid w:val="0040709F"/>
    <w:rsid w:val="00411AE8"/>
    <w:rsid w:val="00413B74"/>
    <w:rsid w:val="00435C5F"/>
    <w:rsid w:val="00441E98"/>
    <w:rsid w:val="004532F7"/>
    <w:rsid w:val="00472027"/>
    <w:rsid w:val="00473403"/>
    <w:rsid w:val="004804CF"/>
    <w:rsid w:val="00480FE6"/>
    <w:rsid w:val="00484962"/>
    <w:rsid w:val="00484F6D"/>
    <w:rsid w:val="0049338A"/>
    <w:rsid w:val="0049417F"/>
    <w:rsid w:val="004A0D62"/>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1CAB"/>
    <w:rsid w:val="005629B3"/>
    <w:rsid w:val="00573AC4"/>
    <w:rsid w:val="005801FC"/>
    <w:rsid w:val="0059387A"/>
    <w:rsid w:val="00595016"/>
    <w:rsid w:val="00597AAE"/>
    <w:rsid w:val="005A222C"/>
    <w:rsid w:val="005A4DF8"/>
    <w:rsid w:val="005A6924"/>
    <w:rsid w:val="005A6C0F"/>
    <w:rsid w:val="005B1426"/>
    <w:rsid w:val="005C0A8E"/>
    <w:rsid w:val="005C1767"/>
    <w:rsid w:val="005C42EF"/>
    <w:rsid w:val="005D1863"/>
    <w:rsid w:val="005E02F5"/>
    <w:rsid w:val="005E0510"/>
    <w:rsid w:val="005E176E"/>
    <w:rsid w:val="005E218E"/>
    <w:rsid w:val="005E35A0"/>
    <w:rsid w:val="005F0D1B"/>
    <w:rsid w:val="005F1865"/>
    <w:rsid w:val="006007BD"/>
    <w:rsid w:val="006013C8"/>
    <w:rsid w:val="0060270D"/>
    <w:rsid w:val="00604611"/>
    <w:rsid w:val="00611586"/>
    <w:rsid w:val="00620DC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76833"/>
    <w:rsid w:val="00690EE2"/>
    <w:rsid w:val="006975C9"/>
    <w:rsid w:val="006A0E20"/>
    <w:rsid w:val="006A1A93"/>
    <w:rsid w:val="006A5695"/>
    <w:rsid w:val="006B3904"/>
    <w:rsid w:val="006B5B7D"/>
    <w:rsid w:val="006D0ECF"/>
    <w:rsid w:val="006D0F0D"/>
    <w:rsid w:val="006D4C92"/>
    <w:rsid w:val="006D4EB6"/>
    <w:rsid w:val="006E35BF"/>
    <w:rsid w:val="006E7850"/>
    <w:rsid w:val="007028D9"/>
    <w:rsid w:val="00707218"/>
    <w:rsid w:val="00712B1D"/>
    <w:rsid w:val="007325D9"/>
    <w:rsid w:val="007360CA"/>
    <w:rsid w:val="00760EC0"/>
    <w:rsid w:val="0078003A"/>
    <w:rsid w:val="00780771"/>
    <w:rsid w:val="007929CF"/>
    <w:rsid w:val="007A6F28"/>
    <w:rsid w:val="007B03C6"/>
    <w:rsid w:val="007B0DB1"/>
    <w:rsid w:val="007C3BF6"/>
    <w:rsid w:val="007D0FD2"/>
    <w:rsid w:val="007D2EF8"/>
    <w:rsid w:val="007D561F"/>
    <w:rsid w:val="007D7FD2"/>
    <w:rsid w:val="007E13D9"/>
    <w:rsid w:val="007E3B26"/>
    <w:rsid w:val="007E41BE"/>
    <w:rsid w:val="007E4DB6"/>
    <w:rsid w:val="007E7CD4"/>
    <w:rsid w:val="007F12AC"/>
    <w:rsid w:val="007F1FB0"/>
    <w:rsid w:val="00801800"/>
    <w:rsid w:val="00801B5B"/>
    <w:rsid w:val="00801ED9"/>
    <w:rsid w:val="00804B90"/>
    <w:rsid w:val="0082613C"/>
    <w:rsid w:val="008276B4"/>
    <w:rsid w:val="00831927"/>
    <w:rsid w:val="00841BD3"/>
    <w:rsid w:val="0084273D"/>
    <w:rsid w:val="00844E3F"/>
    <w:rsid w:val="00845A83"/>
    <w:rsid w:val="008663F0"/>
    <w:rsid w:val="008712BB"/>
    <w:rsid w:val="00895581"/>
    <w:rsid w:val="008A22DA"/>
    <w:rsid w:val="008A2484"/>
    <w:rsid w:val="008C26D9"/>
    <w:rsid w:val="008C6D50"/>
    <w:rsid w:val="008C7167"/>
    <w:rsid w:val="008C7503"/>
    <w:rsid w:val="008D0CF9"/>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419"/>
    <w:rsid w:val="00957DE8"/>
    <w:rsid w:val="00960ECB"/>
    <w:rsid w:val="009615D6"/>
    <w:rsid w:val="00962768"/>
    <w:rsid w:val="00967855"/>
    <w:rsid w:val="00980736"/>
    <w:rsid w:val="00981A39"/>
    <w:rsid w:val="00987097"/>
    <w:rsid w:val="00994CAA"/>
    <w:rsid w:val="009A2984"/>
    <w:rsid w:val="009A3A9C"/>
    <w:rsid w:val="009B046C"/>
    <w:rsid w:val="009B13FA"/>
    <w:rsid w:val="009B1E2D"/>
    <w:rsid w:val="009C59FB"/>
    <w:rsid w:val="009C6F3B"/>
    <w:rsid w:val="009D1467"/>
    <w:rsid w:val="009E4FA6"/>
    <w:rsid w:val="009E727D"/>
    <w:rsid w:val="009E7D93"/>
    <w:rsid w:val="009F0A3A"/>
    <w:rsid w:val="009F5C33"/>
    <w:rsid w:val="00A00E06"/>
    <w:rsid w:val="00A03EAC"/>
    <w:rsid w:val="00A11CA6"/>
    <w:rsid w:val="00A20C49"/>
    <w:rsid w:val="00A269CA"/>
    <w:rsid w:val="00A336EE"/>
    <w:rsid w:val="00A359AC"/>
    <w:rsid w:val="00A41413"/>
    <w:rsid w:val="00A45FB1"/>
    <w:rsid w:val="00A46CCC"/>
    <w:rsid w:val="00A51CFE"/>
    <w:rsid w:val="00A76C13"/>
    <w:rsid w:val="00A92E79"/>
    <w:rsid w:val="00A950B6"/>
    <w:rsid w:val="00AA2BEC"/>
    <w:rsid w:val="00AB41C1"/>
    <w:rsid w:val="00AD12A8"/>
    <w:rsid w:val="00AD7304"/>
    <w:rsid w:val="00AE023F"/>
    <w:rsid w:val="00AF3577"/>
    <w:rsid w:val="00AF35F9"/>
    <w:rsid w:val="00AF6A7C"/>
    <w:rsid w:val="00B05C7D"/>
    <w:rsid w:val="00B346C3"/>
    <w:rsid w:val="00B4471C"/>
    <w:rsid w:val="00B451A6"/>
    <w:rsid w:val="00B722DE"/>
    <w:rsid w:val="00B76C44"/>
    <w:rsid w:val="00B83F87"/>
    <w:rsid w:val="00B976A2"/>
    <w:rsid w:val="00BA2EFA"/>
    <w:rsid w:val="00BA3DBC"/>
    <w:rsid w:val="00BB2DA2"/>
    <w:rsid w:val="00BB56DC"/>
    <w:rsid w:val="00BE183D"/>
    <w:rsid w:val="00BF5D7A"/>
    <w:rsid w:val="00C02D33"/>
    <w:rsid w:val="00C1232C"/>
    <w:rsid w:val="00C36442"/>
    <w:rsid w:val="00C400CE"/>
    <w:rsid w:val="00C410FD"/>
    <w:rsid w:val="00C539FB"/>
    <w:rsid w:val="00C833A0"/>
    <w:rsid w:val="00CA246D"/>
    <w:rsid w:val="00CA50D9"/>
    <w:rsid w:val="00CB5636"/>
    <w:rsid w:val="00CD2E0D"/>
    <w:rsid w:val="00D02A1E"/>
    <w:rsid w:val="00D10F21"/>
    <w:rsid w:val="00D1243F"/>
    <w:rsid w:val="00D24806"/>
    <w:rsid w:val="00D34040"/>
    <w:rsid w:val="00D34E69"/>
    <w:rsid w:val="00D375EE"/>
    <w:rsid w:val="00D57A15"/>
    <w:rsid w:val="00D62699"/>
    <w:rsid w:val="00D82620"/>
    <w:rsid w:val="00D9725F"/>
    <w:rsid w:val="00DA01B1"/>
    <w:rsid w:val="00DA11A2"/>
    <w:rsid w:val="00DA14ED"/>
    <w:rsid w:val="00DA3842"/>
    <w:rsid w:val="00DB2EF1"/>
    <w:rsid w:val="00DB3DE1"/>
    <w:rsid w:val="00DB5DA0"/>
    <w:rsid w:val="00DB68E2"/>
    <w:rsid w:val="00DB716C"/>
    <w:rsid w:val="00DC5C85"/>
    <w:rsid w:val="00DD0E9B"/>
    <w:rsid w:val="00DD2F5D"/>
    <w:rsid w:val="00DD4236"/>
    <w:rsid w:val="00DD44F1"/>
    <w:rsid w:val="00DE3067"/>
    <w:rsid w:val="00E027BC"/>
    <w:rsid w:val="00E14EA5"/>
    <w:rsid w:val="00E21133"/>
    <w:rsid w:val="00E2327E"/>
    <w:rsid w:val="00E266EF"/>
    <w:rsid w:val="00E47428"/>
    <w:rsid w:val="00E64F95"/>
    <w:rsid w:val="00E66B9F"/>
    <w:rsid w:val="00E66CE6"/>
    <w:rsid w:val="00E710D6"/>
    <w:rsid w:val="00E76E45"/>
    <w:rsid w:val="00E777C9"/>
    <w:rsid w:val="00E81DA6"/>
    <w:rsid w:val="00E84212"/>
    <w:rsid w:val="00E9086C"/>
    <w:rsid w:val="00E91A0F"/>
    <w:rsid w:val="00E94A71"/>
    <w:rsid w:val="00EA03CE"/>
    <w:rsid w:val="00EA23E5"/>
    <w:rsid w:val="00EA4E2E"/>
    <w:rsid w:val="00EB2CCB"/>
    <w:rsid w:val="00EC57A7"/>
    <w:rsid w:val="00EC5B8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0C5"/>
    <w:rsid w:val="00FC0734"/>
    <w:rsid w:val="00FC0FC5"/>
    <w:rsid w:val="00FC588F"/>
    <w:rsid w:val="00FE1B30"/>
    <w:rsid w:val="00FE5FBD"/>
    <w:rsid w:val="00FE6D4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158B82"/>
  <w15:docId w15:val="{50BDFA01-9FC6-4486-B837-C37AF6F7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148"/>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82613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8</Pages>
  <Words>2192</Words>
  <Characters>11337</Characters>
  <Application>Microsoft Office Word</Application>
  <DocSecurity>0</DocSecurity>
  <Lines>290</Lines>
  <Paragraphs>118</Paragraphs>
  <ScaleCrop>false</ScaleCrop>
  <HeadingPairs>
    <vt:vector size="2" baseType="variant">
      <vt:variant>
        <vt:lpstr>Title</vt:lpstr>
      </vt:variant>
      <vt:variant>
        <vt:i4>1</vt:i4>
      </vt:variant>
    </vt:vector>
  </HeadingPairs>
  <TitlesOfParts>
    <vt:vector size="1" baseType="lpstr">
      <vt:lpstr>Qudos Mutual Limited v Infosys Limited (No 2) [2019] FCA 1373</vt:lpstr>
    </vt:vector>
  </TitlesOfParts>
  <Company>Federal Court of Australia</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Qudos Mutual Limited v Infosys Limited (No 2) [2019] FCA 1373</dc:title>
  <dc:creator>Joseph Petry</dc:creator>
  <cp:lastModifiedBy>Sona Muradyan</cp:lastModifiedBy>
  <cp:revision>4</cp:revision>
  <cp:lastPrinted>2019-08-23T06:00:00Z</cp:lastPrinted>
  <dcterms:created xsi:type="dcterms:W3CDTF">2019-08-27T00:16:00Z</dcterms:created>
  <dcterms:modified xsi:type="dcterms:W3CDTF">2019-08-27T00:16:00Z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BURLEY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Copyright and Industrial Designs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