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Pr="002B031E" w:rsidRDefault="002C7385">
      <w:pPr>
        <w:pStyle w:val="NormalHeadings"/>
        <w:jc w:val="center"/>
        <w:rPr>
          <w:sz w:val="32"/>
        </w:rPr>
      </w:pPr>
      <w:r w:rsidRPr="002B031E">
        <w:rPr>
          <w:sz w:val="32"/>
        </w:rPr>
        <w:t>FEDERAL COURT OF AUSTRALIA</w:t>
      </w:r>
    </w:p>
    <w:p w:rsidR="00395B24" w:rsidRPr="002B031E" w:rsidRDefault="00395B24">
      <w:pPr>
        <w:pStyle w:val="NormalHeadings"/>
        <w:jc w:val="center"/>
        <w:rPr>
          <w:sz w:val="32"/>
        </w:rPr>
      </w:pPr>
    </w:p>
    <w:p w:rsidR="00395B24" w:rsidRPr="002B031E" w:rsidRDefault="00DF763C">
      <w:pPr>
        <w:pStyle w:val="MediaNeutralStyle"/>
      </w:pPr>
      <w:bookmarkStart w:id="0" w:name="MNC"/>
      <w:r w:rsidRPr="002B031E">
        <w:t>Australian Competition and Consumer Commission</w:t>
      </w:r>
      <w:r w:rsidR="00A21BA2" w:rsidRPr="002B031E">
        <w:t xml:space="preserve"> v</w:t>
      </w:r>
      <w:r w:rsidR="00F162CA" w:rsidRPr="002B031E">
        <w:t xml:space="preserve"> CLA Trading Pty Ltd </w:t>
      </w:r>
      <w:r w:rsidR="00FB30CD" w:rsidRPr="002B031E">
        <w:t>trading as</w:t>
      </w:r>
      <w:r w:rsidR="00F162CA" w:rsidRPr="002B031E">
        <w:t xml:space="preserve"> </w:t>
      </w:r>
      <w:proofErr w:type="spellStart"/>
      <w:r w:rsidR="00F162CA" w:rsidRPr="002B031E">
        <w:t>Europcar</w:t>
      </w:r>
      <w:proofErr w:type="spellEnd"/>
      <w:r w:rsidR="00494D1B" w:rsidRPr="002B031E">
        <w:t xml:space="preserve"> [2019] FCA 1262</w:t>
      </w:r>
      <w:r w:rsidR="002C7385" w:rsidRPr="002B031E">
        <w:t xml:space="preserve"> </w:t>
      </w:r>
      <w:bookmarkEnd w:id="0"/>
    </w:p>
    <w:p w:rsidR="00395B24" w:rsidRPr="002B031E"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RPr="002B031E" w:rsidTr="002B031E">
        <w:tc>
          <w:tcPr>
            <w:tcW w:w="3085" w:type="dxa"/>
            <w:shd w:val="clear" w:color="auto" w:fill="auto"/>
          </w:tcPr>
          <w:p w:rsidR="00395B24" w:rsidRPr="002B031E" w:rsidRDefault="00DF763C" w:rsidP="00663878">
            <w:pPr>
              <w:pStyle w:val="Normal1linespace"/>
              <w:widowControl w:val="0"/>
              <w:jc w:val="left"/>
            </w:pPr>
            <w:r w:rsidRPr="002B031E">
              <w:t>File number</w:t>
            </w:r>
            <w:r w:rsidR="002C7385" w:rsidRPr="002B031E">
              <w:t>:</w:t>
            </w:r>
          </w:p>
        </w:tc>
        <w:tc>
          <w:tcPr>
            <w:tcW w:w="5989" w:type="dxa"/>
            <w:shd w:val="clear" w:color="auto" w:fill="auto"/>
          </w:tcPr>
          <w:p w:rsidR="00395B24" w:rsidRPr="002B031E" w:rsidRDefault="006D7476" w:rsidP="00743628">
            <w:pPr>
              <w:pStyle w:val="Normal1linespace"/>
              <w:jc w:val="left"/>
            </w:pPr>
            <w:fldSimple w:instr=" REF  FileNo  \* MERGEFORMAT " w:fldLock="1">
              <w:r w:rsidR="00743628" w:rsidRPr="002B031E">
                <w:t>VID 885 of 2018</w:t>
              </w:r>
            </w:fldSimple>
          </w:p>
        </w:tc>
      </w:tr>
      <w:tr w:rsidR="00395B24" w:rsidRPr="002B031E" w:rsidTr="002B031E">
        <w:tc>
          <w:tcPr>
            <w:tcW w:w="3085" w:type="dxa"/>
            <w:shd w:val="clear" w:color="auto" w:fill="auto"/>
          </w:tcPr>
          <w:p w:rsidR="00395B24" w:rsidRPr="002B031E" w:rsidRDefault="00395B24" w:rsidP="00663878">
            <w:pPr>
              <w:pStyle w:val="Normal1linespace"/>
              <w:widowControl w:val="0"/>
              <w:jc w:val="left"/>
            </w:pPr>
          </w:p>
        </w:tc>
        <w:tc>
          <w:tcPr>
            <w:tcW w:w="5989" w:type="dxa"/>
            <w:shd w:val="clear" w:color="auto" w:fill="auto"/>
          </w:tcPr>
          <w:p w:rsidR="00395B24" w:rsidRPr="002B031E" w:rsidRDefault="00395B24" w:rsidP="00663878">
            <w:pPr>
              <w:pStyle w:val="Normal1linespace"/>
              <w:widowControl w:val="0"/>
              <w:jc w:val="left"/>
            </w:pPr>
          </w:p>
        </w:tc>
      </w:tr>
      <w:tr w:rsidR="00395B24" w:rsidRPr="002B031E" w:rsidTr="002B031E">
        <w:tc>
          <w:tcPr>
            <w:tcW w:w="3085" w:type="dxa"/>
            <w:shd w:val="clear" w:color="auto" w:fill="auto"/>
          </w:tcPr>
          <w:p w:rsidR="00395B24" w:rsidRPr="002B031E" w:rsidRDefault="00DF763C" w:rsidP="00663878">
            <w:pPr>
              <w:pStyle w:val="Normal1linespace"/>
              <w:widowControl w:val="0"/>
              <w:jc w:val="left"/>
            </w:pPr>
            <w:r w:rsidRPr="002B031E">
              <w:t>Judge</w:t>
            </w:r>
            <w:r w:rsidR="002C7385" w:rsidRPr="002B031E">
              <w:t>:</w:t>
            </w:r>
          </w:p>
        </w:tc>
        <w:tc>
          <w:tcPr>
            <w:tcW w:w="5989" w:type="dxa"/>
            <w:shd w:val="clear" w:color="auto" w:fill="auto"/>
          </w:tcPr>
          <w:p w:rsidR="00395B24" w:rsidRPr="002B031E" w:rsidRDefault="002C7385" w:rsidP="00663878">
            <w:pPr>
              <w:pStyle w:val="Normal1linespace"/>
              <w:widowControl w:val="0"/>
              <w:jc w:val="left"/>
              <w:rPr>
                <w:b/>
              </w:rPr>
            </w:pPr>
            <w:r w:rsidRPr="002B031E">
              <w:rPr>
                <w:b/>
              </w:rPr>
              <w:fldChar w:fldCharType="begin" w:fldLock="1"/>
            </w:r>
            <w:r w:rsidRPr="002B031E">
              <w:rPr>
                <w:b/>
              </w:rPr>
              <w:instrText xml:space="preserve"> REF  Judge  \* MERGEFORMAT </w:instrText>
            </w:r>
            <w:r w:rsidRPr="002B031E">
              <w:rPr>
                <w:b/>
              </w:rPr>
              <w:fldChar w:fldCharType="separate"/>
            </w:r>
            <w:r w:rsidR="00743628" w:rsidRPr="002B031E">
              <w:rPr>
                <w:b/>
                <w:caps/>
                <w:szCs w:val="24"/>
              </w:rPr>
              <w:t>DAVIES J</w:t>
            </w:r>
            <w:r w:rsidRPr="002B031E">
              <w:rPr>
                <w:b/>
              </w:rPr>
              <w:fldChar w:fldCharType="end"/>
            </w:r>
          </w:p>
        </w:tc>
      </w:tr>
      <w:tr w:rsidR="00395B24" w:rsidRPr="002B031E" w:rsidTr="002B031E">
        <w:tc>
          <w:tcPr>
            <w:tcW w:w="3085" w:type="dxa"/>
            <w:shd w:val="clear" w:color="auto" w:fill="auto"/>
          </w:tcPr>
          <w:p w:rsidR="00395B24" w:rsidRPr="002B031E" w:rsidRDefault="00395B24" w:rsidP="00663878">
            <w:pPr>
              <w:pStyle w:val="Normal1linespace"/>
              <w:widowControl w:val="0"/>
              <w:jc w:val="left"/>
            </w:pPr>
          </w:p>
        </w:tc>
        <w:tc>
          <w:tcPr>
            <w:tcW w:w="5989" w:type="dxa"/>
            <w:shd w:val="clear" w:color="auto" w:fill="auto"/>
          </w:tcPr>
          <w:p w:rsidR="00395B24" w:rsidRPr="002B031E" w:rsidRDefault="00395B24" w:rsidP="00663878">
            <w:pPr>
              <w:pStyle w:val="Normal1linespace"/>
              <w:widowControl w:val="0"/>
              <w:jc w:val="left"/>
            </w:pPr>
          </w:p>
        </w:tc>
      </w:tr>
      <w:tr w:rsidR="00395B24" w:rsidRPr="002B031E" w:rsidTr="002B031E">
        <w:tc>
          <w:tcPr>
            <w:tcW w:w="3085" w:type="dxa"/>
            <w:shd w:val="clear" w:color="auto" w:fill="auto"/>
          </w:tcPr>
          <w:p w:rsidR="00395B24" w:rsidRPr="002B031E" w:rsidRDefault="002C7385" w:rsidP="00663878">
            <w:pPr>
              <w:pStyle w:val="Normal1linespace"/>
              <w:widowControl w:val="0"/>
              <w:jc w:val="left"/>
            </w:pPr>
            <w:r w:rsidRPr="002B031E">
              <w:t>Date of judgment:</w:t>
            </w:r>
          </w:p>
        </w:tc>
        <w:tc>
          <w:tcPr>
            <w:tcW w:w="5989" w:type="dxa"/>
            <w:shd w:val="clear" w:color="auto" w:fill="auto"/>
          </w:tcPr>
          <w:p w:rsidR="00395B24" w:rsidRPr="002B031E" w:rsidRDefault="00F162CA" w:rsidP="00663878">
            <w:pPr>
              <w:pStyle w:val="Normal1linespace"/>
              <w:widowControl w:val="0"/>
              <w:jc w:val="left"/>
            </w:pPr>
            <w:r w:rsidRPr="002B031E">
              <w:t>14 August 2019</w:t>
            </w:r>
          </w:p>
        </w:tc>
      </w:tr>
      <w:tr w:rsidR="00395B24" w:rsidRPr="002B031E" w:rsidTr="002B031E">
        <w:tc>
          <w:tcPr>
            <w:tcW w:w="3085" w:type="dxa"/>
            <w:shd w:val="clear" w:color="auto" w:fill="auto"/>
          </w:tcPr>
          <w:p w:rsidR="00395B24" w:rsidRPr="002B031E" w:rsidRDefault="00395B24" w:rsidP="00663878">
            <w:pPr>
              <w:pStyle w:val="Normal1linespace"/>
              <w:widowControl w:val="0"/>
              <w:jc w:val="left"/>
            </w:pPr>
          </w:p>
        </w:tc>
        <w:tc>
          <w:tcPr>
            <w:tcW w:w="5989" w:type="dxa"/>
            <w:shd w:val="clear" w:color="auto" w:fill="auto"/>
          </w:tcPr>
          <w:p w:rsidR="00395B24" w:rsidRPr="002B031E" w:rsidRDefault="00395B24" w:rsidP="00663878">
            <w:pPr>
              <w:pStyle w:val="Normal1linespace"/>
              <w:widowControl w:val="0"/>
              <w:jc w:val="left"/>
            </w:pPr>
          </w:p>
        </w:tc>
      </w:tr>
      <w:tr w:rsidR="00395B24" w:rsidRPr="002B031E" w:rsidTr="002B031E">
        <w:tc>
          <w:tcPr>
            <w:tcW w:w="3085" w:type="dxa"/>
            <w:shd w:val="clear" w:color="auto" w:fill="auto"/>
          </w:tcPr>
          <w:p w:rsidR="00395B24" w:rsidRPr="002B031E" w:rsidRDefault="002C7385" w:rsidP="00663878">
            <w:pPr>
              <w:pStyle w:val="Normal1linespace"/>
              <w:widowControl w:val="0"/>
              <w:jc w:val="left"/>
            </w:pPr>
            <w:r w:rsidRPr="002B031E">
              <w:t>Catchwords:</w:t>
            </w:r>
          </w:p>
        </w:tc>
        <w:tc>
          <w:tcPr>
            <w:tcW w:w="5989" w:type="dxa"/>
            <w:shd w:val="clear" w:color="auto" w:fill="auto"/>
          </w:tcPr>
          <w:p w:rsidR="00395B24" w:rsidRPr="002B031E" w:rsidRDefault="000F33CF" w:rsidP="000F33CF">
            <w:pPr>
              <w:pStyle w:val="Normal1linespace"/>
              <w:widowControl w:val="0"/>
              <w:jc w:val="left"/>
            </w:pPr>
            <w:bookmarkStart w:id="1" w:name="Catchwords"/>
            <w:r w:rsidRPr="002B031E">
              <w:rPr>
                <w:b/>
              </w:rPr>
              <w:t xml:space="preserve">CONSUMER LAW </w:t>
            </w:r>
            <w:r w:rsidRPr="002B031E">
              <w:t xml:space="preserve">– pecuniary penalties – admitted contraventions of s 55B(1) of the </w:t>
            </w:r>
            <w:r w:rsidRPr="002B031E">
              <w:rPr>
                <w:i/>
              </w:rPr>
              <w:t>Competition and Consumer Act 2010</w:t>
            </w:r>
            <w:r w:rsidRPr="002B031E">
              <w:t xml:space="preserve"> (</w:t>
            </w:r>
            <w:proofErr w:type="spellStart"/>
            <w:r w:rsidRPr="002B031E">
              <w:t>Cth</w:t>
            </w:r>
            <w:proofErr w:type="spellEnd"/>
            <w:r w:rsidRPr="002B031E">
              <w:t>) – excessive payment surcharges imposed over period of months – course of conduct principle – appropriateness of agreed declarations and orders – principles relevant to appropriate penalty – knowledge of senior management – need for specific deterrence</w:t>
            </w:r>
            <w:r w:rsidR="002C7385" w:rsidRPr="002B031E">
              <w:t xml:space="preserve"> </w:t>
            </w:r>
            <w:bookmarkEnd w:id="1"/>
          </w:p>
        </w:tc>
      </w:tr>
      <w:tr w:rsidR="00395B24" w:rsidRPr="002B031E" w:rsidTr="002B031E">
        <w:tc>
          <w:tcPr>
            <w:tcW w:w="3085" w:type="dxa"/>
            <w:shd w:val="clear" w:color="auto" w:fill="auto"/>
          </w:tcPr>
          <w:p w:rsidR="00395B24" w:rsidRPr="002B031E" w:rsidRDefault="00395B24" w:rsidP="00663878">
            <w:pPr>
              <w:pStyle w:val="Normal1linespace"/>
              <w:widowControl w:val="0"/>
              <w:jc w:val="left"/>
            </w:pPr>
          </w:p>
        </w:tc>
        <w:tc>
          <w:tcPr>
            <w:tcW w:w="5989" w:type="dxa"/>
            <w:shd w:val="clear" w:color="auto" w:fill="auto"/>
          </w:tcPr>
          <w:p w:rsidR="00395B24" w:rsidRPr="002B031E" w:rsidRDefault="00395B24" w:rsidP="00663878">
            <w:pPr>
              <w:pStyle w:val="Normal1linespace"/>
              <w:widowControl w:val="0"/>
              <w:jc w:val="left"/>
            </w:pPr>
          </w:p>
        </w:tc>
      </w:tr>
      <w:tr w:rsidR="00395B24" w:rsidRPr="002B031E" w:rsidTr="002B031E">
        <w:tc>
          <w:tcPr>
            <w:tcW w:w="3085" w:type="dxa"/>
            <w:shd w:val="clear" w:color="auto" w:fill="auto"/>
          </w:tcPr>
          <w:p w:rsidR="00395B24" w:rsidRPr="002B031E" w:rsidRDefault="002C7385" w:rsidP="00663878">
            <w:pPr>
              <w:pStyle w:val="Normal1linespace"/>
              <w:widowControl w:val="0"/>
              <w:jc w:val="left"/>
            </w:pPr>
            <w:r w:rsidRPr="002B031E">
              <w:t>Legislation:</w:t>
            </w:r>
          </w:p>
        </w:tc>
        <w:tc>
          <w:tcPr>
            <w:tcW w:w="5989" w:type="dxa"/>
            <w:shd w:val="clear" w:color="auto" w:fill="auto"/>
          </w:tcPr>
          <w:p w:rsidR="008D769E" w:rsidRPr="002B031E" w:rsidRDefault="008D769E" w:rsidP="00D82620">
            <w:pPr>
              <w:pStyle w:val="CasesLegislationAppealFrom"/>
              <w:spacing w:after="60"/>
            </w:pPr>
            <w:bookmarkStart w:id="2" w:name="Legislation"/>
            <w:r w:rsidRPr="002B031E">
              <w:rPr>
                <w:i/>
              </w:rPr>
              <w:t xml:space="preserve">Australian Securities and Investments Commission Act 2001 </w:t>
            </w:r>
            <w:r w:rsidRPr="002B031E">
              <w:t>(</w:t>
            </w:r>
            <w:proofErr w:type="spellStart"/>
            <w:r w:rsidRPr="002B031E">
              <w:t>Cth</w:t>
            </w:r>
            <w:proofErr w:type="spellEnd"/>
            <w:r w:rsidRPr="002B031E">
              <w:t xml:space="preserve">) </w:t>
            </w:r>
            <w:proofErr w:type="spellStart"/>
            <w:r w:rsidRPr="002B031E">
              <w:t>ss</w:t>
            </w:r>
            <w:proofErr w:type="spellEnd"/>
            <w:r w:rsidRPr="002B031E">
              <w:t xml:space="preserve"> </w:t>
            </w:r>
            <w:r w:rsidR="00C535CE" w:rsidRPr="002B031E">
              <w:t>12BG, 12DA, 12DB</w:t>
            </w:r>
          </w:p>
          <w:p w:rsidR="00595985" w:rsidRPr="002B031E" w:rsidRDefault="00595985" w:rsidP="00D82620">
            <w:pPr>
              <w:pStyle w:val="CasesLegislationAppealFrom"/>
              <w:spacing w:after="60"/>
            </w:pPr>
            <w:r w:rsidRPr="002B031E">
              <w:rPr>
                <w:i/>
              </w:rPr>
              <w:t xml:space="preserve">Competition and Consumer Act 2010 </w:t>
            </w:r>
            <w:r w:rsidRPr="002B031E">
              <w:t>(</w:t>
            </w:r>
            <w:proofErr w:type="spellStart"/>
            <w:r w:rsidRPr="002B031E">
              <w:t>Cth</w:t>
            </w:r>
            <w:proofErr w:type="spellEnd"/>
            <w:r w:rsidRPr="002B031E">
              <w:t xml:space="preserve">) </w:t>
            </w:r>
            <w:proofErr w:type="spellStart"/>
            <w:r w:rsidRPr="002B031E">
              <w:t>ss</w:t>
            </w:r>
            <w:proofErr w:type="spellEnd"/>
            <w:r w:rsidRPr="002B031E">
              <w:t xml:space="preserve"> 55B, 76</w:t>
            </w:r>
          </w:p>
          <w:p w:rsidR="00395B24" w:rsidRPr="002B031E" w:rsidRDefault="00595985" w:rsidP="00D82620">
            <w:pPr>
              <w:pStyle w:val="CasesLegislationAppealFrom"/>
              <w:spacing w:after="60"/>
            </w:pPr>
            <w:r w:rsidRPr="002B031E">
              <w:rPr>
                <w:i/>
              </w:rPr>
              <w:t xml:space="preserve">Crimes Act 1914 </w:t>
            </w:r>
            <w:r w:rsidRPr="002B031E">
              <w:t>(</w:t>
            </w:r>
            <w:proofErr w:type="spellStart"/>
            <w:r w:rsidRPr="002B031E">
              <w:t>Cth</w:t>
            </w:r>
            <w:proofErr w:type="spellEnd"/>
            <w:r w:rsidRPr="002B031E">
              <w:t>) s 4AA</w:t>
            </w:r>
            <w:r w:rsidR="002C7385" w:rsidRPr="002B031E">
              <w:t xml:space="preserve"> </w:t>
            </w:r>
            <w:bookmarkEnd w:id="2"/>
          </w:p>
        </w:tc>
      </w:tr>
      <w:tr w:rsidR="00395B24" w:rsidRPr="002B031E" w:rsidTr="002B031E">
        <w:tc>
          <w:tcPr>
            <w:tcW w:w="3085" w:type="dxa"/>
            <w:shd w:val="clear" w:color="auto" w:fill="auto"/>
          </w:tcPr>
          <w:p w:rsidR="00395B24" w:rsidRPr="002B031E" w:rsidRDefault="00395B24" w:rsidP="00663878">
            <w:pPr>
              <w:pStyle w:val="Normal1linespace"/>
              <w:widowControl w:val="0"/>
              <w:jc w:val="left"/>
            </w:pPr>
          </w:p>
        </w:tc>
        <w:tc>
          <w:tcPr>
            <w:tcW w:w="5989" w:type="dxa"/>
            <w:shd w:val="clear" w:color="auto" w:fill="auto"/>
          </w:tcPr>
          <w:p w:rsidR="00395B24" w:rsidRPr="002B031E" w:rsidRDefault="00395B24" w:rsidP="00663878">
            <w:pPr>
              <w:pStyle w:val="Normal1linespace"/>
              <w:widowControl w:val="0"/>
              <w:jc w:val="left"/>
            </w:pPr>
          </w:p>
        </w:tc>
      </w:tr>
      <w:tr w:rsidR="00395B24" w:rsidRPr="002B031E" w:rsidTr="002B031E">
        <w:tc>
          <w:tcPr>
            <w:tcW w:w="3085" w:type="dxa"/>
            <w:shd w:val="clear" w:color="auto" w:fill="auto"/>
          </w:tcPr>
          <w:p w:rsidR="00395B24" w:rsidRPr="002B031E" w:rsidRDefault="002C7385" w:rsidP="00663878">
            <w:pPr>
              <w:pStyle w:val="Normal1linespace"/>
              <w:widowControl w:val="0"/>
              <w:jc w:val="left"/>
            </w:pPr>
            <w:r w:rsidRPr="002B031E">
              <w:t>Cases cited:</w:t>
            </w:r>
          </w:p>
        </w:tc>
        <w:tc>
          <w:tcPr>
            <w:tcW w:w="5989" w:type="dxa"/>
            <w:shd w:val="clear" w:color="auto" w:fill="auto"/>
          </w:tcPr>
          <w:p w:rsidR="00595985" w:rsidRPr="002B031E" w:rsidRDefault="00595985" w:rsidP="00D82620">
            <w:pPr>
              <w:pStyle w:val="CasesLegislationAppealFrom"/>
              <w:spacing w:after="60"/>
            </w:pPr>
            <w:bookmarkStart w:id="3" w:name="Cases_Cited"/>
            <w:r w:rsidRPr="002B031E">
              <w:rPr>
                <w:i/>
              </w:rPr>
              <w:t xml:space="preserve">Australian Building and Construction Commissioner v Construction, Forestry, Mining and Energy Union </w:t>
            </w:r>
            <w:r w:rsidRPr="002B031E">
              <w:t xml:space="preserve">(2018) </w:t>
            </w:r>
            <w:r w:rsidR="008D769E" w:rsidRPr="002B031E">
              <w:t>262 CLR 157; [2018] HCA 3</w:t>
            </w:r>
          </w:p>
          <w:p w:rsidR="00395B24" w:rsidRPr="002B031E" w:rsidRDefault="00595985" w:rsidP="00D82620">
            <w:pPr>
              <w:pStyle w:val="CasesLegislationAppealFrom"/>
              <w:spacing w:after="60"/>
            </w:pPr>
            <w:r w:rsidRPr="002B031E">
              <w:rPr>
                <w:i/>
              </w:rPr>
              <w:t xml:space="preserve">Commonwealth v Director, Fair Work Building Industry Inspectorate </w:t>
            </w:r>
            <w:r w:rsidRPr="002B031E">
              <w:t>(2015) 258 CLR 482; [2015] HCA 46</w:t>
            </w:r>
            <w:r w:rsidR="002C7385" w:rsidRPr="002B031E">
              <w:t xml:space="preserve"> </w:t>
            </w:r>
            <w:bookmarkEnd w:id="3"/>
          </w:p>
        </w:tc>
      </w:tr>
      <w:tr w:rsidR="002B031E" w:rsidRPr="002B031E" w:rsidTr="002B031E">
        <w:tc>
          <w:tcPr>
            <w:tcW w:w="3085" w:type="dxa"/>
            <w:shd w:val="clear" w:color="auto" w:fill="auto"/>
          </w:tcPr>
          <w:p w:rsidR="002B031E" w:rsidRPr="002B031E" w:rsidRDefault="002B031E" w:rsidP="002B031E">
            <w:pPr>
              <w:pStyle w:val="Normal1linespace"/>
              <w:jc w:val="left"/>
            </w:pPr>
          </w:p>
        </w:tc>
        <w:tc>
          <w:tcPr>
            <w:tcW w:w="5989" w:type="dxa"/>
            <w:shd w:val="clear" w:color="auto" w:fill="auto"/>
          </w:tcPr>
          <w:p w:rsidR="002B031E" w:rsidRPr="002B031E" w:rsidRDefault="002B031E" w:rsidP="002B031E">
            <w:pPr>
              <w:pStyle w:val="Normal1linespace"/>
              <w:jc w:val="left"/>
            </w:pPr>
          </w:p>
        </w:tc>
      </w:tr>
      <w:tr w:rsidR="002B031E" w:rsidRPr="002B031E" w:rsidTr="002B031E">
        <w:tc>
          <w:tcPr>
            <w:tcW w:w="3085" w:type="dxa"/>
            <w:shd w:val="clear" w:color="auto" w:fill="auto"/>
          </w:tcPr>
          <w:p w:rsidR="002B031E" w:rsidRPr="002B031E" w:rsidRDefault="002B031E" w:rsidP="002B031E">
            <w:pPr>
              <w:pStyle w:val="Normal1linespace"/>
              <w:jc w:val="left"/>
            </w:pPr>
            <w:bookmarkStart w:id="4" w:name="CounselDate" w:colFirst="0" w:colLast="2"/>
            <w:r w:rsidRPr="002B031E">
              <w:t>Date of hearing:</w:t>
            </w:r>
          </w:p>
        </w:tc>
        <w:tc>
          <w:tcPr>
            <w:tcW w:w="5989" w:type="dxa"/>
            <w:shd w:val="clear" w:color="auto" w:fill="auto"/>
          </w:tcPr>
          <w:p w:rsidR="002B031E" w:rsidRPr="002B031E" w:rsidRDefault="002B031E" w:rsidP="002B031E">
            <w:pPr>
              <w:pStyle w:val="Normal1linespace"/>
              <w:jc w:val="left"/>
            </w:pPr>
            <w:bookmarkStart w:id="5" w:name="HearingDate"/>
            <w:bookmarkEnd w:id="5"/>
            <w:r>
              <w:t>Determined on the papers</w:t>
            </w:r>
          </w:p>
        </w:tc>
      </w:tr>
      <w:bookmarkEnd w:id="4"/>
      <w:tr w:rsidR="002B031E" w:rsidRPr="002B031E" w:rsidTr="002B031E">
        <w:tc>
          <w:tcPr>
            <w:tcW w:w="3085" w:type="dxa"/>
            <w:shd w:val="clear" w:color="auto" w:fill="auto"/>
          </w:tcPr>
          <w:p w:rsidR="002B031E" w:rsidRPr="002B031E" w:rsidRDefault="002B031E" w:rsidP="002B031E">
            <w:pPr>
              <w:pStyle w:val="Normal1linespace"/>
              <w:widowControl w:val="0"/>
              <w:jc w:val="left"/>
            </w:pPr>
          </w:p>
        </w:tc>
        <w:tc>
          <w:tcPr>
            <w:tcW w:w="5989" w:type="dxa"/>
            <w:shd w:val="clear" w:color="auto" w:fill="auto"/>
          </w:tcPr>
          <w:p w:rsidR="002B031E" w:rsidRPr="002B031E" w:rsidRDefault="002B031E" w:rsidP="002B031E">
            <w:pPr>
              <w:pStyle w:val="Normal1linespace"/>
              <w:widowControl w:val="0"/>
              <w:jc w:val="left"/>
            </w:pPr>
          </w:p>
        </w:tc>
      </w:tr>
      <w:tr w:rsidR="002B031E" w:rsidRPr="002B031E" w:rsidTr="002B031E">
        <w:tc>
          <w:tcPr>
            <w:tcW w:w="3085" w:type="dxa"/>
            <w:shd w:val="clear" w:color="auto" w:fill="auto"/>
          </w:tcPr>
          <w:p w:rsidR="002B031E" w:rsidRPr="002B031E" w:rsidRDefault="002B031E" w:rsidP="002B031E">
            <w:pPr>
              <w:pStyle w:val="Normal1linespace"/>
              <w:widowControl w:val="0"/>
              <w:jc w:val="left"/>
            </w:pPr>
            <w:r w:rsidRPr="002B031E">
              <w:t>Registry:</w:t>
            </w:r>
          </w:p>
        </w:tc>
        <w:tc>
          <w:tcPr>
            <w:tcW w:w="5989" w:type="dxa"/>
            <w:shd w:val="clear" w:color="auto" w:fill="auto"/>
          </w:tcPr>
          <w:p w:rsidR="002B031E" w:rsidRPr="002B031E" w:rsidRDefault="00082BCA" w:rsidP="002B031E">
            <w:pPr>
              <w:pStyle w:val="Normal1linespace"/>
              <w:widowControl w:val="0"/>
              <w:jc w:val="left"/>
            </w:pPr>
            <w:r>
              <w:fldChar w:fldCharType="begin" w:fldLock="1"/>
            </w:r>
            <w:r>
              <w:instrText xml:space="preserve"> DOCPROPERTY  Registry </w:instrText>
            </w:r>
            <w:r>
              <w:fldChar w:fldCharType="separate"/>
            </w:r>
            <w:r w:rsidR="002B031E" w:rsidRPr="002B031E">
              <w:t>Victoria</w:t>
            </w:r>
            <w:r>
              <w:fldChar w:fldCharType="end"/>
            </w:r>
          </w:p>
        </w:tc>
      </w:tr>
      <w:tr w:rsidR="002B031E" w:rsidRPr="002B031E" w:rsidTr="002B031E">
        <w:tc>
          <w:tcPr>
            <w:tcW w:w="3085" w:type="dxa"/>
            <w:shd w:val="clear" w:color="auto" w:fill="auto"/>
          </w:tcPr>
          <w:p w:rsidR="002B031E" w:rsidRPr="002B031E" w:rsidRDefault="002B031E" w:rsidP="002B031E">
            <w:pPr>
              <w:pStyle w:val="Normal1linespace"/>
              <w:widowControl w:val="0"/>
              <w:jc w:val="left"/>
            </w:pPr>
          </w:p>
        </w:tc>
        <w:tc>
          <w:tcPr>
            <w:tcW w:w="5989" w:type="dxa"/>
            <w:shd w:val="clear" w:color="auto" w:fill="auto"/>
          </w:tcPr>
          <w:p w:rsidR="002B031E" w:rsidRPr="002B031E" w:rsidRDefault="002B031E" w:rsidP="002B031E">
            <w:pPr>
              <w:pStyle w:val="Normal1linespace"/>
              <w:widowControl w:val="0"/>
              <w:jc w:val="left"/>
            </w:pPr>
          </w:p>
        </w:tc>
      </w:tr>
      <w:tr w:rsidR="002B031E" w:rsidRPr="002B031E" w:rsidTr="002B031E">
        <w:tc>
          <w:tcPr>
            <w:tcW w:w="3085" w:type="dxa"/>
            <w:shd w:val="clear" w:color="auto" w:fill="auto"/>
          </w:tcPr>
          <w:p w:rsidR="002B031E" w:rsidRPr="002B031E" w:rsidRDefault="002B031E" w:rsidP="002B031E">
            <w:pPr>
              <w:pStyle w:val="Normal1linespace"/>
              <w:widowControl w:val="0"/>
              <w:jc w:val="left"/>
            </w:pPr>
            <w:r w:rsidRPr="002B031E">
              <w:t>Division:</w:t>
            </w:r>
          </w:p>
        </w:tc>
        <w:tc>
          <w:tcPr>
            <w:tcW w:w="5989" w:type="dxa"/>
            <w:shd w:val="clear" w:color="auto" w:fill="auto"/>
          </w:tcPr>
          <w:p w:rsidR="002B031E" w:rsidRPr="002B031E" w:rsidRDefault="00082BCA" w:rsidP="002B031E">
            <w:pPr>
              <w:pStyle w:val="Normal1linespace"/>
              <w:widowControl w:val="0"/>
              <w:jc w:val="left"/>
            </w:pPr>
            <w:r>
              <w:fldChar w:fldCharType="begin" w:fldLock="1"/>
            </w:r>
            <w:r>
              <w:instrText xml:space="preserve"> DOCPROPERTY  Division </w:instrText>
            </w:r>
            <w:r>
              <w:fldChar w:fldCharType="separate"/>
            </w:r>
            <w:r w:rsidR="002B031E" w:rsidRPr="002B031E">
              <w:t>General Division</w:t>
            </w:r>
            <w:r>
              <w:fldChar w:fldCharType="end"/>
            </w:r>
          </w:p>
        </w:tc>
      </w:tr>
      <w:tr w:rsidR="002B031E" w:rsidRPr="002B031E" w:rsidTr="002B031E">
        <w:tc>
          <w:tcPr>
            <w:tcW w:w="3085" w:type="dxa"/>
            <w:shd w:val="clear" w:color="auto" w:fill="auto"/>
          </w:tcPr>
          <w:p w:rsidR="002B031E" w:rsidRPr="002B031E" w:rsidRDefault="002B031E" w:rsidP="002B031E">
            <w:pPr>
              <w:pStyle w:val="Normal1linespace"/>
              <w:widowControl w:val="0"/>
              <w:jc w:val="left"/>
            </w:pPr>
          </w:p>
        </w:tc>
        <w:tc>
          <w:tcPr>
            <w:tcW w:w="5989" w:type="dxa"/>
            <w:shd w:val="clear" w:color="auto" w:fill="auto"/>
          </w:tcPr>
          <w:p w:rsidR="002B031E" w:rsidRPr="002B031E" w:rsidRDefault="002B031E" w:rsidP="002B031E">
            <w:pPr>
              <w:pStyle w:val="Normal1linespace"/>
              <w:widowControl w:val="0"/>
              <w:jc w:val="left"/>
              <w:rPr>
                <w:b/>
              </w:rPr>
            </w:pPr>
          </w:p>
        </w:tc>
      </w:tr>
      <w:tr w:rsidR="002B031E" w:rsidRPr="002B031E" w:rsidTr="002B031E">
        <w:tc>
          <w:tcPr>
            <w:tcW w:w="3085" w:type="dxa"/>
            <w:shd w:val="clear" w:color="auto" w:fill="auto"/>
          </w:tcPr>
          <w:p w:rsidR="002B031E" w:rsidRPr="002B031E" w:rsidRDefault="002B031E" w:rsidP="002B031E">
            <w:pPr>
              <w:pStyle w:val="Normal1linespace"/>
              <w:widowControl w:val="0"/>
              <w:jc w:val="left"/>
            </w:pPr>
            <w:r w:rsidRPr="002B031E">
              <w:t>National Practice Area:</w:t>
            </w:r>
          </w:p>
        </w:tc>
        <w:tc>
          <w:tcPr>
            <w:tcW w:w="5989" w:type="dxa"/>
            <w:shd w:val="clear" w:color="auto" w:fill="auto"/>
          </w:tcPr>
          <w:p w:rsidR="002B031E" w:rsidRPr="002B031E" w:rsidRDefault="002B031E" w:rsidP="002B031E">
            <w:pPr>
              <w:pStyle w:val="Normal1linespace"/>
              <w:widowControl w:val="0"/>
              <w:jc w:val="left"/>
              <w:rPr>
                <w:b/>
              </w:rPr>
            </w:pPr>
            <w:r>
              <w:t>Commercial and Corporations</w:t>
            </w:r>
            <w:r w:rsidR="00D4714B">
              <w:fldChar w:fldCharType="begin" w:fldLock="1"/>
            </w:r>
            <w:r w:rsidR="00D4714B">
              <w:instrText xml:space="preserve"> DOCPROPERTY  "Practice Area"  \* MERGEFORMAT </w:instrText>
            </w:r>
            <w:r w:rsidR="00D4714B">
              <w:fldChar w:fldCharType="end"/>
            </w:r>
          </w:p>
        </w:tc>
      </w:tr>
      <w:tr w:rsidR="002B031E" w:rsidRPr="002B031E" w:rsidTr="002B031E">
        <w:tc>
          <w:tcPr>
            <w:tcW w:w="3085" w:type="dxa"/>
            <w:shd w:val="clear" w:color="auto" w:fill="auto"/>
          </w:tcPr>
          <w:p w:rsidR="002B031E" w:rsidRPr="002B031E" w:rsidRDefault="002B031E" w:rsidP="002B031E">
            <w:pPr>
              <w:pStyle w:val="Normal1linespace"/>
              <w:widowControl w:val="0"/>
              <w:jc w:val="left"/>
            </w:pPr>
          </w:p>
        </w:tc>
        <w:tc>
          <w:tcPr>
            <w:tcW w:w="5989" w:type="dxa"/>
            <w:shd w:val="clear" w:color="auto" w:fill="auto"/>
          </w:tcPr>
          <w:p w:rsidR="002B031E" w:rsidRPr="002B031E" w:rsidRDefault="002B031E" w:rsidP="002B031E">
            <w:pPr>
              <w:pStyle w:val="Normal1linespace"/>
              <w:widowControl w:val="0"/>
              <w:jc w:val="left"/>
            </w:pPr>
          </w:p>
        </w:tc>
      </w:tr>
      <w:tr w:rsidR="002B031E" w:rsidRPr="002B031E" w:rsidTr="002B031E">
        <w:tc>
          <w:tcPr>
            <w:tcW w:w="3085" w:type="dxa"/>
            <w:shd w:val="clear" w:color="auto" w:fill="auto"/>
          </w:tcPr>
          <w:p w:rsidR="002B031E" w:rsidRPr="002B031E" w:rsidRDefault="002B031E" w:rsidP="002B031E">
            <w:pPr>
              <w:pStyle w:val="Normal1linespace"/>
              <w:widowControl w:val="0"/>
              <w:jc w:val="left"/>
            </w:pPr>
            <w:r w:rsidRPr="002B031E">
              <w:t>Sub-area:</w:t>
            </w:r>
          </w:p>
        </w:tc>
        <w:tc>
          <w:tcPr>
            <w:tcW w:w="5989" w:type="dxa"/>
            <w:shd w:val="clear" w:color="auto" w:fill="auto"/>
          </w:tcPr>
          <w:p w:rsidR="002B031E" w:rsidRPr="002B031E" w:rsidRDefault="002B031E" w:rsidP="002B031E">
            <w:pPr>
              <w:pStyle w:val="Normal1linespace"/>
              <w:widowControl w:val="0"/>
              <w:jc w:val="left"/>
            </w:pPr>
            <w:r>
              <w:t>Regulator and Consumer Protection</w:t>
            </w:r>
          </w:p>
        </w:tc>
      </w:tr>
      <w:tr w:rsidR="002B031E" w:rsidRPr="002B031E" w:rsidTr="002B031E">
        <w:tc>
          <w:tcPr>
            <w:tcW w:w="3085" w:type="dxa"/>
            <w:shd w:val="clear" w:color="auto" w:fill="auto"/>
          </w:tcPr>
          <w:p w:rsidR="002B031E" w:rsidRPr="002B031E" w:rsidRDefault="002B031E" w:rsidP="002B031E">
            <w:pPr>
              <w:pStyle w:val="Normal1linespace"/>
              <w:widowControl w:val="0"/>
              <w:jc w:val="left"/>
            </w:pPr>
          </w:p>
        </w:tc>
        <w:tc>
          <w:tcPr>
            <w:tcW w:w="5989" w:type="dxa"/>
            <w:shd w:val="clear" w:color="auto" w:fill="auto"/>
          </w:tcPr>
          <w:p w:rsidR="002B031E" w:rsidRPr="002B031E" w:rsidRDefault="002B031E" w:rsidP="002B031E">
            <w:pPr>
              <w:pStyle w:val="Normal1linespace"/>
              <w:widowControl w:val="0"/>
              <w:jc w:val="left"/>
              <w:rPr>
                <w:b/>
              </w:rPr>
            </w:pPr>
          </w:p>
        </w:tc>
      </w:tr>
      <w:tr w:rsidR="002B031E" w:rsidRPr="002B031E" w:rsidTr="002B031E">
        <w:tc>
          <w:tcPr>
            <w:tcW w:w="3085" w:type="dxa"/>
            <w:shd w:val="clear" w:color="auto" w:fill="auto"/>
          </w:tcPr>
          <w:p w:rsidR="002B031E" w:rsidRPr="002B031E" w:rsidRDefault="002B031E" w:rsidP="002B031E">
            <w:pPr>
              <w:pStyle w:val="Normal1linespace"/>
              <w:widowControl w:val="0"/>
              <w:jc w:val="left"/>
            </w:pPr>
            <w:r w:rsidRPr="002B031E">
              <w:t>Category:</w:t>
            </w:r>
          </w:p>
        </w:tc>
        <w:tc>
          <w:tcPr>
            <w:tcW w:w="5989" w:type="dxa"/>
            <w:shd w:val="clear" w:color="auto" w:fill="auto"/>
          </w:tcPr>
          <w:p w:rsidR="002B031E" w:rsidRPr="002B031E" w:rsidRDefault="002B031E" w:rsidP="002B031E">
            <w:pPr>
              <w:pStyle w:val="Normal1linespace"/>
              <w:widowControl w:val="0"/>
              <w:jc w:val="left"/>
            </w:pPr>
            <w:r>
              <w:t>Catchwords</w:t>
            </w:r>
          </w:p>
        </w:tc>
      </w:tr>
      <w:tr w:rsidR="002B031E" w:rsidRPr="002B031E" w:rsidTr="002B031E">
        <w:tc>
          <w:tcPr>
            <w:tcW w:w="3085" w:type="dxa"/>
            <w:shd w:val="clear" w:color="auto" w:fill="auto"/>
          </w:tcPr>
          <w:p w:rsidR="002B031E" w:rsidRPr="002B031E" w:rsidRDefault="002B031E" w:rsidP="002B031E">
            <w:pPr>
              <w:pStyle w:val="Normal1linespace"/>
              <w:widowControl w:val="0"/>
              <w:jc w:val="left"/>
            </w:pPr>
          </w:p>
        </w:tc>
        <w:tc>
          <w:tcPr>
            <w:tcW w:w="5989" w:type="dxa"/>
            <w:shd w:val="clear" w:color="auto" w:fill="auto"/>
          </w:tcPr>
          <w:p w:rsidR="002B031E" w:rsidRPr="002B031E" w:rsidRDefault="002B031E" w:rsidP="002B031E">
            <w:pPr>
              <w:pStyle w:val="Normal1linespace"/>
              <w:widowControl w:val="0"/>
              <w:jc w:val="left"/>
            </w:pPr>
          </w:p>
        </w:tc>
      </w:tr>
      <w:tr w:rsidR="002B031E" w:rsidRPr="002B031E" w:rsidTr="002B031E">
        <w:tc>
          <w:tcPr>
            <w:tcW w:w="3085" w:type="dxa"/>
            <w:shd w:val="clear" w:color="auto" w:fill="auto"/>
          </w:tcPr>
          <w:p w:rsidR="002B031E" w:rsidRPr="002B031E" w:rsidRDefault="002B031E" w:rsidP="002B031E">
            <w:pPr>
              <w:pStyle w:val="Normal1linespace"/>
              <w:widowControl w:val="0"/>
              <w:jc w:val="left"/>
            </w:pPr>
            <w:r w:rsidRPr="002B031E">
              <w:t>Number of paragraphs:</w:t>
            </w:r>
          </w:p>
        </w:tc>
        <w:tc>
          <w:tcPr>
            <w:tcW w:w="5989" w:type="dxa"/>
            <w:shd w:val="clear" w:color="auto" w:fill="auto"/>
          </w:tcPr>
          <w:p w:rsidR="002B031E" w:rsidRPr="002B031E" w:rsidRDefault="002B031E" w:rsidP="002B031E">
            <w:pPr>
              <w:pStyle w:val="Normal1linespace"/>
              <w:widowControl w:val="0"/>
              <w:jc w:val="left"/>
            </w:pPr>
            <w:bookmarkStart w:id="6" w:name="PlaceCategoryParagraphs"/>
            <w:r w:rsidRPr="002B031E">
              <w:t>26</w:t>
            </w:r>
            <w:bookmarkEnd w:id="6"/>
          </w:p>
        </w:tc>
      </w:tr>
      <w:tr w:rsidR="002B031E" w:rsidRPr="002B031E" w:rsidTr="002B031E">
        <w:tc>
          <w:tcPr>
            <w:tcW w:w="3085" w:type="dxa"/>
            <w:shd w:val="clear" w:color="auto" w:fill="auto"/>
          </w:tcPr>
          <w:p w:rsidR="002B031E" w:rsidRPr="002B031E" w:rsidRDefault="002B031E" w:rsidP="002B031E">
            <w:pPr>
              <w:pStyle w:val="Normal1linespace"/>
              <w:widowControl w:val="0"/>
              <w:jc w:val="left"/>
            </w:pPr>
          </w:p>
        </w:tc>
        <w:tc>
          <w:tcPr>
            <w:tcW w:w="5989" w:type="dxa"/>
            <w:shd w:val="clear" w:color="auto" w:fill="auto"/>
          </w:tcPr>
          <w:p w:rsidR="002B031E" w:rsidRPr="002B031E" w:rsidRDefault="002B031E" w:rsidP="002B031E">
            <w:pPr>
              <w:pStyle w:val="Normal1linespace"/>
              <w:widowControl w:val="0"/>
              <w:jc w:val="left"/>
            </w:pPr>
          </w:p>
        </w:tc>
      </w:tr>
      <w:tr w:rsidR="002B031E" w:rsidRPr="002B031E" w:rsidTr="002B031E">
        <w:tc>
          <w:tcPr>
            <w:tcW w:w="3085" w:type="dxa"/>
            <w:shd w:val="clear" w:color="auto" w:fill="auto"/>
          </w:tcPr>
          <w:p w:rsidR="002B031E" w:rsidRPr="002B031E" w:rsidRDefault="002B031E" w:rsidP="002B031E">
            <w:pPr>
              <w:pStyle w:val="Normal1linespace"/>
              <w:widowControl w:val="0"/>
              <w:jc w:val="left"/>
            </w:pPr>
            <w:bookmarkStart w:id="7" w:name="Counsel" w:colFirst="0" w:colLast="2"/>
            <w:r>
              <w:t>Counsel for the Applicant:</w:t>
            </w:r>
          </w:p>
        </w:tc>
        <w:tc>
          <w:tcPr>
            <w:tcW w:w="5989" w:type="dxa"/>
            <w:shd w:val="clear" w:color="auto" w:fill="auto"/>
          </w:tcPr>
          <w:p w:rsidR="002B031E" w:rsidRPr="002B031E" w:rsidRDefault="002B031E" w:rsidP="002B031E">
            <w:pPr>
              <w:pStyle w:val="Normal1linespace"/>
              <w:widowControl w:val="0"/>
              <w:jc w:val="left"/>
            </w:pPr>
            <w:bookmarkStart w:id="8" w:name="AppCounsel"/>
            <w:bookmarkEnd w:id="8"/>
            <w:r>
              <w:t xml:space="preserve">Ms C </w:t>
            </w:r>
            <w:proofErr w:type="spellStart"/>
            <w:r>
              <w:t>Cunliffe</w:t>
            </w:r>
            <w:proofErr w:type="spellEnd"/>
          </w:p>
        </w:tc>
      </w:tr>
      <w:tr w:rsidR="002B031E" w:rsidRPr="002B031E" w:rsidTr="002B031E">
        <w:tc>
          <w:tcPr>
            <w:tcW w:w="3085" w:type="dxa"/>
            <w:shd w:val="clear" w:color="auto" w:fill="auto"/>
          </w:tcPr>
          <w:p w:rsidR="002B031E" w:rsidRDefault="002B031E" w:rsidP="002B031E">
            <w:pPr>
              <w:pStyle w:val="Normal1linespace"/>
              <w:widowControl w:val="0"/>
              <w:jc w:val="left"/>
            </w:pPr>
          </w:p>
        </w:tc>
        <w:tc>
          <w:tcPr>
            <w:tcW w:w="5989" w:type="dxa"/>
            <w:shd w:val="clear" w:color="auto" w:fill="auto"/>
          </w:tcPr>
          <w:p w:rsidR="002B031E" w:rsidRDefault="002B031E" w:rsidP="002B031E">
            <w:pPr>
              <w:pStyle w:val="Normal1linespace"/>
              <w:widowControl w:val="0"/>
              <w:jc w:val="left"/>
            </w:pPr>
          </w:p>
        </w:tc>
      </w:tr>
      <w:tr w:rsidR="002B031E" w:rsidRPr="002B031E" w:rsidTr="002B031E">
        <w:tc>
          <w:tcPr>
            <w:tcW w:w="3085" w:type="dxa"/>
            <w:shd w:val="clear" w:color="auto" w:fill="auto"/>
          </w:tcPr>
          <w:p w:rsidR="002B031E" w:rsidRDefault="002B031E" w:rsidP="002B031E">
            <w:pPr>
              <w:pStyle w:val="Normal1linespace"/>
              <w:widowControl w:val="0"/>
              <w:jc w:val="left"/>
            </w:pPr>
            <w:r>
              <w:lastRenderedPageBreak/>
              <w:t>Solicitor for the Applicant:</w:t>
            </w:r>
          </w:p>
        </w:tc>
        <w:tc>
          <w:tcPr>
            <w:tcW w:w="5989" w:type="dxa"/>
            <w:shd w:val="clear" w:color="auto" w:fill="auto"/>
          </w:tcPr>
          <w:p w:rsidR="002B031E" w:rsidRDefault="00972BA7" w:rsidP="002B031E">
            <w:pPr>
              <w:pStyle w:val="Normal1linespace"/>
              <w:widowControl w:val="0"/>
              <w:jc w:val="left"/>
            </w:pPr>
            <w:r>
              <w:t>Norton Rose Fulbright Australia</w:t>
            </w:r>
          </w:p>
        </w:tc>
      </w:tr>
      <w:tr w:rsidR="00972BA7" w:rsidRPr="002B031E" w:rsidTr="002B031E">
        <w:tc>
          <w:tcPr>
            <w:tcW w:w="3085" w:type="dxa"/>
            <w:shd w:val="clear" w:color="auto" w:fill="auto"/>
          </w:tcPr>
          <w:p w:rsidR="00972BA7" w:rsidRDefault="00972BA7" w:rsidP="002B031E">
            <w:pPr>
              <w:pStyle w:val="Normal1linespace"/>
              <w:widowControl w:val="0"/>
              <w:jc w:val="left"/>
            </w:pPr>
          </w:p>
        </w:tc>
        <w:tc>
          <w:tcPr>
            <w:tcW w:w="5989" w:type="dxa"/>
            <w:shd w:val="clear" w:color="auto" w:fill="auto"/>
          </w:tcPr>
          <w:p w:rsidR="00972BA7" w:rsidRDefault="00972BA7" w:rsidP="002B031E">
            <w:pPr>
              <w:pStyle w:val="Normal1linespace"/>
              <w:widowControl w:val="0"/>
              <w:jc w:val="left"/>
            </w:pPr>
          </w:p>
        </w:tc>
      </w:tr>
      <w:tr w:rsidR="00972BA7" w:rsidRPr="002B031E" w:rsidTr="002B031E">
        <w:tc>
          <w:tcPr>
            <w:tcW w:w="3085" w:type="dxa"/>
            <w:shd w:val="clear" w:color="auto" w:fill="auto"/>
          </w:tcPr>
          <w:p w:rsidR="00972BA7" w:rsidRDefault="00972BA7" w:rsidP="002B031E">
            <w:pPr>
              <w:pStyle w:val="Normal1linespace"/>
              <w:widowControl w:val="0"/>
              <w:jc w:val="left"/>
            </w:pPr>
            <w:r>
              <w:t>Counsel for the Respondent:</w:t>
            </w:r>
          </w:p>
        </w:tc>
        <w:tc>
          <w:tcPr>
            <w:tcW w:w="5989" w:type="dxa"/>
            <w:shd w:val="clear" w:color="auto" w:fill="auto"/>
          </w:tcPr>
          <w:p w:rsidR="00972BA7" w:rsidRDefault="00972BA7" w:rsidP="002B031E">
            <w:pPr>
              <w:pStyle w:val="Normal1linespace"/>
              <w:widowControl w:val="0"/>
              <w:jc w:val="left"/>
            </w:pPr>
            <w:r>
              <w:t>Mr C Archibald QC</w:t>
            </w:r>
          </w:p>
        </w:tc>
      </w:tr>
      <w:tr w:rsidR="00972BA7" w:rsidRPr="002B031E" w:rsidTr="002B031E">
        <w:tc>
          <w:tcPr>
            <w:tcW w:w="3085" w:type="dxa"/>
            <w:shd w:val="clear" w:color="auto" w:fill="auto"/>
          </w:tcPr>
          <w:p w:rsidR="00972BA7" w:rsidRDefault="00972BA7" w:rsidP="002B031E">
            <w:pPr>
              <w:pStyle w:val="Normal1linespace"/>
              <w:widowControl w:val="0"/>
              <w:jc w:val="left"/>
            </w:pPr>
          </w:p>
        </w:tc>
        <w:tc>
          <w:tcPr>
            <w:tcW w:w="5989" w:type="dxa"/>
            <w:shd w:val="clear" w:color="auto" w:fill="auto"/>
          </w:tcPr>
          <w:p w:rsidR="00972BA7" w:rsidRDefault="00972BA7" w:rsidP="002B031E">
            <w:pPr>
              <w:pStyle w:val="Normal1linespace"/>
              <w:widowControl w:val="0"/>
              <w:jc w:val="left"/>
            </w:pPr>
          </w:p>
        </w:tc>
      </w:tr>
      <w:tr w:rsidR="00972BA7" w:rsidRPr="002B031E" w:rsidTr="002B031E">
        <w:tc>
          <w:tcPr>
            <w:tcW w:w="3085" w:type="dxa"/>
            <w:shd w:val="clear" w:color="auto" w:fill="auto"/>
          </w:tcPr>
          <w:p w:rsidR="00972BA7" w:rsidRDefault="00972BA7" w:rsidP="002B031E">
            <w:pPr>
              <w:pStyle w:val="Normal1linespace"/>
              <w:widowControl w:val="0"/>
              <w:jc w:val="left"/>
            </w:pPr>
            <w:r>
              <w:t>Solicitor for the Respondent:</w:t>
            </w:r>
          </w:p>
        </w:tc>
        <w:tc>
          <w:tcPr>
            <w:tcW w:w="5989" w:type="dxa"/>
            <w:shd w:val="clear" w:color="auto" w:fill="auto"/>
          </w:tcPr>
          <w:p w:rsidR="00972BA7" w:rsidRDefault="00972BA7" w:rsidP="002B031E">
            <w:pPr>
              <w:pStyle w:val="Normal1linespace"/>
              <w:widowControl w:val="0"/>
              <w:jc w:val="left"/>
            </w:pPr>
            <w:r>
              <w:t>Thomson Geer</w:t>
            </w:r>
          </w:p>
        </w:tc>
      </w:tr>
      <w:bookmarkEnd w:id="7"/>
    </w:tbl>
    <w:p w:rsidR="00395B24" w:rsidRPr="002B031E" w:rsidRDefault="00395B24">
      <w:pPr>
        <w:pStyle w:val="Normal1linespace"/>
      </w:pPr>
    </w:p>
    <w:p w:rsidR="0092590B" w:rsidRPr="002B031E" w:rsidRDefault="0092590B">
      <w:pPr>
        <w:pStyle w:val="Normal1linespace"/>
      </w:pPr>
    </w:p>
    <w:p w:rsidR="00395B24" w:rsidRPr="002B031E" w:rsidRDefault="00395B24">
      <w:pPr>
        <w:pStyle w:val="Normal1linespace"/>
        <w:sectPr w:rsidR="00395B24" w:rsidRPr="002B031E">
          <w:footerReference w:type="first" r:id="rId7"/>
          <w:endnotePr>
            <w:numFmt w:val="decimal"/>
          </w:endnotePr>
          <w:type w:val="continuous"/>
          <w:pgSz w:w="11907" w:h="16840" w:code="9"/>
          <w:pgMar w:top="1440" w:right="1440" w:bottom="1440" w:left="1440" w:header="851" w:footer="851" w:gutter="0"/>
          <w:pgNumType w:start="1"/>
          <w:cols w:space="720"/>
          <w:noEndnote/>
          <w:titlePg/>
        </w:sectPr>
      </w:pPr>
    </w:p>
    <w:p w:rsidR="008C7167" w:rsidRPr="002B031E" w:rsidRDefault="0011419D" w:rsidP="00045BB7">
      <w:pPr>
        <w:pStyle w:val="NormalHeadings"/>
        <w:spacing w:line="480" w:lineRule="auto"/>
        <w:jc w:val="center"/>
        <w:rPr>
          <w:sz w:val="28"/>
          <w:szCs w:val="28"/>
        </w:rPr>
      </w:pPr>
      <w:r w:rsidRPr="002B031E">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RPr="002B031E" w:rsidTr="00E81DA6">
        <w:tc>
          <w:tcPr>
            <w:tcW w:w="6912" w:type="dxa"/>
            <w:gridSpan w:val="2"/>
          </w:tcPr>
          <w:p w:rsidR="00A46CCC" w:rsidRPr="002B031E" w:rsidRDefault="00A46CCC" w:rsidP="00525A49">
            <w:pPr>
              <w:pStyle w:val="NormalHeadings"/>
            </w:pPr>
          </w:p>
        </w:tc>
        <w:tc>
          <w:tcPr>
            <w:tcW w:w="2330" w:type="dxa"/>
          </w:tcPr>
          <w:p w:rsidR="00A46CCC" w:rsidRPr="002B031E" w:rsidRDefault="00743628" w:rsidP="00F92355">
            <w:pPr>
              <w:pStyle w:val="NormalHeadings"/>
              <w:jc w:val="right"/>
            </w:pPr>
            <w:bookmarkStart w:id="9" w:name="FileNo"/>
            <w:r w:rsidRPr="002B031E">
              <w:t>VID 885 of 2018</w:t>
            </w:r>
            <w:bookmarkEnd w:id="9"/>
          </w:p>
        </w:tc>
      </w:tr>
      <w:tr w:rsidR="00A76C13" w:rsidRPr="002B031E" w:rsidTr="00412765">
        <w:tc>
          <w:tcPr>
            <w:tcW w:w="9242" w:type="dxa"/>
            <w:gridSpan w:val="3"/>
          </w:tcPr>
          <w:p w:rsidR="00A76C13" w:rsidRPr="002B031E" w:rsidRDefault="00743628" w:rsidP="00743628">
            <w:pPr>
              <w:pStyle w:val="NormalHeadings"/>
              <w:jc w:val="left"/>
            </w:pPr>
            <w:bookmarkStart w:id="10" w:name="InTheMatterOf"/>
            <w:r w:rsidRPr="002B031E">
              <w:t xml:space="preserve"> </w:t>
            </w:r>
            <w:bookmarkEnd w:id="10"/>
          </w:p>
        </w:tc>
      </w:tr>
      <w:tr w:rsidR="00A46CCC" w:rsidRPr="002B031E" w:rsidTr="00412765">
        <w:trPr>
          <w:trHeight w:val="386"/>
        </w:trPr>
        <w:tc>
          <w:tcPr>
            <w:tcW w:w="2376" w:type="dxa"/>
          </w:tcPr>
          <w:p w:rsidR="00A46CCC" w:rsidRPr="002B031E" w:rsidRDefault="00A46CCC" w:rsidP="00412765">
            <w:pPr>
              <w:pStyle w:val="NormalHeadings"/>
              <w:jc w:val="left"/>
              <w:rPr>
                <w:caps/>
                <w:szCs w:val="24"/>
              </w:rPr>
            </w:pPr>
            <w:bookmarkStart w:id="11" w:name="Parties"/>
            <w:r w:rsidRPr="002B031E">
              <w:rPr>
                <w:caps/>
                <w:szCs w:val="24"/>
              </w:rPr>
              <w:t>BETWEEN:</w:t>
            </w:r>
          </w:p>
        </w:tc>
        <w:tc>
          <w:tcPr>
            <w:tcW w:w="6866" w:type="dxa"/>
            <w:gridSpan w:val="2"/>
          </w:tcPr>
          <w:p w:rsidR="00743628" w:rsidRPr="002B031E" w:rsidRDefault="00743628" w:rsidP="00743628">
            <w:pPr>
              <w:pStyle w:val="NormalHeadings"/>
              <w:jc w:val="left"/>
            </w:pPr>
            <w:bookmarkStart w:id="12" w:name="Applicant"/>
            <w:r w:rsidRPr="002B031E">
              <w:t>AUSTRALIAN COMPETITION AND CONSUMER COMMISSION</w:t>
            </w:r>
          </w:p>
          <w:p w:rsidR="00743628" w:rsidRPr="002B031E" w:rsidRDefault="00743628" w:rsidP="00743628">
            <w:pPr>
              <w:pStyle w:val="PartyType"/>
            </w:pPr>
            <w:r w:rsidRPr="002B031E">
              <w:t>Applicant</w:t>
            </w:r>
          </w:p>
          <w:bookmarkEnd w:id="12"/>
          <w:p w:rsidR="00A46CCC" w:rsidRPr="002B031E" w:rsidRDefault="00A46CCC" w:rsidP="00412765">
            <w:pPr>
              <w:pStyle w:val="NormalHeadings"/>
              <w:jc w:val="left"/>
            </w:pPr>
          </w:p>
        </w:tc>
      </w:tr>
      <w:tr w:rsidR="00A46CCC" w:rsidRPr="002B031E" w:rsidTr="00412765">
        <w:trPr>
          <w:trHeight w:val="386"/>
        </w:trPr>
        <w:tc>
          <w:tcPr>
            <w:tcW w:w="2376" w:type="dxa"/>
          </w:tcPr>
          <w:p w:rsidR="00A46CCC" w:rsidRPr="002B031E" w:rsidRDefault="00A46CCC" w:rsidP="00412765">
            <w:pPr>
              <w:pStyle w:val="NormalHeadings"/>
              <w:jc w:val="left"/>
              <w:rPr>
                <w:caps/>
                <w:szCs w:val="24"/>
              </w:rPr>
            </w:pPr>
            <w:r w:rsidRPr="002B031E">
              <w:rPr>
                <w:caps/>
                <w:szCs w:val="24"/>
              </w:rPr>
              <w:t>AND:</w:t>
            </w:r>
          </w:p>
        </w:tc>
        <w:tc>
          <w:tcPr>
            <w:tcW w:w="6866" w:type="dxa"/>
            <w:gridSpan w:val="2"/>
          </w:tcPr>
          <w:p w:rsidR="00743628" w:rsidRPr="002B031E" w:rsidRDefault="00743628" w:rsidP="00743628">
            <w:pPr>
              <w:pStyle w:val="NormalHeadings"/>
              <w:jc w:val="left"/>
            </w:pPr>
            <w:bookmarkStart w:id="13" w:name="Respondent"/>
            <w:r w:rsidRPr="002B031E">
              <w:t>CLA TRADING PTY LTD (ACN 082 220 339) (TRADING AS EUROPCAR)</w:t>
            </w:r>
          </w:p>
          <w:p w:rsidR="00743628" w:rsidRPr="002B031E" w:rsidRDefault="00743628" w:rsidP="00743628">
            <w:pPr>
              <w:pStyle w:val="PartyType"/>
            </w:pPr>
            <w:r w:rsidRPr="002B031E">
              <w:t>Respondent</w:t>
            </w:r>
          </w:p>
          <w:bookmarkEnd w:id="13"/>
          <w:p w:rsidR="00A46CCC" w:rsidRPr="002B031E" w:rsidRDefault="00A46CCC" w:rsidP="00412765">
            <w:pPr>
              <w:pStyle w:val="NormalHeadings"/>
              <w:jc w:val="left"/>
            </w:pPr>
          </w:p>
        </w:tc>
      </w:tr>
    </w:tbl>
    <w:p w:rsidR="00395B24" w:rsidRPr="002B031E" w:rsidRDefault="00395B24">
      <w:pPr>
        <w:pStyle w:val="NormalHeadings"/>
      </w:pPr>
      <w:bookmarkStart w:id="14" w:name="CrossClaimPosition"/>
      <w:bookmarkEnd w:id="11"/>
      <w:bookmarkEnd w:id="14"/>
    </w:p>
    <w:tbl>
      <w:tblPr>
        <w:tblW w:w="0" w:type="auto"/>
        <w:tblLayout w:type="fixed"/>
        <w:tblLook w:val="0000" w:firstRow="0" w:lastRow="0" w:firstColumn="0" w:lastColumn="0" w:noHBand="0" w:noVBand="0"/>
        <w:tblCaption w:val="Judge"/>
        <w:tblDescription w:val="Judge"/>
      </w:tblPr>
      <w:tblGrid>
        <w:gridCol w:w="2376"/>
        <w:gridCol w:w="6866"/>
      </w:tblGrid>
      <w:tr w:rsidR="00395B24" w:rsidRPr="002B031E">
        <w:tc>
          <w:tcPr>
            <w:tcW w:w="2376" w:type="dxa"/>
          </w:tcPr>
          <w:p w:rsidR="00395B24" w:rsidRPr="002B031E" w:rsidRDefault="00743628">
            <w:pPr>
              <w:pStyle w:val="NormalHeadings"/>
              <w:spacing w:after="120"/>
              <w:jc w:val="left"/>
              <w:rPr>
                <w:caps/>
                <w:szCs w:val="24"/>
              </w:rPr>
            </w:pPr>
            <w:bookmarkStart w:id="15" w:name="JudgeText"/>
            <w:r w:rsidRPr="002B031E">
              <w:rPr>
                <w:caps/>
                <w:szCs w:val="24"/>
              </w:rPr>
              <w:t>JUDGE</w:t>
            </w:r>
            <w:bookmarkEnd w:id="15"/>
            <w:r w:rsidR="002C7385" w:rsidRPr="002B031E">
              <w:rPr>
                <w:caps/>
                <w:szCs w:val="24"/>
              </w:rPr>
              <w:t>:</w:t>
            </w:r>
          </w:p>
        </w:tc>
        <w:tc>
          <w:tcPr>
            <w:tcW w:w="6866" w:type="dxa"/>
          </w:tcPr>
          <w:p w:rsidR="00395B24" w:rsidRPr="002B031E" w:rsidRDefault="00743628">
            <w:pPr>
              <w:pStyle w:val="NormalHeadings"/>
              <w:jc w:val="left"/>
              <w:rPr>
                <w:caps/>
                <w:szCs w:val="24"/>
              </w:rPr>
            </w:pPr>
            <w:bookmarkStart w:id="16" w:name="Judge"/>
            <w:r w:rsidRPr="002B031E">
              <w:rPr>
                <w:caps/>
                <w:szCs w:val="24"/>
              </w:rPr>
              <w:t>DAVIES J</w:t>
            </w:r>
            <w:bookmarkEnd w:id="16"/>
          </w:p>
        </w:tc>
      </w:tr>
      <w:tr w:rsidR="00395B24" w:rsidRPr="002B031E">
        <w:tc>
          <w:tcPr>
            <w:tcW w:w="2376" w:type="dxa"/>
          </w:tcPr>
          <w:p w:rsidR="00395B24" w:rsidRPr="002B031E" w:rsidRDefault="002C7385">
            <w:pPr>
              <w:pStyle w:val="NormalHeadings"/>
              <w:spacing w:after="120"/>
              <w:jc w:val="left"/>
              <w:rPr>
                <w:caps/>
                <w:szCs w:val="24"/>
              </w:rPr>
            </w:pPr>
            <w:r w:rsidRPr="002B031E">
              <w:rPr>
                <w:caps/>
                <w:szCs w:val="24"/>
              </w:rPr>
              <w:t>DATE OF ORDER:</w:t>
            </w:r>
          </w:p>
        </w:tc>
        <w:tc>
          <w:tcPr>
            <w:tcW w:w="6866" w:type="dxa"/>
          </w:tcPr>
          <w:p w:rsidR="00395B24" w:rsidRPr="002B031E" w:rsidRDefault="00F162CA">
            <w:pPr>
              <w:pStyle w:val="NormalHeadings"/>
              <w:jc w:val="left"/>
              <w:rPr>
                <w:caps/>
                <w:szCs w:val="24"/>
              </w:rPr>
            </w:pPr>
            <w:r w:rsidRPr="002B031E">
              <w:rPr>
                <w:caps/>
                <w:szCs w:val="24"/>
              </w:rPr>
              <w:t>14 August 2019</w:t>
            </w:r>
          </w:p>
        </w:tc>
      </w:tr>
    </w:tbl>
    <w:p w:rsidR="00395B24" w:rsidRPr="002B031E" w:rsidRDefault="00395B24">
      <w:pPr>
        <w:pStyle w:val="NormalHeadings"/>
        <w:rPr>
          <w:b w:val="0"/>
        </w:rPr>
      </w:pPr>
    </w:p>
    <w:p w:rsidR="008D1617" w:rsidRPr="002B031E" w:rsidRDefault="008D1617">
      <w:pPr>
        <w:pStyle w:val="NormalHeadings"/>
        <w:rPr>
          <w:b w:val="0"/>
        </w:rPr>
      </w:pPr>
    </w:p>
    <w:p w:rsidR="00395B24" w:rsidRPr="002B031E" w:rsidRDefault="002C7385">
      <w:pPr>
        <w:pStyle w:val="NormalHeadings"/>
      </w:pPr>
      <w:r w:rsidRPr="002B031E">
        <w:t xml:space="preserve">THE COURT </w:t>
      </w:r>
      <w:r w:rsidR="00F40D90" w:rsidRPr="002B031E">
        <w:t>DECLARES</w:t>
      </w:r>
      <w:r w:rsidRPr="002B031E">
        <w:t xml:space="preserve"> THAT:</w:t>
      </w:r>
    </w:p>
    <w:p w:rsidR="00395B24" w:rsidRPr="002B031E" w:rsidRDefault="00395B24">
      <w:pPr>
        <w:pStyle w:val="NormalHeadings"/>
      </w:pPr>
    </w:p>
    <w:p w:rsidR="00395B24" w:rsidRPr="002B031E" w:rsidRDefault="00F40D90" w:rsidP="00274F5B">
      <w:pPr>
        <w:pStyle w:val="Order1"/>
      </w:pPr>
      <w:bookmarkStart w:id="17" w:name="Order_Start_Text"/>
      <w:bookmarkEnd w:id="17"/>
      <w:r w:rsidRPr="002B031E">
        <w:t>The Respondent (</w:t>
      </w:r>
      <w:r w:rsidR="00AE5D82" w:rsidRPr="002B031E">
        <w:t>“</w:t>
      </w:r>
      <w:proofErr w:type="spellStart"/>
      <w:r w:rsidRPr="002B031E">
        <w:rPr>
          <w:b/>
        </w:rPr>
        <w:t>Europcar</w:t>
      </w:r>
      <w:proofErr w:type="spellEnd"/>
      <w:r w:rsidR="00AE5D82" w:rsidRPr="002B031E">
        <w:t>”</w:t>
      </w:r>
      <w:r w:rsidRPr="002B031E">
        <w:t xml:space="preserve">) contravened s 55B(1) of the </w:t>
      </w:r>
      <w:r w:rsidRPr="002B031E">
        <w:rPr>
          <w:i/>
        </w:rPr>
        <w:t xml:space="preserve">Competition and Consumer Act 2010 </w:t>
      </w:r>
      <w:r w:rsidRPr="002B031E">
        <w:t>(</w:t>
      </w:r>
      <w:proofErr w:type="spellStart"/>
      <w:r w:rsidRPr="002B031E">
        <w:t>Cth</w:t>
      </w:r>
      <w:proofErr w:type="spellEnd"/>
      <w:r w:rsidRPr="002B031E">
        <w:t>) (</w:t>
      </w:r>
      <w:r w:rsidR="00AE5D82" w:rsidRPr="002B031E">
        <w:t>“</w:t>
      </w:r>
      <w:r w:rsidRPr="002B031E">
        <w:rPr>
          <w:b/>
        </w:rPr>
        <w:t>CCA</w:t>
      </w:r>
      <w:r w:rsidR="00AE5D82" w:rsidRPr="002B031E">
        <w:t>”</w:t>
      </w:r>
      <w:r w:rsidRPr="002B031E">
        <w:t>) by imposing excessive surcharges for payments received by:</w:t>
      </w:r>
    </w:p>
    <w:p w:rsidR="00F40D90" w:rsidRPr="002B031E" w:rsidRDefault="00F40D90" w:rsidP="00F40D90">
      <w:pPr>
        <w:pStyle w:val="Order2"/>
      </w:pPr>
      <w:r w:rsidRPr="002B031E">
        <w:t xml:space="preserve">use of the Visa credit system, the Visa debit system, the MasterCard credit systems, and the MasterCard debit systems in the period between 19 July 2017 and 31 August 2017; and </w:t>
      </w:r>
    </w:p>
    <w:p w:rsidR="007C4BE7" w:rsidRPr="002B031E" w:rsidRDefault="00F40D90" w:rsidP="007C4BE7">
      <w:pPr>
        <w:pStyle w:val="Order2"/>
      </w:pPr>
      <w:r w:rsidRPr="002B031E">
        <w:t xml:space="preserve">use of the Visa debit system and MasterCard debit system in the period between 1 September 2017 and 5 November 2017. </w:t>
      </w:r>
    </w:p>
    <w:p w:rsidR="007C4BE7" w:rsidRPr="002B031E" w:rsidRDefault="007C4BE7" w:rsidP="00AE5D82">
      <w:pPr>
        <w:pStyle w:val="NormalHeadings"/>
      </w:pPr>
      <w:r w:rsidRPr="002B031E">
        <w:t>THE COURT ORDERS THAT:</w:t>
      </w:r>
    </w:p>
    <w:p w:rsidR="00AE5D82" w:rsidRPr="002B031E" w:rsidRDefault="00AE5D82" w:rsidP="00AE5D82">
      <w:pPr>
        <w:pStyle w:val="NormalHeadings"/>
      </w:pPr>
    </w:p>
    <w:p w:rsidR="00F40D90" w:rsidRPr="002B031E" w:rsidRDefault="007C4BE7" w:rsidP="00F40D90">
      <w:pPr>
        <w:pStyle w:val="Order1"/>
      </w:pPr>
      <w:r w:rsidRPr="002B031E">
        <w:t xml:space="preserve">Within 30 days of the date of this order, </w:t>
      </w:r>
      <w:proofErr w:type="spellStart"/>
      <w:r w:rsidRPr="002B031E">
        <w:t>Europcar</w:t>
      </w:r>
      <w:proofErr w:type="spellEnd"/>
      <w:r w:rsidRPr="002B031E">
        <w:t xml:space="preserve"> pay to the Commonwealth of Australia: </w:t>
      </w:r>
    </w:p>
    <w:p w:rsidR="007C4BE7" w:rsidRPr="002B031E" w:rsidRDefault="007C4BE7" w:rsidP="007C4BE7">
      <w:pPr>
        <w:pStyle w:val="Order2"/>
      </w:pPr>
      <w:r w:rsidRPr="002B031E">
        <w:t xml:space="preserve">in respect of the contravention of s 55B(1) of the CCA referred to in subparagraph 1(a) above, a pecuniary penalty in the sum of $150,000; and </w:t>
      </w:r>
    </w:p>
    <w:p w:rsidR="007C4BE7" w:rsidRPr="002B031E" w:rsidRDefault="007C4BE7" w:rsidP="007C4BE7">
      <w:pPr>
        <w:pStyle w:val="Order2"/>
      </w:pPr>
      <w:r w:rsidRPr="002B031E">
        <w:t xml:space="preserve">in respect of the contravention of s 55B(1) of the CCA referred to in subparagraph 1(b) above, a pecuniary penalty in the sum of $200,000. </w:t>
      </w:r>
    </w:p>
    <w:p w:rsidR="007C4BE7" w:rsidRPr="002B031E" w:rsidRDefault="007C4BE7" w:rsidP="007C4BE7">
      <w:pPr>
        <w:pStyle w:val="Order1"/>
      </w:pPr>
      <w:proofErr w:type="spellStart"/>
      <w:r w:rsidRPr="002B031E">
        <w:t>Europcar</w:t>
      </w:r>
      <w:proofErr w:type="spellEnd"/>
      <w:r w:rsidRPr="002B031E">
        <w:t xml:space="preserve"> to pay a contribution to the Applicant’s costs in the sum of $25,000. </w:t>
      </w:r>
    </w:p>
    <w:p w:rsidR="007C4BE7" w:rsidRPr="002B031E" w:rsidRDefault="007C4BE7" w:rsidP="007C4BE7">
      <w:pPr>
        <w:pStyle w:val="Order1"/>
      </w:pPr>
      <w:r w:rsidRPr="002B031E">
        <w:t xml:space="preserve">The proceeding otherwise be dismissed. </w:t>
      </w:r>
    </w:p>
    <w:p w:rsidR="00395B24" w:rsidRPr="002B031E" w:rsidRDefault="00395B24" w:rsidP="002B0E91">
      <w:pPr>
        <w:pStyle w:val="BodyText"/>
      </w:pPr>
    </w:p>
    <w:p w:rsidR="00395B24" w:rsidRPr="002B031E" w:rsidRDefault="002C7385" w:rsidP="004D53E5">
      <w:pPr>
        <w:pStyle w:val="SingleSpace"/>
      </w:pPr>
      <w:r w:rsidRPr="002B031E">
        <w:t>Note:</w:t>
      </w:r>
      <w:r w:rsidRPr="002B031E">
        <w:tab/>
        <w:t xml:space="preserve">Entry of orders is dealt with in Rule 39.32 of the </w:t>
      </w:r>
      <w:r w:rsidRPr="002B031E">
        <w:rPr>
          <w:i/>
        </w:rPr>
        <w:t>Federal Court Rules 2011</w:t>
      </w:r>
      <w:r w:rsidRPr="002B031E">
        <w:t>.</w:t>
      </w:r>
    </w:p>
    <w:p w:rsidR="00395B24" w:rsidRPr="002B031E" w:rsidRDefault="00395B24">
      <w:pPr>
        <w:pStyle w:val="NormalHeadings"/>
        <w:spacing w:before="240" w:after="120"/>
        <w:rPr>
          <w:b w:val="0"/>
        </w:rPr>
        <w:sectPr w:rsidR="00395B24" w:rsidRPr="002B031E" w:rsidSect="0092590B">
          <w:headerReference w:type="default" r:id="rId8"/>
          <w:headerReference w:type="first" r:id="rId9"/>
          <w:endnotePr>
            <w:numFmt w:val="decimal"/>
          </w:endnotePr>
          <w:pgSz w:w="11907" w:h="16840" w:code="9"/>
          <w:pgMar w:top="1440" w:right="1440" w:bottom="1440" w:left="1440" w:header="851" w:footer="851" w:gutter="0"/>
          <w:pgNumType w:fmt="lowerRoman" w:start="1"/>
          <w:cols w:space="720"/>
          <w:noEndnote/>
          <w:titlePg/>
        </w:sectPr>
      </w:pPr>
    </w:p>
    <w:p w:rsidR="00484F6D" w:rsidRPr="002B031E" w:rsidRDefault="00484F6D" w:rsidP="00045BB7">
      <w:pPr>
        <w:pStyle w:val="NormalHeadings"/>
        <w:spacing w:line="480" w:lineRule="auto"/>
        <w:jc w:val="center"/>
        <w:rPr>
          <w:sz w:val="28"/>
          <w:szCs w:val="28"/>
        </w:rPr>
      </w:pPr>
      <w:bookmarkStart w:id="18" w:name="ReasonsPage"/>
      <w:bookmarkEnd w:id="18"/>
      <w:r w:rsidRPr="002B031E">
        <w:rPr>
          <w:sz w:val="28"/>
          <w:szCs w:val="28"/>
        </w:rPr>
        <w:lastRenderedPageBreak/>
        <w:t>REASONS FOR JUDGMENT</w:t>
      </w:r>
    </w:p>
    <w:p w:rsidR="00395B24" w:rsidRPr="002B031E" w:rsidRDefault="004F12F8" w:rsidP="005E0510">
      <w:pPr>
        <w:pStyle w:val="NormalHeadings"/>
        <w:spacing w:line="360" w:lineRule="auto"/>
        <w:jc w:val="left"/>
        <w:rPr>
          <w:sz w:val="26"/>
          <w:szCs w:val="26"/>
        </w:rPr>
      </w:pPr>
      <w:r w:rsidRPr="002B031E">
        <w:rPr>
          <w:sz w:val="26"/>
          <w:szCs w:val="26"/>
        </w:rPr>
        <w:t>DAVIES J</w:t>
      </w:r>
      <w:r w:rsidR="00484F6D" w:rsidRPr="002B031E">
        <w:rPr>
          <w:sz w:val="26"/>
          <w:szCs w:val="26"/>
        </w:rPr>
        <w:t>:</w:t>
      </w:r>
    </w:p>
    <w:p w:rsidR="00484F6D" w:rsidRPr="002B031E" w:rsidRDefault="004F12F8" w:rsidP="00743628">
      <w:pPr>
        <w:pStyle w:val="ParaNumbering"/>
      </w:pPr>
      <w:r w:rsidRPr="002B031E">
        <w:t>The respondent</w:t>
      </w:r>
      <w:r w:rsidR="00595985" w:rsidRPr="002B031E">
        <w:t>,</w:t>
      </w:r>
      <w:r w:rsidR="00DF763C" w:rsidRPr="002B031E">
        <w:t xml:space="preserve"> </w:t>
      </w:r>
      <w:r w:rsidRPr="002B031E">
        <w:t>CLA</w:t>
      </w:r>
      <w:r w:rsidR="00DF763C" w:rsidRPr="002B031E">
        <w:t xml:space="preserve"> Trading Pty Ltd, </w:t>
      </w:r>
      <w:r w:rsidR="00595985" w:rsidRPr="002B031E">
        <w:t>trades</w:t>
      </w:r>
      <w:r w:rsidR="00DF763C" w:rsidRPr="002B031E">
        <w:t xml:space="preserve"> </w:t>
      </w:r>
      <w:r w:rsidRPr="002B031E">
        <w:t xml:space="preserve">as </w:t>
      </w:r>
      <w:proofErr w:type="spellStart"/>
      <w:r w:rsidRPr="002B031E">
        <w:t>Europcar</w:t>
      </w:r>
      <w:proofErr w:type="spellEnd"/>
      <w:r w:rsidRPr="002B031E">
        <w:t xml:space="preserve"> (“</w:t>
      </w:r>
      <w:proofErr w:type="spellStart"/>
      <w:r w:rsidRPr="002B031E">
        <w:rPr>
          <w:b/>
        </w:rPr>
        <w:t>Europcar</w:t>
      </w:r>
      <w:proofErr w:type="spellEnd"/>
      <w:r w:rsidRPr="002B031E">
        <w:t xml:space="preserve">”).  </w:t>
      </w:r>
      <w:proofErr w:type="spellStart"/>
      <w:r w:rsidRPr="002B031E">
        <w:t>Europcar</w:t>
      </w:r>
      <w:proofErr w:type="spellEnd"/>
      <w:r w:rsidRPr="002B031E">
        <w:t xml:space="preserve"> is part of a global vehicle rental brand with operations in over 130 countries and territories.</w:t>
      </w:r>
    </w:p>
    <w:p w:rsidR="004F12F8" w:rsidRPr="002B031E" w:rsidRDefault="004F12F8" w:rsidP="00743628">
      <w:pPr>
        <w:pStyle w:val="ParaNumbering"/>
      </w:pPr>
      <w:r w:rsidRPr="002B031E">
        <w:t>The applicant (“</w:t>
      </w:r>
      <w:r w:rsidR="003D76EB" w:rsidRPr="002B031E">
        <w:rPr>
          <w:b/>
        </w:rPr>
        <w:t>the</w:t>
      </w:r>
      <w:r w:rsidR="003D76EB" w:rsidRPr="002B031E">
        <w:t xml:space="preserve"> </w:t>
      </w:r>
      <w:r w:rsidRPr="002B031E">
        <w:rPr>
          <w:b/>
        </w:rPr>
        <w:t>ACCC</w:t>
      </w:r>
      <w:r w:rsidRPr="002B031E">
        <w:t xml:space="preserve">”) has alleged that </w:t>
      </w:r>
      <w:proofErr w:type="spellStart"/>
      <w:r w:rsidRPr="002B031E">
        <w:t>Europcar</w:t>
      </w:r>
      <w:proofErr w:type="spellEnd"/>
      <w:r w:rsidRPr="002B031E">
        <w:t xml:space="preserve"> contravened s 55B(1) of the </w:t>
      </w:r>
      <w:r w:rsidRPr="002B031E">
        <w:rPr>
          <w:i/>
        </w:rPr>
        <w:t xml:space="preserve">Competition and Consumer Act 2010 </w:t>
      </w:r>
      <w:r w:rsidRPr="002B031E">
        <w:t>(</w:t>
      </w:r>
      <w:proofErr w:type="spellStart"/>
      <w:r w:rsidRPr="002B031E">
        <w:t>Cth</w:t>
      </w:r>
      <w:proofErr w:type="spellEnd"/>
      <w:r w:rsidRPr="002B031E">
        <w:t>) (“</w:t>
      </w:r>
      <w:r w:rsidRPr="002B031E">
        <w:rPr>
          <w:b/>
        </w:rPr>
        <w:t>the Act</w:t>
      </w:r>
      <w:r w:rsidRPr="002B031E">
        <w:t>”) by imposing excessive surcharges for payments received by:</w:t>
      </w:r>
    </w:p>
    <w:p w:rsidR="004F12F8" w:rsidRPr="002B031E" w:rsidRDefault="004F12F8" w:rsidP="004F12F8">
      <w:pPr>
        <w:pStyle w:val="ListNo2"/>
      </w:pPr>
      <w:r w:rsidRPr="002B031E">
        <w:t>use of the Visa credit system, th</w:t>
      </w:r>
      <w:r w:rsidR="00B45E25">
        <w:t>e Visa debit system, the MasterC</w:t>
      </w:r>
      <w:r w:rsidRPr="002B031E">
        <w:t>a</w:t>
      </w:r>
      <w:r w:rsidR="00B45E25">
        <w:t>rd credit system and the MasterC</w:t>
      </w:r>
      <w:r w:rsidRPr="002B031E">
        <w:t>ard debit system in the period between 19 July 2017 and 31 August 2017; and</w:t>
      </w:r>
    </w:p>
    <w:p w:rsidR="004F12F8" w:rsidRPr="002B031E" w:rsidRDefault="004F12F8" w:rsidP="004F12F8">
      <w:pPr>
        <w:pStyle w:val="ListNo2"/>
      </w:pPr>
      <w:r w:rsidRPr="002B031E">
        <w:t xml:space="preserve">use of the Visa </w:t>
      </w:r>
      <w:r w:rsidR="00F15058" w:rsidRPr="002B031E">
        <w:t>debit system and</w:t>
      </w:r>
      <w:r w:rsidR="00B45E25">
        <w:t xml:space="preserve"> MasterC</w:t>
      </w:r>
      <w:r w:rsidRPr="002B031E">
        <w:t>ard debit system in the period between 1</w:t>
      </w:r>
      <w:r w:rsidR="00F15058" w:rsidRPr="002B031E">
        <w:t xml:space="preserve"> September 2017 and 5 November </w:t>
      </w:r>
      <w:r w:rsidRPr="002B031E">
        <w:t>2017</w:t>
      </w:r>
      <w:r w:rsidR="00F15058" w:rsidRPr="002B031E">
        <w:t>.</w:t>
      </w:r>
    </w:p>
    <w:p w:rsidR="004F12F8" w:rsidRPr="002B031E" w:rsidRDefault="00A3724B" w:rsidP="00F15058">
      <w:pPr>
        <w:pStyle w:val="ParaNumbering"/>
      </w:pPr>
      <w:r w:rsidRPr="002B031E">
        <w:t>Section 55B of the Act provides:</w:t>
      </w:r>
    </w:p>
    <w:p w:rsidR="00A3724B" w:rsidRPr="002B031E" w:rsidRDefault="00A3724B" w:rsidP="00A3724B">
      <w:pPr>
        <w:pStyle w:val="Quote1"/>
        <w:rPr>
          <w:b/>
        </w:rPr>
      </w:pPr>
      <w:r w:rsidRPr="002B031E">
        <w:rPr>
          <w:b/>
        </w:rPr>
        <w:t>Payment surcharges must not be excessive</w:t>
      </w:r>
    </w:p>
    <w:p w:rsidR="00A3724B" w:rsidRPr="002B031E" w:rsidRDefault="00A3724B" w:rsidP="00A3724B">
      <w:pPr>
        <w:pStyle w:val="Quote1"/>
        <w:ind w:left="1440" w:hanging="703"/>
      </w:pPr>
      <w:r w:rsidRPr="002B031E">
        <w:t xml:space="preserve">(1)  </w:t>
      </w:r>
      <w:r w:rsidRPr="002B031E">
        <w:tab/>
        <w:t>A corporation must not, in trade or commerce, charge a payment surcharge that is excessive.</w:t>
      </w:r>
    </w:p>
    <w:p w:rsidR="00A3724B" w:rsidRPr="002B031E" w:rsidRDefault="00A3724B" w:rsidP="00A3724B">
      <w:pPr>
        <w:pStyle w:val="Quote1"/>
        <w:ind w:left="1440" w:hanging="703"/>
      </w:pPr>
      <w:r w:rsidRPr="002B031E">
        <w:t xml:space="preserve">(2)  </w:t>
      </w:r>
      <w:r w:rsidRPr="002B031E">
        <w:tab/>
        <w:t>A payment surcharge is excessive if:</w:t>
      </w:r>
    </w:p>
    <w:p w:rsidR="00A3724B" w:rsidRPr="002B031E" w:rsidRDefault="00A3724B" w:rsidP="00A3724B">
      <w:pPr>
        <w:pStyle w:val="Quote2"/>
      </w:pPr>
      <w:r w:rsidRPr="002B031E">
        <w:t xml:space="preserve">(a)  </w:t>
      </w:r>
      <w:r w:rsidRPr="002B031E">
        <w:tab/>
        <w:t>the surcharge is for a kind of payment covered by:</w:t>
      </w:r>
    </w:p>
    <w:p w:rsidR="00665E18" w:rsidRPr="002B031E" w:rsidRDefault="00A3724B" w:rsidP="00665E18">
      <w:pPr>
        <w:pStyle w:val="Quote3"/>
      </w:pPr>
      <w:r w:rsidRPr="002B031E">
        <w:t>(</w:t>
      </w:r>
      <w:proofErr w:type="spellStart"/>
      <w:r w:rsidRPr="002B031E">
        <w:t>i</w:t>
      </w:r>
      <w:proofErr w:type="spellEnd"/>
      <w:r w:rsidRPr="002B031E">
        <w:t xml:space="preserve">)  </w:t>
      </w:r>
      <w:r w:rsidR="00665E18" w:rsidRPr="002B031E">
        <w:tab/>
      </w:r>
      <w:r w:rsidRPr="002B031E">
        <w:t>a Reserve Bank standard; or</w:t>
      </w:r>
    </w:p>
    <w:p w:rsidR="00665E18" w:rsidRPr="002B031E" w:rsidRDefault="00A3724B" w:rsidP="00665E18">
      <w:pPr>
        <w:pStyle w:val="Quote3"/>
      </w:pPr>
      <w:r w:rsidRPr="002B031E">
        <w:t xml:space="preserve">(ii)  </w:t>
      </w:r>
      <w:r w:rsidR="00665E18" w:rsidRPr="002B031E">
        <w:tab/>
      </w:r>
      <w:r w:rsidRPr="002B031E">
        <w:t>regulations made for the purposes of this subparagraph; and</w:t>
      </w:r>
    </w:p>
    <w:p w:rsidR="00A3724B" w:rsidRPr="002B031E" w:rsidRDefault="00A3724B" w:rsidP="00665E18">
      <w:pPr>
        <w:pStyle w:val="Quote2"/>
        <w:ind w:left="2160" w:hanging="720"/>
      </w:pPr>
      <w:r w:rsidRPr="002B031E">
        <w:t xml:space="preserve">(b) </w:t>
      </w:r>
      <w:r w:rsidR="00665E18" w:rsidRPr="002B031E">
        <w:tab/>
      </w:r>
      <w:r w:rsidRPr="002B031E">
        <w:t>the amount of the surcharge exceeds the permitted surcharge referred to in the Reserve Bank standard or the regulations.</w:t>
      </w:r>
    </w:p>
    <w:p w:rsidR="004F12F8" w:rsidRPr="002B031E" w:rsidRDefault="00665E18" w:rsidP="00DF763C">
      <w:pPr>
        <w:pStyle w:val="ParaNumbering"/>
      </w:pPr>
      <w:proofErr w:type="spellStart"/>
      <w:r w:rsidRPr="002B031E">
        <w:t>Europcar</w:t>
      </w:r>
      <w:proofErr w:type="spellEnd"/>
      <w:r w:rsidRPr="002B031E">
        <w:t xml:space="preserve"> has admitted the contraventions and the parties jointly seek the declarations and orders set out in proposed orders signed by the parties on 5 March 2019, which include pecuniary penalties totalling $350,000.  </w:t>
      </w:r>
      <w:r w:rsidR="00500543" w:rsidRPr="002B031E">
        <w:t xml:space="preserve">In support they have filed an Amended Statement of Agreed Facts and Admissions </w:t>
      </w:r>
      <w:r w:rsidR="00DF763C" w:rsidRPr="002B031E">
        <w:t>(“</w:t>
      </w:r>
      <w:r w:rsidR="00DF763C" w:rsidRPr="002B031E">
        <w:rPr>
          <w:b/>
        </w:rPr>
        <w:t>Amended Statement</w:t>
      </w:r>
      <w:r w:rsidR="00DF763C" w:rsidRPr="002B031E">
        <w:t xml:space="preserve">”) </w:t>
      </w:r>
      <w:r w:rsidR="00500543" w:rsidRPr="002B031E">
        <w:t>containing the facts on which they rely</w:t>
      </w:r>
      <w:r w:rsidR="00DF763C" w:rsidRPr="002B031E">
        <w:t xml:space="preserve"> </w:t>
      </w:r>
      <w:r w:rsidR="00500543" w:rsidRPr="002B031E">
        <w:t xml:space="preserve">and </w:t>
      </w:r>
      <w:r w:rsidRPr="002B031E">
        <w:t xml:space="preserve">joint </w:t>
      </w:r>
      <w:r w:rsidR="00A21BA2" w:rsidRPr="002B031E">
        <w:t>submissions</w:t>
      </w:r>
      <w:r w:rsidRPr="002B031E">
        <w:t xml:space="preserve"> explaining why they contend that the proposed relief is appropriate and the Court ought to make the orders sought in the exercise of its discretion.  </w:t>
      </w:r>
      <w:r w:rsidR="00500543" w:rsidRPr="002B031E">
        <w:t xml:space="preserve">The </w:t>
      </w:r>
      <w:r w:rsidR="00DF763C" w:rsidRPr="002B031E">
        <w:t>Amended Statement</w:t>
      </w:r>
      <w:r w:rsidR="00500543" w:rsidRPr="002B031E">
        <w:t xml:space="preserve"> is annexed to these reasons</w:t>
      </w:r>
      <w:r w:rsidR="009E072A" w:rsidRPr="002B031E">
        <w:t xml:space="preserve"> (</w:t>
      </w:r>
      <w:r w:rsidR="00677920" w:rsidRPr="002B031E">
        <w:t>“</w:t>
      </w:r>
      <w:r w:rsidR="009E072A" w:rsidRPr="002B031E">
        <w:rPr>
          <w:b/>
        </w:rPr>
        <w:t>Annexure A</w:t>
      </w:r>
      <w:r w:rsidR="00677920" w:rsidRPr="002B031E">
        <w:t>”</w:t>
      </w:r>
      <w:r w:rsidR="009E072A" w:rsidRPr="002B031E">
        <w:t>)</w:t>
      </w:r>
      <w:r w:rsidR="00500543" w:rsidRPr="002B031E">
        <w:t xml:space="preserve"> together with the joint proposed orders</w:t>
      </w:r>
      <w:r w:rsidR="009E072A" w:rsidRPr="002B031E">
        <w:t xml:space="preserve"> (</w:t>
      </w:r>
      <w:r w:rsidR="00677920" w:rsidRPr="002B031E">
        <w:t>“</w:t>
      </w:r>
      <w:r w:rsidR="009E072A" w:rsidRPr="002B031E">
        <w:rPr>
          <w:b/>
        </w:rPr>
        <w:t>Annexure B</w:t>
      </w:r>
      <w:r w:rsidR="00677920" w:rsidRPr="002B031E">
        <w:t>”</w:t>
      </w:r>
      <w:r w:rsidR="009E072A" w:rsidRPr="002B031E">
        <w:t>)</w:t>
      </w:r>
      <w:r w:rsidR="00500543" w:rsidRPr="002B031E">
        <w:t>.</w:t>
      </w:r>
      <w:r w:rsidR="00DF763C" w:rsidRPr="002B031E">
        <w:t xml:space="preserve"> </w:t>
      </w:r>
    </w:p>
    <w:p w:rsidR="008B7240" w:rsidRPr="002B031E" w:rsidRDefault="00665E18" w:rsidP="008B7240">
      <w:pPr>
        <w:pStyle w:val="ParaNumbering"/>
      </w:pPr>
      <w:r w:rsidRPr="002B031E">
        <w:lastRenderedPageBreak/>
        <w:t>It is now well established that</w:t>
      </w:r>
      <w:r w:rsidR="007C4BE7" w:rsidRPr="002B031E">
        <w:t>,</w:t>
      </w:r>
      <w:r w:rsidRPr="002B031E">
        <w:t xml:space="preserve"> in civil penalty proceedings,</w:t>
      </w:r>
      <w:r w:rsidR="00686336" w:rsidRPr="002B031E">
        <w:t xml:space="preserve"> </w:t>
      </w:r>
      <w:r w:rsidR="00500543" w:rsidRPr="002B031E">
        <w:t xml:space="preserve">the Court can act upon </w:t>
      </w:r>
      <w:r w:rsidR="007C4BE7" w:rsidRPr="002B031E">
        <w:t xml:space="preserve">parties’ agreed </w:t>
      </w:r>
      <w:r w:rsidR="00500543" w:rsidRPr="002B031E">
        <w:t>proposal</w:t>
      </w:r>
      <w:r w:rsidR="007C4BE7" w:rsidRPr="002B031E">
        <w:t>s</w:t>
      </w:r>
      <w:r w:rsidR="00500543" w:rsidRPr="002B031E">
        <w:t xml:space="preserve"> </w:t>
      </w:r>
      <w:r w:rsidR="007C4BE7" w:rsidRPr="002B031E">
        <w:t xml:space="preserve">as to an appropriate penalty </w:t>
      </w:r>
      <w:r w:rsidR="00500543" w:rsidRPr="002B031E">
        <w:t xml:space="preserve">and impose </w:t>
      </w:r>
      <w:r w:rsidR="007C4BE7" w:rsidRPr="002B031E">
        <w:t>a</w:t>
      </w:r>
      <w:r w:rsidR="00500543" w:rsidRPr="002B031E">
        <w:t xml:space="preserve"> proposed penalty</w:t>
      </w:r>
      <w:r w:rsidR="007C4BE7" w:rsidRPr="002B031E">
        <w:t>,</w:t>
      </w:r>
      <w:r w:rsidR="00500543" w:rsidRPr="002B031E">
        <w:t xml:space="preserve"> </w:t>
      </w:r>
      <w:r w:rsidR="00686336" w:rsidRPr="002B031E">
        <w:t xml:space="preserve">subject to the Court being sufficiently persuaded of the accuracy of the parties’ agreement as to facts and consequences and that the penalty </w:t>
      </w:r>
      <w:r w:rsidR="007C4BE7" w:rsidRPr="002B031E">
        <w:t>proposed</w:t>
      </w:r>
      <w:r w:rsidR="00DF763C" w:rsidRPr="002B031E">
        <w:t xml:space="preserve"> is an appropriate remedy</w:t>
      </w:r>
      <w:r w:rsidR="00686336" w:rsidRPr="002B031E">
        <w:t xml:space="preserve">: </w:t>
      </w:r>
      <w:r w:rsidR="00686336" w:rsidRPr="002B031E">
        <w:rPr>
          <w:i/>
        </w:rPr>
        <w:t>Commonwealth v</w:t>
      </w:r>
      <w:r w:rsidR="007C4BE7" w:rsidRPr="002B031E">
        <w:rPr>
          <w:i/>
        </w:rPr>
        <w:t> </w:t>
      </w:r>
      <w:r w:rsidR="00686336" w:rsidRPr="002B031E">
        <w:rPr>
          <w:i/>
        </w:rPr>
        <w:t xml:space="preserve">Director, Fair Work Building Industry Inspectorate </w:t>
      </w:r>
      <w:r w:rsidR="008B7240" w:rsidRPr="002B031E">
        <w:t>(2015) 258 CLR 482</w:t>
      </w:r>
      <w:r w:rsidR="007C4BE7" w:rsidRPr="002B031E">
        <w:t>; [2015] HCA 46</w:t>
      </w:r>
      <w:r w:rsidR="007C0589" w:rsidRPr="002B031E">
        <w:t xml:space="preserve"> at [46]</w:t>
      </w:r>
      <w:r w:rsidR="00A7216A" w:rsidRPr="002B031E">
        <w:t>, [58],</w:t>
      </w:r>
      <w:r w:rsidR="007C0589" w:rsidRPr="002B031E">
        <w:t xml:space="preserve"> </w:t>
      </w:r>
      <w:r w:rsidR="008B7240" w:rsidRPr="002B031E">
        <w:t xml:space="preserve">[79].  At [46], the plurality (French CJ, </w:t>
      </w:r>
      <w:proofErr w:type="spellStart"/>
      <w:r w:rsidR="008B7240" w:rsidRPr="002B031E">
        <w:t>Kiefel</w:t>
      </w:r>
      <w:proofErr w:type="spellEnd"/>
      <w:r w:rsidR="008B7240" w:rsidRPr="002B031E">
        <w:t>, Bell, Nettle and Gordon JJ) emphasised the “important public policy involved in promoting predictability of outcome in civil penalty proceedings</w:t>
      </w:r>
      <w:r w:rsidR="00CF33E0" w:rsidRPr="002B031E">
        <w:t xml:space="preserve">” which “assists in avoiding lengthy and complex litigation and thus tends to free the courts to deal with other matters and to free investigating officers to turn to other areas of investigation that await their attention”.  The plurality further observed at [57] that “there is generally very considerable scope for the parties to agree on the facts and upon consequences.  There is also very considerable scope for them to agree upon the appropriate remedy and for the court to be persuaded that it is </w:t>
      </w:r>
      <w:r w:rsidR="00CF33E0" w:rsidRPr="002B031E">
        <w:rPr>
          <w:b/>
        </w:rPr>
        <w:t>an</w:t>
      </w:r>
      <w:r w:rsidR="00500543" w:rsidRPr="002B031E">
        <w:t xml:space="preserve"> appropriate remedy</w:t>
      </w:r>
      <w:r w:rsidR="00CF33E0" w:rsidRPr="002B031E">
        <w:t>”</w:t>
      </w:r>
      <w:r w:rsidR="00DF763C" w:rsidRPr="002B031E">
        <w:t xml:space="preserve"> (</w:t>
      </w:r>
      <w:r w:rsidR="00A71603" w:rsidRPr="002B031E">
        <w:t>original emphasis</w:t>
      </w:r>
      <w:r w:rsidR="00DF763C" w:rsidRPr="002B031E">
        <w:t>).</w:t>
      </w:r>
    </w:p>
    <w:p w:rsidR="00412765" w:rsidRPr="002B031E" w:rsidRDefault="00412765" w:rsidP="0000505D">
      <w:pPr>
        <w:pStyle w:val="Heading1"/>
      </w:pPr>
      <w:r w:rsidRPr="002B031E">
        <w:t>The contravening conduct</w:t>
      </w:r>
    </w:p>
    <w:p w:rsidR="00412765" w:rsidRPr="002B031E" w:rsidRDefault="00412765" w:rsidP="00412765">
      <w:pPr>
        <w:pStyle w:val="ParaNumbering"/>
      </w:pPr>
      <w:proofErr w:type="spellStart"/>
      <w:r w:rsidRPr="002B031E">
        <w:t>Europcar</w:t>
      </w:r>
      <w:proofErr w:type="spellEnd"/>
      <w:r w:rsidRPr="002B031E">
        <w:t xml:space="preserve"> conducts a business in trade or commerce of renting vehicles to consumers in Australia.  It is a “</w:t>
      </w:r>
      <w:r w:rsidR="00B531A8" w:rsidRPr="002B031E">
        <w:t>Large Merchant</w:t>
      </w:r>
      <w:r w:rsidRPr="002B031E">
        <w:t>” within the definition of “</w:t>
      </w:r>
      <w:r w:rsidR="00B531A8" w:rsidRPr="002B031E">
        <w:t>Large Merchant</w:t>
      </w:r>
      <w:r w:rsidRPr="002B031E">
        <w:t xml:space="preserve">” in </w:t>
      </w:r>
      <w:r w:rsidR="00887373" w:rsidRPr="002B031E">
        <w:t>cl</w:t>
      </w:r>
      <w:r w:rsidRPr="002B031E">
        <w:t xml:space="preserve"> 2.3 of the Reserve Bank of Australia </w:t>
      </w:r>
      <w:r w:rsidRPr="002B031E">
        <w:rPr>
          <w:i/>
        </w:rPr>
        <w:t>Standard No. 3 of 2016 – Scheme Rules Relating to Merchant Pricing for Credit, Debit and Pre-Paid Card Transactions</w:t>
      </w:r>
      <w:r w:rsidR="00E56F40" w:rsidRPr="002B031E">
        <w:rPr>
          <w:i/>
        </w:rPr>
        <w:t xml:space="preserve"> </w:t>
      </w:r>
      <w:r w:rsidR="00E56F40" w:rsidRPr="002B031E">
        <w:t>(“</w:t>
      </w:r>
      <w:r w:rsidR="00E56F40" w:rsidRPr="002B031E">
        <w:rPr>
          <w:b/>
        </w:rPr>
        <w:t>the Standard</w:t>
      </w:r>
      <w:r w:rsidR="00887373" w:rsidRPr="002B031E">
        <w:t xml:space="preserve">”). </w:t>
      </w:r>
      <w:r w:rsidRPr="002B031E">
        <w:t xml:space="preserve">  </w:t>
      </w:r>
    </w:p>
    <w:p w:rsidR="00E33074" w:rsidRPr="002B031E" w:rsidRDefault="00CA713D" w:rsidP="00CA713D">
      <w:pPr>
        <w:pStyle w:val="ParaNumbering"/>
      </w:pPr>
      <w:r w:rsidRPr="002B031E">
        <w:t xml:space="preserve">Between 19 July 2017 and 5 November 2017 </w:t>
      </w:r>
      <w:proofErr w:type="spellStart"/>
      <w:r w:rsidRPr="002B031E">
        <w:t>Europcar</w:t>
      </w:r>
      <w:proofErr w:type="spellEnd"/>
      <w:r w:rsidRPr="002B031E">
        <w:t xml:space="preserve"> permitted consumers to pay for rental services by way of Visa credit </w:t>
      </w:r>
      <w:r w:rsidR="00B45E25">
        <w:t>cards, Visa debit cards, MasterCard credit cards and MasterC</w:t>
      </w:r>
      <w:r w:rsidRPr="002B031E">
        <w:t>ard debit cards (“</w:t>
      </w:r>
      <w:r w:rsidRPr="002B031E">
        <w:rPr>
          <w:b/>
        </w:rPr>
        <w:t>payment methods</w:t>
      </w:r>
      <w:r w:rsidRPr="002B031E">
        <w:t xml:space="preserve">”).  </w:t>
      </w:r>
      <w:proofErr w:type="spellStart"/>
      <w:r w:rsidRPr="002B031E">
        <w:t>Europcar</w:t>
      </w:r>
      <w:proofErr w:type="spellEnd"/>
      <w:r w:rsidRPr="002B031E">
        <w:t xml:space="preserve"> incurred costs when </w:t>
      </w:r>
      <w:r w:rsidR="00500543" w:rsidRPr="002B031E">
        <w:t xml:space="preserve">it </w:t>
      </w:r>
      <w:r w:rsidRPr="002B031E">
        <w:t xml:space="preserve">accepted payments from consumers using </w:t>
      </w:r>
      <w:r w:rsidR="00B531A8" w:rsidRPr="002B031E">
        <w:t>the</w:t>
      </w:r>
      <w:r w:rsidRPr="002B031E">
        <w:t xml:space="preserve"> payment methods</w:t>
      </w:r>
      <w:r w:rsidR="00B531A8" w:rsidRPr="002B031E">
        <w:t>,</w:t>
      </w:r>
      <w:r w:rsidR="00500543" w:rsidRPr="002B031E">
        <w:t xml:space="preserve"> and charged amounts in addition to the price of services for the costs incurred in connection with accepting payment by way of the </w:t>
      </w:r>
      <w:r w:rsidR="00E56F40" w:rsidRPr="002B031E">
        <w:t>payment methods</w:t>
      </w:r>
      <w:r w:rsidR="00500543" w:rsidRPr="002B031E">
        <w:t xml:space="preserve"> (“</w:t>
      </w:r>
      <w:r w:rsidR="00500543" w:rsidRPr="002B031E">
        <w:rPr>
          <w:b/>
        </w:rPr>
        <w:t>payment surcharge</w:t>
      </w:r>
      <w:r w:rsidR="00500543" w:rsidRPr="002B031E">
        <w:t xml:space="preserve">”). </w:t>
      </w:r>
      <w:r w:rsidR="00E56F40" w:rsidRPr="002B031E">
        <w:t xml:space="preserve"> </w:t>
      </w:r>
      <w:r w:rsidRPr="002B031E">
        <w:t xml:space="preserve">By force of s 55B(1) of the Act and the </w:t>
      </w:r>
      <w:r w:rsidR="00E56F40" w:rsidRPr="002B031E">
        <w:t>Standard</w:t>
      </w:r>
      <w:r w:rsidR="00E33074" w:rsidRPr="002B031E">
        <w:t xml:space="preserve">, </w:t>
      </w:r>
      <w:proofErr w:type="spellStart"/>
      <w:r w:rsidRPr="002B031E">
        <w:t>Europcar</w:t>
      </w:r>
      <w:proofErr w:type="spellEnd"/>
      <w:r w:rsidRPr="002B031E">
        <w:t>, from 1</w:t>
      </w:r>
      <w:r w:rsidR="007E0DFE" w:rsidRPr="002B031E">
        <w:t> </w:t>
      </w:r>
      <w:r w:rsidRPr="002B031E">
        <w:t>September 2016, as a “</w:t>
      </w:r>
      <w:r w:rsidR="00B531A8" w:rsidRPr="002B031E">
        <w:t>Large Merchant</w:t>
      </w:r>
      <w:r w:rsidRPr="002B031E">
        <w:t>”</w:t>
      </w:r>
      <w:r w:rsidR="00500543" w:rsidRPr="002B031E">
        <w:t>,</w:t>
      </w:r>
      <w:r w:rsidRPr="002B031E">
        <w:t xml:space="preserve"> </w:t>
      </w:r>
      <w:r w:rsidR="00500543" w:rsidRPr="002B031E">
        <w:t>was prohibited from charging a payment surcharge</w:t>
      </w:r>
      <w:r w:rsidRPr="002B031E">
        <w:t xml:space="preserve"> exceeding the permitted surcharge referred to in the </w:t>
      </w:r>
      <w:r w:rsidR="00B531A8" w:rsidRPr="002B031E">
        <w:t>Standard</w:t>
      </w:r>
      <w:r w:rsidRPr="002B031E">
        <w:t xml:space="preserve">.  </w:t>
      </w:r>
    </w:p>
    <w:p w:rsidR="00CA713D" w:rsidRPr="002B031E" w:rsidRDefault="00CA713D" w:rsidP="00CA713D">
      <w:pPr>
        <w:pStyle w:val="ParaNumbering"/>
      </w:pPr>
      <w:r w:rsidRPr="002B031E">
        <w:t xml:space="preserve">By </w:t>
      </w:r>
      <w:r w:rsidR="00377000" w:rsidRPr="002B031E">
        <w:t>cl</w:t>
      </w:r>
      <w:r w:rsidRPr="002B031E">
        <w:t xml:space="preserve"> 4.1 of the Standard, the permitted surcharge wa</w:t>
      </w:r>
      <w:r w:rsidR="001D2C1B" w:rsidRPr="002B031E">
        <w:t>s an amount not exceeding the “Cost of A</w:t>
      </w:r>
      <w:r w:rsidRPr="002B031E">
        <w:t xml:space="preserve">cceptance” (as defined in </w:t>
      </w:r>
      <w:r w:rsidR="00CA170B" w:rsidRPr="002B031E">
        <w:t>cl</w:t>
      </w:r>
      <w:r w:rsidRPr="002B031E">
        <w:t xml:space="preserve"> 5 of the Standard) for the applicable payment method.  Clause 4.2 of the Standard provid</w:t>
      </w:r>
      <w:r w:rsidR="00C810C6" w:rsidRPr="002B031E">
        <w:t>ed that the “Cost of Acceptance</w:t>
      </w:r>
      <w:r w:rsidR="002750E5" w:rsidRPr="002B031E">
        <w:t>”</w:t>
      </w:r>
      <w:r w:rsidR="00C810C6" w:rsidRPr="002B031E">
        <w:t xml:space="preserve"> </w:t>
      </w:r>
      <w:r w:rsidR="002750E5" w:rsidRPr="002B031E">
        <w:t>applicable</w:t>
      </w:r>
      <w:r w:rsidR="00C810C6" w:rsidRPr="002B031E">
        <w:t xml:space="preserve"> at the time to the cards utilised in the payment methods</w:t>
      </w:r>
      <w:r w:rsidR="002750E5" w:rsidRPr="002B031E">
        <w:t xml:space="preserve"> was:</w:t>
      </w:r>
    </w:p>
    <w:p w:rsidR="002750E5" w:rsidRPr="002B031E" w:rsidRDefault="002750E5" w:rsidP="00A21BA2">
      <w:pPr>
        <w:pStyle w:val="ListNo2"/>
        <w:numPr>
          <w:ilvl w:val="1"/>
          <w:numId w:val="24"/>
        </w:numPr>
      </w:pPr>
      <w:r w:rsidRPr="002B031E">
        <w:lastRenderedPageBreak/>
        <w:t>subject to paragraph (b)</w:t>
      </w:r>
      <w:r w:rsidR="00C810C6" w:rsidRPr="002B031E">
        <w:t xml:space="preserve">, the Cost of Acceptance for that payment method </w:t>
      </w:r>
      <w:r w:rsidRPr="002B031E">
        <w:t>calculated for a 12 month period that ended not more than 13 months before that time; or</w:t>
      </w:r>
    </w:p>
    <w:p w:rsidR="002750E5" w:rsidRPr="002B031E" w:rsidRDefault="00C810C6" w:rsidP="00A21BA2">
      <w:pPr>
        <w:pStyle w:val="ListNo2"/>
        <w:numPr>
          <w:ilvl w:val="1"/>
          <w:numId w:val="24"/>
        </w:numPr>
      </w:pPr>
      <w:r w:rsidRPr="002B031E">
        <w:t xml:space="preserve">if the Cost of Acceptance for that payment method </w:t>
      </w:r>
      <w:r w:rsidR="002750E5" w:rsidRPr="002B031E">
        <w:t xml:space="preserve">for a 12 month period preceding that time was not reasonably ascertainable, an estimate of the average </w:t>
      </w:r>
      <w:r w:rsidRPr="002B031E">
        <w:t>Cost of Acceptance for that payment method</w:t>
      </w:r>
      <w:r w:rsidR="002750E5" w:rsidRPr="002B031E">
        <w:t xml:space="preserve"> for a period of 12 months calculated by </w:t>
      </w:r>
      <w:proofErr w:type="spellStart"/>
      <w:r w:rsidRPr="002B031E">
        <w:t>Europcar</w:t>
      </w:r>
      <w:proofErr w:type="spellEnd"/>
      <w:r w:rsidR="002750E5" w:rsidRPr="002B031E">
        <w:t xml:space="preserve"> in good faith in the manner prescribed by paragraph 4.2(b) of the Standard.</w:t>
      </w:r>
    </w:p>
    <w:p w:rsidR="00FF7512" w:rsidRPr="002B031E" w:rsidRDefault="002750E5" w:rsidP="00E33074">
      <w:pPr>
        <w:pStyle w:val="ParaNumbering"/>
      </w:pPr>
      <w:proofErr w:type="spellStart"/>
      <w:r w:rsidRPr="002B031E">
        <w:t>Europcar</w:t>
      </w:r>
      <w:proofErr w:type="spellEnd"/>
      <w:r w:rsidRPr="002B031E">
        <w:t xml:space="preserve"> has admitted that it contravened s 55B(1) of the Act </w:t>
      </w:r>
      <w:r w:rsidR="00FF7512" w:rsidRPr="002B031E">
        <w:t>by charging excessive payment surcharges for each payment received by use of the Visa credit system</w:t>
      </w:r>
      <w:r w:rsidR="00B45E25">
        <w:t>, Visa debit system, the MasterCard credit system and MasterC</w:t>
      </w:r>
      <w:r w:rsidR="00FF7512" w:rsidRPr="002B031E">
        <w:t>ard debit system in the period between 19 July 2017 and 5 November 2017.</w:t>
      </w:r>
      <w:r w:rsidR="00E33074" w:rsidRPr="002B031E">
        <w:t xml:space="preserve"> </w:t>
      </w:r>
      <w:r w:rsidR="00802C83" w:rsidRPr="002B031E">
        <w:t xml:space="preserve"> </w:t>
      </w:r>
      <w:r w:rsidR="00FF7512" w:rsidRPr="002B031E">
        <w:t xml:space="preserve">The estimated financial benefits to </w:t>
      </w:r>
      <w:proofErr w:type="spellStart"/>
      <w:r w:rsidR="00FF7512" w:rsidRPr="002B031E">
        <w:t>Europcar</w:t>
      </w:r>
      <w:proofErr w:type="spellEnd"/>
      <w:r w:rsidR="00FF7512" w:rsidRPr="002B031E">
        <w:t xml:space="preserve"> as a result of it charging consumers excessive payment surcharges were:</w:t>
      </w:r>
    </w:p>
    <w:p w:rsidR="00FF7512" w:rsidRPr="002B031E" w:rsidRDefault="00FF7512" w:rsidP="00A21BA2">
      <w:pPr>
        <w:pStyle w:val="ListNo2"/>
        <w:numPr>
          <w:ilvl w:val="1"/>
          <w:numId w:val="25"/>
        </w:numPr>
      </w:pPr>
      <w:r w:rsidRPr="002B031E">
        <w:t>$46,921.59 in respect of contraventions in the period between 19 July 2017 and 31 August 2017; and</w:t>
      </w:r>
    </w:p>
    <w:p w:rsidR="00FF7512" w:rsidRPr="002B031E" w:rsidRDefault="00FF7512" w:rsidP="00A21BA2">
      <w:pPr>
        <w:pStyle w:val="ListNo2"/>
        <w:numPr>
          <w:ilvl w:val="1"/>
          <w:numId w:val="25"/>
        </w:numPr>
      </w:pPr>
      <w:r w:rsidRPr="002B031E">
        <w:t>$20,294 in respect of contraventions in the period between 1 September 2017 and 5 November 2017.</w:t>
      </w:r>
    </w:p>
    <w:p w:rsidR="00FF7512" w:rsidRPr="002B031E" w:rsidRDefault="0000505D" w:rsidP="00CA713D">
      <w:pPr>
        <w:pStyle w:val="ParaNumbering"/>
      </w:pPr>
      <w:r w:rsidRPr="002B031E">
        <w:t xml:space="preserve">I note </w:t>
      </w:r>
      <w:proofErr w:type="spellStart"/>
      <w:r w:rsidRPr="002B031E">
        <w:t>Europcar</w:t>
      </w:r>
      <w:proofErr w:type="spellEnd"/>
      <w:r w:rsidRPr="002B031E">
        <w:t xml:space="preserve"> has since refunded the excessive payment surcharges to the relevant affected consumers but for an amount of $2,149 because the respective cards have been cancelled or expired or the customer’s bank has advised </w:t>
      </w:r>
      <w:proofErr w:type="spellStart"/>
      <w:r w:rsidRPr="002B031E">
        <w:t>Europcar</w:t>
      </w:r>
      <w:proofErr w:type="spellEnd"/>
      <w:r w:rsidRPr="002B031E">
        <w:t xml:space="preserve"> that a corresponding credit or debit card record could not be found.  </w:t>
      </w:r>
      <w:proofErr w:type="spellStart"/>
      <w:r w:rsidRPr="002B031E">
        <w:t>Europcar</w:t>
      </w:r>
      <w:proofErr w:type="spellEnd"/>
      <w:r w:rsidRPr="002B031E">
        <w:t xml:space="preserve"> has sent email</w:t>
      </w:r>
      <w:r w:rsidR="00ED06DE" w:rsidRPr="002B031E">
        <w:t>s</w:t>
      </w:r>
      <w:r w:rsidRPr="002B031E">
        <w:t xml:space="preserve"> to those affected customers, using the email address</w:t>
      </w:r>
      <w:r w:rsidR="00ED06DE" w:rsidRPr="002B031E">
        <w:t>es</w:t>
      </w:r>
      <w:r w:rsidRPr="002B031E">
        <w:t xml:space="preserve"> supplied at the time of renting the vehicle, seeking particulars of an account into which to pay the refund.</w:t>
      </w:r>
    </w:p>
    <w:p w:rsidR="0000505D" w:rsidRPr="002B031E" w:rsidRDefault="0000505D" w:rsidP="0000505D">
      <w:pPr>
        <w:pStyle w:val="Heading1"/>
      </w:pPr>
      <w:r w:rsidRPr="002B031E">
        <w:t>Grant of declaratory relief</w:t>
      </w:r>
    </w:p>
    <w:p w:rsidR="0000505D" w:rsidRPr="002B031E" w:rsidRDefault="004F1B53" w:rsidP="00CA713D">
      <w:pPr>
        <w:pStyle w:val="ParaNumbering"/>
      </w:pPr>
      <w:r w:rsidRPr="002B031E">
        <w:t xml:space="preserve">I am </w:t>
      </w:r>
      <w:r w:rsidR="00A21BA2" w:rsidRPr="002B031E">
        <w:t>satisfied</w:t>
      </w:r>
      <w:r w:rsidRPr="002B031E">
        <w:t xml:space="preserve"> that it is appropriate to make the declarations sought in this case.  There is an important public interest in that</w:t>
      </w:r>
      <w:r w:rsidR="00E33074" w:rsidRPr="002B031E">
        <w:t xml:space="preserve"> declaratory relief</w:t>
      </w:r>
      <w:r w:rsidR="003D76EB" w:rsidRPr="002B031E">
        <w:t>,</w:t>
      </w:r>
      <w:r w:rsidR="00E33074" w:rsidRPr="002B031E">
        <w:t xml:space="preserve"> which serves</w:t>
      </w:r>
      <w:r w:rsidRPr="002B031E">
        <w:t xml:space="preserve"> to record the Court’s disapproval of the contravening conduct.  </w:t>
      </w:r>
      <w:r w:rsidR="003D76EB" w:rsidRPr="002B031E">
        <w:t>The ACCC</w:t>
      </w:r>
      <w:r w:rsidRPr="002B031E">
        <w:t xml:space="preserve">, as the statutory regulator, has an </w:t>
      </w:r>
      <w:r w:rsidR="00A21BA2" w:rsidRPr="002B031E">
        <w:t>obvious</w:t>
      </w:r>
      <w:r w:rsidRPr="002B031E">
        <w:t xml:space="preserve"> and genuine interest in obtaining that declaratory relief and the proposed declarations sufficiently identify the nature of the conduct constituting the contraventions. </w:t>
      </w:r>
    </w:p>
    <w:p w:rsidR="002B031E" w:rsidRPr="002B031E" w:rsidRDefault="002B031E" w:rsidP="003D76EB">
      <w:pPr>
        <w:pStyle w:val="ParaNumbering"/>
        <w:numPr>
          <w:ilvl w:val="0"/>
          <w:numId w:val="0"/>
        </w:numPr>
        <w:rPr>
          <w:b/>
        </w:rPr>
      </w:pPr>
    </w:p>
    <w:p w:rsidR="003D76EB" w:rsidRPr="002B031E" w:rsidRDefault="001F6BCD" w:rsidP="003D76EB">
      <w:pPr>
        <w:pStyle w:val="ParaNumbering"/>
        <w:numPr>
          <w:ilvl w:val="0"/>
          <w:numId w:val="0"/>
        </w:numPr>
        <w:rPr>
          <w:b/>
        </w:rPr>
      </w:pPr>
      <w:r w:rsidRPr="002B031E">
        <w:rPr>
          <w:b/>
        </w:rPr>
        <w:lastRenderedPageBreak/>
        <w:t>IMPOSITION OF PECUNIARY PENALTIES</w:t>
      </w:r>
    </w:p>
    <w:p w:rsidR="004F1B53" w:rsidRPr="002B031E" w:rsidRDefault="004F1B53" w:rsidP="00CA713D">
      <w:pPr>
        <w:pStyle w:val="ParaNumbering"/>
      </w:pPr>
      <w:r w:rsidRPr="002B031E">
        <w:t xml:space="preserve">The pecuniary penalties </w:t>
      </w:r>
      <w:r w:rsidR="003D76EB" w:rsidRPr="002B031E">
        <w:t xml:space="preserve">on </w:t>
      </w:r>
      <w:r w:rsidRPr="002B031E">
        <w:t>which the parties have agreed are as follows:</w:t>
      </w:r>
    </w:p>
    <w:p w:rsidR="004F1B53" w:rsidRPr="002B031E" w:rsidRDefault="003D76EB" w:rsidP="00A21BA2">
      <w:pPr>
        <w:pStyle w:val="ListNo2"/>
        <w:numPr>
          <w:ilvl w:val="1"/>
          <w:numId w:val="26"/>
        </w:numPr>
      </w:pPr>
      <w:r w:rsidRPr="002B031E">
        <w:t>i</w:t>
      </w:r>
      <w:r w:rsidR="004F1B53" w:rsidRPr="002B031E">
        <w:t>n respect of the contraventions in the period</w:t>
      </w:r>
      <w:r w:rsidRPr="002B031E">
        <w:t xml:space="preserve"> between</w:t>
      </w:r>
      <w:r w:rsidR="004F1B53" w:rsidRPr="002B031E">
        <w:t xml:space="preserve"> 19 July </w:t>
      </w:r>
      <w:r w:rsidRPr="002B031E">
        <w:t xml:space="preserve">2017 </w:t>
      </w:r>
      <w:r w:rsidR="004F1B53" w:rsidRPr="002B031E">
        <w:t>to 31 August 2017, the sum of $150,000; and</w:t>
      </w:r>
    </w:p>
    <w:p w:rsidR="004F1B53" w:rsidRPr="002B031E" w:rsidRDefault="003D76EB" w:rsidP="00A21BA2">
      <w:pPr>
        <w:pStyle w:val="ListNo2"/>
        <w:numPr>
          <w:ilvl w:val="1"/>
          <w:numId w:val="26"/>
        </w:numPr>
      </w:pPr>
      <w:r w:rsidRPr="002B031E">
        <w:t>i</w:t>
      </w:r>
      <w:r w:rsidR="004F1B53" w:rsidRPr="002B031E">
        <w:t>n respect of the contraventions</w:t>
      </w:r>
      <w:r w:rsidRPr="002B031E">
        <w:t xml:space="preserve"> in the period</w:t>
      </w:r>
      <w:r w:rsidR="004F1B53" w:rsidRPr="002B031E">
        <w:t xml:space="preserve"> between 1 September 2017 and 5 November 2017, the sum of $200,000.</w:t>
      </w:r>
    </w:p>
    <w:p w:rsidR="004F1B53" w:rsidRPr="002B031E" w:rsidRDefault="004F1B53" w:rsidP="00CA713D">
      <w:pPr>
        <w:pStyle w:val="ParaNumbering"/>
      </w:pPr>
      <w:r w:rsidRPr="002B031E">
        <w:t xml:space="preserve">In addition </w:t>
      </w:r>
      <w:proofErr w:type="spellStart"/>
      <w:r w:rsidRPr="002B031E">
        <w:t>Europcar</w:t>
      </w:r>
      <w:proofErr w:type="spellEnd"/>
      <w:r w:rsidRPr="002B031E">
        <w:t xml:space="preserve"> has agreed to pay a contribution to the ACCC’s costs in </w:t>
      </w:r>
      <w:r w:rsidR="003D76EB" w:rsidRPr="002B031E">
        <w:t>the sum of $25,000.  The Court has</w:t>
      </w:r>
      <w:r w:rsidRPr="002B031E">
        <w:t xml:space="preserve"> power to make such orders pursuant to s 76(1)(a)(</w:t>
      </w:r>
      <w:proofErr w:type="spellStart"/>
      <w:r w:rsidRPr="002B031E">
        <w:t>ia</w:t>
      </w:r>
      <w:proofErr w:type="spellEnd"/>
      <w:r w:rsidRPr="002B031E">
        <w:t xml:space="preserve">) of the Act.  </w:t>
      </w:r>
    </w:p>
    <w:p w:rsidR="00E33074" w:rsidRPr="002B031E" w:rsidRDefault="004F1B53" w:rsidP="00CA713D">
      <w:pPr>
        <w:pStyle w:val="ParaNumbering"/>
      </w:pPr>
      <w:r w:rsidRPr="002B031E">
        <w:t xml:space="preserve">Whilst each of the excessive surcharges involved a separate contravention of s 55B of the Act, the parties submitted, and I agree, that it is appropriate to treat the contraventions </w:t>
      </w:r>
      <w:r w:rsidR="00C37F28" w:rsidRPr="002B031E">
        <w:t>with respect to the period between 19 July 2017 and 31 August 2017</w:t>
      </w:r>
      <w:r w:rsidR="003D76EB" w:rsidRPr="002B031E">
        <w:t xml:space="preserve"> as a single course of conduct</w:t>
      </w:r>
      <w:r w:rsidR="00C37F28" w:rsidRPr="002B031E">
        <w:t>, and</w:t>
      </w:r>
      <w:r w:rsidR="003D76EB" w:rsidRPr="002B031E">
        <w:t xml:space="preserve"> the contraventions</w:t>
      </w:r>
      <w:r w:rsidR="00C37F28" w:rsidRPr="002B031E">
        <w:t xml:space="preserve"> for the period between 1 September 2017 a</w:t>
      </w:r>
      <w:r w:rsidR="00E33074" w:rsidRPr="002B031E">
        <w:t>nd 5 November 2017</w:t>
      </w:r>
      <w:r w:rsidR="003D76EB" w:rsidRPr="002B031E">
        <w:t xml:space="preserve"> as a separate single course of conduct</w:t>
      </w:r>
      <w:r w:rsidR="00E33074" w:rsidRPr="002B031E">
        <w:t>.</w:t>
      </w:r>
      <w:r w:rsidR="00802C83" w:rsidRPr="002B031E">
        <w:t xml:space="preserve"> </w:t>
      </w:r>
      <w:r w:rsidR="00E3334E" w:rsidRPr="002B031E">
        <w:t xml:space="preserve"> </w:t>
      </w:r>
      <w:r w:rsidR="00E33074" w:rsidRPr="002B031E">
        <w:t>The reason</w:t>
      </w:r>
      <w:r w:rsidR="00C37F28" w:rsidRPr="002B031E">
        <w:t xml:space="preserve"> for the differentiation in periods is that</w:t>
      </w:r>
      <w:r w:rsidR="003D76EB" w:rsidRPr="002B031E">
        <w:t>,</w:t>
      </w:r>
      <w:r w:rsidR="00C37F28" w:rsidRPr="002B031E">
        <w:t xml:space="preserve"> </w:t>
      </w:r>
      <w:r w:rsidR="003D76EB" w:rsidRPr="002B031E">
        <w:t xml:space="preserve">in the earlier period, </w:t>
      </w:r>
      <w:proofErr w:type="spellStart"/>
      <w:r w:rsidR="003D76EB" w:rsidRPr="002B031E">
        <w:t>Europ</w:t>
      </w:r>
      <w:r w:rsidR="00E33074" w:rsidRPr="002B031E">
        <w:t>car</w:t>
      </w:r>
      <w:proofErr w:type="spellEnd"/>
      <w:r w:rsidR="00E33074" w:rsidRPr="002B031E">
        <w:t xml:space="preserve"> </w:t>
      </w:r>
      <w:r w:rsidR="00520B7C" w:rsidRPr="002B031E">
        <w:t>char</w:t>
      </w:r>
      <w:r w:rsidR="00E33074" w:rsidRPr="002B031E">
        <w:t>ged the amount that it had charged from 1 September 2016 until the end of th</w:t>
      </w:r>
      <w:r w:rsidR="002B5304" w:rsidRPr="002B031E">
        <w:t>e 12 month period ending 30 August</w:t>
      </w:r>
      <w:r w:rsidR="00E33074" w:rsidRPr="002B031E">
        <w:t xml:space="preserve"> 2017, despite </w:t>
      </w:r>
      <w:r w:rsidR="002B5304" w:rsidRPr="002B031E">
        <w:t xml:space="preserve">in July 2017 </w:t>
      </w:r>
      <w:r w:rsidR="00E33074" w:rsidRPr="002B031E">
        <w:t>receiving d</w:t>
      </w:r>
      <w:r w:rsidR="002B5304" w:rsidRPr="002B031E">
        <w:t xml:space="preserve">etailed information from </w:t>
      </w:r>
      <w:r w:rsidR="003D76EB" w:rsidRPr="002B031E">
        <w:t>National Australia Bank</w:t>
      </w:r>
      <w:r w:rsidR="002B5304" w:rsidRPr="002B031E">
        <w:t xml:space="preserve"> estimating a lower overall average of </w:t>
      </w:r>
      <w:proofErr w:type="spellStart"/>
      <w:r w:rsidR="002B5304" w:rsidRPr="002B031E">
        <w:t>Europcar’s</w:t>
      </w:r>
      <w:proofErr w:type="spellEnd"/>
      <w:r w:rsidR="002B5304" w:rsidRPr="002B031E">
        <w:t xml:space="preserve"> costs incurred in connection with accepting the payment methods. </w:t>
      </w:r>
      <w:r w:rsidR="00824B15" w:rsidRPr="002B031E">
        <w:t xml:space="preserve"> </w:t>
      </w:r>
      <w:r w:rsidR="002B5304" w:rsidRPr="002B031E">
        <w:t xml:space="preserve">In the </w:t>
      </w:r>
      <w:r w:rsidR="00824B15" w:rsidRPr="002B031E">
        <w:t>later</w:t>
      </w:r>
      <w:r w:rsidR="002B5304" w:rsidRPr="002B031E">
        <w:t xml:space="preserve"> period, </w:t>
      </w:r>
      <w:proofErr w:type="spellStart"/>
      <w:r w:rsidR="002B5304" w:rsidRPr="002B031E">
        <w:t>Europcar</w:t>
      </w:r>
      <w:proofErr w:type="spellEnd"/>
      <w:r w:rsidR="002B5304" w:rsidRPr="002B031E">
        <w:t xml:space="preserve"> charged </w:t>
      </w:r>
      <w:r w:rsidR="00520B7C" w:rsidRPr="002B031E">
        <w:t xml:space="preserve">customers paying by debit </w:t>
      </w:r>
      <w:r w:rsidR="00824B15" w:rsidRPr="002B031E">
        <w:t>card</w:t>
      </w:r>
      <w:r w:rsidR="00520B7C" w:rsidRPr="002B031E">
        <w:t xml:space="preserve"> a surcharge at rates set at the credit card level, which were higher than the </w:t>
      </w:r>
      <w:r w:rsidR="00824B15" w:rsidRPr="002B031E">
        <w:t>Costs of A</w:t>
      </w:r>
      <w:r w:rsidR="00520B7C" w:rsidRPr="002B031E">
        <w:t xml:space="preserve">cceptance of debit cards, despite being aware </w:t>
      </w:r>
      <w:r w:rsidR="00263A42" w:rsidRPr="002B031E">
        <w:t xml:space="preserve">from </w:t>
      </w:r>
      <w:r w:rsidR="00824B15" w:rsidRPr="002B031E">
        <w:t xml:space="preserve">August 2017 </w:t>
      </w:r>
      <w:r w:rsidR="00263A42" w:rsidRPr="002B031E">
        <w:t xml:space="preserve">that a blended rate for </w:t>
      </w:r>
      <w:r w:rsidR="00824B15" w:rsidRPr="002B031E">
        <w:t>Visa</w:t>
      </w:r>
      <w:r w:rsidR="00263A42" w:rsidRPr="002B031E">
        <w:t xml:space="preserve"> credit and debit cards and </w:t>
      </w:r>
      <w:r w:rsidR="00824B15" w:rsidRPr="002B031E">
        <w:t>MasterCard</w:t>
      </w:r>
      <w:r w:rsidR="00263A42" w:rsidRPr="002B031E">
        <w:t xml:space="preserve"> credit and debit cards was legally</w:t>
      </w:r>
      <w:r w:rsidR="00824B15" w:rsidRPr="002B031E">
        <w:t xml:space="preserve"> no longer acceptable and that</w:t>
      </w:r>
      <w:r w:rsidR="002B031E" w:rsidRPr="002B031E">
        <w:t xml:space="preserve"> National Australia Bank</w:t>
      </w:r>
      <w:r w:rsidR="00824B15" w:rsidRPr="002B031E">
        <w:t xml:space="preserve"> </w:t>
      </w:r>
      <w:r w:rsidR="002B5304" w:rsidRPr="002B031E">
        <w:t xml:space="preserve">had calculated </w:t>
      </w:r>
      <w:r w:rsidR="00824B15" w:rsidRPr="002B031E">
        <w:t>that the Cost of A</w:t>
      </w:r>
      <w:r w:rsidR="002B5304" w:rsidRPr="002B031E">
        <w:t xml:space="preserve">cceptance </w:t>
      </w:r>
      <w:r w:rsidR="00824B15" w:rsidRPr="002B031E">
        <w:t xml:space="preserve">was lower for debit cards. </w:t>
      </w:r>
      <w:r w:rsidR="007E0DFE" w:rsidRPr="002B031E">
        <w:t xml:space="preserve"> </w:t>
      </w:r>
      <w:r w:rsidR="00595985" w:rsidRPr="002B031E">
        <w:t xml:space="preserve">In my view, characterising the contraventions as courses of conduct by reference to the two different surcharging structures adopted and the circumstances in which they were applied is, in this case, an appropriate reflection of the actual, substantive wrongdoing. </w:t>
      </w:r>
    </w:p>
    <w:p w:rsidR="00C37F28" w:rsidRPr="002B031E" w:rsidRDefault="00C37F28" w:rsidP="00E3334E">
      <w:pPr>
        <w:pStyle w:val="ParaNumbering"/>
      </w:pPr>
      <w:r w:rsidRPr="002B031E">
        <w:t>The maximum penalty for a contravention o</w:t>
      </w:r>
      <w:r w:rsidR="002E7FAC" w:rsidRPr="002B031E">
        <w:t xml:space="preserve">f s 55B is 6,471 penalty units, that is </w:t>
      </w:r>
      <w:r w:rsidRPr="002B031E">
        <w:t>$1,358,910: s 76(1A)(</w:t>
      </w:r>
      <w:proofErr w:type="spellStart"/>
      <w:r w:rsidRPr="002B031E">
        <w:t>ba</w:t>
      </w:r>
      <w:proofErr w:type="spellEnd"/>
      <w:r w:rsidRPr="002B031E">
        <w:t>) of the Act and s 4</w:t>
      </w:r>
      <w:r w:rsidR="00D30651" w:rsidRPr="002B031E">
        <w:t xml:space="preserve">AA of the </w:t>
      </w:r>
      <w:r w:rsidR="00D30651" w:rsidRPr="002B031E">
        <w:rPr>
          <w:i/>
        </w:rPr>
        <w:t xml:space="preserve">Crimes Act 1914 </w:t>
      </w:r>
      <w:r w:rsidR="00D30651" w:rsidRPr="002B031E">
        <w:t>(</w:t>
      </w:r>
      <w:proofErr w:type="spellStart"/>
      <w:r w:rsidR="00D30651" w:rsidRPr="002B031E">
        <w:t>Cth</w:t>
      </w:r>
      <w:proofErr w:type="spellEnd"/>
      <w:r w:rsidR="00D30651" w:rsidRPr="002B031E">
        <w:t>).</w:t>
      </w:r>
    </w:p>
    <w:p w:rsidR="00D30651" w:rsidRPr="002B031E" w:rsidRDefault="00D30651" w:rsidP="00CA713D">
      <w:pPr>
        <w:pStyle w:val="ParaNumbering"/>
      </w:pPr>
      <w:r w:rsidRPr="002B031E">
        <w:t>Section 76(1) of the Act requires the Court to have regard to “all relevant matters” in determining the appropriate penalty.  It also specifies a number of mandatory statutory factors</w:t>
      </w:r>
      <w:r w:rsidR="00871D58" w:rsidRPr="002B031E">
        <w:t xml:space="preserve"> to take into account</w:t>
      </w:r>
      <w:r w:rsidRPr="002B031E">
        <w:t>: the nature an</w:t>
      </w:r>
      <w:r w:rsidR="00871D58" w:rsidRPr="002B031E">
        <w:t>d extent of the act or omission;</w:t>
      </w:r>
      <w:r w:rsidRPr="002B031E">
        <w:t xml:space="preserve"> any loss or damage suffered as a result</w:t>
      </w:r>
      <w:r w:rsidR="00871D58" w:rsidRPr="002B031E">
        <w:t xml:space="preserve"> of the act or omission;</w:t>
      </w:r>
      <w:r w:rsidRPr="002B031E">
        <w:t xml:space="preserve"> the circumstances in which the act or omission took place</w:t>
      </w:r>
      <w:r w:rsidR="00871D58" w:rsidRPr="002B031E">
        <w:t>;</w:t>
      </w:r>
      <w:r w:rsidRPr="002B031E">
        <w:t xml:space="preserve"> </w:t>
      </w:r>
      <w:r w:rsidRPr="002B031E">
        <w:lastRenderedPageBreak/>
        <w:t xml:space="preserve">and whether the person has previously been found by the Court in proceedings under Part VI or Part XIB to have engaged </w:t>
      </w:r>
      <w:r w:rsidR="00EA6F6D" w:rsidRPr="002B031E">
        <w:t>in any similar conduct.</w:t>
      </w:r>
      <w:r w:rsidR="00263A42" w:rsidRPr="002B031E">
        <w:t xml:space="preserve"> </w:t>
      </w:r>
    </w:p>
    <w:p w:rsidR="00263A42" w:rsidRPr="002B031E" w:rsidRDefault="00263A42" w:rsidP="00CA713D">
      <w:pPr>
        <w:pStyle w:val="ParaNumbering"/>
      </w:pPr>
      <w:r w:rsidRPr="002B031E">
        <w:t>The primary purpose of civil</w:t>
      </w:r>
      <w:r w:rsidR="00951243" w:rsidRPr="002B031E">
        <w:t xml:space="preserve"> pecuniary</w:t>
      </w:r>
      <w:r w:rsidRPr="002B031E">
        <w:t xml:space="preserve"> penalties “is deterrence: specific deterrence of the contravener and</w:t>
      </w:r>
      <w:r w:rsidR="00951243" w:rsidRPr="002B031E">
        <w:t>, by his or her example,</w:t>
      </w:r>
      <w:r w:rsidRPr="002B031E">
        <w:t xml:space="preserve"> general deterrence </w:t>
      </w:r>
      <w:r w:rsidR="00951243" w:rsidRPr="002B031E">
        <w:t>of other would-</w:t>
      </w:r>
      <w:r w:rsidRPr="002B031E">
        <w:t xml:space="preserve">be contraveners”: </w:t>
      </w:r>
      <w:r w:rsidRPr="002B031E">
        <w:rPr>
          <w:i/>
        </w:rPr>
        <w:t xml:space="preserve">Australian Building and Construction Commissioner v Construction, Forestry, Mining and Energy Union </w:t>
      </w:r>
      <w:r w:rsidR="000911D7" w:rsidRPr="002B031E">
        <w:t>(2018) 262 CLR 157</w:t>
      </w:r>
      <w:r w:rsidR="00595985" w:rsidRPr="002B031E">
        <w:t xml:space="preserve"> at 195</w:t>
      </w:r>
      <w:r w:rsidR="000911D7" w:rsidRPr="002B031E">
        <w:t>; [</w:t>
      </w:r>
      <w:r w:rsidRPr="002B031E">
        <w:t>2018] HCA 3 at [116]</w:t>
      </w:r>
      <w:r w:rsidR="00316010" w:rsidRPr="002B031E">
        <w:t xml:space="preserve"> (Keane, Nettle and Gordon </w:t>
      </w:r>
      <w:r w:rsidR="00951243" w:rsidRPr="002B031E">
        <w:t>JJ)</w:t>
      </w:r>
      <w:r w:rsidRPr="002B031E">
        <w:t>.</w:t>
      </w:r>
    </w:p>
    <w:p w:rsidR="00EA6F6D" w:rsidRPr="002B031E" w:rsidRDefault="00EA6F6D" w:rsidP="00CA713D">
      <w:pPr>
        <w:pStyle w:val="ParaNumbering"/>
      </w:pPr>
      <w:r w:rsidRPr="002B031E">
        <w:t>The following factors are relevant to the penalty to be imposed.</w:t>
      </w:r>
    </w:p>
    <w:p w:rsidR="00981014" w:rsidRPr="002B031E" w:rsidRDefault="00EA6F6D" w:rsidP="00EA6F6D">
      <w:pPr>
        <w:pStyle w:val="ParaNumbering"/>
      </w:pPr>
      <w:r w:rsidRPr="002B031E">
        <w:t xml:space="preserve">First, </w:t>
      </w:r>
      <w:r w:rsidR="00981014" w:rsidRPr="002B031E">
        <w:t>the contraventions caused harm to 63,012 customers</w:t>
      </w:r>
      <w:r w:rsidR="00951243" w:rsidRPr="002B031E">
        <w:t>,</w:t>
      </w:r>
      <w:r w:rsidR="00981014" w:rsidRPr="002B031E">
        <w:t xml:space="preserve"> comprising 44,560 customers in the period</w:t>
      </w:r>
      <w:r w:rsidR="00951243" w:rsidRPr="002B031E">
        <w:t xml:space="preserve"> between 19 July 2017 and 31 August 2017</w:t>
      </w:r>
      <w:r w:rsidR="00981014" w:rsidRPr="002B031E">
        <w:t xml:space="preserve"> and 18,452 customers in the period</w:t>
      </w:r>
      <w:r w:rsidR="00951243" w:rsidRPr="002B031E">
        <w:t xml:space="preserve"> between 1 September 2017 and 5 November 2017</w:t>
      </w:r>
      <w:r w:rsidR="00981014" w:rsidRPr="002B031E">
        <w:t xml:space="preserve">. </w:t>
      </w:r>
      <w:r w:rsidR="00802C83" w:rsidRPr="002B031E">
        <w:t xml:space="preserve"> </w:t>
      </w:r>
      <w:r w:rsidR="00FC4B54" w:rsidRPr="002B031E">
        <w:t xml:space="preserve">Whilst the total loss suffered was </w:t>
      </w:r>
      <w:r w:rsidR="00951243" w:rsidRPr="002B031E">
        <w:t xml:space="preserve">estimated to be </w:t>
      </w:r>
      <w:r w:rsidR="00FC4B54" w:rsidRPr="002B031E">
        <w:t xml:space="preserve">$67,215.59, the actual loss for each customer was a small amount per transaction as the surcharge in each case was a small percentage of the overall transaction amount. </w:t>
      </w:r>
    </w:p>
    <w:p w:rsidR="00FC4B54" w:rsidRPr="002B031E" w:rsidRDefault="00FC4B54" w:rsidP="00EA6F6D">
      <w:pPr>
        <w:pStyle w:val="ParaNumbering"/>
      </w:pPr>
      <w:r w:rsidRPr="002B031E">
        <w:t xml:space="preserve">Secondly, </w:t>
      </w:r>
      <w:proofErr w:type="spellStart"/>
      <w:r w:rsidR="00EA6F6D" w:rsidRPr="002B031E">
        <w:t>Europcar</w:t>
      </w:r>
      <w:proofErr w:type="spellEnd"/>
      <w:r w:rsidR="00EA6F6D" w:rsidRPr="002B031E">
        <w:t xml:space="preserve"> has refunded </w:t>
      </w:r>
      <w:r w:rsidRPr="002B031E">
        <w:t xml:space="preserve">the overpayments </w:t>
      </w:r>
      <w:r w:rsidR="00EA6F6D" w:rsidRPr="002B031E">
        <w:t xml:space="preserve">to </w:t>
      </w:r>
      <w:r w:rsidRPr="002B031E">
        <w:t xml:space="preserve">the affected </w:t>
      </w:r>
      <w:r w:rsidR="00EA6F6D" w:rsidRPr="002B031E">
        <w:t xml:space="preserve">customers save for the amount of $2,149 where it has not yet been possible to pay the refunds.  </w:t>
      </w:r>
      <w:r w:rsidRPr="002B031E">
        <w:t>It has also taken corrective measure</w:t>
      </w:r>
      <w:r w:rsidR="00951243" w:rsidRPr="002B031E">
        <w:t>s</w:t>
      </w:r>
      <w:r w:rsidRPr="002B031E">
        <w:t xml:space="preserve"> to adjust its surcharge to a permissible rate.</w:t>
      </w:r>
    </w:p>
    <w:p w:rsidR="00EA6F6D" w:rsidRPr="002B031E" w:rsidRDefault="00FC4B54" w:rsidP="00EA6F6D">
      <w:pPr>
        <w:pStyle w:val="ParaNumbering"/>
      </w:pPr>
      <w:r w:rsidRPr="002B031E">
        <w:t>Thirdly, t</w:t>
      </w:r>
      <w:r w:rsidR="00EA6F6D" w:rsidRPr="002B031E">
        <w:t>he proposed penalties substantially outweigh any g</w:t>
      </w:r>
      <w:r w:rsidR="00951243" w:rsidRPr="002B031E">
        <w:t xml:space="preserve">ains which </w:t>
      </w:r>
      <w:proofErr w:type="spellStart"/>
      <w:r w:rsidR="00951243" w:rsidRPr="002B031E">
        <w:t>Europcar</w:t>
      </w:r>
      <w:proofErr w:type="spellEnd"/>
      <w:r w:rsidR="00951243" w:rsidRPr="002B031E">
        <w:t xml:space="preserve"> had secured</w:t>
      </w:r>
      <w:r w:rsidR="00EA6F6D" w:rsidRPr="002B031E">
        <w:t xml:space="preserve"> before it refunded the amounts.</w:t>
      </w:r>
    </w:p>
    <w:p w:rsidR="00EA6F6D" w:rsidRPr="002B031E" w:rsidRDefault="00FC4B54" w:rsidP="00EA6F6D">
      <w:pPr>
        <w:pStyle w:val="ParaNumbering"/>
      </w:pPr>
      <w:r w:rsidRPr="002B031E">
        <w:t>Fourth</w:t>
      </w:r>
      <w:r w:rsidR="00EA6F6D" w:rsidRPr="002B031E">
        <w:t xml:space="preserve">ly, the proposed penalties reflect the seriousness of the contravening courses of conduct.  </w:t>
      </w:r>
      <w:proofErr w:type="spellStart"/>
      <w:r w:rsidR="00EA6F6D" w:rsidRPr="002B031E">
        <w:t>Europcar</w:t>
      </w:r>
      <w:proofErr w:type="spellEnd"/>
      <w:r w:rsidR="00EA6F6D" w:rsidRPr="002B031E">
        <w:t xml:space="preserve"> imposed excessive surcharges on 73,112 payments received during the period from 5 July 2017 to 5 </w:t>
      </w:r>
      <w:r w:rsidR="00A21BA2" w:rsidRPr="002B031E">
        <w:t>November</w:t>
      </w:r>
      <w:r w:rsidR="00EA6F6D" w:rsidRPr="002B031E">
        <w:t xml:space="preserve"> 2017, overcharging 63,012 consumers.</w:t>
      </w:r>
      <w:r w:rsidR="000B2FEF" w:rsidRPr="002B031E">
        <w:t xml:space="preserve"> </w:t>
      </w:r>
    </w:p>
    <w:p w:rsidR="00317AC6" w:rsidRPr="002B031E" w:rsidRDefault="00FC4B54" w:rsidP="00317AC6">
      <w:pPr>
        <w:pStyle w:val="ParaNumbering"/>
      </w:pPr>
      <w:r w:rsidRPr="002B031E">
        <w:t>Fifthly, t</w:t>
      </w:r>
      <w:r w:rsidR="00EA6F6D" w:rsidRPr="002B031E">
        <w:t xml:space="preserve">here was </w:t>
      </w:r>
      <w:r w:rsidRPr="002B031E">
        <w:t xml:space="preserve">a </w:t>
      </w:r>
      <w:r w:rsidR="00EA6F6D" w:rsidRPr="002B031E">
        <w:t xml:space="preserve">deliberateness </w:t>
      </w:r>
      <w:r w:rsidR="000B2FEF" w:rsidRPr="002B031E">
        <w:t>to</w:t>
      </w:r>
      <w:r w:rsidR="00EA6F6D" w:rsidRPr="002B031E">
        <w:t xml:space="preserve"> </w:t>
      </w:r>
      <w:r w:rsidR="000B2FEF" w:rsidRPr="002B031E">
        <w:t>the</w:t>
      </w:r>
      <w:r w:rsidR="00EA6F6D" w:rsidRPr="002B031E">
        <w:t xml:space="preserve"> contravening conduct.  </w:t>
      </w:r>
      <w:proofErr w:type="spellStart"/>
      <w:r w:rsidRPr="002B031E">
        <w:t>Europcar</w:t>
      </w:r>
      <w:proofErr w:type="spellEnd"/>
      <w:r w:rsidRPr="002B031E">
        <w:t xml:space="preserve"> was aware from at least June 2016 that s 55B of the Act was coming into effect from 1 September 2016 but did not take adequate steps until August 2017 to prepare its systems to ensure compliance.  </w:t>
      </w:r>
      <w:r w:rsidR="007E0DFE" w:rsidRPr="002B031E">
        <w:t xml:space="preserve"> </w:t>
      </w:r>
      <w:r w:rsidRPr="002B031E">
        <w:t xml:space="preserve">Furthermore, </w:t>
      </w:r>
      <w:r w:rsidR="00317AC6" w:rsidRPr="002B031E">
        <w:t xml:space="preserve">senior management knew that </w:t>
      </w:r>
      <w:proofErr w:type="spellStart"/>
      <w:r w:rsidR="00520B7C" w:rsidRPr="002B031E">
        <w:t>Europcar</w:t>
      </w:r>
      <w:proofErr w:type="spellEnd"/>
      <w:r w:rsidR="00317AC6" w:rsidRPr="002B031E">
        <w:t xml:space="preserve"> was charging excessive surcharge rates </w:t>
      </w:r>
      <w:r w:rsidR="00520B7C" w:rsidRPr="002B031E">
        <w:t xml:space="preserve">for payment by debit cards </w:t>
      </w:r>
      <w:r w:rsidR="00317AC6" w:rsidRPr="002B031E">
        <w:t xml:space="preserve">in the </w:t>
      </w:r>
      <w:r w:rsidR="000B2FEF" w:rsidRPr="002B031E">
        <w:t>period between 1 September 2017 and 5 November 2017</w:t>
      </w:r>
      <w:r w:rsidR="00317AC6" w:rsidRPr="002B031E">
        <w:t xml:space="preserve">. </w:t>
      </w:r>
      <w:r w:rsidR="007E0DFE" w:rsidRPr="002B031E">
        <w:t xml:space="preserve"> </w:t>
      </w:r>
      <w:proofErr w:type="spellStart"/>
      <w:r w:rsidR="00FD02B2" w:rsidRPr="002B031E">
        <w:t>Europcar’s</w:t>
      </w:r>
      <w:proofErr w:type="spellEnd"/>
      <w:r w:rsidR="00FD02B2" w:rsidRPr="002B031E">
        <w:t xml:space="preserve"> decision to engage in the contravening conduct from the period 1 September 2017</w:t>
      </w:r>
      <w:r w:rsidR="00BC17D8" w:rsidRPr="002B031E">
        <w:t xml:space="preserve"> to 5 November 2017, notwithstanding the knowledge of senior management</w:t>
      </w:r>
      <w:r w:rsidR="000B2FEF" w:rsidRPr="002B031E">
        <w:t xml:space="preserve"> of the prohibition on excessive surcharging</w:t>
      </w:r>
      <w:r w:rsidR="00BC17D8" w:rsidRPr="002B031E">
        <w:t xml:space="preserve">, is not consistent with a culture of compliance and reinforces the need for specific </w:t>
      </w:r>
      <w:r w:rsidR="000B2FEF" w:rsidRPr="002B031E">
        <w:t>deterrence</w:t>
      </w:r>
      <w:r w:rsidR="00BC17D8" w:rsidRPr="002B031E">
        <w:t xml:space="preserve">.  </w:t>
      </w:r>
    </w:p>
    <w:p w:rsidR="00EA6F6D" w:rsidRPr="002B031E" w:rsidRDefault="00317AC6" w:rsidP="00317AC6">
      <w:pPr>
        <w:pStyle w:val="ParaNumbering"/>
      </w:pPr>
      <w:r w:rsidRPr="002B031E">
        <w:lastRenderedPageBreak/>
        <w:t>Sixthly, a</w:t>
      </w:r>
      <w:r w:rsidR="00BC17D8" w:rsidRPr="002B031E">
        <w:t xml:space="preserve">lthough </w:t>
      </w:r>
      <w:proofErr w:type="spellStart"/>
      <w:r w:rsidR="00BC17D8" w:rsidRPr="002B031E">
        <w:t>Europcar</w:t>
      </w:r>
      <w:proofErr w:type="spellEnd"/>
      <w:r w:rsidR="00BC17D8" w:rsidRPr="002B031E">
        <w:t xml:space="preserve"> has not previously been found to have contravened s 55B of the Act, in April 2016 it was ordered to pay a pecuniary penalty of $100,000 after </w:t>
      </w:r>
      <w:r w:rsidR="000B2FEF" w:rsidRPr="002B031E">
        <w:t xml:space="preserve">this </w:t>
      </w:r>
      <w:r w:rsidR="00BC17D8" w:rsidRPr="002B031E">
        <w:t xml:space="preserve">Court found it engaged in misleading or deceptive conduct and made false or misleading </w:t>
      </w:r>
      <w:r w:rsidR="00A21BA2" w:rsidRPr="002B031E">
        <w:t>representations</w:t>
      </w:r>
      <w:r w:rsidR="00BC17D8" w:rsidRPr="002B031E">
        <w:t xml:space="preserve"> in relation to its car rental </w:t>
      </w:r>
      <w:r w:rsidR="000B2FEF" w:rsidRPr="002B031E">
        <w:t xml:space="preserve">contracts in contravention of </w:t>
      </w:r>
      <w:proofErr w:type="spellStart"/>
      <w:r w:rsidR="000B2FEF" w:rsidRPr="002B031E">
        <w:t>ss</w:t>
      </w:r>
      <w:proofErr w:type="spellEnd"/>
      <w:r w:rsidR="000B2FEF" w:rsidRPr="002B031E">
        <w:t xml:space="preserve"> </w:t>
      </w:r>
      <w:r w:rsidR="00BC17D8" w:rsidRPr="002B031E">
        <w:t>12DA and 12DB of the</w:t>
      </w:r>
      <w:r w:rsidR="000B2FEF" w:rsidRPr="002B031E">
        <w:t xml:space="preserve"> </w:t>
      </w:r>
      <w:r w:rsidR="000B2FEF" w:rsidRPr="002B031E">
        <w:rPr>
          <w:i/>
        </w:rPr>
        <w:t>Australian Securities and Investments Commission Act 2001</w:t>
      </w:r>
      <w:r w:rsidR="000B2FEF" w:rsidRPr="002B031E">
        <w:t xml:space="preserve"> (</w:t>
      </w:r>
      <w:proofErr w:type="spellStart"/>
      <w:r w:rsidR="000B2FEF" w:rsidRPr="002B031E">
        <w:t>Cth</w:t>
      </w:r>
      <w:proofErr w:type="spellEnd"/>
      <w:r w:rsidR="000B2FEF" w:rsidRPr="002B031E">
        <w:t>) (“</w:t>
      </w:r>
      <w:r w:rsidR="000B2FEF" w:rsidRPr="002B031E">
        <w:rPr>
          <w:b/>
        </w:rPr>
        <w:t>the ASIC Act</w:t>
      </w:r>
      <w:r w:rsidR="000B2FEF" w:rsidRPr="002B031E">
        <w:t>”)</w:t>
      </w:r>
      <w:r w:rsidR="00BC17D8" w:rsidRPr="002B031E">
        <w:t xml:space="preserve">.  The Court also found that </w:t>
      </w:r>
      <w:proofErr w:type="spellStart"/>
      <w:r w:rsidR="00BC17D8" w:rsidRPr="002B031E">
        <w:t>Europcar’s</w:t>
      </w:r>
      <w:proofErr w:type="spellEnd"/>
      <w:r w:rsidR="00BC17D8" w:rsidRPr="002B031E">
        <w:t xml:space="preserve"> car rental contract</w:t>
      </w:r>
      <w:r w:rsidR="000B2FEF" w:rsidRPr="002B031E">
        <w:t>s</w:t>
      </w:r>
      <w:r w:rsidR="00BC17D8" w:rsidRPr="002B031E">
        <w:t xml:space="preserve"> contained terms that were unfair within the meaning of s 12BG of the ASIC Act.  </w:t>
      </w:r>
      <w:proofErr w:type="spellStart"/>
      <w:r w:rsidR="00BC17D8" w:rsidRPr="002B031E">
        <w:t>Europcar’s</w:t>
      </w:r>
      <w:proofErr w:type="spellEnd"/>
      <w:r w:rsidR="00BC17D8" w:rsidRPr="002B031E">
        <w:t xml:space="preserve"> </w:t>
      </w:r>
      <w:r w:rsidR="005B1D7C" w:rsidRPr="002B031E">
        <w:t xml:space="preserve">past conduct reinforces the need for specific </w:t>
      </w:r>
      <w:r w:rsidR="00951243" w:rsidRPr="002B031E">
        <w:t>deterrence</w:t>
      </w:r>
      <w:r w:rsidR="005B1D7C" w:rsidRPr="002B031E">
        <w:t xml:space="preserve">. </w:t>
      </w:r>
    </w:p>
    <w:p w:rsidR="005B1D7C" w:rsidRPr="002B031E" w:rsidRDefault="005B1D7C" w:rsidP="005B1D7C">
      <w:pPr>
        <w:pStyle w:val="ParaNumbering"/>
      </w:pPr>
      <w:r w:rsidRPr="002B031E">
        <w:t>However</w:t>
      </w:r>
      <w:r w:rsidR="000B2FEF" w:rsidRPr="002B031E">
        <w:t>,</w:t>
      </w:r>
      <w:r w:rsidRPr="002B031E">
        <w:t xml:space="preserve"> I do take into account that </w:t>
      </w:r>
      <w:proofErr w:type="spellStart"/>
      <w:r w:rsidRPr="002B031E">
        <w:t>Europcar</w:t>
      </w:r>
      <w:proofErr w:type="spellEnd"/>
      <w:r w:rsidRPr="002B031E">
        <w:t xml:space="preserve"> has cooperated with</w:t>
      </w:r>
      <w:r w:rsidR="000B2FEF" w:rsidRPr="002B031E">
        <w:t xml:space="preserve"> the</w:t>
      </w:r>
      <w:r w:rsidRPr="002B031E">
        <w:t xml:space="preserve"> </w:t>
      </w:r>
      <w:r w:rsidR="000B2FEF" w:rsidRPr="002B031E">
        <w:t>ACCC’s investigation from</w:t>
      </w:r>
      <w:r w:rsidRPr="002B031E">
        <w:t xml:space="preserve"> </w:t>
      </w:r>
      <w:r w:rsidR="000B2FEF" w:rsidRPr="002B031E">
        <w:t>its commencement</w:t>
      </w:r>
      <w:r w:rsidRPr="002B031E">
        <w:t xml:space="preserve">.  Whilst </w:t>
      </w:r>
      <w:proofErr w:type="spellStart"/>
      <w:r w:rsidRPr="002B031E">
        <w:t>Europcar</w:t>
      </w:r>
      <w:proofErr w:type="spellEnd"/>
      <w:r w:rsidRPr="002B031E">
        <w:t xml:space="preserve"> initially contested the proceeding, it then agreed to the making of all appropriate orders, agreed to penalty amounts and joined in the making of submissions which reflect the seriousness of its wrongdoing.</w:t>
      </w:r>
    </w:p>
    <w:p w:rsidR="005B1D7C" w:rsidRPr="002B031E" w:rsidRDefault="005B1D7C" w:rsidP="00377000">
      <w:pPr>
        <w:pStyle w:val="ParaNumbering"/>
      </w:pPr>
      <w:r w:rsidRPr="002B031E">
        <w:t xml:space="preserve">For these reasons, I consider that it is </w:t>
      </w:r>
      <w:r w:rsidR="00A21BA2" w:rsidRPr="002B031E">
        <w:t>appropriate</w:t>
      </w:r>
      <w:r w:rsidRPr="002B031E">
        <w:t xml:space="preserve"> to make the orders in the terms agreed to by the parties.</w:t>
      </w:r>
    </w:p>
    <w:p w:rsidR="00E65F66" w:rsidRPr="002B031E" w:rsidRDefault="00E65F66" w:rsidP="00E65F66">
      <w:pPr>
        <w:pStyle w:val="ParaNumbering"/>
        <w:numPr>
          <w:ilvl w:val="0"/>
          <w:numId w:val="0"/>
        </w:numPr>
      </w:pPr>
    </w:p>
    <w:p w:rsidR="002B031E" w:rsidRPr="002B031E" w:rsidRDefault="002B031E" w:rsidP="00815065">
      <w:pPr>
        <w:pStyle w:val="BodyText"/>
      </w:pPr>
      <w:bookmarkStart w:id="19" w:name="Certification"/>
    </w:p>
    <w:tbl>
      <w:tblPr>
        <w:tblW w:w="0" w:type="auto"/>
        <w:tblLook w:val="04A0" w:firstRow="1" w:lastRow="0" w:firstColumn="1" w:lastColumn="0" w:noHBand="0" w:noVBand="1"/>
      </w:tblPr>
      <w:tblGrid>
        <w:gridCol w:w="3794"/>
      </w:tblGrid>
      <w:tr w:rsidR="002B031E" w:rsidRPr="002B031E">
        <w:tc>
          <w:tcPr>
            <w:tcW w:w="3794" w:type="dxa"/>
            <w:shd w:val="clear" w:color="auto" w:fill="auto"/>
          </w:tcPr>
          <w:p w:rsidR="002B031E" w:rsidRPr="002B031E" w:rsidRDefault="002B031E" w:rsidP="002B031E">
            <w:pPr>
              <w:pStyle w:val="Normal1linespace"/>
            </w:pPr>
            <w:r w:rsidRPr="002B031E">
              <w:t xml:space="preserve">I certify that the preceding </w:t>
            </w:r>
            <w:bookmarkStart w:id="20" w:name="NumberWord"/>
            <w:r w:rsidRPr="002B031E">
              <w:t>twenty-six</w:t>
            </w:r>
            <w:bookmarkEnd w:id="20"/>
            <w:r w:rsidRPr="002B031E">
              <w:t xml:space="preserve"> (</w:t>
            </w:r>
            <w:bookmarkStart w:id="21" w:name="NumberNumeral"/>
            <w:r w:rsidRPr="002B031E">
              <w:t>26</w:t>
            </w:r>
            <w:bookmarkEnd w:id="21"/>
            <w:r w:rsidRPr="002B031E">
              <w:t xml:space="preserve">) numbered </w:t>
            </w:r>
            <w:bookmarkStart w:id="22" w:name="CertPara"/>
            <w:r w:rsidRPr="002B031E">
              <w:t>paragraphs are</w:t>
            </w:r>
            <w:bookmarkEnd w:id="22"/>
            <w:r w:rsidRPr="002B031E">
              <w:t xml:space="preserve"> a true copy of the Reasons for Judgment herein of the Honourable </w:t>
            </w:r>
            <w:bookmarkStart w:id="23" w:name="Justice"/>
            <w:r w:rsidRPr="002B031E">
              <w:t>Justice Davies</w:t>
            </w:r>
            <w:bookmarkEnd w:id="23"/>
            <w:r w:rsidRPr="002B031E">
              <w:t>.</w:t>
            </w:r>
          </w:p>
        </w:tc>
      </w:tr>
    </w:tbl>
    <w:p w:rsidR="002B031E" w:rsidRPr="002B031E" w:rsidRDefault="002B031E" w:rsidP="00815065">
      <w:pPr>
        <w:pStyle w:val="BodyText"/>
      </w:pPr>
    </w:p>
    <w:p w:rsidR="002B031E" w:rsidRPr="002B031E" w:rsidRDefault="002B031E" w:rsidP="00815065">
      <w:pPr>
        <w:pStyle w:val="BodyText"/>
      </w:pPr>
      <w:r w:rsidRPr="002B031E">
        <w:t>Associate:</w:t>
      </w:r>
      <w:r>
        <w:tab/>
      </w:r>
    </w:p>
    <w:p w:rsidR="002B031E" w:rsidRPr="002B031E" w:rsidRDefault="002B031E" w:rsidP="00815065">
      <w:pPr>
        <w:pStyle w:val="BodyText"/>
      </w:pPr>
      <w:bookmarkStart w:id="24" w:name="_GoBack"/>
      <w:bookmarkEnd w:id="24"/>
    </w:p>
    <w:p w:rsidR="002B031E" w:rsidRPr="002B031E" w:rsidRDefault="002B031E" w:rsidP="00815065">
      <w:pPr>
        <w:pStyle w:val="BodyText"/>
        <w:tabs>
          <w:tab w:val="left" w:pos="1134"/>
        </w:tabs>
      </w:pPr>
      <w:r w:rsidRPr="002B031E">
        <w:t>Dated:</w:t>
      </w:r>
      <w:r w:rsidRPr="002B031E">
        <w:tab/>
      </w:r>
      <w:bookmarkStart w:id="25" w:name="CertifyDated"/>
      <w:r>
        <w:t>14 August</w:t>
      </w:r>
      <w:r w:rsidRPr="002B031E">
        <w:t xml:space="preserve"> 2019</w:t>
      </w:r>
      <w:bookmarkEnd w:id="25"/>
    </w:p>
    <w:p w:rsidR="002B031E" w:rsidRPr="002B031E" w:rsidRDefault="002B031E" w:rsidP="00815065">
      <w:pPr>
        <w:pStyle w:val="BodyText"/>
      </w:pPr>
    </w:p>
    <w:bookmarkEnd w:id="19"/>
    <w:p w:rsidR="002B031E" w:rsidRPr="002B031E" w:rsidRDefault="002B031E" w:rsidP="002B031E">
      <w:pPr>
        <w:pStyle w:val="BodyText"/>
      </w:pPr>
    </w:p>
    <w:p w:rsidR="00E65F66" w:rsidRPr="002B031E" w:rsidRDefault="00E65F66">
      <w:pPr>
        <w:spacing w:line="240" w:lineRule="auto"/>
        <w:jc w:val="left"/>
      </w:pPr>
      <w:r w:rsidRPr="002B031E">
        <w:br w:type="page"/>
      </w:r>
    </w:p>
    <w:p w:rsidR="002A0BA2" w:rsidRDefault="002A0BA2" w:rsidP="009E072A">
      <w:pPr>
        <w:pStyle w:val="ParaNumbering"/>
        <w:numPr>
          <w:ilvl w:val="0"/>
          <w:numId w:val="0"/>
        </w:numPr>
        <w:jc w:val="center"/>
        <w:rPr>
          <w:b/>
        </w:rPr>
      </w:pPr>
    </w:p>
    <w:p w:rsidR="002A0BA2" w:rsidRDefault="002A0BA2" w:rsidP="009E072A">
      <w:pPr>
        <w:pStyle w:val="ParaNumbering"/>
        <w:numPr>
          <w:ilvl w:val="0"/>
          <w:numId w:val="0"/>
        </w:numPr>
        <w:jc w:val="center"/>
        <w:rPr>
          <w:b/>
        </w:rPr>
      </w:pPr>
    </w:p>
    <w:p w:rsidR="002A0BA2" w:rsidRDefault="002A0BA2" w:rsidP="009E072A">
      <w:pPr>
        <w:pStyle w:val="ParaNumbering"/>
        <w:numPr>
          <w:ilvl w:val="0"/>
          <w:numId w:val="0"/>
        </w:numPr>
        <w:jc w:val="center"/>
        <w:rPr>
          <w:b/>
        </w:rPr>
      </w:pPr>
    </w:p>
    <w:p w:rsidR="002A0BA2" w:rsidRDefault="002A0BA2" w:rsidP="009E072A">
      <w:pPr>
        <w:pStyle w:val="ParaNumbering"/>
        <w:numPr>
          <w:ilvl w:val="0"/>
          <w:numId w:val="0"/>
        </w:numPr>
        <w:jc w:val="center"/>
        <w:rPr>
          <w:b/>
        </w:rPr>
      </w:pPr>
    </w:p>
    <w:p w:rsidR="002A0BA2" w:rsidRDefault="002A0BA2" w:rsidP="009E072A">
      <w:pPr>
        <w:pStyle w:val="ParaNumbering"/>
        <w:numPr>
          <w:ilvl w:val="0"/>
          <w:numId w:val="0"/>
        </w:numPr>
        <w:jc w:val="center"/>
        <w:rPr>
          <w:b/>
        </w:rPr>
      </w:pPr>
    </w:p>
    <w:p w:rsidR="002A0BA2" w:rsidRDefault="002A0BA2" w:rsidP="009E072A">
      <w:pPr>
        <w:pStyle w:val="ParaNumbering"/>
        <w:numPr>
          <w:ilvl w:val="0"/>
          <w:numId w:val="0"/>
        </w:numPr>
        <w:jc w:val="center"/>
        <w:rPr>
          <w:b/>
        </w:rPr>
      </w:pPr>
    </w:p>
    <w:p w:rsidR="002A0BA2" w:rsidRDefault="002A0BA2" w:rsidP="009E072A">
      <w:pPr>
        <w:pStyle w:val="ParaNumbering"/>
        <w:numPr>
          <w:ilvl w:val="0"/>
          <w:numId w:val="0"/>
        </w:numPr>
        <w:jc w:val="center"/>
        <w:rPr>
          <w:b/>
        </w:rPr>
      </w:pPr>
    </w:p>
    <w:p w:rsidR="00E65F66" w:rsidRPr="002A0BA2" w:rsidRDefault="009E072A" w:rsidP="002A0BA2">
      <w:pPr>
        <w:pStyle w:val="NoNum"/>
        <w:jc w:val="center"/>
        <w:rPr>
          <w:b/>
          <w:sz w:val="40"/>
          <w:szCs w:val="40"/>
        </w:rPr>
      </w:pPr>
      <w:r w:rsidRPr="002A0BA2">
        <w:rPr>
          <w:b/>
          <w:sz w:val="40"/>
          <w:szCs w:val="40"/>
        </w:rPr>
        <w:t>ANNEXURE A</w:t>
      </w:r>
    </w:p>
    <w:p w:rsidR="00113016" w:rsidRPr="002B031E" w:rsidRDefault="0045614F" w:rsidP="009E072A">
      <w:pPr>
        <w:pStyle w:val="ParaNumbering"/>
        <w:numPr>
          <w:ilvl w:val="0"/>
          <w:numId w:val="0"/>
        </w:numPr>
        <w:jc w:val="left"/>
      </w:pPr>
      <w:r>
        <w:rPr>
          <w:noProof/>
          <w:lang w:eastAsia="en-AU"/>
        </w:rPr>
        <w:lastRenderedPageBreak/>
        <w:drawing>
          <wp:inline distT="0" distB="0" distL="0" distR="0" wp14:anchorId="5FCD257D" wp14:editId="4A1393D7">
            <wp:extent cx="5732145" cy="8105775"/>
            <wp:effectExtent l="0" t="0" r="190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vel15-2C-05467020190814121205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648DF47E" wp14:editId="75D343E2">
            <wp:extent cx="5732145" cy="8105775"/>
            <wp:effectExtent l="0" t="0" r="190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vel15-2C-05467020190814121205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4C23E97D" wp14:editId="6808077A">
            <wp:extent cx="5732145" cy="8105775"/>
            <wp:effectExtent l="0" t="0" r="190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vel15-2C-05467020190814121205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328F15BE" wp14:editId="6DA0F91E">
            <wp:extent cx="5732145" cy="8105775"/>
            <wp:effectExtent l="0" t="0" r="190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vel15-2C-05467020190814121205_Page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2FABE2A0" wp14:editId="3A228AEB">
            <wp:extent cx="5732145" cy="8105775"/>
            <wp:effectExtent l="0" t="0" r="190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vel15-2C-05467020190814121205_Pag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3FD7739E" wp14:editId="35543B5B">
            <wp:extent cx="5732145" cy="8105775"/>
            <wp:effectExtent l="0" t="0" r="190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vel15-2C-05467020190814121205_Page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5278F5DF" wp14:editId="74861821">
            <wp:extent cx="5732145" cy="8105775"/>
            <wp:effectExtent l="0" t="0" r="190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vel15-2C-05467020190814121205_Page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79788A8D" wp14:editId="00B0DE1A">
            <wp:extent cx="5732145" cy="8105775"/>
            <wp:effectExtent l="0" t="0" r="190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vel15-2C-05467020190814121205_Page_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3EA69CA7" wp14:editId="2788D58A">
            <wp:extent cx="5732145" cy="8105775"/>
            <wp:effectExtent l="0" t="0" r="190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evel15-2C-05467020190814121205_Page_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18EC3DDB" wp14:editId="67A0C227">
            <wp:extent cx="5732145" cy="8105775"/>
            <wp:effectExtent l="0" t="0" r="19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evel15-2C-05467020190814121205_Page_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55B173A0" wp14:editId="05F1C9A5">
            <wp:extent cx="5732145" cy="8105775"/>
            <wp:effectExtent l="0" t="0" r="190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evel15-2C-05467020190814121205_Page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4010ED31" wp14:editId="2BF0C415">
            <wp:extent cx="5732145" cy="8105775"/>
            <wp:effectExtent l="0" t="0" r="190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vel15-2C-05467020190814121205_Page_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12C2FD48" wp14:editId="4CABB295">
            <wp:extent cx="5732145" cy="8105775"/>
            <wp:effectExtent l="0" t="0" r="190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vel15-2C-05467020190814121205_Page_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2DD2017E" wp14:editId="76470F94">
            <wp:extent cx="5732145" cy="8105775"/>
            <wp:effectExtent l="0" t="0" r="190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evel15-2C-05467020190814121205_Page_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5CECC79A" wp14:editId="314F00D4">
            <wp:extent cx="5732145" cy="8105775"/>
            <wp:effectExtent l="0" t="0" r="190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evel15-2C-05467020190814121205_Page_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6C07E88B" wp14:editId="233FF058">
            <wp:extent cx="5732145" cy="8105775"/>
            <wp:effectExtent l="0" t="0" r="190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evel15-2C-05467020190814121205_Page_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2EFC4CAE" wp14:editId="41C232BA">
            <wp:extent cx="5732145" cy="8105775"/>
            <wp:effectExtent l="0" t="0" r="190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vel15-2C-05467020190814121205_Page_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4F93C8E0" wp14:editId="50EC79E5">
            <wp:extent cx="5732145" cy="8105775"/>
            <wp:effectExtent l="0" t="0" r="190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evel15-2C-05467020190814121205_Page_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p w:rsidR="00113016" w:rsidRPr="002B031E" w:rsidRDefault="00113016">
      <w:pPr>
        <w:spacing w:line="240" w:lineRule="auto"/>
        <w:jc w:val="left"/>
      </w:pPr>
      <w:r w:rsidRPr="002B031E">
        <w:br w:type="page"/>
      </w:r>
    </w:p>
    <w:p w:rsidR="002A0BA2" w:rsidRDefault="002A0BA2" w:rsidP="00113016">
      <w:pPr>
        <w:pStyle w:val="ParaNumbering"/>
        <w:numPr>
          <w:ilvl w:val="0"/>
          <w:numId w:val="0"/>
        </w:numPr>
        <w:jc w:val="center"/>
        <w:rPr>
          <w:b/>
        </w:rPr>
      </w:pPr>
    </w:p>
    <w:p w:rsidR="002A0BA2" w:rsidRDefault="002A0BA2" w:rsidP="00113016">
      <w:pPr>
        <w:pStyle w:val="ParaNumbering"/>
        <w:numPr>
          <w:ilvl w:val="0"/>
          <w:numId w:val="0"/>
        </w:numPr>
        <w:jc w:val="center"/>
        <w:rPr>
          <w:b/>
        </w:rPr>
      </w:pPr>
    </w:p>
    <w:p w:rsidR="002A0BA2" w:rsidRDefault="002A0BA2" w:rsidP="00113016">
      <w:pPr>
        <w:pStyle w:val="ParaNumbering"/>
        <w:numPr>
          <w:ilvl w:val="0"/>
          <w:numId w:val="0"/>
        </w:numPr>
        <w:jc w:val="center"/>
        <w:rPr>
          <w:b/>
        </w:rPr>
      </w:pPr>
    </w:p>
    <w:p w:rsidR="002A0BA2" w:rsidRDefault="002A0BA2" w:rsidP="00113016">
      <w:pPr>
        <w:pStyle w:val="ParaNumbering"/>
        <w:numPr>
          <w:ilvl w:val="0"/>
          <w:numId w:val="0"/>
        </w:numPr>
        <w:jc w:val="center"/>
        <w:rPr>
          <w:b/>
        </w:rPr>
      </w:pPr>
    </w:p>
    <w:p w:rsidR="002A0BA2" w:rsidRDefault="002A0BA2" w:rsidP="00113016">
      <w:pPr>
        <w:pStyle w:val="ParaNumbering"/>
        <w:numPr>
          <w:ilvl w:val="0"/>
          <w:numId w:val="0"/>
        </w:numPr>
        <w:jc w:val="center"/>
        <w:rPr>
          <w:b/>
        </w:rPr>
      </w:pPr>
    </w:p>
    <w:p w:rsidR="002A0BA2" w:rsidRDefault="002A0BA2" w:rsidP="00113016">
      <w:pPr>
        <w:pStyle w:val="ParaNumbering"/>
        <w:numPr>
          <w:ilvl w:val="0"/>
          <w:numId w:val="0"/>
        </w:numPr>
        <w:jc w:val="center"/>
        <w:rPr>
          <w:b/>
        </w:rPr>
      </w:pPr>
    </w:p>
    <w:p w:rsidR="002A0BA2" w:rsidRDefault="002A0BA2" w:rsidP="00113016">
      <w:pPr>
        <w:pStyle w:val="ParaNumbering"/>
        <w:numPr>
          <w:ilvl w:val="0"/>
          <w:numId w:val="0"/>
        </w:numPr>
        <w:jc w:val="center"/>
        <w:rPr>
          <w:b/>
        </w:rPr>
      </w:pPr>
    </w:p>
    <w:p w:rsidR="002A0BA2" w:rsidRPr="002A0BA2" w:rsidRDefault="00113016" w:rsidP="00113016">
      <w:pPr>
        <w:pStyle w:val="ParaNumbering"/>
        <w:numPr>
          <w:ilvl w:val="0"/>
          <w:numId w:val="0"/>
        </w:numPr>
        <w:jc w:val="center"/>
        <w:rPr>
          <w:b/>
          <w:sz w:val="40"/>
          <w:szCs w:val="40"/>
        </w:rPr>
      </w:pPr>
      <w:r w:rsidRPr="002A0BA2">
        <w:rPr>
          <w:b/>
          <w:sz w:val="40"/>
          <w:szCs w:val="40"/>
        </w:rPr>
        <w:t>ANNEXURE B</w:t>
      </w:r>
      <w:r w:rsidR="002A0BA2" w:rsidRPr="002A0BA2">
        <w:rPr>
          <w:b/>
          <w:sz w:val="40"/>
          <w:szCs w:val="40"/>
        </w:rPr>
        <w:br/>
      </w:r>
    </w:p>
    <w:p w:rsidR="002A0BA2" w:rsidRDefault="002A0BA2">
      <w:pPr>
        <w:spacing w:line="240" w:lineRule="auto"/>
        <w:jc w:val="left"/>
        <w:rPr>
          <w:b/>
        </w:rPr>
      </w:pPr>
      <w:r>
        <w:rPr>
          <w:b/>
        </w:rPr>
        <w:br w:type="page"/>
      </w:r>
    </w:p>
    <w:p w:rsidR="00113016" w:rsidRPr="002B031E" w:rsidRDefault="0045614F" w:rsidP="00113016">
      <w:pPr>
        <w:pStyle w:val="ParaNumbering"/>
        <w:numPr>
          <w:ilvl w:val="0"/>
          <w:numId w:val="0"/>
        </w:numPr>
        <w:jc w:val="left"/>
      </w:pPr>
      <w:r>
        <w:rPr>
          <w:noProof/>
          <w:lang w:eastAsia="en-AU"/>
        </w:rPr>
        <w:lastRenderedPageBreak/>
        <w:drawing>
          <wp:inline distT="0" distB="0" distL="0" distR="0" wp14:anchorId="312592C6" wp14:editId="61A05178">
            <wp:extent cx="5732145" cy="8105775"/>
            <wp:effectExtent l="0" t="0" r="190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nnexure 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sectPr w:rsidR="00113016" w:rsidRPr="002B031E">
      <w:headerReference w:type="even" r:id="rId29"/>
      <w:headerReference w:type="default" r:id="rId30"/>
      <w:footerReference w:type="default" r:id="rId31"/>
      <w:headerReference w:type="first" r:id="rId32"/>
      <w:footerReference w:type="first" r:id="rId33"/>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D2C" w:rsidRDefault="00130D2C">
      <w:pPr>
        <w:spacing w:line="20" w:lineRule="exact"/>
      </w:pPr>
    </w:p>
    <w:p w:rsidR="00130D2C" w:rsidRDefault="00130D2C"/>
    <w:p w:rsidR="00130D2C" w:rsidRDefault="00130D2C"/>
  </w:endnote>
  <w:endnote w:type="continuationSeparator" w:id="0">
    <w:p w:rsidR="00130D2C" w:rsidRDefault="00130D2C">
      <w:r>
        <w:t xml:space="preserve"> </w:t>
      </w:r>
    </w:p>
    <w:p w:rsidR="00130D2C" w:rsidRDefault="00130D2C"/>
    <w:p w:rsidR="00130D2C" w:rsidRDefault="00130D2C"/>
  </w:endnote>
  <w:endnote w:type="continuationNotice" w:id="1">
    <w:p w:rsidR="00130D2C" w:rsidRDefault="00130D2C">
      <w:r>
        <w:t xml:space="preserve"> </w:t>
      </w:r>
    </w:p>
    <w:p w:rsidR="00130D2C" w:rsidRDefault="00130D2C"/>
    <w:p w:rsidR="00130D2C" w:rsidRDefault="00130D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34E" w:rsidRDefault="00E3334E">
    <w:pPr>
      <w:pStyle w:val="Footer"/>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34E" w:rsidRPr="00624520" w:rsidRDefault="00E3334E" w:rsidP="00624520">
    <w:pPr>
      <w:pStyle w:val="Footer"/>
      <w:jc w:val="cen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34E" w:rsidRDefault="002B031E" w:rsidP="002F1E49">
    <w:pPr>
      <w:pStyle w:val="Footer"/>
      <w:jc w:val="center"/>
      <w:rPr>
        <w:sz w:val="28"/>
      </w:rPr>
    </w:pPr>
    <w:r>
      <w:rPr>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D2C" w:rsidRDefault="00130D2C"/>
    <w:p w:rsidR="00130D2C" w:rsidRDefault="00130D2C"/>
    <w:p w:rsidR="00130D2C" w:rsidRDefault="00130D2C"/>
  </w:footnote>
  <w:footnote w:type="continuationSeparator" w:id="0">
    <w:p w:rsidR="00130D2C" w:rsidRDefault="00130D2C">
      <w:r>
        <w:continuationSeparator/>
      </w:r>
    </w:p>
    <w:p w:rsidR="00130D2C" w:rsidRDefault="00130D2C"/>
    <w:p w:rsidR="00130D2C" w:rsidRDefault="00130D2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34E" w:rsidRDefault="00E3334E">
    <w:pPr>
      <w:tabs>
        <w:tab w:val="center" w:pos="4512"/>
      </w:tabs>
      <w:suppressAutoHyphens/>
    </w:pPr>
    <w:r>
      <w:tab/>
      <w:t xml:space="preserve">- </w:t>
    </w:r>
    <w:r>
      <w:fldChar w:fldCharType="begin"/>
    </w:r>
    <w:r>
      <w:instrText xml:space="preserve"> PAGE   \* MERGEFORMAT </w:instrText>
    </w:r>
    <w:r>
      <w:fldChar w:fldCharType="separate"/>
    </w:r>
    <w:r w:rsidR="002B031E">
      <w:rPr>
        <w:noProof/>
      </w:rPr>
      <w:t>ii</w:t>
    </w:r>
    <w:r>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34E" w:rsidRDefault="00E3334E">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34E" w:rsidRDefault="00E3334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34E" w:rsidRDefault="00E3334E">
    <w:pPr>
      <w:tabs>
        <w:tab w:val="center" w:pos="4512"/>
      </w:tabs>
      <w:suppressAutoHyphens/>
    </w:pPr>
    <w:r>
      <w:tab/>
      <w:t xml:space="preserve">- </w:t>
    </w:r>
    <w:r>
      <w:fldChar w:fldCharType="begin"/>
    </w:r>
    <w:r>
      <w:instrText>page \* arabic</w:instrText>
    </w:r>
    <w:r>
      <w:fldChar w:fldCharType="separate"/>
    </w:r>
    <w:r w:rsidR="00082BCA">
      <w:rPr>
        <w:noProof/>
      </w:rPr>
      <w:t>7</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34E" w:rsidRDefault="00E3334E">
    <w:pPr>
      <w:pStyle w:val="Header"/>
      <w:tabs>
        <w:tab w:val="clear" w:pos="4320"/>
        <w:tab w:val="clear"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4"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15:restartNumberingAfterBreak="0">
    <w:nsid w:val="494817A7"/>
    <w:multiLevelType w:val="multilevel"/>
    <w:tmpl w:val="0F0EC90E"/>
    <w:numStyleLink w:val="FCListNo"/>
  </w:abstractNum>
  <w:abstractNum w:abstractNumId="17"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1"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7"/>
  </w:num>
  <w:num w:numId="15">
    <w:abstractNumId w:val="18"/>
  </w:num>
  <w:num w:numId="16">
    <w:abstractNumId w:val="21"/>
  </w:num>
  <w:num w:numId="17">
    <w:abstractNumId w:val="12"/>
  </w:num>
  <w:num w:numId="18">
    <w:abstractNumId w:val="20"/>
  </w:num>
  <w:num w:numId="19">
    <w:abstractNumId w:val="10"/>
  </w:num>
  <w:num w:numId="20">
    <w:abstractNumId w:val="15"/>
  </w:num>
  <w:num w:numId="21">
    <w:abstractNumId w:val="16"/>
  </w:num>
  <w:num w:numId="22">
    <w:abstractNumId w:val="14"/>
  </w:num>
  <w:num w:numId="23">
    <w:abstractNumId w:val="14"/>
  </w:num>
  <w:num w:numId="2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AUSTRALIAN COMPETITION AND CONSUMER COMMISSION"/>
    <w:docVar w:name="CounselParties" w:val="Applicant"/>
    <w:docVar w:name="CounselType" w:val="Counsel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VID 885 of 2018"/>
    <w:docVar w:name="Initiators" w:val="(and another named in the Schedule)"/>
    <w:docVar w:name="Judgdate" w:val="# 2019"/>
    <w:docVar w:name="Judge" w:val="DAVIES"/>
    <w:docVar w:name="Justices" w:val="Justice"/>
    <w:docVar w:name="lstEntryList" w:val="-1"/>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none]"/>
    <w:docVar w:name="RESAndAnother" w:val="True"/>
    <w:docVar w:name="RESAndOthers" w:val="False"/>
    <w:docVar w:name="Respondent" w:val="CLA TRADING PTY LTD (ACN 082 220 339) (TRADING AS EUROPCAR)"/>
    <w:docVar w:name="ResState" w:val="Victoria"/>
    <w:docVar w:name="SubArea" w:val="[none]"/>
  </w:docVars>
  <w:rsids>
    <w:rsidRoot w:val="00743628"/>
    <w:rsid w:val="0000505D"/>
    <w:rsid w:val="0001469E"/>
    <w:rsid w:val="00015993"/>
    <w:rsid w:val="00022289"/>
    <w:rsid w:val="00032F9F"/>
    <w:rsid w:val="00041C07"/>
    <w:rsid w:val="00045BB7"/>
    <w:rsid w:val="00055719"/>
    <w:rsid w:val="0005641B"/>
    <w:rsid w:val="00081497"/>
    <w:rsid w:val="00082BCA"/>
    <w:rsid w:val="000911D7"/>
    <w:rsid w:val="000A2E76"/>
    <w:rsid w:val="000A4807"/>
    <w:rsid w:val="000A4BE4"/>
    <w:rsid w:val="000B2FEF"/>
    <w:rsid w:val="000C023E"/>
    <w:rsid w:val="000C5195"/>
    <w:rsid w:val="000C62EF"/>
    <w:rsid w:val="000D2137"/>
    <w:rsid w:val="000D3FD2"/>
    <w:rsid w:val="000E3FC8"/>
    <w:rsid w:val="000E7BAE"/>
    <w:rsid w:val="000F133D"/>
    <w:rsid w:val="000F33CF"/>
    <w:rsid w:val="0010536B"/>
    <w:rsid w:val="0011145C"/>
    <w:rsid w:val="001128BD"/>
    <w:rsid w:val="00113016"/>
    <w:rsid w:val="0011419D"/>
    <w:rsid w:val="00130D2C"/>
    <w:rsid w:val="00132054"/>
    <w:rsid w:val="001727A4"/>
    <w:rsid w:val="0017376C"/>
    <w:rsid w:val="001738AB"/>
    <w:rsid w:val="001759C3"/>
    <w:rsid w:val="001765E0"/>
    <w:rsid w:val="00177759"/>
    <w:rsid w:val="00185E6B"/>
    <w:rsid w:val="00187BBC"/>
    <w:rsid w:val="001932F3"/>
    <w:rsid w:val="001A4309"/>
    <w:rsid w:val="001B1053"/>
    <w:rsid w:val="001B14AC"/>
    <w:rsid w:val="001B7940"/>
    <w:rsid w:val="001C37CA"/>
    <w:rsid w:val="001D2C1B"/>
    <w:rsid w:val="001D4303"/>
    <w:rsid w:val="001D6746"/>
    <w:rsid w:val="001E3B49"/>
    <w:rsid w:val="001E7388"/>
    <w:rsid w:val="001F13DD"/>
    <w:rsid w:val="001F2DBC"/>
    <w:rsid w:val="001F6BCD"/>
    <w:rsid w:val="001F73E8"/>
    <w:rsid w:val="0020262C"/>
    <w:rsid w:val="00224537"/>
    <w:rsid w:val="00235956"/>
    <w:rsid w:val="00247C9A"/>
    <w:rsid w:val="0025160C"/>
    <w:rsid w:val="002535D0"/>
    <w:rsid w:val="002539B3"/>
    <w:rsid w:val="00257C3E"/>
    <w:rsid w:val="002602C2"/>
    <w:rsid w:val="00263A42"/>
    <w:rsid w:val="002666C9"/>
    <w:rsid w:val="00270136"/>
    <w:rsid w:val="00274F5B"/>
    <w:rsid w:val="002750E5"/>
    <w:rsid w:val="00280836"/>
    <w:rsid w:val="00282E1A"/>
    <w:rsid w:val="0029113B"/>
    <w:rsid w:val="002934C0"/>
    <w:rsid w:val="002A0BA2"/>
    <w:rsid w:val="002A1B50"/>
    <w:rsid w:val="002B031E"/>
    <w:rsid w:val="002B0E91"/>
    <w:rsid w:val="002B5304"/>
    <w:rsid w:val="002B6779"/>
    <w:rsid w:val="002B71C0"/>
    <w:rsid w:val="002B7A34"/>
    <w:rsid w:val="002C31AD"/>
    <w:rsid w:val="002C7385"/>
    <w:rsid w:val="002D2DBB"/>
    <w:rsid w:val="002D54A6"/>
    <w:rsid w:val="002E6A7A"/>
    <w:rsid w:val="002E7FAC"/>
    <w:rsid w:val="002F1E49"/>
    <w:rsid w:val="002F4E9C"/>
    <w:rsid w:val="0031256C"/>
    <w:rsid w:val="00314D6C"/>
    <w:rsid w:val="00316010"/>
    <w:rsid w:val="00316D2A"/>
    <w:rsid w:val="00317AC6"/>
    <w:rsid w:val="00322A7C"/>
    <w:rsid w:val="003402D3"/>
    <w:rsid w:val="00343ABC"/>
    <w:rsid w:val="003463FE"/>
    <w:rsid w:val="003554B3"/>
    <w:rsid w:val="00356632"/>
    <w:rsid w:val="00377000"/>
    <w:rsid w:val="003845A9"/>
    <w:rsid w:val="00390883"/>
    <w:rsid w:val="003922F8"/>
    <w:rsid w:val="00395B24"/>
    <w:rsid w:val="003A2D38"/>
    <w:rsid w:val="003A7ECC"/>
    <w:rsid w:val="003B2C72"/>
    <w:rsid w:val="003C1333"/>
    <w:rsid w:val="003C20FF"/>
    <w:rsid w:val="003D2650"/>
    <w:rsid w:val="003D560C"/>
    <w:rsid w:val="003D76EB"/>
    <w:rsid w:val="003E5874"/>
    <w:rsid w:val="003F193E"/>
    <w:rsid w:val="003F34F1"/>
    <w:rsid w:val="00411AE8"/>
    <w:rsid w:val="00412765"/>
    <w:rsid w:val="00413B74"/>
    <w:rsid w:val="00435C5F"/>
    <w:rsid w:val="00441E98"/>
    <w:rsid w:val="004532F7"/>
    <w:rsid w:val="0045614F"/>
    <w:rsid w:val="00472027"/>
    <w:rsid w:val="004804CF"/>
    <w:rsid w:val="00484962"/>
    <w:rsid w:val="00484F6D"/>
    <w:rsid w:val="0049338A"/>
    <w:rsid w:val="0049417F"/>
    <w:rsid w:val="00494D1B"/>
    <w:rsid w:val="004B3EFA"/>
    <w:rsid w:val="004C2A87"/>
    <w:rsid w:val="004C4D7B"/>
    <w:rsid w:val="004C4ED3"/>
    <w:rsid w:val="004D2EA5"/>
    <w:rsid w:val="004D32A6"/>
    <w:rsid w:val="004D53E5"/>
    <w:rsid w:val="004F12F8"/>
    <w:rsid w:val="004F1B53"/>
    <w:rsid w:val="00500543"/>
    <w:rsid w:val="00501A12"/>
    <w:rsid w:val="0051346D"/>
    <w:rsid w:val="00513EAE"/>
    <w:rsid w:val="00516806"/>
    <w:rsid w:val="00520B7C"/>
    <w:rsid w:val="00525A49"/>
    <w:rsid w:val="00534583"/>
    <w:rsid w:val="00535613"/>
    <w:rsid w:val="005359EB"/>
    <w:rsid w:val="0054254A"/>
    <w:rsid w:val="005466B5"/>
    <w:rsid w:val="00554314"/>
    <w:rsid w:val="005629B3"/>
    <w:rsid w:val="00573AC4"/>
    <w:rsid w:val="005801FC"/>
    <w:rsid w:val="00595016"/>
    <w:rsid w:val="00595985"/>
    <w:rsid w:val="00597AAE"/>
    <w:rsid w:val="005A222C"/>
    <w:rsid w:val="005A4DF8"/>
    <w:rsid w:val="005B1426"/>
    <w:rsid w:val="005B1D7C"/>
    <w:rsid w:val="005C0A8E"/>
    <w:rsid w:val="005C1767"/>
    <w:rsid w:val="005C42EF"/>
    <w:rsid w:val="005E02F5"/>
    <w:rsid w:val="005E0510"/>
    <w:rsid w:val="005E176E"/>
    <w:rsid w:val="005E218E"/>
    <w:rsid w:val="005E35A0"/>
    <w:rsid w:val="005F0D1B"/>
    <w:rsid w:val="005F1865"/>
    <w:rsid w:val="006007BD"/>
    <w:rsid w:val="006013C8"/>
    <w:rsid w:val="0060270D"/>
    <w:rsid w:val="00604611"/>
    <w:rsid w:val="00611586"/>
    <w:rsid w:val="00621887"/>
    <w:rsid w:val="00624520"/>
    <w:rsid w:val="00632300"/>
    <w:rsid w:val="00632BB7"/>
    <w:rsid w:val="00635B36"/>
    <w:rsid w:val="00636871"/>
    <w:rsid w:val="00640F4E"/>
    <w:rsid w:val="00643DE0"/>
    <w:rsid w:val="00644E85"/>
    <w:rsid w:val="0066063F"/>
    <w:rsid w:val="00662BB0"/>
    <w:rsid w:val="00663878"/>
    <w:rsid w:val="00665E18"/>
    <w:rsid w:val="00667773"/>
    <w:rsid w:val="00670743"/>
    <w:rsid w:val="00677920"/>
    <w:rsid w:val="00686336"/>
    <w:rsid w:val="00690EE2"/>
    <w:rsid w:val="006A0E20"/>
    <w:rsid w:val="006A5695"/>
    <w:rsid w:val="006B3904"/>
    <w:rsid w:val="006B5B7D"/>
    <w:rsid w:val="006D0ECF"/>
    <w:rsid w:val="006D4C92"/>
    <w:rsid w:val="006D4EB6"/>
    <w:rsid w:val="006D7476"/>
    <w:rsid w:val="006E35BF"/>
    <w:rsid w:val="006E7850"/>
    <w:rsid w:val="007028D9"/>
    <w:rsid w:val="00707218"/>
    <w:rsid w:val="00712B1D"/>
    <w:rsid w:val="007325D9"/>
    <w:rsid w:val="007360CA"/>
    <w:rsid w:val="00743628"/>
    <w:rsid w:val="00760EC0"/>
    <w:rsid w:val="0078003A"/>
    <w:rsid w:val="00780771"/>
    <w:rsid w:val="00782EF2"/>
    <w:rsid w:val="007929CF"/>
    <w:rsid w:val="007A6F28"/>
    <w:rsid w:val="007B03C6"/>
    <w:rsid w:val="007B0DB1"/>
    <w:rsid w:val="007C0589"/>
    <w:rsid w:val="007C3BF6"/>
    <w:rsid w:val="007C4BE7"/>
    <w:rsid w:val="007D0FD2"/>
    <w:rsid w:val="007D2EF8"/>
    <w:rsid w:val="007D561F"/>
    <w:rsid w:val="007D7FD2"/>
    <w:rsid w:val="007E0DFE"/>
    <w:rsid w:val="007E13D9"/>
    <w:rsid w:val="007E41BE"/>
    <w:rsid w:val="007E4DB6"/>
    <w:rsid w:val="007E7CD4"/>
    <w:rsid w:val="007F12AC"/>
    <w:rsid w:val="00801800"/>
    <w:rsid w:val="00801B5B"/>
    <w:rsid w:val="00802C83"/>
    <w:rsid w:val="00824B15"/>
    <w:rsid w:val="008276B4"/>
    <w:rsid w:val="00831927"/>
    <w:rsid w:val="00840B3F"/>
    <w:rsid w:val="00841BD3"/>
    <w:rsid w:val="0084273D"/>
    <w:rsid w:val="00844E3F"/>
    <w:rsid w:val="00845A83"/>
    <w:rsid w:val="008712BB"/>
    <w:rsid w:val="00871D58"/>
    <w:rsid w:val="00887373"/>
    <w:rsid w:val="008A2484"/>
    <w:rsid w:val="008B7240"/>
    <w:rsid w:val="008C26D9"/>
    <w:rsid w:val="008C6D50"/>
    <w:rsid w:val="008C7167"/>
    <w:rsid w:val="008C7503"/>
    <w:rsid w:val="008D1617"/>
    <w:rsid w:val="008D769E"/>
    <w:rsid w:val="008E6315"/>
    <w:rsid w:val="008F11E0"/>
    <w:rsid w:val="008F78BC"/>
    <w:rsid w:val="008F7B63"/>
    <w:rsid w:val="008F7D6A"/>
    <w:rsid w:val="009054CB"/>
    <w:rsid w:val="00912F94"/>
    <w:rsid w:val="0092590B"/>
    <w:rsid w:val="00925E60"/>
    <w:rsid w:val="009264B3"/>
    <w:rsid w:val="009365E0"/>
    <w:rsid w:val="00942BA2"/>
    <w:rsid w:val="00944C86"/>
    <w:rsid w:val="00951243"/>
    <w:rsid w:val="0095457C"/>
    <w:rsid w:val="00957DE8"/>
    <w:rsid w:val="00960ECB"/>
    <w:rsid w:val="009615D6"/>
    <w:rsid w:val="00967855"/>
    <w:rsid w:val="00972BA7"/>
    <w:rsid w:val="00980736"/>
    <w:rsid w:val="00981014"/>
    <w:rsid w:val="00981A39"/>
    <w:rsid w:val="00982349"/>
    <w:rsid w:val="00987097"/>
    <w:rsid w:val="009A3A9C"/>
    <w:rsid w:val="009B046C"/>
    <w:rsid w:val="009B13FA"/>
    <w:rsid w:val="009B1E2D"/>
    <w:rsid w:val="009C59FB"/>
    <w:rsid w:val="009C6F3B"/>
    <w:rsid w:val="009D1467"/>
    <w:rsid w:val="009E072A"/>
    <w:rsid w:val="009E4FA6"/>
    <w:rsid w:val="009E7D93"/>
    <w:rsid w:val="009F5C33"/>
    <w:rsid w:val="00A03EAC"/>
    <w:rsid w:val="00A11CA6"/>
    <w:rsid w:val="00A20C49"/>
    <w:rsid w:val="00A21BA2"/>
    <w:rsid w:val="00A269CA"/>
    <w:rsid w:val="00A336EE"/>
    <w:rsid w:val="00A359AC"/>
    <w:rsid w:val="00A35FD2"/>
    <w:rsid w:val="00A3724B"/>
    <w:rsid w:val="00A41413"/>
    <w:rsid w:val="00A45FB1"/>
    <w:rsid w:val="00A46CCC"/>
    <w:rsid w:val="00A51CFE"/>
    <w:rsid w:val="00A71603"/>
    <w:rsid w:val="00A7216A"/>
    <w:rsid w:val="00A76C13"/>
    <w:rsid w:val="00A92E79"/>
    <w:rsid w:val="00A950B6"/>
    <w:rsid w:val="00AB41C1"/>
    <w:rsid w:val="00AB671C"/>
    <w:rsid w:val="00AC4DDB"/>
    <w:rsid w:val="00AD12A8"/>
    <w:rsid w:val="00AE023F"/>
    <w:rsid w:val="00AE5D82"/>
    <w:rsid w:val="00AF3577"/>
    <w:rsid w:val="00AF35F9"/>
    <w:rsid w:val="00B05C7D"/>
    <w:rsid w:val="00B16A8F"/>
    <w:rsid w:val="00B346C3"/>
    <w:rsid w:val="00B4471C"/>
    <w:rsid w:val="00B451A6"/>
    <w:rsid w:val="00B45E25"/>
    <w:rsid w:val="00B531A8"/>
    <w:rsid w:val="00B722DE"/>
    <w:rsid w:val="00B76C44"/>
    <w:rsid w:val="00B83F87"/>
    <w:rsid w:val="00BA2EFA"/>
    <w:rsid w:val="00BA3DBC"/>
    <w:rsid w:val="00BB2DA2"/>
    <w:rsid w:val="00BB56DC"/>
    <w:rsid w:val="00BC17D8"/>
    <w:rsid w:val="00BD74A1"/>
    <w:rsid w:val="00BE183D"/>
    <w:rsid w:val="00BF5D7A"/>
    <w:rsid w:val="00C02D33"/>
    <w:rsid w:val="00C1232C"/>
    <w:rsid w:val="00C36442"/>
    <w:rsid w:val="00C37F28"/>
    <w:rsid w:val="00C400CE"/>
    <w:rsid w:val="00C410FD"/>
    <w:rsid w:val="00C535CE"/>
    <w:rsid w:val="00C539FB"/>
    <w:rsid w:val="00C810C6"/>
    <w:rsid w:val="00CA170B"/>
    <w:rsid w:val="00CA246D"/>
    <w:rsid w:val="00CA50D9"/>
    <w:rsid w:val="00CA713D"/>
    <w:rsid w:val="00CB5636"/>
    <w:rsid w:val="00CF33E0"/>
    <w:rsid w:val="00D10F21"/>
    <w:rsid w:val="00D24806"/>
    <w:rsid w:val="00D30651"/>
    <w:rsid w:val="00D34040"/>
    <w:rsid w:val="00D34E69"/>
    <w:rsid w:val="00D375EE"/>
    <w:rsid w:val="00D4714B"/>
    <w:rsid w:val="00D62699"/>
    <w:rsid w:val="00D82620"/>
    <w:rsid w:val="00D9725F"/>
    <w:rsid w:val="00DA01B1"/>
    <w:rsid w:val="00DA11A2"/>
    <w:rsid w:val="00DA14ED"/>
    <w:rsid w:val="00DB2EF1"/>
    <w:rsid w:val="00DB3DE1"/>
    <w:rsid w:val="00DB5DA0"/>
    <w:rsid w:val="00DB716C"/>
    <w:rsid w:val="00DC5C85"/>
    <w:rsid w:val="00DD4236"/>
    <w:rsid w:val="00DD44F1"/>
    <w:rsid w:val="00DE3067"/>
    <w:rsid w:val="00DF763C"/>
    <w:rsid w:val="00E027BC"/>
    <w:rsid w:val="00E14EA5"/>
    <w:rsid w:val="00E21133"/>
    <w:rsid w:val="00E2327E"/>
    <w:rsid w:val="00E266EF"/>
    <w:rsid w:val="00E33074"/>
    <w:rsid w:val="00E3334E"/>
    <w:rsid w:val="00E47428"/>
    <w:rsid w:val="00E56F40"/>
    <w:rsid w:val="00E6499C"/>
    <w:rsid w:val="00E65F66"/>
    <w:rsid w:val="00E66B9F"/>
    <w:rsid w:val="00E710D6"/>
    <w:rsid w:val="00E76E45"/>
    <w:rsid w:val="00E777C9"/>
    <w:rsid w:val="00E81DA6"/>
    <w:rsid w:val="00E84212"/>
    <w:rsid w:val="00E9086C"/>
    <w:rsid w:val="00E91A0F"/>
    <w:rsid w:val="00E94A71"/>
    <w:rsid w:val="00EA03CE"/>
    <w:rsid w:val="00EA23E5"/>
    <w:rsid w:val="00EA4E2E"/>
    <w:rsid w:val="00EA6F6D"/>
    <w:rsid w:val="00EB2CCB"/>
    <w:rsid w:val="00EC57A7"/>
    <w:rsid w:val="00ED06DE"/>
    <w:rsid w:val="00ED0817"/>
    <w:rsid w:val="00ED7DD9"/>
    <w:rsid w:val="00EF3113"/>
    <w:rsid w:val="00EF3F84"/>
    <w:rsid w:val="00F15058"/>
    <w:rsid w:val="00F162CA"/>
    <w:rsid w:val="00F176AC"/>
    <w:rsid w:val="00F27714"/>
    <w:rsid w:val="00F3276E"/>
    <w:rsid w:val="00F33D3C"/>
    <w:rsid w:val="00F37A91"/>
    <w:rsid w:val="00F40D90"/>
    <w:rsid w:val="00F45CF5"/>
    <w:rsid w:val="00F47DB0"/>
    <w:rsid w:val="00F50E34"/>
    <w:rsid w:val="00F53EF7"/>
    <w:rsid w:val="00F54BF2"/>
    <w:rsid w:val="00F92355"/>
    <w:rsid w:val="00F93963"/>
    <w:rsid w:val="00F94291"/>
    <w:rsid w:val="00FB30CD"/>
    <w:rsid w:val="00FB7982"/>
    <w:rsid w:val="00FC0734"/>
    <w:rsid w:val="00FC0FC5"/>
    <w:rsid w:val="00FC4B54"/>
    <w:rsid w:val="00FC588F"/>
    <w:rsid w:val="00FD02B2"/>
    <w:rsid w:val="00FE1B30"/>
    <w:rsid w:val="00FE7B44"/>
    <w:rsid w:val="00FF7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49341DD-BF77-4B37-9B68-CCBC55946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Default">
    <w:name w:val="Default"/>
    <w:rsid w:val="008B724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79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4.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Judgment.dotx</Template>
  <TotalTime>2</TotalTime>
  <Pages>30</Pages>
  <Words>2532</Words>
  <Characters>13271</Characters>
  <Application>Microsoft Office Word</Application>
  <DocSecurity>0</DocSecurity>
  <Lines>358</Lines>
  <Paragraphs>136</Paragraphs>
  <ScaleCrop>false</ScaleCrop>
  <HeadingPairs>
    <vt:vector size="2" baseType="variant">
      <vt:variant>
        <vt:lpstr>Title</vt:lpstr>
      </vt:variant>
      <vt:variant>
        <vt:i4>1</vt:i4>
      </vt:variant>
    </vt:vector>
  </HeadingPairs>
  <TitlesOfParts>
    <vt:vector size="1" baseType="lpstr">
      <vt:lpstr>Australian Competition and Consumer Commission v CLA Trading Pty Ltd trading as Europcar [2019] FCA 1262 </vt:lpstr>
    </vt:vector>
  </TitlesOfParts>
  <Company>Federal Court of Australia</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Competition and Consumer Commission v CLA Trading Pty Ltd trading as Europcar [2019] FCA 1262</dc:title>
  <dc:subject/>
  <dc:creator>Wendy Hawkless</dc:creator>
  <cp:keywords/>
  <dc:description/>
  <cp:lastModifiedBy>Sona Muradyan</cp:lastModifiedBy>
  <cp:revision>4</cp:revision>
  <cp:lastPrinted>2019-08-13T06:38:00Z</cp:lastPrinted>
  <dcterms:created xsi:type="dcterms:W3CDTF">2019-08-14T04:15:00Z</dcterms:created>
  <dcterms:modified xsi:type="dcterms:W3CDTF">2019-08-14T04:16:00Z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DAVIES J</vt:lpwstr>
  </property>
  <property fmtid="{D5CDD505-2E9C-101B-9397-08002B2CF9AE}" pid="4" name="Judgment_dated" linkTarget="Judgment_dated">
    <vt:lpwstr># 2019</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16.0</vt:lpwstr>
  </property>
  <property fmtid="{D5CDD505-2E9C-101B-9397-08002B2CF9AE}" pid="15" name="Registry">
    <vt:lpwstr>Victoria</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Delete these rows - not required</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