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27944">
      <w:pPr>
        <w:pStyle w:val="MediaNeutralStyle"/>
      </w:pPr>
      <w:bookmarkStart w:id="0" w:name="MNC"/>
      <w:proofErr w:type="spellStart"/>
      <w:r w:rsidRPr="00727944">
        <w:t>Schröder</w:t>
      </w:r>
      <w:proofErr w:type="spellEnd"/>
      <w:r w:rsidR="004D046A">
        <w:t>-</w:t>
      </w:r>
      <w:r w:rsidR="00E75BE0">
        <w:t xml:space="preserve">Turk v Murdoch University [2019] FCA </w:t>
      </w:r>
      <w:r w:rsidR="00740B93">
        <w:t>1152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D046A">
        <w:tc>
          <w:tcPr>
            <w:tcW w:w="3085" w:type="dxa"/>
            <w:shd w:val="clear" w:color="auto" w:fill="auto"/>
          </w:tcPr>
          <w:p w:rsidR="00395B24" w:rsidRDefault="002C7385" w:rsidP="00E75BE0">
            <w:pPr>
              <w:pStyle w:val="Normal1linespace"/>
              <w:widowControl w:val="0"/>
              <w:jc w:val="left"/>
            </w:pPr>
            <w:r>
              <w:t>File number:</w:t>
            </w:r>
          </w:p>
        </w:tc>
        <w:tc>
          <w:tcPr>
            <w:tcW w:w="5989" w:type="dxa"/>
            <w:shd w:val="clear" w:color="auto" w:fill="auto"/>
          </w:tcPr>
          <w:p w:rsidR="00395B24" w:rsidRPr="0014727C" w:rsidRDefault="00E36394" w:rsidP="0014727C">
            <w:pPr>
              <w:pStyle w:val="Normal1linespace"/>
              <w:jc w:val="left"/>
            </w:pPr>
            <w:fldSimple w:instr=" REF  FileNo  \* MERGEFORMAT " w:fldLock="1">
              <w:r w:rsidR="0014727C" w:rsidRPr="0014727C">
                <w:t>WAD 303 of 2019</w:t>
              </w:r>
            </w:fldSimple>
          </w:p>
        </w:tc>
      </w:tr>
      <w:tr w:rsidR="00395B24" w:rsidTr="004D046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D046A">
        <w:tc>
          <w:tcPr>
            <w:tcW w:w="3085" w:type="dxa"/>
            <w:shd w:val="clear" w:color="auto" w:fill="auto"/>
          </w:tcPr>
          <w:p w:rsidR="00395B24" w:rsidRDefault="00E75BE0"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14727C">
              <w:rPr>
                <w:b/>
              </w:rPr>
              <w:fldChar w:fldCharType="begin" w:fldLock="1"/>
            </w:r>
            <w:r w:rsidRPr="0014727C">
              <w:rPr>
                <w:b/>
              </w:rPr>
              <w:instrText xml:space="preserve"> REF  Judge  \* MERGEFORMAT </w:instrText>
            </w:r>
            <w:r w:rsidRPr="0014727C">
              <w:rPr>
                <w:b/>
              </w:rPr>
              <w:fldChar w:fldCharType="separate"/>
            </w:r>
            <w:r w:rsidR="0014727C" w:rsidRPr="0014727C">
              <w:rPr>
                <w:b/>
                <w:caps/>
                <w:szCs w:val="24"/>
              </w:rPr>
              <w:t>JACKSON J</w:t>
            </w:r>
            <w:r w:rsidRPr="0014727C">
              <w:rPr>
                <w:b/>
              </w:rPr>
              <w:fldChar w:fldCharType="end"/>
            </w:r>
          </w:p>
        </w:tc>
      </w:tr>
      <w:tr w:rsidR="00395B24" w:rsidTr="004D046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D046A">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14727C" w:rsidP="00663878">
            <w:pPr>
              <w:pStyle w:val="Normal1linespace"/>
              <w:widowControl w:val="0"/>
              <w:jc w:val="left"/>
            </w:pPr>
            <w:bookmarkStart w:id="1" w:name="JudgmentDate"/>
            <w:r>
              <w:t>29 July 2019</w:t>
            </w:r>
            <w:bookmarkEnd w:id="1"/>
          </w:p>
        </w:tc>
      </w:tr>
      <w:tr w:rsidR="00395B24" w:rsidTr="004D046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D046A">
        <w:tc>
          <w:tcPr>
            <w:tcW w:w="3085" w:type="dxa"/>
            <w:shd w:val="clear" w:color="auto" w:fill="auto"/>
          </w:tcPr>
          <w:p w:rsidR="00395B24" w:rsidRDefault="002C7385" w:rsidP="00407C30">
            <w:pPr>
              <w:pStyle w:val="Normal1linespace"/>
              <w:widowControl w:val="0"/>
              <w:jc w:val="left"/>
            </w:pPr>
            <w:r>
              <w:t>Catchwords:</w:t>
            </w:r>
          </w:p>
        </w:tc>
        <w:tc>
          <w:tcPr>
            <w:tcW w:w="5989" w:type="dxa"/>
            <w:shd w:val="clear" w:color="auto" w:fill="auto"/>
          </w:tcPr>
          <w:p w:rsidR="00395B24" w:rsidRDefault="00955C60" w:rsidP="00BA46F0">
            <w:pPr>
              <w:spacing w:line="240" w:lineRule="auto"/>
              <w:jc w:val="left"/>
            </w:pPr>
            <w:bookmarkStart w:id="2" w:name="Catchwords"/>
            <w:r w:rsidRPr="00C12009">
              <w:rPr>
                <w:b/>
              </w:rPr>
              <w:t>PRACTICE AND PROCEDURE</w:t>
            </w:r>
            <w:r w:rsidRPr="00C12009">
              <w:t xml:space="preserve"> </w:t>
            </w:r>
            <w:r>
              <w:t>-</w:t>
            </w:r>
            <w:r w:rsidRPr="00C12009">
              <w:t xml:space="preserve"> </w:t>
            </w:r>
            <w:r>
              <w:t xml:space="preserve">confidentiality of proceedings - s 16 of </w:t>
            </w:r>
            <w:r w:rsidRPr="00C12009">
              <w:rPr>
                <w:i/>
              </w:rPr>
              <w:t>Public Interest Disclosure Act 2003</w:t>
            </w:r>
            <w:r>
              <w:t xml:space="preserve"> (WA) -</w:t>
            </w:r>
            <w:r w:rsidR="00BA46F0">
              <w:t xml:space="preserve"> direction made requiring notice of possible effect of provision to be affixed to court documents</w:t>
            </w:r>
            <w:bookmarkEnd w:id="2"/>
          </w:p>
        </w:tc>
      </w:tr>
      <w:tr w:rsidR="00395B24" w:rsidTr="004D046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D046A">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BA46F0" w:rsidRPr="00BC5E00" w:rsidRDefault="00BA46F0" w:rsidP="00D82620">
            <w:pPr>
              <w:pStyle w:val="CasesLegislationAppealFrom"/>
              <w:spacing w:after="60"/>
              <w:rPr>
                <w:lang w:eastAsia="en-AU"/>
              </w:rPr>
            </w:pPr>
            <w:bookmarkStart w:id="3" w:name="Legislation"/>
            <w:r w:rsidRPr="00BC5E00">
              <w:rPr>
                <w:i/>
                <w:iCs/>
                <w:lang w:eastAsia="en-AU"/>
              </w:rPr>
              <w:t>Fair Work Act 2009</w:t>
            </w:r>
            <w:r w:rsidRPr="00BC5E00">
              <w:rPr>
                <w:lang w:eastAsia="en-AU"/>
              </w:rPr>
              <w:t xml:space="preserve"> (</w:t>
            </w:r>
            <w:proofErr w:type="spellStart"/>
            <w:r w:rsidRPr="00BC5E00">
              <w:rPr>
                <w:lang w:eastAsia="en-AU"/>
              </w:rPr>
              <w:t>Cth</w:t>
            </w:r>
            <w:proofErr w:type="spellEnd"/>
            <w:r w:rsidRPr="00BC5E00">
              <w:rPr>
                <w:lang w:eastAsia="en-AU"/>
              </w:rPr>
              <w:t>)</w:t>
            </w:r>
            <w:r>
              <w:rPr>
                <w:lang w:eastAsia="en-AU"/>
              </w:rPr>
              <w:t xml:space="preserve"> </w:t>
            </w:r>
            <w:proofErr w:type="spellStart"/>
            <w:r>
              <w:rPr>
                <w:lang w:eastAsia="en-AU"/>
              </w:rPr>
              <w:t>ss</w:t>
            </w:r>
            <w:proofErr w:type="spellEnd"/>
            <w:r>
              <w:rPr>
                <w:lang w:eastAsia="en-AU"/>
              </w:rPr>
              <w:t xml:space="preserve"> 340, 545, 562, Part VAA </w:t>
            </w:r>
            <w:proofErr w:type="spellStart"/>
            <w:r>
              <w:rPr>
                <w:lang w:eastAsia="en-AU"/>
              </w:rPr>
              <w:t>Div</w:t>
            </w:r>
            <w:proofErr w:type="spellEnd"/>
            <w:r>
              <w:rPr>
                <w:lang w:eastAsia="en-AU"/>
              </w:rPr>
              <w:t> 2</w:t>
            </w:r>
          </w:p>
          <w:p w:rsidR="00BA46F0" w:rsidRPr="00BC5E00" w:rsidRDefault="00BA46F0" w:rsidP="00D82620">
            <w:pPr>
              <w:pStyle w:val="CasesLegislationAppealFrom"/>
              <w:spacing w:after="60"/>
              <w:rPr>
                <w:lang w:eastAsia="en-AU"/>
              </w:rPr>
            </w:pPr>
            <w:r w:rsidRPr="00BC5E00">
              <w:rPr>
                <w:i/>
                <w:lang w:eastAsia="en-AU"/>
              </w:rPr>
              <w:t>Federal Court of Australia Act 1976</w:t>
            </w:r>
            <w:r w:rsidRPr="00BC5E00">
              <w:rPr>
                <w:lang w:eastAsia="en-AU"/>
              </w:rPr>
              <w:t xml:space="preserve"> (</w:t>
            </w:r>
            <w:proofErr w:type="spellStart"/>
            <w:r w:rsidRPr="00BC5E00">
              <w:rPr>
                <w:lang w:eastAsia="en-AU"/>
              </w:rPr>
              <w:t>Cth</w:t>
            </w:r>
            <w:proofErr w:type="spellEnd"/>
            <w:r w:rsidRPr="00BC5E00">
              <w:rPr>
                <w:lang w:eastAsia="en-AU"/>
              </w:rPr>
              <w:t>)</w:t>
            </w:r>
            <w:r>
              <w:rPr>
                <w:lang w:eastAsia="en-AU"/>
              </w:rPr>
              <w:t xml:space="preserve"> </w:t>
            </w:r>
            <w:proofErr w:type="spellStart"/>
            <w:r>
              <w:rPr>
                <w:lang w:eastAsia="en-AU"/>
              </w:rPr>
              <w:t>ss</w:t>
            </w:r>
            <w:proofErr w:type="spellEnd"/>
            <w:r>
              <w:rPr>
                <w:lang w:eastAsia="en-AU"/>
              </w:rPr>
              <w:t xml:space="preserve"> 21, 23</w:t>
            </w:r>
          </w:p>
          <w:p w:rsidR="00BA46F0" w:rsidRPr="00BC5E00" w:rsidRDefault="00BA46F0" w:rsidP="00BA46F0">
            <w:pPr>
              <w:pStyle w:val="CasesLegislationAppealFrom"/>
              <w:spacing w:after="60"/>
              <w:rPr>
                <w:rFonts w:eastAsia="Times New Roman"/>
                <w:szCs w:val="24"/>
                <w:lang w:eastAsia="en-AU"/>
              </w:rPr>
            </w:pPr>
            <w:r w:rsidRPr="00BC5E00">
              <w:rPr>
                <w:rFonts w:eastAsia="Times New Roman"/>
                <w:i/>
                <w:szCs w:val="24"/>
                <w:lang w:eastAsia="en-AU"/>
              </w:rPr>
              <w:t>Federal Court Rules 2011</w:t>
            </w:r>
            <w:r w:rsidRPr="00BC5E00">
              <w:rPr>
                <w:rFonts w:eastAsia="Times New Roman"/>
                <w:szCs w:val="24"/>
                <w:lang w:eastAsia="en-AU"/>
              </w:rPr>
              <w:t xml:space="preserve"> (Cth)</w:t>
            </w:r>
            <w:r>
              <w:rPr>
                <w:rFonts w:eastAsia="Times New Roman"/>
                <w:szCs w:val="24"/>
                <w:lang w:eastAsia="en-AU"/>
              </w:rPr>
              <w:t xml:space="preserve"> r 2.32</w:t>
            </w:r>
          </w:p>
          <w:p w:rsidR="00BA46F0" w:rsidRDefault="00BA46F0" w:rsidP="00D82620">
            <w:pPr>
              <w:pStyle w:val="CasesLegislationAppealFrom"/>
              <w:spacing w:after="60"/>
              <w:rPr>
                <w:rFonts w:eastAsia="Times New Roman"/>
                <w:i/>
                <w:szCs w:val="24"/>
                <w:lang w:eastAsia="en-AU"/>
              </w:rPr>
            </w:pPr>
            <w:r w:rsidRPr="00BC5E00">
              <w:rPr>
                <w:i/>
              </w:rPr>
              <w:t>Evidence Act 1906</w:t>
            </w:r>
            <w:r w:rsidRPr="00BC5E00">
              <w:t xml:space="preserve"> (WA)</w:t>
            </w:r>
            <w:r>
              <w:t xml:space="preserve"> </w:t>
            </w:r>
            <w:proofErr w:type="spellStart"/>
            <w:r>
              <w:t>ss</w:t>
            </w:r>
            <w:proofErr w:type="spellEnd"/>
            <w:r>
              <w:t xml:space="preserve"> 20A-20M</w:t>
            </w:r>
            <w:r w:rsidRPr="00BC5E00">
              <w:rPr>
                <w:rFonts w:eastAsia="Times New Roman"/>
                <w:i/>
                <w:szCs w:val="24"/>
                <w:lang w:eastAsia="en-AU"/>
              </w:rPr>
              <w:t xml:space="preserve"> </w:t>
            </w:r>
          </w:p>
          <w:p w:rsidR="00BC5E00" w:rsidRDefault="00BC5E00" w:rsidP="00D82620">
            <w:pPr>
              <w:pStyle w:val="CasesLegislationAppealFrom"/>
              <w:spacing w:after="60"/>
              <w:rPr>
                <w:rFonts w:eastAsia="Times New Roman"/>
                <w:szCs w:val="24"/>
                <w:lang w:eastAsia="en-AU"/>
              </w:rPr>
            </w:pPr>
            <w:r w:rsidRPr="00BC5E00">
              <w:rPr>
                <w:rFonts w:eastAsia="Times New Roman"/>
                <w:i/>
                <w:szCs w:val="24"/>
                <w:lang w:eastAsia="en-AU"/>
              </w:rPr>
              <w:t>Murdoch University Act 1973</w:t>
            </w:r>
            <w:r w:rsidRPr="00BC5E00">
              <w:rPr>
                <w:rFonts w:eastAsia="Times New Roman"/>
                <w:szCs w:val="24"/>
                <w:lang w:eastAsia="en-AU"/>
              </w:rPr>
              <w:t xml:space="preserve"> (WA</w:t>
            </w:r>
            <w:r>
              <w:rPr>
                <w:rFonts w:eastAsia="Times New Roman"/>
                <w:szCs w:val="24"/>
                <w:lang w:eastAsia="en-AU"/>
              </w:rPr>
              <w:t>) s 5</w:t>
            </w:r>
          </w:p>
          <w:p w:rsidR="00BC5E00" w:rsidRPr="00BC5E00" w:rsidRDefault="00BC5E00" w:rsidP="00BC5E00">
            <w:pPr>
              <w:pStyle w:val="CasesLegislationAppealFrom"/>
              <w:spacing w:after="60"/>
              <w:rPr>
                <w:lang w:eastAsia="en-AU"/>
              </w:rPr>
            </w:pPr>
            <w:r w:rsidRPr="00BC5E00">
              <w:rPr>
                <w:i/>
                <w:lang w:eastAsia="en-AU"/>
              </w:rPr>
              <w:t xml:space="preserve">Public Interest Disclosure Act 2003 </w:t>
            </w:r>
            <w:r w:rsidRPr="00BC5E00">
              <w:rPr>
                <w:lang w:eastAsia="en-AU"/>
              </w:rPr>
              <w:t>(WA)</w:t>
            </w:r>
            <w:r>
              <w:rPr>
                <w:lang w:eastAsia="en-AU"/>
              </w:rPr>
              <w:t xml:space="preserve"> </w:t>
            </w:r>
            <w:proofErr w:type="spellStart"/>
            <w:r>
              <w:rPr>
                <w:lang w:eastAsia="en-AU"/>
              </w:rPr>
              <w:t>ss</w:t>
            </w:r>
            <w:proofErr w:type="spellEnd"/>
            <w:r>
              <w:rPr>
                <w:lang w:eastAsia="en-AU"/>
              </w:rPr>
              <w:t xml:space="preserve"> 3, 5, 7A, 15, 16</w:t>
            </w:r>
          </w:p>
          <w:p w:rsidR="00BC5E00" w:rsidRPr="00BC5E00" w:rsidRDefault="00BC5E00" w:rsidP="00B323D4">
            <w:pPr>
              <w:pStyle w:val="CasesLegislationAppealFrom"/>
              <w:spacing w:after="0"/>
            </w:pPr>
            <w:r w:rsidRPr="00BC5E00">
              <w:rPr>
                <w:i/>
              </w:rPr>
              <w:t>Witness Protection Act 1991</w:t>
            </w:r>
            <w:r w:rsidRPr="00BC5E00">
              <w:t xml:space="preserve"> (Vic)</w:t>
            </w:r>
            <w:r>
              <w:t xml:space="preserve"> s 10(7</w:t>
            </w:r>
            <w:r w:rsidRPr="00BC5E00">
              <w:rPr>
                <w:rFonts w:eastAsia="Times New Roman"/>
                <w:szCs w:val="24"/>
                <w:lang w:eastAsia="en-AU"/>
              </w:rPr>
              <w:t>)</w:t>
            </w:r>
            <w:bookmarkEnd w:id="3"/>
          </w:p>
        </w:tc>
      </w:tr>
      <w:tr w:rsidR="00395B24" w:rsidTr="004D046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D046A">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B323D4" w:rsidRPr="00B323D4" w:rsidRDefault="00B323D4" w:rsidP="00D82620">
            <w:pPr>
              <w:pStyle w:val="CasesLegislationAppealFrom"/>
              <w:spacing w:after="60"/>
            </w:pPr>
            <w:bookmarkStart w:id="4" w:name="Cases_Cited"/>
            <w:r w:rsidRPr="00B323D4">
              <w:rPr>
                <w:i/>
              </w:rPr>
              <w:t xml:space="preserve">Australian Competition and Consumer Commission v </w:t>
            </w:r>
            <w:proofErr w:type="spellStart"/>
            <w:r w:rsidRPr="00B323D4">
              <w:rPr>
                <w:i/>
              </w:rPr>
              <w:t>Oakmoore</w:t>
            </w:r>
            <w:proofErr w:type="spellEnd"/>
            <w:r w:rsidRPr="00B323D4">
              <w:rPr>
                <w:i/>
              </w:rPr>
              <w:t xml:space="preserve"> Pty Ltd (No 2) </w:t>
            </w:r>
            <w:r w:rsidRPr="00B323D4">
              <w:t>[2018] FCA 1170</w:t>
            </w:r>
          </w:p>
          <w:p w:rsidR="00B323D4" w:rsidRPr="00B323D4" w:rsidRDefault="00B323D4" w:rsidP="00D82620">
            <w:pPr>
              <w:pStyle w:val="CasesLegislationAppealFrom"/>
              <w:spacing w:after="60"/>
            </w:pPr>
            <w:r w:rsidRPr="00B323D4">
              <w:rPr>
                <w:i/>
              </w:rPr>
              <w:t xml:space="preserve">Canadian Pacific Tobacco Co Ltd v Stapleton </w:t>
            </w:r>
            <w:r w:rsidRPr="00B323D4">
              <w:t>(1952) 86 CLR 1</w:t>
            </w:r>
          </w:p>
          <w:p w:rsidR="00B323D4" w:rsidRPr="00B323D4" w:rsidRDefault="00B323D4" w:rsidP="00D82620">
            <w:pPr>
              <w:pStyle w:val="CasesLegislationAppealFrom"/>
              <w:spacing w:after="60"/>
            </w:pPr>
            <w:r w:rsidRPr="00B323D4">
              <w:rPr>
                <w:i/>
              </w:rPr>
              <w:t>CDJ v VAJ (No 1)</w:t>
            </w:r>
            <w:r w:rsidRPr="00B323D4">
              <w:t xml:space="preserve"> [1998] HCA 67; (1998) 197 CLR 172</w:t>
            </w:r>
          </w:p>
          <w:p w:rsidR="00B323D4" w:rsidRPr="00B323D4" w:rsidRDefault="00B323D4" w:rsidP="00D82620">
            <w:pPr>
              <w:pStyle w:val="CasesLegislationAppealFrom"/>
              <w:spacing w:after="60"/>
            </w:pPr>
            <w:r w:rsidRPr="00B323D4">
              <w:rPr>
                <w:i/>
              </w:rPr>
              <w:t>Chairperson of the Royal Commission into the Management of Police Informants v Chief Commissioner of Victoria Police</w:t>
            </w:r>
            <w:r w:rsidRPr="00B323D4">
              <w:t xml:space="preserve"> [2019] VSCA 154</w:t>
            </w:r>
          </w:p>
          <w:p w:rsidR="00B323D4" w:rsidRPr="00B323D4" w:rsidRDefault="00B323D4" w:rsidP="00D82620">
            <w:pPr>
              <w:pStyle w:val="CasesLegislationAppealFrom"/>
              <w:spacing w:after="60"/>
            </w:pPr>
            <w:r w:rsidRPr="00B323D4">
              <w:rPr>
                <w:i/>
              </w:rPr>
              <w:t>Chief Commissioner of Police v ABC</w:t>
            </w:r>
            <w:r w:rsidRPr="00B323D4">
              <w:t xml:space="preserve"> (2010) 31 VR 176</w:t>
            </w:r>
          </w:p>
          <w:p w:rsidR="00B323D4" w:rsidRPr="00B323D4" w:rsidRDefault="00B323D4" w:rsidP="00D82620">
            <w:pPr>
              <w:pStyle w:val="CasesLegislationAppealFrom"/>
              <w:spacing w:after="60"/>
              <w:rPr>
                <w:rFonts w:eastAsia="Times New Roman"/>
                <w:szCs w:val="24"/>
                <w:lang w:eastAsia="en-AU"/>
              </w:rPr>
            </w:pPr>
            <w:r w:rsidRPr="00B323D4">
              <w:rPr>
                <w:rFonts w:eastAsia="Times New Roman"/>
                <w:i/>
                <w:szCs w:val="24"/>
                <w:lang w:eastAsia="en-AU"/>
              </w:rPr>
              <w:t>Deputy Commissioner of Taxation v Hawkins (Inspection Application by Matrix Group and Anor)</w:t>
            </w:r>
            <w:r w:rsidRPr="00B323D4">
              <w:rPr>
                <w:rFonts w:eastAsia="Times New Roman"/>
                <w:szCs w:val="24"/>
                <w:lang w:eastAsia="en-AU"/>
              </w:rPr>
              <w:t xml:space="preserve"> [2016] FCA 164; (2016) 341 ALR 255</w:t>
            </w:r>
          </w:p>
          <w:p w:rsidR="00B323D4" w:rsidRPr="00B323D4" w:rsidRDefault="00B323D4" w:rsidP="00D82620">
            <w:pPr>
              <w:pStyle w:val="CasesLegislationAppealFrom"/>
              <w:spacing w:after="60"/>
              <w:rPr>
                <w:lang w:eastAsia="en-AU"/>
              </w:rPr>
            </w:pPr>
            <w:proofErr w:type="spellStart"/>
            <w:r w:rsidRPr="00B323D4">
              <w:rPr>
                <w:i/>
                <w:lang w:eastAsia="en-AU"/>
              </w:rPr>
              <w:t>Fencott</w:t>
            </w:r>
            <w:proofErr w:type="spellEnd"/>
            <w:r w:rsidRPr="00B323D4">
              <w:rPr>
                <w:i/>
                <w:lang w:eastAsia="en-AU"/>
              </w:rPr>
              <w:t xml:space="preserve"> v Muller</w:t>
            </w:r>
            <w:r w:rsidRPr="00B323D4">
              <w:rPr>
                <w:lang w:eastAsia="en-AU"/>
              </w:rPr>
              <w:t xml:space="preserve"> (1983) 152 CLR 570</w:t>
            </w:r>
          </w:p>
          <w:p w:rsidR="00B323D4" w:rsidRPr="00B323D4" w:rsidRDefault="00B323D4" w:rsidP="00D82620">
            <w:pPr>
              <w:pStyle w:val="CasesLegislationAppealFrom"/>
              <w:spacing w:after="60"/>
            </w:pPr>
            <w:proofErr w:type="spellStart"/>
            <w:r w:rsidRPr="00B323D4">
              <w:rPr>
                <w:i/>
              </w:rPr>
              <w:t>Kizon</w:t>
            </w:r>
            <w:proofErr w:type="spellEnd"/>
            <w:r w:rsidRPr="00B323D4">
              <w:rPr>
                <w:i/>
              </w:rPr>
              <w:t xml:space="preserve"> v Palmer</w:t>
            </w:r>
            <w:r w:rsidRPr="00B323D4">
              <w:t xml:space="preserve"> (1997) 72 FCR 409</w:t>
            </w:r>
          </w:p>
          <w:p w:rsidR="00B323D4" w:rsidRPr="00B323D4" w:rsidRDefault="00B323D4" w:rsidP="00D82620">
            <w:pPr>
              <w:pStyle w:val="CasesLegislationAppealFrom"/>
              <w:spacing w:after="60"/>
            </w:pPr>
            <w:r w:rsidRPr="00B323D4">
              <w:rPr>
                <w:i/>
              </w:rPr>
              <w:t>Parker v Australian Building and Construction Commissioner</w:t>
            </w:r>
            <w:r w:rsidRPr="00B323D4">
              <w:t xml:space="preserve"> [2019] FCAFC 56; (2019) 365 ALR 402</w:t>
            </w:r>
          </w:p>
          <w:p w:rsidR="00B323D4" w:rsidRPr="00B323D4" w:rsidRDefault="00B323D4" w:rsidP="00D82620">
            <w:pPr>
              <w:pStyle w:val="CasesLegislationAppealFrom"/>
              <w:spacing w:after="60"/>
            </w:pPr>
            <w:r w:rsidRPr="00B323D4">
              <w:rPr>
                <w:i/>
              </w:rPr>
              <w:t>R v Commonwealth Court of Conciliation and Arbitration; Ex parte Barrett</w:t>
            </w:r>
            <w:r w:rsidRPr="00B323D4">
              <w:t xml:space="preserve"> (1945) 70 CLR 141</w:t>
            </w:r>
          </w:p>
          <w:p w:rsidR="00B323D4" w:rsidRPr="00B323D4" w:rsidRDefault="00B323D4" w:rsidP="00B323D4">
            <w:pPr>
              <w:pStyle w:val="CasesLegislationAppealFrom"/>
              <w:spacing w:after="240"/>
            </w:pPr>
            <w:r w:rsidRPr="00B323D4">
              <w:rPr>
                <w:rFonts w:eastAsia="Times New Roman"/>
                <w:i/>
                <w:szCs w:val="24"/>
                <w:lang w:eastAsia="en-AU"/>
              </w:rPr>
              <w:t>R v JP</w:t>
            </w:r>
            <w:r w:rsidRPr="00B323D4">
              <w:rPr>
                <w:rFonts w:eastAsia="Times New Roman"/>
                <w:szCs w:val="24"/>
                <w:lang w:eastAsia="en-AU"/>
              </w:rPr>
              <w:t xml:space="preserve"> [2008] VSC 86</w:t>
            </w:r>
          </w:p>
          <w:p w:rsidR="00B323D4" w:rsidRPr="00B323D4" w:rsidRDefault="00B323D4" w:rsidP="00D82620">
            <w:pPr>
              <w:pStyle w:val="CasesLegislationAppealFrom"/>
              <w:spacing w:after="60"/>
            </w:pPr>
            <w:r w:rsidRPr="00B323D4">
              <w:rPr>
                <w:i/>
              </w:rPr>
              <w:lastRenderedPageBreak/>
              <w:t>Re an Application under section 10 of the Witness Protection Act 1991</w:t>
            </w:r>
            <w:r w:rsidRPr="00B323D4">
              <w:t xml:space="preserve"> [2018] VSC 810</w:t>
            </w:r>
          </w:p>
          <w:p w:rsidR="00B323D4" w:rsidRPr="00B323D4" w:rsidRDefault="00B323D4" w:rsidP="00D82620">
            <w:pPr>
              <w:pStyle w:val="CasesLegislationAppealFrom"/>
              <w:spacing w:after="60"/>
              <w:rPr>
                <w:lang w:eastAsia="en-AU"/>
              </w:rPr>
            </w:pPr>
            <w:proofErr w:type="spellStart"/>
            <w:r w:rsidRPr="00B323D4">
              <w:rPr>
                <w:i/>
                <w:lang w:eastAsia="en-AU"/>
              </w:rPr>
              <w:t>Rizeq</w:t>
            </w:r>
            <w:proofErr w:type="spellEnd"/>
            <w:r w:rsidRPr="00B323D4">
              <w:rPr>
                <w:i/>
                <w:lang w:eastAsia="en-AU"/>
              </w:rPr>
              <w:t xml:space="preserve"> v Western Australia</w:t>
            </w:r>
            <w:r w:rsidRPr="00B323D4">
              <w:rPr>
                <w:lang w:eastAsia="en-AU"/>
              </w:rPr>
              <w:t xml:space="preserve"> [2017] HCA 23; (2017) 262 CLR 1</w:t>
            </w:r>
          </w:p>
          <w:p w:rsidR="00B323D4" w:rsidRPr="00B323D4" w:rsidRDefault="00B323D4" w:rsidP="00D82620">
            <w:pPr>
              <w:pStyle w:val="CasesLegislationAppealFrom"/>
              <w:spacing w:after="60"/>
            </w:pPr>
            <w:r w:rsidRPr="00B323D4">
              <w:rPr>
                <w:rFonts w:eastAsia="Times New Roman"/>
                <w:i/>
                <w:szCs w:val="24"/>
                <w:lang w:eastAsia="en-AU"/>
              </w:rPr>
              <w:t xml:space="preserve">Van </w:t>
            </w:r>
            <w:proofErr w:type="spellStart"/>
            <w:r w:rsidRPr="00B323D4">
              <w:rPr>
                <w:rFonts w:eastAsia="Times New Roman"/>
                <w:i/>
                <w:szCs w:val="24"/>
                <w:lang w:eastAsia="en-AU"/>
              </w:rPr>
              <w:t>Stokkum</w:t>
            </w:r>
            <w:proofErr w:type="spellEnd"/>
            <w:r w:rsidRPr="00B323D4">
              <w:rPr>
                <w:rFonts w:eastAsia="Times New Roman"/>
                <w:i/>
                <w:szCs w:val="24"/>
                <w:lang w:eastAsia="en-AU"/>
              </w:rPr>
              <w:t xml:space="preserve"> v The Finance Brokers Supervisory Board</w:t>
            </w:r>
            <w:r w:rsidRPr="00B323D4">
              <w:rPr>
                <w:rFonts w:eastAsia="Times New Roman"/>
                <w:szCs w:val="24"/>
                <w:lang w:eastAsia="en-AU"/>
              </w:rPr>
              <w:t xml:space="preserve"> [2002] WASC 192</w:t>
            </w:r>
            <w:bookmarkEnd w:id="4"/>
          </w:p>
        </w:tc>
      </w:tr>
      <w:tr w:rsidR="004D046A" w:rsidRPr="004D046A" w:rsidTr="004D046A">
        <w:tc>
          <w:tcPr>
            <w:tcW w:w="3085" w:type="dxa"/>
            <w:shd w:val="clear" w:color="auto" w:fill="auto"/>
          </w:tcPr>
          <w:p w:rsidR="004D046A" w:rsidRPr="004D046A" w:rsidRDefault="004D046A" w:rsidP="004D046A">
            <w:pPr>
              <w:pStyle w:val="Normal1linespace"/>
              <w:jc w:val="left"/>
            </w:pPr>
          </w:p>
        </w:tc>
        <w:tc>
          <w:tcPr>
            <w:tcW w:w="5989" w:type="dxa"/>
            <w:shd w:val="clear" w:color="auto" w:fill="auto"/>
          </w:tcPr>
          <w:p w:rsidR="004D046A" w:rsidRPr="004D046A" w:rsidRDefault="004D046A" w:rsidP="004D046A">
            <w:pPr>
              <w:pStyle w:val="Normal1linespace"/>
              <w:jc w:val="left"/>
            </w:pPr>
          </w:p>
        </w:tc>
      </w:tr>
      <w:tr w:rsidR="004D046A" w:rsidRPr="004D046A" w:rsidTr="004D046A">
        <w:tc>
          <w:tcPr>
            <w:tcW w:w="3085" w:type="dxa"/>
            <w:shd w:val="clear" w:color="auto" w:fill="auto"/>
          </w:tcPr>
          <w:p w:rsidR="004D046A" w:rsidRPr="004D046A" w:rsidRDefault="004D046A" w:rsidP="004D046A">
            <w:pPr>
              <w:pStyle w:val="Normal1linespace"/>
              <w:jc w:val="left"/>
            </w:pPr>
            <w:bookmarkStart w:id="5" w:name="CounselDate" w:colFirst="0" w:colLast="2"/>
            <w:r w:rsidRPr="004D046A">
              <w:t>Date of hearing:</w:t>
            </w:r>
          </w:p>
        </w:tc>
        <w:tc>
          <w:tcPr>
            <w:tcW w:w="5989" w:type="dxa"/>
            <w:shd w:val="clear" w:color="auto" w:fill="auto"/>
          </w:tcPr>
          <w:p w:rsidR="004D046A" w:rsidRPr="004D046A" w:rsidRDefault="004D046A" w:rsidP="004D046A">
            <w:pPr>
              <w:pStyle w:val="Normal1linespace"/>
              <w:jc w:val="left"/>
            </w:pPr>
            <w:bookmarkStart w:id="6" w:name="HearingDate"/>
            <w:r>
              <w:t>17 July 2019</w:t>
            </w:r>
            <w:bookmarkEnd w:id="6"/>
          </w:p>
        </w:tc>
      </w:tr>
      <w:tr w:rsidR="004D046A" w:rsidRPr="004D046A" w:rsidTr="004D046A">
        <w:tc>
          <w:tcPr>
            <w:tcW w:w="3085" w:type="dxa"/>
            <w:shd w:val="clear" w:color="auto" w:fill="auto"/>
          </w:tcPr>
          <w:p w:rsidR="004D046A" w:rsidRPr="004D046A" w:rsidRDefault="004D046A" w:rsidP="004D046A">
            <w:pPr>
              <w:pStyle w:val="Normal1linespace"/>
              <w:jc w:val="left"/>
            </w:pPr>
          </w:p>
        </w:tc>
        <w:tc>
          <w:tcPr>
            <w:tcW w:w="5989" w:type="dxa"/>
            <w:shd w:val="clear" w:color="auto" w:fill="auto"/>
          </w:tcPr>
          <w:p w:rsidR="004D046A" w:rsidRPr="004D046A" w:rsidRDefault="004D046A" w:rsidP="004D046A">
            <w:pPr>
              <w:pStyle w:val="Normal1linespace"/>
              <w:jc w:val="left"/>
            </w:pPr>
          </w:p>
        </w:tc>
      </w:tr>
      <w:tr w:rsidR="004D046A" w:rsidRPr="004D046A" w:rsidTr="004D046A">
        <w:tc>
          <w:tcPr>
            <w:tcW w:w="3085" w:type="dxa"/>
            <w:shd w:val="clear" w:color="auto" w:fill="auto"/>
          </w:tcPr>
          <w:p w:rsidR="004D046A" w:rsidRPr="004D046A" w:rsidRDefault="004D046A" w:rsidP="004D046A">
            <w:pPr>
              <w:pStyle w:val="Normal1linespace"/>
              <w:jc w:val="left"/>
            </w:pPr>
            <w:r w:rsidRPr="004D046A">
              <w:t>Date of last submissions:</w:t>
            </w:r>
          </w:p>
        </w:tc>
        <w:tc>
          <w:tcPr>
            <w:tcW w:w="5989" w:type="dxa"/>
            <w:shd w:val="clear" w:color="auto" w:fill="auto"/>
          </w:tcPr>
          <w:p w:rsidR="004D046A" w:rsidRDefault="0014727C" w:rsidP="004D046A">
            <w:pPr>
              <w:pStyle w:val="Normal1linespace"/>
              <w:jc w:val="left"/>
            </w:pPr>
            <w:r>
              <w:t>18 July 2019 (Applicant)</w:t>
            </w:r>
          </w:p>
          <w:p w:rsidR="0014727C" w:rsidRPr="004D046A" w:rsidRDefault="0014727C" w:rsidP="0014727C">
            <w:pPr>
              <w:pStyle w:val="Normal1linespace"/>
              <w:jc w:val="left"/>
            </w:pPr>
            <w:r>
              <w:t>24 July 2019 (Respondent)</w:t>
            </w:r>
          </w:p>
        </w:tc>
      </w:tr>
      <w:bookmarkEnd w:id="5"/>
      <w:tr w:rsidR="004D046A" w:rsidTr="004D046A">
        <w:tc>
          <w:tcPr>
            <w:tcW w:w="3085" w:type="dxa"/>
            <w:shd w:val="clear" w:color="auto" w:fill="auto"/>
          </w:tcPr>
          <w:p w:rsidR="004D046A" w:rsidRDefault="004D046A" w:rsidP="004D046A">
            <w:pPr>
              <w:pStyle w:val="Normal1linespace"/>
              <w:widowControl w:val="0"/>
              <w:jc w:val="left"/>
            </w:pPr>
          </w:p>
        </w:tc>
        <w:tc>
          <w:tcPr>
            <w:tcW w:w="5989" w:type="dxa"/>
            <w:shd w:val="clear" w:color="auto" w:fill="auto"/>
          </w:tcPr>
          <w:p w:rsidR="004D046A" w:rsidRDefault="004D046A" w:rsidP="004D046A">
            <w:pPr>
              <w:pStyle w:val="Normal1linespace"/>
              <w:widowControl w:val="0"/>
              <w:jc w:val="left"/>
            </w:pPr>
          </w:p>
        </w:tc>
      </w:tr>
      <w:tr w:rsidR="004D046A" w:rsidTr="004D046A">
        <w:tc>
          <w:tcPr>
            <w:tcW w:w="3085" w:type="dxa"/>
            <w:shd w:val="clear" w:color="auto" w:fill="auto"/>
          </w:tcPr>
          <w:p w:rsidR="004D046A" w:rsidRDefault="004D046A" w:rsidP="004D046A">
            <w:pPr>
              <w:pStyle w:val="Normal1linespace"/>
              <w:widowControl w:val="0"/>
              <w:jc w:val="left"/>
            </w:pPr>
            <w:r>
              <w:t>Registry:</w:t>
            </w:r>
          </w:p>
        </w:tc>
        <w:tc>
          <w:tcPr>
            <w:tcW w:w="5989" w:type="dxa"/>
            <w:shd w:val="clear" w:color="auto" w:fill="auto"/>
          </w:tcPr>
          <w:p w:rsidR="004D046A" w:rsidRPr="00F17599" w:rsidRDefault="00BA7A0D" w:rsidP="004D046A">
            <w:pPr>
              <w:pStyle w:val="Normal1linespace"/>
              <w:widowControl w:val="0"/>
              <w:jc w:val="left"/>
            </w:pPr>
            <w:r>
              <w:fldChar w:fldCharType="begin" w:fldLock="1"/>
            </w:r>
            <w:r>
              <w:instrText xml:space="preserve"> DOCPROPERTY  Registry </w:instrText>
            </w:r>
            <w:r>
              <w:fldChar w:fldCharType="separate"/>
            </w:r>
            <w:r w:rsidR="0014727C">
              <w:t>Western Australia</w:t>
            </w:r>
            <w:r>
              <w:fldChar w:fldCharType="end"/>
            </w:r>
          </w:p>
        </w:tc>
      </w:tr>
      <w:tr w:rsidR="004D046A" w:rsidTr="004D046A">
        <w:tc>
          <w:tcPr>
            <w:tcW w:w="3085" w:type="dxa"/>
            <w:shd w:val="clear" w:color="auto" w:fill="auto"/>
          </w:tcPr>
          <w:p w:rsidR="004D046A" w:rsidRDefault="004D046A" w:rsidP="004D046A">
            <w:pPr>
              <w:pStyle w:val="Normal1linespace"/>
              <w:widowControl w:val="0"/>
              <w:jc w:val="left"/>
            </w:pPr>
          </w:p>
        </w:tc>
        <w:tc>
          <w:tcPr>
            <w:tcW w:w="5989" w:type="dxa"/>
            <w:shd w:val="clear" w:color="auto" w:fill="auto"/>
          </w:tcPr>
          <w:p w:rsidR="004D046A" w:rsidRDefault="004D046A" w:rsidP="004D046A">
            <w:pPr>
              <w:pStyle w:val="Normal1linespace"/>
              <w:widowControl w:val="0"/>
              <w:jc w:val="left"/>
            </w:pPr>
          </w:p>
        </w:tc>
      </w:tr>
      <w:tr w:rsidR="004D046A" w:rsidTr="004D046A">
        <w:tc>
          <w:tcPr>
            <w:tcW w:w="3085" w:type="dxa"/>
            <w:shd w:val="clear" w:color="auto" w:fill="auto"/>
          </w:tcPr>
          <w:p w:rsidR="004D046A" w:rsidRDefault="004D046A" w:rsidP="004D046A">
            <w:pPr>
              <w:pStyle w:val="Normal1linespace"/>
              <w:widowControl w:val="0"/>
              <w:jc w:val="left"/>
            </w:pPr>
            <w:r>
              <w:t>Division:</w:t>
            </w:r>
          </w:p>
        </w:tc>
        <w:tc>
          <w:tcPr>
            <w:tcW w:w="5989" w:type="dxa"/>
            <w:shd w:val="clear" w:color="auto" w:fill="auto"/>
          </w:tcPr>
          <w:p w:rsidR="004D046A" w:rsidRPr="00F17599" w:rsidRDefault="00BA7A0D" w:rsidP="004D046A">
            <w:pPr>
              <w:pStyle w:val="Normal1linespace"/>
              <w:widowControl w:val="0"/>
              <w:jc w:val="left"/>
            </w:pPr>
            <w:r>
              <w:fldChar w:fldCharType="begin" w:fldLock="1"/>
            </w:r>
            <w:r>
              <w:instrText xml:space="preserve"> DOCPROPERTY  Division </w:instrText>
            </w:r>
            <w:r>
              <w:fldChar w:fldCharType="separate"/>
            </w:r>
            <w:r w:rsidR="0014727C">
              <w:t>Fair Work Division</w:t>
            </w:r>
            <w:r>
              <w:fldChar w:fldCharType="end"/>
            </w:r>
          </w:p>
        </w:tc>
      </w:tr>
      <w:tr w:rsidR="004D046A" w:rsidTr="004D046A">
        <w:tc>
          <w:tcPr>
            <w:tcW w:w="3085" w:type="dxa"/>
            <w:shd w:val="clear" w:color="auto" w:fill="auto"/>
          </w:tcPr>
          <w:p w:rsidR="004D046A" w:rsidRDefault="004D046A" w:rsidP="004D046A">
            <w:pPr>
              <w:pStyle w:val="Normal1linespace"/>
              <w:widowControl w:val="0"/>
              <w:jc w:val="left"/>
            </w:pPr>
          </w:p>
        </w:tc>
        <w:tc>
          <w:tcPr>
            <w:tcW w:w="5989" w:type="dxa"/>
            <w:shd w:val="clear" w:color="auto" w:fill="auto"/>
          </w:tcPr>
          <w:p w:rsidR="004D046A" w:rsidRPr="00F17599" w:rsidRDefault="004D046A" w:rsidP="004D046A">
            <w:pPr>
              <w:pStyle w:val="Normal1linespace"/>
              <w:widowControl w:val="0"/>
              <w:jc w:val="left"/>
              <w:rPr>
                <w:b/>
              </w:rPr>
            </w:pPr>
          </w:p>
        </w:tc>
      </w:tr>
      <w:tr w:rsidR="004D046A" w:rsidTr="004D046A">
        <w:tc>
          <w:tcPr>
            <w:tcW w:w="3085" w:type="dxa"/>
            <w:shd w:val="clear" w:color="auto" w:fill="auto"/>
          </w:tcPr>
          <w:p w:rsidR="004D046A" w:rsidRDefault="004D046A" w:rsidP="004D046A">
            <w:pPr>
              <w:pStyle w:val="Normal1linespace"/>
              <w:widowControl w:val="0"/>
              <w:jc w:val="left"/>
            </w:pPr>
            <w:r>
              <w:t>National Practice Area:</w:t>
            </w:r>
          </w:p>
        </w:tc>
        <w:tc>
          <w:tcPr>
            <w:tcW w:w="5989" w:type="dxa"/>
            <w:shd w:val="clear" w:color="auto" w:fill="auto"/>
          </w:tcPr>
          <w:p w:rsidR="004D046A" w:rsidRPr="00F17599" w:rsidRDefault="00E36394" w:rsidP="004D046A">
            <w:pPr>
              <w:pStyle w:val="Normal1linespace"/>
              <w:widowControl w:val="0"/>
              <w:jc w:val="left"/>
              <w:rPr>
                <w:b/>
              </w:rPr>
            </w:pPr>
            <w:fldSimple w:instr=" DOCPROPERTY  &quot;Practice Area&quot;  \* MERGEFORMAT " w:fldLock="1">
              <w:r w:rsidR="0014727C">
                <w:t>Employment &amp; Industrial Relations</w:t>
              </w:r>
            </w:fldSimple>
          </w:p>
        </w:tc>
      </w:tr>
      <w:tr w:rsidR="004D046A" w:rsidTr="004D046A">
        <w:tc>
          <w:tcPr>
            <w:tcW w:w="3085" w:type="dxa"/>
            <w:shd w:val="clear" w:color="auto" w:fill="auto"/>
          </w:tcPr>
          <w:p w:rsidR="004D046A" w:rsidRDefault="004D046A" w:rsidP="004D046A">
            <w:pPr>
              <w:pStyle w:val="Normal1linespace"/>
              <w:widowControl w:val="0"/>
              <w:jc w:val="left"/>
            </w:pPr>
          </w:p>
        </w:tc>
        <w:tc>
          <w:tcPr>
            <w:tcW w:w="5989" w:type="dxa"/>
            <w:shd w:val="clear" w:color="auto" w:fill="auto"/>
          </w:tcPr>
          <w:p w:rsidR="004D046A" w:rsidRDefault="004D046A" w:rsidP="004D046A">
            <w:pPr>
              <w:pStyle w:val="Normal1linespace"/>
              <w:widowControl w:val="0"/>
              <w:jc w:val="left"/>
            </w:pPr>
          </w:p>
        </w:tc>
      </w:tr>
      <w:tr w:rsidR="004D046A" w:rsidTr="004D046A">
        <w:tc>
          <w:tcPr>
            <w:tcW w:w="3085" w:type="dxa"/>
            <w:shd w:val="clear" w:color="auto" w:fill="auto"/>
          </w:tcPr>
          <w:p w:rsidR="004D046A" w:rsidRDefault="004D046A" w:rsidP="004D046A">
            <w:pPr>
              <w:pStyle w:val="Normal1linespace"/>
              <w:widowControl w:val="0"/>
              <w:jc w:val="left"/>
            </w:pPr>
            <w:r>
              <w:t>Category:</w:t>
            </w:r>
          </w:p>
        </w:tc>
        <w:tc>
          <w:tcPr>
            <w:tcW w:w="5989" w:type="dxa"/>
            <w:shd w:val="clear" w:color="auto" w:fill="auto"/>
          </w:tcPr>
          <w:p w:rsidR="004D046A" w:rsidRDefault="004D046A" w:rsidP="004D046A">
            <w:pPr>
              <w:pStyle w:val="Normal1linespace"/>
              <w:widowControl w:val="0"/>
              <w:jc w:val="left"/>
            </w:pPr>
            <w:r w:rsidRPr="004D046A">
              <w:t>Catchwords</w:t>
            </w:r>
          </w:p>
        </w:tc>
      </w:tr>
      <w:tr w:rsidR="004D046A" w:rsidTr="004D046A">
        <w:tc>
          <w:tcPr>
            <w:tcW w:w="3085" w:type="dxa"/>
            <w:shd w:val="clear" w:color="auto" w:fill="auto"/>
          </w:tcPr>
          <w:p w:rsidR="004D046A" w:rsidRDefault="004D046A" w:rsidP="004D046A">
            <w:pPr>
              <w:pStyle w:val="Normal1linespace"/>
              <w:widowControl w:val="0"/>
              <w:jc w:val="left"/>
            </w:pPr>
          </w:p>
        </w:tc>
        <w:tc>
          <w:tcPr>
            <w:tcW w:w="5989" w:type="dxa"/>
            <w:shd w:val="clear" w:color="auto" w:fill="auto"/>
          </w:tcPr>
          <w:p w:rsidR="004D046A" w:rsidRDefault="004D046A" w:rsidP="004D046A">
            <w:pPr>
              <w:pStyle w:val="Normal1linespace"/>
              <w:widowControl w:val="0"/>
              <w:jc w:val="left"/>
            </w:pPr>
          </w:p>
        </w:tc>
      </w:tr>
      <w:tr w:rsidR="004D046A" w:rsidTr="004D046A">
        <w:tc>
          <w:tcPr>
            <w:tcW w:w="3085" w:type="dxa"/>
            <w:shd w:val="clear" w:color="auto" w:fill="auto"/>
          </w:tcPr>
          <w:p w:rsidR="004D046A" w:rsidRDefault="004D046A" w:rsidP="004D046A">
            <w:pPr>
              <w:pStyle w:val="Normal1linespace"/>
              <w:widowControl w:val="0"/>
              <w:jc w:val="left"/>
            </w:pPr>
            <w:r>
              <w:t>Number of paragraphs:</w:t>
            </w:r>
          </w:p>
        </w:tc>
        <w:tc>
          <w:tcPr>
            <w:tcW w:w="5989" w:type="dxa"/>
            <w:shd w:val="clear" w:color="auto" w:fill="auto"/>
          </w:tcPr>
          <w:p w:rsidR="004D046A" w:rsidRDefault="0032289C" w:rsidP="004D046A">
            <w:pPr>
              <w:pStyle w:val="Normal1linespace"/>
              <w:widowControl w:val="0"/>
              <w:jc w:val="left"/>
            </w:pPr>
            <w:bookmarkStart w:id="7" w:name="PlaceCategoryParagraphs"/>
            <w:r>
              <w:t>75</w:t>
            </w:r>
            <w:bookmarkEnd w:id="7"/>
          </w:p>
        </w:tc>
      </w:tr>
      <w:tr w:rsidR="004D046A" w:rsidTr="004D046A">
        <w:tc>
          <w:tcPr>
            <w:tcW w:w="3085" w:type="dxa"/>
            <w:shd w:val="clear" w:color="auto" w:fill="auto"/>
          </w:tcPr>
          <w:p w:rsidR="004D046A" w:rsidRDefault="004D046A" w:rsidP="004D046A">
            <w:pPr>
              <w:pStyle w:val="Normal1linespace"/>
              <w:widowControl w:val="0"/>
              <w:jc w:val="left"/>
            </w:pPr>
          </w:p>
        </w:tc>
        <w:tc>
          <w:tcPr>
            <w:tcW w:w="5989" w:type="dxa"/>
            <w:shd w:val="clear" w:color="auto" w:fill="auto"/>
          </w:tcPr>
          <w:p w:rsidR="004D046A" w:rsidRDefault="004D046A" w:rsidP="004D046A">
            <w:pPr>
              <w:pStyle w:val="Normal1linespace"/>
              <w:widowControl w:val="0"/>
              <w:jc w:val="left"/>
            </w:pPr>
          </w:p>
        </w:tc>
      </w:tr>
      <w:tr w:rsidR="004D046A" w:rsidTr="004D046A">
        <w:tc>
          <w:tcPr>
            <w:tcW w:w="3085" w:type="dxa"/>
            <w:shd w:val="clear" w:color="auto" w:fill="auto"/>
          </w:tcPr>
          <w:p w:rsidR="004D046A" w:rsidRDefault="004D046A" w:rsidP="004D046A">
            <w:pPr>
              <w:pStyle w:val="Normal1linespace"/>
              <w:widowControl w:val="0"/>
              <w:jc w:val="left"/>
            </w:pPr>
            <w:bookmarkStart w:id="8" w:name="Counsel" w:colFirst="0" w:colLast="2"/>
            <w:r>
              <w:t>Counsel for the Applicant:</w:t>
            </w:r>
          </w:p>
        </w:tc>
        <w:tc>
          <w:tcPr>
            <w:tcW w:w="5989" w:type="dxa"/>
            <w:shd w:val="clear" w:color="auto" w:fill="auto"/>
          </w:tcPr>
          <w:p w:rsidR="004D046A" w:rsidRDefault="004D046A" w:rsidP="004D046A">
            <w:pPr>
              <w:pStyle w:val="Normal1linespace"/>
              <w:widowControl w:val="0"/>
              <w:jc w:val="left"/>
            </w:pPr>
            <w:bookmarkStart w:id="9" w:name="AppCounsel"/>
            <w:bookmarkEnd w:id="9"/>
            <w:r>
              <w:t>Mr CJ Tran</w:t>
            </w:r>
          </w:p>
        </w:tc>
      </w:tr>
      <w:tr w:rsidR="004D046A" w:rsidTr="004D046A">
        <w:tc>
          <w:tcPr>
            <w:tcW w:w="3085" w:type="dxa"/>
            <w:shd w:val="clear" w:color="auto" w:fill="auto"/>
          </w:tcPr>
          <w:p w:rsidR="004D046A" w:rsidRDefault="004D046A" w:rsidP="004D046A">
            <w:pPr>
              <w:pStyle w:val="Normal1linespace"/>
              <w:widowControl w:val="0"/>
              <w:jc w:val="left"/>
            </w:pPr>
          </w:p>
        </w:tc>
        <w:tc>
          <w:tcPr>
            <w:tcW w:w="5989" w:type="dxa"/>
            <w:shd w:val="clear" w:color="auto" w:fill="auto"/>
          </w:tcPr>
          <w:p w:rsidR="004D046A" w:rsidRDefault="004D046A" w:rsidP="004D046A">
            <w:pPr>
              <w:pStyle w:val="Normal1linespace"/>
              <w:widowControl w:val="0"/>
              <w:jc w:val="left"/>
            </w:pPr>
          </w:p>
        </w:tc>
      </w:tr>
      <w:tr w:rsidR="004D046A" w:rsidTr="004D046A">
        <w:tc>
          <w:tcPr>
            <w:tcW w:w="3085" w:type="dxa"/>
            <w:shd w:val="clear" w:color="auto" w:fill="auto"/>
          </w:tcPr>
          <w:p w:rsidR="004D046A" w:rsidRDefault="004D046A" w:rsidP="004D046A">
            <w:pPr>
              <w:pStyle w:val="Normal1linespace"/>
              <w:widowControl w:val="0"/>
              <w:jc w:val="left"/>
            </w:pPr>
            <w:r>
              <w:t>Solicitor for the Applicant:</w:t>
            </w:r>
          </w:p>
        </w:tc>
        <w:tc>
          <w:tcPr>
            <w:tcW w:w="5989" w:type="dxa"/>
            <w:shd w:val="clear" w:color="auto" w:fill="auto"/>
          </w:tcPr>
          <w:p w:rsidR="004D046A" w:rsidRDefault="004D046A" w:rsidP="004D046A">
            <w:pPr>
              <w:pStyle w:val="Normal1linespace"/>
              <w:widowControl w:val="0"/>
              <w:jc w:val="left"/>
            </w:pPr>
            <w:r>
              <w:t>Maurice Blackburn Lawyers</w:t>
            </w:r>
          </w:p>
        </w:tc>
      </w:tr>
      <w:tr w:rsidR="004D046A" w:rsidTr="004D046A">
        <w:tc>
          <w:tcPr>
            <w:tcW w:w="3085" w:type="dxa"/>
            <w:shd w:val="clear" w:color="auto" w:fill="auto"/>
          </w:tcPr>
          <w:p w:rsidR="004D046A" w:rsidRDefault="004D046A" w:rsidP="004D046A">
            <w:pPr>
              <w:pStyle w:val="Normal1linespace"/>
              <w:widowControl w:val="0"/>
              <w:jc w:val="left"/>
            </w:pPr>
          </w:p>
        </w:tc>
        <w:tc>
          <w:tcPr>
            <w:tcW w:w="5989" w:type="dxa"/>
            <w:shd w:val="clear" w:color="auto" w:fill="auto"/>
          </w:tcPr>
          <w:p w:rsidR="004D046A" w:rsidRDefault="004D046A" w:rsidP="004D046A">
            <w:pPr>
              <w:pStyle w:val="Normal1linespace"/>
              <w:widowControl w:val="0"/>
              <w:jc w:val="left"/>
            </w:pPr>
          </w:p>
        </w:tc>
      </w:tr>
      <w:tr w:rsidR="004D046A" w:rsidTr="004D046A">
        <w:tc>
          <w:tcPr>
            <w:tcW w:w="3085" w:type="dxa"/>
            <w:shd w:val="clear" w:color="auto" w:fill="auto"/>
          </w:tcPr>
          <w:p w:rsidR="004D046A" w:rsidRDefault="004D046A" w:rsidP="004D046A">
            <w:pPr>
              <w:pStyle w:val="Normal1linespace"/>
              <w:widowControl w:val="0"/>
              <w:jc w:val="left"/>
            </w:pPr>
            <w:r>
              <w:t>Counsel for the Respondent:</w:t>
            </w:r>
          </w:p>
        </w:tc>
        <w:tc>
          <w:tcPr>
            <w:tcW w:w="5989" w:type="dxa"/>
            <w:shd w:val="clear" w:color="auto" w:fill="auto"/>
          </w:tcPr>
          <w:p w:rsidR="004D046A" w:rsidRDefault="004D046A" w:rsidP="004D046A">
            <w:pPr>
              <w:pStyle w:val="Normal1linespace"/>
              <w:widowControl w:val="0"/>
              <w:jc w:val="left"/>
            </w:pPr>
            <w:r>
              <w:t>Mr NK Stewart</w:t>
            </w:r>
          </w:p>
        </w:tc>
      </w:tr>
      <w:tr w:rsidR="004D046A" w:rsidTr="004D046A">
        <w:tc>
          <w:tcPr>
            <w:tcW w:w="3085" w:type="dxa"/>
            <w:shd w:val="clear" w:color="auto" w:fill="auto"/>
          </w:tcPr>
          <w:p w:rsidR="004D046A" w:rsidRDefault="004D046A" w:rsidP="004D046A">
            <w:pPr>
              <w:pStyle w:val="Normal1linespace"/>
              <w:widowControl w:val="0"/>
              <w:jc w:val="left"/>
            </w:pPr>
          </w:p>
        </w:tc>
        <w:tc>
          <w:tcPr>
            <w:tcW w:w="5989" w:type="dxa"/>
            <w:shd w:val="clear" w:color="auto" w:fill="auto"/>
          </w:tcPr>
          <w:p w:rsidR="004D046A" w:rsidRDefault="004D046A" w:rsidP="004D046A">
            <w:pPr>
              <w:pStyle w:val="Normal1linespace"/>
              <w:widowControl w:val="0"/>
              <w:jc w:val="left"/>
            </w:pPr>
          </w:p>
        </w:tc>
      </w:tr>
      <w:tr w:rsidR="004D046A" w:rsidTr="004D046A">
        <w:tc>
          <w:tcPr>
            <w:tcW w:w="3085" w:type="dxa"/>
            <w:shd w:val="clear" w:color="auto" w:fill="auto"/>
          </w:tcPr>
          <w:p w:rsidR="004D046A" w:rsidRDefault="004D046A" w:rsidP="004D046A">
            <w:pPr>
              <w:pStyle w:val="Normal1linespace"/>
              <w:widowControl w:val="0"/>
              <w:jc w:val="left"/>
            </w:pPr>
            <w:r>
              <w:t>Solicitor for the Respondent:</w:t>
            </w:r>
          </w:p>
        </w:tc>
        <w:tc>
          <w:tcPr>
            <w:tcW w:w="5989" w:type="dxa"/>
            <w:shd w:val="clear" w:color="auto" w:fill="auto"/>
          </w:tcPr>
          <w:p w:rsidR="004D046A" w:rsidRDefault="004D046A" w:rsidP="004D046A">
            <w:pPr>
              <w:pStyle w:val="Normal1linespace"/>
              <w:widowControl w:val="0"/>
              <w:jc w:val="left"/>
            </w:pPr>
            <w:r>
              <w:t>Minter</w:t>
            </w:r>
            <w:r w:rsidR="000347F4">
              <w:t xml:space="preserve"> </w:t>
            </w:r>
            <w:r>
              <w:t>Ellison</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14727C" w:rsidP="00F92355">
            <w:pPr>
              <w:pStyle w:val="NormalHeadings"/>
              <w:jc w:val="right"/>
            </w:pPr>
            <w:bookmarkStart w:id="10" w:name="FileNo"/>
            <w:r>
              <w:t>WAD 303 of 2019</w:t>
            </w:r>
            <w:bookmarkEnd w:id="10"/>
          </w:p>
        </w:tc>
      </w:tr>
      <w:tr w:rsidR="00A76C13" w:rsidTr="00B062D1">
        <w:tc>
          <w:tcPr>
            <w:tcW w:w="9242" w:type="dxa"/>
            <w:gridSpan w:val="3"/>
          </w:tcPr>
          <w:p w:rsidR="00A76C13" w:rsidRPr="00A76C13" w:rsidRDefault="0014727C" w:rsidP="0014727C">
            <w:pPr>
              <w:pStyle w:val="NormalHeadings"/>
              <w:jc w:val="left"/>
            </w:pPr>
            <w:bookmarkStart w:id="11" w:name="InTheMatterOf"/>
            <w:r>
              <w:t xml:space="preserve"> </w:t>
            </w:r>
            <w:bookmarkEnd w:id="11"/>
          </w:p>
        </w:tc>
      </w:tr>
      <w:tr w:rsidR="00A46CCC" w:rsidTr="00B062D1">
        <w:trPr>
          <w:trHeight w:val="386"/>
        </w:trPr>
        <w:tc>
          <w:tcPr>
            <w:tcW w:w="2376" w:type="dxa"/>
          </w:tcPr>
          <w:p w:rsidR="00A46CCC" w:rsidRDefault="00A46CCC" w:rsidP="00B062D1">
            <w:pPr>
              <w:pStyle w:val="NormalHeadings"/>
              <w:jc w:val="left"/>
              <w:rPr>
                <w:caps/>
                <w:szCs w:val="24"/>
              </w:rPr>
            </w:pPr>
            <w:bookmarkStart w:id="12" w:name="Parties"/>
            <w:r>
              <w:rPr>
                <w:caps/>
                <w:szCs w:val="24"/>
              </w:rPr>
              <w:t>BETWEEN:</w:t>
            </w:r>
          </w:p>
        </w:tc>
        <w:tc>
          <w:tcPr>
            <w:tcW w:w="6866" w:type="dxa"/>
            <w:gridSpan w:val="2"/>
          </w:tcPr>
          <w:p w:rsidR="00E75BE0" w:rsidRDefault="00E75BE0" w:rsidP="0014727C">
            <w:pPr>
              <w:pStyle w:val="NormalHeadings"/>
              <w:jc w:val="left"/>
            </w:pPr>
            <w:bookmarkStart w:id="13" w:name="Applicant"/>
            <w:r>
              <w:t>GERD SCHR</w:t>
            </w:r>
            <w:r w:rsidR="00727944">
              <w:t>Ö</w:t>
            </w:r>
            <w:r>
              <w:t>DER-TURK</w:t>
            </w:r>
          </w:p>
          <w:p w:rsidR="00E75BE0" w:rsidRDefault="00E75BE0" w:rsidP="0014727C">
            <w:pPr>
              <w:pStyle w:val="PartyType"/>
            </w:pPr>
            <w:r>
              <w:t>Applicant</w:t>
            </w:r>
          </w:p>
          <w:bookmarkEnd w:id="13"/>
          <w:p w:rsidR="00A46CCC" w:rsidRPr="006555B4" w:rsidRDefault="00A46CCC" w:rsidP="00B062D1">
            <w:pPr>
              <w:pStyle w:val="NormalHeadings"/>
              <w:jc w:val="left"/>
            </w:pPr>
          </w:p>
        </w:tc>
      </w:tr>
      <w:tr w:rsidR="00A46CCC" w:rsidTr="00B062D1">
        <w:trPr>
          <w:trHeight w:val="386"/>
        </w:trPr>
        <w:tc>
          <w:tcPr>
            <w:tcW w:w="2376" w:type="dxa"/>
          </w:tcPr>
          <w:p w:rsidR="00A46CCC" w:rsidRDefault="00A46CCC" w:rsidP="00B062D1">
            <w:pPr>
              <w:pStyle w:val="NormalHeadings"/>
              <w:jc w:val="left"/>
              <w:rPr>
                <w:caps/>
                <w:szCs w:val="24"/>
              </w:rPr>
            </w:pPr>
            <w:r>
              <w:rPr>
                <w:caps/>
                <w:szCs w:val="24"/>
              </w:rPr>
              <w:t>AND:</w:t>
            </w:r>
          </w:p>
        </w:tc>
        <w:tc>
          <w:tcPr>
            <w:tcW w:w="6866" w:type="dxa"/>
            <w:gridSpan w:val="2"/>
          </w:tcPr>
          <w:p w:rsidR="0014727C" w:rsidRDefault="0014727C" w:rsidP="0014727C">
            <w:pPr>
              <w:pStyle w:val="NormalHeadings"/>
              <w:jc w:val="left"/>
            </w:pPr>
            <w:bookmarkStart w:id="14" w:name="Respondent"/>
            <w:r>
              <w:t>MURDOCH UNIVERSITY</w:t>
            </w:r>
          </w:p>
          <w:p w:rsidR="0014727C" w:rsidRDefault="0014727C" w:rsidP="0014727C">
            <w:pPr>
              <w:pStyle w:val="PartyType"/>
            </w:pPr>
            <w:r>
              <w:t>Respondent</w:t>
            </w:r>
          </w:p>
          <w:bookmarkEnd w:id="14"/>
          <w:p w:rsidR="00A46CCC" w:rsidRPr="006555B4" w:rsidRDefault="00A46CCC" w:rsidP="00B062D1">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14727C">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14727C">
            <w:pPr>
              <w:pStyle w:val="NormalHeadings"/>
              <w:jc w:val="left"/>
              <w:rPr>
                <w:caps/>
                <w:szCs w:val="24"/>
              </w:rPr>
            </w:pPr>
            <w:bookmarkStart w:id="17" w:name="Judge"/>
            <w:r>
              <w:rPr>
                <w:caps/>
                <w:szCs w:val="24"/>
              </w:rPr>
              <w:t>JACKSON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4727C">
            <w:pPr>
              <w:pStyle w:val="NormalHeadings"/>
              <w:jc w:val="left"/>
              <w:rPr>
                <w:caps/>
                <w:szCs w:val="24"/>
              </w:rPr>
            </w:pPr>
            <w:bookmarkStart w:id="18" w:name="Judgment_Dated"/>
            <w:r>
              <w:rPr>
                <w:caps/>
                <w:szCs w:val="24"/>
              </w:rPr>
              <w:t>29 JULY 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BE3651" w:rsidRDefault="00BE3651" w:rsidP="00BE3651">
      <w:pPr>
        <w:pStyle w:val="Order1"/>
      </w:pPr>
      <w:bookmarkStart w:id="19" w:name="Order_Start_Text"/>
      <w:bookmarkEnd w:id="19"/>
      <w:r>
        <w:t xml:space="preserve">All documents filed in court by the parties </w:t>
      </w:r>
      <w:r w:rsidR="00FF3983">
        <w:t xml:space="preserve">must </w:t>
      </w:r>
      <w:r>
        <w:t>contain</w:t>
      </w:r>
      <w:r w:rsidR="00F217DF">
        <w:t>, on the front page (being the page immediately after the court-generated cover sheet)</w:t>
      </w:r>
      <w:r>
        <w:t>, in font no smaller than the font used in the rest of the document, the following:</w:t>
      </w:r>
    </w:p>
    <w:p w:rsidR="00BE3651" w:rsidRPr="00BA46F0" w:rsidRDefault="00BE3651" w:rsidP="00BE3651">
      <w:pPr>
        <w:pStyle w:val="Order1"/>
        <w:numPr>
          <w:ilvl w:val="0"/>
          <w:numId w:val="0"/>
        </w:numPr>
        <w:spacing w:before="0" w:after="0" w:line="240" w:lineRule="auto"/>
        <w:ind w:left="993" w:right="380"/>
        <w:jc w:val="center"/>
        <w:rPr>
          <w:b/>
        </w:rPr>
      </w:pPr>
      <w:r w:rsidRPr="00BA46F0">
        <w:rPr>
          <w:b/>
        </w:rPr>
        <w:t>IMPORTANT NOTICE</w:t>
      </w:r>
      <w:r w:rsidR="00DE4FE8" w:rsidRPr="00BA46F0">
        <w:rPr>
          <w:b/>
        </w:rPr>
        <w:t xml:space="preserve">:  </w:t>
      </w:r>
      <w:r w:rsidRPr="00BA46F0">
        <w:rPr>
          <w:b/>
        </w:rPr>
        <w:t>PLEASE READ</w:t>
      </w:r>
    </w:p>
    <w:p w:rsidR="00BE3651" w:rsidRPr="00BA46F0" w:rsidRDefault="00BE3651" w:rsidP="00BE3651">
      <w:pPr>
        <w:pStyle w:val="Order1"/>
        <w:numPr>
          <w:ilvl w:val="0"/>
          <w:numId w:val="0"/>
        </w:numPr>
        <w:spacing w:before="0" w:after="0" w:line="240" w:lineRule="auto"/>
        <w:ind w:left="993" w:right="380"/>
      </w:pPr>
    </w:p>
    <w:p w:rsidR="00BE3651" w:rsidRPr="00BA46F0" w:rsidRDefault="00BE3651" w:rsidP="00BE3651">
      <w:pPr>
        <w:pStyle w:val="Order1"/>
        <w:numPr>
          <w:ilvl w:val="0"/>
          <w:numId w:val="0"/>
        </w:numPr>
        <w:spacing w:before="0" w:after="0" w:line="240" w:lineRule="auto"/>
        <w:ind w:left="993" w:right="380"/>
      </w:pPr>
      <w:r w:rsidRPr="00BA46F0">
        <w:t xml:space="preserve">Any non-party, including any member of the public, </w:t>
      </w:r>
      <w:r w:rsidR="00FF3983">
        <w:t>who seeks or has</w:t>
      </w:r>
      <w:r w:rsidRPr="00BA46F0">
        <w:t xml:space="preserve"> access </w:t>
      </w:r>
      <w:r w:rsidR="00FF3983">
        <w:t>to</w:t>
      </w:r>
      <w:r w:rsidRPr="00BA46F0">
        <w:t xml:space="preserve"> this document should consider obtaining legal advice before disclosing any information in, from, or concerning this document</w:t>
      </w:r>
      <w:r w:rsidR="00DE4FE8" w:rsidRPr="00BA46F0">
        <w:t xml:space="preserve">.  </w:t>
      </w:r>
      <w:r w:rsidR="00FF3983">
        <w:t>T</w:t>
      </w:r>
      <w:r w:rsidR="00FF3983" w:rsidRPr="00AD4A52">
        <w:t xml:space="preserve">he applicant in this proceeding makes a claim pursuant to the </w:t>
      </w:r>
      <w:r w:rsidR="00FF3983" w:rsidRPr="00AD4A52">
        <w:rPr>
          <w:i/>
        </w:rPr>
        <w:t>Public Interest Disclosure Act 2003</w:t>
      </w:r>
      <w:r w:rsidR="00FF3983" w:rsidRPr="00AD4A52">
        <w:t xml:space="preserve"> (WA).</w:t>
      </w:r>
      <w:r w:rsidRPr="00BA46F0">
        <w:t>Sections</w:t>
      </w:r>
      <w:r w:rsidR="009D40B6" w:rsidRPr="00BA46F0">
        <w:t> </w:t>
      </w:r>
      <w:r w:rsidRPr="00BA46F0">
        <w:t xml:space="preserve">16(1) and (3) of </w:t>
      </w:r>
      <w:r w:rsidR="00FF3983">
        <w:t>that Act</w:t>
      </w:r>
      <w:r w:rsidRPr="00BA46F0">
        <w:t xml:space="preserve"> contain prohibitions on disclosure that </w:t>
      </w:r>
      <w:r w:rsidRPr="00BA46F0">
        <w:rPr>
          <w:u w:val="single"/>
        </w:rPr>
        <w:t>may</w:t>
      </w:r>
      <w:r w:rsidRPr="00BA46F0">
        <w:t xml:space="preserve"> apply</w:t>
      </w:r>
      <w:r w:rsidR="00DE4FE8" w:rsidRPr="00BA46F0">
        <w:t xml:space="preserve">.  </w:t>
      </w:r>
      <w:r w:rsidRPr="00BA46F0">
        <w:t>The penalties for breach of those prohibitions include substantial fines and/or imprisonment</w:t>
      </w:r>
      <w:r w:rsidR="00DE4FE8" w:rsidRPr="00BA46F0">
        <w:t xml:space="preserve">.  </w:t>
      </w:r>
    </w:p>
    <w:p w:rsidR="00BE3651" w:rsidRPr="00BA46F0" w:rsidRDefault="00BE3651" w:rsidP="00BE3651">
      <w:pPr>
        <w:pStyle w:val="Order1"/>
        <w:numPr>
          <w:ilvl w:val="0"/>
          <w:numId w:val="0"/>
        </w:numPr>
        <w:spacing w:before="0" w:after="0" w:line="240" w:lineRule="auto"/>
        <w:ind w:left="993" w:right="380"/>
      </w:pPr>
    </w:p>
    <w:p w:rsidR="00BE3651" w:rsidRPr="00BA46F0" w:rsidRDefault="00BE3651" w:rsidP="00BE3651">
      <w:pPr>
        <w:pStyle w:val="Order1"/>
        <w:numPr>
          <w:ilvl w:val="0"/>
          <w:numId w:val="0"/>
        </w:numPr>
        <w:spacing w:before="0" w:after="0" w:line="240" w:lineRule="auto"/>
        <w:ind w:left="993" w:right="380"/>
      </w:pPr>
      <w:r w:rsidRPr="00BA46F0">
        <w:t xml:space="preserve">Neither the parties nor the Court offer any legal advice in this regard, and should </w:t>
      </w:r>
      <w:r w:rsidRPr="00BA46F0">
        <w:rPr>
          <w:b/>
          <w:u w:val="single"/>
        </w:rPr>
        <w:t>not</w:t>
      </w:r>
      <w:r w:rsidRPr="00BA46F0">
        <w:t xml:space="preserve"> be taken to do so by affixing this notification to this document</w:t>
      </w:r>
      <w:r w:rsidR="00DE4FE8" w:rsidRPr="00BA46F0">
        <w:t xml:space="preserve">.  </w:t>
      </w:r>
      <w:r w:rsidRPr="00BA46F0">
        <w:t xml:space="preserve">This notification has been affixed to this document pursuant to an order made by the Honourable Justice Jackson on </w:t>
      </w:r>
      <w:r w:rsidR="00FF3983">
        <w:t>29 July 2019</w:t>
      </w:r>
      <w:r w:rsidRPr="00BA46F0">
        <w:t xml:space="preserve"> that such a notification should be affixed to all documents filed in this proceeding.</w:t>
      </w:r>
    </w:p>
    <w:p w:rsidR="00BE3651" w:rsidRPr="00BA46F0" w:rsidRDefault="00BE3651" w:rsidP="00BE3651">
      <w:pPr>
        <w:pStyle w:val="Order1"/>
        <w:numPr>
          <w:ilvl w:val="0"/>
          <w:numId w:val="0"/>
        </w:numPr>
        <w:spacing w:before="0" w:after="0" w:line="240" w:lineRule="auto"/>
        <w:ind w:left="993" w:right="380"/>
      </w:pPr>
    </w:p>
    <w:p w:rsidR="00BE3651" w:rsidRPr="00BA46F0" w:rsidRDefault="00BE3651" w:rsidP="00BE3651">
      <w:pPr>
        <w:pStyle w:val="Order1"/>
        <w:numPr>
          <w:ilvl w:val="0"/>
          <w:numId w:val="0"/>
        </w:numPr>
        <w:spacing w:before="0" w:after="0" w:line="240" w:lineRule="auto"/>
        <w:ind w:left="993" w:right="380"/>
        <w:rPr>
          <w:b/>
        </w:rPr>
      </w:pPr>
      <w:r w:rsidRPr="00BA46F0">
        <w:rPr>
          <w:b/>
        </w:rPr>
        <w:t>THIS NOTICE IS TO BE ATTACHED, AND REMAIN ATTACHED, TO ANY COPY OF THIS DOCUMENT.</w:t>
      </w:r>
    </w:p>
    <w:p w:rsidR="00BE3651" w:rsidRPr="00BE3651" w:rsidRDefault="00BE3651" w:rsidP="00BE3651">
      <w:pPr>
        <w:pStyle w:val="Order1"/>
        <w:numPr>
          <w:ilvl w:val="0"/>
          <w:numId w:val="0"/>
        </w:numPr>
        <w:spacing w:before="0" w:after="0" w:line="240" w:lineRule="auto"/>
        <w:ind w:left="720"/>
        <w:rPr>
          <w:b/>
          <w:u w:val="single"/>
        </w:rPr>
      </w:pPr>
    </w:p>
    <w:p w:rsidR="00BE3651" w:rsidRDefault="00BE3651" w:rsidP="00BE3651">
      <w:pPr>
        <w:pStyle w:val="Order1"/>
      </w:pPr>
      <w:r>
        <w:t xml:space="preserve">The applicant must, within 7 days from the date of this order, uplift from the court file all documents </w:t>
      </w:r>
      <w:r w:rsidR="00FF3983">
        <w:t xml:space="preserve">that the applicant has </w:t>
      </w:r>
      <w:r>
        <w:t>filed in court to date and refile them with the notice set out in the preceding paragraph affixed to the front page of each</w:t>
      </w:r>
      <w:r w:rsidR="00BA46F0">
        <w:t>.</w:t>
      </w:r>
    </w:p>
    <w:p w:rsidR="00BE3651" w:rsidRDefault="00BE3651" w:rsidP="00BE3651">
      <w:pPr>
        <w:pStyle w:val="Order1"/>
      </w:pPr>
      <w:r>
        <w:t>The interlocutory application filed on 14 June 2019 is otherwise dismissed</w:t>
      </w:r>
      <w:r w:rsidR="00BA46F0">
        <w:t>.</w:t>
      </w:r>
    </w:p>
    <w:p w:rsidR="00BE3651" w:rsidRDefault="00BE3651" w:rsidP="00BE3651">
      <w:pPr>
        <w:pStyle w:val="Order1"/>
      </w:pPr>
      <w:r>
        <w:lastRenderedPageBreak/>
        <w:t xml:space="preserve">Each party has liberty to apply </w:t>
      </w:r>
      <w:r w:rsidR="00FF3983">
        <w:t xml:space="preserve">in relation to the subject matter of the interlocutory application </w:t>
      </w:r>
      <w:r>
        <w:t>on 3 days</w:t>
      </w:r>
      <w:r w:rsidR="00FF3983">
        <w:t>'</w:t>
      </w:r>
      <w:r>
        <w:t xml:space="preserve"> written notice to the other party</w:t>
      </w:r>
      <w:r w:rsidR="00BA46F0">
        <w:t>.</w:t>
      </w:r>
    </w:p>
    <w:p w:rsidR="00395B24" w:rsidRDefault="00BE3651" w:rsidP="00BE3651">
      <w:pPr>
        <w:pStyle w:val="Order1"/>
      </w:pPr>
      <w:r>
        <w:t>By 4.00 pm on Monday 5 August 2019 the parties must confer and file a minute of consent orders in relation to disclosure to legal advisers for the purposes of these proceedings</w:t>
      </w:r>
      <w:r w:rsidR="00FF3983">
        <w:t>,</w:t>
      </w:r>
      <w:r>
        <w:t xml:space="preserve"> and in relation to the costs of the application (or, if agreement cannot be reached, separate minutes).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E75BE0" w:rsidP="005E0510">
      <w:pPr>
        <w:pStyle w:val="NormalHeadings"/>
        <w:spacing w:line="360" w:lineRule="auto"/>
        <w:jc w:val="left"/>
        <w:rPr>
          <w:sz w:val="26"/>
          <w:szCs w:val="26"/>
        </w:rPr>
      </w:pPr>
      <w:r>
        <w:rPr>
          <w:sz w:val="26"/>
          <w:szCs w:val="26"/>
        </w:rPr>
        <w:t>JACKSON J</w:t>
      </w:r>
      <w:r w:rsidR="00484F6D" w:rsidRPr="00EA03CE">
        <w:rPr>
          <w:sz w:val="26"/>
          <w:szCs w:val="26"/>
        </w:rPr>
        <w:t>:</w:t>
      </w:r>
    </w:p>
    <w:p w:rsidR="006F6122" w:rsidRDefault="00727944" w:rsidP="0014727C">
      <w:pPr>
        <w:pStyle w:val="ParaNumbering"/>
      </w:pPr>
      <w:r>
        <w:rPr>
          <w:lang w:eastAsia="en-AU"/>
        </w:rPr>
        <w:t xml:space="preserve">The applicant, </w:t>
      </w:r>
      <w:proofErr w:type="spellStart"/>
      <w:r>
        <w:rPr>
          <w:lang w:eastAsia="en-AU"/>
        </w:rPr>
        <w:t>Gerd</w:t>
      </w:r>
      <w:proofErr w:type="spellEnd"/>
      <w:r>
        <w:rPr>
          <w:lang w:eastAsia="en-AU"/>
        </w:rPr>
        <w:t xml:space="preserve"> </w:t>
      </w:r>
      <w:proofErr w:type="spellStart"/>
      <w:r w:rsidR="006F6122" w:rsidRPr="00676E9D">
        <w:rPr>
          <w:lang w:eastAsia="en-AU"/>
        </w:rPr>
        <w:t>Schr</w:t>
      </w:r>
      <w:r w:rsidR="00EA3DBE">
        <w:rPr>
          <w:lang w:eastAsia="en-AU"/>
        </w:rPr>
        <w:t>ö</w:t>
      </w:r>
      <w:r w:rsidR="006F6122" w:rsidRPr="00676E9D">
        <w:rPr>
          <w:lang w:eastAsia="en-AU"/>
        </w:rPr>
        <w:t>der</w:t>
      </w:r>
      <w:proofErr w:type="spellEnd"/>
      <w:r w:rsidR="006F6122" w:rsidRPr="00676E9D">
        <w:rPr>
          <w:lang w:eastAsia="en-AU"/>
        </w:rPr>
        <w:t>-Turk, is an associate profe</w:t>
      </w:r>
      <w:r w:rsidR="006F6122">
        <w:rPr>
          <w:lang w:eastAsia="en-AU"/>
        </w:rPr>
        <w:t>ssor at Murdoch University</w:t>
      </w:r>
      <w:r w:rsidR="006F6122" w:rsidRPr="00676E9D">
        <w:rPr>
          <w:lang w:eastAsia="en-AU"/>
        </w:rPr>
        <w:t>, an employee of the University, and a member of the University Senate</w:t>
      </w:r>
      <w:r w:rsidR="00DE4FE8">
        <w:rPr>
          <w:lang w:eastAsia="en-AU"/>
        </w:rPr>
        <w:t xml:space="preserve">.  </w:t>
      </w:r>
      <w:r w:rsidR="006F6122" w:rsidRPr="00676E9D">
        <w:rPr>
          <w:lang w:eastAsia="en-AU"/>
        </w:rPr>
        <w:t xml:space="preserve">He </w:t>
      </w:r>
      <w:r>
        <w:rPr>
          <w:lang w:eastAsia="en-AU"/>
        </w:rPr>
        <w:t xml:space="preserve">has </w:t>
      </w:r>
      <w:r w:rsidR="006F6122" w:rsidRPr="00676E9D">
        <w:rPr>
          <w:lang w:eastAsia="en-AU"/>
        </w:rPr>
        <w:t xml:space="preserve">commenced proceedings </w:t>
      </w:r>
      <w:r w:rsidR="006F6122" w:rsidRPr="00C47BC6">
        <w:rPr>
          <w:lang w:eastAsia="en-AU"/>
        </w:rPr>
        <w:t>against the University</w:t>
      </w:r>
      <w:r w:rsidR="006F6122" w:rsidRPr="00676E9D">
        <w:rPr>
          <w:lang w:eastAsia="en-AU"/>
        </w:rPr>
        <w:t xml:space="preserve"> seeking remedies </w:t>
      </w:r>
      <w:r w:rsidR="006F6122">
        <w:rPr>
          <w:lang w:eastAsia="en-AU"/>
        </w:rPr>
        <w:t>pursuant to</w:t>
      </w:r>
      <w:r w:rsidR="006F6122" w:rsidRPr="00C47BC6">
        <w:rPr>
          <w:lang w:eastAsia="en-AU"/>
        </w:rPr>
        <w:t xml:space="preserve"> </w:t>
      </w:r>
      <w:r w:rsidR="00DE4FE8">
        <w:rPr>
          <w:lang w:eastAsia="en-AU"/>
        </w:rPr>
        <w:t>s </w:t>
      </w:r>
      <w:r w:rsidR="006F6122">
        <w:rPr>
          <w:lang w:eastAsia="en-AU"/>
        </w:rPr>
        <w:t xml:space="preserve">21 of the </w:t>
      </w:r>
      <w:r w:rsidR="006F6122" w:rsidRPr="00BC5E00">
        <w:rPr>
          <w:i/>
          <w:lang w:eastAsia="en-AU"/>
        </w:rPr>
        <w:t>Federal Court of Australia Act 1976</w:t>
      </w:r>
      <w:r w:rsidR="006F6122" w:rsidRPr="00BC5E00">
        <w:rPr>
          <w:lang w:eastAsia="en-AU"/>
        </w:rPr>
        <w:t xml:space="preserve"> (Cth)</w:t>
      </w:r>
      <w:r w:rsidR="006F6122">
        <w:rPr>
          <w:lang w:eastAsia="en-AU"/>
        </w:rPr>
        <w:t xml:space="preserve"> and </w:t>
      </w:r>
      <w:r w:rsidR="006F6122" w:rsidRPr="00C47BC6">
        <w:rPr>
          <w:lang w:eastAsia="en-AU"/>
        </w:rPr>
        <w:t>s</w:t>
      </w:r>
      <w:r w:rsidR="00DE4FE8">
        <w:rPr>
          <w:lang w:eastAsia="en-AU"/>
        </w:rPr>
        <w:t> </w:t>
      </w:r>
      <w:r w:rsidR="006F6122">
        <w:rPr>
          <w:lang w:eastAsia="en-AU"/>
        </w:rPr>
        <w:t xml:space="preserve">340 and </w:t>
      </w:r>
      <w:r w:rsidR="00DE4FE8">
        <w:rPr>
          <w:lang w:eastAsia="en-AU"/>
        </w:rPr>
        <w:t>s </w:t>
      </w:r>
      <w:r w:rsidR="006F6122">
        <w:rPr>
          <w:lang w:eastAsia="en-AU"/>
        </w:rPr>
        <w:t xml:space="preserve">545 </w:t>
      </w:r>
      <w:r w:rsidR="006F6122" w:rsidRPr="00C47BC6">
        <w:rPr>
          <w:lang w:eastAsia="en-AU"/>
        </w:rPr>
        <w:t>of the</w:t>
      </w:r>
      <w:r w:rsidR="006F6122" w:rsidRPr="00676E9D">
        <w:rPr>
          <w:lang w:eastAsia="en-AU"/>
        </w:rPr>
        <w:t xml:space="preserve"> </w:t>
      </w:r>
      <w:r w:rsidR="006F6122" w:rsidRPr="00BC5E00">
        <w:rPr>
          <w:i/>
          <w:iCs/>
          <w:lang w:eastAsia="en-AU"/>
        </w:rPr>
        <w:t>Fair Work Act 2009</w:t>
      </w:r>
      <w:r w:rsidR="006F6122" w:rsidRPr="00BC5E00">
        <w:rPr>
          <w:lang w:eastAsia="en-AU"/>
        </w:rPr>
        <w:t xml:space="preserve"> (Cth)</w:t>
      </w:r>
      <w:r>
        <w:rPr>
          <w:lang w:eastAsia="en-AU"/>
        </w:rPr>
        <w:t>,</w:t>
      </w:r>
      <w:r w:rsidR="006F6122" w:rsidRPr="00C47BC6">
        <w:rPr>
          <w:lang w:eastAsia="en-AU"/>
        </w:rPr>
        <w:t xml:space="preserve"> </w:t>
      </w:r>
      <w:r w:rsidR="006F6122" w:rsidRPr="00676E9D">
        <w:rPr>
          <w:lang w:eastAsia="en-AU"/>
        </w:rPr>
        <w:t xml:space="preserve">concerning </w:t>
      </w:r>
      <w:r w:rsidR="000127D8">
        <w:rPr>
          <w:lang w:eastAsia="en-AU"/>
        </w:rPr>
        <w:t>action</w:t>
      </w:r>
      <w:r w:rsidR="006F6122" w:rsidRPr="00676E9D">
        <w:rPr>
          <w:lang w:eastAsia="en-AU"/>
        </w:rPr>
        <w:t xml:space="preserve"> </w:t>
      </w:r>
      <w:r w:rsidR="006D694E">
        <w:rPr>
          <w:lang w:eastAsia="en-AU"/>
        </w:rPr>
        <w:t>adverse to him</w:t>
      </w:r>
      <w:r w:rsidR="006F6122" w:rsidRPr="00676E9D">
        <w:rPr>
          <w:lang w:eastAsia="en-AU"/>
        </w:rPr>
        <w:t xml:space="preserve"> which</w:t>
      </w:r>
      <w:r w:rsidR="006F6122">
        <w:rPr>
          <w:lang w:eastAsia="en-AU"/>
        </w:rPr>
        <w:t xml:space="preserve"> the</w:t>
      </w:r>
      <w:r w:rsidR="006F6122" w:rsidRPr="00676E9D">
        <w:rPr>
          <w:lang w:eastAsia="en-AU"/>
        </w:rPr>
        <w:t xml:space="preserve"> Uni</w:t>
      </w:r>
      <w:r w:rsidR="006F6122">
        <w:rPr>
          <w:lang w:eastAsia="en-AU"/>
        </w:rPr>
        <w:t>versity</w:t>
      </w:r>
      <w:r w:rsidR="006F6122" w:rsidRPr="00676E9D">
        <w:rPr>
          <w:lang w:eastAsia="en-AU"/>
        </w:rPr>
        <w:t xml:space="preserve"> is said to have </w:t>
      </w:r>
      <w:r w:rsidR="000127D8">
        <w:rPr>
          <w:lang w:eastAsia="en-AU"/>
        </w:rPr>
        <w:t>taken</w:t>
      </w:r>
      <w:r w:rsidR="00DE4FE8">
        <w:rPr>
          <w:lang w:eastAsia="en-AU"/>
        </w:rPr>
        <w:t xml:space="preserve">.  </w:t>
      </w:r>
      <w:r w:rsidR="006F6122">
        <w:rPr>
          <w:lang w:eastAsia="en-AU"/>
        </w:rPr>
        <w:t xml:space="preserve">The applicant claims that the University </w:t>
      </w:r>
      <w:r w:rsidR="000127D8">
        <w:rPr>
          <w:lang w:eastAsia="en-AU"/>
        </w:rPr>
        <w:t>took the action beca</w:t>
      </w:r>
      <w:r w:rsidR="006F6122">
        <w:rPr>
          <w:lang w:eastAsia="en-AU"/>
        </w:rPr>
        <w:t xml:space="preserve">use </w:t>
      </w:r>
      <w:r w:rsidR="000127D8">
        <w:rPr>
          <w:lang w:eastAsia="en-AU"/>
        </w:rPr>
        <w:t>he exercised workplace rights in making certain complaints, and in exercising</w:t>
      </w:r>
      <w:r w:rsidR="006F6122">
        <w:rPr>
          <w:lang w:eastAsia="en-AU"/>
        </w:rPr>
        <w:t xml:space="preserve"> his right to academic freedom</w:t>
      </w:r>
      <w:r w:rsidR="00DE4FE8">
        <w:rPr>
          <w:lang w:eastAsia="en-AU"/>
        </w:rPr>
        <w:t>.</w:t>
      </w:r>
    </w:p>
    <w:p w:rsidR="00727944" w:rsidRDefault="00727944" w:rsidP="006F6122">
      <w:pPr>
        <w:pStyle w:val="ParaNumbering"/>
      </w:pPr>
      <w:r>
        <w:rPr>
          <w:lang w:eastAsia="en-AU"/>
        </w:rPr>
        <w:t xml:space="preserve">The present </w:t>
      </w:r>
      <w:r w:rsidR="0009171E">
        <w:rPr>
          <w:lang w:eastAsia="en-AU"/>
        </w:rPr>
        <w:t xml:space="preserve">interlocutory </w:t>
      </w:r>
      <w:r>
        <w:rPr>
          <w:lang w:eastAsia="en-AU"/>
        </w:rPr>
        <w:t xml:space="preserve">application arises because of another aspect of the applicant's claims, </w:t>
      </w:r>
      <w:r w:rsidR="00D87D20" w:rsidRPr="0009171E">
        <w:rPr>
          <w:lang w:eastAsia="en-AU"/>
        </w:rPr>
        <w:t>being</w:t>
      </w:r>
      <w:r w:rsidRPr="0009171E">
        <w:rPr>
          <w:lang w:eastAsia="en-AU"/>
        </w:rPr>
        <w:t xml:space="preserve"> </w:t>
      </w:r>
      <w:r w:rsidR="00D87D20" w:rsidRPr="0009171E">
        <w:rPr>
          <w:lang w:eastAsia="en-AU"/>
        </w:rPr>
        <w:t>an allegation</w:t>
      </w:r>
      <w:r w:rsidRPr="0009171E">
        <w:rPr>
          <w:lang w:eastAsia="en-AU"/>
        </w:rPr>
        <w:t xml:space="preserve"> that the University contravened the </w:t>
      </w:r>
      <w:r w:rsidRPr="00BC5E00">
        <w:rPr>
          <w:i/>
          <w:lang w:eastAsia="en-AU"/>
        </w:rPr>
        <w:t xml:space="preserve">Public Interest Disclosure Act 2003 </w:t>
      </w:r>
      <w:r w:rsidRPr="00BC5E00">
        <w:rPr>
          <w:lang w:eastAsia="en-AU"/>
        </w:rPr>
        <w:t>(WA)</w:t>
      </w:r>
      <w:r w:rsidRPr="0009171E">
        <w:rPr>
          <w:lang w:eastAsia="en-AU"/>
        </w:rPr>
        <w:t xml:space="preserve"> (</w:t>
      </w:r>
      <w:r w:rsidRPr="00611456">
        <w:rPr>
          <w:b/>
          <w:i/>
          <w:lang w:eastAsia="en-AU"/>
        </w:rPr>
        <w:t>PID Act</w:t>
      </w:r>
      <w:r>
        <w:rPr>
          <w:lang w:eastAsia="en-AU"/>
        </w:rPr>
        <w:t>)</w:t>
      </w:r>
      <w:r w:rsidR="0009171E">
        <w:rPr>
          <w:lang w:eastAsia="en-AU"/>
        </w:rPr>
        <w:t xml:space="preserve"> by engaging in detrimental action against the applicant after </w:t>
      </w:r>
      <w:r w:rsidR="006D694E">
        <w:rPr>
          <w:lang w:eastAsia="en-AU"/>
        </w:rPr>
        <w:t>he</w:t>
      </w:r>
      <w:r w:rsidR="0009171E">
        <w:rPr>
          <w:lang w:eastAsia="en-AU"/>
        </w:rPr>
        <w:t xml:space="preserve"> made an appropriate disclosure of public interest information</w:t>
      </w:r>
      <w:r w:rsidR="00DE4FE8">
        <w:rPr>
          <w:lang w:eastAsia="en-AU"/>
        </w:rPr>
        <w:t xml:space="preserve">.  </w:t>
      </w:r>
      <w:r w:rsidR="00D87D20">
        <w:rPr>
          <w:lang w:eastAsia="en-AU"/>
        </w:rPr>
        <w:t>Th</w:t>
      </w:r>
      <w:r w:rsidR="006D694E">
        <w:rPr>
          <w:lang w:eastAsia="en-AU"/>
        </w:rPr>
        <w:t>is</w:t>
      </w:r>
      <w:r w:rsidR="00D87D20">
        <w:rPr>
          <w:lang w:eastAsia="en-AU"/>
        </w:rPr>
        <w:t xml:space="preserve"> application</w:t>
      </w:r>
      <w:r>
        <w:rPr>
          <w:lang w:eastAsia="en-AU"/>
        </w:rPr>
        <w:t xml:space="preserve"> relates to obligations of confidentiality which the </w:t>
      </w:r>
      <w:r w:rsidRPr="00DE4FE8">
        <w:rPr>
          <w:i/>
          <w:lang w:eastAsia="en-AU"/>
        </w:rPr>
        <w:t>PID Act</w:t>
      </w:r>
      <w:r>
        <w:rPr>
          <w:lang w:eastAsia="en-AU"/>
        </w:rPr>
        <w:t xml:space="preserve"> imposes</w:t>
      </w:r>
      <w:r w:rsidR="00DE4FE8">
        <w:rPr>
          <w:lang w:eastAsia="en-AU"/>
        </w:rPr>
        <w:t>.</w:t>
      </w:r>
    </w:p>
    <w:p w:rsidR="00727944" w:rsidRPr="00676E9D" w:rsidRDefault="00727944" w:rsidP="00DE4FE8">
      <w:pPr>
        <w:pStyle w:val="ParaNumbering"/>
      </w:pPr>
      <w:r>
        <w:rPr>
          <w:lang w:eastAsia="en-AU"/>
        </w:rPr>
        <w:t xml:space="preserve">This court clearly has jurisdiction in respect of </w:t>
      </w:r>
      <w:r w:rsidR="00DE4FE8">
        <w:rPr>
          <w:lang w:eastAsia="en-AU"/>
        </w:rPr>
        <w:t xml:space="preserve">the </w:t>
      </w:r>
      <w:r w:rsidRPr="00CC4E39">
        <w:rPr>
          <w:i/>
          <w:lang w:eastAsia="en-AU"/>
        </w:rPr>
        <w:t>Fair Work Act</w:t>
      </w:r>
      <w:r>
        <w:rPr>
          <w:lang w:eastAsia="en-AU"/>
        </w:rPr>
        <w:t xml:space="preserve"> </w:t>
      </w:r>
      <w:r w:rsidR="00A3262C">
        <w:rPr>
          <w:lang w:eastAsia="en-AU"/>
        </w:rPr>
        <w:t>c</w:t>
      </w:r>
      <w:r>
        <w:rPr>
          <w:lang w:eastAsia="en-AU"/>
        </w:rPr>
        <w:t>laims</w:t>
      </w:r>
      <w:r w:rsidR="00DE4FE8">
        <w:rPr>
          <w:lang w:eastAsia="en-AU"/>
        </w:rPr>
        <w:t xml:space="preserve">:  </w:t>
      </w:r>
      <w:r w:rsidRPr="00CC4E39">
        <w:rPr>
          <w:i/>
          <w:lang w:eastAsia="en-AU"/>
        </w:rPr>
        <w:t>Fair Work Act</w:t>
      </w:r>
      <w:r>
        <w:rPr>
          <w:lang w:eastAsia="en-AU"/>
        </w:rPr>
        <w:t xml:space="preserve"> s </w:t>
      </w:r>
      <w:r w:rsidR="00A3262C">
        <w:rPr>
          <w:lang w:eastAsia="en-AU"/>
        </w:rPr>
        <w:t>562</w:t>
      </w:r>
      <w:r w:rsidR="00086575">
        <w:rPr>
          <w:lang w:eastAsia="en-AU"/>
        </w:rPr>
        <w:t>, and see s 545</w:t>
      </w:r>
      <w:r w:rsidR="00DE4FE8">
        <w:rPr>
          <w:lang w:eastAsia="en-AU"/>
        </w:rPr>
        <w:t xml:space="preserve">.  </w:t>
      </w:r>
      <w:r w:rsidR="00A3262C">
        <w:rPr>
          <w:lang w:eastAsia="en-AU"/>
        </w:rPr>
        <w:t xml:space="preserve">The </w:t>
      </w:r>
      <w:r w:rsidR="00A3262C" w:rsidRPr="00CC4E39">
        <w:rPr>
          <w:i/>
          <w:lang w:eastAsia="en-AU"/>
        </w:rPr>
        <w:t>Fair Work Act</w:t>
      </w:r>
      <w:r w:rsidR="00A3262C" w:rsidRPr="00A3262C">
        <w:rPr>
          <w:lang w:eastAsia="en-AU"/>
        </w:rPr>
        <w:t xml:space="preserve"> claims </w:t>
      </w:r>
      <w:r w:rsidR="00A3262C">
        <w:rPr>
          <w:lang w:eastAsia="en-AU"/>
        </w:rPr>
        <w:t xml:space="preserve">and the </w:t>
      </w:r>
      <w:r w:rsidR="00A3262C" w:rsidRPr="00CC4E39">
        <w:rPr>
          <w:i/>
          <w:lang w:eastAsia="en-AU"/>
        </w:rPr>
        <w:t>PID Act</w:t>
      </w:r>
      <w:r w:rsidR="00A3262C">
        <w:rPr>
          <w:lang w:eastAsia="en-AU"/>
        </w:rPr>
        <w:t xml:space="preserve"> claim arise out of a common substratum of facts; </w:t>
      </w:r>
      <w:r w:rsidR="006142FD">
        <w:rPr>
          <w:lang w:eastAsia="en-AU"/>
        </w:rPr>
        <w:t>in particular,</w:t>
      </w:r>
      <w:r w:rsidR="000127D8">
        <w:rPr>
          <w:lang w:eastAsia="en-AU"/>
        </w:rPr>
        <w:t xml:space="preserve"> </w:t>
      </w:r>
      <w:r w:rsidR="00A3262C">
        <w:rPr>
          <w:lang w:eastAsia="en-AU"/>
        </w:rPr>
        <w:t xml:space="preserve">the </w:t>
      </w:r>
      <w:r w:rsidR="000127D8">
        <w:rPr>
          <w:lang w:eastAsia="en-AU"/>
        </w:rPr>
        <w:t xml:space="preserve">alleged adverse or detrimental action </w:t>
      </w:r>
      <w:r w:rsidR="00A3262C">
        <w:rPr>
          <w:lang w:eastAsia="en-AU"/>
        </w:rPr>
        <w:t>of the University on which the applicant relies is the same in relation to both sets of claims</w:t>
      </w:r>
      <w:r w:rsidR="00DE4FE8">
        <w:rPr>
          <w:lang w:eastAsia="en-AU"/>
        </w:rPr>
        <w:t xml:space="preserve">.  </w:t>
      </w:r>
      <w:r>
        <w:rPr>
          <w:lang w:eastAsia="en-AU"/>
        </w:rPr>
        <w:t>I</w:t>
      </w:r>
      <w:r w:rsidR="00DE4FE8">
        <w:rPr>
          <w:lang w:eastAsia="en-AU"/>
        </w:rPr>
        <w:t xml:space="preserve"> </w:t>
      </w:r>
      <w:r w:rsidR="001432C9">
        <w:rPr>
          <w:lang w:eastAsia="en-AU"/>
        </w:rPr>
        <w:t>proceed on the basis</w:t>
      </w:r>
      <w:r>
        <w:rPr>
          <w:lang w:eastAsia="en-AU"/>
        </w:rPr>
        <w:t xml:space="preserve"> that </w:t>
      </w:r>
      <w:r w:rsidR="00A3262C">
        <w:rPr>
          <w:lang w:eastAsia="en-AU"/>
        </w:rPr>
        <w:t xml:space="preserve">the </w:t>
      </w:r>
      <w:r w:rsidR="00A3262C" w:rsidRPr="00DE4FE8">
        <w:rPr>
          <w:i/>
          <w:lang w:eastAsia="en-AU"/>
        </w:rPr>
        <w:t>PID Act</w:t>
      </w:r>
      <w:r w:rsidR="00A3262C">
        <w:rPr>
          <w:lang w:eastAsia="en-AU"/>
        </w:rPr>
        <w:t xml:space="preserve"> claim</w:t>
      </w:r>
      <w:r w:rsidR="0009171E">
        <w:rPr>
          <w:lang w:eastAsia="en-AU"/>
        </w:rPr>
        <w:t xml:space="preserve"> falls within the jurisdiction of the court, in accordance with the principles</w:t>
      </w:r>
      <w:r w:rsidR="001432C9">
        <w:rPr>
          <w:lang w:eastAsia="en-AU"/>
        </w:rPr>
        <w:t xml:space="preserve"> set out in </w:t>
      </w:r>
      <w:proofErr w:type="spellStart"/>
      <w:r w:rsidR="001432C9" w:rsidRPr="00BC5E00">
        <w:rPr>
          <w:i/>
          <w:lang w:eastAsia="en-AU"/>
        </w:rPr>
        <w:t>Fencott</w:t>
      </w:r>
      <w:proofErr w:type="spellEnd"/>
      <w:r w:rsidR="001432C9" w:rsidRPr="00BC5E00">
        <w:rPr>
          <w:i/>
          <w:lang w:eastAsia="en-AU"/>
        </w:rPr>
        <w:t xml:space="preserve"> v Muller</w:t>
      </w:r>
      <w:r w:rsidR="001432C9" w:rsidRPr="00BC5E00">
        <w:rPr>
          <w:lang w:eastAsia="en-AU"/>
        </w:rPr>
        <w:t xml:space="preserve"> (1983) </w:t>
      </w:r>
      <w:r w:rsidR="00DE4FE8" w:rsidRPr="00BC5E00">
        <w:rPr>
          <w:lang w:eastAsia="en-AU"/>
        </w:rPr>
        <w:t>152 CLR 570</w:t>
      </w:r>
      <w:r w:rsidR="00DE4FE8">
        <w:rPr>
          <w:lang w:eastAsia="en-AU"/>
        </w:rPr>
        <w:t xml:space="preserve"> at </w:t>
      </w:r>
      <w:r w:rsidR="001432C9">
        <w:rPr>
          <w:lang w:eastAsia="en-AU"/>
        </w:rPr>
        <w:t>606</w:t>
      </w:r>
      <w:r w:rsidR="00DE4FE8">
        <w:rPr>
          <w:lang w:eastAsia="en-AU"/>
        </w:rPr>
        <w:noBreakHyphen/>
      </w:r>
      <w:r w:rsidR="001432C9">
        <w:rPr>
          <w:lang w:eastAsia="en-AU"/>
        </w:rPr>
        <w:t>610</w:t>
      </w:r>
      <w:r w:rsidR="00CC4E39">
        <w:rPr>
          <w:lang w:eastAsia="en-AU"/>
        </w:rPr>
        <w:t xml:space="preserve"> (noting that the term 'accrued jurisdiction' is best avoided</w:t>
      </w:r>
      <w:r w:rsidR="00DE4FE8">
        <w:rPr>
          <w:lang w:eastAsia="en-AU"/>
        </w:rPr>
        <w:t xml:space="preserve">:  </w:t>
      </w:r>
      <w:proofErr w:type="spellStart"/>
      <w:r w:rsidR="00CC4E39" w:rsidRPr="00BC5E00">
        <w:rPr>
          <w:i/>
          <w:lang w:eastAsia="en-AU"/>
        </w:rPr>
        <w:t>Rizeq</w:t>
      </w:r>
      <w:proofErr w:type="spellEnd"/>
      <w:r w:rsidR="00CC4E39" w:rsidRPr="00BC5E00">
        <w:rPr>
          <w:i/>
          <w:lang w:eastAsia="en-AU"/>
        </w:rPr>
        <w:t xml:space="preserve"> v Western Australia</w:t>
      </w:r>
      <w:r w:rsidR="00DE4FE8" w:rsidRPr="00BC5E00">
        <w:rPr>
          <w:lang w:eastAsia="en-AU"/>
        </w:rPr>
        <w:t xml:space="preserve"> [2017] HCA 23; (2017) 262 CLR 1</w:t>
      </w:r>
      <w:r w:rsidR="00CC4E39">
        <w:rPr>
          <w:lang w:eastAsia="en-AU"/>
        </w:rPr>
        <w:t xml:space="preserve"> at</w:t>
      </w:r>
      <w:r w:rsidR="00DE4FE8">
        <w:rPr>
          <w:lang w:eastAsia="en-AU"/>
        </w:rPr>
        <w:t> </w:t>
      </w:r>
      <w:r w:rsidR="00CC4E39">
        <w:rPr>
          <w:lang w:eastAsia="en-AU"/>
        </w:rPr>
        <w:t>[55]</w:t>
      </w:r>
      <w:r w:rsidR="003355E8">
        <w:rPr>
          <w:lang w:eastAsia="en-AU"/>
        </w:rPr>
        <w:t>)</w:t>
      </w:r>
      <w:r w:rsidR="00DE4FE8">
        <w:rPr>
          <w:lang w:eastAsia="en-AU"/>
        </w:rPr>
        <w:t xml:space="preserve">.  </w:t>
      </w:r>
      <w:r w:rsidR="001432C9">
        <w:rPr>
          <w:lang w:eastAsia="en-AU"/>
        </w:rPr>
        <w:t xml:space="preserve">The respondent </w:t>
      </w:r>
      <w:r w:rsidR="006D694E">
        <w:rPr>
          <w:lang w:eastAsia="en-AU"/>
        </w:rPr>
        <w:t xml:space="preserve">has </w:t>
      </w:r>
      <w:r w:rsidR="001432C9">
        <w:rPr>
          <w:lang w:eastAsia="en-AU"/>
        </w:rPr>
        <w:t>made no submission to the contrary</w:t>
      </w:r>
      <w:r w:rsidR="00DE4FE8">
        <w:rPr>
          <w:lang w:eastAsia="en-AU"/>
        </w:rPr>
        <w:t>.</w:t>
      </w:r>
    </w:p>
    <w:p w:rsidR="006A4F4D" w:rsidRPr="006A4F4D" w:rsidRDefault="006F6122" w:rsidP="006F6122">
      <w:pPr>
        <w:pStyle w:val="ParaNumbering"/>
      </w:pPr>
      <w:r w:rsidRPr="00E8666A">
        <w:rPr>
          <w:rFonts w:eastAsia="Times New Roman"/>
          <w:szCs w:val="24"/>
          <w:lang w:eastAsia="en-AU"/>
        </w:rPr>
        <w:t xml:space="preserve">The </w:t>
      </w:r>
      <w:r w:rsidR="006A4F4D">
        <w:rPr>
          <w:rFonts w:eastAsia="Times New Roman"/>
          <w:szCs w:val="24"/>
          <w:lang w:eastAsia="en-AU"/>
        </w:rPr>
        <w:t xml:space="preserve">applicant now seeks </w:t>
      </w:r>
      <w:r w:rsidR="003F0F29">
        <w:rPr>
          <w:rFonts w:eastAsia="Times New Roman"/>
          <w:szCs w:val="24"/>
          <w:lang w:eastAsia="en-AU"/>
        </w:rPr>
        <w:t>an order</w:t>
      </w:r>
      <w:r w:rsidRPr="00E8666A">
        <w:rPr>
          <w:rFonts w:eastAsia="Times New Roman"/>
          <w:szCs w:val="24"/>
          <w:lang w:eastAsia="en-AU"/>
        </w:rPr>
        <w:t xml:space="preserve"> relating to the publication of information or documents </w:t>
      </w:r>
      <w:r w:rsidR="006A4F4D">
        <w:rPr>
          <w:rFonts w:eastAsia="Times New Roman"/>
          <w:szCs w:val="24"/>
          <w:lang w:eastAsia="en-AU"/>
        </w:rPr>
        <w:t>derived from these proceedings and the confidentiality of the proceedings</w:t>
      </w:r>
      <w:r w:rsidR="00DE4FE8">
        <w:rPr>
          <w:rFonts w:eastAsia="Times New Roman"/>
          <w:szCs w:val="24"/>
          <w:lang w:eastAsia="en-AU"/>
        </w:rPr>
        <w:t xml:space="preserve">.  </w:t>
      </w:r>
      <w:r w:rsidRPr="00E8666A">
        <w:rPr>
          <w:rFonts w:eastAsia="Times New Roman"/>
          <w:szCs w:val="24"/>
          <w:lang w:eastAsia="en-AU"/>
        </w:rPr>
        <w:t>In support of his application the applicant relies upon the affidavit of Bridie Murphy sworn 14</w:t>
      </w:r>
      <w:r w:rsidR="00DE4FE8">
        <w:rPr>
          <w:rFonts w:eastAsia="Times New Roman"/>
          <w:szCs w:val="24"/>
          <w:lang w:eastAsia="en-AU"/>
        </w:rPr>
        <w:t> </w:t>
      </w:r>
      <w:r w:rsidRPr="00E8666A">
        <w:rPr>
          <w:rFonts w:eastAsia="Times New Roman"/>
          <w:szCs w:val="24"/>
          <w:lang w:eastAsia="en-AU"/>
        </w:rPr>
        <w:t>June 2019</w:t>
      </w:r>
      <w:r w:rsidR="00BA46F0">
        <w:rPr>
          <w:rFonts w:eastAsia="Times New Roman"/>
          <w:szCs w:val="24"/>
          <w:lang w:eastAsia="en-AU"/>
        </w:rPr>
        <w:t>.</w:t>
      </w:r>
    </w:p>
    <w:p w:rsidR="003F0F29" w:rsidRPr="003F0F29" w:rsidRDefault="003F0F29" w:rsidP="003F0F29">
      <w:pPr>
        <w:pStyle w:val="Heading2"/>
        <w:rPr>
          <w:szCs w:val="20"/>
        </w:rPr>
      </w:pPr>
      <w:r>
        <w:rPr>
          <w:lang w:eastAsia="en-AU"/>
        </w:rPr>
        <w:t xml:space="preserve">The </w:t>
      </w:r>
      <w:r w:rsidRPr="003832CB">
        <w:rPr>
          <w:i/>
          <w:lang w:eastAsia="en-AU"/>
        </w:rPr>
        <w:t>PID Act</w:t>
      </w:r>
    </w:p>
    <w:p w:rsidR="003F0F29" w:rsidRPr="003F0F29" w:rsidRDefault="003F0F29" w:rsidP="006F6122">
      <w:pPr>
        <w:pStyle w:val="ParaNumbering"/>
      </w:pPr>
      <w:r>
        <w:rPr>
          <w:rFonts w:eastAsia="Times New Roman"/>
          <w:szCs w:val="24"/>
          <w:lang w:eastAsia="en-AU"/>
        </w:rPr>
        <w:t xml:space="preserve">In order to understand how the issue has developed, it is first necessary to refer to certain provisions of the </w:t>
      </w:r>
      <w:r w:rsidRPr="003832CB">
        <w:rPr>
          <w:rFonts w:eastAsia="Times New Roman"/>
          <w:i/>
          <w:szCs w:val="24"/>
          <w:lang w:eastAsia="en-AU"/>
        </w:rPr>
        <w:t>PID Act</w:t>
      </w:r>
      <w:r w:rsidR="00DE4FE8">
        <w:rPr>
          <w:rFonts w:eastAsia="Times New Roman"/>
          <w:szCs w:val="24"/>
          <w:lang w:eastAsia="en-AU"/>
        </w:rPr>
        <w:t>.</w:t>
      </w:r>
    </w:p>
    <w:p w:rsidR="00423930" w:rsidRDefault="00423930" w:rsidP="00DE4FE8">
      <w:pPr>
        <w:pStyle w:val="ParaNumbering"/>
        <w:keepNext/>
      </w:pPr>
      <w:r>
        <w:rPr>
          <w:lang w:eastAsia="en-AU"/>
        </w:rPr>
        <w:t xml:space="preserve">The </w:t>
      </w:r>
      <w:r w:rsidR="005B090E">
        <w:rPr>
          <w:lang w:eastAsia="en-AU"/>
        </w:rPr>
        <w:t xml:space="preserve">long </w:t>
      </w:r>
      <w:r>
        <w:rPr>
          <w:lang w:eastAsia="en-AU"/>
        </w:rPr>
        <w:t xml:space="preserve">title of the </w:t>
      </w:r>
      <w:r w:rsidRPr="00DE4FE8">
        <w:rPr>
          <w:lang w:eastAsia="en-AU"/>
        </w:rPr>
        <w:t>Act</w:t>
      </w:r>
      <w:r>
        <w:rPr>
          <w:lang w:eastAsia="en-AU"/>
        </w:rPr>
        <w:t xml:space="preserve"> describes it as:</w:t>
      </w:r>
    </w:p>
    <w:p w:rsidR="00423930" w:rsidRDefault="00423930" w:rsidP="00DE4FE8">
      <w:pPr>
        <w:pStyle w:val="Quote1"/>
        <w:spacing w:after="360"/>
      </w:pPr>
      <w:r w:rsidRPr="00423930">
        <w:rPr>
          <w:lang w:eastAsia="en-AU"/>
        </w:rPr>
        <w:t xml:space="preserve">An Act to facilitate the disclosure of public interest information, to provide protection </w:t>
      </w:r>
      <w:r w:rsidRPr="00423930">
        <w:rPr>
          <w:lang w:eastAsia="en-AU"/>
        </w:rPr>
        <w:lastRenderedPageBreak/>
        <w:t>for those who make disclosures and for those the subject of disclosures, and, in consequence, to amend various Acts, and for related purposes</w:t>
      </w:r>
      <w:r w:rsidR="00DE4FE8">
        <w:rPr>
          <w:lang w:eastAsia="en-AU"/>
        </w:rPr>
        <w:t>.</w:t>
      </w:r>
    </w:p>
    <w:p w:rsidR="007B79EA" w:rsidRPr="007B79EA" w:rsidRDefault="007B79EA" w:rsidP="00423930">
      <w:pPr>
        <w:pStyle w:val="ParaNumbering"/>
      </w:pPr>
      <w:r>
        <w:rPr>
          <w:lang w:eastAsia="en-AU"/>
        </w:rPr>
        <w:t>Section 3</w:t>
      </w:r>
      <w:r w:rsidR="00250B75">
        <w:rPr>
          <w:lang w:eastAsia="en-AU"/>
        </w:rPr>
        <w:t>(1)</w:t>
      </w:r>
      <w:r>
        <w:rPr>
          <w:lang w:eastAsia="en-AU"/>
        </w:rPr>
        <w:t xml:space="preserve"> </w:t>
      </w:r>
      <w:r w:rsidR="006C67E6">
        <w:rPr>
          <w:lang w:eastAsia="en-AU"/>
        </w:rPr>
        <w:t xml:space="preserve">relevantly </w:t>
      </w:r>
      <w:r>
        <w:rPr>
          <w:lang w:eastAsia="en-AU"/>
        </w:rPr>
        <w:t xml:space="preserve">defines </w:t>
      </w:r>
      <w:r w:rsidRPr="007B79EA">
        <w:rPr>
          <w:rFonts w:eastAsia="Times New Roman"/>
          <w:szCs w:val="24"/>
          <w:lang w:eastAsia="en-AU"/>
        </w:rPr>
        <w:t xml:space="preserve">'public interest information' </w:t>
      </w:r>
      <w:r>
        <w:rPr>
          <w:rFonts w:eastAsia="Times New Roman"/>
          <w:szCs w:val="24"/>
          <w:lang w:eastAsia="en-AU"/>
        </w:rPr>
        <w:t>to mean:</w:t>
      </w:r>
    </w:p>
    <w:p w:rsidR="007B79EA" w:rsidRPr="007B79EA" w:rsidRDefault="007B79EA" w:rsidP="007B79EA">
      <w:pPr>
        <w:pStyle w:val="Quote1"/>
      </w:pPr>
      <w:r w:rsidRPr="007B79EA">
        <w:rPr>
          <w:lang w:eastAsia="en-AU"/>
        </w:rPr>
        <w:t xml:space="preserve">information that tends to show that, in relation to its performance of a public function (either before or after the commencement of this Act), a public authority, a public officer, or a public sector contractor is, has been, </w:t>
      </w:r>
      <w:r w:rsidR="00DE4FE8">
        <w:rPr>
          <w:lang w:eastAsia="en-AU"/>
        </w:rPr>
        <w:t>or proposes to be, involved in -</w:t>
      </w:r>
      <w:r w:rsidRPr="007B79EA">
        <w:rPr>
          <w:lang w:eastAsia="en-AU"/>
        </w:rPr>
        <w:t xml:space="preserve"> </w:t>
      </w:r>
    </w:p>
    <w:p w:rsidR="007B79EA" w:rsidRPr="007B79EA" w:rsidRDefault="007B79EA" w:rsidP="00DE4FE8">
      <w:pPr>
        <w:pStyle w:val="Quote1"/>
        <w:spacing w:after="360"/>
      </w:pPr>
      <w:r w:rsidRPr="007B79EA">
        <w:rPr>
          <w:rFonts w:eastAsia="Times New Roman"/>
          <w:szCs w:val="24"/>
          <w:lang w:eastAsia="en-AU"/>
        </w:rPr>
        <w:t xml:space="preserve">(a) </w:t>
      </w:r>
      <w:r>
        <w:rPr>
          <w:rFonts w:eastAsia="Times New Roman"/>
          <w:szCs w:val="24"/>
          <w:lang w:eastAsia="en-AU"/>
        </w:rPr>
        <w:tab/>
      </w:r>
      <w:r w:rsidRPr="007B79EA">
        <w:rPr>
          <w:rFonts w:eastAsia="Times New Roman"/>
          <w:szCs w:val="24"/>
          <w:lang w:eastAsia="en-AU"/>
        </w:rPr>
        <w:t xml:space="preserve">improper </w:t>
      </w:r>
      <w:r w:rsidRPr="007B79EA">
        <w:rPr>
          <w:lang w:eastAsia="en-AU"/>
        </w:rPr>
        <w:t>conduct</w:t>
      </w:r>
      <w:r w:rsidR="00DE4FE8">
        <w:rPr>
          <w:lang w:eastAsia="en-AU"/>
        </w:rPr>
        <w:t xml:space="preserve"> </w:t>
      </w:r>
      <w:r>
        <w:rPr>
          <w:lang w:eastAsia="en-AU"/>
        </w:rPr>
        <w:t>…</w:t>
      </w:r>
    </w:p>
    <w:p w:rsidR="00250B75" w:rsidRPr="00250B75" w:rsidRDefault="007B79EA" w:rsidP="007B79EA">
      <w:pPr>
        <w:pStyle w:val="ParaNumbering"/>
      </w:pPr>
      <w:r w:rsidRPr="007B79EA">
        <w:rPr>
          <w:rFonts w:eastAsia="Times New Roman"/>
          <w:szCs w:val="24"/>
          <w:lang w:eastAsia="en-AU"/>
        </w:rPr>
        <w:t xml:space="preserve">'Public authority' </w:t>
      </w:r>
      <w:r w:rsidR="00250B75">
        <w:rPr>
          <w:rFonts w:eastAsia="Times New Roman"/>
          <w:szCs w:val="24"/>
          <w:lang w:eastAsia="en-AU"/>
        </w:rPr>
        <w:t xml:space="preserve">is </w:t>
      </w:r>
      <w:r w:rsidR="006C67E6">
        <w:rPr>
          <w:rFonts w:eastAsia="Times New Roman"/>
          <w:szCs w:val="24"/>
          <w:lang w:eastAsia="en-AU"/>
        </w:rPr>
        <w:t xml:space="preserve">relevantly </w:t>
      </w:r>
      <w:r w:rsidR="00DE4FE8">
        <w:rPr>
          <w:rFonts w:eastAsia="Times New Roman"/>
          <w:szCs w:val="24"/>
          <w:lang w:eastAsia="en-AU"/>
        </w:rPr>
        <w:t>defined in s </w:t>
      </w:r>
      <w:r w:rsidRPr="007B79EA">
        <w:rPr>
          <w:rFonts w:eastAsia="Times New Roman"/>
          <w:szCs w:val="24"/>
          <w:lang w:eastAsia="en-AU"/>
        </w:rPr>
        <w:t>3</w:t>
      </w:r>
      <w:r w:rsidR="00C854DE">
        <w:rPr>
          <w:rFonts w:eastAsia="Times New Roman"/>
          <w:szCs w:val="24"/>
          <w:lang w:eastAsia="en-AU"/>
        </w:rPr>
        <w:t>(1)</w:t>
      </w:r>
      <w:r w:rsidRPr="007B79EA">
        <w:rPr>
          <w:rFonts w:eastAsia="Times New Roman"/>
          <w:szCs w:val="24"/>
          <w:lang w:eastAsia="en-AU"/>
        </w:rPr>
        <w:t xml:space="preserve"> </w:t>
      </w:r>
      <w:r w:rsidR="00250B75">
        <w:rPr>
          <w:rFonts w:eastAsia="Times New Roman"/>
          <w:szCs w:val="24"/>
          <w:lang w:eastAsia="en-AU"/>
        </w:rPr>
        <w:t>to include 'a body that is established or continued for a public purpose under a written law'</w:t>
      </w:r>
      <w:r w:rsidR="00BC5E00">
        <w:rPr>
          <w:rFonts w:eastAsia="Times New Roman"/>
          <w:szCs w:val="24"/>
          <w:lang w:eastAsia="en-AU"/>
        </w:rPr>
        <w:t>.</w:t>
      </w:r>
    </w:p>
    <w:p w:rsidR="006F6122" w:rsidRPr="00884377" w:rsidRDefault="007B79EA" w:rsidP="00250B75">
      <w:pPr>
        <w:pStyle w:val="ParaNumbering"/>
        <w:tabs>
          <w:tab w:val="clear" w:pos="720"/>
        </w:tabs>
        <w:rPr>
          <w:lang w:eastAsia="en-AU"/>
        </w:rPr>
      </w:pPr>
      <w:r>
        <w:rPr>
          <w:lang w:eastAsia="en-AU"/>
        </w:rPr>
        <w:t>Section 5(1)</w:t>
      </w:r>
      <w:r w:rsidR="00250B75">
        <w:rPr>
          <w:lang w:eastAsia="en-AU"/>
        </w:rPr>
        <w:t xml:space="preserve"> provides</w:t>
      </w:r>
      <w:r w:rsidR="00DE4FE8">
        <w:rPr>
          <w:lang w:eastAsia="en-AU"/>
        </w:rPr>
        <w:t xml:space="preserve">:  </w:t>
      </w:r>
      <w:r w:rsidR="00250B75">
        <w:rPr>
          <w:lang w:eastAsia="en-AU"/>
        </w:rPr>
        <w:t>'</w:t>
      </w:r>
      <w:r w:rsidR="00DE4FE8">
        <w:rPr>
          <w:lang w:val="en"/>
        </w:rPr>
        <w:t xml:space="preserve">Any </w:t>
      </w:r>
      <w:r w:rsidR="006F6122" w:rsidRPr="00250B75">
        <w:rPr>
          <w:lang w:val="en"/>
        </w:rPr>
        <w:t>person may make an appropriate disclosure of public interest inf</w:t>
      </w:r>
      <w:r w:rsidRPr="00250B75">
        <w:rPr>
          <w:lang w:val="en"/>
        </w:rPr>
        <w:t>ormation to a proper authority</w:t>
      </w:r>
      <w:r w:rsidR="00DE4FE8">
        <w:rPr>
          <w:lang w:val="en"/>
        </w:rPr>
        <w:t>'</w:t>
      </w:r>
      <w:r w:rsidRPr="00250B75">
        <w:rPr>
          <w:lang w:val="en"/>
        </w:rPr>
        <w:t>.</w:t>
      </w:r>
    </w:p>
    <w:p w:rsidR="00086575" w:rsidRPr="00BA5F6E" w:rsidRDefault="00086575" w:rsidP="00086575">
      <w:pPr>
        <w:pStyle w:val="ParaNumbering"/>
        <w:rPr>
          <w:lang w:val="en"/>
        </w:rPr>
      </w:pPr>
      <w:r>
        <w:rPr>
          <w:lang w:val="en"/>
        </w:rPr>
        <w:t>Section </w:t>
      </w:r>
      <w:r w:rsidRPr="00BA5F6E">
        <w:rPr>
          <w:lang w:val="en"/>
        </w:rPr>
        <w:t>7A(2) provides that in certain circumstances, a person may make a disclosure to a journalist of substantially the same information that was the subject of a disclosure of public interest information that the person has already made</w:t>
      </w:r>
      <w:r>
        <w:rPr>
          <w:lang w:val="en"/>
        </w:rPr>
        <w:t xml:space="preserve"> under the Act.</w:t>
      </w:r>
    </w:p>
    <w:p w:rsidR="00F67104" w:rsidRPr="00BA46F0" w:rsidRDefault="00DE4FE8" w:rsidP="00774FFD">
      <w:pPr>
        <w:pStyle w:val="ParaNumbering"/>
        <w:rPr>
          <w:lang w:eastAsia="en-AU"/>
        </w:rPr>
      </w:pPr>
      <w:r w:rsidRPr="00F67104">
        <w:rPr>
          <w:lang w:val="en"/>
        </w:rPr>
        <w:t>Section </w:t>
      </w:r>
      <w:r w:rsidR="00884377" w:rsidRPr="00F67104">
        <w:rPr>
          <w:lang w:val="en"/>
        </w:rPr>
        <w:t xml:space="preserve">15 </w:t>
      </w:r>
      <w:r w:rsidR="00F67104">
        <w:rPr>
          <w:lang w:val="en"/>
        </w:rPr>
        <w:t>provides:</w:t>
      </w:r>
    </w:p>
    <w:p w:rsidR="00F67104" w:rsidRPr="00BA46F0" w:rsidRDefault="00F67104" w:rsidP="00BA46F0">
      <w:pPr>
        <w:pStyle w:val="Quote1"/>
        <w:rPr>
          <w:lang w:eastAsia="en-AU"/>
        </w:rPr>
      </w:pPr>
      <w:r>
        <w:rPr>
          <w:lang w:eastAsia="en-AU"/>
        </w:rPr>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rsidR="00884377" w:rsidRPr="00250B75" w:rsidRDefault="00A73E7D" w:rsidP="00BA46F0">
      <w:pPr>
        <w:pStyle w:val="NoNum"/>
        <w:rPr>
          <w:lang w:eastAsia="en-AU"/>
        </w:rPr>
      </w:pPr>
      <w:r w:rsidRPr="00F67104">
        <w:rPr>
          <w:lang w:val="en"/>
        </w:rPr>
        <w:t xml:space="preserve">The applicant relies on this provision to give him a right of action under the </w:t>
      </w:r>
      <w:r w:rsidR="00086575" w:rsidRPr="00BA46F0">
        <w:rPr>
          <w:i/>
          <w:lang w:val="en"/>
        </w:rPr>
        <w:t xml:space="preserve">PID </w:t>
      </w:r>
      <w:r w:rsidRPr="00BA46F0">
        <w:rPr>
          <w:i/>
          <w:lang w:val="en"/>
        </w:rPr>
        <w:t>Act</w:t>
      </w:r>
      <w:r w:rsidRPr="00F67104">
        <w:rPr>
          <w:lang w:val="en"/>
        </w:rPr>
        <w:t xml:space="preserve"> against the University.</w:t>
      </w:r>
    </w:p>
    <w:p w:rsidR="006C67E6" w:rsidRPr="003832CB" w:rsidRDefault="00D61A42" w:rsidP="00BA5F6E">
      <w:pPr>
        <w:pStyle w:val="ParaNumbering"/>
        <w:rPr>
          <w:szCs w:val="24"/>
          <w:lang w:val="en"/>
        </w:rPr>
      </w:pPr>
      <w:r>
        <w:rPr>
          <w:lang w:val="en"/>
        </w:rPr>
        <w:t>The present application concerns restrictions on disclosure that are found in s 16</w:t>
      </w:r>
      <w:r w:rsidR="00DE4FE8">
        <w:rPr>
          <w:lang w:val="en"/>
        </w:rPr>
        <w:t xml:space="preserve">.  </w:t>
      </w:r>
      <w:r w:rsidR="006F6122" w:rsidRPr="003832CB">
        <w:rPr>
          <w:szCs w:val="24"/>
          <w:lang w:val="en"/>
        </w:rPr>
        <w:t>Section</w:t>
      </w:r>
      <w:r w:rsidR="00DE4FE8">
        <w:rPr>
          <w:rFonts w:eastAsia="Times New Roman"/>
          <w:szCs w:val="24"/>
          <w:lang w:eastAsia="en-AU"/>
        </w:rPr>
        <w:t> </w:t>
      </w:r>
      <w:r w:rsidR="006C67E6" w:rsidRPr="003832CB">
        <w:rPr>
          <w:rFonts w:eastAsia="Times New Roman"/>
          <w:szCs w:val="24"/>
          <w:lang w:eastAsia="en-AU"/>
        </w:rPr>
        <w:t>16(1) relevantly provides:</w:t>
      </w:r>
    </w:p>
    <w:p w:rsidR="006F6122" w:rsidRPr="006C67E6" w:rsidRDefault="006F6122" w:rsidP="006C67E6">
      <w:pPr>
        <w:pStyle w:val="Quote1"/>
      </w:pPr>
      <w:r w:rsidRPr="006C67E6">
        <w:t xml:space="preserve">A person must not make a disclosure (an </w:t>
      </w:r>
      <w:r w:rsidRPr="00B2022A">
        <w:rPr>
          <w:b/>
          <w:i/>
        </w:rPr>
        <w:t>identifying disclosure</w:t>
      </w:r>
      <w:r w:rsidRPr="006C67E6">
        <w:t xml:space="preserve">) of </w:t>
      </w:r>
      <w:r w:rsidRPr="006C67E6">
        <w:rPr>
          <w:szCs w:val="22"/>
          <w:lang w:val="en"/>
        </w:rPr>
        <w:t>information</w:t>
      </w:r>
      <w:r w:rsidRPr="006C67E6">
        <w:t xml:space="preserve"> that </w:t>
      </w:r>
      <w:r w:rsidR="00D94823">
        <w:t>m</w:t>
      </w:r>
      <w:r w:rsidRPr="006C67E6">
        <w:t xml:space="preserve">ight </w:t>
      </w:r>
      <w:r w:rsidRPr="006C67E6">
        <w:rPr>
          <w:lang w:val="en" w:eastAsia="en-AU"/>
        </w:rPr>
        <w:t>identify</w:t>
      </w:r>
      <w:r w:rsidRPr="006C67E6">
        <w:t xml:space="preserve"> or tend to identify anyone as a person who has made an appropriate disclosure of public interest inf</w:t>
      </w:r>
      <w:r w:rsidR="00B2022A">
        <w:t>ormation under this Act unless -</w:t>
      </w:r>
    </w:p>
    <w:p w:rsidR="00B2022A" w:rsidRDefault="00B2022A" w:rsidP="00BA7A0D">
      <w:pPr>
        <w:pStyle w:val="Quote1"/>
        <w:ind w:left="1440" w:hanging="703"/>
        <w:rPr>
          <w:lang w:val="en" w:eastAsia="en-AU"/>
        </w:rPr>
      </w:pPr>
      <w:r w:rsidRPr="00B2022A">
        <w:rPr>
          <w:lang w:val="en" w:eastAsia="en-AU"/>
        </w:rPr>
        <w:t>(a</w:t>
      </w:r>
      <w:r>
        <w:rPr>
          <w:lang w:val="en" w:eastAsia="en-AU"/>
        </w:rPr>
        <w:t>)</w:t>
      </w:r>
      <w:r>
        <w:rPr>
          <w:lang w:val="en" w:eastAsia="en-AU"/>
        </w:rPr>
        <w:tab/>
      </w:r>
      <w:r w:rsidR="006F6122" w:rsidRPr="006C67E6">
        <w:rPr>
          <w:lang w:val="en" w:eastAsia="en-AU"/>
        </w:rPr>
        <w:t xml:space="preserve">the </w:t>
      </w:r>
      <w:r w:rsidR="006F6122" w:rsidRPr="00851138">
        <w:rPr>
          <w:lang w:val="en"/>
        </w:rPr>
        <w:t>person</w:t>
      </w:r>
      <w:r w:rsidR="006F6122" w:rsidRPr="006C67E6">
        <w:rPr>
          <w:lang w:val="en" w:eastAsia="en-AU"/>
        </w:rPr>
        <w:t xml:space="preserve"> who made the disclosure of public interest information consents to the disclosure of information that might identify or tend to identify him or her</w:t>
      </w:r>
      <w:r w:rsidR="00086575">
        <w:rPr>
          <w:lang w:val="en" w:eastAsia="en-AU"/>
        </w:rPr>
        <w:t>; or …</w:t>
      </w:r>
    </w:p>
    <w:p w:rsidR="00851138" w:rsidRPr="006C67E6" w:rsidRDefault="00851138" w:rsidP="00B2022A">
      <w:pPr>
        <w:pStyle w:val="Quote1"/>
        <w:spacing w:after="360"/>
        <w:ind w:left="1440" w:hanging="703"/>
        <w:rPr>
          <w:lang w:val="en" w:eastAsia="en-AU"/>
        </w:rPr>
      </w:pPr>
      <w:r>
        <w:rPr>
          <w:lang w:val="en" w:eastAsia="en-AU"/>
        </w:rPr>
        <w:t>(d)</w:t>
      </w:r>
      <w:r>
        <w:rPr>
          <w:lang w:val="en" w:eastAsia="en-AU"/>
        </w:rPr>
        <w:tab/>
      </w:r>
      <w:r w:rsidRPr="00851138">
        <w:rPr>
          <w:lang w:val="en" w:eastAsia="en-AU"/>
        </w:rPr>
        <w:t xml:space="preserve">the disclosure is made in accordance with an order of a court or any other person or body having authority to hear, </w:t>
      </w:r>
      <w:r>
        <w:rPr>
          <w:lang w:val="en" w:eastAsia="en-AU"/>
        </w:rPr>
        <w:t>receive and examine evidence</w:t>
      </w:r>
      <w:r w:rsidR="00DE4FE8">
        <w:rPr>
          <w:lang w:val="en" w:eastAsia="en-AU"/>
        </w:rPr>
        <w:t xml:space="preserve"> </w:t>
      </w:r>
      <w:r>
        <w:rPr>
          <w:lang w:val="en" w:eastAsia="en-AU"/>
        </w:rPr>
        <w:t xml:space="preserve">… </w:t>
      </w:r>
    </w:p>
    <w:p w:rsidR="006C67E6" w:rsidRPr="006C67E6" w:rsidRDefault="006F6122" w:rsidP="00B2022A">
      <w:pPr>
        <w:pStyle w:val="ParaNumbering"/>
        <w:keepNext/>
        <w:tabs>
          <w:tab w:val="clear" w:pos="720"/>
        </w:tabs>
        <w:rPr>
          <w:sz w:val="22"/>
          <w:szCs w:val="24"/>
          <w:lang w:val="en"/>
        </w:rPr>
      </w:pPr>
      <w:r w:rsidRPr="006C67E6">
        <w:rPr>
          <w:lang w:val="en"/>
        </w:rPr>
        <w:lastRenderedPageBreak/>
        <w:t>Section</w:t>
      </w:r>
      <w:r w:rsidRPr="00773111">
        <w:rPr>
          <w:rFonts w:eastAsia="Times New Roman"/>
          <w:sz w:val="22"/>
          <w:szCs w:val="24"/>
          <w:lang w:val="en" w:eastAsia="en-AU"/>
        </w:rPr>
        <w:t xml:space="preserve"> 16(3)</w:t>
      </w:r>
      <w:r w:rsidR="006C67E6">
        <w:rPr>
          <w:rFonts w:eastAsia="Times New Roman"/>
          <w:sz w:val="22"/>
          <w:szCs w:val="24"/>
          <w:lang w:val="en" w:eastAsia="en-AU"/>
        </w:rPr>
        <w:t xml:space="preserve"> is the key provision for the purposes of the present application</w:t>
      </w:r>
      <w:r w:rsidR="00DE4FE8">
        <w:rPr>
          <w:rFonts w:eastAsia="Times New Roman"/>
          <w:sz w:val="22"/>
          <w:szCs w:val="24"/>
          <w:lang w:val="en" w:eastAsia="en-AU"/>
        </w:rPr>
        <w:t xml:space="preserve">.  </w:t>
      </w:r>
      <w:r w:rsidR="006C67E6">
        <w:rPr>
          <w:rFonts w:eastAsia="Times New Roman"/>
          <w:sz w:val="22"/>
          <w:szCs w:val="24"/>
          <w:lang w:val="en" w:eastAsia="en-AU"/>
        </w:rPr>
        <w:t>In so far as it is relevant, it provides that</w:t>
      </w:r>
      <w:r w:rsidR="00B2022A">
        <w:rPr>
          <w:rFonts w:eastAsia="Times New Roman"/>
          <w:sz w:val="22"/>
          <w:szCs w:val="24"/>
          <w:lang w:val="en" w:eastAsia="en-AU"/>
        </w:rPr>
        <w:t>:</w:t>
      </w:r>
    </w:p>
    <w:p w:rsidR="006F6122" w:rsidRPr="00773111" w:rsidRDefault="006F6122" w:rsidP="00D94823">
      <w:pPr>
        <w:pStyle w:val="Quote1"/>
        <w:rPr>
          <w:szCs w:val="24"/>
          <w:lang w:val="en"/>
        </w:rPr>
      </w:pPr>
      <w:r w:rsidRPr="00773111">
        <w:rPr>
          <w:szCs w:val="24"/>
          <w:lang w:val="en"/>
        </w:rPr>
        <w:t>A person must not make a disclosure of information that might identify or tend to identify anyone as a person in respect of whom a disclosure of public interest information has been made under this Act (</w:t>
      </w:r>
      <w:r w:rsidRPr="00773111">
        <w:rPr>
          <w:b/>
          <w:bCs/>
          <w:i/>
          <w:iCs/>
          <w:szCs w:val="24"/>
          <w:lang w:val="en"/>
        </w:rPr>
        <w:t>identifying information</w:t>
      </w:r>
      <w:r w:rsidRPr="00773111">
        <w:rPr>
          <w:b/>
          <w:bCs/>
          <w:iCs/>
          <w:szCs w:val="24"/>
          <w:lang w:val="en"/>
        </w:rPr>
        <w:t>)</w:t>
      </w:r>
      <w:r w:rsidRPr="00773111">
        <w:rPr>
          <w:szCs w:val="24"/>
          <w:lang w:val="en"/>
        </w:rPr>
        <w:t xml:space="preserve"> unless</w:t>
      </w:r>
      <w:r w:rsidR="00B2022A">
        <w:rPr>
          <w:szCs w:val="24"/>
          <w:lang w:val="en"/>
        </w:rPr>
        <w:t xml:space="preserve"> -</w:t>
      </w:r>
    </w:p>
    <w:p w:rsidR="0084475B" w:rsidRPr="0084475B" w:rsidRDefault="00B2022A" w:rsidP="00BA7A0D">
      <w:pPr>
        <w:pStyle w:val="Quote1"/>
        <w:ind w:left="1440" w:hanging="703"/>
        <w:rPr>
          <w:lang w:val="en"/>
        </w:rPr>
      </w:pPr>
      <w:r w:rsidRPr="00B2022A">
        <w:rPr>
          <w:lang w:val="en"/>
        </w:rPr>
        <w:t>(a</w:t>
      </w:r>
      <w:r>
        <w:rPr>
          <w:lang w:val="en"/>
        </w:rPr>
        <w:t>)</w:t>
      </w:r>
      <w:r>
        <w:rPr>
          <w:lang w:val="en"/>
        </w:rPr>
        <w:tab/>
      </w:r>
      <w:r w:rsidR="006F6122" w:rsidRPr="0084475B">
        <w:rPr>
          <w:lang w:val="en"/>
        </w:rPr>
        <w:t>the person in respect of whom the disclosure of public interest information has been made consents to the disclosure of information that might identify or tend to identify him or her; or</w:t>
      </w:r>
      <w:r w:rsidR="00D94823" w:rsidRPr="0084475B">
        <w:rPr>
          <w:lang w:val="en"/>
        </w:rPr>
        <w:t xml:space="preserve"> … </w:t>
      </w:r>
    </w:p>
    <w:p w:rsidR="006F6122" w:rsidRPr="00773111" w:rsidRDefault="006F6122" w:rsidP="00BA7A0D">
      <w:pPr>
        <w:pStyle w:val="Quote1"/>
        <w:ind w:left="1440" w:hanging="703"/>
        <w:rPr>
          <w:rFonts w:eastAsia="Times New Roman"/>
          <w:lang w:val="en" w:eastAsia="en-AU"/>
        </w:rPr>
      </w:pPr>
      <w:r w:rsidRPr="00773111">
        <w:rPr>
          <w:rFonts w:eastAsia="Times New Roman"/>
          <w:lang w:val="en" w:eastAsia="en-AU"/>
        </w:rPr>
        <w:t>(</w:t>
      </w:r>
      <w:r w:rsidR="00B2022A">
        <w:rPr>
          <w:rFonts w:eastAsia="Times New Roman"/>
          <w:lang w:val="en" w:eastAsia="en-AU"/>
        </w:rPr>
        <w:t>d</w:t>
      </w:r>
      <w:r w:rsidRPr="00773111">
        <w:rPr>
          <w:rFonts w:eastAsia="Times New Roman"/>
          <w:lang w:val="en" w:eastAsia="en-AU"/>
        </w:rPr>
        <w:t>)</w:t>
      </w:r>
      <w:r w:rsidR="00D94823">
        <w:rPr>
          <w:lang w:val="en"/>
        </w:rPr>
        <w:tab/>
      </w:r>
      <w:r w:rsidRPr="00773111">
        <w:rPr>
          <w:lang w:val="en"/>
        </w:rPr>
        <w:t xml:space="preserve">the </w:t>
      </w:r>
      <w:r w:rsidRPr="00D94823">
        <w:rPr>
          <w:szCs w:val="22"/>
          <w:lang w:val="en" w:eastAsia="en-AU"/>
        </w:rPr>
        <w:t>disclosure</w:t>
      </w:r>
      <w:r w:rsidRPr="00773111">
        <w:rPr>
          <w:lang w:val="en"/>
        </w:rPr>
        <w:t xml:space="preserve"> is made in accordance with an order of a court or any other person or body having authority to hear, receive and examine evidence</w:t>
      </w:r>
      <w:r w:rsidR="00B2022A">
        <w:rPr>
          <w:lang w:val="en"/>
        </w:rPr>
        <w:t xml:space="preserve"> </w:t>
      </w:r>
      <w:r w:rsidRPr="00773111">
        <w:rPr>
          <w:lang w:val="en"/>
        </w:rPr>
        <w:t>…</w:t>
      </w:r>
    </w:p>
    <w:p w:rsidR="00851138" w:rsidRPr="00851138" w:rsidRDefault="00851138" w:rsidP="00B062D1">
      <w:pPr>
        <w:pStyle w:val="ParaNumbering"/>
      </w:pPr>
      <w:r>
        <w:rPr>
          <w:rFonts w:eastAsia="Times New Roman"/>
          <w:szCs w:val="24"/>
          <w:lang w:eastAsia="en-AU"/>
        </w:rPr>
        <w:t xml:space="preserve">For each of s 16(1) and s 16(3), the penalty for a breach is $24,000 or imprisonment for </w:t>
      </w:r>
      <w:r w:rsidR="00B2022A">
        <w:rPr>
          <w:rFonts w:eastAsia="Times New Roman"/>
          <w:szCs w:val="24"/>
          <w:lang w:eastAsia="en-AU"/>
        </w:rPr>
        <w:t>2 </w:t>
      </w:r>
      <w:r>
        <w:rPr>
          <w:rFonts w:eastAsia="Times New Roman"/>
          <w:szCs w:val="24"/>
          <w:lang w:eastAsia="en-AU"/>
        </w:rPr>
        <w:t>years</w:t>
      </w:r>
      <w:r w:rsidR="00B2022A">
        <w:rPr>
          <w:rFonts w:eastAsia="Times New Roman"/>
          <w:szCs w:val="24"/>
          <w:lang w:eastAsia="en-AU"/>
        </w:rPr>
        <w:t>.</w:t>
      </w:r>
    </w:p>
    <w:p w:rsidR="00851138" w:rsidRDefault="00D94823" w:rsidP="00851138">
      <w:pPr>
        <w:pStyle w:val="ParaNumbering"/>
      </w:pPr>
      <w:r w:rsidRPr="00D94823">
        <w:rPr>
          <w:lang w:eastAsia="en-AU"/>
        </w:rPr>
        <w:t>So in broad terms</w:t>
      </w:r>
      <w:r w:rsidR="0058328F">
        <w:rPr>
          <w:lang w:eastAsia="en-AU"/>
        </w:rPr>
        <w:t>,</w:t>
      </w:r>
      <w:r w:rsidRPr="00D94823">
        <w:rPr>
          <w:lang w:eastAsia="en-AU"/>
        </w:rPr>
        <w:t xml:space="preserve"> the </w:t>
      </w:r>
      <w:r w:rsidRPr="00B2022A">
        <w:rPr>
          <w:i/>
          <w:lang w:eastAsia="en-AU"/>
        </w:rPr>
        <w:t>PID Act</w:t>
      </w:r>
      <w:r w:rsidRPr="00D94823">
        <w:rPr>
          <w:lang w:eastAsia="en-AU"/>
        </w:rPr>
        <w:t xml:space="preserve"> creates a scheme under which </w:t>
      </w:r>
      <w:r>
        <w:rPr>
          <w:lang w:eastAsia="en-AU"/>
        </w:rPr>
        <w:t xml:space="preserve">(among other things) </w:t>
      </w:r>
      <w:r w:rsidRPr="00D94823">
        <w:rPr>
          <w:lang w:eastAsia="en-AU"/>
        </w:rPr>
        <w:t>persons can disclose information that tends to show that, in relation to its performance of a public function, a public authority has been involved in improper conduct</w:t>
      </w:r>
      <w:r w:rsidR="00DE4FE8">
        <w:rPr>
          <w:lang w:eastAsia="en-AU"/>
        </w:rPr>
        <w:t xml:space="preserve">.  </w:t>
      </w:r>
      <w:r>
        <w:rPr>
          <w:lang w:eastAsia="en-AU"/>
        </w:rPr>
        <w:t xml:space="preserve">If that occurs, </w:t>
      </w:r>
      <w:r w:rsidR="00086575">
        <w:rPr>
          <w:lang w:eastAsia="en-AU"/>
        </w:rPr>
        <w:t xml:space="preserve">the person making the disclosure, and persons in respect of whom a disclosure, has been made have the benefit of certain protections.  One of the protections is a prohibition on </w:t>
      </w:r>
      <w:r w:rsidR="00F67104">
        <w:rPr>
          <w:lang w:eastAsia="en-AU"/>
        </w:rPr>
        <w:t xml:space="preserve">what is called </w:t>
      </w:r>
      <w:r w:rsidR="00086575">
        <w:rPr>
          <w:lang w:eastAsia="en-AU"/>
        </w:rPr>
        <w:t xml:space="preserve">victimisation of the person making the public interest disclosure.  And </w:t>
      </w:r>
      <w:r w:rsidR="003F0F29">
        <w:rPr>
          <w:lang w:eastAsia="en-AU"/>
        </w:rPr>
        <w:t xml:space="preserve">there are restrictions on disclosure </w:t>
      </w:r>
      <w:r w:rsidR="00EF2F88">
        <w:rPr>
          <w:lang w:eastAsia="en-AU"/>
        </w:rPr>
        <w:t xml:space="preserve">that </w:t>
      </w:r>
      <w:r w:rsidR="003F0F29" w:rsidRPr="00851138">
        <w:rPr>
          <w:lang w:eastAsia="en-AU"/>
        </w:rPr>
        <w:t>might i</w:t>
      </w:r>
      <w:r w:rsidR="003F0F29">
        <w:rPr>
          <w:lang w:eastAsia="en-AU"/>
        </w:rPr>
        <w:t xml:space="preserve">dentify </w:t>
      </w:r>
      <w:r w:rsidR="006142FD">
        <w:rPr>
          <w:lang w:eastAsia="en-AU"/>
        </w:rPr>
        <w:t xml:space="preserve">as such, </w:t>
      </w:r>
      <w:r w:rsidR="003F0F29">
        <w:rPr>
          <w:lang w:eastAsia="en-AU"/>
        </w:rPr>
        <w:t xml:space="preserve">or tend to identify </w:t>
      </w:r>
      <w:r w:rsidR="00EF2F88">
        <w:rPr>
          <w:lang w:eastAsia="en-AU"/>
        </w:rPr>
        <w:t>as such</w:t>
      </w:r>
      <w:r w:rsidR="006142FD">
        <w:rPr>
          <w:lang w:eastAsia="en-AU"/>
        </w:rPr>
        <w:t>,</w:t>
      </w:r>
      <w:r w:rsidR="00EF2F88">
        <w:rPr>
          <w:lang w:eastAsia="en-AU"/>
        </w:rPr>
        <w:t xml:space="preserve"> </w:t>
      </w:r>
      <w:r w:rsidR="003F0F29">
        <w:rPr>
          <w:lang w:eastAsia="en-AU"/>
        </w:rPr>
        <w:t>either the person making the disclosure</w:t>
      </w:r>
      <w:r w:rsidR="00EF2F88">
        <w:rPr>
          <w:lang w:eastAsia="en-AU"/>
        </w:rPr>
        <w:t>,</w:t>
      </w:r>
      <w:r w:rsidR="003F0F29">
        <w:rPr>
          <w:lang w:eastAsia="en-AU"/>
        </w:rPr>
        <w:t xml:space="preserve"> </w:t>
      </w:r>
      <w:r w:rsidR="00EF2F88">
        <w:rPr>
          <w:lang w:eastAsia="en-AU"/>
        </w:rPr>
        <w:t>or</w:t>
      </w:r>
      <w:r w:rsidR="003F0F29">
        <w:rPr>
          <w:lang w:eastAsia="en-AU"/>
        </w:rPr>
        <w:t xml:space="preserve"> persons in respect of wh</w:t>
      </w:r>
      <w:r w:rsidR="00EF2F88">
        <w:rPr>
          <w:lang w:eastAsia="en-AU"/>
        </w:rPr>
        <w:t>om the disclosure has been made</w:t>
      </w:r>
      <w:r w:rsidR="00DE4FE8">
        <w:rPr>
          <w:lang w:eastAsia="en-AU"/>
        </w:rPr>
        <w:t xml:space="preserve">.  </w:t>
      </w:r>
      <w:r w:rsidR="00851138">
        <w:rPr>
          <w:lang w:eastAsia="en-AU"/>
        </w:rPr>
        <w:t>Breach of those restrictions is a criminal offence</w:t>
      </w:r>
      <w:r w:rsidR="00DE4FE8">
        <w:rPr>
          <w:lang w:eastAsia="en-AU"/>
        </w:rPr>
        <w:t xml:space="preserve">.  </w:t>
      </w:r>
      <w:r w:rsidR="00851138">
        <w:rPr>
          <w:lang w:eastAsia="en-AU"/>
        </w:rPr>
        <w:t xml:space="preserve">The restrictions may be </w:t>
      </w:r>
      <w:r w:rsidR="00E17E4E">
        <w:rPr>
          <w:lang w:eastAsia="en-AU"/>
        </w:rPr>
        <w:t>lifted</w:t>
      </w:r>
      <w:r w:rsidR="00851138">
        <w:rPr>
          <w:lang w:eastAsia="en-AU"/>
        </w:rPr>
        <w:t xml:space="preserve"> by the consent of the relevant persons</w:t>
      </w:r>
      <w:r w:rsidR="00DE4FE8">
        <w:rPr>
          <w:lang w:eastAsia="en-AU"/>
        </w:rPr>
        <w:t xml:space="preserve">.  </w:t>
      </w:r>
      <w:r w:rsidR="00851138">
        <w:rPr>
          <w:lang w:eastAsia="en-AU"/>
        </w:rPr>
        <w:t xml:space="preserve">They also do not </w:t>
      </w:r>
      <w:r w:rsidR="00A73E7D">
        <w:rPr>
          <w:lang w:eastAsia="en-AU"/>
        </w:rPr>
        <w:t>prevent</w:t>
      </w:r>
      <w:r w:rsidR="00851138">
        <w:rPr>
          <w:lang w:eastAsia="en-AU"/>
        </w:rPr>
        <w:t xml:space="preserve"> disclosure </w:t>
      </w:r>
      <w:r w:rsidR="00851138" w:rsidRPr="00851138">
        <w:rPr>
          <w:lang w:eastAsia="en-AU"/>
        </w:rPr>
        <w:t>made in accordance with an order of a court</w:t>
      </w:r>
      <w:r w:rsidR="00851138">
        <w:rPr>
          <w:lang w:eastAsia="en-AU"/>
        </w:rPr>
        <w:t>.</w:t>
      </w:r>
    </w:p>
    <w:p w:rsidR="00781E1E" w:rsidRPr="00250B75" w:rsidRDefault="00781E1E" w:rsidP="00781E1E">
      <w:pPr>
        <w:pStyle w:val="ParaNumbering"/>
      </w:pPr>
      <w:r>
        <w:rPr>
          <w:lang w:eastAsia="en-AU"/>
        </w:rPr>
        <w:t xml:space="preserve">The University has not yet filed a defence in these proceedings, </w:t>
      </w:r>
      <w:r w:rsidR="00EF2F88">
        <w:rPr>
          <w:lang w:eastAsia="en-AU"/>
        </w:rPr>
        <w:t xml:space="preserve">but it seems likely </w:t>
      </w:r>
      <w:r>
        <w:rPr>
          <w:lang w:eastAsia="en-AU"/>
        </w:rPr>
        <w:t xml:space="preserve">that the question of whether the applicant made </w:t>
      </w:r>
      <w:r w:rsidRPr="00781E1E">
        <w:rPr>
          <w:lang w:eastAsia="en-AU"/>
        </w:rPr>
        <w:t>an appropriate disclosur</w:t>
      </w:r>
      <w:r>
        <w:rPr>
          <w:lang w:eastAsia="en-AU"/>
        </w:rPr>
        <w:t>e of public interest information will be an issue in the proceedings</w:t>
      </w:r>
      <w:r w:rsidR="00DE4FE8">
        <w:rPr>
          <w:lang w:eastAsia="en-AU"/>
        </w:rPr>
        <w:t xml:space="preserve">.  </w:t>
      </w:r>
      <w:r>
        <w:rPr>
          <w:lang w:eastAsia="en-AU"/>
        </w:rPr>
        <w:t>In oral submissions</w:t>
      </w:r>
      <w:r w:rsidR="00EF2F88">
        <w:rPr>
          <w:lang w:eastAsia="en-AU"/>
        </w:rPr>
        <w:t>,</w:t>
      </w:r>
      <w:r>
        <w:rPr>
          <w:lang w:eastAsia="en-AU"/>
        </w:rPr>
        <w:t xml:space="preserve"> the University reserved its position as to whether it is a </w:t>
      </w:r>
      <w:r w:rsidRPr="007B79EA">
        <w:rPr>
          <w:rFonts w:eastAsia="Times New Roman"/>
          <w:szCs w:val="24"/>
          <w:lang w:eastAsia="en-AU"/>
        </w:rPr>
        <w:t>'</w:t>
      </w:r>
      <w:r>
        <w:rPr>
          <w:rFonts w:eastAsia="Times New Roman"/>
          <w:szCs w:val="24"/>
          <w:lang w:eastAsia="en-AU"/>
        </w:rPr>
        <w:t>p</w:t>
      </w:r>
      <w:r w:rsidRPr="007B79EA">
        <w:rPr>
          <w:rFonts w:eastAsia="Times New Roman"/>
          <w:szCs w:val="24"/>
          <w:lang w:eastAsia="en-AU"/>
        </w:rPr>
        <w:t xml:space="preserve">ublic authority' </w:t>
      </w:r>
      <w:r>
        <w:rPr>
          <w:rFonts w:eastAsia="Times New Roman"/>
          <w:szCs w:val="24"/>
          <w:lang w:eastAsia="en-AU"/>
        </w:rPr>
        <w:t xml:space="preserve">for the purposes of the </w:t>
      </w:r>
      <w:r w:rsidRPr="00781E1E">
        <w:rPr>
          <w:rFonts w:eastAsia="Times New Roman"/>
          <w:i/>
          <w:szCs w:val="24"/>
          <w:lang w:eastAsia="en-AU"/>
        </w:rPr>
        <w:t>PID Act</w:t>
      </w:r>
      <w:r>
        <w:rPr>
          <w:rFonts w:eastAsia="Times New Roman"/>
          <w:szCs w:val="24"/>
          <w:lang w:eastAsia="en-AU"/>
        </w:rPr>
        <w:t>, as a body that is established or continued for a public purpose under a written law</w:t>
      </w:r>
      <w:r w:rsidR="00DE4FE8">
        <w:rPr>
          <w:rFonts w:eastAsia="Times New Roman"/>
          <w:szCs w:val="24"/>
          <w:lang w:eastAsia="en-AU"/>
        </w:rPr>
        <w:t xml:space="preserve">.  </w:t>
      </w:r>
      <w:r>
        <w:rPr>
          <w:rFonts w:eastAsia="Times New Roman"/>
          <w:szCs w:val="24"/>
          <w:lang w:eastAsia="en-AU"/>
        </w:rPr>
        <w:t>But counsel for the University did indicate that it had been proceeding on that basis up until now</w:t>
      </w:r>
      <w:r w:rsidR="00DE4FE8">
        <w:rPr>
          <w:rFonts w:eastAsia="Times New Roman"/>
          <w:szCs w:val="24"/>
          <w:lang w:eastAsia="en-AU"/>
        </w:rPr>
        <w:t xml:space="preserve">.  </w:t>
      </w:r>
      <w:r>
        <w:rPr>
          <w:rFonts w:eastAsia="Times New Roman"/>
          <w:szCs w:val="24"/>
          <w:lang w:eastAsia="en-AU"/>
        </w:rPr>
        <w:t>It is sufficient for me to say that I will also proceed on that basis, for the limited purpose of determining this application</w:t>
      </w:r>
      <w:r w:rsidR="00DE4FE8">
        <w:rPr>
          <w:rFonts w:eastAsia="Times New Roman"/>
          <w:szCs w:val="24"/>
          <w:lang w:eastAsia="en-AU"/>
        </w:rPr>
        <w:t xml:space="preserve">.  </w:t>
      </w:r>
      <w:r w:rsidR="005B5EE0">
        <w:rPr>
          <w:rFonts w:eastAsia="Times New Roman"/>
          <w:szCs w:val="24"/>
          <w:lang w:eastAsia="en-AU"/>
        </w:rPr>
        <w:t>More broadly, in the absence of full argument on the point</w:t>
      </w:r>
      <w:r w:rsidR="00C97EC5">
        <w:rPr>
          <w:rFonts w:eastAsia="Times New Roman"/>
          <w:szCs w:val="24"/>
          <w:lang w:eastAsia="en-AU"/>
        </w:rPr>
        <w:t xml:space="preserve"> (</w:t>
      </w:r>
      <w:r w:rsidR="005B5EE0">
        <w:rPr>
          <w:rFonts w:eastAsia="Times New Roman"/>
          <w:szCs w:val="24"/>
          <w:lang w:eastAsia="en-AU"/>
        </w:rPr>
        <w:t xml:space="preserve">the appropriate occasion for which is </w:t>
      </w:r>
      <w:r w:rsidR="00FB4214">
        <w:rPr>
          <w:rFonts w:eastAsia="Times New Roman"/>
          <w:szCs w:val="24"/>
          <w:lang w:eastAsia="en-AU"/>
        </w:rPr>
        <w:t xml:space="preserve">at </w:t>
      </w:r>
      <w:r w:rsidR="005B5EE0">
        <w:rPr>
          <w:rFonts w:eastAsia="Times New Roman"/>
          <w:szCs w:val="24"/>
          <w:lang w:eastAsia="en-AU"/>
        </w:rPr>
        <w:t>trial</w:t>
      </w:r>
      <w:r w:rsidR="00C97EC5">
        <w:rPr>
          <w:rFonts w:eastAsia="Times New Roman"/>
          <w:szCs w:val="24"/>
          <w:lang w:eastAsia="en-AU"/>
        </w:rPr>
        <w:t>)</w:t>
      </w:r>
      <w:r w:rsidR="005B5EE0">
        <w:rPr>
          <w:rFonts w:eastAsia="Times New Roman"/>
          <w:szCs w:val="24"/>
          <w:lang w:eastAsia="en-AU"/>
        </w:rPr>
        <w:t xml:space="preserve">, I go no further for </w:t>
      </w:r>
      <w:r w:rsidR="007103C2">
        <w:rPr>
          <w:rFonts w:eastAsia="Times New Roman"/>
          <w:szCs w:val="24"/>
          <w:lang w:eastAsia="en-AU"/>
        </w:rPr>
        <w:t>the moment</w:t>
      </w:r>
      <w:r w:rsidR="005B5EE0">
        <w:rPr>
          <w:rFonts w:eastAsia="Times New Roman"/>
          <w:szCs w:val="24"/>
          <w:lang w:eastAsia="en-AU"/>
        </w:rPr>
        <w:t xml:space="preserve"> than to observe that there is a real possibility that s 16 does apply to the present circumstances</w:t>
      </w:r>
      <w:r w:rsidR="00B2022A">
        <w:rPr>
          <w:rFonts w:eastAsia="Times New Roman"/>
          <w:szCs w:val="24"/>
          <w:lang w:eastAsia="en-AU"/>
        </w:rPr>
        <w:t>.</w:t>
      </w:r>
    </w:p>
    <w:p w:rsidR="003F0F29" w:rsidRDefault="003F0F29" w:rsidP="003F0F29">
      <w:pPr>
        <w:pStyle w:val="Heading2"/>
      </w:pPr>
      <w:r>
        <w:rPr>
          <w:lang w:eastAsia="en-AU"/>
        </w:rPr>
        <w:lastRenderedPageBreak/>
        <w:t xml:space="preserve">The issue on the </w:t>
      </w:r>
      <w:r w:rsidR="00F67104">
        <w:rPr>
          <w:lang w:eastAsia="en-AU"/>
        </w:rPr>
        <w:t xml:space="preserve">interlocutory </w:t>
      </w:r>
      <w:r>
        <w:rPr>
          <w:lang w:eastAsia="en-AU"/>
        </w:rPr>
        <w:t>application</w:t>
      </w:r>
    </w:p>
    <w:p w:rsidR="00EF2F88" w:rsidRPr="00EF2F88" w:rsidRDefault="003F0F29" w:rsidP="00A60845">
      <w:pPr>
        <w:pStyle w:val="ParaNumbering"/>
      </w:pPr>
      <w:r>
        <w:rPr>
          <w:rFonts w:eastAsia="Times New Roman"/>
          <w:szCs w:val="24"/>
          <w:lang w:eastAsia="en-AU"/>
        </w:rPr>
        <w:t xml:space="preserve">The </w:t>
      </w:r>
      <w:r w:rsidR="00EF2F88">
        <w:rPr>
          <w:rFonts w:eastAsia="Times New Roman"/>
          <w:szCs w:val="24"/>
          <w:lang w:eastAsia="en-AU"/>
        </w:rPr>
        <w:t xml:space="preserve">issue arises because s 16 of the </w:t>
      </w:r>
      <w:r w:rsidR="00EF2F88" w:rsidRPr="00B2022A">
        <w:rPr>
          <w:rFonts w:eastAsia="Times New Roman"/>
          <w:i/>
          <w:szCs w:val="24"/>
          <w:lang w:eastAsia="en-AU"/>
        </w:rPr>
        <w:t>PID Act</w:t>
      </w:r>
      <w:r w:rsidR="00EF2F88">
        <w:rPr>
          <w:rFonts w:eastAsia="Times New Roman"/>
          <w:szCs w:val="24"/>
          <w:lang w:eastAsia="en-AU"/>
        </w:rPr>
        <w:t xml:space="preserve"> arguably restricts disclosure of information in the course of these proceedings</w:t>
      </w:r>
      <w:r w:rsidR="003832CB">
        <w:rPr>
          <w:rFonts w:eastAsia="Times New Roman"/>
          <w:szCs w:val="24"/>
          <w:lang w:eastAsia="en-AU"/>
        </w:rPr>
        <w:t>,</w:t>
      </w:r>
      <w:r w:rsidR="00EF2F88">
        <w:rPr>
          <w:rFonts w:eastAsia="Times New Roman"/>
          <w:szCs w:val="24"/>
          <w:lang w:eastAsia="en-AU"/>
        </w:rPr>
        <w:t xml:space="preserve"> and disclosure about the proceedings</w:t>
      </w:r>
      <w:r w:rsidR="00B2022A">
        <w:rPr>
          <w:rFonts w:eastAsia="Times New Roman"/>
          <w:szCs w:val="24"/>
          <w:lang w:eastAsia="en-AU"/>
        </w:rPr>
        <w:t>.</w:t>
      </w:r>
    </w:p>
    <w:p w:rsidR="003F0F29" w:rsidRPr="007B79EA" w:rsidRDefault="00EF2F88" w:rsidP="00A60845">
      <w:pPr>
        <w:pStyle w:val="ParaNumbering"/>
      </w:pPr>
      <w:r>
        <w:rPr>
          <w:rFonts w:eastAsia="Times New Roman"/>
          <w:szCs w:val="24"/>
          <w:lang w:eastAsia="en-AU"/>
        </w:rPr>
        <w:t xml:space="preserve">The </w:t>
      </w:r>
      <w:r w:rsidR="003F0F29" w:rsidRPr="00E8666A">
        <w:rPr>
          <w:rFonts w:eastAsia="Times New Roman"/>
          <w:szCs w:val="24"/>
          <w:lang w:eastAsia="en-AU"/>
        </w:rPr>
        <w:t xml:space="preserve">applicant originally filed and served redacted versions of the originating application and statement of claim on </w:t>
      </w:r>
      <w:r w:rsidR="00B2022A">
        <w:rPr>
          <w:rFonts w:eastAsia="Times New Roman"/>
          <w:szCs w:val="24"/>
          <w:lang w:eastAsia="en-AU"/>
        </w:rPr>
        <w:t>28 </w:t>
      </w:r>
      <w:r w:rsidR="003F0F29">
        <w:rPr>
          <w:rFonts w:eastAsia="Times New Roman"/>
          <w:szCs w:val="24"/>
          <w:lang w:eastAsia="en-AU"/>
        </w:rPr>
        <w:t>May 2019,</w:t>
      </w:r>
      <w:r w:rsidR="003F0F29" w:rsidRPr="00E8666A">
        <w:rPr>
          <w:rFonts w:eastAsia="Times New Roman"/>
          <w:szCs w:val="24"/>
          <w:lang w:eastAsia="en-AU"/>
        </w:rPr>
        <w:t xml:space="preserve"> although </w:t>
      </w:r>
      <w:proofErr w:type="spellStart"/>
      <w:r w:rsidR="003F0F29" w:rsidRPr="00E8666A">
        <w:rPr>
          <w:rFonts w:eastAsia="Times New Roman"/>
          <w:szCs w:val="24"/>
          <w:lang w:eastAsia="en-AU"/>
        </w:rPr>
        <w:t>unredacted</w:t>
      </w:r>
      <w:proofErr w:type="spellEnd"/>
      <w:r w:rsidR="003F0F29" w:rsidRPr="00E8666A">
        <w:rPr>
          <w:rFonts w:eastAsia="Times New Roman"/>
          <w:szCs w:val="24"/>
          <w:lang w:eastAsia="en-AU"/>
        </w:rPr>
        <w:t xml:space="preserve"> versions were provided to my Chambers</w:t>
      </w:r>
      <w:r w:rsidR="003F0F29">
        <w:rPr>
          <w:rFonts w:eastAsia="Times New Roman"/>
          <w:szCs w:val="24"/>
          <w:lang w:eastAsia="en-AU"/>
        </w:rPr>
        <w:t xml:space="preserve"> at the same time</w:t>
      </w:r>
      <w:r w:rsidR="00DE4FE8">
        <w:rPr>
          <w:rFonts w:eastAsia="Times New Roman"/>
          <w:szCs w:val="24"/>
          <w:lang w:eastAsia="en-AU"/>
        </w:rPr>
        <w:t xml:space="preserve">.  </w:t>
      </w:r>
      <w:r w:rsidR="003F0F29">
        <w:rPr>
          <w:rFonts w:eastAsia="Times New Roman"/>
          <w:szCs w:val="24"/>
          <w:lang w:eastAsia="en-AU"/>
        </w:rPr>
        <w:t>The applicant also filed, but did not serve, written submission</w:t>
      </w:r>
      <w:r w:rsidR="00A60845">
        <w:rPr>
          <w:rFonts w:eastAsia="Times New Roman"/>
          <w:szCs w:val="24"/>
          <w:lang w:eastAsia="en-AU"/>
        </w:rPr>
        <w:t>s</w:t>
      </w:r>
      <w:r w:rsidR="003F0F29">
        <w:rPr>
          <w:rFonts w:eastAsia="Times New Roman"/>
          <w:szCs w:val="24"/>
          <w:lang w:eastAsia="en-AU"/>
        </w:rPr>
        <w:t xml:space="preserve"> explaining the redactions</w:t>
      </w:r>
      <w:r w:rsidR="00DE4FE8">
        <w:rPr>
          <w:rFonts w:eastAsia="Times New Roman"/>
          <w:szCs w:val="24"/>
          <w:lang w:eastAsia="en-AU"/>
        </w:rPr>
        <w:t xml:space="preserve">.  </w:t>
      </w:r>
      <w:r w:rsidR="00A60845">
        <w:rPr>
          <w:rFonts w:eastAsia="Times New Roman"/>
          <w:szCs w:val="24"/>
          <w:lang w:eastAsia="en-AU"/>
        </w:rPr>
        <w:t xml:space="preserve">They </w:t>
      </w:r>
      <w:r w:rsidR="00D17905">
        <w:rPr>
          <w:rFonts w:eastAsia="Times New Roman"/>
          <w:szCs w:val="24"/>
          <w:lang w:eastAsia="en-AU"/>
        </w:rPr>
        <w:t>said</w:t>
      </w:r>
      <w:r w:rsidR="00A60845">
        <w:rPr>
          <w:rFonts w:eastAsia="Times New Roman"/>
          <w:szCs w:val="24"/>
          <w:lang w:eastAsia="en-AU"/>
        </w:rPr>
        <w:t xml:space="preserve"> that the r</w:t>
      </w:r>
      <w:r w:rsidR="003F0F29">
        <w:rPr>
          <w:rFonts w:eastAsia="Times New Roman"/>
          <w:szCs w:val="24"/>
          <w:lang w:eastAsia="en-AU"/>
        </w:rPr>
        <w:t>edactions related to two matters</w:t>
      </w:r>
      <w:r w:rsidR="00A60845">
        <w:rPr>
          <w:rFonts w:eastAsia="Times New Roman"/>
          <w:szCs w:val="24"/>
          <w:lang w:eastAsia="en-AU"/>
        </w:rPr>
        <w:t xml:space="preserve">, one of which was </w:t>
      </w:r>
      <w:r w:rsidR="003F0F29" w:rsidRPr="007B79EA">
        <w:rPr>
          <w:rFonts w:eastAsia="Times New Roman"/>
          <w:szCs w:val="24"/>
          <w:lang w:eastAsia="en-AU"/>
        </w:rPr>
        <w:t xml:space="preserve">the </w:t>
      </w:r>
      <w:r w:rsidR="003F0F29" w:rsidRPr="00B2022A">
        <w:rPr>
          <w:rFonts w:eastAsia="Times New Roman"/>
          <w:i/>
          <w:szCs w:val="24"/>
          <w:lang w:eastAsia="en-AU"/>
        </w:rPr>
        <w:t>PID Act</w:t>
      </w:r>
      <w:r w:rsidR="00A60845">
        <w:rPr>
          <w:rFonts w:eastAsia="Times New Roman"/>
          <w:szCs w:val="24"/>
          <w:lang w:eastAsia="en-AU"/>
        </w:rPr>
        <w:t xml:space="preserve"> (</w:t>
      </w:r>
      <w:r w:rsidR="003F0F29" w:rsidRPr="007B79EA">
        <w:rPr>
          <w:rFonts w:eastAsia="Times New Roman"/>
          <w:szCs w:val="24"/>
          <w:lang w:eastAsia="en-AU"/>
        </w:rPr>
        <w:t>the other is not presently</w:t>
      </w:r>
      <w:r w:rsidR="003F0F29">
        <w:rPr>
          <w:rFonts w:eastAsia="Times New Roman"/>
          <w:szCs w:val="24"/>
          <w:lang w:eastAsia="en-AU"/>
        </w:rPr>
        <w:t xml:space="preserve"> relevant</w:t>
      </w:r>
      <w:r w:rsidR="00A60845">
        <w:rPr>
          <w:rFonts w:eastAsia="Times New Roman"/>
          <w:szCs w:val="24"/>
          <w:lang w:eastAsia="en-AU"/>
        </w:rPr>
        <w:t>)</w:t>
      </w:r>
      <w:r w:rsidR="00B2022A">
        <w:rPr>
          <w:rFonts w:eastAsia="Times New Roman"/>
          <w:szCs w:val="24"/>
          <w:lang w:eastAsia="en-AU"/>
        </w:rPr>
        <w:t>.</w:t>
      </w:r>
    </w:p>
    <w:p w:rsidR="006F6122" w:rsidRPr="004F4A27" w:rsidRDefault="00EF2F88" w:rsidP="003F0F29">
      <w:pPr>
        <w:pStyle w:val="ParaNumbering"/>
      </w:pPr>
      <w:r>
        <w:rPr>
          <w:lang w:eastAsia="en-AU"/>
        </w:rPr>
        <w:t>In the initial written submissions</w:t>
      </w:r>
      <w:r w:rsidR="0055566A">
        <w:rPr>
          <w:lang w:eastAsia="en-AU"/>
        </w:rPr>
        <w:t xml:space="preserve"> the applicant gave consent under s 16(1)(a) to being identified, and his counsel renewed and confirmed that consent in the course of the present application, so any restrictions imposed under s 16(1) fall away for present purposes</w:t>
      </w:r>
      <w:r w:rsidR="00DE4FE8">
        <w:rPr>
          <w:lang w:eastAsia="en-AU"/>
        </w:rPr>
        <w:t xml:space="preserve">.  </w:t>
      </w:r>
      <w:r w:rsidR="0055566A">
        <w:rPr>
          <w:lang w:eastAsia="en-AU"/>
        </w:rPr>
        <w:t>But the submission</w:t>
      </w:r>
      <w:r>
        <w:rPr>
          <w:lang w:eastAsia="en-AU"/>
        </w:rPr>
        <w:t>s</w:t>
      </w:r>
      <w:r w:rsidR="0055566A">
        <w:rPr>
          <w:lang w:eastAsia="en-AU"/>
        </w:rPr>
        <w:t xml:space="preserve"> said that, on at least one view, s 16(3) prohibited service of the originating application and statement of claim </w:t>
      </w:r>
      <w:r w:rsidR="006F6122" w:rsidRPr="00D94823">
        <w:rPr>
          <w:lang w:eastAsia="en-AU"/>
        </w:rPr>
        <w:t xml:space="preserve">on the University </w:t>
      </w:r>
      <w:r w:rsidR="0055566A">
        <w:rPr>
          <w:lang w:eastAsia="en-AU"/>
        </w:rPr>
        <w:t xml:space="preserve">so, </w:t>
      </w:r>
      <w:r>
        <w:rPr>
          <w:lang w:eastAsia="en-AU"/>
        </w:rPr>
        <w:t>out of an abundance of caution</w:t>
      </w:r>
      <w:r w:rsidR="0055566A">
        <w:rPr>
          <w:lang w:eastAsia="en-AU"/>
        </w:rPr>
        <w:t>,</w:t>
      </w:r>
      <w:r w:rsidR="006F6122" w:rsidRPr="00D94823">
        <w:rPr>
          <w:lang w:eastAsia="en-AU"/>
        </w:rPr>
        <w:t xml:space="preserve"> orders permitting service were sought.</w:t>
      </w:r>
    </w:p>
    <w:p w:rsidR="00EF2F88" w:rsidRPr="00EF2F88" w:rsidRDefault="006F6122" w:rsidP="006F6122">
      <w:pPr>
        <w:pStyle w:val="ParaNumbering"/>
      </w:pPr>
      <w:r w:rsidRPr="00B37AE0">
        <w:rPr>
          <w:rFonts w:eastAsia="Times New Roman"/>
          <w:szCs w:val="24"/>
          <w:lang w:eastAsia="en-AU"/>
        </w:rPr>
        <w:t>After considering the submission</w:t>
      </w:r>
      <w:r w:rsidR="00EF2F88">
        <w:rPr>
          <w:rFonts w:eastAsia="Times New Roman"/>
          <w:szCs w:val="24"/>
          <w:lang w:eastAsia="en-AU"/>
        </w:rPr>
        <w:t>s</w:t>
      </w:r>
      <w:r w:rsidR="00B2022A">
        <w:rPr>
          <w:rFonts w:eastAsia="Times New Roman"/>
          <w:szCs w:val="24"/>
          <w:lang w:eastAsia="en-AU"/>
        </w:rPr>
        <w:t>, on 5 </w:t>
      </w:r>
      <w:r w:rsidRPr="00B37AE0">
        <w:rPr>
          <w:rFonts w:eastAsia="Times New Roman"/>
          <w:szCs w:val="24"/>
          <w:lang w:eastAsia="en-AU"/>
        </w:rPr>
        <w:t xml:space="preserve">June 2019 I ordered that </w:t>
      </w:r>
      <w:proofErr w:type="spellStart"/>
      <w:r w:rsidRPr="00B37AE0">
        <w:rPr>
          <w:rFonts w:eastAsia="Times New Roman"/>
          <w:szCs w:val="24"/>
          <w:lang w:eastAsia="en-AU"/>
        </w:rPr>
        <w:t>unredacted</w:t>
      </w:r>
      <w:proofErr w:type="spellEnd"/>
      <w:r w:rsidRPr="00B37AE0">
        <w:rPr>
          <w:rFonts w:eastAsia="Times New Roman"/>
          <w:szCs w:val="24"/>
          <w:lang w:eastAsia="en-AU"/>
        </w:rPr>
        <w:t xml:space="preserve"> copies of the originating application, statement of claim and </w:t>
      </w:r>
      <w:r w:rsidR="003832CB">
        <w:rPr>
          <w:rFonts w:eastAsia="Times New Roman"/>
          <w:szCs w:val="24"/>
          <w:lang w:eastAsia="en-AU"/>
        </w:rPr>
        <w:t xml:space="preserve">written </w:t>
      </w:r>
      <w:r w:rsidRPr="00B37AE0">
        <w:rPr>
          <w:rFonts w:eastAsia="Times New Roman"/>
          <w:szCs w:val="24"/>
          <w:lang w:eastAsia="en-AU"/>
        </w:rPr>
        <w:t>submission</w:t>
      </w:r>
      <w:r w:rsidR="003832CB">
        <w:rPr>
          <w:rFonts w:eastAsia="Times New Roman"/>
          <w:szCs w:val="24"/>
          <w:lang w:eastAsia="en-AU"/>
        </w:rPr>
        <w:t>s</w:t>
      </w:r>
      <w:r w:rsidRPr="00B37AE0">
        <w:rPr>
          <w:rFonts w:eastAsia="Times New Roman"/>
          <w:szCs w:val="24"/>
          <w:lang w:eastAsia="en-AU"/>
        </w:rPr>
        <w:t xml:space="preserve"> be served on the </w:t>
      </w:r>
      <w:r w:rsidR="00813128">
        <w:rPr>
          <w:rFonts w:eastAsia="Times New Roman"/>
          <w:szCs w:val="24"/>
          <w:lang w:eastAsia="en-AU"/>
        </w:rPr>
        <w:t>University</w:t>
      </w:r>
      <w:r w:rsidR="00B2022A">
        <w:rPr>
          <w:rFonts w:eastAsia="Times New Roman"/>
          <w:szCs w:val="24"/>
          <w:lang w:eastAsia="en-AU"/>
        </w:rPr>
        <w:t>.</w:t>
      </w:r>
    </w:p>
    <w:p w:rsidR="006F6122" w:rsidRPr="008E23F5" w:rsidRDefault="006F6122" w:rsidP="006F6122">
      <w:pPr>
        <w:pStyle w:val="ParaNumbering"/>
      </w:pPr>
      <w:r w:rsidRPr="008E23F5">
        <w:rPr>
          <w:rFonts w:eastAsia="Times New Roman"/>
          <w:szCs w:val="24"/>
          <w:lang w:eastAsia="en-AU"/>
        </w:rPr>
        <w:t>On 7</w:t>
      </w:r>
      <w:r w:rsidR="0055566A" w:rsidRPr="008E23F5">
        <w:rPr>
          <w:rFonts w:eastAsia="Times New Roman"/>
          <w:szCs w:val="24"/>
          <w:lang w:eastAsia="en-AU"/>
        </w:rPr>
        <w:t> </w:t>
      </w:r>
      <w:r w:rsidR="00EF2F88" w:rsidRPr="008E23F5">
        <w:rPr>
          <w:rFonts w:eastAsia="Times New Roman"/>
          <w:szCs w:val="24"/>
          <w:lang w:eastAsia="en-AU"/>
        </w:rPr>
        <w:t>June 2019 the</w:t>
      </w:r>
      <w:r w:rsidR="00E76F58" w:rsidRPr="008E23F5">
        <w:rPr>
          <w:rFonts w:eastAsia="Times New Roman"/>
          <w:szCs w:val="24"/>
          <w:lang w:eastAsia="en-AU"/>
        </w:rPr>
        <w:t xml:space="preserve"> </w:t>
      </w:r>
      <w:r w:rsidR="00D17905">
        <w:rPr>
          <w:rFonts w:eastAsia="Times New Roman"/>
          <w:szCs w:val="24"/>
          <w:lang w:eastAsia="en-AU"/>
        </w:rPr>
        <w:t xml:space="preserve">Australian Broadcasting </w:t>
      </w:r>
      <w:r w:rsidR="000904EC">
        <w:rPr>
          <w:rFonts w:eastAsia="Times New Roman"/>
          <w:szCs w:val="24"/>
          <w:lang w:eastAsia="en-AU"/>
        </w:rPr>
        <w:t xml:space="preserve">Corporation </w:t>
      </w:r>
      <w:r w:rsidR="00D17905">
        <w:rPr>
          <w:rFonts w:eastAsia="Times New Roman"/>
          <w:szCs w:val="24"/>
          <w:lang w:eastAsia="en-AU"/>
        </w:rPr>
        <w:t>(</w:t>
      </w:r>
      <w:r w:rsidR="00E76F58" w:rsidRPr="00D17905">
        <w:rPr>
          <w:rFonts w:eastAsia="Times New Roman"/>
          <w:b/>
          <w:szCs w:val="24"/>
          <w:lang w:eastAsia="en-AU"/>
        </w:rPr>
        <w:t>ABC</w:t>
      </w:r>
      <w:r w:rsidR="00D17905">
        <w:rPr>
          <w:rFonts w:eastAsia="Times New Roman"/>
          <w:szCs w:val="24"/>
          <w:lang w:eastAsia="en-AU"/>
        </w:rPr>
        <w:t>)</w:t>
      </w:r>
      <w:r w:rsidR="00E76F58" w:rsidRPr="008E23F5">
        <w:rPr>
          <w:rFonts w:eastAsia="Times New Roman"/>
          <w:szCs w:val="24"/>
          <w:lang w:eastAsia="en-AU"/>
        </w:rPr>
        <w:t xml:space="preserve"> </w:t>
      </w:r>
      <w:r w:rsidRPr="008E23F5">
        <w:rPr>
          <w:rFonts w:eastAsia="Times New Roman"/>
          <w:szCs w:val="24"/>
          <w:lang w:eastAsia="en-AU"/>
        </w:rPr>
        <w:t>requested the ability to inspect and photocopy the originating application and statement of claim as well as a notice of acting that had been filed on behalf of the University</w:t>
      </w:r>
      <w:r w:rsidR="00B2022A">
        <w:rPr>
          <w:rFonts w:eastAsia="Times New Roman"/>
          <w:szCs w:val="24"/>
          <w:lang w:eastAsia="en-AU"/>
        </w:rPr>
        <w:t>.</w:t>
      </w:r>
    </w:p>
    <w:p w:rsidR="00C356DE" w:rsidRDefault="0055566A" w:rsidP="0055566A">
      <w:pPr>
        <w:pStyle w:val="ParaNumbering"/>
      </w:pPr>
      <w:r>
        <w:rPr>
          <w:lang w:eastAsia="en-AU"/>
        </w:rPr>
        <w:t>The present</w:t>
      </w:r>
      <w:r w:rsidR="006F6122">
        <w:rPr>
          <w:lang w:eastAsia="en-AU"/>
        </w:rPr>
        <w:t xml:space="preserve"> application was </w:t>
      </w:r>
      <w:r>
        <w:rPr>
          <w:lang w:eastAsia="en-AU"/>
        </w:rPr>
        <w:t>filed</w:t>
      </w:r>
      <w:r w:rsidR="00B2022A">
        <w:rPr>
          <w:lang w:eastAsia="en-AU"/>
        </w:rPr>
        <w:t xml:space="preserve"> on 14 </w:t>
      </w:r>
      <w:r w:rsidR="006F6122">
        <w:rPr>
          <w:lang w:eastAsia="en-AU"/>
        </w:rPr>
        <w:t>June 2019</w:t>
      </w:r>
      <w:r w:rsidR="00EF2F88">
        <w:rPr>
          <w:lang w:eastAsia="en-AU"/>
        </w:rPr>
        <w:t>,</w:t>
      </w:r>
      <w:r w:rsidR="006F6122">
        <w:rPr>
          <w:lang w:eastAsia="en-AU"/>
        </w:rPr>
        <w:t xml:space="preserve"> with the applicant seeking </w:t>
      </w:r>
      <w:r>
        <w:rPr>
          <w:lang w:eastAsia="en-AU"/>
        </w:rPr>
        <w:t xml:space="preserve">an order permitting </w:t>
      </w:r>
      <w:proofErr w:type="spellStart"/>
      <w:r>
        <w:rPr>
          <w:lang w:eastAsia="en-AU"/>
        </w:rPr>
        <w:t>unredacted</w:t>
      </w:r>
      <w:proofErr w:type="spellEnd"/>
      <w:r>
        <w:rPr>
          <w:lang w:eastAsia="en-AU"/>
        </w:rPr>
        <w:t xml:space="preserve"> copies of the documents filed thus far to be placed on the court's file</w:t>
      </w:r>
      <w:r w:rsidR="00B2022A">
        <w:rPr>
          <w:lang w:eastAsia="en-AU"/>
        </w:rPr>
        <w:t>.</w:t>
      </w:r>
    </w:p>
    <w:p w:rsidR="00C356DE" w:rsidRDefault="00B2022A" w:rsidP="00C356DE">
      <w:pPr>
        <w:pStyle w:val="ParaNumbering"/>
      </w:pPr>
      <w:r>
        <w:rPr>
          <w:lang w:eastAsia="en-AU"/>
        </w:rPr>
        <w:t>On 19 </w:t>
      </w:r>
      <w:r w:rsidR="0055566A">
        <w:rPr>
          <w:lang w:eastAsia="en-AU"/>
        </w:rPr>
        <w:t>June 2019 I made that order with the consent of both parties</w:t>
      </w:r>
      <w:r w:rsidR="00DE4FE8">
        <w:rPr>
          <w:lang w:eastAsia="en-AU"/>
        </w:rPr>
        <w:t xml:space="preserve">.  </w:t>
      </w:r>
      <w:r w:rsidR="00C356DE">
        <w:rPr>
          <w:lang w:eastAsia="en-AU"/>
        </w:rPr>
        <w:t xml:space="preserve">I also, by consent, ordered that </w:t>
      </w:r>
      <w:r w:rsidR="00C356DE" w:rsidRPr="00C356DE">
        <w:rPr>
          <w:lang w:eastAsia="en-AU"/>
        </w:rPr>
        <w:t xml:space="preserve">all documents filed by the parties be filed in </w:t>
      </w:r>
      <w:proofErr w:type="spellStart"/>
      <w:r w:rsidR="00C356DE" w:rsidRPr="00C356DE">
        <w:rPr>
          <w:lang w:eastAsia="en-AU"/>
        </w:rPr>
        <w:t>unredacted</w:t>
      </w:r>
      <w:proofErr w:type="spellEnd"/>
      <w:r w:rsidR="00C356DE" w:rsidRPr="00C356DE">
        <w:rPr>
          <w:lang w:eastAsia="en-AU"/>
        </w:rPr>
        <w:t xml:space="preserve"> form</w:t>
      </w:r>
      <w:r w:rsidR="00C356DE">
        <w:rPr>
          <w:lang w:eastAsia="en-AU"/>
        </w:rPr>
        <w:t>, and that</w:t>
      </w:r>
      <w:r w:rsidR="00C356DE" w:rsidRPr="00C356DE">
        <w:rPr>
          <w:lang w:eastAsia="en-AU"/>
        </w:rPr>
        <w:t xml:space="preserve"> no party is prevented by </w:t>
      </w:r>
      <w:r w:rsidR="00C356DE">
        <w:rPr>
          <w:lang w:eastAsia="en-AU"/>
        </w:rPr>
        <w:t>s</w:t>
      </w:r>
      <w:r>
        <w:rPr>
          <w:lang w:eastAsia="en-AU"/>
        </w:rPr>
        <w:t> </w:t>
      </w:r>
      <w:r w:rsidR="00C356DE" w:rsidRPr="00C356DE">
        <w:rPr>
          <w:lang w:eastAsia="en-AU"/>
        </w:rPr>
        <w:t xml:space="preserve">16(1) or </w:t>
      </w:r>
      <w:r w:rsidR="00C356DE">
        <w:rPr>
          <w:lang w:eastAsia="en-AU"/>
        </w:rPr>
        <w:t>s</w:t>
      </w:r>
      <w:r>
        <w:rPr>
          <w:lang w:eastAsia="en-AU"/>
        </w:rPr>
        <w:t> </w:t>
      </w:r>
      <w:r w:rsidR="00C356DE" w:rsidRPr="00C356DE">
        <w:rPr>
          <w:lang w:eastAsia="en-AU"/>
        </w:rPr>
        <w:t xml:space="preserve">16(3) of the </w:t>
      </w:r>
      <w:r w:rsidR="00C356DE" w:rsidRPr="00B2022A">
        <w:rPr>
          <w:i/>
          <w:lang w:eastAsia="en-AU"/>
        </w:rPr>
        <w:t>PID Act</w:t>
      </w:r>
      <w:r w:rsidR="00C356DE" w:rsidRPr="00C356DE">
        <w:rPr>
          <w:lang w:eastAsia="en-AU"/>
        </w:rPr>
        <w:t xml:space="preserve"> from disclosing any information in a document filed and/or served by th</w:t>
      </w:r>
      <w:r w:rsidR="00C356DE">
        <w:rPr>
          <w:lang w:eastAsia="en-AU"/>
        </w:rPr>
        <w:t>at party</w:t>
      </w:r>
      <w:r w:rsidR="00DE4FE8">
        <w:rPr>
          <w:lang w:eastAsia="en-AU"/>
        </w:rPr>
        <w:t xml:space="preserve">.  </w:t>
      </w:r>
      <w:r w:rsidR="00C356DE">
        <w:rPr>
          <w:lang w:eastAsia="en-AU"/>
        </w:rPr>
        <w:t xml:space="preserve">In my view, these orders were </w:t>
      </w:r>
      <w:r w:rsidR="00EF2F88">
        <w:rPr>
          <w:lang w:eastAsia="en-AU"/>
        </w:rPr>
        <w:t>convenient</w:t>
      </w:r>
      <w:r w:rsidR="00C356DE">
        <w:rPr>
          <w:lang w:eastAsia="en-AU"/>
        </w:rPr>
        <w:t xml:space="preserve"> and appropriate to ensure that there was no doubt about the parties' ability to take ordinary steps in the conduct of the proceedings</w:t>
      </w:r>
      <w:r w:rsidR="00DE4FE8">
        <w:rPr>
          <w:lang w:eastAsia="en-AU"/>
        </w:rPr>
        <w:t xml:space="preserve">.  </w:t>
      </w:r>
      <w:r w:rsidR="00915C49">
        <w:rPr>
          <w:lang w:eastAsia="en-AU"/>
        </w:rPr>
        <w:t>(</w:t>
      </w:r>
      <w:r w:rsidR="00EF2F88">
        <w:rPr>
          <w:lang w:eastAsia="en-AU"/>
        </w:rPr>
        <w:t xml:space="preserve">I did not make the orders because I had formed any view that </w:t>
      </w:r>
      <w:r w:rsidR="00C356DE">
        <w:rPr>
          <w:lang w:eastAsia="en-AU"/>
        </w:rPr>
        <w:t xml:space="preserve">s 16 of the </w:t>
      </w:r>
      <w:r w:rsidR="00C356DE" w:rsidRPr="00B2022A">
        <w:rPr>
          <w:i/>
          <w:lang w:eastAsia="en-AU"/>
        </w:rPr>
        <w:t>PID</w:t>
      </w:r>
      <w:r w:rsidR="00BC5E00">
        <w:rPr>
          <w:i/>
          <w:lang w:eastAsia="en-AU"/>
        </w:rPr>
        <w:t> </w:t>
      </w:r>
      <w:r w:rsidR="00C356DE" w:rsidRPr="00B2022A">
        <w:rPr>
          <w:i/>
          <w:lang w:eastAsia="en-AU"/>
        </w:rPr>
        <w:t>Act</w:t>
      </w:r>
      <w:r w:rsidR="00C356DE">
        <w:rPr>
          <w:lang w:eastAsia="en-AU"/>
        </w:rPr>
        <w:t xml:space="preserve"> would otherwise prohibit those steps.</w:t>
      </w:r>
      <w:r w:rsidR="00915C49">
        <w:rPr>
          <w:lang w:eastAsia="en-AU"/>
        </w:rPr>
        <w:t>)</w:t>
      </w:r>
    </w:p>
    <w:p w:rsidR="0055566A" w:rsidRPr="0055566A" w:rsidRDefault="0055566A" w:rsidP="00C356DE">
      <w:pPr>
        <w:pStyle w:val="ParaNumbering"/>
      </w:pPr>
      <w:r>
        <w:rPr>
          <w:lang w:eastAsia="en-AU"/>
        </w:rPr>
        <w:lastRenderedPageBreak/>
        <w:t xml:space="preserve">The application </w:t>
      </w:r>
      <w:r w:rsidR="00E36915">
        <w:rPr>
          <w:lang w:eastAsia="en-AU"/>
        </w:rPr>
        <w:t xml:space="preserve">of 14 June </w:t>
      </w:r>
      <w:r w:rsidR="0099696B">
        <w:rPr>
          <w:lang w:eastAsia="en-AU"/>
        </w:rPr>
        <w:t xml:space="preserve">2019 </w:t>
      </w:r>
      <w:r>
        <w:rPr>
          <w:lang w:eastAsia="en-AU"/>
        </w:rPr>
        <w:t xml:space="preserve">also sought an order in relation to access to filed documents under </w:t>
      </w:r>
      <w:r w:rsidRPr="0055566A">
        <w:rPr>
          <w:rFonts w:eastAsia="Times New Roman"/>
          <w:szCs w:val="24"/>
          <w:lang w:eastAsia="en-AU"/>
        </w:rPr>
        <w:t>r</w:t>
      </w:r>
      <w:r w:rsidR="00B2022A">
        <w:rPr>
          <w:rFonts w:eastAsia="Times New Roman"/>
          <w:szCs w:val="24"/>
          <w:lang w:eastAsia="en-AU"/>
        </w:rPr>
        <w:t> </w:t>
      </w:r>
      <w:r w:rsidRPr="0055566A">
        <w:rPr>
          <w:rFonts w:eastAsia="Times New Roman"/>
          <w:szCs w:val="24"/>
          <w:lang w:eastAsia="en-AU"/>
        </w:rPr>
        <w:t xml:space="preserve">2.32 of the </w:t>
      </w:r>
      <w:r w:rsidRPr="00BC5E00">
        <w:rPr>
          <w:rFonts w:eastAsia="Times New Roman"/>
          <w:i/>
          <w:szCs w:val="24"/>
          <w:lang w:eastAsia="en-AU"/>
        </w:rPr>
        <w:t>Federal Court Rules 2011</w:t>
      </w:r>
      <w:r w:rsidRPr="00BC5E00">
        <w:rPr>
          <w:rFonts w:eastAsia="Times New Roman"/>
          <w:szCs w:val="24"/>
          <w:lang w:eastAsia="en-AU"/>
        </w:rPr>
        <w:t xml:space="preserve"> (Cth)</w:t>
      </w:r>
      <w:r>
        <w:rPr>
          <w:rFonts w:eastAsia="Times New Roman"/>
          <w:szCs w:val="24"/>
          <w:lang w:eastAsia="en-AU"/>
        </w:rPr>
        <w:t>, but that is no longer pressed</w:t>
      </w:r>
      <w:r w:rsidR="00DE4FE8">
        <w:rPr>
          <w:rFonts w:eastAsia="Times New Roman"/>
          <w:szCs w:val="24"/>
          <w:lang w:eastAsia="en-AU"/>
        </w:rPr>
        <w:t xml:space="preserve">.  </w:t>
      </w:r>
      <w:r>
        <w:rPr>
          <w:rFonts w:eastAsia="Times New Roman"/>
          <w:szCs w:val="24"/>
          <w:lang w:eastAsia="en-AU"/>
        </w:rPr>
        <w:t>The sole order sought which remains in issue is:</w:t>
      </w:r>
    </w:p>
    <w:p w:rsidR="006F6122" w:rsidRPr="000E699C" w:rsidRDefault="006F6122" w:rsidP="0055566A">
      <w:pPr>
        <w:pStyle w:val="Quote1"/>
      </w:pPr>
      <w:r w:rsidRPr="000E699C">
        <w:t xml:space="preserve">For the purpose of s 16(1)(d) and s 16(3)(e) of the </w:t>
      </w:r>
      <w:r w:rsidRPr="000E699C">
        <w:rPr>
          <w:i/>
          <w:iCs/>
        </w:rPr>
        <w:t xml:space="preserve">Public Interest Disclosure Act 2003 </w:t>
      </w:r>
      <w:r w:rsidRPr="000E699C">
        <w:t xml:space="preserve">(WA), pursuant to s 23 of the </w:t>
      </w:r>
      <w:r w:rsidRPr="000E699C">
        <w:rPr>
          <w:i/>
          <w:iCs/>
        </w:rPr>
        <w:t>Federal Court of Austr</w:t>
      </w:r>
      <w:bookmarkStart w:id="21" w:name="_GoBack"/>
      <w:bookmarkEnd w:id="21"/>
      <w:r w:rsidRPr="000E699C">
        <w:rPr>
          <w:i/>
          <w:iCs/>
        </w:rPr>
        <w:t xml:space="preserve">alia Act 1976 </w:t>
      </w:r>
      <w:r w:rsidRPr="000E699C">
        <w:t xml:space="preserve">(Cth), it is ordered that neither s 16(1) nor s 16(3) of the </w:t>
      </w:r>
      <w:r w:rsidRPr="000E699C">
        <w:rPr>
          <w:i/>
          <w:iCs/>
        </w:rPr>
        <w:t xml:space="preserve">Public Interest Disclosure Act 2003 </w:t>
      </w:r>
      <w:r w:rsidRPr="000E699C">
        <w:t>(WA) prevents</w:t>
      </w:r>
      <w:r w:rsidR="00B2022A">
        <w:t>:</w:t>
      </w:r>
    </w:p>
    <w:p w:rsidR="006F6122" w:rsidRPr="00C356DE" w:rsidRDefault="00B2022A" w:rsidP="00BA7A0D">
      <w:pPr>
        <w:pStyle w:val="Quote1"/>
        <w:ind w:left="1440" w:hanging="703"/>
        <w:rPr>
          <w:lang w:val="en" w:eastAsia="en-AU"/>
        </w:rPr>
      </w:pPr>
      <w:r>
        <w:t>(a)</w:t>
      </w:r>
      <w:r w:rsidR="0055566A" w:rsidRPr="00C356DE">
        <w:tab/>
      </w:r>
      <w:r w:rsidR="006F6122" w:rsidRPr="00C356DE">
        <w:rPr>
          <w:lang w:val="en" w:eastAsia="en-AU"/>
        </w:rPr>
        <w:t>a person from publishing any information or document, including without limitation the documents placed on the Court file in accordance with order 1</w:t>
      </w:r>
      <w:r w:rsidR="00CA6572">
        <w:rPr>
          <w:lang w:val="en" w:eastAsia="en-AU"/>
        </w:rPr>
        <w:t xml:space="preserve"> [</w:t>
      </w:r>
      <w:r w:rsidR="000867A3">
        <w:rPr>
          <w:lang w:val="en" w:eastAsia="en-AU"/>
        </w:rPr>
        <w:t xml:space="preserve">the order made on 19 June 2019 that </w:t>
      </w:r>
      <w:r w:rsidR="009606F7">
        <w:rPr>
          <w:lang w:val="en" w:eastAsia="en-AU"/>
        </w:rPr>
        <w:t xml:space="preserve">certain </w:t>
      </w:r>
      <w:r w:rsidR="000867A3">
        <w:rPr>
          <w:lang w:val="en" w:eastAsia="en-AU"/>
        </w:rPr>
        <w:t xml:space="preserve">documents be filed in </w:t>
      </w:r>
      <w:proofErr w:type="spellStart"/>
      <w:r w:rsidR="000867A3">
        <w:rPr>
          <w:lang w:val="en" w:eastAsia="en-AU"/>
        </w:rPr>
        <w:t>unredacted</w:t>
      </w:r>
      <w:proofErr w:type="spellEnd"/>
      <w:r w:rsidR="000867A3">
        <w:rPr>
          <w:lang w:val="en" w:eastAsia="en-AU"/>
        </w:rPr>
        <w:t xml:space="preserve"> form</w:t>
      </w:r>
      <w:r w:rsidR="00CA6572">
        <w:rPr>
          <w:lang w:val="en" w:eastAsia="en-AU"/>
        </w:rPr>
        <w:t>]</w:t>
      </w:r>
      <w:r w:rsidR="006F6122" w:rsidRPr="00C356DE">
        <w:rPr>
          <w:lang w:val="en" w:eastAsia="en-AU"/>
        </w:rPr>
        <w:t>, de</w:t>
      </w:r>
      <w:r>
        <w:rPr>
          <w:lang w:val="en" w:eastAsia="en-AU"/>
        </w:rPr>
        <w:t>riving from this proceeding; or</w:t>
      </w:r>
    </w:p>
    <w:p w:rsidR="006F6122" w:rsidRPr="00C356DE" w:rsidRDefault="00B2022A" w:rsidP="00BA7A0D">
      <w:pPr>
        <w:pStyle w:val="Quote1"/>
        <w:ind w:left="1440" w:hanging="703"/>
        <w:rPr>
          <w:lang w:val="en" w:eastAsia="en-AU"/>
        </w:rPr>
      </w:pPr>
      <w:r>
        <w:rPr>
          <w:lang w:val="en" w:eastAsia="en-AU"/>
        </w:rPr>
        <w:t>(b)</w:t>
      </w:r>
      <w:r w:rsidR="0055566A" w:rsidRPr="00C356DE">
        <w:rPr>
          <w:lang w:val="en" w:eastAsia="en-AU"/>
        </w:rPr>
        <w:tab/>
      </w:r>
      <w:r w:rsidR="006F6122" w:rsidRPr="00C356DE">
        <w:rPr>
          <w:lang w:val="en" w:eastAsia="en-AU"/>
        </w:rPr>
        <w:t>a person from referring to any matter, circumstance or thing connected with the allegations in the statement of claim in connection with, or for the purpose of, this proceeding</w:t>
      </w:r>
      <w:r w:rsidR="00BA46F0">
        <w:rPr>
          <w:lang w:val="en" w:eastAsia="en-AU"/>
        </w:rPr>
        <w:t>.</w:t>
      </w:r>
    </w:p>
    <w:p w:rsidR="00830BA1" w:rsidRPr="00DE3B39" w:rsidRDefault="00830BA1" w:rsidP="00B00782">
      <w:pPr>
        <w:pStyle w:val="ParaNumbering"/>
      </w:pPr>
      <w:r w:rsidRPr="00830BA1">
        <w:rPr>
          <w:rFonts w:eastAsia="Times New Roman"/>
          <w:szCs w:val="24"/>
          <w:lang w:eastAsia="en-AU"/>
        </w:rPr>
        <w:t>The University opposes this order</w:t>
      </w:r>
      <w:r w:rsidR="00DE4FE8">
        <w:rPr>
          <w:rFonts w:eastAsia="Times New Roman"/>
          <w:szCs w:val="24"/>
          <w:lang w:eastAsia="en-AU"/>
        </w:rPr>
        <w:t xml:space="preserve">.  </w:t>
      </w:r>
      <w:r w:rsidRPr="00830BA1">
        <w:rPr>
          <w:rFonts w:eastAsia="Times New Roman"/>
          <w:szCs w:val="24"/>
          <w:lang w:eastAsia="en-AU"/>
        </w:rPr>
        <w:t xml:space="preserve">So </w:t>
      </w:r>
      <w:r w:rsidR="00EF2F88">
        <w:rPr>
          <w:rFonts w:eastAsia="Times New Roman"/>
          <w:szCs w:val="24"/>
          <w:lang w:eastAsia="en-AU"/>
        </w:rPr>
        <w:t xml:space="preserve">the </w:t>
      </w:r>
      <w:r w:rsidRPr="00830BA1">
        <w:rPr>
          <w:rFonts w:eastAsia="Times New Roman"/>
          <w:szCs w:val="24"/>
          <w:lang w:eastAsia="en-AU"/>
        </w:rPr>
        <w:t xml:space="preserve">issue is whether I have power to </w:t>
      </w:r>
      <w:r w:rsidR="00E20C5A">
        <w:rPr>
          <w:rFonts w:eastAsia="Times New Roman"/>
          <w:szCs w:val="24"/>
          <w:lang w:eastAsia="en-AU"/>
        </w:rPr>
        <w:t xml:space="preserve">make </w:t>
      </w:r>
      <w:r w:rsidR="00E17E4E">
        <w:rPr>
          <w:rFonts w:eastAsia="Times New Roman"/>
          <w:szCs w:val="24"/>
          <w:lang w:eastAsia="en-AU"/>
        </w:rPr>
        <w:t>the order sought</w:t>
      </w:r>
      <w:r w:rsidRPr="00830BA1">
        <w:rPr>
          <w:rFonts w:eastAsia="Times New Roman"/>
          <w:szCs w:val="24"/>
          <w:lang w:eastAsia="en-AU"/>
        </w:rPr>
        <w:t xml:space="preserve"> and whether, subject to any limitations on that power, it is appropriate to be made</w:t>
      </w:r>
      <w:r w:rsidR="00DE4FE8">
        <w:rPr>
          <w:rFonts w:eastAsia="Times New Roman"/>
          <w:szCs w:val="24"/>
          <w:lang w:eastAsia="en-AU"/>
        </w:rPr>
        <w:t xml:space="preserve">.  </w:t>
      </w:r>
      <w:r w:rsidRPr="00DE3B39">
        <w:rPr>
          <w:rFonts w:eastAsia="Times New Roman"/>
          <w:szCs w:val="24"/>
          <w:lang w:eastAsia="en-AU"/>
        </w:rPr>
        <w:t xml:space="preserve">In the course of oral submissions other orders, less broad than the order </w:t>
      </w:r>
      <w:r w:rsidR="00E20C5A" w:rsidRPr="00DE3B39">
        <w:rPr>
          <w:rFonts w:eastAsia="Times New Roman"/>
          <w:szCs w:val="24"/>
          <w:lang w:eastAsia="en-AU"/>
        </w:rPr>
        <w:t>set out above</w:t>
      </w:r>
      <w:r w:rsidRPr="00DE3B39">
        <w:rPr>
          <w:rFonts w:eastAsia="Times New Roman"/>
          <w:szCs w:val="24"/>
          <w:lang w:eastAsia="en-AU"/>
        </w:rPr>
        <w:t>, were raised as possibilities</w:t>
      </w:r>
      <w:r w:rsidR="00DE4FE8">
        <w:rPr>
          <w:rFonts w:eastAsia="Times New Roman"/>
          <w:szCs w:val="24"/>
          <w:lang w:eastAsia="en-AU"/>
        </w:rPr>
        <w:t xml:space="preserve">.  </w:t>
      </w:r>
      <w:r w:rsidRPr="00DE3B39">
        <w:rPr>
          <w:rFonts w:eastAsia="Times New Roman"/>
          <w:szCs w:val="24"/>
          <w:lang w:eastAsia="en-AU"/>
        </w:rPr>
        <w:t>I will address those below</w:t>
      </w:r>
      <w:r w:rsidR="00B2022A">
        <w:rPr>
          <w:rFonts w:eastAsia="Times New Roman"/>
          <w:szCs w:val="24"/>
          <w:lang w:eastAsia="en-AU"/>
        </w:rPr>
        <w:t>.</w:t>
      </w:r>
    </w:p>
    <w:p w:rsidR="0084110A" w:rsidRPr="00E17E4E" w:rsidRDefault="00B2022A" w:rsidP="00B00782">
      <w:pPr>
        <w:pStyle w:val="ParaNumbering"/>
      </w:pPr>
      <w:r>
        <w:rPr>
          <w:rFonts w:eastAsia="Times New Roman"/>
          <w:szCs w:val="24"/>
          <w:lang w:eastAsia="en-AU"/>
        </w:rPr>
        <w:t>On 3 </w:t>
      </w:r>
      <w:r w:rsidR="006F6122" w:rsidRPr="00E17E4E">
        <w:rPr>
          <w:rFonts w:eastAsia="Times New Roman"/>
          <w:szCs w:val="24"/>
          <w:lang w:eastAsia="en-AU"/>
        </w:rPr>
        <w:t xml:space="preserve">July 2019, and after </w:t>
      </w:r>
      <w:r w:rsidR="0084110A" w:rsidRPr="00E17E4E">
        <w:rPr>
          <w:rFonts w:eastAsia="Times New Roman"/>
          <w:szCs w:val="24"/>
          <w:lang w:eastAsia="en-AU"/>
        </w:rPr>
        <w:t>giving</w:t>
      </w:r>
      <w:r w:rsidR="006F6122" w:rsidRPr="00E17E4E">
        <w:rPr>
          <w:rFonts w:eastAsia="Times New Roman"/>
          <w:szCs w:val="24"/>
          <w:lang w:eastAsia="en-AU"/>
        </w:rPr>
        <w:t xml:space="preserve"> the parties</w:t>
      </w:r>
      <w:r w:rsidR="0084110A" w:rsidRPr="00E17E4E">
        <w:rPr>
          <w:rFonts w:eastAsia="Times New Roman"/>
          <w:szCs w:val="24"/>
          <w:lang w:eastAsia="en-AU"/>
        </w:rPr>
        <w:t xml:space="preserve"> an opportunity to object</w:t>
      </w:r>
      <w:r w:rsidR="006F6122" w:rsidRPr="00E17E4E">
        <w:rPr>
          <w:rFonts w:eastAsia="Times New Roman"/>
          <w:szCs w:val="24"/>
          <w:lang w:eastAsia="en-AU"/>
        </w:rPr>
        <w:t xml:space="preserve">, I </w:t>
      </w:r>
      <w:r w:rsidR="0084110A" w:rsidRPr="00E17E4E">
        <w:rPr>
          <w:rFonts w:eastAsia="Times New Roman"/>
          <w:szCs w:val="24"/>
          <w:lang w:eastAsia="en-AU"/>
        </w:rPr>
        <w:t xml:space="preserve">directed that the court give the ABC access to the </w:t>
      </w:r>
      <w:proofErr w:type="spellStart"/>
      <w:r w:rsidR="0084110A" w:rsidRPr="00E17E4E">
        <w:rPr>
          <w:rFonts w:eastAsia="Times New Roman"/>
          <w:szCs w:val="24"/>
          <w:lang w:eastAsia="en-AU"/>
        </w:rPr>
        <w:t>un</w:t>
      </w:r>
      <w:r w:rsidR="006F6122" w:rsidRPr="00E17E4E">
        <w:rPr>
          <w:rFonts w:eastAsia="Times New Roman"/>
          <w:szCs w:val="24"/>
          <w:lang w:eastAsia="en-AU"/>
        </w:rPr>
        <w:t>redacted</w:t>
      </w:r>
      <w:proofErr w:type="spellEnd"/>
      <w:r w:rsidR="006F6122" w:rsidRPr="00E17E4E">
        <w:rPr>
          <w:rFonts w:eastAsia="Times New Roman"/>
          <w:szCs w:val="24"/>
          <w:lang w:eastAsia="en-AU"/>
        </w:rPr>
        <w:t xml:space="preserve"> </w:t>
      </w:r>
      <w:r w:rsidR="006F6122" w:rsidRPr="00E17E4E">
        <w:rPr>
          <w:lang w:eastAsia="en-AU"/>
        </w:rPr>
        <w:t>versions</w:t>
      </w:r>
      <w:r w:rsidR="006F6122" w:rsidRPr="00E17E4E">
        <w:rPr>
          <w:rFonts w:eastAsia="Times New Roman"/>
          <w:szCs w:val="24"/>
          <w:lang w:eastAsia="en-AU"/>
        </w:rPr>
        <w:t xml:space="preserve"> of the documents</w:t>
      </w:r>
      <w:r w:rsidR="0084110A" w:rsidRPr="00E17E4E">
        <w:rPr>
          <w:rFonts w:eastAsia="Times New Roman"/>
          <w:szCs w:val="24"/>
          <w:lang w:eastAsia="en-AU"/>
        </w:rPr>
        <w:t>, at the same time making the ABC aware</w:t>
      </w:r>
      <w:r w:rsidR="006F6122" w:rsidRPr="00E17E4E">
        <w:rPr>
          <w:rFonts w:eastAsia="Times New Roman"/>
          <w:szCs w:val="24"/>
          <w:lang w:eastAsia="en-AU"/>
        </w:rPr>
        <w:t xml:space="preserve"> that the applicant had sought an interlocutory order under the </w:t>
      </w:r>
      <w:r w:rsidR="006F6122" w:rsidRPr="00E17E4E">
        <w:rPr>
          <w:rFonts w:eastAsia="Times New Roman"/>
          <w:i/>
          <w:szCs w:val="24"/>
          <w:lang w:eastAsia="en-AU"/>
        </w:rPr>
        <w:t>PID Act</w:t>
      </w:r>
      <w:r w:rsidR="006F6122" w:rsidRPr="00E17E4E">
        <w:rPr>
          <w:rFonts w:eastAsia="Times New Roman"/>
          <w:szCs w:val="24"/>
          <w:lang w:eastAsia="en-AU"/>
        </w:rPr>
        <w:t xml:space="preserve"> which </w:t>
      </w:r>
      <w:r w:rsidR="0084110A" w:rsidRPr="00E17E4E">
        <w:rPr>
          <w:rFonts w:eastAsia="Times New Roman"/>
          <w:szCs w:val="24"/>
          <w:lang w:eastAsia="en-AU"/>
        </w:rPr>
        <w:t>might</w:t>
      </w:r>
      <w:r w:rsidR="006F6122" w:rsidRPr="00E17E4E">
        <w:rPr>
          <w:rFonts w:eastAsia="Times New Roman"/>
          <w:szCs w:val="24"/>
          <w:lang w:eastAsia="en-AU"/>
        </w:rPr>
        <w:t xml:space="preserve"> affect the ABC's ability to broadcast information contained in the documents</w:t>
      </w:r>
      <w:r w:rsidR="00DE4FE8">
        <w:rPr>
          <w:rFonts w:eastAsia="Times New Roman"/>
          <w:szCs w:val="24"/>
          <w:lang w:eastAsia="en-AU"/>
        </w:rPr>
        <w:t xml:space="preserve">.  </w:t>
      </w:r>
      <w:r w:rsidR="00E17E4E">
        <w:rPr>
          <w:rFonts w:eastAsia="Times New Roman"/>
          <w:szCs w:val="24"/>
          <w:lang w:eastAsia="en-AU"/>
        </w:rPr>
        <w:t>Neither party objected to this course</w:t>
      </w:r>
      <w:r w:rsidR="00DE4FE8">
        <w:rPr>
          <w:rFonts w:eastAsia="Times New Roman"/>
          <w:szCs w:val="24"/>
          <w:lang w:eastAsia="en-AU"/>
        </w:rPr>
        <w:t xml:space="preserve">.  </w:t>
      </w:r>
      <w:r w:rsidR="0084110A" w:rsidRPr="00E17E4E">
        <w:rPr>
          <w:rFonts w:eastAsia="Times New Roman"/>
          <w:szCs w:val="24"/>
          <w:lang w:eastAsia="en-AU"/>
        </w:rPr>
        <w:t xml:space="preserve">The ABC did not, however, seek leave to appear at the hearing of </w:t>
      </w:r>
      <w:r w:rsidR="00DE3B39">
        <w:rPr>
          <w:rFonts w:eastAsia="Times New Roman"/>
          <w:szCs w:val="24"/>
          <w:lang w:eastAsia="en-AU"/>
        </w:rPr>
        <w:t>this</w:t>
      </w:r>
      <w:r w:rsidR="00F121C7">
        <w:rPr>
          <w:rFonts w:eastAsia="Times New Roman"/>
          <w:szCs w:val="24"/>
          <w:lang w:eastAsia="en-AU"/>
        </w:rPr>
        <w:t xml:space="preserve"> </w:t>
      </w:r>
      <w:r w:rsidR="0084110A" w:rsidRPr="00E17E4E">
        <w:rPr>
          <w:rFonts w:eastAsia="Times New Roman"/>
          <w:szCs w:val="24"/>
          <w:lang w:eastAsia="en-AU"/>
        </w:rPr>
        <w:t>application</w:t>
      </w:r>
      <w:r>
        <w:rPr>
          <w:rFonts w:eastAsia="Times New Roman"/>
          <w:szCs w:val="24"/>
          <w:lang w:eastAsia="en-AU"/>
        </w:rPr>
        <w:t>.</w:t>
      </w:r>
    </w:p>
    <w:p w:rsidR="00391876" w:rsidRDefault="00391876" w:rsidP="00A738EF">
      <w:pPr>
        <w:pStyle w:val="Heading2"/>
      </w:pPr>
      <w:r>
        <w:t>Disclosure of these reasons</w:t>
      </w:r>
    </w:p>
    <w:p w:rsidR="0014444E" w:rsidRDefault="00391876" w:rsidP="00B062D1">
      <w:pPr>
        <w:pStyle w:val="ParaNumbering"/>
      </w:pPr>
      <w:r>
        <w:t xml:space="preserve">At the hearing I pointed out to the parties that </w:t>
      </w:r>
      <w:r w:rsidR="0086701A">
        <w:t xml:space="preserve">things said in the course of the application and the </w:t>
      </w:r>
      <w:r>
        <w:t xml:space="preserve">publication of these reasons could, in </w:t>
      </w:r>
      <w:r w:rsidR="0086701A">
        <w:t>themselves</w:t>
      </w:r>
      <w:r>
        <w:t xml:space="preserve">, </w:t>
      </w:r>
      <w:r w:rsidR="0086701A">
        <w:t>possibly be characterised as</w:t>
      </w:r>
      <w:r>
        <w:t xml:space="preserve"> disclosure that breached s 16(3)</w:t>
      </w:r>
      <w:r w:rsidR="00DE4FE8">
        <w:t xml:space="preserve">.  </w:t>
      </w:r>
      <w:r w:rsidR="0086701A">
        <w:t xml:space="preserve">In terms of whether the prohibitions in that sub-section could apply to </w:t>
      </w:r>
      <w:r w:rsidR="00C8697A">
        <w:t>such disclosure</w:t>
      </w:r>
      <w:r w:rsidR="0086701A">
        <w:t xml:space="preserve">, counsel for the applicant referred me to </w:t>
      </w:r>
      <w:proofErr w:type="spellStart"/>
      <w:r w:rsidR="0086701A" w:rsidRPr="00BC5E00">
        <w:rPr>
          <w:i/>
        </w:rPr>
        <w:t>Kizon</w:t>
      </w:r>
      <w:proofErr w:type="spellEnd"/>
      <w:r w:rsidR="0086701A" w:rsidRPr="00BC5E00">
        <w:rPr>
          <w:i/>
        </w:rPr>
        <w:t xml:space="preserve"> v Palmer</w:t>
      </w:r>
      <w:r w:rsidR="0086701A" w:rsidRPr="00BC5E00">
        <w:t xml:space="preserve"> (1997) 72 FCR 409</w:t>
      </w:r>
      <w:r w:rsidR="00DE4FE8">
        <w:t xml:space="preserve">.  </w:t>
      </w:r>
      <w:r w:rsidR="0086701A">
        <w:t>There, Lindgren</w:t>
      </w:r>
      <w:r w:rsidR="00B2022A">
        <w:t> J (at </w:t>
      </w:r>
      <w:r w:rsidR="0086701A">
        <w:t>430</w:t>
      </w:r>
      <w:r w:rsidR="00B2022A">
        <w:noBreakHyphen/>
        <w:t>431, Jenkinson and Kiefel </w:t>
      </w:r>
      <w:r w:rsidR="0086701A">
        <w:t>JJ agreeing) discussed a number of authorities to the effect that statutory provisions restricting disclosure of information to 'persons' have consistently been construed as not prohibiting disclosure to courts</w:t>
      </w:r>
      <w:r w:rsidR="00DE4FE8">
        <w:t xml:space="preserve">.  </w:t>
      </w:r>
      <w:r w:rsidR="00C8697A">
        <w:t>That is because</w:t>
      </w:r>
      <w:r w:rsidR="00B2022A">
        <w:t xml:space="preserve"> courts, in the words of Dixon </w:t>
      </w:r>
      <w:r w:rsidR="0086701A">
        <w:t xml:space="preserve">CJ in </w:t>
      </w:r>
      <w:r w:rsidR="0086701A" w:rsidRPr="00BA46F0">
        <w:rPr>
          <w:i/>
        </w:rPr>
        <w:t>Canadian Pacific Tobacco</w:t>
      </w:r>
      <w:r w:rsidR="009F76F1">
        <w:rPr>
          <w:i/>
        </w:rPr>
        <w:t xml:space="preserve"> Co Ltd v Stapleton </w:t>
      </w:r>
      <w:r w:rsidR="009F76F1">
        <w:t>(1952) 86 CLR 1</w:t>
      </w:r>
      <w:r w:rsidR="009C3E26">
        <w:t xml:space="preserve"> at </w:t>
      </w:r>
      <w:r w:rsidR="0086701A">
        <w:t>6, 'would hardly be called persons'</w:t>
      </w:r>
      <w:r w:rsidR="00DE4FE8">
        <w:t xml:space="preserve">.  </w:t>
      </w:r>
      <w:r w:rsidR="009C3E26">
        <w:t>Lindgren </w:t>
      </w:r>
      <w:r w:rsidR="0086701A">
        <w:t>J concluded that in contexts such as the present, a court is not a 'person'</w:t>
      </w:r>
      <w:r w:rsidR="009C3E26">
        <w:t>.</w:t>
      </w:r>
    </w:p>
    <w:p w:rsidR="00C8697A" w:rsidRDefault="0086701A" w:rsidP="0014444E">
      <w:pPr>
        <w:pStyle w:val="ParaNumbering"/>
      </w:pPr>
      <w:r>
        <w:lastRenderedPageBreak/>
        <w:t xml:space="preserve">In my view it follows that any person involved in the publication of these reasons </w:t>
      </w:r>
      <w:r w:rsidR="00EF2F88">
        <w:t>will</w:t>
      </w:r>
      <w:r>
        <w:t xml:space="preserve"> not contravene s 16(3)</w:t>
      </w:r>
      <w:r w:rsidR="00C8697A">
        <w:t xml:space="preserve"> of the </w:t>
      </w:r>
      <w:r w:rsidR="00C8697A" w:rsidRPr="00C8697A">
        <w:rPr>
          <w:i/>
        </w:rPr>
        <w:t>PID Act</w:t>
      </w:r>
      <w:r>
        <w:t xml:space="preserve">, even </w:t>
      </w:r>
      <w:r w:rsidR="00EF2F88">
        <w:t>though</w:t>
      </w:r>
      <w:r>
        <w:t xml:space="preserve"> the reasons </w:t>
      </w:r>
      <w:r w:rsidR="00DB0DAA">
        <w:t xml:space="preserve">(at least) </w:t>
      </w:r>
      <w:r>
        <w:t xml:space="preserve">tend to identify a person in respect of whom </w:t>
      </w:r>
      <w:r w:rsidR="0014444E">
        <w:t xml:space="preserve">a disclosure of public information has been made under the </w:t>
      </w:r>
      <w:r w:rsidR="0014444E" w:rsidRPr="00B062D1">
        <w:rPr>
          <w:i/>
        </w:rPr>
        <w:t>PID Act</w:t>
      </w:r>
      <w:r w:rsidR="00DE4FE8">
        <w:t xml:space="preserve">.  </w:t>
      </w:r>
      <w:r w:rsidR="00C8697A">
        <w:t>While the au</w:t>
      </w:r>
      <w:r w:rsidR="009C3E26">
        <w:t>thorities discussed by Lindgren </w:t>
      </w:r>
      <w:r w:rsidR="00C8697A">
        <w:t xml:space="preserve">J deal with disclosure </w:t>
      </w:r>
      <w:r w:rsidR="00C8697A">
        <w:rPr>
          <w:i/>
        </w:rPr>
        <w:t xml:space="preserve">to </w:t>
      </w:r>
      <w:r w:rsidR="00C8697A">
        <w:t>a court</w:t>
      </w:r>
      <w:r w:rsidR="00C8697A" w:rsidRPr="00C8697A">
        <w:t xml:space="preserve">, it can hardly be said that </w:t>
      </w:r>
      <w:r w:rsidR="00C8697A">
        <w:t xml:space="preserve">any stricter view could be taken as to disclosure </w:t>
      </w:r>
      <w:r w:rsidR="00C8697A" w:rsidRPr="00C8697A">
        <w:rPr>
          <w:i/>
        </w:rPr>
        <w:t>by</w:t>
      </w:r>
      <w:r w:rsidR="00C8697A">
        <w:t xml:space="preserve"> a court</w:t>
      </w:r>
      <w:r w:rsidR="00DE4FE8">
        <w:t xml:space="preserve">.  </w:t>
      </w:r>
      <w:r w:rsidR="00C8697A">
        <w:t>There is therefore no need for me to consider such constitutional issues as might otherwise arise out of construing s 16(3) as potentially prohibiting disclosure of information by officers of this court</w:t>
      </w:r>
      <w:r w:rsidR="009C3E26">
        <w:t>.</w:t>
      </w:r>
    </w:p>
    <w:p w:rsidR="0014444E" w:rsidRDefault="00BC701D" w:rsidP="00DE4FE8">
      <w:pPr>
        <w:pStyle w:val="ParaNumbering"/>
      </w:pPr>
      <w:r>
        <w:t>T</w:t>
      </w:r>
      <w:r w:rsidR="00C8697A">
        <w:t>hat</w:t>
      </w:r>
      <w:r w:rsidR="0014444E">
        <w:t xml:space="preserve"> view of the usual meaning of 'person' does not necessarily prevent a party or other person who discloses the content of these reasons </w:t>
      </w:r>
      <w:r w:rsidR="00B062D1">
        <w:t xml:space="preserve">after publication </w:t>
      </w:r>
      <w:r w:rsidR="00434310">
        <w:t>from breaching s 16(3)</w:t>
      </w:r>
      <w:r w:rsidR="00DE4FE8">
        <w:t xml:space="preserve">.  </w:t>
      </w:r>
      <w:r w:rsidR="00C8697A">
        <w:t>Nevertheless</w:t>
      </w:r>
      <w:r w:rsidR="00A848A9">
        <w:t>,</w:t>
      </w:r>
      <w:r w:rsidR="00B062D1">
        <w:t xml:space="preserve"> </w:t>
      </w:r>
      <w:r w:rsidR="00DB0DAA">
        <w:t>the only person (other than the applicant) whom these reasons tend to identify within the meaning of s 16(3) is the University</w:t>
      </w:r>
      <w:r w:rsidR="00DE4FE8">
        <w:t xml:space="preserve">.  </w:t>
      </w:r>
      <w:r w:rsidR="00DB0DAA">
        <w:t>I</w:t>
      </w:r>
      <w:r>
        <w:t>n the course of oral submissions</w:t>
      </w:r>
      <w:r w:rsidR="00DB0DAA">
        <w:t>,</w:t>
      </w:r>
      <w:r>
        <w:t xml:space="preserve"> </w:t>
      </w:r>
      <w:r w:rsidR="00B062D1">
        <w:t>th</w:t>
      </w:r>
      <w:r>
        <w:t xml:space="preserve">e University helpfully indicated </w:t>
      </w:r>
      <w:r w:rsidR="00B062D1">
        <w:t xml:space="preserve">that it consents to </w:t>
      </w:r>
      <w:r w:rsidR="00DB0DAA">
        <w:t>the disclosure of information in, or by way of, these reasons</w:t>
      </w:r>
      <w:r w:rsidR="00DE4FE8">
        <w:t xml:space="preserve">.  </w:t>
      </w:r>
      <w:r w:rsidR="00DB0DAA">
        <w:t xml:space="preserve">Therefore, anyone disclosing these reasons or </w:t>
      </w:r>
      <w:r w:rsidR="00FB3B67">
        <w:t xml:space="preserve">the </w:t>
      </w:r>
      <w:r w:rsidR="00DB0DAA">
        <w:t>information</w:t>
      </w:r>
      <w:r w:rsidR="00130955">
        <w:t xml:space="preserve"> contained</w:t>
      </w:r>
      <w:r w:rsidR="00DB0DAA">
        <w:t xml:space="preserve"> in them will not, solely by </w:t>
      </w:r>
      <w:r w:rsidR="00AB5165">
        <w:t>making that disclosure</w:t>
      </w:r>
      <w:r w:rsidR="00DB0DAA">
        <w:t>, breach s 16(3)</w:t>
      </w:r>
      <w:r w:rsidR="00C8697A">
        <w:t>.</w:t>
      </w:r>
    </w:p>
    <w:p w:rsidR="00E20C5A" w:rsidRDefault="00E20C5A" w:rsidP="00E20C5A">
      <w:pPr>
        <w:pStyle w:val="Heading2"/>
      </w:pPr>
      <w:r>
        <w:t>Source</w:t>
      </w:r>
      <w:r w:rsidR="00F3336C">
        <w:t>, nature</w:t>
      </w:r>
      <w:r>
        <w:t xml:space="preserve"> </w:t>
      </w:r>
      <w:r w:rsidR="00F3336C">
        <w:t xml:space="preserve">and </w:t>
      </w:r>
      <w:r w:rsidR="00706263">
        <w:t>limits</w:t>
      </w:r>
      <w:r w:rsidR="00F3336C">
        <w:t xml:space="preserve"> </w:t>
      </w:r>
      <w:r>
        <w:t>of power</w:t>
      </w:r>
    </w:p>
    <w:p w:rsidR="00E20C5A" w:rsidRDefault="009C3E26" w:rsidP="00C8697A">
      <w:pPr>
        <w:pStyle w:val="ParaNumbering"/>
      </w:pPr>
      <w:r>
        <w:t>When I made the orders on 5 June and 19 </w:t>
      </w:r>
      <w:r w:rsidR="00E20C5A">
        <w:t xml:space="preserve">June 2019, I did so pursuant to s 23 of the </w:t>
      </w:r>
      <w:r>
        <w:rPr>
          <w:i/>
        </w:rPr>
        <w:t xml:space="preserve">Federal </w:t>
      </w:r>
      <w:r w:rsidR="00611456" w:rsidRPr="009C3E26">
        <w:rPr>
          <w:i/>
        </w:rPr>
        <w:t>Court Act</w:t>
      </w:r>
      <w:r w:rsidR="00E20C5A">
        <w:t>, which empowers the court, in relation to matters in which it has jurisdiction, to make orders of such kinds, including interlocutory orders, a</w:t>
      </w:r>
      <w:r w:rsidR="004A28CA">
        <w:t>s the court thinks appropriate</w:t>
      </w:r>
      <w:r w:rsidR="00DE4FE8">
        <w:t xml:space="preserve">.  </w:t>
      </w:r>
      <w:r w:rsidR="004A28CA">
        <w:t>There was no controversy at the hearing that this was a relevant source of power</w:t>
      </w:r>
      <w:r w:rsidR="00706263">
        <w:t xml:space="preserve"> to make the order sought</w:t>
      </w:r>
      <w:r w:rsidR="004A28CA">
        <w:t xml:space="preserve">, and that an order made pursuant </w:t>
      </w:r>
      <w:r w:rsidR="00C612B6">
        <w:t xml:space="preserve">to it </w:t>
      </w:r>
      <w:r w:rsidR="004A28CA">
        <w:t>may have consequences under s 16(3)</w:t>
      </w:r>
      <w:r w:rsidR="00F3336C">
        <w:t>(e)</w:t>
      </w:r>
      <w:r w:rsidR="004A28CA">
        <w:t xml:space="preserve"> of the </w:t>
      </w:r>
      <w:r w:rsidR="004A28CA" w:rsidRPr="00F3336C">
        <w:rPr>
          <w:i/>
        </w:rPr>
        <w:t>PID Act</w:t>
      </w:r>
      <w:r w:rsidR="004A28CA">
        <w:t xml:space="preserve">, in the sense that </w:t>
      </w:r>
      <w:r w:rsidR="00F3336C">
        <w:t>any disclosure made in accordance with the order will not breach the prohibition in s 16(3)</w:t>
      </w:r>
      <w:r>
        <w:t>.</w:t>
      </w:r>
    </w:p>
    <w:p w:rsidR="00706263" w:rsidRDefault="00F3336C" w:rsidP="00C8697A">
      <w:pPr>
        <w:pStyle w:val="ParaNumbering"/>
      </w:pPr>
      <w:r>
        <w:t xml:space="preserve">It </w:t>
      </w:r>
      <w:r w:rsidR="00706263">
        <w:t xml:space="preserve">was also uncontroversial that, whatever the source, the power </w:t>
      </w:r>
      <w:r w:rsidR="00755019">
        <w:t xml:space="preserve">is </w:t>
      </w:r>
      <w:r w:rsidR="00706263">
        <w:t>discretionary</w:t>
      </w:r>
      <w:r w:rsidR="009C3E26">
        <w:t>.</w:t>
      </w:r>
    </w:p>
    <w:p w:rsidR="00706263" w:rsidRDefault="00706263" w:rsidP="00706263">
      <w:pPr>
        <w:pStyle w:val="ParaNumbering"/>
      </w:pPr>
      <w:r>
        <w:t xml:space="preserve">Submissions were, however, directed to </w:t>
      </w:r>
      <w:r w:rsidR="00C52400" w:rsidRPr="00F42208">
        <w:t>three</w:t>
      </w:r>
      <w:r w:rsidRPr="00F42208">
        <w:t xml:space="preserve"> further matters, one concern</w:t>
      </w:r>
      <w:r w:rsidR="00CC62FD" w:rsidRPr="00F42208">
        <w:t>ing</w:t>
      </w:r>
      <w:r w:rsidRPr="00F42208">
        <w:t xml:space="preserve"> an alternative source of the power and the other </w:t>
      </w:r>
      <w:r w:rsidR="00C52400" w:rsidRPr="00F42208">
        <w:t xml:space="preserve">two </w:t>
      </w:r>
      <w:r w:rsidRPr="00F42208">
        <w:t>concerning the</w:t>
      </w:r>
      <w:r>
        <w:t xml:space="preserve"> limits of the power</w:t>
      </w:r>
      <w:r w:rsidR="009C3E26">
        <w:t>.</w:t>
      </w:r>
    </w:p>
    <w:p w:rsidR="005F6F19" w:rsidRPr="0032289C" w:rsidRDefault="00706263" w:rsidP="00706263">
      <w:pPr>
        <w:pStyle w:val="ParaNumbering"/>
      </w:pPr>
      <w:r w:rsidRPr="0032289C">
        <w:t>In relation to the first</w:t>
      </w:r>
      <w:r w:rsidR="00611456" w:rsidRPr="0032289C">
        <w:t xml:space="preserve"> of these</w:t>
      </w:r>
      <w:r w:rsidRPr="0032289C">
        <w:t>, counsel fo</w:t>
      </w:r>
      <w:r w:rsidR="00611456" w:rsidRPr="0032289C">
        <w:t>r the applicant submitted that</w:t>
      </w:r>
      <w:r w:rsidRPr="0032289C">
        <w:t xml:space="preserve"> power to make the order could be found in s 16(3)(e)</w:t>
      </w:r>
      <w:r w:rsidR="00611456" w:rsidRPr="0032289C">
        <w:t xml:space="preserve"> if the </w:t>
      </w:r>
      <w:r w:rsidR="00611456" w:rsidRPr="0032289C">
        <w:rPr>
          <w:i/>
        </w:rPr>
        <w:t>PID Act</w:t>
      </w:r>
      <w:r w:rsidRPr="0032289C">
        <w:t xml:space="preserve"> itself, independently of s 23 of the </w:t>
      </w:r>
      <w:r w:rsidRPr="0032289C">
        <w:rPr>
          <w:i/>
        </w:rPr>
        <w:t>Federal Court Act</w:t>
      </w:r>
      <w:r w:rsidR="00DE4FE8" w:rsidRPr="0032289C">
        <w:t xml:space="preserve">.  </w:t>
      </w:r>
      <w:r w:rsidRPr="0032289C">
        <w:t xml:space="preserve">This, it was said, follows from </w:t>
      </w:r>
      <w:r w:rsidR="009C3E26" w:rsidRPr="0032289C">
        <w:t>Dixon </w:t>
      </w:r>
      <w:r w:rsidR="00611456" w:rsidRPr="0032289C">
        <w:t>J's</w:t>
      </w:r>
      <w:r w:rsidRPr="0032289C">
        <w:t xml:space="preserve"> recognition in </w:t>
      </w:r>
      <w:r w:rsidR="00A259FE" w:rsidRPr="0032289C">
        <w:rPr>
          <w:i/>
        </w:rPr>
        <w:t>R</w:t>
      </w:r>
      <w:r w:rsidRPr="0032289C">
        <w:rPr>
          <w:i/>
        </w:rPr>
        <w:t xml:space="preserve"> v Commonwealth Court of Conciliation and Arbitration; Ex parte Barrett</w:t>
      </w:r>
      <w:r w:rsidR="00C752CC" w:rsidRPr="0032289C">
        <w:t xml:space="preserve"> (1945) 70 CLR 141</w:t>
      </w:r>
      <w:r w:rsidRPr="0032289C">
        <w:t xml:space="preserve"> </w:t>
      </w:r>
      <w:r w:rsidR="009C3E26" w:rsidRPr="0032289C">
        <w:t>at </w:t>
      </w:r>
      <w:r w:rsidRPr="0032289C">
        <w:t xml:space="preserve">165 </w:t>
      </w:r>
      <w:r w:rsidR="00611456" w:rsidRPr="0032289C">
        <w:t>that</w:t>
      </w:r>
      <w:r w:rsidRPr="0032289C">
        <w:t xml:space="preserve"> </w:t>
      </w:r>
      <w:r w:rsidR="00BC701D" w:rsidRPr="0032289C">
        <w:t>some</w:t>
      </w:r>
      <w:r w:rsidRPr="00C51B53">
        <w:t xml:space="preserve"> provision</w:t>
      </w:r>
      <w:r w:rsidR="00611456" w:rsidRPr="00C51B53">
        <w:t>s</w:t>
      </w:r>
      <w:r w:rsidRPr="00C51B53">
        <w:t xml:space="preserve"> 'must be taken to perform a double function', in that </w:t>
      </w:r>
      <w:r w:rsidR="00611456" w:rsidRPr="0032289C">
        <w:t>they both deal</w:t>
      </w:r>
      <w:r w:rsidRPr="0032289C">
        <w:t xml:space="preserve"> with subst</w:t>
      </w:r>
      <w:r w:rsidR="00BC701D" w:rsidRPr="0032289C">
        <w:t>antive legal relations and give</w:t>
      </w:r>
      <w:r w:rsidRPr="0032289C">
        <w:t xml:space="preserve"> jurisdiction with reference to them</w:t>
      </w:r>
      <w:r w:rsidR="00DE4FE8" w:rsidRPr="0032289C">
        <w:t xml:space="preserve">.  </w:t>
      </w:r>
      <w:r w:rsidRPr="0032289C">
        <w:t xml:space="preserve">Counsel also referred to cases decided </w:t>
      </w:r>
      <w:r w:rsidRPr="0032289C">
        <w:lastRenderedPageBreak/>
        <w:t xml:space="preserve">in relation to non-disclosure provisions in the </w:t>
      </w:r>
      <w:r w:rsidRPr="0032289C">
        <w:rPr>
          <w:i/>
        </w:rPr>
        <w:t>Witness Protection Act 1991</w:t>
      </w:r>
      <w:r w:rsidRPr="0032289C">
        <w:t xml:space="preserve"> (Vic), where it has been held that s 10(7) of that Act, by force of which th</w:t>
      </w:r>
      <w:r w:rsidR="00611456" w:rsidRPr="0032289C">
        <w:t>os</w:t>
      </w:r>
      <w:r w:rsidRPr="0032289C">
        <w:t xml:space="preserve">e provisions do not apply to 'a disclosure that is authorised or required by an order of the Supreme Court', </w:t>
      </w:r>
      <w:r w:rsidR="005F6F19" w:rsidRPr="0032289C">
        <w:t>empowers that court to make an order authorising disclosure</w:t>
      </w:r>
      <w:r w:rsidR="00DE4FE8" w:rsidRPr="0032289C">
        <w:t xml:space="preserve">:  </w:t>
      </w:r>
      <w:r w:rsidR="005F6F19" w:rsidRPr="0032289C">
        <w:t>see</w:t>
      </w:r>
      <w:r w:rsidR="00D22F79" w:rsidRPr="0032289C">
        <w:t xml:space="preserve"> </w:t>
      </w:r>
      <w:r w:rsidR="00D22F79" w:rsidRPr="00B323D4">
        <w:rPr>
          <w:i/>
        </w:rPr>
        <w:t>Chief Commissioner of Police v ABC</w:t>
      </w:r>
      <w:r w:rsidR="00D22F79" w:rsidRPr="00B323D4">
        <w:t xml:space="preserve"> (2010) 31 VR 176</w:t>
      </w:r>
      <w:r w:rsidR="00DD7528">
        <w:t>;</w:t>
      </w:r>
      <w:r w:rsidR="00D22F79" w:rsidRPr="0032289C">
        <w:t xml:space="preserve"> </w:t>
      </w:r>
      <w:r w:rsidR="00D22F79" w:rsidRPr="00B323D4">
        <w:rPr>
          <w:i/>
        </w:rPr>
        <w:t>Re an Application under section 10 of the Witness Protection Act 1991</w:t>
      </w:r>
      <w:r w:rsidR="00D22F79" w:rsidRPr="00B323D4">
        <w:t xml:space="preserve"> [2018] VSC 810</w:t>
      </w:r>
      <w:r w:rsidR="00DD7528">
        <w:t>;</w:t>
      </w:r>
      <w:r w:rsidR="00D22F79" w:rsidRPr="0032289C">
        <w:t xml:space="preserve"> and</w:t>
      </w:r>
      <w:r w:rsidR="00DF2394" w:rsidRPr="0032289C">
        <w:t xml:space="preserve"> </w:t>
      </w:r>
      <w:r w:rsidR="00DF2394" w:rsidRPr="00B323D4">
        <w:rPr>
          <w:i/>
        </w:rPr>
        <w:t>Chairperson of the Royal Commission into the Management of Police Informants v Chief Commissioner of Victoria Police</w:t>
      </w:r>
      <w:r w:rsidR="00DF2394" w:rsidRPr="00B323D4">
        <w:t xml:space="preserve"> [2019] VSCA 154</w:t>
      </w:r>
      <w:r w:rsidR="00D22F79" w:rsidRPr="0032289C">
        <w:t>.</w:t>
      </w:r>
    </w:p>
    <w:p w:rsidR="005F6F19" w:rsidRDefault="005F6F19" w:rsidP="00706263">
      <w:pPr>
        <w:pStyle w:val="ParaNumbering"/>
      </w:pPr>
      <w:r>
        <w:t>I have doubts about the applicability of these cases to the present situation</w:t>
      </w:r>
      <w:r w:rsidR="00DE4FE8">
        <w:t xml:space="preserve">.  </w:t>
      </w:r>
      <w:r>
        <w:t xml:space="preserve">In </w:t>
      </w:r>
      <w:r w:rsidR="0043101D">
        <w:rPr>
          <w:i/>
        </w:rPr>
        <w:t>Ex parte</w:t>
      </w:r>
      <w:r w:rsidRPr="005F6F19">
        <w:rPr>
          <w:i/>
        </w:rPr>
        <w:t xml:space="preserve"> Barrett</w:t>
      </w:r>
      <w:r>
        <w:t xml:space="preserve">, the provision in question (s 58E of the </w:t>
      </w:r>
      <w:r w:rsidRPr="00BA46F0">
        <w:rPr>
          <w:i/>
        </w:rPr>
        <w:t>Commonwealth Conciliation and Arbitration Act 1904</w:t>
      </w:r>
      <w:r w:rsidR="009C3E26" w:rsidRPr="00BA46F0">
        <w:rPr>
          <w:i/>
        </w:rPr>
        <w:t xml:space="preserve"> </w:t>
      </w:r>
      <w:r w:rsidRPr="00BA46F0">
        <w:t>(Cth)</w:t>
      </w:r>
      <w:r>
        <w:t>) expressly authorised the giving of directions</w:t>
      </w:r>
      <w:r w:rsidR="00DE4FE8">
        <w:t xml:space="preserve">.  </w:t>
      </w:r>
      <w:r w:rsidR="00045667">
        <w:t xml:space="preserve">The creation of substantive liabilities or substantive legal relations was the </w:t>
      </w:r>
      <w:r>
        <w:t>unexpressed second fu</w:t>
      </w:r>
      <w:r w:rsidR="00045667">
        <w:t>nction in the 'double function'</w:t>
      </w:r>
      <w:r w:rsidR="00DE4FE8">
        <w:t xml:space="preserve">.  </w:t>
      </w:r>
      <w:r w:rsidR="003A6B43">
        <w:t>So</w:t>
      </w:r>
      <w:r>
        <w:t xml:space="preserve"> it was the inverse of </w:t>
      </w:r>
      <w:r w:rsidR="003A6B43">
        <w:t xml:space="preserve">s 16(3) of the </w:t>
      </w:r>
      <w:r w:rsidR="003A6B43" w:rsidRPr="009C3E26">
        <w:rPr>
          <w:i/>
        </w:rPr>
        <w:t>PID Act</w:t>
      </w:r>
      <w:r>
        <w:t xml:space="preserve">, where </w:t>
      </w:r>
      <w:r w:rsidR="003A6B43">
        <w:t xml:space="preserve">it is </w:t>
      </w:r>
      <w:r>
        <w:t xml:space="preserve">the substantive liability (prohibition) </w:t>
      </w:r>
      <w:r w:rsidR="003A6B43">
        <w:t xml:space="preserve">that is express, </w:t>
      </w:r>
      <w:r>
        <w:t xml:space="preserve">and the </w:t>
      </w:r>
      <w:r w:rsidR="00FF723D">
        <w:t>authorisation</w:t>
      </w:r>
      <w:r>
        <w:t xml:space="preserve"> (power) that is not</w:t>
      </w:r>
      <w:r w:rsidR="009C3E26">
        <w:t>.</w:t>
      </w:r>
    </w:p>
    <w:p w:rsidR="00706263" w:rsidRPr="0032289C" w:rsidRDefault="005F6F19" w:rsidP="003A6B43">
      <w:pPr>
        <w:pStyle w:val="ParaNumbering"/>
      </w:pPr>
      <w:r w:rsidRPr="0032289C">
        <w:t xml:space="preserve">I also do not consider that s 10(7) of the </w:t>
      </w:r>
      <w:r w:rsidRPr="0032289C">
        <w:rPr>
          <w:i/>
        </w:rPr>
        <w:t>Witness Protection Act</w:t>
      </w:r>
      <w:r w:rsidRPr="0032289C">
        <w:t xml:space="preserve"> is on all fours with s 16(3)(e) of the </w:t>
      </w:r>
      <w:r w:rsidRPr="0032289C">
        <w:rPr>
          <w:i/>
        </w:rPr>
        <w:t>PID Act</w:t>
      </w:r>
      <w:r w:rsidR="00DE4FE8" w:rsidRPr="0032289C">
        <w:t xml:space="preserve">.  </w:t>
      </w:r>
      <w:r w:rsidR="005847E7" w:rsidRPr="0032289C">
        <w:t xml:space="preserve">While the part of </w:t>
      </w:r>
      <w:r w:rsidR="002F49F7">
        <w:t>s 10(7)</w:t>
      </w:r>
      <w:r w:rsidR="005847E7" w:rsidRPr="0032289C">
        <w:t xml:space="preserve"> I have quoted does not expressly empower the Supreme Court of Victoria to make an order authorising or requiring disclosure, it does </w:t>
      </w:r>
      <w:r w:rsidR="00400176">
        <w:t>clearly</w:t>
      </w:r>
      <w:r w:rsidR="00400176" w:rsidRPr="0032289C">
        <w:t xml:space="preserve"> </w:t>
      </w:r>
      <w:r w:rsidR="005847E7" w:rsidRPr="0032289C">
        <w:t>contemplate that that particular court will make an order that authorises or requires disclosure for the specific purpose of s 10(7)</w:t>
      </w:r>
      <w:r w:rsidR="00400176">
        <w:t>.</w:t>
      </w:r>
      <w:r w:rsidR="00DE4FE8" w:rsidRPr="00C51B53">
        <w:t xml:space="preserve">  </w:t>
      </w:r>
      <w:r w:rsidR="005847E7" w:rsidRPr="00C51B53">
        <w:t>Section</w:t>
      </w:r>
      <w:r w:rsidR="009C3E26" w:rsidRPr="00C51B53">
        <w:t> </w:t>
      </w:r>
      <w:r w:rsidR="005847E7" w:rsidRPr="00C51B53">
        <w:t>16(3)</w:t>
      </w:r>
      <w:r w:rsidR="00D60D69" w:rsidRPr="00C51B53">
        <w:t>(e)</w:t>
      </w:r>
      <w:r w:rsidR="005847E7" w:rsidRPr="00C51B53">
        <w:t xml:space="preserve"> of the </w:t>
      </w:r>
      <w:r w:rsidR="005847E7" w:rsidRPr="00C51B53">
        <w:rPr>
          <w:i/>
        </w:rPr>
        <w:t>PID Act</w:t>
      </w:r>
      <w:r w:rsidR="005847E7" w:rsidRPr="00C51B53">
        <w:t xml:space="preserve"> is less direct</w:t>
      </w:r>
      <w:r w:rsidR="00DE4FE8" w:rsidRPr="00C51B53">
        <w:t xml:space="preserve">.  </w:t>
      </w:r>
      <w:r w:rsidR="005847E7" w:rsidRPr="00C51B53">
        <w:t>It only contemplates that an order has been made, seemingly by any court</w:t>
      </w:r>
      <w:r w:rsidR="003A6B43" w:rsidRPr="0032289C">
        <w:t xml:space="preserve"> for any purpose</w:t>
      </w:r>
      <w:r w:rsidR="005847E7" w:rsidRPr="0032289C">
        <w:t>, and that disclosure may occur 'in accordance with' that order</w:t>
      </w:r>
      <w:r w:rsidR="00DE4FE8" w:rsidRPr="0032289C">
        <w:t xml:space="preserve">.  </w:t>
      </w:r>
      <w:r w:rsidR="003A6B43" w:rsidRPr="0032289C">
        <w:t xml:space="preserve">Compared to s 10(7) of the </w:t>
      </w:r>
      <w:r w:rsidR="003A6B43" w:rsidRPr="0032289C">
        <w:rPr>
          <w:i/>
        </w:rPr>
        <w:t>Witness Protection Act</w:t>
      </w:r>
      <w:r w:rsidR="003A6B43" w:rsidRPr="0032289C">
        <w:t xml:space="preserve">, the </w:t>
      </w:r>
      <w:r w:rsidR="005847E7" w:rsidRPr="0032289C">
        <w:t>step from there to a conclusion that the section itself authorises the order</w:t>
      </w:r>
      <w:r w:rsidR="003A6B43" w:rsidRPr="0032289C">
        <w:t xml:space="preserve"> is a longer one to </w:t>
      </w:r>
      <w:r w:rsidR="00FF723D" w:rsidRPr="0032289C">
        <w:t>t</w:t>
      </w:r>
      <w:r w:rsidR="003A6B43" w:rsidRPr="0032289C">
        <w:t>ake</w:t>
      </w:r>
      <w:r w:rsidR="009C3E26" w:rsidRPr="0032289C">
        <w:t>.</w:t>
      </w:r>
    </w:p>
    <w:p w:rsidR="00940DF0" w:rsidRDefault="005847E7" w:rsidP="00A2661C">
      <w:pPr>
        <w:pStyle w:val="ParaNumbering"/>
      </w:pPr>
      <w:r>
        <w:t xml:space="preserve">The second matter concerning the power to make the order on which I received submissions concerned the extent to which the </w:t>
      </w:r>
      <w:r w:rsidRPr="009C3E26">
        <w:rPr>
          <w:i/>
        </w:rPr>
        <w:t>PID Act</w:t>
      </w:r>
      <w:r>
        <w:t xml:space="preserve"> limited the discretion</w:t>
      </w:r>
      <w:r w:rsidR="00DE4FE8">
        <w:t xml:space="preserve">.  </w:t>
      </w:r>
      <w:r>
        <w:t xml:space="preserve">If in truth a source of the discretion </w:t>
      </w:r>
      <w:r w:rsidR="003A6B43">
        <w:t xml:space="preserve">exists </w:t>
      </w:r>
      <w:r>
        <w:t>in that Act, then to that extent</w:t>
      </w:r>
      <w:r w:rsidR="003A6B43">
        <w:t>,</w:t>
      </w:r>
      <w:r w:rsidR="00A77A4B">
        <w:t xml:space="preserve"> express and implied limitations found in</w:t>
      </w:r>
      <w:r>
        <w:t xml:space="preserve"> the Act must limit the </w:t>
      </w:r>
      <w:r w:rsidR="00A77A4B">
        <w:t>discretion</w:t>
      </w:r>
      <w:r w:rsidR="00DE4FE8">
        <w:t xml:space="preserve">.  </w:t>
      </w:r>
      <w:r>
        <w:t xml:space="preserve">That </w:t>
      </w:r>
      <w:r w:rsidR="00A77A4B">
        <w:t>follows</w:t>
      </w:r>
      <w:r>
        <w:t xml:space="preserve"> from the basic principle that s 16(3)(e) must be construed in the context of the Act as a whole</w:t>
      </w:r>
      <w:r w:rsidR="00DE4FE8">
        <w:t xml:space="preserve">.  </w:t>
      </w:r>
      <w:r>
        <w:t xml:space="preserve">If, however, s 23 of the </w:t>
      </w:r>
      <w:r w:rsidRPr="00940DF0">
        <w:rPr>
          <w:i/>
        </w:rPr>
        <w:t>Federal Court Act</w:t>
      </w:r>
      <w:r>
        <w:t xml:space="preserve"> is the source of the power, </w:t>
      </w:r>
      <w:r w:rsidR="00AD796E">
        <w:t xml:space="preserve">there </w:t>
      </w:r>
      <w:r w:rsidR="00C52400">
        <w:t xml:space="preserve">is a question as to whether the discretion is relevantly limited by the </w:t>
      </w:r>
      <w:r w:rsidR="00C52400" w:rsidRPr="009C3E26">
        <w:rPr>
          <w:i/>
        </w:rPr>
        <w:t>PID Act</w:t>
      </w:r>
      <w:r w:rsidR="009C3E26">
        <w:t>.</w:t>
      </w:r>
    </w:p>
    <w:p w:rsidR="005847E7" w:rsidRDefault="00A77A4B" w:rsidP="00A2661C">
      <w:pPr>
        <w:pStyle w:val="ParaNumbering"/>
      </w:pPr>
      <w:r>
        <w:t xml:space="preserve">In </w:t>
      </w:r>
      <w:r w:rsidRPr="00BC5E00">
        <w:rPr>
          <w:i/>
        </w:rPr>
        <w:t>Parker v Australian Building and Construction Commissioner</w:t>
      </w:r>
      <w:r w:rsidRPr="00BC5E00">
        <w:t xml:space="preserve"> [2019] FCAFC 56; (2019) 365 ALR 402</w:t>
      </w:r>
      <w:r>
        <w:t xml:space="preserve"> the Full Court had occasion to consider whether s 23 </w:t>
      </w:r>
      <w:r w:rsidR="00012EC1">
        <w:t xml:space="preserve">of the </w:t>
      </w:r>
      <w:r w:rsidR="00012EC1" w:rsidRPr="00BA46F0">
        <w:rPr>
          <w:i/>
        </w:rPr>
        <w:t>Federal Court Act</w:t>
      </w:r>
      <w:r w:rsidR="00012EC1">
        <w:t xml:space="preserve"> </w:t>
      </w:r>
      <w:r>
        <w:t xml:space="preserve">empowered the court to make an order requiring the publication of an advertisement in relation </w:t>
      </w:r>
      <w:r>
        <w:lastRenderedPageBreak/>
        <w:t xml:space="preserve">to conduct that contravened the </w:t>
      </w:r>
      <w:r w:rsidRPr="00940DF0">
        <w:rPr>
          <w:i/>
        </w:rPr>
        <w:t>Fair Work Act</w:t>
      </w:r>
      <w:r w:rsidR="00DE4FE8">
        <w:t xml:space="preserve">.  </w:t>
      </w:r>
      <w:r w:rsidR="009C3E26">
        <w:t>Besanko and Bromwich JJ (Reeves </w:t>
      </w:r>
      <w:r>
        <w:t xml:space="preserve">J agreeing) held that </w:t>
      </w:r>
      <w:r w:rsidR="009C3E26">
        <w:t>it did, observing (at [371]) that '[t]he terms of s </w:t>
      </w:r>
      <w:r w:rsidR="00940DF0">
        <w:t>23, whilst not at large, are substantially unfettered in relation to matters in which this Court has jurisdiction, as the Court thinks appropriate.'  Their</w:t>
      </w:r>
      <w:r w:rsidR="009C3E26">
        <w:t> </w:t>
      </w:r>
      <w:r w:rsidR="00940DF0">
        <w:t>Hono</w:t>
      </w:r>
      <w:r w:rsidR="009C3E26">
        <w:t>urs went on to say, however (at </w:t>
      </w:r>
      <w:r w:rsidR="00940DF0">
        <w:t>[376]) that:</w:t>
      </w:r>
    </w:p>
    <w:p w:rsidR="00940DF0" w:rsidRDefault="00940DF0" w:rsidP="009C3E26">
      <w:pPr>
        <w:pStyle w:val="Quote1"/>
        <w:spacing w:after="360"/>
      </w:pPr>
      <w:r>
        <w:t>Even with the wide powers available under s 23, due and primary regard should be had to the specific legislation giving rise to the seeking of the order in the first place</w:t>
      </w:r>
      <w:r w:rsidR="00DE4FE8">
        <w:t xml:space="preserve">.  </w:t>
      </w:r>
      <w:r>
        <w:t>That is not to fetter the breadth of the power in s 23, but rather to appropriately confine and restrain its exercise</w:t>
      </w:r>
      <w:r w:rsidR="00DE4FE8">
        <w:t xml:space="preserve">.  </w:t>
      </w:r>
      <w:r>
        <w:t>Section 23, even though available as a source of power, should not lightly be used to bypass the limitation of the specific statutory power available</w:t>
      </w:r>
      <w:r w:rsidR="00DE4FE8">
        <w:t xml:space="preserve">.  </w:t>
      </w:r>
      <w:r>
        <w:t>That is not to say that the wider power should never be used in that way, but rather that to do so requires proper justification, especially in light of the High Court</w:t>
      </w:r>
      <w:r w:rsidR="009C3E26">
        <w:t>'</w:t>
      </w:r>
      <w:r>
        <w:t xml:space="preserve">s decision in the </w:t>
      </w:r>
      <w:r w:rsidRPr="00940DF0">
        <w:rPr>
          <w:i/>
        </w:rPr>
        <w:t>Section 545 Powers Case</w:t>
      </w:r>
      <w:r>
        <w:rPr>
          <w:i/>
        </w:rPr>
        <w:t xml:space="preserve"> </w:t>
      </w:r>
      <w:r w:rsidRPr="009C3E26">
        <w:t>[</w:t>
      </w:r>
      <w:r w:rsidR="003655E0">
        <w:rPr>
          <w:i/>
          <w:iCs/>
          <w:lang w:val="en-US"/>
        </w:rPr>
        <w:t>Australian Building and Construction Commissioner v Construction, Forestry, Mining and Energy Union</w:t>
      </w:r>
      <w:r w:rsidR="003655E0">
        <w:rPr>
          <w:lang w:val="en-US"/>
        </w:rPr>
        <w:t xml:space="preserve"> [2018] HCA 3; 262 CLR 157</w:t>
      </w:r>
      <w:r w:rsidRPr="009C3E26">
        <w:t>]</w:t>
      </w:r>
      <w:r w:rsidR="00DE4FE8">
        <w:t xml:space="preserve">.  </w:t>
      </w:r>
      <w:r>
        <w:t>Reasons need to be given to bypass specific limitations of that kind.</w:t>
      </w:r>
    </w:p>
    <w:p w:rsidR="00940DF0" w:rsidRDefault="00940DF0" w:rsidP="00940DF0">
      <w:pPr>
        <w:pStyle w:val="ParaNumbering"/>
      </w:pPr>
      <w:r>
        <w:t xml:space="preserve">The University also referred to </w:t>
      </w:r>
      <w:r w:rsidRPr="00BC5E00">
        <w:rPr>
          <w:i/>
        </w:rPr>
        <w:t>CDJ v VAJ (No 1)</w:t>
      </w:r>
      <w:r w:rsidRPr="00BC5E00">
        <w:t xml:space="preserve"> [1998] HCA 67; (1998) 197</w:t>
      </w:r>
      <w:r w:rsidR="00C67560" w:rsidRPr="00BC5E00">
        <w:t xml:space="preserve"> CLR 172</w:t>
      </w:r>
      <w:r w:rsidR="00C67560">
        <w:t xml:space="preserve"> at [53], where </w:t>
      </w:r>
      <w:proofErr w:type="spellStart"/>
      <w:r w:rsidR="00C67560">
        <w:t>Gaudron</w:t>
      </w:r>
      <w:proofErr w:type="spellEnd"/>
      <w:r w:rsidR="00C67560">
        <w:t> </w:t>
      </w:r>
      <w:r>
        <w:t>J observed:</w:t>
      </w:r>
    </w:p>
    <w:p w:rsidR="00940DF0" w:rsidRDefault="00940DF0" w:rsidP="00C67560">
      <w:pPr>
        <w:pStyle w:val="Quote1"/>
      </w:pPr>
      <w:r>
        <w:t>It is well settled that, if a discretionary power is conferred by a statute which is silent as to the matters which govern its exercise, the discretion is confined only by the subject matter with which the legislation is concerned</w:t>
      </w:r>
      <w:r w:rsidR="00DE4FE8">
        <w:t xml:space="preserve">.  </w:t>
      </w:r>
      <w:r>
        <w:t>At least that is so if the discretion is conferred on an administrative tribunal</w:t>
      </w:r>
      <w:r w:rsidR="00DE4FE8">
        <w:t xml:space="preserve">.  </w:t>
      </w:r>
      <w:r>
        <w:t>Where a general and unconfined discretion is conferred on a court, it is also governed by the requirement that it be exercised judicially and consistently with the judicial process</w:t>
      </w:r>
      <w:r w:rsidR="00DE4FE8">
        <w:t xml:space="preserve">.  </w:t>
      </w:r>
      <w:r>
        <w:t>It is also well settled that, where a power is granted to a court, it is not to be confined by reference to matters which are not required by the terms of the statutory provision by which it is conferred or the context in which it appears.</w:t>
      </w:r>
    </w:p>
    <w:p w:rsidR="00C67560" w:rsidRDefault="00C67560" w:rsidP="00C67560">
      <w:pPr>
        <w:pStyle w:val="Quote1"/>
        <w:widowControl/>
        <w:spacing w:after="360"/>
      </w:pPr>
      <w:r>
        <w:t>(citations omitted)</w:t>
      </w:r>
    </w:p>
    <w:p w:rsidR="00F3336C" w:rsidRDefault="00940DF0" w:rsidP="00CC62FD">
      <w:pPr>
        <w:pStyle w:val="ParaNumbering"/>
      </w:pPr>
      <w:r>
        <w:t>I also have doubts about the applicability of aspects of these dicta to the present situation</w:t>
      </w:r>
      <w:r w:rsidR="00DE4FE8">
        <w:t xml:space="preserve">.  </w:t>
      </w:r>
      <w:r w:rsidR="00CC62FD">
        <w:t xml:space="preserve">First, in </w:t>
      </w:r>
      <w:r w:rsidR="00CC62FD" w:rsidRPr="00CC62FD">
        <w:rPr>
          <w:i/>
        </w:rPr>
        <w:t>Parker</w:t>
      </w:r>
      <w:r w:rsidR="00CC62FD">
        <w:t xml:space="preserve"> both the Act conferring the power (the </w:t>
      </w:r>
      <w:r w:rsidR="00CC62FD" w:rsidRPr="00CC62FD">
        <w:rPr>
          <w:i/>
        </w:rPr>
        <w:t>Federal Court Act</w:t>
      </w:r>
      <w:r w:rsidR="00CC62FD">
        <w:t xml:space="preserve">) and the Act giving rise to the occasion for its exercise (the </w:t>
      </w:r>
      <w:r w:rsidR="00CC62FD" w:rsidRPr="00CC62FD">
        <w:rPr>
          <w:i/>
        </w:rPr>
        <w:t>Fair Work Act</w:t>
      </w:r>
      <w:r w:rsidR="00CC62FD">
        <w:t xml:space="preserve">) were Commonwealth </w:t>
      </w:r>
      <w:r w:rsidR="00BD4FFC">
        <w:t>statutes</w:t>
      </w:r>
      <w:r w:rsidR="00DE4FE8">
        <w:t xml:space="preserve">.  </w:t>
      </w:r>
      <w:r w:rsidR="00CC62FD">
        <w:t>Here the situation is perhaps a less common one where the first act is Commonwealth legislation and the second is State legislation</w:t>
      </w:r>
      <w:r w:rsidR="00DE4FE8">
        <w:t xml:space="preserve">.  </w:t>
      </w:r>
      <w:r w:rsidR="00CC62FD">
        <w:t xml:space="preserve">It seems to me that constitutional issues </w:t>
      </w:r>
      <w:r w:rsidR="00BD4FFC">
        <w:t>might</w:t>
      </w:r>
      <w:r w:rsidR="00CC62FD">
        <w:t xml:space="preserve"> arise about the extent to which the latter can fetter the exercise of power under the former</w:t>
      </w:r>
      <w:r w:rsidR="00DE4FE8">
        <w:t xml:space="preserve">:  </w:t>
      </w:r>
      <w:r w:rsidR="00CC4E39">
        <w:t xml:space="preserve">see the reference in </w:t>
      </w:r>
      <w:proofErr w:type="spellStart"/>
      <w:r w:rsidR="00CC4E39" w:rsidRPr="00CC4E39">
        <w:rPr>
          <w:i/>
        </w:rPr>
        <w:t>Fencott</w:t>
      </w:r>
      <w:proofErr w:type="spellEnd"/>
      <w:r w:rsidR="00CC4E39" w:rsidRPr="00CC4E39">
        <w:rPr>
          <w:i/>
        </w:rPr>
        <w:t xml:space="preserve"> v Muller</w:t>
      </w:r>
      <w:r w:rsidR="00C67560">
        <w:t xml:space="preserve"> at </w:t>
      </w:r>
      <w:r w:rsidR="00CC4E39">
        <w:t>607 to 'the limitation upon the capacity of non-federal laws to affect federal courts'</w:t>
      </w:r>
      <w:r w:rsidR="00DE4FE8">
        <w:t xml:space="preserve">.  </w:t>
      </w:r>
      <w:r w:rsidR="00CC62FD">
        <w:t xml:space="preserve">Second, in </w:t>
      </w:r>
      <w:r w:rsidR="00C67560">
        <w:rPr>
          <w:i/>
        </w:rPr>
        <w:t>CDJ v VAJ (No </w:t>
      </w:r>
      <w:r w:rsidR="00CC62FD" w:rsidRPr="00CC62FD">
        <w:rPr>
          <w:i/>
        </w:rPr>
        <w:t>1)</w:t>
      </w:r>
      <w:r w:rsidR="00C67560">
        <w:t xml:space="preserve">, </w:t>
      </w:r>
      <w:proofErr w:type="spellStart"/>
      <w:r w:rsidR="00C67560">
        <w:t>Gaudron</w:t>
      </w:r>
      <w:proofErr w:type="spellEnd"/>
      <w:r w:rsidR="00C67560">
        <w:t> </w:t>
      </w:r>
      <w:r w:rsidR="00CC62FD">
        <w:t xml:space="preserve">J was only dealing with one </w:t>
      </w:r>
      <w:r w:rsidR="0027573D">
        <w:t xml:space="preserve">Commonwealth </w:t>
      </w:r>
      <w:r w:rsidR="004C1DE6">
        <w:t>statute</w:t>
      </w:r>
      <w:r w:rsidR="0027573D">
        <w:t xml:space="preserve"> (</w:t>
      </w:r>
      <w:r w:rsidR="00CC62FD">
        <w:t xml:space="preserve">the </w:t>
      </w:r>
      <w:r w:rsidR="00CC62FD" w:rsidRPr="00CC62FD">
        <w:rPr>
          <w:i/>
        </w:rPr>
        <w:t>Family Law Act 1975</w:t>
      </w:r>
      <w:r w:rsidR="00C67560">
        <w:rPr>
          <w:i/>
        </w:rPr>
        <w:t xml:space="preserve"> </w:t>
      </w:r>
      <w:r w:rsidR="00C67560">
        <w:t>(Cth)</w:t>
      </w:r>
      <w:r w:rsidR="00CC62FD">
        <w:t>)</w:t>
      </w:r>
      <w:r w:rsidR="004C1DE6">
        <w:t xml:space="preserve">, not the interaction of </w:t>
      </w:r>
      <w:r w:rsidR="00CB6BEE">
        <w:t>two pieces of</w:t>
      </w:r>
      <w:r w:rsidR="004C1DE6">
        <w:t xml:space="preserve"> legislation</w:t>
      </w:r>
      <w:r w:rsidR="00DE4FE8">
        <w:t xml:space="preserve">.  </w:t>
      </w:r>
      <w:r w:rsidR="00C67560">
        <w:t>(I also note that her </w:t>
      </w:r>
      <w:r w:rsidR="00CC62FD">
        <w:t xml:space="preserve">Honour was in dissent although, with respect, I do not consider that detracts from the correctness of the propositions she </w:t>
      </w:r>
      <w:r w:rsidR="00CC4E39">
        <w:t>put in the paragraph quoted</w:t>
      </w:r>
      <w:r w:rsidR="00CC62FD">
        <w:t>)</w:t>
      </w:r>
      <w:r w:rsidR="00C67560">
        <w:t>.</w:t>
      </w:r>
    </w:p>
    <w:p w:rsidR="00706263" w:rsidRDefault="00CC62FD" w:rsidP="000B1F49">
      <w:pPr>
        <w:pStyle w:val="ParaNumbering"/>
      </w:pPr>
      <w:r>
        <w:lastRenderedPageBreak/>
        <w:t xml:space="preserve">The third matter </w:t>
      </w:r>
      <w:r w:rsidR="004C1DE6">
        <w:t xml:space="preserve">raised in submissions </w:t>
      </w:r>
      <w:r>
        <w:t xml:space="preserve">concerning limits on the power </w:t>
      </w:r>
      <w:r w:rsidR="00CB6BEE">
        <w:t>related to</w:t>
      </w:r>
      <w:r>
        <w:t xml:space="preserve"> the proper construction of s 16(3)(e)</w:t>
      </w:r>
      <w:r w:rsidR="00DE4FE8">
        <w:t xml:space="preserve">.  </w:t>
      </w:r>
      <w:r>
        <w:t xml:space="preserve">While, on </w:t>
      </w:r>
      <w:r w:rsidR="00CB6BEE">
        <w:t>its face</w:t>
      </w:r>
      <w:r>
        <w:t xml:space="preserve">, it imposes no limitations on the kinds of orders that may be made, to which it gives effect as an exception to the prohibition in s 16(3), </w:t>
      </w:r>
      <w:r w:rsidR="00F42208">
        <w:t>the University submitted that I should read it down by reference to the explanatory memorandum accompanying the</w:t>
      </w:r>
      <w:r w:rsidR="000B1F49">
        <w:t xml:space="preserve"> </w:t>
      </w:r>
      <w:r w:rsidR="000B1F49" w:rsidRPr="000B1F49">
        <w:t>Evidence and Public Interest Disclosure Amendment Legislation Bill 2011 (WA)</w:t>
      </w:r>
      <w:r w:rsidR="00F42208">
        <w:t>, which relevantly says</w:t>
      </w:r>
      <w:r w:rsidR="00CE035B">
        <w:t xml:space="preserve"> </w:t>
      </w:r>
      <w:r w:rsidR="001237FE">
        <w:t>(</w:t>
      </w:r>
      <w:r w:rsidR="00CE035B">
        <w:t>at pages 24-25</w:t>
      </w:r>
      <w:r w:rsidR="001237FE">
        <w:t>)</w:t>
      </w:r>
      <w:r w:rsidR="00F42208">
        <w:t>:</w:t>
      </w:r>
    </w:p>
    <w:p w:rsidR="00E22BB5" w:rsidRDefault="00E22BB5" w:rsidP="00E22BB5">
      <w:pPr>
        <w:pStyle w:val="Quote1"/>
      </w:pPr>
      <w:r>
        <w:t>The purpose of section 16(1)(d) is to permit an identifying disclosure being made in circumstances where a court or person acting judicially has ordered that evidence be given under the PCRP provisions [</w:t>
      </w:r>
      <w:proofErr w:type="spellStart"/>
      <w:r>
        <w:t>ss</w:t>
      </w:r>
      <w:proofErr w:type="spellEnd"/>
      <w:r>
        <w:t xml:space="preserve"> 20A-20M of the </w:t>
      </w:r>
      <w:r w:rsidRPr="00E22BB5">
        <w:rPr>
          <w:i/>
        </w:rPr>
        <w:t>Evidence Act 1906</w:t>
      </w:r>
      <w:r>
        <w:t xml:space="preserve"> (WA)] or journalist protection provisions.</w:t>
      </w:r>
    </w:p>
    <w:p w:rsidR="00F42208" w:rsidRDefault="00E22BB5" w:rsidP="00E22BB5">
      <w:pPr>
        <w:pStyle w:val="Quote1"/>
        <w:spacing w:after="360"/>
      </w:pPr>
      <w:r>
        <w:t>Section 16(3) is similar in purpose and effect to section 16(1) except that it applies to identifying information. …</w:t>
      </w:r>
    </w:p>
    <w:p w:rsidR="0097221E" w:rsidRPr="0032289C" w:rsidRDefault="0097221E" w:rsidP="00DE4FE8">
      <w:pPr>
        <w:pStyle w:val="ParaNumbering"/>
      </w:pPr>
      <w:r w:rsidRPr="0032289C">
        <w:t>The PCRP provisions are 'professional confidential relationship protection provisions' that were introduced at the same time</w:t>
      </w:r>
      <w:r w:rsidR="00BD4FFC" w:rsidRPr="0032289C">
        <w:t xml:space="preserve"> as s 16(3)(e),</w:t>
      </w:r>
      <w:r w:rsidRPr="0032289C">
        <w:t xml:space="preserve"> to enable th</w:t>
      </w:r>
      <w:r w:rsidR="00BD4FFC" w:rsidRPr="0032289C">
        <w:t>e claims of professionals</w:t>
      </w:r>
      <w:r w:rsidRPr="0032289C">
        <w:t xml:space="preserve"> to refuse to answer questions about their clients to be tested in court</w:t>
      </w:r>
      <w:r w:rsidR="00DE4FE8" w:rsidRPr="0032289C">
        <w:t xml:space="preserve">.  </w:t>
      </w:r>
      <w:r w:rsidR="009A4F2F" w:rsidRPr="0032289C">
        <w:t xml:space="preserve">They are now found in s 20A to </w:t>
      </w:r>
      <w:r w:rsidR="00E22BB5" w:rsidRPr="0032289C">
        <w:t>s </w:t>
      </w:r>
      <w:r w:rsidR="009A4F2F" w:rsidRPr="0032289C">
        <w:t xml:space="preserve">20F of the </w:t>
      </w:r>
      <w:r w:rsidR="009A4F2F" w:rsidRPr="0032289C">
        <w:rPr>
          <w:i/>
        </w:rPr>
        <w:t>Evidence Act 1906</w:t>
      </w:r>
      <w:r w:rsidR="009A4F2F" w:rsidRPr="0032289C">
        <w:t>.</w:t>
      </w:r>
    </w:p>
    <w:p w:rsidR="009A4F2F" w:rsidRPr="009A4F2F" w:rsidRDefault="00F42208" w:rsidP="009A4F2F">
      <w:pPr>
        <w:pStyle w:val="ParaNumbering"/>
      </w:pPr>
      <w:r>
        <w:t xml:space="preserve">I also doubt </w:t>
      </w:r>
      <w:r w:rsidR="004C1DE6">
        <w:t xml:space="preserve">the correctness of </w:t>
      </w:r>
      <w:r w:rsidR="009A4F2F">
        <w:t>the respondent's</w:t>
      </w:r>
      <w:r w:rsidR="004C1DE6">
        <w:t xml:space="preserve"> submission</w:t>
      </w:r>
      <w:r w:rsidR="009A4F2F">
        <w:t xml:space="preserve"> as to this third matter</w:t>
      </w:r>
      <w:r w:rsidR="00DE4FE8">
        <w:t xml:space="preserve">.  </w:t>
      </w:r>
      <w:r>
        <w:t>It is no</w:t>
      </w:r>
      <w:r w:rsidR="004C1DE6">
        <w:t>t necessary to go into the well-</w:t>
      </w:r>
      <w:r>
        <w:t>established principles concerning when and in what way resort may be had to extrinsic materials for the purposes of construing a statute</w:t>
      </w:r>
      <w:r w:rsidR="00DE4FE8">
        <w:t xml:space="preserve">.  </w:t>
      </w:r>
      <w:r>
        <w:t xml:space="preserve">Suffice to say that </w:t>
      </w:r>
      <w:r w:rsidR="004C1DE6">
        <w:t xml:space="preserve">on its face, s 16(3)(e) is </w:t>
      </w:r>
      <w:r w:rsidR="00D24541">
        <w:t>neither ambiguous nor</w:t>
      </w:r>
      <w:r w:rsidR="004C1DE6">
        <w:t xml:space="preserve"> limited to the </w:t>
      </w:r>
      <w:r w:rsidR="00D24541">
        <w:t>mischief identified in the explanatory memorandum</w:t>
      </w:r>
      <w:r w:rsidR="00DE4FE8">
        <w:t xml:space="preserve">.  </w:t>
      </w:r>
      <w:r w:rsidR="00D17905">
        <w:t>It may be that the</w:t>
      </w:r>
      <w:r w:rsidR="009A4F2F">
        <w:t xml:space="preserve"> reference in the paragraph to 'any other person or body having authority to hear, receive and examine evidence' suggests that it is also</w:t>
      </w:r>
      <w:r w:rsidR="009A4F2F" w:rsidRPr="009A4F2F">
        <w:t xml:space="preserve"> </w:t>
      </w:r>
      <w:r w:rsidR="009A4F2F">
        <w:t xml:space="preserve">directed at those functions when </w:t>
      </w:r>
      <w:r w:rsidR="00D17905">
        <w:t xml:space="preserve">they are </w:t>
      </w:r>
      <w:r w:rsidR="009A4F2F">
        <w:t>performed by a court</w:t>
      </w:r>
      <w:r w:rsidR="00DE4FE8">
        <w:t xml:space="preserve">.  </w:t>
      </w:r>
      <w:r w:rsidR="00D17905">
        <w:t>But i</w:t>
      </w:r>
      <w:r w:rsidR="009A4F2F">
        <w:t xml:space="preserve">t is by no means clear that it is confined to the very specific situations of </w:t>
      </w:r>
      <w:r w:rsidR="009A4F2F" w:rsidRPr="009A4F2F">
        <w:t xml:space="preserve">the PCRP provisions or </w:t>
      </w:r>
      <w:r w:rsidR="00D17905">
        <w:t xml:space="preserve">the </w:t>
      </w:r>
      <w:r w:rsidR="009A4F2F" w:rsidRPr="009A4F2F">
        <w:t>journalist</w:t>
      </w:r>
      <w:r w:rsidR="00D17905">
        <w:t xml:space="preserve"> protection provisions (which are at s 20G</w:t>
      </w:r>
      <w:r w:rsidR="00BC5E00">
        <w:t xml:space="preserve"> to </w:t>
      </w:r>
      <w:r w:rsidR="00E22BB5">
        <w:t>s </w:t>
      </w:r>
      <w:r w:rsidR="00D17905">
        <w:t xml:space="preserve">20M of the </w:t>
      </w:r>
      <w:r w:rsidR="00D17905" w:rsidRPr="00D17905">
        <w:rPr>
          <w:i/>
        </w:rPr>
        <w:t>Evidence Act 1906</w:t>
      </w:r>
      <w:r w:rsidR="00D17905">
        <w:t>).</w:t>
      </w:r>
    </w:p>
    <w:p w:rsidR="00F42208" w:rsidRPr="00391876" w:rsidRDefault="00722FEF" w:rsidP="00A41097">
      <w:pPr>
        <w:pStyle w:val="ParaNumbering"/>
      </w:pPr>
      <w:r>
        <w:t xml:space="preserve">Ultimately, it is not necessary to resolve </w:t>
      </w:r>
      <w:r w:rsidR="009C6773">
        <w:t xml:space="preserve">any of </w:t>
      </w:r>
      <w:r>
        <w:t>these doubts for the purposes of this interlocutory application</w:t>
      </w:r>
      <w:r w:rsidR="00DE4FE8">
        <w:t xml:space="preserve">.  </w:t>
      </w:r>
      <w:r>
        <w:t xml:space="preserve">For reasons </w:t>
      </w:r>
      <w:r w:rsidR="00D24541">
        <w:t>set out below</w:t>
      </w:r>
      <w:r>
        <w:t>, I decline to make the order sought by the applicant</w:t>
      </w:r>
      <w:r w:rsidR="00D24541">
        <w:t>,</w:t>
      </w:r>
      <w:r w:rsidR="00D24541" w:rsidRPr="00D24541">
        <w:t xml:space="preserve"> </w:t>
      </w:r>
      <w:r w:rsidR="00D24541">
        <w:t xml:space="preserve">whether the power arises under s 23 of the </w:t>
      </w:r>
      <w:r w:rsidR="00D24541" w:rsidRPr="00722FEF">
        <w:rPr>
          <w:i/>
        </w:rPr>
        <w:t>Federal Court Act</w:t>
      </w:r>
      <w:r w:rsidR="00D24541">
        <w:t xml:space="preserve"> or under s 16(3)</w:t>
      </w:r>
      <w:r w:rsidR="00EF3307">
        <w:t>(e)</w:t>
      </w:r>
      <w:r w:rsidR="00D24541">
        <w:t xml:space="preserve"> of the </w:t>
      </w:r>
      <w:r w:rsidR="00D24541" w:rsidRPr="00722FEF">
        <w:rPr>
          <w:i/>
        </w:rPr>
        <w:t>PID Act</w:t>
      </w:r>
      <w:r w:rsidR="00DE4FE8">
        <w:t xml:space="preserve">.  </w:t>
      </w:r>
      <w:r w:rsidR="00D334E4">
        <w:t xml:space="preserve">I will assume, favourably to the applicant (and without deciding), that the discretion to make the orders sought is broad and </w:t>
      </w:r>
      <w:r w:rsidR="009C6773">
        <w:t xml:space="preserve">that the </w:t>
      </w:r>
      <w:r w:rsidR="009C6773" w:rsidRPr="00E22BB5">
        <w:rPr>
          <w:i/>
        </w:rPr>
        <w:t>PID Act</w:t>
      </w:r>
      <w:r w:rsidR="009C6773">
        <w:t xml:space="preserve"> does</w:t>
      </w:r>
      <w:r w:rsidR="00D334E4">
        <w:t xml:space="preserve"> not relevantly </w:t>
      </w:r>
      <w:r w:rsidR="00A41097">
        <w:t>fetter or otherwise limit</w:t>
      </w:r>
      <w:r w:rsidR="009C6773">
        <w:t xml:space="preserve"> </w:t>
      </w:r>
      <w:r w:rsidR="008236B6">
        <w:t>that discretion</w:t>
      </w:r>
      <w:r w:rsidR="009C6773">
        <w:t>, a</w:t>
      </w:r>
      <w:r w:rsidR="00D334E4">
        <w:t>s such</w:t>
      </w:r>
      <w:r w:rsidR="00DE4FE8">
        <w:t xml:space="preserve">.  </w:t>
      </w:r>
      <w:r w:rsidR="00D334E4">
        <w:t xml:space="preserve">Even on </w:t>
      </w:r>
      <w:r w:rsidR="009C6773">
        <w:t>those</w:t>
      </w:r>
      <w:r w:rsidR="00D334E4">
        <w:t xml:space="preserve"> assumption</w:t>
      </w:r>
      <w:r w:rsidR="009C6773">
        <w:t>s</w:t>
      </w:r>
      <w:r w:rsidR="00D334E4">
        <w:t xml:space="preserve">, it is </w:t>
      </w:r>
      <w:r>
        <w:t xml:space="preserve">surely incontrovertible that the objects of the </w:t>
      </w:r>
      <w:r w:rsidRPr="009C6773">
        <w:rPr>
          <w:i/>
        </w:rPr>
        <w:t>PID Act</w:t>
      </w:r>
      <w:r>
        <w:t xml:space="preserve"> </w:t>
      </w:r>
      <w:r w:rsidR="00D24541">
        <w:t xml:space="preserve">and of s 16 </w:t>
      </w:r>
      <w:r>
        <w:t>are relevant factor</w:t>
      </w:r>
      <w:r w:rsidR="00D24541">
        <w:t>s</w:t>
      </w:r>
      <w:r>
        <w:t xml:space="preserve"> to take into account when exercising the discretion</w:t>
      </w:r>
      <w:r w:rsidR="00DE4FE8">
        <w:t xml:space="preserve">.  </w:t>
      </w:r>
      <w:r w:rsidR="00A41097">
        <w:t xml:space="preserve">That is consistent with the quote from </w:t>
      </w:r>
      <w:r w:rsidR="00A41097" w:rsidRPr="00A41097">
        <w:rPr>
          <w:i/>
        </w:rPr>
        <w:t>Parker</w:t>
      </w:r>
      <w:r w:rsidR="00A41097">
        <w:t xml:space="preserve"> which I set out above</w:t>
      </w:r>
      <w:r w:rsidR="00DE4FE8">
        <w:t xml:space="preserve">.  </w:t>
      </w:r>
      <w:r w:rsidR="00A41097">
        <w:lastRenderedPageBreak/>
        <w:t xml:space="preserve">It </w:t>
      </w:r>
      <w:r w:rsidR="009C6773">
        <w:t>is</w:t>
      </w:r>
      <w:r w:rsidR="00A41097">
        <w:t xml:space="preserve"> also in</w:t>
      </w:r>
      <w:r w:rsidR="00E22BB5">
        <w:t xml:space="preserve">controvertible that, as </w:t>
      </w:r>
      <w:proofErr w:type="spellStart"/>
      <w:r w:rsidR="00E22BB5">
        <w:t>Gaudron</w:t>
      </w:r>
      <w:proofErr w:type="spellEnd"/>
      <w:r w:rsidR="00E22BB5">
        <w:t> </w:t>
      </w:r>
      <w:r w:rsidR="00A41097">
        <w:t xml:space="preserve">J observed in </w:t>
      </w:r>
      <w:r w:rsidR="00E22BB5">
        <w:rPr>
          <w:i/>
        </w:rPr>
        <w:t>CDJ v VAJ (No </w:t>
      </w:r>
      <w:r w:rsidR="00A41097" w:rsidRPr="00A41097">
        <w:rPr>
          <w:i/>
        </w:rPr>
        <w:t>1)</w:t>
      </w:r>
      <w:r w:rsidR="00A41097">
        <w:t>, any broad discretion reposed in the court must</w:t>
      </w:r>
      <w:r w:rsidR="00A41097" w:rsidRPr="00A41097">
        <w:t xml:space="preserve"> be exercised judicially and consistently with the judicial process</w:t>
      </w:r>
      <w:r w:rsidR="00DE4FE8">
        <w:t xml:space="preserve">.  </w:t>
      </w:r>
      <w:r w:rsidR="009C6773">
        <w:t>As will be seen, in my view those principles are sufficient to dispose of the application</w:t>
      </w:r>
      <w:r w:rsidR="00E22BB5">
        <w:t>.</w:t>
      </w:r>
    </w:p>
    <w:p w:rsidR="006F6122" w:rsidRPr="00A738EF" w:rsidRDefault="00367ED7" w:rsidP="00A738EF">
      <w:pPr>
        <w:pStyle w:val="Heading2"/>
      </w:pPr>
      <w:r>
        <w:t>Consideration of the</w:t>
      </w:r>
      <w:r w:rsidR="00A738EF" w:rsidRPr="00A738EF">
        <w:t xml:space="preserve"> applicant's </w:t>
      </w:r>
      <w:r>
        <w:t>submissions</w:t>
      </w:r>
    </w:p>
    <w:p w:rsidR="00325167" w:rsidRDefault="00325167" w:rsidP="00E22BB5">
      <w:pPr>
        <w:pStyle w:val="ParaNumbering"/>
      </w:pPr>
      <w:r>
        <w:t>The applicant filed written submissions in support of the application</w:t>
      </w:r>
      <w:r w:rsidR="00DE4FE8">
        <w:t xml:space="preserve">.  </w:t>
      </w:r>
      <w:r>
        <w:t xml:space="preserve">With respect, I had difficulty understanding how </w:t>
      </w:r>
      <w:r w:rsidR="00B43586">
        <w:t xml:space="preserve">some </w:t>
      </w:r>
      <w:r>
        <w:t>aspects of th</w:t>
      </w:r>
      <w:r w:rsidR="00E34397">
        <w:t>ose</w:t>
      </w:r>
      <w:r>
        <w:t xml:space="preserve"> submiss</w:t>
      </w:r>
      <w:r w:rsidR="00B43586">
        <w:t>ions were relevant to the order</w:t>
      </w:r>
      <w:r>
        <w:t xml:space="preserve"> sought</w:t>
      </w:r>
      <w:r w:rsidR="00DE4FE8">
        <w:t xml:space="preserve">.  </w:t>
      </w:r>
      <w:r>
        <w:t xml:space="preserve">For example, the </w:t>
      </w:r>
      <w:r w:rsidR="00B43586">
        <w:t>applicant</w:t>
      </w:r>
      <w:r w:rsidR="00E22BB5">
        <w:t xml:space="preserve"> relied on provisions in Part </w:t>
      </w:r>
      <w:r>
        <w:t xml:space="preserve">VAA, </w:t>
      </w:r>
      <w:proofErr w:type="spellStart"/>
      <w:r w:rsidR="00E22BB5">
        <w:t>Div</w:t>
      </w:r>
      <w:proofErr w:type="spellEnd"/>
      <w:r w:rsidR="00E22BB5">
        <w:t> </w:t>
      </w:r>
      <w:r w:rsidRPr="00325167">
        <w:t>2</w:t>
      </w:r>
      <w:r>
        <w:t xml:space="preserve"> of the </w:t>
      </w:r>
      <w:r w:rsidRPr="00325167">
        <w:rPr>
          <w:i/>
          <w:lang w:eastAsia="en-AU"/>
        </w:rPr>
        <w:t>Federal Court Act</w:t>
      </w:r>
      <w:r>
        <w:rPr>
          <w:lang w:eastAsia="en-AU"/>
        </w:rPr>
        <w:t>, which concerns the court's powers to make s</w:t>
      </w:r>
      <w:r w:rsidR="00E22BB5">
        <w:rPr>
          <w:lang w:eastAsia="en-AU"/>
        </w:rPr>
        <w:t>uppression and non</w:t>
      </w:r>
      <w:r w:rsidR="00E22BB5">
        <w:rPr>
          <w:lang w:eastAsia="en-AU"/>
        </w:rPr>
        <w:noBreakHyphen/>
      </w:r>
      <w:r w:rsidRPr="00325167">
        <w:rPr>
          <w:lang w:eastAsia="en-AU"/>
        </w:rPr>
        <w:t>publication orders</w:t>
      </w:r>
      <w:r w:rsidR="00DE4FE8">
        <w:rPr>
          <w:lang w:eastAsia="en-AU"/>
        </w:rPr>
        <w:t xml:space="preserve">.  </w:t>
      </w:r>
      <w:r w:rsidR="00B43586">
        <w:rPr>
          <w:lang w:eastAsia="en-AU"/>
        </w:rPr>
        <w:t>It may be</w:t>
      </w:r>
      <w:r>
        <w:rPr>
          <w:lang w:eastAsia="en-AU"/>
        </w:rPr>
        <w:t xml:space="preserve"> that the principles of open justice referred to</w:t>
      </w:r>
      <w:r w:rsidR="00B43586">
        <w:rPr>
          <w:lang w:eastAsia="en-AU"/>
        </w:rPr>
        <w:t xml:space="preserve"> there,</w:t>
      </w:r>
      <w:r>
        <w:rPr>
          <w:lang w:eastAsia="en-AU"/>
        </w:rPr>
        <w:t xml:space="preserve"> in particular in s 37AE</w:t>
      </w:r>
      <w:r w:rsidR="00B43586">
        <w:rPr>
          <w:lang w:eastAsia="en-AU"/>
        </w:rPr>
        <w:t xml:space="preserve">, </w:t>
      </w:r>
      <w:r>
        <w:rPr>
          <w:lang w:eastAsia="en-AU"/>
        </w:rPr>
        <w:t>bear on the exercise of the discretion</w:t>
      </w:r>
      <w:r w:rsidR="00B43586">
        <w:rPr>
          <w:lang w:eastAsia="en-AU"/>
        </w:rPr>
        <w:t xml:space="preserve"> </w:t>
      </w:r>
      <w:r w:rsidR="00D24541">
        <w:rPr>
          <w:lang w:eastAsia="en-AU"/>
        </w:rPr>
        <w:t>that arises here</w:t>
      </w:r>
      <w:r w:rsidR="00DE4FE8">
        <w:rPr>
          <w:lang w:eastAsia="en-AU"/>
        </w:rPr>
        <w:t xml:space="preserve">.  </w:t>
      </w:r>
      <w:r w:rsidR="00B43586">
        <w:rPr>
          <w:lang w:eastAsia="en-AU"/>
        </w:rPr>
        <w:t xml:space="preserve">But </w:t>
      </w:r>
      <w:r>
        <w:t>in the present case</w:t>
      </w:r>
      <w:r w:rsidR="00B43586">
        <w:t>,</w:t>
      </w:r>
      <w:r>
        <w:t xml:space="preserve"> no one is </w:t>
      </w:r>
      <w:r w:rsidR="00070719">
        <w:t xml:space="preserve">yet </w:t>
      </w:r>
      <w:r>
        <w:t>seeking suppression of anything, so there is no need for anyone to discharge the 'heavy onus' which, I</w:t>
      </w:r>
      <w:r w:rsidR="00E22BB5">
        <w:t xml:space="preserve"> </w:t>
      </w:r>
      <w:r>
        <w:t>accept, must be discha</w:t>
      </w:r>
      <w:r w:rsidR="00E22BB5">
        <w:t xml:space="preserve">rged before any order under </w:t>
      </w:r>
      <w:proofErr w:type="spellStart"/>
      <w:r w:rsidR="00E22BB5">
        <w:t>Div</w:t>
      </w:r>
      <w:proofErr w:type="spellEnd"/>
      <w:r w:rsidR="00E22BB5">
        <w:t> </w:t>
      </w:r>
      <w:r>
        <w:t>2 can be made</w:t>
      </w:r>
      <w:r w:rsidR="00DE4FE8">
        <w:t xml:space="preserve">:  </w:t>
      </w:r>
      <w:r>
        <w:t xml:space="preserve">see </w:t>
      </w:r>
      <w:proofErr w:type="spellStart"/>
      <w:r>
        <w:t>eg</w:t>
      </w:r>
      <w:proofErr w:type="spellEnd"/>
      <w:r>
        <w:t xml:space="preserve"> </w:t>
      </w:r>
      <w:r w:rsidR="00E22BB5" w:rsidRPr="00BC5E00">
        <w:rPr>
          <w:i/>
        </w:rPr>
        <w:t xml:space="preserve">Australian Competition and Consumer Commission v </w:t>
      </w:r>
      <w:proofErr w:type="spellStart"/>
      <w:r w:rsidR="00E22BB5" w:rsidRPr="00BC5E00">
        <w:rPr>
          <w:i/>
        </w:rPr>
        <w:t>Oakmoore</w:t>
      </w:r>
      <w:proofErr w:type="spellEnd"/>
      <w:r w:rsidR="00E22BB5" w:rsidRPr="00BC5E00">
        <w:rPr>
          <w:i/>
        </w:rPr>
        <w:t xml:space="preserve"> Pty Ltd (No 2)</w:t>
      </w:r>
      <w:r w:rsidRPr="00BC5E00">
        <w:rPr>
          <w:i/>
        </w:rPr>
        <w:t xml:space="preserve"> </w:t>
      </w:r>
      <w:r w:rsidR="00E22BB5" w:rsidRPr="00BC5E00">
        <w:t>[2018] FCA 1170</w:t>
      </w:r>
      <w:r w:rsidR="00E22BB5">
        <w:t xml:space="preserve"> at </w:t>
      </w:r>
      <w:r>
        <w:t>[22]</w:t>
      </w:r>
      <w:r w:rsidR="00E22BB5">
        <w:t>.</w:t>
      </w:r>
    </w:p>
    <w:p w:rsidR="00E61547" w:rsidRDefault="00D24541" w:rsidP="00325167">
      <w:pPr>
        <w:pStyle w:val="ParaNumbering"/>
        <w:rPr>
          <w:rFonts w:eastAsia="Times New Roman"/>
          <w:szCs w:val="24"/>
          <w:lang w:eastAsia="en-AU"/>
        </w:rPr>
      </w:pPr>
      <w:r>
        <w:rPr>
          <w:rFonts w:eastAsia="Times New Roman"/>
          <w:szCs w:val="24"/>
          <w:lang w:eastAsia="en-AU"/>
        </w:rPr>
        <w:t>In any event, the</w:t>
      </w:r>
      <w:r w:rsidR="00E61547" w:rsidRPr="00325167">
        <w:rPr>
          <w:rFonts w:eastAsia="Times New Roman"/>
          <w:szCs w:val="24"/>
          <w:lang w:eastAsia="en-AU"/>
        </w:rPr>
        <w:t xml:space="preserve"> </w:t>
      </w:r>
      <w:r>
        <w:rPr>
          <w:lang w:eastAsia="en-AU"/>
        </w:rPr>
        <w:t>crux</w:t>
      </w:r>
      <w:r w:rsidR="00E61547" w:rsidRPr="00325167">
        <w:rPr>
          <w:rFonts w:eastAsia="Times New Roman"/>
          <w:szCs w:val="24"/>
          <w:lang w:eastAsia="en-AU"/>
        </w:rPr>
        <w:t xml:space="preserve"> of the applicant's </w:t>
      </w:r>
      <w:r w:rsidR="00325167" w:rsidRPr="00325167">
        <w:rPr>
          <w:rFonts w:eastAsia="Times New Roman"/>
          <w:szCs w:val="24"/>
          <w:lang w:eastAsia="en-AU"/>
        </w:rPr>
        <w:t xml:space="preserve">written </w:t>
      </w:r>
      <w:r w:rsidR="00E61547" w:rsidRPr="00325167">
        <w:rPr>
          <w:rFonts w:eastAsia="Times New Roman"/>
          <w:szCs w:val="24"/>
          <w:lang w:eastAsia="en-AU"/>
        </w:rPr>
        <w:t xml:space="preserve">submissions </w:t>
      </w:r>
      <w:r>
        <w:rPr>
          <w:rFonts w:eastAsia="Times New Roman"/>
          <w:szCs w:val="24"/>
          <w:lang w:eastAsia="en-AU"/>
        </w:rPr>
        <w:t>was</w:t>
      </w:r>
      <w:r w:rsidR="00E61547" w:rsidRPr="00325167">
        <w:rPr>
          <w:rFonts w:eastAsia="Times New Roman"/>
          <w:szCs w:val="24"/>
          <w:lang w:eastAsia="en-AU"/>
        </w:rPr>
        <w:t xml:space="preserve"> that for </w:t>
      </w:r>
      <w:r w:rsidR="00E61547" w:rsidRPr="00325167">
        <w:t>various</w:t>
      </w:r>
      <w:r w:rsidR="00E61547" w:rsidRPr="00325167">
        <w:rPr>
          <w:rFonts w:eastAsia="Times New Roman"/>
          <w:szCs w:val="24"/>
          <w:lang w:eastAsia="en-AU"/>
        </w:rPr>
        <w:t xml:space="preserve"> reasons</w:t>
      </w:r>
      <w:r w:rsidR="00325167" w:rsidRPr="00325167">
        <w:rPr>
          <w:rFonts w:eastAsia="Times New Roman"/>
          <w:szCs w:val="24"/>
          <w:lang w:eastAsia="en-AU"/>
        </w:rPr>
        <w:t>, o</w:t>
      </w:r>
      <w:r w:rsidR="00E61547" w:rsidRPr="00325167">
        <w:rPr>
          <w:rFonts w:eastAsia="Times New Roman"/>
          <w:szCs w:val="24"/>
          <w:lang w:eastAsia="en-AU"/>
        </w:rPr>
        <w:t>rders should be made 'to permit disclosure without the threat of contravention of s</w:t>
      </w:r>
      <w:r w:rsidR="00E22BB5">
        <w:rPr>
          <w:rFonts w:eastAsia="Times New Roman"/>
          <w:szCs w:val="24"/>
          <w:lang w:eastAsia="en-AU"/>
        </w:rPr>
        <w:t> </w:t>
      </w:r>
      <w:r w:rsidR="00E61547" w:rsidRPr="00325167">
        <w:rPr>
          <w:rFonts w:eastAsia="Times New Roman"/>
          <w:szCs w:val="24"/>
          <w:lang w:eastAsia="en-AU"/>
        </w:rPr>
        <w:t xml:space="preserve">16(1) </w:t>
      </w:r>
      <w:r w:rsidR="00325167">
        <w:rPr>
          <w:rFonts w:eastAsia="Times New Roman"/>
          <w:szCs w:val="24"/>
          <w:lang w:eastAsia="en-AU"/>
        </w:rPr>
        <w:t xml:space="preserve">or (3)  </w:t>
      </w:r>
      <w:r w:rsidR="00E61547" w:rsidRPr="00325167">
        <w:rPr>
          <w:rFonts w:eastAsia="Times New Roman"/>
          <w:szCs w:val="24"/>
          <w:lang w:eastAsia="en-AU"/>
        </w:rPr>
        <w:t>lingering in the air'</w:t>
      </w:r>
      <w:r w:rsidR="00DE4FE8">
        <w:rPr>
          <w:rFonts w:eastAsia="Times New Roman"/>
          <w:szCs w:val="24"/>
          <w:lang w:eastAsia="en-AU"/>
        </w:rPr>
        <w:t xml:space="preserve">.  </w:t>
      </w:r>
      <w:r w:rsidR="003A6C98">
        <w:rPr>
          <w:rFonts w:eastAsia="Times New Roman"/>
          <w:szCs w:val="24"/>
          <w:lang w:eastAsia="en-AU"/>
        </w:rPr>
        <w:t>Since</w:t>
      </w:r>
      <w:r w:rsidR="00AC13A3">
        <w:rPr>
          <w:rFonts w:eastAsia="Times New Roman"/>
          <w:szCs w:val="24"/>
          <w:lang w:eastAsia="en-AU"/>
        </w:rPr>
        <w:t xml:space="preserve">, as I have said, the applicant </w:t>
      </w:r>
      <w:r>
        <w:rPr>
          <w:rFonts w:eastAsia="Times New Roman"/>
          <w:szCs w:val="24"/>
          <w:lang w:eastAsia="en-AU"/>
        </w:rPr>
        <w:t xml:space="preserve">has given his </w:t>
      </w:r>
      <w:r w:rsidR="00AC13A3">
        <w:rPr>
          <w:rFonts w:eastAsia="Times New Roman"/>
          <w:szCs w:val="24"/>
          <w:lang w:eastAsia="en-AU"/>
        </w:rPr>
        <w:t>consent for the purposes of s 16(1)(a), it is only the possibility of</w:t>
      </w:r>
      <w:r w:rsidR="00E34397">
        <w:rPr>
          <w:rFonts w:eastAsia="Times New Roman"/>
          <w:szCs w:val="24"/>
          <w:lang w:eastAsia="en-AU"/>
        </w:rPr>
        <w:t xml:space="preserve"> a</w:t>
      </w:r>
      <w:r w:rsidR="00AC13A3">
        <w:rPr>
          <w:rFonts w:eastAsia="Times New Roman"/>
          <w:szCs w:val="24"/>
          <w:lang w:eastAsia="en-AU"/>
        </w:rPr>
        <w:t xml:space="preserve"> contravention of s 16(3) </w:t>
      </w:r>
      <w:r w:rsidR="00E34397">
        <w:rPr>
          <w:rFonts w:eastAsia="Times New Roman"/>
          <w:szCs w:val="24"/>
          <w:lang w:eastAsia="en-AU"/>
        </w:rPr>
        <w:t xml:space="preserve">that </w:t>
      </w:r>
      <w:r w:rsidR="00E76F58">
        <w:rPr>
          <w:rFonts w:eastAsia="Times New Roman"/>
          <w:szCs w:val="24"/>
          <w:lang w:eastAsia="en-AU"/>
        </w:rPr>
        <w:t>might</w:t>
      </w:r>
      <w:r w:rsidR="00BD4FFC">
        <w:rPr>
          <w:rFonts w:eastAsia="Times New Roman"/>
          <w:szCs w:val="24"/>
          <w:lang w:eastAsia="en-AU"/>
        </w:rPr>
        <w:t xml:space="preserve"> linger</w:t>
      </w:r>
      <w:r w:rsidR="00E76F58">
        <w:rPr>
          <w:rFonts w:eastAsia="Times New Roman"/>
          <w:szCs w:val="24"/>
          <w:lang w:eastAsia="en-AU"/>
        </w:rPr>
        <w:t>.</w:t>
      </w:r>
    </w:p>
    <w:p w:rsidR="00E76F58" w:rsidRDefault="00E76F58" w:rsidP="00E76F58">
      <w:pPr>
        <w:pStyle w:val="ParaNumbering"/>
        <w:rPr>
          <w:rFonts w:eastAsia="Times New Roman"/>
          <w:szCs w:val="24"/>
          <w:lang w:eastAsia="en-AU"/>
        </w:rPr>
      </w:pPr>
      <w:r>
        <w:rPr>
          <w:rFonts w:eastAsia="Times New Roman"/>
          <w:szCs w:val="24"/>
          <w:lang w:eastAsia="en-AU"/>
        </w:rPr>
        <w:t xml:space="preserve">The </w:t>
      </w:r>
      <w:r w:rsidR="003A6C98">
        <w:rPr>
          <w:rFonts w:eastAsia="Times New Roman"/>
          <w:szCs w:val="24"/>
          <w:lang w:eastAsia="en-AU"/>
        </w:rPr>
        <w:t xml:space="preserve">written </w:t>
      </w:r>
      <w:r>
        <w:rPr>
          <w:rFonts w:eastAsia="Times New Roman"/>
          <w:szCs w:val="24"/>
          <w:lang w:eastAsia="en-AU"/>
        </w:rPr>
        <w:t>submissions advanced five</w:t>
      </w:r>
      <w:r w:rsidRPr="00E76F58">
        <w:rPr>
          <w:rFonts w:eastAsia="Times New Roman"/>
          <w:szCs w:val="24"/>
          <w:lang w:eastAsia="en-AU"/>
        </w:rPr>
        <w:t xml:space="preserve"> reasons why </w:t>
      </w:r>
      <w:r>
        <w:rPr>
          <w:rFonts w:eastAsia="Times New Roman"/>
          <w:szCs w:val="24"/>
          <w:lang w:eastAsia="en-AU"/>
        </w:rPr>
        <w:t>the order sought should be made</w:t>
      </w:r>
      <w:r w:rsidR="00DE4FE8">
        <w:rPr>
          <w:rFonts w:eastAsia="Times New Roman"/>
          <w:szCs w:val="24"/>
          <w:lang w:eastAsia="en-AU"/>
        </w:rPr>
        <w:t xml:space="preserve">.  </w:t>
      </w:r>
      <w:r w:rsidR="00367ED7">
        <w:rPr>
          <w:rFonts w:eastAsia="Times New Roman"/>
          <w:szCs w:val="24"/>
          <w:lang w:eastAsia="en-AU"/>
        </w:rPr>
        <w:t>I will comment on each in turn.</w:t>
      </w:r>
    </w:p>
    <w:p w:rsidR="00FE0FEA" w:rsidRDefault="00367ED7" w:rsidP="00FE0FEA">
      <w:pPr>
        <w:pStyle w:val="ParaNumbering"/>
        <w:rPr>
          <w:rFonts w:eastAsia="Times New Roman"/>
          <w:szCs w:val="24"/>
          <w:lang w:eastAsia="en-AU"/>
        </w:rPr>
      </w:pPr>
      <w:r w:rsidRPr="00FE0FEA">
        <w:rPr>
          <w:rFonts w:eastAsia="Times New Roman"/>
          <w:i/>
          <w:szCs w:val="24"/>
          <w:lang w:eastAsia="en-AU"/>
        </w:rPr>
        <w:t>First</w:t>
      </w:r>
      <w:r w:rsidRPr="00FE0FEA">
        <w:rPr>
          <w:rFonts w:eastAsia="Times New Roman"/>
          <w:szCs w:val="24"/>
          <w:lang w:eastAsia="en-AU"/>
        </w:rPr>
        <w:t xml:space="preserve">, the applicant submitted that </w:t>
      </w:r>
      <w:r w:rsidR="00FE0FEA">
        <w:rPr>
          <w:rFonts w:eastAsia="Times New Roman"/>
          <w:szCs w:val="24"/>
          <w:lang w:eastAsia="en-AU"/>
        </w:rPr>
        <w:t>t</w:t>
      </w:r>
      <w:r w:rsidR="00E76F58" w:rsidRPr="00FE0FEA">
        <w:rPr>
          <w:rFonts w:eastAsia="Times New Roman"/>
          <w:szCs w:val="24"/>
          <w:lang w:eastAsia="en-AU"/>
        </w:rPr>
        <w:t xml:space="preserve">his will be the first case considering the operation of the </w:t>
      </w:r>
      <w:r w:rsidR="00E76F58" w:rsidRPr="00E22BB5">
        <w:rPr>
          <w:rFonts w:eastAsia="Times New Roman"/>
          <w:i/>
          <w:szCs w:val="24"/>
          <w:lang w:eastAsia="en-AU"/>
        </w:rPr>
        <w:t>PID Act</w:t>
      </w:r>
      <w:r w:rsidR="00CB6BEE">
        <w:rPr>
          <w:rFonts w:eastAsia="Times New Roman"/>
          <w:szCs w:val="24"/>
          <w:lang w:eastAsia="en-AU"/>
        </w:rPr>
        <w:t>,</w:t>
      </w:r>
      <w:r w:rsidR="00E76F58" w:rsidRPr="00FE0FEA">
        <w:rPr>
          <w:rFonts w:eastAsia="Times New Roman"/>
          <w:szCs w:val="24"/>
          <w:lang w:eastAsia="en-AU"/>
        </w:rPr>
        <w:t xml:space="preserve"> so there is a public interest in favour of an open court and not a closed court or suppression</w:t>
      </w:r>
      <w:r w:rsidR="00DE4FE8">
        <w:rPr>
          <w:rFonts w:eastAsia="Times New Roman"/>
          <w:szCs w:val="24"/>
          <w:lang w:eastAsia="en-AU"/>
        </w:rPr>
        <w:t xml:space="preserve">.  </w:t>
      </w:r>
      <w:r w:rsidR="00FE0FEA">
        <w:rPr>
          <w:rFonts w:eastAsia="Times New Roman"/>
          <w:szCs w:val="24"/>
          <w:lang w:eastAsia="en-AU"/>
        </w:rPr>
        <w:t>But, as I have said, at this point no one is seeking a closed court, or suppression of anything</w:t>
      </w:r>
      <w:r w:rsidR="00DE4FE8">
        <w:rPr>
          <w:rFonts w:eastAsia="Times New Roman"/>
          <w:szCs w:val="24"/>
          <w:lang w:eastAsia="en-AU"/>
        </w:rPr>
        <w:t xml:space="preserve">.  </w:t>
      </w:r>
      <w:r w:rsidR="00FE0FEA">
        <w:rPr>
          <w:rFonts w:eastAsia="Times New Roman"/>
          <w:szCs w:val="24"/>
          <w:lang w:eastAsia="en-AU"/>
        </w:rPr>
        <w:t xml:space="preserve">I accept that the principle of open justice is fundamental to the operation of this court, but I am not persuaded at present that allowing the </w:t>
      </w:r>
      <w:r w:rsidR="00FE0FEA" w:rsidRPr="00E22BB5">
        <w:rPr>
          <w:rFonts w:eastAsia="Times New Roman"/>
          <w:i/>
          <w:szCs w:val="24"/>
          <w:lang w:eastAsia="en-AU"/>
        </w:rPr>
        <w:t>PID Act</w:t>
      </w:r>
      <w:r w:rsidR="00FE0FEA">
        <w:rPr>
          <w:rFonts w:eastAsia="Times New Roman"/>
          <w:szCs w:val="24"/>
          <w:lang w:eastAsia="en-AU"/>
        </w:rPr>
        <w:t xml:space="preserve"> to operate according to its terms</w:t>
      </w:r>
      <w:r w:rsidR="00485BBA">
        <w:rPr>
          <w:rFonts w:eastAsia="Times New Roman"/>
          <w:szCs w:val="24"/>
          <w:lang w:eastAsia="en-AU"/>
        </w:rPr>
        <w:t>,</w:t>
      </w:r>
      <w:r w:rsidR="00FE0FEA">
        <w:rPr>
          <w:rFonts w:eastAsia="Times New Roman"/>
          <w:szCs w:val="24"/>
          <w:lang w:eastAsia="en-AU"/>
        </w:rPr>
        <w:t xml:space="preserve"> in relation to information that is disclosed or proposed to be disclosed in the course of these proceedings</w:t>
      </w:r>
      <w:r w:rsidR="00485BBA">
        <w:rPr>
          <w:rFonts w:eastAsia="Times New Roman"/>
          <w:szCs w:val="24"/>
          <w:lang w:eastAsia="en-AU"/>
        </w:rPr>
        <w:t>,</w:t>
      </w:r>
      <w:r w:rsidR="00FE0FEA">
        <w:rPr>
          <w:rFonts w:eastAsia="Times New Roman"/>
          <w:szCs w:val="24"/>
          <w:lang w:eastAsia="en-AU"/>
        </w:rPr>
        <w:t xml:space="preserve"> is inconsistent with that principle</w:t>
      </w:r>
      <w:r w:rsidR="00E22BB5">
        <w:rPr>
          <w:rFonts w:eastAsia="Times New Roman"/>
          <w:szCs w:val="24"/>
          <w:lang w:eastAsia="en-AU"/>
        </w:rPr>
        <w:t>.</w:t>
      </w:r>
    </w:p>
    <w:p w:rsidR="00E76F58" w:rsidRDefault="00FE0FEA" w:rsidP="00FE0FEA">
      <w:pPr>
        <w:pStyle w:val="ParaNumbering"/>
        <w:rPr>
          <w:rFonts w:eastAsia="Times New Roman"/>
          <w:szCs w:val="24"/>
          <w:lang w:eastAsia="en-AU"/>
        </w:rPr>
      </w:pPr>
      <w:r>
        <w:rPr>
          <w:rFonts w:eastAsia="Times New Roman"/>
          <w:szCs w:val="24"/>
          <w:lang w:eastAsia="en-AU"/>
        </w:rPr>
        <w:t>It may transpire that someone relies on s 16 in order to seek suppression of evidence or submissions that would otherwise be given or made in open court</w:t>
      </w:r>
      <w:r w:rsidR="00DE4FE8">
        <w:rPr>
          <w:rFonts w:eastAsia="Times New Roman"/>
          <w:szCs w:val="24"/>
          <w:lang w:eastAsia="en-AU"/>
        </w:rPr>
        <w:t xml:space="preserve">.  </w:t>
      </w:r>
      <w:r>
        <w:rPr>
          <w:rFonts w:eastAsia="Times New Roman"/>
          <w:szCs w:val="24"/>
          <w:lang w:eastAsia="en-AU"/>
        </w:rPr>
        <w:t xml:space="preserve">But </w:t>
      </w:r>
      <w:r w:rsidR="001E4C47">
        <w:rPr>
          <w:rFonts w:eastAsia="Times New Roman"/>
          <w:szCs w:val="24"/>
          <w:lang w:eastAsia="en-AU"/>
        </w:rPr>
        <w:t>the appropriate time to consider the merits of any such application will be when the application is made</w:t>
      </w:r>
      <w:r w:rsidR="00DE4FE8">
        <w:rPr>
          <w:rFonts w:eastAsia="Times New Roman"/>
          <w:szCs w:val="24"/>
          <w:lang w:eastAsia="en-AU"/>
        </w:rPr>
        <w:t xml:space="preserve">.  </w:t>
      </w:r>
      <w:r w:rsidR="001E4C47">
        <w:rPr>
          <w:rFonts w:eastAsia="Times New Roman"/>
          <w:szCs w:val="24"/>
          <w:lang w:eastAsia="en-AU"/>
        </w:rPr>
        <w:t>Then it can be addressed by reference to specific information which may be disclosed</w:t>
      </w:r>
      <w:r w:rsidR="00CB6BEE">
        <w:rPr>
          <w:rFonts w:eastAsia="Times New Roman"/>
          <w:szCs w:val="24"/>
          <w:lang w:eastAsia="en-AU"/>
        </w:rPr>
        <w:t>,</w:t>
      </w:r>
      <w:r w:rsidR="001E4C47">
        <w:rPr>
          <w:rFonts w:eastAsia="Times New Roman"/>
          <w:szCs w:val="24"/>
          <w:lang w:eastAsia="en-AU"/>
        </w:rPr>
        <w:t xml:space="preserve"> and on the merits </w:t>
      </w:r>
      <w:r w:rsidR="001E4C47">
        <w:rPr>
          <w:rFonts w:eastAsia="Times New Roman"/>
          <w:szCs w:val="24"/>
          <w:lang w:eastAsia="en-AU"/>
        </w:rPr>
        <w:lastRenderedPageBreak/>
        <w:t>of the issues as they emerge in the facts and circumstances which then obtain</w:t>
      </w:r>
      <w:r w:rsidR="00DE4FE8">
        <w:rPr>
          <w:rFonts w:eastAsia="Times New Roman"/>
          <w:szCs w:val="24"/>
          <w:lang w:eastAsia="en-AU"/>
        </w:rPr>
        <w:t xml:space="preserve">.  </w:t>
      </w:r>
      <w:r w:rsidR="001E4C47">
        <w:rPr>
          <w:rFonts w:eastAsia="Times New Roman"/>
          <w:szCs w:val="24"/>
          <w:lang w:eastAsia="en-AU"/>
        </w:rPr>
        <w:t xml:space="preserve">I am reluctant to make a blanket order permitting disclosure of information that would otherwise be a breach of the </w:t>
      </w:r>
      <w:r w:rsidR="001E4C47" w:rsidRPr="00E22BB5">
        <w:rPr>
          <w:rFonts w:eastAsia="Times New Roman"/>
          <w:i/>
          <w:szCs w:val="24"/>
          <w:lang w:eastAsia="en-AU"/>
        </w:rPr>
        <w:t>PID Act</w:t>
      </w:r>
      <w:r w:rsidR="001E4C47">
        <w:rPr>
          <w:rFonts w:eastAsia="Times New Roman"/>
          <w:szCs w:val="24"/>
          <w:lang w:eastAsia="en-AU"/>
        </w:rPr>
        <w:t xml:space="preserve"> in the abstract, without regard to specific information in a specific context</w:t>
      </w:r>
      <w:r w:rsidR="00DE4FE8">
        <w:rPr>
          <w:rFonts w:eastAsia="Times New Roman"/>
          <w:szCs w:val="24"/>
          <w:lang w:eastAsia="en-AU"/>
        </w:rPr>
        <w:t xml:space="preserve">.  </w:t>
      </w:r>
      <w:r w:rsidR="001E4C47">
        <w:rPr>
          <w:rFonts w:eastAsia="Times New Roman"/>
          <w:szCs w:val="24"/>
          <w:lang w:eastAsia="en-AU"/>
        </w:rPr>
        <w:t>At present, I am not persuaded that it is necessary to do so</w:t>
      </w:r>
      <w:r w:rsidR="00E22BB5">
        <w:rPr>
          <w:rFonts w:eastAsia="Times New Roman"/>
          <w:szCs w:val="24"/>
          <w:lang w:eastAsia="en-AU"/>
        </w:rPr>
        <w:t>.</w:t>
      </w:r>
    </w:p>
    <w:p w:rsidR="00934211" w:rsidRDefault="00AA5B8D" w:rsidP="00E22BB5">
      <w:pPr>
        <w:pStyle w:val="ParaNumbering"/>
        <w:rPr>
          <w:rFonts w:eastAsia="Times New Roman"/>
          <w:szCs w:val="24"/>
          <w:lang w:eastAsia="en-AU"/>
        </w:rPr>
      </w:pPr>
      <w:r>
        <w:rPr>
          <w:lang w:eastAsia="en-AU"/>
        </w:rPr>
        <w:t xml:space="preserve">It is also important to distinguish between the </w:t>
      </w:r>
      <w:r w:rsidR="00B361A7">
        <w:rPr>
          <w:lang w:eastAsia="en-AU"/>
        </w:rPr>
        <w:t xml:space="preserve">application of the </w:t>
      </w:r>
      <w:r>
        <w:rPr>
          <w:lang w:eastAsia="en-AU"/>
        </w:rPr>
        <w:t>principle of open justice</w:t>
      </w:r>
      <w:r w:rsidR="00B361A7">
        <w:rPr>
          <w:lang w:eastAsia="en-AU"/>
        </w:rPr>
        <w:t xml:space="preserve"> to hearings conducted in open court, and its application to documents filed in the course of proceedings</w:t>
      </w:r>
      <w:r w:rsidR="00DE4FE8">
        <w:rPr>
          <w:lang w:eastAsia="en-AU"/>
        </w:rPr>
        <w:t xml:space="preserve">.  </w:t>
      </w:r>
      <w:r w:rsidR="00B361A7">
        <w:rPr>
          <w:lang w:eastAsia="en-AU"/>
        </w:rPr>
        <w:t xml:space="preserve">Rule 2.32 of the </w:t>
      </w:r>
      <w:r w:rsidR="00B361A7" w:rsidRPr="006B34A2">
        <w:rPr>
          <w:i/>
          <w:lang w:eastAsia="en-AU"/>
        </w:rPr>
        <w:t>Federal Court Rules</w:t>
      </w:r>
      <w:r w:rsidR="00B361A7">
        <w:rPr>
          <w:lang w:eastAsia="en-AU"/>
        </w:rPr>
        <w:t xml:space="preserve"> permits non</w:t>
      </w:r>
      <w:r w:rsidR="00E22BB5">
        <w:rPr>
          <w:lang w:eastAsia="en-AU"/>
        </w:rPr>
        <w:noBreakHyphen/>
      </w:r>
      <w:r w:rsidR="00B361A7">
        <w:rPr>
          <w:lang w:eastAsia="en-AU"/>
        </w:rPr>
        <w:t>parties to have access to certain filed documents, such as pleadings, unless an order restricting access has been made</w:t>
      </w:r>
      <w:r w:rsidR="00DE4FE8">
        <w:rPr>
          <w:lang w:eastAsia="en-AU"/>
        </w:rPr>
        <w:t xml:space="preserve">.  </w:t>
      </w:r>
      <w:r w:rsidR="00B361A7">
        <w:rPr>
          <w:lang w:eastAsia="en-AU"/>
        </w:rPr>
        <w:t>But for other documents, such as witness statements, affidavits and submissions, non-parties must apply for leave to inspect</w:t>
      </w:r>
      <w:r w:rsidR="00DE4FE8">
        <w:rPr>
          <w:lang w:eastAsia="en-AU"/>
        </w:rPr>
        <w:t xml:space="preserve">.  </w:t>
      </w:r>
      <w:r w:rsidR="006B34A2">
        <w:rPr>
          <w:lang w:eastAsia="en-AU"/>
        </w:rPr>
        <w:t xml:space="preserve">That is because </w:t>
      </w:r>
      <w:r w:rsidR="006B34A2" w:rsidRPr="006B34A2">
        <w:rPr>
          <w:rFonts w:eastAsia="Times New Roman"/>
          <w:szCs w:val="24"/>
          <w:lang w:eastAsia="en-AU"/>
        </w:rPr>
        <w:t>'open justice is not a freestanding right and may be restricted where the interests of justice require otherwise'</w:t>
      </w:r>
      <w:r w:rsidR="00DE4FE8">
        <w:rPr>
          <w:rFonts w:eastAsia="Times New Roman"/>
          <w:szCs w:val="24"/>
          <w:lang w:eastAsia="en-AU"/>
        </w:rPr>
        <w:t xml:space="preserve">:  </w:t>
      </w:r>
      <w:r w:rsidR="00E22BB5" w:rsidRPr="00BC5E00">
        <w:rPr>
          <w:rFonts w:eastAsia="Times New Roman"/>
          <w:i/>
          <w:szCs w:val="24"/>
          <w:lang w:eastAsia="en-AU"/>
        </w:rPr>
        <w:t>Deputy Commissioner of Taxation v Hawkins (Inspection Application by Matrix Group and Anor)</w:t>
      </w:r>
      <w:r w:rsidR="006B34A2" w:rsidRPr="00BC5E00">
        <w:rPr>
          <w:rFonts w:eastAsia="Times New Roman"/>
          <w:szCs w:val="24"/>
          <w:lang w:eastAsia="en-AU"/>
        </w:rPr>
        <w:t xml:space="preserve"> [2016] FCA 164; (2016) 341 ALR 255</w:t>
      </w:r>
      <w:r w:rsidR="006B34A2">
        <w:rPr>
          <w:rFonts w:eastAsia="Times New Roman"/>
          <w:szCs w:val="24"/>
          <w:lang w:eastAsia="en-AU"/>
        </w:rPr>
        <w:t xml:space="preserve"> at [8] (</w:t>
      </w:r>
      <w:proofErr w:type="spellStart"/>
      <w:r w:rsidR="006B34A2">
        <w:rPr>
          <w:rFonts w:eastAsia="Times New Roman"/>
          <w:szCs w:val="24"/>
          <w:lang w:eastAsia="en-AU"/>
        </w:rPr>
        <w:t>Pagone</w:t>
      </w:r>
      <w:proofErr w:type="spellEnd"/>
      <w:r w:rsidR="006B34A2">
        <w:rPr>
          <w:rFonts w:eastAsia="Times New Roman"/>
          <w:szCs w:val="24"/>
          <w:lang w:eastAsia="en-AU"/>
        </w:rPr>
        <w:t> J)</w:t>
      </w:r>
      <w:r w:rsidR="00E22BB5">
        <w:rPr>
          <w:rFonts w:eastAsia="Times New Roman"/>
          <w:szCs w:val="24"/>
          <w:lang w:eastAsia="en-AU"/>
        </w:rPr>
        <w:t>.</w:t>
      </w:r>
    </w:p>
    <w:p w:rsidR="006B34A2" w:rsidRDefault="006B34A2" w:rsidP="006B34A2">
      <w:pPr>
        <w:pStyle w:val="ParaNumbering"/>
        <w:rPr>
          <w:rFonts w:eastAsia="Times New Roman"/>
          <w:szCs w:val="24"/>
          <w:lang w:eastAsia="en-AU"/>
        </w:rPr>
      </w:pPr>
      <w:r>
        <w:rPr>
          <w:rFonts w:eastAsia="Times New Roman"/>
          <w:szCs w:val="24"/>
          <w:lang w:eastAsia="en-AU"/>
        </w:rPr>
        <w:t>F</w:t>
      </w:r>
      <w:r w:rsidRPr="006B34A2">
        <w:rPr>
          <w:rFonts w:eastAsia="Times New Roman"/>
          <w:szCs w:val="24"/>
          <w:lang w:eastAsia="en-AU"/>
        </w:rPr>
        <w:t>actors relevant to the grant of leave under r 2.32(4)</w:t>
      </w:r>
      <w:r w:rsidR="00D652B1">
        <w:rPr>
          <w:rFonts w:eastAsia="Times New Roman"/>
          <w:szCs w:val="24"/>
          <w:lang w:eastAsia="en-AU"/>
        </w:rPr>
        <w:t xml:space="preserve"> of the </w:t>
      </w:r>
      <w:r w:rsidR="00D652B1" w:rsidRPr="00BA46F0">
        <w:rPr>
          <w:rFonts w:eastAsia="Times New Roman"/>
          <w:i/>
          <w:szCs w:val="24"/>
          <w:lang w:eastAsia="en-AU"/>
        </w:rPr>
        <w:t>Federal Court Rules</w:t>
      </w:r>
      <w:r w:rsidRPr="006B34A2">
        <w:rPr>
          <w:rFonts w:eastAsia="Times New Roman"/>
          <w:szCs w:val="24"/>
          <w:lang w:eastAsia="en-AU"/>
        </w:rPr>
        <w:t xml:space="preserve"> </w:t>
      </w:r>
      <w:r>
        <w:rPr>
          <w:rFonts w:eastAsia="Times New Roman"/>
          <w:szCs w:val="24"/>
          <w:lang w:eastAsia="en-AU"/>
        </w:rPr>
        <w:t xml:space="preserve">include </w:t>
      </w:r>
      <w:r w:rsidRPr="006B34A2">
        <w:rPr>
          <w:rFonts w:eastAsia="Times New Roman"/>
          <w:szCs w:val="24"/>
          <w:lang w:eastAsia="en-AU"/>
        </w:rPr>
        <w:t>whether</w:t>
      </w:r>
      <w:r w:rsidR="00934211">
        <w:rPr>
          <w:rFonts w:eastAsia="Times New Roman"/>
          <w:szCs w:val="24"/>
          <w:lang w:eastAsia="en-AU"/>
        </w:rPr>
        <w:t>,</w:t>
      </w:r>
      <w:r w:rsidRPr="006B34A2">
        <w:rPr>
          <w:rFonts w:eastAsia="Times New Roman"/>
          <w:szCs w:val="24"/>
          <w:lang w:eastAsia="en-AU"/>
        </w:rPr>
        <w:t xml:space="preserve"> and if so to what extent</w:t>
      </w:r>
      <w:r w:rsidR="00934211">
        <w:rPr>
          <w:rFonts w:eastAsia="Times New Roman"/>
          <w:szCs w:val="24"/>
          <w:lang w:eastAsia="en-AU"/>
        </w:rPr>
        <w:t>,</w:t>
      </w:r>
      <w:r w:rsidRPr="006B34A2">
        <w:rPr>
          <w:rFonts w:eastAsia="Times New Roman"/>
          <w:szCs w:val="24"/>
          <w:lang w:eastAsia="en-AU"/>
        </w:rPr>
        <w:t xml:space="preserve"> the document has been referred to in open court</w:t>
      </w:r>
      <w:r>
        <w:rPr>
          <w:rFonts w:eastAsia="Times New Roman"/>
          <w:szCs w:val="24"/>
          <w:lang w:eastAsia="en-AU"/>
        </w:rPr>
        <w:t xml:space="preserve">, and </w:t>
      </w:r>
      <w:r w:rsidRPr="006B34A2">
        <w:rPr>
          <w:rFonts w:eastAsia="Times New Roman"/>
          <w:szCs w:val="24"/>
          <w:lang w:eastAsia="en-AU"/>
        </w:rPr>
        <w:t>whether access to the document is necessary or desirable to facilitate an u</w:t>
      </w:r>
      <w:r>
        <w:rPr>
          <w:rFonts w:eastAsia="Times New Roman"/>
          <w:szCs w:val="24"/>
          <w:lang w:eastAsia="en-AU"/>
        </w:rPr>
        <w:t xml:space="preserve">nderstanding of the proceedings </w:t>
      </w:r>
      <w:r w:rsidRPr="006B34A2">
        <w:rPr>
          <w:rFonts w:eastAsia="Times New Roman"/>
          <w:szCs w:val="24"/>
          <w:lang w:eastAsia="en-AU"/>
        </w:rPr>
        <w:t>and thus of the judicial process</w:t>
      </w:r>
      <w:r w:rsidR="00DE4FE8">
        <w:rPr>
          <w:rFonts w:eastAsia="Times New Roman"/>
          <w:szCs w:val="24"/>
          <w:lang w:eastAsia="en-AU"/>
        </w:rPr>
        <w:t xml:space="preserve">:  </w:t>
      </w:r>
      <w:r w:rsidRPr="00BC5E00">
        <w:rPr>
          <w:rFonts w:eastAsia="Times New Roman"/>
          <w:i/>
          <w:szCs w:val="24"/>
          <w:lang w:eastAsia="en-AU"/>
        </w:rPr>
        <w:t xml:space="preserve">Van </w:t>
      </w:r>
      <w:proofErr w:type="spellStart"/>
      <w:r w:rsidRPr="00BC5E00">
        <w:rPr>
          <w:rFonts w:eastAsia="Times New Roman"/>
          <w:i/>
          <w:szCs w:val="24"/>
          <w:lang w:eastAsia="en-AU"/>
        </w:rPr>
        <w:t>Stokkum</w:t>
      </w:r>
      <w:proofErr w:type="spellEnd"/>
      <w:r w:rsidRPr="00BC5E00">
        <w:rPr>
          <w:rFonts w:eastAsia="Times New Roman"/>
          <w:i/>
          <w:szCs w:val="24"/>
          <w:lang w:eastAsia="en-AU"/>
        </w:rPr>
        <w:t xml:space="preserve"> v The Finance Brokers Supervisory Board</w:t>
      </w:r>
      <w:r w:rsidRPr="00BC5E00">
        <w:rPr>
          <w:rFonts w:eastAsia="Times New Roman"/>
          <w:szCs w:val="24"/>
          <w:lang w:eastAsia="en-AU"/>
        </w:rPr>
        <w:t xml:space="preserve"> [2002] WASC 192</w:t>
      </w:r>
      <w:r w:rsidRPr="006B34A2">
        <w:rPr>
          <w:rFonts w:eastAsia="Times New Roman"/>
          <w:szCs w:val="24"/>
          <w:lang w:eastAsia="en-AU"/>
        </w:rPr>
        <w:t xml:space="preserve"> </w:t>
      </w:r>
      <w:r w:rsidR="00E22BB5">
        <w:rPr>
          <w:rFonts w:eastAsia="Times New Roman"/>
          <w:szCs w:val="24"/>
          <w:lang w:eastAsia="en-AU"/>
        </w:rPr>
        <w:t>at </w:t>
      </w:r>
      <w:r>
        <w:rPr>
          <w:rFonts w:eastAsia="Times New Roman"/>
          <w:szCs w:val="24"/>
          <w:lang w:eastAsia="en-AU"/>
        </w:rPr>
        <w:t xml:space="preserve">[27] </w:t>
      </w:r>
      <w:r w:rsidR="00E22BB5">
        <w:rPr>
          <w:rFonts w:eastAsia="Times New Roman"/>
          <w:szCs w:val="24"/>
          <w:lang w:eastAsia="en-AU"/>
        </w:rPr>
        <w:t>(</w:t>
      </w:r>
      <w:proofErr w:type="spellStart"/>
      <w:r w:rsidR="00E22BB5">
        <w:rPr>
          <w:rFonts w:eastAsia="Times New Roman"/>
          <w:szCs w:val="24"/>
          <w:lang w:eastAsia="en-AU"/>
        </w:rPr>
        <w:t>McLure</w:t>
      </w:r>
      <w:proofErr w:type="spellEnd"/>
      <w:r w:rsidR="00E22BB5">
        <w:rPr>
          <w:rFonts w:eastAsia="Times New Roman"/>
          <w:szCs w:val="24"/>
          <w:lang w:eastAsia="en-AU"/>
        </w:rPr>
        <w:t> </w:t>
      </w:r>
      <w:r w:rsidRPr="006B34A2">
        <w:rPr>
          <w:rFonts w:eastAsia="Times New Roman"/>
          <w:szCs w:val="24"/>
          <w:lang w:eastAsia="en-AU"/>
        </w:rPr>
        <w:t>J</w:t>
      </w:r>
      <w:r>
        <w:rPr>
          <w:rFonts w:eastAsia="Times New Roman"/>
          <w:szCs w:val="24"/>
          <w:lang w:eastAsia="en-AU"/>
        </w:rPr>
        <w:t xml:space="preserve">, as she then was), applied in </w:t>
      </w:r>
      <w:r w:rsidRPr="006B34A2">
        <w:rPr>
          <w:rFonts w:eastAsia="Times New Roman"/>
          <w:i/>
          <w:szCs w:val="24"/>
          <w:lang w:eastAsia="en-AU"/>
        </w:rPr>
        <w:t>Hawkins</w:t>
      </w:r>
      <w:r w:rsidR="00E22BB5">
        <w:rPr>
          <w:rFonts w:eastAsia="Times New Roman"/>
          <w:szCs w:val="24"/>
          <w:lang w:eastAsia="en-AU"/>
        </w:rPr>
        <w:t xml:space="preserve"> at </w:t>
      </w:r>
      <w:r>
        <w:rPr>
          <w:rFonts w:eastAsia="Times New Roman"/>
          <w:szCs w:val="24"/>
          <w:lang w:eastAsia="en-AU"/>
        </w:rPr>
        <w:t>[8]</w:t>
      </w:r>
      <w:r w:rsidR="00DE4FE8">
        <w:rPr>
          <w:rFonts w:eastAsia="Times New Roman"/>
          <w:szCs w:val="24"/>
          <w:lang w:eastAsia="en-AU"/>
        </w:rPr>
        <w:t xml:space="preserve">.  </w:t>
      </w:r>
      <w:r>
        <w:rPr>
          <w:rFonts w:eastAsia="Times New Roman"/>
          <w:szCs w:val="24"/>
          <w:lang w:eastAsia="en-AU"/>
        </w:rPr>
        <w:t xml:space="preserve">So, at least for documents that are not in the category where r 2.32 </w:t>
      </w:r>
      <w:r w:rsidR="00934211">
        <w:rPr>
          <w:rFonts w:eastAsia="Times New Roman"/>
          <w:szCs w:val="24"/>
          <w:lang w:eastAsia="en-AU"/>
        </w:rPr>
        <w:t>permits</w:t>
      </w:r>
      <w:r>
        <w:rPr>
          <w:rFonts w:eastAsia="Times New Roman"/>
          <w:szCs w:val="24"/>
          <w:lang w:eastAsia="en-AU"/>
        </w:rPr>
        <w:t xml:space="preserve"> access by default, there is a mechanism enabling a case by case consideration of whether access, and thus disclosure, should be granted</w:t>
      </w:r>
      <w:r w:rsidR="00DE4FE8">
        <w:rPr>
          <w:rFonts w:eastAsia="Times New Roman"/>
          <w:szCs w:val="24"/>
          <w:lang w:eastAsia="en-AU"/>
        </w:rPr>
        <w:t xml:space="preserve">.  </w:t>
      </w:r>
      <w:r>
        <w:rPr>
          <w:rFonts w:eastAsia="Times New Roman"/>
          <w:szCs w:val="24"/>
          <w:lang w:eastAsia="en-AU"/>
        </w:rPr>
        <w:t xml:space="preserve">Such issues and risks as arise under s 16 of the </w:t>
      </w:r>
      <w:r w:rsidRPr="00E22BB5">
        <w:rPr>
          <w:rFonts w:eastAsia="Times New Roman"/>
          <w:i/>
          <w:szCs w:val="24"/>
          <w:lang w:eastAsia="en-AU"/>
        </w:rPr>
        <w:t>PID Act</w:t>
      </w:r>
      <w:r>
        <w:rPr>
          <w:rFonts w:eastAsia="Times New Roman"/>
          <w:szCs w:val="24"/>
          <w:lang w:eastAsia="en-AU"/>
        </w:rPr>
        <w:t xml:space="preserve"> would be relevant considerations </w:t>
      </w:r>
      <w:r w:rsidR="00A5635F">
        <w:rPr>
          <w:rFonts w:eastAsia="Times New Roman"/>
          <w:szCs w:val="24"/>
          <w:lang w:eastAsia="en-AU"/>
        </w:rPr>
        <w:t>there</w:t>
      </w:r>
      <w:r w:rsidR="00DE4FE8">
        <w:rPr>
          <w:rFonts w:eastAsia="Times New Roman"/>
          <w:szCs w:val="24"/>
          <w:lang w:eastAsia="en-AU"/>
        </w:rPr>
        <w:t xml:space="preserve">.  </w:t>
      </w:r>
      <w:r w:rsidR="00934211">
        <w:rPr>
          <w:rFonts w:eastAsia="Times New Roman"/>
          <w:szCs w:val="24"/>
          <w:lang w:eastAsia="en-AU"/>
        </w:rPr>
        <w:t>Th</w:t>
      </w:r>
      <w:r w:rsidR="00F55EC0">
        <w:rPr>
          <w:rFonts w:eastAsia="Times New Roman"/>
          <w:szCs w:val="24"/>
          <w:lang w:eastAsia="en-AU"/>
        </w:rPr>
        <w:t>at</w:t>
      </w:r>
      <w:r w:rsidR="00934211">
        <w:rPr>
          <w:rFonts w:eastAsia="Times New Roman"/>
          <w:szCs w:val="24"/>
          <w:lang w:eastAsia="en-AU"/>
        </w:rPr>
        <w:t xml:space="preserve"> is another reason why a broad consideration such as open justice does not justify a broad dispensation from s 16(3) in the present circumstances</w:t>
      </w:r>
      <w:r w:rsidR="00E22BB5">
        <w:rPr>
          <w:rFonts w:eastAsia="Times New Roman"/>
          <w:szCs w:val="24"/>
          <w:lang w:eastAsia="en-AU"/>
        </w:rPr>
        <w:t>.</w:t>
      </w:r>
    </w:p>
    <w:p w:rsidR="001E4C47" w:rsidRPr="00FE0FEA" w:rsidRDefault="001E4C47" w:rsidP="00FE0FEA">
      <w:pPr>
        <w:pStyle w:val="ParaNumbering"/>
        <w:rPr>
          <w:rFonts w:eastAsia="Times New Roman"/>
          <w:szCs w:val="24"/>
          <w:lang w:eastAsia="en-AU"/>
        </w:rPr>
      </w:pPr>
      <w:r>
        <w:rPr>
          <w:rFonts w:eastAsia="Times New Roman"/>
          <w:szCs w:val="24"/>
          <w:lang w:eastAsia="en-AU"/>
        </w:rPr>
        <w:t>In any event, I doubt that such interest as might be provoked by any novelty of legal issues in th</w:t>
      </w:r>
      <w:r w:rsidR="00934211">
        <w:rPr>
          <w:rFonts w:eastAsia="Times New Roman"/>
          <w:szCs w:val="24"/>
          <w:lang w:eastAsia="en-AU"/>
        </w:rPr>
        <w:t>is</w:t>
      </w:r>
      <w:r>
        <w:rPr>
          <w:rFonts w:eastAsia="Times New Roman"/>
          <w:szCs w:val="24"/>
          <w:lang w:eastAsia="en-AU"/>
        </w:rPr>
        <w:t xml:space="preserve"> case adds much to the basic importance of open justice</w:t>
      </w:r>
      <w:r w:rsidR="00DE4FE8">
        <w:rPr>
          <w:rFonts w:eastAsia="Times New Roman"/>
          <w:szCs w:val="24"/>
          <w:lang w:eastAsia="en-AU"/>
        </w:rPr>
        <w:t xml:space="preserve">.  </w:t>
      </w:r>
      <w:r>
        <w:rPr>
          <w:rFonts w:eastAsia="Times New Roman"/>
          <w:szCs w:val="24"/>
          <w:lang w:eastAsia="en-AU"/>
        </w:rPr>
        <w:t>That is so even where, as here, there is a public interest element to those issues</w:t>
      </w:r>
      <w:r w:rsidR="00E22BB5">
        <w:rPr>
          <w:rFonts w:eastAsia="Times New Roman"/>
          <w:szCs w:val="24"/>
          <w:lang w:eastAsia="en-AU"/>
        </w:rPr>
        <w:t>.</w:t>
      </w:r>
    </w:p>
    <w:p w:rsidR="00E76F58" w:rsidRPr="001E4C47" w:rsidRDefault="001E4C47" w:rsidP="00A2661C">
      <w:pPr>
        <w:pStyle w:val="ParaNumbering"/>
        <w:rPr>
          <w:lang w:eastAsia="en-AU"/>
        </w:rPr>
      </w:pPr>
      <w:r w:rsidRPr="001E4C47">
        <w:rPr>
          <w:i/>
          <w:lang w:eastAsia="en-AU"/>
        </w:rPr>
        <w:t>Second</w:t>
      </w:r>
      <w:r>
        <w:rPr>
          <w:lang w:eastAsia="en-AU"/>
        </w:rPr>
        <w:t>, the applicant submitted that s</w:t>
      </w:r>
      <w:r w:rsidR="00E76F58">
        <w:rPr>
          <w:lang w:eastAsia="en-AU"/>
        </w:rPr>
        <w:t xml:space="preserve">ince the </w:t>
      </w:r>
      <w:r w:rsidR="00E76F58" w:rsidRPr="00E76F58">
        <w:rPr>
          <w:lang w:eastAsia="en-AU"/>
        </w:rPr>
        <w:t>applicant has consented to disclosure o</w:t>
      </w:r>
      <w:r w:rsidR="00E76F58">
        <w:rPr>
          <w:lang w:eastAsia="en-AU"/>
        </w:rPr>
        <w:t xml:space="preserve">f </w:t>
      </w:r>
      <w:r w:rsidR="00E22BB5">
        <w:rPr>
          <w:lang w:eastAsia="en-AU"/>
        </w:rPr>
        <w:t>his identity under s </w:t>
      </w:r>
      <w:r w:rsidR="00E76F58">
        <w:rPr>
          <w:lang w:eastAsia="en-AU"/>
        </w:rPr>
        <w:t xml:space="preserve">16(1)(a), </w:t>
      </w:r>
      <w:r w:rsidR="00E76F58" w:rsidRPr="00E76F58">
        <w:rPr>
          <w:lang w:eastAsia="en-AU"/>
        </w:rPr>
        <w:t>s</w:t>
      </w:r>
      <w:r w:rsidR="00E76F58">
        <w:rPr>
          <w:lang w:eastAsia="en-AU"/>
        </w:rPr>
        <w:t> </w:t>
      </w:r>
      <w:r w:rsidR="00E76F58" w:rsidRPr="00E76F58">
        <w:rPr>
          <w:lang w:eastAsia="en-AU"/>
        </w:rPr>
        <w:t>16(3)(</w:t>
      </w:r>
      <w:r w:rsidR="00D652B1">
        <w:rPr>
          <w:lang w:eastAsia="en-AU"/>
        </w:rPr>
        <w:t>a</w:t>
      </w:r>
      <w:r w:rsidR="00E76F58" w:rsidRPr="00E76F58">
        <w:rPr>
          <w:lang w:eastAsia="en-AU"/>
        </w:rPr>
        <w:t>) should not be permitted to 'stymie and suppress the conduct of the proceeding'</w:t>
      </w:r>
      <w:r w:rsidR="00DE4FE8">
        <w:rPr>
          <w:lang w:eastAsia="en-AU"/>
        </w:rPr>
        <w:t xml:space="preserve">.  </w:t>
      </w:r>
      <w:r>
        <w:rPr>
          <w:lang w:eastAsia="en-AU"/>
        </w:rPr>
        <w:t>I also do not consider that this adds much</w:t>
      </w:r>
      <w:r w:rsidR="00DE4FE8">
        <w:rPr>
          <w:lang w:eastAsia="en-AU"/>
        </w:rPr>
        <w:t xml:space="preserve">.  </w:t>
      </w:r>
      <w:r w:rsidRPr="001E4C47">
        <w:rPr>
          <w:rFonts w:eastAsia="Times New Roman"/>
          <w:szCs w:val="24"/>
          <w:lang w:eastAsia="en-AU"/>
        </w:rPr>
        <w:t>Although there are of course paral</w:t>
      </w:r>
      <w:r w:rsidR="00E22BB5">
        <w:rPr>
          <w:rFonts w:eastAsia="Times New Roman"/>
          <w:szCs w:val="24"/>
          <w:lang w:eastAsia="en-AU"/>
        </w:rPr>
        <w:t>lels and similarities between s 16(1) and s 16</w:t>
      </w:r>
      <w:r w:rsidRPr="001E4C47">
        <w:rPr>
          <w:rFonts w:eastAsia="Times New Roman"/>
          <w:szCs w:val="24"/>
          <w:lang w:eastAsia="en-AU"/>
        </w:rPr>
        <w:t>(3), on their face they are directed to different things</w:t>
      </w:r>
      <w:r w:rsidR="00DE4FE8">
        <w:rPr>
          <w:rFonts w:eastAsia="Times New Roman"/>
          <w:szCs w:val="24"/>
          <w:lang w:eastAsia="en-AU"/>
        </w:rPr>
        <w:t xml:space="preserve">.  </w:t>
      </w:r>
      <w:r w:rsidR="00E22BB5">
        <w:rPr>
          <w:rFonts w:eastAsia="Times New Roman"/>
          <w:szCs w:val="24"/>
          <w:lang w:eastAsia="en-AU"/>
        </w:rPr>
        <w:t>Section </w:t>
      </w:r>
      <w:r w:rsidRPr="001E4C47">
        <w:rPr>
          <w:rFonts w:eastAsia="Times New Roman"/>
          <w:szCs w:val="24"/>
          <w:lang w:eastAsia="en-AU"/>
        </w:rPr>
        <w:t>16(1) is about the protection of the person making the disclosure</w:t>
      </w:r>
      <w:r w:rsidR="00DE4FE8">
        <w:rPr>
          <w:rFonts w:eastAsia="Times New Roman"/>
          <w:szCs w:val="24"/>
          <w:lang w:eastAsia="en-AU"/>
        </w:rPr>
        <w:t xml:space="preserve">.  </w:t>
      </w:r>
      <w:r w:rsidR="00E22BB5">
        <w:rPr>
          <w:rFonts w:eastAsia="Times New Roman"/>
          <w:szCs w:val="24"/>
          <w:lang w:eastAsia="en-AU"/>
        </w:rPr>
        <w:t>Section </w:t>
      </w:r>
      <w:r w:rsidRPr="001E4C47">
        <w:rPr>
          <w:rFonts w:eastAsia="Times New Roman"/>
          <w:szCs w:val="24"/>
          <w:lang w:eastAsia="en-AU"/>
        </w:rPr>
        <w:t>16(3) is about the protection of persons in respect of which the disclosure is made</w:t>
      </w:r>
      <w:r w:rsidR="00DE4FE8">
        <w:rPr>
          <w:rFonts w:eastAsia="Times New Roman"/>
          <w:szCs w:val="24"/>
          <w:lang w:eastAsia="en-AU"/>
        </w:rPr>
        <w:t xml:space="preserve">.  </w:t>
      </w:r>
      <w:r w:rsidRPr="001E4C47">
        <w:rPr>
          <w:rFonts w:eastAsia="Times New Roman"/>
          <w:szCs w:val="24"/>
          <w:lang w:eastAsia="en-AU"/>
        </w:rPr>
        <w:t xml:space="preserve">The </w:t>
      </w:r>
      <w:r w:rsidR="00D652B1">
        <w:rPr>
          <w:rFonts w:eastAsia="Times New Roman"/>
          <w:szCs w:val="24"/>
          <w:lang w:eastAsia="en-AU"/>
        </w:rPr>
        <w:t>long</w:t>
      </w:r>
      <w:r w:rsidRPr="001E4C47">
        <w:rPr>
          <w:rFonts w:eastAsia="Times New Roman"/>
          <w:szCs w:val="24"/>
          <w:lang w:eastAsia="en-AU"/>
        </w:rPr>
        <w:t xml:space="preserve"> title to </w:t>
      </w:r>
      <w:r w:rsidRPr="001E4C47">
        <w:rPr>
          <w:rFonts w:eastAsia="Times New Roman"/>
          <w:szCs w:val="24"/>
          <w:lang w:eastAsia="en-AU"/>
        </w:rPr>
        <w:lastRenderedPageBreak/>
        <w:t>the Act, which I have quoted, reflects that difference of focus</w:t>
      </w:r>
      <w:r w:rsidR="00DE4FE8">
        <w:rPr>
          <w:rFonts w:eastAsia="Times New Roman"/>
          <w:szCs w:val="24"/>
          <w:lang w:eastAsia="en-AU"/>
        </w:rPr>
        <w:t xml:space="preserve">.  </w:t>
      </w:r>
      <w:r w:rsidRPr="001E4C47">
        <w:rPr>
          <w:rFonts w:eastAsia="Times New Roman"/>
          <w:szCs w:val="24"/>
          <w:lang w:eastAsia="en-AU"/>
        </w:rPr>
        <w:t xml:space="preserve">It is difficult to see how the attitude </w:t>
      </w:r>
      <w:r>
        <w:rPr>
          <w:rFonts w:eastAsia="Times New Roman"/>
          <w:szCs w:val="24"/>
          <w:lang w:eastAsia="en-AU"/>
        </w:rPr>
        <w:t>of</w:t>
      </w:r>
      <w:r w:rsidR="00E22BB5">
        <w:rPr>
          <w:rFonts w:eastAsia="Times New Roman"/>
          <w:szCs w:val="24"/>
          <w:lang w:eastAsia="en-AU"/>
        </w:rPr>
        <w:t xml:space="preserve"> the person protected by s </w:t>
      </w:r>
      <w:r w:rsidRPr="001E4C47">
        <w:rPr>
          <w:rFonts w:eastAsia="Times New Roman"/>
          <w:szCs w:val="24"/>
          <w:lang w:eastAsia="en-AU"/>
        </w:rPr>
        <w:t>16(1) should impinge on the protections to be afforded (or not afforded as the case may be) to persons who may wish to take the benefit o</w:t>
      </w:r>
      <w:r w:rsidR="00E22BB5">
        <w:rPr>
          <w:rFonts w:eastAsia="Times New Roman"/>
          <w:szCs w:val="24"/>
          <w:lang w:eastAsia="en-AU"/>
        </w:rPr>
        <w:t>f s </w:t>
      </w:r>
      <w:r w:rsidRPr="001E4C47">
        <w:rPr>
          <w:rFonts w:eastAsia="Times New Roman"/>
          <w:szCs w:val="24"/>
          <w:lang w:eastAsia="en-AU"/>
        </w:rPr>
        <w:t>16(3).</w:t>
      </w:r>
    </w:p>
    <w:p w:rsidR="00E76F58" w:rsidRPr="0032289C" w:rsidRDefault="001E4C47" w:rsidP="00AA5B8D">
      <w:pPr>
        <w:pStyle w:val="ParaNumbering"/>
        <w:rPr>
          <w:lang w:eastAsia="en-AU"/>
        </w:rPr>
      </w:pPr>
      <w:r w:rsidRPr="0032289C">
        <w:rPr>
          <w:i/>
          <w:lang w:eastAsia="en-AU"/>
        </w:rPr>
        <w:t>Third</w:t>
      </w:r>
      <w:r w:rsidRPr="0032289C">
        <w:rPr>
          <w:lang w:eastAsia="en-AU"/>
        </w:rPr>
        <w:t xml:space="preserve">, it was submitted that the </w:t>
      </w:r>
      <w:r w:rsidR="00E76F58" w:rsidRPr="0032289C">
        <w:rPr>
          <w:lang w:eastAsia="en-AU"/>
        </w:rPr>
        <w:t xml:space="preserve">subject matter of </w:t>
      </w:r>
      <w:r w:rsidR="00DD5F86" w:rsidRPr="0032289C">
        <w:rPr>
          <w:lang w:eastAsia="en-AU"/>
        </w:rPr>
        <w:t>the alleged public interest disclosure</w:t>
      </w:r>
      <w:r w:rsidR="00E76F58" w:rsidRPr="0032289C">
        <w:rPr>
          <w:lang w:eastAsia="en-AU"/>
        </w:rPr>
        <w:t xml:space="preserve"> is a matter of p</w:t>
      </w:r>
      <w:r w:rsidR="00F55EC0" w:rsidRPr="0032289C">
        <w:rPr>
          <w:lang w:eastAsia="en-AU"/>
        </w:rPr>
        <w:t xml:space="preserve">ublic interest and the subject </w:t>
      </w:r>
      <w:r w:rsidR="00E76F58" w:rsidRPr="0032289C">
        <w:rPr>
          <w:lang w:eastAsia="en-AU"/>
        </w:rPr>
        <w:t>of public debate</w:t>
      </w:r>
      <w:r w:rsidR="00DD5F86" w:rsidRPr="0032289C">
        <w:rPr>
          <w:lang w:eastAsia="en-AU"/>
        </w:rPr>
        <w:t>, and</w:t>
      </w:r>
      <w:r w:rsidR="00E76F58" w:rsidRPr="0032289C">
        <w:rPr>
          <w:lang w:eastAsia="en-AU"/>
        </w:rPr>
        <w:t xml:space="preserve"> </w:t>
      </w:r>
      <w:r w:rsidR="00DD5F86" w:rsidRPr="0032289C">
        <w:rPr>
          <w:lang w:eastAsia="en-AU"/>
        </w:rPr>
        <w:t>so is</w:t>
      </w:r>
      <w:r w:rsidR="00E76F58" w:rsidRPr="0032289C">
        <w:rPr>
          <w:lang w:eastAsia="en-AU"/>
        </w:rPr>
        <w:t xml:space="preserve"> a factor favouring the 'free flow of information'</w:t>
      </w:r>
      <w:r w:rsidR="00DE4FE8" w:rsidRPr="0032289C">
        <w:rPr>
          <w:lang w:eastAsia="en-AU"/>
        </w:rPr>
        <w:t xml:space="preserve">.  </w:t>
      </w:r>
      <w:r w:rsidRPr="0032289C">
        <w:rPr>
          <w:lang w:eastAsia="en-AU"/>
        </w:rPr>
        <w:t xml:space="preserve">There was evidence in Ms Murphy's affidavit of media reports on </w:t>
      </w:r>
      <w:r w:rsidR="00DD5F86" w:rsidRPr="0032289C">
        <w:rPr>
          <w:lang w:eastAsia="en-AU"/>
        </w:rPr>
        <w:t>that</w:t>
      </w:r>
      <w:r w:rsidRPr="0032289C">
        <w:rPr>
          <w:lang w:eastAsia="en-AU"/>
        </w:rPr>
        <w:t xml:space="preserve"> </w:t>
      </w:r>
      <w:r w:rsidR="00DD5F86" w:rsidRPr="0032289C">
        <w:rPr>
          <w:lang w:eastAsia="en-AU"/>
        </w:rPr>
        <w:t>subject matter</w:t>
      </w:r>
      <w:r w:rsidRPr="0032289C">
        <w:rPr>
          <w:lang w:eastAsia="en-AU"/>
        </w:rPr>
        <w:t xml:space="preserve">, including </w:t>
      </w:r>
      <w:r w:rsidR="007161CA">
        <w:rPr>
          <w:lang w:eastAsia="en-AU"/>
        </w:rPr>
        <w:t xml:space="preserve">a </w:t>
      </w:r>
      <w:r w:rsidRPr="00BA46F0">
        <w:rPr>
          <w:lang w:eastAsia="en-AU"/>
        </w:rPr>
        <w:t>report</w:t>
      </w:r>
      <w:r w:rsidRPr="0032289C">
        <w:rPr>
          <w:lang w:eastAsia="en-AU"/>
        </w:rPr>
        <w:t xml:space="preserve"> </w:t>
      </w:r>
      <w:r w:rsidR="007161CA">
        <w:rPr>
          <w:lang w:eastAsia="en-AU"/>
        </w:rPr>
        <w:t>quoting</w:t>
      </w:r>
      <w:r w:rsidR="007161CA" w:rsidRPr="0032289C">
        <w:rPr>
          <w:lang w:eastAsia="en-AU"/>
        </w:rPr>
        <w:t xml:space="preserve"> </w:t>
      </w:r>
      <w:r w:rsidRPr="0032289C">
        <w:rPr>
          <w:lang w:eastAsia="en-AU"/>
        </w:rPr>
        <w:t>the applicant</w:t>
      </w:r>
      <w:r w:rsidR="00DE4FE8" w:rsidRPr="0032289C">
        <w:rPr>
          <w:lang w:eastAsia="en-AU"/>
        </w:rPr>
        <w:t xml:space="preserve">.  </w:t>
      </w:r>
      <w:r w:rsidRPr="0032289C">
        <w:rPr>
          <w:lang w:eastAsia="en-AU"/>
        </w:rPr>
        <w:t xml:space="preserve">I accept that there is a measure of public interest in the </w:t>
      </w:r>
      <w:r w:rsidR="00FA5991" w:rsidRPr="0032289C">
        <w:rPr>
          <w:lang w:eastAsia="en-AU"/>
        </w:rPr>
        <w:t>issue</w:t>
      </w:r>
      <w:r w:rsidRPr="0032289C">
        <w:rPr>
          <w:lang w:eastAsia="en-AU"/>
        </w:rPr>
        <w:t>, although it is difficult to gauge how much interest, or how current it is</w:t>
      </w:r>
      <w:r w:rsidR="00DE4FE8" w:rsidRPr="0032289C">
        <w:rPr>
          <w:lang w:eastAsia="en-AU"/>
        </w:rPr>
        <w:t xml:space="preserve">.  </w:t>
      </w:r>
      <w:r w:rsidR="00AA5B8D" w:rsidRPr="0032289C">
        <w:rPr>
          <w:lang w:eastAsia="en-AU"/>
        </w:rPr>
        <w:t>That may</w:t>
      </w:r>
      <w:r w:rsidR="00BA5F6E" w:rsidRPr="0032289C">
        <w:rPr>
          <w:lang w:eastAsia="en-AU"/>
        </w:rPr>
        <w:t xml:space="preserve"> be a factor </w:t>
      </w:r>
      <w:r w:rsidR="00605339" w:rsidRPr="0032289C">
        <w:rPr>
          <w:lang w:eastAsia="en-AU"/>
        </w:rPr>
        <w:t xml:space="preserve">that </w:t>
      </w:r>
      <w:r w:rsidR="00BA5F6E" w:rsidRPr="0032289C">
        <w:rPr>
          <w:lang w:eastAsia="en-AU"/>
        </w:rPr>
        <w:t>is legitimate to take into account in considering whether to make an order which has effect under s 16(3)(e)</w:t>
      </w:r>
      <w:r w:rsidR="00DE4FE8" w:rsidRPr="0032289C">
        <w:rPr>
          <w:lang w:eastAsia="en-AU"/>
        </w:rPr>
        <w:t xml:space="preserve">.  </w:t>
      </w:r>
      <w:r w:rsidR="00E22BB5" w:rsidRPr="0032289C">
        <w:rPr>
          <w:lang w:eastAsia="en-AU"/>
        </w:rPr>
        <w:t>Section </w:t>
      </w:r>
      <w:r w:rsidR="00AA5B8D" w:rsidRPr="0032289C">
        <w:rPr>
          <w:lang w:eastAsia="en-AU"/>
        </w:rPr>
        <w:t xml:space="preserve">7A, which </w:t>
      </w:r>
      <w:r w:rsidR="00CD05BD" w:rsidRPr="0032289C">
        <w:rPr>
          <w:lang w:eastAsia="en-AU"/>
        </w:rPr>
        <w:t>I</w:t>
      </w:r>
      <w:r w:rsidR="00166D64">
        <w:rPr>
          <w:lang w:eastAsia="en-AU"/>
        </w:rPr>
        <w:t xml:space="preserve"> </w:t>
      </w:r>
      <w:r w:rsidR="00CD05BD">
        <w:rPr>
          <w:lang w:eastAsia="en-AU"/>
        </w:rPr>
        <w:t xml:space="preserve">have </w:t>
      </w:r>
      <w:r w:rsidR="00AA5B8D" w:rsidRPr="0032289C">
        <w:rPr>
          <w:lang w:eastAsia="en-AU"/>
        </w:rPr>
        <w:t>mentioned above, contemplates that disclosure to a journalist may be made in some circumstances</w:t>
      </w:r>
      <w:r w:rsidR="00DE4FE8" w:rsidRPr="0032289C">
        <w:rPr>
          <w:lang w:eastAsia="en-AU"/>
        </w:rPr>
        <w:t xml:space="preserve">.  </w:t>
      </w:r>
      <w:r w:rsidR="00AA5B8D" w:rsidRPr="0032289C">
        <w:rPr>
          <w:lang w:eastAsia="en-AU"/>
        </w:rPr>
        <w:t xml:space="preserve">But </w:t>
      </w:r>
      <w:r w:rsidR="00FA5991" w:rsidRPr="0032289C">
        <w:rPr>
          <w:lang w:eastAsia="en-AU"/>
        </w:rPr>
        <w:t>there is no reason to think that in the absence of the order sought</w:t>
      </w:r>
      <w:r w:rsidR="00DD5F86" w:rsidRPr="0032289C">
        <w:rPr>
          <w:lang w:eastAsia="en-AU"/>
        </w:rPr>
        <w:t>,</w:t>
      </w:r>
      <w:r w:rsidR="00FA5991" w:rsidRPr="0032289C">
        <w:rPr>
          <w:lang w:eastAsia="en-AU"/>
        </w:rPr>
        <w:t xml:space="preserve"> public debate will be impaired in any way</w:t>
      </w:r>
      <w:r w:rsidR="00DE4FE8" w:rsidRPr="0032289C">
        <w:rPr>
          <w:lang w:eastAsia="en-AU"/>
        </w:rPr>
        <w:t xml:space="preserve">.  </w:t>
      </w:r>
      <w:r w:rsidR="00FA5991" w:rsidRPr="0032289C">
        <w:rPr>
          <w:lang w:eastAsia="en-AU"/>
        </w:rPr>
        <w:t xml:space="preserve">And </w:t>
      </w:r>
      <w:r w:rsidR="00AA5B8D" w:rsidRPr="0032289C">
        <w:rPr>
          <w:lang w:eastAsia="en-AU"/>
        </w:rPr>
        <w:t xml:space="preserve">for </w:t>
      </w:r>
      <w:r w:rsidR="00605339" w:rsidRPr="0032289C">
        <w:rPr>
          <w:rFonts w:eastAsia="Times New Roman"/>
          <w:szCs w:val="24"/>
          <w:lang w:eastAsia="en-AU"/>
        </w:rPr>
        <w:t>similar reasons</w:t>
      </w:r>
      <w:r w:rsidR="00AA5B8D" w:rsidRPr="0032289C">
        <w:rPr>
          <w:rFonts w:eastAsia="Times New Roman"/>
          <w:szCs w:val="24"/>
          <w:lang w:eastAsia="en-AU"/>
        </w:rPr>
        <w:t xml:space="preserve"> to those I gave in relation to the first reason the applicant has advanced, I doubt that </w:t>
      </w:r>
      <w:r w:rsidR="00FA5991" w:rsidRPr="0032289C">
        <w:rPr>
          <w:rFonts w:eastAsia="Times New Roman"/>
          <w:szCs w:val="24"/>
          <w:lang w:eastAsia="en-AU"/>
        </w:rPr>
        <w:t>this point</w:t>
      </w:r>
      <w:r w:rsidR="00AA5B8D" w:rsidRPr="0032289C">
        <w:rPr>
          <w:rFonts w:eastAsia="Times New Roman"/>
          <w:szCs w:val="24"/>
          <w:lang w:eastAsia="en-AU"/>
        </w:rPr>
        <w:t xml:space="preserve"> adds much to the already strong predisposition the court will have in favour of open justice.</w:t>
      </w:r>
    </w:p>
    <w:p w:rsidR="00E76F58" w:rsidRPr="00A2661C" w:rsidRDefault="00A2661C" w:rsidP="00A2661C">
      <w:pPr>
        <w:pStyle w:val="ParaNumbering"/>
        <w:rPr>
          <w:rFonts w:eastAsia="Times New Roman"/>
          <w:szCs w:val="24"/>
          <w:lang w:eastAsia="en-AU"/>
        </w:rPr>
      </w:pPr>
      <w:r>
        <w:rPr>
          <w:rFonts w:eastAsia="Times New Roman"/>
          <w:i/>
          <w:szCs w:val="24"/>
          <w:lang w:eastAsia="en-AU"/>
        </w:rPr>
        <w:t>Fourth</w:t>
      </w:r>
      <w:r w:rsidR="00F55EC0" w:rsidRPr="00A2661C">
        <w:rPr>
          <w:rFonts w:eastAsia="Times New Roman"/>
          <w:szCs w:val="24"/>
          <w:lang w:eastAsia="en-AU"/>
        </w:rPr>
        <w:t xml:space="preserve">, the applicant submitted that the </w:t>
      </w:r>
      <w:r w:rsidR="00E76F58" w:rsidRPr="00A2661C">
        <w:rPr>
          <w:rFonts w:eastAsia="Times New Roman"/>
          <w:szCs w:val="24"/>
          <w:lang w:eastAsia="en-AU"/>
        </w:rPr>
        <w:t>fact that the University is a statutory body whose objects include the advancement of learning and knowledge, and the provision of university education (</w:t>
      </w:r>
      <w:r w:rsidR="00E76F58" w:rsidRPr="00BC5E00">
        <w:rPr>
          <w:rFonts w:eastAsia="Times New Roman"/>
          <w:i/>
          <w:szCs w:val="24"/>
          <w:lang w:eastAsia="en-AU"/>
        </w:rPr>
        <w:t>Murdoch University Act 1973</w:t>
      </w:r>
      <w:r w:rsidR="00E76F58" w:rsidRPr="00BC5E00">
        <w:rPr>
          <w:rFonts w:eastAsia="Times New Roman"/>
          <w:szCs w:val="24"/>
          <w:lang w:eastAsia="en-AU"/>
        </w:rPr>
        <w:t xml:space="preserve"> (WA)</w:t>
      </w:r>
      <w:r w:rsidR="00E76F58" w:rsidRPr="00A2661C">
        <w:rPr>
          <w:rFonts w:eastAsia="Times New Roman"/>
          <w:szCs w:val="24"/>
          <w:lang w:eastAsia="en-AU"/>
        </w:rPr>
        <w:t xml:space="preserve"> s 5), is relevant because it is consistent with those objects to favour rather than disfavour open proceedings</w:t>
      </w:r>
      <w:r w:rsidR="00DE4FE8">
        <w:rPr>
          <w:rFonts w:eastAsia="Times New Roman"/>
          <w:szCs w:val="24"/>
          <w:lang w:eastAsia="en-AU"/>
        </w:rPr>
        <w:t xml:space="preserve">.  </w:t>
      </w:r>
      <w:r w:rsidR="00F55EC0" w:rsidRPr="00A2661C">
        <w:rPr>
          <w:rFonts w:eastAsia="Times New Roman"/>
          <w:szCs w:val="24"/>
          <w:lang w:eastAsia="en-AU"/>
        </w:rPr>
        <w:t xml:space="preserve">However the </w:t>
      </w:r>
      <w:r w:rsidR="00E76F58" w:rsidRPr="00A2661C">
        <w:rPr>
          <w:rFonts w:eastAsia="Times New Roman"/>
          <w:szCs w:val="24"/>
          <w:lang w:eastAsia="en-AU"/>
        </w:rPr>
        <w:t xml:space="preserve">connection between educational objects of the University and the desirability of information about the </w:t>
      </w:r>
      <w:r w:rsidR="00FC581E">
        <w:rPr>
          <w:rFonts w:eastAsia="Times New Roman"/>
          <w:szCs w:val="24"/>
          <w:lang w:eastAsia="en-AU"/>
        </w:rPr>
        <w:t>U</w:t>
      </w:r>
      <w:r w:rsidR="00E76F58" w:rsidRPr="00A2661C">
        <w:rPr>
          <w:rFonts w:eastAsia="Times New Roman"/>
          <w:szCs w:val="24"/>
          <w:lang w:eastAsia="en-AU"/>
        </w:rPr>
        <w:t>niversity being disclosed in or as a result of court proceedings seems to me to be a tenuous one</w:t>
      </w:r>
      <w:r w:rsidR="00DE4FE8">
        <w:rPr>
          <w:rFonts w:eastAsia="Times New Roman"/>
          <w:szCs w:val="24"/>
          <w:lang w:eastAsia="en-AU"/>
        </w:rPr>
        <w:t xml:space="preserve">.  </w:t>
      </w:r>
      <w:r w:rsidRPr="00A2661C">
        <w:rPr>
          <w:rFonts w:eastAsia="Times New Roman"/>
          <w:szCs w:val="24"/>
          <w:lang w:eastAsia="en-AU"/>
        </w:rPr>
        <w:t xml:space="preserve">Once again, it </w:t>
      </w:r>
      <w:r w:rsidR="00E76F58" w:rsidRPr="00A2661C">
        <w:rPr>
          <w:rFonts w:eastAsia="Times New Roman"/>
          <w:szCs w:val="24"/>
          <w:lang w:eastAsia="en-AU"/>
        </w:rPr>
        <w:t>does not add much to the already strong predisposition of the court in favour of open justice</w:t>
      </w:r>
      <w:r w:rsidR="00E22BB5">
        <w:rPr>
          <w:rFonts w:eastAsia="Times New Roman"/>
          <w:szCs w:val="24"/>
          <w:lang w:eastAsia="en-AU"/>
        </w:rPr>
        <w:t>.</w:t>
      </w:r>
    </w:p>
    <w:p w:rsidR="00E76F58" w:rsidRPr="00A2661C" w:rsidRDefault="00A2661C" w:rsidP="00A2661C">
      <w:pPr>
        <w:pStyle w:val="ParaNumbering"/>
        <w:rPr>
          <w:rFonts w:eastAsia="Times New Roman"/>
          <w:szCs w:val="24"/>
          <w:lang w:eastAsia="en-AU"/>
        </w:rPr>
      </w:pPr>
      <w:r w:rsidRPr="00A2661C">
        <w:rPr>
          <w:rFonts w:eastAsia="Times New Roman"/>
          <w:i/>
          <w:szCs w:val="24"/>
          <w:lang w:eastAsia="en-AU"/>
        </w:rPr>
        <w:t>Fifth</w:t>
      </w:r>
      <w:r w:rsidRPr="00A2661C">
        <w:rPr>
          <w:rFonts w:eastAsia="Times New Roman"/>
          <w:szCs w:val="24"/>
          <w:lang w:eastAsia="en-AU"/>
        </w:rPr>
        <w:t>, it was said that the</w:t>
      </w:r>
      <w:r w:rsidR="00E76F58" w:rsidRPr="00A2661C">
        <w:rPr>
          <w:rFonts w:eastAsia="Times New Roman"/>
          <w:szCs w:val="24"/>
          <w:lang w:eastAsia="en-AU"/>
        </w:rPr>
        <w:t xml:space="preserve"> ongoing conduct of </w:t>
      </w:r>
      <w:r w:rsidR="00FA1A0F" w:rsidRPr="00A2661C">
        <w:rPr>
          <w:rFonts w:eastAsia="Times New Roman"/>
          <w:szCs w:val="24"/>
          <w:lang w:eastAsia="en-AU"/>
        </w:rPr>
        <w:t>the present</w:t>
      </w:r>
      <w:r w:rsidR="00E76F58" w:rsidRPr="00A2661C">
        <w:rPr>
          <w:rFonts w:eastAsia="Times New Roman"/>
          <w:szCs w:val="24"/>
          <w:lang w:eastAsia="en-AU"/>
        </w:rPr>
        <w:t xml:space="preserve"> litigation will be hampered unless orders are made alleviating the burden of </w:t>
      </w:r>
      <w:r w:rsidR="00FA1A0F" w:rsidRPr="00A2661C">
        <w:rPr>
          <w:rFonts w:eastAsia="Times New Roman"/>
          <w:szCs w:val="24"/>
          <w:lang w:eastAsia="en-AU"/>
        </w:rPr>
        <w:t>s</w:t>
      </w:r>
      <w:r w:rsidR="00736CAA">
        <w:rPr>
          <w:rFonts w:eastAsia="Times New Roman"/>
          <w:szCs w:val="24"/>
          <w:lang w:eastAsia="en-AU"/>
        </w:rPr>
        <w:t xml:space="preserve"> 16(1) and s</w:t>
      </w:r>
      <w:r w:rsidR="00FA1A0F" w:rsidRPr="00A2661C">
        <w:rPr>
          <w:rFonts w:eastAsia="Times New Roman"/>
          <w:szCs w:val="24"/>
          <w:lang w:eastAsia="en-AU"/>
        </w:rPr>
        <w:t> </w:t>
      </w:r>
      <w:r w:rsidR="00E76F58" w:rsidRPr="00A2661C">
        <w:rPr>
          <w:rFonts w:eastAsia="Times New Roman"/>
          <w:szCs w:val="24"/>
          <w:lang w:eastAsia="en-AU"/>
        </w:rPr>
        <w:t xml:space="preserve">16(3) of the </w:t>
      </w:r>
      <w:r w:rsidR="00E76F58" w:rsidRPr="00E22BB5">
        <w:rPr>
          <w:rFonts w:eastAsia="Times New Roman"/>
          <w:i/>
          <w:szCs w:val="24"/>
          <w:lang w:eastAsia="en-AU"/>
        </w:rPr>
        <w:t>PID</w:t>
      </w:r>
      <w:r w:rsidR="00E22BB5" w:rsidRPr="00E22BB5">
        <w:rPr>
          <w:rFonts w:eastAsia="Times New Roman"/>
          <w:i/>
          <w:szCs w:val="24"/>
          <w:lang w:eastAsia="en-AU"/>
        </w:rPr>
        <w:t xml:space="preserve"> </w:t>
      </w:r>
      <w:r w:rsidR="00E76F58" w:rsidRPr="00E22BB5">
        <w:rPr>
          <w:rFonts w:eastAsia="Times New Roman"/>
          <w:i/>
          <w:szCs w:val="24"/>
          <w:lang w:eastAsia="en-AU"/>
        </w:rPr>
        <w:t>A</w:t>
      </w:r>
      <w:r w:rsidR="00E22BB5" w:rsidRPr="00E22BB5">
        <w:rPr>
          <w:rFonts w:eastAsia="Times New Roman"/>
          <w:i/>
          <w:szCs w:val="24"/>
          <w:lang w:eastAsia="en-AU"/>
        </w:rPr>
        <w:t>ct</w:t>
      </w:r>
      <w:r w:rsidR="00DE4FE8">
        <w:rPr>
          <w:rFonts w:eastAsia="Times New Roman"/>
          <w:szCs w:val="24"/>
          <w:lang w:eastAsia="en-AU"/>
        </w:rPr>
        <w:t xml:space="preserve">.  </w:t>
      </w:r>
      <w:r w:rsidRPr="00A2661C">
        <w:rPr>
          <w:rFonts w:eastAsia="Times New Roman"/>
          <w:szCs w:val="24"/>
          <w:lang w:eastAsia="en-AU"/>
        </w:rPr>
        <w:t>It is d</w:t>
      </w:r>
      <w:r w:rsidR="00E76F58" w:rsidRPr="00A2661C">
        <w:rPr>
          <w:rFonts w:eastAsia="Times New Roman"/>
          <w:szCs w:val="24"/>
          <w:lang w:eastAsia="en-AU"/>
        </w:rPr>
        <w:t>ifficult to see why that is so</w:t>
      </w:r>
      <w:r w:rsidR="00DE4FE8">
        <w:rPr>
          <w:rFonts w:eastAsia="Times New Roman"/>
          <w:szCs w:val="24"/>
          <w:lang w:eastAsia="en-AU"/>
        </w:rPr>
        <w:t xml:space="preserve">.  </w:t>
      </w:r>
      <w:r w:rsidRPr="00A2661C">
        <w:rPr>
          <w:rFonts w:eastAsia="Times New Roman"/>
          <w:szCs w:val="24"/>
          <w:lang w:eastAsia="en-AU"/>
        </w:rPr>
        <w:t>I h</w:t>
      </w:r>
      <w:r w:rsidR="00E76F58" w:rsidRPr="00A2661C">
        <w:rPr>
          <w:rFonts w:eastAsia="Times New Roman"/>
          <w:szCs w:val="24"/>
          <w:lang w:eastAsia="en-AU"/>
        </w:rPr>
        <w:t>ave made orders giving the parties unrestricted ability to file and serve documents</w:t>
      </w:r>
      <w:r w:rsidR="00DE4FE8">
        <w:rPr>
          <w:rFonts w:eastAsia="Times New Roman"/>
          <w:szCs w:val="24"/>
          <w:lang w:eastAsia="en-AU"/>
        </w:rPr>
        <w:t xml:space="preserve">.  </w:t>
      </w:r>
      <w:r w:rsidR="00E76F58" w:rsidRPr="00A2661C">
        <w:rPr>
          <w:rFonts w:eastAsia="Times New Roman"/>
          <w:szCs w:val="24"/>
          <w:lang w:eastAsia="en-AU"/>
        </w:rPr>
        <w:t>If, hypothetically, a third party seeks access to those documents and is denied access</w:t>
      </w:r>
      <w:r w:rsidRPr="00A2661C">
        <w:rPr>
          <w:rFonts w:eastAsia="Times New Roman"/>
          <w:szCs w:val="24"/>
          <w:lang w:eastAsia="en-AU"/>
        </w:rPr>
        <w:t xml:space="preserve">, that </w:t>
      </w:r>
      <w:r w:rsidR="00E76F58" w:rsidRPr="00A2661C">
        <w:rPr>
          <w:rFonts w:eastAsia="Times New Roman"/>
          <w:szCs w:val="24"/>
          <w:lang w:eastAsia="en-AU"/>
        </w:rPr>
        <w:t xml:space="preserve">will not hamper the </w:t>
      </w:r>
      <w:r w:rsidR="00DD5F86">
        <w:rPr>
          <w:rFonts w:eastAsia="Times New Roman"/>
          <w:szCs w:val="24"/>
          <w:lang w:eastAsia="en-AU"/>
        </w:rPr>
        <w:t xml:space="preserve">conduct of the </w:t>
      </w:r>
      <w:r w:rsidR="00E76F58" w:rsidRPr="00A2661C">
        <w:rPr>
          <w:rFonts w:eastAsia="Times New Roman"/>
          <w:szCs w:val="24"/>
          <w:lang w:eastAsia="en-AU"/>
        </w:rPr>
        <w:t>proceedings</w:t>
      </w:r>
      <w:r w:rsidR="00DE4FE8">
        <w:rPr>
          <w:rFonts w:eastAsia="Times New Roman"/>
          <w:szCs w:val="24"/>
          <w:lang w:eastAsia="en-AU"/>
        </w:rPr>
        <w:t xml:space="preserve">.  </w:t>
      </w:r>
      <w:r w:rsidR="00E76F58" w:rsidRPr="00A2661C">
        <w:rPr>
          <w:rFonts w:eastAsia="Times New Roman"/>
          <w:szCs w:val="24"/>
          <w:lang w:eastAsia="en-AU"/>
        </w:rPr>
        <w:t>Conceivably</w:t>
      </w:r>
      <w:r w:rsidRPr="00A2661C">
        <w:rPr>
          <w:rFonts w:eastAsia="Times New Roman"/>
          <w:szCs w:val="24"/>
          <w:lang w:eastAsia="en-AU"/>
        </w:rPr>
        <w:t>,</w:t>
      </w:r>
      <w:r w:rsidR="00E76F58" w:rsidRPr="00A2661C">
        <w:rPr>
          <w:rFonts w:eastAsia="Times New Roman"/>
          <w:szCs w:val="24"/>
          <w:lang w:eastAsia="en-AU"/>
        </w:rPr>
        <w:t xml:space="preserve"> if a party seeks orders protecting </w:t>
      </w:r>
      <w:r w:rsidRPr="00A2661C">
        <w:rPr>
          <w:rFonts w:eastAsia="Times New Roman"/>
          <w:szCs w:val="24"/>
          <w:lang w:eastAsia="en-AU"/>
        </w:rPr>
        <w:t xml:space="preserve">the </w:t>
      </w:r>
      <w:r w:rsidR="00E76F58" w:rsidRPr="00A2661C">
        <w:rPr>
          <w:rFonts w:eastAsia="Times New Roman"/>
          <w:szCs w:val="24"/>
          <w:lang w:eastAsia="en-AU"/>
        </w:rPr>
        <w:t>alleged confidentiality of any information in the course of any hearing or judgment</w:t>
      </w:r>
      <w:r w:rsidRPr="00A2661C">
        <w:rPr>
          <w:rFonts w:eastAsia="Times New Roman"/>
          <w:szCs w:val="24"/>
          <w:lang w:eastAsia="en-AU"/>
        </w:rPr>
        <w:t>, that c</w:t>
      </w:r>
      <w:r w:rsidR="00E76F58" w:rsidRPr="00A2661C">
        <w:rPr>
          <w:rFonts w:eastAsia="Times New Roman"/>
          <w:szCs w:val="24"/>
          <w:lang w:eastAsia="en-AU"/>
        </w:rPr>
        <w:t xml:space="preserve">ould hamper the </w:t>
      </w:r>
      <w:r w:rsidR="00DD5F86">
        <w:rPr>
          <w:rFonts w:eastAsia="Times New Roman"/>
          <w:szCs w:val="24"/>
          <w:lang w:eastAsia="en-AU"/>
        </w:rPr>
        <w:t>litigation</w:t>
      </w:r>
      <w:r w:rsidR="00DE4FE8">
        <w:rPr>
          <w:rFonts w:eastAsia="Times New Roman"/>
          <w:szCs w:val="24"/>
          <w:lang w:eastAsia="en-AU"/>
        </w:rPr>
        <w:t xml:space="preserve">.  </w:t>
      </w:r>
      <w:r w:rsidR="00E76F58" w:rsidRPr="00A2661C">
        <w:rPr>
          <w:rFonts w:eastAsia="Times New Roman"/>
          <w:szCs w:val="24"/>
          <w:lang w:eastAsia="en-AU"/>
        </w:rPr>
        <w:t>But n</w:t>
      </w:r>
      <w:r>
        <w:rPr>
          <w:rFonts w:eastAsia="Times New Roman"/>
          <w:szCs w:val="24"/>
          <w:lang w:eastAsia="en-AU"/>
        </w:rPr>
        <w:t xml:space="preserve">o such orders have </w:t>
      </w:r>
      <w:r w:rsidR="00DC5CD9">
        <w:rPr>
          <w:rFonts w:eastAsia="Times New Roman"/>
          <w:szCs w:val="24"/>
          <w:lang w:eastAsia="en-AU"/>
        </w:rPr>
        <w:t xml:space="preserve">yet </w:t>
      </w:r>
      <w:r>
        <w:rPr>
          <w:rFonts w:eastAsia="Times New Roman"/>
          <w:szCs w:val="24"/>
          <w:lang w:eastAsia="en-AU"/>
        </w:rPr>
        <w:t>been sought</w:t>
      </w:r>
      <w:r w:rsidR="00DE4FE8">
        <w:rPr>
          <w:rFonts w:eastAsia="Times New Roman"/>
          <w:szCs w:val="24"/>
          <w:lang w:eastAsia="en-AU"/>
        </w:rPr>
        <w:t xml:space="preserve">.  </w:t>
      </w:r>
      <w:r>
        <w:rPr>
          <w:rFonts w:eastAsia="Times New Roman"/>
          <w:szCs w:val="24"/>
          <w:lang w:eastAsia="en-AU"/>
        </w:rPr>
        <w:t>Experience shows that if they are</w:t>
      </w:r>
      <w:r w:rsidR="00736CAA">
        <w:rPr>
          <w:rFonts w:eastAsia="Times New Roman"/>
          <w:szCs w:val="24"/>
          <w:lang w:eastAsia="en-AU"/>
        </w:rPr>
        <w:t xml:space="preserve"> sought</w:t>
      </w:r>
      <w:r>
        <w:rPr>
          <w:rFonts w:eastAsia="Times New Roman"/>
          <w:szCs w:val="24"/>
          <w:lang w:eastAsia="en-AU"/>
        </w:rPr>
        <w:t xml:space="preserve">, it </w:t>
      </w:r>
      <w:r w:rsidR="00166D64">
        <w:rPr>
          <w:rFonts w:eastAsia="Times New Roman"/>
          <w:szCs w:val="24"/>
          <w:lang w:eastAsia="en-AU"/>
        </w:rPr>
        <w:t>is likely that it will be</w:t>
      </w:r>
      <w:r>
        <w:rPr>
          <w:rFonts w:eastAsia="Times New Roman"/>
          <w:szCs w:val="24"/>
          <w:lang w:eastAsia="en-AU"/>
        </w:rPr>
        <w:t xml:space="preserve"> possible to deal with the issue pragmatically, in a variety of ways that do not </w:t>
      </w:r>
      <w:r w:rsidR="00B5613D">
        <w:rPr>
          <w:rFonts w:eastAsia="Times New Roman"/>
          <w:szCs w:val="24"/>
          <w:lang w:eastAsia="en-AU"/>
        </w:rPr>
        <w:t>impair</w:t>
      </w:r>
      <w:r>
        <w:rPr>
          <w:rFonts w:eastAsia="Times New Roman"/>
          <w:szCs w:val="24"/>
          <w:lang w:eastAsia="en-AU"/>
        </w:rPr>
        <w:t xml:space="preserve"> the </w:t>
      </w:r>
      <w:r w:rsidR="00B5613D">
        <w:rPr>
          <w:rFonts w:eastAsia="Times New Roman"/>
          <w:szCs w:val="24"/>
          <w:lang w:eastAsia="en-AU"/>
        </w:rPr>
        <w:t>process of the court</w:t>
      </w:r>
      <w:r w:rsidR="00E22BB5">
        <w:rPr>
          <w:rFonts w:eastAsia="Times New Roman"/>
          <w:szCs w:val="24"/>
          <w:lang w:eastAsia="en-AU"/>
        </w:rPr>
        <w:t>.</w:t>
      </w:r>
    </w:p>
    <w:p w:rsidR="004F3A4E" w:rsidRDefault="007364C5" w:rsidP="00912AFF">
      <w:pPr>
        <w:pStyle w:val="ParaNumbering"/>
        <w:rPr>
          <w:rFonts w:eastAsia="Times New Roman"/>
          <w:szCs w:val="24"/>
          <w:lang w:eastAsia="en-AU"/>
        </w:rPr>
      </w:pPr>
      <w:r w:rsidRPr="00721495">
        <w:rPr>
          <w:rFonts w:eastAsia="Times New Roman"/>
          <w:szCs w:val="24"/>
          <w:lang w:eastAsia="en-AU"/>
        </w:rPr>
        <w:lastRenderedPageBreak/>
        <w:t xml:space="preserve">It will be evident </w:t>
      </w:r>
      <w:r w:rsidR="003A6C98">
        <w:rPr>
          <w:rFonts w:eastAsia="Times New Roman"/>
          <w:szCs w:val="24"/>
          <w:lang w:eastAsia="en-AU"/>
        </w:rPr>
        <w:t xml:space="preserve">that </w:t>
      </w:r>
      <w:r w:rsidRPr="00721495">
        <w:rPr>
          <w:rFonts w:eastAsia="Times New Roman"/>
          <w:szCs w:val="24"/>
          <w:lang w:eastAsia="en-AU"/>
        </w:rPr>
        <w:t>the written submissions filed on behalf of the applicant have not persuaded me to make the order sought</w:t>
      </w:r>
      <w:r w:rsidR="00DE4FE8">
        <w:rPr>
          <w:rFonts w:eastAsia="Times New Roman"/>
          <w:szCs w:val="24"/>
          <w:lang w:eastAsia="en-AU"/>
        </w:rPr>
        <w:t xml:space="preserve">.  </w:t>
      </w:r>
      <w:r w:rsidR="00912AFF">
        <w:rPr>
          <w:rFonts w:eastAsia="Times New Roman"/>
          <w:szCs w:val="24"/>
          <w:lang w:eastAsia="en-AU"/>
        </w:rPr>
        <w:t>However in oral submissions c</w:t>
      </w:r>
      <w:r w:rsidR="00912AFF" w:rsidRPr="00721495">
        <w:rPr>
          <w:rFonts w:eastAsia="Times New Roman"/>
          <w:szCs w:val="24"/>
          <w:lang w:eastAsia="en-AU"/>
        </w:rPr>
        <w:t xml:space="preserve">ounsel </w:t>
      </w:r>
      <w:r w:rsidR="00912AFF">
        <w:rPr>
          <w:rFonts w:eastAsia="Times New Roman"/>
          <w:szCs w:val="24"/>
          <w:lang w:eastAsia="en-AU"/>
        </w:rPr>
        <w:t>for the applicant made some stronger points</w:t>
      </w:r>
      <w:r w:rsidR="00DE4FE8">
        <w:rPr>
          <w:rFonts w:eastAsia="Times New Roman"/>
          <w:szCs w:val="24"/>
          <w:lang w:eastAsia="en-AU"/>
        </w:rPr>
        <w:t xml:space="preserve">.  </w:t>
      </w:r>
      <w:r w:rsidR="00912AFF">
        <w:rPr>
          <w:rFonts w:eastAsia="Times New Roman"/>
          <w:szCs w:val="24"/>
          <w:lang w:eastAsia="en-AU"/>
        </w:rPr>
        <w:t xml:space="preserve">One was </w:t>
      </w:r>
      <w:r w:rsidR="00912AFF" w:rsidRPr="00721495">
        <w:rPr>
          <w:rFonts w:eastAsia="Times New Roman"/>
          <w:szCs w:val="24"/>
          <w:lang w:eastAsia="en-AU"/>
        </w:rPr>
        <w:t>that the statement of claim, which contains detail as to the alleged public interest disclosure</w:t>
      </w:r>
      <w:r w:rsidR="001D3480">
        <w:rPr>
          <w:rFonts w:eastAsia="Times New Roman"/>
          <w:szCs w:val="24"/>
          <w:lang w:eastAsia="en-AU"/>
        </w:rPr>
        <w:t xml:space="preserve"> and who it is about</w:t>
      </w:r>
      <w:r w:rsidR="00912AFF" w:rsidRPr="00721495">
        <w:rPr>
          <w:rFonts w:eastAsia="Times New Roman"/>
          <w:szCs w:val="24"/>
          <w:lang w:eastAsia="en-AU"/>
        </w:rPr>
        <w:t>, is</w:t>
      </w:r>
      <w:r w:rsidR="001D3480">
        <w:rPr>
          <w:rFonts w:eastAsia="Times New Roman"/>
          <w:szCs w:val="24"/>
          <w:lang w:eastAsia="en-AU"/>
        </w:rPr>
        <w:t>,</w:t>
      </w:r>
      <w:r w:rsidR="00912AFF" w:rsidRPr="00721495">
        <w:rPr>
          <w:rFonts w:eastAsia="Times New Roman"/>
          <w:szCs w:val="24"/>
          <w:lang w:eastAsia="en-AU"/>
        </w:rPr>
        <w:t xml:space="preserve"> </w:t>
      </w:r>
      <w:r w:rsidR="001D3480">
        <w:rPr>
          <w:rFonts w:eastAsia="Times New Roman"/>
          <w:szCs w:val="24"/>
          <w:lang w:eastAsia="en-AU"/>
        </w:rPr>
        <w:t xml:space="preserve">with the consent of the University, available for inspection and </w:t>
      </w:r>
      <w:r w:rsidR="00912AFF" w:rsidRPr="00721495">
        <w:rPr>
          <w:rFonts w:eastAsia="Times New Roman"/>
          <w:szCs w:val="24"/>
          <w:lang w:eastAsia="en-AU"/>
        </w:rPr>
        <w:t xml:space="preserve">in </w:t>
      </w:r>
      <w:proofErr w:type="spellStart"/>
      <w:r w:rsidR="00912AFF" w:rsidRPr="00721495">
        <w:rPr>
          <w:rFonts w:eastAsia="Times New Roman"/>
          <w:szCs w:val="24"/>
          <w:lang w:eastAsia="en-AU"/>
        </w:rPr>
        <w:t>unredacted</w:t>
      </w:r>
      <w:proofErr w:type="spellEnd"/>
      <w:r w:rsidR="00912AFF" w:rsidRPr="00721495">
        <w:rPr>
          <w:rFonts w:eastAsia="Times New Roman"/>
          <w:szCs w:val="24"/>
          <w:lang w:eastAsia="en-AU"/>
        </w:rPr>
        <w:t xml:space="preserve"> form on the court file</w:t>
      </w:r>
      <w:r w:rsidR="00DE4FE8">
        <w:rPr>
          <w:rFonts w:eastAsia="Times New Roman"/>
          <w:szCs w:val="24"/>
          <w:lang w:eastAsia="en-AU"/>
        </w:rPr>
        <w:t xml:space="preserve">.  </w:t>
      </w:r>
      <w:r w:rsidR="00912AFF">
        <w:rPr>
          <w:rFonts w:eastAsia="Times New Roman"/>
          <w:szCs w:val="24"/>
          <w:lang w:eastAsia="en-AU"/>
        </w:rPr>
        <w:t>The applicant submits this means the University's interest in the protections afforded by s 16(3) should be given less weight than it otherwise would be</w:t>
      </w:r>
      <w:r w:rsidR="00BC5E00">
        <w:rPr>
          <w:rFonts w:eastAsia="Times New Roman"/>
          <w:szCs w:val="24"/>
          <w:lang w:eastAsia="en-AU"/>
        </w:rPr>
        <w:t>.</w:t>
      </w:r>
    </w:p>
    <w:p w:rsidR="0084475B" w:rsidRDefault="00912AFF" w:rsidP="00912AFF">
      <w:pPr>
        <w:pStyle w:val="ParaNumbering"/>
        <w:rPr>
          <w:rFonts w:eastAsia="Times New Roman"/>
          <w:szCs w:val="24"/>
          <w:lang w:eastAsia="en-AU"/>
        </w:rPr>
      </w:pPr>
      <w:r>
        <w:rPr>
          <w:rFonts w:eastAsia="Times New Roman"/>
          <w:szCs w:val="24"/>
          <w:lang w:eastAsia="en-AU"/>
        </w:rPr>
        <w:t xml:space="preserve">I accept that is a relevant consideration and </w:t>
      </w:r>
      <w:r w:rsidR="00E574D2">
        <w:rPr>
          <w:rFonts w:eastAsia="Times New Roman"/>
          <w:szCs w:val="24"/>
          <w:lang w:eastAsia="en-AU"/>
        </w:rPr>
        <w:t>I</w:t>
      </w:r>
      <w:r>
        <w:rPr>
          <w:rFonts w:eastAsia="Times New Roman"/>
          <w:szCs w:val="24"/>
          <w:lang w:eastAsia="en-AU"/>
        </w:rPr>
        <w:t xml:space="preserve"> take it into account</w:t>
      </w:r>
      <w:r w:rsidR="00DE4FE8">
        <w:rPr>
          <w:rFonts w:eastAsia="Times New Roman"/>
          <w:szCs w:val="24"/>
          <w:lang w:eastAsia="en-AU"/>
        </w:rPr>
        <w:t xml:space="preserve">.  </w:t>
      </w:r>
      <w:r w:rsidR="003A6C98">
        <w:rPr>
          <w:rFonts w:eastAsia="Times New Roman"/>
          <w:szCs w:val="24"/>
          <w:lang w:eastAsia="en-AU"/>
        </w:rPr>
        <w:t>I do not place a great deal of weight on it, however, because the University is not the only person who, potentially, is entitled to the protection of s 16(3)</w:t>
      </w:r>
      <w:r w:rsidR="00DE4FE8">
        <w:rPr>
          <w:rFonts w:eastAsia="Times New Roman"/>
          <w:szCs w:val="24"/>
          <w:lang w:eastAsia="en-AU"/>
        </w:rPr>
        <w:t xml:space="preserve">.  </w:t>
      </w:r>
      <w:r w:rsidR="003A6C98">
        <w:rPr>
          <w:rFonts w:eastAsia="Times New Roman"/>
          <w:szCs w:val="24"/>
          <w:lang w:eastAsia="en-AU"/>
        </w:rPr>
        <w:t>It is not clear from the statement of claim and the limited evidence filed thus far whether the proceedings will involve information tending to identify any individual as a person in respect of whom a disclosure of public interest information has been made</w:t>
      </w:r>
      <w:r w:rsidR="00DE4FE8">
        <w:rPr>
          <w:rFonts w:eastAsia="Times New Roman"/>
          <w:szCs w:val="24"/>
          <w:lang w:eastAsia="en-AU"/>
        </w:rPr>
        <w:t xml:space="preserve">.  </w:t>
      </w:r>
      <w:r w:rsidR="00E240EF">
        <w:rPr>
          <w:rFonts w:eastAsia="Times New Roman"/>
          <w:szCs w:val="24"/>
          <w:lang w:eastAsia="en-AU"/>
        </w:rPr>
        <w:t>In those circumstances, i</w:t>
      </w:r>
      <w:r w:rsidR="003A6C98">
        <w:rPr>
          <w:rFonts w:eastAsia="Times New Roman"/>
          <w:szCs w:val="24"/>
          <w:lang w:eastAsia="en-AU"/>
        </w:rPr>
        <w:t>t would not be appropriate to authorise in advance the disclosure of any such person's identity without at least giving him or her an opportunity to be heard</w:t>
      </w:r>
      <w:r w:rsidR="00BC5E00">
        <w:rPr>
          <w:rFonts w:eastAsia="Times New Roman"/>
          <w:szCs w:val="24"/>
          <w:lang w:eastAsia="en-AU"/>
        </w:rPr>
        <w:t>.</w:t>
      </w:r>
    </w:p>
    <w:p w:rsidR="00912AFF" w:rsidRDefault="00FD448E" w:rsidP="0084475B">
      <w:pPr>
        <w:pStyle w:val="ParaNumbering"/>
        <w:rPr>
          <w:lang w:eastAsia="en-AU"/>
        </w:rPr>
      </w:pPr>
      <w:r>
        <w:rPr>
          <w:lang w:eastAsia="en-AU"/>
        </w:rPr>
        <w:t xml:space="preserve">That is also </w:t>
      </w:r>
      <w:r w:rsidR="0084475B">
        <w:rPr>
          <w:lang w:eastAsia="en-AU"/>
        </w:rPr>
        <w:t>an</w:t>
      </w:r>
      <w:r>
        <w:rPr>
          <w:lang w:eastAsia="en-AU"/>
        </w:rPr>
        <w:t xml:space="preserve"> answer to the perhaps even stronger point that these reasons</w:t>
      </w:r>
      <w:r w:rsidR="00E240EF">
        <w:rPr>
          <w:lang w:eastAsia="en-AU"/>
        </w:rPr>
        <w:t xml:space="preserve"> are in the public domain, and they</w:t>
      </w:r>
      <w:r>
        <w:rPr>
          <w:lang w:eastAsia="en-AU"/>
        </w:rPr>
        <w:t xml:space="preserve"> </w:t>
      </w:r>
      <w:r w:rsidR="00E574D2">
        <w:rPr>
          <w:lang w:eastAsia="en-AU"/>
        </w:rPr>
        <w:t>tend to identify</w:t>
      </w:r>
      <w:r w:rsidR="006F502E">
        <w:rPr>
          <w:lang w:eastAsia="en-AU"/>
        </w:rPr>
        <w:t xml:space="preserve"> </w:t>
      </w:r>
      <w:r w:rsidR="00E574D2">
        <w:rPr>
          <w:lang w:eastAsia="en-AU"/>
        </w:rPr>
        <w:t>the</w:t>
      </w:r>
      <w:r>
        <w:rPr>
          <w:lang w:eastAsia="en-AU"/>
        </w:rPr>
        <w:t xml:space="preserve"> University</w:t>
      </w:r>
      <w:r w:rsidR="00E574D2">
        <w:rPr>
          <w:lang w:eastAsia="en-AU"/>
        </w:rPr>
        <w:t xml:space="preserve"> </w:t>
      </w:r>
      <w:r>
        <w:rPr>
          <w:lang w:eastAsia="en-AU"/>
        </w:rPr>
        <w:t>as a person in respect of whom an alleged public interest disclosure has been made</w:t>
      </w:r>
      <w:r w:rsidR="00DE4FE8">
        <w:rPr>
          <w:lang w:eastAsia="en-AU"/>
        </w:rPr>
        <w:t xml:space="preserve">.  </w:t>
      </w:r>
      <w:r>
        <w:rPr>
          <w:lang w:eastAsia="en-AU"/>
        </w:rPr>
        <w:t xml:space="preserve"> </w:t>
      </w:r>
      <w:r w:rsidR="006F502E">
        <w:rPr>
          <w:lang w:eastAsia="en-AU"/>
        </w:rPr>
        <w:t xml:space="preserve">Also, there may be a difference </w:t>
      </w:r>
      <w:r w:rsidR="001D3480">
        <w:rPr>
          <w:lang w:eastAsia="en-AU"/>
        </w:rPr>
        <w:t xml:space="preserve">for the purposes of the discretion </w:t>
      </w:r>
      <w:r w:rsidR="006F502E">
        <w:rPr>
          <w:lang w:eastAsia="en-AU"/>
        </w:rPr>
        <w:t xml:space="preserve">between information that tends to identify a person and information that directly </w:t>
      </w:r>
      <w:r w:rsidR="00E240EF">
        <w:rPr>
          <w:lang w:eastAsia="en-AU"/>
        </w:rPr>
        <w:t>identifies the person</w:t>
      </w:r>
      <w:r w:rsidR="006F502E">
        <w:rPr>
          <w:lang w:eastAsia="en-AU"/>
        </w:rPr>
        <w:t>.</w:t>
      </w:r>
    </w:p>
    <w:p w:rsidR="00D4057F" w:rsidRDefault="00D4057F" w:rsidP="00D4057F">
      <w:pPr>
        <w:pStyle w:val="ParaNumbering"/>
        <w:rPr>
          <w:lang w:eastAsia="en-AU"/>
        </w:rPr>
      </w:pPr>
      <w:r>
        <w:rPr>
          <w:lang w:eastAsia="en-AU"/>
        </w:rPr>
        <w:t xml:space="preserve">Counsel for the applicant submitted that while the objective evident from </w:t>
      </w:r>
      <w:r w:rsidR="0088458B">
        <w:rPr>
          <w:lang w:eastAsia="en-AU"/>
        </w:rPr>
        <w:t xml:space="preserve">s </w:t>
      </w:r>
      <w:r>
        <w:rPr>
          <w:lang w:eastAsia="en-AU"/>
        </w:rPr>
        <w:t xml:space="preserve">16(3) was a relevant consideration, it should be given diminished weight in circumstances where s 15 of the </w:t>
      </w:r>
      <w:r w:rsidR="00BC5E00" w:rsidRPr="00BC5E00">
        <w:rPr>
          <w:i/>
          <w:lang w:eastAsia="en-AU"/>
        </w:rPr>
        <w:t>PID </w:t>
      </w:r>
      <w:r w:rsidRPr="00BC5E00">
        <w:rPr>
          <w:i/>
          <w:lang w:eastAsia="en-AU"/>
        </w:rPr>
        <w:t>Act</w:t>
      </w:r>
      <w:r>
        <w:rPr>
          <w:lang w:eastAsia="en-AU"/>
        </w:rPr>
        <w:t xml:space="preserve"> prohibits victimisation and where the applicant has raised an arguable case that victimisation has occurred</w:t>
      </w:r>
      <w:r w:rsidR="00DE4FE8">
        <w:rPr>
          <w:lang w:eastAsia="en-AU"/>
        </w:rPr>
        <w:t xml:space="preserve">.  </w:t>
      </w:r>
      <w:r>
        <w:rPr>
          <w:lang w:eastAsia="en-AU"/>
        </w:rPr>
        <w:t xml:space="preserve">But I see no real connection between the two; clearly prohibition of victimisation and protection of the identity of certain persons are both among the objectives of the </w:t>
      </w:r>
      <w:r w:rsidR="00BC5E00" w:rsidRPr="00BC5E00">
        <w:rPr>
          <w:i/>
          <w:lang w:eastAsia="en-AU"/>
        </w:rPr>
        <w:t xml:space="preserve">PID </w:t>
      </w:r>
      <w:r w:rsidRPr="00BC5E00">
        <w:rPr>
          <w:i/>
          <w:lang w:eastAsia="en-AU"/>
        </w:rPr>
        <w:t>Act</w:t>
      </w:r>
      <w:r w:rsidR="00DE4FE8">
        <w:rPr>
          <w:lang w:eastAsia="en-AU"/>
        </w:rPr>
        <w:t xml:space="preserve">.  </w:t>
      </w:r>
      <w:r>
        <w:rPr>
          <w:lang w:eastAsia="en-AU"/>
        </w:rPr>
        <w:t>Counsel did not explain how those objectives were in any way inconsistent with each other or how the prohibition on victimisation might otherwise require lifting or modification of the prohibition in s 16(3)</w:t>
      </w:r>
      <w:r w:rsidR="00BC5E00">
        <w:rPr>
          <w:lang w:eastAsia="en-AU"/>
        </w:rPr>
        <w:t>.</w:t>
      </w:r>
    </w:p>
    <w:p w:rsidR="004F3A4E" w:rsidRDefault="004F3A4E" w:rsidP="00912AFF">
      <w:pPr>
        <w:pStyle w:val="ParaNumbering"/>
        <w:rPr>
          <w:rFonts w:eastAsia="Times New Roman"/>
          <w:szCs w:val="24"/>
          <w:lang w:eastAsia="en-AU"/>
        </w:rPr>
      </w:pPr>
      <w:r>
        <w:rPr>
          <w:rFonts w:eastAsia="Times New Roman"/>
          <w:szCs w:val="24"/>
          <w:lang w:eastAsia="en-AU"/>
        </w:rPr>
        <w:t xml:space="preserve">Counsel for the applicant also pointed to the </w:t>
      </w:r>
      <w:r w:rsidR="00D4057F">
        <w:rPr>
          <w:rFonts w:eastAsia="Times New Roman"/>
          <w:szCs w:val="24"/>
          <w:lang w:eastAsia="en-AU"/>
        </w:rPr>
        <w:t>possibility that</w:t>
      </w:r>
      <w:r>
        <w:rPr>
          <w:rFonts w:eastAsia="Times New Roman"/>
          <w:szCs w:val="24"/>
          <w:lang w:eastAsia="en-AU"/>
        </w:rPr>
        <w:t xml:space="preserve"> a person </w:t>
      </w:r>
      <w:r w:rsidR="00D4057F">
        <w:rPr>
          <w:rFonts w:eastAsia="Times New Roman"/>
          <w:szCs w:val="24"/>
          <w:lang w:eastAsia="en-AU"/>
        </w:rPr>
        <w:t>may risk</w:t>
      </w:r>
      <w:r>
        <w:rPr>
          <w:rFonts w:eastAsia="Times New Roman"/>
          <w:szCs w:val="24"/>
          <w:lang w:eastAsia="en-AU"/>
        </w:rPr>
        <w:t xml:space="preserve"> criminal sanction by talking about something which anyone can find out by going to the court file</w:t>
      </w:r>
      <w:r w:rsidR="00DE4FE8">
        <w:rPr>
          <w:rFonts w:eastAsia="Times New Roman"/>
          <w:szCs w:val="24"/>
          <w:lang w:eastAsia="en-AU"/>
        </w:rPr>
        <w:t xml:space="preserve">.  </w:t>
      </w:r>
      <w:r>
        <w:rPr>
          <w:rFonts w:eastAsia="Times New Roman"/>
          <w:szCs w:val="24"/>
          <w:lang w:eastAsia="en-AU"/>
        </w:rPr>
        <w:t xml:space="preserve">But </w:t>
      </w:r>
      <w:r w:rsidR="00FD448E">
        <w:rPr>
          <w:rFonts w:eastAsia="Times New Roman"/>
          <w:szCs w:val="24"/>
          <w:lang w:eastAsia="en-AU"/>
        </w:rPr>
        <w:t>it</w:t>
      </w:r>
      <w:r>
        <w:rPr>
          <w:rFonts w:eastAsia="Times New Roman"/>
          <w:szCs w:val="24"/>
          <w:lang w:eastAsia="en-AU"/>
        </w:rPr>
        <w:t xml:space="preserve"> does not follow that the court should permit in broad terms </w:t>
      </w:r>
      <w:r w:rsidR="005D289F">
        <w:rPr>
          <w:rFonts w:eastAsia="Times New Roman"/>
          <w:szCs w:val="24"/>
          <w:lang w:eastAsia="en-AU"/>
        </w:rPr>
        <w:t xml:space="preserve">disclosure of the contents of the </w:t>
      </w:r>
      <w:r w:rsidR="00D4057F">
        <w:rPr>
          <w:rFonts w:eastAsia="Times New Roman"/>
          <w:szCs w:val="24"/>
          <w:lang w:eastAsia="en-AU"/>
        </w:rPr>
        <w:t xml:space="preserve">court </w:t>
      </w:r>
      <w:r w:rsidR="005D289F">
        <w:rPr>
          <w:rFonts w:eastAsia="Times New Roman"/>
          <w:szCs w:val="24"/>
          <w:lang w:eastAsia="en-AU"/>
        </w:rPr>
        <w:t>document</w:t>
      </w:r>
      <w:r w:rsidR="00D4057F">
        <w:rPr>
          <w:rFonts w:eastAsia="Times New Roman"/>
          <w:szCs w:val="24"/>
          <w:lang w:eastAsia="en-AU"/>
        </w:rPr>
        <w:t>s</w:t>
      </w:r>
      <w:r w:rsidR="005D289F">
        <w:rPr>
          <w:rFonts w:eastAsia="Times New Roman"/>
          <w:szCs w:val="24"/>
          <w:lang w:eastAsia="en-AU"/>
        </w:rPr>
        <w:t xml:space="preserve"> on other occasions, or </w:t>
      </w:r>
      <w:r>
        <w:rPr>
          <w:rFonts w:eastAsia="Times New Roman"/>
          <w:szCs w:val="24"/>
          <w:lang w:eastAsia="en-AU"/>
        </w:rPr>
        <w:t xml:space="preserve">every other disclosure of information which might otherwise </w:t>
      </w:r>
      <w:r>
        <w:rPr>
          <w:rFonts w:eastAsia="Times New Roman"/>
          <w:szCs w:val="24"/>
          <w:lang w:eastAsia="en-AU"/>
        </w:rPr>
        <w:lastRenderedPageBreak/>
        <w:t>breach s 16(3)</w:t>
      </w:r>
      <w:r w:rsidR="00DE4FE8">
        <w:rPr>
          <w:rFonts w:eastAsia="Times New Roman"/>
          <w:szCs w:val="24"/>
          <w:lang w:eastAsia="en-AU"/>
        </w:rPr>
        <w:t xml:space="preserve">.  </w:t>
      </w:r>
      <w:r>
        <w:rPr>
          <w:rFonts w:eastAsia="Times New Roman"/>
          <w:szCs w:val="24"/>
          <w:lang w:eastAsia="en-AU"/>
        </w:rPr>
        <w:t>As will become apparent, in my view different measures are appropriate to deal with the risk</w:t>
      </w:r>
      <w:r w:rsidR="00BC5E00">
        <w:rPr>
          <w:rFonts w:eastAsia="Times New Roman"/>
          <w:szCs w:val="24"/>
          <w:lang w:eastAsia="en-AU"/>
        </w:rPr>
        <w:t>.</w:t>
      </w:r>
    </w:p>
    <w:p w:rsidR="005D289F" w:rsidRDefault="005D289F" w:rsidP="00912AFF">
      <w:pPr>
        <w:pStyle w:val="ParaNumbering"/>
        <w:rPr>
          <w:rFonts w:eastAsia="Times New Roman"/>
          <w:szCs w:val="24"/>
          <w:lang w:eastAsia="en-AU"/>
        </w:rPr>
      </w:pPr>
      <w:r>
        <w:rPr>
          <w:rFonts w:eastAsia="Times New Roman"/>
          <w:szCs w:val="24"/>
          <w:lang w:eastAsia="en-AU"/>
        </w:rPr>
        <w:t xml:space="preserve">Counsel raised as another example that the applicant, as a member of the University Senate, may take the view that s 16(3) </w:t>
      </w:r>
      <w:r w:rsidR="00825C0E">
        <w:rPr>
          <w:rFonts w:eastAsia="Times New Roman"/>
          <w:szCs w:val="24"/>
          <w:lang w:eastAsia="en-AU"/>
        </w:rPr>
        <w:t>prevents</w:t>
      </w:r>
      <w:r>
        <w:rPr>
          <w:rFonts w:eastAsia="Times New Roman"/>
          <w:szCs w:val="24"/>
          <w:lang w:eastAsia="en-AU"/>
        </w:rPr>
        <w:t xml:space="preserve"> him talking about the alleged public interest disclosure to another member of the Senate, even though that other member is aware of the disclosure</w:t>
      </w:r>
      <w:r w:rsidR="00DE4FE8">
        <w:rPr>
          <w:rFonts w:eastAsia="Times New Roman"/>
          <w:szCs w:val="24"/>
          <w:lang w:eastAsia="en-AU"/>
        </w:rPr>
        <w:t xml:space="preserve">.  </w:t>
      </w:r>
      <w:r>
        <w:rPr>
          <w:rFonts w:eastAsia="Times New Roman"/>
          <w:szCs w:val="24"/>
          <w:lang w:eastAsia="en-AU"/>
        </w:rPr>
        <w:t>But if that is indeed a consequence of the proper construction of the legislation, then I need to give it due weight</w:t>
      </w:r>
      <w:r w:rsidR="00DE4FE8">
        <w:rPr>
          <w:rFonts w:eastAsia="Times New Roman"/>
          <w:szCs w:val="24"/>
          <w:lang w:eastAsia="en-AU"/>
        </w:rPr>
        <w:t xml:space="preserve">.  </w:t>
      </w:r>
      <w:r>
        <w:rPr>
          <w:rFonts w:eastAsia="Times New Roman"/>
          <w:szCs w:val="24"/>
          <w:lang w:eastAsia="en-AU"/>
        </w:rPr>
        <w:t xml:space="preserve">In any event, I do not consider that a hypothetical situation like that warrants a blanket exemption, nor do I consider it possible or desirable to make orders, in advance, </w:t>
      </w:r>
      <w:r w:rsidR="004D081D">
        <w:rPr>
          <w:rFonts w:eastAsia="Times New Roman"/>
          <w:szCs w:val="24"/>
          <w:lang w:eastAsia="en-AU"/>
        </w:rPr>
        <w:t>covering</w:t>
      </w:r>
      <w:r>
        <w:rPr>
          <w:rFonts w:eastAsia="Times New Roman"/>
          <w:szCs w:val="24"/>
          <w:lang w:eastAsia="en-AU"/>
        </w:rPr>
        <w:t xml:space="preserve"> what is no doubt a large numbe</w:t>
      </w:r>
      <w:r w:rsidR="00825C0E">
        <w:rPr>
          <w:rFonts w:eastAsia="Times New Roman"/>
          <w:szCs w:val="24"/>
          <w:lang w:eastAsia="en-AU"/>
        </w:rPr>
        <w:t>r of such hypothetical</w:t>
      </w:r>
      <w:r>
        <w:rPr>
          <w:rFonts w:eastAsia="Times New Roman"/>
          <w:szCs w:val="24"/>
          <w:lang w:eastAsia="en-AU"/>
        </w:rPr>
        <w:t>s</w:t>
      </w:r>
      <w:r w:rsidR="00BC5E00">
        <w:rPr>
          <w:rFonts w:eastAsia="Times New Roman"/>
          <w:szCs w:val="24"/>
          <w:lang w:eastAsia="en-AU"/>
        </w:rPr>
        <w:t>.</w:t>
      </w:r>
    </w:p>
    <w:p w:rsidR="00721495" w:rsidRDefault="007364C5" w:rsidP="00DE4FE8">
      <w:pPr>
        <w:pStyle w:val="ParaNumbering"/>
        <w:rPr>
          <w:rFonts w:eastAsia="Times New Roman"/>
          <w:szCs w:val="24"/>
          <w:lang w:eastAsia="en-AU"/>
        </w:rPr>
      </w:pPr>
      <w:r w:rsidRPr="00721495">
        <w:rPr>
          <w:rFonts w:eastAsia="Times New Roman"/>
          <w:szCs w:val="24"/>
          <w:lang w:eastAsia="en-AU"/>
        </w:rPr>
        <w:t xml:space="preserve">Counsel for the applicant </w:t>
      </w:r>
      <w:r w:rsidR="00353EFD">
        <w:rPr>
          <w:rFonts w:eastAsia="Times New Roman"/>
          <w:szCs w:val="24"/>
          <w:lang w:eastAsia="en-AU"/>
        </w:rPr>
        <w:t xml:space="preserve">also made submissions based on the risk incurred by </w:t>
      </w:r>
      <w:r w:rsidRPr="00721495">
        <w:rPr>
          <w:rFonts w:eastAsia="Times New Roman"/>
          <w:szCs w:val="24"/>
          <w:lang w:eastAsia="en-AU"/>
        </w:rPr>
        <w:t xml:space="preserve">non-parties (which may include employees and contractors of parties) if they disclose </w:t>
      </w:r>
      <w:r w:rsidR="00721495" w:rsidRPr="00721495">
        <w:rPr>
          <w:rFonts w:eastAsia="Times New Roman"/>
          <w:szCs w:val="24"/>
          <w:lang w:eastAsia="en-AU"/>
        </w:rPr>
        <w:t>the contents of documents filed or evidence adduced in the proceedings</w:t>
      </w:r>
      <w:r w:rsidR="00353EFD">
        <w:rPr>
          <w:rFonts w:eastAsia="Times New Roman"/>
          <w:szCs w:val="24"/>
          <w:lang w:eastAsia="en-AU"/>
        </w:rPr>
        <w:t>,</w:t>
      </w:r>
      <w:r w:rsidR="00721495" w:rsidRPr="00721495">
        <w:rPr>
          <w:rFonts w:eastAsia="Times New Roman"/>
          <w:szCs w:val="24"/>
          <w:lang w:eastAsia="en-AU"/>
        </w:rPr>
        <w:t xml:space="preserve"> if that tends to identify the a person in respect of whom a disclosure of public interest information has been made under the Act</w:t>
      </w:r>
      <w:r w:rsidR="00DE4FE8">
        <w:rPr>
          <w:rFonts w:eastAsia="Times New Roman"/>
          <w:szCs w:val="24"/>
          <w:lang w:eastAsia="en-AU"/>
        </w:rPr>
        <w:t xml:space="preserve">.  </w:t>
      </w:r>
      <w:r w:rsidR="00721495">
        <w:rPr>
          <w:rFonts w:eastAsia="Times New Roman"/>
          <w:szCs w:val="24"/>
          <w:lang w:eastAsia="en-AU"/>
        </w:rPr>
        <w:t xml:space="preserve">For example on one, admittedly broad, view of the prohibition in s 16(3), an employee of </w:t>
      </w:r>
      <w:r w:rsidR="00D4057F">
        <w:rPr>
          <w:rFonts w:eastAsia="Times New Roman"/>
          <w:szCs w:val="24"/>
          <w:lang w:eastAsia="en-AU"/>
        </w:rPr>
        <w:t xml:space="preserve">a company that obtains a copy of the statement of claim </w:t>
      </w:r>
      <w:r w:rsidR="00721495">
        <w:rPr>
          <w:rFonts w:eastAsia="Times New Roman"/>
          <w:szCs w:val="24"/>
          <w:lang w:eastAsia="en-AU"/>
        </w:rPr>
        <w:t xml:space="preserve">could contravene the provision merely by </w:t>
      </w:r>
      <w:r w:rsidR="00D4057F">
        <w:rPr>
          <w:rFonts w:eastAsia="Times New Roman"/>
          <w:szCs w:val="24"/>
          <w:lang w:eastAsia="en-AU"/>
        </w:rPr>
        <w:t>giving that document to</w:t>
      </w:r>
      <w:r w:rsidR="00721495">
        <w:rPr>
          <w:rFonts w:eastAsia="Times New Roman"/>
          <w:szCs w:val="24"/>
          <w:lang w:eastAsia="en-AU"/>
        </w:rPr>
        <w:t xml:space="preserve"> another employee</w:t>
      </w:r>
      <w:r w:rsidR="00DE4FE8">
        <w:rPr>
          <w:rFonts w:eastAsia="Times New Roman"/>
          <w:szCs w:val="24"/>
          <w:lang w:eastAsia="en-AU"/>
        </w:rPr>
        <w:t xml:space="preserve">.  </w:t>
      </w:r>
      <w:r w:rsidR="00721495">
        <w:rPr>
          <w:rFonts w:eastAsia="Times New Roman"/>
          <w:szCs w:val="24"/>
          <w:lang w:eastAsia="en-AU"/>
        </w:rPr>
        <w:t>That is in circumstances where contraventions potentially attract criminal sanctions</w:t>
      </w:r>
      <w:r w:rsidR="00BC5E00">
        <w:rPr>
          <w:rFonts w:eastAsia="Times New Roman"/>
          <w:szCs w:val="24"/>
          <w:lang w:eastAsia="en-AU"/>
        </w:rPr>
        <w:t>.</w:t>
      </w:r>
    </w:p>
    <w:p w:rsidR="00721495" w:rsidRDefault="00721495" w:rsidP="00DE4FE8">
      <w:pPr>
        <w:pStyle w:val="ParaNumbering"/>
        <w:rPr>
          <w:rFonts w:eastAsia="Times New Roman"/>
          <w:szCs w:val="24"/>
          <w:lang w:eastAsia="en-AU"/>
        </w:rPr>
      </w:pPr>
      <w:r>
        <w:rPr>
          <w:rFonts w:eastAsia="Times New Roman"/>
          <w:szCs w:val="24"/>
          <w:lang w:eastAsia="en-AU"/>
        </w:rPr>
        <w:t>In that regard</w:t>
      </w:r>
      <w:r w:rsidR="00572E98">
        <w:rPr>
          <w:rFonts w:eastAsia="Times New Roman"/>
          <w:szCs w:val="24"/>
          <w:lang w:eastAsia="en-AU"/>
        </w:rPr>
        <w:t>,</w:t>
      </w:r>
      <w:r>
        <w:rPr>
          <w:rFonts w:eastAsia="Times New Roman"/>
          <w:szCs w:val="24"/>
          <w:lang w:eastAsia="en-AU"/>
        </w:rPr>
        <w:t xml:space="preserve"> counsel referred me to the following passage from </w:t>
      </w:r>
      <w:r w:rsidRPr="00BC5E00">
        <w:rPr>
          <w:rFonts w:eastAsia="Times New Roman"/>
          <w:i/>
          <w:szCs w:val="24"/>
          <w:lang w:eastAsia="en-AU"/>
        </w:rPr>
        <w:t>R v JP</w:t>
      </w:r>
      <w:r w:rsidR="00BC5E00" w:rsidRPr="00BC5E00">
        <w:rPr>
          <w:rFonts w:eastAsia="Times New Roman"/>
          <w:szCs w:val="24"/>
          <w:lang w:eastAsia="en-AU"/>
        </w:rPr>
        <w:t xml:space="preserve"> [2008] VSC 86</w:t>
      </w:r>
      <w:r w:rsidR="00BC5E00">
        <w:rPr>
          <w:rFonts w:eastAsia="Times New Roman"/>
          <w:szCs w:val="24"/>
          <w:lang w:eastAsia="en-AU"/>
        </w:rPr>
        <w:t xml:space="preserve"> at </w:t>
      </w:r>
      <w:r>
        <w:rPr>
          <w:rFonts w:eastAsia="Times New Roman"/>
          <w:szCs w:val="24"/>
          <w:lang w:eastAsia="en-AU"/>
        </w:rPr>
        <w:t>[26] (Whelan</w:t>
      </w:r>
      <w:r w:rsidR="00BC5E00">
        <w:rPr>
          <w:rFonts w:eastAsia="Times New Roman"/>
          <w:szCs w:val="24"/>
          <w:lang w:eastAsia="en-AU"/>
        </w:rPr>
        <w:t> </w:t>
      </w:r>
      <w:r>
        <w:rPr>
          <w:rFonts w:eastAsia="Times New Roman"/>
          <w:szCs w:val="24"/>
          <w:lang w:eastAsia="en-AU"/>
        </w:rPr>
        <w:t xml:space="preserve">J), which concerned a restriction </w:t>
      </w:r>
      <w:r w:rsidR="00FD448E">
        <w:rPr>
          <w:rFonts w:eastAsia="Times New Roman"/>
          <w:szCs w:val="24"/>
          <w:lang w:eastAsia="en-AU"/>
        </w:rPr>
        <w:t xml:space="preserve">on publication of the identity of protected witnesses that is found </w:t>
      </w:r>
      <w:r w:rsidR="003C3D98">
        <w:rPr>
          <w:rFonts w:eastAsia="Times New Roman"/>
          <w:szCs w:val="24"/>
          <w:lang w:eastAsia="en-AU"/>
        </w:rPr>
        <w:t xml:space="preserve">in s 10(5) of the Victorian </w:t>
      </w:r>
      <w:r w:rsidR="003C3D98" w:rsidRPr="003C3D98">
        <w:rPr>
          <w:rFonts w:eastAsia="Times New Roman"/>
          <w:i/>
          <w:szCs w:val="24"/>
          <w:lang w:eastAsia="en-AU"/>
        </w:rPr>
        <w:t>Witness Protection Act</w:t>
      </w:r>
      <w:r w:rsidR="003C3D98">
        <w:rPr>
          <w:rFonts w:eastAsia="Times New Roman"/>
          <w:szCs w:val="24"/>
          <w:lang w:eastAsia="en-AU"/>
        </w:rPr>
        <w:t>:</w:t>
      </w:r>
    </w:p>
    <w:p w:rsidR="003C3D98" w:rsidRDefault="003C3D98" w:rsidP="00BC5E00">
      <w:pPr>
        <w:pStyle w:val="Quote1"/>
        <w:spacing w:after="360"/>
        <w:rPr>
          <w:lang w:eastAsia="en-AU"/>
        </w:rPr>
      </w:pPr>
      <w:r w:rsidRPr="003C3D98">
        <w:rPr>
          <w:lang w:eastAsia="en-AU"/>
        </w:rPr>
        <w:t xml:space="preserve">The protection of the identity of persons to whom the </w:t>
      </w:r>
      <w:r w:rsidRPr="00BA46F0">
        <w:rPr>
          <w:i/>
          <w:lang w:eastAsia="en-AU"/>
        </w:rPr>
        <w:t>Witness Protection Act</w:t>
      </w:r>
      <w:r w:rsidRPr="003C3D98">
        <w:rPr>
          <w:lang w:eastAsia="en-AU"/>
        </w:rPr>
        <w:t xml:space="preserve"> applies is a matter of great significance</w:t>
      </w:r>
      <w:r w:rsidR="00DE4FE8">
        <w:rPr>
          <w:lang w:eastAsia="en-AU"/>
        </w:rPr>
        <w:t xml:space="preserve">.  </w:t>
      </w:r>
      <w:r w:rsidRPr="003C3D98">
        <w:rPr>
          <w:lang w:eastAsia="en-AU"/>
        </w:rPr>
        <w:t>It may in some cases truly be a matter of life and death</w:t>
      </w:r>
      <w:r w:rsidR="00DE4FE8">
        <w:rPr>
          <w:lang w:eastAsia="en-AU"/>
        </w:rPr>
        <w:t xml:space="preserve">.  </w:t>
      </w:r>
      <w:r w:rsidRPr="003C3D98">
        <w:rPr>
          <w:lang w:eastAsia="en-AU"/>
        </w:rPr>
        <w:t>Section 10(5) is expressed in very wide terms</w:t>
      </w:r>
      <w:r w:rsidR="00DE4FE8">
        <w:rPr>
          <w:lang w:eastAsia="en-AU"/>
        </w:rPr>
        <w:t xml:space="preserve">.  </w:t>
      </w:r>
      <w:r w:rsidRPr="003C3D98">
        <w:rPr>
          <w:lang w:eastAsia="en-AU"/>
        </w:rPr>
        <w:t>There is considerable potential for uncertainty as to its application in a particular case</w:t>
      </w:r>
      <w:r w:rsidR="00DE4FE8">
        <w:rPr>
          <w:lang w:eastAsia="en-AU"/>
        </w:rPr>
        <w:t xml:space="preserve">.  </w:t>
      </w:r>
      <w:r w:rsidRPr="003C3D98">
        <w:rPr>
          <w:lang w:eastAsia="en-AU"/>
        </w:rPr>
        <w:t>A person's status as a participant whose identity is protected under s.10(5) is itself a matter which cannot be disclosed</w:t>
      </w:r>
      <w:r w:rsidR="00DE4FE8">
        <w:rPr>
          <w:lang w:eastAsia="en-AU"/>
        </w:rPr>
        <w:t xml:space="preserve">.  </w:t>
      </w:r>
      <w:r w:rsidRPr="003C3D98">
        <w:rPr>
          <w:lang w:eastAsia="en-AU"/>
        </w:rPr>
        <w:t>These are circumstances which do not necessarily arise in relation to other statutory prohibitions on publication</w:t>
      </w:r>
      <w:r w:rsidR="00DE4FE8">
        <w:rPr>
          <w:lang w:eastAsia="en-AU"/>
        </w:rPr>
        <w:t xml:space="preserve">.  </w:t>
      </w:r>
      <w:r w:rsidRPr="003C3D98">
        <w:rPr>
          <w:lang w:eastAsia="en-AU"/>
        </w:rPr>
        <w:t>Given these matters, where the source of the information in question is a judgment or sentence of the Court itself in my view the court ought not to deliver judgment or sentence and leave the matter of compliance with s.10(5) unaddressed</w:t>
      </w:r>
      <w:r w:rsidR="00DE4FE8">
        <w:rPr>
          <w:lang w:eastAsia="en-AU"/>
        </w:rPr>
        <w:t xml:space="preserve">.  </w:t>
      </w:r>
      <w:r w:rsidRPr="003C3D98">
        <w:rPr>
          <w:lang w:eastAsia="en-AU"/>
        </w:rPr>
        <w:t>This is particularly so where the court is of the view that disclosure of some parts of the judgment, or sentence could be disclosed without contravening s.10(5), and some parts could not</w:t>
      </w:r>
      <w:r w:rsidR="00DE4FE8">
        <w:rPr>
          <w:lang w:eastAsia="en-AU"/>
        </w:rPr>
        <w:t xml:space="preserve">.  </w:t>
      </w:r>
      <w:r w:rsidRPr="003C3D98">
        <w:rPr>
          <w:lang w:eastAsia="en-AU"/>
        </w:rPr>
        <w:t>In my view in such circumstances it is necessary in order not to prejudice the administration of justice that the court should order that the material which the Court considers cannot be disclosed without contravening s.10(5) is prohibited from publication</w:t>
      </w:r>
      <w:r w:rsidR="00DE4FE8">
        <w:rPr>
          <w:lang w:eastAsia="en-AU"/>
        </w:rPr>
        <w:t xml:space="preserve">.  </w:t>
      </w:r>
      <w:r w:rsidRPr="003C3D98">
        <w:rPr>
          <w:lang w:eastAsia="en-AU"/>
        </w:rPr>
        <w:t>It seems to me that otherwise the recipients of the information in the judgment or sentence are placed in an unnecessarily uncertain and potentially dangerous position, and the risk of a disclosure and breach of s.10(5) is unacceptably high.</w:t>
      </w:r>
    </w:p>
    <w:p w:rsidR="00AF7274" w:rsidRPr="00AF7274" w:rsidRDefault="00572E98" w:rsidP="00FB3EBC">
      <w:pPr>
        <w:pStyle w:val="ParaNumbering"/>
        <w:rPr>
          <w:lang w:eastAsia="en-AU"/>
        </w:rPr>
      </w:pPr>
      <w:r>
        <w:rPr>
          <w:lang w:eastAsia="en-AU"/>
        </w:rPr>
        <w:lastRenderedPageBreak/>
        <w:t>I accept that potential risk to third parties of breaching s 16(3)</w:t>
      </w:r>
      <w:r w:rsidR="00353EFD">
        <w:rPr>
          <w:lang w:eastAsia="en-AU"/>
        </w:rPr>
        <w:t xml:space="preserve"> o</w:t>
      </w:r>
      <w:r w:rsidR="00380372">
        <w:rPr>
          <w:lang w:eastAsia="en-AU"/>
        </w:rPr>
        <w:t>f</w:t>
      </w:r>
      <w:r w:rsidR="00353EFD">
        <w:rPr>
          <w:lang w:eastAsia="en-AU"/>
        </w:rPr>
        <w:t xml:space="preserve"> the </w:t>
      </w:r>
      <w:r w:rsidR="00353EFD" w:rsidRPr="00BC5E00">
        <w:rPr>
          <w:i/>
          <w:lang w:eastAsia="en-AU"/>
        </w:rPr>
        <w:t>PID Act</w:t>
      </w:r>
      <w:r>
        <w:rPr>
          <w:lang w:eastAsia="en-AU"/>
        </w:rPr>
        <w:t xml:space="preserve"> is a relevant factor in the exercise of the discretion here</w:t>
      </w:r>
      <w:r w:rsidR="00DE4FE8">
        <w:rPr>
          <w:lang w:eastAsia="en-AU"/>
        </w:rPr>
        <w:t xml:space="preserve">.  </w:t>
      </w:r>
      <w:r w:rsidR="005269C3">
        <w:rPr>
          <w:lang w:eastAsia="en-AU"/>
        </w:rPr>
        <w:t>It is the strongest point in favour of the orders sought</w:t>
      </w:r>
      <w:r w:rsidR="00DE4FE8">
        <w:rPr>
          <w:lang w:eastAsia="en-AU"/>
        </w:rPr>
        <w:t xml:space="preserve">.  </w:t>
      </w:r>
      <w:r w:rsidR="00FB3EBC">
        <w:rPr>
          <w:lang w:eastAsia="en-AU"/>
        </w:rPr>
        <w:t>I</w:t>
      </w:r>
      <w:r w:rsidR="00BC5E00">
        <w:rPr>
          <w:lang w:eastAsia="en-AU"/>
        </w:rPr>
        <w:t xml:space="preserve"> </w:t>
      </w:r>
      <w:r w:rsidR="00FB3EBC">
        <w:rPr>
          <w:lang w:eastAsia="en-AU"/>
        </w:rPr>
        <w:t xml:space="preserve">note, however, that </w:t>
      </w:r>
      <w:r w:rsidR="00BC5E00">
        <w:rPr>
          <w:lang w:eastAsia="en-AU"/>
        </w:rPr>
        <w:t>Whelan </w:t>
      </w:r>
      <w:r w:rsidR="00FD448E">
        <w:rPr>
          <w:lang w:eastAsia="en-AU"/>
        </w:rPr>
        <w:t xml:space="preserve">J's comments were directed towards clarifying what could and </w:t>
      </w:r>
      <w:r w:rsidR="00FD448E" w:rsidRPr="00FD448E">
        <w:rPr>
          <w:i/>
          <w:lang w:eastAsia="en-AU"/>
        </w:rPr>
        <w:t>could not</w:t>
      </w:r>
      <w:r w:rsidR="00FD448E">
        <w:rPr>
          <w:lang w:eastAsia="en-AU"/>
        </w:rPr>
        <w:t xml:space="preserve"> be disclosed</w:t>
      </w:r>
      <w:r w:rsidR="00DE4FE8">
        <w:rPr>
          <w:lang w:eastAsia="en-AU"/>
        </w:rPr>
        <w:t xml:space="preserve">.  </w:t>
      </w:r>
      <w:r w:rsidR="00FD448E">
        <w:rPr>
          <w:lang w:eastAsia="en-AU"/>
        </w:rPr>
        <w:t>That is different to the broad permission to disclose sought here</w:t>
      </w:r>
      <w:r w:rsidR="00DE4FE8">
        <w:rPr>
          <w:lang w:eastAsia="en-AU"/>
        </w:rPr>
        <w:t xml:space="preserve">.  </w:t>
      </w:r>
      <w:r w:rsidR="00FD448E">
        <w:rPr>
          <w:lang w:eastAsia="en-AU"/>
        </w:rPr>
        <w:t xml:space="preserve">I also note that </w:t>
      </w:r>
      <w:r w:rsidR="00FB3EBC">
        <w:rPr>
          <w:lang w:eastAsia="en-AU"/>
        </w:rPr>
        <w:t xml:space="preserve">in </w:t>
      </w:r>
      <w:r w:rsidR="00D4057F">
        <w:rPr>
          <w:lang w:eastAsia="en-AU"/>
        </w:rPr>
        <w:t>the</w:t>
      </w:r>
      <w:r w:rsidR="00FB3EBC">
        <w:rPr>
          <w:lang w:eastAsia="en-AU"/>
        </w:rPr>
        <w:t xml:space="preserve"> passage quoted</w:t>
      </w:r>
      <w:r w:rsidR="00AE44A5">
        <w:rPr>
          <w:lang w:eastAsia="en-AU"/>
        </w:rPr>
        <w:t>,</w:t>
      </w:r>
      <w:r w:rsidR="00FB3EBC">
        <w:rPr>
          <w:lang w:eastAsia="en-AU"/>
        </w:rPr>
        <w:t xml:space="preserve"> </w:t>
      </w:r>
      <w:r w:rsidR="00BC5E00">
        <w:rPr>
          <w:lang w:eastAsia="en-AU"/>
        </w:rPr>
        <w:t>his </w:t>
      </w:r>
      <w:r w:rsidR="00FD448E">
        <w:rPr>
          <w:lang w:eastAsia="en-AU"/>
        </w:rPr>
        <w:t>Honour</w:t>
      </w:r>
      <w:r w:rsidR="00FB3EBC">
        <w:rPr>
          <w:lang w:eastAsia="en-AU"/>
        </w:rPr>
        <w:t xml:space="preserve"> confined the relevant observations to cases '</w:t>
      </w:r>
      <w:r w:rsidR="00FB3EBC" w:rsidRPr="00FB3EBC">
        <w:rPr>
          <w:rFonts w:eastAsia="Times New Roman"/>
          <w:szCs w:val="24"/>
          <w:lang w:eastAsia="en-AU"/>
        </w:rPr>
        <w:t>where the source of the information in question is a judgment or sentence of the Court itself</w:t>
      </w:r>
      <w:r w:rsidR="00FB3EBC">
        <w:rPr>
          <w:rFonts w:eastAsia="Times New Roman"/>
          <w:szCs w:val="24"/>
          <w:lang w:eastAsia="en-AU"/>
        </w:rPr>
        <w:t>'</w:t>
      </w:r>
      <w:r w:rsidR="00DE4FE8">
        <w:rPr>
          <w:rFonts w:eastAsia="Times New Roman"/>
          <w:szCs w:val="24"/>
          <w:lang w:eastAsia="en-AU"/>
        </w:rPr>
        <w:t xml:space="preserve">.  </w:t>
      </w:r>
      <w:r w:rsidR="00FB3EBC">
        <w:rPr>
          <w:rFonts w:eastAsia="Times New Roman"/>
          <w:szCs w:val="24"/>
          <w:lang w:eastAsia="en-AU"/>
        </w:rPr>
        <w:t>In my view that qualification is relevant here</w:t>
      </w:r>
      <w:r w:rsidR="00DE4FE8">
        <w:rPr>
          <w:rFonts w:eastAsia="Times New Roman"/>
          <w:szCs w:val="24"/>
          <w:lang w:eastAsia="en-AU"/>
        </w:rPr>
        <w:t xml:space="preserve">.  </w:t>
      </w:r>
      <w:r w:rsidR="00FB3EBC">
        <w:rPr>
          <w:rFonts w:eastAsia="Times New Roman"/>
          <w:szCs w:val="24"/>
          <w:lang w:eastAsia="en-AU"/>
        </w:rPr>
        <w:t>It is one thing for the court to put into the public domain information potentially exposing a large number of third parties to the risk of breach, many of whom will have little or no appreciation of that risk</w:t>
      </w:r>
      <w:r w:rsidR="00DE4FE8">
        <w:rPr>
          <w:rFonts w:eastAsia="Times New Roman"/>
          <w:szCs w:val="24"/>
          <w:lang w:eastAsia="en-AU"/>
        </w:rPr>
        <w:t xml:space="preserve">.  </w:t>
      </w:r>
      <w:r w:rsidR="00FB3EBC">
        <w:rPr>
          <w:rFonts w:eastAsia="Times New Roman"/>
          <w:szCs w:val="24"/>
          <w:lang w:eastAsia="en-AU"/>
        </w:rPr>
        <w:t xml:space="preserve">It is another for </w:t>
      </w:r>
      <w:r w:rsidR="00AF7274">
        <w:rPr>
          <w:rFonts w:eastAsia="Times New Roman"/>
          <w:szCs w:val="24"/>
          <w:lang w:eastAsia="en-AU"/>
        </w:rPr>
        <w:t>the</w:t>
      </w:r>
      <w:r w:rsidR="00FB3EBC">
        <w:rPr>
          <w:rFonts w:eastAsia="Times New Roman"/>
          <w:szCs w:val="24"/>
          <w:lang w:eastAsia="en-AU"/>
        </w:rPr>
        <w:t xml:space="preserve"> risk </w:t>
      </w:r>
      <w:r w:rsidR="00AF7274">
        <w:rPr>
          <w:rFonts w:eastAsia="Times New Roman"/>
          <w:szCs w:val="24"/>
          <w:lang w:eastAsia="en-AU"/>
        </w:rPr>
        <w:t xml:space="preserve">of breach to arise because </w:t>
      </w:r>
      <w:r w:rsidR="00AE44A5">
        <w:rPr>
          <w:rFonts w:eastAsia="Times New Roman"/>
          <w:szCs w:val="24"/>
          <w:lang w:eastAsia="en-AU"/>
        </w:rPr>
        <w:t>a specific person has</w:t>
      </w:r>
      <w:r w:rsidR="00AF7274">
        <w:rPr>
          <w:rFonts w:eastAsia="Times New Roman"/>
          <w:szCs w:val="24"/>
          <w:lang w:eastAsia="en-AU"/>
        </w:rPr>
        <w:t xml:space="preserve"> sought access to information on the court file - information of which the court is not the author</w:t>
      </w:r>
      <w:r w:rsidR="00DE4FE8">
        <w:rPr>
          <w:rFonts w:eastAsia="Times New Roman"/>
          <w:szCs w:val="24"/>
          <w:lang w:eastAsia="en-AU"/>
        </w:rPr>
        <w:t xml:space="preserve">.  </w:t>
      </w:r>
      <w:r w:rsidR="00AF7274">
        <w:rPr>
          <w:rFonts w:eastAsia="Times New Roman"/>
          <w:szCs w:val="24"/>
          <w:lang w:eastAsia="en-AU"/>
        </w:rPr>
        <w:t>A third situation is when information is disclosed in open court; that is perhaps between the first two in terms of the level of risk and the court's responsibility for it</w:t>
      </w:r>
      <w:r w:rsidR="00BC5E00">
        <w:rPr>
          <w:rFonts w:eastAsia="Times New Roman"/>
          <w:szCs w:val="24"/>
          <w:lang w:eastAsia="en-AU"/>
        </w:rPr>
        <w:t>.</w:t>
      </w:r>
    </w:p>
    <w:p w:rsidR="00C81492" w:rsidRDefault="00AF7274" w:rsidP="00FB3EBC">
      <w:pPr>
        <w:pStyle w:val="ParaNumbering"/>
        <w:rPr>
          <w:lang w:eastAsia="en-AU"/>
        </w:rPr>
      </w:pPr>
      <w:r>
        <w:rPr>
          <w:lang w:eastAsia="en-AU"/>
        </w:rPr>
        <w:t>In so far as these reasons are concerned, as I have said, the risk does not arise</w:t>
      </w:r>
      <w:r w:rsidR="00DE4FE8">
        <w:rPr>
          <w:lang w:eastAsia="en-AU"/>
        </w:rPr>
        <w:t xml:space="preserve">.  </w:t>
      </w:r>
      <w:r>
        <w:rPr>
          <w:lang w:eastAsia="en-AU"/>
        </w:rPr>
        <w:t>In terms of any future judgment or orders which the court may publish, the risk is hypothetical</w:t>
      </w:r>
      <w:r w:rsidR="00DE4FE8">
        <w:rPr>
          <w:lang w:eastAsia="en-AU"/>
        </w:rPr>
        <w:t xml:space="preserve">.  </w:t>
      </w:r>
      <w:r>
        <w:rPr>
          <w:lang w:eastAsia="en-AU"/>
        </w:rPr>
        <w:t xml:space="preserve">It can be addressed if and when </w:t>
      </w:r>
      <w:r w:rsidR="00D4057F">
        <w:rPr>
          <w:lang w:eastAsia="en-AU"/>
        </w:rPr>
        <w:t>any later judgment is delivered or relevant order made</w:t>
      </w:r>
      <w:r w:rsidR="00FD448E">
        <w:rPr>
          <w:lang w:eastAsia="en-AU"/>
        </w:rPr>
        <w:t>.</w:t>
      </w:r>
    </w:p>
    <w:p w:rsidR="00571352" w:rsidRDefault="00C81492" w:rsidP="00FB3EBC">
      <w:pPr>
        <w:pStyle w:val="ParaNumbering"/>
        <w:rPr>
          <w:lang w:eastAsia="en-AU"/>
        </w:rPr>
      </w:pPr>
      <w:r>
        <w:rPr>
          <w:lang w:eastAsia="en-AU"/>
        </w:rPr>
        <w:t>Which</w:t>
      </w:r>
      <w:r w:rsidR="00AF7274">
        <w:rPr>
          <w:lang w:eastAsia="en-AU"/>
        </w:rPr>
        <w:t xml:space="preserve"> brings me to the main factor </w:t>
      </w:r>
      <w:r>
        <w:rPr>
          <w:lang w:eastAsia="en-AU"/>
        </w:rPr>
        <w:t>that</w:t>
      </w:r>
      <w:r w:rsidR="00AF7274">
        <w:rPr>
          <w:lang w:eastAsia="en-AU"/>
        </w:rPr>
        <w:t>, in my view, weighs decisively against making the order sought in the present application</w:t>
      </w:r>
      <w:r w:rsidR="00DE4FE8">
        <w:rPr>
          <w:lang w:eastAsia="en-AU"/>
        </w:rPr>
        <w:t xml:space="preserve">.  </w:t>
      </w:r>
      <w:r w:rsidR="00AF7274">
        <w:rPr>
          <w:lang w:eastAsia="en-AU"/>
        </w:rPr>
        <w:t>I have already adverted to it in my comments on the first point advanced in the applicant's written submissions</w:t>
      </w:r>
      <w:r w:rsidR="00DE4FE8">
        <w:rPr>
          <w:lang w:eastAsia="en-AU"/>
        </w:rPr>
        <w:t xml:space="preserve">.  </w:t>
      </w:r>
      <w:r>
        <w:rPr>
          <w:lang w:eastAsia="en-AU"/>
        </w:rPr>
        <w:t>The risks against which the order putatively guards are hypothetical</w:t>
      </w:r>
      <w:r w:rsidR="00DE4FE8">
        <w:rPr>
          <w:lang w:eastAsia="en-AU"/>
        </w:rPr>
        <w:t xml:space="preserve">.  </w:t>
      </w:r>
      <w:r w:rsidR="00571352">
        <w:rPr>
          <w:lang w:eastAsia="en-AU"/>
        </w:rPr>
        <w:t>It might be said that risks are always hypothetical by their very nature</w:t>
      </w:r>
      <w:r w:rsidR="00DE4FE8">
        <w:rPr>
          <w:lang w:eastAsia="en-AU"/>
        </w:rPr>
        <w:t xml:space="preserve">.  </w:t>
      </w:r>
      <w:r w:rsidR="00571352">
        <w:rPr>
          <w:lang w:eastAsia="en-AU"/>
        </w:rPr>
        <w:t>But here, w</w:t>
      </w:r>
      <w:r>
        <w:rPr>
          <w:lang w:eastAsia="en-AU"/>
        </w:rPr>
        <w:t xml:space="preserve">ith the exception of the originating process and statement of claim already filed, the order would not </w:t>
      </w:r>
      <w:r w:rsidR="00AE44A5">
        <w:rPr>
          <w:lang w:eastAsia="en-AU"/>
        </w:rPr>
        <w:t xml:space="preserve">refer </w:t>
      </w:r>
      <w:r>
        <w:rPr>
          <w:lang w:eastAsia="en-AU"/>
        </w:rPr>
        <w:t>to any specific disclosure of any specific information</w:t>
      </w:r>
      <w:r w:rsidR="00AE44A5">
        <w:rPr>
          <w:lang w:eastAsia="en-AU"/>
        </w:rPr>
        <w:t>,</w:t>
      </w:r>
      <w:r>
        <w:rPr>
          <w:lang w:eastAsia="en-AU"/>
        </w:rPr>
        <w:t xml:space="preserve"> </w:t>
      </w:r>
      <w:r w:rsidRPr="00AE44A5">
        <w:rPr>
          <w:lang w:eastAsia="en-AU"/>
        </w:rPr>
        <w:t>by any specifi</w:t>
      </w:r>
      <w:r w:rsidR="00D4057F" w:rsidRPr="00AE44A5">
        <w:rPr>
          <w:lang w:eastAsia="en-AU"/>
        </w:rPr>
        <w:t>c</w:t>
      </w:r>
      <w:r w:rsidRPr="00AE44A5">
        <w:rPr>
          <w:lang w:eastAsia="en-AU"/>
        </w:rPr>
        <w:t xml:space="preserve"> person</w:t>
      </w:r>
      <w:r w:rsidR="00AE44A5">
        <w:rPr>
          <w:lang w:eastAsia="en-AU"/>
        </w:rPr>
        <w:t>,</w:t>
      </w:r>
      <w:r w:rsidRPr="00AE44A5">
        <w:rPr>
          <w:lang w:eastAsia="en-AU"/>
        </w:rPr>
        <w:t xml:space="preserve"> to any specific</w:t>
      </w:r>
      <w:r>
        <w:rPr>
          <w:lang w:eastAsia="en-AU"/>
        </w:rPr>
        <w:t xml:space="preserve"> person</w:t>
      </w:r>
      <w:r w:rsidR="00BC5E00">
        <w:rPr>
          <w:lang w:eastAsia="en-AU"/>
        </w:rPr>
        <w:t>.</w:t>
      </w:r>
    </w:p>
    <w:p w:rsidR="00F57B89" w:rsidRDefault="00C81492" w:rsidP="00FB3EBC">
      <w:pPr>
        <w:pStyle w:val="ParaNumbering"/>
        <w:rPr>
          <w:lang w:eastAsia="en-AU"/>
        </w:rPr>
      </w:pPr>
      <w:r>
        <w:rPr>
          <w:lang w:eastAsia="en-AU"/>
        </w:rPr>
        <w:t>In my view, the interests of justice do not require that such a broad pre-emptive order be made</w:t>
      </w:r>
      <w:r w:rsidR="00DE4FE8">
        <w:rPr>
          <w:lang w:eastAsia="en-AU"/>
        </w:rPr>
        <w:t xml:space="preserve">.  </w:t>
      </w:r>
      <w:r w:rsidR="00F57B89">
        <w:rPr>
          <w:lang w:eastAsia="en-AU"/>
        </w:rPr>
        <w:t>In terms of documents filed to date, there is no evidence of any particular person being exposed to the risk</w:t>
      </w:r>
      <w:r w:rsidR="00A078BA">
        <w:rPr>
          <w:lang w:eastAsia="en-AU"/>
        </w:rPr>
        <w:t>, other than the ABC</w:t>
      </w:r>
      <w:r w:rsidR="00DE4FE8">
        <w:rPr>
          <w:lang w:eastAsia="en-AU"/>
        </w:rPr>
        <w:t xml:space="preserve">.  </w:t>
      </w:r>
      <w:r w:rsidR="00A078BA">
        <w:rPr>
          <w:lang w:eastAsia="en-AU"/>
        </w:rPr>
        <w:t>And</w:t>
      </w:r>
      <w:r w:rsidR="00F57B89">
        <w:rPr>
          <w:lang w:eastAsia="en-AU"/>
        </w:rPr>
        <w:t xml:space="preserve"> the ABC is a sophisticated media organisation able to obtain expert advice and make its own assessment of </w:t>
      </w:r>
      <w:r w:rsidR="00A078BA">
        <w:rPr>
          <w:lang w:eastAsia="en-AU"/>
        </w:rPr>
        <w:t>what it can and cannot disclose</w:t>
      </w:r>
      <w:r w:rsidR="00DE4FE8">
        <w:rPr>
          <w:lang w:eastAsia="en-AU"/>
        </w:rPr>
        <w:t xml:space="preserve">.  </w:t>
      </w:r>
      <w:r w:rsidR="00F57B89">
        <w:rPr>
          <w:lang w:eastAsia="en-AU"/>
        </w:rPr>
        <w:t>The court specifically drew the ABC's attention to the issue to make sure it was not overlooked</w:t>
      </w:r>
      <w:r w:rsidR="00BC5E00">
        <w:rPr>
          <w:lang w:eastAsia="en-AU"/>
        </w:rPr>
        <w:t>.</w:t>
      </w:r>
    </w:p>
    <w:p w:rsidR="00912AFF" w:rsidRDefault="00F57B89" w:rsidP="00DE4FE8">
      <w:pPr>
        <w:pStyle w:val="ParaNumbering"/>
        <w:rPr>
          <w:lang w:eastAsia="en-AU"/>
        </w:rPr>
      </w:pPr>
      <w:r>
        <w:rPr>
          <w:lang w:eastAsia="en-AU"/>
        </w:rPr>
        <w:t xml:space="preserve">Perhaps the greatest level of risk of inadvertent breach at present is that </w:t>
      </w:r>
      <w:r w:rsidR="00912AFF">
        <w:rPr>
          <w:lang w:eastAsia="en-AU"/>
        </w:rPr>
        <w:t xml:space="preserve">another </w:t>
      </w:r>
      <w:r w:rsidR="00AE44A5">
        <w:rPr>
          <w:lang w:eastAsia="en-AU"/>
        </w:rPr>
        <w:t>non-</w:t>
      </w:r>
      <w:r w:rsidR="00912AFF">
        <w:rPr>
          <w:lang w:eastAsia="en-AU"/>
        </w:rPr>
        <w:t xml:space="preserve">party seeks access to documents on the court file without being aware of the possible application of s 16(3) of the </w:t>
      </w:r>
      <w:r w:rsidR="00912AFF" w:rsidRPr="00BC5E00">
        <w:rPr>
          <w:i/>
          <w:lang w:eastAsia="en-AU"/>
        </w:rPr>
        <w:t>PID Act</w:t>
      </w:r>
      <w:r w:rsidR="00DE4FE8">
        <w:rPr>
          <w:lang w:eastAsia="en-AU"/>
        </w:rPr>
        <w:t xml:space="preserve">.  </w:t>
      </w:r>
      <w:r w:rsidR="00912AFF">
        <w:rPr>
          <w:lang w:eastAsia="en-AU"/>
        </w:rPr>
        <w:t xml:space="preserve">As I have said, r 2.32 of the </w:t>
      </w:r>
      <w:r w:rsidR="00912AFF" w:rsidRPr="000C719C">
        <w:rPr>
          <w:i/>
          <w:lang w:eastAsia="en-AU"/>
        </w:rPr>
        <w:t>Federal Court Rules</w:t>
      </w:r>
      <w:r w:rsidR="00912AFF">
        <w:rPr>
          <w:lang w:eastAsia="en-AU"/>
        </w:rPr>
        <w:t xml:space="preserve"> provides a mechanism by which that risk may be addressed appropriately, on a case by case basis, in so far as the </w:t>
      </w:r>
      <w:r w:rsidR="00912AFF">
        <w:rPr>
          <w:lang w:eastAsia="en-AU"/>
        </w:rPr>
        <w:lastRenderedPageBreak/>
        <w:t xml:space="preserve">documents are not in the class of documents to which the court </w:t>
      </w:r>
      <w:r w:rsidR="0098632A">
        <w:rPr>
          <w:lang w:eastAsia="en-AU"/>
        </w:rPr>
        <w:t xml:space="preserve">routinely </w:t>
      </w:r>
      <w:r w:rsidR="00912AFF">
        <w:rPr>
          <w:lang w:eastAsia="en-AU"/>
        </w:rPr>
        <w:t>gives access without leave</w:t>
      </w:r>
      <w:r w:rsidR="00DE4FE8">
        <w:rPr>
          <w:lang w:eastAsia="en-AU"/>
        </w:rPr>
        <w:t xml:space="preserve">.  </w:t>
      </w:r>
      <w:r w:rsidR="00912AFF">
        <w:rPr>
          <w:lang w:eastAsia="en-AU"/>
        </w:rPr>
        <w:t xml:space="preserve">In relation to that </w:t>
      </w:r>
      <w:r w:rsidR="00AE44A5">
        <w:rPr>
          <w:lang w:eastAsia="en-AU"/>
        </w:rPr>
        <w:t xml:space="preserve">latter </w:t>
      </w:r>
      <w:r w:rsidR="00912AFF">
        <w:rPr>
          <w:lang w:eastAsia="en-AU"/>
        </w:rPr>
        <w:t xml:space="preserve">class, and </w:t>
      </w:r>
      <w:r w:rsidR="00D4057F">
        <w:rPr>
          <w:lang w:eastAsia="en-AU"/>
        </w:rPr>
        <w:t xml:space="preserve">even </w:t>
      </w:r>
      <w:r w:rsidR="00912AFF">
        <w:rPr>
          <w:lang w:eastAsia="en-AU"/>
        </w:rPr>
        <w:t>in relation to documents where leave to inspect is required, it seems to me that the risk is addressed appropriately by directing that when</w:t>
      </w:r>
      <w:r w:rsidR="00D4057F">
        <w:rPr>
          <w:lang w:eastAsia="en-AU"/>
        </w:rPr>
        <w:t xml:space="preserve"> a party files a court document</w:t>
      </w:r>
      <w:r w:rsidR="00C81492">
        <w:rPr>
          <w:lang w:eastAsia="en-AU"/>
        </w:rPr>
        <w:t xml:space="preserve">, </w:t>
      </w:r>
      <w:r w:rsidR="00912AFF">
        <w:rPr>
          <w:lang w:eastAsia="en-AU"/>
        </w:rPr>
        <w:t>the first page of the document contain a prominent notice as to the issue</w:t>
      </w:r>
      <w:r w:rsidR="00DE4FE8">
        <w:rPr>
          <w:lang w:eastAsia="en-AU"/>
        </w:rPr>
        <w:t xml:space="preserve">.  </w:t>
      </w:r>
      <w:r w:rsidR="00912AFF">
        <w:rPr>
          <w:lang w:eastAsia="en-AU"/>
        </w:rPr>
        <w:t>With this possibility in mind, at the hearing I directed the parties to bring in minutes or, preferably, an agreed minute of wording appropriate for that purpose</w:t>
      </w:r>
      <w:r w:rsidR="00DE4FE8">
        <w:rPr>
          <w:lang w:eastAsia="en-AU"/>
        </w:rPr>
        <w:t xml:space="preserve">.  </w:t>
      </w:r>
      <w:r w:rsidR="00D4057F">
        <w:rPr>
          <w:lang w:eastAsia="en-AU"/>
        </w:rPr>
        <w:t>They were able to reach agreement and t</w:t>
      </w:r>
      <w:r w:rsidR="000C719C">
        <w:rPr>
          <w:lang w:eastAsia="en-AU"/>
        </w:rPr>
        <w:t>hat wording, with some modifications, is reflected in the orders I will make</w:t>
      </w:r>
      <w:r w:rsidR="00BC5E00">
        <w:rPr>
          <w:lang w:eastAsia="en-AU"/>
        </w:rPr>
        <w:t>.</w:t>
      </w:r>
    </w:p>
    <w:p w:rsidR="00380372" w:rsidRDefault="00380372" w:rsidP="00380372">
      <w:pPr>
        <w:pStyle w:val="Heading2"/>
        <w:rPr>
          <w:lang w:eastAsia="en-AU"/>
        </w:rPr>
      </w:pPr>
      <w:r>
        <w:rPr>
          <w:lang w:eastAsia="en-AU"/>
        </w:rPr>
        <w:t>Conclusion</w:t>
      </w:r>
      <w:r w:rsidR="00F07D0C">
        <w:rPr>
          <w:lang w:eastAsia="en-AU"/>
        </w:rPr>
        <w:t xml:space="preserve"> and orders</w:t>
      </w:r>
    </w:p>
    <w:p w:rsidR="00F121C7" w:rsidRDefault="00380372" w:rsidP="00571352">
      <w:pPr>
        <w:pStyle w:val="ParaNumbering"/>
        <w:rPr>
          <w:lang w:eastAsia="en-AU"/>
        </w:rPr>
      </w:pPr>
      <w:r>
        <w:rPr>
          <w:lang w:eastAsia="en-AU"/>
        </w:rPr>
        <w:t>Weighing in favour of the orders sought is the risk to third parties and the fact that unrestricted access to the statement of claim is already available to members of the public, without objection from the University</w:t>
      </w:r>
      <w:r w:rsidR="00DE4FE8">
        <w:rPr>
          <w:lang w:eastAsia="en-AU"/>
        </w:rPr>
        <w:t xml:space="preserve">.  </w:t>
      </w:r>
      <w:r>
        <w:rPr>
          <w:lang w:eastAsia="en-AU"/>
        </w:rPr>
        <w:t xml:space="preserve">But I </w:t>
      </w:r>
      <w:r w:rsidR="00571352">
        <w:rPr>
          <w:lang w:eastAsia="en-AU"/>
        </w:rPr>
        <w:t>must</w:t>
      </w:r>
      <w:r>
        <w:rPr>
          <w:lang w:eastAsia="en-AU"/>
        </w:rPr>
        <w:t xml:space="preserve"> give due regard to the objects of the </w:t>
      </w:r>
      <w:r w:rsidRPr="00BC5E00">
        <w:rPr>
          <w:i/>
          <w:lang w:eastAsia="en-AU"/>
        </w:rPr>
        <w:t>PID Act</w:t>
      </w:r>
      <w:r>
        <w:rPr>
          <w:lang w:eastAsia="en-AU"/>
        </w:rPr>
        <w:t xml:space="preserve"> which relevantly include the </w:t>
      </w:r>
      <w:r w:rsidR="00571352">
        <w:rPr>
          <w:lang w:eastAsia="en-AU"/>
        </w:rPr>
        <w:t xml:space="preserve">obvious objective of s 16(3), to protect the identity of </w:t>
      </w:r>
      <w:r w:rsidR="00187A4F" w:rsidRPr="00BA46F0">
        <w:rPr>
          <w:i/>
          <w:lang w:eastAsia="en-AU"/>
        </w:rPr>
        <w:t>any</w:t>
      </w:r>
      <w:r w:rsidR="00187A4F">
        <w:rPr>
          <w:lang w:eastAsia="en-AU"/>
        </w:rPr>
        <w:t xml:space="preserve"> </w:t>
      </w:r>
      <w:r w:rsidR="00571352">
        <w:rPr>
          <w:lang w:eastAsia="en-AU"/>
        </w:rPr>
        <w:t>persons in respect of whom a disclosure under that Act has been made</w:t>
      </w:r>
      <w:r w:rsidR="00DE4FE8">
        <w:rPr>
          <w:lang w:eastAsia="en-AU"/>
        </w:rPr>
        <w:t xml:space="preserve">.  </w:t>
      </w:r>
      <w:r w:rsidR="00571352">
        <w:rPr>
          <w:lang w:eastAsia="en-AU"/>
        </w:rPr>
        <w:t xml:space="preserve">In my view it would not be exercising the discretion judicially, and consistently with the judicial process, to </w:t>
      </w:r>
      <w:r w:rsidR="00D90B1A">
        <w:rPr>
          <w:lang w:eastAsia="en-AU"/>
        </w:rPr>
        <w:t xml:space="preserve">impair the achievement of those objects by </w:t>
      </w:r>
      <w:r w:rsidR="00571352">
        <w:rPr>
          <w:lang w:eastAsia="en-AU"/>
        </w:rPr>
        <w:t>grant</w:t>
      </w:r>
      <w:r w:rsidR="00D90B1A">
        <w:rPr>
          <w:lang w:eastAsia="en-AU"/>
        </w:rPr>
        <w:t>ing</w:t>
      </w:r>
      <w:r w:rsidR="00571352">
        <w:rPr>
          <w:lang w:eastAsia="en-AU"/>
        </w:rPr>
        <w:t xml:space="preserve"> </w:t>
      </w:r>
      <w:r w:rsidR="00917D2F">
        <w:rPr>
          <w:lang w:eastAsia="en-AU"/>
        </w:rPr>
        <w:t xml:space="preserve">what </w:t>
      </w:r>
      <w:r w:rsidR="00D90B1A">
        <w:rPr>
          <w:lang w:eastAsia="en-AU"/>
        </w:rPr>
        <w:t>would,</w:t>
      </w:r>
      <w:r w:rsidR="00917D2F">
        <w:rPr>
          <w:lang w:eastAsia="en-AU"/>
        </w:rPr>
        <w:t xml:space="preserve"> in effect</w:t>
      </w:r>
      <w:r w:rsidR="00D90B1A">
        <w:rPr>
          <w:lang w:eastAsia="en-AU"/>
        </w:rPr>
        <w:t>, be</w:t>
      </w:r>
      <w:r w:rsidR="00917D2F">
        <w:rPr>
          <w:lang w:eastAsia="en-AU"/>
        </w:rPr>
        <w:t xml:space="preserve"> </w:t>
      </w:r>
      <w:r w:rsidR="00571352">
        <w:rPr>
          <w:lang w:eastAsia="en-AU"/>
        </w:rPr>
        <w:t>a blanket exemption from s 16(3)</w:t>
      </w:r>
      <w:r w:rsidR="00917D2F">
        <w:rPr>
          <w:lang w:eastAsia="en-AU"/>
        </w:rPr>
        <w:t>,</w:t>
      </w:r>
      <w:r w:rsidR="00571352">
        <w:rPr>
          <w:lang w:eastAsia="en-AU"/>
        </w:rPr>
        <w:t xml:space="preserve"> </w:t>
      </w:r>
      <w:r w:rsidR="00917D2F">
        <w:rPr>
          <w:lang w:eastAsia="en-AU"/>
        </w:rPr>
        <w:t>unlimited as to time and</w:t>
      </w:r>
      <w:r w:rsidR="00571352">
        <w:rPr>
          <w:lang w:eastAsia="en-AU"/>
        </w:rPr>
        <w:t xml:space="preserve"> divorced from any consideration of the particular circumstances that </w:t>
      </w:r>
      <w:r w:rsidR="00D90B1A">
        <w:rPr>
          <w:lang w:eastAsia="en-AU"/>
        </w:rPr>
        <w:t xml:space="preserve">may </w:t>
      </w:r>
      <w:r w:rsidR="00571352">
        <w:rPr>
          <w:lang w:eastAsia="en-AU"/>
        </w:rPr>
        <w:t>apply to particular disclosures</w:t>
      </w:r>
      <w:r w:rsidR="00DE4FE8">
        <w:rPr>
          <w:lang w:eastAsia="en-AU"/>
        </w:rPr>
        <w:t xml:space="preserve">.  </w:t>
      </w:r>
      <w:r w:rsidR="00F121C7">
        <w:rPr>
          <w:lang w:eastAsia="en-AU"/>
        </w:rPr>
        <w:t xml:space="preserve">The interests of the administration of justice do not require </w:t>
      </w:r>
      <w:r w:rsidR="00917D2F">
        <w:rPr>
          <w:lang w:eastAsia="en-AU"/>
        </w:rPr>
        <w:t>that I do so</w:t>
      </w:r>
      <w:r w:rsidR="00F121C7">
        <w:rPr>
          <w:lang w:eastAsia="en-AU"/>
        </w:rPr>
        <w:t>; i</w:t>
      </w:r>
      <w:r w:rsidR="00571352">
        <w:rPr>
          <w:lang w:eastAsia="en-AU"/>
        </w:rPr>
        <w:t xml:space="preserve">n the absence of the exemption, the </w:t>
      </w:r>
      <w:r w:rsidR="00571352" w:rsidRPr="00BC5E00">
        <w:rPr>
          <w:i/>
          <w:lang w:eastAsia="en-AU"/>
        </w:rPr>
        <w:t>PID Act</w:t>
      </w:r>
      <w:r w:rsidR="00571352">
        <w:rPr>
          <w:lang w:eastAsia="en-AU"/>
        </w:rPr>
        <w:t xml:space="preserve"> will be permitted to operate according to its terms</w:t>
      </w:r>
      <w:r w:rsidR="00F121C7">
        <w:rPr>
          <w:lang w:eastAsia="en-AU"/>
        </w:rPr>
        <w:t xml:space="preserve"> and at this stage I do not see that this will unduly hamper the conduct of the proceedings</w:t>
      </w:r>
      <w:r w:rsidR="00BC5E00">
        <w:rPr>
          <w:lang w:eastAsia="en-AU"/>
        </w:rPr>
        <w:t>.</w:t>
      </w:r>
    </w:p>
    <w:p w:rsidR="007513A8" w:rsidRPr="007513A8" w:rsidRDefault="00F121C7" w:rsidP="000C719C">
      <w:pPr>
        <w:pStyle w:val="ParaNumbering"/>
        <w:rPr>
          <w:lang w:eastAsia="en-AU"/>
        </w:rPr>
      </w:pPr>
      <w:r>
        <w:rPr>
          <w:lang w:eastAsia="en-AU"/>
        </w:rPr>
        <w:t xml:space="preserve">I will, </w:t>
      </w:r>
      <w:r w:rsidR="000C719C">
        <w:rPr>
          <w:lang w:eastAsia="en-AU"/>
        </w:rPr>
        <w:t>as I have said</w:t>
      </w:r>
      <w:r>
        <w:rPr>
          <w:lang w:eastAsia="en-AU"/>
        </w:rPr>
        <w:t xml:space="preserve">, </w:t>
      </w:r>
      <w:r w:rsidR="00571352">
        <w:rPr>
          <w:lang w:eastAsia="en-AU"/>
        </w:rPr>
        <w:t>make a direction drawing attention to the potential risks</w:t>
      </w:r>
      <w:r>
        <w:rPr>
          <w:lang w:eastAsia="en-AU"/>
        </w:rPr>
        <w:t xml:space="preserve"> in relation to documents on the court file</w:t>
      </w:r>
      <w:r w:rsidR="00DE4FE8">
        <w:rPr>
          <w:lang w:eastAsia="en-AU"/>
        </w:rPr>
        <w:t xml:space="preserve">.  </w:t>
      </w:r>
      <w:r w:rsidR="007513A8">
        <w:rPr>
          <w:rFonts w:eastAsia="Times New Roman"/>
          <w:szCs w:val="24"/>
          <w:lang w:eastAsia="en-AU"/>
        </w:rPr>
        <w:t xml:space="preserve">I will also make that direction in relation to the documents that have already been filed, requiring them to be uplifted and re-filed with the notice </w:t>
      </w:r>
      <w:r w:rsidR="00E93BFC">
        <w:rPr>
          <w:rFonts w:eastAsia="Times New Roman"/>
          <w:szCs w:val="24"/>
          <w:lang w:eastAsia="en-AU"/>
        </w:rPr>
        <w:t>added</w:t>
      </w:r>
      <w:r w:rsidR="007513A8">
        <w:rPr>
          <w:rFonts w:eastAsia="Times New Roman"/>
          <w:szCs w:val="24"/>
          <w:lang w:eastAsia="en-AU"/>
        </w:rPr>
        <w:t>.</w:t>
      </w:r>
    </w:p>
    <w:p w:rsidR="000C719C" w:rsidRPr="00912AFF" w:rsidRDefault="00571352" w:rsidP="000C719C">
      <w:pPr>
        <w:pStyle w:val="ParaNumbering"/>
        <w:rPr>
          <w:lang w:eastAsia="en-AU"/>
        </w:rPr>
      </w:pPr>
      <w:r>
        <w:rPr>
          <w:lang w:eastAsia="en-AU"/>
        </w:rPr>
        <w:t xml:space="preserve">The </w:t>
      </w:r>
      <w:r w:rsidR="00F121C7">
        <w:rPr>
          <w:lang w:eastAsia="en-AU"/>
        </w:rPr>
        <w:t>risks associated with</w:t>
      </w:r>
      <w:r>
        <w:rPr>
          <w:lang w:eastAsia="en-AU"/>
        </w:rPr>
        <w:t xml:space="preserve"> evidence led and submissions made in open court, and the publication of reasons and judgments, can be addressed as and when </w:t>
      </w:r>
      <w:r w:rsidR="00E93BFC">
        <w:rPr>
          <w:lang w:eastAsia="en-AU"/>
        </w:rPr>
        <w:t>they</w:t>
      </w:r>
      <w:r>
        <w:rPr>
          <w:lang w:eastAsia="en-AU"/>
        </w:rPr>
        <w:t xml:space="preserve"> arise</w:t>
      </w:r>
      <w:r w:rsidR="00DE4FE8">
        <w:rPr>
          <w:lang w:eastAsia="en-AU"/>
        </w:rPr>
        <w:t xml:space="preserve">.  </w:t>
      </w:r>
      <w:r>
        <w:rPr>
          <w:lang w:eastAsia="en-AU"/>
        </w:rPr>
        <w:t xml:space="preserve">They can be addressed, as they should be, by reference to </w:t>
      </w:r>
      <w:r w:rsidRPr="00571352">
        <w:rPr>
          <w:lang w:eastAsia="en-AU"/>
        </w:rPr>
        <w:t>what is proposed to be disclosed, by whom, to whom, on what occasion and in what circumstances</w:t>
      </w:r>
      <w:r w:rsidR="00BC5E00">
        <w:rPr>
          <w:lang w:eastAsia="en-AU"/>
        </w:rPr>
        <w:t>.</w:t>
      </w:r>
    </w:p>
    <w:p w:rsidR="00571352" w:rsidRDefault="000C719C" w:rsidP="000C719C">
      <w:pPr>
        <w:pStyle w:val="ParaNumbering"/>
        <w:rPr>
          <w:lang w:eastAsia="en-AU"/>
        </w:rPr>
      </w:pPr>
      <w:r>
        <w:rPr>
          <w:rFonts w:eastAsia="Times New Roman"/>
          <w:szCs w:val="24"/>
          <w:lang w:eastAsia="en-AU"/>
        </w:rPr>
        <w:t>I see no reason to think at this point that this will result in frequent applications for such orders, so as to impose an unworkable administrative burden for the parties or the court</w:t>
      </w:r>
      <w:r w:rsidR="00DE4FE8">
        <w:rPr>
          <w:rFonts w:eastAsia="Times New Roman"/>
          <w:szCs w:val="24"/>
          <w:lang w:eastAsia="en-AU"/>
        </w:rPr>
        <w:t xml:space="preserve">.  </w:t>
      </w:r>
      <w:r>
        <w:rPr>
          <w:rFonts w:eastAsia="Times New Roman"/>
          <w:szCs w:val="24"/>
          <w:lang w:eastAsia="en-AU"/>
        </w:rPr>
        <w:t xml:space="preserve">But I might </w:t>
      </w:r>
      <w:r w:rsidR="00610244">
        <w:rPr>
          <w:rFonts w:eastAsia="Times New Roman"/>
          <w:szCs w:val="24"/>
          <w:lang w:eastAsia="en-AU"/>
        </w:rPr>
        <w:t xml:space="preserve">turn out to </w:t>
      </w:r>
      <w:r>
        <w:rPr>
          <w:rFonts w:eastAsia="Times New Roman"/>
          <w:szCs w:val="24"/>
          <w:lang w:eastAsia="en-AU"/>
        </w:rPr>
        <w:t>be wrong about that</w:t>
      </w:r>
      <w:r w:rsidR="00DE4FE8">
        <w:rPr>
          <w:rFonts w:eastAsia="Times New Roman"/>
          <w:szCs w:val="24"/>
          <w:lang w:eastAsia="en-AU"/>
        </w:rPr>
        <w:t xml:space="preserve">.  </w:t>
      </w:r>
      <w:r>
        <w:rPr>
          <w:rFonts w:eastAsia="Times New Roman"/>
          <w:szCs w:val="24"/>
          <w:lang w:eastAsia="en-AU"/>
        </w:rPr>
        <w:t>For that reason, I will grant liberty to apply</w:t>
      </w:r>
      <w:r w:rsidR="00DE4FE8">
        <w:rPr>
          <w:rFonts w:eastAsia="Times New Roman"/>
          <w:szCs w:val="24"/>
          <w:lang w:eastAsia="en-AU"/>
        </w:rPr>
        <w:t xml:space="preserve">.  </w:t>
      </w:r>
      <w:r>
        <w:rPr>
          <w:rFonts w:eastAsia="Times New Roman"/>
          <w:szCs w:val="24"/>
          <w:lang w:eastAsia="en-AU"/>
        </w:rPr>
        <w:t>If the present orders prove impracticable, they can be varied or further orders can be made.</w:t>
      </w:r>
    </w:p>
    <w:p w:rsidR="003577E8" w:rsidRDefault="003577E8" w:rsidP="00571352">
      <w:pPr>
        <w:pStyle w:val="ParaNumbering"/>
        <w:rPr>
          <w:lang w:eastAsia="en-AU"/>
        </w:rPr>
      </w:pPr>
      <w:r>
        <w:rPr>
          <w:lang w:eastAsia="en-AU"/>
        </w:rPr>
        <w:lastRenderedPageBreak/>
        <w:t>I have mentioned that counsel for the applicant suggested modified forms of orders if I were minded to decline to make an order in the terms sought in his client's application</w:t>
      </w:r>
      <w:r w:rsidR="00DE4FE8">
        <w:rPr>
          <w:lang w:eastAsia="en-AU"/>
        </w:rPr>
        <w:t xml:space="preserve">.  </w:t>
      </w:r>
      <w:r>
        <w:rPr>
          <w:lang w:eastAsia="en-AU"/>
        </w:rPr>
        <w:t>One suggestion was that paragraph (a) of the orders sought be limited to disclosure of the statement of claim and originating process that are already on the file</w:t>
      </w:r>
      <w:r w:rsidR="00DE4FE8">
        <w:rPr>
          <w:lang w:eastAsia="en-AU"/>
        </w:rPr>
        <w:t xml:space="preserve">.  </w:t>
      </w:r>
      <w:r>
        <w:rPr>
          <w:lang w:eastAsia="en-AU"/>
        </w:rPr>
        <w:t>I see no need to make such an order if those documents have the notice affixed to them</w:t>
      </w:r>
      <w:r w:rsidR="00DE4FE8">
        <w:rPr>
          <w:lang w:eastAsia="en-AU"/>
        </w:rPr>
        <w:t xml:space="preserve">.  </w:t>
      </w:r>
      <w:r>
        <w:rPr>
          <w:lang w:eastAsia="en-AU"/>
        </w:rPr>
        <w:t>As I have said, the orders I have a</w:t>
      </w:r>
      <w:r w:rsidR="000C719C">
        <w:rPr>
          <w:lang w:eastAsia="en-AU"/>
        </w:rPr>
        <w:t xml:space="preserve">lready made permit reference </w:t>
      </w:r>
      <w:r>
        <w:rPr>
          <w:lang w:eastAsia="en-AU"/>
        </w:rPr>
        <w:t>to those documents for the purposes of the proceedings</w:t>
      </w:r>
      <w:r w:rsidR="00DE4FE8">
        <w:rPr>
          <w:lang w:eastAsia="en-AU"/>
        </w:rPr>
        <w:t xml:space="preserve">.  </w:t>
      </w:r>
      <w:r w:rsidR="000C719C">
        <w:rPr>
          <w:lang w:eastAsia="en-AU"/>
        </w:rPr>
        <w:t>I</w:t>
      </w:r>
      <w:r>
        <w:rPr>
          <w:lang w:eastAsia="en-AU"/>
        </w:rPr>
        <w:t xml:space="preserve">f any person </w:t>
      </w:r>
      <w:r w:rsidR="000C719C">
        <w:rPr>
          <w:lang w:eastAsia="en-AU"/>
        </w:rPr>
        <w:t>wants</w:t>
      </w:r>
      <w:r>
        <w:rPr>
          <w:lang w:eastAsia="en-AU"/>
        </w:rPr>
        <w:t xml:space="preserve"> to disclose those documents or their contents for some other reason, that can be addressed when it arises</w:t>
      </w:r>
      <w:r w:rsidR="00DE4FE8">
        <w:rPr>
          <w:lang w:eastAsia="en-AU"/>
        </w:rPr>
        <w:t xml:space="preserve">.  </w:t>
      </w:r>
      <w:r w:rsidR="006853E7">
        <w:rPr>
          <w:lang w:eastAsia="en-AU"/>
        </w:rPr>
        <w:t>I</w:t>
      </w:r>
      <w:r w:rsidR="00B61B47">
        <w:rPr>
          <w:lang w:eastAsia="en-AU"/>
        </w:rPr>
        <w:t>n</w:t>
      </w:r>
      <w:r w:rsidR="006853E7">
        <w:rPr>
          <w:lang w:eastAsia="en-AU"/>
        </w:rPr>
        <w:t xml:space="preserve"> any event, limiting the scope of paragraph (a) of the order </w:t>
      </w:r>
      <w:r w:rsidR="00B61B47">
        <w:rPr>
          <w:lang w:eastAsia="en-AU"/>
        </w:rPr>
        <w:t>would hardly confine</w:t>
      </w:r>
      <w:r w:rsidR="006853E7">
        <w:rPr>
          <w:lang w:eastAsia="en-AU"/>
        </w:rPr>
        <w:t xml:space="preserve"> it</w:t>
      </w:r>
      <w:r w:rsidR="00610244">
        <w:rPr>
          <w:lang w:eastAsia="en-AU"/>
        </w:rPr>
        <w:t>,</w:t>
      </w:r>
      <w:r w:rsidR="006853E7">
        <w:rPr>
          <w:lang w:eastAsia="en-AU"/>
        </w:rPr>
        <w:t xml:space="preserve"> in view of the breadth of paragraph (b)</w:t>
      </w:r>
      <w:r w:rsidR="00BC5E00">
        <w:rPr>
          <w:lang w:eastAsia="en-AU"/>
        </w:rPr>
        <w:t>.</w:t>
      </w:r>
    </w:p>
    <w:p w:rsidR="002475D5" w:rsidRDefault="00073BA1" w:rsidP="00571352">
      <w:pPr>
        <w:pStyle w:val="ParaNumbering"/>
        <w:rPr>
          <w:lang w:eastAsia="en-AU"/>
        </w:rPr>
      </w:pPr>
      <w:r>
        <w:rPr>
          <w:lang w:eastAsia="en-AU"/>
        </w:rPr>
        <w:t>At the hearing</w:t>
      </w:r>
      <w:r w:rsidR="00B61B47">
        <w:rPr>
          <w:lang w:eastAsia="en-AU"/>
        </w:rPr>
        <w:t>,</w:t>
      </w:r>
      <w:r>
        <w:rPr>
          <w:lang w:eastAsia="en-AU"/>
        </w:rPr>
        <w:t xml:space="preserve"> counsel for the </w:t>
      </w:r>
      <w:r w:rsidR="000C719C">
        <w:rPr>
          <w:lang w:eastAsia="en-AU"/>
        </w:rPr>
        <w:t>University</w:t>
      </w:r>
      <w:r>
        <w:rPr>
          <w:lang w:eastAsia="en-AU"/>
        </w:rPr>
        <w:t xml:space="preserve"> indicated that it would consent to an order that the applicant may disclose to its legal advisers such information as is reasonably necessary for the purposes of the conduct of these proceedings</w:t>
      </w:r>
      <w:r w:rsidR="00DE4FE8">
        <w:rPr>
          <w:lang w:eastAsia="en-AU"/>
        </w:rPr>
        <w:t xml:space="preserve">.  </w:t>
      </w:r>
      <w:r>
        <w:rPr>
          <w:lang w:eastAsia="en-AU"/>
        </w:rPr>
        <w:t xml:space="preserve">This was in response to a possible concern about </w:t>
      </w:r>
      <w:r w:rsidR="00E715EC">
        <w:rPr>
          <w:lang w:eastAsia="en-AU"/>
        </w:rPr>
        <w:t xml:space="preserve">a </w:t>
      </w:r>
      <w:r>
        <w:rPr>
          <w:lang w:eastAsia="en-AU"/>
        </w:rPr>
        <w:t xml:space="preserve">breach of s 16(3) in those circumstances </w:t>
      </w:r>
      <w:r w:rsidR="00B61B47">
        <w:rPr>
          <w:lang w:eastAsia="en-AU"/>
        </w:rPr>
        <w:t>which</w:t>
      </w:r>
      <w:r>
        <w:rPr>
          <w:lang w:eastAsia="en-AU"/>
        </w:rPr>
        <w:t xml:space="preserve"> counsel for the applicant raised</w:t>
      </w:r>
      <w:r w:rsidR="00DE4FE8">
        <w:rPr>
          <w:lang w:eastAsia="en-AU"/>
        </w:rPr>
        <w:t xml:space="preserve">.  </w:t>
      </w:r>
      <w:r w:rsidR="002475D5">
        <w:rPr>
          <w:lang w:eastAsia="en-AU"/>
        </w:rPr>
        <w:t>I am prepared in principle to make such an order should it be thought necessary</w:t>
      </w:r>
      <w:r w:rsidR="00DE4FE8">
        <w:rPr>
          <w:lang w:eastAsia="en-AU"/>
        </w:rPr>
        <w:t xml:space="preserve">.  </w:t>
      </w:r>
      <w:r w:rsidR="002475D5">
        <w:rPr>
          <w:lang w:eastAsia="en-AU"/>
        </w:rPr>
        <w:t>I will direct the parties to confer as to a minute</w:t>
      </w:r>
      <w:r w:rsidR="00FD425F">
        <w:rPr>
          <w:lang w:eastAsia="en-AU"/>
        </w:rPr>
        <w:t xml:space="preserve"> of</w:t>
      </w:r>
      <w:r w:rsidR="002475D5">
        <w:rPr>
          <w:lang w:eastAsia="en-AU"/>
        </w:rPr>
        <w:t xml:space="preserve"> the order.</w:t>
      </w:r>
    </w:p>
    <w:p w:rsidR="00F05CE6" w:rsidRDefault="00073BA1" w:rsidP="000C719C">
      <w:pPr>
        <w:pStyle w:val="ParaNumbering"/>
        <w:rPr>
          <w:lang w:eastAsia="en-AU"/>
        </w:rPr>
      </w:pPr>
      <w:r>
        <w:rPr>
          <w:lang w:eastAsia="en-AU"/>
        </w:rPr>
        <w:t xml:space="preserve">The applicant has been largely unsuccessful on the application, but </w:t>
      </w:r>
      <w:r w:rsidR="0072696B">
        <w:rPr>
          <w:lang w:eastAsia="en-AU"/>
        </w:rPr>
        <w:t xml:space="preserve">perhaps </w:t>
      </w:r>
      <w:r>
        <w:rPr>
          <w:lang w:eastAsia="en-AU"/>
        </w:rPr>
        <w:t>not entirely, and it may be that it was appropriate to raise this issue at the outset in any event</w:t>
      </w:r>
      <w:r w:rsidR="00DE4FE8">
        <w:rPr>
          <w:lang w:eastAsia="en-AU"/>
        </w:rPr>
        <w:t xml:space="preserve">.  </w:t>
      </w:r>
      <w:r>
        <w:rPr>
          <w:lang w:eastAsia="en-AU"/>
        </w:rPr>
        <w:t>I will therefore hear from the parties as to costs.</w:t>
      </w:r>
    </w:p>
    <w:p w:rsidR="0032289C" w:rsidRDefault="0032289C" w:rsidP="00815065">
      <w:pPr>
        <w:pStyle w:val="BodyText"/>
      </w:pPr>
      <w:bookmarkStart w:id="22" w:name="Certification"/>
    </w:p>
    <w:tbl>
      <w:tblPr>
        <w:tblW w:w="0" w:type="auto"/>
        <w:tblLook w:val="04A0" w:firstRow="1" w:lastRow="0" w:firstColumn="1" w:lastColumn="0" w:noHBand="0" w:noVBand="1"/>
      </w:tblPr>
      <w:tblGrid>
        <w:gridCol w:w="3794"/>
      </w:tblGrid>
      <w:tr w:rsidR="0032289C" w:rsidRPr="0032289C">
        <w:tc>
          <w:tcPr>
            <w:tcW w:w="3794" w:type="dxa"/>
            <w:shd w:val="clear" w:color="auto" w:fill="auto"/>
          </w:tcPr>
          <w:p w:rsidR="0032289C" w:rsidRPr="0032289C" w:rsidRDefault="0032289C" w:rsidP="00B323D4">
            <w:pPr>
              <w:spacing w:line="240" w:lineRule="auto"/>
            </w:pPr>
            <w:r w:rsidRPr="0032289C">
              <w:t xml:space="preserve">I certify that the preceding </w:t>
            </w:r>
            <w:bookmarkStart w:id="23" w:name="NumberWord"/>
            <w:r>
              <w:t>seventy-five</w:t>
            </w:r>
            <w:bookmarkEnd w:id="23"/>
            <w:r w:rsidRPr="0032289C">
              <w:t xml:space="preserve"> (</w:t>
            </w:r>
            <w:bookmarkStart w:id="24" w:name="NumberNumeral"/>
            <w:r>
              <w:t>75</w:t>
            </w:r>
            <w:bookmarkEnd w:id="24"/>
            <w:r w:rsidRPr="0032289C">
              <w:t xml:space="preserve">) numbered </w:t>
            </w:r>
            <w:bookmarkStart w:id="25" w:name="CertPara"/>
            <w:r>
              <w:t>paragraphs are</w:t>
            </w:r>
            <w:bookmarkEnd w:id="25"/>
            <w:r w:rsidRPr="0032289C">
              <w:t xml:space="preserve"> a true copy of the Reasons for Judgment herein of the Honourable </w:t>
            </w:r>
            <w:bookmarkStart w:id="26" w:name="Justice"/>
            <w:r>
              <w:t>Justice Jackson</w:t>
            </w:r>
            <w:bookmarkEnd w:id="26"/>
            <w:r w:rsidRPr="0032289C">
              <w:t>.</w:t>
            </w:r>
          </w:p>
        </w:tc>
      </w:tr>
    </w:tbl>
    <w:p w:rsidR="0032289C" w:rsidRDefault="0032289C" w:rsidP="00815065">
      <w:pPr>
        <w:pStyle w:val="BodyText"/>
      </w:pPr>
    </w:p>
    <w:p w:rsidR="0032289C" w:rsidRDefault="0032289C" w:rsidP="00815065">
      <w:pPr>
        <w:pStyle w:val="BodyText"/>
      </w:pPr>
    </w:p>
    <w:p w:rsidR="0032289C" w:rsidRDefault="0032289C" w:rsidP="00815065">
      <w:pPr>
        <w:pStyle w:val="BodyText"/>
      </w:pPr>
      <w:r>
        <w:t xml:space="preserve">Associate: </w:t>
      </w:r>
    </w:p>
    <w:p w:rsidR="0032289C" w:rsidRDefault="0032289C" w:rsidP="00815065">
      <w:pPr>
        <w:pStyle w:val="BodyText"/>
      </w:pPr>
    </w:p>
    <w:p w:rsidR="0032289C" w:rsidRDefault="0032289C" w:rsidP="00B323D4">
      <w:pPr>
        <w:pStyle w:val="BodyText"/>
        <w:tabs>
          <w:tab w:val="left" w:pos="1134"/>
        </w:tabs>
        <w:rPr>
          <w:lang w:eastAsia="en-AU"/>
        </w:rPr>
      </w:pPr>
      <w:r>
        <w:t>Dated:</w:t>
      </w:r>
      <w:r>
        <w:tab/>
      </w:r>
      <w:bookmarkStart w:id="27" w:name="CertifyDated"/>
      <w:r>
        <w:t>29 July 2019</w:t>
      </w:r>
      <w:bookmarkEnd w:id="27"/>
      <w:bookmarkEnd w:id="22"/>
    </w:p>
    <w:sectPr w:rsidR="0032289C">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5E" w:rsidRDefault="00B4415E">
      <w:pPr>
        <w:spacing w:line="20" w:lineRule="exact"/>
      </w:pPr>
    </w:p>
    <w:p w:rsidR="00B4415E" w:rsidRDefault="00B4415E"/>
    <w:p w:rsidR="00B4415E" w:rsidRDefault="00B4415E"/>
  </w:endnote>
  <w:endnote w:type="continuationSeparator" w:id="0">
    <w:p w:rsidR="00B4415E" w:rsidRDefault="00B4415E">
      <w:r>
        <w:t xml:space="preserve"> </w:t>
      </w:r>
    </w:p>
    <w:p w:rsidR="00B4415E" w:rsidRDefault="00B4415E"/>
    <w:p w:rsidR="00B4415E" w:rsidRDefault="00B4415E"/>
  </w:endnote>
  <w:endnote w:type="continuationNotice" w:id="1">
    <w:p w:rsidR="00B4415E" w:rsidRDefault="00B4415E">
      <w:r>
        <w:t xml:space="preserve"> </w:t>
      </w:r>
    </w:p>
    <w:p w:rsidR="00B4415E" w:rsidRDefault="00B4415E"/>
    <w:p w:rsidR="00B4415E" w:rsidRDefault="00B44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E8" w:rsidRPr="00E75BE0" w:rsidRDefault="00DE4FE8">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E8" w:rsidRPr="00DE4FE8" w:rsidRDefault="00DE4FE8" w:rsidP="00624520">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E8" w:rsidRPr="00E75BE0" w:rsidRDefault="00DE4FE8" w:rsidP="002F1E4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5E" w:rsidRDefault="00B4415E"/>
    <w:p w:rsidR="00B4415E" w:rsidRDefault="00B4415E"/>
    <w:p w:rsidR="00B4415E" w:rsidRDefault="00B4415E"/>
  </w:footnote>
  <w:footnote w:type="continuationSeparator" w:id="0">
    <w:p w:rsidR="00B4415E" w:rsidRDefault="00B4415E">
      <w:r>
        <w:continuationSeparator/>
      </w:r>
    </w:p>
    <w:p w:rsidR="00B4415E" w:rsidRDefault="00B4415E"/>
    <w:p w:rsidR="00B4415E" w:rsidRDefault="00B441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E8" w:rsidRDefault="00DE4FE8">
    <w:pPr>
      <w:tabs>
        <w:tab w:val="center" w:pos="4512"/>
      </w:tabs>
      <w:suppressAutoHyphens/>
    </w:pPr>
    <w:r>
      <w:tab/>
      <w:t xml:space="preserve">- </w:t>
    </w:r>
    <w:r>
      <w:fldChar w:fldCharType="begin"/>
    </w:r>
    <w:r>
      <w:instrText xml:space="preserve"> PAGE   \* MERGEFORMAT </w:instrText>
    </w:r>
    <w:r>
      <w:fldChar w:fldCharType="separate"/>
    </w:r>
    <w:r w:rsidR="00BA7A0D">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E8" w:rsidRDefault="00DE4FE8">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E8" w:rsidRDefault="00DE4FE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E8" w:rsidRPr="00DE4FE8" w:rsidRDefault="00DE4FE8">
    <w:pPr>
      <w:tabs>
        <w:tab w:val="center" w:pos="4512"/>
      </w:tabs>
      <w:suppressAutoHyphens/>
      <w:rPr>
        <w:sz w:val="20"/>
      </w:rPr>
    </w:pPr>
    <w:r>
      <w:tab/>
      <w:t xml:space="preserve">- </w:t>
    </w:r>
    <w:r>
      <w:fldChar w:fldCharType="begin"/>
    </w:r>
    <w:r>
      <w:instrText>page \* arabic</w:instrText>
    </w:r>
    <w:r>
      <w:fldChar w:fldCharType="separate"/>
    </w:r>
    <w:r w:rsidR="00BA7A0D">
      <w:rPr>
        <w:noProof/>
      </w:rPr>
      <w:t>17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E8" w:rsidRDefault="00DE4FE8">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3992"/>
        </w:tabs>
        <w:ind w:left="3272"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4832"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14"/>
  </w:num>
  <w:num w:numId="28">
    <w:abstractNumId w:val="13"/>
  </w:num>
  <w:num w:numId="2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GERD SCHRODER-TURK"/>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WAD 303 of 2019"/>
    <w:docVar w:name="HearingDate" w:val="17 July 2019"/>
    <w:docVar w:name="Initiators" w:val="(and another named in the Schedule)"/>
    <w:docVar w:name="Judgdate" w:val="29 July 2019"/>
    <w:docVar w:name="Judge" w:val="Jackson"/>
    <w:docVar w:name="Justices" w:val="Justice"/>
    <w:docVar w:name="lstEntryList" w:val="-1"/>
    <w:docVar w:name="myEntryList" w:val="Counsel for the Applicant=Mr CJ Tran|Solicitor for the Applicant=Maurice Blackburn Lawyers|Counsel for the Respondent=Mr NK Stewart|Solicitor for the Respondent=MinterEllison"/>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MURDOCH UNIVERSITY"/>
    <w:docVar w:name="ResState" w:val="Western Australia"/>
    <w:docVar w:name="SubArea" w:val="[none]"/>
  </w:docVars>
  <w:rsids>
    <w:rsidRoot w:val="00E75BE0"/>
    <w:rsid w:val="000016E1"/>
    <w:rsid w:val="000127D8"/>
    <w:rsid w:val="00012EC1"/>
    <w:rsid w:val="0001469E"/>
    <w:rsid w:val="00015993"/>
    <w:rsid w:val="00022289"/>
    <w:rsid w:val="00032F9F"/>
    <w:rsid w:val="000347F4"/>
    <w:rsid w:val="00041C07"/>
    <w:rsid w:val="00045667"/>
    <w:rsid w:val="00045BB7"/>
    <w:rsid w:val="00055719"/>
    <w:rsid w:val="0005641B"/>
    <w:rsid w:val="00070719"/>
    <w:rsid w:val="00073BA1"/>
    <w:rsid w:val="00081497"/>
    <w:rsid w:val="00086575"/>
    <w:rsid w:val="000867A3"/>
    <w:rsid w:val="000904EC"/>
    <w:rsid w:val="0009171E"/>
    <w:rsid w:val="000A2E76"/>
    <w:rsid w:val="000A4807"/>
    <w:rsid w:val="000A4BE4"/>
    <w:rsid w:val="000B1F49"/>
    <w:rsid w:val="000B5FAD"/>
    <w:rsid w:val="000C023E"/>
    <w:rsid w:val="000C5195"/>
    <w:rsid w:val="000C62EF"/>
    <w:rsid w:val="000C6EF1"/>
    <w:rsid w:val="000C719C"/>
    <w:rsid w:val="000D2137"/>
    <w:rsid w:val="000D3FD2"/>
    <w:rsid w:val="000E3FC8"/>
    <w:rsid w:val="000E7BAE"/>
    <w:rsid w:val="000F133D"/>
    <w:rsid w:val="000F2913"/>
    <w:rsid w:val="0010536B"/>
    <w:rsid w:val="0011145C"/>
    <w:rsid w:val="001128BD"/>
    <w:rsid w:val="0011419D"/>
    <w:rsid w:val="001237FE"/>
    <w:rsid w:val="00130955"/>
    <w:rsid w:val="00132054"/>
    <w:rsid w:val="00140ED9"/>
    <w:rsid w:val="001432C9"/>
    <w:rsid w:val="0014444E"/>
    <w:rsid w:val="0014727C"/>
    <w:rsid w:val="00157A33"/>
    <w:rsid w:val="00163887"/>
    <w:rsid w:val="00163F70"/>
    <w:rsid w:val="00166D64"/>
    <w:rsid w:val="001727A4"/>
    <w:rsid w:val="00173698"/>
    <w:rsid w:val="0017376C"/>
    <w:rsid w:val="001738AB"/>
    <w:rsid w:val="001765E0"/>
    <w:rsid w:val="00177759"/>
    <w:rsid w:val="00185E6B"/>
    <w:rsid w:val="00187A4F"/>
    <w:rsid w:val="00187BBC"/>
    <w:rsid w:val="001916C6"/>
    <w:rsid w:val="001926BC"/>
    <w:rsid w:val="001932F3"/>
    <w:rsid w:val="001A4309"/>
    <w:rsid w:val="001B1053"/>
    <w:rsid w:val="001B14AC"/>
    <w:rsid w:val="001B7940"/>
    <w:rsid w:val="001C37CA"/>
    <w:rsid w:val="001D3480"/>
    <w:rsid w:val="001D4303"/>
    <w:rsid w:val="001D6746"/>
    <w:rsid w:val="001E3B49"/>
    <w:rsid w:val="001E4C47"/>
    <w:rsid w:val="001E5B43"/>
    <w:rsid w:val="001E7388"/>
    <w:rsid w:val="001F13DD"/>
    <w:rsid w:val="001F2DBC"/>
    <w:rsid w:val="001F73E8"/>
    <w:rsid w:val="0020262C"/>
    <w:rsid w:val="00214ADA"/>
    <w:rsid w:val="00224537"/>
    <w:rsid w:val="00225B6F"/>
    <w:rsid w:val="00226BDD"/>
    <w:rsid w:val="00230B13"/>
    <w:rsid w:val="00231026"/>
    <w:rsid w:val="00235956"/>
    <w:rsid w:val="002475D5"/>
    <w:rsid w:val="00247C9A"/>
    <w:rsid w:val="00250B75"/>
    <w:rsid w:val="0025160C"/>
    <w:rsid w:val="002535D0"/>
    <w:rsid w:val="002539B3"/>
    <w:rsid w:val="00257C3E"/>
    <w:rsid w:val="002602C2"/>
    <w:rsid w:val="002666C9"/>
    <w:rsid w:val="00270136"/>
    <w:rsid w:val="002743E8"/>
    <w:rsid w:val="00274F5B"/>
    <w:rsid w:val="0027573D"/>
    <w:rsid w:val="00280836"/>
    <w:rsid w:val="00282E1A"/>
    <w:rsid w:val="0029113B"/>
    <w:rsid w:val="002934C0"/>
    <w:rsid w:val="002A1B50"/>
    <w:rsid w:val="002B0E91"/>
    <w:rsid w:val="002B6779"/>
    <w:rsid w:val="002B71C0"/>
    <w:rsid w:val="002B7A34"/>
    <w:rsid w:val="002C31AD"/>
    <w:rsid w:val="002C410C"/>
    <w:rsid w:val="002C7130"/>
    <w:rsid w:val="002C7385"/>
    <w:rsid w:val="002D2DBB"/>
    <w:rsid w:val="002D54A6"/>
    <w:rsid w:val="002E6A7A"/>
    <w:rsid w:val="002F1E49"/>
    <w:rsid w:val="002F3561"/>
    <w:rsid w:val="002F49F7"/>
    <w:rsid w:val="002F4E9C"/>
    <w:rsid w:val="0031256C"/>
    <w:rsid w:val="00314D6C"/>
    <w:rsid w:val="00316D2A"/>
    <w:rsid w:val="0032289C"/>
    <w:rsid w:val="00322A7C"/>
    <w:rsid w:val="00325167"/>
    <w:rsid w:val="003355E8"/>
    <w:rsid w:val="003402D3"/>
    <w:rsid w:val="00343ABC"/>
    <w:rsid w:val="003463FE"/>
    <w:rsid w:val="00353EFD"/>
    <w:rsid w:val="00354337"/>
    <w:rsid w:val="003554B3"/>
    <w:rsid w:val="00356632"/>
    <w:rsid w:val="003577E8"/>
    <w:rsid w:val="003655E0"/>
    <w:rsid w:val="00367ED7"/>
    <w:rsid w:val="00380372"/>
    <w:rsid w:val="003832CB"/>
    <w:rsid w:val="00383B30"/>
    <w:rsid w:val="003845A9"/>
    <w:rsid w:val="00390883"/>
    <w:rsid w:val="00391876"/>
    <w:rsid w:val="003922F8"/>
    <w:rsid w:val="00394A57"/>
    <w:rsid w:val="00395B24"/>
    <w:rsid w:val="003A2D38"/>
    <w:rsid w:val="003A4F79"/>
    <w:rsid w:val="003A6B43"/>
    <w:rsid w:val="003A6C98"/>
    <w:rsid w:val="003A7ECC"/>
    <w:rsid w:val="003B01D3"/>
    <w:rsid w:val="003B2C72"/>
    <w:rsid w:val="003C1333"/>
    <w:rsid w:val="003C20FF"/>
    <w:rsid w:val="003C3D98"/>
    <w:rsid w:val="003D0869"/>
    <w:rsid w:val="003D2650"/>
    <w:rsid w:val="003D560C"/>
    <w:rsid w:val="003E25AA"/>
    <w:rsid w:val="003E5507"/>
    <w:rsid w:val="003E5874"/>
    <w:rsid w:val="003F0F29"/>
    <w:rsid w:val="003F193E"/>
    <w:rsid w:val="003F34F1"/>
    <w:rsid w:val="003F7DB1"/>
    <w:rsid w:val="00400176"/>
    <w:rsid w:val="00407C30"/>
    <w:rsid w:val="00411AE8"/>
    <w:rsid w:val="00413B74"/>
    <w:rsid w:val="00423930"/>
    <w:rsid w:val="00425CDF"/>
    <w:rsid w:val="0043101D"/>
    <w:rsid w:val="00434310"/>
    <w:rsid w:val="00435C5F"/>
    <w:rsid w:val="00441E98"/>
    <w:rsid w:val="004532F7"/>
    <w:rsid w:val="00467ECE"/>
    <w:rsid w:val="00472027"/>
    <w:rsid w:val="00477711"/>
    <w:rsid w:val="004804CF"/>
    <w:rsid w:val="00484962"/>
    <w:rsid w:val="00484F6D"/>
    <w:rsid w:val="00485BBA"/>
    <w:rsid w:val="0049338A"/>
    <w:rsid w:val="0049417F"/>
    <w:rsid w:val="004A28CA"/>
    <w:rsid w:val="004B3EFA"/>
    <w:rsid w:val="004B7207"/>
    <w:rsid w:val="004C1DE6"/>
    <w:rsid w:val="004C2A87"/>
    <w:rsid w:val="004C4D7B"/>
    <w:rsid w:val="004C4ED3"/>
    <w:rsid w:val="004D046A"/>
    <w:rsid w:val="004D081D"/>
    <w:rsid w:val="004D2EA5"/>
    <w:rsid w:val="004D32A6"/>
    <w:rsid w:val="004D53E5"/>
    <w:rsid w:val="004F3A4E"/>
    <w:rsid w:val="005003A9"/>
    <w:rsid w:val="00501A12"/>
    <w:rsid w:val="005068C2"/>
    <w:rsid w:val="0051346D"/>
    <w:rsid w:val="00513EAE"/>
    <w:rsid w:val="00516806"/>
    <w:rsid w:val="00525A49"/>
    <w:rsid w:val="005269C3"/>
    <w:rsid w:val="00532929"/>
    <w:rsid w:val="00535613"/>
    <w:rsid w:val="005359EB"/>
    <w:rsid w:val="005370E1"/>
    <w:rsid w:val="0054254A"/>
    <w:rsid w:val="005466B5"/>
    <w:rsid w:val="00554314"/>
    <w:rsid w:val="0055566A"/>
    <w:rsid w:val="005629B3"/>
    <w:rsid w:val="00571352"/>
    <w:rsid w:val="00572E98"/>
    <w:rsid w:val="00573AC4"/>
    <w:rsid w:val="005801FC"/>
    <w:rsid w:val="0058328F"/>
    <w:rsid w:val="005847E7"/>
    <w:rsid w:val="00595016"/>
    <w:rsid w:val="00597AAE"/>
    <w:rsid w:val="005A222C"/>
    <w:rsid w:val="005A4DF8"/>
    <w:rsid w:val="005B090E"/>
    <w:rsid w:val="005B1426"/>
    <w:rsid w:val="005B5EE0"/>
    <w:rsid w:val="005B6795"/>
    <w:rsid w:val="005C0A8E"/>
    <w:rsid w:val="005C1767"/>
    <w:rsid w:val="005C24C3"/>
    <w:rsid w:val="005C42EF"/>
    <w:rsid w:val="005D289F"/>
    <w:rsid w:val="005D3351"/>
    <w:rsid w:val="005E02F5"/>
    <w:rsid w:val="005E0510"/>
    <w:rsid w:val="005E176E"/>
    <w:rsid w:val="005E218E"/>
    <w:rsid w:val="005E35A0"/>
    <w:rsid w:val="005E5941"/>
    <w:rsid w:val="005F0D1B"/>
    <w:rsid w:val="005F1865"/>
    <w:rsid w:val="005F6F19"/>
    <w:rsid w:val="006007BD"/>
    <w:rsid w:val="006013C8"/>
    <w:rsid w:val="0060270D"/>
    <w:rsid w:val="00604611"/>
    <w:rsid w:val="00605339"/>
    <w:rsid w:val="00605F2E"/>
    <w:rsid w:val="00610244"/>
    <w:rsid w:val="00611456"/>
    <w:rsid w:val="00611586"/>
    <w:rsid w:val="006142FD"/>
    <w:rsid w:val="00621887"/>
    <w:rsid w:val="00623FE1"/>
    <w:rsid w:val="00624520"/>
    <w:rsid w:val="00632300"/>
    <w:rsid w:val="00632BB7"/>
    <w:rsid w:val="00635B36"/>
    <w:rsid w:val="00636871"/>
    <w:rsid w:val="00640F4E"/>
    <w:rsid w:val="00643DE0"/>
    <w:rsid w:val="00644E85"/>
    <w:rsid w:val="006464AD"/>
    <w:rsid w:val="0066063F"/>
    <w:rsid w:val="00660808"/>
    <w:rsid w:val="00662BB0"/>
    <w:rsid w:val="00663878"/>
    <w:rsid w:val="00665664"/>
    <w:rsid w:val="00667773"/>
    <w:rsid w:val="00670743"/>
    <w:rsid w:val="006853E7"/>
    <w:rsid w:val="00690EE2"/>
    <w:rsid w:val="006A0E20"/>
    <w:rsid w:val="006A4F4D"/>
    <w:rsid w:val="006A5695"/>
    <w:rsid w:val="006B34A2"/>
    <w:rsid w:val="006B3904"/>
    <w:rsid w:val="006B5B7D"/>
    <w:rsid w:val="006C314D"/>
    <w:rsid w:val="006C67E6"/>
    <w:rsid w:val="006D0ECF"/>
    <w:rsid w:val="006D4C92"/>
    <w:rsid w:val="006D4EB6"/>
    <w:rsid w:val="006D694E"/>
    <w:rsid w:val="006E35BF"/>
    <w:rsid w:val="006E7850"/>
    <w:rsid w:val="006F43C2"/>
    <w:rsid w:val="006F502E"/>
    <w:rsid w:val="006F6122"/>
    <w:rsid w:val="007028D9"/>
    <w:rsid w:val="00706263"/>
    <w:rsid w:val="00707218"/>
    <w:rsid w:val="007103C2"/>
    <w:rsid w:val="00712B1D"/>
    <w:rsid w:val="007161CA"/>
    <w:rsid w:val="00721495"/>
    <w:rsid w:val="00722FEF"/>
    <w:rsid w:val="0072696B"/>
    <w:rsid w:val="00727944"/>
    <w:rsid w:val="007325D9"/>
    <w:rsid w:val="0073385E"/>
    <w:rsid w:val="007360CA"/>
    <w:rsid w:val="007364C5"/>
    <w:rsid w:val="00736CAA"/>
    <w:rsid w:val="00740B93"/>
    <w:rsid w:val="007513A8"/>
    <w:rsid w:val="00755019"/>
    <w:rsid w:val="00760EC0"/>
    <w:rsid w:val="0078003A"/>
    <w:rsid w:val="00780771"/>
    <w:rsid w:val="00781E1E"/>
    <w:rsid w:val="007929CF"/>
    <w:rsid w:val="007A6F28"/>
    <w:rsid w:val="007B03C6"/>
    <w:rsid w:val="007B0DB1"/>
    <w:rsid w:val="007B79EA"/>
    <w:rsid w:val="007C3BF6"/>
    <w:rsid w:val="007D0FD2"/>
    <w:rsid w:val="007D2EF8"/>
    <w:rsid w:val="007D561F"/>
    <w:rsid w:val="007D7FD2"/>
    <w:rsid w:val="007E13D9"/>
    <w:rsid w:val="007E41BE"/>
    <w:rsid w:val="007E4DB6"/>
    <w:rsid w:val="007E7CD4"/>
    <w:rsid w:val="007F12AC"/>
    <w:rsid w:val="007F2287"/>
    <w:rsid w:val="007F40F0"/>
    <w:rsid w:val="00801800"/>
    <w:rsid w:val="00801B5B"/>
    <w:rsid w:val="008072F1"/>
    <w:rsid w:val="00813128"/>
    <w:rsid w:val="008223F2"/>
    <w:rsid w:val="008236B6"/>
    <w:rsid w:val="00824E03"/>
    <w:rsid w:val="00825C0E"/>
    <w:rsid w:val="008276B4"/>
    <w:rsid w:val="00830BA1"/>
    <w:rsid w:val="00831927"/>
    <w:rsid w:val="0084110A"/>
    <w:rsid w:val="00841BD3"/>
    <w:rsid w:val="0084273D"/>
    <w:rsid w:val="0084475B"/>
    <w:rsid w:val="00844E3F"/>
    <w:rsid w:val="00845A83"/>
    <w:rsid w:val="00851138"/>
    <w:rsid w:val="0086701A"/>
    <w:rsid w:val="008712BB"/>
    <w:rsid w:val="00876713"/>
    <w:rsid w:val="00883979"/>
    <w:rsid w:val="00884377"/>
    <w:rsid w:val="0088458B"/>
    <w:rsid w:val="008A090B"/>
    <w:rsid w:val="008A2484"/>
    <w:rsid w:val="008B0428"/>
    <w:rsid w:val="008C26D9"/>
    <w:rsid w:val="008C6D50"/>
    <w:rsid w:val="008C7167"/>
    <w:rsid w:val="008C7503"/>
    <w:rsid w:val="008D1617"/>
    <w:rsid w:val="008E23F5"/>
    <w:rsid w:val="008E6315"/>
    <w:rsid w:val="008F11E0"/>
    <w:rsid w:val="008F78BC"/>
    <w:rsid w:val="008F7B63"/>
    <w:rsid w:val="008F7D6A"/>
    <w:rsid w:val="009054CB"/>
    <w:rsid w:val="009102C3"/>
    <w:rsid w:val="00912AFF"/>
    <w:rsid w:val="00912F94"/>
    <w:rsid w:val="00915C49"/>
    <w:rsid w:val="00917D2F"/>
    <w:rsid w:val="0092590B"/>
    <w:rsid w:val="00925E60"/>
    <w:rsid w:val="009264B3"/>
    <w:rsid w:val="00934211"/>
    <w:rsid w:val="009365E0"/>
    <w:rsid w:val="00940DF0"/>
    <w:rsid w:val="00942BA2"/>
    <w:rsid w:val="00944C86"/>
    <w:rsid w:val="00955C60"/>
    <w:rsid w:val="00957DE8"/>
    <w:rsid w:val="009606F7"/>
    <w:rsid w:val="00960ECB"/>
    <w:rsid w:val="009615D6"/>
    <w:rsid w:val="00967855"/>
    <w:rsid w:val="0097221E"/>
    <w:rsid w:val="009730D3"/>
    <w:rsid w:val="00980736"/>
    <w:rsid w:val="00981A39"/>
    <w:rsid w:val="00984F8E"/>
    <w:rsid w:val="0098632A"/>
    <w:rsid w:val="00987097"/>
    <w:rsid w:val="0099696B"/>
    <w:rsid w:val="009A3A9C"/>
    <w:rsid w:val="009A4F2F"/>
    <w:rsid w:val="009B046C"/>
    <w:rsid w:val="009B13FA"/>
    <w:rsid w:val="009B1E2D"/>
    <w:rsid w:val="009B35E6"/>
    <w:rsid w:val="009C3E26"/>
    <w:rsid w:val="009C59FB"/>
    <w:rsid w:val="009C6773"/>
    <w:rsid w:val="009C6F3B"/>
    <w:rsid w:val="009D1467"/>
    <w:rsid w:val="009D40B6"/>
    <w:rsid w:val="009E4FA6"/>
    <w:rsid w:val="009E7D93"/>
    <w:rsid w:val="009F5C33"/>
    <w:rsid w:val="009F76F1"/>
    <w:rsid w:val="00A03EAC"/>
    <w:rsid w:val="00A078BA"/>
    <w:rsid w:val="00A11CA6"/>
    <w:rsid w:val="00A20C49"/>
    <w:rsid w:val="00A259FE"/>
    <w:rsid w:val="00A2661C"/>
    <w:rsid w:val="00A269CA"/>
    <w:rsid w:val="00A3262C"/>
    <w:rsid w:val="00A336EE"/>
    <w:rsid w:val="00A359AC"/>
    <w:rsid w:val="00A41097"/>
    <w:rsid w:val="00A41413"/>
    <w:rsid w:val="00A433CF"/>
    <w:rsid w:val="00A45FB1"/>
    <w:rsid w:val="00A46CCC"/>
    <w:rsid w:val="00A47CAC"/>
    <w:rsid w:val="00A51CFE"/>
    <w:rsid w:val="00A524B7"/>
    <w:rsid w:val="00A561E0"/>
    <w:rsid w:val="00A5635F"/>
    <w:rsid w:val="00A60845"/>
    <w:rsid w:val="00A738EF"/>
    <w:rsid w:val="00A73E7D"/>
    <w:rsid w:val="00A76C13"/>
    <w:rsid w:val="00A77A4B"/>
    <w:rsid w:val="00A848A9"/>
    <w:rsid w:val="00A92E79"/>
    <w:rsid w:val="00A92EB3"/>
    <w:rsid w:val="00A950B6"/>
    <w:rsid w:val="00AA5B8D"/>
    <w:rsid w:val="00AB41C1"/>
    <w:rsid w:val="00AB5165"/>
    <w:rsid w:val="00AC13A3"/>
    <w:rsid w:val="00AD12A8"/>
    <w:rsid w:val="00AD796E"/>
    <w:rsid w:val="00AE023F"/>
    <w:rsid w:val="00AE44A5"/>
    <w:rsid w:val="00AF3577"/>
    <w:rsid w:val="00AF35F9"/>
    <w:rsid w:val="00AF6E48"/>
    <w:rsid w:val="00AF7274"/>
    <w:rsid w:val="00B00782"/>
    <w:rsid w:val="00B05C7D"/>
    <w:rsid w:val="00B062D1"/>
    <w:rsid w:val="00B2022A"/>
    <w:rsid w:val="00B323D4"/>
    <w:rsid w:val="00B346C3"/>
    <w:rsid w:val="00B361A7"/>
    <w:rsid w:val="00B43586"/>
    <w:rsid w:val="00B4415E"/>
    <w:rsid w:val="00B4471C"/>
    <w:rsid w:val="00B451A6"/>
    <w:rsid w:val="00B5613D"/>
    <w:rsid w:val="00B60FCD"/>
    <w:rsid w:val="00B61B47"/>
    <w:rsid w:val="00B6264E"/>
    <w:rsid w:val="00B722DE"/>
    <w:rsid w:val="00B76C44"/>
    <w:rsid w:val="00B83F87"/>
    <w:rsid w:val="00BA2EFA"/>
    <w:rsid w:val="00BA3DBC"/>
    <w:rsid w:val="00BA46F0"/>
    <w:rsid w:val="00BA5F6E"/>
    <w:rsid w:val="00BA7A0D"/>
    <w:rsid w:val="00BB2DA2"/>
    <w:rsid w:val="00BB56DC"/>
    <w:rsid w:val="00BC5E00"/>
    <w:rsid w:val="00BC701D"/>
    <w:rsid w:val="00BD4FFC"/>
    <w:rsid w:val="00BE183D"/>
    <w:rsid w:val="00BE3651"/>
    <w:rsid w:val="00BE40C0"/>
    <w:rsid w:val="00BF5D7A"/>
    <w:rsid w:val="00C02D33"/>
    <w:rsid w:val="00C1232C"/>
    <w:rsid w:val="00C24EA9"/>
    <w:rsid w:val="00C32179"/>
    <w:rsid w:val="00C356DE"/>
    <w:rsid w:val="00C36442"/>
    <w:rsid w:val="00C400CE"/>
    <w:rsid w:val="00C410FD"/>
    <w:rsid w:val="00C51B53"/>
    <w:rsid w:val="00C52400"/>
    <w:rsid w:val="00C539FB"/>
    <w:rsid w:val="00C55423"/>
    <w:rsid w:val="00C612B6"/>
    <w:rsid w:val="00C67560"/>
    <w:rsid w:val="00C752CC"/>
    <w:rsid w:val="00C81492"/>
    <w:rsid w:val="00C854DE"/>
    <w:rsid w:val="00C8697A"/>
    <w:rsid w:val="00C87566"/>
    <w:rsid w:val="00C97EC5"/>
    <w:rsid w:val="00CA246D"/>
    <w:rsid w:val="00CA50D9"/>
    <w:rsid w:val="00CA5EC0"/>
    <w:rsid w:val="00CA6572"/>
    <w:rsid w:val="00CB5636"/>
    <w:rsid w:val="00CB6BEE"/>
    <w:rsid w:val="00CB7B92"/>
    <w:rsid w:val="00CC447A"/>
    <w:rsid w:val="00CC4E39"/>
    <w:rsid w:val="00CC62FD"/>
    <w:rsid w:val="00CD05BD"/>
    <w:rsid w:val="00CE035B"/>
    <w:rsid w:val="00CE10A6"/>
    <w:rsid w:val="00D10F21"/>
    <w:rsid w:val="00D17905"/>
    <w:rsid w:val="00D22F79"/>
    <w:rsid w:val="00D24541"/>
    <w:rsid w:val="00D24806"/>
    <w:rsid w:val="00D334E4"/>
    <w:rsid w:val="00D34040"/>
    <w:rsid w:val="00D34E69"/>
    <w:rsid w:val="00D375EE"/>
    <w:rsid w:val="00D4057F"/>
    <w:rsid w:val="00D60D69"/>
    <w:rsid w:val="00D61A42"/>
    <w:rsid w:val="00D62699"/>
    <w:rsid w:val="00D652B1"/>
    <w:rsid w:val="00D728C5"/>
    <w:rsid w:val="00D82620"/>
    <w:rsid w:val="00D87D20"/>
    <w:rsid w:val="00D90B1A"/>
    <w:rsid w:val="00D94823"/>
    <w:rsid w:val="00D9725F"/>
    <w:rsid w:val="00DA01B1"/>
    <w:rsid w:val="00DA11A2"/>
    <w:rsid w:val="00DA14ED"/>
    <w:rsid w:val="00DB0DAA"/>
    <w:rsid w:val="00DB11F1"/>
    <w:rsid w:val="00DB2EF1"/>
    <w:rsid w:val="00DB3DE1"/>
    <w:rsid w:val="00DB5DA0"/>
    <w:rsid w:val="00DB716C"/>
    <w:rsid w:val="00DC5C85"/>
    <w:rsid w:val="00DC5CD9"/>
    <w:rsid w:val="00DD4236"/>
    <w:rsid w:val="00DD44F1"/>
    <w:rsid w:val="00DD5F86"/>
    <w:rsid w:val="00DD7528"/>
    <w:rsid w:val="00DE15F4"/>
    <w:rsid w:val="00DE3067"/>
    <w:rsid w:val="00DE3B39"/>
    <w:rsid w:val="00DE4FE8"/>
    <w:rsid w:val="00DF2394"/>
    <w:rsid w:val="00E027BC"/>
    <w:rsid w:val="00E14EA5"/>
    <w:rsid w:val="00E17E4E"/>
    <w:rsid w:val="00E20C5A"/>
    <w:rsid w:val="00E21133"/>
    <w:rsid w:val="00E22BB5"/>
    <w:rsid w:val="00E2327E"/>
    <w:rsid w:val="00E240EF"/>
    <w:rsid w:val="00E266EF"/>
    <w:rsid w:val="00E27150"/>
    <w:rsid w:val="00E34397"/>
    <w:rsid w:val="00E36394"/>
    <w:rsid w:val="00E36915"/>
    <w:rsid w:val="00E47428"/>
    <w:rsid w:val="00E574D2"/>
    <w:rsid w:val="00E61547"/>
    <w:rsid w:val="00E63291"/>
    <w:rsid w:val="00E66B9F"/>
    <w:rsid w:val="00E710D6"/>
    <w:rsid w:val="00E715EC"/>
    <w:rsid w:val="00E75BE0"/>
    <w:rsid w:val="00E76E45"/>
    <w:rsid w:val="00E76F58"/>
    <w:rsid w:val="00E777C9"/>
    <w:rsid w:val="00E81DA6"/>
    <w:rsid w:val="00E81E0D"/>
    <w:rsid w:val="00E8221E"/>
    <w:rsid w:val="00E84212"/>
    <w:rsid w:val="00E9086C"/>
    <w:rsid w:val="00E91A0F"/>
    <w:rsid w:val="00E93BFC"/>
    <w:rsid w:val="00E94A71"/>
    <w:rsid w:val="00EA03CE"/>
    <w:rsid w:val="00EA23E5"/>
    <w:rsid w:val="00EA3DBE"/>
    <w:rsid w:val="00EA4E2E"/>
    <w:rsid w:val="00EB2CCB"/>
    <w:rsid w:val="00EC3FB1"/>
    <w:rsid w:val="00EC4F3B"/>
    <w:rsid w:val="00EC57A7"/>
    <w:rsid w:val="00ED0817"/>
    <w:rsid w:val="00ED1E82"/>
    <w:rsid w:val="00ED54E8"/>
    <w:rsid w:val="00ED7DD9"/>
    <w:rsid w:val="00EF2F88"/>
    <w:rsid w:val="00EF30C4"/>
    <w:rsid w:val="00EF3113"/>
    <w:rsid w:val="00EF3307"/>
    <w:rsid w:val="00EF3F84"/>
    <w:rsid w:val="00F05CE6"/>
    <w:rsid w:val="00F07D0C"/>
    <w:rsid w:val="00F121C7"/>
    <w:rsid w:val="00F15259"/>
    <w:rsid w:val="00F176AC"/>
    <w:rsid w:val="00F217DF"/>
    <w:rsid w:val="00F27714"/>
    <w:rsid w:val="00F3276E"/>
    <w:rsid w:val="00F3336C"/>
    <w:rsid w:val="00F33D3C"/>
    <w:rsid w:val="00F37A91"/>
    <w:rsid w:val="00F42208"/>
    <w:rsid w:val="00F45CF5"/>
    <w:rsid w:val="00F476B1"/>
    <w:rsid w:val="00F47DB0"/>
    <w:rsid w:val="00F50E34"/>
    <w:rsid w:val="00F53EF7"/>
    <w:rsid w:val="00F54BF2"/>
    <w:rsid w:val="00F55EC0"/>
    <w:rsid w:val="00F57B89"/>
    <w:rsid w:val="00F67104"/>
    <w:rsid w:val="00F752E6"/>
    <w:rsid w:val="00F92355"/>
    <w:rsid w:val="00F93963"/>
    <w:rsid w:val="00F94291"/>
    <w:rsid w:val="00FA1A0F"/>
    <w:rsid w:val="00FA5991"/>
    <w:rsid w:val="00FB3B67"/>
    <w:rsid w:val="00FB3EBC"/>
    <w:rsid w:val="00FB4214"/>
    <w:rsid w:val="00FB7982"/>
    <w:rsid w:val="00FC008F"/>
    <w:rsid w:val="00FC0734"/>
    <w:rsid w:val="00FC0FC5"/>
    <w:rsid w:val="00FC2B49"/>
    <w:rsid w:val="00FC581E"/>
    <w:rsid w:val="00FC588F"/>
    <w:rsid w:val="00FD425F"/>
    <w:rsid w:val="00FD448E"/>
    <w:rsid w:val="00FE0FEA"/>
    <w:rsid w:val="00FE1B30"/>
    <w:rsid w:val="00FE7B44"/>
    <w:rsid w:val="00FF3983"/>
    <w:rsid w:val="00FF7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5B39F8F-9F66-4CC4-B0E7-00DBDD20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3992"/>
        <w:tab w:val="num" w:pos="72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6F6122"/>
    <w:pPr>
      <w:spacing w:after="160" w:line="259" w:lineRule="auto"/>
      <w:ind w:left="720"/>
      <w:contextualSpacing/>
      <w:jc w:val="left"/>
    </w:pPr>
    <w:rPr>
      <w:rFonts w:asciiTheme="minorHAnsi" w:eastAsiaTheme="minorHAnsi" w:hAnsiTheme="minorHAnsi" w:cstheme="minorBidi"/>
      <w:sz w:val="22"/>
      <w:szCs w:val="22"/>
    </w:rPr>
  </w:style>
  <w:style w:type="paragraph" w:customStyle="1" w:styleId="p1">
    <w:name w:val="p1"/>
    <w:basedOn w:val="Normal"/>
    <w:rsid w:val="006F6122"/>
    <w:pPr>
      <w:spacing w:before="100" w:beforeAutospacing="1" w:after="100" w:afterAutospacing="1" w:line="240" w:lineRule="auto"/>
      <w:jc w:val="left"/>
    </w:pPr>
    <w:rPr>
      <w:rFonts w:eastAsia="Times New Roman"/>
      <w:szCs w:val="24"/>
      <w:lang w:eastAsia="en-AU"/>
    </w:rPr>
  </w:style>
  <w:style w:type="paragraph" w:customStyle="1" w:styleId="zr2">
    <w:name w:val="zr2"/>
    <w:basedOn w:val="Normal"/>
    <w:rsid w:val="006F6122"/>
    <w:pPr>
      <w:spacing w:before="100" w:beforeAutospacing="1" w:after="100" w:afterAutospacing="1" w:line="240" w:lineRule="auto"/>
      <w:jc w:val="left"/>
    </w:pPr>
    <w:rPr>
      <w:rFonts w:eastAsia="Times New Roman"/>
      <w:szCs w:val="24"/>
      <w:lang w:eastAsia="en-AU"/>
    </w:rPr>
  </w:style>
  <w:style w:type="paragraph" w:customStyle="1" w:styleId="note">
    <w:name w:val="note"/>
    <w:basedOn w:val="Normal"/>
    <w:rsid w:val="006F6122"/>
    <w:pPr>
      <w:spacing w:before="100" w:beforeAutospacing="1" w:after="100" w:afterAutospacing="1" w:line="240" w:lineRule="auto"/>
      <w:jc w:val="left"/>
    </w:pPr>
    <w:rPr>
      <w:rFonts w:eastAsia="Times New Roman"/>
      <w:szCs w:val="24"/>
      <w:lang w:eastAsia="en-AU"/>
    </w:rPr>
  </w:style>
  <w:style w:type="paragraph" w:customStyle="1" w:styleId="r2">
    <w:name w:val="r2"/>
    <w:basedOn w:val="Normal"/>
    <w:rsid w:val="006F6122"/>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3748">
      <w:bodyDiv w:val="1"/>
      <w:marLeft w:val="0"/>
      <w:marRight w:val="0"/>
      <w:marTop w:val="0"/>
      <w:marBottom w:val="0"/>
      <w:divBdr>
        <w:top w:val="none" w:sz="0" w:space="0" w:color="auto"/>
        <w:left w:val="none" w:sz="0" w:space="0" w:color="auto"/>
        <w:bottom w:val="none" w:sz="0" w:space="0" w:color="auto"/>
        <w:right w:val="none" w:sz="0" w:space="0" w:color="auto"/>
      </w:divBdr>
    </w:div>
    <w:div w:id="19693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21</Pages>
  <Words>8523</Words>
  <Characters>41335</Characters>
  <Application>Microsoft Office Word</Application>
  <DocSecurity>0</DocSecurity>
  <Lines>725</Lines>
  <Paragraphs>223</Paragraphs>
  <ScaleCrop>false</ScaleCrop>
  <HeadingPairs>
    <vt:vector size="2" baseType="variant">
      <vt:variant>
        <vt:lpstr>Title</vt:lpstr>
      </vt:variant>
      <vt:variant>
        <vt:i4>1</vt:i4>
      </vt:variant>
    </vt:vector>
  </HeadingPairs>
  <TitlesOfParts>
    <vt:vector size="1" baseType="lpstr">
      <vt:lpstr>Schröder-Turk v Murdoch University [2019] FCA 1152</vt:lpstr>
    </vt:vector>
  </TitlesOfParts>
  <Company>Federal Court of Australia</Company>
  <LinksUpToDate>false</LinksUpToDate>
  <CharactersWithSpaces>49635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Schröder-Turk v Murdoch University [2019] FCA 1152</dc:title>
  <dc:creator>Deanne Jaffé</dc:creator>
  <cp:lastModifiedBy>Sona Muradyan</cp:lastModifiedBy>
  <cp:revision>4</cp:revision>
  <cp:lastPrinted>2019-07-26T02:31:00Z</cp:lastPrinted>
  <dcterms:created xsi:type="dcterms:W3CDTF">2019-07-29T04:08:00Z</dcterms:created>
  <dcterms:modified xsi:type="dcterms:W3CDTF">2019-07-29T04:48:00Z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JACKSON J</vt:lpwstr>
  </property>
  <property fmtid="{D5CDD505-2E9C-101B-9397-08002B2CF9AE}" pid="4" name="Judgment_dated" linkTarget="Judgment_dated">
    <vt:lpwstr>29 JULY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18</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Western Australia</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