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605F88">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C4ECA">
      <w:pPr>
        <w:pStyle w:val="MediaNeutralStyle"/>
      </w:pPr>
      <w:bookmarkStart w:id="0" w:name="MNC"/>
      <w:r>
        <w:t xml:space="preserve">Dallas Buyers Club LLC v </w:t>
      </w:r>
      <w:proofErr w:type="spellStart"/>
      <w:r>
        <w:t>i</w:t>
      </w:r>
      <w:r w:rsidR="0092372D">
        <w:t>i</w:t>
      </w:r>
      <w:r w:rsidR="00790F72">
        <w:t>Net</w:t>
      </w:r>
      <w:proofErr w:type="spellEnd"/>
      <w:r w:rsidR="00790F72">
        <w:t xml:space="preserve"> L</w:t>
      </w:r>
      <w:r w:rsidR="00D81B79">
        <w:t>imi</w:t>
      </w:r>
      <w:r w:rsidR="00790F72">
        <w:t>t</w:t>
      </w:r>
      <w:r w:rsidR="00D81B79">
        <w:t>e</w:t>
      </w:r>
      <w:r>
        <w:t xml:space="preserve">d [2015] </w:t>
      </w:r>
      <w:proofErr w:type="spellStart"/>
      <w:r>
        <w:t>FCA</w:t>
      </w:r>
      <w:proofErr w:type="spellEnd"/>
      <w:r>
        <w:t xml:space="preserve"> </w:t>
      </w:r>
      <w:r w:rsidR="00172549">
        <w:t>317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E14506">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FC4ECA" w:rsidP="00172549">
            <w:pPr>
              <w:pStyle w:val="Normal1linespace"/>
              <w:widowControl w:val="0"/>
              <w:jc w:val="left"/>
            </w:pPr>
            <w:r>
              <w:t xml:space="preserve">Dallas Buyers Club LLC v </w:t>
            </w:r>
            <w:proofErr w:type="spellStart"/>
            <w:r>
              <w:t>i</w:t>
            </w:r>
            <w:r w:rsidR="0092372D">
              <w:t>i</w:t>
            </w:r>
            <w:r w:rsidR="00790F72">
              <w:t>N</w:t>
            </w:r>
            <w:r>
              <w:t>et</w:t>
            </w:r>
            <w:proofErr w:type="spellEnd"/>
            <w:r>
              <w:t xml:space="preserve"> </w:t>
            </w:r>
            <w:r w:rsidR="00790F72">
              <w:t>L</w:t>
            </w:r>
            <w:r w:rsidR="00D81B79">
              <w:t>imi</w:t>
            </w:r>
            <w:r w:rsidR="00790F72">
              <w:t>t</w:t>
            </w:r>
            <w:r w:rsidR="00D81B79">
              <w:t>e</w:t>
            </w:r>
            <w:r w:rsidR="00790F72">
              <w:t xml:space="preserve">d </w:t>
            </w:r>
            <w:r>
              <w:t xml:space="preserve">[2015] </w:t>
            </w:r>
            <w:proofErr w:type="spellStart"/>
            <w:r>
              <w:t>FCA</w:t>
            </w:r>
            <w:proofErr w:type="spellEnd"/>
            <w:r>
              <w:t xml:space="preserve"> </w:t>
            </w:r>
            <w:r w:rsidR="00172549">
              <w:t>317</w:t>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8D18D4">
            <w:pPr>
              <w:pStyle w:val="Normal1linespace"/>
              <w:widowControl w:val="0"/>
              <w:jc w:val="left"/>
              <w:rPr>
                <w:b/>
              </w:rPr>
            </w:pPr>
            <w:bookmarkStart w:id="1" w:name="JudgmentFP"/>
            <w:r>
              <w:rPr>
                <w:b/>
              </w:rPr>
              <w:t xml:space="preserve">DALLAS BUYERS CLUB LLC and VOLTAGE PICTURES LLC v </w:t>
            </w:r>
            <w:proofErr w:type="spellStart"/>
            <w:r>
              <w:rPr>
                <w:b/>
              </w:rPr>
              <w:t>IINET</w:t>
            </w:r>
            <w:proofErr w:type="spellEnd"/>
            <w:r>
              <w:rPr>
                <w:b/>
              </w:rPr>
              <w:t xml:space="preserve"> LIMITED, INTERNODE PTY LTD, </w:t>
            </w:r>
            <w:proofErr w:type="spellStart"/>
            <w:r>
              <w:rPr>
                <w:b/>
              </w:rPr>
              <w:t>AMNET</w:t>
            </w:r>
            <w:proofErr w:type="spellEnd"/>
            <w:r>
              <w:rPr>
                <w:b/>
              </w:rPr>
              <w:t xml:space="preserve"> BROADBAND PTY LTD, DODO SERVICES PTY LTD, AD</w:t>
            </w:r>
            <w:r w:rsidR="00790F72">
              <w:rPr>
                <w:b/>
              </w:rPr>
              <w:t>AM INTERNET PTY LTD and WIDEBAND</w:t>
            </w:r>
            <w:r>
              <w:rPr>
                <w:b/>
              </w:rPr>
              <w:t xml:space="preserve"> NETWORKS PTY LTD</w:t>
            </w:r>
            <w:bookmarkEnd w:id="1"/>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rsidP="00746DC2">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8D18D4">
              <w:rPr>
                <w:szCs w:val="24"/>
              </w:rPr>
              <w:t>NSD</w:t>
            </w:r>
            <w:proofErr w:type="spellEnd"/>
            <w:r w:rsidR="008D18D4">
              <w:rPr>
                <w:szCs w:val="24"/>
              </w:rPr>
              <w:t xml:space="preserve"> 1051 of 2014</w:t>
            </w:r>
            <w:r>
              <w:rPr>
                <w:szCs w:val="24"/>
              </w:rPr>
              <w:fldChar w:fldCharType="end"/>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rsidP="00746DC2">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8D18D4">
              <w:rPr>
                <w:b/>
              </w:rPr>
              <w:fldChar w:fldCharType="begin" w:fldLock="1"/>
            </w:r>
            <w:r w:rsidRPr="008D18D4">
              <w:rPr>
                <w:b/>
              </w:rPr>
              <w:instrText xml:space="preserve"> REF  Judge  \* MERGEFORMAT </w:instrText>
            </w:r>
            <w:r w:rsidRPr="008D18D4">
              <w:rPr>
                <w:b/>
              </w:rPr>
              <w:fldChar w:fldCharType="separate"/>
            </w:r>
            <w:r w:rsidR="008D18D4" w:rsidRPr="008D18D4">
              <w:rPr>
                <w:b/>
                <w:caps/>
                <w:szCs w:val="24"/>
              </w:rPr>
              <w:t>PERRAM J</w:t>
            </w:r>
            <w:r w:rsidRPr="008D18D4">
              <w:rPr>
                <w:b/>
              </w:rPr>
              <w:fldChar w:fldCharType="end"/>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C74846" w:rsidP="000B07CB">
            <w:pPr>
              <w:pStyle w:val="Normal1linespace"/>
              <w:widowControl w:val="0"/>
              <w:jc w:val="left"/>
            </w:pPr>
            <w:bookmarkStart w:id="2" w:name="JudgmentDate"/>
            <w:r>
              <w:t>7</w:t>
            </w:r>
            <w:r w:rsidR="000B07CB">
              <w:t xml:space="preserve"> April </w:t>
            </w:r>
            <w:r w:rsidR="008D18D4">
              <w:t>2015</w:t>
            </w:r>
            <w:bookmarkEnd w:id="2"/>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790F72">
            <w:pPr>
              <w:pStyle w:val="Normal1linespace"/>
              <w:widowControl w:val="0"/>
              <w:jc w:val="left"/>
            </w:pPr>
            <w:bookmarkStart w:id="3" w:name="Catchwords"/>
            <w:r w:rsidRPr="00790F72">
              <w:rPr>
                <w:b/>
              </w:rPr>
              <w:t>DISCOVERY</w:t>
            </w:r>
            <w:r>
              <w:t xml:space="preserve"> – preliminary discovery application – whether prospective applicants entitled to obtain</w:t>
            </w:r>
            <w:r w:rsidR="002C7385">
              <w:t xml:space="preserve"> </w:t>
            </w:r>
            <w:bookmarkEnd w:id="3"/>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040106" w:rsidRDefault="00040106" w:rsidP="00154FDC">
            <w:pPr>
              <w:pStyle w:val="Normal1linespace"/>
              <w:widowControl w:val="0"/>
              <w:jc w:val="left"/>
            </w:pPr>
            <w:bookmarkStart w:id="4" w:name="Legislation"/>
            <w:r>
              <w:rPr>
                <w:i/>
              </w:rPr>
              <w:t xml:space="preserve">Acts Interpretation Act 1901 </w:t>
            </w:r>
            <w:r>
              <w:t>(</w:t>
            </w:r>
            <w:proofErr w:type="spellStart"/>
            <w:r>
              <w:t>Cth</w:t>
            </w:r>
            <w:proofErr w:type="spellEnd"/>
            <w:r>
              <w:t>)</w:t>
            </w:r>
            <w:r w:rsidR="009D1356">
              <w:t xml:space="preserve">  </w:t>
            </w:r>
            <w:proofErr w:type="spellStart"/>
            <w:r w:rsidR="009D1356">
              <w:t>ss</w:t>
            </w:r>
            <w:proofErr w:type="spellEnd"/>
            <w:r w:rsidR="009D1356">
              <w:t xml:space="preserve"> </w:t>
            </w:r>
            <w:proofErr w:type="spellStart"/>
            <w:r w:rsidR="009D1356">
              <w:t>15AB</w:t>
            </w:r>
            <w:proofErr w:type="spellEnd"/>
            <w:r w:rsidR="009D1356">
              <w:t xml:space="preserve">(2)(e), </w:t>
            </w:r>
            <w:proofErr w:type="spellStart"/>
            <w:r w:rsidR="009D1356">
              <w:t>15AC</w:t>
            </w:r>
            <w:proofErr w:type="spellEnd"/>
          </w:p>
          <w:p w:rsidR="009D1356" w:rsidRDefault="009D1356" w:rsidP="00154FDC">
            <w:pPr>
              <w:pStyle w:val="Normal1linespace"/>
              <w:widowControl w:val="0"/>
              <w:jc w:val="left"/>
            </w:pPr>
            <w:r w:rsidRPr="009D1356">
              <w:rPr>
                <w:i/>
              </w:rPr>
              <w:t>Australian Securities and Investments Commission Act 2001</w:t>
            </w:r>
            <w:r>
              <w:t xml:space="preserve"> (</w:t>
            </w:r>
            <w:proofErr w:type="spellStart"/>
            <w:r>
              <w:t>Cth</w:t>
            </w:r>
            <w:proofErr w:type="spellEnd"/>
            <w:r>
              <w:t xml:space="preserve">)  s </w:t>
            </w:r>
            <w:proofErr w:type="spellStart"/>
            <w:r>
              <w:t>12CB</w:t>
            </w:r>
            <w:proofErr w:type="spellEnd"/>
          </w:p>
          <w:p w:rsidR="00FA4C35" w:rsidRDefault="00FA4C35" w:rsidP="00154FDC">
            <w:pPr>
              <w:pStyle w:val="Normal1linespace"/>
              <w:widowControl w:val="0"/>
              <w:jc w:val="left"/>
            </w:pPr>
            <w:r w:rsidRPr="00FA4C35">
              <w:rPr>
                <w:i/>
              </w:rPr>
              <w:t>Competition and Consumer Act 2010</w:t>
            </w:r>
            <w:r>
              <w:t xml:space="preserve"> (</w:t>
            </w:r>
            <w:proofErr w:type="spellStart"/>
            <w:r>
              <w:t>Cth</w:t>
            </w:r>
            <w:proofErr w:type="spellEnd"/>
            <w:r>
              <w:t xml:space="preserve">) </w:t>
            </w:r>
            <w:proofErr w:type="spellStart"/>
            <w:r>
              <w:t>Sch</w:t>
            </w:r>
            <w:proofErr w:type="spellEnd"/>
            <w:r>
              <w:t xml:space="preserve"> 2 Australian Consumer Law </w:t>
            </w:r>
            <w:proofErr w:type="spellStart"/>
            <w:r>
              <w:t>s</w:t>
            </w:r>
            <w:r w:rsidR="000B2C9C">
              <w:t>s</w:t>
            </w:r>
            <w:proofErr w:type="spellEnd"/>
            <w:r w:rsidR="000B2C9C">
              <w:t xml:space="preserve"> 18,</w:t>
            </w:r>
            <w:r>
              <w:t xml:space="preserve"> 21</w:t>
            </w:r>
          </w:p>
          <w:p w:rsidR="00361584" w:rsidRDefault="00361584" w:rsidP="00154FDC">
            <w:pPr>
              <w:pStyle w:val="Normal1linespace"/>
              <w:widowControl w:val="0"/>
              <w:jc w:val="left"/>
            </w:pPr>
            <w:r w:rsidRPr="00C45CD9">
              <w:rPr>
                <w:i/>
              </w:rPr>
              <w:t>Copyright Act 1968</w:t>
            </w:r>
            <w:r>
              <w:t xml:space="preserve"> (</w:t>
            </w:r>
            <w:proofErr w:type="spellStart"/>
            <w:r>
              <w:t>Cth</w:t>
            </w:r>
            <w:proofErr w:type="spellEnd"/>
            <w:r>
              <w:t>)</w:t>
            </w:r>
            <w:r w:rsidR="009D1356">
              <w:t xml:space="preserve">  </w:t>
            </w:r>
            <w:proofErr w:type="spellStart"/>
            <w:r w:rsidR="009D1356">
              <w:t>ss</w:t>
            </w:r>
            <w:proofErr w:type="spellEnd"/>
            <w:r w:rsidR="009D1356">
              <w:t xml:space="preserve"> 10, 22(4)(b), 86, 98(2), 115, 119, </w:t>
            </w:r>
            <w:proofErr w:type="spellStart"/>
            <w:r w:rsidR="009D1356">
              <w:t>126B</w:t>
            </w:r>
            <w:proofErr w:type="spellEnd"/>
            <w:r w:rsidR="009D1356">
              <w:t>(3)</w:t>
            </w:r>
          </w:p>
          <w:p w:rsidR="006B7785" w:rsidRDefault="006B7785" w:rsidP="00154FDC">
            <w:pPr>
              <w:pStyle w:val="Normal1linespace"/>
              <w:widowControl w:val="0"/>
              <w:jc w:val="left"/>
            </w:pPr>
            <w:r w:rsidRPr="00C45CD9">
              <w:rPr>
                <w:i/>
              </w:rPr>
              <w:t>Evidence Act 1995</w:t>
            </w:r>
            <w:r>
              <w:t xml:space="preserve"> (</w:t>
            </w:r>
            <w:proofErr w:type="spellStart"/>
            <w:r>
              <w:t>Cth</w:t>
            </w:r>
            <w:proofErr w:type="spellEnd"/>
            <w:r>
              <w:t>)</w:t>
            </w:r>
            <w:r w:rsidR="009D1356">
              <w:t xml:space="preserve">  </w:t>
            </w:r>
            <w:proofErr w:type="spellStart"/>
            <w:r w:rsidR="009D1356">
              <w:t>ss</w:t>
            </w:r>
            <w:proofErr w:type="spellEnd"/>
            <w:r w:rsidR="009D1356">
              <w:t xml:space="preserve"> 55, 131, 190</w:t>
            </w:r>
          </w:p>
          <w:p w:rsidR="00C45CD9" w:rsidRDefault="00C45CD9" w:rsidP="00154FDC">
            <w:pPr>
              <w:pStyle w:val="Normal1linespace"/>
              <w:widowControl w:val="0"/>
              <w:jc w:val="left"/>
            </w:pPr>
            <w:r w:rsidRPr="00C45CD9">
              <w:rPr>
                <w:i/>
              </w:rPr>
              <w:t>Federal Court of Australia Act 1976</w:t>
            </w:r>
            <w:r>
              <w:t xml:space="preserve"> (</w:t>
            </w:r>
            <w:proofErr w:type="spellStart"/>
            <w:r>
              <w:t>Cth</w:t>
            </w:r>
            <w:proofErr w:type="spellEnd"/>
            <w:r>
              <w:t>)</w:t>
            </w:r>
            <w:r w:rsidR="009D1356">
              <w:t xml:space="preserve">  s 59(4)</w:t>
            </w:r>
          </w:p>
          <w:p w:rsidR="00C45CD9" w:rsidRDefault="00C45CD9" w:rsidP="00154FDC">
            <w:pPr>
              <w:pStyle w:val="Normal1linespace"/>
              <w:widowControl w:val="0"/>
              <w:jc w:val="left"/>
            </w:pPr>
            <w:r>
              <w:rPr>
                <w:i/>
              </w:rPr>
              <w:t xml:space="preserve">Legislative Instruments Act 2003 </w:t>
            </w:r>
            <w:r>
              <w:t>(</w:t>
            </w:r>
            <w:proofErr w:type="spellStart"/>
            <w:r>
              <w:t>Cth</w:t>
            </w:r>
            <w:proofErr w:type="spellEnd"/>
            <w:r>
              <w:t>)</w:t>
            </w:r>
            <w:r w:rsidR="009D1356">
              <w:t xml:space="preserve">  s 13(1)</w:t>
            </w:r>
          </w:p>
          <w:p w:rsidR="00C45CD9" w:rsidRDefault="00C45CD9" w:rsidP="00154FDC">
            <w:pPr>
              <w:pStyle w:val="Normal1linespace"/>
              <w:widowControl w:val="0"/>
              <w:jc w:val="left"/>
            </w:pPr>
            <w:r w:rsidRPr="00320BB1">
              <w:rPr>
                <w:i/>
              </w:rPr>
              <w:t>Privacy Act 1988</w:t>
            </w:r>
            <w:r>
              <w:t xml:space="preserve"> (</w:t>
            </w:r>
            <w:proofErr w:type="spellStart"/>
            <w:r>
              <w:t>Cth</w:t>
            </w:r>
            <w:proofErr w:type="spellEnd"/>
            <w:r>
              <w:t>)</w:t>
            </w:r>
            <w:r w:rsidR="00FA4C35">
              <w:t xml:space="preserve">  </w:t>
            </w:r>
            <w:proofErr w:type="spellStart"/>
            <w:r w:rsidR="00FA4C35">
              <w:t>Sch</w:t>
            </w:r>
            <w:proofErr w:type="spellEnd"/>
            <w:r w:rsidR="00FA4C35">
              <w:t xml:space="preserve"> 1</w:t>
            </w:r>
            <w:r w:rsidR="009D1356">
              <w:t xml:space="preserve"> A</w:t>
            </w:r>
            <w:r w:rsidR="00FA4C35">
              <w:t xml:space="preserve">ustralian </w:t>
            </w:r>
            <w:r w:rsidR="009D1356">
              <w:t>P</w:t>
            </w:r>
            <w:r w:rsidR="00FA4C35">
              <w:t xml:space="preserve">rivacy </w:t>
            </w:r>
            <w:r w:rsidR="009D1356">
              <w:t>P</w:t>
            </w:r>
            <w:r w:rsidR="00FA4C35">
              <w:t>rinciple </w:t>
            </w:r>
            <w:r w:rsidR="009D1356">
              <w:t>6</w:t>
            </w:r>
          </w:p>
          <w:p w:rsidR="00C45CD9" w:rsidRDefault="00C45CD9" w:rsidP="00154FDC">
            <w:pPr>
              <w:pStyle w:val="Normal1linespace"/>
              <w:widowControl w:val="0"/>
              <w:jc w:val="left"/>
            </w:pPr>
            <w:r>
              <w:rPr>
                <w:i/>
              </w:rPr>
              <w:t xml:space="preserve">Telecommunications Act 1997 </w:t>
            </w:r>
            <w:r>
              <w:t>(</w:t>
            </w:r>
            <w:proofErr w:type="spellStart"/>
            <w:r>
              <w:t>Cth</w:t>
            </w:r>
            <w:proofErr w:type="spellEnd"/>
            <w:r>
              <w:t>)</w:t>
            </w:r>
            <w:r w:rsidR="009D1356">
              <w:t xml:space="preserve">  </w:t>
            </w:r>
            <w:proofErr w:type="spellStart"/>
            <w:r w:rsidR="009D1356">
              <w:t>ss</w:t>
            </w:r>
            <w:proofErr w:type="spellEnd"/>
            <w:r w:rsidR="009D1356">
              <w:t xml:space="preserve"> 112, 117, 121, </w:t>
            </w:r>
            <w:proofErr w:type="spellStart"/>
            <w:r w:rsidR="009D1356">
              <w:t>125AA</w:t>
            </w:r>
            <w:proofErr w:type="spellEnd"/>
            <w:r w:rsidR="009D1356">
              <w:t>, 128, 276(1)(a)(iv), 280</w:t>
            </w:r>
          </w:p>
          <w:p w:rsidR="00C45CD9" w:rsidRDefault="00C45CD9" w:rsidP="00154FDC">
            <w:pPr>
              <w:pStyle w:val="Normal1linespace"/>
              <w:widowControl w:val="0"/>
              <w:jc w:val="left"/>
            </w:pPr>
            <w:r w:rsidRPr="00C45CD9">
              <w:rPr>
                <w:i/>
              </w:rPr>
              <w:t>Trustee Act 1925</w:t>
            </w:r>
            <w:r>
              <w:t xml:space="preserve"> (NSW)</w:t>
            </w:r>
            <w:r w:rsidR="009D1356">
              <w:t xml:space="preserve">  s 63</w:t>
            </w:r>
          </w:p>
          <w:p w:rsidR="00040106" w:rsidRDefault="00040106" w:rsidP="00154FDC">
            <w:pPr>
              <w:pStyle w:val="Normal1linespace"/>
              <w:widowControl w:val="0"/>
              <w:jc w:val="left"/>
            </w:pPr>
            <w:r w:rsidRPr="00C45CD9">
              <w:rPr>
                <w:i/>
              </w:rPr>
              <w:t>Federal Court Rules 1979</w:t>
            </w:r>
            <w:r>
              <w:t xml:space="preserve"> (</w:t>
            </w:r>
            <w:proofErr w:type="spellStart"/>
            <w:r>
              <w:t>Cth</w:t>
            </w:r>
            <w:proofErr w:type="spellEnd"/>
            <w:r>
              <w:t>)</w:t>
            </w:r>
            <w:r w:rsidR="009D1356">
              <w:t xml:space="preserve">  O </w:t>
            </w:r>
            <w:proofErr w:type="spellStart"/>
            <w:r w:rsidR="009D1356">
              <w:t>15</w:t>
            </w:r>
            <w:r w:rsidR="000A2C65">
              <w:t>A</w:t>
            </w:r>
            <w:proofErr w:type="spellEnd"/>
            <w:r w:rsidR="009D1356">
              <w:t xml:space="preserve"> r 3(1)</w:t>
            </w:r>
          </w:p>
          <w:p w:rsidR="006B7785" w:rsidRDefault="006B7785" w:rsidP="00154FDC">
            <w:pPr>
              <w:pStyle w:val="Normal1linespace"/>
              <w:widowControl w:val="0"/>
              <w:jc w:val="left"/>
            </w:pPr>
            <w:r w:rsidRPr="00C45CD9">
              <w:rPr>
                <w:i/>
              </w:rPr>
              <w:t>Federal Court Rules 2011</w:t>
            </w:r>
            <w:r>
              <w:t xml:space="preserve"> (</w:t>
            </w:r>
            <w:proofErr w:type="spellStart"/>
            <w:r>
              <w:t>Cth</w:t>
            </w:r>
            <w:proofErr w:type="spellEnd"/>
            <w:r>
              <w:t>)</w:t>
            </w:r>
            <w:r w:rsidR="009D1356">
              <w:t xml:space="preserve">  </w:t>
            </w:r>
            <w:proofErr w:type="spellStart"/>
            <w:r w:rsidR="009D1356">
              <w:t>rr</w:t>
            </w:r>
            <w:proofErr w:type="spellEnd"/>
            <w:r w:rsidR="009D1356">
              <w:t xml:space="preserve"> 7.21, 7.22</w:t>
            </w:r>
          </w:p>
          <w:p w:rsidR="002D1673" w:rsidRDefault="006B7785" w:rsidP="00154FDC">
            <w:pPr>
              <w:pStyle w:val="Normal1linespace"/>
              <w:widowControl w:val="0"/>
              <w:jc w:val="left"/>
            </w:pPr>
            <w:r w:rsidRPr="00C45CD9">
              <w:rPr>
                <w:i/>
              </w:rPr>
              <w:t>Uniform Civil Procedure Rules 2005</w:t>
            </w:r>
            <w:r>
              <w:t xml:space="preserve"> (NSW)</w:t>
            </w:r>
            <w:r w:rsidR="009D1356">
              <w:t xml:space="preserve">  r 5.2</w:t>
            </w:r>
          </w:p>
          <w:p w:rsidR="00395B24" w:rsidRDefault="002D1673" w:rsidP="00154FDC">
            <w:pPr>
              <w:pStyle w:val="Normal1linespace"/>
              <w:widowControl w:val="0"/>
              <w:jc w:val="left"/>
            </w:pPr>
            <w:r>
              <w:t>Federal Court Rules 2011</w:t>
            </w:r>
            <w:r w:rsidR="00DA3136">
              <w:t xml:space="preserve"> Select Legislative Instrument 2011 No. 134</w:t>
            </w:r>
            <w:r>
              <w:t xml:space="preserve"> (</w:t>
            </w:r>
            <w:proofErr w:type="spellStart"/>
            <w:r>
              <w:t>Cth</w:t>
            </w:r>
            <w:proofErr w:type="spellEnd"/>
            <w:r>
              <w:t>)</w:t>
            </w:r>
            <w:r w:rsidR="00DA3136">
              <w:t xml:space="preserve"> Explanatory Statement</w:t>
            </w:r>
            <w:r w:rsidR="002C7385">
              <w:t xml:space="preserve"> </w:t>
            </w:r>
            <w:bookmarkEnd w:id="4"/>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361584" w:rsidRDefault="00361584" w:rsidP="00154FDC">
            <w:pPr>
              <w:pStyle w:val="Normal1linespace"/>
              <w:widowControl w:val="0"/>
              <w:jc w:val="left"/>
              <w:rPr>
                <w:i/>
              </w:rPr>
            </w:pPr>
            <w:bookmarkStart w:id="5" w:name="Cases_Cited"/>
            <w:proofErr w:type="spellStart"/>
            <w:r w:rsidRPr="002F3C26">
              <w:rPr>
                <w:i/>
              </w:rPr>
              <w:t>Allphones</w:t>
            </w:r>
            <w:proofErr w:type="spellEnd"/>
            <w:r w:rsidRPr="002F3C26">
              <w:rPr>
                <w:i/>
              </w:rPr>
              <w:t xml:space="preserve"> Retail Pty Ltd v Australian Competition </w:t>
            </w:r>
            <w:r>
              <w:rPr>
                <w:i/>
              </w:rPr>
              <w:t xml:space="preserve">and Consumer </w:t>
            </w:r>
            <w:r w:rsidRPr="002F3C26">
              <w:rPr>
                <w:i/>
              </w:rPr>
              <w:t xml:space="preserve">Commission </w:t>
            </w:r>
            <w:r>
              <w:t xml:space="preserve">(2009) 259 </w:t>
            </w:r>
            <w:proofErr w:type="spellStart"/>
            <w:r>
              <w:t>ALR</w:t>
            </w:r>
            <w:proofErr w:type="spellEnd"/>
            <w:r>
              <w:t xml:space="preserve"> 354 cited</w:t>
            </w:r>
          </w:p>
          <w:p w:rsidR="00361584" w:rsidRDefault="00361584" w:rsidP="00154FDC">
            <w:pPr>
              <w:pStyle w:val="Normal1linespace"/>
              <w:widowControl w:val="0"/>
              <w:jc w:val="left"/>
              <w:rPr>
                <w:i/>
              </w:rPr>
            </w:pPr>
            <w:r>
              <w:rPr>
                <w:i/>
              </w:rPr>
              <w:t xml:space="preserve">Christie v </w:t>
            </w:r>
            <w:proofErr w:type="spellStart"/>
            <w:r>
              <w:rPr>
                <w:i/>
              </w:rPr>
              <w:t>P</w:t>
            </w:r>
            <w:r w:rsidR="00C66593">
              <w:rPr>
                <w:i/>
              </w:rPr>
              <w:t>ermewa</w:t>
            </w:r>
            <w:r>
              <w:rPr>
                <w:i/>
              </w:rPr>
              <w:t>n</w:t>
            </w:r>
            <w:proofErr w:type="spellEnd"/>
            <w:r>
              <w:rPr>
                <w:i/>
              </w:rPr>
              <w:t xml:space="preserve">, Wright &amp; Co Ltd </w:t>
            </w:r>
            <w:r>
              <w:t xml:space="preserve">(1904) 1 </w:t>
            </w:r>
            <w:proofErr w:type="spellStart"/>
            <w:r>
              <w:t>CLR</w:t>
            </w:r>
            <w:proofErr w:type="spellEnd"/>
            <w:r>
              <w:t xml:space="preserve"> 693 applied</w:t>
            </w:r>
          </w:p>
          <w:p w:rsidR="00361584" w:rsidRDefault="00361584" w:rsidP="00154FDC">
            <w:pPr>
              <w:pStyle w:val="Normal1linespace"/>
              <w:widowControl w:val="0"/>
              <w:jc w:val="left"/>
            </w:pPr>
            <w:r>
              <w:rPr>
                <w:i/>
              </w:rPr>
              <w:t xml:space="preserve">Dallas Buyers Club LLC v </w:t>
            </w:r>
            <w:proofErr w:type="spellStart"/>
            <w:r>
              <w:rPr>
                <w:i/>
              </w:rPr>
              <w:t>iiNet</w:t>
            </w:r>
            <w:proofErr w:type="spellEnd"/>
            <w:r>
              <w:rPr>
                <w:i/>
              </w:rPr>
              <w:t xml:space="preserve"> Limited (No 2) </w:t>
            </w:r>
            <w:r>
              <w:t xml:space="preserve">[2014] </w:t>
            </w:r>
            <w:proofErr w:type="spellStart"/>
            <w:r>
              <w:t>FCA</w:t>
            </w:r>
            <w:proofErr w:type="spellEnd"/>
            <w:r>
              <w:t xml:space="preserve"> 1320 cited</w:t>
            </w:r>
          </w:p>
          <w:p w:rsidR="00C45CD9" w:rsidRDefault="00C45CD9" w:rsidP="00154FDC">
            <w:pPr>
              <w:pStyle w:val="Normal1linespace"/>
              <w:widowControl w:val="0"/>
              <w:jc w:val="left"/>
            </w:pPr>
            <w:r>
              <w:rPr>
                <w:i/>
              </w:rPr>
              <w:t xml:space="preserve">Golden Eye (International) Ltd v Telefonica UK Ltd </w:t>
            </w:r>
            <w:r>
              <w:t xml:space="preserve">[2012] </w:t>
            </w:r>
            <w:proofErr w:type="spellStart"/>
            <w:r>
              <w:lastRenderedPageBreak/>
              <w:t>EWCA</w:t>
            </w:r>
            <w:proofErr w:type="spellEnd"/>
            <w:r>
              <w:t xml:space="preserve"> </w:t>
            </w:r>
            <w:proofErr w:type="spellStart"/>
            <w:r>
              <w:t>Civ</w:t>
            </w:r>
            <w:proofErr w:type="spellEnd"/>
            <w:r>
              <w:t xml:space="preserve"> 1740</w:t>
            </w:r>
            <w:r w:rsidR="00E6154D">
              <w:t xml:space="preserve"> cited</w:t>
            </w:r>
          </w:p>
          <w:p w:rsidR="00C45CD9" w:rsidRDefault="00C45CD9" w:rsidP="00154FDC">
            <w:pPr>
              <w:pStyle w:val="Normal1linespace"/>
              <w:widowControl w:val="0"/>
              <w:jc w:val="left"/>
            </w:pPr>
            <w:r>
              <w:rPr>
                <w:i/>
              </w:rPr>
              <w:t xml:space="preserve">Golden Eye (International) Ltd v Telefonica UK Ltd </w:t>
            </w:r>
            <w:r>
              <w:t xml:space="preserve">[2012] </w:t>
            </w:r>
            <w:proofErr w:type="spellStart"/>
            <w:r>
              <w:t>EWHC</w:t>
            </w:r>
            <w:proofErr w:type="spellEnd"/>
            <w:r>
              <w:t xml:space="preserve"> 723 (</w:t>
            </w:r>
            <w:proofErr w:type="spellStart"/>
            <w:r>
              <w:t>Ch</w:t>
            </w:r>
            <w:proofErr w:type="spellEnd"/>
            <w:r>
              <w:t>)</w:t>
            </w:r>
            <w:r w:rsidR="00E6154D">
              <w:t xml:space="preserve"> considered</w:t>
            </w:r>
          </w:p>
          <w:p w:rsidR="00C45CD9" w:rsidRDefault="00C45CD9" w:rsidP="00154FDC">
            <w:pPr>
              <w:pStyle w:val="Normal1linespace"/>
              <w:widowControl w:val="0"/>
              <w:jc w:val="left"/>
            </w:pPr>
            <w:proofErr w:type="spellStart"/>
            <w:r>
              <w:rPr>
                <w:i/>
              </w:rPr>
              <w:t>Optiver</w:t>
            </w:r>
            <w:proofErr w:type="spellEnd"/>
            <w:r>
              <w:rPr>
                <w:i/>
              </w:rPr>
              <w:t xml:space="preserve"> Australia Pty Ltd v </w:t>
            </w:r>
            <w:proofErr w:type="spellStart"/>
            <w:r>
              <w:rPr>
                <w:i/>
              </w:rPr>
              <w:t>Tibra</w:t>
            </w:r>
            <w:proofErr w:type="spellEnd"/>
            <w:r>
              <w:rPr>
                <w:i/>
              </w:rPr>
              <w:t xml:space="preserve"> Trading Pty Ltd </w:t>
            </w:r>
            <w:r>
              <w:t xml:space="preserve">(2007) 163 </w:t>
            </w:r>
            <w:proofErr w:type="spellStart"/>
            <w:r>
              <w:t>FCR</w:t>
            </w:r>
            <w:proofErr w:type="spellEnd"/>
            <w:r>
              <w:t xml:space="preserve"> 554</w:t>
            </w:r>
            <w:r w:rsidR="00E6154D">
              <w:t xml:space="preserve"> </w:t>
            </w:r>
            <w:r w:rsidR="00735D73">
              <w:t>cited</w:t>
            </w:r>
          </w:p>
          <w:p w:rsidR="00614B90" w:rsidRDefault="00614B90" w:rsidP="00154FDC">
            <w:pPr>
              <w:pStyle w:val="Normal1linespace"/>
              <w:widowControl w:val="0"/>
              <w:jc w:val="left"/>
            </w:pPr>
            <w:r>
              <w:rPr>
                <w:i/>
              </w:rPr>
              <w:t xml:space="preserve">Roads and Traffic Authority (NSW) v Australian National Car Parks Pty Ltd </w:t>
            </w:r>
            <w:r>
              <w:t xml:space="preserve">(2007) 47 </w:t>
            </w:r>
            <w:proofErr w:type="spellStart"/>
            <w:r>
              <w:t>MVR</w:t>
            </w:r>
            <w:proofErr w:type="spellEnd"/>
            <w:r>
              <w:t xml:space="preserve"> 502 considered</w:t>
            </w:r>
          </w:p>
          <w:p w:rsidR="00614B90" w:rsidRDefault="00614B90" w:rsidP="00154FDC">
            <w:pPr>
              <w:pStyle w:val="Normal1linespace"/>
              <w:widowControl w:val="0"/>
              <w:jc w:val="left"/>
            </w:pPr>
            <w:r>
              <w:rPr>
                <w:i/>
              </w:rPr>
              <w:t xml:space="preserve">Roads and Traffic Authority of New South Wales v Care Park Pty Ltd </w:t>
            </w:r>
            <w:r>
              <w:t xml:space="preserve">[2012] </w:t>
            </w:r>
            <w:proofErr w:type="spellStart"/>
            <w:r>
              <w:t>NSWCA</w:t>
            </w:r>
            <w:proofErr w:type="spellEnd"/>
            <w:r>
              <w:t xml:space="preserve"> 35 considered</w:t>
            </w:r>
          </w:p>
          <w:p w:rsidR="00361584" w:rsidRDefault="00361584" w:rsidP="00154FDC">
            <w:pPr>
              <w:pStyle w:val="Normal1linespace"/>
              <w:widowControl w:val="0"/>
              <w:jc w:val="left"/>
            </w:pPr>
            <w:r>
              <w:rPr>
                <w:i/>
              </w:rPr>
              <w:t xml:space="preserve">Seven Network (Operations) Ltd v </w:t>
            </w:r>
            <w:proofErr w:type="spellStart"/>
            <w:r>
              <w:rPr>
                <w:i/>
              </w:rPr>
              <w:t>TCN</w:t>
            </w:r>
            <w:proofErr w:type="spellEnd"/>
            <w:r>
              <w:rPr>
                <w:i/>
              </w:rPr>
              <w:t xml:space="preserve"> Channel Nine Pty Ltd </w:t>
            </w:r>
            <w:r>
              <w:t xml:space="preserve">(2005) 146 </w:t>
            </w:r>
            <w:proofErr w:type="spellStart"/>
            <w:r>
              <w:t>FCR</w:t>
            </w:r>
            <w:proofErr w:type="spellEnd"/>
            <w:r>
              <w:t xml:space="preserve"> 183 </w:t>
            </w:r>
            <w:r w:rsidR="007B366A">
              <w:t>cited</w:t>
            </w:r>
          </w:p>
          <w:p w:rsidR="00395B24" w:rsidRDefault="00C45CD9" w:rsidP="00154FDC">
            <w:pPr>
              <w:pStyle w:val="Normal1linespace"/>
              <w:widowControl w:val="0"/>
              <w:jc w:val="left"/>
            </w:pPr>
            <w:r>
              <w:rPr>
                <w:i/>
              </w:rPr>
              <w:t xml:space="preserve">Voltage Pictures LLC v John Doe </w:t>
            </w:r>
            <w:r>
              <w:t>[2014] FC 161</w:t>
            </w:r>
            <w:r w:rsidR="00E6154D">
              <w:t xml:space="preserve"> considered</w:t>
            </w:r>
            <w:r w:rsidR="002C7385">
              <w:t xml:space="preserve"> </w:t>
            </w:r>
            <w:bookmarkEnd w:id="5"/>
          </w:p>
        </w:tc>
      </w:tr>
      <w:tr w:rsidR="00E14506" w:rsidRPr="00E14506" w:rsidTr="00E14506">
        <w:tc>
          <w:tcPr>
            <w:tcW w:w="3085" w:type="dxa"/>
            <w:shd w:val="clear" w:color="auto" w:fill="auto"/>
          </w:tcPr>
          <w:p w:rsidR="00E14506" w:rsidRPr="00E14506" w:rsidRDefault="00E14506" w:rsidP="00E14506">
            <w:pPr>
              <w:pStyle w:val="Normal1linespace"/>
              <w:jc w:val="left"/>
            </w:pPr>
          </w:p>
        </w:tc>
        <w:tc>
          <w:tcPr>
            <w:tcW w:w="5989" w:type="dxa"/>
            <w:shd w:val="clear" w:color="auto" w:fill="auto"/>
          </w:tcPr>
          <w:p w:rsidR="00E14506" w:rsidRPr="00E14506" w:rsidRDefault="00E14506" w:rsidP="00E14506">
            <w:pPr>
              <w:pStyle w:val="Normal1linespace"/>
              <w:jc w:val="left"/>
            </w:pPr>
          </w:p>
        </w:tc>
      </w:tr>
      <w:tr w:rsidR="00E14506" w:rsidRPr="00E14506" w:rsidTr="00E14506">
        <w:tc>
          <w:tcPr>
            <w:tcW w:w="3085" w:type="dxa"/>
            <w:shd w:val="clear" w:color="auto" w:fill="auto"/>
          </w:tcPr>
          <w:p w:rsidR="00E14506" w:rsidRPr="00E14506" w:rsidRDefault="00E14506" w:rsidP="00E14506">
            <w:pPr>
              <w:pStyle w:val="Normal1linespace"/>
              <w:jc w:val="left"/>
            </w:pPr>
            <w:bookmarkStart w:id="6" w:name="CounselDate" w:colFirst="0" w:colLast="2"/>
            <w:r w:rsidRPr="00E14506">
              <w:t>Date of hearing:</w:t>
            </w:r>
          </w:p>
        </w:tc>
        <w:tc>
          <w:tcPr>
            <w:tcW w:w="5989" w:type="dxa"/>
            <w:shd w:val="clear" w:color="auto" w:fill="auto"/>
          </w:tcPr>
          <w:p w:rsidR="00E14506" w:rsidRPr="00E14506" w:rsidRDefault="00790F72" w:rsidP="00E14506">
            <w:pPr>
              <w:pStyle w:val="Normal1linespace"/>
              <w:jc w:val="left"/>
            </w:pPr>
            <w:bookmarkStart w:id="7" w:name="HearingDate"/>
            <w:r>
              <w:t>17-18, 25 February</w:t>
            </w:r>
            <w:r w:rsidR="00E14506">
              <w:t xml:space="preserve"> 2015</w:t>
            </w:r>
            <w:bookmarkEnd w:id="7"/>
          </w:p>
        </w:tc>
      </w:tr>
      <w:tr w:rsidR="00E14506" w:rsidRPr="00E14506" w:rsidTr="00E14506">
        <w:tc>
          <w:tcPr>
            <w:tcW w:w="3085" w:type="dxa"/>
            <w:shd w:val="clear" w:color="auto" w:fill="auto"/>
          </w:tcPr>
          <w:p w:rsidR="00E14506" w:rsidRPr="00E14506" w:rsidRDefault="00E14506" w:rsidP="00E14506">
            <w:pPr>
              <w:pStyle w:val="Normal1linespace"/>
              <w:jc w:val="left"/>
            </w:pPr>
          </w:p>
        </w:tc>
        <w:tc>
          <w:tcPr>
            <w:tcW w:w="5989" w:type="dxa"/>
            <w:shd w:val="clear" w:color="auto" w:fill="auto"/>
          </w:tcPr>
          <w:p w:rsidR="00E14506" w:rsidRPr="00E14506" w:rsidRDefault="00E14506" w:rsidP="00E14506">
            <w:pPr>
              <w:pStyle w:val="Normal1linespace"/>
              <w:jc w:val="left"/>
            </w:pPr>
          </w:p>
        </w:tc>
      </w:tr>
      <w:bookmarkEnd w:id="6"/>
      <w:tr w:rsidR="00E14506" w:rsidTr="00E14506">
        <w:tc>
          <w:tcPr>
            <w:tcW w:w="3085" w:type="dxa"/>
            <w:shd w:val="clear" w:color="auto" w:fill="auto"/>
          </w:tcPr>
          <w:p w:rsidR="00E14506" w:rsidRDefault="00E14506" w:rsidP="00E14506">
            <w:pPr>
              <w:pStyle w:val="Normal1linespace"/>
              <w:widowControl w:val="0"/>
              <w:jc w:val="left"/>
            </w:pPr>
            <w:r>
              <w:t>Place:</w:t>
            </w:r>
          </w:p>
        </w:tc>
        <w:tc>
          <w:tcPr>
            <w:tcW w:w="5989" w:type="dxa"/>
            <w:shd w:val="clear" w:color="auto" w:fill="auto"/>
          </w:tcPr>
          <w:p w:rsidR="00E14506" w:rsidRDefault="00641661" w:rsidP="00E14506">
            <w:pPr>
              <w:pStyle w:val="Normal1linespace"/>
              <w:widowControl w:val="0"/>
              <w:jc w:val="left"/>
            </w:pPr>
            <w:r>
              <w:fldChar w:fldCharType="begin"/>
            </w:r>
            <w:r>
              <w:instrText xml:space="preserve"> DOCVARIABLE  Place_SentenceCase  \* MERGEFORMAT </w:instrText>
            </w:r>
            <w:r>
              <w:fldChar w:fldCharType="separate"/>
            </w:r>
            <w:r w:rsidR="00E14506">
              <w:t>Sydney</w:t>
            </w:r>
            <w:r>
              <w:fldChar w:fldCharType="end"/>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E14506">
            <w:pPr>
              <w:pStyle w:val="Normal1linespace"/>
              <w:widowControl w:val="0"/>
              <w:jc w:val="left"/>
            </w:pPr>
            <w:r>
              <w:t>Division:</w:t>
            </w:r>
          </w:p>
        </w:tc>
        <w:tc>
          <w:tcPr>
            <w:tcW w:w="5989" w:type="dxa"/>
            <w:shd w:val="clear" w:color="auto" w:fill="auto"/>
          </w:tcPr>
          <w:p w:rsidR="00E14506" w:rsidRPr="00C67B37" w:rsidRDefault="00E14506" w:rsidP="00E14506">
            <w:pPr>
              <w:pStyle w:val="Normal1linespace"/>
              <w:widowControl w:val="0"/>
              <w:jc w:val="left"/>
              <w:rPr>
                <w:caps/>
              </w:rPr>
            </w:pPr>
            <w:r>
              <w:rPr>
                <w:caps/>
              </w:rPr>
              <w:fldChar w:fldCharType="begin"/>
            </w:r>
            <w:r>
              <w:rPr>
                <w:caps/>
              </w:rPr>
              <w:instrText xml:space="preserve"> REF  Division </w:instrText>
            </w:r>
            <w:r>
              <w:rPr>
                <w:caps/>
              </w:rPr>
              <w:fldChar w:fldCharType="separate"/>
            </w:r>
            <w:r w:rsidR="00C7229B">
              <w:rPr>
                <w:caps/>
                <w:szCs w:val="24"/>
              </w:rPr>
              <w:t>GENERAL DIVISION</w:t>
            </w:r>
            <w:r>
              <w:rPr>
                <w:caps/>
              </w:rPr>
              <w:fldChar w:fldCharType="end"/>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rPr>
                <w:b/>
              </w:rPr>
            </w:pPr>
          </w:p>
        </w:tc>
      </w:tr>
      <w:tr w:rsidR="00E14506" w:rsidTr="00E14506">
        <w:tc>
          <w:tcPr>
            <w:tcW w:w="3085" w:type="dxa"/>
            <w:shd w:val="clear" w:color="auto" w:fill="auto"/>
          </w:tcPr>
          <w:p w:rsidR="00E14506" w:rsidRDefault="00E14506" w:rsidP="00E14506">
            <w:pPr>
              <w:pStyle w:val="Normal1linespace"/>
              <w:widowControl w:val="0"/>
              <w:jc w:val="left"/>
            </w:pPr>
            <w:r>
              <w:t>Category:</w:t>
            </w:r>
          </w:p>
        </w:tc>
        <w:tc>
          <w:tcPr>
            <w:tcW w:w="5989" w:type="dxa"/>
            <w:shd w:val="clear" w:color="auto" w:fill="auto"/>
          </w:tcPr>
          <w:p w:rsidR="00E14506" w:rsidRDefault="00E14506" w:rsidP="00790F72">
            <w:pPr>
              <w:pStyle w:val="Normal1linespace"/>
              <w:widowControl w:val="0"/>
              <w:jc w:val="left"/>
            </w:pPr>
            <w:r w:rsidRPr="00790F72">
              <w:t>C</w:t>
            </w:r>
            <w:r w:rsidR="00790F72" w:rsidRPr="00790F72">
              <w:t>atchwords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E14506">
            <w:pPr>
              <w:pStyle w:val="Normal1linespace"/>
              <w:widowControl w:val="0"/>
              <w:jc w:val="left"/>
            </w:pPr>
            <w:r>
              <w:t>Number of paragraphs:</w:t>
            </w:r>
          </w:p>
        </w:tc>
        <w:tc>
          <w:tcPr>
            <w:tcW w:w="5989" w:type="dxa"/>
            <w:shd w:val="clear" w:color="auto" w:fill="auto"/>
          </w:tcPr>
          <w:p w:rsidR="00E14506" w:rsidRDefault="00FF30F5" w:rsidP="003643A2">
            <w:pPr>
              <w:pStyle w:val="Normal1linespace"/>
              <w:widowControl w:val="0"/>
              <w:jc w:val="left"/>
            </w:pPr>
            <w:bookmarkStart w:id="8" w:name="PlaceCategoryParagraphs"/>
            <w:r>
              <w:t>1</w:t>
            </w:r>
            <w:r w:rsidR="003643A2">
              <w:t>1</w:t>
            </w:r>
            <w:r>
              <w:t>0</w:t>
            </w:r>
            <w:bookmarkEnd w:id="8"/>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bookmarkStart w:id="9" w:name="Counsel" w:colFirst="0" w:colLast="2"/>
            <w:r>
              <w:t xml:space="preserve">Counsel for the </w:t>
            </w:r>
            <w:r w:rsidR="00B06BAF">
              <w:t xml:space="preserve">Prospective </w:t>
            </w:r>
            <w:r>
              <w:t>Applicant</w:t>
            </w:r>
            <w:r w:rsidR="00B06BAF">
              <w:t>s</w:t>
            </w:r>
            <w:r>
              <w:t>:</w:t>
            </w:r>
          </w:p>
        </w:tc>
        <w:tc>
          <w:tcPr>
            <w:tcW w:w="5989" w:type="dxa"/>
            <w:shd w:val="clear" w:color="auto" w:fill="auto"/>
          </w:tcPr>
          <w:p w:rsidR="00E14506" w:rsidRDefault="00E14506" w:rsidP="00E14506">
            <w:pPr>
              <w:pStyle w:val="Normal1linespace"/>
              <w:widowControl w:val="0"/>
              <w:jc w:val="left"/>
            </w:pPr>
            <w:bookmarkStart w:id="10" w:name="AppCounsel"/>
            <w:bookmarkEnd w:id="10"/>
          </w:p>
          <w:p w:rsidR="00B06BAF" w:rsidRDefault="00B06BAF" w:rsidP="00E14506">
            <w:pPr>
              <w:pStyle w:val="Normal1linespace"/>
              <w:widowControl w:val="0"/>
              <w:jc w:val="left"/>
            </w:pPr>
            <w:r>
              <w:t>Mr I Pike SC</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 xml:space="preserve">Solicitor for the </w:t>
            </w:r>
            <w:r w:rsidR="00B06BAF">
              <w:t xml:space="preserve">Prospective </w:t>
            </w:r>
            <w:r>
              <w:t>Applicant</w:t>
            </w:r>
            <w:r w:rsidR="00B06BAF">
              <w:t>s</w:t>
            </w:r>
            <w:r>
              <w:t>:</w:t>
            </w:r>
          </w:p>
        </w:tc>
        <w:tc>
          <w:tcPr>
            <w:tcW w:w="5989" w:type="dxa"/>
            <w:shd w:val="clear" w:color="auto" w:fill="auto"/>
          </w:tcPr>
          <w:p w:rsidR="00E14506" w:rsidRDefault="00E14506" w:rsidP="00E14506">
            <w:pPr>
              <w:pStyle w:val="Normal1linespace"/>
              <w:widowControl w:val="0"/>
              <w:jc w:val="left"/>
            </w:pPr>
          </w:p>
          <w:p w:rsidR="00B06BAF" w:rsidRDefault="00B06BAF" w:rsidP="00E14506">
            <w:pPr>
              <w:pStyle w:val="Normal1linespace"/>
              <w:widowControl w:val="0"/>
              <w:jc w:val="left"/>
            </w:pPr>
            <w:r>
              <w:t>Marque Lawyers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Counsel for the Respondent</w:t>
            </w:r>
            <w:r w:rsidR="00B06BAF">
              <w:t>s</w:t>
            </w:r>
            <w:r>
              <w:t>:</w:t>
            </w:r>
          </w:p>
        </w:tc>
        <w:tc>
          <w:tcPr>
            <w:tcW w:w="5989" w:type="dxa"/>
            <w:shd w:val="clear" w:color="auto" w:fill="auto"/>
          </w:tcPr>
          <w:p w:rsidR="00E14506" w:rsidRDefault="00B06BAF" w:rsidP="00E14506">
            <w:pPr>
              <w:pStyle w:val="Normal1linespace"/>
              <w:widowControl w:val="0"/>
              <w:jc w:val="left"/>
            </w:pPr>
            <w:r>
              <w:t xml:space="preserve">Mr </w:t>
            </w:r>
            <w:proofErr w:type="spellStart"/>
            <w:r>
              <w:t>RPL</w:t>
            </w:r>
            <w:proofErr w:type="spellEnd"/>
            <w:r>
              <w:t xml:space="preserve"> Lancaster SC and Mr C Burgess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Solicitor for the Respondent</w:t>
            </w:r>
            <w:r w:rsidR="00B06BAF">
              <w:t>s</w:t>
            </w:r>
            <w:r>
              <w:t>:</w:t>
            </w:r>
          </w:p>
        </w:tc>
        <w:tc>
          <w:tcPr>
            <w:tcW w:w="5989" w:type="dxa"/>
            <w:shd w:val="clear" w:color="auto" w:fill="auto"/>
          </w:tcPr>
          <w:p w:rsidR="00E14506" w:rsidRDefault="00E14506" w:rsidP="00E14506">
            <w:pPr>
              <w:pStyle w:val="Normal1linespace"/>
              <w:widowControl w:val="0"/>
              <w:jc w:val="left"/>
            </w:pPr>
          </w:p>
          <w:p w:rsidR="00B06BAF" w:rsidRDefault="00B06BAF" w:rsidP="00E14506">
            <w:pPr>
              <w:pStyle w:val="Normal1linespace"/>
              <w:widowControl w:val="0"/>
              <w:jc w:val="left"/>
            </w:pPr>
            <w:r>
              <w:t>Thomson Geer Lawyers</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8D18D4">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8D18D4">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8D18D4">
            <w:pPr>
              <w:pStyle w:val="NormalHeadings"/>
              <w:tabs>
                <w:tab w:val="right" w:pos="3609"/>
              </w:tabs>
              <w:jc w:val="right"/>
              <w:rPr>
                <w:szCs w:val="24"/>
              </w:rPr>
            </w:pPr>
            <w:bookmarkStart w:id="13" w:name="Num"/>
            <w:proofErr w:type="spellStart"/>
            <w:r>
              <w:rPr>
                <w:szCs w:val="24"/>
              </w:rPr>
              <w:t>NSD</w:t>
            </w:r>
            <w:proofErr w:type="spellEnd"/>
            <w:r>
              <w:rPr>
                <w:szCs w:val="24"/>
              </w:rPr>
              <w:t xml:space="preserve"> 1051 of 2014</w:t>
            </w:r>
            <w:bookmarkEnd w:id="13"/>
          </w:p>
        </w:tc>
      </w:tr>
    </w:tbl>
    <w:p w:rsidR="00395B24" w:rsidRPr="008D18D4" w:rsidRDefault="002C7385">
      <w:pPr>
        <w:pStyle w:val="AppealTable"/>
        <w:rPr>
          <w:sz w:val="24"/>
        </w:rPr>
      </w:pPr>
      <w:bookmarkStart w:id="14" w:name="AppealTable"/>
      <w:r w:rsidRPr="008D18D4">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8D18D4" w:rsidRDefault="008D18D4">
            <w:pPr>
              <w:pStyle w:val="NormalHeadings"/>
              <w:jc w:val="left"/>
              <w:rPr>
                <w:szCs w:val="24"/>
              </w:rPr>
            </w:pPr>
            <w:bookmarkStart w:id="16" w:name="Applicant"/>
            <w:r>
              <w:rPr>
                <w:szCs w:val="24"/>
              </w:rPr>
              <w:t>DALLAS BUYERS CLUB LLC</w:t>
            </w:r>
          </w:p>
          <w:p w:rsidR="008D18D4" w:rsidRDefault="008D18D4">
            <w:pPr>
              <w:pStyle w:val="NormalHeadings"/>
              <w:jc w:val="left"/>
              <w:rPr>
                <w:szCs w:val="24"/>
              </w:rPr>
            </w:pPr>
            <w:r>
              <w:rPr>
                <w:szCs w:val="24"/>
              </w:rPr>
              <w:t xml:space="preserve">First </w:t>
            </w:r>
            <w:r w:rsidR="00B06BAF">
              <w:rPr>
                <w:szCs w:val="24"/>
              </w:rPr>
              <w:t xml:space="preserve">Prospective </w:t>
            </w:r>
            <w:r>
              <w:rPr>
                <w:szCs w:val="24"/>
              </w:rPr>
              <w:t>Applicant</w:t>
            </w:r>
          </w:p>
          <w:p w:rsidR="008D18D4" w:rsidRDefault="008D18D4">
            <w:pPr>
              <w:pStyle w:val="NormalHeadings"/>
              <w:jc w:val="left"/>
              <w:rPr>
                <w:szCs w:val="24"/>
              </w:rPr>
            </w:pPr>
          </w:p>
          <w:p w:rsidR="008D18D4" w:rsidRDefault="008D18D4">
            <w:pPr>
              <w:pStyle w:val="NormalHeadings"/>
              <w:jc w:val="left"/>
              <w:rPr>
                <w:szCs w:val="24"/>
              </w:rPr>
            </w:pPr>
            <w:r>
              <w:rPr>
                <w:szCs w:val="24"/>
              </w:rPr>
              <w:t>VOLTAGE PICTURES LLC</w:t>
            </w:r>
          </w:p>
          <w:p w:rsidR="008D18D4" w:rsidRDefault="008D18D4">
            <w:pPr>
              <w:pStyle w:val="NormalHeadings"/>
              <w:jc w:val="left"/>
              <w:rPr>
                <w:szCs w:val="24"/>
              </w:rPr>
            </w:pPr>
            <w:r>
              <w:rPr>
                <w:szCs w:val="24"/>
              </w:rPr>
              <w:t xml:space="preserve">Second </w:t>
            </w:r>
            <w:r w:rsidR="00B06BAF">
              <w:rPr>
                <w:szCs w:val="24"/>
              </w:rPr>
              <w:t xml:space="preserve">Prospective </w:t>
            </w: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D18D4" w:rsidRDefault="008D18D4">
            <w:pPr>
              <w:pStyle w:val="NormalHeadings"/>
              <w:jc w:val="left"/>
              <w:rPr>
                <w:szCs w:val="24"/>
              </w:rPr>
            </w:pPr>
            <w:bookmarkStart w:id="17" w:name="Respondent"/>
            <w:proofErr w:type="spellStart"/>
            <w:r>
              <w:rPr>
                <w:szCs w:val="24"/>
              </w:rPr>
              <w:t>IINET</w:t>
            </w:r>
            <w:proofErr w:type="spellEnd"/>
            <w:r>
              <w:rPr>
                <w:szCs w:val="24"/>
              </w:rPr>
              <w:t xml:space="preserve"> LIMITED</w:t>
            </w:r>
          </w:p>
          <w:p w:rsidR="008D18D4" w:rsidRDefault="008D18D4">
            <w:pPr>
              <w:pStyle w:val="NormalHeadings"/>
              <w:jc w:val="left"/>
              <w:rPr>
                <w:szCs w:val="24"/>
              </w:rPr>
            </w:pPr>
            <w:r>
              <w:rPr>
                <w:szCs w:val="24"/>
              </w:rPr>
              <w:t>First Respondent</w:t>
            </w:r>
          </w:p>
          <w:p w:rsidR="008D18D4" w:rsidRDefault="008D18D4">
            <w:pPr>
              <w:pStyle w:val="NormalHeadings"/>
              <w:jc w:val="left"/>
              <w:rPr>
                <w:szCs w:val="24"/>
              </w:rPr>
            </w:pPr>
          </w:p>
          <w:p w:rsidR="008D18D4" w:rsidRDefault="008D18D4">
            <w:pPr>
              <w:pStyle w:val="NormalHeadings"/>
              <w:jc w:val="left"/>
              <w:rPr>
                <w:szCs w:val="24"/>
              </w:rPr>
            </w:pPr>
            <w:r>
              <w:rPr>
                <w:szCs w:val="24"/>
              </w:rPr>
              <w:t>INTERNODE PTY LTD</w:t>
            </w:r>
          </w:p>
          <w:p w:rsidR="008D18D4" w:rsidRDefault="008D18D4">
            <w:pPr>
              <w:pStyle w:val="NormalHeadings"/>
              <w:jc w:val="left"/>
              <w:rPr>
                <w:szCs w:val="24"/>
              </w:rPr>
            </w:pPr>
            <w:r>
              <w:rPr>
                <w:szCs w:val="24"/>
              </w:rPr>
              <w:t>Second Respondent</w:t>
            </w:r>
          </w:p>
          <w:p w:rsidR="008D18D4" w:rsidRDefault="008D18D4">
            <w:pPr>
              <w:pStyle w:val="NormalHeadings"/>
              <w:jc w:val="left"/>
              <w:rPr>
                <w:szCs w:val="24"/>
              </w:rPr>
            </w:pPr>
          </w:p>
          <w:p w:rsidR="008D18D4" w:rsidRDefault="008D18D4">
            <w:pPr>
              <w:pStyle w:val="NormalHeadings"/>
              <w:jc w:val="left"/>
              <w:rPr>
                <w:szCs w:val="24"/>
              </w:rPr>
            </w:pPr>
            <w:proofErr w:type="spellStart"/>
            <w:r>
              <w:rPr>
                <w:szCs w:val="24"/>
              </w:rPr>
              <w:t>AMNET</w:t>
            </w:r>
            <w:proofErr w:type="spellEnd"/>
            <w:r>
              <w:rPr>
                <w:szCs w:val="24"/>
              </w:rPr>
              <w:t xml:space="preserve"> BROADBAND PTY LTD</w:t>
            </w:r>
          </w:p>
          <w:p w:rsidR="008D18D4" w:rsidRDefault="008D18D4">
            <w:pPr>
              <w:pStyle w:val="NormalHeadings"/>
              <w:jc w:val="left"/>
              <w:rPr>
                <w:szCs w:val="24"/>
              </w:rPr>
            </w:pPr>
            <w:r>
              <w:rPr>
                <w:szCs w:val="24"/>
              </w:rPr>
              <w:t>Third Respondent</w:t>
            </w:r>
          </w:p>
          <w:p w:rsidR="008D18D4" w:rsidRDefault="008D18D4">
            <w:pPr>
              <w:pStyle w:val="NormalHeadings"/>
              <w:jc w:val="left"/>
              <w:rPr>
                <w:szCs w:val="24"/>
              </w:rPr>
            </w:pPr>
          </w:p>
          <w:p w:rsidR="008D18D4" w:rsidRDefault="008D18D4">
            <w:pPr>
              <w:pStyle w:val="NormalHeadings"/>
              <w:jc w:val="left"/>
              <w:rPr>
                <w:szCs w:val="24"/>
              </w:rPr>
            </w:pPr>
            <w:r>
              <w:rPr>
                <w:szCs w:val="24"/>
              </w:rPr>
              <w:t>DODO SERVICES PTY LTD</w:t>
            </w:r>
          </w:p>
          <w:p w:rsidR="008D18D4" w:rsidRDefault="008D18D4">
            <w:pPr>
              <w:pStyle w:val="NormalHeadings"/>
              <w:jc w:val="left"/>
              <w:rPr>
                <w:szCs w:val="24"/>
              </w:rPr>
            </w:pPr>
            <w:r>
              <w:rPr>
                <w:szCs w:val="24"/>
              </w:rPr>
              <w:t>Fourth Respondent</w:t>
            </w:r>
          </w:p>
          <w:p w:rsidR="008D18D4" w:rsidRDefault="008D18D4">
            <w:pPr>
              <w:pStyle w:val="NormalHeadings"/>
              <w:jc w:val="left"/>
              <w:rPr>
                <w:szCs w:val="24"/>
              </w:rPr>
            </w:pPr>
          </w:p>
          <w:p w:rsidR="008D18D4" w:rsidRDefault="008D18D4">
            <w:pPr>
              <w:pStyle w:val="NormalHeadings"/>
              <w:jc w:val="left"/>
              <w:rPr>
                <w:szCs w:val="24"/>
              </w:rPr>
            </w:pPr>
            <w:r>
              <w:rPr>
                <w:szCs w:val="24"/>
              </w:rPr>
              <w:t>ADAM INTERNET PTY LTD</w:t>
            </w:r>
          </w:p>
          <w:p w:rsidR="008D18D4" w:rsidRDefault="008D18D4">
            <w:pPr>
              <w:pStyle w:val="NormalHeadings"/>
              <w:jc w:val="left"/>
              <w:rPr>
                <w:szCs w:val="24"/>
              </w:rPr>
            </w:pPr>
            <w:r>
              <w:rPr>
                <w:szCs w:val="24"/>
              </w:rPr>
              <w:t>Fifth Respondent</w:t>
            </w:r>
          </w:p>
          <w:p w:rsidR="008D18D4" w:rsidRDefault="008D18D4">
            <w:pPr>
              <w:pStyle w:val="NormalHeadings"/>
              <w:jc w:val="left"/>
              <w:rPr>
                <w:szCs w:val="24"/>
              </w:rPr>
            </w:pPr>
          </w:p>
          <w:p w:rsidR="008D18D4" w:rsidRDefault="008D18D4">
            <w:pPr>
              <w:pStyle w:val="NormalHeadings"/>
              <w:jc w:val="left"/>
              <w:rPr>
                <w:szCs w:val="24"/>
              </w:rPr>
            </w:pPr>
            <w:r>
              <w:rPr>
                <w:szCs w:val="24"/>
              </w:rPr>
              <w:t>WIDEBAN</w:t>
            </w:r>
            <w:r w:rsidR="00B06BAF">
              <w:rPr>
                <w:szCs w:val="24"/>
              </w:rPr>
              <w:t>D</w:t>
            </w:r>
            <w:r>
              <w:rPr>
                <w:szCs w:val="24"/>
              </w:rPr>
              <w:t xml:space="preserve"> NETWORKS PTY LTD</w:t>
            </w:r>
          </w:p>
          <w:p w:rsidR="008D18D4" w:rsidRDefault="008D18D4">
            <w:pPr>
              <w:pStyle w:val="NormalHeadings"/>
              <w:jc w:val="left"/>
              <w:rPr>
                <w:szCs w:val="24"/>
              </w:rPr>
            </w:pPr>
            <w:r>
              <w:rPr>
                <w:szCs w:val="24"/>
              </w:rPr>
              <w:t>Sixth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8D18D4">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FF30F5">
            <w:pPr>
              <w:pStyle w:val="NormalHeadings"/>
              <w:jc w:val="left"/>
              <w:rPr>
                <w:caps/>
                <w:szCs w:val="24"/>
              </w:rPr>
            </w:pPr>
            <w:bookmarkStart w:id="19" w:name="Judge"/>
            <w:r>
              <w:rPr>
                <w:caps/>
                <w:szCs w:val="24"/>
              </w:rPr>
              <w:t>PERRAM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74846" w:rsidP="000B07CB">
            <w:pPr>
              <w:pStyle w:val="NormalHeadings"/>
              <w:jc w:val="left"/>
              <w:rPr>
                <w:caps/>
                <w:szCs w:val="24"/>
              </w:rPr>
            </w:pPr>
            <w:bookmarkStart w:id="20" w:name="Judgment_Dated"/>
            <w:r>
              <w:rPr>
                <w:caps/>
                <w:szCs w:val="24"/>
              </w:rPr>
              <w:t>7</w:t>
            </w:r>
            <w:r w:rsidR="008D18D4">
              <w:rPr>
                <w:caps/>
                <w:szCs w:val="24"/>
              </w:rPr>
              <w:t xml:space="preserve"> </w:t>
            </w:r>
            <w:r w:rsidR="000B07CB">
              <w:rPr>
                <w:caps/>
                <w:szCs w:val="24"/>
              </w:rPr>
              <w:t xml:space="preserve">APRIL </w:t>
            </w:r>
            <w:r w:rsidR="008D18D4">
              <w:rPr>
                <w:caps/>
                <w:szCs w:val="24"/>
              </w:rPr>
              <w:t>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8D18D4">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B7785" w:rsidP="00274F5B">
      <w:pPr>
        <w:pStyle w:val="Order1"/>
      </w:pPr>
      <w:bookmarkStart w:id="22" w:name="Order_Start_Text"/>
      <w:bookmarkEnd w:id="22"/>
      <w:r>
        <w:t>The matter be listed on 21</w:t>
      </w:r>
      <w:r w:rsidR="001A34EB">
        <w:t xml:space="preserve"> April 2015 for the making of further orders.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8D18D4">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8D18D4">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8D18D4" w:rsidRPr="008D18D4">
              <w:rPr>
                <w:caps/>
                <w:szCs w:val="24"/>
              </w:rPr>
              <w:t>NSD</w:t>
            </w:r>
            <w:proofErr w:type="spellEnd"/>
            <w:r w:rsidR="008D18D4">
              <w:rPr>
                <w:szCs w:val="24"/>
              </w:rPr>
              <w:t xml:space="preserve"> 1051 of 2014</w:t>
            </w:r>
            <w:r>
              <w:rPr>
                <w:caps/>
                <w:szCs w:val="24"/>
              </w:rPr>
              <w:fldChar w:fldCharType="end"/>
            </w:r>
          </w:p>
        </w:tc>
      </w:tr>
    </w:tbl>
    <w:p w:rsidR="00395B24" w:rsidRDefault="00641661">
      <w:pPr>
        <w:pStyle w:val="AppealTable"/>
      </w:pPr>
      <w:r>
        <w:fldChar w:fldCharType="begin" w:fldLock="1"/>
      </w:r>
      <w:r>
        <w:instrText xml:space="preserve"> Ref AppealTable  \* MERGEFORMAT </w:instrText>
      </w:r>
      <w:r>
        <w:fldChar w:fldCharType="separate"/>
      </w:r>
      <w:r w:rsidR="008D18D4" w:rsidRPr="008D18D4">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8D18D4"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8D18D4" w:rsidRPr="008D18D4">
              <w:rPr>
                <w:caps/>
                <w:szCs w:val="24"/>
              </w:rPr>
              <w:t>DALLAS</w:t>
            </w:r>
            <w:r w:rsidR="008D18D4">
              <w:rPr>
                <w:szCs w:val="24"/>
              </w:rPr>
              <w:t xml:space="preserve"> BUYERS CLUB LLC</w:t>
            </w:r>
          </w:p>
          <w:p w:rsidR="008D18D4" w:rsidRDefault="008D18D4">
            <w:pPr>
              <w:pStyle w:val="NormalHeadings"/>
              <w:jc w:val="left"/>
              <w:rPr>
                <w:szCs w:val="24"/>
              </w:rPr>
            </w:pPr>
            <w:r>
              <w:rPr>
                <w:szCs w:val="24"/>
              </w:rPr>
              <w:t xml:space="preserve">First </w:t>
            </w:r>
            <w:r w:rsidR="001A34EB">
              <w:rPr>
                <w:szCs w:val="24"/>
              </w:rPr>
              <w:t xml:space="preserve">Prospective </w:t>
            </w:r>
            <w:r>
              <w:rPr>
                <w:szCs w:val="24"/>
              </w:rPr>
              <w:t>Applicant</w:t>
            </w:r>
          </w:p>
          <w:p w:rsidR="008D18D4" w:rsidRDefault="008D18D4">
            <w:pPr>
              <w:pStyle w:val="NormalHeadings"/>
              <w:jc w:val="left"/>
              <w:rPr>
                <w:szCs w:val="24"/>
              </w:rPr>
            </w:pPr>
          </w:p>
          <w:p w:rsidR="008D18D4" w:rsidRDefault="008D18D4">
            <w:pPr>
              <w:pStyle w:val="NormalHeadings"/>
              <w:jc w:val="left"/>
              <w:rPr>
                <w:szCs w:val="24"/>
              </w:rPr>
            </w:pPr>
            <w:r>
              <w:rPr>
                <w:szCs w:val="24"/>
              </w:rPr>
              <w:t>VOLTAGE PICTURES LLC</w:t>
            </w:r>
          </w:p>
          <w:p w:rsidR="008D18D4" w:rsidRDefault="008D18D4">
            <w:pPr>
              <w:pStyle w:val="NormalHeadings"/>
              <w:jc w:val="left"/>
              <w:rPr>
                <w:szCs w:val="24"/>
              </w:rPr>
            </w:pPr>
            <w:r>
              <w:rPr>
                <w:szCs w:val="24"/>
              </w:rPr>
              <w:t xml:space="preserve">Second </w:t>
            </w:r>
            <w:r w:rsidR="001A34EB">
              <w:rPr>
                <w:szCs w:val="24"/>
              </w:rPr>
              <w:t xml:space="preserve">Prospective </w:t>
            </w: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D18D4"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roofErr w:type="spellStart"/>
            <w:r w:rsidR="008D18D4" w:rsidRPr="008D18D4">
              <w:rPr>
                <w:caps/>
                <w:szCs w:val="24"/>
              </w:rPr>
              <w:t>IINET</w:t>
            </w:r>
            <w:proofErr w:type="spellEnd"/>
            <w:r w:rsidR="008D18D4">
              <w:rPr>
                <w:szCs w:val="24"/>
              </w:rPr>
              <w:t xml:space="preserve"> LIMITED</w:t>
            </w:r>
          </w:p>
          <w:p w:rsidR="008D18D4" w:rsidRDefault="008D18D4">
            <w:pPr>
              <w:pStyle w:val="NormalHeadings"/>
              <w:jc w:val="left"/>
              <w:rPr>
                <w:szCs w:val="24"/>
              </w:rPr>
            </w:pPr>
            <w:r>
              <w:rPr>
                <w:szCs w:val="24"/>
              </w:rPr>
              <w:t>First Respondent</w:t>
            </w:r>
          </w:p>
          <w:p w:rsidR="008D18D4" w:rsidRDefault="008D18D4">
            <w:pPr>
              <w:pStyle w:val="NormalHeadings"/>
              <w:jc w:val="left"/>
              <w:rPr>
                <w:szCs w:val="24"/>
              </w:rPr>
            </w:pPr>
          </w:p>
          <w:p w:rsidR="008D18D4" w:rsidRDefault="008D18D4">
            <w:pPr>
              <w:pStyle w:val="NormalHeadings"/>
              <w:jc w:val="left"/>
              <w:rPr>
                <w:szCs w:val="24"/>
              </w:rPr>
            </w:pPr>
            <w:r>
              <w:rPr>
                <w:szCs w:val="24"/>
              </w:rPr>
              <w:t>INTERNODE PTY LTD</w:t>
            </w:r>
          </w:p>
          <w:p w:rsidR="008D18D4" w:rsidRDefault="008D18D4">
            <w:pPr>
              <w:pStyle w:val="NormalHeadings"/>
              <w:jc w:val="left"/>
              <w:rPr>
                <w:szCs w:val="24"/>
              </w:rPr>
            </w:pPr>
            <w:r>
              <w:rPr>
                <w:szCs w:val="24"/>
              </w:rPr>
              <w:t>Second Respondent</w:t>
            </w:r>
          </w:p>
          <w:p w:rsidR="008D18D4" w:rsidRDefault="008D18D4">
            <w:pPr>
              <w:pStyle w:val="NormalHeadings"/>
              <w:jc w:val="left"/>
              <w:rPr>
                <w:szCs w:val="24"/>
              </w:rPr>
            </w:pPr>
          </w:p>
          <w:p w:rsidR="008D18D4" w:rsidRDefault="008D18D4">
            <w:pPr>
              <w:pStyle w:val="NormalHeadings"/>
              <w:jc w:val="left"/>
              <w:rPr>
                <w:szCs w:val="24"/>
              </w:rPr>
            </w:pPr>
            <w:proofErr w:type="spellStart"/>
            <w:r>
              <w:rPr>
                <w:szCs w:val="24"/>
              </w:rPr>
              <w:t>AMNET</w:t>
            </w:r>
            <w:proofErr w:type="spellEnd"/>
            <w:r>
              <w:rPr>
                <w:szCs w:val="24"/>
              </w:rPr>
              <w:t xml:space="preserve"> BROADBAND PTY LTD</w:t>
            </w:r>
          </w:p>
          <w:p w:rsidR="008D18D4" w:rsidRDefault="008D18D4">
            <w:pPr>
              <w:pStyle w:val="NormalHeadings"/>
              <w:jc w:val="left"/>
              <w:rPr>
                <w:szCs w:val="24"/>
              </w:rPr>
            </w:pPr>
            <w:r>
              <w:rPr>
                <w:szCs w:val="24"/>
              </w:rPr>
              <w:t>Third Respondent</w:t>
            </w:r>
          </w:p>
          <w:p w:rsidR="008D18D4" w:rsidRDefault="008D18D4">
            <w:pPr>
              <w:pStyle w:val="NormalHeadings"/>
              <w:jc w:val="left"/>
              <w:rPr>
                <w:szCs w:val="24"/>
              </w:rPr>
            </w:pPr>
          </w:p>
          <w:p w:rsidR="008D18D4" w:rsidRDefault="008D18D4">
            <w:pPr>
              <w:pStyle w:val="NormalHeadings"/>
              <w:jc w:val="left"/>
              <w:rPr>
                <w:szCs w:val="24"/>
              </w:rPr>
            </w:pPr>
            <w:r>
              <w:rPr>
                <w:szCs w:val="24"/>
              </w:rPr>
              <w:t>DODO SERVICES PTY LTD</w:t>
            </w:r>
          </w:p>
          <w:p w:rsidR="008D18D4" w:rsidRDefault="008D18D4">
            <w:pPr>
              <w:pStyle w:val="NormalHeadings"/>
              <w:jc w:val="left"/>
              <w:rPr>
                <w:szCs w:val="24"/>
              </w:rPr>
            </w:pPr>
            <w:r>
              <w:rPr>
                <w:szCs w:val="24"/>
              </w:rPr>
              <w:t>Fourth Respondent</w:t>
            </w:r>
          </w:p>
          <w:p w:rsidR="008D18D4" w:rsidRDefault="008D18D4">
            <w:pPr>
              <w:pStyle w:val="NormalHeadings"/>
              <w:jc w:val="left"/>
              <w:rPr>
                <w:szCs w:val="24"/>
              </w:rPr>
            </w:pPr>
          </w:p>
          <w:p w:rsidR="008D18D4" w:rsidRDefault="008D18D4">
            <w:pPr>
              <w:pStyle w:val="NormalHeadings"/>
              <w:jc w:val="left"/>
              <w:rPr>
                <w:szCs w:val="24"/>
              </w:rPr>
            </w:pPr>
            <w:r>
              <w:rPr>
                <w:szCs w:val="24"/>
              </w:rPr>
              <w:t>ADAM INTERNET PTY LTD</w:t>
            </w:r>
          </w:p>
          <w:p w:rsidR="008D18D4" w:rsidRDefault="008D18D4">
            <w:pPr>
              <w:pStyle w:val="NormalHeadings"/>
              <w:jc w:val="left"/>
              <w:rPr>
                <w:szCs w:val="24"/>
              </w:rPr>
            </w:pPr>
            <w:r>
              <w:rPr>
                <w:szCs w:val="24"/>
              </w:rPr>
              <w:t>Fifth Respondent</w:t>
            </w:r>
          </w:p>
          <w:p w:rsidR="008D18D4" w:rsidRDefault="008D18D4">
            <w:pPr>
              <w:pStyle w:val="NormalHeadings"/>
              <w:jc w:val="left"/>
              <w:rPr>
                <w:szCs w:val="24"/>
              </w:rPr>
            </w:pPr>
          </w:p>
          <w:p w:rsidR="008D18D4" w:rsidRDefault="008D18D4">
            <w:pPr>
              <w:pStyle w:val="NormalHeadings"/>
              <w:jc w:val="left"/>
              <w:rPr>
                <w:szCs w:val="24"/>
              </w:rPr>
            </w:pPr>
            <w:r>
              <w:rPr>
                <w:szCs w:val="24"/>
              </w:rPr>
              <w:t>WIDEBAN</w:t>
            </w:r>
            <w:r w:rsidR="001A34EB">
              <w:rPr>
                <w:szCs w:val="24"/>
              </w:rPr>
              <w:t>D</w:t>
            </w:r>
            <w:r>
              <w:rPr>
                <w:szCs w:val="24"/>
              </w:rPr>
              <w:t xml:space="preserve"> NETWORKS PTY LTD</w:t>
            </w:r>
          </w:p>
          <w:p w:rsidR="008D18D4" w:rsidRDefault="008D18D4">
            <w:pPr>
              <w:pStyle w:val="NormalHeadings"/>
              <w:jc w:val="left"/>
              <w:rPr>
                <w:szCs w:val="24"/>
              </w:rPr>
            </w:pPr>
            <w:r>
              <w:rPr>
                <w:szCs w:val="24"/>
              </w:rPr>
              <w:t>Sixth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8D18D4">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8D18D4">
              <w:rPr>
                <w:caps/>
                <w:szCs w:val="24"/>
              </w:rPr>
              <w:t>PERRAM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0B07CB">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C74846">
              <w:rPr>
                <w:caps/>
                <w:szCs w:val="24"/>
              </w:rPr>
              <w:t>7</w:t>
            </w:r>
            <w:r w:rsidR="008D18D4">
              <w:rPr>
                <w:caps/>
                <w:szCs w:val="24"/>
              </w:rPr>
              <w:t xml:space="preserve"> </w:t>
            </w:r>
            <w:r w:rsidR="000B07CB">
              <w:rPr>
                <w:caps/>
                <w:szCs w:val="24"/>
              </w:rPr>
              <w:t xml:space="preserve">APRIL </w:t>
            </w:r>
            <w:r w:rsidR="008D18D4">
              <w:rPr>
                <w:caps/>
                <w:szCs w:val="24"/>
              </w:rPr>
              <w:t>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8D18D4">
              <w:rPr>
                <w:caps/>
                <w:szCs w:val="24"/>
              </w:rPr>
              <w:t>SYDNEY</w:t>
            </w:r>
            <w:r>
              <w:rPr>
                <w:caps/>
                <w:szCs w:val="24"/>
              </w:rPr>
              <w:fldChar w:fldCharType="end"/>
            </w:r>
          </w:p>
        </w:tc>
      </w:tr>
    </w:tbl>
    <w:p w:rsidR="00395B24" w:rsidRDefault="00395B24" w:rsidP="002B0E91">
      <w:pPr>
        <w:pStyle w:val="BodyText"/>
      </w:pPr>
    </w:p>
    <w:p w:rsidR="00FC4ECA" w:rsidRDefault="00FC4ECA" w:rsidP="002B0E91">
      <w:pPr>
        <w:pStyle w:val="BodyText"/>
      </w:pPr>
    </w:p>
    <w:p w:rsidR="00395B24" w:rsidRDefault="002C7385" w:rsidP="00EB2CCB">
      <w:pPr>
        <w:pStyle w:val="StyleBold"/>
        <w:keepNext/>
        <w:jc w:val="center"/>
        <w:rPr>
          <w:b/>
        </w:rPr>
      </w:pPr>
      <w:r>
        <w:rPr>
          <w:b/>
        </w:rPr>
        <w:t>REASONS FOR JUDGMENT</w:t>
      </w:r>
    </w:p>
    <w:p w:rsidR="00FC4ECA" w:rsidRDefault="00FC4ECA" w:rsidP="00FC4ECA">
      <w:pPr>
        <w:pStyle w:val="BodyText"/>
      </w:pPr>
    </w:p>
    <w:p w:rsidR="00FC4ECA" w:rsidRPr="00FC4ECA" w:rsidRDefault="00FC4ECA" w:rsidP="00FC4ECA">
      <w:pPr>
        <w:pStyle w:val="Heading2"/>
      </w:pPr>
      <w:r>
        <w:t>1.    Introduction</w:t>
      </w:r>
    </w:p>
    <w:p w:rsidR="00624520" w:rsidRDefault="00746DC2" w:rsidP="003C586F">
      <w:pPr>
        <w:pStyle w:val="ParaNumbering"/>
      </w:pPr>
      <w:r>
        <w:t>This is an application for preliminary discovery brought by Dallas Buyer</w:t>
      </w:r>
      <w:r w:rsidR="001A34EB">
        <w:t>s</w:t>
      </w:r>
      <w:r>
        <w:t xml:space="preserve"> Club LLC, a United States entity which claims to be the owner of the copyright in the </w:t>
      </w:r>
      <w:r w:rsidR="009F2522">
        <w:t xml:space="preserve">2012 </w:t>
      </w:r>
      <w:r w:rsidR="001A34EB">
        <w:t>Jean-Marc</w:t>
      </w:r>
      <w:r>
        <w:t xml:space="preserve"> </w:t>
      </w:r>
      <w:proofErr w:type="spellStart"/>
      <w:r>
        <w:t>Vall</w:t>
      </w:r>
      <w:r w:rsidR="00DC1DD2">
        <w:t>ée</w:t>
      </w:r>
      <w:proofErr w:type="spellEnd"/>
      <w:r w:rsidR="00DC1DD2">
        <w:t xml:space="preserve"> film, </w:t>
      </w:r>
      <w:r w:rsidR="00DC1DD2" w:rsidRPr="00EF3ECA">
        <w:rPr>
          <w:i/>
        </w:rPr>
        <w:t>Dallas Buyers Club</w:t>
      </w:r>
      <w:r w:rsidR="001A34EB" w:rsidRPr="001A34EB">
        <w:t>,</w:t>
      </w:r>
      <w:r w:rsidR="00943D34">
        <w:rPr>
          <w:i/>
        </w:rPr>
        <w:t xml:space="preserve"> </w:t>
      </w:r>
      <w:r w:rsidR="00943D34">
        <w:t>and its parent, Voltage Pictures LLC</w:t>
      </w:r>
      <w:r w:rsidR="001A34EB">
        <w:t xml:space="preserve"> (together</w:t>
      </w:r>
      <w:r w:rsidR="00CA3E4F">
        <w:t>,</w:t>
      </w:r>
      <w:r w:rsidR="001A34EB">
        <w:t xml:space="preserve"> ‘the applicants’)</w:t>
      </w:r>
      <w:r w:rsidR="00DC1DD2">
        <w:t xml:space="preserve">.  </w:t>
      </w:r>
      <w:r w:rsidR="00E14506">
        <w:t>The respondents are six Australian internet service providers (‘ISPs’)</w:t>
      </w:r>
      <w:r w:rsidR="00B74C49">
        <w:t>,</w:t>
      </w:r>
      <w:r w:rsidR="00E14506">
        <w:t xml:space="preserve"> which provide internet access to members of the public and businesses through a variety of means.  </w:t>
      </w:r>
      <w:r w:rsidR="00DC1DD2">
        <w:lastRenderedPageBreak/>
        <w:t xml:space="preserve">Preliminary discovery is a procedure which enables a party who is unable to identify the person who it wishes to sue to seek the assistance of the Court in </w:t>
      </w:r>
      <w:r w:rsidR="009F2522">
        <w:t xml:space="preserve">identifying </w:t>
      </w:r>
      <w:r w:rsidR="00943D34">
        <w:t>that person.</w:t>
      </w:r>
      <w:r w:rsidR="009F2522">
        <w:t xml:space="preserve">  </w:t>
      </w:r>
      <w:r w:rsidR="00DC1DD2">
        <w:t>The applicant</w:t>
      </w:r>
      <w:r w:rsidR="00943D34">
        <w:t>s</w:t>
      </w:r>
      <w:r w:rsidR="00DC1DD2">
        <w:t xml:space="preserve"> say that </w:t>
      </w:r>
      <w:r w:rsidR="00943D34">
        <w:t>they</w:t>
      </w:r>
      <w:r w:rsidR="00DC1DD2">
        <w:t xml:space="preserve"> ha</w:t>
      </w:r>
      <w:r w:rsidR="00943D34">
        <w:t>ve</w:t>
      </w:r>
      <w:r w:rsidR="00DC1DD2">
        <w:t xml:space="preserve"> identified </w:t>
      </w:r>
      <w:r w:rsidR="00CD726A">
        <w:t>4</w:t>
      </w:r>
      <w:r w:rsidR="00DC1DD2">
        <w:t xml:space="preserve">,726 unique IP addresses from which </w:t>
      </w:r>
      <w:r w:rsidR="00943D34">
        <w:t xml:space="preserve">their </w:t>
      </w:r>
      <w:r w:rsidR="00DC1DD2">
        <w:t xml:space="preserve">film was </w:t>
      </w:r>
      <w:r w:rsidR="00943D34">
        <w:t xml:space="preserve">shared </w:t>
      </w:r>
      <w:r w:rsidR="00DC1DD2">
        <w:t xml:space="preserve">on-line using </w:t>
      </w:r>
      <w:proofErr w:type="spellStart"/>
      <w:r w:rsidR="00DC1DD2">
        <w:t>BitTorrent</w:t>
      </w:r>
      <w:proofErr w:type="spellEnd"/>
      <w:r w:rsidR="00DC1DD2">
        <w:t>, a peer-to-peer file sharing network</w:t>
      </w:r>
      <w:r w:rsidR="00EE6614">
        <w:t>,</w:t>
      </w:r>
      <w:r w:rsidR="00DC1DD2">
        <w:t xml:space="preserve"> and that this occurred without </w:t>
      </w:r>
      <w:r w:rsidR="001A34EB">
        <w:t>their permission.  They say</w:t>
      </w:r>
      <w:r w:rsidR="00DC1DD2">
        <w:t xml:space="preserve"> that the people who did this infringed </w:t>
      </w:r>
      <w:r w:rsidR="001A34EB">
        <w:t>their</w:t>
      </w:r>
      <w:r w:rsidR="00DC1DD2">
        <w:t xml:space="preserve"> copyright contrary to the </w:t>
      </w:r>
      <w:r w:rsidR="00DC1DD2">
        <w:rPr>
          <w:i/>
        </w:rPr>
        <w:t xml:space="preserve">Copyright Act 1968 </w:t>
      </w:r>
      <w:r w:rsidR="00DC1DD2">
        <w:t>(</w:t>
      </w:r>
      <w:proofErr w:type="spellStart"/>
      <w:r w:rsidR="00DC1DD2">
        <w:t>Cth</w:t>
      </w:r>
      <w:proofErr w:type="spellEnd"/>
      <w:r w:rsidR="00DC1DD2">
        <w:t>)</w:t>
      </w:r>
      <w:r w:rsidR="001A34EB">
        <w:t xml:space="preserve"> (‘the Copyright Act’)</w:t>
      </w:r>
      <w:r w:rsidR="00DC1DD2">
        <w:t xml:space="preserve">.  </w:t>
      </w:r>
      <w:r w:rsidR="00A4095D">
        <w:t>The applicant</w:t>
      </w:r>
      <w:r w:rsidR="00943D34">
        <w:t>s</w:t>
      </w:r>
      <w:r w:rsidR="00A4095D">
        <w:t xml:space="preserve"> </w:t>
      </w:r>
      <w:r w:rsidR="00CD726A">
        <w:t xml:space="preserve">do not know the identity of </w:t>
      </w:r>
      <w:r w:rsidR="00CA3E4F">
        <w:t xml:space="preserve">the </w:t>
      </w:r>
      <w:r w:rsidR="00CD726A">
        <w:t xml:space="preserve">4,726 </w:t>
      </w:r>
      <w:r w:rsidR="00943D34">
        <w:t>individuals involved in this activity.</w:t>
      </w:r>
      <w:r w:rsidR="00CD726A">
        <w:t xml:space="preserve"> The applicant</w:t>
      </w:r>
      <w:r w:rsidR="00943D34">
        <w:t>s do,</w:t>
      </w:r>
      <w:r w:rsidR="00A4095D">
        <w:t xml:space="preserve"> however, have </w:t>
      </w:r>
      <w:r w:rsidR="00CD726A">
        <w:t xml:space="preserve">evidence that each of the IP addresses </w:t>
      </w:r>
      <w:r w:rsidR="00943D34">
        <w:t xml:space="preserve">from which the sharing occurred </w:t>
      </w:r>
      <w:r w:rsidR="00CD726A">
        <w:t xml:space="preserve">was </w:t>
      </w:r>
      <w:r w:rsidR="00943D34">
        <w:t xml:space="preserve">supplied </w:t>
      </w:r>
      <w:r w:rsidR="00CD726A">
        <w:t xml:space="preserve">by the </w:t>
      </w:r>
      <w:r w:rsidR="00A4095D">
        <w:t xml:space="preserve">respondent </w:t>
      </w:r>
      <w:r w:rsidR="00CD726A">
        <w:t xml:space="preserve">ISPs and </w:t>
      </w:r>
      <w:r w:rsidR="00943D34">
        <w:t>they</w:t>
      </w:r>
      <w:r w:rsidR="00CD726A">
        <w:t xml:space="preserve"> believe that the ISPs can identi</w:t>
      </w:r>
      <w:r w:rsidR="00897008">
        <w:t>f</w:t>
      </w:r>
      <w:r w:rsidR="00CD726A">
        <w:t xml:space="preserve">y the </w:t>
      </w:r>
      <w:r w:rsidR="00897008">
        <w:t xml:space="preserve">relevant </w:t>
      </w:r>
      <w:r w:rsidR="00CD726A">
        <w:t xml:space="preserve">account holder </w:t>
      </w:r>
      <w:r w:rsidR="00FC4ECA">
        <w:t>associated with each IP address</w:t>
      </w:r>
      <w:r w:rsidR="00943D34">
        <w:t>.</w:t>
      </w:r>
      <w:r w:rsidR="00CD726A">
        <w:t xml:space="preserve">  </w:t>
      </w:r>
      <w:r w:rsidR="00EE6614">
        <w:t xml:space="preserve">They do </w:t>
      </w:r>
      <w:r w:rsidR="00CD726A">
        <w:t>not say that the account holder</w:t>
      </w:r>
      <w:r w:rsidR="00A4095D">
        <w:t>s</w:t>
      </w:r>
      <w:r w:rsidR="00CD726A">
        <w:t xml:space="preserve"> and the person</w:t>
      </w:r>
      <w:r w:rsidR="00A4095D">
        <w:t>s</w:t>
      </w:r>
      <w:r w:rsidR="00CA3E4F">
        <w:t xml:space="preserve"> infringing their</w:t>
      </w:r>
      <w:r w:rsidR="00CD726A">
        <w:t xml:space="preserve"> copyright </w:t>
      </w:r>
      <w:r w:rsidR="00A4095D">
        <w:t xml:space="preserve">using </w:t>
      </w:r>
      <w:proofErr w:type="spellStart"/>
      <w:r w:rsidR="00A4095D">
        <w:t>BitTorrent</w:t>
      </w:r>
      <w:proofErr w:type="spellEnd"/>
      <w:r w:rsidR="00A4095D">
        <w:t xml:space="preserve"> </w:t>
      </w:r>
      <w:r w:rsidR="00CD726A">
        <w:t xml:space="preserve">are </w:t>
      </w:r>
      <w:r w:rsidR="00A4095D">
        <w:t xml:space="preserve">necessarily </w:t>
      </w:r>
      <w:r w:rsidR="00CD726A">
        <w:t>the same pe</w:t>
      </w:r>
      <w:r w:rsidR="00A4095D">
        <w:t>ople</w:t>
      </w:r>
      <w:r w:rsidR="00CD726A">
        <w:t xml:space="preserve"> but </w:t>
      </w:r>
      <w:r w:rsidR="00EE6614">
        <w:t xml:space="preserve">they </w:t>
      </w:r>
      <w:r w:rsidR="00CD726A">
        <w:t>do say that some of the</w:t>
      </w:r>
      <w:r w:rsidR="00A4095D">
        <w:t>m</w:t>
      </w:r>
      <w:r w:rsidR="00CD726A">
        <w:t xml:space="preserve"> may be</w:t>
      </w:r>
      <w:r w:rsidR="00A4095D">
        <w:t xml:space="preserve"> </w:t>
      </w:r>
      <w:r w:rsidR="00CD726A">
        <w:t>and, even if they are not, the</w:t>
      </w:r>
      <w:r w:rsidR="006F1C62">
        <w:t xml:space="preserve"> account holders </w:t>
      </w:r>
      <w:r w:rsidR="00CD726A">
        <w:t>may well be able to help the</w:t>
      </w:r>
      <w:r w:rsidR="006F1C62">
        <w:t>m</w:t>
      </w:r>
      <w:r w:rsidR="00CD726A">
        <w:t xml:space="preserve"> in identifying the actual infringers.</w:t>
      </w:r>
    </w:p>
    <w:p w:rsidR="00CD726A" w:rsidRDefault="00430965" w:rsidP="00746DC2">
      <w:pPr>
        <w:pStyle w:val="ParaNumbering"/>
      </w:pPr>
      <w:r>
        <w:t>The ISPs resist the application on many bases.  They say that the evidence which the applicant</w:t>
      </w:r>
      <w:r w:rsidR="006F1C62">
        <w:t>s</w:t>
      </w:r>
      <w:r>
        <w:t xml:space="preserve"> ha</w:t>
      </w:r>
      <w:r w:rsidR="006F1C62">
        <w:t>ve</w:t>
      </w:r>
      <w:r>
        <w:t xml:space="preserve"> put forward to identify the</w:t>
      </w:r>
      <w:r w:rsidR="0054084B">
        <w:t xml:space="preserve"> infringing</w:t>
      </w:r>
      <w:r>
        <w:t xml:space="preserve"> IP addresses is not </w:t>
      </w:r>
      <w:r w:rsidR="006F1C62">
        <w:t>sufficient</w:t>
      </w:r>
      <w:r w:rsidR="001A34EB">
        <w:t xml:space="preserve"> to do so,</w:t>
      </w:r>
      <w:r>
        <w:t xml:space="preserve"> that the claim against any putative </w:t>
      </w:r>
      <w:r w:rsidR="00274AA3">
        <w:t>respondent</w:t>
      </w:r>
      <w:r>
        <w:t xml:space="preserve"> is speculative and that the pre-conditions which must exist before this Court </w:t>
      </w:r>
      <w:r w:rsidR="00A4095D">
        <w:t>is permitted to order</w:t>
      </w:r>
      <w:r>
        <w:t xml:space="preserve"> prelimi</w:t>
      </w:r>
      <w:r w:rsidR="00CA3E4F">
        <w:t>nary discovery have not been satisfied</w:t>
      </w:r>
      <w:r>
        <w:t>.  In that context, the ISPs also de</w:t>
      </w:r>
      <w:r w:rsidR="00514467">
        <w:t>ny that the applicant</w:t>
      </w:r>
      <w:r w:rsidR="006F1C62">
        <w:t>s</w:t>
      </w:r>
      <w:r w:rsidR="00514467">
        <w:t xml:space="preserve"> ha</w:t>
      </w:r>
      <w:r w:rsidR="006F1C62">
        <w:t>ve</w:t>
      </w:r>
      <w:r w:rsidR="00514467">
        <w:t xml:space="preserve"> proven that </w:t>
      </w:r>
      <w:r w:rsidR="006F1C62">
        <w:t xml:space="preserve">either of them </w:t>
      </w:r>
      <w:r w:rsidR="00514467">
        <w:t>is the owner of the copyright in the film.  If all of those contentions are rejected they submit that the Court should not, as a matter of discretion, order them to divulge their customers’ personal</w:t>
      </w:r>
      <w:r w:rsidR="00A4095D">
        <w:t xml:space="preserve"> and </w:t>
      </w:r>
      <w:r w:rsidR="00E14506">
        <w:t>private information</w:t>
      </w:r>
      <w:r w:rsidR="00514467">
        <w:t xml:space="preserve">.  The reasons for this were various.  The </w:t>
      </w:r>
      <w:r w:rsidR="006F1C62">
        <w:t xml:space="preserve">monetary </w:t>
      </w:r>
      <w:r w:rsidR="00514467">
        <w:t>claims which the applicant</w:t>
      </w:r>
      <w:r w:rsidR="00FC4ECA">
        <w:t>s</w:t>
      </w:r>
      <w:r w:rsidR="00514467">
        <w:t xml:space="preserve"> had against each infringer were so small that it was plain that no such case could or would be maintained by the applicant</w:t>
      </w:r>
      <w:r w:rsidR="006F1C62">
        <w:t>s</w:t>
      </w:r>
      <w:r w:rsidR="00514467">
        <w:t xml:space="preserve">.  There was, on this view, no point in ordering the ISPs to </w:t>
      </w:r>
      <w:r w:rsidR="00A4095D">
        <w:t xml:space="preserve">divulge </w:t>
      </w:r>
      <w:r w:rsidR="00514467">
        <w:t>their customers’ details because there was never going to be a court case against the</w:t>
      </w:r>
      <w:r w:rsidR="00A4095D">
        <w:t xml:space="preserve"> customers</w:t>
      </w:r>
      <w:r w:rsidR="00274AA3">
        <w:t xml:space="preserve"> which made any commercial sense</w:t>
      </w:r>
      <w:r w:rsidR="00514467">
        <w:t>.  Allied to that point</w:t>
      </w:r>
      <w:r w:rsidR="006F1C62">
        <w:t>,</w:t>
      </w:r>
      <w:r w:rsidR="00514467">
        <w:t xml:space="preserve"> the ISPs submitted that they were subject to statutory obligations of privacy which, given what they said was the paucity of the case against the</w:t>
      </w:r>
      <w:r w:rsidR="00A4095D">
        <w:t xml:space="preserve"> customers,</w:t>
      </w:r>
      <w:r w:rsidR="00514467">
        <w:t xml:space="preserve"> were not lightly to be cast aside by Court orders.</w:t>
      </w:r>
    </w:p>
    <w:p w:rsidR="00514467" w:rsidRDefault="00514467" w:rsidP="00746DC2">
      <w:pPr>
        <w:pStyle w:val="ParaNumbering"/>
      </w:pPr>
      <w:r>
        <w:t xml:space="preserve">Finally, if the Court were against </w:t>
      </w:r>
      <w:r w:rsidR="006F1C62">
        <w:t xml:space="preserve">all of </w:t>
      </w:r>
      <w:r>
        <w:t xml:space="preserve">these primary submissions and </w:t>
      </w:r>
      <w:r w:rsidR="00A4095D">
        <w:t>w</w:t>
      </w:r>
      <w:r w:rsidR="006F1C62">
        <w:t>ere otherwise</w:t>
      </w:r>
      <w:r w:rsidR="00A4095D">
        <w:t xml:space="preserve"> inclined to </w:t>
      </w:r>
      <w:r>
        <w:t>order the</w:t>
      </w:r>
      <w:r w:rsidR="00A4095D">
        <w:t xml:space="preserve"> ISPs </w:t>
      </w:r>
      <w:r>
        <w:t xml:space="preserve">to divulge the personal details of the 4,726 account holders, </w:t>
      </w:r>
      <w:r w:rsidR="00C34990">
        <w:t xml:space="preserve">it was said that </w:t>
      </w:r>
      <w:r>
        <w:t>the Court should impose two sets of constraints upon the applicant</w:t>
      </w:r>
      <w:r w:rsidR="00C34990">
        <w:t>s</w:t>
      </w:r>
      <w:r>
        <w:t xml:space="preserve">.  First, </w:t>
      </w:r>
      <w:r w:rsidR="00C34990">
        <w:t>they</w:t>
      </w:r>
      <w:r>
        <w:t xml:space="preserve"> should not be permitted to send what were referred to </w:t>
      </w:r>
      <w:r w:rsidR="006F1C62">
        <w:t xml:space="preserve">at the hearing </w:t>
      </w:r>
      <w:r>
        <w:t xml:space="preserve">as ‘speculative invoices’ </w:t>
      </w:r>
      <w:r>
        <w:lastRenderedPageBreak/>
        <w:t xml:space="preserve">to the account holders.  Secondly, the Court should ensure that, whatever </w:t>
      </w:r>
      <w:r w:rsidR="006F1C62">
        <w:t xml:space="preserve">else </w:t>
      </w:r>
      <w:r>
        <w:t>happened, the privacy of the account holders was adequately protected.</w:t>
      </w:r>
    </w:p>
    <w:p w:rsidR="00514467" w:rsidRDefault="00514467" w:rsidP="00746DC2">
      <w:pPr>
        <w:pStyle w:val="ParaNumbering"/>
      </w:pPr>
      <w:r>
        <w:t>The ISPs have put nearly everything in issue</w:t>
      </w:r>
      <w:r w:rsidR="001A34EB">
        <w:t>,</w:t>
      </w:r>
      <w:r>
        <w:t xml:space="preserve"> so there are a large number of matters which the Court must resolve.  The structure of these reasons is as follows:</w:t>
      </w:r>
    </w:p>
    <w:p w:rsidR="00514467" w:rsidRDefault="00EA6FD9" w:rsidP="00E93999">
      <w:pPr>
        <w:pStyle w:val="ListNo1"/>
        <w:numPr>
          <w:ilvl w:val="0"/>
          <w:numId w:val="25"/>
        </w:numPr>
      </w:pPr>
      <w:r w:rsidRPr="00605F88">
        <w:t>Introduction</w:t>
      </w:r>
    </w:p>
    <w:p w:rsidR="00890D7F" w:rsidRDefault="00890D7F" w:rsidP="00E93999">
      <w:pPr>
        <w:pStyle w:val="ListNo1"/>
        <w:numPr>
          <w:ilvl w:val="0"/>
          <w:numId w:val="25"/>
        </w:numPr>
      </w:pPr>
      <w:r w:rsidRPr="00605F88">
        <w:t>The Expert Evidence</w:t>
      </w:r>
    </w:p>
    <w:p w:rsidR="00890D7F" w:rsidRDefault="00890D7F" w:rsidP="00E93999">
      <w:pPr>
        <w:pStyle w:val="ListNo1"/>
        <w:numPr>
          <w:ilvl w:val="0"/>
          <w:numId w:val="25"/>
        </w:numPr>
      </w:pPr>
      <w:proofErr w:type="spellStart"/>
      <w:r w:rsidRPr="00605F88">
        <w:t>BitTorrent</w:t>
      </w:r>
      <w:proofErr w:type="spellEnd"/>
      <w:r w:rsidRPr="00605F88">
        <w:t xml:space="preserve"> </w:t>
      </w:r>
      <w:r w:rsidR="00F001F8">
        <w:t xml:space="preserve">and </w:t>
      </w:r>
      <w:proofErr w:type="spellStart"/>
      <w:r w:rsidR="00F001F8">
        <w:t>Maveri</w:t>
      </w:r>
      <w:r>
        <w:t>k</w:t>
      </w:r>
      <w:proofErr w:type="spellEnd"/>
      <w:r w:rsidR="001A34EB">
        <w:t xml:space="preserve"> Monitor</w:t>
      </w:r>
    </w:p>
    <w:p w:rsidR="00890D7F" w:rsidRDefault="001A34EB" w:rsidP="00E93999">
      <w:pPr>
        <w:pStyle w:val="ListNo1"/>
        <w:numPr>
          <w:ilvl w:val="0"/>
          <w:numId w:val="25"/>
        </w:numPr>
      </w:pPr>
      <w:r>
        <w:t>Who O</w:t>
      </w:r>
      <w:r w:rsidR="00890D7F">
        <w:t xml:space="preserve">wns the </w:t>
      </w:r>
      <w:r>
        <w:t>C</w:t>
      </w:r>
      <w:r w:rsidR="00890D7F" w:rsidRPr="00605F88">
        <w:t xml:space="preserve">opyright in the </w:t>
      </w:r>
      <w:r>
        <w:t>F</w:t>
      </w:r>
      <w:r w:rsidR="00890D7F" w:rsidRPr="00605F88">
        <w:t>ilm</w:t>
      </w:r>
    </w:p>
    <w:p w:rsidR="00890D7F" w:rsidRDefault="00890D7F" w:rsidP="00E93999">
      <w:pPr>
        <w:pStyle w:val="ListNo1"/>
        <w:numPr>
          <w:ilvl w:val="0"/>
          <w:numId w:val="25"/>
        </w:numPr>
      </w:pPr>
      <w:r>
        <w:t>T</w:t>
      </w:r>
      <w:r w:rsidRPr="00605F88">
        <w:t xml:space="preserve">he </w:t>
      </w:r>
      <w:r>
        <w:t>R</w:t>
      </w:r>
      <w:r w:rsidRPr="00605F88">
        <w:t xml:space="preserve">equirements for </w:t>
      </w:r>
      <w:r>
        <w:t>P</w:t>
      </w:r>
      <w:r w:rsidRPr="00605F88">
        <w:t xml:space="preserve">reliminary </w:t>
      </w:r>
      <w:r>
        <w:t>D</w:t>
      </w:r>
      <w:r w:rsidRPr="00605F88">
        <w:t>iscovery</w:t>
      </w:r>
    </w:p>
    <w:p w:rsidR="00890D7F" w:rsidRDefault="00890D7F" w:rsidP="00E93999">
      <w:pPr>
        <w:pStyle w:val="ListNo1"/>
        <w:numPr>
          <w:ilvl w:val="0"/>
          <w:numId w:val="25"/>
        </w:numPr>
      </w:pPr>
      <w:r>
        <w:t>The Exercise of the Discretion</w:t>
      </w:r>
    </w:p>
    <w:p w:rsidR="00890D7F" w:rsidRDefault="00890D7F" w:rsidP="00E93999">
      <w:pPr>
        <w:pStyle w:val="ListNo1"/>
        <w:numPr>
          <w:ilvl w:val="0"/>
          <w:numId w:val="25"/>
        </w:numPr>
      </w:pPr>
      <w:r>
        <w:t>Relief</w:t>
      </w:r>
    </w:p>
    <w:p w:rsidR="00890D7F" w:rsidRPr="00605F88" w:rsidRDefault="00890D7F" w:rsidP="00E93999">
      <w:pPr>
        <w:pStyle w:val="ListNo1"/>
        <w:numPr>
          <w:ilvl w:val="0"/>
          <w:numId w:val="25"/>
        </w:numPr>
      </w:pPr>
      <w:r>
        <w:t>Interlocutory Rulings</w:t>
      </w:r>
    </w:p>
    <w:p w:rsidR="00EA6FD9" w:rsidRDefault="000011EC" w:rsidP="00EA6FD9">
      <w:pPr>
        <w:pStyle w:val="ParaNumbering"/>
      </w:pPr>
      <w:r>
        <w:t xml:space="preserve">My conclusions are these: </w:t>
      </w:r>
      <w:r w:rsidR="00EA6FD9">
        <w:t>I will order the ISPs to divulge the name</w:t>
      </w:r>
      <w:r w:rsidR="00C34990">
        <w:t>s</w:t>
      </w:r>
      <w:r w:rsidR="00EA6FD9">
        <w:t xml:space="preserve"> and physical address</w:t>
      </w:r>
      <w:r w:rsidR="00C34990">
        <w:t>es</w:t>
      </w:r>
      <w:r w:rsidR="00EA6FD9">
        <w:t xml:space="preserve"> of the customers associated in their records with each of the 4,726 IP addresses.  I will impose upon the applicant</w:t>
      </w:r>
      <w:r w:rsidR="006F1C62">
        <w:t>s</w:t>
      </w:r>
      <w:r w:rsidR="00EA6FD9">
        <w:t xml:space="preserve"> a condition that this information only be used for the purposes of recovering compensation for the infringements and is not otherwise to be disclosed without the leave of this Court.  I will also impose a condition on the applicant</w:t>
      </w:r>
      <w:r w:rsidR="006F1C62">
        <w:t>s</w:t>
      </w:r>
      <w:r w:rsidR="00EA6FD9">
        <w:t xml:space="preserve"> that </w:t>
      </w:r>
      <w:r w:rsidR="006F1C62">
        <w:t xml:space="preserve">they are </w:t>
      </w:r>
      <w:r>
        <w:t xml:space="preserve">to </w:t>
      </w:r>
      <w:r w:rsidR="00EA6FD9">
        <w:t xml:space="preserve">submit to me a draft of any letter </w:t>
      </w:r>
      <w:r w:rsidR="006F1C62">
        <w:t>they</w:t>
      </w:r>
      <w:r w:rsidR="00EA6FD9">
        <w:t xml:space="preserve"> propose to send to account holders associated with the IP addresses which have been identified.</w:t>
      </w:r>
      <w:r w:rsidR="00C34990">
        <w:t xml:space="preserve">  The applicants will pay the costs of the proceedings.</w:t>
      </w:r>
    </w:p>
    <w:p w:rsidR="00EA6FD9" w:rsidRDefault="00485605" w:rsidP="00485605">
      <w:pPr>
        <w:pStyle w:val="Heading2"/>
      </w:pPr>
      <w:r>
        <w:t xml:space="preserve">2.  </w:t>
      </w:r>
      <w:r w:rsidR="00FC4ECA">
        <w:t xml:space="preserve">  </w:t>
      </w:r>
      <w:r w:rsidR="000011EC">
        <w:t>The Expert Evidence</w:t>
      </w:r>
    </w:p>
    <w:p w:rsidR="00485605" w:rsidRDefault="00485605" w:rsidP="00485605">
      <w:pPr>
        <w:pStyle w:val="ParaNumbering"/>
      </w:pPr>
      <w:r>
        <w:t>Generally speaking</w:t>
      </w:r>
      <w:r w:rsidR="001A34EB">
        <w:t>,</w:t>
      </w:r>
      <w:r>
        <w:t xml:space="preserve"> applications for preliminary discovery </w:t>
      </w:r>
      <w:r w:rsidR="00B74C49">
        <w:t>ought</w:t>
      </w:r>
      <w:r>
        <w:t xml:space="preserve"> not</w:t>
      </w:r>
      <w:r w:rsidR="00B74C49">
        <w:t xml:space="preserve"> to</w:t>
      </w:r>
      <w:r>
        <w:t xml:space="preserve"> involve the cross-examination of witnesses.  The procedure is intended to be brief and is not intended to devolve into a trial of the underlying matter (here, whether the persons who used </w:t>
      </w:r>
      <w:proofErr w:type="spellStart"/>
      <w:r>
        <w:t>BitTorrent</w:t>
      </w:r>
      <w:proofErr w:type="spellEnd"/>
      <w:r>
        <w:t xml:space="preserve"> to share </w:t>
      </w:r>
      <w:r w:rsidRPr="00EF3ECA">
        <w:rPr>
          <w:i/>
        </w:rPr>
        <w:t>Dallas Buyers Club</w:t>
      </w:r>
      <w:r>
        <w:t xml:space="preserve"> infringed copyright).  Thus the evidence utilised is ordinarily in written affidavit form and does not involve any cross-examination of the witness who has sworn the affidavit.</w:t>
      </w:r>
    </w:p>
    <w:p w:rsidR="00485605" w:rsidRDefault="00485605" w:rsidP="00485605">
      <w:pPr>
        <w:pStyle w:val="ParaNumbering"/>
      </w:pPr>
      <w:r>
        <w:t>On the issue of how the</w:t>
      </w:r>
      <w:r w:rsidR="00C34990">
        <w:t>y</w:t>
      </w:r>
      <w:r>
        <w:t xml:space="preserve"> identified </w:t>
      </w:r>
      <w:r w:rsidR="00C34990">
        <w:t>t</w:t>
      </w:r>
      <w:r>
        <w:t xml:space="preserve">he 4,726 </w:t>
      </w:r>
      <w:r w:rsidR="000011EC">
        <w:t xml:space="preserve">IP </w:t>
      </w:r>
      <w:r>
        <w:t xml:space="preserve">addresses </w:t>
      </w:r>
      <w:r w:rsidR="00C34990">
        <w:t xml:space="preserve">that </w:t>
      </w:r>
      <w:r w:rsidR="000011EC">
        <w:t xml:space="preserve">had been </w:t>
      </w:r>
      <w:r>
        <w:t xml:space="preserve">used to share </w:t>
      </w:r>
      <w:r w:rsidRPr="00EF3ECA">
        <w:rPr>
          <w:i/>
        </w:rPr>
        <w:t>Dallas Buyers Clu</w:t>
      </w:r>
      <w:r w:rsidR="002543D0" w:rsidRPr="00EF3ECA">
        <w:rPr>
          <w:i/>
        </w:rPr>
        <w:t>b</w:t>
      </w:r>
      <w:r>
        <w:rPr>
          <w:b/>
        </w:rPr>
        <w:t xml:space="preserve"> </w:t>
      </w:r>
      <w:r w:rsidR="002543D0">
        <w:t xml:space="preserve">using </w:t>
      </w:r>
      <w:proofErr w:type="spellStart"/>
      <w:r w:rsidR="002543D0">
        <w:t>BitTorrent</w:t>
      </w:r>
      <w:proofErr w:type="spellEnd"/>
      <w:r w:rsidR="002543D0">
        <w:t xml:space="preserve"> the applicant</w:t>
      </w:r>
      <w:r w:rsidR="006F1C62">
        <w:t>s</w:t>
      </w:r>
      <w:r w:rsidR="002543D0">
        <w:t xml:space="preserve"> filed two statements.  These were:</w:t>
      </w:r>
    </w:p>
    <w:p w:rsidR="000336FA" w:rsidRDefault="000011EC" w:rsidP="00E93999">
      <w:pPr>
        <w:pStyle w:val="ListNo1"/>
        <w:numPr>
          <w:ilvl w:val="0"/>
          <w:numId w:val="26"/>
        </w:numPr>
      </w:pPr>
      <w:r>
        <w:t>t</w:t>
      </w:r>
      <w:r w:rsidR="000336FA">
        <w:t xml:space="preserve">he expert report of Dr </w:t>
      </w:r>
      <w:r w:rsidR="008A070D">
        <w:t>Simone</w:t>
      </w:r>
      <w:r w:rsidR="000336FA">
        <w:t xml:space="preserve"> Richter; and</w:t>
      </w:r>
    </w:p>
    <w:p w:rsidR="00890D7F" w:rsidRDefault="00890D7F" w:rsidP="00E93999">
      <w:pPr>
        <w:pStyle w:val="ListNo1"/>
        <w:numPr>
          <w:ilvl w:val="0"/>
          <w:numId w:val="26"/>
        </w:numPr>
      </w:pPr>
      <w:r>
        <w:lastRenderedPageBreak/>
        <w:t xml:space="preserve">the affidavit of Mr Daniel </w:t>
      </w:r>
      <w:proofErr w:type="spellStart"/>
      <w:r>
        <w:t>Macek</w:t>
      </w:r>
      <w:proofErr w:type="spellEnd"/>
    </w:p>
    <w:p w:rsidR="000336FA" w:rsidRDefault="000336FA" w:rsidP="000336FA">
      <w:pPr>
        <w:pStyle w:val="NoNum"/>
      </w:pPr>
      <w:r>
        <w:t xml:space="preserve">both of </w:t>
      </w:r>
      <w:r w:rsidR="001A34EB">
        <w:t>Germany</w:t>
      </w:r>
      <w:r>
        <w:t xml:space="preserve">.  These addressed entirely different matters but at the heart of both was a piece of software called </w:t>
      </w:r>
      <w:proofErr w:type="spellStart"/>
      <w:r>
        <w:t>Maverik</w:t>
      </w:r>
      <w:proofErr w:type="spellEnd"/>
      <w:r w:rsidR="001A34EB">
        <w:t xml:space="preserve"> Monitor 1.47 (‘</w:t>
      </w:r>
      <w:proofErr w:type="spellStart"/>
      <w:r w:rsidR="001A34EB">
        <w:t>Maverik</w:t>
      </w:r>
      <w:proofErr w:type="spellEnd"/>
      <w:r w:rsidR="001A34EB">
        <w:t xml:space="preserve"> Monitor’)</w:t>
      </w:r>
      <w:r w:rsidR="00F001F8">
        <w:t xml:space="preserve">.  </w:t>
      </w:r>
      <w:proofErr w:type="spellStart"/>
      <w:r w:rsidR="00F001F8">
        <w:t>Maveri</w:t>
      </w:r>
      <w:r>
        <w:t>k</w:t>
      </w:r>
      <w:proofErr w:type="spellEnd"/>
      <w:r w:rsidR="001A34EB">
        <w:t xml:space="preserve"> Monitor</w:t>
      </w:r>
      <w:r>
        <w:t xml:space="preserve"> is said by the applicant</w:t>
      </w:r>
      <w:r w:rsidR="00934622">
        <w:t>s</w:t>
      </w:r>
      <w:r>
        <w:t xml:space="preserve"> to be able to identify IP addresses which are sharing a given file using </w:t>
      </w:r>
      <w:proofErr w:type="spellStart"/>
      <w:r>
        <w:t>BitTorrent</w:t>
      </w:r>
      <w:proofErr w:type="spellEnd"/>
      <w:r w:rsidR="001A34EB">
        <w:t xml:space="preserve">, </w:t>
      </w:r>
      <w:r>
        <w:t>together with the identity of the relevant internet service provider.</w:t>
      </w:r>
    </w:p>
    <w:p w:rsidR="000336FA" w:rsidRDefault="000336FA" w:rsidP="000011EC">
      <w:pPr>
        <w:pStyle w:val="ParaNumbering"/>
      </w:pPr>
      <w:r>
        <w:t>Dr Richter’s evidence</w:t>
      </w:r>
      <w:r w:rsidR="00934622">
        <w:t>,</w:t>
      </w:r>
      <w:r>
        <w:t xml:space="preserve"> which is expressed </w:t>
      </w:r>
      <w:r w:rsidR="00934622">
        <w:t xml:space="preserve">in terms </w:t>
      </w:r>
      <w:r>
        <w:t>to be an expert opinion</w:t>
      </w:r>
      <w:r w:rsidR="00934622">
        <w:t>,</w:t>
      </w:r>
      <w:r>
        <w:t xml:space="preserve"> explains </w:t>
      </w:r>
      <w:r w:rsidR="00282254">
        <w:t xml:space="preserve">the nature of </w:t>
      </w:r>
      <w:proofErr w:type="spellStart"/>
      <w:r w:rsidR="00282254">
        <w:t>BitTorrent</w:t>
      </w:r>
      <w:proofErr w:type="spellEnd"/>
      <w:r w:rsidR="00F001F8">
        <w:t xml:space="preserve"> and her analysis of the </w:t>
      </w:r>
      <w:proofErr w:type="spellStart"/>
      <w:r w:rsidR="00F001F8">
        <w:t>Maveri</w:t>
      </w:r>
      <w:r w:rsidR="00282254">
        <w:t>k</w:t>
      </w:r>
      <w:proofErr w:type="spellEnd"/>
      <w:r w:rsidR="001A34EB">
        <w:t xml:space="preserve"> Monitor</w:t>
      </w:r>
      <w:r w:rsidR="00282254">
        <w:t xml:space="preserve"> software.</w:t>
      </w:r>
      <w:r w:rsidR="000011EC">
        <w:t xml:space="preserve">  It was prepared specifically to meet any challenge that might be launched ag</w:t>
      </w:r>
      <w:r w:rsidR="00F001F8">
        <w:t xml:space="preserve">ainst the reliability of </w:t>
      </w:r>
      <w:proofErr w:type="spellStart"/>
      <w:r w:rsidR="00F001F8">
        <w:t>Maveri</w:t>
      </w:r>
      <w:r w:rsidR="000011EC">
        <w:t>k</w:t>
      </w:r>
      <w:proofErr w:type="spellEnd"/>
      <w:r w:rsidR="001A34EB">
        <w:t xml:space="preserve"> Monitor</w:t>
      </w:r>
      <w:r w:rsidR="000011EC">
        <w:t>.  I will return to Dr Richter’s report in more detail below but for now, to get the flavour of the point, it is enough to set out the questions which she was a</w:t>
      </w:r>
      <w:r w:rsidR="00F001F8">
        <w:t xml:space="preserve">sked to answer about the </w:t>
      </w:r>
      <w:proofErr w:type="spellStart"/>
      <w:r w:rsidR="00F001F8">
        <w:t>Maveri</w:t>
      </w:r>
      <w:r w:rsidR="000011EC">
        <w:t>k</w:t>
      </w:r>
      <w:proofErr w:type="spellEnd"/>
      <w:r w:rsidR="001A34EB">
        <w:t xml:space="preserve"> Monitor </w:t>
      </w:r>
      <w:r w:rsidR="000011EC">
        <w:t>software.  These were as follows:</w:t>
      </w:r>
    </w:p>
    <w:p w:rsidR="000011EC" w:rsidRDefault="001A34EB" w:rsidP="00CD64DF">
      <w:pPr>
        <w:pStyle w:val="Quote1"/>
        <w:spacing w:before="120" w:after="120"/>
      </w:pPr>
      <w:r>
        <w:t>‘</w:t>
      </w:r>
      <w:r w:rsidR="000011EC">
        <w:t>2.2</w:t>
      </w:r>
      <w:r w:rsidR="000011EC">
        <w:tab/>
        <w:t>The questions which I was instructed to answer are:</w:t>
      </w:r>
    </w:p>
    <w:p w:rsidR="000011EC" w:rsidRDefault="000011EC" w:rsidP="00CD64DF">
      <w:pPr>
        <w:pStyle w:val="Quote2"/>
        <w:spacing w:before="120" w:after="120"/>
        <w:ind w:left="2160" w:right="734" w:hanging="720"/>
      </w:pPr>
      <w:r>
        <w:t>(a)</w:t>
      </w:r>
      <w:r>
        <w:tab/>
        <w:t xml:space="preserve">Is the Software capable of accurately detecting and recording copies of data being shared from a Subscriber’s IP Address taking place on </w:t>
      </w:r>
      <w:proofErr w:type="spellStart"/>
      <w:r>
        <w:t>BitTorrent</w:t>
      </w:r>
      <w:proofErr w:type="spellEnd"/>
      <w:r>
        <w:t xml:space="preserve"> networ</w:t>
      </w:r>
      <w:r w:rsidR="00F62FD8">
        <w:t>k</w:t>
      </w:r>
      <w:r>
        <w:t>s?</w:t>
      </w:r>
    </w:p>
    <w:p w:rsidR="00AF5E39" w:rsidRDefault="00AF5E39" w:rsidP="00CD64DF">
      <w:pPr>
        <w:pStyle w:val="Quote2"/>
        <w:spacing w:before="120" w:after="120"/>
        <w:ind w:left="2160" w:right="734" w:hanging="720"/>
      </w:pPr>
      <w:r>
        <w:t>(b)</w:t>
      </w:r>
      <w:r>
        <w:tab/>
        <w:t>How does the System function?</w:t>
      </w:r>
    </w:p>
    <w:p w:rsidR="00AF5E39" w:rsidRDefault="00AF5E39" w:rsidP="00F62FD8">
      <w:pPr>
        <w:pStyle w:val="Quote3"/>
        <w:spacing w:before="120" w:after="120"/>
        <w:ind w:left="2880" w:right="734" w:hanging="720"/>
      </w:pPr>
      <w:r>
        <w:t>(</w:t>
      </w:r>
      <w:proofErr w:type="spellStart"/>
      <w:r>
        <w:t>i</w:t>
      </w:r>
      <w:proofErr w:type="spellEnd"/>
      <w:r>
        <w:t>)</w:t>
      </w:r>
      <w:r>
        <w:tab/>
        <w:t>Is there likelihood for erroneous information to be recorded by the Software?</w:t>
      </w:r>
    </w:p>
    <w:p w:rsidR="00AF5E39" w:rsidRDefault="00AF5E39" w:rsidP="00F62FD8">
      <w:pPr>
        <w:pStyle w:val="Quote3"/>
        <w:spacing w:before="120" w:after="120"/>
        <w:ind w:left="2880" w:right="734" w:hanging="720"/>
      </w:pPr>
      <w:r>
        <w:t>(ii)</w:t>
      </w:r>
      <w:r>
        <w:tab/>
        <w:t>Can the information recorded by the Software be manipulated by a user?</w:t>
      </w:r>
    </w:p>
    <w:p w:rsidR="00AF5E39" w:rsidRDefault="00AF5E39" w:rsidP="00F62FD8">
      <w:pPr>
        <w:pStyle w:val="Quote3"/>
        <w:spacing w:before="120" w:after="120"/>
        <w:ind w:left="2880" w:right="734" w:hanging="720"/>
      </w:pPr>
      <w:r>
        <w:t>(iii)</w:t>
      </w:r>
      <w:r>
        <w:tab/>
        <w:t xml:space="preserve">When the System engages in a </w:t>
      </w:r>
      <w:proofErr w:type="spellStart"/>
      <w:r>
        <w:t>BitTorrent</w:t>
      </w:r>
      <w:proofErr w:type="spellEnd"/>
      <w:r>
        <w:t xml:space="preserve"> transaction with a remote computer, is the System able to accurately record the IP address of the remote computer with the date and time?</w:t>
      </w:r>
    </w:p>
    <w:p w:rsidR="00AF5E39" w:rsidRDefault="00AF5E39" w:rsidP="00F62FD8">
      <w:pPr>
        <w:pStyle w:val="Quote3"/>
        <w:spacing w:before="120" w:after="120"/>
        <w:ind w:left="2880" w:right="734" w:hanging="720"/>
      </w:pPr>
      <w:r>
        <w:t>(iv)</w:t>
      </w:r>
      <w:r>
        <w:tab/>
        <w:t>What is the link between hash value and IP address, and does the System record this information accurately?</w:t>
      </w:r>
    </w:p>
    <w:p w:rsidR="00AF5E39" w:rsidRDefault="00AF5E39" w:rsidP="00F62FD8">
      <w:pPr>
        <w:pStyle w:val="Quote3"/>
        <w:spacing w:before="120" w:after="120"/>
        <w:ind w:left="2880" w:right="734" w:hanging="720"/>
      </w:pPr>
      <w:r>
        <w:t>(v)</w:t>
      </w:r>
      <w:r>
        <w:tab/>
        <w:t>What procedures are in place to ensure that the IP address recorded was allocated to the correct Subscriber at the time of the alleged copyright infringement?</w:t>
      </w:r>
    </w:p>
    <w:p w:rsidR="00AF5E39" w:rsidRDefault="00AF5E39" w:rsidP="00F62FD8">
      <w:pPr>
        <w:pStyle w:val="Quote3"/>
        <w:spacing w:before="120" w:after="120"/>
        <w:ind w:left="2880" w:right="734" w:hanging="720"/>
      </w:pPr>
      <w:r>
        <w:t>(vi)</w:t>
      </w:r>
      <w:r>
        <w:tab/>
        <w:t>What is the ‘anti-leech mod’ and how does it affect the System’s reliability?</w:t>
      </w:r>
    </w:p>
    <w:p w:rsidR="00AF5E39" w:rsidRDefault="00AF5E39" w:rsidP="00F62FD8">
      <w:pPr>
        <w:pStyle w:val="Quote3"/>
        <w:spacing w:before="120" w:after="120"/>
        <w:ind w:left="2880" w:right="734" w:hanging="720"/>
      </w:pPr>
      <w:r>
        <w:t>(vii)</w:t>
      </w:r>
      <w:r>
        <w:tab/>
        <w:t>What are dynamic IP addresses and what effect (if any) do these have on the accuracy of the information recorded by the System?</w:t>
      </w:r>
    </w:p>
    <w:p w:rsidR="00AF5E39" w:rsidRDefault="00AF5E39" w:rsidP="00F62FD8">
      <w:pPr>
        <w:pStyle w:val="Quote3"/>
        <w:spacing w:before="120" w:after="120"/>
        <w:ind w:left="2880" w:right="734" w:hanging="720"/>
      </w:pPr>
      <w:r>
        <w:t>(viii)</w:t>
      </w:r>
      <w:r>
        <w:tab/>
        <w:t>What are hash collisions and how do they affect the accuracy of the information recorded by the System?</w:t>
      </w:r>
    </w:p>
    <w:p w:rsidR="00AF5E39" w:rsidRDefault="00AF5E39" w:rsidP="00F62FD8">
      <w:pPr>
        <w:pStyle w:val="Quote2"/>
        <w:spacing w:before="180"/>
        <w:ind w:right="734"/>
      </w:pPr>
      <w:r>
        <w:t>(c)</w:t>
      </w:r>
      <w:r>
        <w:tab/>
        <w:t>Does the System download from a source computer the full file?</w:t>
      </w:r>
      <w:r w:rsidR="00F7654F">
        <w:t>’</w:t>
      </w:r>
    </w:p>
    <w:p w:rsidR="00AF5E39" w:rsidRDefault="00AF5E39" w:rsidP="00AF5E39">
      <w:pPr>
        <w:pStyle w:val="Quote2"/>
      </w:pPr>
    </w:p>
    <w:p w:rsidR="00124FE4" w:rsidRDefault="00934622" w:rsidP="00321917">
      <w:pPr>
        <w:pStyle w:val="ParaNumbering"/>
      </w:pPr>
      <w:r>
        <w:t>I</w:t>
      </w:r>
      <w:r w:rsidR="00321917">
        <w:t xml:space="preserve">n their submissions to this Court </w:t>
      </w:r>
      <w:r>
        <w:t xml:space="preserve">the ISPs </w:t>
      </w:r>
      <w:r w:rsidR="00321917">
        <w:t xml:space="preserve">contended that there was uncertainty </w:t>
      </w:r>
      <w:r w:rsidR="00F001F8">
        <w:t xml:space="preserve">about the reliability of </w:t>
      </w:r>
      <w:proofErr w:type="spellStart"/>
      <w:r w:rsidR="00F001F8">
        <w:t>Maveri</w:t>
      </w:r>
      <w:r w:rsidR="00321917">
        <w:t>k</w:t>
      </w:r>
      <w:proofErr w:type="spellEnd"/>
      <w:r w:rsidR="00F7654F">
        <w:t xml:space="preserve"> Monitor</w:t>
      </w:r>
      <w:r w:rsidR="00321917">
        <w:t xml:space="preserve"> particularly in relation to its recording of </w:t>
      </w:r>
      <w:r w:rsidR="00321917">
        <w:rPr>
          <w:i/>
        </w:rPr>
        <w:t xml:space="preserve">when </w:t>
      </w:r>
      <w:r w:rsidR="00321917">
        <w:t xml:space="preserve">the uploading </w:t>
      </w:r>
      <w:r w:rsidR="00321917">
        <w:lastRenderedPageBreak/>
        <w:t xml:space="preserve">of a film had occurred which was suggested, in light of the existence of dynamic IP addresses, to be </w:t>
      </w:r>
      <w:r>
        <w:t xml:space="preserve">an </w:t>
      </w:r>
      <w:r w:rsidR="00321917">
        <w:t>important</w:t>
      </w:r>
      <w:r>
        <w:t xml:space="preserve"> matter</w:t>
      </w:r>
      <w:r w:rsidR="00321917">
        <w:t xml:space="preserve">.  </w:t>
      </w:r>
      <w:r w:rsidR="007C215C">
        <w:t>It will be observed that a</w:t>
      </w:r>
      <w:r>
        <w:t>mongst the</w:t>
      </w:r>
      <w:r w:rsidR="007C215C">
        <w:t xml:space="preserve"> question</w:t>
      </w:r>
      <w:r>
        <w:t>s set out above</w:t>
      </w:r>
      <w:r w:rsidR="007C215C">
        <w:t xml:space="preserve"> which Dr Richter was asked to answer </w:t>
      </w:r>
      <w:r>
        <w:t xml:space="preserve">were </w:t>
      </w:r>
      <w:r w:rsidR="007C215C">
        <w:t>questions ab</w:t>
      </w:r>
      <w:r w:rsidR="00F001F8">
        <w:t xml:space="preserve">out the reliability of </w:t>
      </w:r>
      <w:proofErr w:type="spellStart"/>
      <w:r w:rsidR="00F001F8">
        <w:t>Maveri</w:t>
      </w:r>
      <w:r w:rsidR="007C215C">
        <w:t>k</w:t>
      </w:r>
      <w:proofErr w:type="spellEnd"/>
      <w:r w:rsidR="00F7654F">
        <w:t xml:space="preserve"> Monitor</w:t>
      </w:r>
      <w:r w:rsidR="00B74C49">
        <w:t xml:space="preserve"> (at 2.2(a) and (b)(</w:t>
      </w:r>
      <w:proofErr w:type="spellStart"/>
      <w:r w:rsidR="00B74C49">
        <w:t>i</w:t>
      </w:r>
      <w:proofErr w:type="spellEnd"/>
      <w:r w:rsidR="00B74C49">
        <w:t>))</w:t>
      </w:r>
      <w:r>
        <w:t>,</w:t>
      </w:r>
      <w:r w:rsidR="007C215C">
        <w:t xml:space="preserve"> its ability accurately </w:t>
      </w:r>
      <w:r>
        <w:t xml:space="preserve">to </w:t>
      </w:r>
      <w:r w:rsidR="007C215C">
        <w:t>record the time of</w:t>
      </w:r>
      <w:r w:rsidR="00C34990">
        <w:t xml:space="preserve"> a</w:t>
      </w:r>
      <w:r w:rsidR="007C215C">
        <w:t xml:space="preserve"> download </w:t>
      </w:r>
      <w:r w:rsidR="00B74C49">
        <w:t xml:space="preserve">(at 2.2(b)(iii)) </w:t>
      </w:r>
      <w:r w:rsidR="007C215C">
        <w:t>and t</w:t>
      </w:r>
      <w:r w:rsidR="00F7654F">
        <w:t>he impact of dynamic IP address</w:t>
      </w:r>
      <w:r w:rsidR="007C215C">
        <w:t>e</w:t>
      </w:r>
      <w:r>
        <w:t>s</w:t>
      </w:r>
      <w:r w:rsidR="00F001F8">
        <w:t xml:space="preserve"> on the </w:t>
      </w:r>
      <w:proofErr w:type="spellStart"/>
      <w:r w:rsidR="00F001F8">
        <w:t>Maveri</w:t>
      </w:r>
      <w:r w:rsidR="007C215C">
        <w:t>k</w:t>
      </w:r>
      <w:proofErr w:type="spellEnd"/>
      <w:r w:rsidR="00F7654F">
        <w:t xml:space="preserve"> Monitor</w:t>
      </w:r>
      <w:r w:rsidR="007C215C">
        <w:t xml:space="preserve"> software</w:t>
      </w:r>
      <w:r>
        <w:t>’s reliability</w:t>
      </w:r>
      <w:r w:rsidR="00B74C49">
        <w:t xml:space="preserve"> (at 2.2(b)(vii))</w:t>
      </w:r>
      <w:r w:rsidR="007C215C">
        <w:t xml:space="preserve">.  In </w:t>
      </w:r>
      <w:r w:rsidR="00C34990">
        <w:t>her</w:t>
      </w:r>
      <w:r w:rsidR="007C215C">
        <w:t xml:space="preserve"> 27 page report, Dr Richter answered all of these questions</w:t>
      </w:r>
      <w:r>
        <w:t xml:space="preserve"> </w:t>
      </w:r>
      <w:r w:rsidR="00C34990">
        <w:t>i</w:t>
      </w:r>
      <w:r>
        <w:t>n detail</w:t>
      </w:r>
      <w:r w:rsidR="007C215C">
        <w:t>.  Lest there be any confusion about her role as the expert witness</w:t>
      </w:r>
      <w:r w:rsidR="00CA3E4F">
        <w:t>,</w:t>
      </w:r>
      <w:r w:rsidR="007C215C">
        <w:t xml:space="preserve"> her report was entitled on its front page ‘</w:t>
      </w:r>
      <w:r w:rsidR="009C62A3">
        <w:t>Expert Report’ and at para</w:t>
      </w:r>
      <w:r w:rsidR="00124FE4">
        <w:t xml:space="preserve"> 1.2 she acknowledged that she had read</w:t>
      </w:r>
      <w:r w:rsidR="00FC4ECA">
        <w:t xml:space="preserve"> and</w:t>
      </w:r>
      <w:r w:rsidR="00124FE4">
        <w:t xml:space="preserve"> understood Practice Note </w:t>
      </w:r>
      <w:proofErr w:type="spellStart"/>
      <w:r w:rsidR="00124FE4">
        <w:t>CM7</w:t>
      </w:r>
      <w:proofErr w:type="spellEnd"/>
      <w:r w:rsidR="00124FE4">
        <w:t xml:space="preserve"> which concerns t</w:t>
      </w:r>
      <w:r w:rsidR="00F7654F">
        <w:t>he requirements of this Court with</w:t>
      </w:r>
      <w:r w:rsidR="00124FE4">
        <w:t xml:space="preserve"> regards to expert testimony.</w:t>
      </w:r>
    </w:p>
    <w:p w:rsidR="00124FE4" w:rsidRDefault="00124FE4" w:rsidP="00321917">
      <w:pPr>
        <w:pStyle w:val="ParaNumbering"/>
      </w:pPr>
      <w:r>
        <w:t xml:space="preserve">The other witness, Mr Daniel </w:t>
      </w:r>
      <w:proofErr w:type="spellStart"/>
      <w:r>
        <w:t>Macek</w:t>
      </w:r>
      <w:proofErr w:type="spellEnd"/>
      <w:r>
        <w:t xml:space="preserve">, gave entirely </w:t>
      </w:r>
      <w:r w:rsidR="00F001F8">
        <w:t xml:space="preserve">different evidence about </w:t>
      </w:r>
      <w:proofErr w:type="spellStart"/>
      <w:r w:rsidR="00F001F8">
        <w:t>Maveri</w:t>
      </w:r>
      <w:r>
        <w:t>k</w:t>
      </w:r>
      <w:proofErr w:type="spellEnd"/>
      <w:r w:rsidR="00F7654F">
        <w:t xml:space="preserve"> Monitor</w:t>
      </w:r>
      <w:r>
        <w:t>.  He explained his role at [5] of his affidavit:</w:t>
      </w:r>
    </w:p>
    <w:p w:rsidR="00124FE4" w:rsidRDefault="00124FE4" w:rsidP="00124FE4">
      <w:pPr>
        <w:pStyle w:val="Quote1"/>
      </w:pPr>
      <w:r>
        <w:t xml:space="preserve">‘My role at Maverick is to conduct investigations into the unauthorised downloading and distribution of copyrighted works including the monitoring of the </w:t>
      </w:r>
      <w:proofErr w:type="spellStart"/>
      <w:r>
        <w:t>BitTorrent</w:t>
      </w:r>
      <w:proofErr w:type="spellEnd"/>
      <w:r>
        <w:t xml:space="preserve"> file distribution network for the presence of copyrighted works, and using Maverick’s software to identify the Internet Protocol addresses (</w:t>
      </w:r>
      <w:r>
        <w:rPr>
          <w:b/>
        </w:rPr>
        <w:t>IP Address</w:t>
      </w:r>
      <w:r>
        <w:t>) of users that are being used to make available and distribute these copyrighted works without permission.’</w:t>
      </w:r>
    </w:p>
    <w:p w:rsidR="00124FE4" w:rsidRDefault="00124FE4" w:rsidP="00124FE4">
      <w:pPr>
        <w:pStyle w:val="Quote1"/>
      </w:pPr>
    </w:p>
    <w:p w:rsidR="00282254" w:rsidRDefault="00124FE4" w:rsidP="00124FE4">
      <w:pPr>
        <w:pStyle w:val="ParaNumbering"/>
      </w:pPr>
      <w:r>
        <w:t>So Mr </w:t>
      </w:r>
      <w:proofErr w:type="spellStart"/>
      <w:r>
        <w:t>Macek</w:t>
      </w:r>
      <w:proofErr w:type="spellEnd"/>
      <w:r>
        <w:t xml:space="preserve"> was a </w:t>
      </w:r>
      <w:r>
        <w:rPr>
          <w:i/>
        </w:rPr>
        <w:t xml:space="preserve">user </w:t>
      </w:r>
      <w:r>
        <w:t xml:space="preserve">of the software not an analyst </w:t>
      </w:r>
      <w:r w:rsidR="00FC4ECA">
        <w:t xml:space="preserve">of, </w:t>
      </w:r>
      <w:r>
        <w:t>or apologist for</w:t>
      </w:r>
      <w:r w:rsidR="00FC4ECA">
        <w:t>,</w:t>
      </w:r>
      <w:r w:rsidR="00F7654F">
        <w:t xml:space="preserve"> it.  At [15</w:t>
      </w:r>
      <w:r>
        <w:t xml:space="preserve">]-[17] of his affidavit he explained that he had </w:t>
      </w:r>
      <w:r w:rsidR="00934622">
        <w:t xml:space="preserve">been tasked with </w:t>
      </w:r>
      <w:r w:rsidR="00F001F8">
        <w:t xml:space="preserve">using </w:t>
      </w:r>
      <w:proofErr w:type="spellStart"/>
      <w:r w:rsidR="00F001F8">
        <w:t>Maveri</w:t>
      </w:r>
      <w:r>
        <w:t>k</w:t>
      </w:r>
      <w:proofErr w:type="spellEnd"/>
      <w:r w:rsidR="00F7654F">
        <w:t xml:space="preserve"> Monitor </w:t>
      </w:r>
      <w:r w:rsidR="00021290">
        <w:t>to</w:t>
      </w:r>
      <w:r>
        <w:t xml:space="preserve"> identify</w:t>
      </w:r>
      <w:r w:rsidR="00021290">
        <w:t xml:space="preserve"> </w:t>
      </w:r>
      <w:r w:rsidR="00F7654F">
        <w:t>the IP addresses</w:t>
      </w:r>
      <w:r w:rsidR="00EE7E29">
        <w:t xml:space="preserve"> of persons sharing the film with </w:t>
      </w:r>
      <w:proofErr w:type="spellStart"/>
      <w:r w:rsidR="00EE7E29">
        <w:t>BitTorrent</w:t>
      </w:r>
      <w:proofErr w:type="spellEnd"/>
      <w:r w:rsidR="00EE7E29">
        <w:t xml:space="preserve"> and </w:t>
      </w:r>
      <w:r w:rsidR="00021290">
        <w:t xml:space="preserve">that </w:t>
      </w:r>
      <w:r w:rsidR="00EE7E29">
        <w:t>he had done so.  He produced a number of spreadsheets setting out the fruits of his labours.  Mr </w:t>
      </w:r>
      <w:proofErr w:type="spellStart"/>
      <w:r w:rsidR="00EE7E29">
        <w:t>Macek’s</w:t>
      </w:r>
      <w:proofErr w:type="spellEnd"/>
      <w:r w:rsidR="00EE7E29">
        <w:t xml:space="preserve"> report was not, perhaps unsurprisingly, described as an expert report and he did not suggest that he had read Practice Note </w:t>
      </w:r>
      <w:proofErr w:type="spellStart"/>
      <w:r w:rsidR="00EE7E29">
        <w:t>CM7</w:t>
      </w:r>
      <w:proofErr w:type="spellEnd"/>
      <w:r w:rsidR="00EE7E29">
        <w:t>.</w:t>
      </w:r>
      <w:r w:rsidR="00021290">
        <w:t xml:space="preserve">  This was because he was not an expert</w:t>
      </w:r>
      <w:r w:rsidR="003958F4">
        <w:t>,</w:t>
      </w:r>
      <w:r w:rsidR="00021290">
        <w:t xml:space="preserve"> was not being called to give </w:t>
      </w:r>
      <w:r w:rsidR="003958F4">
        <w:t xml:space="preserve">expert </w:t>
      </w:r>
      <w:r w:rsidR="00F001F8">
        <w:t xml:space="preserve">evidence about </w:t>
      </w:r>
      <w:proofErr w:type="spellStart"/>
      <w:r w:rsidR="00F001F8">
        <w:t>Maveri</w:t>
      </w:r>
      <w:r w:rsidR="00021290">
        <w:t>k</w:t>
      </w:r>
      <w:proofErr w:type="spellEnd"/>
      <w:r w:rsidR="00F7654F">
        <w:t xml:space="preserve"> Monitor</w:t>
      </w:r>
      <w:r w:rsidR="00021290">
        <w:t>’s reliability and did not do so.</w:t>
      </w:r>
    </w:p>
    <w:p w:rsidR="00EE7E29" w:rsidRDefault="00EE7E29" w:rsidP="00124FE4">
      <w:pPr>
        <w:pStyle w:val="ParaNumbering"/>
      </w:pPr>
      <w:r>
        <w:t xml:space="preserve">These </w:t>
      </w:r>
      <w:r w:rsidR="003958F4">
        <w:t xml:space="preserve">then </w:t>
      </w:r>
      <w:r>
        <w:t>were t</w:t>
      </w:r>
      <w:r w:rsidR="008B1309">
        <w:t>he</w:t>
      </w:r>
      <w:r>
        <w:t xml:space="preserve"> two sets o</w:t>
      </w:r>
      <w:r w:rsidR="00F001F8">
        <w:t xml:space="preserve">f written evidence about </w:t>
      </w:r>
      <w:proofErr w:type="spellStart"/>
      <w:r w:rsidR="00F001F8">
        <w:t>Maveri</w:t>
      </w:r>
      <w:r>
        <w:t>k</w:t>
      </w:r>
      <w:proofErr w:type="spellEnd"/>
      <w:r w:rsidR="00F7654F">
        <w:t xml:space="preserve"> Monitor</w:t>
      </w:r>
      <w:r>
        <w:t xml:space="preserve"> put forward by the applicant</w:t>
      </w:r>
      <w:r w:rsidR="00F7654F">
        <w:t>s</w:t>
      </w:r>
      <w:r>
        <w:t xml:space="preserve">.  On </w:t>
      </w:r>
      <w:r w:rsidR="00F7654F">
        <w:t>2 December 2014</w:t>
      </w:r>
      <w:r>
        <w:t xml:space="preserve"> the ISPs asked me for orders requiring Mr </w:t>
      </w:r>
      <w:proofErr w:type="spellStart"/>
      <w:r>
        <w:t>Macek</w:t>
      </w:r>
      <w:proofErr w:type="spellEnd"/>
      <w:r>
        <w:t xml:space="preserve"> </w:t>
      </w:r>
      <w:r w:rsidR="00021290">
        <w:t xml:space="preserve">to travel from Stuttgart and </w:t>
      </w:r>
      <w:r>
        <w:t xml:space="preserve">to attend </w:t>
      </w:r>
      <w:r w:rsidR="00021290">
        <w:t xml:space="preserve">before this Court </w:t>
      </w:r>
      <w:r>
        <w:t>for cross-examination at the hearing.</w:t>
      </w:r>
      <w:r w:rsidR="008B1309">
        <w:t xml:space="preserve">  Over objection</w:t>
      </w:r>
      <w:r w:rsidR="00021290">
        <w:t>,</w:t>
      </w:r>
      <w:r w:rsidR="008B1309">
        <w:t xml:space="preserve"> I required him to attend:  </w:t>
      </w:r>
      <w:r w:rsidR="008B1309">
        <w:rPr>
          <w:i/>
        </w:rPr>
        <w:t xml:space="preserve">Dallas Buyers Club </w:t>
      </w:r>
      <w:r w:rsidR="00F7654F">
        <w:rPr>
          <w:i/>
        </w:rPr>
        <w:t xml:space="preserve">LLC </w:t>
      </w:r>
      <w:r w:rsidR="008B1309">
        <w:rPr>
          <w:i/>
        </w:rPr>
        <w:t xml:space="preserve">v </w:t>
      </w:r>
      <w:proofErr w:type="spellStart"/>
      <w:r w:rsidR="008B1309">
        <w:rPr>
          <w:i/>
        </w:rPr>
        <w:t>iiNet</w:t>
      </w:r>
      <w:proofErr w:type="spellEnd"/>
      <w:r w:rsidR="008B1309">
        <w:rPr>
          <w:i/>
        </w:rPr>
        <w:t xml:space="preserve"> </w:t>
      </w:r>
      <w:r w:rsidR="00F7654F">
        <w:rPr>
          <w:i/>
        </w:rPr>
        <w:t xml:space="preserve">Limited </w:t>
      </w:r>
      <w:r w:rsidR="008B1309">
        <w:rPr>
          <w:i/>
        </w:rPr>
        <w:t xml:space="preserve">(No 2) </w:t>
      </w:r>
      <w:r w:rsidR="008B1309">
        <w:t xml:space="preserve">[2014] </w:t>
      </w:r>
      <w:proofErr w:type="spellStart"/>
      <w:r w:rsidR="008B1309">
        <w:t>FCA</w:t>
      </w:r>
      <w:proofErr w:type="spellEnd"/>
      <w:r w:rsidR="008B1309">
        <w:t xml:space="preserve"> 1320.  Importantly, the ISPs did not request</w:t>
      </w:r>
      <w:r w:rsidR="00021290">
        <w:t>,</w:t>
      </w:r>
      <w:r w:rsidR="008B1309">
        <w:t xml:space="preserve"> and I did not </w:t>
      </w:r>
      <w:r w:rsidR="00021290">
        <w:t xml:space="preserve">order, </w:t>
      </w:r>
      <w:r w:rsidR="008B1309">
        <w:t>Dr Richter to attend.</w:t>
      </w:r>
    </w:p>
    <w:p w:rsidR="008B1309" w:rsidRDefault="00C64EAD" w:rsidP="00C64EAD">
      <w:pPr>
        <w:pStyle w:val="ParaNumbering"/>
      </w:pPr>
      <w:r>
        <w:t>By not requesting Dr </w:t>
      </w:r>
      <w:r w:rsidR="00DA670F">
        <w:t>Richter</w:t>
      </w:r>
      <w:r>
        <w:t xml:space="preserve"> to attend and be cross-examined about her evidence the ISPs were, in effect, depriving themselves of the opportunity to criticise her evidence.  In particular, given her detailed written testimony about time stamps and dynamic IP addresses</w:t>
      </w:r>
      <w:r w:rsidR="00F7654F">
        <w:t>,</w:t>
      </w:r>
      <w:r>
        <w:t xml:space="preserve"> </w:t>
      </w:r>
      <w:r>
        <w:lastRenderedPageBreak/>
        <w:t>they were surrendering t</w:t>
      </w:r>
      <w:r w:rsidR="00F001F8">
        <w:t xml:space="preserve">he right to suggest that </w:t>
      </w:r>
      <w:proofErr w:type="spellStart"/>
      <w:r w:rsidR="00F001F8">
        <w:t>Maveri</w:t>
      </w:r>
      <w:r>
        <w:t>k</w:t>
      </w:r>
      <w:proofErr w:type="spellEnd"/>
      <w:r w:rsidR="00F7654F">
        <w:t xml:space="preserve"> Monitor </w:t>
      </w:r>
      <w:r>
        <w:t>was deficient in those re</w:t>
      </w:r>
      <w:r w:rsidR="00CA3E4F">
        <w:t>spect</w:t>
      </w:r>
      <w:r>
        <w:t>s.</w:t>
      </w:r>
    </w:p>
    <w:p w:rsidR="00C64EAD" w:rsidRDefault="003958F4" w:rsidP="00C64EAD">
      <w:pPr>
        <w:pStyle w:val="ParaNumbering"/>
      </w:pPr>
      <w:r>
        <w:t>At the hearing, t</w:t>
      </w:r>
      <w:r w:rsidR="00C64EAD">
        <w:t>he ISPs then took what struck me as an unusual course</w:t>
      </w:r>
      <w:r w:rsidR="00021290">
        <w:t xml:space="preserve">.  </w:t>
      </w:r>
      <w:r w:rsidR="00C64EAD">
        <w:t>Having decided not to cross-examine the applicant</w:t>
      </w:r>
      <w:r w:rsidR="00021290">
        <w:t>s</w:t>
      </w:r>
      <w:r w:rsidR="00C64EAD">
        <w:t xml:space="preserve">’ expert witness on the </w:t>
      </w:r>
      <w:r w:rsidR="00021290">
        <w:t xml:space="preserve">very </w:t>
      </w:r>
      <w:r w:rsidR="00C64EAD">
        <w:t xml:space="preserve">topic </w:t>
      </w:r>
      <w:r w:rsidR="00021290">
        <w:t>up</w:t>
      </w:r>
      <w:r w:rsidR="00C64EAD">
        <w:t>on which she had provided her evidence – na</w:t>
      </w:r>
      <w:r w:rsidR="00F001F8">
        <w:t xml:space="preserve">mely, the reliability of </w:t>
      </w:r>
      <w:proofErr w:type="spellStart"/>
      <w:r w:rsidR="00F001F8">
        <w:t>Maveri</w:t>
      </w:r>
      <w:r w:rsidR="00C64EAD">
        <w:t>k</w:t>
      </w:r>
      <w:proofErr w:type="spellEnd"/>
      <w:r w:rsidR="00F7654F">
        <w:t xml:space="preserve"> Monitor – </w:t>
      </w:r>
      <w:r w:rsidR="00C64EAD">
        <w:t>t</w:t>
      </w:r>
      <w:r w:rsidR="00F7654F">
        <w:t>hey</w:t>
      </w:r>
      <w:r w:rsidR="00C64EAD">
        <w:t xml:space="preserve"> decided to cross-examine Mr </w:t>
      </w:r>
      <w:proofErr w:type="spellStart"/>
      <w:r w:rsidR="00C64EAD">
        <w:t>Macek</w:t>
      </w:r>
      <w:proofErr w:type="spellEnd"/>
      <w:r w:rsidR="00C64EAD">
        <w:t xml:space="preserve">, who was not called as an expert and did not hold himself </w:t>
      </w:r>
      <w:r w:rsidR="00F7654F">
        <w:t xml:space="preserve">out </w:t>
      </w:r>
      <w:r w:rsidR="00C64EAD">
        <w:t>as knowing anyth</w:t>
      </w:r>
      <w:r w:rsidR="00F001F8">
        <w:t xml:space="preserve">ing about the innards of </w:t>
      </w:r>
      <w:proofErr w:type="spellStart"/>
      <w:r w:rsidR="00F001F8">
        <w:t>Maveri</w:t>
      </w:r>
      <w:r w:rsidR="00C64EAD">
        <w:t>k</w:t>
      </w:r>
      <w:proofErr w:type="spellEnd"/>
      <w:r w:rsidR="00F7654F">
        <w:t xml:space="preserve"> Monitor</w:t>
      </w:r>
      <w:r w:rsidR="00C64EAD">
        <w:t xml:space="preserve">, and to extract from him evidence designed to show </w:t>
      </w:r>
      <w:r w:rsidR="00021290">
        <w:t xml:space="preserve">doubts and uncertainties </w:t>
      </w:r>
      <w:r w:rsidR="00F001F8">
        <w:t xml:space="preserve">about the accuracy of </w:t>
      </w:r>
      <w:proofErr w:type="spellStart"/>
      <w:r w:rsidR="00F001F8">
        <w:t>Maveri</w:t>
      </w:r>
      <w:r w:rsidR="00C64EAD">
        <w:t>k</w:t>
      </w:r>
      <w:proofErr w:type="spellEnd"/>
      <w:r w:rsidR="00F7654F">
        <w:t xml:space="preserve"> Monitor</w:t>
      </w:r>
      <w:r w:rsidR="00C64EAD">
        <w:t>.</w:t>
      </w:r>
    </w:p>
    <w:p w:rsidR="00C64EAD" w:rsidRDefault="00A42689" w:rsidP="00C64EAD">
      <w:pPr>
        <w:pStyle w:val="ParaNumbering"/>
      </w:pPr>
      <w:r>
        <w:t>The cross-examination of Mr </w:t>
      </w:r>
      <w:proofErr w:type="spellStart"/>
      <w:r>
        <w:t>Macek</w:t>
      </w:r>
      <w:proofErr w:type="spellEnd"/>
      <w:r>
        <w:t xml:space="preserve"> established that he did not underst</w:t>
      </w:r>
      <w:r w:rsidR="00F001F8">
        <w:t xml:space="preserve">and the mechanics of how </w:t>
      </w:r>
      <w:proofErr w:type="spellStart"/>
      <w:r w:rsidR="00F001F8">
        <w:t>Maveri</w:t>
      </w:r>
      <w:r>
        <w:t>k</w:t>
      </w:r>
      <w:proofErr w:type="spellEnd"/>
      <w:r w:rsidR="00F7654F">
        <w:t xml:space="preserve"> Monitor </w:t>
      </w:r>
      <w:r>
        <w:t>did what it did.  It also established how Mr </w:t>
      </w:r>
      <w:proofErr w:type="spellStart"/>
      <w:r>
        <w:t>Macek</w:t>
      </w:r>
      <w:proofErr w:type="spellEnd"/>
      <w:r>
        <w:t xml:space="preserve"> created </w:t>
      </w:r>
      <w:r w:rsidR="00021290">
        <w:t>the</w:t>
      </w:r>
      <w:r>
        <w:t xml:space="preserve"> schedules</w:t>
      </w:r>
      <w:r w:rsidR="00021290">
        <w:t xml:space="preserve"> attached to his affidavit (which set out</w:t>
      </w:r>
      <w:r w:rsidR="00F001F8">
        <w:t xml:space="preserve"> the IP addresses) using </w:t>
      </w:r>
      <w:proofErr w:type="spellStart"/>
      <w:r w:rsidR="00F001F8">
        <w:t>Maveri</w:t>
      </w:r>
      <w:r w:rsidR="00021290">
        <w:t>k</w:t>
      </w:r>
      <w:proofErr w:type="spellEnd"/>
      <w:r w:rsidR="00F7654F">
        <w:t xml:space="preserve"> Monitor</w:t>
      </w:r>
      <w:r w:rsidR="00021290">
        <w:t>.</w:t>
      </w:r>
      <w:r>
        <w:t xml:space="preserve">  He downloaded the film and watched part</w:t>
      </w:r>
      <w:r w:rsidR="00F7654F">
        <w:t>s</w:t>
      </w:r>
      <w:r>
        <w:t xml:space="preserve"> of it to make sure it was the same as the original with which he had been provided.</w:t>
      </w:r>
    </w:p>
    <w:p w:rsidR="00A42689" w:rsidRDefault="00021290" w:rsidP="00C64EAD">
      <w:pPr>
        <w:pStyle w:val="ParaNumbering"/>
      </w:pPr>
      <w:r>
        <w:t xml:space="preserve">Under cross-examination, </w:t>
      </w:r>
      <w:r w:rsidR="00A42689">
        <w:t>Mr </w:t>
      </w:r>
      <w:proofErr w:type="spellStart"/>
      <w:r w:rsidR="00A42689">
        <w:t>Macek</w:t>
      </w:r>
      <w:proofErr w:type="spellEnd"/>
      <w:r w:rsidR="00A42689">
        <w:t xml:space="preserve"> was unable to throw any light on wh</w:t>
      </w:r>
      <w:r w:rsidR="00230C07">
        <w:t>at</w:t>
      </w:r>
      <w:r w:rsidR="00A42689">
        <w:t xml:space="preserve"> ‘.</w:t>
      </w:r>
      <w:proofErr w:type="spellStart"/>
      <w:r w:rsidR="00A42689">
        <w:t>pcap</w:t>
      </w:r>
      <w:proofErr w:type="spellEnd"/>
      <w:r w:rsidR="00A42689">
        <w:t>’ file</w:t>
      </w:r>
      <w:r w:rsidR="00230C07">
        <w:t>s</w:t>
      </w:r>
      <w:r w:rsidR="00A42689">
        <w:t xml:space="preserve"> were</w:t>
      </w:r>
      <w:r w:rsidR="00230C07">
        <w:t>,</w:t>
      </w:r>
      <w:r w:rsidR="00F001F8">
        <w:t xml:space="preserve"> or to explain how </w:t>
      </w:r>
      <w:proofErr w:type="spellStart"/>
      <w:r w:rsidR="00F001F8">
        <w:t>Maveri</w:t>
      </w:r>
      <w:r w:rsidR="00A42689">
        <w:t>k</w:t>
      </w:r>
      <w:proofErr w:type="spellEnd"/>
      <w:r w:rsidR="00F7654F">
        <w:t xml:space="preserve"> Monitor </w:t>
      </w:r>
      <w:r w:rsidR="00A42689">
        <w:t>generated its timest</w:t>
      </w:r>
      <w:r w:rsidR="00DA670F">
        <w:t>amps</w:t>
      </w:r>
      <w:r w:rsidR="00A42689">
        <w:t>.</w:t>
      </w:r>
    </w:p>
    <w:p w:rsidR="00A42689" w:rsidRDefault="00A42689" w:rsidP="00C64EAD">
      <w:pPr>
        <w:pStyle w:val="ParaNumbering"/>
      </w:pPr>
      <w:r>
        <w:t>I regard this as signifying nothing in circumstances where Mr </w:t>
      </w:r>
      <w:proofErr w:type="spellStart"/>
      <w:r>
        <w:t>Macek</w:t>
      </w:r>
      <w:proofErr w:type="spellEnd"/>
      <w:r>
        <w:t xml:space="preserve"> was not put forward as any kind of ex</w:t>
      </w:r>
      <w:r w:rsidR="00F001F8">
        <w:t xml:space="preserve">pert about </w:t>
      </w:r>
      <w:proofErr w:type="spellStart"/>
      <w:r w:rsidR="00F001F8">
        <w:t>Maveri</w:t>
      </w:r>
      <w:r>
        <w:t>k</w:t>
      </w:r>
      <w:proofErr w:type="spellEnd"/>
      <w:r w:rsidR="00F7654F">
        <w:t xml:space="preserve"> Monitor</w:t>
      </w:r>
      <w:r>
        <w:t xml:space="preserve"> and where the witness who was, Dr Richter</w:t>
      </w:r>
      <w:r w:rsidR="00913507">
        <w:t>,</w:t>
      </w:r>
      <w:r>
        <w:t xml:space="preserve"> was not challenged on </w:t>
      </w:r>
      <w:r w:rsidR="00FC4ECA">
        <w:t>her</w:t>
      </w:r>
      <w:r>
        <w:t xml:space="preserve"> evidence </w:t>
      </w:r>
      <w:r w:rsidR="00274AA3">
        <w:t>with</w:t>
      </w:r>
      <w:r>
        <w:t xml:space="preserve"> a single question.  Dr Richter’s evidence stands unchallenged and </w:t>
      </w:r>
      <w:proofErr w:type="spellStart"/>
      <w:r>
        <w:t>uncontradicted</w:t>
      </w:r>
      <w:proofErr w:type="spellEnd"/>
      <w:r>
        <w:t>.  Mr </w:t>
      </w:r>
      <w:proofErr w:type="spellStart"/>
      <w:r>
        <w:t>Macek’s</w:t>
      </w:r>
      <w:proofErr w:type="spellEnd"/>
      <w:r>
        <w:t xml:space="preserve"> lack of knowledge was </w:t>
      </w:r>
      <w:r w:rsidR="00913507">
        <w:t xml:space="preserve">as </w:t>
      </w:r>
      <w:r w:rsidR="00230C07">
        <w:t xml:space="preserve">irrelevant </w:t>
      </w:r>
      <w:r w:rsidR="00913507">
        <w:t>as it was foreseeable.</w:t>
      </w:r>
    </w:p>
    <w:p w:rsidR="00C64EAD" w:rsidRDefault="00913507" w:rsidP="00C64EAD">
      <w:pPr>
        <w:pStyle w:val="ParaNumbering"/>
      </w:pPr>
      <w:r>
        <w:t xml:space="preserve">Before turning to Dr Richter’s unchallenged and </w:t>
      </w:r>
      <w:proofErr w:type="spellStart"/>
      <w:r>
        <w:t>uncontradic</w:t>
      </w:r>
      <w:r w:rsidR="00F001F8">
        <w:t>ted</w:t>
      </w:r>
      <w:proofErr w:type="spellEnd"/>
      <w:r w:rsidR="00F001F8">
        <w:t xml:space="preserve"> testimony about what </w:t>
      </w:r>
      <w:proofErr w:type="spellStart"/>
      <w:r w:rsidR="00F001F8">
        <w:t>Maveri</w:t>
      </w:r>
      <w:r>
        <w:t>k</w:t>
      </w:r>
      <w:proofErr w:type="spellEnd"/>
      <w:r w:rsidR="00F7654F">
        <w:t xml:space="preserve"> Monitor </w:t>
      </w:r>
      <w:r>
        <w:t>does</w:t>
      </w:r>
      <w:r w:rsidR="00F7654F">
        <w:t>,</w:t>
      </w:r>
      <w:r>
        <w:t xml:space="preserve"> it is necessary that I record that I found the attacks on Mr </w:t>
      </w:r>
      <w:proofErr w:type="spellStart"/>
      <w:r>
        <w:t>Macek’s</w:t>
      </w:r>
      <w:proofErr w:type="spellEnd"/>
      <w:r>
        <w:t xml:space="preserve"> credit </w:t>
      </w:r>
      <w:r w:rsidR="00230C07">
        <w:t xml:space="preserve">to </w:t>
      </w:r>
      <w:r>
        <w:t>hav</w:t>
      </w:r>
      <w:r w:rsidR="00230C07">
        <w:t>e</w:t>
      </w:r>
      <w:r>
        <w:t xml:space="preserve"> no substance.  There were two such attacks:</w:t>
      </w:r>
    </w:p>
    <w:p w:rsidR="00D2778C" w:rsidRDefault="00913507" w:rsidP="00E93999">
      <w:pPr>
        <w:pStyle w:val="ListNo1"/>
        <w:numPr>
          <w:ilvl w:val="0"/>
          <w:numId w:val="27"/>
        </w:numPr>
      </w:pPr>
      <w:r>
        <w:t>the contention above that he was not able to explain app</w:t>
      </w:r>
      <w:r w:rsidR="00D2778C">
        <w:t xml:space="preserve">arent </w:t>
      </w:r>
      <w:r w:rsidR="00F7654F">
        <w:t>intricacies</w:t>
      </w:r>
      <w:r w:rsidR="00D2778C">
        <w:t xml:space="preserve"> in </w:t>
      </w:r>
      <w:proofErr w:type="spellStart"/>
      <w:r w:rsidR="00F001F8">
        <w:t>Maveri</w:t>
      </w:r>
      <w:r w:rsidR="00B74C49">
        <w:t>k</w:t>
      </w:r>
      <w:proofErr w:type="spellEnd"/>
      <w:r w:rsidR="00B74C49">
        <w:t xml:space="preserve"> Monitor</w:t>
      </w:r>
      <w:r w:rsidR="00D2778C">
        <w:t>’s operations; and</w:t>
      </w:r>
    </w:p>
    <w:p w:rsidR="00890D7F" w:rsidRDefault="00890D7F" w:rsidP="00E93999">
      <w:pPr>
        <w:pStyle w:val="ListNo1"/>
        <w:numPr>
          <w:ilvl w:val="0"/>
          <w:numId w:val="27"/>
        </w:numPr>
      </w:pPr>
      <w:r>
        <w:t>evidence obtained from him during cross-examination to the effect that he had been provided with his affidavit with the sub-</w:t>
      </w:r>
      <w:proofErr w:type="spellStart"/>
      <w:r>
        <w:t>silentio</w:t>
      </w:r>
      <w:proofErr w:type="spellEnd"/>
      <w:r>
        <w:t xml:space="preserve"> suggestion that his evidence was not his own.</w:t>
      </w:r>
    </w:p>
    <w:p w:rsidR="00A160FF" w:rsidRDefault="00A160FF" w:rsidP="00A160FF">
      <w:pPr>
        <w:pStyle w:val="ParaNumbering"/>
      </w:pPr>
      <w:r>
        <w:t>As to (a), I will not repeat what I have said.  There was no reason for Mr </w:t>
      </w:r>
      <w:proofErr w:type="spellStart"/>
      <w:r>
        <w:t>Macek</w:t>
      </w:r>
      <w:proofErr w:type="spellEnd"/>
      <w:r>
        <w:t xml:space="preserve"> to know these matters.  As to (b) the transcript of his evidence</w:t>
      </w:r>
      <w:r w:rsidR="00CA3E4F">
        <w:t xml:space="preserve"> on this issue</w:t>
      </w:r>
      <w:r>
        <w:t xml:space="preserve"> was as follows (</w:t>
      </w:r>
      <w:proofErr w:type="spellStart"/>
      <w:r>
        <w:t>T58</w:t>
      </w:r>
      <w:proofErr w:type="spellEnd"/>
      <w:r>
        <w:t>):</w:t>
      </w:r>
    </w:p>
    <w:p w:rsidR="00913507" w:rsidRDefault="00A160FF" w:rsidP="003C586F">
      <w:pPr>
        <w:pStyle w:val="Quote1"/>
        <w:widowControl/>
        <w:ind w:left="734" w:right="734"/>
      </w:pPr>
      <w:r>
        <w:lastRenderedPageBreak/>
        <w:t>‘Now, did you sit down and write this affidavit, or was the affidavit provided to you and then you signed it?---It was provided.</w:t>
      </w:r>
      <w:r w:rsidR="00913507">
        <w:t xml:space="preserve"> </w:t>
      </w:r>
    </w:p>
    <w:p w:rsidR="00A160FF" w:rsidRDefault="00A160FF" w:rsidP="00A160FF">
      <w:pPr>
        <w:pStyle w:val="Quote1"/>
      </w:pPr>
    </w:p>
    <w:p w:rsidR="00A160FF" w:rsidRDefault="00E14506" w:rsidP="00A160FF">
      <w:pPr>
        <w:pStyle w:val="Quote1"/>
      </w:pPr>
      <w:r>
        <w:t>And was</w:t>
      </w:r>
      <w:r w:rsidR="003C586F">
        <w:t xml:space="preserve"> the text of the affidavit pretty much what the final form is, or did you amend it or revise it?---No.  It was pretty much the text.</w:t>
      </w:r>
    </w:p>
    <w:p w:rsidR="003C586F" w:rsidRDefault="003C586F" w:rsidP="00A160FF">
      <w:pPr>
        <w:pStyle w:val="Quote1"/>
      </w:pPr>
    </w:p>
    <w:p w:rsidR="003C586F" w:rsidRDefault="003C586F" w:rsidP="00A160FF">
      <w:pPr>
        <w:pStyle w:val="Quote1"/>
      </w:pPr>
      <w:r>
        <w:t>Pretty much complete; is that right?---Yes.  Correct.</w:t>
      </w:r>
    </w:p>
    <w:p w:rsidR="003C586F" w:rsidRDefault="003C586F" w:rsidP="00A160FF">
      <w:pPr>
        <w:pStyle w:val="Quote1"/>
      </w:pPr>
    </w:p>
    <w:p w:rsidR="003C586F" w:rsidRDefault="003C586F" w:rsidP="00A160FF">
      <w:pPr>
        <w:pStyle w:val="Quote1"/>
      </w:pPr>
      <w:r>
        <w:t>Right. Did you make any amendments to the document that was sent to you?---On this affidavit?</w:t>
      </w:r>
    </w:p>
    <w:p w:rsidR="003C586F" w:rsidRDefault="003C586F" w:rsidP="00A160FF">
      <w:pPr>
        <w:pStyle w:val="Quote1"/>
      </w:pPr>
    </w:p>
    <w:p w:rsidR="003C586F" w:rsidRDefault="003C586F" w:rsidP="00A160FF">
      <w:pPr>
        <w:pStyle w:val="Quote1"/>
      </w:pPr>
      <w:r>
        <w:t>Yes?---I can’t remember.</w:t>
      </w:r>
    </w:p>
    <w:p w:rsidR="003C586F" w:rsidRDefault="003C586F" w:rsidP="00A160FF">
      <w:pPr>
        <w:pStyle w:val="Quote1"/>
      </w:pPr>
    </w:p>
    <w:p w:rsidR="003C586F" w:rsidRDefault="003C586F" w:rsidP="00A160FF">
      <w:pPr>
        <w:pStyle w:val="Quote1"/>
      </w:pPr>
      <w:r>
        <w:t>You can’t remember making any amendments to the draft affidavit that was sent to you before you signed it;  is that correct?---Correct.  Yes.</w:t>
      </w:r>
    </w:p>
    <w:p w:rsidR="003C586F" w:rsidRDefault="003C586F" w:rsidP="00A160FF">
      <w:pPr>
        <w:pStyle w:val="Quote1"/>
      </w:pPr>
    </w:p>
    <w:p w:rsidR="003C586F" w:rsidRDefault="003C586F" w:rsidP="00A160FF">
      <w:pPr>
        <w:pStyle w:val="Quote1"/>
      </w:pPr>
      <w:r>
        <w:t xml:space="preserve">You provide affidavits and statements in lots of litigation all around the world, don’t you, Mr </w:t>
      </w:r>
      <w:proofErr w:type="spellStart"/>
      <w:r>
        <w:t>Macek</w:t>
      </w:r>
      <w:proofErr w:type="spellEnd"/>
      <w:r>
        <w:t>?---Correct.</w:t>
      </w:r>
    </w:p>
    <w:p w:rsidR="003C586F" w:rsidRDefault="003C586F" w:rsidP="00A160FF">
      <w:pPr>
        <w:pStyle w:val="Quote1"/>
      </w:pPr>
    </w:p>
    <w:p w:rsidR="003C586F" w:rsidRDefault="003C586F" w:rsidP="00A160FF">
      <w:pPr>
        <w:pStyle w:val="Quote1"/>
      </w:pPr>
      <w:r>
        <w:t xml:space="preserve">And is it your practice just to sign whatever affidavit is put in front of you on </w:t>
      </w:r>
      <w:r w:rsidR="00DA670F">
        <w:t>behalf</w:t>
      </w:r>
      <w:r>
        <w:t xml:space="preserve"> of rights owners?---No.</w:t>
      </w:r>
    </w:p>
    <w:p w:rsidR="003C586F" w:rsidRDefault="003C586F" w:rsidP="00A160FF">
      <w:pPr>
        <w:pStyle w:val="Quote1"/>
      </w:pPr>
    </w:p>
    <w:p w:rsidR="003C586F" w:rsidRDefault="003C586F" w:rsidP="00A160FF">
      <w:pPr>
        <w:pStyle w:val="Quote1"/>
      </w:pPr>
      <w:r>
        <w:t>You did that in this case, though, didn’t you?---Sorry?</w:t>
      </w:r>
    </w:p>
    <w:p w:rsidR="003C586F" w:rsidRDefault="003C586F" w:rsidP="00A160FF">
      <w:pPr>
        <w:pStyle w:val="Quote1"/>
      </w:pPr>
    </w:p>
    <w:p w:rsidR="003C586F" w:rsidRDefault="003C586F" w:rsidP="00A160FF">
      <w:pPr>
        <w:pStyle w:val="Quote1"/>
      </w:pPr>
      <w:r>
        <w:t>You did that in this case, though, didn’t y</w:t>
      </w:r>
      <w:r w:rsidR="00F7654F">
        <w:t>ou?---</w:t>
      </w:r>
      <w:r>
        <w:t>What did I- - -</w:t>
      </w:r>
    </w:p>
    <w:p w:rsidR="003C586F" w:rsidRDefault="003C586F" w:rsidP="00A160FF">
      <w:pPr>
        <w:pStyle w:val="Quote1"/>
      </w:pPr>
    </w:p>
    <w:p w:rsidR="003C586F" w:rsidRDefault="003C586F" w:rsidP="00A160FF">
      <w:pPr>
        <w:pStyle w:val="Quote1"/>
      </w:pPr>
      <w:r>
        <w:t>You just signed the draft affidavit that was put in front of you by the rights owner party without any amendment, didn’t you?---This one?</w:t>
      </w:r>
    </w:p>
    <w:p w:rsidR="003C586F" w:rsidRDefault="003C586F" w:rsidP="00A160FF">
      <w:pPr>
        <w:pStyle w:val="Quote1"/>
      </w:pPr>
    </w:p>
    <w:p w:rsidR="003C586F" w:rsidRDefault="003C586F" w:rsidP="00A160FF">
      <w:pPr>
        <w:pStyle w:val="Quote1"/>
      </w:pPr>
      <w:r>
        <w:t>Yes?---I’m not sure if I did any changes.</w:t>
      </w:r>
    </w:p>
    <w:p w:rsidR="003C586F" w:rsidRDefault="003C586F" w:rsidP="00A160FF">
      <w:pPr>
        <w:pStyle w:val="Quote1"/>
      </w:pPr>
    </w:p>
    <w:p w:rsidR="003C586F" w:rsidRDefault="003C586F" w:rsidP="00A160FF">
      <w:pPr>
        <w:pStyle w:val="Quote1"/>
      </w:pPr>
      <w:r>
        <w:t>You can’t remember making any changes, is what I think you said to his Honour?---Yes.</w:t>
      </w:r>
    </w:p>
    <w:p w:rsidR="003C586F" w:rsidRDefault="003C586F" w:rsidP="00A160FF">
      <w:pPr>
        <w:pStyle w:val="Quote1"/>
      </w:pPr>
    </w:p>
    <w:p w:rsidR="003C586F" w:rsidRDefault="003C586F" w:rsidP="00A160FF">
      <w:pPr>
        <w:pStyle w:val="Quote1"/>
      </w:pPr>
      <w:r>
        <w:t>Is that right?</w:t>
      </w:r>
    </w:p>
    <w:p w:rsidR="003C586F" w:rsidRDefault="003C586F" w:rsidP="00A160FF">
      <w:pPr>
        <w:pStyle w:val="Quote1"/>
      </w:pPr>
    </w:p>
    <w:p w:rsidR="003C586F" w:rsidRDefault="003C586F" w:rsidP="00A160FF">
      <w:pPr>
        <w:pStyle w:val="Quote1"/>
      </w:pPr>
      <w:r>
        <w:t>I’m sorry, you will have to answer audibly;  it’s being recorded?---Yes.  That’s right.’</w:t>
      </w:r>
    </w:p>
    <w:p w:rsidR="003C586F" w:rsidRDefault="003C586F" w:rsidP="00A160FF">
      <w:pPr>
        <w:pStyle w:val="Quote1"/>
      </w:pPr>
    </w:p>
    <w:p w:rsidR="00531CA6" w:rsidRDefault="003C586F" w:rsidP="003C586F">
      <w:pPr>
        <w:pStyle w:val="ParaNumbering"/>
      </w:pPr>
      <w:r>
        <w:t>There is some important background to this exchange.  First, Mr </w:t>
      </w:r>
      <w:proofErr w:type="spellStart"/>
      <w:r>
        <w:t>Macek</w:t>
      </w:r>
      <w:proofErr w:type="spellEnd"/>
      <w:r>
        <w:t xml:space="preserve"> is from Stuttgart and whilst I am satisfied that he spoke quite good English it was certainly not his first language.  Secondly, the usual way affidavits are prepared involves an iterative process</w:t>
      </w:r>
      <w:r w:rsidR="00531CA6">
        <w:t xml:space="preserve"> which starts with a confer</w:t>
      </w:r>
      <w:r w:rsidR="00230C07">
        <w:t>ence</w:t>
      </w:r>
      <w:r w:rsidR="00531CA6">
        <w:t xml:space="preserve"> between the witness and the lawyers during which the witness’s account is elicited.  After this conferral a draft is provided to the witness for approval or amendment.</w:t>
      </w:r>
    </w:p>
    <w:p w:rsidR="00B966E3" w:rsidRDefault="00B966E3" w:rsidP="003C586F">
      <w:pPr>
        <w:pStyle w:val="ParaNumbering"/>
      </w:pPr>
      <w:r>
        <w:t>When these matters are brought to account there is nothing especially surprising in the answers given</w:t>
      </w:r>
      <w:r w:rsidR="00230C07">
        <w:t xml:space="preserve"> by Mr </w:t>
      </w:r>
      <w:proofErr w:type="spellStart"/>
      <w:r w:rsidR="00230C07">
        <w:t>Macek</w:t>
      </w:r>
      <w:proofErr w:type="spellEnd"/>
      <w:r>
        <w:t xml:space="preserve">.  They are exactly the answers one would expect to get.  The matter </w:t>
      </w:r>
      <w:r w:rsidR="00230C07">
        <w:t xml:space="preserve">would </w:t>
      </w:r>
      <w:r>
        <w:t xml:space="preserve">only become more interesting if the cross-examiner </w:t>
      </w:r>
      <w:r w:rsidR="00230C07">
        <w:t xml:space="preserve">had sought </w:t>
      </w:r>
      <w:r>
        <w:t xml:space="preserve">to drill down into the process by which the affidavit </w:t>
      </w:r>
      <w:r w:rsidR="00230C07">
        <w:t xml:space="preserve">had been </w:t>
      </w:r>
      <w:r>
        <w:t xml:space="preserve">prepared with a view to showing that the </w:t>
      </w:r>
      <w:r>
        <w:lastRenderedPageBreak/>
        <w:t>witness</w:t>
      </w:r>
      <w:r w:rsidR="003958F4">
        <w:t>’</w:t>
      </w:r>
      <w:r w:rsidR="00230C07">
        <w:t>s</w:t>
      </w:r>
      <w:r>
        <w:t xml:space="preserve"> evidence </w:t>
      </w:r>
      <w:r w:rsidR="00230C07">
        <w:t>was</w:t>
      </w:r>
      <w:r>
        <w:t xml:space="preserve"> not </w:t>
      </w:r>
      <w:r w:rsidR="003958F4">
        <w:t>his</w:t>
      </w:r>
      <w:r>
        <w:t xml:space="preserve"> own.  In this case, the cross-examination began that process by suggesting to Mr </w:t>
      </w:r>
      <w:proofErr w:type="spellStart"/>
      <w:r>
        <w:t>Macek</w:t>
      </w:r>
      <w:proofErr w:type="spellEnd"/>
      <w:r>
        <w:t xml:space="preserve"> that he was willing to sign anything put in front of him, </w:t>
      </w:r>
      <w:r w:rsidR="006E4CBB">
        <w:t xml:space="preserve">but this was </w:t>
      </w:r>
      <w:r>
        <w:t xml:space="preserve">a proposition </w:t>
      </w:r>
      <w:r w:rsidR="006E4CBB">
        <w:t>that Mr </w:t>
      </w:r>
      <w:proofErr w:type="spellStart"/>
      <w:r w:rsidR="006E4CBB">
        <w:t>Macek</w:t>
      </w:r>
      <w:proofErr w:type="spellEnd"/>
      <w:r w:rsidR="006E4CBB">
        <w:t xml:space="preserve"> </w:t>
      </w:r>
      <w:r>
        <w:t xml:space="preserve">denied.  </w:t>
      </w:r>
      <w:r w:rsidR="006E4CBB">
        <w:t xml:space="preserve">The cross-examiner </w:t>
      </w:r>
      <w:r>
        <w:t>then sought to have Mr </w:t>
      </w:r>
      <w:proofErr w:type="spellStart"/>
      <w:r>
        <w:t>Macek</w:t>
      </w:r>
      <w:proofErr w:type="spellEnd"/>
      <w:r>
        <w:t xml:space="preserve"> agree that he had signed it without </w:t>
      </w:r>
      <w:r w:rsidR="006E4CBB">
        <w:t xml:space="preserve">making any </w:t>
      </w:r>
      <w:r>
        <w:t>changes</w:t>
      </w:r>
      <w:r w:rsidR="00F7654F">
        <w:t>,</w:t>
      </w:r>
      <w:r>
        <w:t xml:space="preserve"> which Mr </w:t>
      </w:r>
      <w:proofErr w:type="spellStart"/>
      <w:r>
        <w:t>Macek</w:t>
      </w:r>
      <w:proofErr w:type="spellEnd"/>
      <w:r>
        <w:t xml:space="preserve"> could not recall.</w:t>
      </w:r>
    </w:p>
    <w:p w:rsidR="00B966E3" w:rsidRDefault="00B966E3" w:rsidP="003C586F">
      <w:pPr>
        <w:pStyle w:val="ParaNumbering"/>
      </w:pPr>
      <w:r>
        <w:t xml:space="preserve">What does this show?  It shows nothing </w:t>
      </w:r>
      <w:r w:rsidR="006E4CBB">
        <w:t xml:space="preserve">which </w:t>
      </w:r>
      <w:r>
        <w:t>reflect</w:t>
      </w:r>
      <w:r w:rsidR="006E4CBB">
        <w:t>s</w:t>
      </w:r>
      <w:r>
        <w:t xml:space="preserve"> poorly on Mr </w:t>
      </w:r>
      <w:proofErr w:type="spellStart"/>
      <w:r>
        <w:t>Macek’s</w:t>
      </w:r>
      <w:proofErr w:type="spellEnd"/>
      <w:r>
        <w:t xml:space="preserve"> credit and it does not come close to demonstrating that Mr </w:t>
      </w:r>
      <w:proofErr w:type="spellStart"/>
      <w:r>
        <w:t>Macek’s</w:t>
      </w:r>
      <w:proofErr w:type="spellEnd"/>
      <w:r>
        <w:t xml:space="preserve"> evidence was not his own.  The inevitability of this conclusion was unders</w:t>
      </w:r>
      <w:r w:rsidR="006E4CBB">
        <w:t>cored</w:t>
      </w:r>
      <w:r>
        <w:t xml:space="preserve"> by the fact that in final submissions, Mr Lancaster SC</w:t>
      </w:r>
      <w:r w:rsidR="003958F4">
        <w:t>,</w:t>
      </w:r>
      <w:r>
        <w:t xml:space="preserve"> </w:t>
      </w:r>
      <w:r w:rsidR="006E4CBB">
        <w:t>who appeared for the ISPs</w:t>
      </w:r>
      <w:r w:rsidR="003958F4">
        <w:t>,</w:t>
      </w:r>
      <w:r w:rsidR="006E4CBB">
        <w:t xml:space="preserve"> </w:t>
      </w:r>
      <w:r>
        <w:t>did not submit that this aspect of Mr </w:t>
      </w:r>
      <w:proofErr w:type="spellStart"/>
      <w:r>
        <w:t>Macek’s</w:t>
      </w:r>
      <w:proofErr w:type="spellEnd"/>
      <w:r>
        <w:t xml:space="preserve"> evidence had any impact on whether this </w:t>
      </w:r>
      <w:r w:rsidR="006E4CBB">
        <w:t>C</w:t>
      </w:r>
      <w:r>
        <w:t>ourt should accept his evidence.</w:t>
      </w:r>
    </w:p>
    <w:p w:rsidR="00D244BC" w:rsidRDefault="00B966E3" w:rsidP="00C43480">
      <w:pPr>
        <w:pStyle w:val="ParaNumbering"/>
      </w:pPr>
      <w:r>
        <w:t>I have spent some time explaining the status of Mr </w:t>
      </w:r>
      <w:proofErr w:type="spellStart"/>
      <w:r>
        <w:t>Macek’s</w:t>
      </w:r>
      <w:proofErr w:type="spellEnd"/>
      <w:r>
        <w:t xml:space="preserve"> </w:t>
      </w:r>
      <w:r w:rsidR="003F3D16">
        <w:t xml:space="preserve">evidence because the press coverage it attracted was quite negative.  However, as these reasons will </w:t>
      </w:r>
      <w:r w:rsidR="003958F4">
        <w:t xml:space="preserve">hopefully </w:t>
      </w:r>
      <w:r w:rsidR="003F3D16">
        <w:t>show</w:t>
      </w:r>
      <w:r w:rsidR="00CA3E4F">
        <w:t>,</w:t>
      </w:r>
      <w:r w:rsidR="003F3D16">
        <w:t xml:space="preserve"> that criticism was ill-informed: it was true that Mr </w:t>
      </w:r>
      <w:proofErr w:type="spellStart"/>
      <w:r w:rsidR="003F3D16">
        <w:t>Macek</w:t>
      </w:r>
      <w:proofErr w:type="spellEnd"/>
      <w:r w:rsidR="003F3D16">
        <w:t xml:space="preserve"> was </w:t>
      </w:r>
      <w:r w:rsidR="00C43480">
        <w:t>unable</w:t>
      </w:r>
      <w:r w:rsidR="003F3D16">
        <w:t xml:space="preserve"> to </w:t>
      </w:r>
      <w:r w:rsidR="00D244BC">
        <w:t xml:space="preserve">answer </w:t>
      </w:r>
      <w:r w:rsidR="003F3D16">
        <w:t>the ISPs</w:t>
      </w:r>
      <w:r w:rsidR="00F7654F">
        <w:t>’</w:t>
      </w:r>
      <w:r w:rsidR="003F3D16">
        <w:t xml:space="preserve"> question</w:t>
      </w:r>
      <w:r w:rsidR="00F7654F">
        <w:t>s</w:t>
      </w:r>
      <w:r w:rsidR="00F001F8">
        <w:t xml:space="preserve"> about </w:t>
      </w:r>
      <w:proofErr w:type="spellStart"/>
      <w:r w:rsidR="00F001F8">
        <w:t>Maveri</w:t>
      </w:r>
      <w:r w:rsidR="003F3D16">
        <w:t>k</w:t>
      </w:r>
      <w:proofErr w:type="spellEnd"/>
      <w:r w:rsidR="00F7654F">
        <w:t xml:space="preserve"> Monitor</w:t>
      </w:r>
      <w:r w:rsidR="003F3D16">
        <w:t xml:space="preserve"> </w:t>
      </w:r>
      <w:r w:rsidR="00D244BC">
        <w:t xml:space="preserve">when the only </w:t>
      </w:r>
      <w:r w:rsidR="003F3D16">
        <w:t>real question to my mind – still unanswered – was why the</w:t>
      </w:r>
      <w:r w:rsidR="00D244BC">
        <w:t xml:space="preserve"> ISPs</w:t>
      </w:r>
      <w:r w:rsidR="003F3D16">
        <w:t xml:space="preserve"> were asking </w:t>
      </w:r>
      <w:r w:rsidR="00D244BC">
        <w:t>Mr </w:t>
      </w:r>
      <w:proofErr w:type="spellStart"/>
      <w:r w:rsidR="00D244BC">
        <w:t>Macek</w:t>
      </w:r>
      <w:proofErr w:type="spellEnd"/>
      <w:r w:rsidR="00D244BC">
        <w:t xml:space="preserve"> about these matters and </w:t>
      </w:r>
      <w:r w:rsidR="003F3D16">
        <w:t>not the expert witness</w:t>
      </w:r>
      <w:r w:rsidR="00D244BC">
        <w:t>,</w:t>
      </w:r>
      <w:r w:rsidR="003F3D16">
        <w:t xml:space="preserve"> Dr Richter; further, a sober reading of what Mr </w:t>
      </w:r>
      <w:proofErr w:type="spellStart"/>
      <w:r w:rsidR="003F3D16">
        <w:t>Macek</w:t>
      </w:r>
      <w:proofErr w:type="spellEnd"/>
      <w:r w:rsidR="003F3D16">
        <w:t xml:space="preserve"> said about the preparation of his affidavit reveals nothing improper and, indeed, </w:t>
      </w:r>
      <w:r w:rsidR="00D244BC">
        <w:t xml:space="preserve">the contrary </w:t>
      </w:r>
      <w:r w:rsidR="003F3D16">
        <w:t xml:space="preserve">was not </w:t>
      </w:r>
      <w:r w:rsidR="00D244BC">
        <w:t xml:space="preserve">ultimately </w:t>
      </w:r>
      <w:r w:rsidR="003F3D16">
        <w:t>suggested.  In short, the cross-examination of Mr </w:t>
      </w:r>
      <w:proofErr w:type="spellStart"/>
      <w:r w:rsidR="003F3D16">
        <w:t>Macek</w:t>
      </w:r>
      <w:proofErr w:type="spellEnd"/>
      <w:r w:rsidR="003F3D16">
        <w:t xml:space="preserve"> was largely of </w:t>
      </w:r>
      <w:r w:rsidR="003958F4">
        <w:t>entertainment</w:t>
      </w:r>
      <w:r w:rsidR="003F3D16">
        <w:t>, as opposed to forensic, value.  I mean no criticism of Mr Lancaster in making these observations.  Indeed, given the imposing nature of Dr Richter’s evidence it was plain that asking her questions was not likely to end well for the ISPs.  In the circumstances, attempting to undermine Mr </w:t>
      </w:r>
      <w:proofErr w:type="spellStart"/>
      <w:r w:rsidR="003F3D16">
        <w:t>Macek’s</w:t>
      </w:r>
      <w:proofErr w:type="spellEnd"/>
      <w:r w:rsidR="003F3D16">
        <w:t xml:space="preserve"> credit was the most plausible tactic.  Be that as it may, it has not succeeded.</w:t>
      </w:r>
      <w:r w:rsidR="00B74C49">
        <w:t xml:space="preserve">  Mr </w:t>
      </w:r>
      <w:proofErr w:type="spellStart"/>
      <w:r w:rsidR="00B74C49">
        <w:t>Macek</w:t>
      </w:r>
      <w:proofErr w:type="spellEnd"/>
      <w:r w:rsidR="00B74C49">
        <w:t xml:space="preserve"> is entitled to have that recorded.</w:t>
      </w:r>
    </w:p>
    <w:p w:rsidR="00C43480" w:rsidRDefault="003F3D16" w:rsidP="00C43480">
      <w:pPr>
        <w:pStyle w:val="ParaNumbering"/>
      </w:pPr>
      <w:r>
        <w:t xml:space="preserve">I turn then to what Dr Richter’s </w:t>
      </w:r>
      <w:r w:rsidR="00F7654F">
        <w:t xml:space="preserve">report </w:t>
      </w:r>
      <w:r>
        <w:t xml:space="preserve">said about </w:t>
      </w:r>
      <w:proofErr w:type="spellStart"/>
      <w:r>
        <w:t>BitTorrent</w:t>
      </w:r>
      <w:proofErr w:type="spellEnd"/>
      <w:r w:rsidR="00890D7F">
        <w:t xml:space="preserve"> and</w:t>
      </w:r>
      <w:r w:rsidR="00C43480">
        <w:t xml:space="preserve"> </w:t>
      </w:r>
      <w:proofErr w:type="spellStart"/>
      <w:r w:rsidR="00F001F8">
        <w:t>Maveri</w:t>
      </w:r>
      <w:r w:rsidR="00890D7F">
        <w:t>k</w:t>
      </w:r>
      <w:proofErr w:type="spellEnd"/>
      <w:r w:rsidR="00F7654F">
        <w:t xml:space="preserve"> Monitor</w:t>
      </w:r>
      <w:r w:rsidR="00890D7F">
        <w:t>.</w:t>
      </w:r>
    </w:p>
    <w:p w:rsidR="00C43480" w:rsidRDefault="00890D7F" w:rsidP="00890D7F">
      <w:pPr>
        <w:pStyle w:val="Heading2"/>
      </w:pPr>
      <w:r>
        <w:t xml:space="preserve">3.    </w:t>
      </w:r>
      <w:proofErr w:type="spellStart"/>
      <w:r w:rsidR="00F4166B">
        <w:t>BitTorrent</w:t>
      </w:r>
      <w:proofErr w:type="spellEnd"/>
      <w:r w:rsidR="00F4166B">
        <w:t xml:space="preserve"> and</w:t>
      </w:r>
      <w:r w:rsidR="00F001F8">
        <w:t xml:space="preserve"> </w:t>
      </w:r>
      <w:proofErr w:type="spellStart"/>
      <w:r w:rsidR="00F001F8">
        <w:t>Maveri</w:t>
      </w:r>
      <w:r w:rsidR="00C43480">
        <w:t>k</w:t>
      </w:r>
      <w:proofErr w:type="spellEnd"/>
      <w:r w:rsidR="009C7B38">
        <w:t xml:space="preserve"> Monitor</w:t>
      </w:r>
    </w:p>
    <w:p w:rsidR="00C43480" w:rsidRDefault="003958F4" w:rsidP="00C43480">
      <w:pPr>
        <w:pStyle w:val="ParaNumbering"/>
      </w:pPr>
      <w:r>
        <w:t xml:space="preserve">As I have mentioned, </w:t>
      </w:r>
      <w:r w:rsidR="00C43480">
        <w:t>Dr</w:t>
      </w:r>
      <w:r>
        <w:t> </w:t>
      </w:r>
      <w:r w:rsidR="00C43480">
        <w:t>Richter’s report is 27 pages in length</w:t>
      </w:r>
      <w:r>
        <w:t xml:space="preserve"> and makes for a solid read</w:t>
      </w:r>
      <w:r w:rsidR="00C43480">
        <w:t>.  At section 5 of her report she provided a summary of her evidence.  She used the expression ‘the System’ to refer to</w:t>
      </w:r>
      <w:r w:rsidR="00F7654F">
        <w:t xml:space="preserve"> the computers running the</w:t>
      </w:r>
      <w:r w:rsidR="00F001F8">
        <w:t xml:space="preserve"> </w:t>
      </w:r>
      <w:proofErr w:type="spellStart"/>
      <w:r w:rsidR="00F001F8">
        <w:t>Maveri</w:t>
      </w:r>
      <w:r w:rsidR="00F7654F">
        <w:t>k</w:t>
      </w:r>
      <w:proofErr w:type="spellEnd"/>
      <w:r w:rsidR="00F7654F">
        <w:t xml:space="preserve"> Monitor software</w:t>
      </w:r>
      <w:r w:rsidR="00C43480">
        <w:t>.  The summary was as follows:</w:t>
      </w:r>
    </w:p>
    <w:p w:rsidR="00C43480" w:rsidRDefault="00F7654F" w:rsidP="00CD64DF">
      <w:pPr>
        <w:pStyle w:val="Quote1"/>
        <w:spacing w:before="120" w:after="120"/>
      </w:pPr>
      <w:r>
        <w:rPr>
          <w:b/>
        </w:rPr>
        <w:t>‘</w:t>
      </w:r>
      <w:r w:rsidR="00E01C7C">
        <w:rPr>
          <w:b/>
        </w:rPr>
        <w:t>5.</w:t>
      </w:r>
      <w:r w:rsidR="00E01C7C">
        <w:rPr>
          <w:b/>
        </w:rPr>
        <w:tab/>
        <w:t>Summary of Findings</w:t>
      </w:r>
    </w:p>
    <w:p w:rsidR="00E01C7C" w:rsidRDefault="00F7654F" w:rsidP="00CD64DF">
      <w:pPr>
        <w:pStyle w:val="Quote1"/>
        <w:spacing w:before="120" w:after="120"/>
      </w:pPr>
      <w:r>
        <w:t xml:space="preserve"> </w:t>
      </w:r>
      <w:r w:rsidR="00E01C7C">
        <w:t>5.1</w:t>
      </w:r>
      <w:r w:rsidR="00E01C7C">
        <w:tab/>
        <w:t>In my examination of the System, I found that:</w:t>
      </w:r>
    </w:p>
    <w:p w:rsidR="00E01C7C" w:rsidRDefault="00E01C7C" w:rsidP="00CD64DF">
      <w:pPr>
        <w:pStyle w:val="Quote2"/>
        <w:spacing w:before="120" w:after="120"/>
      </w:pPr>
      <w:r>
        <w:t>(a)</w:t>
      </w:r>
      <w:r>
        <w:tab/>
        <w:t xml:space="preserve">it is capable of monitoring traffic on the </w:t>
      </w:r>
      <w:proofErr w:type="spellStart"/>
      <w:r>
        <w:t>BitTorrent</w:t>
      </w:r>
      <w:proofErr w:type="spellEnd"/>
      <w:r>
        <w:t xml:space="preserve"> network;</w:t>
      </w:r>
    </w:p>
    <w:p w:rsidR="00E01C7C" w:rsidRDefault="00F7654F" w:rsidP="00CD64DF">
      <w:pPr>
        <w:pStyle w:val="Quote2"/>
        <w:spacing w:before="120" w:after="120"/>
        <w:ind w:left="2160" w:hanging="720"/>
      </w:pPr>
      <w:r>
        <w:lastRenderedPageBreak/>
        <w:t>(b)</w:t>
      </w:r>
      <w:r>
        <w:tab/>
        <w:t>i</w:t>
      </w:r>
      <w:r w:rsidR="00E01C7C" w:rsidRPr="00AF6480">
        <w:t>t</w:t>
      </w:r>
      <w:r w:rsidR="00E01C7C" w:rsidRPr="00AF6480">
        <w:rPr>
          <w:spacing w:val="-4"/>
        </w:rPr>
        <w:t xml:space="preserve"> </w:t>
      </w:r>
      <w:r w:rsidR="00E01C7C" w:rsidRPr="00AF6480">
        <w:t>identifies</w:t>
      </w:r>
      <w:r w:rsidR="00E01C7C" w:rsidRPr="00AF6480">
        <w:rPr>
          <w:spacing w:val="-3"/>
        </w:rPr>
        <w:t xml:space="preserve"> </w:t>
      </w:r>
      <w:r w:rsidR="00E01C7C" w:rsidRPr="00AF6480">
        <w:t>the</w:t>
      </w:r>
      <w:r w:rsidR="00E01C7C" w:rsidRPr="00AF6480">
        <w:rPr>
          <w:spacing w:val="14"/>
        </w:rPr>
        <w:t xml:space="preserve"> </w:t>
      </w:r>
      <w:r w:rsidR="00E01C7C" w:rsidRPr="00AF6480">
        <w:t>IP</w:t>
      </w:r>
      <w:r w:rsidR="00E01C7C" w:rsidRPr="00AF6480">
        <w:rPr>
          <w:spacing w:val="-12"/>
        </w:rPr>
        <w:t xml:space="preserve"> </w:t>
      </w:r>
      <w:r w:rsidR="00E01C7C" w:rsidRPr="00AF6480">
        <w:t>addresses</w:t>
      </w:r>
      <w:r w:rsidR="00E01C7C" w:rsidRPr="00AF6480">
        <w:rPr>
          <w:spacing w:val="13"/>
        </w:rPr>
        <w:t xml:space="preserve"> </w:t>
      </w:r>
      <w:r w:rsidR="00E01C7C" w:rsidRPr="00AF6480">
        <w:t>of</w:t>
      </w:r>
      <w:r w:rsidR="00E01C7C" w:rsidRPr="00AF6480">
        <w:rPr>
          <w:spacing w:val="4"/>
        </w:rPr>
        <w:t xml:space="preserve"> </w:t>
      </w:r>
      <w:r w:rsidR="00E01C7C" w:rsidRPr="00AF6480">
        <w:t>users</w:t>
      </w:r>
      <w:r w:rsidR="00E01C7C" w:rsidRPr="00AF6480">
        <w:rPr>
          <w:spacing w:val="1"/>
        </w:rPr>
        <w:t xml:space="preserve"> </w:t>
      </w:r>
      <w:r w:rsidR="00E01C7C" w:rsidRPr="00AF6480">
        <w:t>and</w:t>
      </w:r>
      <w:r w:rsidR="00E01C7C" w:rsidRPr="00AF6480">
        <w:rPr>
          <w:spacing w:val="-15"/>
        </w:rPr>
        <w:t xml:space="preserve"> </w:t>
      </w:r>
      <w:r w:rsidR="00E01C7C" w:rsidRPr="00AF6480">
        <w:t>records</w:t>
      </w:r>
      <w:r w:rsidR="00E01C7C" w:rsidRPr="00AF6480">
        <w:rPr>
          <w:spacing w:val="-6"/>
        </w:rPr>
        <w:t xml:space="preserve"> </w:t>
      </w:r>
      <w:r w:rsidR="00E01C7C" w:rsidRPr="00AF6480">
        <w:rPr>
          <w:color w:val="262626"/>
        </w:rPr>
        <w:t>the</w:t>
      </w:r>
      <w:r w:rsidR="00E01C7C" w:rsidRPr="00AF6480">
        <w:rPr>
          <w:color w:val="262626"/>
          <w:spacing w:val="4"/>
        </w:rPr>
        <w:t xml:space="preserve"> </w:t>
      </w:r>
      <w:r w:rsidR="00E01C7C" w:rsidRPr="00AF6480">
        <w:rPr>
          <w:color w:val="262626"/>
        </w:rPr>
        <w:t>time</w:t>
      </w:r>
      <w:r w:rsidR="00E01C7C" w:rsidRPr="00AF6480">
        <w:rPr>
          <w:color w:val="262626"/>
          <w:spacing w:val="6"/>
        </w:rPr>
        <w:t xml:space="preserve"> </w:t>
      </w:r>
      <w:r w:rsidR="00E01C7C" w:rsidRPr="00AF6480">
        <w:t>of</w:t>
      </w:r>
      <w:r w:rsidR="00E01C7C" w:rsidRPr="00AF6480">
        <w:rPr>
          <w:spacing w:val="4"/>
        </w:rPr>
        <w:t xml:space="preserve"> </w:t>
      </w:r>
      <w:r w:rsidR="00E01C7C" w:rsidRPr="00AF6480">
        <w:t>the</w:t>
      </w:r>
      <w:r w:rsidR="00E01C7C" w:rsidRPr="00AF6480">
        <w:rPr>
          <w:spacing w:val="2"/>
        </w:rPr>
        <w:t xml:space="preserve"> </w:t>
      </w:r>
      <w:r w:rsidR="00E01C7C" w:rsidRPr="00AF6480">
        <w:t>data</w:t>
      </w:r>
      <w:r w:rsidR="00E01C7C" w:rsidRPr="00AF6480">
        <w:rPr>
          <w:spacing w:val="3"/>
        </w:rPr>
        <w:t xml:space="preserve"> </w:t>
      </w:r>
      <w:r w:rsidR="00E01C7C" w:rsidRPr="00AF6480">
        <w:t>transfer</w:t>
      </w:r>
      <w:r w:rsidR="00E01C7C" w:rsidRPr="00AF6480">
        <w:rPr>
          <w:w w:val="98"/>
        </w:rPr>
        <w:t xml:space="preserve"> </w:t>
      </w:r>
      <w:r w:rsidR="00E01C7C" w:rsidRPr="00AF6480">
        <w:t>accurately. This</w:t>
      </w:r>
      <w:r w:rsidR="00E01C7C" w:rsidRPr="00AF6480">
        <w:rPr>
          <w:spacing w:val="4"/>
        </w:rPr>
        <w:t xml:space="preserve"> </w:t>
      </w:r>
      <w:r w:rsidR="00E01C7C" w:rsidRPr="00AF6480">
        <w:rPr>
          <w:color w:val="262626"/>
        </w:rPr>
        <w:t xml:space="preserve">information </w:t>
      </w:r>
      <w:r w:rsidR="00E01C7C" w:rsidRPr="00AF6480">
        <w:t>enables</w:t>
      </w:r>
      <w:r w:rsidR="00E01C7C" w:rsidRPr="00AF6480">
        <w:rPr>
          <w:spacing w:val="16"/>
        </w:rPr>
        <w:t xml:space="preserve"> </w:t>
      </w:r>
      <w:r w:rsidR="00E01C7C" w:rsidRPr="00AF6480">
        <w:t>ISPs</w:t>
      </w:r>
      <w:r w:rsidR="00E01C7C" w:rsidRPr="00AF6480">
        <w:rPr>
          <w:spacing w:val="-17"/>
        </w:rPr>
        <w:t xml:space="preserve"> </w:t>
      </w:r>
      <w:r w:rsidR="00E01C7C" w:rsidRPr="00AF6480">
        <w:t>to</w:t>
      </w:r>
      <w:r w:rsidR="00E01C7C">
        <w:t xml:space="preserve"> identify</w:t>
      </w:r>
      <w:r w:rsidR="00E01C7C" w:rsidRPr="00AF6480">
        <w:rPr>
          <w:spacing w:val="-6"/>
        </w:rPr>
        <w:t xml:space="preserve"> </w:t>
      </w:r>
      <w:r w:rsidR="00E01C7C" w:rsidRPr="00AF6480">
        <w:t>the</w:t>
      </w:r>
      <w:r w:rsidR="00E01C7C" w:rsidRPr="00AF6480">
        <w:rPr>
          <w:spacing w:val="-6"/>
        </w:rPr>
        <w:t xml:space="preserve"> </w:t>
      </w:r>
      <w:r w:rsidR="00E01C7C" w:rsidRPr="00AF6480">
        <w:t>Subscriber</w:t>
      </w:r>
      <w:r w:rsidR="00E01C7C" w:rsidRPr="00AF6480">
        <w:rPr>
          <w:spacing w:val="2"/>
        </w:rPr>
        <w:t xml:space="preserve"> </w:t>
      </w:r>
      <w:r w:rsidR="00E01C7C" w:rsidRPr="00AF6480">
        <w:t>whose</w:t>
      </w:r>
      <w:r w:rsidR="00E01C7C" w:rsidRPr="00AF6480">
        <w:rPr>
          <w:spacing w:val="8"/>
        </w:rPr>
        <w:t xml:space="preserve"> </w:t>
      </w:r>
      <w:r w:rsidR="00E01C7C" w:rsidRPr="00AF6480">
        <w:rPr>
          <w:color w:val="262626"/>
        </w:rPr>
        <w:t>internet</w:t>
      </w:r>
      <w:r w:rsidR="00E01C7C" w:rsidRPr="00AF6480">
        <w:rPr>
          <w:color w:val="262626"/>
          <w:w w:val="99"/>
        </w:rPr>
        <w:t xml:space="preserve"> </w:t>
      </w:r>
      <w:r w:rsidR="00E01C7C" w:rsidRPr="00AF6480">
        <w:t>connection</w:t>
      </w:r>
      <w:r w:rsidR="00E01C7C" w:rsidRPr="00AF6480">
        <w:rPr>
          <w:spacing w:val="2"/>
        </w:rPr>
        <w:t xml:space="preserve"> </w:t>
      </w:r>
      <w:r w:rsidR="00E01C7C" w:rsidRPr="00AF6480">
        <w:t>was</w:t>
      </w:r>
      <w:r w:rsidR="00E01C7C" w:rsidRPr="00AF6480">
        <w:rPr>
          <w:spacing w:val="7"/>
        </w:rPr>
        <w:t xml:space="preserve"> </w:t>
      </w:r>
      <w:r w:rsidR="00E01C7C" w:rsidRPr="00AF6480">
        <w:t>used</w:t>
      </w:r>
      <w:r w:rsidR="00E01C7C" w:rsidRPr="00AF6480">
        <w:rPr>
          <w:spacing w:val="-7"/>
        </w:rPr>
        <w:t xml:space="preserve"> </w:t>
      </w:r>
      <w:r w:rsidR="00E01C7C" w:rsidRPr="00AF6480">
        <w:t>to</w:t>
      </w:r>
      <w:r w:rsidR="00E01C7C" w:rsidRPr="00AF6480">
        <w:rPr>
          <w:spacing w:val="-7"/>
        </w:rPr>
        <w:t xml:space="preserve"> </w:t>
      </w:r>
      <w:r w:rsidR="00E01C7C" w:rsidRPr="00AF6480">
        <w:t>conduct</w:t>
      </w:r>
      <w:r w:rsidR="00E01C7C" w:rsidRPr="00AF6480">
        <w:rPr>
          <w:spacing w:val="6"/>
        </w:rPr>
        <w:t xml:space="preserve"> </w:t>
      </w:r>
      <w:r w:rsidR="00E01C7C" w:rsidRPr="00AF6480">
        <w:t>the</w:t>
      </w:r>
      <w:r w:rsidR="00E01C7C" w:rsidRPr="00AF6480">
        <w:rPr>
          <w:spacing w:val="-5"/>
        </w:rPr>
        <w:t xml:space="preserve"> </w:t>
      </w:r>
      <w:r w:rsidR="00E01C7C" w:rsidRPr="00AF6480">
        <w:t>alleged</w:t>
      </w:r>
      <w:r w:rsidR="00E01C7C" w:rsidRPr="00AF6480">
        <w:rPr>
          <w:spacing w:val="2"/>
        </w:rPr>
        <w:t xml:space="preserve"> </w:t>
      </w:r>
      <w:r w:rsidR="00E01C7C" w:rsidRPr="00AF6480">
        <w:t>copyright</w:t>
      </w:r>
      <w:r w:rsidR="00E01C7C" w:rsidRPr="00AF6480">
        <w:rPr>
          <w:spacing w:val="4"/>
        </w:rPr>
        <w:t xml:space="preserve"> </w:t>
      </w:r>
      <w:r w:rsidR="00E01C7C" w:rsidRPr="00AF6480">
        <w:t>infringement;</w:t>
      </w:r>
    </w:p>
    <w:p w:rsidR="00E01C7C" w:rsidRDefault="00E01C7C" w:rsidP="00CD64DF">
      <w:pPr>
        <w:pStyle w:val="Quote2"/>
        <w:spacing w:before="120" w:after="120"/>
        <w:ind w:left="2160" w:hanging="720"/>
      </w:pPr>
      <w:r>
        <w:t>(c)</w:t>
      </w:r>
      <w:r>
        <w:tab/>
        <w:t>T</w:t>
      </w:r>
      <w:r w:rsidRPr="00AF6480">
        <w:t>he</w:t>
      </w:r>
      <w:r w:rsidRPr="00AF6480">
        <w:rPr>
          <w:spacing w:val="-3"/>
        </w:rPr>
        <w:t xml:space="preserve"> </w:t>
      </w:r>
      <w:r w:rsidRPr="00AF6480">
        <w:t>System</w:t>
      </w:r>
      <w:r w:rsidRPr="00AF6480">
        <w:rPr>
          <w:spacing w:val="15"/>
        </w:rPr>
        <w:t xml:space="preserve"> </w:t>
      </w:r>
      <w:r w:rsidRPr="00AF6480">
        <w:t>implements</w:t>
      </w:r>
      <w:r w:rsidRPr="00AF6480">
        <w:rPr>
          <w:spacing w:val="14"/>
        </w:rPr>
        <w:t xml:space="preserve"> </w:t>
      </w:r>
      <w:r w:rsidRPr="00AF6480">
        <w:t>mechanisms</w:t>
      </w:r>
      <w:r w:rsidRPr="00AF6480">
        <w:rPr>
          <w:spacing w:val="2"/>
        </w:rPr>
        <w:t xml:space="preserve"> </w:t>
      </w:r>
      <w:r w:rsidRPr="00AF6480">
        <w:t>to</w:t>
      </w:r>
      <w:r w:rsidRPr="00AF6480">
        <w:rPr>
          <w:spacing w:val="8"/>
        </w:rPr>
        <w:t xml:space="preserve"> </w:t>
      </w:r>
      <w:r w:rsidRPr="00AF6480">
        <w:t>ensure that</w:t>
      </w:r>
      <w:r w:rsidRPr="00AF6480">
        <w:rPr>
          <w:spacing w:val="5"/>
        </w:rPr>
        <w:t xml:space="preserve"> </w:t>
      </w:r>
      <w:r w:rsidRPr="00AF6480">
        <w:t>no</w:t>
      </w:r>
      <w:r w:rsidRPr="00AF6480">
        <w:rPr>
          <w:spacing w:val="-12"/>
        </w:rPr>
        <w:t xml:space="preserve"> </w:t>
      </w:r>
      <w:r w:rsidRPr="00AF6480">
        <w:t>erroneous</w:t>
      </w:r>
      <w:r w:rsidRPr="00AF6480">
        <w:rPr>
          <w:spacing w:val="14"/>
        </w:rPr>
        <w:t xml:space="preserve"> </w:t>
      </w:r>
      <w:r w:rsidRPr="00AF6480">
        <w:rPr>
          <w:color w:val="262626"/>
        </w:rPr>
        <w:t>IP</w:t>
      </w:r>
      <w:r w:rsidRPr="00AF6480">
        <w:rPr>
          <w:color w:val="262626"/>
          <w:spacing w:val="-8"/>
        </w:rPr>
        <w:t xml:space="preserve"> </w:t>
      </w:r>
      <w:r w:rsidRPr="00AF6480">
        <w:t>addresses</w:t>
      </w:r>
      <w:r w:rsidRPr="00AF6480">
        <w:rPr>
          <w:spacing w:val="12"/>
        </w:rPr>
        <w:t xml:space="preserve"> </w:t>
      </w:r>
      <w:r w:rsidRPr="00AF6480">
        <w:t>are</w:t>
      </w:r>
      <w:r>
        <w:t xml:space="preserve"> </w:t>
      </w:r>
      <w:r w:rsidRPr="00AF6480">
        <w:rPr>
          <w:color w:val="262626"/>
        </w:rPr>
        <w:t>collected</w:t>
      </w:r>
      <w:r w:rsidRPr="00AF6480">
        <w:rPr>
          <w:color w:val="262626"/>
          <w:spacing w:val="8"/>
        </w:rPr>
        <w:t xml:space="preserve"> </w:t>
      </w:r>
      <w:r w:rsidRPr="00AF6480">
        <w:t>by</w:t>
      </w:r>
      <w:r w:rsidRPr="00AF6480">
        <w:rPr>
          <w:spacing w:val="-14"/>
        </w:rPr>
        <w:t xml:space="preserve"> </w:t>
      </w:r>
      <w:r w:rsidRPr="00AF6480">
        <w:t>the</w:t>
      </w:r>
      <w:r w:rsidRPr="00AF6480">
        <w:rPr>
          <w:spacing w:val="6"/>
        </w:rPr>
        <w:t xml:space="preserve"> </w:t>
      </w:r>
      <w:r w:rsidRPr="00AF6480">
        <w:t>System.</w:t>
      </w:r>
    </w:p>
    <w:p w:rsidR="00E01C7C" w:rsidRDefault="00E01C7C" w:rsidP="00CD64DF">
      <w:pPr>
        <w:pStyle w:val="Quote2"/>
        <w:spacing w:before="120" w:after="120"/>
        <w:ind w:left="2160" w:hanging="720"/>
      </w:pPr>
      <w:r>
        <w:t>(d)</w:t>
      </w:r>
      <w:r>
        <w:tab/>
      </w:r>
      <w:r w:rsidRPr="00AF6480">
        <w:t>The</w:t>
      </w:r>
      <w:r w:rsidRPr="00AF6480">
        <w:rPr>
          <w:spacing w:val="-5"/>
        </w:rPr>
        <w:t xml:space="preserve"> </w:t>
      </w:r>
      <w:r w:rsidRPr="00AF6480">
        <w:t>System</w:t>
      </w:r>
      <w:r w:rsidRPr="00AF6480">
        <w:rPr>
          <w:spacing w:val="3"/>
        </w:rPr>
        <w:t xml:space="preserve"> </w:t>
      </w:r>
      <w:r w:rsidRPr="00AF6480">
        <w:rPr>
          <w:color w:val="262626"/>
        </w:rPr>
        <w:t>establishes</w:t>
      </w:r>
      <w:r w:rsidRPr="00AF6480">
        <w:rPr>
          <w:color w:val="262626"/>
          <w:spacing w:val="12"/>
        </w:rPr>
        <w:t xml:space="preserve"> </w:t>
      </w:r>
      <w:r w:rsidRPr="00AF6480">
        <w:t>connections</w:t>
      </w:r>
      <w:r w:rsidRPr="00AF6480">
        <w:rPr>
          <w:spacing w:val="7"/>
        </w:rPr>
        <w:t xml:space="preserve"> </w:t>
      </w:r>
      <w:r w:rsidRPr="00AF6480">
        <w:t>with</w:t>
      </w:r>
      <w:r w:rsidRPr="00AF6480">
        <w:rPr>
          <w:spacing w:val="-6"/>
        </w:rPr>
        <w:t xml:space="preserve"> </w:t>
      </w:r>
      <w:r w:rsidRPr="00AF6480">
        <w:t>remote</w:t>
      </w:r>
      <w:r w:rsidRPr="00AF6480">
        <w:rPr>
          <w:spacing w:val="1"/>
        </w:rPr>
        <w:t xml:space="preserve"> </w:t>
      </w:r>
      <w:r w:rsidRPr="00AF6480">
        <w:t>computers</w:t>
      </w:r>
      <w:r w:rsidRPr="00AF6480">
        <w:rPr>
          <w:spacing w:val="7"/>
        </w:rPr>
        <w:t xml:space="preserve"> </w:t>
      </w:r>
      <w:r w:rsidRPr="00AF6480">
        <w:t>and</w:t>
      </w:r>
      <w:r w:rsidRPr="00AF6480">
        <w:rPr>
          <w:spacing w:val="5"/>
        </w:rPr>
        <w:t xml:space="preserve"> </w:t>
      </w:r>
      <w:r w:rsidRPr="00AF6480">
        <w:rPr>
          <w:color w:val="262626"/>
        </w:rPr>
        <w:t>receives</w:t>
      </w:r>
      <w:r w:rsidRPr="00AF6480">
        <w:rPr>
          <w:color w:val="262626"/>
          <w:spacing w:val="5"/>
        </w:rPr>
        <w:t xml:space="preserve"> </w:t>
      </w:r>
      <w:r w:rsidRPr="00AF6480">
        <w:t>and</w:t>
      </w:r>
      <w:r w:rsidRPr="00AF6480">
        <w:rPr>
          <w:spacing w:val="-3"/>
        </w:rPr>
        <w:t xml:space="preserve"> </w:t>
      </w:r>
      <w:r w:rsidRPr="00AF6480">
        <w:t>stores</w:t>
      </w:r>
      <w:r w:rsidRPr="00AF6480">
        <w:rPr>
          <w:spacing w:val="-3"/>
        </w:rPr>
        <w:t xml:space="preserve"> </w:t>
      </w:r>
      <w:r w:rsidRPr="00AF6480">
        <w:t>pieces</w:t>
      </w:r>
      <w:r w:rsidRPr="00AF6480">
        <w:rPr>
          <w:spacing w:val="-4"/>
        </w:rPr>
        <w:t xml:space="preserve"> </w:t>
      </w:r>
      <w:r w:rsidRPr="00AF6480">
        <w:t>of</w:t>
      </w:r>
      <w:r w:rsidRPr="00AF6480">
        <w:rPr>
          <w:spacing w:val="-2"/>
        </w:rPr>
        <w:t xml:space="preserve"> </w:t>
      </w:r>
      <w:r w:rsidRPr="00AF6480">
        <w:t>data</w:t>
      </w:r>
      <w:r w:rsidRPr="00AF6480">
        <w:rPr>
          <w:spacing w:val="-6"/>
        </w:rPr>
        <w:t xml:space="preserve"> </w:t>
      </w:r>
      <w:r w:rsidRPr="00AF6480">
        <w:t>from</w:t>
      </w:r>
      <w:r w:rsidRPr="00AF6480">
        <w:rPr>
          <w:spacing w:val="17"/>
        </w:rPr>
        <w:t xml:space="preserve"> </w:t>
      </w:r>
      <w:r w:rsidRPr="00AF6480">
        <w:t>those</w:t>
      </w:r>
      <w:r w:rsidRPr="00AF6480">
        <w:rPr>
          <w:spacing w:val="-2"/>
        </w:rPr>
        <w:t xml:space="preserve"> </w:t>
      </w:r>
      <w:r w:rsidRPr="00AF6480">
        <w:t>computers</w:t>
      </w:r>
      <w:r w:rsidRPr="00AF6480">
        <w:rPr>
          <w:spacing w:val="9"/>
        </w:rPr>
        <w:t xml:space="preserve"> </w:t>
      </w:r>
      <w:r w:rsidRPr="00AF6480">
        <w:t>which</w:t>
      </w:r>
      <w:r w:rsidRPr="00AF6480">
        <w:rPr>
          <w:spacing w:val="7"/>
        </w:rPr>
        <w:t xml:space="preserve"> </w:t>
      </w:r>
      <w:r w:rsidRPr="00AF6480">
        <w:t>make</w:t>
      </w:r>
      <w:r w:rsidRPr="00AF6480">
        <w:rPr>
          <w:spacing w:val="-11"/>
        </w:rPr>
        <w:t xml:space="preserve"> </w:t>
      </w:r>
      <w:r w:rsidRPr="00AF6480">
        <w:t>content</w:t>
      </w:r>
      <w:r w:rsidRPr="00AF6480">
        <w:rPr>
          <w:spacing w:val="4"/>
        </w:rPr>
        <w:t xml:space="preserve"> </w:t>
      </w:r>
      <w:r w:rsidRPr="00AF6480">
        <w:t>available</w:t>
      </w:r>
      <w:r w:rsidRPr="00AF6480">
        <w:rPr>
          <w:spacing w:val="2"/>
        </w:rPr>
        <w:t xml:space="preserve"> </w:t>
      </w:r>
      <w:r w:rsidRPr="00AF6480">
        <w:t>across the</w:t>
      </w:r>
      <w:r w:rsidRPr="00AF6480">
        <w:rPr>
          <w:spacing w:val="6"/>
        </w:rPr>
        <w:t xml:space="preserve"> </w:t>
      </w:r>
      <w:proofErr w:type="spellStart"/>
      <w:r w:rsidRPr="00AF6480">
        <w:t>BitTorrent</w:t>
      </w:r>
      <w:proofErr w:type="spellEnd"/>
      <w:r w:rsidRPr="00AF6480">
        <w:rPr>
          <w:spacing w:val="-2"/>
        </w:rPr>
        <w:t xml:space="preserve"> </w:t>
      </w:r>
      <w:r w:rsidRPr="00AF6480">
        <w:t>network.</w:t>
      </w:r>
    </w:p>
    <w:p w:rsidR="00E01C7C" w:rsidRDefault="00E01C7C" w:rsidP="00CD64DF">
      <w:pPr>
        <w:pStyle w:val="Quote2"/>
        <w:spacing w:before="120" w:after="120"/>
        <w:ind w:left="2160" w:hanging="720"/>
        <w:rPr>
          <w:color w:val="262626"/>
        </w:rPr>
      </w:pPr>
      <w:r>
        <w:rPr>
          <w:color w:val="262626"/>
        </w:rPr>
        <w:t>(e)</w:t>
      </w:r>
      <w:r>
        <w:rPr>
          <w:color w:val="262626"/>
        </w:rPr>
        <w:tab/>
      </w:r>
      <w:r w:rsidRPr="00AF6480">
        <w:rPr>
          <w:color w:val="262626"/>
        </w:rPr>
        <w:t>The</w:t>
      </w:r>
      <w:r w:rsidRPr="00AF6480">
        <w:rPr>
          <w:color w:val="262626"/>
          <w:spacing w:val="-3"/>
        </w:rPr>
        <w:t xml:space="preserve"> </w:t>
      </w:r>
      <w:r w:rsidRPr="00AF6480">
        <w:t>received pieces</w:t>
      </w:r>
      <w:r w:rsidRPr="00AF6480">
        <w:rPr>
          <w:spacing w:val="-3"/>
        </w:rPr>
        <w:t xml:space="preserve"> </w:t>
      </w:r>
      <w:r w:rsidRPr="00AF6480">
        <w:t>of</w:t>
      </w:r>
      <w:r w:rsidRPr="00AF6480">
        <w:rPr>
          <w:spacing w:val="9"/>
        </w:rPr>
        <w:t xml:space="preserve"> </w:t>
      </w:r>
      <w:r w:rsidRPr="00AF6480">
        <w:t>data</w:t>
      </w:r>
      <w:r w:rsidRPr="00AF6480">
        <w:rPr>
          <w:spacing w:val="5"/>
        </w:rPr>
        <w:t xml:space="preserve"> </w:t>
      </w:r>
      <w:r w:rsidRPr="00AF6480">
        <w:t>are</w:t>
      </w:r>
      <w:r w:rsidRPr="00AF6480">
        <w:rPr>
          <w:spacing w:val="-3"/>
        </w:rPr>
        <w:t xml:space="preserve"> </w:t>
      </w:r>
      <w:r w:rsidRPr="00AF6480">
        <w:t>compared</w:t>
      </w:r>
      <w:r w:rsidRPr="00AF6480">
        <w:rPr>
          <w:spacing w:val="14"/>
        </w:rPr>
        <w:t xml:space="preserve"> </w:t>
      </w:r>
      <w:r w:rsidRPr="00AF6480">
        <w:t>to</w:t>
      </w:r>
      <w:r w:rsidRPr="00AF6480">
        <w:rPr>
          <w:spacing w:val="17"/>
        </w:rPr>
        <w:t xml:space="preserve"> </w:t>
      </w:r>
      <w:r w:rsidRPr="00AF6480">
        <w:t>a</w:t>
      </w:r>
      <w:r w:rsidRPr="00AF6480">
        <w:rPr>
          <w:spacing w:val="3"/>
        </w:rPr>
        <w:t xml:space="preserve"> </w:t>
      </w:r>
      <w:r w:rsidRPr="00AF6480">
        <w:t>control</w:t>
      </w:r>
      <w:r w:rsidRPr="00AF6480">
        <w:rPr>
          <w:spacing w:val="6"/>
        </w:rPr>
        <w:t xml:space="preserve"> </w:t>
      </w:r>
      <w:r w:rsidRPr="00AF6480">
        <w:t>copy</w:t>
      </w:r>
      <w:r w:rsidRPr="00AF6480">
        <w:rPr>
          <w:spacing w:val="3"/>
        </w:rPr>
        <w:t xml:space="preserve"> </w:t>
      </w:r>
      <w:r w:rsidRPr="00AF6480">
        <w:t>using</w:t>
      </w:r>
      <w:r w:rsidRPr="00AF6480">
        <w:rPr>
          <w:spacing w:val="-2"/>
        </w:rPr>
        <w:t xml:space="preserve"> </w:t>
      </w:r>
      <w:r w:rsidRPr="00AF6480">
        <w:t>hash</w:t>
      </w:r>
      <w:r w:rsidRPr="00AF6480">
        <w:rPr>
          <w:spacing w:val="-5"/>
        </w:rPr>
        <w:t xml:space="preserve"> </w:t>
      </w:r>
      <w:r w:rsidRPr="00AF6480">
        <w:t>value</w:t>
      </w:r>
      <w:r w:rsidRPr="00AF6480">
        <w:rPr>
          <w:spacing w:val="2"/>
        </w:rPr>
        <w:t xml:space="preserve"> </w:t>
      </w:r>
      <w:r w:rsidRPr="00AF6480">
        <w:rPr>
          <w:color w:val="262626"/>
        </w:rPr>
        <w:t>comparison.</w:t>
      </w:r>
      <w:r w:rsidRPr="00AF6480">
        <w:rPr>
          <w:color w:val="262626"/>
          <w:spacing w:val="16"/>
        </w:rPr>
        <w:t xml:space="preserve"> </w:t>
      </w:r>
      <w:r w:rsidRPr="00AF6480">
        <w:rPr>
          <w:color w:val="3D3D3D"/>
        </w:rPr>
        <w:t>If</w:t>
      </w:r>
      <w:r w:rsidRPr="00AF6480">
        <w:rPr>
          <w:color w:val="3D3D3D"/>
          <w:spacing w:val="-16"/>
        </w:rPr>
        <w:t xml:space="preserve"> </w:t>
      </w:r>
      <w:r w:rsidRPr="00AF6480">
        <w:t xml:space="preserve">the </w:t>
      </w:r>
      <w:r w:rsidRPr="00AF6480">
        <w:rPr>
          <w:color w:val="262626"/>
        </w:rPr>
        <w:t>hash</w:t>
      </w:r>
      <w:r w:rsidRPr="00AF6480">
        <w:rPr>
          <w:color w:val="262626"/>
          <w:spacing w:val="-2"/>
        </w:rPr>
        <w:t xml:space="preserve"> </w:t>
      </w:r>
      <w:r w:rsidRPr="00AF6480">
        <w:t>value</w:t>
      </w:r>
      <w:r w:rsidRPr="00AF6480">
        <w:rPr>
          <w:spacing w:val="3"/>
        </w:rPr>
        <w:t xml:space="preserve"> </w:t>
      </w:r>
      <w:r w:rsidRPr="00AF6480">
        <w:rPr>
          <w:color w:val="262626"/>
        </w:rPr>
        <w:t>of</w:t>
      </w:r>
      <w:r w:rsidRPr="00AF6480">
        <w:rPr>
          <w:color w:val="262626"/>
          <w:spacing w:val="-1"/>
        </w:rPr>
        <w:t xml:space="preserve"> </w:t>
      </w:r>
      <w:r w:rsidRPr="00AF6480">
        <w:t>the</w:t>
      </w:r>
      <w:r w:rsidRPr="00AF6480">
        <w:rPr>
          <w:spacing w:val="11"/>
        </w:rPr>
        <w:t xml:space="preserve"> </w:t>
      </w:r>
      <w:r w:rsidRPr="00AF6480">
        <w:t>piece</w:t>
      </w:r>
      <w:r w:rsidRPr="00AF6480">
        <w:rPr>
          <w:spacing w:val="-8"/>
        </w:rPr>
        <w:t xml:space="preserve"> </w:t>
      </w:r>
      <w:r w:rsidRPr="00AF6480">
        <w:t>of</w:t>
      </w:r>
      <w:r w:rsidRPr="00AF6480">
        <w:rPr>
          <w:spacing w:val="-1"/>
        </w:rPr>
        <w:t xml:space="preserve"> </w:t>
      </w:r>
      <w:r w:rsidRPr="00AF6480">
        <w:t>data</w:t>
      </w:r>
      <w:r w:rsidRPr="00AF6480">
        <w:rPr>
          <w:spacing w:val="-3"/>
        </w:rPr>
        <w:t xml:space="preserve"> </w:t>
      </w:r>
      <w:r w:rsidRPr="00AF6480">
        <w:t>downloaded</w:t>
      </w:r>
      <w:r w:rsidRPr="00AF6480">
        <w:rPr>
          <w:spacing w:val="9"/>
        </w:rPr>
        <w:t xml:space="preserve"> </w:t>
      </w:r>
      <w:r w:rsidRPr="00AF6480">
        <w:t>from</w:t>
      </w:r>
      <w:r w:rsidRPr="00AF6480">
        <w:rPr>
          <w:spacing w:val="8"/>
        </w:rPr>
        <w:t xml:space="preserve"> </w:t>
      </w:r>
      <w:r w:rsidRPr="00AF6480">
        <w:t>the</w:t>
      </w:r>
      <w:r w:rsidRPr="00AF6480">
        <w:rPr>
          <w:spacing w:val="10"/>
        </w:rPr>
        <w:t xml:space="preserve"> </w:t>
      </w:r>
      <w:r w:rsidRPr="00AF6480">
        <w:t>source</w:t>
      </w:r>
      <w:r w:rsidRPr="00AF6480">
        <w:rPr>
          <w:spacing w:val="11"/>
        </w:rPr>
        <w:t xml:space="preserve"> </w:t>
      </w:r>
      <w:r w:rsidRPr="00AF6480">
        <w:t>is</w:t>
      </w:r>
      <w:r w:rsidRPr="00AF6480">
        <w:rPr>
          <w:spacing w:val="8"/>
        </w:rPr>
        <w:t xml:space="preserve"> </w:t>
      </w:r>
      <w:r w:rsidRPr="00AF6480">
        <w:t>the</w:t>
      </w:r>
      <w:r w:rsidRPr="00AF6480">
        <w:rPr>
          <w:spacing w:val="-1"/>
        </w:rPr>
        <w:t xml:space="preserve"> </w:t>
      </w:r>
      <w:r w:rsidRPr="00AF6480">
        <w:t>same</w:t>
      </w:r>
      <w:r w:rsidRPr="00AF6480">
        <w:rPr>
          <w:spacing w:val="2"/>
        </w:rPr>
        <w:t xml:space="preserve"> </w:t>
      </w:r>
      <w:r w:rsidRPr="00AF6480">
        <w:rPr>
          <w:color w:val="262626"/>
        </w:rPr>
        <w:t>as</w:t>
      </w:r>
      <w:r w:rsidRPr="00AF6480">
        <w:rPr>
          <w:color w:val="262626"/>
          <w:spacing w:val="-5"/>
        </w:rPr>
        <w:t xml:space="preserve"> </w:t>
      </w:r>
      <w:r w:rsidRPr="00AF6480">
        <w:t>the</w:t>
      </w:r>
      <w:r w:rsidRPr="00AF6480">
        <w:rPr>
          <w:spacing w:val="-1"/>
        </w:rPr>
        <w:t xml:space="preserve"> </w:t>
      </w:r>
      <w:r w:rsidRPr="00AF6480">
        <w:t>control</w:t>
      </w:r>
      <w:r w:rsidRPr="00AF6480">
        <w:rPr>
          <w:spacing w:val="3"/>
        </w:rPr>
        <w:t xml:space="preserve"> </w:t>
      </w:r>
      <w:r w:rsidRPr="00AF6480">
        <w:t>copy,</w:t>
      </w:r>
      <w:r w:rsidRPr="00AF6480">
        <w:rPr>
          <w:spacing w:val="6"/>
        </w:rPr>
        <w:t xml:space="preserve"> </w:t>
      </w:r>
      <w:r w:rsidRPr="00AF6480">
        <w:t>then</w:t>
      </w:r>
      <w:r w:rsidRPr="00AF6480">
        <w:rPr>
          <w:spacing w:val="15"/>
        </w:rPr>
        <w:t xml:space="preserve"> </w:t>
      </w:r>
      <w:r w:rsidRPr="00AF6480">
        <w:t>the</w:t>
      </w:r>
      <w:r w:rsidRPr="00AF6480">
        <w:rPr>
          <w:spacing w:val="7"/>
        </w:rPr>
        <w:t xml:space="preserve"> </w:t>
      </w:r>
      <w:r w:rsidRPr="00AF6480">
        <w:t>received</w:t>
      </w:r>
      <w:r w:rsidRPr="00AF6480">
        <w:rPr>
          <w:spacing w:val="12"/>
        </w:rPr>
        <w:t xml:space="preserve"> </w:t>
      </w:r>
      <w:r w:rsidRPr="00AF6480">
        <w:t>pieces</w:t>
      </w:r>
      <w:r w:rsidRPr="00AF6480">
        <w:rPr>
          <w:spacing w:val="2"/>
        </w:rPr>
        <w:t xml:space="preserve"> </w:t>
      </w:r>
      <w:r w:rsidRPr="00AF6480">
        <w:t>of</w:t>
      </w:r>
      <w:r w:rsidRPr="00AF6480">
        <w:rPr>
          <w:spacing w:val="-13"/>
        </w:rPr>
        <w:t xml:space="preserve"> </w:t>
      </w:r>
      <w:r w:rsidRPr="00AF6480">
        <w:t>data</w:t>
      </w:r>
      <w:r w:rsidRPr="00AF6480">
        <w:rPr>
          <w:spacing w:val="5"/>
        </w:rPr>
        <w:t xml:space="preserve"> </w:t>
      </w:r>
      <w:r w:rsidRPr="00AF6480">
        <w:t>and</w:t>
      </w:r>
      <w:r w:rsidRPr="00AF6480">
        <w:rPr>
          <w:spacing w:val="-2"/>
        </w:rPr>
        <w:t xml:space="preserve"> </w:t>
      </w:r>
      <w:r w:rsidRPr="00AF6480">
        <w:t>the</w:t>
      </w:r>
      <w:r w:rsidRPr="00AF6480">
        <w:rPr>
          <w:spacing w:val="-2"/>
        </w:rPr>
        <w:t xml:space="preserve"> </w:t>
      </w:r>
      <w:r w:rsidRPr="00AF6480">
        <w:t>control</w:t>
      </w:r>
      <w:r w:rsidRPr="00AF6480">
        <w:rPr>
          <w:spacing w:val="4"/>
        </w:rPr>
        <w:t xml:space="preserve"> </w:t>
      </w:r>
      <w:r w:rsidR="00F7654F">
        <w:t>copy</w:t>
      </w:r>
      <w:r w:rsidRPr="00AF6480">
        <w:rPr>
          <w:spacing w:val="6"/>
        </w:rPr>
        <w:t xml:space="preserve"> </w:t>
      </w:r>
      <w:r w:rsidRPr="00AF6480">
        <w:t>are considered</w:t>
      </w:r>
      <w:r w:rsidRPr="00AF6480">
        <w:rPr>
          <w:spacing w:val="14"/>
        </w:rPr>
        <w:t xml:space="preserve"> </w:t>
      </w:r>
      <w:r w:rsidRPr="00AF6480">
        <w:t>to</w:t>
      </w:r>
      <w:r w:rsidRPr="00AF6480">
        <w:rPr>
          <w:spacing w:val="-4"/>
        </w:rPr>
        <w:t xml:space="preserve"> </w:t>
      </w:r>
      <w:r w:rsidRPr="00AF6480">
        <w:t>be</w:t>
      </w:r>
      <w:r w:rsidRPr="00AF6480">
        <w:rPr>
          <w:spacing w:val="-15"/>
        </w:rPr>
        <w:t xml:space="preserve"> </w:t>
      </w:r>
      <w:r w:rsidRPr="00AF6480">
        <w:rPr>
          <w:color w:val="262626"/>
        </w:rPr>
        <w:t>identical.</w:t>
      </w:r>
    </w:p>
    <w:p w:rsidR="00E01C7C" w:rsidRDefault="00E01C7C" w:rsidP="00CD64DF">
      <w:pPr>
        <w:pStyle w:val="Quote2"/>
        <w:spacing w:before="120" w:after="120"/>
        <w:ind w:left="2160" w:hanging="720"/>
      </w:pPr>
      <w:r>
        <w:t>(f)</w:t>
      </w:r>
      <w:r>
        <w:tab/>
      </w:r>
      <w:r w:rsidRPr="00AF6480">
        <w:t>Dynamic</w:t>
      </w:r>
      <w:r w:rsidRPr="00AF6480">
        <w:rPr>
          <w:spacing w:val="2"/>
        </w:rPr>
        <w:t xml:space="preserve"> </w:t>
      </w:r>
      <w:r w:rsidRPr="00AF6480">
        <w:t>IP</w:t>
      </w:r>
      <w:r w:rsidRPr="00AF6480">
        <w:rPr>
          <w:spacing w:val="-6"/>
        </w:rPr>
        <w:t xml:space="preserve"> </w:t>
      </w:r>
      <w:r w:rsidRPr="00AF6480">
        <w:t>addresses</w:t>
      </w:r>
      <w:r w:rsidRPr="00AF6480">
        <w:rPr>
          <w:spacing w:val="24"/>
        </w:rPr>
        <w:t xml:space="preserve"> </w:t>
      </w:r>
      <w:r w:rsidRPr="00AF6480">
        <w:t>have</w:t>
      </w:r>
      <w:r w:rsidRPr="00AF6480">
        <w:rPr>
          <w:spacing w:val="-4"/>
        </w:rPr>
        <w:t xml:space="preserve"> </w:t>
      </w:r>
      <w:r w:rsidRPr="00AF6480">
        <w:t>no</w:t>
      </w:r>
      <w:r w:rsidRPr="00AF6480">
        <w:rPr>
          <w:spacing w:val="2"/>
        </w:rPr>
        <w:t xml:space="preserve"> </w:t>
      </w:r>
      <w:r w:rsidRPr="00AF6480">
        <w:rPr>
          <w:color w:val="050505"/>
          <w:spacing w:val="-20"/>
        </w:rPr>
        <w:t>i</w:t>
      </w:r>
      <w:r w:rsidRPr="00AF6480">
        <w:rPr>
          <w:color w:val="262626"/>
        </w:rPr>
        <w:t>nfluence</w:t>
      </w:r>
      <w:r w:rsidRPr="00AF6480">
        <w:rPr>
          <w:color w:val="262626"/>
          <w:spacing w:val="10"/>
        </w:rPr>
        <w:t xml:space="preserve"> </w:t>
      </w:r>
      <w:r w:rsidRPr="00AF6480">
        <w:t>on</w:t>
      </w:r>
      <w:r w:rsidRPr="00AF6480">
        <w:rPr>
          <w:spacing w:val="-9"/>
        </w:rPr>
        <w:t xml:space="preserve"> </w:t>
      </w:r>
      <w:r w:rsidRPr="00AF6480">
        <w:rPr>
          <w:color w:val="262626"/>
        </w:rPr>
        <w:t>the</w:t>
      </w:r>
      <w:r w:rsidRPr="00AF6480">
        <w:rPr>
          <w:color w:val="262626"/>
          <w:spacing w:val="2"/>
        </w:rPr>
        <w:t xml:space="preserve"> </w:t>
      </w:r>
      <w:r w:rsidRPr="00AF6480">
        <w:t>accuracy</w:t>
      </w:r>
      <w:r w:rsidRPr="00AF6480">
        <w:rPr>
          <w:spacing w:val="15"/>
        </w:rPr>
        <w:t xml:space="preserve"> </w:t>
      </w:r>
      <w:r w:rsidRPr="00AF6480">
        <w:t>of</w:t>
      </w:r>
      <w:r w:rsidRPr="00AF6480">
        <w:rPr>
          <w:spacing w:val="1"/>
        </w:rPr>
        <w:t xml:space="preserve"> </w:t>
      </w:r>
      <w:r w:rsidRPr="00AF6480">
        <w:t>the</w:t>
      </w:r>
      <w:r w:rsidRPr="00AF6480">
        <w:rPr>
          <w:spacing w:val="13"/>
        </w:rPr>
        <w:t xml:space="preserve"> </w:t>
      </w:r>
      <w:r w:rsidRPr="00AF6480">
        <w:t>System</w:t>
      </w:r>
      <w:r w:rsidRPr="00AF6480">
        <w:rPr>
          <w:spacing w:val="9"/>
        </w:rPr>
        <w:t xml:space="preserve"> </w:t>
      </w:r>
      <w:r w:rsidRPr="00AF6480">
        <w:t>logging</w:t>
      </w:r>
      <w:r w:rsidRPr="00AF6480">
        <w:rPr>
          <w:spacing w:val="4"/>
        </w:rPr>
        <w:t xml:space="preserve"> </w:t>
      </w:r>
      <w:r w:rsidRPr="00AF6480">
        <w:t>and</w:t>
      </w:r>
      <w:r w:rsidRPr="00AF6480">
        <w:rPr>
          <w:w w:val="102"/>
        </w:rPr>
        <w:t xml:space="preserve"> </w:t>
      </w:r>
      <w:r w:rsidRPr="00AF6480">
        <w:t>recording</w:t>
      </w:r>
      <w:r w:rsidRPr="00AF6480">
        <w:rPr>
          <w:spacing w:val="9"/>
        </w:rPr>
        <w:t xml:space="preserve"> </w:t>
      </w:r>
      <w:r w:rsidRPr="00AF6480">
        <w:rPr>
          <w:color w:val="050505"/>
        </w:rPr>
        <w:t>IP</w:t>
      </w:r>
      <w:r w:rsidRPr="00AF6480">
        <w:rPr>
          <w:color w:val="050505"/>
          <w:spacing w:val="-19"/>
        </w:rPr>
        <w:t xml:space="preserve"> </w:t>
      </w:r>
      <w:r w:rsidRPr="00AF6480">
        <w:t>addresses</w:t>
      </w:r>
      <w:r w:rsidRPr="00AF6480">
        <w:rPr>
          <w:spacing w:val="10"/>
        </w:rPr>
        <w:t xml:space="preserve"> </w:t>
      </w:r>
      <w:r w:rsidRPr="00AF6480">
        <w:t>and</w:t>
      </w:r>
      <w:r w:rsidRPr="00AF6480">
        <w:rPr>
          <w:spacing w:val="6"/>
        </w:rPr>
        <w:t xml:space="preserve"> </w:t>
      </w:r>
      <w:r w:rsidRPr="00AF6480">
        <w:rPr>
          <w:color w:val="262626"/>
        </w:rPr>
        <w:t>associated</w:t>
      </w:r>
      <w:r w:rsidRPr="00AF6480">
        <w:rPr>
          <w:color w:val="262626"/>
          <w:spacing w:val="6"/>
        </w:rPr>
        <w:t xml:space="preserve"> </w:t>
      </w:r>
      <w:r w:rsidRPr="00AF6480">
        <w:t>time</w:t>
      </w:r>
      <w:r w:rsidRPr="00AF6480">
        <w:rPr>
          <w:spacing w:val="9"/>
        </w:rPr>
        <w:t xml:space="preserve"> </w:t>
      </w:r>
      <w:r w:rsidRPr="00AF6480">
        <w:t>stamp of</w:t>
      </w:r>
      <w:r w:rsidRPr="00AF6480">
        <w:rPr>
          <w:spacing w:val="7"/>
        </w:rPr>
        <w:t xml:space="preserve"> </w:t>
      </w:r>
      <w:r w:rsidRPr="00AF6480">
        <w:t>inf</w:t>
      </w:r>
      <w:r w:rsidRPr="00AF6480">
        <w:rPr>
          <w:spacing w:val="5"/>
        </w:rPr>
        <w:t>r</w:t>
      </w:r>
      <w:r w:rsidRPr="00AF6480">
        <w:rPr>
          <w:color w:val="3D3D3D"/>
          <w:spacing w:val="-20"/>
        </w:rPr>
        <w:t>i</w:t>
      </w:r>
      <w:r w:rsidRPr="00AF6480">
        <w:t>ngement.</w:t>
      </w:r>
    </w:p>
    <w:p w:rsidR="00E01C7C" w:rsidRDefault="00E01C7C" w:rsidP="00CD64DF">
      <w:pPr>
        <w:pStyle w:val="Quote2"/>
        <w:spacing w:before="120" w:after="120"/>
        <w:ind w:left="2160" w:hanging="720"/>
        <w:rPr>
          <w:color w:val="262626"/>
        </w:rPr>
      </w:pPr>
      <w:r>
        <w:rPr>
          <w:color w:val="262626"/>
        </w:rPr>
        <w:t>(g)</w:t>
      </w:r>
      <w:r>
        <w:rPr>
          <w:color w:val="262626"/>
        </w:rPr>
        <w:tab/>
      </w:r>
      <w:r w:rsidRPr="00AF6480">
        <w:rPr>
          <w:color w:val="262626"/>
        </w:rPr>
        <w:t>If</w:t>
      </w:r>
      <w:r w:rsidRPr="00AF6480">
        <w:rPr>
          <w:color w:val="262626"/>
          <w:spacing w:val="-6"/>
        </w:rPr>
        <w:t xml:space="preserve"> </w:t>
      </w:r>
      <w:r w:rsidRPr="00AF6480">
        <w:rPr>
          <w:color w:val="262626"/>
        </w:rPr>
        <w:t>the</w:t>
      </w:r>
      <w:r w:rsidRPr="00AF6480">
        <w:rPr>
          <w:color w:val="262626"/>
          <w:spacing w:val="8"/>
        </w:rPr>
        <w:t xml:space="preserve"> </w:t>
      </w:r>
      <w:r w:rsidR="00F7654F">
        <w:t>source computer’</w:t>
      </w:r>
      <w:r w:rsidRPr="00AF6480">
        <w:t>s</w:t>
      </w:r>
      <w:r w:rsidRPr="00AF6480">
        <w:rPr>
          <w:spacing w:val="14"/>
        </w:rPr>
        <w:t xml:space="preserve"> </w:t>
      </w:r>
      <w:r w:rsidRPr="00AF6480">
        <w:rPr>
          <w:color w:val="262626"/>
        </w:rPr>
        <w:t>IP</w:t>
      </w:r>
      <w:r w:rsidRPr="00AF6480">
        <w:rPr>
          <w:color w:val="262626"/>
          <w:spacing w:val="-22"/>
        </w:rPr>
        <w:t xml:space="preserve"> </w:t>
      </w:r>
      <w:r w:rsidRPr="00AF6480">
        <w:t>address</w:t>
      </w:r>
      <w:r w:rsidRPr="00AF6480">
        <w:rPr>
          <w:spacing w:val="11"/>
        </w:rPr>
        <w:t xml:space="preserve"> </w:t>
      </w:r>
      <w:r w:rsidRPr="00AF6480">
        <w:t>changes</w:t>
      </w:r>
      <w:r w:rsidRPr="00AF6480">
        <w:rPr>
          <w:spacing w:val="13"/>
        </w:rPr>
        <w:t xml:space="preserve"> </w:t>
      </w:r>
      <w:r w:rsidRPr="00AF6480">
        <w:t>during</w:t>
      </w:r>
      <w:r w:rsidRPr="00AF6480">
        <w:rPr>
          <w:spacing w:val="5"/>
        </w:rPr>
        <w:t xml:space="preserve"> </w:t>
      </w:r>
      <w:r w:rsidRPr="00AF6480">
        <w:t>capture</w:t>
      </w:r>
      <w:r w:rsidRPr="00AF6480">
        <w:rPr>
          <w:spacing w:val="-2"/>
        </w:rPr>
        <w:t xml:space="preserve"> </w:t>
      </w:r>
      <w:r w:rsidRPr="00AF6480">
        <w:t>of</w:t>
      </w:r>
      <w:r w:rsidRPr="00AF6480">
        <w:rPr>
          <w:spacing w:val="-1"/>
        </w:rPr>
        <w:t xml:space="preserve"> </w:t>
      </w:r>
      <w:r w:rsidRPr="00AF6480">
        <w:t>a data</w:t>
      </w:r>
      <w:r w:rsidRPr="00AF6480">
        <w:rPr>
          <w:spacing w:val="-3"/>
        </w:rPr>
        <w:t xml:space="preserve"> </w:t>
      </w:r>
      <w:r w:rsidRPr="00AF6480">
        <w:rPr>
          <w:color w:val="262626"/>
        </w:rPr>
        <w:t>transfer,</w:t>
      </w:r>
      <w:r w:rsidRPr="00AF6480">
        <w:rPr>
          <w:color w:val="262626"/>
          <w:spacing w:val="18"/>
        </w:rPr>
        <w:t xml:space="preserve"> </w:t>
      </w:r>
      <w:r w:rsidRPr="00AF6480">
        <w:t>no</w:t>
      </w:r>
      <w:r w:rsidRPr="00AF6480">
        <w:rPr>
          <w:spacing w:val="-11"/>
        </w:rPr>
        <w:t xml:space="preserve"> </w:t>
      </w:r>
      <w:r w:rsidRPr="00AF6480">
        <w:t>data</w:t>
      </w:r>
      <w:r w:rsidRPr="00AF6480">
        <w:rPr>
          <w:spacing w:val="15"/>
        </w:rPr>
        <w:t xml:space="preserve"> </w:t>
      </w:r>
      <w:r w:rsidRPr="00AF6480">
        <w:t>is</w:t>
      </w:r>
      <w:r w:rsidRPr="00AF6480">
        <w:rPr>
          <w:w w:val="96"/>
        </w:rPr>
        <w:t xml:space="preserve"> </w:t>
      </w:r>
      <w:r w:rsidRPr="00AF6480">
        <w:t>saved</w:t>
      </w:r>
      <w:r w:rsidRPr="00AF6480">
        <w:rPr>
          <w:spacing w:val="5"/>
        </w:rPr>
        <w:t xml:space="preserve"> </w:t>
      </w:r>
      <w:r w:rsidRPr="00AF6480">
        <w:t>by</w:t>
      </w:r>
      <w:r w:rsidRPr="00AF6480">
        <w:rPr>
          <w:spacing w:val="-16"/>
        </w:rPr>
        <w:t xml:space="preserve"> </w:t>
      </w:r>
      <w:r w:rsidRPr="00AF6480">
        <w:t>the</w:t>
      </w:r>
      <w:r w:rsidRPr="00AF6480">
        <w:rPr>
          <w:spacing w:val="9"/>
        </w:rPr>
        <w:t xml:space="preserve"> </w:t>
      </w:r>
      <w:r w:rsidRPr="00AF6480">
        <w:t>System,</w:t>
      </w:r>
      <w:r w:rsidRPr="00AF6480">
        <w:rPr>
          <w:spacing w:val="10"/>
        </w:rPr>
        <w:t xml:space="preserve"> </w:t>
      </w:r>
      <w:r w:rsidRPr="00AF6480">
        <w:rPr>
          <w:color w:val="262626"/>
        </w:rPr>
        <w:t>and</w:t>
      </w:r>
      <w:r w:rsidRPr="00AF6480">
        <w:rPr>
          <w:color w:val="262626"/>
          <w:spacing w:val="1"/>
        </w:rPr>
        <w:t xml:space="preserve"> </w:t>
      </w:r>
      <w:r w:rsidRPr="00AF6480">
        <w:t>therefore</w:t>
      </w:r>
      <w:r w:rsidRPr="00AF6480">
        <w:rPr>
          <w:spacing w:val="14"/>
        </w:rPr>
        <w:t xml:space="preserve"> </w:t>
      </w:r>
      <w:r w:rsidRPr="00AF6480">
        <w:t>not</w:t>
      </w:r>
      <w:r w:rsidRPr="00AF6480">
        <w:rPr>
          <w:spacing w:val="-6"/>
        </w:rPr>
        <w:t xml:space="preserve"> </w:t>
      </w:r>
      <w:r w:rsidRPr="00AF6480">
        <w:t>used</w:t>
      </w:r>
      <w:r w:rsidRPr="00AF6480">
        <w:rPr>
          <w:spacing w:val="6"/>
        </w:rPr>
        <w:t xml:space="preserve"> </w:t>
      </w:r>
      <w:r w:rsidRPr="00AF6480">
        <w:t>by</w:t>
      </w:r>
      <w:r w:rsidRPr="00AF6480">
        <w:rPr>
          <w:spacing w:val="-6"/>
        </w:rPr>
        <w:t xml:space="preserve"> </w:t>
      </w:r>
      <w:proofErr w:type="spellStart"/>
      <w:r w:rsidRPr="00AF6480">
        <w:t>Maverickeye</w:t>
      </w:r>
      <w:proofErr w:type="spellEnd"/>
      <w:r w:rsidRPr="00AF6480">
        <w:rPr>
          <w:spacing w:val="13"/>
        </w:rPr>
        <w:t xml:space="preserve"> </w:t>
      </w:r>
      <w:proofErr w:type="spellStart"/>
      <w:r w:rsidRPr="00AF6480">
        <w:rPr>
          <w:color w:val="262626"/>
        </w:rPr>
        <w:t>UG</w:t>
      </w:r>
      <w:proofErr w:type="spellEnd"/>
      <w:r w:rsidRPr="00AF6480">
        <w:rPr>
          <w:color w:val="262626"/>
        </w:rPr>
        <w:t>.</w:t>
      </w:r>
      <w:r w:rsidR="00F7654F">
        <w:rPr>
          <w:color w:val="262626"/>
        </w:rPr>
        <w:t>’</w:t>
      </w:r>
    </w:p>
    <w:p w:rsidR="00456265" w:rsidRPr="00AF6480" w:rsidRDefault="00456265" w:rsidP="00E01C7C">
      <w:pPr>
        <w:pStyle w:val="Quote2"/>
        <w:ind w:left="2160" w:hanging="720"/>
      </w:pPr>
    </w:p>
    <w:p w:rsidR="008F3F6D" w:rsidRDefault="00C43480" w:rsidP="00C43480">
      <w:pPr>
        <w:pStyle w:val="ParaNumbering"/>
      </w:pPr>
      <w:r>
        <w:t xml:space="preserve">Save for </w:t>
      </w:r>
      <w:r w:rsidR="003958F4">
        <w:t>one</w:t>
      </w:r>
      <w:r>
        <w:t xml:space="preserve"> matter</w:t>
      </w:r>
      <w:r w:rsidR="00F7654F">
        <w:t>,</w:t>
      </w:r>
      <w:r>
        <w:t xml:space="preserve"> this evidence is sufficient for present purposes to allow me to accept that </w:t>
      </w:r>
      <w:proofErr w:type="spellStart"/>
      <w:r>
        <w:t>Maverik</w:t>
      </w:r>
      <w:proofErr w:type="spellEnd"/>
      <w:r w:rsidR="00B74C49">
        <w:t xml:space="preserve"> Monitor</w:t>
      </w:r>
      <w:r>
        <w:t xml:space="preserve"> does what is claimed for it.  Th</w:t>
      </w:r>
      <w:r w:rsidR="003958F4">
        <w:t>at one matter</w:t>
      </w:r>
      <w:r>
        <w:t xml:space="preserve"> </w:t>
      </w:r>
      <w:r w:rsidR="003958F4">
        <w:t xml:space="preserve">is an explanation of how </w:t>
      </w:r>
      <w:proofErr w:type="spellStart"/>
      <w:r>
        <w:t>BitTorrent</w:t>
      </w:r>
      <w:proofErr w:type="spellEnd"/>
      <w:r>
        <w:t xml:space="preserve"> works</w:t>
      </w:r>
      <w:r w:rsidR="006A1D64">
        <w:t>, in order</w:t>
      </w:r>
      <w:r>
        <w:t xml:space="preserve"> to </w:t>
      </w:r>
      <w:r w:rsidR="008F3F6D">
        <w:t>assess the ISPs</w:t>
      </w:r>
      <w:r w:rsidR="003958F4">
        <w:t>’</w:t>
      </w:r>
      <w:r w:rsidR="008F3F6D">
        <w:t xml:space="preserve"> submission that the end-users were only shown to have shared a very small sliver of the film</w:t>
      </w:r>
      <w:r w:rsidR="003958F4">
        <w:t>.</w:t>
      </w:r>
    </w:p>
    <w:p w:rsidR="008F3F6D" w:rsidRDefault="00722582" w:rsidP="00C43480">
      <w:pPr>
        <w:pStyle w:val="ParaNumbering"/>
      </w:pPr>
      <w:r>
        <w:t>In that regard, p</w:t>
      </w:r>
      <w:r w:rsidR="009C62A3">
        <w:t>ara</w:t>
      </w:r>
      <w:r w:rsidR="008F3F6D">
        <w:t>s 6.2 to 6.9 of Dr Rich</w:t>
      </w:r>
      <w:r w:rsidR="006A1D64">
        <w:t>t</w:t>
      </w:r>
      <w:r w:rsidR="008F3F6D">
        <w:t>er’s report emphasised the mechanism by which the file sharing process worked.  I accept this evidence.  Paragraphs 6.2 to 6.9 were as follows:</w:t>
      </w:r>
    </w:p>
    <w:p w:rsidR="00724739" w:rsidRPr="00CA6651" w:rsidRDefault="006A1D64" w:rsidP="00CD64DF">
      <w:pPr>
        <w:pStyle w:val="Quote1"/>
        <w:spacing w:before="120" w:after="120"/>
        <w:ind w:left="1440" w:hanging="703"/>
      </w:pPr>
      <w:r>
        <w:t>‘</w:t>
      </w:r>
      <w:r w:rsidR="00724739">
        <w:t>6.2</w:t>
      </w:r>
      <w:r w:rsidR="00724739">
        <w:tab/>
        <w:t>T</w:t>
      </w:r>
      <w:r w:rsidR="00724739" w:rsidRPr="00CA6651">
        <w:t>he</w:t>
      </w:r>
      <w:r w:rsidR="00724739" w:rsidRPr="00CA6651">
        <w:rPr>
          <w:spacing w:val="-6"/>
        </w:rPr>
        <w:t xml:space="preserve"> </w:t>
      </w:r>
      <w:proofErr w:type="spellStart"/>
      <w:r w:rsidR="00724739" w:rsidRPr="00CA6651">
        <w:t>BitTorrent</w:t>
      </w:r>
      <w:proofErr w:type="spellEnd"/>
      <w:r w:rsidR="00724739" w:rsidRPr="00CA6651">
        <w:rPr>
          <w:spacing w:val="12"/>
        </w:rPr>
        <w:t xml:space="preserve"> </w:t>
      </w:r>
      <w:r w:rsidR="00724739" w:rsidRPr="00CA6651">
        <w:t>network</w:t>
      </w:r>
      <w:r w:rsidR="00724739" w:rsidRPr="00CA6651">
        <w:rPr>
          <w:spacing w:val="-2"/>
        </w:rPr>
        <w:t xml:space="preserve"> </w:t>
      </w:r>
      <w:r w:rsidR="00724739" w:rsidRPr="00CA6651">
        <w:t>is</w:t>
      </w:r>
      <w:r w:rsidR="00724739" w:rsidRPr="00CA6651">
        <w:rPr>
          <w:spacing w:val="-7"/>
        </w:rPr>
        <w:t xml:space="preserve"> </w:t>
      </w:r>
      <w:r w:rsidR="00724739" w:rsidRPr="00CA6651">
        <w:t>a</w:t>
      </w:r>
      <w:r w:rsidR="00724739" w:rsidRPr="00CA6651">
        <w:rPr>
          <w:spacing w:val="-12"/>
        </w:rPr>
        <w:t xml:space="preserve"> </w:t>
      </w:r>
      <w:r w:rsidR="00724739" w:rsidRPr="00CA6651">
        <w:t>type</w:t>
      </w:r>
      <w:r w:rsidR="00724739" w:rsidRPr="00CA6651">
        <w:rPr>
          <w:spacing w:val="7"/>
        </w:rPr>
        <w:t xml:space="preserve"> </w:t>
      </w:r>
      <w:r w:rsidR="00724739" w:rsidRPr="00CA6651">
        <w:t>of</w:t>
      </w:r>
      <w:r w:rsidR="00724739" w:rsidRPr="00CA6651">
        <w:rPr>
          <w:spacing w:val="5"/>
        </w:rPr>
        <w:t xml:space="preserve"> </w:t>
      </w:r>
      <w:r w:rsidR="00724739" w:rsidRPr="00CA6651">
        <w:t>peer-to-peer</w:t>
      </w:r>
      <w:r w:rsidR="00724739" w:rsidRPr="00CA6651">
        <w:rPr>
          <w:spacing w:val="12"/>
        </w:rPr>
        <w:t xml:space="preserve"> </w:t>
      </w:r>
      <w:r w:rsidR="00724739" w:rsidRPr="00CA6651">
        <w:t>network.</w:t>
      </w:r>
      <w:r w:rsidR="00724739" w:rsidRPr="00CA6651">
        <w:rPr>
          <w:spacing w:val="51"/>
        </w:rPr>
        <w:t xml:space="preserve"> </w:t>
      </w:r>
      <w:r w:rsidR="00724739" w:rsidRPr="00CA6651">
        <w:t>Peer-to-peer</w:t>
      </w:r>
      <w:r w:rsidR="00724739" w:rsidRPr="00CA6651">
        <w:rPr>
          <w:spacing w:val="11"/>
        </w:rPr>
        <w:t xml:space="preserve"> </w:t>
      </w:r>
      <w:r w:rsidR="00724739" w:rsidRPr="00CA6651">
        <w:t>networks</w:t>
      </w:r>
      <w:r w:rsidR="00724739" w:rsidRPr="00CA6651">
        <w:rPr>
          <w:spacing w:val="-1"/>
        </w:rPr>
        <w:t xml:space="preserve"> </w:t>
      </w:r>
      <w:r w:rsidR="00724739" w:rsidRPr="00CA6651">
        <w:t>are</w:t>
      </w:r>
      <w:r w:rsidR="00724739" w:rsidRPr="00CA6651">
        <w:rPr>
          <w:spacing w:val="-8"/>
        </w:rPr>
        <w:t xml:space="preserve"> </w:t>
      </w:r>
      <w:r w:rsidR="00724739" w:rsidRPr="00CA6651">
        <w:t>a</w:t>
      </w:r>
      <w:r w:rsidR="00724739" w:rsidRPr="00CA6651">
        <w:rPr>
          <w:w w:val="104"/>
        </w:rPr>
        <w:t xml:space="preserve"> </w:t>
      </w:r>
      <w:r w:rsidR="00724739" w:rsidRPr="00CA6651">
        <w:t>conglomerate</w:t>
      </w:r>
      <w:r w:rsidR="00724739" w:rsidRPr="00CA6651">
        <w:rPr>
          <w:spacing w:val="17"/>
        </w:rPr>
        <w:t xml:space="preserve"> </w:t>
      </w:r>
      <w:r w:rsidR="00724739" w:rsidRPr="00CA6651">
        <w:t>of</w:t>
      </w:r>
      <w:r w:rsidR="00724739" w:rsidRPr="00CA6651">
        <w:rPr>
          <w:spacing w:val="-7"/>
        </w:rPr>
        <w:t xml:space="preserve"> </w:t>
      </w:r>
      <w:r w:rsidR="00724739" w:rsidRPr="00CA6651">
        <w:t>computers</w:t>
      </w:r>
      <w:r w:rsidR="00724739" w:rsidRPr="00CA6651">
        <w:rPr>
          <w:spacing w:val="12"/>
        </w:rPr>
        <w:t xml:space="preserve"> </w:t>
      </w:r>
      <w:r w:rsidR="00724739" w:rsidRPr="00CA6651">
        <w:t>that</w:t>
      </w:r>
      <w:r w:rsidR="00724739" w:rsidRPr="00CA6651">
        <w:rPr>
          <w:spacing w:val="9"/>
        </w:rPr>
        <w:t xml:space="preserve"> </w:t>
      </w:r>
      <w:r w:rsidR="00724739" w:rsidRPr="00CA6651">
        <w:rPr>
          <w:color w:val="262626"/>
        </w:rPr>
        <w:t>link</w:t>
      </w:r>
      <w:r w:rsidR="00724739" w:rsidRPr="00CA6651">
        <w:rPr>
          <w:color w:val="262626"/>
          <w:spacing w:val="-9"/>
        </w:rPr>
        <w:t xml:space="preserve"> </w:t>
      </w:r>
      <w:r w:rsidR="00724739" w:rsidRPr="00CA6651">
        <w:t>together</w:t>
      </w:r>
      <w:r w:rsidR="00724739" w:rsidRPr="00CA6651">
        <w:rPr>
          <w:spacing w:val="12"/>
        </w:rPr>
        <w:t xml:space="preserve"> </w:t>
      </w:r>
      <w:r w:rsidR="00724739" w:rsidRPr="00CA6651">
        <w:rPr>
          <w:color w:val="262626"/>
        </w:rPr>
        <w:t>to</w:t>
      </w:r>
      <w:r w:rsidR="00724739" w:rsidRPr="00CA6651">
        <w:rPr>
          <w:color w:val="262626"/>
          <w:spacing w:val="-9"/>
        </w:rPr>
        <w:t xml:space="preserve"> </w:t>
      </w:r>
      <w:r w:rsidR="00724739" w:rsidRPr="00CA6651">
        <w:t>share</w:t>
      </w:r>
      <w:r w:rsidR="00724739" w:rsidRPr="00CA6651">
        <w:rPr>
          <w:spacing w:val="-7"/>
        </w:rPr>
        <w:t xml:space="preserve"> </w:t>
      </w:r>
      <w:r w:rsidR="00724739" w:rsidRPr="00CA6651">
        <w:t>information,</w:t>
      </w:r>
      <w:r w:rsidR="00724739" w:rsidRPr="00CA6651">
        <w:rPr>
          <w:spacing w:val="-4"/>
        </w:rPr>
        <w:t xml:space="preserve"> </w:t>
      </w:r>
      <w:r w:rsidR="00724739" w:rsidRPr="00CA6651">
        <w:t>files</w:t>
      </w:r>
      <w:r w:rsidR="00724739" w:rsidRPr="00CA6651">
        <w:rPr>
          <w:spacing w:val="5"/>
        </w:rPr>
        <w:t xml:space="preserve"> </w:t>
      </w:r>
      <w:r w:rsidR="00724739" w:rsidRPr="00CA6651">
        <w:t>or</w:t>
      </w:r>
      <w:r w:rsidR="00724739" w:rsidRPr="00CA6651">
        <w:rPr>
          <w:spacing w:val="-2"/>
        </w:rPr>
        <w:t xml:space="preserve"> </w:t>
      </w:r>
      <w:r w:rsidR="00724739" w:rsidRPr="00CA6651">
        <w:t>data</w:t>
      </w:r>
      <w:r w:rsidR="00724739" w:rsidRPr="00CA6651">
        <w:rPr>
          <w:spacing w:val="-9"/>
        </w:rPr>
        <w:t xml:space="preserve"> </w:t>
      </w:r>
      <w:r w:rsidR="00724739" w:rsidRPr="00CA6651">
        <w:t>with</w:t>
      </w:r>
      <w:r w:rsidR="00724739" w:rsidRPr="00CA6651">
        <w:rPr>
          <w:spacing w:val="-1"/>
        </w:rPr>
        <w:t xml:space="preserve"> </w:t>
      </w:r>
      <w:r w:rsidR="00724739" w:rsidRPr="00CA6651">
        <w:t>one</w:t>
      </w:r>
      <w:r w:rsidR="00724739" w:rsidRPr="00CA6651">
        <w:rPr>
          <w:w w:val="99"/>
        </w:rPr>
        <w:t xml:space="preserve"> </w:t>
      </w:r>
      <w:r w:rsidR="00724739" w:rsidRPr="00CA6651">
        <w:t>another</w:t>
      </w:r>
      <w:r w:rsidR="00724739" w:rsidRPr="00CA6651">
        <w:rPr>
          <w:spacing w:val="24"/>
        </w:rPr>
        <w:t xml:space="preserve"> </w:t>
      </w:r>
      <w:r w:rsidR="00724739" w:rsidRPr="00CA6651">
        <w:t>through</w:t>
      </w:r>
      <w:r w:rsidR="00724739" w:rsidRPr="00CA6651">
        <w:rPr>
          <w:spacing w:val="22"/>
        </w:rPr>
        <w:t xml:space="preserve"> </w:t>
      </w:r>
      <w:r w:rsidR="00724739" w:rsidRPr="00CA6651">
        <w:t>the</w:t>
      </w:r>
      <w:r w:rsidR="00724739" w:rsidRPr="00CA6651">
        <w:rPr>
          <w:spacing w:val="15"/>
        </w:rPr>
        <w:t xml:space="preserve"> </w:t>
      </w:r>
      <w:r w:rsidR="00724739" w:rsidRPr="00CA6651">
        <w:t>use</w:t>
      </w:r>
      <w:r w:rsidR="00724739" w:rsidRPr="00CA6651">
        <w:rPr>
          <w:spacing w:val="-6"/>
        </w:rPr>
        <w:t xml:space="preserve"> </w:t>
      </w:r>
      <w:r w:rsidR="00724739" w:rsidRPr="00CA6651">
        <w:t>of</w:t>
      </w:r>
      <w:r w:rsidR="00724739" w:rsidRPr="00CA6651">
        <w:rPr>
          <w:spacing w:val="5"/>
        </w:rPr>
        <w:t xml:space="preserve"> </w:t>
      </w:r>
      <w:r w:rsidR="00724739" w:rsidRPr="00CA6651">
        <w:t>specialised</w:t>
      </w:r>
      <w:r w:rsidR="00724739" w:rsidRPr="00CA6651">
        <w:rPr>
          <w:spacing w:val="24"/>
        </w:rPr>
        <w:t xml:space="preserve"> </w:t>
      </w:r>
      <w:r w:rsidR="00724739" w:rsidRPr="00CA6651">
        <w:t>software</w:t>
      </w:r>
      <w:r w:rsidR="00724739" w:rsidRPr="00CA6651">
        <w:rPr>
          <w:spacing w:val="23"/>
        </w:rPr>
        <w:t xml:space="preserve"> </w:t>
      </w:r>
      <w:r w:rsidR="00724739" w:rsidRPr="00CA6651">
        <w:t>(</w:t>
      </w:r>
      <w:r w:rsidR="00724739" w:rsidRPr="006A1D64">
        <w:rPr>
          <w:b/>
        </w:rPr>
        <w:t>P2P</w:t>
      </w:r>
      <w:r w:rsidR="00724739" w:rsidRPr="006A1D64">
        <w:rPr>
          <w:b/>
          <w:spacing w:val="6"/>
        </w:rPr>
        <w:t xml:space="preserve"> </w:t>
      </w:r>
      <w:r w:rsidR="00724739" w:rsidRPr="006A1D64">
        <w:rPr>
          <w:b/>
          <w:color w:val="050505"/>
        </w:rPr>
        <w:t>Network</w:t>
      </w:r>
      <w:r w:rsidR="00724739" w:rsidRPr="00CA6651">
        <w:rPr>
          <w:color w:val="050505"/>
          <w:spacing w:val="1"/>
        </w:rPr>
        <w:t>)</w:t>
      </w:r>
      <w:r w:rsidR="00724739" w:rsidRPr="00CA6651">
        <w:rPr>
          <w:color w:val="262626"/>
        </w:rPr>
        <w:t>.</w:t>
      </w:r>
      <w:r w:rsidR="00724739" w:rsidRPr="00CA6651">
        <w:rPr>
          <w:color w:val="262626"/>
          <w:spacing w:val="-10"/>
        </w:rPr>
        <w:t xml:space="preserve"> </w:t>
      </w:r>
      <w:r w:rsidR="00724739" w:rsidRPr="00CA6651">
        <w:t>The</w:t>
      </w:r>
      <w:r w:rsidR="00724739" w:rsidRPr="00CA6651">
        <w:rPr>
          <w:spacing w:val="14"/>
        </w:rPr>
        <w:t xml:space="preserve"> </w:t>
      </w:r>
      <w:r w:rsidR="00724739" w:rsidRPr="00CA6651">
        <w:rPr>
          <w:color w:val="262626"/>
        </w:rPr>
        <w:t>users</w:t>
      </w:r>
      <w:r w:rsidR="00724739" w:rsidRPr="00CA6651">
        <w:rPr>
          <w:color w:val="262626"/>
          <w:spacing w:val="13"/>
        </w:rPr>
        <w:t xml:space="preserve"> </w:t>
      </w:r>
      <w:r w:rsidR="00724739" w:rsidRPr="00CA6651">
        <w:t>or</w:t>
      </w:r>
      <w:r w:rsidR="00724739" w:rsidRPr="00CA6651">
        <w:rPr>
          <w:spacing w:val="-1"/>
        </w:rPr>
        <w:t xml:space="preserve"> </w:t>
      </w:r>
      <w:r w:rsidR="00724739" w:rsidRPr="00CA6651">
        <w:t>computers</w:t>
      </w:r>
      <w:r w:rsidR="00724739" w:rsidRPr="00CA6651">
        <w:rPr>
          <w:spacing w:val="18"/>
        </w:rPr>
        <w:t xml:space="preserve"> </w:t>
      </w:r>
      <w:r w:rsidR="00724739" w:rsidRPr="00CA6651">
        <w:t>on</w:t>
      </w:r>
      <w:r w:rsidR="00724739" w:rsidRPr="00CA6651">
        <w:rPr>
          <w:spacing w:val="-8"/>
        </w:rPr>
        <w:t xml:space="preserve"> </w:t>
      </w:r>
      <w:r w:rsidR="00724739" w:rsidRPr="00CA6651">
        <w:t>a</w:t>
      </w:r>
      <w:r w:rsidR="00724739" w:rsidRPr="00CA6651">
        <w:rPr>
          <w:w w:val="114"/>
        </w:rPr>
        <w:t xml:space="preserve"> </w:t>
      </w:r>
      <w:r w:rsidR="00724739" w:rsidRPr="00CA6651">
        <w:t>P2P</w:t>
      </w:r>
      <w:r w:rsidR="00724739" w:rsidRPr="00CA6651">
        <w:rPr>
          <w:spacing w:val="-16"/>
        </w:rPr>
        <w:t xml:space="preserve"> </w:t>
      </w:r>
      <w:r w:rsidR="00724739" w:rsidRPr="00CA6651">
        <w:t>Network</w:t>
      </w:r>
      <w:r w:rsidR="00724739" w:rsidRPr="00CA6651">
        <w:rPr>
          <w:spacing w:val="-1"/>
        </w:rPr>
        <w:t xml:space="preserve"> </w:t>
      </w:r>
      <w:r w:rsidR="00724739" w:rsidRPr="00CA6651">
        <w:t>can</w:t>
      </w:r>
      <w:r w:rsidR="00724739" w:rsidRPr="00CA6651">
        <w:rPr>
          <w:spacing w:val="-4"/>
        </w:rPr>
        <w:t xml:space="preserve"> </w:t>
      </w:r>
      <w:r w:rsidR="00724739" w:rsidRPr="00CA6651">
        <w:t>either</w:t>
      </w:r>
      <w:r w:rsidR="00724739" w:rsidRPr="00CA6651">
        <w:rPr>
          <w:spacing w:val="5"/>
        </w:rPr>
        <w:t xml:space="preserve"> </w:t>
      </w:r>
      <w:r w:rsidR="00724739" w:rsidRPr="00CA6651">
        <w:t>receive</w:t>
      </w:r>
      <w:r w:rsidR="00724739" w:rsidRPr="00CA6651">
        <w:rPr>
          <w:spacing w:val="-8"/>
        </w:rPr>
        <w:t xml:space="preserve"> </w:t>
      </w:r>
      <w:r w:rsidR="00724739" w:rsidRPr="00CA6651">
        <w:t>or send</w:t>
      </w:r>
      <w:r w:rsidR="00724739" w:rsidRPr="00CA6651">
        <w:rPr>
          <w:spacing w:val="10"/>
        </w:rPr>
        <w:t xml:space="preserve"> </w:t>
      </w:r>
      <w:r w:rsidR="00724739" w:rsidRPr="00CA6651">
        <w:t>information,</w:t>
      </w:r>
      <w:r w:rsidR="00724739" w:rsidRPr="00CA6651">
        <w:rPr>
          <w:spacing w:val="6"/>
        </w:rPr>
        <w:t xml:space="preserve"> </w:t>
      </w:r>
      <w:r w:rsidR="00724739" w:rsidRPr="00CA6651">
        <w:rPr>
          <w:color w:val="262626"/>
        </w:rPr>
        <w:t xml:space="preserve">files </w:t>
      </w:r>
      <w:r w:rsidR="00724739" w:rsidRPr="00CA6651">
        <w:t>or data</w:t>
      </w:r>
      <w:r w:rsidR="00724739" w:rsidRPr="00CA6651">
        <w:rPr>
          <w:spacing w:val="4"/>
        </w:rPr>
        <w:t xml:space="preserve"> </w:t>
      </w:r>
      <w:r w:rsidR="00724739" w:rsidRPr="00CA6651">
        <w:t>to</w:t>
      </w:r>
      <w:r w:rsidR="00724739" w:rsidRPr="00CA6651">
        <w:rPr>
          <w:spacing w:val="-7"/>
        </w:rPr>
        <w:t xml:space="preserve"> </w:t>
      </w:r>
      <w:r w:rsidR="00724739" w:rsidRPr="00CA6651">
        <w:t>other</w:t>
      </w:r>
      <w:r w:rsidR="00724739" w:rsidRPr="00CA6651">
        <w:rPr>
          <w:spacing w:val="5"/>
        </w:rPr>
        <w:t xml:space="preserve"> </w:t>
      </w:r>
      <w:r w:rsidR="00724739" w:rsidRPr="00CA6651">
        <w:t>computers</w:t>
      </w:r>
      <w:r w:rsidR="00724739" w:rsidRPr="00CA6651">
        <w:rPr>
          <w:spacing w:val="16"/>
        </w:rPr>
        <w:t xml:space="preserve"> </w:t>
      </w:r>
      <w:r w:rsidR="00724739" w:rsidRPr="00CA6651">
        <w:t>(or</w:t>
      </w:r>
      <w:r w:rsidR="00724739" w:rsidRPr="00CA6651">
        <w:rPr>
          <w:w w:val="101"/>
        </w:rPr>
        <w:t xml:space="preserve"> </w:t>
      </w:r>
      <w:r w:rsidR="00724739" w:rsidRPr="00CA6651">
        <w:t xml:space="preserve">undertake </w:t>
      </w:r>
      <w:r w:rsidR="00724739" w:rsidRPr="00CA6651">
        <w:rPr>
          <w:color w:val="262626"/>
        </w:rPr>
        <w:t>both</w:t>
      </w:r>
      <w:r w:rsidR="00724739" w:rsidRPr="00CA6651">
        <w:rPr>
          <w:color w:val="262626"/>
          <w:spacing w:val="-22"/>
        </w:rPr>
        <w:t xml:space="preserve"> </w:t>
      </w:r>
      <w:r w:rsidR="00724739" w:rsidRPr="00CA6651">
        <w:t>functions</w:t>
      </w:r>
      <w:r w:rsidR="00724739" w:rsidRPr="00CA6651">
        <w:rPr>
          <w:spacing w:val="5"/>
        </w:rPr>
        <w:t xml:space="preserve"> </w:t>
      </w:r>
      <w:r w:rsidR="00724739" w:rsidRPr="00CA6651">
        <w:t>simultaneously).</w:t>
      </w:r>
    </w:p>
    <w:p w:rsidR="00724739" w:rsidRPr="00CA6651" w:rsidRDefault="006A1D64" w:rsidP="00CD64DF">
      <w:pPr>
        <w:pStyle w:val="Quote1"/>
        <w:spacing w:before="120" w:after="120"/>
        <w:ind w:left="1440" w:hanging="703"/>
      </w:pPr>
      <w:r>
        <w:t xml:space="preserve"> </w:t>
      </w:r>
      <w:r w:rsidR="00724739">
        <w:t>6.3</w:t>
      </w:r>
      <w:r w:rsidR="00724739">
        <w:tab/>
      </w:r>
      <w:r w:rsidR="00724739" w:rsidRPr="00CA6651">
        <w:t>On</w:t>
      </w:r>
      <w:r w:rsidR="00724739" w:rsidRPr="00CA6651">
        <w:rPr>
          <w:spacing w:val="-5"/>
        </w:rPr>
        <w:t xml:space="preserve"> </w:t>
      </w:r>
      <w:r w:rsidR="00724739" w:rsidRPr="00CA6651">
        <w:t>P2P</w:t>
      </w:r>
      <w:r w:rsidR="00724739" w:rsidRPr="00CA6651">
        <w:rPr>
          <w:spacing w:val="-3"/>
        </w:rPr>
        <w:t xml:space="preserve"> </w:t>
      </w:r>
      <w:r w:rsidR="00724739" w:rsidRPr="00CA6651">
        <w:t>Networks,</w:t>
      </w:r>
      <w:r w:rsidR="00724739" w:rsidRPr="00CA6651">
        <w:rPr>
          <w:spacing w:val="6"/>
        </w:rPr>
        <w:t xml:space="preserve"> </w:t>
      </w:r>
      <w:r w:rsidR="00724739" w:rsidRPr="00CA6651">
        <w:rPr>
          <w:color w:val="262626"/>
        </w:rPr>
        <w:t>a</w:t>
      </w:r>
      <w:r w:rsidR="00724739" w:rsidRPr="00CA6651">
        <w:rPr>
          <w:color w:val="262626"/>
          <w:spacing w:val="-10"/>
        </w:rPr>
        <w:t xml:space="preserve"> </w:t>
      </w:r>
      <w:r w:rsidR="00724739" w:rsidRPr="00CA6651">
        <w:t>connection</w:t>
      </w:r>
      <w:r w:rsidR="00724739" w:rsidRPr="00CA6651">
        <w:rPr>
          <w:spacing w:val="7"/>
        </w:rPr>
        <w:t xml:space="preserve"> </w:t>
      </w:r>
      <w:r w:rsidR="00724739" w:rsidRPr="00CA6651">
        <w:rPr>
          <w:color w:val="050505"/>
        </w:rPr>
        <w:t>is</w:t>
      </w:r>
      <w:r w:rsidR="00724739" w:rsidRPr="00CA6651">
        <w:rPr>
          <w:color w:val="050505"/>
          <w:spacing w:val="-4"/>
        </w:rPr>
        <w:t xml:space="preserve"> </w:t>
      </w:r>
      <w:r w:rsidR="00724739" w:rsidRPr="00CA6651">
        <w:t>established</w:t>
      </w:r>
      <w:r w:rsidR="00724739" w:rsidRPr="00CA6651">
        <w:rPr>
          <w:spacing w:val="13"/>
        </w:rPr>
        <w:t xml:space="preserve"> </w:t>
      </w:r>
      <w:r w:rsidR="00724739" w:rsidRPr="00CA6651">
        <w:t>between</w:t>
      </w:r>
      <w:r w:rsidR="00724739" w:rsidRPr="00CA6651">
        <w:rPr>
          <w:spacing w:val="-8"/>
        </w:rPr>
        <w:t xml:space="preserve"> </w:t>
      </w:r>
      <w:r w:rsidR="00724739" w:rsidRPr="00CA6651">
        <w:t>the</w:t>
      </w:r>
      <w:r w:rsidR="00724739" w:rsidRPr="00CA6651">
        <w:rPr>
          <w:spacing w:val="9"/>
        </w:rPr>
        <w:t xml:space="preserve"> </w:t>
      </w:r>
      <w:r w:rsidR="00724739" w:rsidRPr="00CA6651">
        <w:t>users</w:t>
      </w:r>
      <w:r w:rsidR="00724739" w:rsidRPr="00CA6651">
        <w:rPr>
          <w:spacing w:val="-5"/>
        </w:rPr>
        <w:t xml:space="preserve"> </w:t>
      </w:r>
      <w:r w:rsidR="00724739" w:rsidRPr="00CA6651">
        <w:t>of</w:t>
      </w:r>
      <w:r w:rsidR="00724739" w:rsidRPr="00CA6651">
        <w:rPr>
          <w:spacing w:val="-1"/>
        </w:rPr>
        <w:t xml:space="preserve"> </w:t>
      </w:r>
      <w:r w:rsidR="00724739" w:rsidRPr="00CA6651">
        <w:t>the</w:t>
      </w:r>
      <w:r w:rsidR="00724739" w:rsidRPr="00CA6651">
        <w:rPr>
          <w:spacing w:val="-1"/>
        </w:rPr>
        <w:t xml:space="preserve"> </w:t>
      </w:r>
      <w:r w:rsidR="00724739" w:rsidRPr="00CA6651">
        <w:t>network</w:t>
      </w:r>
      <w:r w:rsidR="00724739" w:rsidRPr="00CA6651">
        <w:rPr>
          <w:spacing w:val="-5"/>
        </w:rPr>
        <w:t xml:space="preserve"> </w:t>
      </w:r>
      <w:r w:rsidR="00724739" w:rsidRPr="00CA6651">
        <w:t>who</w:t>
      </w:r>
      <w:r w:rsidR="00724739" w:rsidRPr="00CA6651">
        <w:rPr>
          <w:spacing w:val="14"/>
        </w:rPr>
        <w:t xml:space="preserve"> </w:t>
      </w:r>
      <w:r w:rsidR="00724739" w:rsidRPr="00CA6651">
        <w:t>are</w:t>
      </w:r>
      <w:r w:rsidR="00724739" w:rsidRPr="00CA6651">
        <w:rPr>
          <w:w w:val="98"/>
        </w:rPr>
        <w:t xml:space="preserve"> </w:t>
      </w:r>
      <w:r w:rsidR="00724739" w:rsidRPr="00CA6651">
        <w:rPr>
          <w:color w:val="262626"/>
        </w:rPr>
        <w:t>on</w:t>
      </w:r>
      <w:r w:rsidR="00724739" w:rsidRPr="00CA6651">
        <w:rPr>
          <w:color w:val="262626"/>
          <w:spacing w:val="6"/>
        </w:rPr>
        <w:t>l</w:t>
      </w:r>
      <w:r w:rsidR="00724739" w:rsidRPr="00CA6651">
        <w:rPr>
          <w:color w:val="050505"/>
        </w:rPr>
        <w:t>ine</w:t>
      </w:r>
      <w:r w:rsidR="00724739" w:rsidRPr="00CA6651">
        <w:rPr>
          <w:color w:val="050505"/>
          <w:spacing w:val="-14"/>
        </w:rPr>
        <w:t xml:space="preserve"> </w:t>
      </w:r>
      <w:r w:rsidR="00724739" w:rsidRPr="00CA6651">
        <w:rPr>
          <w:color w:val="262626"/>
        </w:rPr>
        <w:t>at</w:t>
      </w:r>
      <w:r w:rsidR="00724739" w:rsidRPr="00CA6651">
        <w:rPr>
          <w:color w:val="262626"/>
          <w:spacing w:val="-3"/>
        </w:rPr>
        <w:t xml:space="preserve"> </w:t>
      </w:r>
      <w:r w:rsidR="00724739" w:rsidRPr="00CA6651">
        <w:t>the</w:t>
      </w:r>
      <w:r w:rsidR="00724739" w:rsidRPr="00CA6651">
        <w:rPr>
          <w:spacing w:val="6"/>
        </w:rPr>
        <w:t xml:space="preserve"> </w:t>
      </w:r>
      <w:r w:rsidR="00724739" w:rsidRPr="00CA6651">
        <w:t xml:space="preserve">time. </w:t>
      </w:r>
      <w:r w:rsidR="00724739" w:rsidRPr="00CA6651">
        <w:rPr>
          <w:spacing w:val="1"/>
        </w:rPr>
        <w:t xml:space="preserve"> </w:t>
      </w:r>
      <w:r w:rsidR="00724739" w:rsidRPr="00CA6651">
        <w:rPr>
          <w:color w:val="050505"/>
        </w:rPr>
        <w:t>Each</w:t>
      </w:r>
      <w:r w:rsidR="00724739" w:rsidRPr="00CA6651">
        <w:rPr>
          <w:color w:val="050505"/>
          <w:spacing w:val="-7"/>
        </w:rPr>
        <w:t xml:space="preserve"> </w:t>
      </w:r>
      <w:r w:rsidR="00724739" w:rsidRPr="00CA6651">
        <w:t>participating</w:t>
      </w:r>
      <w:r w:rsidR="00724739" w:rsidRPr="00CA6651">
        <w:rPr>
          <w:spacing w:val="4"/>
        </w:rPr>
        <w:t xml:space="preserve"> </w:t>
      </w:r>
      <w:r w:rsidR="00724739" w:rsidRPr="00CA6651">
        <w:t>computer</w:t>
      </w:r>
      <w:r w:rsidR="00724739" w:rsidRPr="00CA6651">
        <w:rPr>
          <w:spacing w:val="14"/>
        </w:rPr>
        <w:t xml:space="preserve"> </w:t>
      </w:r>
      <w:r w:rsidR="00724739" w:rsidRPr="00CA6651">
        <w:t>can</w:t>
      </w:r>
      <w:r w:rsidR="00724739" w:rsidRPr="00CA6651">
        <w:rPr>
          <w:spacing w:val="-4"/>
        </w:rPr>
        <w:t xml:space="preserve"> </w:t>
      </w:r>
      <w:r w:rsidR="00724739" w:rsidRPr="00CA6651">
        <w:t>perform</w:t>
      </w:r>
      <w:r w:rsidR="00724739" w:rsidRPr="00CA6651">
        <w:rPr>
          <w:spacing w:val="9"/>
        </w:rPr>
        <w:t xml:space="preserve"> </w:t>
      </w:r>
      <w:r w:rsidR="00724739" w:rsidRPr="00CA6651">
        <w:t>both</w:t>
      </w:r>
      <w:r w:rsidR="00724739" w:rsidRPr="00CA6651">
        <w:rPr>
          <w:spacing w:val="-5"/>
        </w:rPr>
        <w:t xml:space="preserve"> </w:t>
      </w:r>
      <w:r w:rsidR="00724739" w:rsidRPr="00CA6651">
        <w:rPr>
          <w:color w:val="262626"/>
        </w:rPr>
        <w:t>the</w:t>
      </w:r>
      <w:r w:rsidR="00724739" w:rsidRPr="00CA6651">
        <w:rPr>
          <w:color w:val="262626"/>
          <w:spacing w:val="-3"/>
        </w:rPr>
        <w:t xml:space="preserve"> </w:t>
      </w:r>
      <w:r w:rsidR="00724739" w:rsidRPr="00CA6651">
        <w:t>function</w:t>
      </w:r>
      <w:r w:rsidR="00724739" w:rsidRPr="00CA6651">
        <w:rPr>
          <w:spacing w:val="8"/>
        </w:rPr>
        <w:t xml:space="preserve"> </w:t>
      </w:r>
      <w:r w:rsidR="00724739" w:rsidRPr="00CA6651">
        <w:t>of</w:t>
      </w:r>
      <w:r w:rsidR="00724739" w:rsidRPr="00CA6651">
        <w:rPr>
          <w:spacing w:val="-5"/>
        </w:rPr>
        <w:t xml:space="preserve"> </w:t>
      </w:r>
      <w:r w:rsidR="00724739" w:rsidRPr="00CA6651">
        <w:t>a</w:t>
      </w:r>
      <w:r w:rsidR="00724739" w:rsidRPr="00CA6651">
        <w:rPr>
          <w:spacing w:val="-2"/>
        </w:rPr>
        <w:t xml:space="preserve"> </w:t>
      </w:r>
      <w:r w:rsidR="00724739">
        <w:rPr>
          <w:spacing w:val="-2"/>
        </w:rPr>
        <w:t>“</w:t>
      </w:r>
      <w:r w:rsidR="00724739" w:rsidRPr="00CA6651">
        <w:t>client</w:t>
      </w:r>
      <w:r w:rsidR="00724739">
        <w:t>”</w:t>
      </w:r>
      <w:r w:rsidR="00724739" w:rsidRPr="00CA6651">
        <w:rPr>
          <w:spacing w:val="5"/>
        </w:rPr>
        <w:t xml:space="preserve"> </w:t>
      </w:r>
      <w:r w:rsidR="00724739" w:rsidRPr="00CA6651">
        <w:t>(i.e.</w:t>
      </w:r>
      <w:r w:rsidR="00724739" w:rsidRPr="00CA6651">
        <w:rPr>
          <w:w w:val="103"/>
        </w:rPr>
        <w:t xml:space="preserve"> </w:t>
      </w:r>
      <w:r w:rsidR="00724739" w:rsidRPr="00CA6651">
        <w:t>the</w:t>
      </w:r>
      <w:r w:rsidR="00724739" w:rsidRPr="00CA6651">
        <w:rPr>
          <w:spacing w:val="5"/>
        </w:rPr>
        <w:t xml:space="preserve"> </w:t>
      </w:r>
      <w:r w:rsidR="00724739" w:rsidRPr="00CA6651">
        <w:t>receiving</w:t>
      </w:r>
      <w:r w:rsidR="00724739" w:rsidRPr="00CA6651">
        <w:rPr>
          <w:spacing w:val="3"/>
        </w:rPr>
        <w:t xml:space="preserve"> </w:t>
      </w:r>
      <w:r w:rsidR="00724739" w:rsidRPr="00CA6651">
        <w:t>or</w:t>
      </w:r>
      <w:r w:rsidR="00724739" w:rsidRPr="00CA6651">
        <w:rPr>
          <w:spacing w:val="4"/>
        </w:rPr>
        <w:t xml:space="preserve"> </w:t>
      </w:r>
      <w:r w:rsidR="00724739" w:rsidRPr="00CA6651">
        <w:t>downloading</w:t>
      </w:r>
      <w:r w:rsidR="00724739" w:rsidRPr="00CA6651">
        <w:rPr>
          <w:spacing w:val="2"/>
        </w:rPr>
        <w:t xml:space="preserve"> </w:t>
      </w:r>
      <w:r w:rsidR="00724739" w:rsidRPr="00CA6651">
        <w:t>computer)</w:t>
      </w:r>
      <w:r w:rsidR="00724739" w:rsidRPr="00CA6651">
        <w:rPr>
          <w:spacing w:val="3"/>
        </w:rPr>
        <w:t xml:space="preserve"> </w:t>
      </w:r>
      <w:r w:rsidR="00724739" w:rsidRPr="00CA6651">
        <w:t>and</w:t>
      </w:r>
      <w:r w:rsidR="00724739" w:rsidRPr="00CA6651">
        <w:rPr>
          <w:spacing w:val="-3"/>
        </w:rPr>
        <w:t xml:space="preserve"> </w:t>
      </w:r>
      <w:r w:rsidR="00724739" w:rsidRPr="00CA6651">
        <w:t>that</w:t>
      </w:r>
      <w:r w:rsidR="00724739" w:rsidRPr="00CA6651">
        <w:rPr>
          <w:spacing w:val="3"/>
        </w:rPr>
        <w:t xml:space="preserve"> </w:t>
      </w:r>
      <w:r w:rsidR="00724739" w:rsidRPr="00CA6651">
        <w:t>of</w:t>
      </w:r>
      <w:r w:rsidR="00724739" w:rsidRPr="00CA6651">
        <w:rPr>
          <w:spacing w:val="-3"/>
        </w:rPr>
        <w:t xml:space="preserve"> </w:t>
      </w:r>
      <w:r w:rsidR="00724739" w:rsidRPr="00CA6651">
        <w:t>a</w:t>
      </w:r>
      <w:r w:rsidR="00724739" w:rsidRPr="00CA6651">
        <w:rPr>
          <w:spacing w:val="-12"/>
        </w:rPr>
        <w:t xml:space="preserve"> </w:t>
      </w:r>
      <w:r w:rsidR="00724739">
        <w:rPr>
          <w:spacing w:val="-12"/>
        </w:rPr>
        <w:t>“</w:t>
      </w:r>
      <w:r w:rsidR="00724739" w:rsidRPr="00CA6651">
        <w:t>server</w:t>
      </w:r>
      <w:r w:rsidR="00724739">
        <w:t>”</w:t>
      </w:r>
      <w:r w:rsidR="00724739" w:rsidRPr="00CA6651">
        <w:rPr>
          <w:spacing w:val="7"/>
        </w:rPr>
        <w:t xml:space="preserve"> </w:t>
      </w:r>
      <w:r w:rsidR="00724739" w:rsidRPr="00CA6651">
        <w:t>(i.e. the</w:t>
      </w:r>
      <w:r w:rsidR="00724739" w:rsidRPr="00CA6651">
        <w:rPr>
          <w:spacing w:val="6"/>
        </w:rPr>
        <w:t xml:space="preserve"> </w:t>
      </w:r>
      <w:r w:rsidR="00724739" w:rsidRPr="00CA6651">
        <w:t>sending</w:t>
      </w:r>
      <w:r w:rsidR="00724739" w:rsidRPr="00CA6651">
        <w:rPr>
          <w:spacing w:val="10"/>
        </w:rPr>
        <w:t xml:space="preserve"> </w:t>
      </w:r>
      <w:r w:rsidR="00724739" w:rsidRPr="00CA6651">
        <w:t>or</w:t>
      </w:r>
      <w:r w:rsidR="00724739" w:rsidRPr="00CA6651">
        <w:rPr>
          <w:spacing w:val="3"/>
        </w:rPr>
        <w:t xml:space="preserve"> </w:t>
      </w:r>
      <w:r w:rsidR="00724739" w:rsidRPr="00CA6651">
        <w:t>host</w:t>
      </w:r>
      <w:r w:rsidR="00724739" w:rsidRPr="00CA6651">
        <w:rPr>
          <w:w w:val="103"/>
        </w:rPr>
        <w:t xml:space="preserve"> </w:t>
      </w:r>
      <w:r w:rsidR="00724739" w:rsidRPr="00CA6651">
        <w:t xml:space="preserve">computer). </w:t>
      </w:r>
      <w:r w:rsidR="00724739" w:rsidRPr="00CA6651">
        <w:rPr>
          <w:spacing w:val="14"/>
        </w:rPr>
        <w:t xml:space="preserve"> </w:t>
      </w:r>
      <w:r w:rsidR="00724739" w:rsidRPr="00CA6651">
        <w:t>The</w:t>
      </w:r>
      <w:r w:rsidR="00724739" w:rsidRPr="00CA6651">
        <w:rPr>
          <w:spacing w:val="-3"/>
        </w:rPr>
        <w:t xml:space="preserve"> </w:t>
      </w:r>
      <w:r w:rsidR="00724739" w:rsidRPr="00CA6651">
        <w:t>computers</w:t>
      </w:r>
      <w:r w:rsidR="00724739" w:rsidRPr="00CA6651">
        <w:rPr>
          <w:spacing w:val="20"/>
        </w:rPr>
        <w:t xml:space="preserve"> </w:t>
      </w:r>
      <w:r w:rsidR="00724739" w:rsidRPr="00CA6651">
        <w:t>can</w:t>
      </w:r>
      <w:r w:rsidR="00724739" w:rsidRPr="00CA6651">
        <w:rPr>
          <w:spacing w:val="-10"/>
        </w:rPr>
        <w:t xml:space="preserve"> </w:t>
      </w:r>
      <w:r w:rsidR="00724739" w:rsidRPr="00CA6651">
        <w:rPr>
          <w:color w:val="262626"/>
        </w:rPr>
        <w:t>then</w:t>
      </w:r>
      <w:r w:rsidR="00724739" w:rsidRPr="00CA6651">
        <w:rPr>
          <w:color w:val="262626"/>
          <w:spacing w:val="5"/>
        </w:rPr>
        <w:t xml:space="preserve"> </w:t>
      </w:r>
      <w:r w:rsidR="00724739" w:rsidRPr="00CA6651">
        <w:t>both</w:t>
      </w:r>
      <w:r w:rsidR="00724739" w:rsidRPr="00CA6651">
        <w:rPr>
          <w:spacing w:val="-14"/>
        </w:rPr>
        <w:t xml:space="preserve"> </w:t>
      </w:r>
      <w:r w:rsidR="00724739" w:rsidRPr="00CA6651">
        <w:t>send</w:t>
      </w:r>
      <w:r w:rsidR="00724739" w:rsidRPr="00CA6651">
        <w:rPr>
          <w:spacing w:val="2"/>
        </w:rPr>
        <w:t xml:space="preserve"> </w:t>
      </w:r>
      <w:r w:rsidR="00724739" w:rsidRPr="00CA6651">
        <w:t>data</w:t>
      </w:r>
      <w:r w:rsidR="00724739" w:rsidRPr="00CA6651">
        <w:rPr>
          <w:spacing w:val="5"/>
        </w:rPr>
        <w:t xml:space="preserve"> </w:t>
      </w:r>
      <w:r w:rsidR="00724739" w:rsidRPr="00CA6651">
        <w:t>to,</w:t>
      </w:r>
      <w:r w:rsidR="00724739" w:rsidRPr="00CA6651">
        <w:rPr>
          <w:spacing w:val="10"/>
        </w:rPr>
        <w:t xml:space="preserve"> </w:t>
      </w:r>
      <w:r w:rsidR="00724739" w:rsidRPr="00CA6651">
        <w:t>and</w:t>
      </w:r>
      <w:r w:rsidR="00724739" w:rsidRPr="00CA6651">
        <w:rPr>
          <w:spacing w:val="2"/>
        </w:rPr>
        <w:t xml:space="preserve"> </w:t>
      </w:r>
      <w:r w:rsidR="00724739" w:rsidRPr="00CA6651">
        <w:t>receive</w:t>
      </w:r>
      <w:r w:rsidR="00724739" w:rsidRPr="00CA6651">
        <w:rPr>
          <w:spacing w:val="6"/>
        </w:rPr>
        <w:t xml:space="preserve"> </w:t>
      </w:r>
      <w:r w:rsidR="00724739" w:rsidRPr="00CA6651">
        <w:t>it</w:t>
      </w:r>
      <w:r w:rsidR="00724739" w:rsidRPr="00CA6651">
        <w:rPr>
          <w:spacing w:val="-19"/>
        </w:rPr>
        <w:t xml:space="preserve"> </w:t>
      </w:r>
      <w:r w:rsidR="00724739" w:rsidRPr="00CA6651">
        <w:t>from,</w:t>
      </w:r>
      <w:r w:rsidR="00724739" w:rsidRPr="00CA6651">
        <w:rPr>
          <w:spacing w:val="5"/>
        </w:rPr>
        <w:t xml:space="preserve"> </w:t>
      </w:r>
      <w:r w:rsidR="00724739" w:rsidRPr="00CA6651">
        <w:t>each</w:t>
      </w:r>
      <w:r w:rsidR="00724739" w:rsidRPr="00CA6651">
        <w:rPr>
          <w:spacing w:val="2"/>
        </w:rPr>
        <w:t xml:space="preserve"> </w:t>
      </w:r>
      <w:r w:rsidR="00724739" w:rsidRPr="00CA6651">
        <w:t>other</w:t>
      </w:r>
      <w:r w:rsidR="00724739">
        <w:t>’</w:t>
      </w:r>
      <w:r w:rsidR="00724739" w:rsidRPr="00CA6651">
        <w:t>s computers.</w:t>
      </w:r>
      <w:r w:rsidR="00724739" w:rsidRPr="00CA6651">
        <w:rPr>
          <w:spacing w:val="-6"/>
        </w:rPr>
        <w:t xml:space="preserve"> </w:t>
      </w:r>
      <w:r w:rsidR="00724739" w:rsidRPr="00CA6651">
        <w:rPr>
          <w:color w:val="262626"/>
        </w:rPr>
        <w:t>The</w:t>
      </w:r>
      <w:r w:rsidR="00724739" w:rsidRPr="00CA6651">
        <w:rPr>
          <w:color w:val="262626"/>
          <w:spacing w:val="-4"/>
        </w:rPr>
        <w:t xml:space="preserve"> </w:t>
      </w:r>
      <w:r w:rsidR="00724739" w:rsidRPr="00CA6651">
        <w:t>data</w:t>
      </w:r>
      <w:r w:rsidR="00724739" w:rsidRPr="00CA6651">
        <w:rPr>
          <w:spacing w:val="5"/>
        </w:rPr>
        <w:t xml:space="preserve"> </w:t>
      </w:r>
      <w:r w:rsidR="00724739" w:rsidRPr="00CA6651">
        <w:t>is</w:t>
      </w:r>
      <w:r w:rsidR="00724739" w:rsidRPr="00CA6651">
        <w:rPr>
          <w:spacing w:val="-5"/>
        </w:rPr>
        <w:t xml:space="preserve"> </w:t>
      </w:r>
      <w:r w:rsidR="00724739" w:rsidRPr="00CA6651">
        <w:t>exchanged</w:t>
      </w:r>
      <w:r w:rsidR="00724739" w:rsidRPr="00CA6651">
        <w:rPr>
          <w:spacing w:val="13"/>
        </w:rPr>
        <w:t xml:space="preserve"> </w:t>
      </w:r>
      <w:r w:rsidR="00724739" w:rsidRPr="00CA6651">
        <w:t>directly</w:t>
      </w:r>
      <w:r w:rsidR="00724739" w:rsidRPr="00CA6651">
        <w:rPr>
          <w:spacing w:val="5"/>
        </w:rPr>
        <w:t xml:space="preserve"> </w:t>
      </w:r>
      <w:r w:rsidR="00724739" w:rsidRPr="00CA6651">
        <w:t>between</w:t>
      </w:r>
      <w:r w:rsidR="00724739" w:rsidRPr="00CA6651">
        <w:rPr>
          <w:spacing w:val="-2"/>
        </w:rPr>
        <w:t xml:space="preserve"> </w:t>
      </w:r>
      <w:r w:rsidR="00724739" w:rsidRPr="00CA6651">
        <w:t>the</w:t>
      </w:r>
      <w:r w:rsidR="00724739" w:rsidRPr="00CA6651">
        <w:rPr>
          <w:spacing w:val="5"/>
        </w:rPr>
        <w:t xml:space="preserve"> </w:t>
      </w:r>
      <w:r w:rsidR="00724739" w:rsidRPr="00CA6651">
        <w:rPr>
          <w:color w:val="262626"/>
        </w:rPr>
        <w:t>p</w:t>
      </w:r>
      <w:r w:rsidR="00724739" w:rsidRPr="00CA6651">
        <w:rPr>
          <w:color w:val="262626"/>
          <w:spacing w:val="-9"/>
        </w:rPr>
        <w:t>a</w:t>
      </w:r>
      <w:r w:rsidR="00724739" w:rsidRPr="00CA6651">
        <w:rPr>
          <w:color w:val="050505"/>
        </w:rPr>
        <w:t>rticipating</w:t>
      </w:r>
      <w:r w:rsidR="00724739" w:rsidRPr="00CA6651">
        <w:rPr>
          <w:color w:val="050505"/>
          <w:spacing w:val="5"/>
        </w:rPr>
        <w:t xml:space="preserve"> </w:t>
      </w:r>
      <w:r w:rsidR="00724739" w:rsidRPr="00CA6651">
        <w:t>computers</w:t>
      </w:r>
      <w:r w:rsidR="00724739" w:rsidRPr="00CA6651">
        <w:rPr>
          <w:spacing w:val="17"/>
        </w:rPr>
        <w:t xml:space="preserve"> </w:t>
      </w:r>
      <w:r w:rsidR="00724739" w:rsidRPr="00CA6651">
        <w:t>and</w:t>
      </w:r>
      <w:r w:rsidR="00724739" w:rsidRPr="00CA6651">
        <w:rPr>
          <w:spacing w:val="-3"/>
        </w:rPr>
        <w:t xml:space="preserve"> </w:t>
      </w:r>
      <w:r w:rsidR="00724739" w:rsidRPr="00CA6651">
        <w:t>is</w:t>
      </w:r>
      <w:r w:rsidR="00724739" w:rsidRPr="00CA6651">
        <w:rPr>
          <w:spacing w:val="4"/>
        </w:rPr>
        <w:t xml:space="preserve"> </w:t>
      </w:r>
      <w:r w:rsidR="00724739" w:rsidRPr="00CA6651">
        <w:t>never</w:t>
      </w:r>
      <w:r w:rsidR="00724739" w:rsidRPr="00CA6651">
        <w:rPr>
          <w:w w:val="99"/>
        </w:rPr>
        <w:t xml:space="preserve"> </w:t>
      </w:r>
      <w:r w:rsidR="00724739" w:rsidRPr="00CA6651">
        <w:t>stored</w:t>
      </w:r>
      <w:r w:rsidR="00724739" w:rsidRPr="00CA6651">
        <w:rPr>
          <w:spacing w:val="6"/>
        </w:rPr>
        <w:t xml:space="preserve"> </w:t>
      </w:r>
      <w:r w:rsidR="00724739" w:rsidRPr="00CA6651">
        <w:t>in</w:t>
      </w:r>
      <w:r w:rsidR="00724739" w:rsidRPr="00CA6651">
        <w:rPr>
          <w:spacing w:val="-10"/>
        </w:rPr>
        <w:t xml:space="preserve"> </w:t>
      </w:r>
      <w:r w:rsidR="00724739" w:rsidRPr="00CA6651">
        <w:t>a</w:t>
      </w:r>
      <w:r w:rsidR="00724739" w:rsidRPr="00CA6651">
        <w:rPr>
          <w:spacing w:val="-10"/>
        </w:rPr>
        <w:t xml:space="preserve"> </w:t>
      </w:r>
      <w:r w:rsidR="00724739" w:rsidRPr="00CA6651">
        <w:rPr>
          <w:color w:val="262626"/>
        </w:rPr>
        <w:t>centralised</w:t>
      </w:r>
      <w:r w:rsidR="00724739" w:rsidRPr="00CA6651">
        <w:rPr>
          <w:color w:val="262626"/>
          <w:spacing w:val="8"/>
        </w:rPr>
        <w:t xml:space="preserve"> </w:t>
      </w:r>
      <w:r w:rsidR="00724739" w:rsidRPr="00CA6651">
        <w:rPr>
          <w:color w:val="262626"/>
        </w:rPr>
        <w:t>place.</w:t>
      </w:r>
      <w:r w:rsidR="00724739" w:rsidRPr="00CA6651">
        <w:rPr>
          <w:color w:val="262626"/>
          <w:spacing w:val="-3"/>
        </w:rPr>
        <w:t xml:space="preserve"> </w:t>
      </w:r>
      <w:r w:rsidR="00724739" w:rsidRPr="00CA6651">
        <w:t>The</w:t>
      </w:r>
      <w:r w:rsidR="00724739" w:rsidRPr="00CA6651">
        <w:rPr>
          <w:spacing w:val="-2"/>
        </w:rPr>
        <w:t xml:space="preserve"> </w:t>
      </w:r>
      <w:r w:rsidR="00724739" w:rsidRPr="00CA6651">
        <w:t>data</w:t>
      </w:r>
      <w:r w:rsidR="00724739" w:rsidRPr="00CA6651">
        <w:rPr>
          <w:spacing w:val="-1"/>
        </w:rPr>
        <w:t xml:space="preserve"> </w:t>
      </w:r>
      <w:r w:rsidR="00724739" w:rsidRPr="00CA6651">
        <w:t>distributed</w:t>
      </w:r>
      <w:r w:rsidR="00724739" w:rsidRPr="00CA6651">
        <w:rPr>
          <w:spacing w:val="12"/>
        </w:rPr>
        <w:t xml:space="preserve"> </w:t>
      </w:r>
      <w:r w:rsidR="00724739" w:rsidRPr="00CA6651">
        <w:t>may</w:t>
      </w:r>
      <w:r w:rsidR="00724739" w:rsidRPr="00CA6651">
        <w:rPr>
          <w:spacing w:val="-3"/>
        </w:rPr>
        <w:t xml:space="preserve"> </w:t>
      </w:r>
      <w:r w:rsidR="00724739" w:rsidRPr="00CA6651">
        <w:t>have</w:t>
      </w:r>
      <w:r w:rsidR="00724739" w:rsidRPr="00CA6651">
        <w:rPr>
          <w:spacing w:val="-8"/>
        </w:rPr>
        <w:t xml:space="preserve"> </w:t>
      </w:r>
      <w:r w:rsidR="00724739" w:rsidRPr="00CA6651">
        <w:t>various</w:t>
      </w:r>
      <w:r w:rsidR="00724739" w:rsidRPr="00CA6651">
        <w:rPr>
          <w:spacing w:val="19"/>
        </w:rPr>
        <w:t xml:space="preserve"> </w:t>
      </w:r>
      <w:r w:rsidR="00724739" w:rsidRPr="00CA6651">
        <w:t>origins,</w:t>
      </w:r>
      <w:r w:rsidR="00724739" w:rsidRPr="00CA6651">
        <w:rPr>
          <w:spacing w:val="11"/>
        </w:rPr>
        <w:t xml:space="preserve"> </w:t>
      </w:r>
      <w:r w:rsidR="00724739" w:rsidRPr="00CA6651">
        <w:t>but</w:t>
      </w:r>
      <w:r w:rsidR="00724739" w:rsidRPr="00CA6651">
        <w:rPr>
          <w:spacing w:val="-14"/>
        </w:rPr>
        <w:t xml:space="preserve"> </w:t>
      </w:r>
      <w:r w:rsidR="00724739" w:rsidRPr="00CA6651">
        <w:t>data</w:t>
      </w:r>
      <w:r w:rsidR="00724739" w:rsidRPr="00CA6651">
        <w:rPr>
          <w:spacing w:val="10"/>
        </w:rPr>
        <w:t xml:space="preserve"> </w:t>
      </w:r>
      <w:r w:rsidR="00724739" w:rsidRPr="00CA6651">
        <w:t>exchange takes</w:t>
      </w:r>
      <w:r w:rsidR="00724739" w:rsidRPr="00CA6651">
        <w:rPr>
          <w:spacing w:val="3"/>
        </w:rPr>
        <w:t xml:space="preserve"> </w:t>
      </w:r>
      <w:r w:rsidR="00724739" w:rsidRPr="00CA6651">
        <w:t>place</w:t>
      </w:r>
      <w:r w:rsidR="00724739" w:rsidRPr="00CA6651">
        <w:rPr>
          <w:spacing w:val="-13"/>
        </w:rPr>
        <w:t xml:space="preserve"> </w:t>
      </w:r>
      <w:r w:rsidR="00724739" w:rsidRPr="00CA6651">
        <w:t>exclusively</w:t>
      </w:r>
      <w:r w:rsidR="00724739" w:rsidRPr="00CA6651">
        <w:rPr>
          <w:spacing w:val="9"/>
        </w:rPr>
        <w:t xml:space="preserve"> </w:t>
      </w:r>
      <w:r w:rsidR="00724739" w:rsidRPr="00CA6651">
        <w:t>between</w:t>
      </w:r>
      <w:r w:rsidR="00724739" w:rsidRPr="00CA6651">
        <w:rPr>
          <w:spacing w:val="-5"/>
        </w:rPr>
        <w:t xml:space="preserve"> </w:t>
      </w:r>
      <w:r w:rsidR="00724739" w:rsidRPr="00CA6651">
        <w:t>two</w:t>
      </w:r>
      <w:r w:rsidR="00724739" w:rsidRPr="00CA6651">
        <w:rPr>
          <w:spacing w:val="-5"/>
        </w:rPr>
        <w:t xml:space="preserve"> </w:t>
      </w:r>
      <w:r w:rsidR="00724739" w:rsidRPr="00CA6651">
        <w:t>individual</w:t>
      </w:r>
      <w:r w:rsidR="00724739" w:rsidRPr="00CA6651">
        <w:rPr>
          <w:spacing w:val="-5"/>
        </w:rPr>
        <w:t xml:space="preserve"> </w:t>
      </w:r>
      <w:r w:rsidR="00724739" w:rsidRPr="00CA6651">
        <w:t>computer</w:t>
      </w:r>
      <w:r w:rsidR="00724739" w:rsidRPr="00CA6651">
        <w:rPr>
          <w:spacing w:val="10"/>
        </w:rPr>
        <w:t xml:space="preserve"> </w:t>
      </w:r>
      <w:r w:rsidR="00724739" w:rsidRPr="00CA6651">
        <w:t>systems.</w:t>
      </w:r>
    </w:p>
    <w:p w:rsidR="00724739" w:rsidRDefault="00724739" w:rsidP="00CD64DF">
      <w:pPr>
        <w:pStyle w:val="Quote1"/>
        <w:spacing w:before="120" w:after="120"/>
        <w:ind w:left="1440" w:hanging="703"/>
      </w:pPr>
      <w:r>
        <w:t>6.4</w:t>
      </w:r>
      <w:r>
        <w:tab/>
      </w:r>
      <w:r w:rsidRPr="00CA6651">
        <w:t>Users</w:t>
      </w:r>
      <w:r w:rsidRPr="00CA6651">
        <w:rPr>
          <w:spacing w:val="2"/>
        </w:rPr>
        <w:t xml:space="preserve"> </w:t>
      </w:r>
      <w:r w:rsidRPr="00CA6651">
        <w:t>need</w:t>
      </w:r>
      <w:r w:rsidRPr="00CA6651">
        <w:rPr>
          <w:spacing w:val="-5"/>
        </w:rPr>
        <w:t xml:space="preserve"> </w:t>
      </w:r>
      <w:r w:rsidRPr="00CA6651">
        <w:t>to</w:t>
      </w:r>
      <w:r w:rsidRPr="00CA6651">
        <w:rPr>
          <w:spacing w:val="5"/>
        </w:rPr>
        <w:t xml:space="preserve"> </w:t>
      </w:r>
      <w:r w:rsidRPr="00CA6651">
        <w:rPr>
          <w:color w:val="262626"/>
        </w:rPr>
        <w:t>take</w:t>
      </w:r>
      <w:r w:rsidRPr="00CA6651">
        <w:rPr>
          <w:color w:val="262626"/>
          <w:spacing w:val="10"/>
        </w:rPr>
        <w:t xml:space="preserve"> </w:t>
      </w:r>
      <w:r w:rsidRPr="00CA6651">
        <w:t>ac</w:t>
      </w:r>
      <w:r w:rsidRPr="00CA6651">
        <w:rPr>
          <w:spacing w:val="6"/>
        </w:rPr>
        <w:t>t</w:t>
      </w:r>
      <w:r w:rsidRPr="00CA6651">
        <w:rPr>
          <w:color w:val="3D3D3D"/>
          <w:spacing w:val="-20"/>
        </w:rPr>
        <w:t>i</w:t>
      </w:r>
      <w:r w:rsidRPr="00CA6651">
        <w:t>ve</w:t>
      </w:r>
      <w:r w:rsidRPr="00CA6651">
        <w:rPr>
          <w:spacing w:val="-3"/>
        </w:rPr>
        <w:t xml:space="preserve"> </w:t>
      </w:r>
      <w:r w:rsidRPr="00CA6651">
        <w:t>steps</w:t>
      </w:r>
      <w:r w:rsidRPr="00CA6651">
        <w:rPr>
          <w:spacing w:val="10"/>
        </w:rPr>
        <w:t xml:space="preserve"> </w:t>
      </w:r>
      <w:r w:rsidRPr="00CA6651">
        <w:t>to</w:t>
      </w:r>
      <w:r w:rsidRPr="00CA6651">
        <w:rPr>
          <w:spacing w:val="6"/>
        </w:rPr>
        <w:t xml:space="preserve"> </w:t>
      </w:r>
      <w:r w:rsidRPr="00CA6651">
        <w:t>set</w:t>
      </w:r>
      <w:r w:rsidRPr="00CA6651">
        <w:rPr>
          <w:spacing w:val="2"/>
        </w:rPr>
        <w:t xml:space="preserve"> </w:t>
      </w:r>
      <w:r w:rsidRPr="00CA6651">
        <w:t>up</w:t>
      </w:r>
      <w:r w:rsidRPr="00CA6651">
        <w:rPr>
          <w:spacing w:val="-3"/>
        </w:rPr>
        <w:t xml:space="preserve"> </w:t>
      </w:r>
      <w:r w:rsidRPr="00CA6651">
        <w:t>and</w:t>
      </w:r>
      <w:r w:rsidRPr="00CA6651">
        <w:rPr>
          <w:spacing w:val="-2"/>
        </w:rPr>
        <w:t xml:space="preserve"> </w:t>
      </w:r>
      <w:r w:rsidRPr="00CA6651">
        <w:t>install</w:t>
      </w:r>
      <w:r w:rsidRPr="00CA6651">
        <w:rPr>
          <w:spacing w:val="-2"/>
        </w:rPr>
        <w:t xml:space="preserve"> </w:t>
      </w:r>
      <w:r w:rsidRPr="00CA6651">
        <w:t>software</w:t>
      </w:r>
      <w:r w:rsidRPr="00CA6651">
        <w:rPr>
          <w:spacing w:val="5"/>
        </w:rPr>
        <w:t xml:space="preserve"> </w:t>
      </w:r>
      <w:r w:rsidRPr="00CA6651">
        <w:t>to</w:t>
      </w:r>
      <w:r w:rsidRPr="00CA6651">
        <w:rPr>
          <w:spacing w:val="-5"/>
        </w:rPr>
        <w:t xml:space="preserve"> </w:t>
      </w:r>
      <w:r w:rsidRPr="00CA6651">
        <w:t>enable</w:t>
      </w:r>
      <w:r w:rsidRPr="00CA6651">
        <w:rPr>
          <w:spacing w:val="18"/>
        </w:rPr>
        <w:t xml:space="preserve"> </w:t>
      </w:r>
      <w:r w:rsidRPr="00CA6651">
        <w:rPr>
          <w:color w:val="262626"/>
        </w:rPr>
        <w:t>participation</w:t>
      </w:r>
      <w:r w:rsidRPr="00CA6651">
        <w:rPr>
          <w:color w:val="262626"/>
          <w:spacing w:val="6"/>
        </w:rPr>
        <w:t xml:space="preserve"> </w:t>
      </w:r>
      <w:r w:rsidRPr="00CA6651">
        <w:rPr>
          <w:color w:val="262626"/>
        </w:rPr>
        <w:t>in</w:t>
      </w:r>
      <w:r w:rsidRPr="00CA6651">
        <w:rPr>
          <w:color w:val="262626"/>
          <w:spacing w:val="-11"/>
        </w:rPr>
        <w:t xml:space="preserve"> </w:t>
      </w:r>
      <w:r w:rsidRPr="00CA6651">
        <w:t>the</w:t>
      </w:r>
      <w:r w:rsidRPr="00CA6651">
        <w:rPr>
          <w:spacing w:val="6"/>
        </w:rPr>
        <w:t xml:space="preserve"> </w:t>
      </w:r>
      <w:r w:rsidRPr="00CA6651">
        <w:t>P2P</w:t>
      </w:r>
      <w:r w:rsidRPr="00CA6651">
        <w:rPr>
          <w:w w:val="103"/>
        </w:rPr>
        <w:t xml:space="preserve"> </w:t>
      </w:r>
      <w:r w:rsidRPr="00CA6651">
        <w:t>Network.</w:t>
      </w:r>
      <w:r w:rsidRPr="00CA6651">
        <w:rPr>
          <w:spacing w:val="2"/>
        </w:rPr>
        <w:t xml:space="preserve"> </w:t>
      </w:r>
      <w:r w:rsidRPr="00CA6651">
        <w:rPr>
          <w:color w:val="262626"/>
        </w:rPr>
        <w:t>These</w:t>
      </w:r>
      <w:r w:rsidRPr="00CA6651">
        <w:rPr>
          <w:color w:val="262626"/>
          <w:spacing w:val="3"/>
        </w:rPr>
        <w:t xml:space="preserve"> </w:t>
      </w:r>
      <w:r w:rsidRPr="00CA6651">
        <w:t>steps cannot</w:t>
      </w:r>
      <w:r w:rsidRPr="00CA6651">
        <w:rPr>
          <w:spacing w:val="3"/>
        </w:rPr>
        <w:t xml:space="preserve"> </w:t>
      </w:r>
      <w:r w:rsidRPr="00CA6651">
        <w:t>be</w:t>
      </w:r>
      <w:r w:rsidRPr="00CA6651">
        <w:rPr>
          <w:spacing w:val="-5"/>
        </w:rPr>
        <w:t xml:space="preserve"> </w:t>
      </w:r>
      <w:r>
        <w:rPr>
          <w:spacing w:val="-5"/>
        </w:rPr>
        <w:t>‘</w:t>
      </w:r>
      <w:r w:rsidRPr="00CA6651">
        <w:rPr>
          <w:color w:val="262626"/>
        </w:rPr>
        <w:t>accidently</w:t>
      </w:r>
      <w:r>
        <w:rPr>
          <w:color w:val="262626"/>
        </w:rPr>
        <w:t>’</w:t>
      </w:r>
      <w:r w:rsidRPr="00CA6651">
        <w:rPr>
          <w:color w:val="262626"/>
          <w:spacing w:val="16"/>
        </w:rPr>
        <w:t xml:space="preserve"> </w:t>
      </w:r>
      <w:r w:rsidRPr="00CA6651">
        <w:t>or</w:t>
      </w:r>
      <w:r w:rsidRPr="00CA6651">
        <w:rPr>
          <w:spacing w:val="-8"/>
        </w:rPr>
        <w:t xml:space="preserve"> </w:t>
      </w:r>
      <w:r w:rsidRPr="00CA6651">
        <w:t>inadvertently</w:t>
      </w:r>
      <w:r w:rsidRPr="00CA6651">
        <w:rPr>
          <w:spacing w:val="11"/>
        </w:rPr>
        <w:t xml:space="preserve"> </w:t>
      </w:r>
      <w:r w:rsidRPr="00CA6651">
        <w:t>undertaken</w:t>
      </w:r>
      <w:r w:rsidRPr="00CA6651">
        <w:rPr>
          <w:spacing w:val="-7"/>
        </w:rPr>
        <w:t xml:space="preserve"> </w:t>
      </w:r>
      <w:r w:rsidRPr="00CA6651">
        <w:t>by</w:t>
      </w:r>
      <w:r w:rsidRPr="00CA6651">
        <w:rPr>
          <w:spacing w:val="-22"/>
        </w:rPr>
        <w:t xml:space="preserve"> </w:t>
      </w:r>
      <w:r w:rsidRPr="00CA6651">
        <w:t>a</w:t>
      </w:r>
      <w:r w:rsidRPr="00CA6651">
        <w:rPr>
          <w:spacing w:val="-1"/>
        </w:rPr>
        <w:t xml:space="preserve"> </w:t>
      </w:r>
      <w:r w:rsidRPr="00CA6651">
        <w:t>user.</w:t>
      </w:r>
      <w:r w:rsidRPr="00CA6651">
        <w:rPr>
          <w:spacing w:val="-6"/>
        </w:rPr>
        <w:t xml:space="preserve"> </w:t>
      </w:r>
      <w:r w:rsidRPr="00CA6651">
        <w:t>Any</w:t>
      </w:r>
      <w:r w:rsidRPr="00CA6651">
        <w:rPr>
          <w:spacing w:val="9"/>
        </w:rPr>
        <w:t xml:space="preserve"> </w:t>
      </w:r>
      <w:r w:rsidRPr="00CA6651">
        <w:t>user</w:t>
      </w:r>
      <w:r w:rsidRPr="00CA6651">
        <w:rPr>
          <w:w w:val="99"/>
        </w:rPr>
        <w:t xml:space="preserve"> </w:t>
      </w:r>
      <w:r w:rsidRPr="00CA6651">
        <w:t>wishing</w:t>
      </w:r>
      <w:r w:rsidRPr="00CA6651">
        <w:rPr>
          <w:spacing w:val="10"/>
        </w:rPr>
        <w:t xml:space="preserve"> </w:t>
      </w:r>
      <w:r w:rsidRPr="00CA6651">
        <w:t>to</w:t>
      </w:r>
      <w:r w:rsidRPr="00CA6651">
        <w:rPr>
          <w:spacing w:val="5"/>
        </w:rPr>
        <w:t xml:space="preserve"> </w:t>
      </w:r>
      <w:r w:rsidRPr="00CA6651">
        <w:t>participate in</w:t>
      </w:r>
      <w:r w:rsidRPr="00CA6651">
        <w:rPr>
          <w:spacing w:val="-22"/>
        </w:rPr>
        <w:t xml:space="preserve"> </w:t>
      </w:r>
      <w:r w:rsidRPr="00CA6651">
        <w:t>file</w:t>
      </w:r>
      <w:r w:rsidRPr="00CA6651">
        <w:rPr>
          <w:spacing w:val="-2"/>
        </w:rPr>
        <w:t xml:space="preserve"> </w:t>
      </w:r>
      <w:r w:rsidRPr="00CA6651">
        <w:lastRenderedPageBreak/>
        <w:t>sharing</w:t>
      </w:r>
      <w:r w:rsidRPr="00CA6651">
        <w:rPr>
          <w:spacing w:val="17"/>
        </w:rPr>
        <w:t xml:space="preserve"> </w:t>
      </w:r>
      <w:r w:rsidRPr="00CA6651">
        <w:t>needs</w:t>
      </w:r>
      <w:r w:rsidRPr="00CA6651">
        <w:rPr>
          <w:spacing w:val="5"/>
        </w:rPr>
        <w:t xml:space="preserve"> </w:t>
      </w:r>
      <w:r w:rsidRPr="00CA6651">
        <w:t>to</w:t>
      </w:r>
      <w:r w:rsidRPr="00CA6651">
        <w:rPr>
          <w:spacing w:val="6"/>
        </w:rPr>
        <w:t xml:space="preserve"> </w:t>
      </w:r>
      <w:r w:rsidRPr="00CA6651">
        <w:t>install</w:t>
      </w:r>
      <w:r w:rsidRPr="00CA6651">
        <w:rPr>
          <w:spacing w:val="-1"/>
        </w:rPr>
        <w:t xml:space="preserve"> </w:t>
      </w:r>
      <w:r w:rsidRPr="00CA6651">
        <w:t>or</w:t>
      </w:r>
      <w:r w:rsidRPr="00CA6651">
        <w:rPr>
          <w:spacing w:val="2"/>
        </w:rPr>
        <w:t xml:space="preserve"> </w:t>
      </w:r>
      <w:r w:rsidRPr="00CA6651">
        <w:t>actively start</w:t>
      </w:r>
      <w:r w:rsidRPr="00CA6651">
        <w:rPr>
          <w:spacing w:val="5"/>
        </w:rPr>
        <w:t xml:space="preserve"> </w:t>
      </w:r>
      <w:r w:rsidRPr="00CA6651">
        <w:t>specialised</w:t>
      </w:r>
      <w:r w:rsidRPr="00CA6651">
        <w:rPr>
          <w:spacing w:val="13"/>
        </w:rPr>
        <w:t xml:space="preserve"> </w:t>
      </w:r>
      <w:r w:rsidRPr="00CA6651">
        <w:t>software</w:t>
      </w:r>
      <w:r w:rsidRPr="00CA6651">
        <w:rPr>
          <w:spacing w:val="15"/>
        </w:rPr>
        <w:t xml:space="preserve"> </w:t>
      </w:r>
      <w:r w:rsidRPr="00CA6651">
        <w:t>known</w:t>
      </w:r>
      <w:r w:rsidRPr="00CA6651">
        <w:rPr>
          <w:w w:val="104"/>
        </w:rPr>
        <w:t xml:space="preserve"> </w:t>
      </w:r>
      <w:r w:rsidRPr="00CA6651">
        <w:rPr>
          <w:color w:val="262626"/>
        </w:rPr>
        <w:t>as</w:t>
      </w:r>
      <w:r w:rsidRPr="00CA6651">
        <w:rPr>
          <w:color w:val="262626"/>
          <w:spacing w:val="10"/>
        </w:rPr>
        <w:t xml:space="preserve"> </w:t>
      </w:r>
      <w:r w:rsidRPr="00CA6651">
        <w:t>a</w:t>
      </w:r>
      <w:r w:rsidRPr="00CA6651">
        <w:rPr>
          <w:spacing w:val="-5"/>
        </w:rPr>
        <w:t xml:space="preserve"> </w:t>
      </w:r>
      <w:proofErr w:type="spellStart"/>
      <w:r w:rsidRPr="00CA6651">
        <w:t>B</w:t>
      </w:r>
      <w:r>
        <w:t>i</w:t>
      </w:r>
      <w:r w:rsidRPr="00CA6651">
        <w:t>tTorrent</w:t>
      </w:r>
      <w:proofErr w:type="spellEnd"/>
      <w:r w:rsidRPr="00CA6651">
        <w:rPr>
          <w:spacing w:val="15"/>
        </w:rPr>
        <w:t xml:space="preserve"> </w:t>
      </w:r>
      <w:r w:rsidRPr="00CA6651">
        <w:t>client</w:t>
      </w:r>
      <w:r w:rsidRPr="00CA6651">
        <w:rPr>
          <w:spacing w:val="9"/>
        </w:rPr>
        <w:t xml:space="preserve"> </w:t>
      </w:r>
      <w:r w:rsidRPr="00CA6651">
        <w:t>(</w:t>
      </w:r>
      <w:proofErr w:type="spellStart"/>
      <w:r w:rsidRPr="00724739">
        <w:rPr>
          <w:b/>
        </w:rPr>
        <w:t>BitTorrent</w:t>
      </w:r>
      <w:proofErr w:type="spellEnd"/>
      <w:r w:rsidRPr="00724739">
        <w:rPr>
          <w:b/>
          <w:spacing w:val="13"/>
        </w:rPr>
        <w:t xml:space="preserve"> </w:t>
      </w:r>
      <w:r w:rsidRPr="00724739">
        <w:rPr>
          <w:b/>
          <w:color w:val="050505"/>
        </w:rPr>
        <w:t>Client</w:t>
      </w:r>
      <w:r w:rsidRPr="00CA6651">
        <w:rPr>
          <w:color w:val="050505"/>
        </w:rPr>
        <w:t>).</w:t>
      </w:r>
      <w:r w:rsidRPr="00CA6651">
        <w:rPr>
          <w:color w:val="050505"/>
          <w:spacing w:val="15"/>
        </w:rPr>
        <w:t xml:space="preserve"> </w:t>
      </w:r>
      <w:r w:rsidRPr="00CA6651">
        <w:t>In</w:t>
      </w:r>
      <w:r w:rsidRPr="00CA6651">
        <w:rPr>
          <w:spacing w:val="-24"/>
        </w:rPr>
        <w:t xml:space="preserve"> </w:t>
      </w:r>
      <w:r w:rsidRPr="00CA6651">
        <w:t>order</w:t>
      </w:r>
      <w:r w:rsidRPr="00CA6651">
        <w:rPr>
          <w:spacing w:val="20"/>
        </w:rPr>
        <w:t xml:space="preserve"> </w:t>
      </w:r>
      <w:r w:rsidRPr="00CA6651">
        <w:t>to</w:t>
      </w:r>
      <w:r w:rsidRPr="00CA6651">
        <w:rPr>
          <w:spacing w:val="13"/>
        </w:rPr>
        <w:t xml:space="preserve"> </w:t>
      </w:r>
      <w:r w:rsidRPr="00CA6651">
        <w:t>do</w:t>
      </w:r>
      <w:r w:rsidRPr="00CA6651">
        <w:rPr>
          <w:spacing w:val="11"/>
        </w:rPr>
        <w:t xml:space="preserve"> </w:t>
      </w:r>
      <w:r w:rsidRPr="00CA6651">
        <w:t>so,</w:t>
      </w:r>
      <w:r w:rsidRPr="00CA6651">
        <w:rPr>
          <w:spacing w:val="3"/>
        </w:rPr>
        <w:t xml:space="preserve"> </w:t>
      </w:r>
      <w:r w:rsidRPr="00CA6651">
        <w:t>a</w:t>
      </w:r>
      <w:r w:rsidRPr="00CA6651">
        <w:rPr>
          <w:spacing w:val="6"/>
        </w:rPr>
        <w:t xml:space="preserve"> </w:t>
      </w:r>
      <w:r w:rsidRPr="00CA6651">
        <w:t>user</w:t>
      </w:r>
      <w:r w:rsidRPr="00CA6651">
        <w:rPr>
          <w:spacing w:val="11"/>
        </w:rPr>
        <w:t xml:space="preserve"> </w:t>
      </w:r>
      <w:r w:rsidRPr="00CA6651">
        <w:t>w</w:t>
      </w:r>
      <w:r>
        <w:t>i</w:t>
      </w:r>
      <w:r w:rsidRPr="00CA6651">
        <w:t>ll</w:t>
      </w:r>
      <w:r w:rsidRPr="00CA6651">
        <w:rPr>
          <w:spacing w:val="9"/>
        </w:rPr>
        <w:t xml:space="preserve"> </w:t>
      </w:r>
      <w:r w:rsidRPr="00CA6651">
        <w:t>need</w:t>
      </w:r>
      <w:r w:rsidRPr="00CA6651">
        <w:rPr>
          <w:spacing w:val="2"/>
        </w:rPr>
        <w:t xml:space="preserve"> </w:t>
      </w:r>
      <w:r w:rsidRPr="00CA6651">
        <w:t>to</w:t>
      </w:r>
      <w:r w:rsidRPr="00CA6651">
        <w:rPr>
          <w:spacing w:val="15"/>
        </w:rPr>
        <w:t xml:space="preserve"> </w:t>
      </w:r>
      <w:r w:rsidRPr="00CA6651">
        <w:t>download</w:t>
      </w:r>
      <w:r w:rsidRPr="00CA6651">
        <w:rPr>
          <w:spacing w:val="15"/>
        </w:rPr>
        <w:t xml:space="preserve"> </w:t>
      </w:r>
      <w:r w:rsidRPr="00CA6651">
        <w:t>a</w:t>
      </w:r>
      <w:r>
        <w:t xml:space="preserve"> </w:t>
      </w:r>
      <w:proofErr w:type="spellStart"/>
      <w:r>
        <w:t>BitTorrent</w:t>
      </w:r>
      <w:proofErr w:type="spellEnd"/>
      <w:r>
        <w:t xml:space="preserve"> Client from a website that distributes </w:t>
      </w:r>
      <w:proofErr w:type="spellStart"/>
      <w:r>
        <w:t>BitTorrent</w:t>
      </w:r>
      <w:proofErr w:type="spellEnd"/>
      <w:r>
        <w:t xml:space="preserve"> clients.  As part of the installation process, a user may configure the </w:t>
      </w:r>
      <w:proofErr w:type="spellStart"/>
      <w:r>
        <w:t>BitTorrent</w:t>
      </w:r>
      <w:proofErr w:type="spellEnd"/>
      <w:r>
        <w:t xml:space="preserve"> Client in accordance with his or her preferences, or adopt standard settings.  A </w:t>
      </w:r>
      <w:proofErr w:type="spellStart"/>
      <w:r>
        <w:t>BitTorrent</w:t>
      </w:r>
      <w:proofErr w:type="spellEnd"/>
      <w:r>
        <w:t xml:space="preserve"> Client enables users to access a given P2P </w:t>
      </w:r>
      <w:r w:rsidR="006A1D64">
        <w:t>N</w:t>
      </w:r>
      <w:r>
        <w:t>etwork</w:t>
      </w:r>
      <w:r w:rsidR="006A1D64">
        <w:t>,</w:t>
      </w:r>
      <w:r>
        <w:t xml:space="preserve"> such as </w:t>
      </w:r>
      <w:proofErr w:type="spellStart"/>
      <w:r>
        <w:t>eDonkey</w:t>
      </w:r>
      <w:proofErr w:type="spellEnd"/>
      <w:r>
        <w:t xml:space="preserve"> or </w:t>
      </w:r>
      <w:proofErr w:type="spellStart"/>
      <w:r>
        <w:t>BitTorrent</w:t>
      </w:r>
      <w:proofErr w:type="spellEnd"/>
      <w:r>
        <w:t xml:space="preserve">.  Some examples of </w:t>
      </w:r>
      <w:proofErr w:type="spellStart"/>
      <w:r>
        <w:t>BitTorrent</w:t>
      </w:r>
      <w:proofErr w:type="spellEnd"/>
      <w:r>
        <w:t xml:space="preserve"> Clients for the </w:t>
      </w:r>
      <w:proofErr w:type="spellStart"/>
      <w:r>
        <w:t>BitTorrent</w:t>
      </w:r>
      <w:proofErr w:type="spellEnd"/>
      <w:r>
        <w:t xml:space="preserve"> network include </w:t>
      </w:r>
      <w:proofErr w:type="spellStart"/>
      <w:r>
        <w:t>Azureus</w:t>
      </w:r>
      <w:proofErr w:type="spellEnd"/>
      <w:r>
        <w:t xml:space="preserve">, BitComet and </w:t>
      </w:r>
      <w:proofErr w:type="spellStart"/>
      <w:r>
        <w:t>UT.</w:t>
      </w:r>
      <w:proofErr w:type="spellEnd"/>
    </w:p>
    <w:p w:rsidR="0020074F" w:rsidRDefault="0020074F" w:rsidP="00CD64DF">
      <w:pPr>
        <w:pStyle w:val="Quote1"/>
        <w:spacing w:before="120" w:after="120"/>
        <w:ind w:left="1440" w:hanging="703"/>
      </w:pPr>
      <w:r>
        <w:t>6.5</w:t>
      </w:r>
      <w:r>
        <w:tab/>
        <w:t xml:space="preserve">Once a user has installed the </w:t>
      </w:r>
      <w:proofErr w:type="spellStart"/>
      <w:r>
        <w:t>BitTorrent</w:t>
      </w:r>
      <w:proofErr w:type="spellEnd"/>
      <w:r>
        <w:t xml:space="preserve"> Client, the user may have an option to specify what is called the user’s ‘shared files’ folder (</w:t>
      </w:r>
      <w:r w:rsidRPr="006A1D64">
        <w:rPr>
          <w:b/>
        </w:rPr>
        <w:t>Shared Folder</w:t>
      </w:r>
      <w:r w:rsidRPr="006A1D64">
        <w:t xml:space="preserve">) </w:t>
      </w:r>
      <w:r w:rsidRPr="005E05E4">
        <w:t xml:space="preserve">in which the user may place any files.  Files placed in the </w:t>
      </w:r>
      <w:r>
        <w:t>S</w:t>
      </w:r>
      <w:r w:rsidRPr="005E05E4">
        <w:t>hared Folder are made available and may be distr</w:t>
      </w:r>
      <w:r>
        <w:t>ibuted to other users requesting that file.</w:t>
      </w:r>
    </w:p>
    <w:p w:rsidR="0020074F" w:rsidRDefault="0020074F" w:rsidP="00CD64DF">
      <w:pPr>
        <w:pStyle w:val="Quote1"/>
        <w:spacing w:before="120" w:after="120"/>
        <w:ind w:left="1440" w:hanging="703"/>
      </w:pPr>
      <w:r>
        <w:t>6.6</w:t>
      </w:r>
      <w:r>
        <w:tab/>
        <w:t>A user will then need to conduct a search of torrent files related to the data he or she wishes to acquire.  Such data often includes copyrighted works such as films, television shows and music.  Websites such as “</w:t>
      </w:r>
      <w:r w:rsidR="006A1D64">
        <w:t>T</w:t>
      </w:r>
      <w:r>
        <w:t xml:space="preserve">he Pirate Bay” may be used to search for and obtain the relevant torrent files, as they offer torrent files and magnet links for download.  The user then needs to download those torrent files and open them in their </w:t>
      </w:r>
      <w:proofErr w:type="spellStart"/>
      <w:r>
        <w:t>BitTorrent</w:t>
      </w:r>
      <w:proofErr w:type="spellEnd"/>
      <w:r>
        <w:t xml:space="preserve"> Client.</w:t>
      </w:r>
    </w:p>
    <w:p w:rsidR="0020074F" w:rsidRDefault="0020074F" w:rsidP="00CD64DF">
      <w:pPr>
        <w:pStyle w:val="Quote1"/>
        <w:spacing w:before="120" w:after="120"/>
        <w:ind w:left="1440" w:hanging="703"/>
      </w:pPr>
      <w:r>
        <w:t>6.7</w:t>
      </w:r>
      <w:r>
        <w:tab/>
        <w:t xml:space="preserve">The </w:t>
      </w:r>
      <w:proofErr w:type="spellStart"/>
      <w:r>
        <w:t>BitTorrent</w:t>
      </w:r>
      <w:proofErr w:type="spellEnd"/>
      <w:r>
        <w:t xml:space="preserve"> network </w:t>
      </w:r>
      <w:r w:rsidR="00650ABF">
        <w:t>splits</w:t>
      </w:r>
      <w:r>
        <w:t xml:space="preserve"> or separates a complete file, being for example, a movie or song (</w:t>
      </w:r>
      <w:r>
        <w:rPr>
          <w:b/>
        </w:rPr>
        <w:t>Complete Data Set</w:t>
      </w:r>
      <w:r>
        <w:t>) into pieces to enable efficient distribution to participants.  Those pieces may be further broken down into sub pieces.  When those pieces are reassembled, they constitute the Complete Data Set.</w:t>
      </w:r>
    </w:p>
    <w:p w:rsidR="0020074F" w:rsidRDefault="0020074F" w:rsidP="00CD64DF">
      <w:pPr>
        <w:pStyle w:val="Quote1"/>
        <w:spacing w:before="120" w:after="120"/>
        <w:ind w:left="1440" w:hanging="703"/>
      </w:pPr>
      <w:r>
        <w:t>6.8</w:t>
      </w:r>
      <w:r>
        <w:tab/>
        <w:t xml:space="preserve">Once a user opens the torrent file in their </w:t>
      </w:r>
      <w:proofErr w:type="spellStart"/>
      <w:r w:rsidR="00EB6075">
        <w:t>BitTorrent</w:t>
      </w:r>
      <w:proofErr w:type="spellEnd"/>
      <w:r w:rsidR="006A1D64">
        <w:t xml:space="preserve"> Client</w:t>
      </w:r>
      <w:r w:rsidR="00DD335E">
        <w:t xml:space="preserve">, the </w:t>
      </w:r>
      <w:proofErr w:type="spellStart"/>
      <w:r w:rsidR="00DD335E">
        <w:t>BitTorrent</w:t>
      </w:r>
      <w:proofErr w:type="spellEnd"/>
      <w:r w:rsidR="00DD335E">
        <w:t xml:space="preserve"> Client queries the peers to which it is connected in order to ascertain which pieces of the Complete Data Set those peers have available to download.  Some peers will have the Complete Data set, and are known as “</w:t>
      </w:r>
      <w:proofErr w:type="spellStart"/>
      <w:r w:rsidR="00DD335E">
        <w:t>seeders</w:t>
      </w:r>
      <w:proofErr w:type="spellEnd"/>
      <w:r w:rsidR="00DD335E">
        <w:t>” (</w:t>
      </w:r>
      <w:proofErr w:type="spellStart"/>
      <w:r w:rsidR="00DD335E">
        <w:rPr>
          <w:b/>
        </w:rPr>
        <w:t>Seeders</w:t>
      </w:r>
      <w:proofErr w:type="spellEnd"/>
      <w:r w:rsidR="00DD335E">
        <w:t>).</w:t>
      </w:r>
      <w:r w:rsidR="006A1D64">
        <w:t xml:space="preserve">  Other peers may have less that [sic]</w:t>
      </w:r>
      <w:r w:rsidR="00DD335E">
        <w:t xml:space="preserve"> the whole file because they are still in the process of downloading it, but they will still be able to share the pieces that they have.</w:t>
      </w:r>
    </w:p>
    <w:p w:rsidR="00DD335E" w:rsidRDefault="00DD335E" w:rsidP="00CD64DF">
      <w:pPr>
        <w:pStyle w:val="Quote1"/>
        <w:spacing w:before="120" w:after="120"/>
        <w:ind w:left="1440" w:hanging="703"/>
      </w:pPr>
      <w:r>
        <w:t>6.9</w:t>
      </w:r>
      <w:r>
        <w:tab/>
        <w:t xml:space="preserve">Over the time of downloading the Complete Data Set, pieces are requested and received by the </w:t>
      </w:r>
      <w:proofErr w:type="spellStart"/>
      <w:r>
        <w:t>BitTorrent</w:t>
      </w:r>
      <w:proofErr w:type="spellEnd"/>
      <w:r>
        <w:t xml:space="preserve"> Client from various other peers and are ultimately assembled together like a large jigsaw into the Complete Data Set.  If, for example, the Complete Data Set is a film file, the film file will at this stage be in a state in which a user can view it.</w:t>
      </w:r>
      <w:r w:rsidR="006A1D64">
        <w:t>’</w:t>
      </w:r>
    </w:p>
    <w:p w:rsidR="00DD335E" w:rsidRDefault="00DD335E" w:rsidP="00724739">
      <w:pPr>
        <w:pStyle w:val="Quote1"/>
        <w:ind w:left="1440" w:hanging="703"/>
      </w:pPr>
    </w:p>
    <w:p w:rsidR="006C7508" w:rsidRDefault="008F3F6D" w:rsidP="008F3F6D">
      <w:pPr>
        <w:pStyle w:val="ParaNumbering"/>
      </w:pPr>
      <w:r>
        <w:t xml:space="preserve">This certainly makes good the ISPs’ submission that a film is </w:t>
      </w:r>
      <w:r w:rsidR="006A1D64">
        <w:t>distributed</w:t>
      </w:r>
      <w:r>
        <w:t xml:space="preserve"> by an individual computer downloading slivers of a film from other </w:t>
      </w:r>
      <w:r w:rsidR="006C7508">
        <w:t xml:space="preserve">multiple </w:t>
      </w:r>
      <w:r>
        <w:t>computers.  The size of the</w:t>
      </w:r>
      <w:r w:rsidR="006C7508">
        <w:t>se</w:t>
      </w:r>
      <w:r>
        <w:t xml:space="preserve"> slivers is very small, sometimes only a few hundred bytes.  I therefore accept the submission made by the ISPs that the individual ISP addresses</w:t>
      </w:r>
      <w:r w:rsidR="00F001F8">
        <w:t xml:space="preserve"> which </w:t>
      </w:r>
      <w:proofErr w:type="spellStart"/>
      <w:r w:rsidR="00F001F8">
        <w:t>Maveri</w:t>
      </w:r>
      <w:r w:rsidR="000F7106">
        <w:t>k</w:t>
      </w:r>
      <w:proofErr w:type="spellEnd"/>
      <w:r w:rsidR="006A1D64">
        <w:t xml:space="preserve"> Monitor </w:t>
      </w:r>
      <w:r w:rsidR="000F7106">
        <w:t>detected making the film available for downloading from the identified IP addresses reveal only a download of a very small sliver of the film.  I reject the ISPs</w:t>
      </w:r>
      <w:r w:rsidR="006A1D64">
        <w:t>’</w:t>
      </w:r>
      <w:r w:rsidR="000F7106">
        <w:t xml:space="preserve"> argument that it is not sufficiently shown that the end-users infringed the film’s copyright because no ‘substantial’ copying occurred.  I do so, in short, because that is not the question to be asked</w:t>
      </w:r>
      <w:r w:rsidR="006A1D64">
        <w:t>,</w:t>
      </w:r>
      <w:r w:rsidR="000F7106">
        <w:t xml:space="preserve"> which is instead whether the end-user has ma</w:t>
      </w:r>
      <w:r w:rsidR="00722582">
        <w:t>d</w:t>
      </w:r>
      <w:r w:rsidR="000F7106">
        <w:t xml:space="preserve">e the film available </w:t>
      </w:r>
      <w:r w:rsidR="00A3203A">
        <w:t>on the internet.</w:t>
      </w:r>
    </w:p>
    <w:p w:rsidR="00C43480" w:rsidRDefault="00A3203A" w:rsidP="006C7508">
      <w:pPr>
        <w:pStyle w:val="ParaNumbering"/>
      </w:pPr>
      <w:r>
        <w:lastRenderedPageBreak/>
        <w:t>This fol</w:t>
      </w:r>
      <w:r w:rsidR="006A1D64">
        <w:t>lows from the prohibition in s 8</w:t>
      </w:r>
      <w:r>
        <w:t>6</w:t>
      </w:r>
      <w:r w:rsidR="006A1D64">
        <w:t xml:space="preserve"> of the Copyright Act</w:t>
      </w:r>
      <w:r>
        <w:t xml:space="preserve"> on communicating the film to the public and the definition of ‘communicate’ in s 10 as including ‘make available online’.  </w:t>
      </w:r>
      <w:r w:rsidR="00722582">
        <w:t>The issue is whether</w:t>
      </w:r>
      <w:r w:rsidR="002F3C26">
        <w:t>,</w:t>
      </w:r>
      <w:r w:rsidR="00722582">
        <w:t xml:space="preserve"> having been detected sharing a sliver of a film</w:t>
      </w:r>
      <w:r w:rsidR="002F3C26">
        <w:t>,</w:t>
      </w:r>
      <w:r w:rsidR="00722582">
        <w:t xml:space="preserve"> it follows that the</w:t>
      </w:r>
      <w:r w:rsidR="006A1D64">
        <w:t xml:space="preserve"> end-user might be involved in making the film ‘available on</w:t>
      </w:r>
      <w:r w:rsidR="00722582">
        <w:t xml:space="preserve">line’ within </w:t>
      </w:r>
      <w:r w:rsidR="002F3C26">
        <w:t xml:space="preserve">the meaning of </w:t>
      </w:r>
      <w:r w:rsidR="00722582">
        <w:t xml:space="preserve">s 10.  </w:t>
      </w:r>
      <w:r>
        <w:t>That a single sliver has been downloaded is consistent with a number of different factual scenarios:</w:t>
      </w:r>
    </w:p>
    <w:p w:rsidR="00A3203A" w:rsidRDefault="00A3203A" w:rsidP="00E93999">
      <w:pPr>
        <w:pStyle w:val="ListNo1"/>
        <w:numPr>
          <w:ilvl w:val="0"/>
          <w:numId w:val="28"/>
        </w:numPr>
      </w:pPr>
      <w:r>
        <w:t xml:space="preserve">the end-user has a whole copy of the film on his computer and has made it available to other </w:t>
      </w:r>
      <w:proofErr w:type="spellStart"/>
      <w:r>
        <w:t>BitTorrent</w:t>
      </w:r>
      <w:proofErr w:type="spellEnd"/>
      <w:r>
        <w:t xml:space="preserve"> users;</w:t>
      </w:r>
    </w:p>
    <w:p w:rsidR="00890D7F" w:rsidRDefault="00890D7F" w:rsidP="00E93999">
      <w:pPr>
        <w:pStyle w:val="ListNo1"/>
        <w:numPr>
          <w:ilvl w:val="0"/>
          <w:numId w:val="28"/>
        </w:numPr>
      </w:pPr>
      <w:r>
        <w:t>the end-user is in the process of downloading the film and the sliver is being shared from the portion thus far downloaded;</w:t>
      </w:r>
    </w:p>
    <w:p w:rsidR="00890D7F" w:rsidRDefault="00890D7F" w:rsidP="00E93999">
      <w:pPr>
        <w:pStyle w:val="ListNo1"/>
        <w:numPr>
          <w:ilvl w:val="0"/>
          <w:numId w:val="28"/>
        </w:numPr>
      </w:pPr>
      <w:r>
        <w:t>the end-user has partially downloaded the film and then stopped the process and the sliver comes from the part which has been downloaded; or</w:t>
      </w:r>
    </w:p>
    <w:p w:rsidR="00890D7F" w:rsidRDefault="00890D7F" w:rsidP="00E93999">
      <w:pPr>
        <w:pStyle w:val="ListNo1"/>
        <w:numPr>
          <w:ilvl w:val="0"/>
          <w:numId w:val="28"/>
        </w:numPr>
      </w:pPr>
      <w:r>
        <w:t>the end-user has managed to download a single sliver and is sharing it.</w:t>
      </w:r>
    </w:p>
    <w:p w:rsidR="002F3C26" w:rsidRDefault="00D245A1" w:rsidP="00D245A1">
      <w:pPr>
        <w:pStyle w:val="ParaNumbering"/>
      </w:pPr>
      <w:r>
        <w:t xml:space="preserve">However, I do not think </w:t>
      </w:r>
      <w:r w:rsidR="006C7508">
        <w:t xml:space="preserve">any of </w:t>
      </w:r>
      <w:r w:rsidR="006A1D64">
        <w:t>these scenarios</w:t>
      </w:r>
      <w:r w:rsidR="006C7508">
        <w:t xml:space="preserve"> </w:t>
      </w:r>
      <w:r>
        <w:t>assist the ISPs in their ambitious contention that the applicant</w:t>
      </w:r>
      <w:r w:rsidR="006C7508">
        <w:t>s</w:t>
      </w:r>
      <w:r>
        <w:t xml:space="preserve"> ha</w:t>
      </w:r>
      <w:r w:rsidR="006C7508">
        <w:t>ve</w:t>
      </w:r>
      <w:r>
        <w:t xml:space="preserve"> failed to show that the end-users have been involved in copyright infringement.  Scenarios (a) and (b) could both be correctly described as instances in which the end-user was making the film available on-line</w:t>
      </w:r>
      <w:r w:rsidR="006C7508">
        <w:t xml:space="preserve"> (and hence within the definition of ‘communicate’</w:t>
      </w:r>
      <w:r w:rsidR="002F3C26">
        <w:t xml:space="preserve"> in s 10</w:t>
      </w:r>
      <w:r w:rsidR="006C7508">
        <w:t>)</w:t>
      </w:r>
      <w:r>
        <w:t xml:space="preserve">.  </w:t>
      </w:r>
      <w:r w:rsidR="006C7508">
        <w:t>As to (c), w</w:t>
      </w:r>
      <w:r>
        <w:t xml:space="preserve">hilst I accept that there may well be individual instances where </w:t>
      </w:r>
      <w:proofErr w:type="spellStart"/>
      <w:r>
        <w:t>BitTorrent</w:t>
      </w:r>
      <w:proofErr w:type="spellEnd"/>
      <w:r>
        <w:t xml:space="preserve"> users have </w:t>
      </w:r>
      <w:r w:rsidR="00DA670F">
        <w:t>cancelled</w:t>
      </w:r>
      <w:r>
        <w:t xml:space="preserve"> the sharing process mid-stream, on the whole I do not accep</w:t>
      </w:r>
      <w:r w:rsidR="00CA3E4F">
        <w:t>t that the number of instances i</w:t>
      </w:r>
      <w:r>
        <w:t xml:space="preserve">n which this might </w:t>
      </w:r>
      <w:r w:rsidR="006C7508">
        <w:t xml:space="preserve">have </w:t>
      </w:r>
      <w:r>
        <w:t>occur</w:t>
      </w:r>
      <w:r w:rsidR="006C7508">
        <w:t>red</w:t>
      </w:r>
      <w:r>
        <w:t xml:space="preserve"> is plausibly likely to represent what most </w:t>
      </w:r>
      <w:proofErr w:type="spellStart"/>
      <w:r>
        <w:t>BitTorrent</w:t>
      </w:r>
      <w:proofErr w:type="spellEnd"/>
      <w:r>
        <w:t xml:space="preserve"> end-users are doing.  I regard (d) as being relevant </w:t>
      </w:r>
      <w:r w:rsidR="00722582">
        <w:t>o</w:t>
      </w:r>
      <w:r>
        <w:t xml:space="preserve">nly </w:t>
      </w:r>
      <w:r w:rsidR="00722582">
        <w:t xml:space="preserve">to </w:t>
      </w:r>
      <w:r>
        <w:t xml:space="preserve">a very small category of specialists such as Dr Richter.  Accordingly, I </w:t>
      </w:r>
      <w:r w:rsidR="006C7508">
        <w:t>am</w:t>
      </w:r>
      <w:r>
        <w:t xml:space="preserve"> comfortably satisfied that the downloading of a sliver of the film from a single IP address provides strong</w:t>
      </w:r>
      <w:r w:rsidR="00722582">
        <w:t xml:space="preserve"> circumstantial </w:t>
      </w:r>
      <w:r>
        <w:t>evidence that the end-user was infringing the copyright in the film.</w:t>
      </w:r>
      <w:r w:rsidR="00722582">
        <w:t xml:space="preserve">  It certainly provides enough </w:t>
      </w:r>
      <w:r w:rsidR="006A1D64">
        <w:t xml:space="preserve">evidence </w:t>
      </w:r>
      <w:r w:rsidR="00722582">
        <w:t>on a preliminary discovery application.</w:t>
      </w:r>
      <w:r w:rsidR="002F3C26">
        <w:t xml:space="preserve">  The applicants do not need to establish even a prima facie case of infringement</w:t>
      </w:r>
      <w:r w:rsidR="00890D7F">
        <w:t xml:space="preserve"> for that purpose</w:t>
      </w:r>
      <w:r w:rsidR="002F3C26">
        <w:t xml:space="preserve">.  It is sufficient that the contemplated suit has some prospect of succeeding, that is to say, it is a real case which is not fanciful:  </w:t>
      </w:r>
      <w:proofErr w:type="spellStart"/>
      <w:r w:rsidR="002F3C26" w:rsidRPr="002F3C26">
        <w:rPr>
          <w:i/>
        </w:rPr>
        <w:t>Allphones</w:t>
      </w:r>
      <w:proofErr w:type="spellEnd"/>
      <w:r w:rsidR="002F3C26" w:rsidRPr="002F3C26">
        <w:rPr>
          <w:i/>
        </w:rPr>
        <w:t xml:space="preserve"> Retail Pty Ltd v Australian Competition </w:t>
      </w:r>
      <w:r w:rsidR="002F3C26">
        <w:rPr>
          <w:i/>
        </w:rPr>
        <w:t xml:space="preserve">and Consumer </w:t>
      </w:r>
      <w:r w:rsidR="002F3C26" w:rsidRPr="002F3C26">
        <w:rPr>
          <w:i/>
        </w:rPr>
        <w:t xml:space="preserve">Commission </w:t>
      </w:r>
      <w:r w:rsidR="002F3C26">
        <w:t xml:space="preserve">(2009) 259 </w:t>
      </w:r>
      <w:proofErr w:type="spellStart"/>
      <w:r w:rsidR="002F3C26">
        <w:t>ALR</w:t>
      </w:r>
      <w:proofErr w:type="spellEnd"/>
      <w:r w:rsidR="002F3C26">
        <w:t xml:space="preserve"> 354 at </w:t>
      </w:r>
      <w:r w:rsidR="006A1D64">
        <w:t xml:space="preserve">367 </w:t>
      </w:r>
      <w:r w:rsidR="002F3C26">
        <w:t xml:space="preserve">[54] per Foster J.  I do not regard as fanciful the proposition that end-users sharing movies on-line using </w:t>
      </w:r>
      <w:proofErr w:type="spellStart"/>
      <w:r w:rsidR="002F3C26">
        <w:t>BitTorrent</w:t>
      </w:r>
      <w:proofErr w:type="spellEnd"/>
      <w:r w:rsidR="002F3C26">
        <w:t xml:space="preserve"> are infringing the copyright in those movies.  Indeed, if there is anything fanciful about this, it is the proposition that they are not.</w:t>
      </w:r>
    </w:p>
    <w:p w:rsidR="00993BD5" w:rsidRDefault="00D511D7" w:rsidP="00D245A1">
      <w:pPr>
        <w:pStyle w:val="ParaNumbering"/>
      </w:pPr>
      <w:r>
        <w:lastRenderedPageBreak/>
        <w:t>For those reasons, I am satisfied that</w:t>
      </w:r>
      <w:r w:rsidR="002F3C26">
        <w:t xml:space="preserve"> there is a real </w:t>
      </w:r>
      <w:r w:rsidR="00CA3E4F">
        <w:t>possibility</w:t>
      </w:r>
      <w:r w:rsidR="002F3C26">
        <w:t xml:space="preserve"> that </w:t>
      </w:r>
      <w:r>
        <w:t>the IP</w:t>
      </w:r>
      <w:r w:rsidR="00F001F8">
        <w:t xml:space="preserve"> addresses identified by </w:t>
      </w:r>
      <w:proofErr w:type="spellStart"/>
      <w:r w:rsidR="00F001F8">
        <w:t>Maveri</w:t>
      </w:r>
      <w:r>
        <w:t>k</w:t>
      </w:r>
      <w:proofErr w:type="spellEnd"/>
      <w:r w:rsidR="006A1D64">
        <w:t xml:space="preserve"> Monitor</w:t>
      </w:r>
      <w:r>
        <w:t xml:space="preserve"> were being utilised by end-users who were breaching copyright in the film by making it available for sharing </w:t>
      </w:r>
      <w:r w:rsidR="002F3C26">
        <w:t xml:space="preserve">on-line </w:t>
      </w:r>
      <w:r>
        <w:t xml:space="preserve">using </w:t>
      </w:r>
      <w:proofErr w:type="spellStart"/>
      <w:r>
        <w:t>BitTorrent</w:t>
      </w:r>
      <w:proofErr w:type="spellEnd"/>
      <w:r>
        <w:t>.</w:t>
      </w:r>
    </w:p>
    <w:p w:rsidR="00D511D7" w:rsidRDefault="00D511D7" w:rsidP="00D245A1">
      <w:pPr>
        <w:pStyle w:val="ParaNumbering"/>
      </w:pPr>
      <w:r>
        <w:t xml:space="preserve">The next issue is whether </w:t>
      </w:r>
      <w:r w:rsidR="00DA670F">
        <w:t>either</w:t>
      </w:r>
      <w:r>
        <w:t xml:space="preserve"> of the present applicants is the copyright owner.</w:t>
      </w:r>
    </w:p>
    <w:p w:rsidR="00D511D7" w:rsidRDefault="00DA670F" w:rsidP="00DA670F">
      <w:pPr>
        <w:pStyle w:val="Heading2"/>
      </w:pPr>
      <w:r>
        <w:t xml:space="preserve">4.  </w:t>
      </w:r>
      <w:r w:rsidR="00890D7F">
        <w:t xml:space="preserve">  </w:t>
      </w:r>
      <w:r>
        <w:t xml:space="preserve">Who </w:t>
      </w:r>
      <w:r w:rsidR="009C7B38">
        <w:t>O</w:t>
      </w:r>
      <w:r>
        <w:t xml:space="preserve">wns the </w:t>
      </w:r>
      <w:r w:rsidR="009C7B38">
        <w:t>C</w:t>
      </w:r>
      <w:r>
        <w:t xml:space="preserve">opyright in the </w:t>
      </w:r>
      <w:r w:rsidR="009C7B38">
        <w:t>F</w:t>
      </w:r>
      <w:r>
        <w:t>ilm</w:t>
      </w:r>
    </w:p>
    <w:p w:rsidR="002F3C26" w:rsidRDefault="00DA670F" w:rsidP="00DA670F">
      <w:pPr>
        <w:pStyle w:val="ParaNumbering"/>
      </w:pPr>
      <w:r>
        <w:t xml:space="preserve">The applicants called as a witness Mr Michael </w:t>
      </w:r>
      <w:proofErr w:type="spellStart"/>
      <w:r>
        <w:t>Wickstrom</w:t>
      </w:r>
      <w:proofErr w:type="spellEnd"/>
      <w:r w:rsidR="009C7B38">
        <w:t>,</w:t>
      </w:r>
      <w:r>
        <w:t xml:space="preserve"> who travelled from Los Angel</w:t>
      </w:r>
      <w:r w:rsidR="008352B4">
        <w:t>e</w:t>
      </w:r>
      <w:r>
        <w:t xml:space="preserve">s to be cross-examined.  In his affidavit of 20 January 2015 he explained that he was Vice President of Royalties and </w:t>
      </w:r>
      <w:r w:rsidR="009C7B38">
        <w:t xml:space="preserve">Music </w:t>
      </w:r>
      <w:r w:rsidR="008352B4">
        <w:t>Administration</w:t>
      </w:r>
      <w:r>
        <w:t xml:space="preserve"> at Voltage Pictures LLC</w:t>
      </w:r>
      <w:r w:rsidR="009C7B38">
        <w:t>,</w:t>
      </w:r>
      <w:r>
        <w:t xml:space="preserve"> </w:t>
      </w:r>
      <w:r w:rsidR="00B62F54">
        <w:t>which I will call</w:t>
      </w:r>
      <w:r>
        <w:t xml:space="preserve"> ‘Voltage’.  Voltage is a film producer, </w:t>
      </w:r>
      <w:r w:rsidR="002F3C26">
        <w:t xml:space="preserve">that is to say, </w:t>
      </w:r>
      <w:r w:rsidR="00B62F54">
        <w:t>the person who makes the film happen.</w:t>
      </w:r>
      <w:r w:rsidR="002F3C26">
        <w:t xml:space="preserve">  The combined operation of </w:t>
      </w:r>
      <w:proofErr w:type="spellStart"/>
      <w:r w:rsidR="002F3C26">
        <w:t>ss</w:t>
      </w:r>
      <w:proofErr w:type="spellEnd"/>
      <w:r w:rsidR="002F3C26">
        <w:t xml:space="preserve"> 98(2) and 22(4)(b) is that the owner of copyright in a fil</w:t>
      </w:r>
      <w:r w:rsidR="00890D7F">
        <w:t>m</w:t>
      </w:r>
      <w:r w:rsidR="002F3C26">
        <w:t xml:space="preserve"> ‘is the person by whom the arrangements necessary for the making of the film </w:t>
      </w:r>
      <w:r w:rsidR="009C7B38">
        <w:t>were undertaken</w:t>
      </w:r>
      <w:r w:rsidR="002F3C26">
        <w:t xml:space="preserve">’.  Ordinarily, this will be the producer:  </w:t>
      </w:r>
      <w:r w:rsidR="002F3C26">
        <w:rPr>
          <w:i/>
        </w:rPr>
        <w:t xml:space="preserve">Seven Network (Operations) Ltd v </w:t>
      </w:r>
      <w:proofErr w:type="spellStart"/>
      <w:r w:rsidR="002F3C26">
        <w:rPr>
          <w:i/>
        </w:rPr>
        <w:t>TCN</w:t>
      </w:r>
      <w:proofErr w:type="spellEnd"/>
      <w:r w:rsidR="002F3C26">
        <w:rPr>
          <w:i/>
        </w:rPr>
        <w:t xml:space="preserve"> Channel Nine</w:t>
      </w:r>
      <w:r w:rsidR="009C7B38">
        <w:rPr>
          <w:i/>
        </w:rPr>
        <w:t xml:space="preserve"> Pty Ltd</w:t>
      </w:r>
      <w:r w:rsidR="002F3C26">
        <w:rPr>
          <w:i/>
        </w:rPr>
        <w:t xml:space="preserve"> </w:t>
      </w:r>
      <w:r w:rsidR="002F3C26">
        <w:t xml:space="preserve">(2005) 146 </w:t>
      </w:r>
      <w:proofErr w:type="spellStart"/>
      <w:r w:rsidR="002F3C26">
        <w:t>FCR</w:t>
      </w:r>
      <w:proofErr w:type="spellEnd"/>
      <w:r w:rsidR="002F3C26">
        <w:t xml:space="preserve"> 183 at 186 [12] (FC).  </w:t>
      </w:r>
    </w:p>
    <w:p w:rsidR="002F3C26" w:rsidRDefault="002F3C26" w:rsidP="00DA670F">
      <w:pPr>
        <w:pStyle w:val="ParaNumbering"/>
      </w:pPr>
      <w:r>
        <w:t xml:space="preserve">Mr </w:t>
      </w:r>
      <w:proofErr w:type="spellStart"/>
      <w:r>
        <w:t>Wickstrom</w:t>
      </w:r>
      <w:proofErr w:type="spellEnd"/>
      <w:r>
        <w:t xml:space="preserve"> explained during his cross-examination that Voltage creates an individual company for each film so that the rights relating to i</w:t>
      </w:r>
      <w:r w:rsidR="00CA3E4F">
        <w:t>t are all sequestered in a single</w:t>
      </w:r>
      <w:r>
        <w:t xml:space="preserve"> location.  He put it this way:</w:t>
      </w:r>
    </w:p>
    <w:p w:rsidR="002F3C26" w:rsidRDefault="002F3C26" w:rsidP="002F3C26">
      <w:pPr>
        <w:pStyle w:val="Quote1"/>
      </w:pPr>
      <w:r>
        <w:t>‘Yes.  And you know that Voltage is not a party to these proceedings, don’t you? --- Dallas Buyers Club LLC and Voltage are – Voltage owns the LLC.  Every pictur</w:t>
      </w:r>
      <w:r w:rsidR="009C7B38">
        <w:t>e that we put out, we create an</w:t>
      </w:r>
      <w:r>
        <w:t xml:space="preserve"> LLC for liability’s sake.  So if there’s any issues with Dallas Buyers Club, it gets focused to Dallas Buyers Club or Hurt Locker LLC or any other films that we have released.’</w:t>
      </w:r>
    </w:p>
    <w:p w:rsidR="002F3C26" w:rsidRDefault="002F3C26" w:rsidP="002F3C26">
      <w:pPr>
        <w:pStyle w:val="Quote1"/>
      </w:pPr>
    </w:p>
    <w:p w:rsidR="002F3C26" w:rsidRDefault="00335EE3" w:rsidP="00335EE3">
      <w:pPr>
        <w:pStyle w:val="NoNum"/>
      </w:pPr>
      <w:r>
        <w:t xml:space="preserve">(Subsequent to this evidence being given I permitted </w:t>
      </w:r>
      <w:r w:rsidR="006510AC">
        <w:t xml:space="preserve">Dallas Buyers Club LLC </w:t>
      </w:r>
      <w:r>
        <w:t>to join Voltage</w:t>
      </w:r>
      <w:r w:rsidR="006510AC">
        <w:t xml:space="preserve"> to the proceeding</w:t>
      </w:r>
      <w:r w:rsidR="009C7B38">
        <w:t xml:space="preserve"> as a second prospective</w:t>
      </w:r>
      <w:r>
        <w:t xml:space="preserve"> applicant.</w:t>
      </w:r>
      <w:r w:rsidR="00773C91">
        <w:t xml:space="preserve"> </w:t>
      </w:r>
      <w:r>
        <w:t xml:space="preserve"> I give my reasons for this at the end of this judgment.)</w:t>
      </w:r>
    </w:p>
    <w:p w:rsidR="00157AAA" w:rsidRDefault="00157AAA" w:rsidP="00157AAA">
      <w:pPr>
        <w:pStyle w:val="ParaNumbering"/>
      </w:pPr>
      <w:r>
        <w:t xml:space="preserve">I infer from this evidence that the contractual arrangements which were entered into in order to bring </w:t>
      </w:r>
      <w:r w:rsidRPr="00157AAA">
        <w:rPr>
          <w:i/>
        </w:rPr>
        <w:t>Dallas Buyers Club</w:t>
      </w:r>
      <w:r>
        <w:t xml:space="preserve"> into existence were made by Dallas Buyers Club LLC.  From this I conclude that it was the original copyright owner.  It might be noted that the only other possible candidate for the role of producer would have to be Voltage.  The ISPs did not submit that the copyright was originally vested in any other entity apart from these two companies.  In any event, I conclude that the copyright in the film was originally owned by Dallas Buyers Club LLC.</w:t>
      </w:r>
    </w:p>
    <w:p w:rsidR="006B7785" w:rsidRDefault="00157AAA" w:rsidP="00157AAA">
      <w:pPr>
        <w:pStyle w:val="ParaNumbering"/>
      </w:pPr>
      <w:r>
        <w:lastRenderedPageBreak/>
        <w:t xml:space="preserve">In reaching that conclusion, however, I disregard the certificate produced by Mr </w:t>
      </w:r>
      <w:proofErr w:type="spellStart"/>
      <w:r>
        <w:t>Wickstrom</w:t>
      </w:r>
      <w:proofErr w:type="spellEnd"/>
      <w:r>
        <w:t xml:space="preserve"> which, according to him, showed that Dallas Buyers Club LLC was the copyright owner on 1</w:t>
      </w:r>
      <w:r w:rsidR="00C36A6F">
        <w:t> </w:t>
      </w:r>
      <w:r>
        <w:t xml:space="preserve">November 2013.  Although that is factually correct, the certificate does not advance this case.  It is not a certificate which ‘states that a person was the owner of copyright in the work’ within the meaning of s </w:t>
      </w:r>
      <w:proofErr w:type="spellStart"/>
      <w:r>
        <w:t>126B</w:t>
      </w:r>
      <w:proofErr w:type="spellEnd"/>
      <w:r>
        <w:t>(3) of the Copyright Act so the certificate</w:t>
      </w:r>
      <w:r w:rsidR="00CA3E4F">
        <w:t xml:space="preserve"> does not have</w:t>
      </w:r>
      <w:r>
        <w:t xml:space="preserve"> prima facie effect under that provision.  All that the certificate says is that Dallas Buyers Club LLC </w:t>
      </w:r>
      <w:r w:rsidRPr="00157AAA">
        <w:rPr>
          <w:i/>
        </w:rPr>
        <w:t>claims</w:t>
      </w:r>
      <w:r>
        <w:t xml:space="preserve"> to be the copyright owner.  This is not sufficient but, given my conclusions, neither is it relevant.</w:t>
      </w:r>
    </w:p>
    <w:p w:rsidR="00157AAA" w:rsidRDefault="00157AAA" w:rsidP="00157AAA">
      <w:pPr>
        <w:pStyle w:val="ParaNumbering"/>
      </w:pPr>
      <w:r>
        <w:t xml:space="preserve">If matters rested there it would follow that the owner of the copyright was Dallas Buyers Club LLC.  The ISPs, however, submitted that if Dallas Buyers Club LLC had originally been the copyright owner then that copyright was assigned to Picture Perfect Corporation (‘Picture Perfect’) under a Distribution Licence Agreement dated 18 October 2012.  </w:t>
      </w:r>
    </w:p>
    <w:p w:rsidR="00157AAA" w:rsidRDefault="00157AAA" w:rsidP="00157AAA">
      <w:pPr>
        <w:pStyle w:val="ParaNumbering"/>
      </w:pPr>
      <w:r>
        <w:t xml:space="preserve">This was denied by the applicants who submitted that the agreement operated merely as an exclusive licencing arrangement.  The question of whether it operated as an assignment or a licence is not, however, one which needs to be resolved.  This is because cl H of the agreement and Exhibit E to the same agreement resulted in Voltage being given the right to proceed against persons infringing copyright in the film using </w:t>
      </w:r>
      <w:proofErr w:type="spellStart"/>
      <w:r>
        <w:t>BitTorrent</w:t>
      </w:r>
      <w:proofErr w:type="spellEnd"/>
      <w:r>
        <w:t>.  So much emerged from cl 3(e) of Exhibit E which said:</w:t>
      </w:r>
    </w:p>
    <w:p w:rsidR="00157AAA" w:rsidRPr="00BE67CD" w:rsidRDefault="00157AAA" w:rsidP="00157AAA">
      <w:pPr>
        <w:pStyle w:val="Quote1"/>
      </w:pPr>
      <w:r w:rsidRPr="00BE67CD">
        <w:t>‘[Voltage] shall render customary film sales agent services with respect to the Picture in the Territory during the Term, including, without limitation, the following: … (vii) proceeding against infringers of the Picture’s copyright via Internet and/or Wireless means (e.g.; piracy, illegal downloads, Bit Torrents, etc.) in the Territory.’</w:t>
      </w:r>
    </w:p>
    <w:p w:rsidR="00157AAA" w:rsidRDefault="00157AAA" w:rsidP="00157AAA">
      <w:pPr>
        <w:pStyle w:val="Quote1"/>
      </w:pPr>
    </w:p>
    <w:p w:rsidR="00157AAA" w:rsidRPr="00CA755C" w:rsidRDefault="00157AAA" w:rsidP="00157AAA">
      <w:pPr>
        <w:pStyle w:val="ParaNumbering"/>
      </w:pPr>
      <w:r w:rsidRPr="00CA755C">
        <w:t>In addition to that right, cl</w:t>
      </w:r>
      <w:r>
        <w:t xml:space="preserve"> 3(f) made clear that Voltage’</w:t>
      </w:r>
      <w:r w:rsidRPr="00CA755C">
        <w:t xml:space="preserve">s rights in relation to the film included </w:t>
      </w:r>
      <w:r>
        <w:t>‘</w:t>
      </w:r>
      <w:r w:rsidRPr="00CA755C">
        <w:t>the sole and exclusive right of all benefits and privileges of [Picture Perfect] in the Territory, including the exclusiv</w:t>
      </w:r>
      <w:r>
        <w:t>e right to collect (in [Voltage’</w:t>
      </w:r>
      <w:r w:rsidRPr="00CA755C">
        <w:t>s] own name or in the name of [Picture Perfect] and [Picture Perfect] hereby appoint</w:t>
      </w:r>
      <w:r>
        <w:t>s [Voltage] as [Picture Perfect’</w:t>
      </w:r>
      <w:r w:rsidRPr="00CA755C">
        <w:t>s] irrevo</w:t>
      </w:r>
      <w:r>
        <w:t>cable lawful attorney-in-fact …), receive, and retain … any and all royalties, benefits, and other proceeds derived from the ownership of … the Picture … including without limitation, any amounts received in relation to any settlement of claims (including for copyright infringement)’</w:t>
      </w:r>
      <w:r w:rsidRPr="00CA755C">
        <w:t>.</w:t>
      </w:r>
    </w:p>
    <w:p w:rsidR="00157AAA" w:rsidRDefault="00157AAA" w:rsidP="00157AAA">
      <w:pPr>
        <w:pStyle w:val="ParaNumbering"/>
      </w:pPr>
      <w:r>
        <w:t xml:space="preserve">These provisions authorise Voltage to commence infringement proceedings.  Of course, whether Picture Perfect was the copyright owner (as the ISPs suggest) or the exclusive </w:t>
      </w:r>
      <w:r>
        <w:lastRenderedPageBreak/>
        <w:t xml:space="preserve">licensee (as the applicants submit), it had sufficient title to sue for infringement:  see </w:t>
      </w:r>
      <w:proofErr w:type="spellStart"/>
      <w:r>
        <w:t>ss</w:t>
      </w:r>
      <w:proofErr w:type="spellEnd"/>
      <w:r>
        <w:t xml:space="preserve"> 115 and 119 of the Copyright Act.  On its face, this would appear to mean that Voltage could, pursuant to its contractual rights, commence proceedings on behalf of Picture Perfect (whether as copyright owner or exclusive licensee).</w:t>
      </w:r>
    </w:p>
    <w:p w:rsidR="00157AAA" w:rsidRDefault="00157AAA" w:rsidP="00157AAA">
      <w:pPr>
        <w:pStyle w:val="ParaNumbering"/>
      </w:pPr>
      <w:r>
        <w:t xml:space="preserve">The ISPs, however, denied that Voltage could commence proceedings as an agent under </w:t>
      </w:r>
      <w:proofErr w:type="spellStart"/>
      <w:r>
        <w:t>ss</w:t>
      </w:r>
      <w:proofErr w:type="spellEnd"/>
      <w:r w:rsidR="00AE4D5A">
        <w:t> </w:t>
      </w:r>
      <w:r>
        <w:t xml:space="preserve">115 and 119, submitting instead that the rights which existed under those sections could only be exercised personally by Picture Perfect.  I reject this submission.  Unless the </w:t>
      </w:r>
      <w:r w:rsidRPr="00437DEF">
        <w:t>Copyright Act e</w:t>
      </w:r>
      <w:r>
        <w:t>xhibits an intention, either expressly or by necessary in</w:t>
      </w:r>
      <w:r w:rsidR="00AE4D5A">
        <w:t xml:space="preserve">tendment, that the rights in </w:t>
      </w:r>
      <w:proofErr w:type="spellStart"/>
      <w:r w:rsidR="00AE4D5A">
        <w:t>ss</w:t>
      </w:r>
      <w:proofErr w:type="spellEnd"/>
      <w:r w:rsidR="00AE4D5A">
        <w:t> </w:t>
      </w:r>
      <w:r>
        <w:t xml:space="preserve">115 and 119 must be exercised personally and not by an agent then the ordinary common law rule that what a person may do he may authorise another to do (qui </w:t>
      </w:r>
      <w:proofErr w:type="spellStart"/>
      <w:r>
        <w:t>facit</w:t>
      </w:r>
      <w:proofErr w:type="spellEnd"/>
      <w:r>
        <w:t xml:space="preserve"> per </w:t>
      </w:r>
      <w:proofErr w:type="spellStart"/>
      <w:r>
        <w:t>alium</w:t>
      </w:r>
      <w:proofErr w:type="spellEnd"/>
      <w:r>
        <w:t xml:space="preserve"> </w:t>
      </w:r>
      <w:proofErr w:type="spellStart"/>
      <w:r>
        <w:t>facit</w:t>
      </w:r>
      <w:proofErr w:type="spellEnd"/>
      <w:r>
        <w:t xml:space="preserve"> per se) applies:  </w:t>
      </w:r>
      <w:r>
        <w:rPr>
          <w:i/>
        </w:rPr>
        <w:t xml:space="preserve">Christie v </w:t>
      </w:r>
      <w:proofErr w:type="spellStart"/>
      <w:r>
        <w:rPr>
          <w:i/>
        </w:rPr>
        <w:t>P</w:t>
      </w:r>
      <w:r w:rsidR="00C66593">
        <w:rPr>
          <w:i/>
        </w:rPr>
        <w:t>ermewa</w:t>
      </w:r>
      <w:r>
        <w:rPr>
          <w:i/>
        </w:rPr>
        <w:t>n</w:t>
      </w:r>
      <w:proofErr w:type="spellEnd"/>
      <w:r>
        <w:rPr>
          <w:i/>
        </w:rPr>
        <w:t xml:space="preserve">, Wright &amp; Co Ltd </w:t>
      </w:r>
      <w:r>
        <w:t xml:space="preserve">(1904) 1 </w:t>
      </w:r>
      <w:proofErr w:type="spellStart"/>
      <w:r>
        <w:t>CLR</w:t>
      </w:r>
      <w:proofErr w:type="spellEnd"/>
      <w:r>
        <w:t xml:space="preserve"> 693 at 700-701 per Griffith CJ.  Indeed, the right involved in </w:t>
      </w:r>
      <w:r>
        <w:rPr>
          <w:i/>
        </w:rPr>
        <w:t xml:space="preserve">Christie </w:t>
      </w:r>
      <w:r>
        <w:t>was itself a right to commence a summary prosecution.  I do not discern in either s 115 or s 119, therefore, the necessary contrary intention.  Consequently, Voltage is entitled to sue for infringement regardless of whether the license agreement operates as an assignment.</w:t>
      </w:r>
    </w:p>
    <w:p w:rsidR="00157AAA" w:rsidRDefault="00157AAA" w:rsidP="00157AAA">
      <w:pPr>
        <w:pStyle w:val="ParaNumbering"/>
      </w:pPr>
      <w:r>
        <w:t xml:space="preserve">The ISPs then sought to outflank that outcome by submitting that any such role for Voltage was inconsistent with two other agreements.  These were:  </w:t>
      </w:r>
    </w:p>
    <w:p w:rsidR="00157AAA" w:rsidRDefault="00157AAA" w:rsidP="00157AAA">
      <w:pPr>
        <w:pStyle w:val="FCBullets"/>
      </w:pPr>
      <w:r>
        <w:t>a distribution agreement dated 9 August 2011 between Content Media Corporation International Limited (‘Content’) and Pinnacle Films (‘Pinnacle’); and</w:t>
      </w:r>
    </w:p>
    <w:p w:rsidR="00157AAA" w:rsidRDefault="00157AAA" w:rsidP="00157AAA">
      <w:pPr>
        <w:pStyle w:val="FCBullets"/>
      </w:pPr>
      <w:r>
        <w:t>an assignment and assumption agreement between Content, Pinnacle and Voltage dated 18 October 2012.</w:t>
      </w:r>
    </w:p>
    <w:p w:rsidR="00157AAA" w:rsidRDefault="00157AAA" w:rsidP="00157AAA">
      <w:pPr>
        <w:pStyle w:val="ParaNumbering"/>
      </w:pPr>
      <w:r>
        <w:t>The first agreement pre-date</w:t>
      </w:r>
      <w:r w:rsidR="00183CA7">
        <w:t>d</w:t>
      </w:r>
      <w:r>
        <w:t xml:space="preserve"> the production of the film (and hence the existence of the legal title to its copyright) but assumed that Content could grant a license to distribute the film in, inter alia, Australia.  It granted such a licence to Pinnacle.  The second agreement assigned whatever Content’s rights were to Voltage.</w:t>
      </w:r>
    </w:p>
    <w:p w:rsidR="00157AAA" w:rsidRDefault="00157AAA" w:rsidP="00157AAA">
      <w:pPr>
        <w:pStyle w:val="ParaNumbering"/>
      </w:pPr>
      <w:r>
        <w:t xml:space="preserve">In order for the ISPs’ argument to get anywhere it would be necessary for them to demonstrate that Content had the rights which this agreement appears to assume that it had.  However, there is no evidence that any such rights were ever granted to Content by Dallas Buyers Club LLC (or even Voltage if it was the producer).  Nor am I willing to assume that this is proved by the agreement itself </w:t>
      </w:r>
      <w:r w:rsidR="00183CA7">
        <w:t>which, as I have noted, predated</w:t>
      </w:r>
      <w:r>
        <w:t xml:space="preserve"> the release of the film.  In order to displace the evidence which shows that Dallas Buyers Club LLC owned the </w:t>
      </w:r>
      <w:r>
        <w:lastRenderedPageBreak/>
        <w:t>copyright in the film upon its first release, the ISPs would need to prove how that copyright moved to Content, a burden which has not been discharged.</w:t>
      </w:r>
    </w:p>
    <w:p w:rsidR="00157AAA" w:rsidRDefault="00157AAA" w:rsidP="00157AAA">
      <w:pPr>
        <w:pStyle w:val="ParaNumbering"/>
      </w:pPr>
      <w:r>
        <w:t>Even assuming that that problem with the first agreement could be surmounted, the second agreement simply put Voltage in the position that Content had been in. The ISPs pointed to cl 3(g) of the Schedule of General Terms and Conditions to the first agreement which prevented Content (and thereafter Voltage as its assignee) from derogating from the rights granted to Pinnacle under the agreement. So much may be accepted.  However, the schedule also included cl 6(b) which, relevantly, provided (keeping in mind that the Licensor by assignment was Voltage):</w:t>
      </w:r>
    </w:p>
    <w:p w:rsidR="00157AAA" w:rsidRDefault="00157AAA" w:rsidP="00157AAA">
      <w:pPr>
        <w:pStyle w:val="Quote1"/>
      </w:pPr>
      <w:r>
        <w:t xml:space="preserve">‘…In that connection, the Licensor shall have the sole and exclusive right to apply for and collect such income derived from the Film from any source, including but not limited to agencies, societies or organisations (by way of example only such organisations as </w:t>
      </w:r>
      <w:proofErr w:type="spellStart"/>
      <w:r>
        <w:t>AGICOA</w:t>
      </w:r>
      <w:proofErr w:type="spellEnd"/>
      <w:r>
        <w:t xml:space="preserve">, </w:t>
      </w:r>
      <w:proofErr w:type="spellStart"/>
      <w:r>
        <w:t>VGF</w:t>
      </w:r>
      <w:proofErr w:type="spellEnd"/>
      <w:r>
        <w:t xml:space="preserve">, </w:t>
      </w:r>
      <w:proofErr w:type="spellStart"/>
      <w:r>
        <w:t>GWFF</w:t>
      </w:r>
      <w:proofErr w:type="spellEnd"/>
      <w:r>
        <w:t xml:space="preserve"> and similar organisations) established for the purpose of collecting and disbursing such income.  The Licensee shall not claim any such monies, and in the event such monies are paid to the Licensee by the applicable agency, society or organisation the Licensee shall immediately remit one hundred percent (100%) of such monies to the Licensor with the appropriate statement setting forth the nature of such payment.  The Licensee agrees to do all such acts and execute all such documents as the Licensor may hereafter require in order to comply with the foregoing, and the Licensee hereby appoints the Licensor its attorney and duly authorised agent to do all such acts and execute all such documents on its behalf if the Licensee shall fail or refuse to do so within one month of any request.  It is acknowledged that this power is coupled with an interest.’</w:t>
      </w:r>
    </w:p>
    <w:p w:rsidR="00157AAA" w:rsidRDefault="00157AAA" w:rsidP="00157AAA">
      <w:pPr>
        <w:pStyle w:val="Quote1"/>
      </w:pPr>
    </w:p>
    <w:p w:rsidR="00157AAA" w:rsidRDefault="00157AAA" w:rsidP="00157AAA">
      <w:pPr>
        <w:pStyle w:val="ParaNumbering"/>
      </w:pPr>
      <w:r>
        <w:t>Consequently, even if the ISPs had demonstrated that Content did have some rights in the film this would only have shown that Voltage had the right to collect income.</w:t>
      </w:r>
    </w:p>
    <w:p w:rsidR="00157AAA" w:rsidRDefault="00157AAA" w:rsidP="00157AAA">
      <w:pPr>
        <w:pStyle w:val="ParaNumbering"/>
      </w:pPr>
      <w:r>
        <w:t>The situation then is that:</w:t>
      </w:r>
    </w:p>
    <w:p w:rsidR="00157AAA" w:rsidRDefault="00157AAA" w:rsidP="00157AAA">
      <w:pPr>
        <w:pStyle w:val="ListNo1"/>
        <w:numPr>
          <w:ilvl w:val="0"/>
          <w:numId w:val="35"/>
        </w:numPr>
      </w:pPr>
      <w:r>
        <w:t>Dallas Buyers Club LLC owned the copyright on release of the film;</w:t>
      </w:r>
    </w:p>
    <w:p w:rsidR="00157AAA" w:rsidRDefault="00361584" w:rsidP="00157AAA">
      <w:pPr>
        <w:pStyle w:val="ListNo1"/>
        <w:numPr>
          <w:ilvl w:val="0"/>
          <w:numId w:val="35"/>
        </w:numPr>
      </w:pPr>
      <w:r>
        <w:t>the D</w:t>
      </w:r>
      <w:r w:rsidR="00157AAA">
        <w:t xml:space="preserve">istribution </w:t>
      </w:r>
      <w:r>
        <w:t>Licence A</w:t>
      </w:r>
      <w:r w:rsidR="00157AAA">
        <w:t>greement either did, or did not, operate as an assignment of the copyright to Picture Perfect;</w:t>
      </w:r>
    </w:p>
    <w:p w:rsidR="00157AAA" w:rsidRDefault="00157AAA" w:rsidP="00157AAA">
      <w:pPr>
        <w:pStyle w:val="ListNo1"/>
        <w:numPr>
          <w:ilvl w:val="0"/>
          <w:numId w:val="35"/>
        </w:numPr>
      </w:pPr>
      <w:r>
        <w:t>if it did, Dallas Buyers Club LLC cannot sue;</w:t>
      </w:r>
    </w:p>
    <w:p w:rsidR="00157AAA" w:rsidRDefault="00157AAA" w:rsidP="00157AAA">
      <w:pPr>
        <w:pStyle w:val="ListNo1"/>
        <w:numPr>
          <w:ilvl w:val="0"/>
          <w:numId w:val="35"/>
        </w:numPr>
      </w:pPr>
      <w:r>
        <w:t>if it did not, Dallas Buyers Club LLC can sue;</w:t>
      </w:r>
    </w:p>
    <w:p w:rsidR="00157AAA" w:rsidRDefault="00157AAA" w:rsidP="00157AAA">
      <w:pPr>
        <w:pStyle w:val="ListNo1"/>
        <w:numPr>
          <w:ilvl w:val="0"/>
          <w:numId w:val="35"/>
        </w:numPr>
      </w:pPr>
      <w:r>
        <w:t>regardless, Voltage can sue;</w:t>
      </w:r>
    </w:p>
    <w:p w:rsidR="00157AAA" w:rsidRDefault="00157AAA" w:rsidP="00157AAA">
      <w:pPr>
        <w:pStyle w:val="ListNo1"/>
        <w:numPr>
          <w:ilvl w:val="0"/>
          <w:numId w:val="35"/>
        </w:numPr>
      </w:pPr>
      <w:r>
        <w:t>it is not shown that Content had any rights to sue for infringement in respect of the copyright in the film; but</w:t>
      </w:r>
    </w:p>
    <w:p w:rsidR="00157AAA" w:rsidRDefault="00157AAA" w:rsidP="00157AAA">
      <w:pPr>
        <w:pStyle w:val="ListNo1"/>
        <w:numPr>
          <w:ilvl w:val="0"/>
          <w:numId w:val="35"/>
        </w:numPr>
      </w:pPr>
      <w:r>
        <w:t>if it did, those rights may be exercised by Voltage as its attorney.</w:t>
      </w:r>
    </w:p>
    <w:p w:rsidR="00481B3D" w:rsidRDefault="00157AAA" w:rsidP="00157AAA">
      <w:pPr>
        <w:pStyle w:val="ParaNumbering"/>
      </w:pPr>
      <w:r>
        <w:lastRenderedPageBreak/>
        <w:t>Consequently, Voltage can certainly sue for infringement. Further, it is reasonably arguable that the Distribution Licence Agreement of 18 October 2012 is what it appears to be, namely, a licence rather than an assignment.  It is reasonably arguable, therefore, that Dallas Buyers Club LLC owns the copyright and may also have a right to sue for infringement.</w:t>
      </w:r>
      <w:r w:rsidR="00481B3D">
        <w:t xml:space="preserve">  </w:t>
      </w:r>
      <w:r w:rsidR="006A583A">
        <w:t>Both applicants are therefore authorised to seek preliminary discovery.</w:t>
      </w:r>
    </w:p>
    <w:p w:rsidR="00481B3D" w:rsidRDefault="006510AC" w:rsidP="00481B3D">
      <w:pPr>
        <w:pStyle w:val="Heading2"/>
      </w:pPr>
      <w:r>
        <w:t xml:space="preserve">5.    </w:t>
      </w:r>
      <w:r w:rsidR="00481B3D">
        <w:t>The Requirements for Preliminary Discovery</w:t>
      </w:r>
    </w:p>
    <w:p w:rsidR="00481B3D" w:rsidRDefault="00481B3D" w:rsidP="00481B3D">
      <w:pPr>
        <w:pStyle w:val="ParaNumbering"/>
      </w:pPr>
      <w:r>
        <w:t>In this Court there are two kinds of preliminary discovery</w:t>
      </w:r>
      <w:r w:rsidR="00780A85">
        <w:t>,</w:t>
      </w:r>
      <w:r>
        <w:t xml:space="preserve"> </w:t>
      </w:r>
      <w:r w:rsidR="00E2085D">
        <w:t>one</w:t>
      </w:r>
      <w:r>
        <w:t xml:space="preserve"> of which facilitates finding out whether a party has a case against </w:t>
      </w:r>
      <w:r w:rsidR="00E2085D">
        <w:t>another</w:t>
      </w:r>
      <w:r w:rsidR="00381010">
        <w:t xml:space="preserve"> </w:t>
      </w:r>
      <w:r w:rsidR="006510AC">
        <w:t xml:space="preserve">person </w:t>
      </w:r>
      <w:r w:rsidR="00381010">
        <w:t xml:space="preserve">and the other of which is to ascertain the identity of a putative </w:t>
      </w:r>
      <w:r w:rsidR="006C57F2">
        <w:t>respondent</w:t>
      </w:r>
      <w:r w:rsidR="00381010">
        <w:t xml:space="preserve"> where that is not known.  This case is concerned with the latter.  It is governed by </w:t>
      </w:r>
      <w:r w:rsidR="00780A85">
        <w:t>r</w:t>
      </w:r>
      <w:r w:rsidR="00381010">
        <w:t xml:space="preserve"> 7.22</w:t>
      </w:r>
      <w:r w:rsidR="00780A85">
        <w:t xml:space="preserve"> of the </w:t>
      </w:r>
      <w:r w:rsidR="00780A85" w:rsidRPr="00780A85">
        <w:rPr>
          <w:i/>
        </w:rPr>
        <w:t>Federal Court Rules 2011</w:t>
      </w:r>
      <w:r w:rsidR="00780A85">
        <w:t>(</w:t>
      </w:r>
      <w:proofErr w:type="spellStart"/>
      <w:r w:rsidR="00780A85">
        <w:t>Cth</w:t>
      </w:r>
      <w:proofErr w:type="spellEnd"/>
      <w:r w:rsidR="00780A85">
        <w:t>) (‘</w:t>
      </w:r>
      <w:proofErr w:type="spellStart"/>
      <w:r w:rsidR="00780A85">
        <w:t>FCR</w:t>
      </w:r>
      <w:proofErr w:type="spellEnd"/>
      <w:r w:rsidR="00780A85">
        <w:t xml:space="preserve"> 7.22’)</w:t>
      </w:r>
      <w:r w:rsidR="00381010">
        <w:t>:</w:t>
      </w:r>
    </w:p>
    <w:p w:rsidR="00D2745C" w:rsidRDefault="00780A85" w:rsidP="00CD64DF">
      <w:pPr>
        <w:pStyle w:val="Quote1"/>
        <w:spacing w:before="120" w:after="120"/>
        <w:ind w:left="1440" w:hanging="703"/>
      </w:pPr>
      <w:r>
        <w:t>‘</w:t>
      </w:r>
      <w:r w:rsidR="00D2745C" w:rsidRPr="00AF0060">
        <w:t>(1)</w:t>
      </w:r>
      <w:r w:rsidR="00D2745C" w:rsidRPr="00AF0060">
        <w:tab/>
        <w:t xml:space="preserve">A prospective applicant may apply to the Court for an order under </w:t>
      </w:r>
      <w:proofErr w:type="spellStart"/>
      <w:r w:rsidR="00D2745C" w:rsidRPr="00AF0060">
        <w:t>subrule</w:t>
      </w:r>
      <w:proofErr w:type="spellEnd"/>
      <w:r w:rsidR="00D2745C">
        <w:t xml:space="preserve"> </w:t>
      </w:r>
      <w:r w:rsidR="00D2745C" w:rsidRPr="00AF0060">
        <w:t>(2) if the prospective applicant satisfies the Court that:</w:t>
      </w:r>
    </w:p>
    <w:p w:rsidR="00D2745C" w:rsidRDefault="00D2745C" w:rsidP="00CD64DF">
      <w:pPr>
        <w:pStyle w:val="Quote2"/>
        <w:spacing w:before="120" w:after="120"/>
        <w:ind w:left="2160" w:hanging="720"/>
      </w:pPr>
      <w:r w:rsidRPr="00AF0060">
        <w:t>(a)</w:t>
      </w:r>
      <w:r w:rsidRPr="00AF0060">
        <w:tab/>
        <w:t>there may be a right for the prospective applicant to obtain relief against a prospective respondent; and</w:t>
      </w:r>
    </w:p>
    <w:p w:rsidR="00D2745C" w:rsidRDefault="00D2745C" w:rsidP="00CD64DF">
      <w:pPr>
        <w:pStyle w:val="Quote2"/>
        <w:spacing w:before="120" w:after="120"/>
        <w:ind w:left="2160" w:hanging="720"/>
      </w:pPr>
      <w:r w:rsidRPr="00AF0060">
        <w:t>(b)</w:t>
      </w:r>
      <w:r w:rsidRPr="00AF0060">
        <w:tab/>
        <w:t>the prospective applicant is unable to ascertain the description of the prospective respondent; and</w:t>
      </w:r>
    </w:p>
    <w:p w:rsidR="00D2745C" w:rsidRPr="00AF0060" w:rsidRDefault="00D2745C" w:rsidP="00CD64DF">
      <w:pPr>
        <w:pStyle w:val="Quote2"/>
        <w:spacing w:before="120" w:after="120"/>
      </w:pPr>
      <w:r w:rsidRPr="00AF0060">
        <w:t>(c)</w:t>
      </w:r>
      <w:r w:rsidRPr="00AF0060">
        <w:tab/>
        <w:t xml:space="preserve">another person (the </w:t>
      </w:r>
      <w:r w:rsidRPr="00AF0060">
        <w:rPr>
          <w:b/>
          <w:i/>
        </w:rPr>
        <w:t>other person</w:t>
      </w:r>
      <w:r w:rsidRPr="00AF0060">
        <w:t>):</w:t>
      </w:r>
    </w:p>
    <w:p w:rsidR="00D2745C" w:rsidRDefault="00D2745C" w:rsidP="00CD64DF">
      <w:pPr>
        <w:pStyle w:val="Quote3"/>
        <w:spacing w:before="120" w:after="120"/>
        <w:ind w:left="2880" w:hanging="720"/>
      </w:pPr>
      <w:r w:rsidRPr="00AF0060">
        <w:t>(</w:t>
      </w:r>
      <w:proofErr w:type="spellStart"/>
      <w:r w:rsidRPr="00AF0060">
        <w:t>i</w:t>
      </w:r>
      <w:proofErr w:type="spellEnd"/>
      <w:r w:rsidRPr="00AF0060">
        <w:t>)</w:t>
      </w:r>
      <w:r w:rsidRPr="00AF0060">
        <w:tab/>
        <w:t>knows or is likely to know the prospective respondent’s description; or</w:t>
      </w:r>
    </w:p>
    <w:p w:rsidR="00D2745C" w:rsidRPr="00AF0060" w:rsidRDefault="00D2745C" w:rsidP="00CD64DF">
      <w:pPr>
        <w:pStyle w:val="Quote3"/>
        <w:spacing w:before="120" w:after="120"/>
        <w:ind w:left="2880" w:hanging="720"/>
      </w:pPr>
      <w:r w:rsidRPr="00AF0060">
        <w:t>(ii)</w:t>
      </w:r>
      <w:r w:rsidRPr="00AF0060">
        <w:tab/>
        <w:t>has, or is likely to have, or has had, or is likely to have had, control of a document that would help ascertain the prospective respondent’s description.</w:t>
      </w:r>
    </w:p>
    <w:p w:rsidR="00D2745C" w:rsidRDefault="00780A85" w:rsidP="00CD64DF">
      <w:pPr>
        <w:pStyle w:val="Quote1"/>
        <w:spacing w:before="120" w:after="120"/>
        <w:ind w:left="1440" w:hanging="703"/>
      </w:pPr>
      <w:r>
        <w:t xml:space="preserve"> </w:t>
      </w:r>
      <w:r w:rsidR="00D2745C" w:rsidRPr="00AF0060">
        <w:t>(2)</w:t>
      </w:r>
      <w:r w:rsidR="00D2745C" w:rsidRPr="00AF0060">
        <w:tab/>
        <w:t xml:space="preserve">If the Court is satisfied of the matters mentioned in </w:t>
      </w:r>
      <w:proofErr w:type="spellStart"/>
      <w:r w:rsidR="00D2745C" w:rsidRPr="00AF0060">
        <w:t>subrule</w:t>
      </w:r>
      <w:proofErr w:type="spellEnd"/>
      <w:r w:rsidR="00D2745C">
        <w:t xml:space="preserve"> </w:t>
      </w:r>
      <w:r w:rsidR="00D2745C" w:rsidRPr="00AF0060">
        <w:t>(1), the Court may order the other person:</w:t>
      </w:r>
    </w:p>
    <w:p w:rsidR="00D2745C" w:rsidRDefault="00D2745C" w:rsidP="00CD64DF">
      <w:pPr>
        <w:pStyle w:val="Quote2"/>
        <w:spacing w:before="120" w:after="120"/>
        <w:ind w:left="2160" w:hanging="720"/>
      </w:pPr>
      <w:r w:rsidRPr="00AF0060">
        <w:t>(a)</w:t>
      </w:r>
      <w:r w:rsidRPr="00AF0060">
        <w:tab/>
        <w:t>to attend before the Court to be examined orally only about the prospective respondent’s description; and</w:t>
      </w:r>
    </w:p>
    <w:p w:rsidR="00D2745C" w:rsidRDefault="00D2745C" w:rsidP="00CD64DF">
      <w:pPr>
        <w:pStyle w:val="Quote2"/>
        <w:spacing w:before="120" w:after="120"/>
        <w:ind w:left="2160" w:hanging="720"/>
      </w:pPr>
      <w:r w:rsidRPr="00AF0060">
        <w:t>(b)</w:t>
      </w:r>
      <w:r w:rsidRPr="00AF0060">
        <w:tab/>
        <w:t xml:space="preserve">to produce to the Court at that examination any document or thing in the person’s control </w:t>
      </w:r>
      <w:r>
        <w:t>r</w:t>
      </w:r>
      <w:r w:rsidRPr="00AF0060">
        <w:t>elating to the prospective respondent’s description; and</w:t>
      </w:r>
    </w:p>
    <w:p w:rsidR="00D2745C" w:rsidRDefault="00D2745C" w:rsidP="00CD64DF">
      <w:pPr>
        <w:pStyle w:val="Quote2"/>
        <w:spacing w:before="120" w:after="120"/>
        <w:ind w:left="2160" w:hanging="720"/>
      </w:pPr>
      <w:r w:rsidRPr="00AF0060">
        <w:t>(c)</w:t>
      </w:r>
      <w:r w:rsidRPr="00AF0060">
        <w:tab/>
        <w:t>to give discovery to the prospective applicant of all documents that are or have been in the person’s control relating to the prospective respondent’s description.</w:t>
      </w:r>
    </w:p>
    <w:p w:rsidR="00780A85" w:rsidRDefault="00780A85" w:rsidP="00CD64DF">
      <w:pPr>
        <w:pStyle w:val="Quote1"/>
        <w:spacing w:before="120" w:after="120"/>
      </w:pPr>
      <w:r>
        <w:t xml:space="preserve"> Note 1: </w:t>
      </w:r>
      <w:r w:rsidRPr="00780A85">
        <w:rPr>
          <w:b/>
          <w:i/>
        </w:rPr>
        <w:t>Control</w:t>
      </w:r>
      <w:r>
        <w:t xml:space="preserve"> and </w:t>
      </w:r>
      <w:r w:rsidRPr="00780A85">
        <w:rPr>
          <w:b/>
          <w:i/>
        </w:rPr>
        <w:t>description</w:t>
      </w:r>
      <w:r>
        <w:t xml:space="preserve"> are defined in the Dictionary.</w:t>
      </w:r>
    </w:p>
    <w:p w:rsidR="00780A85" w:rsidRDefault="00780A85" w:rsidP="00CD64DF">
      <w:pPr>
        <w:pStyle w:val="Quote1"/>
        <w:spacing w:before="120" w:after="120"/>
      </w:pPr>
      <w:r>
        <w:t xml:space="preserve"> Note 2: For how discovery is to be made, see rule 7.25.</w:t>
      </w:r>
    </w:p>
    <w:p w:rsidR="00780A85" w:rsidRDefault="00780A85" w:rsidP="00CD64DF">
      <w:pPr>
        <w:pStyle w:val="Quote1"/>
        <w:spacing w:before="120" w:after="120"/>
        <w:ind w:left="1440" w:hanging="703"/>
      </w:pPr>
      <w:r>
        <w:t xml:space="preserve"> </w:t>
      </w:r>
      <w:r w:rsidR="00D2745C" w:rsidRPr="00AF0060">
        <w:t>(3)</w:t>
      </w:r>
      <w:r w:rsidR="00D2745C" w:rsidRPr="00AF0060">
        <w:tab/>
        <w:t>The prospective applicant must provide the person with sufficient conduct money to permit the person to travel to the Court.</w:t>
      </w:r>
    </w:p>
    <w:p w:rsidR="00D2745C" w:rsidRDefault="00780A85" w:rsidP="00CD64DF">
      <w:pPr>
        <w:pStyle w:val="Quote1"/>
        <w:spacing w:before="120" w:after="120"/>
        <w:ind w:left="1440" w:hanging="703"/>
      </w:pPr>
      <w:r>
        <w:t xml:space="preserve"> Note: </w:t>
      </w:r>
      <w:r w:rsidRPr="00780A85">
        <w:rPr>
          <w:b/>
          <w:i/>
        </w:rPr>
        <w:t>Conduct money</w:t>
      </w:r>
      <w:r>
        <w:t xml:space="preserve"> is defined in the Dictionary.’</w:t>
      </w:r>
    </w:p>
    <w:p w:rsidR="00D2745C" w:rsidRPr="00AF0060" w:rsidRDefault="00D2745C" w:rsidP="00D2745C">
      <w:pPr>
        <w:pStyle w:val="Quote1"/>
        <w:ind w:left="1440" w:hanging="703"/>
      </w:pPr>
    </w:p>
    <w:p w:rsidR="000F3E0E" w:rsidRDefault="000F3E0E" w:rsidP="000F3E0E">
      <w:pPr>
        <w:pStyle w:val="ParaNumbering"/>
      </w:pPr>
      <w:r>
        <w:lastRenderedPageBreak/>
        <w:t xml:space="preserve">The word ‘description’ is defined in the Dictionary to the </w:t>
      </w:r>
      <w:r w:rsidR="000A2C65" w:rsidRPr="000A2C65">
        <w:rPr>
          <w:i/>
        </w:rPr>
        <w:t xml:space="preserve">Federal Court </w:t>
      </w:r>
      <w:r w:rsidRPr="000A2C65">
        <w:rPr>
          <w:i/>
        </w:rPr>
        <w:t xml:space="preserve">Rules </w:t>
      </w:r>
      <w:r w:rsidR="000A2C65" w:rsidRPr="000A2C65">
        <w:rPr>
          <w:i/>
        </w:rPr>
        <w:t>2011</w:t>
      </w:r>
      <w:r w:rsidR="000A2C65">
        <w:t xml:space="preserve"> </w:t>
      </w:r>
      <w:r>
        <w:t>as follows:</w:t>
      </w:r>
    </w:p>
    <w:p w:rsidR="000F3E0E" w:rsidRDefault="00780A85" w:rsidP="00CD64DF">
      <w:pPr>
        <w:pStyle w:val="Quote1"/>
        <w:spacing w:before="120" w:after="120"/>
        <w:ind w:left="1440" w:hanging="703"/>
      </w:pPr>
      <w:r>
        <w:t>‘</w:t>
      </w:r>
      <w:r w:rsidR="000F3E0E" w:rsidRPr="00AF0060">
        <w:t>(a)</w:t>
      </w:r>
      <w:r w:rsidR="000F3E0E" w:rsidRPr="00AF0060">
        <w:tab/>
        <w:t>for a person who is an individual—the person’s name, residential or business address and occupation;</w:t>
      </w:r>
    </w:p>
    <w:p w:rsidR="000F3E0E" w:rsidRDefault="00780A85" w:rsidP="00CD64DF">
      <w:pPr>
        <w:pStyle w:val="Quote1"/>
        <w:spacing w:before="120" w:after="120"/>
      </w:pPr>
      <w:r>
        <w:t xml:space="preserve"> </w:t>
      </w:r>
      <w:r w:rsidR="000F3E0E" w:rsidRPr="00AF0060">
        <w:t>(b)</w:t>
      </w:r>
      <w:r w:rsidR="000F3E0E" w:rsidRPr="00AF0060">
        <w:tab/>
        <w:t>for a person that is not an individual:</w:t>
      </w:r>
    </w:p>
    <w:p w:rsidR="000F3E0E" w:rsidRDefault="000F3E0E" w:rsidP="00CD64DF">
      <w:pPr>
        <w:pStyle w:val="Quote2"/>
        <w:spacing w:before="120" w:after="120"/>
      </w:pPr>
      <w:r w:rsidRPr="00AF0060">
        <w:t>(</w:t>
      </w:r>
      <w:proofErr w:type="spellStart"/>
      <w:r w:rsidRPr="00AF0060">
        <w:t>i</w:t>
      </w:r>
      <w:proofErr w:type="spellEnd"/>
      <w:r w:rsidRPr="00AF0060">
        <w:t>)</w:t>
      </w:r>
      <w:r w:rsidRPr="00AF0060">
        <w:tab/>
        <w:t>the person’s name; and</w:t>
      </w:r>
    </w:p>
    <w:p w:rsidR="000F3E0E" w:rsidRPr="00AF0060" w:rsidRDefault="000F3E0E" w:rsidP="00CD64DF">
      <w:pPr>
        <w:pStyle w:val="Quote2"/>
        <w:spacing w:before="120" w:after="120"/>
      </w:pPr>
      <w:r w:rsidRPr="00AF0060">
        <w:t>(ii)</w:t>
      </w:r>
      <w:r w:rsidRPr="00AF0060">
        <w:tab/>
        <w:t>the address of one of the following:</w:t>
      </w:r>
    </w:p>
    <w:p w:rsidR="000F3E0E" w:rsidRDefault="000F3E0E" w:rsidP="00CD64DF">
      <w:pPr>
        <w:pStyle w:val="Quote3"/>
        <w:spacing w:before="120" w:after="120"/>
      </w:pPr>
      <w:r w:rsidRPr="00AF0060">
        <w:t>(A)</w:t>
      </w:r>
      <w:r w:rsidRPr="00AF0060">
        <w:tab/>
        <w:t>the person’s registered office;</w:t>
      </w:r>
    </w:p>
    <w:p w:rsidR="000F3E0E" w:rsidRPr="00AF0060" w:rsidRDefault="000F3E0E" w:rsidP="00CD64DF">
      <w:pPr>
        <w:pStyle w:val="Quote3"/>
        <w:spacing w:before="120" w:after="120"/>
      </w:pPr>
      <w:r w:rsidRPr="00AF0060">
        <w:t>(B)</w:t>
      </w:r>
      <w:r w:rsidRPr="00AF0060">
        <w:tab/>
        <w:t>the person’s principal office;</w:t>
      </w:r>
    </w:p>
    <w:p w:rsidR="000F3E0E" w:rsidRDefault="000F3E0E" w:rsidP="00CD64DF">
      <w:pPr>
        <w:pStyle w:val="Quote3"/>
        <w:spacing w:before="120" w:after="120"/>
      </w:pPr>
      <w:r w:rsidRPr="00AF0060">
        <w:t>(C)</w:t>
      </w:r>
      <w:r w:rsidRPr="00AF0060">
        <w:tab/>
        <w:t>the person’s principal place of business.</w:t>
      </w:r>
      <w:r w:rsidR="00780A85">
        <w:t>’</w:t>
      </w:r>
    </w:p>
    <w:p w:rsidR="000F3E0E" w:rsidRDefault="000F3E0E" w:rsidP="000F3E0E">
      <w:pPr>
        <w:pStyle w:val="Quote3"/>
      </w:pPr>
    </w:p>
    <w:p w:rsidR="000F3E0E" w:rsidRDefault="000F3E0E" w:rsidP="000F3E0E">
      <w:pPr>
        <w:pStyle w:val="ParaNumbering"/>
      </w:pPr>
      <w:r>
        <w:t>This definition will be of some relevance when it becomes necessary to consider the applicants’ entitlement to access to account holders’ email addresses (which do not appear in the definition).</w:t>
      </w:r>
    </w:p>
    <w:p w:rsidR="00D03E7D" w:rsidRDefault="000F3E0E" w:rsidP="00D03E7D">
      <w:pPr>
        <w:pStyle w:val="ParaNumbering"/>
      </w:pPr>
      <w:r>
        <w:t xml:space="preserve">To </w:t>
      </w:r>
      <w:r w:rsidR="00183CA7">
        <w:t>meet</w:t>
      </w:r>
      <w:r>
        <w:t xml:space="preserve"> the requirements of </w:t>
      </w:r>
      <w:proofErr w:type="spellStart"/>
      <w:r>
        <w:t>FCR</w:t>
      </w:r>
      <w:proofErr w:type="spellEnd"/>
      <w:r>
        <w:t xml:space="preserve"> 7.22 it is therefore necessary for the applicants to satisfy the Court that </w:t>
      </w:r>
      <w:r w:rsidR="005B7BB3">
        <w:t xml:space="preserve">they </w:t>
      </w:r>
      <w:r>
        <w:t>may have a right to obtain relief against a prospective respondent</w:t>
      </w:r>
      <w:r w:rsidR="005B7BB3">
        <w:t xml:space="preserve">, that they cannot </w:t>
      </w:r>
      <w:r w:rsidR="006C57F2">
        <w:t>identify</w:t>
      </w:r>
      <w:r w:rsidR="005B7BB3">
        <w:t xml:space="preserve"> the prospective respondent</w:t>
      </w:r>
      <w:r>
        <w:t xml:space="preserve"> and that the ISP</w:t>
      </w:r>
      <w:r w:rsidR="007F12C1">
        <w:t>s</w:t>
      </w:r>
      <w:r>
        <w:t xml:space="preserve"> know or </w:t>
      </w:r>
      <w:r w:rsidR="007F12C1">
        <w:t>are</w:t>
      </w:r>
      <w:r w:rsidR="001C4EFD">
        <w:t xml:space="preserve"> likely to </w:t>
      </w:r>
      <w:r w:rsidR="007F12C1">
        <w:t xml:space="preserve">know the </w:t>
      </w:r>
      <w:r w:rsidR="001C4EFD">
        <w:t>identity of that person or have a document which reveal</w:t>
      </w:r>
      <w:r w:rsidR="005B7BB3">
        <w:t>s</w:t>
      </w:r>
      <w:r w:rsidR="001C4EFD">
        <w:t xml:space="preserve"> it.</w:t>
      </w:r>
      <w:r w:rsidR="006510AC">
        <w:t xml:space="preserve">  In addition, the definition of ‘prospective applicant’ in </w:t>
      </w:r>
      <w:r w:rsidR="00780A85">
        <w:t>r</w:t>
      </w:r>
      <w:r w:rsidR="006510AC">
        <w:t xml:space="preserve"> 7.21</w:t>
      </w:r>
      <w:r w:rsidR="00780A85">
        <w:t xml:space="preserve"> of the </w:t>
      </w:r>
      <w:r w:rsidR="00780A85" w:rsidRPr="00780A85">
        <w:rPr>
          <w:i/>
        </w:rPr>
        <w:t>Federal Court Rules 2011</w:t>
      </w:r>
      <w:r w:rsidR="006510AC">
        <w:t xml:space="preserve"> as a person who ‘reasonably believes that there may be a right</w:t>
      </w:r>
      <w:r w:rsidR="00A9398D">
        <w:t xml:space="preserve"> for the person</w:t>
      </w:r>
      <w:r w:rsidR="006510AC">
        <w:t xml:space="preserve"> to obtain relief against another person who is </w:t>
      </w:r>
      <w:r w:rsidR="00A9398D">
        <w:t xml:space="preserve">not </w:t>
      </w:r>
      <w:r w:rsidR="006510AC">
        <w:t xml:space="preserve">presently a party to a proceeding </w:t>
      </w:r>
      <w:r w:rsidR="00A9398D">
        <w:t xml:space="preserve">in </w:t>
      </w:r>
      <w:r w:rsidR="006510AC">
        <w:t>the Court’ means that the applicant</w:t>
      </w:r>
      <w:r w:rsidR="00A9398D">
        <w:t>s</w:t>
      </w:r>
      <w:r w:rsidR="006510AC">
        <w:t xml:space="preserve"> </w:t>
      </w:r>
      <w:r w:rsidR="00A9398D">
        <w:t xml:space="preserve">must possess </w:t>
      </w:r>
      <w:r w:rsidR="006510AC">
        <w:t xml:space="preserve">such a belief and that </w:t>
      </w:r>
      <w:r w:rsidR="00A9398D">
        <w:t xml:space="preserve">belief must be reasonable.  </w:t>
      </w:r>
      <w:r w:rsidR="00183CA7">
        <w:t xml:space="preserve">The ISPs submitted that this was significant </w:t>
      </w:r>
      <w:r w:rsidR="00D03E7D">
        <w:t>because there was no evidence which the Court would accept that Dallas Buyers Club LLC believed that it might have such a right.</w:t>
      </w:r>
    </w:p>
    <w:p w:rsidR="001C4EFD" w:rsidRDefault="00D03E7D" w:rsidP="00D03E7D">
      <w:pPr>
        <w:pStyle w:val="ParaNumbering"/>
      </w:pPr>
      <w:r>
        <w:t xml:space="preserve">Of course, Mr </w:t>
      </w:r>
      <w:proofErr w:type="spellStart"/>
      <w:r>
        <w:t>Wickstrom</w:t>
      </w:r>
      <w:proofErr w:type="spellEnd"/>
      <w:r>
        <w:t xml:space="preserve"> had given such evidence in his affidavit (at [25]) which was premised on his evidence (at [7]) that Dallas Buyers Club LLC was the owner of the copyright.  When he subsequently gave evidence that it was Voltage that owned the copyright this opened a lacuna in the applicants’ evidence in that there was then no express evidence that Voltage believed it might have a right to sue for infringement.  However, it is a trivial inference that Mr </w:t>
      </w:r>
      <w:proofErr w:type="spellStart"/>
      <w:r>
        <w:t>Wickstrom</w:t>
      </w:r>
      <w:proofErr w:type="spellEnd"/>
      <w:r>
        <w:t xml:space="preserve"> believed that whoever it was within the Voltage group that was legally entitled to sue might have a claim.  As the analysis above shows, the question of who owns what is complex in the case of this film.  I do not think that Mr </w:t>
      </w:r>
      <w:proofErr w:type="spellStart"/>
      <w:r>
        <w:t>Wickstrom</w:t>
      </w:r>
      <w:proofErr w:type="spellEnd"/>
      <w:r>
        <w:t xml:space="preserve"> is to be criticised about his confusion between Voltage and Dallas Buyers Club LLC.  I have no </w:t>
      </w:r>
      <w:r>
        <w:lastRenderedPageBreak/>
        <w:t>doubt that both Voltage and Dallas Buyers Club LLC believe they might have a claim.  Both are therefore eligible applicants.  In light of my earlier conclusions, Voltage can sue for infringement and it is reasonably arguable that Dallas Buyers Club LLC may be able to do so too.</w:t>
      </w:r>
    </w:p>
    <w:p w:rsidR="000F3E0E" w:rsidRDefault="001C4EFD" w:rsidP="000F3E0E">
      <w:pPr>
        <w:pStyle w:val="ParaNumbering"/>
      </w:pPr>
      <w:r>
        <w:t xml:space="preserve">The ISPs submitted that the requirements of </w:t>
      </w:r>
      <w:proofErr w:type="spellStart"/>
      <w:r>
        <w:t>FCR</w:t>
      </w:r>
      <w:proofErr w:type="spellEnd"/>
      <w:r>
        <w:t xml:space="preserve"> 7.22(1) </w:t>
      </w:r>
      <w:r w:rsidR="007F12C1">
        <w:t>could not be satisfied</w:t>
      </w:r>
      <w:r w:rsidR="00602E26">
        <w:t xml:space="preserve"> in this case</w:t>
      </w:r>
      <w:r w:rsidR="007F12C1">
        <w:t>.  As to (1)(a), it was submitted that all that Mr </w:t>
      </w:r>
      <w:proofErr w:type="spellStart"/>
      <w:r w:rsidR="007F12C1">
        <w:t>Macek’s</w:t>
      </w:r>
      <w:proofErr w:type="spellEnd"/>
      <w:r w:rsidR="007F12C1">
        <w:t xml:space="preserve"> evidence showe</w:t>
      </w:r>
      <w:r w:rsidR="007638F3">
        <w:t xml:space="preserve">d was that each IP address had </w:t>
      </w:r>
      <w:r w:rsidR="007F12C1">
        <w:t>uploaded a single sliver and this could not be an infringement of the copyright.  I have already given my reasons for rejecting this argument above.</w:t>
      </w:r>
      <w:r>
        <w:t xml:space="preserve"> </w:t>
      </w:r>
      <w:r w:rsidR="007F12C1">
        <w:t xml:space="preserve"> </w:t>
      </w:r>
      <w:r w:rsidR="007638F3">
        <w:t>Furthermore, c</w:t>
      </w:r>
      <w:r w:rsidR="007F12C1">
        <w:t xml:space="preserve">ontrary to the ISPs’ submissions </w:t>
      </w:r>
      <w:r w:rsidR="00C53EA8">
        <w:t>I accept that one or both of the applicants may</w:t>
      </w:r>
      <w:r w:rsidR="005B7BB3">
        <w:t>, indeed</w:t>
      </w:r>
      <w:r w:rsidR="00602E26">
        <w:t xml:space="preserve"> probably does,</w:t>
      </w:r>
      <w:r w:rsidR="00C53EA8">
        <w:t xml:space="preserve"> have a right to sue the persons who were using </w:t>
      </w:r>
      <w:proofErr w:type="spellStart"/>
      <w:r w:rsidR="00C53EA8">
        <w:t>BitTorrent</w:t>
      </w:r>
      <w:proofErr w:type="spellEnd"/>
      <w:r w:rsidR="00C53EA8">
        <w:t xml:space="preserve"> at the identified IP addresses for copyright infringement.</w:t>
      </w:r>
    </w:p>
    <w:p w:rsidR="003B057E" w:rsidRDefault="00C53EA8" w:rsidP="000F3E0E">
      <w:pPr>
        <w:pStyle w:val="ParaNumbering"/>
      </w:pPr>
      <w:r>
        <w:t>As to (b), it was faintly suggested that the applicants’ person</w:t>
      </w:r>
      <w:r w:rsidR="002666AA">
        <w:t>nel</w:t>
      </w:r>
      <w:r>
        <w:t xml:space="preserve"> could monitor </w:t>
      </w:r>
      <w:r w:rsidR="00602E26">
        <w:t xml:space="preserve">internet chat rooms </w:t>
      </w:r>
      <w:r>
        <w:t xml:space="preserve">and identify the infringers from </w:t>
      </w:r>
      <w:r w:rsidR="00602E26">
        <w:t>discussions taking place therein.  The chat rooms were not identified</w:t>
      </w:r>
      <w:r w:rsidR="007638F3">
        <w:t>,</w:t>
      </w:r>
      <w:r w:rsidR="00614B90">
        <w:t xml:space="preserve"> nor any reasons</w:t>
      </w:r>
      <w:r w:rsidR="00602E26">
        <w:t xml:space="preserve"> why people discussing bootleg copies of movies in them would do so using their own names.  All in all</w:t>
      </w:r>
      <w:r w:rsidR="006C57F2">
        <w:t>,</w:t>
      </w:r>
      <w:r w:rsidR="00602E26">
        <w:t xml:space="preserve"> I regard this </w:t>
      </w:r>
      <w:r w:rsidR="006C57F2">
        <w:t xml:space="preserve">possibility </w:t>
      </w:r>
      <w:r w:rsidR="00602E26">
        <w:t>as distinctly unlikely.</w:t>
      </w:r>
    </w:p>
    <w:p w:rsidR="003B057E" w:rsidRDefault="003B057E" w:rsidP="000F3E0E">
      <w:pPr>
        <w:pStyle w:val="ParaNumbering"/>
      </w:pPr>
      <w:r>
        <w:t>As to (c), the I</w:t>
      </w:r>
      <w:r w:rsidR="00D910FB">
        <w:t>S</w:t>
      </w:r>
      <w:r>
        <w:t xml:space="preserve">Ps submitted that it was not shown that they would have documents ‘that </w:t>
      </w:r>
      <w:r w:rsidR="007638F3">
        <w:t>would</w:t>
      </w:r>
      <w:r>
        <w:t xml:space="preserve"> help ascertain</w:t>
      </w:r>
      <w:r w:rsidR="00602E26">
        <w:t>’</w:t>
      </w:r>
      <w:r>
        <w:t xml:space="preserve"> the prospective </w:t>
      </w:r>
      <w:r w:rsidR="007638F3">
        <w:t>respondent</w:t>
      </w:r>
      <w:r w:rsidR="00602E26">
        <w:t>s</w:t>
      </w:r>
      <w:r w:rsidR="007638F3">
        <w:t>’</w:t>
      </w:r>
      <w:r w:rsidR="00602E26">
        <w:t xml:space="preserve"> </w:t>
      </w:r>
      <w:r>
        <w:t>description</w:t>
      </w:r>
      <w:r w:rsidR="007638F3">
        <w:t>s</w:t>
      </w:r>
      <w:r>
        <w:t xml:space="preserve">.  This was because, at best, the ISPs could only identify the account holders and there was no guarantee that the account holders were the persons that had shared the film using </w:t>
      </w:r>
      <w:proofErr w:type="spellStart"/>
      <w:r>
        <w:t>BitTorrent</w:t>
      </w:r>
      <w:proofErr w:type="spellEnd"/>
      <w:r>
        <w:t>.</w:t>
      </w:r>
    </w:p>
    <w:p w:rsidR="003F321C" w:rsidRDefault="003B057E" w:rsidP="000F3E0E">
      <w:pPr>
        <w:pStyle w:val="ParaNumbering"/>
      </w:pPr>
      <w:r>
        <w:t xml:space="preserve">Of course, </w:t>
      </w:r>
      <w:r w:rsidR="00602E26">
        <w:t xml:space="preserve">it was possible </w:t>
      </w:r>
      <w:r>
        <w:t>that the account holders might have some insight into who the end</w:t>
      </w:r>
      <w:r w:rsidR="00145B76">
        <w:t>-</w:t>
      </w:r>
      <w:r>
        <w:t xml:space="preserve">user using </w:t>
      </w:r>
      <w:proofErr w:type="spellStart"/>
      <w:r>
        <w:t>BitTorrent</w:t>
      </w:r>
      <w:proofErr w:type="spellEnd"/>
      <w:r>
        <w:t xml:space="preserve"> might </w:t>
      </w:r>
      <w:r w:rsidR="006C57F2">
        <w:t>have been</w:t>
      </w:r>
      <w:r>
        <w:t xml:space="preserve">.  In some cases this might be </w:t>
      </w:r>
      <w:r w:rsidR="00B9599B">
        <w:t>straightforward</w:t>
      </w:r>
      <w:r w:rsidR="007638F3">
        <w:t>,</w:t>
      </w:r>
      <w:r w:rsidR="00B9599B">
        <w:t xml:space="preserve"> such as in ho</w:t>
      </w:r>
      <w:r w:rsidR="003F321C">
        <w:t xml:space="preserve">mes </w:t>
      </w:r>
      <w:r w:rsidR="00B9599B">
        <w:t>with only t</w:t>
      </w:r>
      <w:r w:rsidR="003F321C">
        <w:t>wo</w:t>
      </w:r>
      <w:r w:rsidR="00B9599B">
        <w:t xml:space="preserve"> occupants having access to the internet connection</w:t>
      </w:r>
      <w:r w:rsidR="003F321C">
        <w:t>.  I</w:t>
      </w:r>
      <w:r w:rsidR="00B9599B">
        <w:t>n</w:t>
      </w:r>
      <w:r w:rsidR="007638F3">
        <w:t xml:space="preserve"> other cases</w:t>
      </w:r>
      <w:r w:rsidR="003F321C">
        <w:t xml:space="preserve"> it might not be</w:t>
      </w:r>
      <w:r w:rsidR="007638F3">
        <w:t xml:space="preserve"> too</w:t>
      </w:r>
      <w:r w:rsidR="003F321C">
        <w:t xml:space="preserve"> difficult for the account holder to work out who the downloader was.  In many homes the identity of the film may itself provide some insight into the identity of the file sharer.</w:t>
      </w:r>
      <w:r w:rsidR="00B9599B">
        <w:t xml:space="preserve"> </w:t>
      </w:r>
      <w:r w:rsidR="006510AC">
        <w:t xml:space="preserve"> The </w:t>
      </w:r>
      <w:r w:rsidR="007638F3">
        <w:t xml:space="preserve">audiences </w:t>
      </w:r>
      <w:r w:rsidR="006510AC">
        <w:t xml:space="preserve">for </w:t>
      </w:r>
      <w:r w:rsidR="006510AC">
        <w:rPr>
          <w:i/>
        </w:rPr>
        <w:t xml:space="preserve">Cinderella </w:t>
      </w:r>
      <w:r w:rsidR="006510AC" w:rsidRPr="006510AC">
        <w:t>and</w:t>
      </w:r>
      <w:r w:rsidR="006510AC">
        <w:rPr>
          <w:i/>
        </w:rPr>
        <w:t xml:space="preserve"> American Sniper </w:t>
      </w:r>
      <w:r w:rsidR="007638F3">
        <w:t xml:space="preserve">would </w:t>
      </w:r>
      <w:r w:rsidR="006510AC">
        <w:t>have few common members (hopefully).</w:t>
      </w:r>
      <w:r w:rsidR="003F321C">
        <w:t xml:space="preserve"> </w:t>
      </w:r>
      <w:r w:rsidR="00B9599B">
        <w:t xml:space="preserve">Of course, there </w:t>
      </w:r>
      <w:r w:rsidR="003F321C">
        <w:t xml:space="preserve">will </w:t>
      </w:r>
      <w:r w:rsidR="00B9599B">
        <w:t>be difficult situations such as those whe</w:t>
      </w:r>
      <w:r w:rsidR="003F321C">
        <w:t>re</w:t>
      </w:r>
      <w:r w:rsidR="00B9599B">
        <w:t xml:space="preserve"> the account holder </w:t>
      </w:r>
      <w:r w:rsidR="006C57F2">
        <w:t>has been</w:t>
      </w:r>
      <w:r w:rsidR="00B9599B">
        <w:t xml:space="preserve"> providing wireless internet access in a public space </w:t>
      </w:r>
      <w:r w:rsidR="006C57F2">
        <w:t>like</w:t>
      </w:r>
      <w:r w:rsidR="00B9599B">
        <w:t xml:space="preserve"> a café or airport lounge.</w:t>
      </w:r>
    </w:p>
    <w:p w:rsidR="00C53EA8" w:rsidRDefault="003F321C" w:rsidP="000F3E0E">
      <w:pPr>
        <w:pStyle w:val="ParaNumbering"/>
      </w:pPr>
      <w:r>
        <w:t>It was consideration</w:t>
      </w:r>
      <w:r w:rsidR="006510AC">
        <w:t>s</w:t>
      </w:r>
      <w:r>
        <w:t xml:space="preserve"> of this kind which led the </w:t>
      </w:r>
      <w:r w:rsidR="00B9599B">
        <w:t xml:space="preserve">applicants </w:t>
      </w:r>
      <w:r>
        <w:t xml:space="preserve">to </w:t>
      </w:r>
      <w:r w:rsidR="00B9599B">
        <w:t>submit that even where the account holder</w:t>
      </w:r>
      <w:r w:rsidR="006C57F2">
        <w:t>s</w:t>
      </w:r>
      <w:r w:rsidR="00B9599B">
        <w:t xml:space="preserve"> w</w:t>
      </w:r>
      <w:r w:rsidR="006C57F2">
        <w:t xml:space="preserve">ere </w:t>
      </w:r>
      <w:r w:rsidR="00B9599B">
        <w:t xml:space="preserve">not the </w:t>
      </w:r>
      <w:proofErr w:type="spellStart"/>
      <w:r w:rsidR="00B9599B">
        <w:t>BitTorrent</w:t>
      </w:r>
      <w:proofErr w:type="spellEnd"/>
      <w:r w:rsidR="00B9599B">
        <w:t xml:space="preserve"> user</w:t>
      </w:r>
      <w:r w:rsidR="006C57F2">
        <w:t>s</w:t>
      </w:r>
      <w:r w:rsidR="007638F3">
        <w:t>,</w:t>
      </w:r>
      <w:r w:rsidR="00B9599B">
        <w:t xml:space="preserve"> nevertheless there were good reasons to think that they might </w:t>
      </w:r>
      <w:r w:rsidR="000172BF">
        <w:t>still</w:t>
      </w:r>
      <w:r w:rsidR="00B9599B">
        <w:t xml:space="preserve"> be able to assist in identifying </w:t>
      </w:r>
      <w:r>
        <w:t xml:space="preserve">who </w:t>
      </w:r>
      <w:r w:rsidR="000172BF">
        <w:t>the downloader</w:t>
      </w:r>
      <w:r w:rsidR="006510AC">
        <w:t>s</w:t>
      </w:r>
      <w:r w:rsidR="000172BF">
        <w:t xml:space="preserve"> </w:t>
      </w:r>
      <w:r>
        <w:t>w</w:t>
      </w:r>
      <w:r w:rsidR="006510AC">
        <w:t>ere</w:t>
      </w:r>
      <w:r>
        <w:t>.</w:t>
      </w:r>
      <w:r w:rsidR="00B9599B">
        <w:t xml:space="preserve">  They </w:t>
      </w:r>
      <w:r w:rsidR="00B9599B">
        <w:lastRenderedPageBreak/>
        <w:t xml:space="preserve">submitted that the authorities concerned with identity discovery established that this was enough.  These authorities were </w:t>
      </w:r>
      <w:r w:rsidR="00B9599B">
        <w:rPr>
          <w:i/>
        </w:rPr>
        <w:t>Road</w:t>
      </w:r>
      <w:r w:rsidR="007638F3">
        <w:rPr>
          <w:i/>
        </w:rPr>
        <w:t>s</w:t>
      </w:r>
      <w:r w:rsidR="00B9599B">
        <w:rPr>
          <w:i/>
        </w:rPr>
        <w:t xml:space="preserve"> and Traffic Authority</w:t>
      </w:r>
      <w:r w:rsidR="007638F3">
        <w:rPr>
          <w:i/>
        </w:rPr>
        <w:t xml:space="preserve"> (NSW)</w:t>
      </w:r>
      <w:r w:rsidR="00B9599B">
        <w:rPr>
          <w:i/>
        </w:rPr>
        <w:t xml:space="preserve"> v Australian National Car Parks</w:t>
      </w:r>
      <w:r w:rsidR="007638F3">
        <w:rPr>
          <w:i/>
        </w:rPr>
        <w:t xml:space="preserve"> Pty Ltd</w:t>
      </w:r>
      <w:r w:rsidR="00B9599B">
        <w:rPr>
          <w:i/>
        </w:rPr>
        <w:t xml:space="preserve"> </w:t>
      </w:r>
      <w:r w:rsidR="00B9599B">
        <w:t xml:space="preserve">(2007) 47 </w:t>
      </w:r>
      <w:proofErr w:type="spellStart"/>
      <w:r w:rsidR="00B9599B">
        <w:t>MVR</w:t>
      </w:r>
      <w:proofErr w:type="spellEnd"/>
      <w:r w:rsidR="00B9599B">
        <w:t xml:space="preserve"> 502</w:t>
      </w:r>
      <w:r w:rsidR="007638F3">
        <w:t xml:space="preserve"> (CA)</w:t>
      </w:r>
      <w:r w:rsidR="00B9599B">
        <w:t xml:space="preserve"> and </w:t>
      </w:r>
      <w:r w:rsidR="00B9599B">
        <w:rPr>
          <w:i/>
        </w:rPr>
        <w:t>Road</w:t>
      </w:r>
      <w:r w:rsidR="007638F3">
        <w:rPr>
          <w:i/>
        </w:rPr>
        <w:t>s</w:t>
      </w:r>
      <w:r w:rsidR="00B9599B">
        <w:rPr>
          <w:i/>
        </w:rPr>
        <w:t xml:space="preserve"> and Traffic Authority</w:t>
      </w:r>
      <w:r w:rsidR="007638F3">
        <w:rPr>
          <w:i/>
        </w:rPr>
        <w:t xml:space="preserve"> of New South Wales</w:t>
      </w:r>
      <w:r w:rsidR="00B9599B">
        <w:rPr>
          <w:i/>
        </w:rPr>
        <w:t xml:space="preserve"> v </w:t>
      </w:r>
      <w:r w:rsidR="0071072A">
        <w:rPr>
          <w:i/>
        </w:rPr>
        <w:t>Car</w:t>
      </w:r>
      <w:r w:rsidR="0095191B">
        <w:rPr>
          <w:i/>
        </w:rPr>
        <w:t>e</w:t>
      </w:r>
      <w:r w:rsidR="00B9599B">
        <w:rPr>
          <w:i/>
        </w:rPr>
        <w:t xml:space="preserve"> Park Pty Ltd </w:t>
      </w:r>
      <w:r w:rsidR="00B9599B">
        <w:t xml:space="preserve">[2012] </w:t>
      </w:r>
      <w:proofErr w:type="spellStart"/>
      <w:r w:rsidR="00B9599B">
        <w:t>NSWCA</w:t>
      </w:r>
      <w:proofErr w:type="spellEnd"/>
      <w:r w:rsidR="00B9599B">
        <w:t xml:space="preserve"> </w:t>
      </w:r>
      <w:r w:rsidR="0095191B">
        <w:t>3</w:t>
      </w:r>
      <w:r w:rsidR="00B9599B">
        <w:t>5.</w:t>
      </w:r>
    </w:p>
    <w:p w:rsidR="00B9599B" w:rsidRDefault="009C5692" w:rsidP="000F3E0E">
      <w:pPr>
        <w:pStyle w:val="ParaNumbering"/>
      </w:pPr>
      <w:r>
        <w:t xml:space="preserve">In some ways the factual situation in both of these cases is quite similar to the situation in this case.  Both concerned car park operators where persons wishing to park were required to obtain and display a ticket </w:t>
      </w:r>
      <w:r w:rsidR="000172BF">
        <w:t xml:space="preserve">validated </w:t>
      </w:r>
      <w:r>
        <w:t xml:space="preserve">for a specified amount of time.  It was possible to park without getting such a ticket but the displayed conditions of entry imposed agreed charges of $88 if a ticket was not purchased or </w:t>
      </w:r>
      <w:r w:rsidR="00894C54">
        <w:t xml:space="preserve">was </w:t>
      </w:r>
      <w:r>
        <w:t xml:space="preserve">purchased but the time </w:t>
      </w:r>
      <w:r w:rsidR="000172BF">
        <w:t>o</w:t>
      </w:r>
      <w:r w:rsidR="006510AC">
        <w:t>n it</w:t>
      </w:r>
      <w:r w:rsidR="000172BF">
        <w:t xml:space="preserve"> </w:t>
      </w:r>
      <w:r>
        <w:t>expired.  The car park owners knew the registration plates of the cars which had breached this term.  They sought preliminary discovery from the Road</w:t>
      </w:r>
      <w:r w:rsidR="007638F3">
        <w:t>s</w:t>
      </w:r>
      <w:r>
        <w:t xml:space="preserve"> and Traffic Authority of New South Wales </w:t>
      </w:r>
      <w:r w:rsidR="000172BF">
        <w:t>(‘</w:t>
      </w:r>
      <w:proofErr w:type="spellStart"/>
      <w:r w:rsidR="000172BF">
        <w:t>RTA</w:t>
      </w:r>
      <w:proofErr w:type="spellEnd"/>
      <w:r w:rsidR="000172BF">
        <w:t xml:space="preserve">’) </w:t>
      </w:r>
      <w:r>
        <w:t xml:space="preserve">on the basis that it knew the identity of the person in whose name each vehicle was registered and those people either had been the person who had </w:t>
      </w:r>
      <w:proofErr w:type="spellStart"/>
      <w:r>
        <w:t>overparked</w:t>
      </w:r>
      <w:proofErr w:type="spellEnd"/>
      <w:r>
        <w:t xml:space="preserve"> the vehicle or were likely to know the identity of that person.</w:t>
      </w:r>
    </w:p>
    <w:p w:rsidR="009C5692" w:rsidRDefault="009C5692" w:rsidP="000F3E0E">
      <w:pPr>
        <w:pStyle w:val="ParaNumbering"/>
      </w:pPr>
      <w:r>
        <w:t xml:space="preserve">In both cases, the </w:t>
      </w:r>
      <w:proofErr w:type="spellStart"/>
      <w:r>
        <w:t>RTA</w:t>
      </w:r>
      <w:proofErr w:type="spellEnd"/>
      <w:r>
        <w:t xml:space="preserve"> submitted that it </w:t>
      </w:r>
      <w:r w:rsidR="003F321C">
        <w:t>c</w:t>
      </w:r>
      <w:r>
        <w:t xml:space="preserve">ould only be required to give preliminary discovery of the identity of the putative defendant (i.e. the person parking the car) and that the information it had on its </w:t>
      </w:r>
      <w:r w:rsidR="000172BF">
        <w:t xml:space="preserve">vehicle </w:t>
      </w:r>
      <w:r>
        <w:t>register recorded</w:t>
      </w:r>
      <w:r w:rsidR="003F321C">
        <w:t>,</w:t>
      </w:r>
      <w:r>
        <w:t xml:space="preserve"> at best</w:t>
      </w:r>
      <w:r w:rsidR="003F321C">
        <w:t>,</w:t>
      </w:r>
      <w:r>
        <w:t xml:space="preserve"> only the identity of the person in whose name the car was registered.  On this view, the preliminary discovery rule could not be used to reveal the identity of someone else who might know who the wrongdoer was, it could only be used to identify the actual wrongdoer.</w:t>
      </w:r>
    </w:p>
    <w:p w:rsidR="00770758" w:rsidRDefault="009C5692" w:rsidP="000F3E0E">
      <w:pPr>
        <w:pStyle w:val="ParaNumbering"/>
      </w:pPr>
      <w:r>
        <w:t>This, of co</w:t>
      </w:r>
      <w:r w:rsidR="00770758">
        <w:t xml:space="preserve">urse, is the argument now deployed by the ISPs in this case.  Three judges of the New South Wales Court of Appeal rejected this argument in </w:t>
      </w:r>
      <w:r w:rsidR="00770758">
        <w:rPr>
          <w:i/>
        </w:rPr>
        <w:t>Road</w:t>
      </w:r>
      <w:r w:rsidR="007638F3">
        <w:rPr>
          <w:i/>
        </w:rPr>
        <w:t>s</w:t>
      </w:r>
      <w:r w:rsidR="00770758">
        <w:rPr>
          <w:i/>
        </w:rPr>
        <w:t xml:space="preserve"> and Traffic Authority</w:t>
      </w:r>
      <w:r w:rsidR="007638F3">
        <w:rPr>
          <w:i/>
        </w:rPr>
        <w:t xml:space="preserve"> (NSW)</w:t>
      </w:r>
      <w:r w:rsidR="00770758">
        <w:rPr>
          <w:i/>
        </w:rPr>
        <w:t xml:space="preserve"> v Australian National Car Parks</w:t>
      </w:r>
      <w:r w:rsidR="007638F3">
        <w:rPr>
          <w:i/>
        </w:rPr>
        <w:t xml:space="preserve"> Pty Ltd</w:t>
      </w:r>
      <w:r w:rsidR="00770758">
        <w:rPr>
          <w:i/>
        </w:rPr>
        <w:t xml:space="preserve"> </w:t>
      </w:r>
      <w:r w:rsidR="00770758">
        <w:t xml:space="preserve">(2007) </w:t>
      </w:r>
      <w:r w:rsidR="007638F3">
        <w:t xml:space="preserve">47 </w:t>
      </w:r>
      <w:proofErr w:type="spellStart"/>
      <w:r w:rsidR="007638F3">
        <w:t>MVR</w:t>
      </w:r>
      <w:proofErr w:type="spellEnd"/>
      <w:r w:rsidR="007638F3">
        <w:t xml:space="preserve"> 502 </w:t>
      </w:r>
      <w:r w:rsidR="00770758">
        <w:t xml:space="preserve">at </w:t>
      </w:r>
      <w:r w:rsidR="007638F3">
        <w:t xml:space="preserve">507 </w:t>
      </w:r>
      <w:r w:rsidR="00770758">
        <w:t>[26]-[27] in these terms:</w:t>
      </w:r>
    </w:p>
    <w:p w:rsidR="00932EC9" w:rsidRDefault="007638F3" w:rsidP="002F1663">
      <w:pPr>
        <w:pStyle w:val="Quote1"/>
        <w:ind w:left="1440" w:hanging="703"/>
      </w:pPr>
      <w:r>
        <w:t>‘</w:t>
      </w:r>
      <w:r w:rsidR="00932EC9">
        <w:t>26</w:t>
      </w:r>
      <w:r>
        <w:t>.</w:t>
      </w:r>
      <w:r w:rsidR="00932EC9">
        <w:tab/>
        <w:t xml:space="preserve">The putative contract claim would lie against the driver of the car on the day in question.  It is not suggested that there is some basis for inferring that the driver was the owner’s agent as a matter of contract law.  But discovery of the owner and registered operator would enable the applicant to know details of the person </w:t>
      </w:r>
      <w:r w:rsidR="00695B3C">
        <w:t>with</w:t>
      </w:r>
      <w:r w:rsidR="00932EC9">
        <w:t xml:space="preserve"> day to day control of the vehicle.  For many households, the person who owns or manages the vehicle garaged at that address will be its only driver.  For practically all households, the owner will kn</w:t>
      </w:r>
      <w:r w:rsidR="00695B3C">
        <w:t>o</w:t>
      </w:r>
      <w:r w:rsidR="00932EC9">
        <w:t>w who was the driver on a particular day.</w:t>
      </w:r>
    </w:p>
    <w:p w:rsidR="00932EC9" w:rsidRDefault="00932EC9" w:rsidP="00770758">
      <w:pPr>
        <w:pStyle w:val="Quote1"/>
      </w:pPr>
    </w:p>
    <w:p w:rsidR="007F08D9" w:rsidRDefault="007638F3" w:rsidP="002F1663">
      <w:pPr>
        <w:pStyle w:val="Quote1"/>
        <w:ind w:left="1440" w:hanging="703"/>
      </w:pPr>
      <w:r>
        <w:t xml:space="preserve"> 27.</w:t>
      </w:r>
      <w:r w:rsidR="00932EC9">
        <w:tab/>
        <w:t xml:space="preserve">Whether or not a court trying a civil claim could infer the identity of the driver of the vehicle on the day in question from this information alone (and I </w:t>
      </w:r>
      <w:proofErr w:type="spellStart"/>
      <w:r w:rsidR="00932EC9">
        <w:t>imply</w:t>
      </w:r>
      <w:proofErr w:type="spellEnd"/>
      <w:r w:rsidR="00932EC9">
        <w:t xml:space="preserve"> no view either way on that matter), the information would certainly assist the respondent in its task of establishing the driver on the day in </w:t>
      </w:r>
      <w:r w:rsidR="00932EC9">
        <w:lastRenderedPageBreak/>
        <w:t xml:space="preserve">question.  Perhaps further enquiries are necessary – for example, to determine the number of persons capable of holding a </w:t>
      </w:r>
      <w:r w:rsidR="00695B3C">
        <w:t>driver’s</w:t>
      </w:r>
      <w:r w:rsidR="00932EC9">
        <w:t xml:space="preserve"> licence who are likely to have had access to the car o</w:t>
      </w:r>
      <w:r w:rsidR="00695B3C">
        <w:t xml:space="preserve">n </w:t>
      </w:r>
      <w:r w:rsidR="00932EC9">
        <w:t xml:space="preserve">the day and time in question.  Perhaps the respondent can gather additional evidence by way of admissions from its prospective defendant or from surveillance at the “garage address”.  The possibility that additional evidence may </w:t>
      </w:r>
      <w:r w:rsidR="007F08D9">
        <w:t>be required to make out a prima facie case of identifying the driver does not mean that the information in the register lacks utility or forensic worth as regards the driver’s identity or whereabouts.  As stated, preliminary discovery is not restricted to applicants seeking the last piece of a jig</w:t>
      </w:r>
      <w:r w:rsidR="0071072A">
        <w:t>s</w:t>
      </w:r>
      <w:r w:rsidR="007F08D9">
        <w:t>aw.</w:t>
      </w:r>
      <w:r>
        <w:t>’</w:t>
      </w:r>
    </w:p>
    <w:p w:rsidR="0071072A" w:rsidRDefault="0071072A" w:rsidP="00770758">
      <w:pPr>
        <w:pStyle w:val="Quote1"/>
      </w:pPr>
    </w:p>
    <w:p w:rsidR="000F3E0E" w:rsidRDefault="0071072A" w:rsidP="0071072A">
      <w:pPr>
        <w:pStyle w:val="ParaNumbering"/>
      </w:pPr>
      <w:r>
        <w:t xml:space="preserve">The attempt by the </w:t>
      </w:r>
      <w:proofErr w:type="spellStart"/>
      <w:r>
        <w:t>RTA</w:t>
      </w:r>
      <w:proofErr w:type="spellEnd"/>
      <w:r>
        <w:t xml:space="preserve"> to </w:t>
      </w:r>
      <w:r w:rsidR="000172BF">
        <w:t>resurrect</w:t>
      </w:r>
      <w:r>
        <w:t xml:space="preserve"> the same argument in </w:t>
      </w:r>
      <w:r w:rsidR="003F321C">
        <w:t xml:space="preserve">the second case of </w:t>
      </w:r>
      <w:r>
        <w:rPr>
          <w:i/>
        </w:rPr>
        <w:t>Road</w:t>
      </w:r>
      <w:r w:rsidR="007638F3">
        <w:rPr>
          <w:i/>
        </w:rPr>
        <w:t>s</w:t>
      </w:r>
      <w:r>
        <w:rPr>
          <w:i/>
        </w:rPr>
        <w:t xml:space="preserve"> and Traffic Authority</w:t>
      </w:r>
      <w:r w:rsidR="007638F3">
        <w:rPr>
          <w:i/>
        </w:rPr>
        <w:t xml:space="preserve"> of New South Wales</w:t>
      </w:r>
      <w:r>
        <w:rPr>
          <w:i/>
        </w:rPr>
        <w:t xml:space="preserve"> v Car</w:t>
      </w:r>
      <w:r w:rsidR="0095191B">
        <w:rPr>
          <w:i/>
        </w:rPr>
        <w:t>e</w:t>
      </w:r>
      <w:r>
        <w:rPr>
          <w:i/>
        </w:rPr>
        <w:t xml:space="preserve"> Park Pty Ltd </w:t>
      </w:r>
      <w:r>
        <w:t xml:space="preserve">[2012] </w:t>
      </w:r>
      <w:proofErr w:type="spellStart"/>
      <w:r>
        <w:t>NSWCA</w:t>
      </w:r>
      <w:proofErr w:type="spellEnd"/>
      <w:r>
        <w:t xml:space="preserve"> 35 </w:t>
      </w:r>
      <w:r w:rsidR="0095191B">
        <w:t>was even less successful.  On that occasion a specially convened bench of five judges of appeal concluded that it was wrong.  Barrett </w:t>
      </w:r>
      <w:proofErr w:type="spellStart"/>
      <w:r w:rsidR="0095191B">
        <w:t>JA</w:t>
      </w:r>
      <w:proofErr w:type="spellEnd"/>
      <w:r w:rsidR="0095191B">
        <w:t xml:space="preserve"> (with whom the other members of that bench agreed </w:t>
      </w:r>
      <w:r w:rsidR="007638F3">
        <w:t xml:space="preserve">on this point) put it this way </w:t>
      </w:r>
      <w:r w:rsidR="0095191B">
        <w:t>at [120]:</w:t>
      </w:r>
    </w:p>
    <w:p w:rsidR="0095191B" w:rsidRDefault="0095191B" w:rsidP="007638F3">
      <w:pPr>
        <w:pStyle w:val="Quote1"/>
        <w:ind w:left="1457" w:hanging="720"/>
      </w:pPr>
      <w:r>
        <w:t>‘</w:t>
      </w:r>
      <w:r w:rsidR="007638F3">
        <w:t>120.</w:t>
      </w:r>
      <w:r w:rsidR="007638F3">
        <w:tab/>
      </w:r>
      <w:r>
        <w:t xml:space="preserve">One other matter should be mentioned.  Care Park sought information from </w:t>
      </w:r>
      <w:proofErr w:type="spellStart"/>
      <w:r>
        <w:t>RTA</w:t>
      </w:r>
      <w:proofErr w:type="spellEnd"/>
      <w:r>
        <w:t xml:space="preserve"> about the identity of the owners of certain vehicles but did not claim a right of action against those persons.  It knew it could sue only a person who had parked a vehicle.  Identification of the owner would, however, tend to assist in identifying whether it was the owner who had parked the vehicle and, if not, who had.  That would be </w:t>
      </w:r>
      <w:r w:rsidR="008657B2">
        <w:t>sufficient</w:t>
      </w:r>
      <w:r>
        <w:t xml:space="preserve"> to satisfy the test in rule 5.2(1)(b)</w:t>
      </w:r>
      <w:r w:rsidR="008657B2">
        <w:t xml:space="preserve"> [</w:t>
      </w:r>
      <w:r w:rsidR="008657B2" w:rsidRPr="007638F3">
        <w:rPr>
          <w:i/>
        </w:rPr>
        <w:t>Uniform Civil Procedure Rules 2005</w:t>
      </w:r>
      <w:r w:rsidR="007638F3">
        <w:t xml:space="preserve"> (NSW)</w:t>
      </w:r>
      <w:r w:rsidR="008657B2">
        <w:t>].  On that approach, the person concerned would be the person who parked the vehicle rather than the owner as such.’</w:t>
      </w:r>
    </w:p>
    <w:p w:rsidR="008657B2" w:rsidRDefault="008657B2" w:rsidP="0095191B">
      <w:pPr>
        <w:pStyle w:val="Quote1"/>
      </w:pPr>
    </w:p>
    <w:p w:rsidR="008657B2" w:rsidRDefault="008657B2" w:rsidP="008657B2">
      <w:pPr>
        <w:pStyle w:val="ParaNumbering"/>
      </w:pPr>
      <w:r>
        <w:t xml:space="preserve">In both cases, the Court of Appeal dismissed appeals from </w:t>
      </w:r>
      <w:r w:rsidR="003F321C">
        <w:t xml:space="preserve">single judges in </w:t>
      </w:r>
      <w:r>
        <w:t>Court</w:t>
      </w:r>
      <w:r w:rsidR="003F321C">
        <w:t>s</w:t>
      </w:r>
      <w:r>
        <w:t xml:space="preserve"> below</w:t>
      </w:r>
      <w:r w:rsidR="00894C54">
        <w:t>,</w:t>
      </w:r>
      <w:r>
        <w:t xml:space="preserve"> bringing</w:t>
      </w:r>
      <w:r w:rsidR="00C70998">
        <w:t>,</w:t>
      </w:r>
      <w:r>
        <w:t xml:space="preserve"> therefore</w:t>
      </w:r>
      <w:r w:rsidR="00C70998">
        <w:t>,</w:t>
      </w:r>
      <w:r>
        <w:t xml:space="preserve"> the number of judicial officers who think this argument is wrong</w:t>
      </w:r>
      <w:r w:rsidR="00C70998">
        <w:t xml:space="preserve"> to at least ten</w:t>
      </w:r>
      <w:r>
        <w:t>.</w:t>
      </w:r>
    </w:p>
    <w:p w:rsidR="008657B2" w:rsidRDefault="006510AC" w:rsidP="008657B2">
      <w:pPr>
        <w:pStyle w:val="ParaNumbering"/>
      </w:pPr>
      <w:r>
        <w:t xml:space="preserve">To be fair, </w:t>
      </w:r>
      <w:r w:rsidR="008657B2">
        <w:t>Mr Lancaster did not s</w:t>
      </w:r>
      <w:r w:rsidR="007B13A8">
        <w:t>e</w:t>
      </w:r>
      <w:r w:rsidR="008657B2">
        <w:t>ek to argue that these cases ought not to be followed in this Court.  Instead, he emphasised that the w</w:t>
      </w:r>
      <w:r w:rsidR="007B13A8">
        <w:t xml:space="preserve">ording of </w:t>
      </w:r>
      <w:proofErr w:type="spellStart"/>
      <w:r w:rsidR="007B13A8">
        <w:t>FCR</w:t>
      </w:r>
      <w:proofErr w:type="spellEnd"/>
      <w:r w:rsidR="007B13A8">
        <w:t xml:space="preserve"> 7.22 was </w:t>
      </w:r>
      <w:r w:rsidR="000172BF">
        <w:t>materially</w:t>
      </w:r>
      <w:r w:rsidR="007B13A8">
        <w:t xml:space="preserve"> different to the rule in those two cases.  The relevant rule in those cases was </w:t>
      </w:r>
      <w:r w:rsidR="00C70998">
        <w:t>r</w:t>
      </w:r>
      <w:r w:rsidR="007B13A8">
        <w:t xml:space="preserve"> 5.2 of the </w:t>
      </w:r>
      <w:r w:rsidR="007B13A8" w:rsidRPr="00FA5B6D">
        <w:rPr>
          <w:i/>
        </w:rPr>
        <w:t>Uniform Civil Procedure Rules</w:t>
      </w:r>
      <w:r w:rsidR="00C70998">
        <w:rPr>
          <w:i/>
        </w:rPr>
        <w:t xml:space="preserve"> 2005</w:t>
      </w:r>
      <w:r w:rsidR="007B13A8">
        <w:t xml:space="preserve"> </w:t>
      </w:r>
      <w:r w:rsidR="00C70998">
        <w:t xml:space="preserve">(NSW) (‘the </w:t>
      </w:r>
      <w:proofErr w:type="spellStart"/>
      <w:r w:rsidR="00C70998">
        <w:t>UCPR</w:t>
      </w:r>
      <w:proofErr w:type="spellEnd"/>
      <w:r w:rsidR="00C70998">
        <w:t xml:space="preserve">’) </w:t>
      </w:r>
      <w:r w:rsidR="007B13A8">
        <w:t>which was in these terms:</w:t>
      </w:r>
    </w:p>
    <w:p w:rsidR="007B13A8" w:rsidRPr="00C70998" w:rsidRDefault="00C70998" w:rsidP="00CD64DF">
      <w:pPr>
        <w:pStyle w:val="Quote1"/>
        <w:spacing w:before="120" w:after="120"/>
      </w:pPr>
      <w:r>
        <w:t>‘</w:t>
      </w:r>
      <w:r w:rsidR="007B13A8" w:rsidRPr="00C70998">
        <w:t>5.2</w:t>
      </w:r>
      <w:r w:rsidR="007B13A8" w:rsidRPr="00C70998">
        <w:tab/>
        <w:t>Discovery to ascertain prospective defendant’s identity or whereabouts</w:t>
      </w:r>
    </w:p>
    <w:p w:rsidR="007B13A8" w:rsidRDefault="00C70998" w:rsidP="00CD64DF">
      <w:pPr>
        <w:pStyle w:val="Quote1"/>
        <w:spacing w:before="120" w:after="120"/>
      </w:pPr>
      <w:r>
        <w:t xml:space="preserve"> …</w:t>
      </w:r>
    </w:p>
    <w:p w:rsidR="007B13A8" w:rsidRDefault="00C70998" w:rsidP="00CD64DF">
      <w:pPr>
        <w:pStyle w:val="Quote1"/>
        <w:spacing w:before="120" w:after="120"/>
      </w:pPr>
      <w:r>
        <w:t xml:space="preserve"> </w:t>
      </w:r>
      <w:r w:rsidR="007B13A8">
        <w:t>(1)</w:t>
      </w:r>
      <w:r w:rsidR="007B13A8">
        <w:tab/>
        <w:t>This rule applies if it appears to the court that:</w:t>
      </w:r>
    </w:p>
    <w:p w:rsidR="007B13A8" w:rsidRDefault="007B13A8" w:rsidP="00CD64DF">
      <w:pPr>
        <w:pStyle w:val="Quote2"/>
        <w:spacing w:before="120" w:after="120"/>
        <w:ind w:left="2160" w:hanging="720"/>
      </w:pPr>
      <w:r>
        <w:t>(a)</w:t>
      </w:r>
      <w:r>
        <w:tab/>
        <w:t>the applicant, having made reasonable inquiries, is unable to sufficiently ascertain the identi</w:t>
      </w:r>
      <w:r w:rsidR="00C70998">
        <w:t>ty or whereabouts of a person (</w:t>
      </w:r>
      <w:r w:rsidRPr="00C70998">
        <w:rPr>
          <w:b/>
          <w:i/>
        </w:rPr>
        <w:t>the person concerned</w:t>
      </w:r>
      <w:r>
        <w:t>) for the purpose of commencing proceedings against the person, and</w:t>
      </w:r>
    </w:p>
    <w:p w:rsidR="007B13A8" w:rsidRDefault="007B13A8" w:rsidP="00CD64DF">
      <w:pPr>
        <w:pStyle w:val="Quote2"/>
        <w:spacing w:before="120" w:after="120"/>
        <w:ind w:left="2160" w:hanging="720"/>
      </w:pPr>
      <w:r>
        <w:t>(b)</w:t>
      </w:r>
      <w:r>
        <w:tab/>
        <w:t>some person oth</w:t>
      </w:r>
      <w:r w:rsidR="00C70998">
        <w:t>er than the applicant (</w:t>
      </w:r>
      <w:r w:rsidRPr="00C70998">
        <w:rPr>
          <w:b/>
          <w:i/>
        </w:rPr>
        <w:t>the other person</w:t>
      </w:r>
      <w:r>
        <w:t xml:space="preserve">) may have information, or may have or have had possession of a document or </w:t>
      </w:r>
      <w:r>
        <w:lastRenderedPageBreak/>
        <w:t>thing, that tends to assist in ascertaining the identity or whereabouts of the person concerned.</w:t>
      </w:r>
      <w:r w:rsidR="00C70998">
        <w:t>’</w:t>
      </w:r>
    </w:p>
    <w:p w:rsidR="007B13A8" w:rsidRDefault="00E304E3" w:rsidP="00E304E3">
      <w:pPr>
        <w:pStyle w:val="ParaNumbering"/>
      </w:pPr>
      <w:r>
        <w:t>According to Mr Lancaster</w:t>
      </w:r>
      <w:r w:rsidR="00C70998">
        <w:t>,</w:t>
      </w:r>
      <w:r>
        <w:t xml:space="preserve"> the critical words in </w:t>
      </w:r>
      <w:r w:rsidR="00C70998">
        <w:t>r</w:t>
      </w:r>
      <w:r>
        <w:t xml:space="preserve"> 5.2(1)(b) were ‘some person … may have information … that tends to assist in ascertaining the identity … of the person concerned’.  By contrast, so it was submitted, the requirements of </w:t>
      </w:r>
      <w:proofErr w:type="spellStart"/>
      <w:r>
        <w:t>FCR</w:t>
      </w:r>
      <w:proofErr w:type="spellEnd"/>
      <w:r>
        <w:t xml:space="preserve"> 7.22(1) were much stricter.  There the critical words were ‘another person … has</w:t>
      </w:r>
      <w:r w:rsidR="00C70998">
        <w:t>,</w:t>
      </w:r>
      <w:r>
        <w:t xml:space="preserve"> or is likely to have</w:t>
      </w:r>
      <w:r w:rsidR="00C70998">
        <w:t>, …</w:t>
      </w:r>
      <w:r>
        <w:t xml:space="preserve"> control of a document that would help ascertain the prospective respondent’s description’.  So under the </w:t>
      </w:r>
      <w:proofErr w:type="spellStart"/>
      <w:r w:rsidR="00C70998">
        <w:t>UCPR</w:t>
      </w:r>
      <w:proofErr w:type="spellEnd"/>
      <w:r w:rsidR="00C70998">
        <w:t xml:space="preserve"> </w:t>
      </w:r>
      <w:r>
        <w:t xml:space="preserve">rule it was enough if the person ‘may’ have information whereas under </w:t>
      </w:r>
      <w:proofErr w:type="spellStart"/>
      <w:r>
        <w:t>FCR</w:t>
      </w:r>
      <w:proofErr w:type="spellEnd"/>
      <w:r>
        <w:t xml:space="preserve"> 7.22(1) they either had to have the document or be likely to have the document.  Further</w:t>
      </w:r>
      <w:r w:rsidR="00C70998">
        <w:t>,</w:t>
      </w:r>
      <w:r>
        <w:t xml:space="preserve"> under the </w:t>
      </w:r>
      <w:proofErr w:type="spellStart"/>
      <w:r w:rsidR="00C70998">
        <w:t>UCPR</w:t>
      </w:r>
      <w:proofErr w:type="spellEnd"/>
      <w:r w:rsidR="00C70998">
        <w:t xml:space="preserve"> </w:t>
      </w:r>
      <w:r>
        <w:t xml:space="preserve">rule the information had only to ‘tend to assist’ in identifying the putative defendant whereas under </w:t>
      </w:r>
      <w:proofErr w:type="spellStart"/>
      <w:r>
        <w:t>FCR</w:t>
      </w:r>
      <w:proofErr w:type="spellEnd"/>
      <w:r>
        <w:t xml:space="preserve"> 7.22 it had to be such that it ‘would help’ ascertain the identity of the putative defendant.</w:t>
      </w:r>
    </w:p>
    <w:p w:rsidR="00E304E3" w:rsidRDefault="00384834" w:rsidP="00384834">
      <w:pPr>
        <w:pStyle w:val="ParaNumbering"/>
      </w:pPr>
      <w:r>
        <w:t xml:space="preserve">The question of whether these differences are material involves the ascertainment of what </w:t>
      </w:r>
      <w:r w:rsidR="00FA5B6D">
        <w:t>is</w:t>
      </w:r>
      <w:r>
        <w:t xml:space="preserve"> meant by </w:t>
      </w:r>
      <w:proofErr w:type="spellStart"/>
      <w:r>
        <w:t>FCR</w:t>
      </w:r>
      <w:proofErr w:type="spellEnd"/>
      <w:r>
        <w:t xml:space="preserve"> 7.22(1).  Whether ‘would help’ can have the same meaning as ‘t</w:t>
      </w:r>
      <w:r w:rsidR="00FA5B6D">
        <w:t>end</w:t>
      </w:r>
      <w:r>
        <w:t xml:space="preserve"> to assist’ and whether ‘may’ means ‘is likely’ are questions involving the resolution of ambiguity.  To my mind, </w:t>
      </w:r>
      <w:r w:rsidR="000172BF">
        <w:t>two</w:t>
      </w:r>
      <w:r>
        <w:t xml:space="preserve"> matters bear upon the resolution of this uncertainty.  First, if the narrower view for which the ISPs contend be correct, then the scope of </w:t>
      </w:r>
      <w:proofErr w:type="spellStart"/>
      <w:r>
        <w:t>FCR</w:t>
      </w:r>
      <w:proofErr w:type="spellEnd"/>
      <w:r>
        <w:t xml:space="preserve"> 7.22 is limited to</w:t>
      </w:r>
      <w:r w:rsidR="00C70998">
        <w:t xml:space="preserve"> circumstances in which the discovery process would result in</w:t>
      </w:r>
      <w:r>
        <w:t xml:space="preserve"> the identification of actual wrongdoers as opposed to persons who may be able to assist in identifying a wrongdoer.  From the point of view of principle, it is difficult to identify any good reason why a rule designed to aid a party in identifying wrongdoers should be </w:t>
      </w:r>
      <w:r w:rsidR="00FA5B6D">
        <w:t>so</w:t>
      </w:r>
      <w:r>
        <w:t xml:space="preserve"> narrow as only </w:t>
      </w:r>
      <w:r w:rsidR="00FA5B6D">
        <w:t xml:space="preserve">to </w:t>
      </w:r>
      <w:r>
        <w:t xml:space="preserve">permit the identification of the actual wrongdoer rather than </w:t>
      </w:r>
      <w:r w:rsidR="00FA5B6D">
        <w:t xml:space="preserve">the </w:t>
      </w:r>
      <w:r>
        <w:t xml:space="preserve">witnesses of that wrongdoing.  If this is what </w:t>
      </w:r>
      <w:proofErr w:type="spellStart"/>
      <w:r>
        <w:t>FCR</w:t>
      </w:r>
      <w:proofErr w:type="spellEnd"/>
      <w:r>
        <w:t xml:space="preserve"> 7.22 mean</w:t>
      </w:r>
      <w:r w:rsidR="006510AC">
        <w:t>s</w:t>
      </w:r>
      <w:r w:rsidR="00C70998">
        <w:t xml:space="preserve"> it would cry </w:t>
      </w:r>
      <w:r>
        <w:t>out for reform.</w:t>
      </w:r>
    </w:p>
    <w:p w:rsidR="00384834" w:rsidRDefault="006F25C1" w:rsidP="00384834">
      <w:pPr>
        <w:pStyle w:val="ParaNumbering"/>
      </w:pPr>
      <w:r>
        <w:t xml:space="preserve">Secondly, the legislative history of </w:t>
      </w:r>
      <w:proofErr w:type="spellStart"/>
      <w:r>
        <w:t>FCR</w:t>
      </w:r>
      <w:proofErr w:type="spellEnd"/>
      <w:r>
        <w:t xml:space="preserve"> 7.22(1) shows that </w:t>
      </w:r>
      <w:r w:rsidR="00FA5B6D">
        <w:t xml:space="preserve">its present </w:t>
      </w:r>
      <w:r>
        <w:t xml:space="preserve">wording was not intended by the makers of the </w:t>
      </w:r>
      <w:r w:rsidRPr="00A82F7A">
        <w:rPr>
          <w:i/>
        </w:rPr>
        <w:t>Federal Court Rules</w:t>
      </w:r>
      <w:r w:rsidR="00C70998">
        <w:rPr>
          <w:i/>
        </w:rPr>
        <w:t xml:space="preserve"> 2011</w:t>
      </w:r>
      <w:r w:rsidR="00C70998" w:rsidRPr="00C70998">
        <w:t xml:space="preserve"> (</w:t>
      </w:r>
      <w:proofErr w:type="spellStart"/>
      <w:r w:rsidR="00C70998" w:rsidRPr="00C70998">
        <w:t>Cth</w:t>
      </w:r>
      <w:proofErr w:type="spellEnd"/>
      <w:r w:rsidR="00C70998" w:rsidRPr="00C70998">
        <w:t>)</w:t>
      </w:r>
      <w:r>
        <w:t>, that is to say the judges of th</w:t>
      </w:r>
      <w:r w:rsidR="000172BF">
        <w:t>is</w:t>
      </w:r>
      <w:r>
        <w:t xml:space="preserve"> Court</w:t>
      </w:r>
      <w:r w:rsidR="000172BF">
        <w:t>,</w:t>
      </w:r>
      <w:r>
        <w:t xml:space="preserve"> to have any different meaning to the words which appear in the </w:t>
      </w:r>
      <w:proofErr w:type="spellStart"/>
      <w:r w:rsidR="00C70998">
        <w:t>UCPR</w:t>
      </w:r>
      <w:proofErr w:type="spellEnd"/>
      <w:r w:rsidR="00297D12">
        <w:t xml:space="preserve"> </w:t>
      </w:r>
      <w:r>
        <w:t xml:space="preserve">rule.  </w:t>
      </w:r>
      <w:r w:rsidR="006510AC">
        <w:t xml:space="preserve">The explanation for this requires a slight digression.  </w:t>
      </w:r>
      <w:r>
        <w:t xml:space="preserve">The </w:t>
      </w:r>
      <w:r w:rsidRPr="00A82F7A">
        <w:rPr>
          <w:i/>
        </w:rPr>
        <w:t>Federal Court Rules 2011</w:t>
      </w:r>
      <w:r>
        <w:t xml:space="preserve"> replaced the </w:t>
      </w:r>
      <w:r w:rsidRPr="00A82F7A">
        <w:rPr>
          <w:i/>
        </w:rPr>
        <w:t>Federal Court Rules 1979</w:t>
      </w:r>
      <w:r w:rsidR="00C70998" w:rsidRPr="00C70998">
        <w:t xml:space="preserve"> (</w:t>
      </w:r>
      <w:proofErr w:type="spellStart"/>
      <w:r w:rsidR="00C70998" w:rsidRPr="00C70998">
        <w:t>Cth</w:t>
      </w:r>
      <w:proofErr w:type="spellEnd"/>
      <w:r w:rsidR="00C70998" w:rsidRPr="00C70998">
        <w:t>)</w:t>
      </w:r>
      <w:r>
        <w:t xml:space="preserve">.  </w:t>
      </w:r>
      <w:r w:rsidR="006510AC">
        <w:t>In particular, t</w:t>
      </w:r>
      <w:r w:rsidR="00D0120F">
        <w:t xml:space="preserve">he current r </w:t>
      </w:r>
      <w:r>
        <w:t>7.22 repla</w:t>
      </w:r>
      <w:r w:rsidR="000A2C65">
        <w:t>ced what had been O </w:t>
      </w:r>
      <w:proofErr w:type="spellStart"/>
      <w:r w:rsidR="00D0120F">
        <w:t>15A</w:t>
      </w:r>
      <w:proofErr w:type="spellEnd"/>
      <w:r w:rsidR="00D0120F">
        <w:t xml:space="preserve"> r</w:t>
      </w:r>
      <w:r>
        <w:t> 3(1)</w:t>
      </w:r>
      <w:r w:rsidR="00C70998">
        <w:t>,</w:t>
      </w:r>
      <w:r>
        <w:t xml:space="preserve"> which had provided:</w:t>
      </w:r>
    </w:p>
    <w:p w:rsidR="00DC77A9" w:rsidRDefault="00C70998" w:rsidP="00630B0F">
      <w:pPr>
        <w:pStyle w:val="Quote1"/>
        <w:ind w:left="1440" w:hanging="703"/>
      </w:pPr>
      <w:r>
        <w:t>‘</w:t>
      </w:r>
      <w:r w:rsidR="006F25C1">
        <w:t>(1)</w:t>
      </w:r>
      <w:r w:rsidR="006F25C1">
        <w:tab/>
        <w:t>Where an applicant, having made reasonable inquiries, is unable to ascertain the description of a person sufficiently for the purpose of commencing a proceeding in the Court</w:t>
      </w:r>
      <w:r w:rsidR="00DC77A9">
        <w:t xml:space="preserve"> against that person (in this rule called </w:t>
      </w:r>
      <w:r w:rsidR="00DC77A9">
        <w:rPr>
          <w:b/>
          <w:i/>
        </w:rPr>
        <w:t>the person concerned</w:t>
      </w:r>
      <w:r w:rsidR="00DC77A9">
        <w:t xml:space="preserve">) and it appears that some person has or is likely to have knowledge of facts, or has or is likely to have or has had or is likely to have had possession of any document or thing, tending to assist in such </w:t>
      </w:r>
      <w:r w:rsidR="00DC77A9">
        <w:lastRenderedPageBreak/>
        <w:t xml:space="preserve">ascertainment, the Court may make an order under </w:t>
      </w:r>
      <w:proofErr w:type="spellStart"/>
      <w:r w:rsidR="00DC77A9">
        <w:t>subrule</w:t>
      </w:r>
      <w:proofErr w:type="spellEnd"/>
      <w:r w:rsidR="00DC77A9">
        <w:t xml:space="preserve"> (2).</w:t>
      </w:r>
      <w:r>
        <w:t>’</w:t>
      </w:r>
    </w:p>
    <w:p w:rsidR="006F25C1" w:rsidRDefault="006F25C1" w:rsidP="006F25C1">
      <w:pPr>
        <w:pStyle w:val="Quote1"/>
      </w:pPr>
    </w:p>
    <w:p w:rsidR="00FA5B6D" w:rsidRDefault="000172BF" w:rsidP="00384834">
      <w:pPr>
        <w:pStyle w:val="ParaNumbering"/>
      </w:pPr>
      <w:r>
        <w:t xml:space="preserve">This is worded in essentially the same terms as </w:t>
      </w:r>
      <w:r w:rsidR="00C70998">
        <w:t>r</w:t>
      </w:r>
      <w:r>
        <w:t xml:space="preserve"> 5.2(1)(b) of the </w:t>
      </w:r>
      <w:proofErr w:type="spellStart"/>
      <w:r w:rsidR="00C70998">
        <w:t>UCPR</w:t>
      </w:r>
      <w:proofErr w:type="spellEnd"/>
      <w:r>
        <w:t xml:space="preserve">.  </w:t>
      </w:r>
      <w:r w:rsidR="00FA5B6D">
        <w:t xml:space="preserve">On the introduction of the new </w:t>
      </w:r>
      <w:r w:rsidR="00FA5B6D">
        <w:rPr>
          <w:i/>
        </w:rPr>
        <w:t>Federal Court Rules 2011</w:t>
      </w:r>
      <w:r w:rsidR="00CD64DF">
        <w:t>,</w:t>
      </w:r>
      <w:r w:rsidR="00FA5B6D" w:rsidRPr="00CD64DF">
        <w:t xml:space="preserve"> </w:t>
      </w:r>
      <w:r w:rsidR="00FA5B6D">
        <w:t xml:space="preserve">the judges issued an explanatory </w:t>
      </w:r>
      <w:r w:rsidR="009110A4">
        <w:t>statement</w:t>
      </w:r>
      <w:r w:rsidR="00FA5B6D">
        <w:t>.  It described what was intended by the new rule in these terms:</w:t>
      </w:r>
    </w:p>
    <w:p w:rsidR="00FC75B6" w:rsidRDefault="00CD64DF" w:rsidP="00FA5B6D">
      <w:pPr>
        <w:pStyle w:val="Quote1"/>
      </w:pPr>
      <w:r>
        <w:t>‘</w:t>
      </w:r>
      <w:r w:rsidR="00630B0F">
        <w:t>The provisions in Divisions 7.1 (Injunctions, Preservation of Property and Receivers), 7.2 (Approval of Agreement for Persons under a Legal Incapacity) and 7.3 (Preliminary Discover</w:t>
      </w:r>
      <w:r>
        <w:t>y</w:t>
      </w:r>
      <w:r w:rsidR="00630B0F">
        <w:t>) adopt, simplify and streamline the process and procedures which operated under the former Rules and do not substantially</w:t>
      </w:r>
      <w:r w:rsidR="00FC75B6">
        <w:t xml:space="preserve"> alter existing practice.  Divisions 7.4 (Freezing Orders) and 7.5 (Search Orders) are harmonised with the rules of other courts and are substantially identical to the equivalent rules in the former Rules.</w:t>
      </w:r>
      <w:r>
        <w:t>’</w:t>
      </w:r>
    </w:p>
    <w:p w:rsidR="006F25C1" w:rsidRDefault="00C3184C" w:rsidP="00384834">
      <w:pPr>
        <w:pStyle w:val="ParaNumbering"/>
      </w:pPr>
      <w:r>
        <w:t>T</w:t>
      </w:r>
      <w:r w:rsidR="00FC75B6">
        <w:t xml:space="preserve">his strongly suggests that the new wording was not intended to alter the former operation of the rule.  This strong suggestion is given effect to by </w:t>
      </w:r>
      <w:r>
        <w:t>s </w:t>
      </w:r>
      <w:proofErr w:type="spellStart"/>
      <w:r>
        <w:t>15AC</w:t>
      </w:r>
      <w:proofErr w:type="spellEnd"/>
      <w:r>
        <w:t xml:space="preserve"> of the </w:t>
      </w:r>
      <w:r>
        <w:rPr>
          <w:i/>
        </w:rPr>
        <w:t xml:space="preserve">Acts Interpretation Act 1901 </w:t>
      </w:r>
      <w:r>
        <w:t>(</w:t>
      </w:r>
      <w:proofErr w:type="spellStart"/>
      <w:r>
        <w:t>Cth</w:t>
      </w:r>
      <w:proofErr w:type="spellEnd"/>
      <w:r>
        <w:t>) which provides:</w:t>
      </w:r>
    </w:p>
    <w:p w:rsidR="00AD75A3" w:rsidRPr="00EA506F" w:rsidRDefault="00CD64DF" w:rsidP="00CD64DF">
      <w:pPr>
        <w:pStyle w:val="Quote1"/>
        <w:spacing w:before="120" w:after="120"/>
      </w:pPr>
      <w:bookmarkStart w:id="24" w:name="_Toc382316369"/>
      <w:r>
        <w:rPr>
          <w:rStyle w:val="CharSectno"/>
        </w:rPr>
        <w:t>‘</w:t>
      </w:r>
      <w:proofErr w:type="spellStart"/>
      <w:r w:rsidR="00AD75A3" w:rsidRPr="00EA506F">
        <w:rPr>
          <w:rStyle w:val="CharSectno"/>
        </w:rPr>
        <w:t>15AC</w:t>
      </w:r>
      <w:proofErr w:type="spellEnd"/>
      <w:r w:rsidR="00AD75A3" w:rsidRPr="00EA506F">
        <w:t xml:space="preserve">  Changes to style not to affect meaning</w:t>
      </w:r>
      <w:bookmarkEnd w:id="24"/>
    </w:p>
    <w:p w:rsidR="00AD75A3" w:rsidRPr="00EA506F" w:rsidRDefault="00CD64DF" w:rsidP="00CD64DF">
      <w:pPr>
        <w:pStyle w:val="Quote1"/>
        <w:spacing w:before="120" w:after="120"/>
      </w:pPr>
      <w:r>
        <w:t xml:space="preserve"> </w:t>
      </w:r>
      <w:r w:rsidR="00AD75A3" w:rsidRPr="00EA506F">
        <w:t>Where:</w:t>
      </w:r>
    </w:p>
    <w:p w:rsidR="00AD75A3" w:rsidRDefault="00AD75A3" w:rsidP="00CD64DF">
      <w:pPr>
        <w:pStyle w:val="Quote2"/>
        <w:spacing w:before="120" w:after="120"/>
        <w:ind w:right="734"/>
      </w:pPr>
      <w:r w:rsidRPr="00EA506F">
        <w:t>(a)</w:t>
      </w:r>
      <w:r w:rsidRPr="00EA506F">
        <w:tab/>
        <w:t>an Act has expressed an idea in a particular form of words; and</w:t>
      </w:r>
      <w:r>
        <w:t xml:space="preserve"> </w:t>
      </w:r>
    </w:p>
    <w:p w:rsidR="00AD75A3" w:rsidRPr="00EA506F" w:rsidRDefault="00AD75A3" w:rsidP="00CD64DF">
      <w:pPr>
        <w:pStyle w:val="Quote2"/>
        <w:spacing w:before="120" w:after="120"/>
        <w:ind w:left="2160" w:right="734" w:hanging="720"/>
      </w:pPr>
      <w:r w:rsidRPr="00EA506F">
        <w:t>(b)</w:t>
      </w:r>
      <w:r w:rsidRPr="00EA506F">
        <w:tab/>
        <w:t>a later Act appears to have expressed the same idea in a different form of words for the purpose of using a clearer style;</w:t>
      </w:r>
    </w:p>
    <w:p w:rsidR="00AD75A3" w:rsidRPr="00EA506F" w:rsidRDefault="00CD64DF" w:rsidP="00CD64DF">
      <w:pPr>
        <w:pStyle w:val="Quote1"/>
        <w:spacing w:before="120" w:after="120"/>
        <w:ind w:left="794" w:hanging="57"/>
      </w:pPr>
      <w:r>
        <w:t xml:space="preserve"> </w:t>
      </w:r>
      <w:r w:rsidR="00AD75A3" w:rsidRPr="00EA506F">
        <w:t>the ideas shall not be taken to be different merely because different forms of words were used.</w:t>
      </w:r>
      <w:r>
        <w:t>’</w:t>
      </w:r>
    </w:p>
    <w:p w:rsidR="00C3184C" w:rsidRDefault="00EB2115" w:rsidP="00EB2115">
      <w:pPr>
        <w:pStyle w:val="ParaNumbering"/>
      </w:pPr>
      <w:r>
        <w:t xml:space="preserve">Section </w:t>
      </w:r>
      <w:proofErr w:type="spellStart"/>
      <w:r>
        <w:t>15AC</w:t>
      </w:r>
      <w:proofErr w:type="spellEnd"/>
      <w:r w:rsidR="00757A92">
        <w:t xml:space="preserve">, in terms, </w:t>
      </w:r>
      <w:r>
        <w:t xml:space="preserve">applies </w:t>
      </w:r>
      <w:r w:rsidR="00757A92">
        <w:t xml:space="preserve">only </w:t>
      </w:r>
      <w:r>
        <w:t>to statutes</w:t>
      </w:r>
      <w:r w:rsidR="00894C54">
        <w:t>,</w:t>
      </w:r>
      <w:r>
        <w:t xml:space="preserve"> which </w:t>
      </w:r>
      <w:proofErr w:type="spellStart"/>
      <w:r>
        <w:t>FCR</w:t>
      </w:r>
      <w:proofErr w:type="spellEnd"/>
      <w:r>
        <w:t xml:space="preserve"> 7.22 </w:t>
      </w:r>
      <w:r w:rsidR="00757A92">
        <w:t>is</w:t>
      </w:r>
      <w:r>
        <w:t xml:space="preserve"> not.  </w:t>
      </w:r>
      <w:r w:rsidR="00757A92">
        <w:t>On the other hand, s </w:t>
      </w:r>
      <w:r>
        <w:t xml:space="preserve">13(1) of the </w:t>
      </w:r>
      <w:r>
        <w:rPr>
          <w:i/>
        </w:rPr>
        <w:t xml:space="preserve">Legislative Instruments Act 2003 </w:t>
      </w:r>
      <w:r w:rsidR="006510AC">
        <w:t>(</w:t>
      </w:r>
      <w:proofErr w:type="spellStart"/>
      <w:r w:rsidR="006510AC">
        <w:t>Cth</w:t>
      </w:r>
      <w:proofErr w:type="spellEnd"/>
      <w:r w:rsidR="006510AC">
        <w:t xml:space="preserve">) </w:t>
      </w:r>
      <w:r>
        <w:t xml:space="preserve">applies the </w:t>
      </w:r>
      <w:r>
        <w:rPr>
          <w:i/>
        </w:rPr>
        <w:t xml:space="preserve">Acts Interpretation Act </w:t>
      </w:r>
      <w:r>
        <w:t>to ‘legislative instrument</w:t>
      </w:r>
      <w:r w:rsidR="00757A92">
        <w:t>s</w:t>
      </w:r>
      <w:r>
        <w:t xml:space="preserve">’ which, by s 9 of the same act, does </w:t>
      </w:r>
      <w:r w:rsidRPr="006510AC">
        <w:rPr>
          <w:i/>
        </w:rPr>
        <w:t>not</w:t>
      </w:r>
      <w:r>
        <w:t xml:space="preserve"> include court rules such as the </w:t>
      </w:r>
      <w:r>
        <w:rPr>
          <w:i/>
        </w:rPr>
        <w:t>Federal Court Rules</w:t>
      </w:r>
      <w:r>
        <w:t xml:space="preserve">. However, in what is a trap for the unwary, s 59(4) of the </w:t>
      </w:r>
      <w:r>
        <w:rPr>
          <w:i/>
        </w:rPr>
        <w:t xml:space="preserve">Federal Court of Australia Act 1976 </w:t>
      </w:r>
      <w:r>
        <w:t>(</w:t>
      </w:r>
      <w:proofErr w:type="spellStart"/>
      <w:r>
        <w:t>Cth</w:t>
      </w:r>
      <w:proofErr w:type="spellEnd"/>
      <w:r>
        <w:t xml:space="preserve">) </w:t>
      </w:r>
      <w:r w:rsidR="006510AC">
        <w:t xml:space="preserve">nevertheless </w:t>
      </w:r>
      <w:r>
        <w:t xml:space="preserve">applies much of the </w:t>
      </w:r>
      <w:r>
        <w:rPr>
          <w:i/>
        </w:rPr>
        <w:t>Legislative Instruments Act</w:t>
      </w:r>
      <w:r w:rsidR="00757A92">
        <w:t>, including s 13(1),</w:t>
      </w:r>
      <w:r>
        <w:rPr>
          <w:i/>
        </w:rPr>
        <w:t xml:space="preserve"> </w:t>
      </w:r>
      <w:r>
        <w:t xml:space="preserve">to the </w:t>
      </w:r>
      <w:r>
        <w:rPr>
          <w:i/>
        </w:rPr>
        <w:t>Federal Court Rules</w:t>
      </w:r>
      <w:r>
        <w:t xml:space="preserve">.  </w:t>
      </w:r>
      <w:r w:rsidR="00757A92">
        <w:t>It being plain that the slightly different wording was not intended to change the meaning of the rule, s </w:t>
      </w:r>
      <w:proofErr w:type="spellStart"/>
      <w:r w:rsidR="00757A92">
        <w:t>15AC</w:t>
      </w:r>
      <w:proofErr w:type="spellEnd"/>
      <w:r w:rsidR="00757A92">
        <w:t xml:space="preserve"> has the outcome that it did not.  </w:t>
      </w:r>
      <w:r>
        <w:t xml:space="preserve">It follows that the ISPs’ argument should be rejected.  (For completeness, it is legitimate to look at the explanatory statement because </w:t>
      </w:r>
      <w:r w:rsidR="00461699">
        <w:t>of s </w:t>
      </w:r>
      <w:proofErr w:type="spellStart"/>
      <w:r w:rsidR="00461699">
        <w:t>15AB</w:t>
      </w:r>
      <w:proofErr w:type="spellEnd"/>
      <w:r w:rsidR="00461699">
        <w:t xml:space="preserve">(2)(e) of the </w:t>
      </w:r>
      <w:r w:rsidR="00461699">
        <w:rPr>
          <w:i/>
        </w:rPr>
        <w:t xml:space="preserve">Acts Interpretation Act </w:t>
      </w:r>
      <w:r w:rsidR="00D67E36">
        <w:t xml:space="preserve">combined with s 13(1) of the </w:t>
      </w:r>
      <w:r w:rsidR="00D67E36" w:rsidRPr="00D67E36">
        <w:rPr>
          <w:i/>
        </w:rPr>
        <w:t>Legislative Instruments Act</w:t>
      </w:r>
      <w:r w:rsidR="00461699">
        <w:t>.</w:t>
      </w:r>
      <w:r w:rsidR="00757A92">
        <w:t>)</w:t>
      </w:r>
    </w:p>
    <w:p w:rsidR="00461699" w:rsidRDefault="00205C9E" w:rsidP="00EB2115">
      <w:pPr>
        <w:pStyle w:val="ParaNumbering"/>
      </w:pPr>
      <w:r>
        <w:t xml:space="preserve">For these reasons, the suggested textual basis for distinguishing the </w:t>
      </w:r>
      <w:r w:rsidR="00757A92">
        <w:t xml:space="preserve">two </w:t>
      </w:r>
      <w:r>
        <w:t>Court of Appeal decision</w:t>
      </w:r>
      <w:r w:rsidR="00757A92">
        <w:t>s</w:t>
      </w:r>
      <w:r>
        <w:t xml:space="preserve"> is unpersuasive.  I propose, indeed, I am probably bound, to follow them.</w:t>
      </w:r>
    </w:p>
    <w:p w:rsidR="00205C9E" w:rsidRDefault="00205C9E" w:rsidP="00EB2115">
      <w:pPr>
        <w:pStyle w:val="ParaNumbering"/>
      </w:pPr>
      <w:r>
        <w:lastRenderedPageBreak/>
        <w:t xml:space="preserve">In those circumstances, I conclude that the pre-conditions to the operation of </w:t>
      </w:r>
      <w:proofErr w:type="spellStart"/>
      <w:r>
        <w:t>FCR</w:t>
      </w:r>
      <w:proofErr w:type="spellEnd"/>
      <w:r>
        <w:t xml:space="preserve"> 7.22 have been met.  </w:t>
      </w:r>
      <w:r w:rsidR="006A690E">
        <w:t>The</w:t>
      </w:r>
      <w:r w:rsidR="00757A92">
        <w:t xml:space="preserve"> Court’s power to order the ISPs to give </w:t>
      </w:r>
      <w:r w:rsidR="00B81137">
        <w:t>preliminary</w:t>
      </w:r>
      <w:r w:rsidR="00757A92">
        <w:t xml:space="preserve"> discovery is enlivened.  I</w:t>
      </w:r>
      <w:r>
        <w:t xml:space="preserve"> turn then to the issue of discretion</w:t>
      </w:r>
      <w:r w:rsidR="00757A92">
        <w:t>, that is, whether that power should be exercised</w:t>
      </w:r>
      <w:r>
        <w:t>.</w:t>
      </w:r>
    </w:p>
    <w:p w:rsidR="00205C9E" w:rsidRDefault="006510AC" w:rsidP="00A82F7A">
      <w:pPr>
        <w:pStyle w:val="Heading2"/>
      </w:pPr>
      <w:r>
        <w:t xml:space="preserve">6.    </w:t>
      </w:r>
      <w:r w:rsidR="00A82F7A">
        <w:t xml:space="preserve">The </w:t>
      </w:r>
      <w:r>
        <w:t>E</w:t>
      </w:r>
      <w:r w:rsidR="00A82F7A">
        <w:t xml:space="preserve">xercise of </w:t>
      </w:r>
      <w:r>
        <w:t>the D</w:t>
      </w:r>
      <w:r w:rsidR="00A82F7A">
        <w:t>iscretion</w:t>
      </w:r>
    </w:p>
    <w:p w:rsidR="00A82F7A" w:rsidRPr="00E14506" w:rsidRDefault="00A82F7A" w:rsidP="00A82F7A">
      <w:pPr>
        <w:pStyle w:val="ParaNumbering"/>
      </w:pPr>
      <w:r w:rsidRPr="00E14506">
        <w:t xml:space="preserve">The ISPs advanced </w:t>
      </w:r>
      <w:r w:rsidR="00F871D9">
        <w:t>8</w:t>
      </w:r>
      <w:r w:rsidRPr="00E14506">
        <w:t xml:space="preserve"> reasons why the Court ought to decline to order preliminary discovery even if the power to do so under </w:t>
      </w:r>
      <w:proofErr w:type="spellStart"/>
      <w:r w:rsidRPr="00E14506">
        <w:t>FCR</w:t>
      </w:r>
      <w:proofErr w:type="spellEnd"/>
      <w:r w:rsidRPr="00E14506">
        <w:t xml:space="preserve"> 7.22 </w:t>
      </w:r>
      <w:r w:rsidR="00CD64DF">
        <w:t>were enlivened</w:t>
      </w:r>
      <w:r w:rsidRPr="00E14506">
        <w:t>.  These were:</w:t>
      </w:r>
    </w:p>
    <w:p w:rsidR="00A82F7A" w:rsidRDefault="00573CF5" w:rsidP="00E93999">
      <w:pPr>
        <w:pStyle w:val="ListNo1"/>
        <w:numPr>
          <w:ilvl w:val="0"/>
          <w:numId w:val="29"/>
        </w:numPr>
      </w:pPr>
      <w:r>
        <w:t>i</w:t>
      </w:r>
      <w:r w:rsidR="00AE055E">
        <w:t>t was only shown that a single sliver of the film was shared fr</w:t>
      </w:r>
      <w:r w:rsidR="00010AE9">
        <w:t>om</w:t>
      </w:r>
      <w:r w:rsidR="00AE055E">
        <w:t xml:space="preserve"> each IP address.  Whatever infringement of the copyright was involved it was minor;</w:t>
      </w:r>
    </w:p>
    <w:p w:rsidR="00F871D9" w:rsidRDefault="00F871D9" w:rsidP="00E93999">
      <w:pPr>
        <w:pStyle w:val="ListNo1"/>
        <w:numPr>
          <w:ilvl w:val="0"/>
          <w:numId w:val="29"/>
        </w:numPr>
      </w:pPr>
      <w:r>
        <w:t>given the trivial nature of the demonstrated infringements it was unlikely that any real case would be brought against the infringers.  The value of each copy of the film was less than $10 and it was simply not plausible to think that the applicants would seek to recover such sums;</w:t>
      </w:r>
    </w:p>
    <w:p w:rsidR="00F871D9" w:rsidRDefault="00F871D9" w:rsidP="00E93999">
      <w:pPr>
        <w:pStyle w:val="ListNo1"/>
        <w:numPr>
          <w:ilvl w:val="0"/>
          <w:numId w:val="29"/>
        </w:numPr>
      </w:pPr>
      <w:r>
        <w:t>there were no realistic chances of the applicants obtaining injunctive relief</w:t>
      </w:r>
      <w:r w:rsidR="0051060F">
        <w:t>,</w:t>
      </w:r>
      <w:r>
        <w:t xml:space="preserve"> either because all that was shown was the sharing of a sliver or because there was no demonstrated risk of repetition;</w:t>
      </w:r>
    </w:p>
    <w:p w:rsidR="00F871D9" w:rsidRDefault="00F871D9" w:rsidP="00E93999">
      <w:pPr>
        <w:pStyle w:val="ListNo1"/>
        <w:numPr>
          <w:ilvl w:val="0"/>
          <w:numId w:val="29"/>
        </w:numPr>
      </w:pPr>
      <w:r>
        <w:t xml:space="preserve">the applicants had failed to do adequate monitoring which could have revealed </w:t>
      </w:r>
      <w:r w:rsidR="0051060F">
        <w:t xml:space="preserve">serious </w:t>
      </w:r>
      <w:r>
        <w:t>infringers, i.e. persons involved in multiple downloads of multiple films;</w:t>
      </w:r>
    </w:p>
    <w:p w:rsidR="00F871D9" w:rsidRDefault="00F871D9" w:rsidP="00E93999">
      <w:pPr>
        <w:pStyle w:val="ListNo1"/>
        <w:numPr>
          <w:ilvl w:val="0"/>
          <w:numId w:val="29"/>
        </w:numPr>
      </w:pPr>
      <w:r>
        <w:t xml:space="preserve">there was evidence which suggested that the applicants were going to engage in the practice of speculative invoicing if they were given the information which they sought.  </w:t>
      </w:r>
      <w:r w:rsidR="006D0121">
        <w:t>W</w:t>
      </w:r>
      <w:r>
        <w:t xml:space="preserve">hat was meant </w:t>
      </w:r>
      <w:r w:rsidR="006D0121">
        <w:t xml:space="preserve">by this </w:t>
      </w:r>
      <w:r>
        <w:t>was that the applicants would write to the account holders demanding a large sum of money and offering to settle for a smaller sum which was still very much in excess of what might actually be recovered in any actual suit.  This was said, in effect, to be sharp practice;</w:t>
      </w:r>
    </w:p>
    <w:p w:rsidR="00F871D9" w:rsidRDefault="00F871D9" w:rsidP="00E93999">
      <w:pPr>
        <w:pStyle w:val="ListNo1"/>
        <w:numPr>
          <w:ilvl w:val="0"/>
          <w:numId w:val="29"/>
        </w:numPr>
      </w:pPr>
      <w:r>
        <w:t>the ISPs were subject to privacy obligations with respect to their customers which should be respected;</w:t>
      </w:r>
    </w:p>
    <w:p w:rsidR="00F871D9" w:rsidRDefault="00F871D9" w:rsidP="00E93999">
      <w:pPr>
        <w:pStyle w:val="ListNo1"/>
        <w:numPr>
          <w:ilvl w:val="0"/>
          <w:numId w:val="29"/>
        </w:numPr>
      </w:pPr>
      <w:r>
        <w:t>the Federal government had required the industry to formulate an industry code dealing with the issue of internet piracy and the Court should wait until that code was in place rather than granting</w:t>
      </w:r>
      <w:r w:rsidR="0051060F">
        <w:t xml:space="preserve"> the</w:t>
      </w:r>
      <w:r>
        <w:t xml:space="preserve"> relief </w:t>
      </w:r>
      <w:r w:rsidR="0051060F">
        <w:t>sought</w:t>
      </w:r>
      <w:r>
        <w:t>; and</w:t>
      </w:r>
    </w:p>
    <w:p w:rsidR="00F871D9" w:rsidRDefault="00F871D9" w:rsidP="00E93999">
      <w:pPr>
        <w:pStyle w:val="ListNo1"/>
        <w:numPr>
          <w:ilvl w:val="0"/>
          <w:numId w:val="29"/>
        </w:numPr>
      </w:pPr>
      <w:r>
        <w:t xml:space="preserve">the </w:t>
      </w:r>
      <w:proofErr w:type="spellStart"/>
      <w:r>
        <w:t>FCR</w:t>
      </w:r>
      <w:proofErr w:type="spellEnd"/>
      <w:r>
        <w:t xml:space="preserve"> 7.22 process was being used as a tool of investigation rather than identification.</w:t>
      </w:r>
    </w:p>
    <w:p w:rsidR="00573CF5" w:rsidRDefault="00573CF5" w:rsidP="00573CF5">
      <w:pPr>
        <w:pStyle w:val="ParaNumbering"/>
      </w:pPr>
      <w:r>
        <w:lastRenderedPageBreak/>
        <w:t>I do not accept that these matters</w:t>
      </w:r>
      <w:r w:rsidR="000172BF">
        <w:t xml:space="preserve">, either individually or cumulatively, </w:t>
      </w:r>
      <w:r>
        <w:t>would justify me in withholding relief to the applicants</w:t>
      </w:r>
      <w:r w:rsidR="0051060F">
        <w:t>,</w:t>
      </w:r>
      <w:r w:rsidR="00010AE9">
        <w:t xml:space="preserve"> although I do accept that some of them impact on the terms upon which discovery should be granted</w:t>
      </w:r>
      <w:r>
        <w:t>.</w:t>
      </w:r>
      <w:r w:rsidR="0051060F">
        <w:t xml:space="preserve">  I shall deal with each in turn.</w:t>
      </w:r>
    </w:p>
    <w:p w:rsidR="00573CF5" w:rsidRDefault="00573CF5" w:rsidP="00573CF5">
      <w:pPr>
        <w:pStyle w:val="ParaNumbering"/>
      </w:pPr>
      <w:r>
        <w:t>As to (</w:t>
      </w:r>
      <w:proofErr w:type="spellStart"/>
      <w:r w:rsidR="00F871D9">
        <w:t>i</w:t>
      </w:r>
      <w:proofErr w:type="spellEnd"/>
      <w:r>
        <w:t>)</w:t>
      </w:r>
      <w:r w:rsidR="0051060F">
        <w:t xml:space="preserve"> (the de </w:t>
      </w:r>
      <w:proofErr w:type="spellStart"/>
      <w:r w:rsidR="0051060F">
        <w:t>minimis</w:t>
      </w:r>
      <w:proofErr w:type="spellEnd"/>
      <w:r w:rsidR="0051060F">
        <w:t xml:space="preserve"> infringement argument)</w:t>
      </w:r>
      <w:r>
        <w:t>: I have already dealt with this.</w:t>
      </w:r>
    </w:p>
    <w:p w:rsidR="00573CF5" w:rsidRDefault="00B8179A" w:rsidP="00B8179A">
      <w:pPr>
        <w:pStyle w:val="ParaNumbering"/>
      </w:pPr>
      <w:r>
        <w:t>As to (</w:t>
      </w:r>
      <w:r w:rsidR="00F871D9">
        <w:t>ii</w:t>
      </w:r>
      <w:r>
        <w:t>) (the trivial nature of each sharing incident)</w:t>
      </w:r>
      <w:r w:rsidR="0051060F">
        <w:t>:</w:t>
      </w:r>
      <w:r>
        <w:t xml:space="preserve"> it is, I think, important to be clear about what is involved in </w:t>
      </w:r>
      <w:r w:rsidR="00941AEE">
        <w:t xml:space="preserve">an application under </w:t>
      </w:r>
      <w:proofErr w:type="spellStart"/>
      <w:r w:rsidR="00941AEE">
        <w:t>FCR</w:t>
      </w:r>
      <w:proofErr w:type="spellEnd"/>
      <w:r w:rsidR="00941AEE">
        <w:t xml:space="preserve"> 7.22.  It is a procedure to identify </w:t>
      </w:r>
      <w:r w:rsidR="0051060F">
        <w:t xml:space="preserve">putative </w:t>
      </w:r>
      <w:r w:rsidR="00F871D9">
        <w:t>respondents</w:t>
      </w:r>
      <w:r w:rsidR="00941AEE">
        <w:t>.  It is not a procedure for working out how good those claims are</w:t>
      </w:r>
      <w:r w:rsidR="0051060F">
        <w:t>,</w:t>
      </w:r>
      <w:r w:rsidR="00941AEE">
        <w:t xml:space="preserve"> other than in the sense of eliminating plainly frivolous exercises.  But it is very far from apparent that</w:t>
      </w:r>
      <w:r w:rsidR="002B4A1A">
        <w:t xml:space="preserve"> the current exercise is frivolous.  It may be true that for single instances of infringement the damages are likely to be modest</w:t>
      </w:r>
      <w:r w:rsidR="0051060F">
        <w:t xml:space="preserve"> and</w:t>
      </w:r>
      <w:r w:rsidR="00F871D9">
        <w:t xml:space="preserve"> quite</w:t>
      </w:r>
      <w:r w:rsidR="002B4A1A">
        <w:t xml:space="preserve"> possibly limited to the foregone licence fee that would have been paid had the film been lawfu</w:t>
      </w:r>
      <w:r w:rsidR="000172BF">
        <w:t>lly downloaded</w:t>
      </w:r>
      <w:r w:rsidR="0051060F">
        <w:t>,</w:t>
      </w:r>
      <w:r w:rsidR="000172BF">
        <w:t xml:space="preserve"> although </w:t>
      </w:r>
      <w:proofErr w:type="spellStart"/>
      <w:r w:rsidR="000172BF">
        <w:rPr>
          <w:i/>
        </w:rPr>
        <w:t>quaere</w:t>
      </w:r>
      <w:proofErr w:type="spellEnd"/>
      <w:r w:rsidR="000172BF">
        <w:t xml:space="preserve"> whether this is so where</w:t>
      </w:r>
      <w:r w:rsidR="00F871D9">
        <w:t xml:space="preserve"> the film had been shared </w:t>
      </w:r>
      <w:r w:rsidR="000172BF">
        <w:t xml:space="preserve">because it </w:t>
      </w:r>
      <w:r w:rsidR="00F871D9">
        <w:t>wa</w:t>
      </w:r>
      <w:r w:rsidR="000172BF">
        <w:t>s not available in the Australian market at all</w:t>
      </w:r>
      <w:r w:rsidR="002B4A1A">
        <w:t>.</w:t>
      </w:r>
    </w:p>
    <w:p w:rsidR="002B4A1A" w:rsidRDefault="000172BF" w:rsidP="00B8179A">
      <w:pPr>
        <w:pStyle w:val="ParaNumbering"/>
      </w:pPr>
      <w:r>
        <w:t>Regardless, I am not persuaded that</w:t>
      </w:r>
      <w:r w:rsidR="002B4A1A">
        <w:t xml:space="preserve"> a suit by the copyright owner naming</w:t>
      </w:r>
      <w:r w:rsidR="00F871D9">
        <w:t xml:space="preserve"> individual </w:t>
      </w:r>
      <w:proofErr w:type="spellStart"/>
      <w:r w:rsidR="00F871D9">
        <w:t>B</w:t>
      </w:r>
      <w:r w:rsidR="002B4A1A">
        <w:t>itTorrent</w:t>
      </w:r>
      <w:proofErr w:type="spellEnd"/>
      <w:r w:rsidR="002B4A1A">
        <w:t xml:space="preserve"> users would</w:t>
      </w:r>
      <w:r>
        <w:t xml:space="preserve"> </w:t>
      </w:r>
      <w:r w:rsidR="002B4A1A">
        <w:t xml:space="preserve">be economically pointless.  Further, in the case of multiple downloaders it must be considered at least plausible that a copyright owner may </w:t>
      </w:r>
      <w:r w:rsidR="00F871D9">
        <w:t xml:space="preserve">be able to </w:t>
      </w:r>
      <w:r w:rsidR="002B4A1A">
        <w:t>obtain aggravated  damages under s 11</w:t>
      </w:r>
      <w:r w:rsidR="0053163C">
        <w:t>5</w:t>
      </w:r>
      <w:r w:rsidR="002B4A1A">
        <w:t>(</w:t>
      </w:r>
      <w:r w:rsidR="00F871D9">
        <w:t>4</w:t>
      </w:r>
      <w:r w:rsidR="002B4A1A">
        <w:t>)</w:t>
      </w:r>
      <w:r w:rsidR="0051060F">
        <w:t>,</w:t>
      </w:r>
      <w:r w:rsidR="002B4A1A">
        <w:t xml:space="preserve"> which provides:</w:t>
      </w:r>
    </w:p>
    <w:p w:rsidR="00245567" w:rsidRDefault="0051060F" w:rsidP="0051060F">
      <w:pPr>
        <w:pStyle w:val="Quote1"/>
        <w:spacing w:before="120" w:after="120"/>
      </w:pPr>
      <w:r>
        <w:t>‘</w:t>
      </w:r>
      <w:r w:rsidR="00245567" w:rsidRPr="0028464B">
        <w:t>(4)</w:t>
      </w:r>
      <w:r w:rsidR="00245567" w:rsidRPr="0028464B">
        <w:tab/>
        <w:t>Where, in an action under this section:</w:t>
      </w:r>
    </w:p>
    <w:p w:rsidR="00245567" w:rsidRDefault="00245567" w:rsidP="0051060F">
      <w:pPr>
        <w:pStyle w:val="Quote2"/>
        <w:spacing w:before="120" w:after="120"/>
      </w:pPr>
      <w:r w:rsidRPr="0028464B">
        <w:t>(a)</w:t>
      </w:r>
      <w:r w:rsidRPr="0028464B">
        <w:tab/>
        <w:t>an infringement of copyright is established; and</w:t>
      </w:r>
    </w:p>
    <w:p w:rsidR="00245567" w:rsidRDefault="00245567" w:rsidP="0051060F">
      <w:pPr>
        <w:pStyle w:val="Quote2"/>
        <w:spacing w:before="120" w:after="120"/>
      </w:pPr>
      <w:r w:rsidRPr="0028464B">
        <w:t>(b)</w:t>
      </w:r>
      <w:r w:rsidRPr="0028464B">
        <w:tab/>
        <w:t>the court is satisfied that it is proper to do so, having regard to:</w:t>
      </w:r>
    </w:p>
    <w:p w:rsidR="00245567" w:rsidRPr="0028464B" w:rsidRDefault="00245567" w:rsidP="0051060F">
      <w:pPr>
        <w:pStyle w:val="Quote3"/>
        <w:spacing w:before="120" w:after="120"/>
        <w:ind w:right="734"/>
      </w:pPr>
      <w:r w:rsidRPr="0028464B">
        <w:t>(</w:t>
      </w:r>
      <w:proofErr w:type="spellStart"/>
      <w:r w:rsidRPr="0028464B">
        <w:t>i</w:t>
      </w:r>
      <w:proofErr w:type="spellEnd"/>
      <w:r w:rsidRPr="0028464B">
        <w:t>)</w:t>
      </w:r>
      <w:r w:rsidRPr="0028464B">
        <w:tab/>
        <w:t>the flagrancy of the infringement; and</w:t>
      </w:r>
    </w:p>
    <w:p w:rsidR="00245567" w:rsidRPr="0028464B" w:rsidRDefault="00245567" w:rsidP="0051060F">
      <w:pPr>
        <w:pStyle w:val="Quote3"/>
        <w:spacing w:before="120" w:after="120"/>
        <w:ind w:right="734"/>
      </w:pPr>
      <w:r w:rsidRPr="0028464B">
        <w:t>(</w:t>
      </w:r>
      <w:proofErr w:type="spellStart"/>
      <w:r w:rsidRPr="0028464B">
        <w:t>ia</w:t>
      </w:r>
      <w:proofErr w:type="spellEnd"/>
      <w:r w:rsidRPr="0028464B">
        <w:t>)</w:t>
      </w:r>
      <w:r w:rsidRPr="0028464B">
        <w:tab/>
        <w:t>the need to deter similar infringements of copyright; and</w:t>
      </w:r>
    </w:p>
    <w:p w:rsidR="00245567" w:rsidRPr="0028464B" w:rsidRDefault="00245567" w:rsidP="0051060F">
      <w:pPr>
        <w:pStyle w:val="Quote3"/>
        <w:spacing w:before="120" w:after="120"/>
        <w:ind w:left="2880" w:right="734" w:hanging="720"/>
      </w:pPr>
      <w:r w:rsidRPr="0028464B">
        <w:t>(</w:t>
      </w:r>
      <w:proofErr w:type="spellStart"/>
      <w:r w:rsidRPr="0028464B">
        <w:t>ib</w:t>
      </w:r>
      <w:proofErr w:type="spellEnd"/>
      <w:r w:rsidRPr="0028464B">
        <w:t>)</w:t>
      </w:r>
      <w:r w:rsidRPr="0028464B">
        <w:tab/>
        <w:t>the conduct of the defendant after the act constituting the infringement or, if relevant, after the defendant was informed that the defendant had allegedly infringed the plaintiff’s copyright; and</w:t>
      </w:r>
    </w:p>
    <w:p w:rsidR="00245567" w:rsidRPr="0028464B" w:rsidRDefault="00245567" w:rsidP="0051060F">
      <w:pPr>
        <w:pStyle w:val="Quote3"/>
        <w:spacing w:before="120" w:after="120"/>
        <w:ind w:left="2880" w:right="734" w:hanging="720"/>
      </w:pPr>
      <w:r w:rsidRPr="0028464B">
        <w:t>(ii)</w:t>
      </w:r>
      <w:r w:rsidRPr="0028464B">
        <w:tab/>
        <w:t>whether the infringement involved the conversion of a work or other subject</w:t>
      </w:r>
      <w:r>
        <w:noBreakHyphen/>
      </w:r>
      <w:r w:rsidRPr="0028464B">
        <w:t xml:space="preserve">matter from hardcopy or </w:t>
      </w:r>
      <w:proofErr w:type="spellStart"/>
      <w:r w:rsidRPr="0028464B">
        <w:t>analog</w:t>
      </w:r>
      <w:proofErr w:type="spellEnd"/>
      <w:r w:rsidRPr="0028464B">
        <w:t xml:space="preserve"> form into a digital or other electronic machine</w:t>
      </w:r>
      <w:r>
        <w:noBreakHyphen/>
      </w:r>
      <w:r w:rsidRPr="0028464B">
        <w:t>readable form; and</w:t>
      </w:r>
    </w:p>
    <w:p w:rsidR="00245567" w:rsidRPr="0028464B" w:rsidRDefault="00245567" w:rsidP="0051060F">
      <w:pPr>
        <w:pStyle w:val="Quote3"/>
        <w:spacing w:before="120" w:after="120"/>
        <w:ind w:left="2880" w:right="734" w:hanging="720"/>
      </w:pPr>
      <w:r w:rsidRPr="0028464B">
        <w:t>(iii)</w:t>
      </w:r>
      <w:r w:rsidRPr="0028464B">
        <w:tab/>
        <w:t>any benefit shown to have accrued to the defendant by reason of the infringement; and</w:t>
      </w:r>
    </w:p>
    <w:p w:rsidR="00245567" w:rsidRPr="0028464B" w:rsidRDefault="00245567" w:rsidP="0051060F">
      <w:pPr>
        <w:pStyle w:val="Quote3"/>
        <w:spacing w:before="120" w:after="120"/>
        <w:ind w:right="734"/>
      </w:pPr>
      <w:r w:rsidRPr="0028464B">
        <w:t>(iv)</w:t>
      </w:r>
      <w:r w:rsidRPr="0028464B">
        <w:tab/>
        <w:t>all other relevant matters;</w:t>
      </w:r>
    </w:p>
    <w:p w:rsidR="00245567" w:rsidRDefault="00245567" w:rsidP="0051060F">
      <w:pPr>
        <w:pStyle w:val="Quote2"/>
        <w:spacing w:before="120" w:after="120"/>
        <w:ind w:right="734"/>
      </w:pPr>
      <w:r w:rsidRPr="0028464B">
        <w:t>the court may, in assessing damages for the infringement, award such additional damages as it considers appropriate in the circumstances.</w:t>
      </w:r>
      <w:r w:rsidR="0051060F">
        <w:t>’</w:t>
      </w:r>
    </w:p>
    <w:p w:rsidR="00245567" w:rsidRPr="0028464B" w:rsidRDefault="00245567" w:rsidP="00245567">
      <w:pPr>
        <w:pStyle w:val="Quote2"/>
        <w:ind w:right="734"/>
      </w:pPr>
    </w:p>
    <w:p w:rsidR="0053163C" w:rsidRDefault="00245567" w:rsidP="00245567">
      <w:pPr>
        <w:pStyle w:val="ParaNumbering"/>
      </w:pPr>
      <w:r>
        <w:lastRenderedPageBreak/>
        <w:t xml:space="preserve">One aspect of this provision is </w:t>
      </w:r>
      <w:r w:rsidR="00F871D9">
        <w:t xml:space="preserve">the need to provide </w:t>
      </w:r>
      <w:r w:rsidR="008F4DC0">
        <w:t xml:space="preserve">deterrence. </w:t>
      </w:r>
      <w:r>
        <w:t xml:space="preserve"> It is not beyond the realm of possibilities that damages </w:t>
      </w:r>
      <w:r w:rsidR="000172BF">
        <w:t xml:space="preserve">of </w:t>
      </w:r>
      <w:r w:rsidR="00F871D9">
        <w:t xml:space="preserve">a </w:t>
      </w:r>
      <w:r w:rsidR="000172BF">
        <w:t xml:space="preserve">sufficient size </w:t>
      </w:r>
      <w:r>
        <w:t xml:space="preserve">might be awarded </w:t>
      </w:r>
      <w:r w:rsidR="00F871D9">
        <w:t xml:space="preserve">under this provision </w:t>
      </w:r>
      <w:r>
        <w:t xml:space="preserve">in an appropriately </w:t>
      </w:r>
      <w:r w:rsidR="008F4DC0">
        <w:t>serious case</w:t>
      </w:r>
      <w:r w:rsidR="0051060F">
        <w:t xml:space="preserve"> in a bid</w:t>
      </w:r>
      <w:r w:rsidR="008F4DC0">
        <w:t xml:space="preserve"> </w:t>
      </w:r>
      <w:r w:rsidR="000172BF">
        <w:t>t</w:t>
      </w:r>
      <w:r w:rsidR="008F4DC0">
        <w:t>o deter</w:t>
      </w:r>
      <w:r w:rsidR="0051060F">
        <w:t xml:space="preserve"> people from the</w:t>
      </w:r>
      <w:r w:rsidR="008F4DC0">
        <w:t xml:space="preserve"> file sharing of films.  There is no need to speculate on what those </w:t>
      </w:r>
      <w:r w:rsidR="0051060F">
        <w:t xml:space="preserve">damages </w:t>
      </w:r>
      <w:r w:rsidR="008F4DC0">
        <w:t xml:space="preserve">might be.  For present purposes, it is enough only to observe that the ISPs’ submission that what the rights owners have in mind is frivolous or </w:t>
      </w:r>
      <w:r w:rsidR="000172BF">
        <w:t xml:space="preserve">de </w:t>
      </w:r>
      <w:proofErr w:type="spellStart"/>
      <w:r w:rsidR="008F4DC0">
        <w:t>minim</w:t>
      </w:r>
      <w:r w:rsidR="000172BF">
        <w:t>i</w:t>
      </w:r>
      <w:r w:rsidR="008F4DC0">
        <w:t>s</w:t>
      </w:r>
      <w:proofErr w:type="spellEnd"/>
      <w:r w:rsidR="008F4DC0">
        <w:t xml:space="preserve"> is a su</w:t>
      </w:r>
      <w:r w:rsidR="000172BF">
        <w:t xml:space="preserve">bmission which </w:t>
      </w:r>
      <w:r w:rsidR="0051060F">
        <w:t xml:space="preserve">does not </w:t>
      </w:r>
      <w:r w:rsidR="008F4DC0">
        <w:t>afford sufficient weight to the genuine rights which h</w:t>
      </w:r>
      <w:r w:rsidR="0053163C">
        <w:t>ere exist</w:t>
      </w:r>
      <w:r w:rsidR="0051060F">
        <w:t>,</w:t>
      </w:r>
      <w:r w:rsidR="0053163C">
        <w:t xml:space="preserve"> and which are expressly recognised by statute.</w:t>
      </w:r>
    </w:p>
    <w:p w:rsidR="00731FB0" w:rsidRDefault="0053163C" w:rsidP="00245567">
      <w:pPr>
        <w:pStyle w:val="ParaNumbering"/>
      </w:pPr>
      <w:r>
        <w:t>As to (</w:t>
      </w:r>
      <w:r w:rsidR="00F871D9">
        <w:t>iii</w:t>
      </w:r>
      <w:r>
        <w:t>) (the unlikelihood of obtaining injunctive relief)</w:t>
      </w:r>
      <w:r w:rsidR="0051060F">
        <w:t>:</w:t>
      </w:r>
      <w:r>
        <w:t xml:space="preserve"> really the same point is to be made.  I do </w:t>
      </w:r>
      <w:r w:rsidRPr="000172BF">
        <w:t>not</w:t>
      </w:r>
      <w:r>
        <w:rPr>
          <w:i/>
        </w:rPr>
        <w:t xml:space="preserve"> </w:t>
      </w:r>
      <w:r>
        <w:t xml:space="preserve">think it unlikely that injunctive relief </w:t>
      </w:r>
      <w:r w:rsidR="000172BF">
        <w:t>may</w:t>
      </w:r>
      <w:r w:rsidR="0051060F">
        <w:t xml:space="preserve"> ultimately be granted</w:t>
      </w:r>
      <w:r>
        <w:t xml:space="preserve"> but I do </w:t>
      </w:r>
      <w:r w:rsidR="00F871D9">
        <w:t>not, in any event, consider</w:t>
      </w:r>
      <w:r>
        <w:t xml:space="preserve"> that an application such as the present is an appropriate occasion to consider such a submission.</w:t>
      </w:r>
      <w:r w:rsidR="008F4DC0">
        <w:t xml:space="preserve"> </w:t>
      </w:r>
    </w:p>
    <w:p w:rsidR="00F871D9" w:rsidRDefault="00F871D9" w:rsidP="00245567">
      <w:pPr>
        <w:pStyle w:val="ParaNumbering"/>
      </w:pPr>
      <w:r>
        <w:t>As to (iv) (the failure of the applicants to identify and pursue only persons involved in acts of multiple downloading)</w:t>
      </w:r>
      <w:r w:rsidR="0051060F">
        <w:t>:</w:t>
      </w:r>
      <w:r>
        <w:t xml:space="preserve"> this is </w:t>
      </w:r>
      <w:proofErr w:type="spellStart"/>
      <w:r>
        <w:t>besides</w:t>
      </w:r>
      <w:proofErr w:type="spellEnd"/>
      <w:r>
        <w:t xml:space="preserve"> the point given my conclusions on (ii).</w:t>
      </w:r>
    </w:p>
    <w:p w:rsidR="0053163C" w:rsidRDefault="0053163C" w:rsidP="00245567">
      <w:pPr>
        <w:pStyle w:val="ParaNumbering"/>
      </w:pPr>
      <w:r>
        <w:t>As to (</w:t>
      </w:r>
      <w:r w:rsidR="00F871D9">
        <w:t>v</w:t>
      </w:r>
      <w:r>
        <w:t xml:space="preserve">) </w:t>
      </w:r>
      <w:r w:rsidR="003579ED">
        <w:t xml:space="preserve">(speculative invoicing): there is no doubt that Voltage has done this in the past.  There were a number of instances put before me of Voltage having written, in the United States, very aggressive letters indicating to the identified account holder a liability </w:t>
      </w:r>
      <w:r w:rsidR="00894C54">
        <w:t>for</w:t>
      </w:r>
      <w:r w:rsidR="003579ED">
        <w:t xml:space="preserve"> substantial damages and offering to settle for a smaller (but still large) sum.  Mr </w:t>
      </w:r>
      <w:proofErr w:type="spellStart"/>
      <w:r w:rsidR="003579ED">
        <w:t>Wickstrom</w:t>
      </w:r>
      <w:proofErr w:type="spellEnd"/>
      <w:r w:rsidR="003579ED">
        <w:t xml:space="preserve"> gave evidence that this would not be happening in Australia.  My impression was that Mr </w:t>
      </w:r>
      <w:proofErr w:type="spellStart"/>
      <w:r w:rsidR="003579ED">
        <w:t>Wickstrom</w:t>
      </w:r>
      <w:proofErr w:type="spellEnd"/>
      <w:r w:rsidR="003579ED">
        <w:t xml:space="preserve"> </w:t>
      </w:r>
      <w:r w:rsidR="000172BF">
        <w:t>w</w:t>
      </w:r>
      <w:r w:rsidR="003579ED">
        <w:t>ould act as aggressively as he was legally permitted, a proposition from which counsel for the applicants, Mr Pike SC, did not dissent.</w:t>
      </w:r>
    </w:p>
    <w:p w:rsidR="003579ED" w:rsidRDefault="003579ED" w:rsidP="00245567">
      <w:pPr>
        <w:pStyle w:val="ParaNumbering"/>
      </w:pPr>
      <w:r>
        <w:t xml:space="preserve">Whether speculative invoicing is a lawful </w:t>
      </w:r>
      <w:r w:rsidR="006A690E">
        <w:t>practice</w:t>
      </w:r>
      <w:r>
        <w:t xml:space="preserve"> in Australia is not necessarily an easy matter to assess.  Representing to a consumer that they have a liability which they do not may well be misleading and deceptive conduct within the meaning of </w:t>
      </w:r>
      <w:r w:rsidR="000172BF">
        <w:t>s 18</w:t>
      </w:r>
      <w:r>
        <w:t xml:space="preserve"> of the </w:t>
      </w:r>
      <w:r>
        <w:rPr>
          <w:i/>
        </w:rPr>
        <w:t xml:space="preserve">Australian Consumer Law </w:t>
      </w:r>
      <w:r>
        <w:t>and it may be equally misleading to represent to someone that their potential liability is much higher than it could ever realistically be.  There may also be something to be said for the idea that speculati</w:t>
      </w:r>
      <w:r w:rsidR="00B1122B">
        <w:t xml:space="preserve">ve invoicing might be a species of unconscionable conduct within one or other of s 21 of the </w:t>
      </w:r>
      <w:r w:rsidR="00B1122B">
        <w:rPr>
          <w:i/>
        </w:rPr>
        <w:t xml:space="preserve">Australian Consumer Law </w:t>
      </w:r>
      <w:r w:rsidR="00B1122B">
        <w:t>or s </w:t>
      </w:r>
      <w:proofErr w:type="spellStart"/>
      <w:r w:rsidR="00B1122B">
        <w:t>12CB</w:t>
      </w:r>
      <w:proofErr w:type="spellEnd"/>
      <w:r w:rsidR="00B1122B">
        <w:t xml:space="preserve"> of the </w:t>
      </w:r>
      <w:r w:rsidR="00B1122B">
        <w:rPr>
          <w:i/>
        </w:rPr>
        <w:t xml:space="preserve">Australian Securities and Investments Commission Act 2001 </w:t>
      </w:r>
      <w:r w:rsidR="00B1122B">
        <w:t>(</w:t>
      </w:r>
      <w:proofErr w:type="spellStart"/>
      <w:r w:rsidR="00B1122B">
        <w:t>Cth</w:t>
      </w:r>
      <w:proofErr w:type="spellEnd"/>
      <w:r w:rsidR="00B1122B">
        <w:t xml:space="preserve">).  In the former, however, it would be necessary to identify a supply of goods or services which may be difficult.  In the latter, it </w:t>
      </w:r>
      <w:r w:rsidR="00F871D9">
        <w:t>would be</w:t>
      </w:r>
      <w:r w:rsidR="00B1122B">
        <w:t xml:space="preserve"> necessary to identify a financial service which may also not be without difficulty.</w:t>
      </w:r>
    </w:p>
    <w:p w:rsidR="003B54D2" w:rsidRDefault="009B1B3D" w:rsidP="00245567">
      <w:pPr>
        <w:pStyle w:val="ParaNumbering"/>
      </w:pPr>
      <w:r>
        <w:lastRenderedPageBreak/>
        <w:t xml:space="preserve">Having regard to the likely identity of many account holders and their potential vulnerability to what may appear to be abusive practices I propose to impose conditions on the applicants that will prevent speculative invoicing.  This course has been taken in other jurisdictions.  In </w:t>
      </w:r>
      <w:r>
        <w:rPr>
          <w:i/>
        </w:rPr>
        <w:t>Golde</w:t>
      </w:r>
      <w:r w:rsidR="003B54D2">
        <w:rPr>
          <w:i/>
        </w:rPr>
        <w:t>n</w:t>
      </w:r>
      <w:r w:rsidR="008361A8">
        <w:rPr>
          <w:i/>
        </w:rPr>
        <w:t xml:space="preserve"> E</w:t>
      </w:r>
      <w:r>
        <w:rPr>
          <w:i/>
        </w:rPr>
        <w:t>ye</w:t>
      </w:r>
      <w:r w:rsidR="0051060F">
        <w:rPr>
          <w:i/>
        </w:rPr>
        <w:t xml:space="preserve"> (International) Ltd</w:t>
      </w:r>
      <w:r>
        <w:rPr>
          <w:i/>
        </w:rPr>
        <w:t xml:space="preserve"> v Telef</w:t>
      </w:r>
      <w:r w:rsidR="008361A8">
        <w:rPr>
          <w:i/>
        </w:rPr>
        <w:t>o</w:t>
      </w:r>
      <w:r>
        <w:rPr>
          <w:i/>
        </w:rPr>
        <w:t>nica</w:t>
      </w:r>
      <w:r w:rsidR="0051060F">
        <w:rPr>
          <w:i/>
        </w:rPr>
        <w:t xml:space="preserve"> UK Ltd</w:t>
      </w:r>
      <w:r>
        <w:rPr>
          <w:i/>
        </w:rPr>
        <w:t xml:space="preserve"> </w:t>
      </w:r>
      <w:r>
        <w:t xml:space="preserve">[2012] </w:t>
      </w:r>
      <w:proofErr w:type="spellStart"/>
      <w:r>
        <w:t>EWHC</w:t>
      </w:r>
      <w:proofErr w:type="spellEnd"/>
      <w:r>
        <w:t xml:space="preserve"> 723 (</w:t>
      </w:r>
      <w:proofErr w:type="spellStart"/>
      <w:r>
        <w:t>Ch</w:t>
      </w:r>
      <w:proofErr w:type="spellEnd"/>
      <w:r>
        <w:t xml:space="preserve">) the English High Court </w:t>
      </w:r>
      <w:r w:rsidR="0051060F">
        <w:t xml:space="preserve">of Justice </w:t>
      </w:r>
      <w:r>
        <w:t>granted preliminary discovery against an ISP at the suit of a producer of pornographic films but required the applicant to submit</w:t>
      </w:r>
      <w:r w:rsidR="00F871D9">
        <w:t xml:space="preserve"> to the Court for prior approval </w:t>
      </w:r>
      <w:r>
        <w:t xml:space="preserve">a draft of the letter </w:t>
      </w:r>
      <w:r w:rsidR="00F871D9">
        <w:t xml:space="preserve">which was </w:t>
      </w:r>
      <w:r>
        <w:t xml:space="preserve">to be sent to the </w:t>
      </w:r>
      <w:r w:rsidR="0051060F">
        <w:t xml:space="preserve">identified </w:t>
      </w:r>
      <w:r>
        <w:t>account holder</w:t>
      </w:r>
      <w:r w:rsidR="0051060F">
        <w:t>s.  There was a</w:t>
      </w:r>
      <w:r>
        <w:t xml:space="preserve">n appeal to the Court of Appeal </w:t>
      </w:r>
      <w:r w:rsidR="0051060F">
        <w:t>regarding the expansion of discovery to other claimants, who were other copyright holders, and this appeal was allowed, but certainly no doubt was cast on the decision to permit preliminary discovery</w:t>
      </w:r>
      <w:r w:rsidR="00B7145C">
        <w:t xml:space="preserve">:  see </w:t>
      </w:r>
      <w:r>
        <w:rPr>
          <w:i/>
        </w:rPr>
        <w:t>Golden</w:t>
      </w:r>
      <w:r w:rsidR="008361A8">
        <w:rPr>
          <w:i/>
        </w:rPr>
        <w:t xml:space="preserve"> E</w:t>
      </w:r>
      <w:r>
        <w:rPr>
          <w:i/>
        </w:rPr>
        <w:t>ye</w:t>
      </w:r>
      <w:r w:rsidR="00B7145C">
        <w:rPr>
          <w:i/>
        </w:rPr>
        <w:t xml:space="preserve"> (International) Ltd</w:t>
      </w:r>
      <w:r>
        <w:rPr>
          <w:i/>
        </w:rPr>
        <w:t xml:space="preserve"> v Telef</w:t>
      </w:r>
      <w:r w:rsidR="008361A8">
        <w:rPr>
          <w:i/>
        </w:rPr>
        <w:t>o</w:t>
      </w:r>
      <w:r>
        <w:rPr>
          <w:i/>
        </w:rPr>
        <w:t>nica</w:t>
      </w:r>
      <w:r w:rsidR="00B7145C">
        <w:rPr>
          <w:i/>
        </w:rPr>
        <w:t xml:space="preserve"> UK Ltd</w:t>
      </w:r>
      <w:r>
        <w:rPr>
          <w:i/>
        </w:rPr>
        <w:t xml:space="preserve"> </w:t>
      </w:r>
      <w:r>
        <w:t xml:space="preserve">[2012] </w:t>
      </w:r>
      <w:proofErr w:type="spellStart"/>
      <w:r>
        <w:t>EWCA</w:t>
      </w:r>
      <w:proofErr w:type="spellEnd"/>
      <w:r>
        <w:t xml:space="preserve"> </w:t>
      </w:r>
      <w:proofErr w:type="spellStart"/>
      <w:r>
        <w:t>Civ</w:t>
      </w:r>
      <w:proofErr w:type="spellEnd"/>
      <w:r>
        <w:t xml:space="preserve"> 1740 at [29].  The same approach has been taken in the Federal Court of Canada:  </w:t>
      </w:r>
      <w:r>
        <w:rPr>
          <w:i/>
        </w:rPr>
        <w:t>Voltage</w:t>
      </w:r>
      <w:r w:rsidR="00F809BF">
        <w:rPr>
          <w:i/>
        </w:rPr>
        <w:t xml:space="preserve"> Pictures LLC</w:t>
      </w:r>
      <w:r>
        <w:rPr>
          <w:i/>
        </w:rPr>
        <w:t xml:space="preserve"> v </w:t>
      </w:r>
      <w:r w:rsidR="00F809BF">
        <w:rPr>
          <w:i/>
        </w:rPr>
        <w:t xml:space="preserve">John </w:t>
      </w:r>
      <w:r>
        <w:rPr>
          <w:i/>
        </w:rPr>
        <w:t xml:space="preserve">Doe </w:t>
      </w:r>
      <w:r w:rsidR="00950B36">
        <w:t>[</w:t>
      </w:r>
      <w:r w:rsidR="00F809BF">
        <w:t>2014</w:t>
      </w:r>
      <w:r w:rsidR="00950B36">
        <w:t>]</w:t>
      </w:r>
      <w:r w:rsidR="00F809BF">
        <w:t xml:space="preserve"> FC 161 at [133]-[139</w:t>
      </w:r>
      <w:r>
        <w:t xml:space="preserve">].  Mr Pike submitted that </w:t>
      </w:r>
      <w:r>
        <w:rPr>
          <w:i/>
        </w:rPr>
        <w:t>Golden</w:t>
      </w:r>
      <w:r w:rsidR="008361A8">
        <w:rPr>
          <w:i/>
        </w:rPr>
        <w:t xml:space="preserve"> E</w:t>
      </w:r>
      <w:r>
        <w:rPr>
          <w:i/>
        </w:rPr>
        <w:t xml:space="preserve">ye </w:t>
      </w:r>
      <w:r>
        <w:t xml:space="preserve">might be distinguished </w:t>
      </w:r>
      <w:r w:rsidR="006A690E">
        <w:t>on</w:t>
      </w:r>
      <w:r>
        <w:t xml:space="preserve"> the basis that it involved pornography and hence that there were potential blackmail concerns.  I do not think that this was </w:t>
      </w:r>
      <w:r w:rsidR="000172BF">
        <w:t>the</w:t>
      </w:r>
      <w:r>
        <w:t xml:space="preserve"> basis of the decision.  I read </w:t>
      </w:r>
      <w:r>
        <w:rPr>
          <w:i/>
        </w:rPr>
        <w:t>Golden</w:t>
      </w:r>
      <w:r w:rsidR="008361A8">
        <w:rPr>
          <w:i/>
        </w:rPr>
        <w:t xml:space="preserve"> E</w:t>
      </w:r>
      <w:r w:rsidR="00320BB1">
        <w:rPr>
          <w:i/>
        </w:rPr>
        <w:t>ye</w:t>
      </w:r>
      <w:r>
        <w:t xml:space="preserve"> as being concerned with the consequences </w:t>
      </w:r>
      <w:r w:rsidR="00F871D9">
        <w:t>to</w:t>
      </w:r>
      <w:r>
        <w:t xml:space="preserve"> persons who are un</w:t>
      </w:r>
      <w:r w:rsidR="00F871D9">
        <w:t>tutored</w:t>
      </w:r>
      <w:r>
        <w:t xml:space="preserve"> about litigation receiving </w:t>
      </w:r>
      <w:r w:rsidR="00F871D9">
        <w:t xml:space="preserve">menacing </w:t>
      </w:r>
      <w:r>
        <w:t xml:space="preserve">correspondence </w:t>
      </w:r>
      <w:r w:rsidR="003B54D2">
        <w:t>apparently resulting from Court orders.  That concern is the same regardless of the genre of cinematographic work involved.</w:t>
      </w:r>
    </w:p>
    <w:p w:rsidR="00004F71" w:rsidRDefault="003B54D2" w:rsidP="00245567">
      <w:pPr>
        <w:pStyle w:val="ParaNumbering"/>
      </w:pPr>
      <w:r>
        <w:t>As to (</w:t>
      </w:r>
      <w:r w:rsidR="00F871D9">
        <w:t>vi</w:t>
      </w:r>
      <w:r w:rsidR="00320BB1">
        <w:t>) (privacy concerns):</w:t>
      </w:r>
      <w:r>
        <w:t xml:space="preserve"> this is indeed a relevant matter.  Elaborate provision is made under Federal law for the protection of the privacy of individuals’ telecommunications activity.  The first tranche of these</w:t>
      </w:r>
      <w:r w:rsidR="00320BB1">
        <w:t xml:space="preserve"> protections</w:t>
      </w:r>
      <w:r w:rsidR="009C62A3">
        <w:t xml:space="preserve"> is contained in P</w:t>
      </w:r>
      <w:r>
        <w:t xml:space="preserve">t 13 of the </w:t>
      </w:r>
      <w:r>
        <w:rPr>
          <w:i/>
        </w:rPr>
        <w:t>Telecommunications Act 1997</w:t>
      </w:r>
      <w:r w:rsidR="00320BB1">
        <w:rPr>
          <w:i/>
        </w:rPr>
        <w:t xml:space="preserve"> </w:t>
      </w:r>
      <w:r w:rsidR="00320BB1">
        <w:t>(</w:t>
      </w:r>
      <w:proofErr w:type="spellStart"/>
      <w:r w:rsidR="00320BB1">
        <w:t>Cth</w:t>
      </w:r>
      <w:proofErr w:type="spellEnd"/>
      <w:r w:rsidR="00320BB1">
        <w:t>)</w:t>
      </w:r>
      <w:r>
        <w:t xml:space="preserve">.  Division 2 establishes a set of protections entitled ‘Primary </w:t>
      </w:r>
      <w:r w:rsidR="00320BB1">
        <w:t>d</w:t>
      </w:r>
      <w:r>
        <w:t>isclosure</w:t>
      </w:r>
      <w:r w:rsidR="00320BB1">
        <w:t>/use offences</w:t>
      </w:r>
      <w:r>
        <w:t>’.  By s 280</w:t>
      </w:r>
      <w:r w:rsidR="00320BB1">
        <w:t>,</w:t>
      </w:r>
      <w:r>
        <w:t xml:space="preserve"> nothing in </w:t>
      </w:r>
      <w:proofErr w:type="spellStart"/>
      <w:r>
        <w:t>Div</w:t>
      </w:r>
      <w:proofErr w:type="spellEnd"/>
      <w:r>
        <w:t xml:space="preserve"> 2 prevents disclosure required by law.  Thus, regardless of its contents, nothing in </w:t>
      </w:r>
      <w:proofErr w:type="spellStart"/>
      <w:r>
        <w:t>Div</w:t>
      </w:r>
      <w:proofErr w:type="spellEnd"/>
      <w:r>
        <w:t xml:space="preserve"> 2 prevents this Court from ordering the ISPs to disclose the information in question.</w:t>
      </w:r>
    </w:p>
    <w:p w:rsidR="003B54D2" w:rsidRDefault="003B54D2" w:rsidP="00245567">
      <w:pPr>
        <w:pStyle w:val="ParaNumbering"/>
      </w:pPr>
      <w:r>
        <w:t xml:space="preserve">The relevant provision is s 276(1)(a)(iv).  Its effect is that </w:t>
      </w:r>
      <w:r w:rsidR="00057AE7">
        <w:t>an ISP ‘must not disclose or use any information or document that … relates to … the affairs or personal particulars … of another person’.  It was not in dispute that</w:t>
      </w:r>
      <w:r w:rsidR="000172BF">
        <w:t>,</w:t>
      </w:r>
      <w:r w:rsidR="00057AE7">
        <w:t xml:space="preserve"> apart from s 280, this provision prevents the ISPs from disclosing their customer information.  Australian Privacy Principle 6.1</w:t>
      </w:r>
      <w:r w:rsidR="00320BB1">
        <w:t xml:space="preserve"> (contained in </w:t>
      </w:r>
      <w:proofErr w:type="spellStart"/>
      <w:r w:rsidR="00320BB1">
        <w:t>Sch</w:t>
      </w:r>
      <w:proofErr w:type="spellEnd"/>
      <w:r w:rsidR="00320BB1">
        <w:t xml:space="preserve"> 1 of the </w:t>
      </w:r>
      <w:r w:rsidR="00320BB1" w:rsidRPr="00320BB1">
        <w:rPr>
          <w:i/>
        </w:rPr>
        <w:t>Privacy Act 1988</w:t>
      </w:r>
      <w:r w:rsidR="00320BB1">
        <w:t xml:space="preserve"> (</w:t>
      </w:r>
      <w:proofErr w:type="spellStart"/>
      <w:r w:rsidR="00320BB1">
        <w:t>Cth</w:t>
      </w:r>
      <w:proofErr w:type="spellEnd"/>
      <w:r w:rsidR="00320BB1">
        <w:t>))</w:t>
      </w:r>
      <w:r w:rsidR="00057AE7">
        <w:t xml:space="preserve"> is to like effect</w:t>
      </w:r>
      <w:r w:rsidR="00320BB1">
        <w:t>, with 6.2(b) the analogue to s 280</w:t>
      </w:r>
      <w:r w:rsidR="00057AE7">
        <w:t>.   Together</w:t>
      </w:r>
      <w:r w:rsidR="00320BB1">
        <w:t>,</w:t>
      </w:r>
      <w:r w:rsidR="00057AE7">
        <w:t xml:space="preserve"> these provisions demonstrate that the privacy of account holders of ISPs is regarded by the Parliament as having significant value.  Of course, the Parliament has also </w:t>
      </w:r>
      <w:r w:rsidR="00057AE7">
        <w:lastRenderedPageBreak/>
        <w:t>accorded significan</w:t>
      </w:r>
      <w:r w:rsidR="00F871D9">
        <w:t>t value</w:t>
      </w:r>
      <w:r w:rsidR="00057AE7">
        <w:t xml:space="preserve"> to the owners of copyright by enacting the </w:t>
      </w:r>
      <w:r w:rsidR="00057AE7" w:rsidRPr="00320BB1">
        <w:t>Copyright Act</w:t>
      </w:r>
      <w:r w:rsidR="00057AE7">
        <w:rPr>
          <w:i/>
        </w:rPr>
        <w:t xml:space="preserve"> </w:t>
      </w:r>
      <w:r w:rsidR="00057AE7">
        <w:t>and by giving them the right to sue for infringement.</w:t>
      </w:r>
    </w:p>
    <w:p w:rsidR="00057AE7" w:rsidRDefault="00057AE7" w:rsidP="00245567">
      <w:pPr>
        <w:pStyle w:val="ParaNumbering"/>
      </w:pPr>
      <w:r>
        <w:t xml:space="preserve">In situations where </w:t>
      </w:r>
      <w:r w:rsidR="00320BB1">
        <w:t xml:space="preserve">different </w:t>
      </w:r>
      <w:r>
        <w:t>rights clash it is usual for courts to try and accommodate both rights</w:t>
      </w:r>
      <w:r w:rsidR="00F871D9">
        <w:t xml:space="preserve"> as best they can</w:t>
      </w:r>
      <w:r>
        <w:t>.  Here that can be done by requiring the information to be provided but by imposing, by way of conditions, safeguards to ensure that the priv</w:t>
      </w:r>
      <w:r w:rsidR="00320BB1">
        <w:t xml:space="preserve">ate information remains private, which parallels </w:t>
      </w:r>
      <w:r w:rsidR="00894C54">
        <w:t xml:space="preserve">the approach to the </w:t>
      </w:r>
      <w:r w:rsidR="00320BB1">
        <w:t xml:space="preserve">same issue adopted in </w:t>
      </w:r>
      <w:r w:rsidR="00320BB1" w:rsidRPr="00320BB1">
        <w:rPr>
          <w:i/>
        </w:rPr>
        <w:t>Golden Eye</w:t>
      </w:r>
      <w:r w:rsidR="00320BB1">
        <w:t>.</w:t>
      </w:r>
    </w:p>
    <w:p w:rsidR="00057AE7" w:rsidRDefault="00057AE7" w:rsidP="00245567">
      <w:pPr>
        <w:pStyle w:val="ParaNumbering"/>
      </w:pPr>
      <w:r>
        <w:t xml:space="preserve">Further, I propose to constrain the use to which the information may be put to purposes relating only to the recovery of compensation for infringement.  Those purposes </w:t>
      </w:r>
      <w:r w:rsidR="00F871D9">
        <w:t>w</w:t>
      </w:r>
      <w:r>
        <w:t>ould seem to be limited to three situations:</w:t>
      </w:r>
    </w:p>
    <w:p w:rsidR="00057AE7" w:rsidRDefault="006D4B23" w:rsidP="006D4B23">
      <w:pPr>
        <w:pStyle w:val="BodyText"/>
        <w:ind w:left="720"/>
      </w:pPr>
      <w:r>
        <w:t>(a)</w:t>
      </w:r>
      <w:r>
        <w:tab/>
        <w:t xml:space="preserve">seeking to identify end-users using </w:t>
      </w:r>
      <w:proofErr w:type="spellStart"/>
      <w:r>
        <w:t>BitTorrent</w:t>
      </w:r>
      <w:proofErr w:type="spellEnd"/>
      <w:r>
        <w:t xml:space="preserve"> to download </w:t>
      </w:r>
      <w:r w:rsidR="00B40590">
        <w:t>the</w:t>
      </w:r>
      <w:r>
        <w:t xml:space="preserve"> film;</w:t>
      </w:r>
    </w:p>
    <w:p w:rsidR="006D4B23" w:rsidRDefault="006D4B23" w:rsidP="006D4B23">
      <w:pPr>
        <w:pStyle w:val="BodyText"/>
        <w:ind w:left="720"/>
      </w:pPr>
      <w:r>
        <w:t>(b)</w:t>
      </w:r>
      <w:r>
        <w:tab/>
        <w:t>suing end-users for infringement;</w:t>
      </w:r>
      <w:r w:rsidR="00B40590">
        <w:t xml:space="preserve"> and</w:t>
      </w:r>
    </w:p>
    <w:p w:rsidR="006D4B23" w:rsidRDefault="006D4B23" w:rsidP="006D4B23">
      <w:pPr>
        <w:pStyle w:val="BodyText"/>
        <w:ind w:left="720"/>
      </w:pPr>
      <w:r>
        <w:t>(c)</w:t>
      </w:r>
      <w:r>
        <w:tab/>
        <w:t xml:space="preserve">negotiating with end-users </w:t>
      </w:r>
      <w:r w:rsidR="00B40590">
        <w:t xml:space="preserve">regarding </w:t>
      </w:r>
      <w:r>
        <w:t>their liability for infringement.</w:t>
      </w:r>
    </w:p>
    <w:p w:rsidR="00BC5F14" w:rsidRDefault="006D4B23" w:rsidP="006D4B23">
      <w:pPr>
        <w:pStyle w:val="ParaNumbering"/>
      </w:pPr>
      <w:r>
        <w:t>As to (</w:t>
      </w:r>
      <w:r w:rsidR="00F871D9">
        <w:t>vii</w:t>
      </w:r>
      <w:r>
        <w:t xml:space="preserve">) (the </w:t>
      </w:r>
      <w:r w:rsidR="00B40590">
        <w:t>industry</w:t>
      </w:r>
      <w:r>
        <w:t xml:space="preserve"> co</w:t>
      </w:r>
      <w:r w:rsidR="00F871D9">
        <w:t>de</w:t>
      </w:r>
      <w:r w:rsidR="00B40590">
        <w:t xml:space="preserve">): </w:t>
      </w:r>
      <w:r>
        <w:t xml:space="preserve">s 112(1) of the </w:t>
      </w:r>
      <w:r>
        <w:rPr>
          <w:i/>
        </w:rPr>
        <w:t>Telecommunications Act</w:t>
      </w:r>
      <w:r w:rsidR="00B40590">
        <w:rPr>
          <w:i/>
        </w:rPr>
        <w:t xml:space="preserve"> 1997</w:t>
      </w:r>
      <w:r w:rsidRPr="00B40590">
        <w:t xml:space="preserve"> </w:t>
      </w:r>
      <w:r w:rsidR="00B40590">
        <w:t>(</w:t>
      </w:r>
      <w:proofErr w:type="spellStart"/>
      <w:r w:rsidR="00B40590">
        <w:t>Cth</w:t>
      </w:r>
      <w:proofErr w:type="spellEnd"/>
      <w:r w:rsidR="00B40590">
        <w:t xml:space="preserve">) </w:t>
      </w:r>
      <w:r>
        <w:t>provides that it is Parliament’s int</w:t>
      </w:r>
      <w:r w:rsidR="00B40590">
        <w:t xml:space="preserve">ention that the representative </w:t>
      </w:r>
      <w:r>
        <w:t>bodies in the telecommunications industry should develop industry codes to apply to participants.  Industry codes have n</w:t>
      </w:r>
      <w:r w:rsidR="00B40590">
        <w:t>o effect until registered: s 117</w:t>
      </w:r>
      <w:r>
        <w:t xml:space="preserve">.  Even when registered they have no </w:t>
      </w:r>
      <w:r w:rsidR="00F871D9">
        <w:t xml:space="preserve">direct </w:t>
      </w:r>
      <w:r>
        <w:t>effect until the Australian Communications and Media Authority (‘</w:t>
      </w:r>
      <w:proofErr w:type="spellStart"/>
      <w:r>
        <w:t>ACMA</w:t>
      </w:r>
      <w:proofErr w:type="spellEnd"/>
      <w:r>
        <w:t xml:space="preserve">’) is satisfied they have been breached and directs that they </w:t>
      </w:r>
      <w:r w:rsidR="00B40590">
        <w:t>are to</w:t>
      </w:r>
      <w:r>
        <w:t xml:space="preserve"> be complied with: s 121.  The industry may formulate its own code</w:t>
      </w:r>
      <w:r w:rsidR="00B40590">
        <w:t>,</w:t>
      </w:r>
      <w:r>
        <w:t xml:space="preserve"> but </w:t>
      </w:r>
      <w:proofErr w:type="spellStart"/>
      <w:r w:rsidR="00B40590">
        <w:t>ACMA</w:t>
      </w:r>
      <w:proofErr w:type="spellEnd"/>
      <w:r w:rsidR="00B40590">
        <w:t xml:space="preserve"> can determine industry standards, which upon registration have immediate effect (s 128), in various circumstances, including where </w:t>
      </w:r>
      <w:r>
        <w:t>the Minister direct</w:t>
      </w:r>
      <w:r w:rsidR="00B40590">
        <w:t>s</w:t>
      </w:r>
      <w:r>
        <w:t xml:space="preserve"> </w:t>
      </w:r>
      <w:proofErr w:type="spellStart"/>
      <w:r>
        <w:t>ACMA</w:t>
      </w:r>
      <w:proofErr w:type="spellEnd"/>
      <w:r>
        <w:t xml:space="preserve"> to formulate </w:t>
      </w:r>
      <w:r w:rsidR="00B40590">
        <w:t>such a standard</w:t>
      </w:r>
      <w:r w:rsidR="00BC5F14">
        <w:t>: s </w:t>
      </w:r>
      <w:proofErr w:type="spellStart"/>
      <w:r w:rsidR="00BC5F14">
        <w:t>125AA</w:t>
      </w:r>
      <w:proofErr w:type="spellEnd"/>
      <w:r w:rsidR="00BC5F14">
        <w:t>.</w:t>
      </w:r>
    </w:p>
    <w:p w:rsidR="00BC5F14" w:rsidRDefault="00B40590" w:rsidP="006D4B23">
      <w:pPr>
        <w:pStyle w:val="ParaNumbering"/>
      </w:pPr>
      <w:r>
        <w:t>In December 2</w:t>
      </w:r>
      <w:r w:rsidR="00BC5F14">
        <w:t xml:space="preserve">014 the Minister indicated he would exercise this power and require </w:t>
      </w:r>
      <w:proofErr w:type="spellStart"/>
      <w:r w:rsidR="00BC5F14">
        <w:t>ACMA</w:t>
      </w:r>
      <w:proofErr w:type="spellEnd"/>
      <w:r w:rsidR="00BC5F14">
        <w:t xml:space="preserve"> to formulate an industry </w:t>
      </w:r>
      <w:r>
        <w:t xml:space="preserve">standard </w:t>
      </w:r>
      <w:r w:rsidR="00BC5F14">
        <w:t xml:space="preserve">dealing with ISPs and illegal downloading.  The Minister indicated that if the ISPs did not formulate their own code by April 2015, he would direct </w:t>
      </w:r>
      <w:proofErr w:type="spellStart"/>
      <w:r w:rsidR="00BC5F14">
        <w:t>ACMA</w:t>
      </w:r>
      <w:proofErr w:type="spellEnd"/>
      <w:r w:rsidR="00BC5F14">
        <w:t xml:space="preserve"> to </w:t>
      </w:r>
      <w:r>
        <w:t>determine a standard</w:t>
      </w:r>
      <w:r w:rsidR="00BC5F14">
        <w:t xml:space="preserve"> for them.  On 20 February 2015, in the middle of the present hearing, the Communications Alliance released a draft industry code dealing with internet piracy.  It called for public comment by 23 March 2015.</w:t>
      </w:r>
    </w:p>
    <w:p w:rsidR="006D4B23" w:rsidRDefault="008361A8" w:rsidP="006D4B23">
      <w:pPr>
        <w:pStyle w:val="ParaNumbering"/>
      </w:pPr>
      <w:r>
        <w:t xml:space="preserve">The submission the ISPs made to this </w:t>
      </w:r>
      <w:r w:rsidR="000D74DE">
        <w:t>C</w:t>
      </w:r>
      <w:r>
        <w:t>ourt was that the possibility that the code would come into existence was a reason for me not to order preliminary discovery because alternative  avenues existed</w:t>
      </w:r>
      <w:r w:rsidR="00F871D9">
        <w:t xml:space="preserve"> to deal with the problem</w:t>
      </w:r>
      <w:r>
        <w:t xml:space="preserve">.  I do not accept this argument for a number of reasons.  First, it is only a draft.  Secondly, it is an incomplete draft.  Thirdly, there is no </w:t>
      </w:r>
      <w:r>
        <w:lastRenderedPageBreak/>
        <w:t>sensible chance of it coming into force in the next few months.  In these circumstances, the draft code provides no reason to decline relief.</w:t>
      </w:r>
      <w:r w:rsidR="00F871D9">
        <w:t xml:space="preserve">  I do not need to decide, therefore, whether the Court would ever decline a preliminary discovery application on the basis of the existence of non-binding soft law such as the proposed code.</w:t>
      </w:r>
    </w:p>
    <w:p w:rsidR="008361A8" w:rsidRDefault="008361A8" w:rsidP="006D4B23">
      <w:pPr>
        <w:pStyle w:val="ParaNumbering"/>
      </w:pPr>
      <w:r>
        <w:t>As to (</w:t>
      </w:r>
      <w:r w:rsidR="00F871D9">
        <w:t>viii</w:t>
      </w:r>
      <w:r>
        <w:t>) (preliminary discovery being used as a tool of investigation rather tha</w:t>
      </w:r>
      <w:r w:rsidR="00B40590">
        <w:t>n identification):  I reject this</w:t>
      </w:r>
      <w:r>
        <w:t xml:space="preserve"> argument.  There is, in a case such as the present, an element of investigation involved in identification</w:t>
      </w:r>
      <w:r w:rsidR="00B40590">
        <w:t>,</w:t>
      </w:r>
      <w:r>
        <w:t xml:space="preserve"> as the two </w:t>
      </w:r>
      <w:proofErr w:type="spellStart"/>
      <w:r>
        <w:rPr>
          <w:i/>
        </w:rPr>
        <w:t>RTA</w:t>
      </w:r>
      <w:proofErr w:type="spellEnd"/>
      <w:r>
        <w:rPr>
          <w:i/>
        </w:rPr>
        <w:t xml:space="preserve"> </w:t>
      </w:r>
      <w:r>
        <w:t>cases show.</w:t>
      </w:r>
    </w:p>
    <w:p w:rsidR="008361A8" w:rsidRDefault="00EF238B" w:rsidP="008361A8">
      <w:pPr>
        <w:pStyle w:val="Heading2"/>
      </w:pPr>
      <w:r>
        <w:t xml:space="preserve">7.    </w:t>
      </w:r>
      <w:r w:rsidR="008361A8">
        <w:t>Relief</w:t>
      </w:r>
    </w:p>
    <w:p w:rsidR="000D74DE" w:rsidRDefault="008361A8" w:rsidP="008361A8">
      <w:pPr>
        <w:pStyle w:val="ParaNumbering"/>
      </w:pPr>
      <w:r>
        <w:t xml:space="preserve">The </w:t>
      </w:r>
      <w:r w:rsidRPr="008361A8">
        <w:rPr>
          <w:i/>
        </w:rPr>
        <w:t>Federal Court Rules</w:t>
      </w:r>
      <w:r w:rsidR="00B40590">
        <w:rPr>
          <w:i/>
        </w:rPr>
        <w:t xml:space="preserve"> 2011</w:t>
      </w:r>
      <w:r>
        <w:t xml:space="preserve"> </w:t>
      </w:r>
      <w:r w:rsidR="00B40590">
        <w:t>(</w:t>
      </w:r>
      <w:proofErr w:type="spellStart"/>
      <w:r w:rsidR="00B40590">
        <w:t>Cth</w:t>
      </w:r>
      <w:proofErr w:type="spellEnd"/>
      <w:r w:rsidR="00B40590">
        <w:t xml:space="preserve">) </w:t>
      </w:r>
      <w:r>
        <w:t xml:space="preserve">do not authorise the Court to order the production of email addresses and I do not propose to order that the operation of the rules be altered to achieve that outcome.  In </w:t>
      </w:r>
      <w:r>
        <w:rPr>
          <w:i/>
        </w:rPr>
        <w:t>Voltage</w:t>
      </w:r>
      <w:r w:rsidR="00B40590">
        <w:rPr>
          <w:i/>
        </w:rPr>
        <w:t xml:space="preserve"> Pictures LLC</w:t>
      </w:r>
      <w:r>
        <w:rPr>
          <w:i/>
        </w:rPr>
        <w:t xml:space="preserve"> v</w:t>
      </w:r>
      <w:r w:rsidR="00B40590">
        <w:rPr>
          <w:i/>
        </w:rPr>
        <w:t xml:space="preserve"> John</w:t>
      </w:r>
      <w:r>
        <w:rPr>
          <w:i/>
        </w:rPr>
        <w:t xml:space="preserve"> Doe</w:t>
      </w:r>
      <w:r>
        <w:t xml:space="preserve"> </w:t>
      </w:r>
      <w:r w:rsidR="00950B36">
        <w:t>[</w:t>
      </w:r>
      <w:r w:rsidR="00B40590">
        <w:t>2014</w:t>
      </w:r>
      <w:r w:rsidR="00950B36">
        <w:t>]</w:t>
      </w:r>
      <w:r w:rsidR="00B40590">
        <w:t xml:space="preserve"> FC 161 at </w:t>
      </w:r>
      <w:r w:rsidR="001763B4">
        <w:t>[134]</w:t>
      </w:r>
      <w:r w:rsidR="00B40590">
        <w:t xml:space="preserve"> </w:t>
      </w:r>
      <w:r>
        <w:t xml:space="preserve">it was recognised that </w:t>
      </w:r>
      <w:r w:rsidR="000D74DE">
        <w:t>the Court should not generally order the production of email addresses.</w:t>
      </w:r>
    </w:p>
    <w:p w:rsidR="000D74DE" w:rsidRDefault="000D74DE" w:rsidP="008361A8">
      <w:pPr>
        <w:pStyle w:val="ParaNumbering"/>
      </w:pPr>
      <w:r>
        <w:t>I will make orders in due course</w:t>
      </w:r>
      <w:r w:rsidR="00EF238B">
        <w:t xml:space="preserve"> which</w:t>
      </w:r>
      <w:r>
        <w:t>:</w:t>
      </w:r>
    </w:p>
    <w:p w:rsidR="008361A8" w:rsidRDefault="000D74DE" w:rsidP="00E93999">
      <w:pPr>
        <w:pStyle w:val="ListNo1"/>
        <w:numPr>
          <w:ilvl w:val="0"/>
          <w:numId w:val="30"/>
        </w:numPr>
      </w:pPr>
      <w:r>
        <w:t>provid</w:t>
      </w:r>
      <w:r w:rsidR="00EF238B">
        <w:t>e</w:t>
      </w:r>
      <w:r>
        <w:t xml:space="preserve"> for </w:t>
      </w:r>
      <w:r w:rsidR="00EF238B">
        <w:t>the</w:t>
      </w:r>
      <w:r>
        <w:t xml:space="preserve"> preliminary discovery sought;</w:t>
      </w:r>
    </w:p>
    <w:p w:rsidR="00EF238B" w:rsidRDefault="00EF238B" w:rsidP="00E93999">
      <w:pPr>
        <w:pStyle w:val="ListNo1"/>
        <w:numPr>
          <w:ilvl w:val="0"/>
          <w:numId w:val="30"/>
        </w:numPr>
      </w:pPr>
      <w:r>
        <w:t>impose privacy obligations on the material produced;</w:t>
      </w:r>
    </w:p>
    <w:p w:rsidR="00EF238B" w:rsidRDefault="00EF238B" w:rsidP="00E93999">
      <w:pPr>
        <w:pStyle w:val="ListNo1"/>
        <w:numPr>
          <w:ilvl w:val="0"/>
          <w:numId w:val="30"/>
        </w:numPr>
      </w:pPr>
      <w:r>
        <w:t>require the applicants to submit to this Court for its approval a draft of the letter they propose to write to account holders;</w:t>
      </w:r>
    </w:p>
    <w:p w:rsidR="00EF238B" w:rsidRDefault="00EF238B" w:rsidP="00E93999">
      <w:pPr>
        <w:pStyle w:val="ListNo1"/>
        <w:numPr>
          <w:ilvl w:val="0"/>
          <w:numId w:val="30"/>
        </w:numPr>
      </w:pPr>
      <w:r>
        <w:t>require the applicants to pay the ISPs’ costs of these proceedings</w:t>
      </w:r>
      <w:r w:rsidRPr="00EF238B">
        <w:t xml:space="preserve"> </w:t>
      </w:r>
      <w:r>
        <w:t>as taxed or agreed;</w:t>
      </w:r>
      <w:r w:rsidR="00950B36">
        <w:t xml:space="preserve"> and</w:t>
      </w:r>
    </w:p>
    <w:p w:rsidR="00EF238B" w:rsidRDefault="00EF238B" w:rsidP="00E93999">
      <w:pPr>
        <w:pStyle w:val="ListNo1"/>
        <w:numPr>
          <w:ilvl w:val="0"/>
          <w:numId w:val="30"/>
        </w:numPr>
      </w:pPr>
      <w:r>
        <w:t>require the applicants to pay the ISPs</w:t>
      </w:r>
      <w:r w:rsidR="00950B36">
        <w:t>’</w:t>
      </w:r>
      <w:r>
        <w:t xml:space="preserve"> costs of giving preliminary discovery as taxed or agreed.</w:t>
      </w:r>
    </w:p>
    <w:p w:rsidR="000D74DE" w:rsidRDefault="006A690E" w:rsidP="000D74DE">
      <w:pPr>
        <w:pStyle w:val="ParaNumbering"/>
      </w:pPr>
      <w:r>
        <w:t>The issue of whether security should be provided for (</w:t>
      </w:r>
      <w:r w:rsidR="000172BF">
        <w:t>e</w:t>
      </w:r>
      <w:r>
        <w:t xml:space="preserve">) has yet to be ventilated but may need to be addressed in due course.  I will list the matter for further directions on </w:t>
      </w:r>
      <w:r w:rsidR="006B7785">
        <w:t>21</w:t>
      </w:r>
      <w:r w:rsidR="00297D12">
        <w:t xml:space="preserve"> April 2015</w:t>
      </w:r>
      <w:r>
        <w:t xml:space="preserve"> to determine the form of the orders.  The parties should exchange their concluded views on this topic by </w:t>
      </w:r>
      <w:r w:rsidR="006B7785">
        <w:t>14</w:t>
      </w:r>
      <w:r w:rsidR="00297D12">
        <w:t xml:space="preserve"> April 2015</w:t>
      </w:r>
      <w:r>
        <w:t>.</w:t>
      </w:r>
    </w:p>
    <w:p w:rsidR="006A690E" w:rsidRDefault="00EF238B" w:rsidP="000172BF">
      <w:pPr>
        <w:pStyle w:val="Heading2"/>
      </w:pPr>
      <w:r>
        <w:t xml:space="preserve">8.    </w:t>
      </w:r>
      <w:r w:rsidR="000172BF">
        <w:t>Interlocutory Rulings</w:t>
      </w:r>
    </w:p>
    <w:p w:rsidR="00EF238B" w:rsidRDefault="002F1663" w:rsidP="000172BF">
      <w:pPr>
        <w:pStyle w:val="ParaNumbering"/>
      </w:pPr>
      <w:r>
        <w:t xml:space="preserve">The hearing occupied three days.  </w:t>
      </w:r>
    </w:p>
    <w:p w:rsidR="00EF238B" w:rsidRDefault="0092372D" w:rsidP="000172BF">
      <w:pPr>
        <w:pStyle w:val="ParaNumbering"/>
      </w:pPr>
      <w:r>
        <w:t xml:space="preserve">Very extensive objections were taken by the ISPs to the affidavit evidence put forward by the applicants.  On the morning of the </w:t>
      </w:r>
      <w:r w:rsidR="0043414A">
        <w:t>f</w:t>
      </w:r>
      <w:r>
        <w:t xml:space="preserve">irst day of the trial, I overruled all of these objections and </w:t>
      </w:r>
      <w:r>
        <w:lastRenderedPageBreak/>
        <w:t xml:space="preserve">admitted the material.  These objections included objections based on various provisions of the </w:t>
      </w:r>
      <w:r>
        <w:rPr>
          <w:i/>
        </w:rPr>
        <w:t xml:space="preserve">Evidence Act 1995 </w:t>
      </w:r>
      <w:r>
        <w:t>(</w:t>
      </w:r>
      <w:proofErr w:type="spellStart"/>
      <w:r>
        <w:t>Cth</w:t>
      </w:r>
      <w:proofErr w:type="spellEnd"/>
      <w:r>
        <w:t xml:space="preserve">).  The </w:t>
      </w:r>
      <w:r>
        <w:rPr>
          <w:i/>
        </w:rPr>
        <w:t>Evidence Act</w:t>
      </w:r>
      <w:r>
        <w:t xml:space="preserve"> is directed to proof of facts which are in issue.  So much follows from its central provision, s 55, which provides:</w:t>
      </w:r>
    </w:p>
    <w:p w:rsidR="0092372D" w:rsidRDefault="0092372D" w:rsidP="00950B36">
      <w:pPr>
        <w:pStyle w:val="Quote1"/>
        <w:spacing w:before="120" w:after="120"/>
      </w:pPr>
      <w:r>
        <w:t>‘55  Relevant evidence</w:t>
      </w:r>
    </w:p>
    <w:p w:rsidR="0092372D" w:rsidRDefault="0092372D" w:rsidP="00950B36">
      <w:pPr>
        <w:pStyle w:val="Quote1"/>
        <w:numPr>
          <w:ilvl w:val="0"/>
          <w:numId w:val="32"/>
        </w:numPr>
        <w:spacing w:before="120" w:after="120"/>
      </w:pPr>
      <w:r>
        <w:t>The evidence that is relevant in a proceeding is evidence that, if it were accepted, could rationally affect (directly or indirectly) the assessment of the probability of the existence of a fact in issue in the proceeding.</w:t>
      </w:r>
    </w:p>
    <w:p w:rsidR="0092372D" w:rsidRDefault="0092372D" w:rsidP="00950B36">
      <w:pPr>
        <w:pStyle w:val="Quote1"/>
        <w:numPr>
          <w:ilvl w:val="0"/>
          <w:numId w:val="32"/>
        </w:numPr>
        <w:spacing w:before="120" w:after="120"/>
      </w:pPr>
      <w:r>
        <w:t>In particular, evidence is not taken to be irrelevant only because it relates only to:</w:t>
      </w:r>
    </w:p>
    <w:p w:rsidR="0092372D" w:rsidRDefault="0092372D" w:rsidP="00950B36">
      <w:pPr>
        <w:pStyle w:val="Quote2"/>
        <w:spacing w:before="120" w:after="120"/>
      </w:pPr>
      <w:r>
        <w:t>(a)</w:t>
      </w:r>
      <w:r>
        <w:tab/>
        <w:t>the credibility of a witness; or</w:t>
      </w:r>
    </w:p>
    <w:p w:rsidR="0092372D" w:rsidRDefault="0092372D" w:rsidP="00950B36">
      <w:pPr>
        <w:pStyle w:val="Quote2"/>
        <w:spacing w:before="120" w:after="120"/>
      </w:pPr>
      <w:r>
        <w:t>(b)</w:t>
      </w:r>
      <w:r>
        <w:tab/>
        <w:t>the admissibility of other evidence; or</w:t>
      </w:r>
    </w:p>
    <w:p w:rsidR="0092372D" w:rsidRDefault="0092372D" w:rsidP="00950B36">
      <w:pPr>
        <w:pStyle w:val="Quote2"/>
        <w:spacing w:before="120" w:after="120"/>
      </w:pPr>
      <w:r>
        <w:t>(c)</w:t>
      </w:r>
      <w:r>
        <w:tab/>
        <w:t>a failure to adduce evidence.</w:t>
      </w:r>
      <w:r w:rsidR="000B2C9C">
        <w:t>’</w:t>
      </w:r>
    </w:p>
    <w:p w:rsidR="0092372D" w:rsidRDefault="0092372D" w:rsidP="0092372D">
      <w:pPr>
        <w:pStyle w:val="Quote2"/>
        <w:spacing w:before="120"/>
      </w:pPr>
    </w:p>
    <w:p w:rsidR="0092372D" w:rsidRDefault="0092372D" w:rsidP="000172BF">
      <w:pPr>
        <w:pStyle w:val="ParaNumbering"/>
      </w:pPr>
      <w:r>
        <w:t>There are some proceedings in which the concept of a fact in is</w:t>
      </w:r>
      <w:r w:rsidR="00950B36">
        <w:t>sue is simply not apposite.  On</w:t>
      </w:r>
      <w:r>
        <w:t>e example of this is afforded by the provision</w:t>
      </w:r>
      <w:r w:rsidR="0043414A">
        <w:t>s</w:t>
      </w:r>
      <w:r>
        <w:t xml:space="preserve"> dealing with the giving of judicial advice under s 63 of the </w:t>
      </w:r>
      <w:r>
        <w:rPr>
          <w:i/>
        </w:rPr>
        <w:t>Trustee Act 1925</w:t>
      </w:r>
      <w:r>
        <w:t xml:space="preserve"> (NSW) and equivalent legislation.  Section</w:t>
      </w:r>
      <w:r w:rsidR="00950B36">
        <w:t>s</w:t>
      </w:r>
      <w:r>
        <w:t xml:space="preserve"> 63(3) and (4) expres</w:t>
      </w:r>
      <w:r w:rsidR="00FF30F5">
        <w:t>s</w:t>
      </w:r>
      <w:r>
        <w:t xml:space="preserve">ly contemplate a departure from the rules of evidence.  A consideration of </w:t>
      </w:r>
      <w:proofErr w:type="spellStart"/>
      <w:r>
        <w:t>FCR</w:t>
      </w:r>
      <w:proofErr w:type="spellEnd"/>
      <w:r>
        <w:t xml:space="preserve"> 7.22</w:t>
      </w:r>
      <w:r w:rsidR="0043414A">
        <w:t xml:space="preserve"> in the current case</w:t>
      </w:r>
      <w:r>
        <w:t xml:space="preserve"> shows</w:t>
      </w:r>
      <w:r w:rsidR="009C62A3">
        <w:t xml:space="preserve"> that</w:t>
      </w:r>
      <w:r>
        <w:t xml:space="preserve"> there are no facts in issue to which the rules in the </w:t>
      </w:r>
      <w:r>
        <w:rPr>
          <w:i/>
        </w:rPr>
        <w:t xml:space="preserve">Evidence Act </w:t>
      </w:r>
      <w:r>
        <w:t>can sensibly attach.  The four matters which are to be demonstrated are:</w:t>
      </w:r>
    </w:p>
    <w:p w:rsidR="0092372D" w:rsidRDefault="0043414A" w:rsidP="00FF30F5">
      <w:pPr>
        <w:pStyle w:val="ListNo1"/>
        <w:numPr>
          <w:ilvl w:val="0"/>
          <w:numId w:val="33"/>
        </w:numPr>
      </w:pPr>
      <w:r>
        <w:t>t</w:t>
      </w:r>
      <w:r w:rsidR="00FF30F5">
        <w:t>he reasonableness of the applicant’s belief that it has a remedy;</w:t>
      </w:r>
    </w:p>
    <w:p w:rsidR="00FF30F5" w:rsidRDefault="0043414A" w:rsidP="00FF30F5">
      <w:pPr>
        <w:pStyle w:val="ListNo1"/>
        <w:numPr>
          <w:ilvl w:val="0"/>
          <w:numId w:val="33"/>
        </w:numPr>
      </w:pPr>
      <w:r>
        <w:t>that t</w:t>
      </w:r>
      <w:r w:rsidR="00FF30F5">
        <w:t>here may be a right to obtain relief;</w:t>
      </w:r>
    </w:p>
    <w:p w:rsidR="00FF30F5" w:rsidRDefault="0043414A" w:rsidP="00FF30F5">
      <w:pPr>
        <w:pStyle w:val="ListNo1"/>
        <w:numPr>
          <w:ilvl w:val="0"/>
          <w:numId w:val="33"/>
        </w:numPr>
      </w:pPr>
      <w:r>
        <w:t>that t</w:t>
      </w:r>
      <w:r w:rsidR="00FF30F5">
        <w:t xml:space="preserve">he applicant cannot identify the </w:t>
      </w:r>
      <w:r w:rsidR="00950B36">
        <w:t>wrongdoer</w:t>
      </w:r>
      <w:r w:rsidR="00FF30F5">
        <w:t>;</w:t>
      </w:r>
      <w:r>
        <w:t xml:space="preserve"> and</w:t>
      </w:r>
    </w:p>
    <w:p w:rsidR="00FF30F5" w:rsidRDefault="0043414A" w:rsidP="00FF30F5">
      <w:pPr>
        <w:pStyle w:val="ListNo1"/>
        <w:numPr>
          <w:ilvl w:val="0"/>
          <w:numId w:val="33"/>
        </w:numPr>
      </w:pPr>
      <w:r>
        <w:t>that a</w:t>
      </w:r>
      <w:r w:rsidR="00FF30F5">
        <w:t>nother person may be able to assist in identifying the wrongdoer.</w:t>
      </w:r>
    </w:p>
    <w:p w:rsidR="00FF30F5" w:rsidRDefault="00FF30F5" w:rsidP="000172BF">
      <w:pPr>
        <w:pStyle w:val="ParaNumbering"/>
      </w:pPr>
      <w:r>
        <w:t>The concepts in (1), (2) and (4) simply do n</w:t>
      </w:r>
      <w:r w:rsidR="00950B36">
        <w:t xml:space="preserve">ot lend themselves to the ‘fact </w:t>
      </w:r>
      <w:r>
        <w:t>in</w:t>
      </w:r>
      <w:r w:rsidR="00950B36">
        <w:t xml:space="preserve"> </w:t>
      </w:r>
      <w:r>
        <w:t xml:space="preserve">issue’ approach under the </w:t>
      </w:r>
      <w:r>
        <w:rPr>
          <w:i/>
        </w:rPr>
        <w:t xml:space="preserve">Evidence Act.  </w:t>
      </w:r>
      <w:r>
        <w:t xml:space="preserve">In </w:t>
      </w:r>
      <w:proofErr w:type="spellStart"/>
      <w:r>
        <w:rPr>
          <w:i/>
        </w:rPr>
        <w:t>Optiver</w:t>
      </w:r>
      <w:proofErr w:type="spellEnd"/>
      <w:r>
        <w:rPr>
          <w:i/>
        </w:rPr>
        <w:t xml:space="preserve"> </w:t>
      </w:r>
      <w:r w:rsidR="00950B36">
        <w:rPr>
          <w:i/>
        </w:rPr>
        <w:t xml:space="preserve">Australia Pty Ltd </w:t>
      </w:r>
      <w:r>
        <w:rPr>
          <w:i/>
        </w:rPr>
        <w:t xml:space="preserve">v </w:t>
      </w:r>
      <w:proofErr w:type="spellStart"/>
      <w:r>
        <w:rPr>
          <w:i/>
        </w:rPr>
        <w:t>Tibra</w:t>
      </w:r>
      <w:proofErr w:type="spellEnd"/>
      <w:r w:rsidR="00950B36">
        <w:rPr>
          <w:i/>
        </w:rPr>
        <w:t xml:space="preserve"> Trading Pty Ltd</w:t>
      </w:r>
      <w:r>
        <w:rPr>
          <w:i/>
        </w:rPr>
        <w:t xml:space="preserve"> </w:t>
      </w:r>
      <w:r>
        <w:t xml:space="preserve">(2007) 163 </w:t>
      </w:r>
      <w:proofErr w:type="spellStart"/>
      <w:r>
        <w:t>FCR</w:t>
      </w:r>
      <w:proofErr w:type="spellEnd"/>
      <w:r>
        <w:t xml:space="preserve"> 554 at 561 [26] </w:t>
      </w:r>
      <w:proofErr w:type="spellStart"/>
      <w:r>
        <w:t>Tamberlin</w:t>
      </w:r>
      <w:proofErr w:type="spellEnd"/>
      <w:r>
        <w:t xml:space="preserve"> J exercised the power under s 190(3) of the </w:t>
      </w:r>
      <w:r>
        <w:rPr>
          <w:i/>
        </w:rPr>
        <w:t>Evidence Act</w:t>
      </w:r>
      <w:r>
        <w:t xml:space="preserve"> to suspend the rules of evidence in a preliminary discovery application.  Section 190 provides:</w:t>
      </w:r>
    </w:p>
    <w:p w:rsidR="00FF30F5" w:rsidRDefault="00950B36" w:rsidP="00950B36">
      <w:pPr>
        <w:pStyle w:val="Quote1"/>
        <w:spacing w:before="120" w:after="120"/>
      </w:pPr>
      <w:r>
        <w:t>‘</w:t>
      </w:r>
      <w:r w:rsidR="00FF30F5">
        <w:t>190  Waiver of rules of evidence</w:t>
      </w:r>
    </w:p>
    <w:p w:rsidR="00FF30F5" w:rsidRDefault="00950B36" w:rsidP="00950B36">
      <w:pPr>
        <w:pStyle w:val="Quote1"/>
        <w:spacing w:before="120" w:after="120"/>
        <w:ind w:left="1440" w:hanging="703"/>
      </w:pPr>
      <w:r>
        <w:t xml:space="preserve"> </w:t>
      </w:r>
      <w:r w:rsidR="00FF30F5">
        <w:t>(1)</w:t>
      </w:r>
      <w:r w:rsidR="00FF30F5">
        <w:tab/>
        <w:t>The court may, if the parties consent, by order dispense with the application of any one or more of the provisions of:</w:t>
      </w:r>
    </w:p>
    <w:p w:rsidR="00FF30F5" w:rsidRDefault="00FF30F5" w:rsidP="00950B36">
      <w:pPr>
        <w:pStyle w:val="Quote2"/>
        <w:spacing w:before="120" w:after="120"/>
      </w:pPr>
      <w:r>
        <w:t>(a)</w:t>
      </w:r>
      <w:r>
        <w:tab/>
        <w:t>Division 3, 4 or 5 of Part 2.1; or</w:t>
      </w:r>
    </w:p>
    <w:p w:rsidR="00FF30F5" w:rsidRDefault="00FF30F5" w:rsidP="00950B36">
      <w:pPr>
        <w:pStyle w:val="Quote2"/>
        <w:spacing w:before="120" w:after="120"/>
      </w:pPr>
      <w:r>
        <w:t>(b)</w:t>
      </w:r>
      <w:r>
        <w:tab/>
        <w:t>Part 2.2 or 2.3; or</w:t>
      </w:r>
    </w:p>
    <w:p w:rsidR="00FF30F5" w:rsidRDefault="00FF30F5" w:rsidP="00950B36">
      <w:pPr>
        <w:pStyle w:val="Quote2"/>
        <w:spacing w:before="120" w:after="120"/>
      </w:pPr>
      <w:r>
        <w:t>(c)</w:t>
      </w:r>
      <w:r>
        <w:tab/>
        <w:t>Parts 3.2 to 3.8;</w:t>
      </w:r>
    </w:p>
    <w:p w:rsidR="00FF30F5" w:rsidRDefault="00FF30F5" w:rsidP="00950B36">
      <w:pPr>
        <w:pStyle w:val="Quote2"/>
        <w:spacing w:before="120" w:after="120"/>
      </w:pPr>
      <w:r>
        <w:t>in relation to particular evidence or generally.</w:t>
      </w:r>
    </w:p>
    <w:p w:rsidR="00FF30F5" w:rsidRDefault="00950B36" w:rsidP="00950B36">
      <w:pPr>
        <w:pStyle w:val="Quote1"/>
        <w:spacing w:before="120" w:after="120"/>
        <w:ind w:left="794" w:hanging="57"/>
      </w:pPr>
      <w:r>
        <w:t xml:space="preserve"> </w:t>
      </w:r>
      <w:r w:rsidR="00FF30F5">
        <w:t>Note:  Matters related to evidence in child</w:t>
      </w:r>
      <w:r w:rsidR="00FF30F5">
        <w:rPr>
          <w:rFonts w:ascii="MS Mincho" w:eastAsia="MS Mincho" w:hAnsi="MS Mincho" w:cs="MS Mincho" w:hint="eastAsia"/>
        </w:rPr>
        <w:t>‑</w:t>
      </w:r>
      <w:r w:rsidR="00FF30F5">
        <w:t>related proceedings</w:t>
      </w:r>
      <w:r>
        <w:t xml:space="preserve"> </w:t>
      </w:r>
      <w:r w:rsidR="00FF30F5">
        <w:t xml:space="preserve">(within the meaning </w:t>
      </w:r>
      <w:r w:rsidR="00FF30F5">
        <w:lastRenderedPageBreak/>
        <w:t xml:space="preserve">of section </w:t>
      </w:r>
      <w:proofErr w:type="spellStart"/>
      <w:r w:rsidR="00FF30F5">
        <w:t>69ZM</w:t>
      </w:r>
      <w:proofErr w:type="spellEnd"/>
      <w:r w:rsidR="00FF30F5">
        <w:t xml:space="preserve"> of the </w:t>
      </w:r>
      <w:r w:rsidR="00FF30F5" w:rsidRPr="00950B36">
        <w:rPr>
          <w:i/>
        </w:rPr>
        <w:t>Family Law Act 1975</w:t>
      </w:r>
      <w:r w:rsidR="00FF30F5">
        <w:t>) are dealt with by that Act.</w:t>
      </w:r>
    </w:p>
    <w:p w:rsidR="00FF30F5" w:rsidRDefault="00950B36" w:rsidP="00950B36">
      <w:pPr>
        <w:pStyle w:val="Quote1"/>
        <w:spacing w:before="120" w:after="120"/>
        <w:ind w:left="1440" w:hanging="703"/>
      </w:pPr>
      <w:r>
        <w:t xml:space="preserve"> </w:t>
      </w:r>
      <w:r w:rsidR="00FF30F5">
        <w:t>(2)</w:t>
      </w:r>
      <w:r w:rsidR="00FF30F5">
        <w:tab/>
        <w:t>In a criminal proceeding, a defendant’s consent is not effective for the purposes of subsection</w:t>
      </w:r>
      <w:r>
        <w:t xml:space="preserve"> </w:t>
      </w:r>
      <w:r w:rsidR="00FF30F5">
        <w:t>(1) unless:</w:t>
      </w:r>
    </w:p>
    <w:p w:rsidR="00FF30F5" w:rsidRDefault="00FF30F5" w:rsidP="00950B36">
      <w:pPr>
        <w:pStyle w:val="Quote2"/>
        <w:spacing w:before="120" w:after="120"/>
        <w:ind w:left="2160" w:hanging="720"/>
      </w:pPr>
      <w:r>
        <w:t>(a)</w:t>
      </w:r>
      <w:r>
        <w:tab/>
        <w:t>the defendant has been advised to do so by his or her Australian legal practitioner or legal counsel; or</w:t>
      </w:r>
    </w:p>
    <w:p w:rsidR="00FF30F5" w:rsidRDefault="00FF30F5" w:rsidP="00950B36">
      <w:pPr>
        <w:pStyle w:val="Quote2"/>
        <w:spacing w:before="120" w:after="120"/>
        <w:ind w:left="2160" w:hanging="720"/>
      </w:pPr>
      <w:r>
        <w:t>(b)</w:t>
      </w:r>
      <w:r>
        <w:tab/>
        <w:t>the court is satisfied that the defendant understands the consequences of giving the consent.</w:t>
      </w:r>
    </w:p>
    <w:p w:rsidR="00FF30F5" w:rsidRDefault="00950B36" w:rsidP="00950B36">
      <w:pPr>
        <w:pStyle w:val="Quote1"/>
        <w:spacing w:before="120" w:after="120"/>
        <w:ind w:left="1440" w:hanging="703"/>
      </w:pPr>
      <w:r>
        <w:t xml:space="preserve"> </w:t>
      </w:r>
      <w:r w:rsidR="00FF30F5">
        <w:t>(3)</w:t>
      </w:r>
      <w:r w:rsidR="00FF30F5">
        <w:tab/>
        <w:t>In a civil proceeding, the court may order that any one or more of the provisions mentioned in subsection</w:t>
      </w:r>
      <w:r>
        <w:t xml:space="preserve"> </w:t>
      </w:r>
      <w:r w:rsidR="00FF30F5">
        <w:t>(1) do not apply in relation to evidence if:</w:t>
      </w:r>
    </w:p>
    <w:p w:rsidR="00FF30F5" w:rsidRDefault="00FF30F5" w:rsidP="00950B36">
      <w:pPr>
        <w:pStyle w:val="Quote2"/>
        <w:spacing w:before="120" w:after="120"/>
        <w:ind w:left="2160" w:hanging="720"/>
      </w:pPr>
      <w:r>
        <w:t>(a)</w:t>
      </w:r>
      <w:r>
        <w:tab/>
        <w:t>the matter to which the evidence relates is not genuinely in dispute; or</w:t>
      </w:r>
    </w:p>
    <w:p w:rsidR="00FF30F5" w:rsidRDefault="00FF30F5" w:rsidP="00950B36">
      <w:pPr>
        <w:pStyle w:val="Quote2"/>
        <w:spacing w:before="120" w:after="120"/>
        <w:ind w:left="2160" w:hanging="720"/>
      </w:pPr>
      <w:r>
        <w:t>(b)</w:t>
      </w:r>
      <w:r>
        <w:tab/>
        <w:t>the application of those provisions would cause or involve unnecessary expense or delay.</w:t>
      </w:r>
    </w:p>
    <w:p w:rsidR="00FF30F5" w:rsidRDefault="00950B36" w:rsidP="00950B36">
      <w:pPr>
        <w:pStyle w:val="Quote1"/>
        <w:spacing w:before="120" w:after="120"/>
        <w:ind w:left="1440" w:hanging="703"/>
      </w:pPr>
      <w:r>
        <w:t xml:space="preserve"> </w:t>
      </w:r>
      <w:r w:rsidR="00FF30F5">
        <w:t>(4)</w:t>
      </w:r>
      <w:r w:rsidR="00FF30F5">
        <w:tab/>
        <w:t>Without limiting the matters that the court may take into account in deciding whether to exercise the power conferred by subsection</w:t>
      </w:r>
      <w:r>
        <w:t xml:space="preserve"> </w:t>
      </w:r>
      <w:r w:rsidR="00FF30F5">
        <w:t>(3), it is to take into account:</w:t>
      </w:r>
    </w:p>
    <w:p w:rsidR="00FF30F5" w:rsidRDefault="00FF30F5" w:rsidP="00950B36">
      <w:pPr>
        <w:pStyle w:val="Quote2"/>
        <w:spacing w:before="120" w:after="120"/>
      </w:pPr>
      <w:r>
        <w:t>(a)</w:t>
      </w:r>
      <w:r>
        <w:tab/>
        <w:t>the importance of the evidence in the proceeding; and</w:t>
      </w:r>
    </w:p>
    <w:p w:rsidR="00FF30F5" w:rsidRDefault="00FF30F5" w:rsidP="00950B36">
      <w:pPr>
        <w:pStyle w:val="Quote2"/>
        <w:spacing w:before="120" w:after="120"/>
        <w:ind w:left="2160" w:hanging="720"/>
      </w:pPr>
      <w:r>
        <w:t>(b)</w:t>
      </w:r>
      <w:r>
        <w:tab/>
        <w:t>the nature of the cause of action or defence and the nature of the subject matter of the proceeding; and</w:t>
      </w:r>
    </w:p>
    <w:p w:rsidR="00FF30F5" w:rsidRDefault="00FF30F5" w:rsidP="00950B36">
      <w:pPr>
        <w:pStyle w:val="Quote2"/>
        <w:spacing w:before="120" w:after="120"/>
      </w:pPr>
      <w:r>
        <w:t>(c)</w:t>
      </w:r>
      <w:r>
        <w:tab/>
        <w:t>the probative value of the evidence; and</w:t>
      </w:r>
    </w:p>
    <w:p w:rsidR="00FF30F5" w:rsidRDefault="00FF30F5" w:rsidP="00950B36">
      <w:pPr>
        <w:pStyle w:val="Quote2"/>
        <w:spacing w:before="120" w:after="120"/>
        <w:ind w:left="2160" w:hanging="720"/>
      </w:pPr>
      <w:r>
        <w:t>(d)</w:t>
      </w:r>
      <w:r>
        <w:tab/>
        <w:t>the powers of the court</w:t>
      </w:r>
      <w:r w:rsidR="00950B36">
        <w:t xml:space="preserve"> </w:t>
      </w:r>
      <w:r>
        <w:t>(if any) to adjourn the hearing, to make another order or to give a direction in relation to the evidence.</w:t>
      </w:r>
      <w:r w:rsidR="00950B36">
        <w:t>’</w:t>
      </w:r>
    </w:p>
    <w:p w:rsidR="00FF30F5" w:rsidRDefault="00FF30F5" w:rsidP="000172BF">
      <w:pPr>
        <w:pStyle w:val="ParaNumbering"/>
      </w:pPr>
      <w:r>
        <w:t xml:space="preserve">The matters in subs (4) lead me to conclude, based on the nature of </w:t>
      </w:r>
      <w:r w:rsidR="0043414A">
        <w:t>a</w:t>
      </w:r>
      <w:r>
        <w:t xml:space="preserve"> proceeding </w:t>
      </w:r>
      <w:r w:rsidR="0043414A">
        <w:t xml:space="preserve">under </w:t>
      </w:r>
      <w:proofErr w:type="spellStart"/>
      <w:r w:rsidR="0043414A">
        <w:t>FCR</w:t>
      </w:r>
      <w:proofErr w:type="spellEnd"/>
      <w:r w:rsidR="0043414A">
        <w:t xml:space="preserve"> 7.22</w:t>
      </w:r>
      <w:r w:rsidR="00950B36">
        <w:t>,</w:t>
      </w:r>
      <w:r w:rsidR="0043414A">
        <w:t xml:space="preserve"> </w:t>
      </w:r>
      <w:r>
        <w:t>that the</w:t>
      </w:r>
      <w:r w:rsidR="002B0439">
        <w:t xml:space="preserve"> provisions of the</w:t>
      </w:r>
      <w:r>
        <w:t xml:space="preserve"> </w:t>
      </w:r>
      <w:r w:rsidR="00950B36" w:rsidRPr="00950B36">
        <w:rPr>
          <w:i/>
        </w:rPr>
        <w:t xml:space="preserve">Evidence </w:t>
      </w:r>
      <w:r w:rsidRPr="00950B36">
        <w:rPr>
          <w:i/>
        </w:rPr>
        <w:t>Act</w:t>
      </w:r>
      <w:r>
        <w:t xml:space="preserve"> </w:t>
      </w:r>
      <w:r w:rsidR="002B0439">
        <w:t xml:space="preserve">referred to in s 190(1) </w:t>
      </w:r>
      <w:r>
        <w:t>should not apply to proof of the matters in (1), (2) and (4) above.  I do not consider that it would be administratively possible to keep them in place for (3)</w:t>
      </w:r>
      <w:r w:rsidR="0043414A">
        <w:t xml:space="preserve"> either</w:t>
      </w:r>
      <w:r>
        <w:t>.  For that reason, I concluded that the</w:t>
      </w:r>
      <w:r w:rsidR="00BE18A5">
        <w:t xml:space="preserve"> provisions of the</w:t>
      </w:r>
      <w:r w:rsidRPr="0043414A">
        <w:rPr>
          <w:i/>
        </w:rPr>
        <w:t xml:space="preserve"> Evidence Act</w:t>
      </w:r>
      <w:r>
        <w:t xml:space="preserve"> </w:t>
      </w:r>
      <w:r w:rsidR="00BE18A5">
        <w:t xml:space="preserve">referred to in s 190(1) </w:t>
      </w:r>
      <w:r>
        <w:t xml:space="preserve">should not apply to an application under </w:t>
      </w:r>
      <w:proofErr w:type="spellStart"/>
      <w:r>
        <w:t>FCR</w:t>
      </w:r>
      <w:proofErr w:type="spellEnd"/>
      <w:r>
        <w:t xml:space="preserve"> 7.22 </w:t>
      </w:r>
      <w:r w:rsidR="0043414A">
        <w:t xml:space="preserve">pursuant to s 190 </w:t>
      </w:r>
      <w:r>
        <w:t>and overruled all of the objections.</w:t>
      </w:r>
    </w:p>
    <w:p w:rsidR="000172BF" w:rsidRDefault="002F1663" w:rsidP="000172BF">
      <w:pPr>
        <w:pStyle w:val="ParaNumbering"/>
      </w:pPr>
      <w:r>
        <w:t xml:space="preserve">On the first </w:t>
      </w:r>
      <w:r w:rsidR="00EF238B">
        <w:t xml:space="preserve">afternoon </w:t>
      </w:r>
      <w:r>
        <w:t xml:space="preserve">of the hearing I rejected the tender of parts of </w:t>
      </w:r>
      <w:proofErr w:type="spellStart"/>
      <w:r>
        <w:t>MFI1</w:t>
      </w:r>
      <w:proofErr w:type="spellEnd"/>
      <w:r>
        <w:t xml:space="preserve">.  These consisted of letters of demand issued by Voltage in the US which were expressed to be without prejudice.  I did so because I concluded they were communications to which s 131(1) of the </w:t>
      </w:r>
      <w:r w:rsidR="00950B36">
        <w:rPr>
          <w:i/>
        </w:rPr>
        <w:t>Evidence Act</w:t>
      </w:r>
      <w:r w:rsidR="00EF238B">
        <w:t xml:space="preserve"> </w:t>
      </w:r>
      <w:r>
        <w:t>applied.  The same letters were subsequently tendered on a different basis and admitted.  In those circumstances, there is nothing to be gained in explaining</w:t>
      </w:r>
      <w:r w:rsidR="006D0121">
        <w:t xml:space="preserve"> in detail</w:t>
      </w:r>
      <w:r>
        <w:t xml:space="preserve"> why I initially rejected them.</w:t>
      </w:r>
    </w:p>
    <w:p w:rsidR="002F1663" w:rsidRDefault="002F1663" w:rsidP="000172BF">
      <w:pPr>
        <w:pStyle w:val="ParaNumbering"/>
      </w:pPr>
      <w:r>
        <w:t>O</w:t>
      </w:r>
      <w:r w:rsidR="00EF238B">
        <w:t>n</w:t>
      </w:r>
      <w:r>
        <w:t xml:space="preserve"> the afternoon of the second day Mr Pike sought leave to add Voltage as the second </w:t>
      </w:r>
      <w:r w:rsidR="00950B36">
        <w:t xml:space="preserve">prospective </w:t>
      </w:r>
      <w:r>
        <w:t>applicant</w:t>
      </w:r>
      <w:r w:rsidR="00950B36">
        <w:t>,</w:t>
      </w:r>
      <w:r>
        <w:t xml:space="preserve"> which </w:t>
      </w:r>
      <w:r w:rsidR="00950B36">
        <w:t xml:space="preserve">leave </w:t>
      </w:r>
      <w:r>
        <w:t xml:space="preserve">I </w:t>
      </w:r>
      <w:r w:rsidR="00950B36">
        <w:t>granted</w:t>
      </w:r>
      <w:r>
        <w:t xml:space="preserve">.  Mr Lancaster opposed the joinder on </w:t>
      </w:r>
      <w:r w:rsidR="00EF238B">
        <w:t>four</w:t>
      </w:r>
      <w:r>
        <w:t xml:space="preserve"> bases which related to delay and prejudice.  The </w:t>
      </w:r>
      <w:r w:rsidR="00EF238B">
        <w:t>four</w:t>
      </w:r>
      <w:r w:rsidR="009C62A3">
        <w:t xml:space="preserve"> reasons w</w:t>
      </w:r>
      <w:r>
        <w:t>ere:</w:t>
      </w:r>
    </w:p>
    <w:p w:rsidR="002F1663" w:rsidRDefault="002F1663" w:rsidP="00E93999">
      <w:pPr>
        <w:pStyle w:val="ListNo1"/>
        <w:numPr>
          <w:ilvl w:val="0"/>
          <w:numId w:val="31"/>
        </w:numPr>
      </w:pPr>
      <w:r>
        <w:lastRenderedPageBreak/>
        <w:t>if he had been aware that Voltage was to be added as an applicant the ISPs would have made further inquiries about the relationship between Voltage an</w:t>
      </w:r>
      <w:r w:rsidR="00950B36">
        <w:t xml:space="preserve">d two entities known as </w:t>
      </w:r>
      <w:proofErr w:type="spellStart"/>
      <w:r w:rsidR="00950B36">
        <w:t>GuardaLe</w:t>
      </w:r>
      <w:r>
        <w:t>y</w:t>
      </w:r>
      <w:proofErr w:type="spellEnd"/>
      <w:r>
        <w:t xml:space="preserve"> and the Anti-Piracy Management Company;</w:t>
      </w:r>
    </w:p>
    <w:p w:rsidR="00EF238B" w:rsidRDefault="00EF238B" w:rsidP="00E93999">
      <w:pPr>
        <w:pStyle w:val="ListNo1"/>
        <w:numPr>
          <w:ilvl w:val="0"/>
          <w:numId w:val="31"/>
        </w:numPr>
      </w:pPr>
      <w:r>
        <w:t>the ISPs had been pursuing the issue of who owned the copyright in the film with the applicants since the proceedings began and it was very late in the piece in view of that history to be adding a new party on the second day of the trial;</w:t>
      </w:r>
    </w:p>
    <w:p w:rsidR="00EF238B" w:rsidRDefault="00EF238B" w:rsidP="00E93999">
      <w:pPr>
        <w:pStyle w:val="ListNo1"/>
        <w:numPr>
          <w:ilvl w:val="0"/>
          <w:numId w:val="31"/>
        </w:numPr>
      </w:pPr>
      <w:r>
        <w:t>if Voltage had been joined earlier then it would have been possible to investigate its financial position, an opportunity now denied the ISPs mid-trial; and</w:t>
      </w:r>
    </w:p>
    <w:p w:rsidR="00EF238B" w:rsidRDefault="00EF238B" w:rsidP="00E93999">
      <w:pPr>
        <w:pStyle w:val="ListNo1"/>
        <w:numPr>
          <w:ilvl w:val="0"/>
          <w:numId w:val="31"/>
        </w:numPr>
      </w:pPr>
      <w:r>
        <w:t xml:space="preserve">if Voltage had been joined earlier the ISPs would have sought access to the instructions given by Voltage to its </w:t>
      </w:r>
      <w:proofErr w:type="spellStart"/>
      <w:r>
        <w:t>attornies</w:t>
      </w:r>
      <w:proofErr w:type="spellEnd"/>
      <w:r>
        <w:t>.</w:t>
      </w:r>
    </w:p>
    <w:p w:rsidR="00EE2AC3" w:rsidRDefault="002F1663" w:rsidP="002F1663">
      <w:pPr>
        <w:pStyle w:val="ParaNumbering"/>
      </w:pPr>
      <w:r>
        <w:t>I did not consider that these considerations required</w:t>
      </w:r>
      <w:r w:rsidR="00EE2AC3">
        <w:t xml:space="preserve"> that I should refuse to add Voltage as a party.  One begins with the fact that the suggestion that it was Voltage which was the copyright owner emerged from the ISPs</w:t>
      </w:r>
      <w:r w:rsidR="00935CCD">
        <w:t xml:space="preserve">’ cross-examination of Mr </w:t>
      </w:r>
      <w:proofErr w:type="spellStart"/>
      <w:r w:rsidR="00935CCD">
        <w:t>Wick</w:t>
      </w:r>
      <w:r w:rsidR="00EE2AC3">
        <w:t>strom</w:t>
      </w:r>
      <w:proofErr w:type="spellEnd"/>
      <w:r w:rsidR="00EE2AC3">
        <w:t>.  It was the ISPs who set out to disp</w:t>
      </w:r>
      <w:r w:rsidR="00EF238B">
        <w:t>r</w:t>
      </w:r>
      <w:r w:rsidR="00EE2AC3">
        <w:t>o</w:t>
      </w:r>
      <w:r w:rsidR="00EF238B">
        <w:t>v</w:t>
      </w:r>
      <w:r w:rsidR="00EE2AC3">
        <w:t>e his evidence that Dallas Buyers Club LLC was the owner by getting h</w:t>
      </w:r>
      <w:r w:rsidR="00EC6969">
        <w:t>i</w:t>
      </w:r>
      <w:r w:rsidR="00EE2AC3">
        <w:t>m to say the owner was Voltage.</w:t>
      </w:r>
      <w:r w:rsidR="00EF238B">
        <w:t xml:space="preserve">  </w:t>
      </w:r>
      <w:r w:rsidR="00EC6969">
        <w:t>The ISPs cannot have their cake and eat it t</w:t>
      </w:r>
      <w:r w:rsidR="00935CCD">
        <w:t>o</w:t>
      </w:r>
      <w:r w:rsidR="00EC6969">
        <w:t xml:space="preserve">o.  If they wish to contend that Voltage is the owner </w:t>
      </w:r>
      <w:r w:rsidR="0092372D">
        <w:t xml:space="preserve">in order to show that Dallas Buyers Club LLC is not </w:t>
      </w:r>
      <w:r w:rsidR="00935CCD">
        <w:t xml:space="preserve">then </w:t>
      </w:r>
      <w:r w:rsidR="00EC6969">
        <w:t>they need to live with the consequences that endeavour may have</w:t>
      </w:r>
      <w:r w:rsidR="00585AC8">
        <w:t>,</w:t>
      </w:r>
      <w:r w:rsidR="00EC6969">
        <w:t xml:space="preserve"> including the joinder of Voltage to the proceeding.</w:t>
      </w:r>
    </w:p>
    <w:p w:rsidR="00EC6969" w:rsidRDefault="00EC6969" w:rsidP="002F1663">
      <w:pPr>
        <w:pStyle w:val="ParaNumbering"/>
      </w:pPr>
      <w:r>
        <w:t xml:space="preserve">In any event none of the discretionary considerations set out in (a)-(d) above is persuasive.  </w:t>
      </w:r>
      <w:r w:rsidR="00583478">
        <w:t xml:space="preserve">As to (a): </w:t>
      </w:r>
      <w:r>
        <w:t xml:space="preserve">I do not think that </w:t>
      </w:r>
      <w:r w:rsidR="00583478">
        <w:t xml:space="preserve">further investigation of </w:t>
      </w:r>
      <w:proofErr w:type="spellStart"/>
      <w:r w:rsidR="00583478">
        <w:t>GuardaL</w:t>
      </w:r>
      <w:r>
        <w:t>ey</w:t>
      </w:r>
      <w:proofErr w:type="spellEnd"/>
      <w:r>
        <w:t xml:space="preserve"> or the Ant</w:t>
      </w:r>
      <w:r w:rsidR="00E14506">
        <w:t>i</w:t>
      </w:r>
      <w:r>
        <w:t>-Piracy Management Company could have thrown any light on the issue of either applicant</w:t>
      </w:r>
      <w:r w:rsidR="0092372D">
        <w:t>’</w:t>
      </w:r>
      <w:r>
        <w:t>s standing to sue.  Indeed, this was accepted to be so and the issue was said only to go to the exercise of the Court’s discretion.  What that concession mean</w:t>
      </w:r>
      <w:r w:rsidR="00E14506">
        <w:t>t</w:t>
      </w:r>
      <w:r>
        <w:t xml:space="preserve"> was that whatever the </w:t>
      </w:r>
      <w:proofErr w:type="spellStart"/>
      <w:r>
        <w:t>Gua</w:t>
      </w:r>
      <w:r w:rsidR="00583478">
        <w:t>r</w:t>
      </w:r>
      <w:r>
        <w:t>daLey</w:t>
      </w:r>
      <w:proofErr w:type="spellEnd"/>
      <w:r>
        <w:t xml:space="preserve">/Anti-Piracy Management Company issue was it </w:t>
      </w:r>
      <w:r w:rsidR="00894C54">
        <w:t xml:space="preserve">did not bear </w:t>
      </w:r>
      <w:r>
        <w:t xml:space="preserve">upon whether Dallas Buyers Club LLC or Voltage could sue.  The ISPs did not identify what the discretionary matter </w:t>
      </w:r>
      <w:r w:rsidR="0092372D">
        <w:t>wa</w:t>
      </w:r>
      <w:r>
        <w:t xml:space="preserve">s but the </w:t>
      </w:r>
      <w:r w:rsidR="0092372D">
        <w:t xml:space="preserve">likely </w:t>
      </w:r>
      <w:r>
        <w:t xml:space="preserve">candidate is </w:t>
      </w:r>
      <w:r w:rsidR="0092372D">
        <w:t>the</w:t>
      </w:r>
      <w:r>
        <w:t xml:space="preserve"> notion that Voltage used intermediaries to track down film pirates and/or was aggressive in doing so.  As will be apparent from the reasons I have given already, I accept that Voltage is aggressive</w:t>
      </w:r>
      <w:r w:rsidR="0092372D">
        <w:t xml:space="preserve"> and pursues pirates</w:t>
      </w:r>
      <w:r>
        <w:t>.  I do not think the forensic value of working out whether, and</w:t>
      </w:r>
      <w:r w:rsidR="00583478">
        <w:t>,</w:t>
      </w:r>
      <w:r>
        <w:t xml:space="preserve"> if </w:t>
      </w:r>
      <w:r w:rsidR="006C6A09">
        <w:t>so</w:t>
      </w:r>
      <w:r w:rsidR="00583478">
        <w:t>,</w:t>
      </w:r>
      <w:r w:rsidR="006C6A09">
        <w:t xml:space="preserve"> to what extent, Voltage used intermediaries</w:t>
      </w:r>
      <w:r w:rsidR="0092372D">
        <w:t xml:space="preserve"> to pursue pirates</w:t>
      </w:r>
      <w:r w:rsidR="006C6A09">
        <w:t xml:space="preserve"> or how those intermediaries went about </w:t>
      </w:r>
      <w:r w:rsidR="00583478">
        <w:t xml:space="preserve">any such </w:t>
      </w:r>
      <w:r w:rsidR="0092372D">
        <w:t>pursuit</w:t>
      </w:r>
      <w:r w:rsidR="006C6A09">
        <w:t>, sufficiently outweighs the obvious wast</w:t>
      </w:r>
      <w:r w:rsidR="00894C54">
        <w:t>ag</w:t>
      </w:r>
      <w:r w:rsidR="006C6A09">
        <w:t>e which would occur if I refused to join Voltage.  That wastage exists because if I refused to join Voltage it could simply commence its own</w:t>
      </w:r>
      <w:r w:rsidR="0092372D">
        <w:t xml:space="preserve"> separate</w:t>
      </w:r>
      <w:r w:rsidR="006C6A09">
        <w:t xml:space="preserve"> case </w:t>
      </w:r>
      <w:r w:rsidR="006C6A09">
        <w:lastRenderedPageBreak/>
        <w:t>which would then</w:t>
      </w:r>
      <w:r w:rsidR="0092372D">
        <w:t xml:space="preserve"> still </w:t>
      </w:r>
      <w:r w:rsidR="006C6A09">
        <w:t>need to be heard</w:t>
      </w:r>
      <w:r w:rsidR="00583478">
        <w:t xml:space="preserve"> and which would involve substantially identical issues to the present application</w:t>
      </w:r>
      <w:r w:rsidR="006C6A09">
        <w:t>.</w:t>
      </w:r>
    </w:p>
    <w:p w:rsidR="006C6A09" w:rsidRDefault="00583478" w:rsidP="002F1663">
      <w:pPr>
        <w:pStyle w:val="ParaNumbering"/>
      </w:pPr>
      <w:r>
        <w:t>As to (b):</w:t>
      </w:r>
      <w:r w:rsidR="001D5FDD">
        <w:t xml:space="preserve"> whilst I accept that the ISPs have been pressing Dallas Buyers Club LLC on the title </w:t>
      </w:r>
      <w:r w:rsidR="0092372D">
        <w:t xml:space="preserve">issue </w:t>
      </w:r>
      <w:r w:rsidR="001D5FDD">
        <w:t>for some time</w:t>
      </w:r>
      <w:r w:rsidR="0092372D">
        <w:t>,</w:t>
      </w:r>
      <w:r w:rsidR="001D5FDD">
        <w:t xml:space="preserve"> it was the ISPs who </w:t>
      </w:r>
      <w:r>
        <w:t>asserted</w:t>
      </w:r>
      <w:r w:rsidR="001D5FDD">
        <w:t xml:space="preserve"> </w:t>
      </w:r>
      <w:r w:rsidR="00894C54">
        <w:t xml:space="preserve">at the hearing </w:t>
      </w:r>
      <w:r w:rsidR="001D5FDD">
        <w:t xml:space="preserve">that the owner was Voltage.  In </w:t>
      </w:r>
      <w:r>
        <w:t>that circumstance,</w:t>
      </w:r>
      <w:r w:rsidR="001D5FDD">
        <w:t xml:space="preserve"> I do not accept there has been any inexcusable delay such as to warrant refusing the joinder.</w:t>
      </w:r>
    </w:p>
    <w:p w:rsidR="001D5FDD" w:rsidRDefault="00583478" w:rsidP="002F1663">
      <w:pPr>
        <w:pStyle w:val="ParaNumbering"/>
      </w:pPr>
      <w:r>
        <w:t>As to (c):</w:t>
      </w:r>
      <w:r w:rsidR="001D5FDD">
        <w:t xml:space="preserve"> I </w:t>
      </w:r>
      <w:r>
        <w:t xml:space="preserve">do not </w:t>
      </w:r>
      <w:r w:rsidR="001D5FDD">
        <w:t xml:space="preserve">accept that it would have made sense to permit an investigation into the financial position of Voltage.  This would not in any way impact on the title issue and its only discretionary relevance would appear to be the notion that such material might attenuate Voltage’s claims for damages.  But </w:t>
      </w:r>
      <w:r w:rsidR="0092372D">
        <w:t xml:space="preserve">in </w:t>
      </w:r>
      <w:r w:rsidR="001D5FDD">
        <w:t>a preliminary discovery application such a consideration w</w:t>
      </w:r>
      <w:r w:rsidR="0092372D">
        <w:t>ould be</w:t>
      </w:r>
      <w:r w:rsidR="001D5FDD">
        <w:t xml:space="preserve"> inappropriate.</w:t>
      </w:r>
    </w:p>
    <w:p w:rsidR="001D5FDD" w:rsidRDefault="001D5FDD" w:rsidP="002F1663">
      <w:pPr>
        <w:pStyle w:val="ParaNumbering"/>
      </w:pPr>
      <w:r>
        <w:t>As to (d)</w:t>
      </w:r>
      <w:r w:rsidR="00583478">
        <w:t>:</w:t>
      </w:r>
      <w:r>
        <w:t xml:space="preserve"> I do not think it would have been proportionate to permit further inquiry into the instructions given by Voltage to its </w:t>
      </w:r>
      <w:proofErr w:type="spellStart"/>
      <w:r>
        <w:t>attornies</w:t>
      </w:r>
      <w:proofErr w:type="spellEnd"/>
      <w:r>
        <w:t xml:space="preserve">.  The evidence before me already showed that Voltage behaved aggressively and, indeed, my finding has been that Voltage will be as aggressive as it is legally permitted to be.  Further exploration of this topic would have added </w:t>
      </w:r>
      <w:r w:rsidR="00583478">
        <w:t>little, if anything, to the ISPs’ arguments</w:t>
      </w:r>
      <w:r>
        <w:t>.</w:t>
      </w:r>
    </w:p>
    <w:p w:rsidR="001D5FDD" w:rsidRDefault="001D5FDD" w:rsidP="002F1663">
      <w:pPr>
        <w:pStyle w:val="ParaNumbering"/>
      </w:pPr>
      <w:r>
        <w:t>For those reasons, I permitted Voltage to be joined as a second</w:t>
      </w:r>
      <w:r w:rsidR="00583478">
        <w:t xml:space="preserve"> prospective</w:t>
      </w:r>
      <w:r>
        <w:t xml:space="preserve"> applicant.  Upon doing so, Mr Lancaster immediately applied for an adjournment of the proceedings.  I refused this application</w:t>
      </w:r>
      <w:r w:rsidR="0092372D">
        <w:t xml:space="preserve"> too</w:t>
      </w:r>
      <w:r>
        <w:t>.  There were five bases for the adjournment application:</w:t>
      </w:r>
    </w:p>
    <w:p w:rsidR="001D5FDD" w:rsidRDefault="001D5FDD" w:rsidP="00E93999">
      <w:pPr>
        <w:pStyle w:val="ListNo1"/>
        <w:numPr>
          <w:ilvl w:val="0"/>
          <w:numId w:val="24"/>
        </w:numPr>
      </w:pPr>
      <w:r>
        <w:t>the need to find out more about a document referr</w:t>
      </w:r>
      <w:r w:rsidR="00583478">
        <w:t xml:space="preserve">ed to by Mr </w:t>
      </w:r>
      <w:proofErr w:type="spellStart"/>
      <w:r w:rsidR="00583478">
        <w:t>Wick</w:t>
      </w:r>
      <w:r>
        <w:t>strom</w:t>
      </w:r>
      <w:proofErr w:type="spellEnd"/>
      <w:r>
        <w:t xml:space="preserve"> as being a 60 page letter of instruction given by Voltage to its lawyers;</w:t>
      </w:r>
    </w:p>
    <w:p w:rsidR="001D5FDD" w:rsidRDefault="001D5FDD" w:rsidP="00E93999">
      <w:pPr>
        <w:pStyle w:val="ListNo1"/>
        <w:numPr>
          <w:ilvl w:val="0"/>
          <w:numId w:val="24"/>
        </w:numPr>
      </w:pPr>
      <w:r>
        <w:t>the need to investigate what Voltage’s polic</w:t>
      </w:r>
      <w:r w:rsidR="0092372D">
        <w:t>y</w:t>
      </w:r>
      <w:r>
        <w:t xml:space="preserve"> on recoveries was;</w:t>
      </w:r>
    </w:p>
    <w:p w:rsidR="001D5FDD" w:rsidRDefault="001D5FDD" w:rsidP="00E93999">
      <w:pPr>
        <w:pStyle w:val="ListNo1"/>
        <w:numPr>
          <w:ilvl w:val="0"/>
          <w:numId w:val="24"/>
        </w:numPr>
      </w:pPr>
      <w:r>
        <w:t xml:space="preserve">the need to investigate the </w:t>
      </w:r>
      <w:r w:rsidR="00583478">
        <w:t>relationship between Voltage,</w:t>
      </w:r>
      <w:r>
        <w:t xml:space="preserve"> </w:t>
      </w:r>
      <w:proofErr w:type="spellStart"/>
      <w:r>
        <w:t>GuardaLey</w:t>
      </w:r>
      <w:proofErr w:type="spellEnd"/>
      <w:r>
        <w:t xml:space="preserve"> and Anti-Piracy Management Company;</w:t>
      </w:r>
    </w:p>
    <w:p w:rsidR="001D5FDD" w:rsidRDefault="001D5FDD" w:rsidP="00E93999">
      <w:pPr>
        <w:pStyle w:val="ListNo1"/>
        <w:numPr>
          <w:ilvl w:val="0"/>
          <w:numId w:val="24"/>
        </w:numPr>
      </w:pPr>
      <w:r>
        <w:t>the need to investigate the fee arrangem</w:t>
      </w:r>
      <w:r w:rsidR="00F001F8">
        <w:t xml:space="preserve">ents between Voltage and </w:t>
      </w:r>
      <w:proofErr w:type="spellStart"/>
      <w:r w:rsidR="00F001F8">
        <w:t>Maveric</w:t>
      </w:r>
      <w:r>
        <w:t>k</w:t>
      </w:r>
      <w:r w:rsidR="00F001F8">
        <w:t>e</w:t>
      </w:r>
      <w:r>
        <w:t>ye</w:t>
      </w:r>
      <w:proofErr w:type="spellEnd"/>
      <w:r w:rsidR="00F001F8">
        <w:t xml:space="preserve"> </w:t>
      </w:r>
      <w:proofErr w:type="spellStart"/>
      <w:r w:rsidR="00F001F8">
        <w:t>UG</w:t>
      </w:r>
      <w:proofErr w:type="spellEnd"/>
      <w:r>
        <w:t>;</w:t>
      </w:r>
      <w:r w:rsidR="0092372D">
        <w:t xml:space="preserve"> and</w:t>
      </w:r>
    </w:p>
    <w:p w:rsidR="001D5FDD" w:rsidRDefault="001D5FDD" w:rsidP="00E93999">
      <w:pPr>
        <w:pStyle w:val="ListNo1"/>
        <w:numPr>
          <w:ilvl w:val="0"/>
          <w:numId w:val="24"/>
        </w:numPr>
      </w:pPr>
      <w:r>
        <w:t>the need to investigate other documents relating to Voltage’s entitlement to damages.</w:t>
      </w:r>
    </w:p>
    <w:p w:rsidR="001D5FDD" w:rsidRDefault="001D5FDD" w:rsidP="001D5FDD">
      <w:pPr>
        <w:pStyle w:val="ParaNumbering"/>
      </w:pPr>
      <w:r>
        <w:t>As to (a), this is the same point in substance as the need to carry out further investigat</w:t>
      </w:r>
      <w:r w:rsidR="0092372D">
        <w:t>ions into</w:t>
      </w:r>
      <w:r>
        <w:t xml:space="preserve"> Voltage’s relationship with its </w:t>
      </w:r>
      <w:proofErr w:type="spellStart"/>
      <w:r>
        <w:t>attornies</w:t>
      </w:r>
      <w:proofErr w:type="spellEnd"/>
      <w:r>
        <w:t xml:space="preserve"> discussed above.  I reject it for the same reasons.  A</w:t>
      </w:r>
      <w:r w:rsidR="0092372D">
        <w:t>s</w:t>
      </w:r>
      <w:r>
        <w:t xml:space="preserve"> to (b) and (e) these are effectively a damages point which for the reasons I have already </w:t>
      </w:r>
      <w:r>
        <w:lastRenderedPageBreak/>
        <w:t>given has no place in an application for preliminary discovery.  Insofar as (c) is concerned, I reject it for the reasons I have given on the same point on the joind</w:t>
      </w:r>
      <w:r w:rsidR="00583478">
        <w:t xml:space="preserve">er application.  I do not think, as to </w:t>
      </w:r>
      <w:r>
        <w:t>(d)</w:t>
      </w:r>
      <w:r w:rsidR="00583478">
        <w:t>,</w:t>
      </w:r>
      <w:r>
        <w:t xml:space="preserve"> that knowing what the terms of th</w:t>
      </w:r>
      <w:r w:rsidR="00B74C49">
        <w:t xml:space="preserve">e relationship between </w:t>
      </w:r>
      <w:proofErr w:type="spellStart"/>
      <w:r w:rsidR="00B74C49">
        <w:t>Mavericke</w:t>
      </w:r>
      <w:r>
        <w:t>ye</w:t>
      </w:r>
      <w:proofErr w:type="spellEnd"/>
      <w:r w:rsidR="00B74C49">
        <w:t xml:space="preserve"> </w:t>
      </w:r>
      <w:proofErr w:type="spellStart"/>
      <w:r w:rsidR="00B74C49">
        <w:t>UG</w:t>
      </w:r>
      <w:proofErr w:type="spellEnd"/>
      <w:r>
        <w:t xml:space="preserve"> and Voltage were would add much to the sum of human knowledge or</w:t>
      </w:r>
      <w:r w:rsidR="00583478">
        <w:t>,</w:t>
      </w:r>
      <w:r>
        <w:t xml:space="preserve"> at least</w:t>
      </w:r>
      <w:r w:rsidR="00583478">
        <w:t>,</w:t>
      </w:r>
      <w:r>
        <w:t xml:space="preserve"> to the straightforward issues on the present application.  Further, the notice to produce issued by </w:t>
      </w:r>
      <w:r w:rsidR="00583478">
        <w:t>the ISPs</w:t>
      </w:r>
      <w:r>
        <w:t xml:space="preserve"> did</w:t>
      </w:r>
      <w:r w:rsidR="00583478">
        <w:t>,</w:t>
      </w:r>
      <w:r>
        <w:t xml:space="preserve"> in fact</w:t>
      </w:r>
      <w:r w:rsidR="00583478">
        <w:t>,</w:t>
      </w:r>
      <w:r>
        <w:t xml:space="preserve"> seek </w:t>
      </w:r>
      <w:r w:rsidR="00E14506">
        <w:t>these materials insofar as they related to Voltage:  see Ex 8.  Th</w:t>
      </w:r>
      <w:r w:rsidR="0092372D">
        <w:t>is is</w:t>
      </w:r>
      <w:r w:rsidR="00E14506">
        <w:t xml:space="preserve"> another reason to reject (d) and (e).</w:t>
      </w:r>
    </w:p>
    <w:p w:rsidR="00E14506" w:rsidRDefault="00E14506" w:rsidP="001D5FDD">
      <w:pPr>
        <w:pStyle w:val="ParaNumbering"/>
      </w:pPr>
      <w:r>
        <w:t>For those reasons I refused the adjournment application.</w:t>
      </w:r>
    </w:p>
    <w:p w:rsidR="00E14506" w:rsidRDefault="00E14506" w:rsidP="00E14506">
      <w:pPr>
        <w:pStyle w:val="Heading2"/>
      </w:pPr>
      <w:r>
        <w:t>Orders</w:t>
      </w:r>
    </w:p>
    <w:p w:rsidR="00E14506" w:rsidRDefault="00E14506" w:rsidP="00E14506">
      <w:pPr>
        <w:pStyle w:val="ParaNumbering"/>
      </w:pPr>
      <w:r>
        <w:t xml:space="preserve">The only order I will make is that the matter be listed on </w:t>
      </w:r>
      <w:r w:rsidR="006B7785">
        <w:t>21</w:t>
      </w:r>
      <w:r w:rsidR="00297D12">
        <w:t xml:space="preserve"> April 2015</w:t>
      </w:r>
      <w:r>
        <w:t xml:space="preserve"> for the making of orders.</w:t>
      </w:r>
    </w:p>
    <w:p w:rsidR="00E14506" w:rsidRDefault="00E14506" w:rsidP="00FC4ECA">
      <w:pPr>
        <w:pStyle w:val="BodyText"/>
      </w:pPr>
      <w:bookmarkStart w:id="25" w:name="Certification"/>
    </w:p>
    <w:tbl>
      <w:tblPr>
        <w:tblW w:w="0" w:type="auto"/>
        <w:tblLook w:val="04A0" w:firstRow="1" w:lastRow="0" w:firstColumn="1" w:lastColumn="0" w:noHBand="0" w:noVBand="1"/>
      </w:tblPr>
      <w:tblGrid>
        <w:gridCol w:w="3794"/>
      </w:tblGrid>
      <w:tr w:rsidR="00E14506" w:rsidRPr="00E14506">
        <w:tc>
          <w:tcPr>
            <w:tcW w:w="3794" w:type="dxa"/>
            <w:shd w:val="clear" w:color="auto" w:fill="auto"/>
          </w:tcPr>
          <w:p w:rsidR="00E14506" w:rsidRPr="00E14506" w:rsidRDefault="00E14506" w:rsidP="003643A2">
            <w:pPr>
              <w:pStyle w:val="Normal1linespace"/>
            </w:pPr>
            <w:r w:rsidRPr="00E14506">
              <w:t xml:space="preserve">I certify that the preceding </w:t>
            </w:r>
            <w:bookmarkStart w:id="26" w:name="NumberWord"/>
            <w:r w:rsidR="00FF30F5">
              <w:t xml:space="preserve">one hundred and </w:t>
            </w:r>
            <w:bookmarkEnd w:id="26"/>
            <w:r w:rsidR="003643A2">
              <w:t>ten</w:t>
            </w:r>
            <w:r w:rsidRPr="00E14506">
              <w:t xml:space="preserve"> (</w:t>
            </w:r>
            <w:bookmarkStart w:id="27" w:name="NumberNumeral"/>
            <w:r w:rsidR="00FF30F5">
              <w:t>1</w:t>
            </w:r>
            <w:r w:rsidR="003643A2">
              <w:t>10</w:t>
            </w:r>
            <w:bookmarkEnd w:id="27"/>
            <w:r w:rsidRPr="00E14506">
              <w:t xml:space="preserve">) numbered </w:t>
            </w:r>
            <w:bookmarkStart w:id="28" w:name="CertPara"/>
            <w:r w:rsidR="00FF30F5">
              <w:t>paragraphs are</w:t>
            </w:r>
            <w:bookmarkEnd w:id="28"/>
            <w:r w:rsidRPr="00E14506">
              <w:t xml:space="preserve"> a true copy of the Reasons for Judgment herein of the Honourable </w:t>
            </w:r>
            <w:bookmarkStart w:id="29" w:name="Justice"/>
            <w:r w:rsidR="00FF30F5">
              <w:t>Justice Perram</w:t>
            </w:r>
            <w:bookmarkEnd w:id="29"/>
            <w:r w:rsidRPr="00E14506">
              <w:t>.</w:t>
            </w:r>
          </w:p>
        </w:tc>
      </w:tr>
    </w:tbl>
    <w:p w:rsidR="00E14506" w:rsidRDefault="00E14506" w:rsidP="00FC4ECA">
      <w:pPr>
        <w:pStyle w:val="BodyText"/>
      </w:pPr>
    </w:p>
    <w:p w:rsidR="00E14506" w:rsidRDefault="00E14506" w:rsidP="00FC4ECA">
      <w:pPr>
        <w:pStyle w:val="BodyText"/>
      </w:pPr>
      <w:r>
        <w:t>Associate:</w:t>
      </w:r>
    </w:p>
    <w:p w:rsidR="00E14506" w:rsidRDefault="00E14506" w:rsidP="00FC4ECA">
      <w:pPr>
        <w:pStyle w:val="BodyText"/>
      </w:pPr>
      <w:bookmarkStart w:id="30" w:name="_GoBack"/>
      <w:bookmarkEnd w:id="30"/>
    </w:p>
    <w:p w:rsidR="00E14506" w:rsidRDefault="00E14506" w:rsidP="00FC4ECA">
      <w:pPr>
        <w:pStyle w:val="BodyText"/>
        <w:tabs>
          <w:tab w:val="left" w:pos="1134"/>
        </w:tabs>
      </w:pPr>
      <w:r>
        <w:t>Dated:</w:t>
      </w:r>
      <w:r>
        <w:tab/>
      </w:r>
      <w:bookmarkStart w:id="31" w:name="CertifyDated"/>
      <w:r w:rsidR="006B7785">
        <w:t>7</w:t>
      </w:r>
      <w:r w:rsidR="00FF30F5">
        <w:t xml:space="preserve"> </w:t>
      </w:r>
      <w:r w:rsidR="00583478">
        <w:t>April</w:t>
      </w:r>
      <w:r w:rsidR="00FF30F5">
        <w:t xml:space="preserve"> 2015</w:t>
      </w:r>
      <w:bookmarkEnd w:id="31"/>
    </w:p>
    <w:p w:rsidR="00E14506" w:rsidRDefault="00E14506" w:rsidP="00FC4ECA">
      <w:pPr>
        <w:pStyle w:val="BodyText"/>
      </w:pPr>
    </w:p>
    <w:bookmarkEnd w:id="25"/>
    <w:p w:rsidR="00E14506" w:rsidRPr="00E14506" w:rsidRDefault="00E14506" w:rsidP="00E14506">
      <w:pPr>
        <w:pStyle w:val="NoNum"/>
      </w:pPr>
    </w:p>
    <w:sectPr w:rsidR="00E14506" w:rsidRPr="00E14506">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73" w:rsidRDefault="002D1673">
      <w:pPr>
        <w:spacing w:line="20" w:lineRule="exact"/>
      </w:pPr>
    </w:p>
    <w:p w:rsidR="002D1673" w:rsidRDefault="002D1673"/>
    <w:p w:rsidR="002D1673" w:rsidRDefault="002D1673"/>
  </w:endnote>
  <w:endnote w:type="continuationSeparator" w:id="0">
    <w:p w:rsidR="002D1673" w:rsidRDefault="002D1673">
      <w:r>
        <w:t xml:space="preserve"> </w:t>
      </w:r>
    </w:p>
    <w:p w:rsidR="002D1673" w:rsidRDefault="002D1673"/>
    <w:p w:rsidR="002D1673" w:rsidRDefault="002D1673"/>
  </w:endnote>
  <w:endnote w:type="continuationNotice" w:id="1">
    <w:p w:rsidR="002D1673" w:rsidRDefault="002D1673">
      <w:r>
        <w:t xml:space="preserve"> </w:t>
      </w:r>
    </w:p>
    <w:p w:rsidR="002D1673" w:rsidRDefault="002D1673"/>
    <w:p w:rsidR="002D1673" w:rsidRDefault="002D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Pr="00944F6A" w:rsidRDefault="002D1673" w:rsidP="00944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73" w:rsidRDefault="002D1673"/>
    <w:p w:rsidR="002D1673" w:rsidRDefault="002D1673"/>
    <w:p w:rsidR="002D1673" w:rsidRDefault="002D1673"/>
  </w:footnote>
  <w:footnote w:type="continuationSeparator" w:id="0">
    <w:p w:rsidR="002D1673" w:rsidRDefault="002D1673">
      <w:r>
        <w:continuationSeparator/>
      </w:r>
    </w:p>
    <w:p w:rsidR="002D1673" w:rsidRDefault="002D1673"/>
    <w:p w:rsidR="002D1673" w:rsidRDefault="002D16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41661">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pPr>
      <w:tabs>
        <w:tab w:val="center" w:pos="4512"/>
      </w:tabs>
      <w:suppressAutoHyphens/>
    </w:pPr>
    <w:r>
      <w:tab/>
      <w:t xml:space="preserve">- </w:t>
    </w:r>
    <w:r>
      <w:fldChar w:fldCharType="begin"/>
    </w:r>
    <w:r>
      <w:instrText>page \* arabic</w:instrText>
    </w:r>
    <w:r>
      <w:fldChar w:fldCharType="separate"/>
    </w:r>
    <w:r w:rsidR="00641661">
      <w:rPr>
        <w:noProof/>
      </w:rPr>
      <w:t>33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3" w:rsidRDefault="002D167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68BC8EE8">
      <w:start w:val="1"/>
      <w:numFmt w:val="bullet"/>
      <w:pStyle w:val="Quote2Bullet"/>
      <w:lvlText w:val=""/>
      <w:lvlJc w:val="left"/>
      <w:pPr>
        <w:ind w:left="2160" w:hanging="360"/>
      </w:pPr>
      <w:rPr>
        <w:rFonts w:ascii="Wingdings" w:hAnsi="Wingdings" w:hint="default"/>
      </w:rPr>
    </w:lvl>
    <w:lvl w:ilvl="1" w:tplc="C6F8BDD2" w:tentative="1">
      <w:start w:val="1"/>
      <w:numFmt w:val="bullet"/>
      <w:lvlText w:val="o"/>
      <w:lvlJc w:val="left"/>
      <w:pPr>
        <w:ind w:left="2880" w:hanging="360"/>
      </w:pPr>
      <w:rPr>
        <w:rFonts w:ascii="Courier New" w:hAnsi="Courier New" w:cs="Courier New" w:hint="default"/>
      </w:rPr>
    </w:lvl>
    <w:lvl w:ilvl="2" w:tplc="B3403630" w:tentative="1">
      <w:start w:val="1"/>
      <w:numFmt w:val="bullet"/>
      <w:lvlText w:val=""/>
      <w:lvlJc w:val="left"/>
      <w:pPr>
        <w:ind w:left="3600" w:hanging="360"/>
      </w:pPr>
      <w:rPr>
        <w:rFonts w:ascii="Wingdings" w:hAnsi="Wingdings" w:hint="default"/>
      </w:rPr>
    </w:lvl>
    <w:lvl w:ilvl="3" w:tplc="2E8291AA" w:tentative="1">
      <w:start w:val="1"/>
      <w:numFmt w:val="bullet"/>
      <w:lvlText w:val=""/>
      <w:lvlJc w:val="left"/>
      <w:pPr>
        <w:ind w:left="4320" w:hanging="360"/>
      </w:pPr>
      <w:rPr>
        <w:rFonts w:ascii="Symbol" w:hAnsi="Symbol" w:hint="default"/>
      </w:rPr>
    </w:lvl>
    <w:lvl w:ilvl="4" w:tplc="8FF2E388" w:tentative="1">
      <w:start w:val="1"/>
      <w:numFmt w:val="bullet"/>
      <w:lvlText w:val="o"/>
      <w:lvlJc w:val="left"/>
      <w:pPr>
        <w:ind w:left="5040" w:hanging="360"/>
      </w:pPr>
      <w:rPr>
        <w:rFonts w:ascii="Courier New" w:hAnsi="Courier New" w:cs="Courier New" w:hint="default"/>
      </w:rPr>
    </w:lvl>
    <w:lvl w:ilvl="5" w:tplc="84866D80" w:tentative="1">
      <w:start w:val="1"/>
      <w:numFmt w:val="bullet"/>
      <w:lvlText w:val=""/>
      <w:lvlJc w:val="left"/>
      <w:pPr>
        <w:ind w:left="5760" w:hanging="360"/>
      </w:pPr>
      <w:rPr>
        <w:rFonts w:ascii="Wingdings" w:hAnsi="Wingdings" w:hint="default"/>
      </w:rPr>
    </w:lvl>
    <w:lvl w:ilvl="6" w:tplc="6174083A" w:tentative="1">
      <w:start w:val="1"/>
      <w:numFmt w:val="bullet"/>
      <w:lvlText w:val=""/>
      <w:lvlJc w:val="left"/>
      <w:pPr>
        <w:ind w:left="6480" w:hanging="360"/>
      </w:pPr>
      <w:rPr>
        <w:rFonts w:ascii="Symbol" w:hAnsi="Symbol" w:hint="default"/>
      </w:rPr>
    </w:lvl>
    <w:lvl w:ilvl="7" w:tplc="13D08026" w:tentative="1">
      <w:start w:val="1"/>
      <w:numFmt w:val="bullet"/>
      <w:lvlText w:val="o"/>
      <w:lvlJc w:val="left"/>
      <w:pPr>
        <w:ind w:left="7200" w:hanging="360"/>
      </w:pPr>
      <w:rPr>
        <w:rFonts w:ascii="Courier New" w:hAnsi="Courier New" w:cs="Courier New" w:hint="default"/>
      </w:rPr>
    </w:lvl>
    <w:lvl w:ilvl="8" w:tplc="AC8C10B0" w:tentative="1">
      <w:start w:val="1"/>
      <w:numFmt w:val="bullet"/>
      <w:lvlText w:val=""/>
      <w:lvlJc w:val="left"/>
      <w:pPr>
        <w:ind w:left="7920" w:hanging="360"/>
      </w:pPr>
      <w:rPr>
        <w:rFonts w:ascii="Wingdings" w:hAnsi="Wingdings" w:hint="default"/>
      </w:rPr>
    </w:lvl>
  </w:abstractNum>
  <w:abstractNum w:abstractNumId="11">
    <w:nsid w:val="0D8254A8"/>
    <w:multiLevelType w:val="singleLevel"/>
    <w:tmpl w:val="376A3EA2"/>
    <w:lvl w:ilvl="0">
      <w:start w:val="1"/>
      <w:numFmt w:val="lowerLetter"/>
      <w:lvlText w:val="(%1)"/>
      <w:lvlJc w:val="left"/>
      <w:pPr>
        <w:tabs>
          <w:tab w:val="num" w:pos="720"/>
        </w:tabs>
        <w:ind w:left="720" w:hanging="720"/>
      </w:pPr>
      <w:rPr>
        <w:rFonts w:hint="default"/>
      </w:rPr>
    </w:lvl>
  </w:abstractNum>
  <w:abstractNum w:abstractNumId="12">
    <w:nsid w:val="14D444A5"/>
    <w:multiLevelType w:val="multilevel"/>
    <w:tmpl w:val="0F0EC90E"/>
    <w:numStyleLink w:val="FCListNo"/>
  </w:abstractNum>
  <w:abstractNum w:abstractNumId="13">
    <w:nsid w:val="16197E95"/>
    <w:multiLevelType w:val="singleLevel"/>
    <w:tmpl w:val="8ADA5E62"/>
    <w:lvl w:ilvl="0">
      <w:start w:val="1"/>
      <w:numFmt w:val="lowerLetter"/>
      <w:pStyle w:val="ListNo3"/>
      <w:lvlText w:val="(%1)"/>
      <w:lvlJc w:val="left"/>
      <w:pPr>
        <w:ind w:left="720" w:hanging="360"/>
      </w:pPr>
      <w:rPr>
        <w:rFonts w:hint="default"/>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6D17E92"/>
    <w:multiLevelType w:val="singleLevel"/>
    <w:tmpl w:val="DB22298C"/>
    <w:lvl w:ilvl="0">
      <w:start w:val="1"/>
      <w:numFmt w:val="lowerLetter"/>
      <w:lvlText w:val="(%1)"/>
      <w:lvlJc w:val="left"/>
      <w:pPr>
        <w:tabs>
          <w:tab w:val="num" w:pos="720"/>
        </w:tabs>
        <w:ind w:left="720" w:hanging="720"/>
      </w:pPr>
      <w:rPr>
        <w:rFonts w:hint="default"/>
      </w:rPr>
    </w:lvl>
  </w:abstractNum>
  <w:abstractNum w:abstractNumId="16">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296A747D"/>
    <w:multiLevelType w:val="singleLevel"/>
    <w:tmpl w:val="137CFDA6"/>
    <w:lvl w:ilvl="0">
      <w:start w:val="1"/>
      <w:numFmt w:val="lowerLetter"/>
      <w:lvlText w:val="(%1)"/>
      <w:lvlJc w:val="left"/>
      <w:pPr>
        <w:tabs>
          <w:tab w:val="num" w:pos="720"/>
        </w:tabs>
        <w:ind w:left="720" w:hanging="720"/>
      </w:pPr>
      <w:rPr>
        <w:rFonts w:hint="default"/>
      </w:r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2E2505D9"/>
    <w:multiLevelType w:val="hybridMultilevel"/>
    <w:tmpl w:val="3C120542"/>
    <w:lvl w:ilvl="0" w:tplc="77103EE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33561E2E"/>
    <w:multiLevelType w:val="hybridMultilevel"/>
    <w:tmpl w:val="E0D27D0E"/>
    <w:lvl w:ilvl="0" w:tplc="77486972">
      <w:start w:val="1"/>
      <w:numFmt w:val="bullet"/>
      <w:pStyle w:val="Quote3Bullet"/>
      <w:lvlText w:val=""/>
      <w:lvlJc w:val="left"/>
      <w:pPr>
        <w:ind w:left="2880" w:hanging="360"/>
      </w:pPr>
      <w:rPr>
        <w:rFonts w:ascii="Wingdings" w:hAnsi="Wingdings" w:hint="default"/>
      </w:rPr>
    </w:lvl>
    <w:lvl w:ilvl="1" w:tplc="0C090019" w:tentative="1">
      <w:start w:val="1"/>
      <w:numFmt w:val="bullet"/>
      <w:lvlText w:val="o"/>
      <w:lvlJc w:val="left"/>
      <w:pPr>
        <w:ind w:left="3600" w:hanging="360"/>
      </w:pPr>
      <w:rPr>
        <w:rFonts w:ascii="Courier New" w:hAnsi="Courier New" w:cs="Courier New" w:hint="default"/>
      </w:rPr>
    </w:lvl>
    <w:lvl w:ilvl="2" w:tplc="0C09001B" w:tentative="1">
      <w:start w:val="1"/>
      <w:numFmt w:val="bullet"/>
      <w:lvlText w:val=""/>
      <w:lvlJc w:val="left"/>
      <w:pPr>
        <w:ind w:left="4320" w:hanging="360"/>
      </w:pPr>
      <w:rPr>
        <w:rFonts w:ascii="Wingdings" w:hAnsi="Wingdings" w:hint="default"/>
      </w:rPr>
    </w:lvl>
    <w:lvl w:ilvl="3" w:tplc="0C09000F" w:tentative="1">
      <w:start w:val="1"/>
      <w:numFmt w:val="bullet"/>
      <w:lvlText w:val=""/>
      <w:lvlJc w:val="left"/>
      <w:pPr>
        <w:ind w:left="5040" w:hanging="360"/>
      </w:pPr>
      <w:rPr>
        <w:rFonts w:ascii="Symbol" w:hAnsi="Symbol" w:hint="default"/>
      </w:rPr>
    </w:lvl>
    <w:lvl w:ilvl="4" w:tplc="0C090019" w:tentative="1">
      <w:start w:val="1"/>
      <w:numFmt w:val="bullet"/>
      <w:lvlText w:val="o"/>
      <w:lvlJc w:val="left"/>
      <w:pPr>
        <w:ind w:left="5760" w:hanging="360"/>
      </w:pPr>
      <w:rPr>
        <w:rFonts w:ascii="Courier New" w:hAnsi="Courier New" w:cs="Courier New" w:hint="default"/>
      </w:rPr>
    </w:lvl>
    <w:lvl w:ilvl="5" w:tplc="0C09001B" w:tentative="1">
      <w:start w:val="1"/>
      <w:numFmt w:val="bullet"/>
      <w:lvlText w:val=""/>
      <w:lvlJc w:val="left"/>
      <w:pPr>
        <w:ind w:left="6480" w:hanging="360"/>
      </w:pPr>
      <w:rPr>
        <w:rFonts w:ascii="Wingdings" w:hAnsi="Wingdings" w:hint="default"/>
      </w:rPr>
    </w:lvl>
    <w:lvl w:ilvl="6" w:tplc="0C09000F" w:tentative="1">
      <w:start w:val="1"/>
      <w:numFmt w:val="bullet"/>
      <w:lvlText w:val=""/>
      <w:lvlJc w:val="left"/>
      <w:pPr>
        <w:ind w:left="7200" w:hanging="360"/>
      </w:pPr>
      <w:rPr>
        <w:rFonts w:ascii="Symbol" w:hAnsi="Symbol" w:hint="default"/>
      </w:rPr>
    </w:lvl>
    <w:lvl w:ilvl="7" w:tplc="0C090019" w:tentative="1">
      <w:start w:val="1"/>
      <w:numFmt w:val="bullet"/>
      <w:lvlText w:val="o"/>
      <w:lvlJc w:val="left"/>
      <w:pPr>
        <w:ind w:left="7920" w:hanging="360"/>
      </w:pPr>
      <w:rPr>
        <w:rFonts w:ascii="Courier New" w:hAnsi="Courier New" w:cs="Courier New" w:hint="default"/>
      </w:rPr>
    </w:lvl>
    <w:lvl w:ilvl="8" w:tplc="0C09001B" w:tentative="1">
      <w:start w:val="1"/>
      <w:numFmt w:val="bullet"/>
      <w:lvlText w:val=""/>
      <w:lvlJc w:val="left"/>
      <w:pPr>
        <w:ind w:left="8640" w:hanging="360"/>
      </w:pPr>
      <w:rPr>
        <w:rFonts w:ascii="Wingdings" w:hAnsi="Wingdings" w:hint="default"/>
      </w:rPr>
    </w:lvl>
  </w:abstractNum>
  <w:abstractNum w:abstractNumId="22">
    <w:nsid w:val="37F31D32"/>
    <w:multiLevelType w:val="singleLevel"/>
    <w:tmpl w:val="02CCBB7E"/>
    <w:lvl w:ilvl="0">
      <w:start w:val="1"/>
      <w:numFmt w:val="lowerLetter"/>
      <w:lvlText w:val="(%1)"/>
      <w:lvlJc w:val="left"/>
      <w:pPr>
        <w:tabs>
          <w:tab w:val="num" w:pos="720"/>
        </w:tabs>
        <w:ind w:left="720" w:hanging="720"/>
      </w:pPr>
      <w:rPr>
        <w:rFonts w:hint="default"/>
      </w:rPr>
    </w:lvl>
  </w:abstractNum>
  <w:abstractNum w:abstractNumId="23">
    <w:nsid w:val="3C152AB0"/>
    <w:multiLevelType w:val="singleLevel"/>
    <w:tmpl w:val="22B26ABE"/>
    <w:lvl w:ilvl="0">
      <w:start w:val="1"/>
      <w:numFmt w:val="decimal"/>
      <w:lvlText w:val="%1."/>
      <w:lvlJc w:val="left"/>
      <w:pPr>
        <w:tabs>
          <w:tab w:val="num" w:pos="720"/>
        </w:tabs>
        <w:ind w:left="720" w:hanging="720"/>
      </w:pPr>
      <w:rPr>
        <w:rFonts w:hint="default"/>
      </w:rPr>
    </w:lvl>
  </w:abstractNum>
  <w:abstractNum w:abstractNumId="24">
    <w:nsid w:val="3EC26C1C"/>
    <w:multiLevelType w:val="multilevel"/>
    <w:tmpl w:val="5A1C809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41A2998"/>
    <w:multiLevelType w:val="singleLevel"/>
    <w:tmpl w:val="E5D6F424"/>
    <w:lvl w:ilvl="0">
      <w:start w:val="1"/>
      <w:numFmt w:val="lowerLetter"/>
      <w:lvlText w:val="(%1)"/>
      <w:lvlJc w:val="left"/>
      <w:pPr>
        <w:tabs>
          <w:tab w:val="num" w:pos="720"/>
        </w:tabs>
        <w:ind w:left="720" w:hanging="720"/>
      </w:pPr>
      <w:rPr>
        <w:rFonts w:hint="default"/>
      </w:rPr>
    </w:lvl>
  </w:abstractNum>
  <w:abstractNum w:abstractNumId="28">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599C1017"/>
    <w:multiLevelType w:val="singleLevel"/>
    <w:tmpl w:val="BE622E90"/>
    <w:lvl w:ilvl="0">
      <w:start w:val="1"/>
      <w:numFmt w:val="lowerLetter"/>
      <w:lvlText w:val="(%1)"/>
      <w:lvlJc w:val="left"/>
      <w:pPr>
        <w:tabs>
          <w:tab w:val="num" w:pos="720"/>
        </w:tabs>
        <w:ind w:left="720" w:hanging="720"/>
      </w:pPr>
      <w:rPr>
        <w:rFonts w:hint="default"/>
      </w:r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6F9B6398"/>
    <w:multiLevelType w:val="hybridMultilevel"/>
    <w:tmpl w:val="0E4CBD92"/>
    <w:lvl w:ilvl="0" w:tplc="E69A21AA">
      <w:start w:val="1"/>
      <w:numFmt w:val="bullet"/>
      <w:pStyle w:val="Quote1Bullet"/>
      <w:lvlText w:val=""/>
      <w:lvlJc w:val="left"/>
      <w:pPr>
        <w:ind w:left="1457" w:hanging="360"/>
      </w:pPr>
      <w:rPr>
        <w:rFonts w:ascii="Wingdings" w:hAnsi="Wingdings" w:hint="default"/>
      </w:rPr>
    </w:lvl>
    <w:lvl w:ilvl="1" w:tplc="DD489D3C" w:tentative="1">
      <w:start w:val="1"/>
      <w:numFmt w:val="bullet"/>
      <w:lvlText w:val="o"/>
      <w:lvlJc w:val="left"/>
      <w:pPr>
        <w:ind w:left="2177" w:hanging="360"/>
      </w:pPr>
      <w:rPr>
        <w:rFonts w:ascii="Courier New" w:hAnsi="Courier New" w:cs="Courier New" w:hint="default"/>
      </w:rPr>
    </w:lvl>
    <w:lvl w:ilvl="2" w:tplc="76CCEFFC" w:tentative="1">
      <w:start w:val="1"/>
      <w:numFmt w:val="bullet"/>
      <w:lvlText w:val=""/>
      <w:lvlJc w:val="left"/>
      <w:pPr>
        <w:ind w:left="2897" w:hanging="360"/>
      </w:pPr>
      <w:rPr>
        <w:rFonts w:ascii="Wingdings" w:hAnsi="Wingdings" w:hint="default"/>
      </w:rPr>
    </w:lvl>
    <w:lvl w:ilvl="3" w:tplc="213078A8" w:tentative="1">
      <w:start w:val="1"/>
      <w:numFmt w:val="bullet"/>
      <w:lvlText w:val=""/>
      <w:lvlJc w:val="left"/>
      <w:pPr>
        <w:ind w:left="3617" w:hanging="360"/>
      </w:pPr>
      <w:rPr>
        <w:rFonts w:ascii="Symbol" w:hAnsi="Symbol" w:hint="default"/>
      </w:rPr>
    </w:lvl>
    <w:lvl w:ilvl="4" w:tplc="67B4BF82" w:tentative="1">
      <w:start w:val="1"/>
      <w:numFmt w:val="bullet"/>
      <w:lvlText w:val="o"/>
      <w:lvlJc w:val="left"/>
      <w:pPr>
        <w:ind w:left="4337" w:hanging="360"/>
      </w:pPr>
      <w:rPr>
        <w:rFonts w:ascii="Courier New" w:hAnsi="Courier New" w:cs="Courier New" w:hint="default"/>
      </w:rPr>
    </w:lvl>
    <w:lvl w:ilvl="5" w:tplc="60E80A48" w:tentative="1">
      <w:start w:val="1"/>
      <w:numFmt w:val="bullet"/>
      <w:lvlText w:val=""/>
      <w:lvlJc w:val="left"/>
      <w:pPr>
        <w:ind w:left="5057" w:hanging="360"/>
      </w:pPr>
      <w:rPr>
        <w:rFonts w:ascii="Wingdings" w:hAnsi="Wingdings" w:hint="default"/>
      </w:rPr>
    </w:lvl>
    <w:lvl w:ilvl="6" w:tplc="C51AF962" w:tentative="1">
      <w:start w:val="1"/>
      <w:numFmt w:val="bullet"/>
      <w:lvlText w:val=""/>
      <w:lvlJc w:val="left"/>
      <w:pPr>
        <w:ind w:left="5777" w:hanging="360"/>
      </w:pPr>
      <w:rPr>
        <w:rFonts w:ascii="Symbol" w:hAnsi="Symbol" w:hint="default"/>
      </w:rPr>
    </w:lvl>
    <w:lvl w:ilvl="7" w:tplc="E6560BAC" w:tentative="1">
      <w:start w:val="1"/>
      <w:numFmt w:val="bullet"/>
      <w:lvlText w:val="o"/>
      <w:lvlJc w:val="left"/>
      <w:pPr>
        <w:ind w:left="6497" w:hanging="360"/>
      </w:pPr>
      <w:rPr>
        <w:rFonts w:ascii="Courier New" w:hAnsi="Courier New" w:cs="Courier New" w:hint="default"/>
      </w:rPr>
    </w:lvl>
    <w:lvl w:ilvl="8" w:tplc="100AB938" w:tentative="1">
      <w:start w:val="1"/>
      <w:numFmt w:val="bullet"/>
      <w:lvlText w:val=""/>
      <w:lvlJc w:val="left"/>
      <w:pPr>
        <w:ind w:left="7217" w:hanging="360"/>
      </w:pPr>
      <w:rPr>
        <w:rFonts w:ascii="Wingdings" w:hAnsi="Wingdings" w:hint="default"/>
      </w:r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nsid w:val="7E9B6530"/>
    <w:multiLevelType w:val="singleLevel"/>
    <w:tmpl w:val="FF60ACF6"/>
    <w:lvl w:ilvl="0">
      <w:start w:val="1"/>
      <w:numFmt w:val="lowerRoman"/>
      <w:lvlText w:val="(%1)"/>
      <w:lvlJc w:val="left"/>
      <w:pPr>
        <w:tabs>
          <w:tab w:val="num" w:pos="720"/>
        </w:tabs>
        <w:ind w:left="720" w:hanging="720"/>
      </w:pPr>
      <w:rPr>
        <w:rFonts w:hint="default"/>
      </w:rPr>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5"/>
  </w:num>
  <w:num w:numId="15">
    <w:abstractNumId w:val="26"/>
  </w:num>
  <w:num w:numId="16">
    <w:abstractNumId w:val="32"/>
  </w:num>
  <w:num w:numId="17">
    <w:abstractNumId w:val="16"/>
  </w:num>
  <w:num w:numId="18">
    <w:abstractNumId w:val="31"/>
  </w:num>
  <w:num w:numId="19">
    <w:abstractNumId w:val="10"/>
  </w:num>
  <w:num w:numId="20">
    <w:abstractNumId w:val="21"/>
  </w:num>
  <w:num w:numId="21">
    <w:abstractNumId w:val="19"/>
  </w:num>
  <w:num w:numId="22">
    <w:abstractNumId w:val="19"/>
  </w:num>
  <w:num w:numId="23">
    <w:abstractNumId w:val="13"/>
  </w:num>
  <w:num w:numId="24">
    <w:abstractNumId w:val="24"/>
  </w:num>
  <w:num w:numId="25">
    <w:abstractNumId w:val="23"/>
  </w:num>
  <w:num w:numId="26">
    <w:abstractNumId w:val="11"/>
  </w:num>
  <w:num w:numId="27">
    <w:abstractNumId w:val="29"/>
  </w:num>
  <w:num w:numId="28">
    <w:abstractNumId w:val="17"/>
  </w:num>
  <w:num w:numId="29">
    <w:abstractNumId w:val="33"/>
  </w:num>
  <w:num w:numId="30">
    <w:abstractNumId w:val="15"/>
  </w:num>
  <w:num w:numId="31">
    <w:abstractNumId w:val="27"/>
  </w:num>
  <w:num w:numId="32">
    <w:abstractNumId w:val="20"/>
  </w:num>
  <w:num w:numId="33">
    <w:abstractNumId w:val="12"/>
  </w:num>
  <w:num w:numId="34">
    <w:abstractNumId w:val="28"/>
  </w:num>
  <w:num w:numId="3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allas Buyers Club LLC|Voltage Pictures LLC"/>
    <w:docVar w:name="CounselParties" w:val="Applicant"/>
    <w:docVar w:name="CounselType" w:val="Solicitor for the "/>
    <w:docVar w:name="Division" w:val="GENERAL DIVISION"/>
    <w:docVar w:name="DocCreated" w:val="True"/>
    <w:docVar w:name="FileNumbers" w:val="NSD 1051 of 2014"/>
    <w:docVar w:name="FullCourt" w:val="False"/>
    <w:docVar w:name="HearingDate" w:val="xx March 2015"/>
    <w:docVar w:name="Judgdate" w:val="## March 2015"/>
    <w:docVar w:name="Judge" w:val="Perram"/>
    <w:docVar w:name="JudgePlace" w:val="SYDNEY"/>
    <w:docVar w:name="lstEntryList" w:val="-1"/>
    <w:docVar w:name="myEntryList" w:val="Counsel for the First Applicant=|Solicitor for the First Applicant=|Counsel for the Second Applicant=|Solicitor for the Second Applicant=|Counsel for the First Respondent=|Solicitor for the First Respondent=|Counsel for the Second Respondent=|Solicitor for the Second Respondent=|Counsel for the Third Respondent=|Solicitor for the Third Respondent=|Counsel for the Fourth Respondent=|Solicitor for the Fourth Respondent=|Counsel for the Fifth Respondent=|Solicitor for the Fifth Respondent=|Counsel for the Sixth Respondent=|Solicitor for the Sixth Respondent="/>
    <w:docVar w:name="NSD" w:val="NSD NSD 1051 of 2014"/>
    <w:docVar w:name="NumApps" w:val="6"/>
    <w:docVar w:name="NumApps_" w:val="2"/>
    <w:docVar w:name="NumJudges" w:val="Single Judge"/>
    <w:docVar w:name="Parties" w:val="Respondent"/>
    <w:docVar w:name="Place_SentenceCase" w:val="Sydney"/>
    <w:docVar w:name="Respondent" w:val="iiNet Limited|Internode Pty Ltd|Amnet Broadband Pty Ltd|Dodo Services Pty Ltd|Adam Internet Pty Ltd|Widebank Networks Pty Ltd"/>
    <w:docVar w:name="ResState" w:val="NEW SOUTH WALES"/>
    <w:docVar w:name="Single" w:val="True"/>
  </w:docVars>
  <w:rsids>
    <w:rsidRoot w:val="008D18D4"/>
    <w:rsid w:val="000011EC"/>
    <w:rsid w:val="00004F71"/>
    <w:rsid w:val="00010AE9"/>
    <w:rsid w:val="000172BF"/>
    <w:rsid w:val="00021290"/>
    <w:rsid w:val="000336FA"/>
    <w:rsid w:val="00040106"/>
    <w:rsid w:val="000467D0"/>
    <w:rsid w:val="00057AE7"/>
    <w:rsid w:val="000662AF"/>
    <w:rsid w:val="00071A07"/>
    <w:rsid w:val="000A2C65"/>
    <w:rsid w:val="000A56B1"/>
    <w:rsid w:val="000B07CB"/>
    <w:rsid w:val="000B2C9C"/>
    <w:rsid w:val="000D1C83"/>
    <w:rsid w:val="000D2137"/>
    <w:rsid w:val="000D74DE"/>
    <w:rsid w:val="000F3E0E"/>
    <w:rsid w:val="000F540E"/>
    <w:rsid w:val="000F7106"/>
    <w:rsid w:val="001128BD"/>
    <w:rsid w:val="00116F6B"/>
    <w:rsid w:val="00124FE4"/>
    <w:rsid w:val="00131E2C"/>
    <w:rsid w:val="00145B76"/>
    <w:rsid w:val="00154FDC"/>
    <w:rsid w:val="00157AAA"/>
    <w:rsid w:val="00172549"/>
    <w:rsid w:val="001727A4"/>
    <w:rsid w:val="001738AB"/>
    <w:rsid w:val="001763B4"/>
    <w:rsid w:val="00183CA7"/>
    <w:rsid w:val="00184E66"/>
    <w:rsid w:val="00187BBC"/>
    <w:rsid w:val="001A1375"/>
    <w:rsid w:val="001A34EB"/>
    <w:rsid w:val="001B14AC"/>
    <w:rsid w:val="001B7940"/>
    <w:rsid w:val="001C4EFD"/>
    <w:rsid w:val="001D5FDD"/>
    <w:rsid w:val="001E3B49"/>
    <w:rsid w:val="001E7388"/>
    <w:rsid w:val="001F4B75"/>
    <w:rsid w:val="0020074F"/>
    <w:rsid w:val="00205C9E"/>
    <w:rsid w:val="00220FD6"/>
    <w:rsid w:val="00230C07"/>
    <w:rsid w:val="00245567"/>
    <w:rsid w:val="002535D0"/>
    <w:rsid w:val="002543D0"/>
    <w:rsid w:val="002602C2"/>
    <w:rsid w:val="002666AA"/>
    <w:rsid w:val="00274AA3"/>
    <w:rsid w:val="00274F5B"/>
    <w:rsid w:val="00280836"/>
    <w:rsid w:val="00282254"/>
    <w:rsid w:val="002850FB"/>
    <w:rsid w:val="002860EE"/>
    <w:rsid w:val="00286A10"/>
    <w:rsid w:val="00297D12"/>
    <w:rsid w:val="002A1B50"/>
    <w:rsid w:val="002B0439"/>
    <w:rsid w:val="002B0E91"/>
    <w:rsid w:val="002B4A1A"/>
    <w:rsid w:val="002C31AD"/>
    <w:rsid w:val="002C7385"/>
    <w:rsid w:val="002D1673"/>
    <w:rsid w:val="002F1663"/>
    <w:rsid w:val="002F1E49"/>
    <w:rsid w:val="002F3C26"/>
    <w:rsid w:val="002F4E9C"/>
    <w:rsid w:val="00320BB1"/>
    <w:rsid w:val="00321917"/>
    <w:rsid w:val="00335EE3"/>
    <w:rsid w:val="003463FE"/>
    <w:rsid w:val="00346D27"/>
    <w:rsid w:val="00356632"/>
    <w:rsid w:val="003579ED"/>
    <w:rsid w:val="00361584"/>
    <w:rsid w:val="003643A2"/>
    <w:rsid w:val="00381010"/>
    <w:rsid w:val="003845A9"/>
    <w:rsid w:val="00384834"/>
    <w:rsid w:val="00390883"/>
    <w:rsid w:val="003958F4"/>
    <w:rsid w:val="00395B24"/>
    <w:rsid w:val="003A2D38"/>
    <w:rsid w:val="003B057E"/>
    <w:rsid w:val="003B2C72"/>
    <w:rsid w:val="003B54D2"/>
    <w:rsid w:val="003C20FF"/>
    <w:rsid w:val="003C586F"/>
    <w:rsid w:val="003E234C"/>
    <w:rsid w:val="003F193E"/>
    <w:rsid w:val="003F321C"/>
    <w:rsid w:val="003F3D16"/>
    <w:rsid w:val="003F7F8D"/>
    <w:rsid w:val="00430965"/>
    <w:rsid w:val="0043414A"/>
    <w:rsid w:val="00443B0B"/>
    <w:rsid w:val="00456265"/>
    <w:rsid w:val="004563BF"/>
    <w:rsid w:val="00461699"/>
    <w:rsid w:val="00463CF4"/>
    <w:rsid w:val="00472027"/>
    <w:rsid w:val="00481B3D"/>
    <w:rsid w:val="00485605"/>
    <w:rsid w:val="0049417F"/>
    <w:rsid w:val="004B00F5"/>
    <w:rsid w:val="004C56F0"/>
    <w:rsid w:val="004D5353"/>
    <w:rsid w:val="004D53E5"/>
    <w:rsid w:val="004F4DB4"/>
    <w:rsid w:val="004F5ABC"/>
    <w:rsid w:val="0051060F"/>
    <w:rsid w:val="0051346D"/>
    <w:rsid w:val="00513EAE"/>
    <w:rsid w:val="00514467"/>
    <w:rsid w:val="0053163C"/>
    <w:rsid w:val="00531CA6"/>
    <w:rsid w:val="005359EB"/>
    <w:rsid w:val="0054084B"/>
    <w:rsid w:val="0054254A"/>
    <w:rsid w:val="005466B5"/>
    <w:rsid w:val="00571354"/>
    <w:rsid w:val="00573CF5"/>
    <w:rsid w:val="00583478"/>
    <w:rsid w:val="00585AC8"/>
    <w:rsid w:val="00596DE6"/>
    <w:rsid w:val="005A4DF8"/>
    <w:rsid w:val="005B7BB3"/>
    <w:rsid w:val="005C1767"/>
    <w:rsid w:val="005C42EF"/>
    <w:rsid w:val="005D52C1"/>
    <w:rsid w:val="005E02F5"/>
    <w:rsid w:val="005E176E"/>
    <w:rsid w:val="005E35A0"/>
    <w:rsid w:val="00602E26"/>
    <w:rsid w:val="00605F88"/>
    <w:rsid w:val="00614B90"/>
    <w:rsid w:val="00624520"/>
    <w:rsid w:val="00630B0F"/>
    <w:rsid w:val="00636871"/>
    <w:rsid w:val="00641661"/>
    <w:rsid w:val="00643DE0"/>
    <w:rsid w:val="00644E85"/>
    <w:rsid w:val="00650ABF"/>
    <w:rsid w:val="006510AC"/>
    <w:rsid w:val="00662BB0"/>
    <w:rsid w:val="0068088F"/>
    <w:rsid w:val="00695B3C"/>
    <w:rsid w:val="006A1D64"/>
    <w:rsid w:val="006A5695"/>
    <w:rsid w:val="006A583A"/>
    <w:rsid w:val="006A690E"/>
    <w:rsid w:val="006B3904"/>
    <w:rsid w:val="006B5B7D"/>
    <w:rsid w:val="006B7785"/>
    <w:rsid w:val="006C57F2"/>
    <w:rsid w:val="006C6A09"/>
    <w:rsid w:val="006C7508"/>
    <w:rsid w:val="006D0121"/>
    <w:rsid w:val="006D0ECF"/>
    <w:rsid w:val="006D148D"/>
    <w:rsid w:val="006D4B23"/>
    <w:rsid w:val="006E4CBB"/>
    <w:rsid w:val="006F1C62"/>
    <w:rsid w:val="006F25C1"/>
    <w:rsid w:val="00707218"/>
    <w:rsid w:val="0071072A"/>
    <w:rsid w:val="00712B1D"/>
    <w:rsid w:val="0071739A"/>
    <w:rsid w:val="00722582"/>
    <w:rsid w:val="00722D4B"/>
    <w:rsid w:val="00724739"/>
    <w:rsid w:val="00731FB0"/>
    <w:rsid w:val="007325D9"/>
    <w:rsid w:val="00735D73"/>
    <w:rsid w:val="007362D0"/>
    <w:rsid w:val="00746DC2"/>
    <w:rsid w:val="00757A92"/>
    <w:rsid w:val="007638F3"/>
    <w:rsid w:val="00770758"/>
    <w:rsid w:val="00773C91"/>
    <w:rsid w:val="00780A85"/>
    <w:rsid w:val="00790F72"/>
    <w:rsid w:val="007929CF"/>
    <w:rsid w:val="0079473D"/>
    <w:rsid w:val="007B13A8"/>
    <w:rsid w:val="007B366A"/>
    <w:rsid w:val="007C215C"/>
    <w:rsid w:val="007D561F"/>
    <w:rsid w:val="007F06BD"/>
    <w:rsid w:val="007F08D9"/>
    <w:rsid w:val="007F12C1"/>
    <w:rsid w:val="00831927"/>
    <w:rsid w:val="008352B4"/>
    <w:rsid w:val="008361A8"/>
    <w:rsid w:val="0084273D"/>
    <w:rsid w:val="00845A83"/>
    <w:rsid w:val="008657B2"/>
    <w:rsid w:val="00867FAB"/>
    <w:rsid w:val="00890D7F"/>
    <w:rsid w:val="00894C54"/>
    <w:rsid w:val="00897008"/>
    <w:rsid w:val="008A070D"/>
    <w:rsid w:val="008B1309"/>
    <w:rsid w:val="008C6D50"/>
    <w:rsid w:val="008D18D4"/>
    <w:rsid w:val="008E50FF"/>
    <w:rsid w:val="008E6315"/>
    <w:rsid w:val="008F3F6D"/>
    <w:rsid w:val="008F4DC0"/>
    <w:rsid w:val="0090485D"/>
    <w:rsid w:val="009054CB"/>
    <w:rsid w:val="009110A4"/>
    <w:rsid w:val="00913507"/>
    <w:rsid w:val="0092243E"/>
    <w:rsid w:val="0092372D"/>
    <w:rsid w:val="00932EC9"/>
    <w:rsid w:val="00934622"/>
    <w:rsid w:val="00935CCD"/>
    <w:rsid w:val="00941AEE"/>
    <w:rsid w:val="00943D34"/>
    <w:rsid w:val="00944F6A"/>
    <w:rsid w:val="00950B36"/>
    <w:rsid w:val="0095191B"/>
    <w:rsid w:val="00957544"/>
    <w:rsid w:val="00967855"/>
    <w:rsid w:val="00980736"/>
    <w:rsid w:val="00993BD5"/>
    <w:rsid w:val="009B13FA"/>
    <w:rsid w:val="009B1B3D"/>
    <w:rsid w:val="009B1E2D"/>
    <w:rsid w:val="009C3785"/>
    <w:rsid w:val="009C5692"/>
    <w:rsid w:val="009C62A3"/>
    <w:rsid w:val="009C7B38"/>
    <w:rsid w:val="009D1356"/>
    <w:rsid w:val="009E4FA6"/>
    <w:rsid w:val="009E7D93"/>
    <w:rsid w:val="009F2522"/>
    <w:rsid w:val="00A0280B"/>
    <w:rsid w:val="00A03EAC"/>
    <w:rsid w:val="00A11CA6"/>
    <w:rsid w:val="00A160FF"/>
    <w:rsid w:val="00A20C49"/>
    <w:rsid w:val="00A3203A"/>
    <w:rsid w:val="00A359AC"/>
    <w:rsid w:val="00A4095D"/>
    <w:rsid w:val="00A42689"/>
    <w:rsid w:val="00A82F7A"/>
    <w:rsid w:val="00A86430"/>
    <w:rsid w:val="00A92B4B"/>
    <w:rsid w:val="00A9398D"/>
    <w:rsid w:val="00A950B6"/>
    <w:rsid w:val="00AB41C1"/>
    <w:rsid w:val="00AC0D41"/>
    <w:rsid w:val="00AD75A3"/>
    <w:rsid w:val="00AE055E"/>
    <w:rsid w:val="00AE4D5A"/>
    <w:rsid w:val="00AF5E39"/>
    <w:rsid w:val="00B022A2"/>
    <w:rsid w:val="00B04286"/>
    <w:rsid w:val="00B06BAF"/>
    <w:rsid w:val="00B1122B"/>
    <w:rsid w:val="00B40590"/>
    <w:rsid w:val="00B530D5"/>
    <w:rsid w:val="00B57B61"/>
    <w:rsid w:val="00B62F54"/>
    <w:rsid w:val="00B7145C"/>
    <w:rsid w:val="00B74C49"/>
    <w:rsid w:val="00B77899"/>
    <w:rsid w:val="00B81137"/>
    <w:rsid w:val="00B8179A"/>
    <w:rsid w:val="00B9599B"/>
    <w:rsid w:val="00B966E3"/>
    <w:rsid w:val="00BA3DBC"/>
    <w:rsid w:val="00BB2DA2"/>
    <w:rsid w:val="00BB56DC"/>
    <w:rsid w:val="00BB7398"/>
    <w:rsid w:val="00BC5F14"/>
    <w:rsid w:val="00BE18A5"/>
    <w:rsid w:val="00BE375D"/>
    <w:rsid w:val="00BF4802"/>
    <w:rsid w:val="00C1668A"/>
    <w:rsid w:val="00C3184C"/>
    <w:rsid w:val="00C34990"/>
    <w:rsid w:val="00C36442"/>
    <w:rsid w:val="00C36A6F"/>
    <w:rsid w:val="00C40421"/>
    <w:rsid w:val="00C41714"/>
    <w:rsid w:val="00C43480"/>
    <w:rsid w:val="00C45CD9"/>
    <w:rsid w:val="00C53EA8"/>
    <w:rsid w:val="00C64EAD"/>
    <w:rsid w:val="00C66593"/>
    <w:rsid w:val="00C70998"/>
    <w:rsid w:val="00C7229B"/>
    <w:rsid w:val="00C74846"/>
    <w:rsid w:val="00C8006E"/>
    <w:rsid w:val="00C82820"/>
    <w:rsid w:val="00C925BB"/>
    <w:rsid w:val="00CA3E4F"/>
    <w:rsid w:val="00CD64DF"/>
    <w:rsid w:val="00CD726A"/>
    <w:rsid w:val="00D0120F"/>
    <w:rsid w:val="00D01C00"/>
    <w:rsid w:val="00D03E7D"/>
    <w:rsid w:val="00D10F21"/>
    <w:rsid w:val="00D17F3B"/>
    <w:rsid w:val="00D244BC"/>
    <w:rsid w:val="00D245A1"/>
    <w:rsid w:val="00D2745C"/>
    <w:rsid w:val="00D2778C"/>
    <w:rsid w:val="00D375EE"/>
    <w:rsid w:val="00D511D7"/>
    <w:rsid w:val="00D63A9E"/>
    <w:rsid w:val="00D67E36"/>
    <w:rsid w:val="00D75936"/>
    <w:rsid w:val="00D81B79"/>
    <w:rsid w:val="00D910FB"/>
    <w:rsid w:val="00D9725F"/>
    <w:rsid w:val="00DA14ED"/>
    <w:rsid w:val="00DA3136"/>
    <w:rsid w:val="00DA3409"/>
    <w:rsid w:val="00DA670F"/>
    <w:rsid w:val="00DB3DE1"/>
    <w:rsid w:val="00DB716C"/>
    <w:rsid w:val="00DC1DD2"/>
    <w:rsid w:val="00DC77A9"/>
    <w:rsid w:val="00DD335E"/>
    <w:rsid w:val="00DD4236"/>
    <w:rsid w:val="00E01C7C"/>
    <w:rsid w:val="00E027BC"/>
    <w:rsid w:val="00E14506"/>
    <w:rsid w:val="00E14EA5"/>
    <w:rsid w:val="00E2085D"/>
    <w:rsid w:val="00E304E3"/>
    <w:rsid w:val="00E50910"/>
    <w:rsid w:val="00E52645"/>
    <w:rsid w:val="00E53A97"/>
    <w:rsid w:val="00E6154D"/>
    <w:rsid w:val="00E76E45"/>
    <w:rsid w:val="00E824A5"/>
    <w:rsid w:val="00E93999"/>
    <w:rsid w:val="00EA2BF5"/>
    <w:rsid w:val="00EA4E2E"/>
    <w:rsid w:val="00EA6FD9"/>
    <w:rsid w:val="00EB2115"/>
    <w:rsid w:val="00EB2CCB"/>
    <w:rsid w:val="00EB6075"/>
    <w:rsid w:val="00EC6969"/>
    <w:rsid w:val="00ED7DD9"/>
    <w:rsid w:val="00EE2AC3"/>
    <w:rsid w:val="00EE6614"/>
    <w:rsid w:val="00EE7E29"/>
    <w:rsid w:val="00EF238B"/>
    <w:rsid w:val="00EF3113"/>
    <w:rsid w:val="00EF3ECA"/>
    <w:rsid w:val="00EF3F84"/>
    <w:rsid w:val="00F001F8"/>
    <w:rsid w:val="00F176AC"/>
    <w:rsid w:val="00F27714"/>
    <w:rsid w:val="00F4166B"/>
    <w:rsid w:val="00F42636"/>
    <w:rsid w:val="00F50E34"/>
    <w:rsid w:val="00F612E9"/>
    <w:rsid w:val="00F62FD8"/>
    <w:rsid w:val="00F75C67"/>
    <w:rsid w:val="00F7654F"/>
    <w:rsid w:val="00F809BF"/>
    <w:rsid w:val="00F871D9"/>
    <w:rsid w:val="00FA4C35"/>
    <w:rsid w:val="00FA5B6D"/>
    <w:rsid w:val="00FB1019"/>
    <w:rsid w:val="00FC4ECA"/>
    <w:rsid w:val="00FC588F"/>
    <w:rsid w:val="00FC75B6"/>
    <w:rsid w:val="00FE1B30"/>
    <w:rsid w:val="00FE7B44"/>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3"/>
      </w:numPr>
      <w:tabs>
        <w:tab w:val="num" w:pos="1440"/>
      </w:tabs>
      <w:ind w:left="1440" w:hanging="720"/>
    </w:pPr>
  </w:style>
  <w:style w:type="paragraph" w:customStyle="1" w:styleId="ListNo3">
    <w:name w:val="List No 3"/>
    <w:basedOn w:val="ListNo2"/>
    <w:rsid w:val="00E14EA5"/>
    <w:pPr>
      <w:numPr>
        <w:ilvl w:val="2"/>
      </w:numPr>
      <w:tabs>
        <w:tab w:val="num" w:pos="2160"/>
      </w:tabs>
      <w:ind w:left="216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aliases w:val="ss"/>
    <w:basedOn w:val="Normal"/>
    <w:link w:val="subsectionChar"/>
    <w:rsid w:val="006D148D"/>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rsid w:val="006D148D"/>
    <w:rPr>
      <w:rFonts w:eastAsia="Times New Roman"/>
      <w:sz w:val="22"/>
    </w:rPr>
  </w:style>
  <w:style w:type="paragraph" w:customStyle="1" w:styleId="paragraph">
    <w:name w:val="paragraph"/>
    <w:aliases w:val="a"/>
    <w:basedOn w:val="Normal"/>
    <w:link w:val="paragraphChar"/>
    <w:rsid w:val="00D2745C"/>
    <w:pPr>
      <w:tabs>
        <w:tab w:val="right" w:pos="1531"/>
      </w:tabs>
      <w:spacing w:before="40" w:line="240" w:lineRule="auto"/>
      <w:ind w:left="1644" w:hanging="1644"/>
      <w:jc w:val="left"/>
    </w:pPr>
    <w:rPr>
      <w:rFonts w:eastAsia="Times New Roman"/>
      <w:sz w:val="22"/>
      <w:lang w:eastAsia="en-AU"/>
    </w:rPr>
  </w:style>
  <w:style w:type="paragraph" w:customStyle="1" w:styleId="notetext">
    <w:name w:val="note(text)"/>
    <w:aliases w:val="n"/>
    <w:basedOn w:val="Normal"/>
    <w:rsid w:val="00D2745C"/>
    <w:pPr>
      <w:spacing w:before="122" w:line="198" w:lineRule="exact"/>
      <w:ind w:left="1985" w:hanging="851"/>
      <w:jc w:val="left"/>
    </w:pPr>
    <w:rPr>
      <w:rFonts w:eastAsia="Times New Roman"/>
      <w:sz w:val="18"/>
      <w:lang w:eastAsia="en-AU"/>
    </w:rPr>
  </w:style>
  <w:style w:type="paragraph" w:customStyle="1" w:styleId="paragraphsub">
    <w:name w:val="paragraph(sub)"/>
    <w:aliases w:val="aa"/>
    <w:basedOn w:val="Normal"/>
    <w:rsid w:val="00D2745C"/>
    <w:pPr>
      <w:tabs>
        <w:tab w:val="right" w:pos="1985"/>
      </w:tabs>
      <w:spacing w:before="40" w:line="240" w:lineRule="auto"/>
      <w:ind w:left="2098" w:hanging="2098"/>
      <w:jc w:val="left"/>
    </w:pPr>
    <w:rPr>
      <w:rFonts w:eastAsia="Times New Roman"/>
      <w:sz w:val="22"/>
      <w:lang w:eastAsia="en-AU"/>
    </w:rPr>
  </w:style>
  <w:style w:type="paragraph" w:customStyle="1" w:styleId="Definition">
    <w:name w:val="Definition"/>
    <w:aliases w:val="dd"/>
    <w:basedOn w:val="Normal"/>
    <w:rsid w:val="000F3E0E"/>
    <w:pPr>
      <w:spacing w:before="180" w:line="240" w:lineRule="auto"/>
      <w:ind w:left="1134"/>
      <w:jc w:val="left"/>
    </w:pPr>
    <w:rPr>
      <w:rFonts w:eastAsia="Times New Roman"/>
      <w:sz w:val="22"/>
      <w:lang w:eastAsia="en-AU"/>
    </w:rPr>
  </w:style>
  <w:style w:type="paragraph" w:customStyle="1" w:styleId="paragraphsub-sub">
    <w:name w:val="paragraph(sub-sub)"/>
    <w:aliases w:val="aaa"/>
    <w:basedOn w:val="Normal"/>
    <w:rsid w:val="000F3E0E"/>
    <w:pPr>
      <w:tabs>
        <w:tab w:val="right" w:pos="2722"/>
      </w:tabs>
      <w:spacing w:before="40" w:line="240" w:lineRule="auto"/>
      <w:ind w:left="2835" w:hanging="2835"/>
      <w:jc w:val="left"/>
    </w:pPr>
    <w:rPr>
      <w:rFonts w:eastAsia="Times New Roman"/>
      <w:sz w:val="22"/>
      <w:lang w:eastAsia="en-AU"/>
    </w:rPr>
  </w:style>
  <w:style w:type="paragraph" w:customStyle="1" w:styleId="ActHead5">
    <w:name w:val="ActHead 5"/>
    <w:aliases w:val="s"/>
    <w:basedOn w:val="Normal"/>
    <w:next w:val="subsection"/>
    <w:qFormat/>
    <w:rsid w:val="00AD75A3"/>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AD75A3"/>
  </w:style>
  <w:style w:type="paragraph" w:customStyle="1" w:styleId="subsection2">
    <w:name w:val="subsection2"/>
    <w:aliases w:val="ss2"/>
    <w:basedOn w:val="Normal"/>
    <w:next w:val="subsection"/>
    <w:rsid w:val="00AD75A3"/>
    <w:pPr>
      <w:spacing w:before="4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rsid w:val="00AD75A3"/>
    <w:rPr>
      <w:rFonts w:eastAsia="Times New Roman"/>
      <w:sz w:val="22"/>
    </w:rPr>
  </w:style>
  <w:style w:type="character" w:customStyle="1" w:styleId="BodyTextChar">
    <w:name w:val="Body Text Char"/>
    <w:basedOn w:val="DefaultParagraphFont"/>
    <w:link w:val="BodyText"/>
    <w:rsid w:val="00E1450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3"/>
      </w:numPr>
      <w:tabs>
        <w:tab w:val="num" w:pos="1440"/>
      </w:tabs>
      <w:ind w:left="1440" w:hanging="720"/>
    </w:pPr>
  </w:style>
  <w:style w:type="paragraph" w:customStyle="1" w:styleId="ListNo3">
    <w:name w:val="List No 3"/>
    <w:basedOn w:val="ListNo2"/>
    <w:rsid w:val="00E14EA5"/>
    <w:pPr>
      <w:numPr>
        <w:ilvl w:val="2"/>
      </w:numPr>
      <w:tabs>
        <w:tab w:val="num" w:pos="2160"/>
      </w:tabs>
      <w:ind w:left="216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aliases w:val="ss"/>
    <w:basedOn w:val="Normal"/>
    <w:link w:val="subsectionChar"/>
    <w:rsid w:val="006D148D"/>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rsid w:val="006D148D"/>
    <w:rPr>
      <w:rFonts w:eastAsia="Times New Roman"/>
      <w:sz w:val="22"/>
    </w:rPr>
  </w:style>
  <w:style w:type="paragraph" w:customStyle="1" w:styleId="paragraph">
    <w:name w:val="paragraph"/>
    <w:aliases w:val="a"/>
    <w:basedOn w:val="Normal"/>
    <w:link w:val="paragraphChar"/>
    <w:rsid w:val="00D2745C"/>
    <w:pPr>
      <w:tabs>
        <w:tab w:val="right" w:pos="1531"/>
      </w:tabs>
      <w:spacing w:before="40" w:line="240" w:lineRule="auto"/>
      <w:ind w:left="1644" w:hanging="1644"/>
      <w:jc w:val="left"/>
    </w:pPr>
    <w:rPr>
      <w:rFonts w:eastAsia="Times New Roman"/>
      <w:sz w:val="22"/>
      <w:lang w:eastAsia="en-AU"/>
    </w:rPr>
  </w:style>
  <w:style w:type="paragraph" w:customStyle="1" w:styleId="notetext">
    <w:name w:val="note(text)"/>
    <w:aliases w:val="n"/>
    <w:basedOn w:val="Normal"/>
    <w:rsid w:val="00D2745C"/>
    <w:pPr>
      <w:spacing w:before="122" w:line="198" w:lineRule="exact"/>
      <w:ind w:left="1985" w:hanging="851"/>
      <w:jc w:val="left"/>
    </w:pPr>
    <w:rPr>
      <w:rFonts w:eastAsia="Times New Roman"/>
      <w:sz w:val="18"/>
      <w:lang w:eastAsia="en-AU"/>
    </w:rPr>
  </w:style>
  <w:style w:type="paragraph" w:customStyle="1" w:styleId="paragraphsub">
    <w:name w:val="paragraph(sub)"/>
    <w:aliases w:val="aa"/>
    <w:basedOn w:val="Normal"/>
    <w:rsid w:val="00D2745C"/>
    <w:pPr>
      <w:tabs>
        <w:tab w:val="right" w:pos="1985"/>
      </w:tabs>
      <w:spacing w:before="40" w:line="240" w:lineRule="auto"/>
      <w:ind w:left="2098" w:hanging="2098"/>
      <w:jc w:val="left"/>
    </w:pPr>
    <w:rPr>
      <w:rFonts w:eastAsia="Times New Roman"/>
      <w:sz w:val="22"/>
      <w:lang w:eastAsia="en-AU"/>
    </w:rPr>
  </w:style>
  <w:style w:type="paragraph" w:customStyle="1" w:styleId="Definition">
    <w:name w:val="Definition"/>
    <w:aliases w:val="dd"/>
    <w:basedOn w:val="Normal"/>
    <w:rsid w:val="000F3E0E"/>
    <w:pPr>
      <w:spacing w:before="180" w:line="240" w:lineRule="auto"/>
      <w:ind w:left="1134"/>
      <w:jc w:val="left"/>
    </w:pPr>
    <w:rPr>
      <w:rFonts w:eastAsia="Times New Roman"/>
      <w:sz w:val="22"/>
      <w:lang w:eastAsia="en-AU"/>
    </w:rPr>
  </w:style>
  <w:style w:type="paragraph" w:customStyle="1" w:styleId="paragraphsub-sub">
    <w:name w:val="paragraph(sub-sub)"/>
    <w:aliases w:val="aaa"/>
    <w:basedOn w:val="Normal"/>
    <w:rsid w:val="000F3E0E"/>
    <w:pPr>
      <w:tabs>
        <w:tab w:val="right" w:pos="2722"/>
      </w:tabs>
      <w:spacing w:before="40" w:line="240" w:lineRule="auto"/>
      <w:ind w:left="2835" w:hanging="2835"/>
      <w:jc w:val="left"/>
    </w:pPr>
    <w:rPr>
      <w:rFonts w:eastAsia="Times New Roman"/>
      <w:sz w:val="22"/>
      <w:lang w:eastAsia="en-AU"/>
    </w:rPr>
  </w:style>
  <w:style w:type="paragraph" w:customStyle="1" w:styleId="ActHead5">
    <w:name w:val="ActHead 5"/>
    <w:aliases w:val="s"/>
    <w:basedOn w:val="Normal"/>
    <w:next w:val="subsection"/>
    <w:qFormat/>
    <w:rsid w:val="00AD75A3"/>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AD75A3"/>
  </w:style>
  <w:style w:type="paragraph" w:customStyle="1" w:styleId="subsection2">
    <w:name w:val="subsection2"/>
    <w:aliases w:val="ss2"/>
    <w:basedOn w:val="Normal"/>
    <w:next w:val="subsection"/>
    <w:rsid w:val="00AD75A3"/>
    <w:pPr>
      <w:spacing w:before="4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rsid w:val="00AD75A3"/>
    <w:rPr>
      <w:rFonts w:eastAsia="Times New Roman"/>
      <w:sz w:val="22"/>
    </w:rPr>
  </w:style>
  <w:style w:type="character" w:customStyle="1" w:styleId="BodyTextChar">
    <w:name w:val="Body Text Char"/>
    <w:basedOn w:val="DefaultParagraphFont"/>
    <w:link w:val="BodyText"/>
    <w:rsid w:val="00E145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6578-F92F-4B4A-9E8E-B11C395A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36</Pages>
  <Words>14095</Words>
  <Characters>69531</Characters>
  <Application>Microsoft Office Word</Application>
  <DocSecurity>0</DocSecurity>
  <Lines>1337</Lines>
  <Paragraphs>500</Paragraphs>
  <ScaleCrop>false</ScaleCrop>
  <HeadingPairs>
    <vt:vector size="2" baseType="variant">
      <vt:variant>
        <vt:lpstr>Title</vt:lpstr>
      </vt:variant>
      <vt:variant>
        <vt:i4>1</vt:i4>
      </vt:variant>
    </vt:vector>
  </HeadingPairs>
  <TitlesOfParts>
    <vt:vector size="1" baseType="lpstr">
      <vt:lpstr>Dallas Buyers Club LLC v iiNet Limited [2015] FCA 317</vt:lpstr>
    </vt:vector>
  </TitlesOfParts>
  <Company>Federal Court of Australia</Company>
  <LinksUpToDate>false</LinksUpToDate>
  <CharactersWithSpaces>83126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Buyers Club LLC v iiNet Limited [2015] FCA 317</dc:title>
  <dc:creator>Robin Delahunty</dc:creator>
  <cp:lastModifiedBy>Anna Masters</cp:lastModifiedBy>
  <cp:revision>3</cp:revision>
  <cp:lastPrinted>2015-04-07T00:45:00Z</cp:lastPrinted>
  <dcterms:created xsi:type="dcterms:W3CDTF">2015-04-07T04:26:00Z</dcterms:created>
  <dcterms:modified xsi:type="dcterms:W3CDTF">2015-04-07T04:27:00Z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7 APRIL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1051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