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B481" w14:textId="7DB588E0" w:rsidR="00395B24" w:rsidRDefault="00041793" w:rsidP="00A22932">
      <w:pPr>
        <w:pStyle w:val="CourtTitle"/>
      </w:pPr>
      <w:r>
        <w:fldChar w:fldCharType="begin"/>
      </w:r>
      <w:r>
        <w:instrText xml:space="preserve"> DOCPROPERTY  Court  \* MERGEFORMAT </w:instrText>
      </w:r>
      <w:r>
        <w:fldChar w:fldCharType="separate"/>
      </w:r>
      <w:r w:rsidR="00743D3A">
        <w:t>Federal Court of Australia</w:t>
      </w:r>
      <w:r>
        <w:fldChar w:fldCharType="end"/>
      </w:r>
    </w:p>
    <w:p w14:paraId="2B606A76" w14:textId="77777777" w:rsidR="004D7950" w:rsidRDefault="004D7950">
      <w:pPr>
        <w:pStyle w:val="NormalHeadings"/>
        <w:jc w:val="center"/>
        <w:rPr>
          <w:sz w:val="32"/>
        </w:rPr>
      </w:pPr>
    </w:p>
    <w:bookmarkStart w:id="0" w:name="MNC"/>
    <w:p w14:paraId="2CE0FFFE" w14:textId="37ACC798" w:rsidR="00374CC4" w:rsidRDefault="00E07402" w:rsidP="001A2B40">
      <w:pPr>
        <w:pStyle w:val="MNC"/>
      </w:pPr>
      <w:sdt>
        <w:sdtPr>
          <w:rPr>
            <w:color w:val="000000"/>
            <w:szCs w:val="24"/>
            <w:lang w:eastAsia="en-AU"/>
          </w:rPr>
          <w:alias w:val="MNC"/>
          <w:tag w:val="MNC"/>
          <w:id w:val="343289786"/>
          <w:lock w:val="sdtLocked"/>
          <w:placeholder>
            <w:docPart w:val="44A3CCFB4E4148D99C86E81D67FA72F3"/>
          </w:placeholder>
          <w:dataBinding w:prefixMappings="xmlns:ns0='http://schemas.globalmacros.com/FCA'" w:xpath="/ns0:root[1]/ns0:Name[1]" w:storeItemID="{687E7CCB-4AA5-44E7-B148-17BA2B6F57C0}"/>
          <w:text w:multiLine="1"/>
        </w:sdtPr>
        <w:sdtEndPr/>
        <w:sdtContent>
          <w:r w:rsidR="00CB2A72" w:rsidRPr="002E2769">
            <w:rPr>
              <w:color w:val="000000"/>
              <w:szCs w:val="24"/>
              <w:lang w:eastAsia="en-AU"/>
            </w:rPr>
            <w:t xml:space="preserve"> </w:t>
          </w:r>
          <w:proofErr w:type="spellStart"/>
          <w:r w:rsidR="00CB2A72" w:rsidRPr="002E2769">
            <w:rPr>
              <w:color w:val="000000"/>
              <w:szCs w:val="24"/>
              <w:lang w:eastAsia="en-AU"/>
            </w:rPr>
            <w:t>Gomeroi</w:t>
          </w:r>
          <w:proofErr w:type="spellEnd"/>
          <w:r w:rsidR="00CB2A72" w:rsidRPr="002E2769">
            <w:rPr>
              <w:color w:val="000000"/>
              <w:szCs w:val="24"/>
              <w:lang w:eastAsia="en-AU"/>
            </w:rPr>
            <w:t xml:space="preserve"> People v Santos NSW Pty Ltd and Santos NSW (Narrabri Gas) Pty Ltd (No 2) [2024] FCAFC </w:t>
          </w:r>
          <w:r w:rsidR="00041793">
            <w:rPr>
              <w:color w:val="000000"/>
              <w:szCs w:val="24"/>
              <w:lang w:eastAsia="en-AU"/>
            </w:rPr>
            <w:t>49</w:t>
          </w:r>
          <w:r w:rsidR="00CB2A72" w:rsidRPr="002E2769">
            <w:rPr>
              <w:color w:val="000000"/>
              <w:szCs w:val="24"/>
              <w:lang w:eastAsia="en-AU"/>
            </w:rPr>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743D3A" w14:paraId="1A3AF7C2" w14:textId="77777777" w:rsidTr="002E2769">
        <w:tc>
          <w:tcPr>
            <w:tcW w:w="3083" w:type="dxa"/>
            <w:shd w:val="clear" w:color="auto" w:fill="auto"/>
          </w:tcPr>
          <w:p w14:paraId="38C982DB" w14:textId="77777777" w:rsidR="00743D3A" w:rsidRDefault="00743D3A"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5ADDE6E" w14:textId="1DE54E70" w:rsidR="00743D3A" w:rsidRDefault="00485959" w:rsidP="002539B3">
            <w:pPr>
              <w:pStyle w:val="CasesLegislationAppealFrom"/>
              <w:spacing w:after="60"/>
            </w:pPr>
            <w:r>
              <w:fldChar w:fldCharType="begin"/>
            </w:r>
            <w:r>
              <w:instrText xml:space="preserve"> DOCPROPERTY  AppealFrom  \* MERGEFORMAT </w:instrText>
            </w:r>
            <w:r>
              <w:fldChar w:fldCharType="separate"/>
            </w:r>
            <w:r w:rsidR="00743D3A" w:rsidRPr="002F5B60">
              <w:rPr>
                <w:i/>
                <w:iCs/>
              </w:rPr>
              <w:t xml:space="preserve">Santos NSW Pty Ltd v </w:t>
            </w:r>
            <w:proofErr w:type="spellStart"/>
            <w:r w:rsidR="00743D3A" w:rsidRPr="002F5B60">
              <w:rPr>
                <w:i/>
                <w:iCs/>
              </w:rPr>
              <w:t>Gomeroi</w:t>
            </w:r>
            <w:proofErr w:type="spellEnd"/>
            <w:r w:rsidR="00743D3A" w:rsidRPr="002F5B60">
              <w:rPr>
                <w:i/>
                <w:iCs/>
              </w:rPr>
              <w:t xml:space="preserve"> People</w:t>
            </w:r>
            <w:r w:rsidR="00743D3A">
              <w:t xml:space="preserve"> [2022] NNTTA 74</w:t>
            </w:r>
            <w:r>
              <w:fldChar w:fldCharType="end"/>
            </w:r>
          </w:p>
        </w:tc>
      </w:tr>
      <w:tr w:rsidR="00743D3A" w14:paraId="61EA63A7" w14:textId="77777777" w:rsidTr="002E2769">
        <w:tc>
          <w:tcPr>
            <w:tcW w:w="3083" w:type="dxa"/>
            <w:shd w:val="clear" w:color="auto" w:fill="auto"/>
          </w:tcPr>
          <w:p w14:paraId="633F8020" w14:textId="77777777" w:rsidR="00743D3A" w:rsidRDefault="00743D3A" w:rsidP="00663878">
            <w:pPr>
              <w:pStyle w:val="Normal1linespace"/>
              <w:widowControl w:val="0"/>
              <w:jc w:val="left"/>
            </w:pPr>
          </w:p>
        </w:tc>
        <w:tc>
          <w:tcPr>
            <w:tcW w:w="5989" w:type="dxa"/>
            <w:shd w:val="clear" w:color="auto" w:fill="auto"/>
          </w:tcPr>
          <w:p w14:paraId="162343BD" w14:textId="77777777" w:rsidR="00743D3A" w:rsidRDefault="00743D3A" w:rsidP="00663878">
            <w:pPr>
              <w:pStyle w:val="Normal1linespace"/>
              <w:widowControl w:val="0"/>
              <w:jc w:val="left"/>
            </w:pPr>
          </w:p>
        </w:tc>
      </w:tr>
      <w:bookmarkEnd w:id="1"/>
      <w:tr w:rsidR="00395B24" w14:paraId="0FD09ED0" w14:textId="77777777" w:rsidTr="002E2769">
        <w:tc>
          <w:tcPr>
            <w:tcW w:w="3083" w:type="dxa"/>
            <w:shd w:val="clear" w:color="auto" w:fill="auto"/>
          </w:tcPr>
          <w:p w14:paraId="1DC7062A" w14:textId="453F71EE" w:rsidR="00395B24" w:rsidRDefault="002C7385" w:rsidP="00663878">
            <w:pPr>
              <w:pStyle w:val="Normal1linespace"/>
              <w:widowControl w:val="0"/>
              <w:jc w:val="left"/>
            </w:pPr>
            <w:r>
              <w:t>File number:</w:t>
            </w:r>
          </w:p>
        </w:tc>
        <w:tc>
          <w:tcPr>
            <w:tcW w:w="5989" w:type="dxa"/>
            <w:shd w:val="clear" w:color="auto" w:fill="auto"/>
          </w:tcPr>
          <w:p w14:paraId="77443C77" w14:textId="51EDD851" w:rsidR="00395B24" w:rsidRPr="00743D3A" w:rsidRDefault="00E07402" w:rsidP="00743D3A">
            <w:pPr>
              <w:pStyle w:val="Normal1linespace"/>
              <w:jc w:val="left"/>
            </w:pPr>
            <w:r>
              <w:fldChar w:fldCharType="begin" w:fldLock="1"/>
            </w:r>
            <w:r>
              <w:instrText xml:space="preserve"> REF  FileNo  \* MERGEFORMAT </w:instrText>
            </w:r>
            <w:r>
              <w:fldChar w:fldCharType="separate"/>
            </w:r>
            <w:r w:rsidR="00743D3A" w:rsidRPr="00743D3A">
              <w:t>QUD 13 of 2023</w:t>
            </w:r>
            <w:r>
              <w:fldChar w:fldCharType="end"/>
            </w:r>
          </w:p>
        </w:tc>
      </w:tr>
      <w:tr w:rsidR="00395B24" w14:paraId="726D23AB" w14:textId="77777777" w:rsidTr="002E2769">
        <w:tc>
          <w:tcPr>
            <w:tcW w:w="3083" w:type="dxa"/>
            <w:shd w:val="clear" w:color="auto" w:fill="auto"/>
          </w:tcPr>
          <w:p w14:paraId="51695586" w14:textId="77777777" w:rsidR="00395B24" w:rsidRDefault="00395B24" w:rsidP="00663878">
            <w:pPr>
              <w:pStyle w:val="Normal1linespace"/>
              <w:widowControl w:val="0"/>
              <w:jc w:val="left"/>
            </w:pPr>
          </w:p>
        </w:tc>
        <w:tc>
          <w:tcPr>
            <w:tcW w:w="5989" w:type="dxa"/>
            <w:shd w:val="clear" w:color="auto" w:fill="auto"/>
          </w:tcPr>
          <w:p w14:paraId="5102C5DA" w14:textId="77777777" w:rsidR="00395B24" w:rsidRDefault="00395B24" w:rsidP="00663878">
            <w:pPr>
              <w:pStyle w:val="Normal1linespace"/>
              <w:widowControl w:val="0"/>
              <w:jc w:val="left"/>
            </w:pPr>
          </w:p>
        </w:tc>
      </w:tr>
      <w:tr w:rsidR="00395B24" w14:paraId="3931B6AE" w14:textId="77777777" w:rsidTr="002E2769">
        <w:tc>
          <w:tcPr>
            <w:tcW w:w="3083" w:type="dxa"/>
            <w:shd w:val="clear" w:color="auto" w:fill="auto"/>
          </w:tcPr>
          <w:p w14:paraId="5FFE5167"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A85C70B" w14:textId="35360B0F" w:rsidR="00395B24" w:rsidRDefault="002C7385" w:rsidP="00663878">
            <w:pPr>
              <w:pStyle w:val="Normal1linespace"/>
              <w:widowControl w:val="0"/>
              <w:jc w:val="left"/>
              <w:rPr>
                <w:b/>
              </w:rPr>
            </w:pPr>
            <w:r w:rsidRPr="00743D3A">
              <w:rPr>
                <w:b/>
              </w:rPr>
              <w:fldChar w:fldCharType="begin" w:fldLock="1"/>
            </w:r>
            <w:r w:rsidRPr="00743D3A">
              <w:rPr>
                <w:b/>
              </w:rPr>
              <w:instrText xml:space="preserve"> REF  Judge  \* MERGEFORMAT </w:instrText>
            </w:r>
            <w:r w:rsidRPr="00743D3A">
              <w:rPr>
                <w:b/>
              </w:rPr>
              <w:fldChar w:fldCharType="separate"/>
            </w:r>
            <w:r w:rsidR="00743D3A" w:rsidRPr="00743D3A">
              <w:rPr>
                <w:b/>
                <w:caps/>
                <w:szCs w:val="24"/>
              </w:rPr>
              <w:t>MORTIMER</w:t>
            </w:r>
            <w:r w:rsidR="003E583A">
              <w:rPr>
                <w:b/>
                <w:caps/>
                <w:szCs w:val="24"/>
              </w:rPr>
              <w:t xml:space="preserve"> CJ</w:t>
            </w:r>
            <w:r w:rsidR="00743D3A" w:rsidRPr="00743D3A">
              <w:rPr>
                <w:b/>
                <w:caps/>
                <w:szCs w:val="24"/>
              </w:rPr>
              <w:t xml:space="preserve">, RANGIAH AND O'BRYAN </w:t>
            </w:r>
            <w:r w:rsidR="003E583A">
              <w:rPr>
                <w:b/>
                <w:caps/>
                <w:szCs w:val="24"/>
              </w:rPr>
              <w:t>J</w:t>
            </w:r>
            <w:r w:rsidR="00743D3A" w:rsidRPr="00743D3A">
              <w:rPr>
                <w:b/>
                <w:caps/>
                <w:szCs w:val="24"/>
              </w:rPr>
              <w:t>J</w:t>
            </w:r>
            <w:r w:rsidRPr="00743D3A">
              <w:rPr>
                <w:b/>
              </w:rPr>
              <w:fldChar w:fldCharType="end"/>
            </w:r>
          </w:p>
        </w:tc>
      </w:tr>
      <w:tr w:rsidR="00395B24" w14:paraId="19CF1B3D" w14:textId="77777777" w:rsidTr="002E2769">
        <w:tc>
          <w:tcPr>
            <w:tcW w:w="3083" w:type="dxa"/>
            <w:shd w:val="clear" w:color="auto" w:fill="auto"/>
          </w:tcPr>
          <w:p w14:paraId="433A0834" w14:textId="77777777" w:rsidR="00395B24" w:rsidRDefault="00395B24" w:rsidP="00663878">
            <w:pPr>
              <w:pStyle w:val="Normal1linespace"/>
              <w:widowControl w:val="0"/>
              <w:jc w:val="left"/>
            </w:pPr>
          </w:p>
        </w:tc>
        <w:tc>
          <w:tcPr>
            <w:tcW w:w="5989" w:type="dxa"/>
            <w:shd w:val="clear" w:color="auto" w:fill="auto"/>
          </w:tcPr>
          <w:p w14:paraId="24598850" w14:textId="77777777" w:rsidR="00395B24" w:rsidRDefault="00395B24" w:rsidP="00663878">
            <w:pPr>
              <w:pStyle w:val="Normal1linespace"/>
              <w:widowControl w:val="0"/>
              <w:jc w:val="left"/>
            </w:pPr>
          </w:p>
        </w:tc>
      </w:tr>
      <w:tr w:rsidR="00395B24" w14:paraId="4ADDCD98" w14:textId="77777777" w:rsidTr="002E2769">
        <w:tc>
          <w:tcPr>
            <w:tcW w:w="3083" w:type="dxa"/>
            <w:shd w:val="clear" w:color="auto" w:fill="auto"/>
          </w:tcPr>
          <w:p w14:paraId="3954B326" w14:textId="77777777" w:rsidR="00395B24" w:rsidRDefault="002C7385" w:rsidP="00663878">
            <w:pPr>
              <w:pStyle w:val="Normal1linespace"/>
              <w:widowControl w:val="0"/>
              <w:jc w:val="left"/>
            </w:pPr>
            <w:r>
              <w:t>Date of judgment:</w:t>
            </w:r>
          </w:p>
        </w:tc>
        <w:tc>
          <w:tcPr>
            <w:tcW w:w="5989" w:type="dxa"/>
            <w:shd w:val="clear" w:color="auto" w:fill="auto"/>
          </w:tcPr>
          <w:p w14:paraId="0169974B" w14:textId="05D9E5E1" w:rsidR="00395B24" w:rsidRDefault="00AF2387" w:rsidP="00663878">
            <w:pPr>
              <w:pStyle w:val="Normal1linespace"/>
              <w:widowControl w:val="0"/>
              <w:jc w:val="left"/>
            </w:pPr>
            <w:r>
              <w:t>12 April 2024</w:t>
            </w:r>
          </w:p>
        </w:tc>
      </w:tr>
      <w:tr w:rsidR="00395B24" w14:paraId="7D515F7E" w14:textId="77777777" w:rsidTr="002E2769">
        <w:tc>
          <w:tcPr>
            <w:tcW w:w="3083" w:type="dxa"/>
            <w:shd w:val="clear" w:color="auto" w:fill="auto"/>
          </w:tcPr>
          <w:p w14:paraId="3A2526A6" w14:textId="77777777" w:rsidR="00395B24" w:rsidRDefault="00395B24" w:rsidP="00663878">
            <w:pPr>
              <w:pStyle w:val="Normal1linespace"/>
              <w:widowControl w:val="0"/>
              <w:jc w:val="left"/>
            </w:pPr>
          </w:p>
        </w:tc>
        <w:tc>
          <w:tcPr>
            <w:tcW w:w="5989" w:type="dxa"/>
            <w:shd w:val="clear" w:color="auto" w:fill="auto"/>
          </w:tcPr>
          <w:p w14:paraId="3E4878DC" w14:textId="77777777" w:rsidR="00395B24" w:rsidRDefault="00395B24" w:rsidP="00663878">
            <w:pPr>
              <w:pStyle w:val="Normal1linespace"/>
              <w:widowControl w:val="0"/>
              <w:jc w:val="left"/>
            </w:pPr>
          </w:p>
        </w:tc>
      </w:tr>
      <w:tr w:rsidR="00395B24" w14:paraId="6F49987F" w14:textId="77777777" w:rsidTr="002E2769">
        <w:tc>
          <w:tcPr>
            <w:tcW w:w="3083" w:type="dxa"/>
            <w:shd w:val="clear" w:color="auto" w:fill="auto"/>
          </w:tcPr>
          <w:p w14:paraId="35C9613B" w14:textId="77777777" w:rsidR="00395B24" w:rsidRDefault="002C7385" w:rsidP="00663878">
            <w:pPr>
              <w:pStyle w:val="Normal1linespace"/>
              <w:widowControl w:val="0"/>
              <w:jc w:val="left"/>
            </w:pPr>
            <w:r>
              <w:t>Catchwords:</w:t>
            </w:r>
          </w:p>
        </w:tc>
        <w:tc>
          <w:tcPr>
            <w:tcW w:w="5989" w:type="dxa"/>
            <w:shd w:val="clear" w:color="auto" w:fill="auto"/>
          </w:tcPr>
          <w:p w14:paraId="0430D476" w14:textId="3718AA22" w:rsidR="00D9791F" w:rsidRDefault="00EA5282" w:rsidP="00663878">
            <w:pPr>
              <w:pStyle w:val="Normal1linespace"/>
              <w:widowControl w:val="0"/>
              <w:jc w:val="left"/>
            </w:pPr>
            <w:bookmarkStart w:id="2" w:name="Catchwords"/>
            <w:r>
              <w:rPr>
                <w:b/>
                <w:bCs/>
              </w:rPr>
              <w:t>NATIONAL NATIVE TITLE TRIBUNAL</w:t>
            </w:r>
            <w:r w:rsidR="009D655B">
              <w:t xml:space="preserve"> – </w:t>
            </w:r>
            <w:r w:rsidR="005E262A">
              <w:t>appeal</w:t>
            </w:r>
            <w:r w:rsidR="005B11EA">
              <w:t xml:space="preserve"> – </w:t>
            </w:r>
            <w:r w:rsidR="00777B10">
              <w:t xml:space="preserve">appropriate orders for </w:t>
            </w:r>
            <w:r w:rsidR="007A5854">
              <w:t xml:space="preserve">remittal of proceeding where </w:t>
            </w:r>
            <w:r w:rsidR="001E4D5D">
              <w:t xml:space="preserve">appeal </w:t>
            </w:r>
            <w:r w:rsidR="007A5854">
              <w:t xml:space="preserve">allowed </w:t>
            </w:r>
            <w:r w:rsidR="005E262A">
              <w:t>on one ground only – s 16</w:t>
            </w:r>
            <w:r w:rsidR="005B11EA">
              <w:t>9</w:t>
            </w:r>
            <w:r w:rsidR="005E262A">
              <w:t xml:space="preserve">(7) </w:t>
            </w:r>
            <w:r w:rsidR="005E262A">
              <w:rPr>
                <w:i/>
                <w:iCs/>
              </w:rPr>
              <w:t xml:space="preserve">Native Title Act 1993 </w:t>
            </w:r>
            <w:r w:rsidR="005E262A">
              <w:t>(</w:t>
            </w:r>
            <w:proofErr w:type="spellStart"/>
            <w:r w:rsidR="005E262A">
              <w:t>Cth</w:t>
            </w:r>
            <w:proofErr w:type="spellEnd"/>
            <w:r w:rsidR="005E262A">
              <w:t>)</w:t>
            </w:r>
            <w:r w:rsidR="001A2818">
              <w:t xml:space="preserve"> </w:t>
            </w:r>
            <w:r w:rsidR="00664E37">
              <w:t>– order made remitting matter to heard by the</w:t>
            </w:r>
            <w:r w:rsidR="00ED2A81">
              <w:t xml:space="preserve"> National Native Title</w:t>
            </w:r>
            <w:r w:rsidR="00664E37">
              <w:t xml:space="preserve"> </w:t>
            </w:r>
            <w:r w:rsidR="00664E37" w:rsidRPr="0056313D">
              <w:rPr>
                <w:b/>
                <w:bCs/>
              </w:rPr>
              <w:t>Tribunal</w:t>
            </w:r>
            <w:r w:rsidR="00664E37">
              <w:t xml:space="preserve"> without further evidence, subject only to proper cause being shown and the Tribunal being satisfied it is appropriate to permit further evidence to be adduced</w:t>
            </w:r>
          </w:p>
          <w:p w14:paraId="7C4A7B76" w14:textId="77777777" w:rsidR="00D9791F" w:rsidRDefault="00D9791F" w:rsidP="00663878">
            <w:pPr>
              <w:pStyle w:val="Normal1linespace"/>
              <w:widowControl w:val="0"/>
              <w:jc w:val="left"/>
            </w:pPr>
          </w:p>
          <w:p w14:paraId="09A3E309" w14:textId="107CFCB5" w:rsidR="00395B24" w:rsidRDefault="00D9791F" w:rsidP="00663878">
            <w:pPr>
              <w:pStyle w:val="Normal1linespace"/>
              <w:widowControl w:val="0"/>
              <w:jc w:val="left"/>
            </w:pPr>
            <w:r>
              <w:rPr>
                <w:b/>
                <w:bCs/>
              </w:rPr>
              <w:t xml:space="preserve">COSTS </w:t>
            </w:r>
            <w:r>
              <w:t>– where parties</w:t>
            </w:r>
            <w:r w:rsidR="00BC4935">
              <w:t xml:space="preserve"> agree there should be no order as to costs</w:t>
            </w:r>
            <w:r w:rsidR="002C7385">
              <w:t xml:space="preserve"> </w:t>
            </w:r>
            <w:bookmarkEnd w:id="2"/>
          </w:p>
        </w:tc>
      </w:tr>
      <w:tr w:rsidR="00395B24" w14:paraId="0D8CAE72" w14:textId="77777777" w:rsidTr="002E2769">
        <w:tc>
          <w:tcPr>
            <w:tcW w:w="3083" w:type="dxa"/>
            <w:shd w:val="clear" w:color="auto" w:fill="auto"/>
          </w:tcPr>
          <w:p w14:paraId="756C443B" w14:textId="77777777" w:rsidR="00395B24" w:rsidRDefault="00395B24" w:rsidP="00663878">
            <w:pPr>
              <w:pStyle w:val="Normal1linespace"/>
              <w:widowControl w:val="0"/>
              <w:jc w:val="left"/>
            </w:pPr>
          </w:p>
        </w:tc>
        <w:tc>
          <w:tcPr>
            <w:tcW w:w="5989" w:type="dxa"/>
            <w:shd w:val="clear" w:color="auto" w:fill="auto"/>
          </w:tcPr>
          <w:p w14:paraId="558294A0" w14:textId="77777777" w:rsidR="00395B24" w:rsidRDefault="00395B24" w:rsidP="00663878">
            <w:pPr>
              <w:pStyle w:val="Normal1linespace"/>
              <w:widowControl w:val="0"/>
              <w:jc w:val="left"/>
            </w:pPr>
          </w:p>
        </w:tc>
      </w:tr>
      <w:tr w:rsidR="00395B24" w14:paraId="22A82842" w14:textId="77777777" w:rsidTr="002E2769">
        <w:tc>
          <w:tcPr>
            <w:tcW w:w="3083" w:type="dxa"/>
            <w:shd w:val="clear" w:color="auto" w:fill="auto"/>
          </w:tcPr>
          <w:p w14:paraId="690D099A" w14:textId="77777777" w:rsidR="00395B24" w:rsidRDefault="002C7385" w:rsidP="00663878">
            <w:pPr>
              <w:pStyle w:val="Normal1linespace"/>
              <w:widowControl w:val="0"/>
              <w:jc w:val="left"/>
            </w:pPr>
            <w:r>
              <w:t>Legislation:</w:t>
            </w:r>
          </w:p>
        </w:tc>
        <w:tc>
          <w:tcPr>
            <w:tcW w:w="5989" w:type="dxa"/>
            <w:shd w:val="clear" w:color="auto" w:fill="auto"/>
          </w:tcPr>
          <w:p w14:paraId="637730FE" w14:textId="2A9C42E7" w:rsidR="008B2F25" w:rsidRPr="008B2F25" w:rsidRDefault="008B2F25" w:rsidP="00D82620">
            <w:pPr>
              <w:pStyle w:val="CasesLegislationAppealFrom"/>
              <w:spacing w:after="60"/>
            </w:pPr>
            <w:r>
              <w:rPr>
                <w:i/>
                <w:iCs/>
              </w:rPr>
              <w:t>Administrative Appeals Tribunal Act 1975</w:t>
            </w:r>
            <w:r>
              <w:t xml:space="preserve"> (</w:t>
            </w:r>
            <w:proofErr w:type="spellStart"/>
            <w:r>
              <w:t>Cth</w:t>
            </w:r>
            <w:proofErr w:type="spellEnd"/>
            <w:r>
              <w:t>) ss 44(4), 44(5)</w:t>
            </w:r>
          </w:p>
          <w:p w14:paraId="34365002" w14:textId="6532C869" w:rsidR="00395B24" w:rsidRPr="00593EBD" w:rsidRDefault="00593EBD" w:rsidP="00D82620">
            <w:pPr>
              <w:pStyle w:val="CasesLegislationAppealFrom"/>
              <w:spacing w:after="60"/>
            </w:pPr>
            <w:r>
              <w:rPr>
                <w:i/>
                <w:iCs/>
              </w:rPr>
              <w:t xml:space="preserve">Native Title Act 1993 </w:t>
            </w:r>
            <w:r>
              <w:t>(</w:t>
            </w:r>
            <w:proofErr w:type="spellStart"/>
            <w:r>
              <w:t>Cth</w:t>
            </w:r>
            <w:proofErr w:type="spellEnd"/>
            <w:r>
              <w:t>)</w:t>
            </w:r>
            <w:r w:rsidR="00CF53B1">
              <w:t xml:space="preserve"> ss 3</w:t>
            </w:r>
            <w:r w:rsidR="009C3D10">
              <w:t xml:space="preserve">1(1)(b), 36(2), </w:t>
            </w:r>
            <w:r w:rsidR="003F6FA9">
              <w:t xml:space="preserve">38(1), </w:t>
            </w:r>
            <w:r w:rsidR="00CF53B1">
              <w:t>39(1)</w:t>
            </w:r>
            <w:r w:rsidR="001B0F55">
              <w:t>(e)</w:t>
            </w:r>
            <w:r w:rsidR="008B2F25">
              <w:t>,</w:t>
            </w:r>
            <w:r w:rsidR="001B0F55">
              <w:t xml:space="preserve"> 39(1)(f),</w:t>
            </w:r>
            <w:r w:rsidR="008B2F25">
              <w:t xml:space="preserve"> 109, 169</w:t>
            </w:r>
            <w:r w:rsidR="001B0F55">
              <w:t>(7)</w:t>
            </w:r>
          </w:p>
        </w:tc>
      </w:tr>
      <w:tr w:rsidR="00395B24" w14:paraId="3DAABDB4" w14:textId="77777777" w:rsidTr="002E2769">
        <w:tc>
          <w:tcPr>
            <w:tcW w:w="3083" w:type="dxa"/>
            <w:shd w:val="clear" w:color="auto" w:fill="auto"/>
          </w:tcPr>
          <w:p w14:paraId="281D230D" w14:textId="77777777" w:rsidR="00395B24" w:rsidRDefault="00395B24" w:rsidP="00663878">
            <w:pPr>
              <w:pStyle w:val="Normal1linespace"/>
              <w:widowControl w:val="0"/>
              <w:jc w:val="left"/>
            </w:pPr>
          </w:p>
        </w:tc>
        <w:tc>
          <w:tcPr>
            <w:tcW w:w="5989" w:type="dxa"/>
            <w:shd w:val="clear" w:color="auto" w:fill="auto"/>
          </w:tcPr>
          <w:p w14:paraId="00D6709C" w14:textId="77777777" w:rsidR="00395B24" w:rsidRDefault="00395B24" w:rsidP="00663878">
            <w:pPr>
              <w:pStyle w:val="Normal1linespace"/>
              <w:widowControl w:val="0"/>
              <w:jc w:val="left"/>
            </w:pPr>
          </w:p>
        </w:tc>
      </w:tr>
      <w:tr w:rsidR="00395B24" w14:paraId="4D279B1E" w14:textId="77777777" w:rsidTr="002E2769">
        <w:tc>
          <w:tcPr>
            <w:tcW w:w="3083" w:type="dxa"/>
            <w:shd w:val="clear" w:color="auto" w:fill="auto"/>
          </w:tcPr>
          <w:p w14:paraId="5A3C8299" w14:textId="77777777" w:rsidR="00395B24" w:rsidRDefault="002C7385" w:rsidP="00663878">
            <w:pPr>
              <w:pStyle w:val="Normal1linespace"/>
              <w:widowControl w:val="0"/>
              <w:jc w:val="left"/>
            </w:pPr>
            <w:r>
              <w:t>Cases cited:</w:t>
            </w:r>
          </w:p>
        </w:tc>
        <w:tc>
          <w:tcPr>
            <w:tcW w:w="5989" w:type="dxa"/>
            <w:shd w:val="clear" w:color="auto" w:fill="auto"/>
          </w:tcPr>
          <w:p w14:paraId="45C5B6F6" w14:textId="737B8CA4" w:rsidR="00AB5C93" w:rsidRDefault="00AB5C93" w:rsidP="00AB5C93">
            <w:pPr>
              <w:pStyle w:val="CasesLegislationAppealFrom"/>
              <w:spacing w:after="60"/>
              <w:rPr>
                <w:i/>
                <w:iCs/>
              </w:rPr>
            </w:pPr>
            <w:r w:rsidRPr="00B51002">
              <w:rPr>
                <w:i/>
                <w:iCs/>
              </w:rPr>
              <w:t>Attorney General (NSW) v Quin</w:t>
            </w:r>
            <w:r w:rsidRPr="00E877F3">
              <w:t xml:space="preserve"> [1990] HCA 21; 170 CLR</w:t>
            </w:r>
            <w:r w:rsidR="00CB1B4C">
              <w:t xml:space="preserve"> 1</w:t>
            </w:r>
          </w:p>
          <w:p w14:paraId="4D08C638" w14:textId="77777777" w:rsidR="00AB5C93" w:rsidRDefault="00AB5C93" w:rsidP="00AB5C93">
            <w:pPr>
              <w:pStyle w:val="CasesLegislationAppealFrom"/>
              <w:spacing w:after="60"/>
              <w:rPr>
                <w:i/>
                <w:iCs/>
              </w:rPr>
            </w:pPr>
            <w:r w:rsidRPr="00E414D7">
              <w:rPr>
                <w:i/>
                <w:iCs/>
              </w:rPr>
              <w:t>C</w:t>
            </w:r>
            <w:r>
              <w:rPr>
                <w:i/>
                <w:iCs/>
              </w:rPr>
              <w:t xml:space="preserve">ivil </w:t>
            </w:r>
            <w:r w:rsidRPr="00E414D7">
              <w:rPr>
                <w:i/>
                <w:iCs/>
              </w:rPr>
              <w:t>A</w:t>
            </w:r>
            <w:r>
              <w:rPr>
                <w:i/>
                <w:iCs/>
              </w:rPr>
              <w:t xml:space="preserve">viation </w:t>
            </w:r>
            <w:r w:rsidRPr="00E414D7">
              <w:rPr>
                <w:i/>
                <w:iCs/>
              </w:rPr>
              <w:t>S</w:t>
            </w:r>
            <w:r>
              <w:rPr>
                <w:i/>
                <w:iCs/>
              </w:rPr>
              <w:t xml:space="preserve">afety </w:t>
            </w:r>
            <w:r w:rsidRPr="00E414D7">
              <w:rPr>
                <w:i/>
                <w:iCs/>
              </w:rPr>
              <w:t>A</w:t>
            </w:r>
            <w:r>
              <w:rPr>
                <w:i/>
                <w:iCs/>
              </w:rPr>
              <w:t xml:space="preserve">uthority v Central Aviation Pty Ltd </w:t>
            </w:r>
            <w:r>
              <w:t>[2009] FCAFC 137; 179 FCR 554</w:t>
            </w:r>
          </w:p>
          <w:p w14:paraId="64A93DCA" w14:textId="77777777" w:rsidR="00AB5C93" w:rsidRDefault="00AB5C93" w:rsidP="00AB5C93">
            <w:pPr>
              <w:pStyle w:val="CasesLegislationAppealFrom"/>
              <w:spacing w:after="60"/>
            </w:pPr>
            <w:r w:rsidRPr="00B51002">
              <w:rPr>
                <w:i/>
                <w:iCs/>
              </w:rPr>
              <w:t>Charles</w:t>
            </w:r>
            <w:r>
              <w:rPr>
                <w:i/>
                <w:iCs/>
              </w:rPr>
              <w:t xml:space="preserve"> v Sheffield Resources Limited </w:t>
            </w:r>
            <w:r>
              <w:t>[2017] FCAFC 218; 257 FCR 29</w:t>
            </w:r>
          </w:p>
          <w:p w14:paraId="09DB581F" w14:textId="3ED0572F" w:rsidR="00BB3BAE" w:rsidRDefault="00BB3BAE" w:rsidP="00AB5C93">
            <w:pPr>
              <w:pStyle w:val="CasesLegislationAppealFrom"/>
              <w:spacing w:after="60"/>
            </w:pPr>
            <w:r w:rsidRPr="00F92BFD">
              <w:rPr>
                <w:i/>
                <w:iCs/>
              </w:rPr>
              <w:t>Drake v Minister for Immigration and Ethnic</w:t>
            </w:r>
            <w:r w:rsidRPr="006A0A08">
              <w:t xml:space="preserve"> </w:t>
            </w:r>
            <w:r w:rsidRPr="0012535F">
              <w:rPr>
                <w:i/>
                <w:iCs/>
              </w:rPr>
              <w:t>Affairs</w:t>
            </w:r>
            <w:r w:rsidRPr="006A0A08">
              <w:t xml:space="preserve"> (1979) 24 ALR 577</w:t>
            </w:r>
          </w:p>
          <w:p w14:paraId="2A937C80" w14:textId="142147B1" w:rsidR="00510597" w:rsidRDefault="00510597" w:rsidP="00AB5C93">
            <w:pPr>
              <w:pStyle w:val="CasesLegislationAppealFrom"/>
              <w:spacing w:after="60"/>
            </w:pPr>
            <w:proofErr w:type="spellStart"/>
            <w:r w:rsidRPr="00B54FF7">
              <w:rPr>
                <w:i/>
                <w:iCs/>
              </w:rPr>
              <w:t>Gomeroi</w:t>
            </w:r>
            <w:proofErr w:type="spellEnd"/>
            <w:r w:rsidRPr="00B54FF7">
              <w:rPr>
                <w:i/>
                <w:iCs/>
              </w:rPr>
              <w:t xml:space="preserve"> People v Santos NSW Pty Ltd and Santos NSW (Narrabri Gas) Pty Ltd</w:t>
            </w:r>
            <w:r w:rsidRPr="00D76A55">
              <w:t xml:space="preserve"> [2024] FCAFC 26</w:t>
            </w:r>
          </w:p>
          <w:p w14:paraId="4BB45A5B" w14:textId="77777777" w:rsidR="00AB5C93" w:rsidRDefault="00AB5C93" w:rsidP="00AB5C93">
            <w:pPr>
              <w:pStyle w:val="CasesLegislationAppealFrom"/>
              <w:spacing w:after="60"/>
              <w:rPr>
                <w:i/>
                <w:iCs/>
              </w:rPr>
            </w:pPr>
            <w:r w:rsidRPr="00B51002">
              <w:rPr>
                <w:i/>
                <w:iCs/>
              </w:rPr>
              <w:t>Negri v Secretary, Department of Social Services (No 2)</w:t>
            </w:r>
            <w:r>
              <w:t xml:space="preserve"> [2016] FCA 1125; 70 AAR 238</w:t>
            </w:r>
          </w:p>
          <w:p w14:paraId="5E6B1593" w14:textId="4F97E826" w:rsidR="002F31EC" w:rsidRDefault="002F31EC" w:rsidP="00D82620">
            <w:pPr>
              <w:pStyle w:val="CasesLegislationAppealFrom"/>
              <w:spacing w:after="60"/>
            </w:pPr>
            <w:r>
              <w:rPr>
                <w:i/>
                <w:iCs/>
              </w:rPr>
              <w:t xml:space="preserve">Shi v Migration Agents Registration Authority </w:t>
            </w:r>
            <w:r>
              <w:t>[2008] HCA 31; 235 CLR 286</w:t>
            </w:r>
          </w:p>
        </w:tc>
      </w:tr>
      <w:tr w:rsidR="00743D3A" w14:paraId="650FEAEE" w14:textId="77777777" w:rsidTr="002E2769">
        <w:tc>
          <w:tcPr>
            <w:tcW w:w="3083" w:type="dxa"/>
            <w:shd w:val="clear" w:color="auto" w:fill="auto"/>
          </w:tcPr>
          <w:p w14:paraId="316762AB" w14:textId="77777777" w:rsidR="00743D3A" w:rsidRDefault="00743D3A" w:rsidP="002F7154">
            <w:pPr>
              <w:pStyle w:val="Normal1linespace"/>
              <w:widowControl w:val="0"/>
            </w:pPr>
          </w:p>
        </w:tc>
        <w:tc>
          <w:tcPr>
            <w:tcW w:w="5989" w:type="dxa"/>
            <w:shd w:val="clear" w:color="auto" w:fill="auto"/>
          </w:tcPr>
          <w:p w14:paraId="6640F550" w14:textId="77777777" w:rsidR="00743D3A" w:rsidRDefault="00743D3A" w:rsidP="002F7154">
            <w:pPr>
              <w:pStyle w:val="Normal1linespace"/>
              <w:widowControl w:val="0"/>
              <w:jc w:val="left"/>
            </w:pPr>
          </w:p>
        </w:tc>
      </w:tr>
      <w:tr w:rsidR="00743D3A" w14:paraId="3D457E9D" w14:textId="77777777" w:rsidTr="002E2769">
        <w:tc>
          <w:tcPr>
            <w:tcW w:w="3083" w:type="dxa"/>
            <w:shd w:val="clear" w:color="auto" w:fill="auto"/>
          </w:tcPr>
          <w:p w14:paraId="2EB4A9BE" w14:textId="77777777" w:rsidR="00743D3A" w:rsidRDefault="00743D3A" w:rsidP="00501A12">
            <w:pPr>
              <w:pStyle w:val="Normal1linespace"/>
              <w:widowControl w:val="0"/>
            </w:pPr>
            <w:r>
              <w:t>Division:</w:t>
            </w:r>
          </w:p>
        </w:tc>
        <w:tc>
          <w:tcPr>
            <w:tcW w:w="5989" w:type="dxa"/>
            <w:shd w:val="clear" w:color="auto" w:fill="auto"/>
          </w:tcPr>
          <w:p w14:paraId="63E0AC79" w14:textId="397AEF61" w:rsidR="00743D3A" w:rsidRPr="00F17599" w:rsidRDefault="00E07402" w:rsidP="00501A12">
            <w:pPr>
              <w:pStyle w:val="Normal1linespace"/>
              <w:widowControl w:val="0"/>
              <w:jc w:val="left"/>
            </w:pPr>
            <w:r>
              <w:fldChar w:fldCharType="begin"/>
            </w:r>
            <w:r>
              <w:instrText xml:space="preserve"> DOCPROPERTY  Division </w:instrText>
            </w:r>
            <w:r>
              <w:fldChar w:fldCharType="separate"/>
            </w:r>
            <w:r w:rsidR="00743D3A">
              <w:t>General Division</w:t>
            </w:r>
            <w:r>
              <w:fldChar w:fldCharType="end"/>
            </w:r>
          </w:p>
        </w:tc>
      </w:tr>
      <w:tr w:rsidR="00743D3A" w14:paraId="47647509" w14:textId="77777777" w:rsidTr="002E2769">
        <w:tc>
          <w:tcPr>
            <w:tcW w:w="3083" w:type="dxa"/>
            <w:shd w:val="clear" w:color="auto" w:fill="auto"/>
          </w:tcPr>
          <w:p w14:paraId="2E173304" w14:textId="77777777" w:rsidR="00743D3A" w:rsidRDefault="00743D3A" w:rsidP="00501A12">
            <w:pPr>
              <w:pStyle w:val="Normal1linespace"/>
              <w:widowControl w:val="0"/>
            </w:pPr>
            <w:bookmarkStart w:id="3" w:name="Registry_rows" w:colFirst="0" w:colLast="1"/>
          </w:p>
        </w:tc>
        <w:tc>
          <w:tcPr>
            <w:tcW w:w="5989" w:type="dxa"/>
            <w:shd w:val="clear" w:color="auto" w:fill="auto"/>
          </w:tcPr>
          <w:p w14:paraId="4B0CDC18" w14:textId="77777777" w:rsidR="00743D3A" w:rsidRDefault="00743D3A" w:rsidP="00501A12">
            <w:pPr>
              <w:pStyle w:val="Normal1linespace"/>
              <w:widowControl w:val="0"/>
              <w:jc w:val="left"/>
            </w:pPr>
          </w:p>
        </w:tc>
      </w:tr>
      <w:tr w:rsidR="00743D3A" w14:paraId="264DC94D" w14:textId="77777777" w:rsidTr="002E2769">
        <w:tc>
          <w:tcPr>
            <w:tcW w:w="3083" w:type="dxa"/>
            <w:shd w:val="clear" w:color="auto" w:fill="auto"/>
          </w:tcPr>
          <w:p w14:paraId="73EABED2" w14:textId="77777777" w:rsidR="00743D3A" w:rsidRDefault="00743D3A" w:rsidP="00501A12">
            <w:pPr>
              <w:pStyle w:val="Normal1linespace"/>
              <w:widowControl w:val="0"/>
            </w:pPr>
            <w:r>
              <w:t>Registry:</w:t>
            </w:r>
          </w:p>
        </w:tc>
        <w:tc>
          <w:tcPr>
            <w:tcW w:w="5989" w:type="dxa"/>
            <w:shd w:val="clear" w:color="auto" w:fill="auto"/>
          </w:tcPr>
          <w:p w14:paraId="0FA7755A" w14:textId="3876FCE8" w:rsidR="00743D3A" w:rsidRPr="00F17599" w:rsidRDefault="00E07402" w:rsidP="00501A12">
            <w:pPr>
              <w:pStyle w:val="Normal1linespace"/>
              <w:widowControl w:val="0"/>
              <w:jc w:val="left"/>
            </w:pPr>
            <w:r>
              <w:fldChar w:fldCharType="begin"/>
            </w:r>
            <w:r>
              <w:instrText xml:space="preserve"> DOCPROPERTY  Registry </w:instrText>
            </w:r>
            <w:r>
              <w:fldChar w:fldCharType="separate"/>
            </w:r>
            <w:r w:rsidR="00743D3A">
              <w:t>Queensland</w:t>
            </w:r>
            <w:r>
              <w:fldChar w:fldCharType="end"/>
            </w:r>
          </w:p>
        </w:tc>
      </w:tr>
      <w:tr w:rsidR="00743D3A" w14:paraId="3564610A" w14:textId="77777777" w:rsidTr="002E2769">
        <w:tc>
          <w:tcPr>
            <w:tcW w:w="3083" w:type="dxa"/>
            <w:shd w:val="clear" w:color="auto" w:fill="auto"/>
          </w:tcPr>
          <w:p w14:paraId="399C7689" w14:textId="77777777" w:rsidR="00743D3A" w:rsidRDefault="00743D3A" w:rsidP="00501A12">
            <w:pPr>
              <w:pStyle w:val="Normal1linespace"/>
              <w:widowControl w:val="0"/>
            </w:pPr>
            <w:bookmarkStart w:id="4" w:name="NPARow" w:colFirst="0" w:colLast="1"/>
            <w:bookmarkEnd w:id="3"/>
          </w:p>
        </w:tc>
        <w:tc>
          <w:tcPr>
            <w:tcW w:w="5989" w:type="dxa"/>
            <w:shd w:val="clear" w:color="auto" w:fill="auto"/>
          </w:tcPr>
          <w:p w14:paraId="427C4B5F" w14:textId="77777777" w:rsidR="00743D3A" w:rsidRPr="00F17599" w:rsidRDefault="00743D3A" w:rsidP="00501A12">
            <w:pPr>
              <w:pStyle w:val="Normal1linespace"/>
              <w:widowControl w:val="0"/>
              <w:jc w:val="left"/>
              <w:rPr>
                <w:b/>
              </w:rPr>
            </w:pPr>
          </w:p>
        </w:tc>
      </w:tr>
      <w:tr w:rsidR="00743D3A" w14:paraId="578015FD" w14:textId="77777777" w:rsidTr="002E2769">
        <w:tc>
          <w:tcPr>
            <w:tcW w:w="3083" w:type="dxa"/>
            <w:shd w:val="clear" w:color="auto" w:fill="auto"/>
          </w:tcPr>
          <w:p w14:paraId="66EB9B31" w14:textId="77777777" w:rsidR="00743D3A" w:rsidRDefault="00743D3A" w:rsidP="00501A12">
            <w:pPr>
              <w:pStyle w:val="Normal1linespace"/>
              <w:widowControl w:val="0"/>
            </w:pPr>
            <w:r>
              <w:t>National Practice Area:</w:t>
            </w:r>
          </w:p>
        </w:tc>
        <w:tc>
          <w:tcPr>
            <w:tcW w:w="5989" w:type="dxa"/>
            <w:shd w:val="clear" w:color="auto" w:fill="auto"/>
          </w:tcPr>
          <w:p w14:paraId="77AD897A" w14:textId="3BEE1418" w:rsidR="00743D3A" w:rsidRPr="00F17599" w:rsidRDefault="00E07402" w:rsidP="00171DBB">
            <w:pPr>
              <w:pStyle w:val="Normal1linespace"/>
              <w:widowControl w:val="0"/>
              <w:jc w:val="left"/>
              <w:rPr>
                <w:b/>
              </w:rPr>
            </w:pPr>
            <w:r>
              <w:fldChar w:fldCharType="begin"/>
            </w:r>
            <w:r>
              <w:instrText xml:space="preserve"> DOCPROPERTY  "Practice Area"  \* MERGEFORMAT </w:instrText>
            </w:r>
            <w:r>
              <w:fldChar w:fldCharType="separate"/>
            </w:r>
            <w:r w:rsidR="00743D3A">
              <w:t>Native Title</w:t>
            </w:r>
            <w:r>
              <w:fldChar w:fldCharType="end"/>
            </w:r>
          </w:p>
        </w:tc>
      </w:tr>
      <w:bookmarkEnd w:id="4"/>
      <w:tr w:rsidR="00743D3A" w14:paraId="7016A18B" w14:textId="77777777" w:rsidTr="002E2769">
        <w:tc>
          <w:tcPr>
            <w:tcW w:w="3083" w:type="dxa"/>
            <w:shd w:val="clear" w:color="auto" w:fill="auto"/>
          </w:tcPr>
          <w:p w14:paraId="32C2D07A" w14:textId="77777777" w:rsidR="00743D3A" w:rsidRDefault="00743D3A" w:rsidP="00501A12">
            <w:pPr>
              <w:pStyle w:val="Normal1linespace"/>
              <w:widowControl w:val="0"/>
            </w:pPr>
          </w:p>
        </w:tc>
        <w:tc>
          <w:tcPr>
            <w:tcW w:w="5989" w:type="dxa"/>
            <w:shd w:val="clear" w:color="auto" w:fill="auto"/>
          </w:tcPr>
          <w:p w14:paraId="76C49F0D" w14:textId="77777777" w:rsidR="00743D3A" w:rsidRDefault="00743D3A" w:rsidP="00501A12">
            <w:pPr>
              <w:pStyle w:val="Normal1linespace"/>
              <w:widowControl w:val="0"/>
              <w:jc w:val="left"/>
            </w:pPr>
          </w:p>
        </w:tc>
      </w:tr>
      <w:tr w:rsidR="00743D3A" w14:paraId="404B03D7" w14:textId="77777777" w:rsidTr="002E2769">
        <w:tc>
          <w:tcPr>
            <w:tcW w:w="3083" w:type="dxa"/>
            <w:shd w:val="clear" w:color="auto" w:fill="auto"/>
          </w:tcPr>
          <w:p w14:paraId="2F403A06" w14:textId="77777777" w:rsidR="00743D3A" w:rsidRDefault="00743D3A" w:rsidP="00501A12">
            <w:pPr>
              <w:pStyle w:val="Normal1linespace"/>
              <w:widowControl w:val="0"/>
            </w:pPr>
            <w:r>
              <w:t>Number of paragraphs:</w:t>
            </w:r>
          </w:p>
        </w:tc>
        <w:tc>
          <w:tcPr>
            <w:tcW w:w="5989" w:type="dxa"/>
            <w:shd w:val="clear" w:color="auto" w:fill="auto"/>
          </w:tcPr>
          <w:p w14:paraId="4DFEBAA4" w14:textId="1C7EA0C9" w:rsidR="00743D3A" w:rsidRDefault="004F5537" w:rsidP="00501A12">
            <w:pPr>
              <w:pStyle w:val="Normal1linespace"/>
              <w:widowControl w:val="0"/>
              <w:jc w:val="left"/>
            </w:pPr>
            <w:r>
              <w:t>2</w:t>
            </w:r>
            <w:r w:rsidR="00AD52A5">
              <w:t>3</w:t>
            </w:r>
          </w:p>
        </w:tc>
      </w:tr>
      <w:tr w:rsidR="00743D3A" w14:paraId="1C8362FB" w14:textId="77777777" w:rsidTr="002E2769">
        <w:tc>
          <w:tcPr>
            <w:tcW w:w="3083" w:type="dxa"/>
            <w:shd w:val="clear" w:color="auto" w:fill="auto"/>
          </w:tcPr>
          <w:p w14:paraId="25DEFDA3" w14:textId="77777777" w:rsidR="00743D3A" w:rsidRDefault="00743D3A" w:rsidP="00743D3A">
            <w:pPr>
              <w:pStyle w:val="Normal1linespace"/>
              <w:widowControl w:val="0"/>
              <w:jc w:val="left"/>
            </w:pPr>
          </w:p>
        </w:tc>
        <w:tc>
          <w:tcPr>
            <w:tcW w:w="5989" w:type="dxa"/>
            <w:shd w:val="clear" w:color="auto" w:fill="auto"/>
          </w:tcPr>
          <w:p w14:paraId="76B518C0" w14:textId="77777777" w:rsidR="00743D3A" w:rsidRDefault="00743D3A" w:rsidP="00743D3A">
            <w:pPr>
              <w:pStyle w:val="Normal1linespace"/>
              <w:widowControl w:val="0"/>
              <w:jc w:val="left"/>
            </w:pPr>
          </w:p>
        </w:tc>
      </w:tr>
      <w:tr w:rsidR="00743D3A" w14:paraId="2A36F269" w14:textId="77777777" w:rsidTr="002E2769">
        <w:tc>
          <w:tcPr>
            <w:tcW w:w="3083" w:type="dxa"/>
            <w:shd w:val="clear" w:color="auto" w:fill="auto"/>
          </w:tcPr>
          <w:p w14:paraId="7778F9F1" w14:textId="2E02A083" w:rsidR="00743D3A" w:rsidRDefault="00743D3A" w:rsidP="00743D3A">
            <w:pPr>
              <w:pStyle w:val="Normal1linespace"/>
              <w:widowControl w:val="0"/>
              <w:jc w:val="left"/>
            </w:pPr>
            <w:r>
              <w:t>Date of last submissions:</w:t>
            </w:r>
          </w:p>
        </w:tc>
        <w:tc>
          <w:tcPr>
            <w:tcW w:w="5989" w:type="dxa"/>
            <w:shd w:val="clear" w:color="auto" w:fill="auto"/>
          </w:tcPr>
          <w:p w14:paraId="77198CAE" w14:textId="7856CC75" w:rsidR="00743D3A" w:rsidRDefault="006E6AB2" w:rsidP="00743D3A">
            <w:pPr>
              <w:pStyle w:val="Normal1linespace"/>
              <w:widowControl w:val="0"/>
              <w:jc w:val="left"/>
            </w:pPr>
            <w:r w:rsidRPr="001C385A">
              <w:t>20 March 2024</w:t>
            </w:r>
          </w:p>
        </w:tc>
      </w:tr>
      <w:tr w:rsidR="00743D3A" w14:paraId="52DBAAAC" w14:textId="77777777" w:rsidTr="002E2769">
        <w:tc>
          <w:tcPr>
            <w:tcW w:w="3083" w:type="dxa"/>
            <w:shd w:val="clear" w:color="auto" w:fill="auto"/>
          </w:tcPr>
          <w:p w14:paraId="18FE8216" w14:textId="77777777" w:rsidR="00743D3A" w:rsidRDefault="00743D3A" w:rsidP="00743D3A">
            <w:pPr>
              <w:pStyle w:val="Normal1linespace"/>
              <w:widowControl w:val="0"/>
              <w:jc w:val="left"/>
            </w:pPr>
          </w:p>
        </w:tc>
        <w:tc>
          <w:tcPr>
            <w:tcW w:w="5989" w:type="dxa"/>
            <w:shd w:val="clear" w:color="auto" w:fill="auto"/>
          </w:tcPr>
          <w:p w14:paraId="76D13498" w14:textId="77777777" w:rsidR="00743D3A" w:rsidRDefault="00743D3A" w:rsidP="00743D3A">
            <w:pPr>
              <w:pStyle w:val="Normal1linespace"/>
              <w:widowControl w:val="0"/>
              <w:jc w:val="left"/>
            </w:pPr>
          </w:p>
        </w:tc>
      </w:tr>
      <w:tr w:rsidR="00743D3A" w14:paraId="39B33C93" w14:textId="77777777" w:rsidTr="002E2769">
        <w:tc>
          <w:tcPr>
            <w:tcW w:w="3083" w:type="dxa"/>
            <w:shd w:val="clear" w:color="auto" w:fill="auto"/>
          </w:tcPr>
          <w:p w14:paraId="502F6146" w14:textId="77777777" w:rsidR="00743D3A" w:rsidRDefault="00743D3A" w:rsidP="00743D3A">
            <w:pPr>
              <w:pStyle w:val="Normal1linespace"/>
              <w:widowControl w:val="0"/>
              <w:jc w:val="left"/>
            </w:pPr>
            <w:bookmarkStart w:id="5" w:name="CounselDate" w:colFirst="0" w:colLast="2"/>
            <w:r w:rsidRPr="006A24E3">
              <w:t>Date of hearing:</w:t>
            </w:r>
          </w:p>
        </w:tc>
        <w:tc>
          <w:tcPr>
            <w:tcW w:w="5989" w:type="dxa"/>
            <w:shd w:val="clear" w:color="auto" w:fill="auto"/>
          </w:tcPr>
          <w:p w14:paraId="44B39DA3" w14:textId="5FBF3DCF" w:rsidR="00743D3A" w:rsidRDefault="005D6A3C" w:rsidP="00743D3A">
            <w:pPr>
              <w:pStyle w:val="Normal1linespace"/>
              <w:widowControl w:val="0"/>
              <w:jc w:val="left"/>
            </w:pPr>
            <w:r>
              <w:t>9-11 August 2023</w:t>
            </w:r>
          </w:p>
        </w:tc>
      </w:tr>
      <w:tr w:rsidR="00743D3A" w14:paraId="57414727" w14:textId="77777777" w:rsidTr="002E2769">
        <w:tc>
          <w:tcPr>
            <w:tcW w:w="3083" w:type="dxa"/>
            <w:shd w:val="clear" w:color="auto" w:fill="auto"/>
          </w:tcPr>
          <w:p w14:paraId="2C279C62" w14:textId="77777777" w:rsidR="00743D3A" w:rsidRDefault="00743D3A" w:rsidP="00743D3A">
            <w:pPr>
              <w:pStyle w:val="Normal1linespace"/>
              <w:widowControl w:val="0"/>
              <w:jc w:val="left"/>
            </w:pPr>
          </w:p>
        </w:tc>
        <w:tc>
          <w:tcPr>
            <w:tcW w:w="5989" w:type="dxa"/>
            <w:shd w:val="clear" w:color="auto" w:fill="auto"/>
          </w:tcPr>
          <w:p w14:paraId="06A7324C" w14:textId="77777777" w:rsidR="00743D3A" w:rsidRDefault="00743D3A" w:rsidP="00743D3A">
            <w:pPr>
              <w:pStyle w:val="Normal1linespace"/>
              <w:widowControl w:val="0"/>
              <w:jc w:val="left"/>
            </w:pPr>
          </w:p>
        </w:tc>
      </w:tr>
      <w:tr w:rsidR="004F5537" w14:paraId="01434FB4" w14:textId="77777777" w:rsidTr="002E2769">
        <w:tc>
          <w:tcPr>
            <w:tcW w:w="3083" w:type="dxa"/>
            <w:shd w:val="clear" w:color="auto" w:fill="auto"/>
          </w:tcPr>
          <w:p w14:paraId="040D1FE7" w14:textId="2BC3B12D" w:rsidR="004F5537" w:rsidRDefault="003808BD" w:rsidP="004F5537">
            <w:pPr>
              <w:pStyle w:val="Normal1linespace"/>
              <w:widowControl w:val="0"/>
              <w:jc w:val="left"/>
            </w:pPr>
            <w:bookmarkStart w:id="6" w:name="Counsel" w:colFirst="0" w:colLast="2"/>
            <w:bookmarkEnd w:id="5"/>
            <w:r>
              <w:t>Counsel for the Applicant:</w:t>
            </w:r>
          </w:p>
        </w:tc>
        <w:tc>
          <w:tcPr>
            <w:tcW w:w="5989" w:type="dxa"/>
            <w:shd w:val="clear" w:color="auto" w:fill="auto"/>
          </w:tcPr>
          <w:p w14:paraId="068D996B" w14:textId="0D70D0A9" w:rsidR="004F5537" w:rsidRDefault="003808BD" w:rsidP="004F5537">
            <w:pPr>
              <w:pStyle w:val="Normal1linespace"/>
              <w:widowControl w:val="0"/>
              <w:jc w:val="left"/>
            </w:pPr>
            <w:bookmarkStart w:id="7" w:name="AppCounsel"/>
            <w:bookmarkEnd w:id="7"/>
            <w:r>
              <w:t xml:space="preserve">Mr A McAvoy SC with Ms N Case </w:t>
            </w:r>
          </w:p>
        </w:tc>
      </w:tr>
      <w:tr w:rsidR="004F5537" w14:paraId="5123413B" w14:textId="77777777" w:rsidTr="002E2769">
        <w:tc>
          <w:tcPr>
            <w:tcW w:w="3083" w:type="dxa"/>
            <w:shd w:val="clear" w:color="auto" w:fill="auto"/>
          </w:tcPr>
          <w:p w14:paraId="545F12A1" w14:textId="77777777" w:rsidR="004F5537" w:rsidRDefault="004F5537" w:rsidP="004F5537">
            <w:pPr>
              <w:pStyle w:val="Normal1linespace"/>
              <w:widowControl w:val="0"/>
              <w:jc w:val="left"/>
            </w:pPr>
          </w:p>
        </w:tc>
        <w:tc>
          <w:tcPr>
            <w:tcW w:w="5989" w:type="dxa"/>
            <w:shd w:val="clear" w:color="auto" w:fill="auto"/>
          </w:tcPr>
          <w:p w14:paraId="5E5A8167" w14:textId="77777777" w:rsidR="004F5537" w:rsidRDefault="004F5537" w:rsidP="004F5537">
            <w:pPr>
              <w:pStyle w:val="Normal1linespace"/>
              <w:widowControl w:val="0"/>
              <w:jc w:val="left"/>
            </w:pPr>
          </w:p>
        </w:tc>
      </w:tr>
      <w:tr w:rsidR="004F5537" w14:paraId="5DA8EE6C" w14:textId="77777777" w:rsidTr="002E2769">
        <w:tc>
          <w:tcPr>
            <w:tcW w:w="3083" w:type="dxa"/>
            <w:shd w:val="clear" w:color="auto" w:fill="auto"/>
          </w:tcPr>
          <w:p w14:paraId="257753E3" w14:textId="3C01978C" w:rsidR="004F5537" w:rsidRDefault="003808BD" w:rsidP="004F5537">
            <w:pPr>
              <w:pStyle w:val="Normal1linespace"/>
              <w:widowControl w:val="0"/>
              <w:jc w:val="left"/>
            </w:pPr>
            <w:r>
              <w:t>Solicitor for the Applicant:</w:t>
            </w:r>
          </w:p>
        </w:tc>
        <w:tc>
          <w:tcPr>
            <w:tcW w:w="5989" w:type="dxa"/>
            <w:shd w:val="clear" w:color="auto" w:fill="auto"/>
          </w:tcPr>
          <w:p w14:paraId="6DD9F56B" w14:textId="241F9986" w:rsidR="004F5537" w:rsidRDefault="003808BD" w:rsidP="004F5537">
            <w:pPr>
              <w:pStyle w:val="Normal1linespace"/>
              <w:widowControl w:val="0"/>
              <w:jc w:val="left"/>
            </w:pPr>
            <w:r>
              <w:t>NTSCORP Limited</w:t>
            </w:r>
          </w:p>
        </w:tc>
      </w:tr>
      <w:tr w:rsidR="004F5537" w14:paraId="0BFB1DA7" w14:textId="77777777" w:rsidTr="002E2769">
        <w:tc>
          <w:tcPr>
            <w:tcW w:w="3083" w:type="dxa"/>
            <w:shd w:val="clear" w:color="auto" w:fill="auto"/>
          </w:tcPr>
          <w:p w14:paraId="14057ADC" w14:textId="77777777" w:rsidR="004F5537" w:rsidRDefault="004F5537" w:rsidP="004F5537">
            <w:pPr>
              <w:pStyle w:val="Normal1linespace"/>
              <w:widowControl w:val="0"/>
              <w:jc w:val="left"/>
            </w:pPr>
          </w:p>
        </w:tc>
        <w:tc>
          <w:tcPr>
            <w:tcW w:w="5989" w:type="dxa"/>
            <w:shd w:val="clear" w:color="auto" w:fill="auto"/>
          </w:tcPr>
          <w:p w14:paraId="314700EC" w14:textId="77777777" w:rsidR="004F5537" w:rsidRDefault="004F5537" w:rsidP="004F5537">
            <w:pPr>
              <w:pStyle w:val="Normal1linespace"/>
              <w:widowControl w:val="0"/>
              <w:jc w:val="left"/>
            </w:pPr>
          </w:p>
        </w:tc>
      </w:tr>
      <w:tr w:rsidR="004F5537" w14:paraId="3071F9F8" w14:textId="77777777" w:rsidTr="002E2769">
        <w:tc>
          <w:tcPr>
            <w:tcW w:w="3083" w:type="dxa"/>
            <w:shd w:val="clear" w:color="auto" w:fill="auto"/>
          </w:tcPr>
          <w:p w14:paraId="1284C351" w14:textId="6B515DFA" w:rsidR="004F5537" w:rsidRDefault="003808BD" w:rsidP="004F5537">
            <w:pPr>
              <w:pStyle w:val="Normal1linespace"/>
              <w:widowControl w:val="0"/>
              <w:jc w:val="left"/>
            </w:pPr>
            <w:r>
              <w:t>Counsel for the First Respondent:</w:t>
            </w:r>
          </w:p>
        </w:tc>
        <w:tc>
          <w:tcPr>
            <w:tcW w:w="5989" w:type="dxa"/>
            <w:shd w:val="clear" w:color="auto" w:fill="auto"/>
          </w:tcPr>
          <w:p w14:paraId="0A45BD0B" w14:textId="2B8F37C8" w:rsidR="004F5537" w:rsidRDefault="003808BD" w:rsidP="004F5537">
            <w:pPr>
              <w:pStyle w:val="Normal1linespace"/>
              <w:widowControl w:val="0"/>
              <w:jc w:val="left"/>
            </w:pPr>
            <w:r>
              <w:t>Ms R Webb KC with Mr M McKechnie</w:t>
            </w:r>
          </w:p>
        </w:tc>
      </w:tr>
      <w:tr w:rsidR="002E2769" w14:paraId="67AE6E24" w14:textId="77777777" w:rsidTr="002E2769">
        <w:tc>
          <w:tcPr>
            <w:tcW w:w="3083" w:type="dxa"/>
            <w:shd w:val="clear" w:color="auto" w:fill="auto"/>
          </w:tcPr>
          <w:p w14:paraId="379ABD8D" w14:textId="77777777" w:rsidR="002E2769" w:rsidRDefault="002E2769" w:rsidP="004F5537">
            <w:pPr>
              <w:pStyle w:val="Normal1linespace"/>
              <w:widowControl w:val="0"/>
              <w:jc w:val="left"/>
            </w:pPr>
          </w:p>
        </w:tc>
        <w:tc>
          <w:tcPr>
            <w:tcW w:w="5989" w:type="dxa"/>
            <w:shd w:val="clear" w:color="auto" w:fill="auto"/>
          </w:tcPr>
          <w:p w14:paraId="46668FFB" w14:textId="77777777" w:rsidR="002E2769" w:rsidRDefault="002E2769" w:rsidP="004F5537">
            <w:pPr>
              <w:pStyle w:val="Normal1linespace"/>
              <w:widowControl w:val="0"/>
              <w:jc w:val="left"/>
            </w:pPr>
          </w:p>
        </w:tc>
      </w:tr>
      <w:tr w:rsidR="002E2769" w14:paraId="38E79AC3" w14:textId="77777777" w:rsidTr="002E2769">
        <w:tc>
          <w:tcPr>
            <w:tcW w:w="3083" w:type="dxa"/>
            <w:shd w:val="clear" w:color="auto" w:fill="auto"/>
          </w:tcPr>
          <w:p w14:paraId="13BFC45D" w14:textId="305BC627" w:rsidR="002E2769" w:rsidRDefault="003808BD" w:rsidP="004F5537">
            <w:pPr>
              <w:pStyle w:val="Normal1linespace"/>
              <w:widowControl w:val="0"/>
              <w:jc w:val="left"/>
            </w:pPr>
            <w:r>
              <w:t>Solicitor for the First Respondent:</w:t>
            </w:r>
          </w:p>
        </w:tc>
        <w:tc>
          <w:tcPr>
            <w:tcW w:w="5989" w:type="dxa"/>
            <w:shd w:val="clear" w:color="auto" w:fill="auto"/>
          </w:tcPr>
          <w:p w14:paraId="3EDCD517" w14:textId="4BCD9F7B" w:rsidR="002E2769" w:rsidRDefault="003808BD" w:rsidP="004F5537">
            <w:pPr>
              <w:pStyle w:val="Normal1linespace"/>
              <w:widowControl w:val="0"/>
              <w:jc w:val="left"/>
            </w:pPr>
            <w:r>
              <w:t>Ashurst Australia</w:t>
            </w:r>
          </w:p>
        </w:tc>
      </w:tr>
      <w:tr w:rsidR="002E2769" w14:paraId="09831938" w14:textId="77777777" w:rsidTr="002E2769">
        <w:tc>
          <w:tcPr>
            <w:tcW w:w="3083" w:type="dxa"/>
            <w:shd w:val="clear" w:color="auto" w:fill="auto"/>
          </w:tcPr>
          <w:p w14:paraId="7D53A56C" w14:textId="77777777" w:rsidR="002E2769" w:rsidRDefault="002E2769" w:rsidP="004F5537">
            <w:pPr>
              <w:pStyle w:val="Normal1linespace"/>
              <w:widowControl w:val="0"/>
              <w:jc w:val="left"/>
            </w:pPr>
          </w:p>
        </w:tc>
        <w:tc>
          <w:tcPr>
            <w:tcW w:w="5989" w:type="dxa"/>
            <w:shd w:val="clear" w:color="auto" w:fill="auto"/>
          </w:tcPr>
          <w:p w14:paraId="0CFE0E9B" w14:textId="77777777" w:rsidR="002E2769" w:rsidRDefault="002E2769" w:rsidP="004F5537">
            <w:pPr>
              <w:pStyle w:val="Normal1linespace"/>
              <w:widowControl w:val="0"/>
              <w:jc w:val="left"/>
            </w:pPr>
          </w:p>
        </w:tc>
      </w:tr>
      <w:tr w:rsidR="002E2769" w14:paraId="07765450" w14:textId="77777777" w:rsidTr="002E2769">
        <w:tc>
          <w:tcPr>
            <w:tcW w:w="3083" w:type="dxa"/>
            <w:shd w:val="clear" w:color="auto" w:fill="auto"/>
          </w:tcPr>
          <w:p w14:paraId="60509112" w14:textId="2A6C1F4E" w:rsidR="002E2769" w:rsidRDefault="003808BD" w:rsidP="004F5537">
            <w:pPr>
              <w:pStyle w:val="Normal1linespace"/>
              <w:widowControl w:val="0"/>
              <w:jc w:val="left"/>
            </w:pPr>
            <w:r>
              <w:t>Counsel for the Second Respondent:</w:t>
            </w:r>
          </w:p>
        </w:tc>
        <w:tc>
          <w:tcPr>
            <w:tcW w:w="5989" w:type="dxa"/>
            <w:shd w:val="clear" w:color="auto" w:fill="auto"/>
          </w:tcPr>
          <w:p w14:paraId="0DDA36D5" w14:textId="10F9C336" w:rsidR="002E2769" w:rsidRDefault="003808BD" w:rsidP="004F5537">
            <w:pPr>
              <w:pStyle w:val="Normal1linespace"/>
              <w:widowControl w:val="0"/>
              <w:jc w:val="left"/>
            </w:pPr>
            <w:r>
              <w:t>Mr H El-Hage SC</w:t>
            </w:r>
          </w:p>
        </w:tc>
      </w:tr>
      <w:tr w:rsidR="002E2769" w14:paraId="2BC85752" w14:textId="77777777" w:rsidTr="002E2769">
        <w:tc>
          <w:tcPr>
            <w:tcW w:w="3083" w:type="dxa"/>
            <w:shd w:val="clear" w:color="auto" w:fill="auto"/>
          </w:tcPr>
          <w:p w14:paraId="3D617D81" w14:textId="77777777" w:rsidR="002E2769" w:rsidRDefault="002E2769" w:rsidP="004F5537">
            <w:pPr>
              <w:pStyle w:val="Normal1linespace"/>
              <w:widowControl w:val="0"/>
              <w:jc w:val="left"/>
            </w:pPr>
          </w:p>
        </w:tc>
        <w:tc>
          <w:tcPr>
            <w:tcW w:w="5989" w:type="dxa"/>
            <w:shd w:val="clear" w:color="auto" w:fill="auto"/>
          </w:tcPr>
          <w:p w14:paraId="6018A03E" w14:textId="77777777" w:rsidR="002E2769" w:rsidRDefault="002E2769" w:rsidP="004F5537">
            <w:pPr>
              <w:pStyle w:val="Normal1linespace"/>
              <w:widowControl w:val="0"/>
              <w:jc w:val="left"/>
            </w:pPr>
          </w:p>
        </w:tc>
      </w:tr>
      <w:tr w:rsidR="002E2769" w14:paraId="00774174" w14:textId="77777777" w:rsidTr="002E2769">
        <w:tc>
          <w:tcPr>
            <w:tcW w:w="3083" w:type="dxa"/>
            <w:shd w:val="clear" w:color="auto" w:fill="auto"/>
          </w:tcPr>
          <w:p w14:paraId="193DAA6F" w14:textId="58C2BA38" w:rsidR="002E2769" w:rsidRDefault="003808BD" w:rsidP="004F5537">
            <w:pPr>
              <w:pStyle w:val="Normal1linespace"/>
              <w:widowControl w:val="0"/>
              <w:jc w:val="left"/>
            </w:pPr>
            <w:r>
              <w:t>Solicitor for the Second Respondent:</w:t>
            </w:r>
          </w:p>
        </w:tc>
        <w:tc>
          <w:tcPr>
            <w:tcW w:w="5989" w:type="dxa"/>
            <w:shd w:val="clear" w:color="auto" w:fill="auto"/>
          </w:tcPr>
          <w:p w14:paraId="6DC02C7A" w14:textId="416EDABF" w:rsidR="002E2769" w:rsidRDefault="003808BD" w:rsidP="004F5537">
            <w:pPr>
              <w:pStyle w:val="Normal1linespace"/>
              <w:widowControl w:val="0"/>
              <w:jc w:val="left"/>
            </w:pPr>
            <w:r>
              <w:t>Crown Solicitor’s Office</w:t>
            </w:r>
          </w:p>
        </w:tc>
      </w:tr>
      <w:bookmarkEnd w:id="6"/>
    </w:tbl>
    <w:p w14:paraId="7FA05394" w14:textId="77777777" w:rsidR="007470BD" w:rsidRDefault="007470BD">
      <w:pPr>
        <w:pStyle w:val="Normal1linespace"/>
      </w:pPr>
    </w:p>
    <w:p w14:paraId="44B34109" w14:textId="77777777" w:rsidR="00E94CBF" w:rsidRDefault="00E94CBF">
      <w:pPr>
        <w:pStyle w:val="Normal1linespace"/>
      </w:pPr>
    </w:p>
    <w:p w14:paraId="2BD2E23E" w14:textId="77777777" w:rsidR="00395B24" w:rsidRDefault="00395B24">
      <w:pPr>
        <w:pStyle w:val="Normal1linespace"/>
        <w:sectPr w:rsidR="00395B24" w:rsidSect="003523E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543E348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0142E07" w14:textId="77777777" w:rsidTr="00E81DA6">
        <w:tc>
          <w:tcPr>
            <w:tcW w:w="6912" w:type="dxa"/>
            <w:gridSpan w:val="2"/>
          </w:tcPr>
          <w:p w14:paraId="7172B865" w14:textId="77777777" w:rsidR="00A46CCC" w:rsidRPr="001765E0" w:rsidRDefault="00A46CCC" w:rsidP="00525A49">
            <w:pPr>
              <w:pStyle w:val="NormalHeadings"/>
            </w:pPr>
          </w:p>
        </w:tc>
        <w:tc>
          <w:tcPr>
            <w:tcW w:w="2330" w:type="dxa"/>
          </w:tcPr>
          <w:p w14:paraId="2EB71101" w14:textId="2474E471" w:rsidR="00A46CCC" w:rsidRDefault="00743D3A" w:rsidP="00F92355">
            <w:pPr>
              <w:pStyle w:val="NormalHeadings"/>
              <w:jc w:val="right"/>
            </w:pPr>
            <w:bookmarkStart w:id="8" w:name="FileNo"/>
            <w:r>
              <w:t>QUD 13 of 2023</w:t>
            </w:r>
            <w:bookmarkEnd w:id="8"/>
          </w:p>
        </w:tc>
      </w:tr>
      <w:tr w:rsidR="00A76C13" w14:paraId="05DDFB81" w14:textId="77777777" w:rsidTr="00F461A4">
        <w:tc>
          <w:tcPr>
            <w:tcW w:w="9242" w:type="dxa"/>
            <w:gridSpan w:val="3"/>
          </w:tcPr>
          <w:p w14:paraId="61369423" w14:textId="0B7FB137" w:rsidR="00A76C13" w:rsidRPr="00A76C13" w:rsidRDefault="00743D3A" w:rsidP="00743D3A">
            <w:pPr>
              <w:pStyle w:val="NormalHeadings"/>
              <w:jc w:val="left"/>
            </w:pPr>
            <w:bookmarkStart w:id="9" w:name="InTheMatterOf"/>
            <w:r>
              <w:t xml:space="preserve"> </w:t>
            </w:r>
            <w:bookmarkEnd w:id="9"/>
          </w:p>
        </w:tc>
      </w:tr>
      <w:tr w:rsidR="00A46CCC" w14:paraId="0AF8DE1F" w14:textId="77777777" w:rsidTr="005041F0">
        <w:trPr>
          <w:trHeight w:val="386"/>
        </w:trPr>
        <w:tc>
          <w:tcPr>
            <w:tcW w:w="2376" w:type="dxa"/>
          </w:tcPr>
          <w:p w14:paraId="30062FD9"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464BD28B" w14:textId="77777777" w:rsidR="00743D3A" w:rsidRDefault="00743D3A" w:rsidP="00743D3A">
            <w:pPr>
              <w:pStyle w:val="NormalHeadings"/>
              <w:jc w:val="left"/>
            </w:pPr>
            <w:bookmarkStart w:id="11" w:name="Applicant"/>
            <w:r>
              <w:t>GOMEROI PEOPLE</w:t>
            </w:r>
          </w:p>
          <w:p w14:paraId="4FD5ABC0" w14:textId="77777777" w:rsidR="00743D3A" w:rsidRDefault="00743D3A" w:rsidP="00743D3A">
            <w:pPr>
              <w:pStyle w:val="PartyType"/>
            </w:pPr>
            <w:r>
              <w:t>Applicant</w:t>
            </w:r>
          </w:p>
          <w:bookmarkEnd w:id="11"/>
          <w:p w14:paraId="78666335" w14:textId="65D8F902" w:rsidR="00A46CCC" w:rsidRPr="006555B4" w:rsidRDefault="00A46CCC" w:rsidP="005041F0">
            <w:pPr>
              <w:pStyle w:val="NormalHeadings"/>
              <w:jc w:val="left"/>
            </w:pPr>
          </w:p>
        </w:tc>
      </w:tr>
      <w:tr w:rsidR="00A46CCC" w14:paraId="3E375BCB" w14:textId="77777777" w:rsidTr="005041F0">
        <w:trPr>
          <w:trHeight w:val="386"/>
        </w:trPr>
        <w:tc>
          <w:tcPr>
            <w:tcW w:w="2376" w:type="dxa"/>
          </w:tcPr>
          <w:p w14:paraId="086DF41A" w14:textId="77777777" w:rsidR="00A46CCC" w:rsidRDefault="00A46CCC" w:rsidP="005041F0">
            <w:pPr>
              <w:pStyle w:val="NormalHeadings"/>
              <w:jc w:val="left"/>
              <w:rPr>
                <w:caps/>
                <w:szCs w:val="24"/>
              </w:rPr>
            </w:pPr>
            <w:r>
              <w:rPr>
                <w:caps/>
                <w:szCs w:val="24"/>
              </w:rPr>
              <w:t>AND:</w:t>
            </w:r>
          </w:p>
        </w:tc>
        <w:tc>
          <w:tcPr>
            <w:tcW w:w="6866" w:type="dxa"/>
            <w:gridSpan w:val="2"/>
          </w:tcPr>
          <w:p w14:paraId="13C9393C" w14:textId="77777777" w:rsidR="00743D3A" w:rsidRDefault="00743D3A" w:rsidP="00743D3A">
            <w:pPr>
              <w:pStyle w:val="NormalHeadings"/>
              <w:jc w:val="left"/>
            </w:pPr>
            <w:bookmarkStart w:id="12" w:name="Respondent"/>
            <w:r>
              <w:t>SANTOS NSW PTY LTD AND SANTOS NSW (NARRABRI GAS) PTY LTD (FORMERLY KNOWN AS ENERGYAUSTRALIA NARRABRI GAS PTY LTD)</w:t>
            </w:r>
          </w:p>
          <w:p w14:paraId="4831EA09" w14:textId="77777777" w:rsidR="00743D3A" w:rsidRDefault="00743D3A" w:rsidP="00743D3A">
            <w:pPr>
              <w:pStyle w:val="PartyType"/>
            </w:pPr>
            <w:r>
              <w:t>First Respondent</w:t>
            </w:r>
          </w:p>
          <w:p w14:paraId="283196B1" w14:textId="77777777" w:rsidR="00743D3A" w:rsidRDefault="00743D3A" w:rsidP="005041F0">
            <w:pPr>
              <w:pStyle w:val="NormalHeadings"/>
              <w:jc w:val="left"/>
              <w:rPr>
                <w:szCs w:val="24"/>
              </w:rPr>
            </w:pPr>
          </w:p>
          <w:p w14:paraId="6438E92A" w14:textId="77777777" w:rsidR="00743D3A" w:rsidRDefault="00743D3A" w:rsidP="00743D3A">
            <w:pPr>
              <w:pStyle w:val="NormalHeadings"/>
              <w:jc w:val="left"/>
            </w:pPr>
            <w:r>
              <w:t>STATE OF NEW SOUTH WALES</w:t>
            </w:r>
          </w:p>
          <w:p w14:paraId="55F19ED6" w14:textId="77777777" w:rsidR="00743D3A" w:rsidRDefault="00743D3A" w:rsidP="00743D3A">
            <w:pPr>
              <w:pStyle w:val="PartyType"/>
            </w:pPr>
            <w:r>
              <w:t>Second Respondent</w:t>
            </w:r>
          </w:p>
          <w:bookmarkEnd w:id="12"/>
          <w:p w14:paraId="7D3A3CB1" w14:textId="7655D5A2" w:rsidR="00A46CCC" w:rsidRPr="006555B4" w:rsidRDefault="00A46CCC" w:rsidP="005041F0">
            <w:pPr>
              <w:pStyle w:val="NormalHeadings"/>
              <w:jc w:val="left"/>
            </w:pPr>
          </w:p>
        </w:tc>
      </w:tr>
    </w:tbl>
    <w:p w14:paraId="6CC96092"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0F8AF2B8" w14:textId="77777777">
        <w:tc>
          <w:tcPr>
            <w:tcW w:w="2376" w:type="dxa"/>
          </w:tcPr>
          <w:p w14:paraId="048ABB7A" w14:textId="77777777"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14:paraId="5946E34D" w14:textId="0E9CECD3" w:rsidR="00395B24" w:rsidRDefault="00743D3A">
            <w:pPr>
              <w:pStyle w:val="NormalHeadings"/>
              <w:jc w:val="left"/>
              <w:rPr>
                <w:caps/>
                <w:szCs w:val="24"/>
              </w:rPr>
            </w:pPr>
            <w:bookmarkStart w:id="15" w:name="Judge"/>
            <w:r>
              <w:rPr>
                <w:caps/>
                <w:szCs w:val="24"/>
              </w:rPr>
              <w:t>MORTIMER</w:t>
            </w:r>
            <w:r w:rsidR="003E583A">
              <w:rPr>
                <w:caps/>
                <w:szCs w:val="24"/>
              </w:rPr>
              <w:t xml:space="preserve"> CJ</w:t>
            </w:r>
            <w:r>
              <w:rPr>
                <w:caps/>
                <w:szCs w:val="24"/>
              </w:rPr>
              <w:t>, RANGIAH AND O'BRYAN J</w:t>
            </w:r>
            <w:bookmarkEnd w:id="15"/>
            <w:r w:rsidR="003E583A">
              <w:rPr>
                <w:caps/>
                <w:szCs w:val="24"/>
              </w:rPr>
              <w:t>J</w:t>
            </w:r>
          </w:p>
        </w:tc>
      </w:tr>
      <w:tr w:rsidR="00395B24" w14:paraId="545DF258" w14:textId="77777777">
        <w:tc>
          <w:tcPr>
            <w:tcW w:w="2376" w:type="dxa"/>
          </w:tcPr>
          <w:p w14:paraId="608E25FA" w14:textId="77777777" w:rsidR="00395B24" w:rsidRDefault="002C7385">
            <w:pPr>
              <w:pStyle w:val="NormalHeadings"/>
              <w:spacing w:after="120"/>
              <w:jc w:val="left"/>
              <w:rPr>
                <w:caps/>
                <w:szCs w:val="24"/>
              </w:rPr>
            </w:pPr>
            <w:r>
              <w:rPr>
                <w:caps/>
                <w:szCs w:val="24"/>
              </w:rPr>
              <w:t>DATE OF ORDER:</w:t>
            </w:r>
          </w:p>
        </w:tc>
        <w:tc>
          <w:tcPr>
            <w:tcW w:w="6866" w:type="dxa"/>
          </w:tcPr>
          <w:p w14:paraId="4853DD4F" w14:textId="7F2A2961" w:rsidR="00395B24" w:rsidRDefault="0051037A">
            <w:pPr>
              <w:pStyle w:val="NormalHeadings"/>
              <w:jc w:val="left"/>
              <w:rPr>
                <w:caps/>
                <w:szCs w:val="24"/>
              </w:rPr>
            </w:pPr>
            <w:r>
              <w:rPr>
                <w:caps/>
                <w:szCs w:val="24"/>
              </w:rPr>
              <w:t>12 April 2024</w:t>
            </w:r>
          </w:p>
        </w:tc>
      </w:tr>
    </w:tbl>
    <w:p w14:paraId="33270139" w14:textId="77777777" w:rsidR="00395B24" w:rsidRDefault="00395B24">
      <w:pPr>
        <w:pStyle w:val="NormalHeadings"/>
        <w:rPr>
          <w:b w:val="0"/>
        </w:rPr>
      </w:pPr>
    </w:p>
    <w:p w14:paraId="511CD24A" w14:textId="77777777" w:rsidR="00F43E24" w:rsidRPr="00F43E24" w:rsidRDefault="00F43E24">
      <w:pPr>
        <w:pStyle w:val="NormalHeadings"/>
        <w:rPr>
          <w:b w:val="0"/>
        </w:rPr>
      </w:pPr>
    </w:p>
    <w:p w14:paraId="3A62CAF0" w14:textId="69FF1636" w:rsidR="007F60DF" w:rsidRDefault="002C7385" w:rsidP="00243E5E">
      <w:pPr>
        <w:pStyle w:val="NormalHeadings"/>
      </w:pPr>
      <w:r>
        <w:t>THE COURT ORDERS THAT:</w:t>
      </w:r>
    </w:p>
    <w:p w14:paraId="74A85651" w14:textId="31D4839A" w:rsidR="00496347" w:rsidRDefault="00B81980" w:rsidP="001A6C52">
      <w:pPr>
        <w:pStyle w:val="Order1"/>
      </w:pPr>
      <w:r>
        <w:t xml:space="preserve">Further to the orders of the Full Court made on 6 March 2024, </w:t>
      </w:r>
      <w:r w:rsidR="00400786">
        <w:t xml:space="preserve">the determination of the National Native Title </w:t>
      </w:r>
      <w:r w:rsidR="00400786" w:rsidRPr="001A2818">
        <w:rPr>
          <w:b/>
          <w:bCs/>
        </w:rPr>
        <w:t>Tribunal</w:t>
      </w:r>
      <w:r w:rsidR="00400786">
        <w:t xml:space="preserve"> in </w:t>
      </w:r>
      <w:r w:rsidR="00400786" w:rsidRPr="0024360A">
        <w:rPr>
          <w:i/>
          <w:iCs/>
        </w:rPr>
        <w:t xml:space="preserve">Santos NSW Pty Ltd and Another v </w:t>
      </w:r>
      <w:proofErr w:type="spellStart"/>
      <w:r w:rsidR="00400786" w:rsidRPr="0024360A">
        <w:rPr>
          <w:i/>
          <w:iCs/>
        </w:rPr>
        <w:t>Gomeroi</w:t>
      </w:r>
      <w:proofErr w:type="spellEnd"/>
      <w:r w:rsidR="00400786" w:rsidRPr="0024360A">
        <w:rPr>
          <w:i/>
          <w:iCs/>
        </w:rPr>
        <w:t xml:space="preserve"> People and Another</w:t>
      </w:r>
      <w:r w:rsidR="00400786">
        <w:t xml:space="preserve"> [2022] NNTTA 74 (19 December 2022) be set aside</w:t>
      </w:r>
      <w:r w:rsidR="00B31CF6">
        <w:t xml:space="preserve"> on and from the date of these orders</w:t>
      </w:r>
      <w:r w:rsidR="00B04A30">
        <w:t>.</w:t>
      </w:r>
    </w:p>
    <w:p w14:paraId="6731B707" w14:textId="4F574F55" w:rsidR="00E3084B" w:rsidRDefault="00804FB7" w:rsidP="001A6C52">
      <w:pPr>
        <w:pStyle w:val="Order1"/>
      </w:pPr>
      <w:r w:rsidRPr="0074340D">
        <w:t>Applications NF2021/0003; NF2021/0004; NF2021/0005; NF2021/0006</w:t>
      </w:r>
      <w:r>
        <w:t xml:space="preserve"> </w:t>
      </w:r>
      <w:r w:rsidR="00D83E08">
        <w:t>be remitted</w:t>
      </w:r>
      <w:r w:rsidR="004C362D">
        <w:t xml:space="preserve"> to the </w:t>
      </w:r>
      <w:r w:rsidR="004C362D" w:rsidRPr="001A2818">
        <w:t>Tribunal</w:t>
      </w:r>
      <w:r w:rsidR="004C362D">
        <w:t xml:space="preserve"> for </w:t>
      </w:r>
      <w:r w:rsidR="00DF0F78" w:rsidRPr="007E0A23">
        <w:t xml:space="preserve">hearing and determination </w:t>
      </w:r>
      <w:r w:rsidR="007E0A23">
        <w:t>according to</w:t>
      </w:r>
      <w:r w:rsidR="004C362D">
        <w:t xml:space="preserve"> law. </w:t>
      </w:r>
    </w:p>
    <w:p w14:paraId="2E42273F" w14:textId="27D4619A" w:rsidR="00082F99" w:rsidRDefault="00D93807" w:rsidP="00082F99">
      <w:pPr>
        <w:pStyle w:val="Order1"/>
      </w:pPr>
      <w:r>
        <w:t xml:space="preserve">Before the Tribunal on remitter </w:t>
      </w:r>
      <w:r w:rsidR="00082F99">
        <w:t xml:space="preserve">the parties are precluded from making any claim that any other party did not negotiate in good faith as mentioned in s 31(1)(b) of the </w:t>
      </w:r>
      <w:r w:rsidR="00082F99" w:rsidRPr="00552FBC">
        <w:rPr>
          <w:i/>
          <w:iCs/>
        </w:rPr>
        <w:t>Native Title Act 1993</w:t>
      </w:r>
      <w:r w:rsidR="00082F99">
        <w:t xml:space="preserve"> (</w:t>
      </w:r>
      <w:proofErr w:type="spellStart"/>
      <w:r w:rsidR="00082F99">
        <w:t>Cth</w:t>
      </w:r>
      <w:proofErr w:type="spellEnd"/>
      <w:r w:rsidR="00082F99">
        <w:t>).</w:t>
      </w:r>
    </w:p>
    <w:p w14:paraId="07CD1489" w14:textId="2D2A703F" w:rsidR="00D93807" w:rsidRPr="00552FBC" w:rsidRDefault="00F87584" w:rsidP="001A6C52">
      <w:pPr>
        <w:pStyle w:val="Order1"/>
      </w:pPr>
      <w:r w:rsidRPr="00552FBC">
        <w:t>The matter is to be determined by the Tribunal without further evidence</w:t>
      </w:r>
      <w:r w:rsidR="00D93807" w:rsidRPr="00552FBC">
        <w:t>, subject only to proper cause being shown for the adducing of further evidence and the Tribunal being satisfied it is appropriate to permit further evidence to be adduced.</w:t>
      </w:r>
    </w:p>
    <w:p w14:paraId="7B103ABE" w14:textId="73522E62" w:rsidR="001A6C52" w:rsidRDefault="009468E8" w:rsidP="001A6C52">
      <w:pPr>
        <w:pStyle w:val="Order1"/>
      </w:pPr>
      <w:r>
        <w:t xml:space="preserve">There be no order as to </w:t>
      </w:r>
      <w:r w:rsidR="00496347">
        <w:t xml:space="preserve">the </w:t>
      </w:r>
      <w:r>
        <w:t>costs</w:t>
      </w:r>
      <w:r w:rsidR="00496347">
        <w:t xml:space="preserve"> </w:t>
      </w:r>
      <w:r w:rsidR="00496347" w:rsidRPr="007E7154">
        <w:t xml:space="preserve">of the </w:t>
      </w:r>
      <w:r w:rsidR="00804FB7" w:rsidRPr="007E7154">
        <w:t>appeal</w:t>
      </w:r>
      <w:r w:rsidRPr="007E7154">
        <w:t>.</w:t>
      </w:r>
    </w:p>
    <w:p w14:paraId="38AA77E5" w14:textId="77777777" w:rsidR="001A6C52" w:rsidRDefault="001A6C52" w:rsidP="001A6C52">
      <w:pPr>
        <w:pStyle w:val="BodyText"/>
      </w:pPr>
    </w:p>
    <w:p w14:paraId="7EC6632E" w14:textId="77777777" w:rsidR="00A431E6" w:rsidRDefault="00A431E6" w:rsidP="001A6C52">
      <w:pPr>
        <w:pStyle w:val="BodyText"/>
      </w:pPr>
    </w:p>
    <w:p w14:paraId="1BD7D77F" w14:textId="6EE47888" w:rsidR="0050309C" w:rsidRDefault="00743D3A" w:rsidP="004D53E5">
      <w:pPr>
        <w:pStyle w:val="SingleSpace"/>
      </w:pPr>
      <w:bookmarkStart w:id="16" w:name="OrdersStatement"/>
      <w:r>
        <w:t>Note:</w:t>
      </w:r>
      <w:r>
        <w:tab/>
        <w:t xml:space="preserve">Entry of orders is dealt with in Rule 39.32 of the </w:t>
      </w:r>
      <w:r>
        <w:rPr>
          <w:i/>
        </w:rPr>
        <w:t>Federal Court Rules 2011</w:t>
      </w:r>
      <w:r>
        <w:t>.</w:t>
      </w:r>
      <w:bookmarkEnd w:id="16"/>
    </w:p>
    <w:p w14:paraId="4272D94F" w14:textId="77777777" w:rsidR="00E23577" w:rsidRDefault="00E23577" w:rsidP="002B0E91">
      <w:pPr>
        <w:pStyle w:val="BodyText"/>
      </w:pPr>
    </w:p>
    <w:p w14:paraId="4B07920D" w14:textId="77777777" w:rsidR="00395B24" w:rsidRDefault="00395B24">
      <w:pPr>
        <w:pStyle w:val="NormalHeadings"/>
        <w:spacing w:before="240" w:after="120"/>
        <w:rPr>
          <w:b w:val="0"/>
        </w:rPr>
        <w:sectPr w:rsidR="00395B24" w:rsidSect="003523E2">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C7ADB34" w14:textId="77777777"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10385BF8" w14:textId="0AD27EF8" w:rsidR="00694BEB" w:rsidRDefault="001805B3" w:rsidP="005E0510">
      <w:pPr>
        <w:pStyle w:val="NormalHeadings"/>
        <w:spacing w:line="360" w:lineRule="auto"/>
        <w:jc w:val="left"/>
        <w:rPr>
          <w:sz w:val="26"/>
          <w:szCs w:val="26"/>
        </w:rPr>
      </w:pPr>
      <w:r>
        <w:rPr>
          <w:sz w:val="26"/>
          <w:szCs w:val="26"/>
        </w:rPr>
        <w:t>MORTIMER CJ</w:t>
      </w:r>
      <w:r w:rsidR="00052DFB">
        <w:rPr>
          <w:sz w:val="26"/>
          <w:szCs w:val="26"/>
        </w:rPr>
        <w:t xml:space="preserve"> AND O’BRYAN J</w:t>
      </w:r>
      <w:r>
        <w:rPr>
          <w:sz w:val="26"/>
          <w:szCs w:val="26"/>
        </w:rPr>
        <w:t>:</w:t>
      </w:r>
    </w:p>
    <w:p w14:paraId="5D6D5E59" w14:textId="32040942" w:rsidR="006A31D8" w:rsidRDefault="005B5DC6" w:rsidP="00CD1346">
      <w:pPr>
        <w:pStyle w:val="ParaNumbering"/>
      </w:pPr>
      <w:r>
        <w:t xml:space="preserve">On 6 March 2024, </w:t>
      </w:r>
      <w:r w:rsidR="00CA2FFE">
        <w:t xml:space="preserve">the Full Court made orders </w:t>
      </w:r>
      <w:r w:rsidR="004706B2">
        <w:t xml:space="preserve">allowing </w:t>
      </w:r>
      <w:r w:rsidR="00B0476B">
        <w:t>an</w:t>
      </w:r>
      <w:r w:rsidR="004706B2">
        <w:t xml:space="preserve"> appeal </w:t>
      </w:r>
      <w:r w:rsidR="00357CC1">
        <w:t>from a</w:t>
      </w:r>
      <w:r w:rsidR="00B0476B">
        <w:t xml:space="preserve"> determination made by the National Native Title </w:t>
      </w:r>
      <w:r w:rsidR="00B0476B" w:rsidRPr="00BF2BD7">
        <w:rPr>
          <w:b/>
          <w:bCs/>
        </w:rPr>
        <w:t>Tribunal</w:t>
      </w:r>
      <w:r w:rsidR="00B0476B">
        <w:t xml:space="preserve"> on 19 December 2022</w:t>
      </w:r>
      <w:r w:rsidR="00365F0E">
        <w:t xml:space="preserve"> </w:t>
      </w:r>
      <w:r w:rsidR="00845BF5">
        <w:t>that the proposed future acts, being the grants of four petroleum</w:t>
      </w:r>
      <w:r w:rsidR="00845BF5" w:rsidRPr="00343E30">
        <w:t xml:space="preserve"> production </w:t>
      </w:r>
      <w:r w:rsidR="00BD5550" w:rsidRPr="00343E30">
        <w:t>lease</w:t>
      </w:r>
      <w:r w:rsidR="00845BF5" w:rsidRPr="00343E30">
        <w:t xml:space="preserve"> </w:t>
      </w:r>
      <w:r w:rsidR="00845BF5" w:rsidRPr="00BD5550">
        <w:t>applications</w:t>
      </w:r>
      <w:r w:rsidR="00845BF5">
        <w:t xml:space="preserve"> to the first respondent, </w:t>
      </w:r>
      <w:r w:rsidR="00845BF5" w:rsidRPr="00B54FF7">
        <w:rPr>
          <w:b/>
          <w:bCs/>
        </w:rPr>
        <w:t>Santos</w:t>
      </w:r>
      <w:r w:rsidR="00845BF5">
        <w:t xml:space="preserve"> </w:t>
      </w:r>
      <w:r w:rsidR="00845BF5" w:rsidRPr="00B54FF7">
        <w:t xml:space="preserve">NSW Pty Ltd and Santos NSW (Narrabri Gas) Pty Ltd (formerly known as </w:t>
      </w:r>
      <w:proofErr w:type="spellStart"/>
      <w:r w:rsidR="00845BF5" w:rsidRPr="00B54FF7">
        <w:t>EnergyAustralia</w:t>
      </w:r>
      <w:proofErr w:type="spellEnd"/>
      <w:r w:rsidR="00845BF5" w:rsidRPr="00B54FF7">
        <w:t xml:space="preserve"> Narrabri Gas Pty Ltd)</w:t>
      </w:r>
      <w:r w:rsidR="00845BF5">
        <w:t xml:space="preserve">, </w:t>
      </w:r>
      <w:r w:rsidR="00C13D96">
        <w:t>may be done, subject, in each case, to one condition (which was not material to the appeal)</w:t>
      </w:r>
      <w:r w:rsidR="00B0476B">
        <w:t xml:space="preserve">. </w:t>
      </w:r>
      <w:r w:rsidR="00F8388F">
        <w:t xml:space="preserve">The production lease applications lie within country claimed by the </w:t>
      </w:r>
      <w:proofErr w:type="spellStart"/>
      <w:r w:rsidR="00F8388F">
        <w:t>Gomeroi</w:t>
      </w:r>
      <w:proofErr w:type="spellEnd"/>
      <w:r w:rsidR="00F8388F">
        <w:t xml:space="preserve"> People. </w:t>
      </w:r>
      <w:r w:rsidR="00AA73CA">
        <w:t xml:space="preserve">See </w:t>
      </w:r>
      <w:proofErr w:type="spellStart"/>
      <w:r w:rsidR="00AA73CA" w:rsidRPr="00B54FF7">
        <w:rPr>
          <w:i/>
          <w:iCs/>
        </w:rPr>
        <w:t>Gomeroi</w:t>
      </w:r>
      <w:proofErr w:type="spellEnd"/>
      <w:r w:rsidR="00AA73CA" w:rsidRPr="00B54FF7">
        <w:rPr>
          <w:i/>
          <w:iCs/>
        </w:rPr>
        <w:t xml:space="preserve"> People v Santos NSW Pty Ltd and Santos NSW (Narrabri Gas) Pty Ltd</w:t>
      </w:r>
      <w:r w:rsidR="00AA73CA" w:rsidRPr="00D76A55">
        <w:t xml:space="preserve"> [2024] FCAFC 26</w:t>
      </w:r>
      <w:r w:rsidR="001676C1">
        <w:t xml:space="preserve"> (</w:t>
      </w:r>
      <w:r w:rsidR="007F6F3F">
        <w:rPr>
          <w:b/>
          <w:bCs/>
        </w:rPr>
        <w:t>principal reasons</w:t>
      </w:r>
      <w:r w:rsidR="001676C1">
        <w:t>)</w:t>
      </w:r>
      <w:r w:rsidR="00AA73CA">
        <w:t>.</w:t>
      </w:r>
    </w:p>
    <w:p w14:paraId="521442F0" w14:textId="29A532D8" w:rsidR="000326AB" w:rsidRDefault="00B54FF7" w:rsidP="00CD1346">
      <w:pPr>
        <w:pStyle w:val="ParaNumbering"/>
      </w:pPr>
      <w:r>
        <w:t xml:space="preserve">The appeal consisted of six questions of law. Questions of law 1, 2, 4, 5 and 6 related to the requirement </w:t>
      </w:r>
      <w:r w:rsidR="009A55B5">
        <w:t xml:space="preserve">to negotiate in good faith </w:t>
      </w:r>
      <w:r w:rsidR="00B93B7C">
        <w:t xml:space="preserve">with a view to obtaining the agreement of the native title party to the doing of the future act </w:t>
      </w:r>
      <w:r w:rsidR="009A55B5">
        <w:t xml:space="preserve">pursuant </w:t>
      </w:r>
      <w:r w:rsidR="00426605">
        <w:t xml:space="preserve">to </w:t>
      </w:r>
      <w:r w:rsidR="00B93B7C">
        <w:t>s</w:t>
      </w:r>
      <w:r w:rsidR="00741F15">
        <w:t> </w:t>
      </w:r>
      <w:r w:rsidR="00B93B7C">
        <w:t xml:space="preserve">31(1)(b) and </w:t>
      </w:r>
      <w:r w:rsidR="00FE1E1F">
        <w:t xml:space="preserve">Part </w:t>
      </w:r>
      <w:r w:rsidR="00345BC6">
        <w:t>2 Division 3</w:t>
      </w:r>
      <w:r w:rsidR="00FE1E1F">
        <w:t xml:space="preserve"> of the </w:t>
      </w:r>
      <w:r w:rsidR="009A55B5" w:rsidRPr="00B54FF7">
        <w:rPr>
          <w:b/>
          <w:bCs/>
          <w:i/>
          <w:iCs/>
        </w:rPr>
        <w:t>N</w:t>
      </w:r>
      <w:r w:rsidR="009A55B5" w:rsidRPr="00B54FF7">
        <w:rPr>
          <w:i/>
          <w:iCs/>
        </w:rPr>
        <w:t xml:space="preserve">ative </w:t>
      </w:r>
      <w:r w:rsidR="009A55B5" w:rsidRPr="00B54FF7">
        <w:rPr>
          <w:b/>
          <w:bCs/>
          <w:i/>
          <w:iCs/>
        </w:rPr>
        <w:t>T</w:t>
      </w:r>
      <w:r w:rsidR="009A55B5" w:rsidRPr="00B54FF7">
        <w:rPr>
          <w:i/>
          <w:iCs/>
        </w:rPr>
        <w:t xml:space="preserve">itle </w:t>
      </w:r>
      <w:r w:rsidR="009A55B5" w:rsidRPr="00B54FF7">
        <w:rPr>
          <w:b/>
          <w:bCs/>
          <w:i/>
          <w:iCs/>
        </w:rPr>
        <w:t>A</w:t>
      </w:r>
      <w:r w:rsidR="009A55B5" w:rsidRPr="00B54FF7">
        <w:rPr>
          <w:i/>
          <w:iCs/>
        </w:rPr>
        <w:t xml:space="preserve">ct 1993 </w:t>
      </w:r>
      <w:r w:rsidR="009A55B5">
        <w:t>(</w:t>
      </w:r>
      <w:proofErr w:type="spellStart"/>
      <w:r w:rsidR="009A55B5">
        <w:t>Cth</w:t>
      </w:r>
      <w:proofErr w:type="spellEnd"/>
      <w:r w:rsidR="009A55B5">
        <w:t>)</w:t>
      </w:r>
      <w:r w:rsidR="00702A12">
        <w:t>.</w:t>
      </w:r>
      <w:r>
        <w:t xml:space="preserve"> The Full Court did not accept the</w:t>
      </w:r>
      <w:r w:rsidR="00A95145">
        <w:t xml:space="preserve"> contentions of the</w:t>
      </w:r>
      <w:r w:rsidR="00702A12">
        <w:t xml:space="preserve"> native title party, being the</w:t>
      </w:r>
      <w:r w:rsidR="00A95145">
        <w:t xml:space="preserve"> registered native title claimant, </w:t>
      </w:r>
      <w:r w:rsidR="00F1073F">
        <w:t xml:space="preserve">which </w:t>
      </w:r>
      <w:r w:rsidR="008028BE">
        <w:t xml:space="preserve">we refer </w:t>
      </w:r>
      <w:r w:rsidR="00F1073F">
        <w:t>to as the</w:t>
      </w:r>
      <w:r>
        <w:t xml:space="preserve"> </w:t>
      </w:r>
      <w:proofErr w:type="spellStart"/>
      <w:r w:rsidRPr="00A95145">
        <w:rPr>
          <w:b/>
          <w:bCs/>
        </w:rPr>
        <w:t>Gomeroi</w:t>
      </w:r>
      <w:proofErr w:type="spellEnd"/>
      <w:r w:rsidRPr="00A95145">
        <w:rPr>
          <w:b/>
          <w:bCs/>
        </w:rPr>
        <w:t xml:space="preserve"> applicant</w:t>
      </w:r>
      <w:r w:rsidR="00A95145">
        <w:t xml:space="preserve">, </w:t>
      </w:r>
      <w:r>
        <w:t xml:space="preserve">on these five questions of law relating to good faith. </w:t>
      </w:r>
    </w:p>
    <w:p w14:paraId="5D2CF928" w14:textId="531CDDA5" w:rsidR="00CD1346" w:rsidRDefault="00B54FF7" w:rsidP="00CD1346">
      <w:pPr>
        <w:pStyle w:val="ParaNumbering"/>
      </w:pPr>
      <w:r>
        <w:t>Question of law 3 related to an error of a different kind</w:t>
      </w:r>
      <w:r w:rsidR="0067466A">
        <w:t xml:space="preserve"> and concerned the construction of paras</w:t>
      </w:r>
      <w:r w:rsidR="00162E91">
        <w:t> </w:t>
      </w:r>
      <w:r w:rsidR="0067466A">
        <w:t>39(1)(e) and (f) of the NTA</w:t>
      </w:r>
      <w:r>
        <w:t>.</w:t>
      </w:r>
      <w:r w:rsidR="00A95145">
        <w:t xml:space="preserve"> </w:t>
      </w:r>
      <w:r w:rsidR="007F6F3F">
        <w:t>A</w:t>
      </w:r>
      <w:r w:rsidR="00F96FF7">
        <w:t xml:space="preserve"> majority of the Full Court</w:t>
      </w:r>
      <w:r w:rsidR="00213269">
        <w:t xml:space="preserve"> </w:t>
      </w:r>
      <w:r w:rsidR="00DA4729">
        <w:t xml:space="preserve">answered this question in favour of </w:t>
      </w:r>
      <w:r w:rsidR="00213269">
        <w:t xml:space="preserve">the </w:t>
      </w:r>
      <w:proofErr w:type="spellStart"/>
      <w:r w:rsidR="00213269">
        <w:t>Gomeroi</w:t>
      </w:r>
      <w:proofErr w:type="spellEnd"/>
      <w:r w:rsidR="00213269">
        <w:t xml:space="preserve"> applicant’s submissions</w:t>
      </w:r>
      <w:r w:rsidR="00362680">
        <w:t xml:space="preserve">. </w:t>
      </w:r>
    </w:p>
    <w:p w14:paraId="6149E581" w14:textId="6D0F4AD6" w:rsidR="008A13BC" w:rsidRDefault="008A13BC" w:rsidP="00CD1346">
      <w:pPr>
        <w:pStyle w:val="ParaNumbering"/>
      </w:pPr>
      <w:r>
        <w:t xml:space="preserve">Aside from the orders allowing the appeal, </w:t>
      </w:r>
      <w:r w:rsidR="00223529">
        <w:t xml:space="preserve">the Full Court made the following </w:t>
      </w:r>
      <w:r w:rsidR="005709DA">
        <w:rPr>
          <w:b/>
          <w:bCs/>
        </w:rPr>
        <w:t>O</w:t>
      </w:r>
      <w:r w:rsidR="00223529" w:rsidRPr="005709DA">
        <w:rPr>
          <w:b/>
          <w:bCs/>
        </w:rPr>
        <w:t>rders</w:t>
      </w:r>
      <w:r w:rsidR="00223529">
        <w:t>:</w:t>
      </w:r>
    </w:p>
    <w:p w14:paraId="1A1B76C3" w14:textId="7FDE4D3A" w:rsidR="00223529" w:rsidRDefault="00223529" w:rsidP="00E07402">
      <w:pPr>
        <w:pStyle w:val="Quote1"/>
        <w:ind w:left="1440" w:hanging="703"/>
      </w:pPr>
      <w:r>
        <w:t xml:space="preserve">2. </w:t>
      </w:r>
      <w:r>
        <w:tab/>
        <w:t>On or before 4 pm on 13 March 2024, the parties file any agreed proposed orders to give effect to these reasons, including any agreed proposed orders as to costs.</w:t>
      </w:r>
    </w:p>
    <w:p w14:paraId="2AA7C718" w14:textId="0E459CCA" w:rsidR="00223529" w:rsidRDefault="00223529" w:rsidP="00E07402">
      <w:pPr>
        <w:pStyle w:val="Quote1"/>
        <w:ind w:left="1440" w:hanging="703"/>
      </w:pPr>
      <w:r>
        <w:t xml:space="preserve">3. </w:t>
      </w:r>
      <w:r>
        <w:tab/>
        <w:t>In the absence of any agreement as to appropriate orders, on or before 4 pm on 20 March 2024 the parties file and serve any written submissions (limited to 5 pages) on an appropriate form of order including any proposed costs orders.</w:t>
      </w:r>
    </w:p>
    <w:p w14:paraId="223F836B" w14:textId="059A03C4" w:rsidR="00223529" w:rsidRDefault="00223529" w:rsidP="00E07402">
      <w:pPr>
        <w:pStyle w:val="Quote1"/>
        <w:ind w:left="1440" w:hanging="703"/>
      </w:pPr>
      <w:r>
        <w:t xml:space="preserve">4. </w:t>
      </w:r>
      <w:r>
        <w:tab/>
        <w:t xml:space="preserve">Any proposed orders or any submissions in accordance with orders 2 and 3 of these orders will be determined on the papers. </w:t>
      </w:r>
    </w:p>
    <w:p w14:paraId="6488D759" w14:textId="392C7493" w:rsidR="008D2D0F" w:rsidRDefault="00F50432" w:rsidP="009908B4">
      <w:pPr>
        <w:pStyle w:val="ParaNumbering"/>
      </w:pPr>
      <w:r>
        <w:t xml:space="preserve">The parties filed submissions in accordance with those </w:t>
      </w:r>
      <w:r w:rsidR="00550CEB">
        <w:t>O</w:t>
      </w:r>
      <w:r>
        <w:t xml:space="preserve">rders. </w:t>
      </w:r>
      <w:r w:rsidR="00E73A57">
        <w:t xml:space="preserve">On </w:t>
      </w:r>
      <w:r w:rsidR="00E74A1D">
        <w:t xml:space="preserve">13 March 2024, </w:t>
      </w:r>
      <w:r w:rsidR="007E0670">
        <w:t xml:space="preserve">the </w:t>
      </w:r>
      <w:r w:rsidR="005709DA">
        <w:t xml:space="preserve">legal representative of </w:t>
      </w:r>
      <w:r w:rsidR="00DF5C8E">
        <w:t>Santos</w:t>
      </w:r>
      <w:r w:rsidR="005709DA">
        <w:t xml:space="preserve"> confirmed that</w:t>
      </w:r>
      <w:r w:rsidR="00B6457B">
        <w:t>,</w:t>
      </w:r>
      <w:r w:rsidR="005709DA">
        <w:t xml:space="preserve"> in accordance with order 2 of the Orders, </w:t>
      </w:r>
      <w:r w:rsidR="00431838">
        <w:t xml:space="preserve">the parties had reached agreement on the question of proposed orders as to costs but had not been able to reach agreement on </w:t>
      </w:r>
      <w:r w:rsidR="00B518AE">
        <w:t xml:space="preserve">appropriate </w:t>
      </w:r>
      <w:r w:rsidR="00431838">
        <w:t xml:space="preserve">remittal </w:t>
      </w:r>
      <w:r w:rsidR="00B518AE">
        <w:t xml:space="preserve">orders </w:t>
      </w:r>
      <w:r w:rsidR="00431838">
        <w:t xml:space="preserve">to the Tribunal. </w:t>
      </w:r>
      <w:r w:rsidR="00552FBC">
        <w:t xml:space="preserve">Accordingly, </w:t>
      </w:r>
      <w:r>
        <w:t>the costs</w:t>
      </w:r>
      <w:r w:rsidR="00552FBC">
        <w:t xml:space="preserve"> part of the Court’s orders made today is by the agreement of the parties.</w:t>
      </w:r>
    </w:p>
    <w:p w14:paraId="3E5098A0" w14:textId="3F0F52C3" w:rsidR="00AE2A3C" w:rsidRDefault="007501B5" w:rsidP="00AE2A3C">
      <w:pPr>
        <w:pStyle w:val="Heading1"/>
      </w:pPr>
      <w:r>
        <w:lastRenderedPageBreak/>
        <w:t>RESOLUTION</w:t>
      </w:r>
    </w:p>
    <w:p w14:paraId="26D87E63" w14:textId="6336B6A0" w:rsidR="001E48EB" w:rsidRDefault="001E48EB" w:rsidP="0029668C">
      <w:pPr>
        <w:pStyle w:val="ParaNumbering"/>
      </w:pPr>
      <w:r>
        <w:t xml:space="preserve">The issue in dispute is whether the </w:t>
      </w:r>
      <w:r w:rsidR="001B5D9B">
        <w:t>Court’s order under s 16</w:t>
      </w:r>
      <w:r w:rsidR="007103F2">
        <w:t>9</w:t>
      </w:r>
      <w:r w:rsidR="001B5D9B">
        <w:t xml:space="preserve">(7) should or should not preclude the </w:t>
      </w:r>
      <w:r>
        <w:t xml:space="preserve">parties </w:t>
      </w:r>
      <w:r w:rsidR="001B5D9B">
        <w:t>from adducing</w:t>
      </w:r>
      <w:r>
        <w:t xml:space="preserve"> further evidence before the Tribunal on any remitter</w:t>
      </w:r>
      <w:r w:rsidR="001B5D9B">
        <w:t>.</w:t>
      </w:r>
    </w:p>
    <w:p w14:paraId="5F2EA047" w14:textId="0EB68B02" w:rsidR="0000504D" w:rsidRDefault="0000504D" w:rsidP="0029668C">
      <w:pPr>
        <w:pStyle w:val="ParaNumbering"/>
      </w:pPr>
      <w:r>
        <w:t>Section 16</w:t>
      </w:r>
      <w:r w:rsidR="00F574EC">
        <w:t>9</w:t>
      </w:r>
      <w:r>
        <w:t>(7) of the NT</w:t>
      </w:r>
      <w:r w:rsidR="00773AE3">
        <w:t>A</w:t>
      </w:r>
      <w:r>
        <w:t xml:space="preserve"> provides:</w:t>
      </w:r>
    </w:p>
    <w:p w14:paraId="383AB51E" w14:textId="77777777" w:rsidR="00937C2F" w:rsidRPr="00EA2108" w:rsidRDefault="00937C2F" w:rsidP="00937C2F">
      <w:pPr>
        <w:pStyle w:val="Quote1"/>
        <w:rPr>
          <w:i/>
          <w:iCs/>
        </w:rPr>
      </w:pPr>
      <w:bookmarkStart w:id="18" w:name="PastedTemp53"/>
      <w:r w:rsidRPr="00EA2108">
        <w:rPr>
          <w:i/>
          <w:iCs/>
        </w:rPr>
        <w:t xml:space="preserve">Orders </w:t>
      </w:r>
    </w:p>
    <w:p w14:paraId="17CE9540" w14:textId="684883B1" w:rsidR="00937C2F" w:rsidRDefault="00937C2F" w:rsidP="00EA2108">
      <w:pPr>
        <w:pStyle w:val="Quote1"/>
        <w:ind w:left="1440" w:hanging="703"/>
      </w:pPr>
      <w:r>
        <w:t xml:space="preserve">(7) </w:t>
      </w:r>
      <w:r>
        <w:tab/>
        <w:t>Without limiting subsection (6), the orders that may be made by the Court on an appeal include:</w:t>
      </w:r>
    </w:p>
    <w:p w14:paraId="798A107B" w14:textId="07BE8EEF" w:rsidR="00937C2F" w:rsidRDefault="00937C2F" w:rsidP="00E07402">
      <w:pPr>
        <w:pStyle w:val="Quote2"/>
        <w:ind w:left="2160" w:hanging="720"/>
      </w:pPr>
      <w:r>
        <w:t xml:space="preserve">(a) </w:t>
      </w:r>
      <w:r>
        <w:tab/>
        <w:t xml:space="preserve">an order affirming or setting aside the decision or determination of the Tribunal; or </w:t>
      </w:r>
    </w:p>
    <w:p w14:paraId="72D9A063" w14:textId="34A9FA68" w:rsidR="0000504D" w:rsidRDefault="00937C2F" w:rsidP="00E07402">
      <w:pPr>
        <w:pStyle w:val="Quote2"/>
        <w:ind w:left="2160" w:hanging="720"/>
      </w:pPr>
      <w:r>
        <w:t xml:space="preserve">(b) </w:t>
      </w:r>
      <w:r>
        <w:tab/>
        <w:t xml:space="preserve">an order remitting the case to be heard and decided again, either with or without the hearing of further evidence, by the Tribunal in accordance with the directions of the Court. </w:t>
      </w:r>
      <w:bookmarkEnd w:id="18"/>
      <w:r>
        <w:t xml:space="preserve"> </w:t>
      </w:r>
    </w:p>
    <w:p w14:paraId="19D79F31" w14:textId="608C21D1" w:rsidR="00E42A70" w:rsidRDefault="00830B4B" w:rsidP="00830B4B">
      <w:pPr>
        <w:pStyle w:val="ParaNumbering"/>
      </w:pPr>
      <w:r>
        <w:t xml:space="preserve">As </w:t>
      </w:r>
      <w:r w:rsidR="00D17266">
        <w:t xml:space="preserve">Santos’ </w:t>
      </w:r>
      <w:r>
        <w:t>submissions explain, most of the authorities on remitter come from the operation of the relevant</w:t>
      </w:r>
      <w:r w:rsidR="005C2C80">
        <w:t>ly</w:t>
      </w:r>
      <w:r>
        <w:t xml:space="preserve"> </w:t>
      </w:r>
      <w:r w:rsidR="005C2C80">
        <w:t>identical</w:t>
      </w:r>
      <w:r>
        <w:t xml:space="preserve"> </w:t>
      </w:r>
      <w:r w:rsidR="005C2C80">
        <w:t>provisions</w:t>
      </w:r>
      <w:r>
        <w:t xml:space="preserve"> in </w:t>
      </w:r>
      <w:r w:rsidR="005C2C80">
        <w:t>the</w:t>
      </w:r>
      <w:r>
        <w:t xml:space="preserve"> </w:t>
      </w:r>
      <w:r w:rsidR="00D14242" w:rsidRPr="00EA2108">
        <w:rPr>
          <w:b/>
          <w:bCs/>
          <w:i/>
          <w:iCs/>
        </w:rPr>
        <w:t>A</w:t>
      </w:r>
      <w:r w:rsidR="00D14242">
        <w:rPr>
          <w:i/>
          <w:iCs/>
        </w:rPr>
        <w:t xml:space="preserve">dministrative </w:t>
      </w:r>
      <w:r w:rsidR="00D14242" w:rsidRPr="00EA2108">
        <w:rPr>
          <w:b/>
          <w:bCs/>
          <w:i/>
          <w:iCs/>
        </w:rPr>
        <w:t>A</w:t>
      </w:r>
      <w:r w:rsidR="00D14242">
        <w:rPr>
          <w:i/>
          <w:iCs/>
        </w:rPr>
        <w:t xml:space="preserve">ppeals </w:t>
      </w:r>
      <w:r w:rsidR="00D14242" w:rsidRPr="00EA2108">
        <w:rPr>
          <w:b/>
          <w:bCs/>
          <w:i/>
          <w:iCs/>
        </w:rPr>
        <w:t>T</w:t>
      </w:r>
      <w:r w:rsidR="00D14242">
        <w:rPr>
          <w:i/>
          <w:iCs/>
        </w:rPr>
        <w:t xml:space="preserve">ribunal </w:t>
      </w:r>
      <w:r w:rsidR="00D14242" w:rsidRPr="00EA2108">
        <w:rPr>
          <w:b/>
          <w:bCs/>
          <w:i/>
          <w:iCs/>
        </w:rPr>
        <w:t xml:space="preserve">Act </w:t>
      </w:r>
      <w:r w:rsidR="00D14242">
        <w:rPr>
          <w:i/>
          <w:iCs/>
        </w:rPr>
        <w:t xml:space="preserve">1975 </w:t>
      </w:r>
      <w:r w:rsidR="00D14242">
        <w:t>(</w:t>
      </w:r>
      <w:proofErr w:type="spellStart"/>
      <w:r w:rsidR="00D14242">
        <w:t>Cth</w:t>
      </w:r>
      <w:proofErr w:type="spellEnd"/>
      <w:r w:rsidR="00704452">
        <w:t>)</w:t>
      </w:r>
      <w:r w:rsidR="00D14242">
        <w:t xml:space="preserve"> </w:t>
      </w:r>
      <w:r w:rsidR="005C2C80">
        <w:t>(</w:t>
      </w:r>
      <w:r w:rsidR="005C2C80" w:rsidRPr="00EA2108">
        <w:t>s</w:t>
      </w:r>
      <w:r w:rsidR="005475F8">
        <w:t> </w:t>
      </w:r>
      <w:r w:rsidR="005C2C80" w:rsidRPr="00EA2108">
        <w:t>44(4)</w:t>
      </w:r>
      <w:r w:rsidR="00577E0B" w:rsidRPr="00EA2108">
        <w:t xml:space="preserve"> and </w:t>
      </w:r>
      <w:r w:rsidR="005C2C80" w:rsidRPr="00EA2108">
        <w:t>(5)</w:t>
      </w:r>
      <w:r w:rsidR="00DE20CF">
        <w:t xml:space="preserve"> of the AAT Act</w:t>
      </w:r>
      <w:r w:rsidR="005C2C80" w:rsidRPr="0081631A">
        <w:t>)</w:t>
      </w:r>
      <w:r w:rsidRPr="0081631A">
        <w:t>.</w:t>
      </w:r>
      <w:r>
        <w:t xml:space="preserve"> </w:t>
      </w:r>
      <w:r w:rsidR="005475F8">
        <w:t>We</w:t>
      </w:r>
      <w:r>
        <w:t xml:space="preserve"> agree </w:t>
      </w:r>
      <w:r w:rsidR="005475F8">
        <w:t xml:space="preserve">that </w:t>
      </w:r>
      <w:r w:rsidR="005C2C80">
        <w:t>the AAT</w:t>
      </w:r>
      <w:r>
        <w:t xml:space="preserve"> </w:t>
      </w:r>
      <w:r w:rsidR="00CE329D">
        <w:t xml:space="preserve">Act </w:t>
      </w:r>
      <w:r>
        <w:t xml:space="preserve">authorities are </w:t>
      </w:r>
      <w:r w:rsidR="005C2C80">
        <w:t>appropriate</w:t>
      </w:r>
      <w:r>
        <w:t xml:space="preserve"> to consider. The only </w:t>
      </w:r>
      <w:r w:rsidR="005C2C80">
        <w:t>authority</w:t>
      </w:r>
      <w:r>
        <w:t xml:space="preserve"> </w:t>
      </w:r>
      <w:r w:rsidR="00785DEC">
        <w:t xml:space="preserve">touching on </w:t>
      </w:r>
      <w:r w:rsidR="005C2C80">
        <w:t>s 16</w:t>
      </w:r>
      <w:r w:rsidR="00CE329D">
        <w:t>9</w:t>
      </w:r>
      <w:r w:rsidR="005C2C80">
        <w:t>(7)</w:t>
      </w:r>
      <w:r w:rsidR="00BB26F9">
        <w:t xml:space="preserve"> of the NTA</w:t>
      </w:r>
      <w:r w:rsidR="005C2C80">
        <w:t xml:space="preserve"> is </w:t>
      </w:r>
      <w:r w:rsidR="005C2C80" w:rsidRPr="005C2C80">
        <w:rPr>
          <w:b/>
          <w:bCs/>
          <w:i/>
          <w:iCs/>
        </w:rPr>
        <w:t>Charles</w:t>
      </w:r>
      <w:r w:rsidR="00CE0943">
        <w:rPr>
          <w:i/>
          <w:iCs/>
        </w:rPr>
        <w:t xml:space="preserve"> v Sheffield Resources Limited </w:t>
      </w:r>
      <w:r w:rsidR="00CE0943">
        <w:t>[2017] FCAFC 218</w:t>
      </w:r>
      <w:r w:rsidR="00D5639B">
        <w:t>; 257 FCR 29</w:t>
      </w:r>
      <w:r w:rsidR="00785DEC">
        <w:t xml:space="preserve"> and that decision did not concern the issue now facing the Court.</w:t>
      </w:r>
      <w:r w:rsidR="00E42A70">
        <w:t xml:space="preserve"> </w:t>
      </w:r>
      <w:r w:rsidR="00855172">
        <w:t>However, as with the remitter power in s 44 of the AAT Act, there was no debate between the parties</w:t>
      </w:r>
      <w:r w:rsidR="00E42A70">
        <w:t xml:space="preserve"> </w:t>
      </w:r>
      <w:r w:rsidR="00855172">
        <w:t xml:space="preserve">to this appeal </w:t>
      </w:r>
      <w:r w:rsidR="00E42A70">
        <w:t xml:space="preserve">that, as a discretionary power, the </w:t>
      </w:r>
      <w:r w:rsidR="00764F94">
        <w:t xml:space="preserve">way in which the power is exercised </w:t>
      </w:r>
      <w:r w:rsidR="00E42A70">
        <w:t>is likely to be dependent on</w:t>
      </w:r>
      <w:r w:rsidR="00E42A70" w:rsidRPr="00E42A70">
        <w:t xml:space="preserve"> the facts and circumstances of each individual case</w:t>
      </w:r>
      <w:r w:rsidR="00E42A70">
        <w:t xml:space="preserve">: see </w:t>
      </w:r>
      <w:r w:rsidR="00E42A70" w:rsidRPr="00E414D7">
        <w:rPr>
          <w:i/>
          <w:iCs/>
        </w:rPr>
        <w:t>C</w:t>
      </w:r>
      <w:r w:rsidR="00295933">
        <w:rPr>
          <w:i/>
          <w:iCs/>
        </w:rPr>
        <w:t xml:space="preserve">ivil </w:t>
      </w:r>
      <w:r w:rsidR="00E42A70" w:rsidRPr="00E414D7">
        <w:rPr>
          <w:i/>
          <w:iCs/>
        </w:rPr>
        <w:t>A</w:t>
      </w:r>
      <w:r w:rsidR="00295933">
        <w:rPr>
          <w:i/>
          <w:iCs/>
        </w:rPr>
        <w:t xml:space="preserve">viation </w:t>
      </w:r>
      <w:r w:rsidR="00E42A70" w:rsidRPr="00E414D7">
        <w:rPr>
          <w:i/>
          <w:iCs/>
        </w:rPr>
        <w:t>S</w:t>
      </w:r>
      <w:r w:rsidR="00295933">
        <w:rPr>
          <w:i/>
          <w:iCs/>
        </w:rPr>
        <w:t xml:space="preserve">afety </w:t>
      </w:r>
      <w:r w:rsidR="00E42A70" w:rsidRPr="00E414D7">
        <w:rPr>
          <w:i/>
          <w:iCs/>
        </w:rPr>
        <w:t>A</w:t>
      </w:r>
      <w:r w:rsidR="00295933">
        <w:rPr>
          <w:i/>
          <w:iCs/>
        </w:rPr>
        <w:t xml:space="preserve">uthority v Central Aviation Pty Ltd </w:t>
      </w:r>
      <w:r w:rsidR="00826626">
        <w:t xml:space="preserve">[2009] FCAFC 137; </w:t>
      </w:r>
      <w:r w:rsidR="006A6F6F">
        <w:t>179 FCR 554</w:t>
      </w:r>
      <w:r w:rsidR="00E42A70">
        <w:t xml:space="preserve"> at [55]</w:t>
      </w:r>
      <w:r w:rsidR="00295933">
        <w:t xml:space="preserve"> (Bennett, Flick and McKerracher</w:t>
      </w:r>
      <w:r w:rsidR="002C5150">
        <w:t> </w:t>
      </w:r>
      <w:r w:rsidR="00295933">
        <w:t>JJ)</w:t>
      </w:r>
      <w:r w:rsidR="006A6F6F">
        <w:t>.</w:t>
      </w:r>
    </w:p>
    <w:p w14:paraId="73FE1780" w14:textId="584D1FC5" w:rsidR="005943E4" w:rsidRDefault="00E04155" w:rsidP="00830B4B">
      <w:pPr>
        <w:pStyle w:val="ParaNumbering"/>
      </w:pPr>
      <w:r>
        <w:t xml:space="preserve">In the present appeal, all </w:t>
      </w:r>
      <w:r w:rsidR="005943E4">
        <w:t>members of the Full Court made observations about the tremendous amounts of time and resources which had already been deployed by the parties in the first Tribunal hearing and determination process: see principal reasons at</w:t>
      </w:r>
      <w:r w:rsidR="00D32DFC">
        <w:t xml:space="preserve"> [241] (Mortimer</w:t>
      </w:r>
      <w:r w:rsidR="002C5150">
        <w:t> </w:t>
      </w:r>
      <w:r w:rsidR="00D32DFC">
        <w:t xml:space="preserve">CJ), </w:t>
      </w:r>
      <w:r w:rsidR="006A544C">
        <w:t>[310] (</w:t>
      </w:r>
      <w:proofErr w:type="spellStart"/>
      <w:r w:rsidR="006A544C">
        <w:t>Rangiah</w:t>
      </w:r>
      <w:proofErr w:type="spellEnd"/>
      <w:r w:rsidR="002C5150">
        <w:t> </w:t>
      </w:r>
      <w:r w:rsidR="006A544C">
        <w:t xml:space="preserve">J), </w:t>
      </w:r>
      <w:r w:rsidR="00D32DFC">
        <w:t>[</w:t>
      </w:r>
      <w:r w:rsidR="00535FD6">
        <w:t>318] and [395] (O’Bryan</w:t>
      </w:r>
      <w:r w:rsidR="002C5150">
        <w:t> </w:t>
      </w:r>
      <w:r w:rsidR="00535FD6">
        <w:t>J)</w:t>
      </w:r>
      <w:r w:rsidR="005943E4">
        <w:t>. It is in that agreed factual context that we consider whether the remitter should be constrained.</w:t>
      </w:r>
    </w:p>
    <w:p w14:paraId="4A4F8868" w14:textId="51A7758B" w:rsidR="00740A48" w:rsidRDefault="00740A48" w:rsidP="0029668C">
      <w:pPr>
        <w:pStyle w:val="ParaNumbering"/>
      </w:pPr>
      <w:r>
        <w:t xml:space="preserve">In </w:t>
      </w:r>
      <w:r w:rsidR="00C26B08" w:rsidRPr="006E547E">
        <w:t>our</w:t>
      </w:r>
      <w:r>
        <w:t xml:space="preserve"> opinion, the respondents’ submissions to the effect that there should be some express limits placed in the Court’s orders on the claims and evidence to be determined by the Tribunal have force. However, </w:t>
      </w:r>
      <w:r w:rsidR="00C26B08" w:rsidRPr="006E547E">
        <w:t>we</w:t>
      </w:r>
      <w:r>
        <w:t xml:space="preserve"> do not agree with all the limits the</w:t>
      </w:r>
      <w:r w:rsidR="00F948D5">
        <w:t xml:space="preserve"> respondents</w:t>
      </w:r>
      <w:r>
        <w:t xml:space="preserve"> propose.</w:t>
      </w:r>
    </w:p>
    <w:p w14:paraId="0B4830C1" w14:textId="453F4EF0" w:rsidR="00355107" w:rsidRDefault="00DB7131" w:rsidP="008E1AD4">
      <w:pPr>
        <w:pStyle w:val="ParaNumbering"/>
      </w:pPr>
      <w:r>
        <w:t>The</w:t>
      </w:r>
      <w:r w:rsidR="008E1AD4">
        <w:t xml:space="preserve"> </w:t>
      </w:r>
      <w:proofErr w:type="spellStart"/>
      <w:r w:rsidR="008E1AD4">
        <w:t>Gomeroi</w:t>
      </w:r>
      <w:proofErr w:type="spellEnd"/>
      <w:r w:rsidR="008E1AD4">
        <w:t xml:space="preserve"> applicant proposed orders to the effect that the parties be able to adduce further evidence. It contended </w:t>
      </w:r>
      <w:r w:rsidR="00C86CC5">
        <w:t>there have been further reports</w:t>
      </w:r>
      <w:r w:rsidR="008E1AD4">
        <w:t xml:space="preserve"> and</w:t>
      </w:r>
      <w:r w:rsidR="00C86CC5">
        <w:t xml:space="preserve"> data</w:t>
      </w:r>
      <w:r w:rsidR="008E1AD4">
        <w:t xml:space="preserve">, </w:t>
      </w:r>
      <w:r w:rsidR="00C86CC5">
        <w:t>and new or updated anal</w:t>
      </w:r>
      <w:r w:rsidR="005D3960">
        <w:t>ytical tools</w:t>
      </w:r>
      <w:r w:rsidR="00037337">
        <w:t>,</w:t>
      </w:r>
      <w:r w:rsidR="005D3960">
        <w:t xml:space="preserve"> </w:t>
      </w:r>
      <w:r w:rsidR="00DA4C65">
        <w:t xml:space="preserve">in respect of the impacts of climate change </w:t>
      </w:r>
      <w:r w:rsidR="005D3960">
        <w:t xml:space="preserve">which were not available to the </w:t>
      </w:r>
      <w:proofErr w:type="spellStart"/>
      <w:r w:rsidR="005D3960">
        <w:t>Gomeroi</w:t>
      </w:r>
      <w:proofErr w:type="spellEnd"/>
      <w:r w:rsidR="005D3960">
        <w:t xml:space="preserve"> </w:t>
      </w:r>
      <w:r w:rsidR="0007048F">
        <w:lastRenderedPageBreak/>
        <w:t>a</w:t>
      </w:r>
      <w:r w:rsidR="005D3960">
        <w:t>pplicant at the time it was preparing its evidence</w:t>
      </w:r>
      <w:r w:rsidR="008E1AD4">
        <w:t xml:space="preserve">, bearing in mind </w:t>
      </w:r>
      <w:r w:rsidR="00A60188">
        <w:t xml:space="preserve">the </w:t>
      </w:r>
      <w:r w:rsidR="008E1AD4">
        <w:t xml:space="preserve">evidence </w:t>
      </w:r>
      <w:r w:rsidR="00A60188">
        <w:t xml:space="preserve">before the Tribunal </w:t>
      </w:r>
      <w:r w:rsidR="008E1AD4">
        <w:t xml:space="preserve">closed on </w:t>
      </w:r>
      <w:r w:rsidR="005D3960">
        <w:t xml:space="preserve">11 October 2021. </w:t>
      </w:r>
      <w:r w:rsidR="00355107">
        <w:t xml:space="preserve">In </w:t>
      </w:r>
      <w:r w:rsidR="00067132">
        <w:t>[4]-[</w:t>
      </w:r>
      <w:r w:rsidR="006F30A9">
        <w:t>7</w:t>
      </w:r>
      <w:r w:rsidR="00067132">
        <w:t>] of its written submissions</w:t>
      </w:r>
      <w:r w:rsidR="008E1AD4">
        <w:t>, it set out the kinds of material to which it referred:</w:t>
      </w:r>
      <w:r w:rsidR="00067132">
        <w:t xml:space="preserve"> </w:t>
      </w:r>
    </w:p>
    <w:p w14:paraId="214BDAF5" w14:textId="77777777" w:rsidR="00047CC9" w:rsidRDefault="00047CC9" w:rsidP="00047CC9">
      <w:pPr>
        <w:pStyle w:val="Quote1"/>
      </w:pPr>
      <w:r>
        <w:t xml:space="preserve">The IPCC has subsequently published: </w:t>
      </w:r>
    </w:p>
    <w:p w14:paraId="430D1BB2" w14:textId="656B1889" w:rsidR="000F495B" w:rsidRDefault="00396434" w:rsidP="0070503F">
      <w:pPr>
        <w:pStyle w:val="Quote2"/>
        <w:numPr>
          <w:ilvl w:val="0"/>
          <w:numId w:val="35"/>
        </w:numPr>
      </w:pPr>
      <w:r>
        <w:t xml:space="preserve">AR6 Working Group II: </w:t>
      </w:r>
      <w:r w:rsidRPr="006407CB">
        <w:t xml:space="preserve">Climate Change 2022: </w:t>
      </w:r>
      <w:r w:rsidRPr="0070503F">
        <w:rPr>
          <w:i/>
          <w:iCs/>
        </w:rPr>
        <w:t xml:space="preserve">Impacts, Adaptation and Vulnerability </w:t>
      </w:r>
      <w:r>
        <w:t>(27 February 2022)</w:t>
      </w:r>
      <w:r w:rsidR="000F495B">
        <w:t>;</w:t>
      </w:r>
    </w:p>
    <w:p w14:paraId="5A461020" w14:textId="4354EB14" w:rsidR="00396434" w:rsidRDefault="000F495B" w:rsidP="0070503F">
      <w:pPr>
        <w:pStyle w:val="Quote2"/>
        <w:numPr>
          <w:ilvl w:val="0"/>
          <w:numId w:val="35"/>
        </w:numPr>
      </w:pPr>
      <w:r>
        <w:t>A</w:t>
      </w:r>
      <w:r w:rsidR="00396434">
        <w:t xml:space="preserve">R6 Working Group III </w:t>
      </w:r>
      <w:r w:rsidR="00396434" w:rsidRPr="0070503F">
        <w:rPr>
          <w:i/>
          <w:iCs/>
        </w:rPr>
        <w:t xml:space="preserve">Climate Change 2022: Mitigation of Climate Change </w:t>
      </w:r>
      <w:r w:rsidR="00396434">
        <w:t>(April 2022)</w:t>
      </w:r>
      <w:r w:rsidR="00462D09">
        <w:t>, and</w:t>
      </w:r>
    </w:p>
    <w:p w14:paraId="545E08A1" w14:textId="710C3A52" w:rsidR="0049395F" w:rsidRDefault="00396434" w:rsidP="00462D09">
      <w:pPr>
        <w:pStyle w:val="Quote2"/>
        <w:numPr>
          <w:ilvl w:val="0"/>
          <w:numId w:val="35"/>
        </w:numPr>
      </w:pPr>
      <w:r>
        <w:t xml:space="preserve">AR6 </w:t>
      </w:r>
      <w:r w:rsidRPr="0070503F">
        <w:rPr>
          <w:i/>
          <w:iCs/>
        </w:rPr>
        <w:t>Synthesis Report: Climate Change 2023</w:t>
      </w:r>
      <w:r>
        <w:t xml:space="preserve"> (March 2023)</w:t>
      </w:r>
      <w:r w:rsidR="00C92DA2">
        <w:t>.</w:t>
      </w:r>
    </w:p>
    <w:p w14:paraId="0CD5CFC1" w14:textId="636AB374" w:rsidR="00462D09" w:rsidRDefault="00462D09" w:rsidP="0070503F">
      <w:pPr>
        <w:pStyle w:val="Quote1"/>
      </w:pPr>
      <w:r w:rsidRPr="00462D09">
        <w:t>The following resources have been produced by governments:</w:t>
      </w:r>
      <w:r>
        <w:t xml:space="preserve"> </w:t>
      </w:r>
    </w:p>
    <w:p w14:paraId="4C5BB0FF" w14:textId="41CAAFE7" w:rsidR="00CF4E6A" w:rsidRDefault="00CF4E6A" w:rsidP="00462D09">
      <w:pPr>
        <w:pStyle w:val="Quote2"/>
        <w:numPr>
          <w:ilvl w:val="0"/>
          <w:numId w:val="36"/>
        </w:numPr>
      </w:pPr>
      <w:r w:rsidRPr="0000515F">
        <w:rPr>
          <w:i/>
          <w:iCs/>
        </w:rPr>
        <w:t xml:space="preserve">National Climate Risk Assessment: First pass assessment </w:t>
      </w:r>
      <w:r w:rsidRPr="0070503F">
        <w:t>report</w:t>
      </w:r>
      <w:r>
        <w:t xml:space="preserve"> (12 March 2024, Department of Climate Change, Energy the Environment and Water, Australia)</w:t>
      </w:r>
      <w:r w:rsidR="00462D09">
        <w:t xml:space="preserve"> </w:t>
      </w:r>
      <w:r>
        <w:t>https://www.dcceew.gov.au/climate-change/publications/ncra-first-pass-riskassessment</w:t>
      </w:r>
      <w:r w:rsidR="00462D09">
        <w:t>;</w:t>
      </w:r>
    </w:p>
    <w:p w14:paraId="479875B0" w14:textId="26870800" w:rsidR="00CF4E6A" w:rsidRDefault="00CF4E6A" w:rsidP="0070503F">
      <w:pPr>
        <w:pStyle w:val="Quote2"/>
        <w:numPr>
          <w:ilvl w:val="0"/>
          <w:numId w:val="36"/>
        </w:numPr>
      </w:pPr>
      <w:proofErr w:type="spellStart"/>
      <w:r>
        <w:t>AdaptNSW</w:t>
      </w:r>
      <w:proofErr w:type="spellEnd"/>
      <w:r>
        <w:t xml:space="preserve"> has produced an Interactive climate change projections map which generates climate projections for change in temperature, rainfall, cold nights under 2 degrees </w:t>
      </w:r>
      <w:r w:rsidR="0060565C">
        <w:t>C</w:t>
      </w:r>
      <w:r>
        <w:t>, hot days over 35 degrees, and high fire danger days, for 2020-39 and 2060-79</w:t>
      </w:r>
      <w:r w:rsidR="00462D09">
        <w:t xml:space="preserve"> </w:t>
      </w:r>
      <w:r>
        <w:t xml:space="preserve"> </w:t>
      </w:r>
      <w:r w:rsidR="00D16E37" w:rsidRPr="0070503F">
        <w:t>www.climatechange.environment.nsw.gov.au/projections-map</w:t>
      </w:r>
      <w:r w:rsidR="00C92DA2">
        <w:t>.</w:t>
      </w:r>
    </w:p>
    <w:p w14:paraId="16B169AA" w14:textId="7A2AB624" w:rsidR="00CF4E6A" w:rsidRDefault="00CF4E6A" w:rsidP="0070503F">
      <w:pPr>
        <w:pStyle w:val="Quote2"/>
        <w:numPr>
          <w:ilvl w:val="0"/>
          <w:numId w:val="36"/>
        </w:numPr>
      </w:pPr>
      <w:r>
        <w:t xml:space="preserve">the ABS and CSIRO have jointly produced a projection tool that demonstrates what climate models are projecting for Australia’s future: </w:t>
      </w:r>
      <w:r w:rsidRPr="00C92DA2">
        <w:t>www.climatechangeinaustralia.gov.au/en/projections-tools/</w:t>
      </w:r>
      <w:r w:rsidR="00462D09">
        <w:t>;</w:t>
      </w:r>
    </w:p>
    <w:p w14:paraId="5A0AA2E3" w14:textId="148807FF" w:rsidR="0033543E" w:rsidRDefault="0033543E" w:rsidP="0070503F">
      <w:pPr>
        <w:pStyle w:val="Quote2"/>
        <w:numPr>
          <w:ilvl w:val="0"/>
          <w:numId w:val="36"/>
        </w:numPr>
      </w:pPr>
      <w:r>
        <w:t>Internationally, the Coupled Model Intercomparison Project (a project of the World Climate Research Program, based in the United States) has produced the Coupled Model Intercomparison Project Phase 6 - https://pcmdi.llnl.gov/CMIP6/ - comprising over 20 new climate models, from which specific analysis can be generated</w:t>
      </w:r>
      <w:r w:rsidR="00C92DA2">
        <w:t>.</w:t>
      </w:r>
    </w:p>
    <w:p w14:paraId="7B1DF655" w14:textId="4AC0FF51" w:rsidR="00837292" w:rsidRDefault="00037B11" w:rsidP="0070503F">
      <w:pPr>
        <w:pStyle w:val="Quote1"/>
      </w:pPr>
      <w:r>
        <w:t xml:space="preserve">The private sector has </w:t>
      </w:r>
      <w:r w:rsidR="00997575">
        <w:t>improved data analysis to provide more detailed insights into climate change impacts. For example XDI (“Cross Dependency Initiative”, a private company and part of the Climate Risk Group which quantifies and communicates the costs of climate change) produced data sets to calculate Gross Domestic Climate Risk (2023) https://archive.xdi.systems/gross-domestic-risk-dataset/. Additional computational capacity is also available (see, for example, Climate Valuation’s Property Risk Portal https://climatevaluation.com/resources/climate-insight-tool/).</w:t>
      </w:r>
    </w:p>
    <w:p w14:paraId="4A91D936" w14:textId="370D32A2" w:rsidR="00462D09" w:rsidRDefault="00462D09" w:rsidP="00462D09">
      <w:pPr>
        <w:pStyle w:val="Quote1"/>
      </w:pPr>
      <w:r>
        <w:t>Finally, t</w:t>
      </w:r>
      <w:r w:rsidR="00067132">
        <w:t xml:space="preserve">he Non-Governmental Organisation </w:t>
      </w:r>
      <w:r>
        <w:t>(</w:t>
      </w:r>
      <w:r w:rsidRPr="00462D09">
        <w:rPr>
          <w:b/>
          <w:bCs/>
        </w:rPr>
        <w:t>NGO</w:t>
      </w:r>
      <w:r>
        <w:t xml:space="preserve">) </w:t>
      </w:r>
      <w:r w:rsidR="00067132" w:rsidRPr="00462D09">
        <w:t>sector</w:t>
      </w:r>
      <w:r w:rsidR="00067132">
        <w:t xml:space="preserve"> has also produced climate change effect prediction tools including the Climate Council which has produced the Climate Risk Map of Australia (2 May 2022) www.climatecouncil.org.au/resources/climate-risk-map. </w:t>
      </w:r>
    </w:p>
    <w:p w14:paraId="3700A381" w14:textId="792F69C5" w:rsidR="00462D09" w:rsidRDefault="00462D09" w:rsidP="0070503F">
      <w:pPr>
        <w:pStyle w:val="Quote1"/>
      </w:pPr>
      <w:r>
        <w:t>(</w:t>
      </w:r>
      <w:r w:rsidR="0052095B">
        <w:t>Original italics</w:t>
      </w:r>
      <w:r w:rsidR="0052771D">
        <w:t xml:space="preserve"> and emphasis</w:t>
      </w:r>
      <w:r w:rsidR="0011435E">
        <w:t>, f</w:t>
      </w:r>
      <w:r>
        <w:t>ootnotes omitted.)</w:t>
      </w:r>
    </w:p>
    <w:p w14:paraId="57AF5085" w14:textId="5F23BEE3" w:rsidR="001D0432" w:rsidRDefault="001D0432" w:rsidP="00462D09">
      <w:pPr>
        <w:pStyle w:val="Quote1"/>
      </w:pPr>
    </w:p>
    <w:p w14:paraId="6ACA625C" w14:textId="73835D06" w:rsidR="00C26B08" w:rsidRDefault="00EF0F8A" w:rsidP="00AE2A3C">
      <w:pPr>
        <w:pStyle w:val="ParaNumbering"/>
      </w:pPr>
      <w:r>
        <w:lastRenderedPageBreak/>
        <w:t xml:space="preserve">Santos and the </w:t>
      </w:r>
      <w:r w:rsidRPr="0070503F">
        <w:rPr>
          <w:b/>
          <w:bCs/>
        </w:rPr>
        <w:t>State</w:t>
      </w:r>
      <w:r w:rsidR="00A804DD">
        <w:t xml:space="preserve"> of N</w:t>
      </w:r>
      <w:r w:rsidR="00142AF0">
        <w:t xml:space="preserve">ew </w:t>
      </w:r>
      <w:r w:rsidR="00A804DD">
        <w:t>S</w:t>
      </w:r>
      <w:r w:rsidR="00142AF0">
        <w:t xml:space="preserve">outh </w:t>
      </w:r>
      <w:r w:rsidR="00A804DD">
        <w:t>W</w:t>
      </w:r>
      <w:r w:rsidR="00142AF0">
        <w:t>ales</w:t>
      </w:r>
      <w:r>
        <w:t xml:space="preserve"> both submit it is appropriate for this Court to limit the </w:t>
      </w:r>
      <w:r w:rsidR="00C26B08">
        <w:t xml:space="preserve">parties, and therefore the </w:t>
      </w:r>
      <w:r>
        <w:t>Tribunal</w:t>
      </w:r>
      <w:r w:rsidR="00C26B08">
        <w:t xml:space="preserve">, </w:t>
      </w:r>
      <w:r>
        <w:t xml:space="preserve">on remitter to the evidence that was before </w:t>
      </w:r>
      <w:r w:rsidR="00C26B08">
        <w:t>the Tribunal</w:t>
      </w:r>
      <w:r>
        <w:t xml:space="preserve"> on the last occasion. </w:t>
      </w:r>
    </w:p>
    <w:p w14:paraId="78BF35A5" w14:textId="52507D7B" w:rsidR="006A0A08" w:rsidRDefault="00C26B08" w:rsidP="00AE2A3C">
      <w:pPr>
        <w:pStyle w:val="ParaNumbering"/>
      </w:pPr>
      <w:r>
        <w:t>We do not agree</w:t>
      </w:r>
      <w:r w:rsidR="005A34DE">
        <w:t xml:space="preserve"> with the respondents’ principal submission</w:t>
      </w:r>
      <w:r>
        <w:t xml:space="preserve">. The Tribunal engages in a merits </w:t>
      </w:r>
      <w:r w:rsidR="003256CA">
        <w:t>decision</w:t>
      </w:r>
      <w:r w:rsidR="009B4FDA" w:rsidRPr="00F92BFD">
        <w:t>-</w:t>
      </w:r>
      <w:r w:rsidR="003256CA">
        <w:t>making process. The Parliament has reposed in the Tribunal the function of deciding,</w:t>
      </w:r>
      <w:r>
        <w:t xml:space="preserve"> </w:t>
      </w:r>
      <w:r w:rsidR="003256CA">
        <w:t xml:space="preserve">on the material before it, </w:t>
      </w:r>
      <w:r>
        <w:t xml:space="preserve">what is the correct outcome </w:t>
      </w:r>
      <w:r w:rsidR="003256CA">
        <w:t>for the application by a negotiation party for a determination under s 38(1)</w:t>
      </w:r>
      <w:r w:rsidR="00D62274">
        <w:t xml:space="preserve"> of the NTA</w:t>
      </w:r>
      <w:r w:rsidR="006A0A08">
        <w:t>, there being three possible and discrete outcomes under that provision.</w:t>
      </w:r>
      <w:r w:rsidR="000B6DBD">
        <w:t xml:space="preserve"> </w:t>
      </w:r>
    </w:p>
    <w:p w14:paraId="3F14BF57" w14:textId="57767F52" w:rsidR="003256CA" w:rsidRDefault="000B6DBD" w:rsidP="00AE2A3C">
      <w:pPr>
        <w:pStyle w:val="ParaNumbering"/>
      </w:pPr>
      <w:r>
        <w:t>While the Tribunal is required to take into account the factors set out in s 39(1)</w:t>
      </w:r>
      <w:r w:rsidR="00FB6E1A">
        <w:t xml:space="preserve"> of the NTA</w:t>
      </w:r>
      <w:r>
        <w:t>, the weight it afford</w:t>
      </w:r>
      <w:r w:rsidR="00C75BA8">
        <w:t>s</w:t>
      </w:r>
      <w:r>
        <w:t xml:space="preserve"> to various factors, </w:t>
      </w:r>
      <w:r w:rsidR="007E3C80">
        <w:t>and</w:t>
      </w:r>
      <w:r>
        <w:t xml:space="preserve"> to material </w:t>
      </w:r>
      <w:r w:rsidR="007E3C80">
        <w:t xml:space="preserve">before it that is relevant </w:t>
      </w:r>
      <w:r>
        <w:t xml:space="preserve">to </w:t>
      </w:r>
      <w:r w:rsidR="00645DBE">
        <w:t xml:space="preserve">those </w:t>
      </w:r>
      <w:r>
        <w:t>various factors</w:t>
      </w:r>
      <w:r w:rsidR="009B4FDA">
        <w:t>,</w:t>
      </w:r>
      <w:r>
        <w:t xml:space="preserve"> is a matter for it. There will be evaluative processes involved</w:t>
      </w:r>
      <w:r w:rsidR="008F33A9">
        <w:t xml:space="preserve">: see principal reasons at </w:t>
      </w:r>
      <w:r w:rsidR="008F33A9" w:rsidRPr="008F33A9">
        <w:t>[338]</w:t>
      </w:r>
      <w:r w:rsidR="00D30CFC">
        <w:t xml:space="preserve"> (O’Bryan J)</w:t>
      </w:r>
      <w:r w:rsidR="008F33A9" w:rsidRPr="008F33A9">
        <w:t xml:space="preserve">. </w:t>
      </w:r>
      <w:r w:rsidR="0027568A">
        <w:t>A decision</w:t>
      </w:r>
      <w:r w:rsidR="007F08C8" w:rsidRPr="00F92BFD">
        <w:t>-</w:t>
      </w:r>
      <w:r w:rsidR="0027568A">
        <w:t xml:space="preserve">maker such as the Tribunal ought </w:t>
      </w:r>
      <w:r w:rsidR="00641138">
        <w:t xml:space="preserve">as a </w:t>
      </w:r>
      <w:r w:rsidR="0027568A">
        <w:t xml:space="preserve">matter of general principle </w:t>
      </w:r>
      <w:r w:rsidR="007F08C8">
        <w:t xml:space="preserve">to </w:t>
      </w:r>
      <w:r w:rsidR="0027568A">
        <w:t xml:space="preserve">be considering what is the correct outcome on the most up to date </w:t>
      </w:r>
      <w:r w:rsidR="006A0A08">
        <w:t xml:space="preserve">and </w:t>
      </w:r>
      <w:r w:rsidR="0027568A">
        <w:t xml:space="preserve">relevant material available: see </w:t>
      </w:r>
      <w:r w:rsidR="00A43FB6">
        <w:rPr>
          <w:i/>
          <w:iCs/>
        </w:rPr>
        <w:t xml:space="preserve">Shi v Migration Agents Registration Authority </w:t>
      </w:r>
      <w:r w:rsidR="0084461B">
        <w:t>[</w:t>
      </w:r>
      <w:r w:rsidR="00A43FB6">
        <w:t>2008</w:t>
      </w:r>
      <w:r w:rsidR="0084461B">
        <w:t>] HCA 31;</w:t>
      </w:r>
      <w:r w:rsidR="00A43FB6">
        <w:t xml:space="preserve"> 235 CLR 286 at [</w:t>
      </w:r>
      <w:r w:rsidR="001530C9">
        <w:t xml:space="preserve">37], [41] </w:t>
      </w:r>
      <w:r w:rsidR="00716FE9">
        <w:t>and [42]</w:t>
      </w:r>
      <w:r w:rsidR="00716FE9" w:rsidRPr="00716FE9">
        <w:t xml:space="preserve"> </w:t>
      </w:r>
      <w:r w:rsidR="00716FE9">
        <w:t xml:space="preserve">(Kirby J), citing </w:t>
      </w:r>
      <w:r w:rsidR="00716FE9">
        <w:rPr>
          <w:i/>
          <w:iCs/>
        </w:rPr>
        <w:t>Minister for Aboriginal Affairs v Peko-Wallsend Ltd</w:t>
      </w:r>
      <w:r w:rsidR="00716FE9">
        <w:t xml:space="preserve"> </w:t>
      </w:r>
      <w:r w:rsidR="006C1E85">
        <w:t>[1986] HCA 40</w:t>
      </w:r>
      <w:r w:rsidR="00292C30">
        <w:t>; 162 CLR 24</w:t>
      </w:r>
      <w:r w:rsidR="006A0A08">
        <w:t xml:space="preserve">; and </w:t>
      </w:r>
      <w:r w:rsidR="006A0A08" w:rsidRPr="00F92BFD">
        <w:rPr>
          <w:i/>
          <w:iCs/>
        </w:rPr>
        <w:t>Drake v Minister for Immigration and Ethnic</w:t>
      </w:r>
      <w:r w:rsidR="006A0A08" w:rsidRPr="006A0A08">
        <w:t xml:space="preserve"> </w:t>
      </w:r>
      <w:r w:rsidR="006A0A08" w:rsidRPr="0012535F">
        <w:rPr>
          <w:i/>
          <w:iCs/>
        </w:rPr>
        <w:t>Affairs</w:t>
      </w:r>
      <w:r w:rsidR="006A0A08" w:rsidRPr="006A0A08">
        <w:t xml:space="preserve"> (1979) 24 ALR 577 at 589</w:t>
      </w:r>
      <w:r w:rsidR="00584147">
        <w:t xml:space="preserve"> (Bowen CJ and Deane J)</w:t>
      </w:r>
      <w:r w:rsidR="006A0A08" w:rsidRPr="006A0A08">
        <w:t>.</w:t>
      </w:r>
      <w:r w:rsidR="00292C30">
        <w:t xml:space="preserve"> </w:t>
      </w:r>
      <w:r w:rsidR="006C1E85">
        <w:t xml:space="preserve"> </w:t>
      </w:r>
    </w:p>
    <w:p w14:paraId="14E05A21" w14:textId="25AC7173" w:rsidR="009F05D8" w:rsidRDefault="00EB24D2" w:rsidP="00AE2A3C">
      <w:pPr>
        <w:pStyle w:val="ParaNumbering"/>
      </w:pPr>
      <w:r>
        <w:t xml:space="preserve">While Santos is correct to submit </w:t>
      </w:r>
      <w:r w:rsidR="00CA7115">
        <w:t>that</w:t>
      </w:r>
      <w:r>
        <w:t xml:space="preserve"> the error </w:t>
      </w:r>
      <w:r w:rsidR="00CA7115">
        <w:t>identified</w:t>
      </w:r>
      <w:r>
        <w:t xml:space="preserve"> by the majority in the principal reason</w:t>
      </w:r>
      <w:r w:rsidR="00E45887">
        <w:t>s</w:t>
      </w:r>
      <w:r>
        <w:t xml:space="preserve"> was one </w:t>
      </w:r>
      <w:r w:rsidR="00CA7115">
        <w:t>of statutory</w:t>
      </w:r>
      <w:r>
        <w:t xml:space="preserve"> construction, that </w:t>
      </w:r>
      <w:r w:rsidR="00CA7115">
        <w:t>error</w:t>
      </w:r>
      <w:r>
        <w:t xml:space="preserve"> </w:t>
      </w:r>
      <w:r w:rsidR="00CA7115">
        <w:t>having</w:t>
      </w:r>
      <w:r>
        <w:t xml:space="preserve"> been </w:t>
      </w:r>
      <w:r w:rsidR="00CA7115">
        <w:t>identified</w:t>
      </w:r>
      <w:r>
        <w:t xml:space="preserve"> and the correct construction pronounced, the task of </w:t>
      </w:r>
      <w:r w:rsidRPr="00CA7115">
        <w:rPr>
          <w:i/>
          <w:iCs/>
        </w:rPr>
        <w:t>applying</w:t>
      </w:r>
      <w:r>
        <w:t xml:space="preserve"> that construction to the </w:t>
      </w:r>
      <w:r w:rsidR="00CA7115">
        <w:t>evidence</w:t>
      </w:r>
      <w:r>
        <w:t xml:space="preserve"> and material is not a function for the Court, but for the Tribunal.</w:t>
      </w:r>
      <w:r w:rsidR="00CA7115">
        <w:t xml:space="preserve"> Like other aspects of its function, </w:t>
      </w:r>
      <w:r w:rsidR="00A223D7">
        <w:t xml:space="preserve">the Tribunal </w:t>
      </w:r>
      <w:r w:rsidR="00CA7115">
        <w:t xml:space="preserve">should be in full control of the exercise of all powers necessary to perform that function, including the power to receive evidence and other material, unless sound justification is shown </w:t>
      </w:r>
      <w:r w:rsidR="00A223D7">
        <w:t xml:space="preserve">on any appeal </w:t>
      </w:r>
      <w:r w:rsidR="00CA7115">
        <w:t xml:space="preserve">for restricting the </w:t>
      </w:r>
      <w:r w:rsidR="00FA1295">
        <w:t xml:space="preserve">powers of the Tribunal which Parliament contemplated would otherwise be available to it. </w:t>
      </w:r>
    </w:p>
    <w:p w14:paraId="144CBC92" w14:textId="1733A7D8" w:rsidR="00EB24D2" w:rsidRDefault="00CA7115" w:rsidP="00AE2A3C">
      <w:pPr>
        <w:pStyle w:val="ParaNumbering"/>
      </w:pPr>
      <w:r>
        <w:t>In considering whether sound justification has been shown, the</w:t>
      </w:r>
      <w:r w:rsidR="00EB24D2">
        <w:t xml:space="preserve"> importance of th</w:t>
      </w:r>
      <w:r>
        <w:t>e</w:t>
      </w:r>
      <w:r w:rsidR="00EB24D2">
        <w:t xml:space="preserve"> </w:t>
      </w:r>
      <w:r>
        <w:t>constitutional separation</w:t>
      </w:r>
      <w:r w:rsidR="00EB24D2">
        <w:t xml:space="preserve"> of the judicial from the </w:t>
      </w:r>
      <w:r>
        <w:t>non-judicial</w:t>
      </w:r>
      <w:r w:rsidR="00EB24D2">
        <w:t xml:space="preserve"> functions, described by Brennan J in </w:t>
      </w:r>
      <w:r w:rsidRPr="00F92BFD">
        <w:rPr>
          <w:i/>
          <w:iCs/>
        </w:rPr>
        <w:t>Attorney General</w:t>
      </w:r>
      <w:r w:rsidR="00EB24D2" w:rsidRPr="00F92BFD">
        <w:rPr>
          <w:i/>
          <w:iCs/>
        </w:rPr>
        <w:t xml:space="preserve"> </w:t>
      </w:r>
      <w:r w:rsidR="00EF35C2" w:rsidRPr="00F92BFD">
        <w:rPr>
          <w:i/>
          <w:iCs/>
        </w:rPr>
        <w:t xml:space="preserve">(NSW) </w:t>
      </w:r>
      <w:r w:rsidR="00EB24D2" w:rsidRPr="00F92BFD">
        <w:rPr>
          <w:i/>
          <w:iCs/>
        </w:rPr>
        <w:t>v Quin</w:t>
      </w:r>
      <w:r w:rsidR="00EF35C2" w:rsidRPr="00E877F3">
        <w:t xml:space="preserve"> [1990] HCA 21; 170 CLR 1</w:t>
      </w:r>
      <w:r w:rsidR="001A3773" w:rsidRPr="00E877F3">
        <w:t xml:space="preserve"> at 35</w:t>
      </w:r>
      <w:r w:rsidR="00AF636A">
        <w:t>-36</w:t>
      </w:r>
      <w:r w:rsidR="00333848">
        <w:t>,</w:t>
      </w:r>
      <w:r w:rsidR="00EB24D2">
        <w:t xml:space="preserve"> must be steadily borne in mind in </w:t>
      </w:r>
      <w:r>
        <w:t>considering</w:t>
      </w:r>
      <w:r w:rsidR="00EB24D2">
        <w:t xml:space="preserve"> how to exercise the s 16</w:t>
      </w:r>
      <w:r w:rsidR="009A1249">
        <w:t>9</w:t>
      </w:r>
      <w:r w:rsidR="00EB24D2">
        <w:t>(7)</w:t>
      </w:r>
      <w:r>
        <w:t xml:space="preserve"> discretion</w:t>
      </w:r>
      <w:r w:rsidR="00EB24D2">
        <w:t>.</w:t>
      </w:r>
      <w:r w:rsidR="00A223D7">
        <w:t xml:space="preserve"> An order of this Court confining the Tribunal on remitter to the evidence before it on a previous hearing or review, </w:t>
      </w:r>
      <w:r w:rsidR="00D31E14">
        <w:t>where the Tribunal’s decision</w:t>
      </w:r>
      <w:r w:rsidR="00A223D7">
        <w:t xml:space="preserve"> has now been set aside, substantively affects the way the Tribunal can </w:t>
      </w:r>
      <w:r w:rsidR="00A223D7">
        <w:lastRenderedPageBreak/>
        <w:t>perform its functions. While s 16</w:t>
      </w:r>
      <w:r w:rsidR="00601C48">
        <w:t>9</w:t>
      </w:r>
      <w:r w:rsidR="00A223D7">
        <w:t>(7) expressly confers such a power on the Court, in our view</w:t>
      </w:r>
      <w:r w:rsidR="005328D0">
        <w:t>,</w:t>
      </w:r>
      <w:r w:rsidR="00A223D7">
        <w:t xml:space="preserve"> it is a power to be exercised cautiously.</w:t>
      </w:r>
    </w:p>
    <w:p w14:paraId="61913CE4" w14:textId="7D18B019" w:rsidR="00054FBF" w:rsidRDefault="00E91830" w:rsidP="00054FBF">
      <w:pPr>
        <w:pStyle w:val="ParaNumbering"/>
      </w:pPr>
      <w:r>
        <w:t xml:space="preserve">We consider therefore that the nature and importance of the Tribunal’s function in deciding on which of the three outcomes in s 38(1) is the correct outcome outweighs </w:t>
      </w:r>
      <w:r w:rsidR="00361FA5">
        <w:t xml:space="preserve">giving absolute primacy to </w:t>
      </w:r>
      <w:r>
        <w:t>considerations of cost</w:t>
      </w:r>
      <w:r w:rsidR="00096482" w:rsidRPr="00F92BFD">
        <w:t>-</w:t>
      </w:r>
      <w:r>
        <w:t>effectiveness and time</w:t>
      </w:r>
      <w:r w:rsidR="00096482" w:rsidRPr="00F92BFD">
        <w:t>-</w:t>
      </w:r>
      <w:r>
        <w:t>saving which might be apprehended to flow from this Court constraining the Tribunal to the evidence before it on the last occasion.</w:t>
      </w:r>
      <w:r w:rsidR="00987037">
        <w:t xml:space="preserve"> Properly, neither respondent has contended it does not have the resources to meet any further evidence which the </w:t>
      </w:r>
      <w:r w:rsidR="00263AB4">
        <w:t>T</w:t>
      </w:r>
      <w:r w:rsidR="00987037">
        <w:t xml:space="preserve">ribunal may permit to be adduced </w:t>
      </w:r>
      <w:r w:rsidR="00D9770B">
        <w:t>n</w:t>
      </w:r>
      <w:r w:rsidR="00987037">
        <w:t xml:space="preserve">or </w:t>
      </w:r>
      <w:r w:rsidR="00D9770B">
        <w:t>did they point to any prejudice in terms of being able to adduce or respond to new evidence or material</w:t>
      </w:r>
      <w:r w:rsidR="00987037">
        <w:t>.</w:t>
      </w:r>
      <w:r w:rsidR="00054FBF" w:rsidRPr="00054FBF">
        <w:t xml:space="preserve"> </w:t>
      </w:r>
      <w:r w:rsidR="00054FBF">
        <w:t xml:space="preserve">The Court can and should assume that the Tribunal will be conscious of the context in which this further hearing is occurring, and of the time and resources already spent on this matter. </w:t>
      </w:r>
    </w:p>
    <w:p w14:paraId="3F653C07" w14:textId="464C71FC" w:rsidR="005D2228" w:rsidRDefault="00FD76E2" w:rsidP="00AE2A3C">
      <w:pPr>
        <w:pStyle w:val="ParaNumbering"/>
      </w:pPr>
      <w:r>
        <w:t xml:space="preserve">For that reason, we reject the respondents’ submissions that the order should be in terms confining the Tribunal to the evidence and material before it at the first hearing.  </w:t>
      </w:r>
      <w:r w:rsidR="00F70EB1">
        <w:t xml:space="preserve">Nevertheless, </w:t>
      </w:r>
      <w:r w:rsidR="00EF0F8A">
        <w:t xml:space="preserve">Santos did make an alternative submission, which </w:t>
      </w:r>
      <w:r w:rsidR="00C26B08" w:rsidRPr="00591A29">
        <w:t>we</w:t>
      </w:r>
      <w:r w:rsidR="00EF0F8A">
        <w:t xml:space="preserve"> have found persuasive</w:t>
      </w:r>
      <w:r w:rsidR="005D2228">
        <w:t>.</w:t>
      </w:r>
    </w:p>
    <w:p w14:paraId="733F76F9" w14:textId="62D90506" w:rsidR="00EF0F8A" w:rsidRDefault="005D2228" w:rsidP="00AE2A3C">
      <w:pPr>
        <w:pStyle w:val="ParaNumbering"/>
      </w:pPr>
      <w:r>
        <w:t>The submission was that orders should be made in a f</w:t>
      </w:r>
      <w:r w:rsidR="0016390F">
        <w:t>o</w:t>
      </w:r>
      <w:r>
        <w:t xml:space="preserve">rm which cast a persuasive burden on </w:t>
      </w:r>
      <w:r w:rsidR="00293742">
        <w:t xml:space="preserve">any moving party before the </w:t>
      </w:r>
      <w:r w:rsidR="00322122">
        <w:t>Tribunal</w:t>
      </w:r>
      <w:r>
        <w:t xml:space="preserve"> to demonstrate adequate justification for the receipt of new evidence and material by the Tribunal. An order of this kind was made in </w:t>
      </w:r>
      <w:r w:rsidRPr="00591A29">
        <w:rPr>
          <w:b/>
          <w:bCs/>
          <w:i/>
          <w:iCs/>
        </w:rPr>
        <w:t>Negri</w:t>
      </w:r>
      <w:r w:rsidR="00074C0C" w:rsidRPr="00591A29">
        <w:rPr>
          <w:i/>
          <w:iCs/>
        </w:rPr>
        <w:t xml:space="preserve"> v Secretary, Department of Social Services (No 2)</w:t>
      </w:r>
      <w:r w:rsidR="00074C0C">
        <w:t xml:space="preserve"> [2016] FCA 1125</w:t>
      </w:r>
      <w:r w:rsidR="00D46939">
        <w:t>; 70 AAR 238</w:t>
      </w:r>
      <w:r w:rsidR="007E72DF">
        <w:t xml:space="preserve"> at [7] (Bromberg J)</w:t>
      </w:r>
      <w:r w:rsidR="00D46939">
        <w:t>.</w:t>
      </w:r>
    </w:p>
    <w:p w14:paraId="6B7318A5" w14:textId="2DF9A3CE" w:rsidR="00FF2648" w:rsidRDefault="00FF2648" w:rsidP="00FF2648">
      <w:pPr>
        <w:pStyle w:val="ParaNumbering"/>
      </w:pPr>
      <w:r>
        <w:t xml:space="preserve">By the time the matter returns to the Tribunal, more than two and a half years will have passed. </w:t>
      </w:r>
      <w:r w:rsidR="00C9319B">
        <w:t xml:space="preserve">We accept the </w:t>
      </w:r>
      <w:proofErr w:type="spellStart"/>
      <w:r w:rsidR="00C9319B">
        <w:t>Gomeroi</w:t>
      </w:r>
      <w:proofErr w:type="spellEnd"/>
      <w:r w:rsidR="00C9319B">
        <w:t xml:space="preserve"> applicant’s submission that</w:t>
      </w:r>
      <w:r>
        <w:t xml:space="preserve"> climate science has undergone considerable changes in this period, including </w:t>
      </w:r>
      <w:r w:rsidR="0062476A">
        <w:t xml:space="preserve">a different objective </w:t>
      </w:r>
      <w:r>
        <w:t>identification of what might, in 2024, be considered the most relevant, up to date and authoritative material. As we have said, any merits Tribunal should as a matter of general principle (and subject to any contrary legislative restrictions) strive to make its decision on the most complete and up to date evidence and material available to it.</w:t>
      </w:r>
    </w:p>
    <w:p w14:paraId="1E3B4AB1" w14:textId="7935FD6D" w:rsidR="00E63003" w:rsidRDefault="00FF2648" w:rsidP="006F6F02">
      <w:pPr>
        <w:pStyle w:val="ParaNumbering"/>
      </w:pPr>
      <w:r>
        <w:t xml:space="preserve">However in the particular circumstances of this case, we consider there should be a clear persuasive burden </w:t>
      </w:r>
      <w:r w:rsidR="009F381B">
        <w:t xml:space="preserve">on all parties, beyond the usual </w:t>
      </w:r>
      <w:r w:rsidR="00322122">
        <w:t>test</w:t>
      </w:r>
      <w:r w:rsidR="009F381B">
        <w:t xml:space="preserve"> of relevance that might be applied by a Tribunal</w:t>
      </w:r>
      <w:r w:rsidR="005C18C2">
        <w:t>, noting the Tribunal is not bound by the rules of evidence in any strict sense</w:t>
      </w:r>
      <w:r w:rsidR="002F5B60">
        <w:t>:</w:t>
      </w:r>
      <w:r w:rsidR="005C18C2">
        <w:t xml:space="preserve"> see s</w:t>
      </w:r>
      <w:r w:rsidR="002F5B60">
        <w:t> </w:t>
      </w:r>
      <w:r w:rsidR="005C18C2">
        <w:t>109(3) of the NTA</w:t>
      </w:r>
      <w:r w:rsidR="009F381B">
        <w:t>.</w:t>
      </w:r>
      <w:r>
        <w:t xml:space="preserve"> </w:t>
      </w:r>
      <w:r w:rsidR="006F6F02">
        <w:t>Before the Tribunal</w:t>
      </w:r>
      <w:r w:rsidR="006F6F02" w:rsidRPr="00E63003">
        <w:t xml:space="preserve"> </w:t>
      </w:r>
      <w:r w:rsidR="006F6F02">
        <w:t xml:space="preserve">at the first hearing, the parties had made forensic decisions that the material and evidence they relied on was sufficient to advance their respective </w:t>
      </w:r>
      <w:r w:rsidR="006F6F02">
        <w:lastRenderedPageBreak/>
        <w:t xml:space="preserve">cases. Specifically, the </w:t>
      </w:r>
      <w:proofErr w:type="spellStart"/>
      <w:r w:rsidR="006F6F02">
        <w:t>Gomeroi</w:t>
      </w:r>
      <w:proofErr w:type="spellEnd"/>
      <w:r w:rsidR="006F6F02">
        <w:t xml:space="preserve"> applicant had made forensic decisions that its material was sufficient to advance its case about the </w:t>
      </w:r>
      <w:r w:rsidR="006F6F02" w:rsidRPr="005D2228">
        <w:t>impacts on emissions and climate change from the Narrabri gas project</w:t>
      </w:r>
      <w:r w:rsidR="006F6F02">
        <w:t>. As the respondents pointed out in submissions, all parties to the s 38(1) application were agreed on a construction about s 39(1)(e) which is consistent with the construction favoured by a majority of this Court, and the Court can therefore assume the parties’ cases at the first hearing were prepared in accordance with that construction.</w:t>
      </w:r>
    </w:p>
    <w:p w14:paraId="00CA75C3" w14:textId="12C00846" w:rsidR="004E489A" w:rsidRDefault="00E63003" w:rsidP="009840A9">
      <w:pPr>
        <w:pStyle w:val="ParaNumbering"/>
      </w:pPr>
      <w:r>
        <w:t>In the present circumstances, to make an order for an unconfined remitter would be in our opinion to pay insufficient heed to the forensic decisions already made, by well represented parties. Instead, the present form of order</w:t>
      </w:r>
      <w:r w:rsidR="003645DB">
        <w:t xml:space="preserve"> </w:t>
      </w:r>
      <w:r w:rsidR="006F6F02">
        <w:t xml:space="preserve">balances the important general principles attaching to the Tribunal’s performance of its function against the realities of the size and complexity </w:t>
      </w:r>
      <w:r w:rsidR="0065635B">
        <w:t>of</w:t>
      </w:r>
      <w:r w:rsidR="006F6F02">
        <w:t xml:space="preserve"> the first hearing before the Tribunal. The present order </w:t>
      </w:r>
      <w:r w:rsidR="005D2228">
        <w:t xml:space="preserve">makes it plain to the Tribunal that some </w:t>
      </w:r>
      <w:r w:rsidR="0065635B">
        <w:t>appropriate justification should be shown</w:t>
      </w:r>
      <w:r w:rsidR="005D2228">
        <w:t xml:space="preserve"> </w:t>
      </w:r>
      <w:r w:rsidR="0065635B">
        <w:t xml:space="preserve">before it permits </w:t>
      </w:r>
      <w:r w:rsidR="005D2228">
        <w:t>any party to add to the already voluminous existing material</w:t>
      </w:r>
      <w:r w:rsidR="003645DB">
        <w:t>, not only for reasons related to time, resources and cost, but also reasons related to fairness</w:t>
      </w:r>
      <w:r w:rsidR="005D2228">
        <w:t xml:space="preserve">. </w:t>
      </w:r>
    </w:p>
    <w:p w14:paraId="43638C25" w14:textId="77777777" w:rsidR="009840A9" w:rsidRDefault="009840A9" w:rsidP="00815065">
      <w:pPr>
        <w:pStyle w:val="BodyText"/>
      </w:pPr>
      <w:bookmarkStart w:id="19" w:name="Certification"/>
    </w:p>
    <w:tbl>
      <w:tblPr>
        <w:tblW w:w="0" w:type="auto"/>
        <w:tblLook w:val="04A0" w:firstRow="1" w:lastRow="0" w:firstColumn="1" w:lastColumn="0" w:noHBand="0" w:noVBand="1"/>
      </w:tblPr>
      <w:tblGrid>
        <w:gridCol w:w="3794"/>
      </w:tblGrid>
      <w:tr w:rsidR="009840A9" w:rsidRPr="009840A9" w14:paraId="08DDB570" w14:textId="77777777">
        <w:tc>
          <w:tcPr>
            <w:tcW w:w="3794" w:type="dxa"/>
            <w:shd w:val="clear" w:color="auto" w:fill="auto"/>
          </w:tcPr>
          <w:p w14:paraId="2D6B4FB6" w14:textId="0584E542" w:rsidR="009840A9" w:rsidRPr="009840A9" w:rsidRDefault="009840A9" w:rsidP="009840A9">
            <w:pPr>
              <w:pStyle w:val="Normal1linespace"/>
            </w:pPr>
            <w:r w:rsidRPr="009840A9">
              <w:t xml:space="preserve">I certify that the preceding </w:t>
            </w:r>
            <w:bookmarkStart w:id="20" w:name="NumberWord"/>
            <w:r>
              <w:t>twenty-t</w:t>
            </w:r>
            <w:bookmarkEnd w:id="20"/>
            <w:r w:rsidR="00AD52A5">
              <w:t>wo</w:t>
            </w:r>
            <w:r w:rsidRPr="009840A9">
              <w:t xml:space="preserve"> (</w:t>
            </w:r>
            <w:bookmarkStart w:id="21" w:name="NumberNumeral"/>
            <w:r>
              <w:t>2</w:t>
            </w:r>
            <w:bookmarkEnd w:id="21"/>
            <w:r>
              <w:t>2</w:t>
            </w:r>
            <w:r w:rsidRPr="009840A9">
              <w:t xml:space="preserve">) numbered </w:t>
            </w:r>
            <w:bookmarkStart w:id="22" w:name="CertPara"/>
            <w:r>
              <w:t>paragraphs are</w:t>
            </w:r>
            <w:bookmarkEnd w:id="22"/>
            <w:r w:rsidRPr="009840A9">
              <w:t xml:space="preserve"> a true copy of the Reasons for Judgment of </w:t>
            </w:r>
            <w:bookmarkStart w:id="23" w:name="bkHonourable"/>
            <w:r w:rsidRPr="009840A9">
              <w:t>the Honourable</w:t>
            </w:r>
            <w:r>
              <w:t xml:space="preserve"> Chief</w:t>
            </w:r>
            <w:r w:rsidRPr="009840A9">
              <w:t xml:space="preserve"> </w:t>
            </w:r>
            <w:bookmarkStart w:id="24" w:name="Justice"/>
            <w:bookmarkEnd w:id="23"/>
            <w:r>
              <w:t>Justice Mortimer and the Honourable Justice O'Bryan</w:t>
            </w:r>
            <w:bookmarkEnd w:id="24"/>
            <w:r w:rsidRPr="009840A9">
              <w:t>.</w:t>
            </w:r>
          </w:p>
        </w:tc>
      </w:tr>
    </w:tbl>
    <w:p w14:paraId="3C8645A1" w14:textId="77777777" w:rsidR="009840A9" w:rsidRDefault="009840A9" w:rsidP="00815065">
      <w:pPr>
        <w:pStyle w:val="BodyText"/>
      </w:pPr>
    </w:p>
    <w:p w14:paraId="3AE2A455" w14:textId="1553A6E2" w:rsidR="009840A9" w:rsidRDefault="009840A9" w:rsidP="00815065">
      <w:pPr>
        <w:pStyle w:val="BodyText"/>
      </w:pPr>
      <w:r>
        <w:t>Associate:</w:t>
      </w:r>
      <w:r w:rsidR="006E1691">
        <w:t xml:space="preserve"> </w:t>
      </w:r>
    </w:p>
    <w:p w14:paraId="23C734AF" w14:textId="77777777" w:rsidR="009840A9" w:rsidRDefault="009840A9" w:rsidP="00815065">
      <w:pPr>
        <w:pStyle w:val="BodyText"/>
      </w:pPr>
    </w:p>
    <w:p w14:paraId="2C3CF551" w14:textId="6F07AC60" w:rsidR="009840A9" w:rsidRDefault="009840A9" w:rsidP="00815065">
      <w:pPr>
        <w:pStyle w:val="BodyText"/>
        <w:tabs>
          <w:tab w:val="left" w:pos="1134"/>
        </w:tabs>
      </w:pPr>
      <w:r>
        <w:t>Dated:</w:t>
      </w:r>
      <w:r>
        <w:tab/>
      </w:r>
      <w:bookmarkStart w:id="25" w:name="CertifyDated"/>
      <w:r>
        <w:t>12 April 2024</w:t>
      </w:r>
      <w:bookmarkEnd w:id="25"/>
    </w:p>
    <w:p w14:paraId="399BF2CD" w14:textId="77777777" w:rsidR="009840A9" w:rsidRDefault="009840A9" w:rsidP="00815065">
      <w:pPr>
        <w:pStyle w:val="BodyText"/>
      </w:pPr>
    </w:p>
    <w:bookmarkEnd w:id="19"/>
    <w:p w14:paraId="1C7E7CE2" w14:textId="52418CCC" w:rsidR="009840A9" w:rsidRDefault="009840A9">
      <w:pPr>
        <w:spacing w:line="240" w:lineRule="auto"/>
        <w:jc w:val="left"/>
      </w:pPr>
      <w:r>
        <w:br w:type="page"/>
      </w:r>
    </w:p>
    <w:p w14:paraId="4988084A" w14:textId="2574F1C7" w:rsidR="00485959" w:rsidRPr="00485959" w:rsidRDefault="00485959" w:rsidP="00485959">
      <w:pPr>
        <w:pStyle w:val="NormalHeadings"/>
        <w:spacing w:line="480" w:lineRule="auto"/>
        <w:jc w:val="center"/>
        <w:rPr>
          <w:sz w:val="28"/>
          <w:szCs w:val="28"/>
        </w:rPr>
      </w:pPr>
      <w:r w:rsidRPr="00045BB7">
        <w:rPr>
          <w:sz w:val="28"/>
          <w:szCs w:val="28"/>
        </w:rPr>
        <w:lastRenderedPageBreak/>
        <w:t>REASONS FOR JUDGMENT</w:t>
      </w:r>
    </w:p>
    <w:p w14:paraId="154A4F83" w14:textId="3C41F606" w:rsidR="0009510C" w:rsidRDefault="0009510C" w:rsidP="0009510C">
      <w:pPr>
        <w:pStyle w:val="NormalHeadings"/>
        <w:spacing w:line="360" w:lineRule="auto"/>
        <w:jc w:val="left"/>
        <w:rPr>
          <w:sz w:val="26"/>
          <w:szCs w:val="26"/>
        </w:rPr>
      </w:pPr>
      <w:r>
        <w:rPr>
          <w:sz w:val="26"/>
          <w:szCs w:val="26"/>
        </w:rPr>
        <w:t>RANGIAH J:</w:t>
      </w:r>
    </w:p>
    <w:p w14:paraId="5ED90BBC" w14:textId="77777777" w:rsidR="0009510C" w:rsidRDefault="0009510C" w:rsidP="0009510C">
      <w:pPr>
        <w:pStyle w:val="ParaNumbering"/>
      </w:pPr>
      <w:r w:rsidRPr="00523F7D">
        <w:t xml:space="preserve">I have </w:t>
      </w:r>
      <w:r>
        <w:t xml:space="preserve">concluded that the appeal </w:t>
      </w:r>
      <w:r w:rsidRPr="00523F7D">
        <w:t xml:space="preserve">should be dismissed, </w:t>
      </w:r>
      <w:r>
        <w:t>dissenting from the majority’s view that the appeal should be allowed. The</w:t>
      </w:r>
      <w:r w:rsidRPr="00523F7D">
        <w:t xml:space="preserve"> orders </w:t>
      </w:r>
      <w:r>
        <w:t xml:space="preserve">that flow from </w:t>
      </w:r>
      <w:r w:rsidRPr="00523F7D">
        <w:t xml:space="preserve">the appeal being allowed is a matter for </w:t>
      </w:r>
      <w:r>
        <w:t xml:space="preserve">only </w:t>
      </w:r>
      <w:r w:rsidRPr="00523F7D">
        <w:t>the majority.</w:t>
      </w:r>
    </w:p>
    <w:p w14:paraId="47A41F83" w14:textId="77777777" w:rsidR="0009510C" w:rsidRDefault="0009510C" w:rsidP="0009510C">
      <w:pPr>
        <w:pStyle w:val="BodyText"/>
      </w:pPr>
    </w:p>
    <w:tbl>
      <w:tblPr>
        <w:tblW w:w="0" w:type="auto"/>
        <w:tblLook w:val="04A0" w:firstRow="1" w:lastRow="0" w:firstColumn="1" w:lastColumn="0" w:noHBand="0" w:noVBand="1"/>
      </w:tblPr>
      <w:tblGrid>
        <w:gridCol w:w="3794"/>
      </w:tblGrid>
      <w:tr w:rsidR="0009510C" w:rsidRPr="00523F7D" w14:paraId="525605DE" w14:textId="77777777" w:rsidTr="00C34257">
        <w:tc>
          <w:tcPr>
            <w:tcW w:w="3794" w:type="dxa"/>
            <w:shd w:val="clear" w:color="auto" w:fill="auto"/>
          </w:tcPr>
          <w:p w14:paraId="7E59B3DC" w14:textId="77777777" w:rsidR="0009510C" w:rsidRPr="00523F7D" w:rsidRDefault="0009510C" w:rsidP="00C34257">
            <w:pPr>
              <w:pStyle w:val="Normal1linespace"/>
            </w:pPr>
            <w:r w:rsidRPr="00523F7D">
              <w:t xml:space="preserve">I certify that the preceding </w:t>
            </w:r>
            <w:r>
              <w:t>one</w:t>
            </w:r>
            <w:r w:rsidRPr="00523F7D">
              <w:t xml:space="preserve"> (</w:t>
            </w:r>
            <w:r>
              <w:t>1</w:t>
            </w:r>
            <w:r w:rsidRPr="00523F7D">
              <w:t xml:space="preserve">) numbered </w:t>
            </w:r>
            <w:r>
              <w:t>paragraph is</w:t>
            </w:r>
            <w:r w:rsidRPr="00523F7D">
              <w:t xml:space="preserve"> a true copy of the Reasons for Judgment of the Honourable </w:t>
            </w:r>
            <w:r>
              <w:t xml:space="preserve">Justice </w:t>
            </w:r>
            <w:proofErr w:type="spellStart"/>
            <w:r>
              <w:t>Rangiah</w:t>
            </w:r>
            <w:proofErr w:type="spellEnd"/>
            <w:r w:rsidRPr="00523F7D">
              <w:t>.</w:t>
            </w:r>
          </w:p>
        </w:tc>
      </w:tr>
    </w:tbl>
    <w:p w14:paraId="492BF4BB" w14:textId="77777777" w:rsidR="0009510C" w:rsidRDefault="0009510C" w:rsidP="0009510C">
      <w:pPr>
        <w:pStyle w:val="BodyText"/>
      </w:pPr>
    </w:p>
    <w:p w14:paraId="36589708" w14:textId="4535E0ED" w:rsidR="0009510C" w:rsidRDefault="0009510C" w:rsidP="0009510C">
      <w:pPr>
        <w:pStyle w:val="BodyText"/>
      </w:pPr>
      <w:r>
        <w:t>Associate:</w:t>
      </w:r>
      <w:r>
        <w:tab/>
      </w:r>
    </w:p>
    <w:p w14:paraId="7FA6D35C" w14:textId="77777777" w:rsidR="0009510C" w:rsidRDefault="0009510C" w:rsidP="0009510C">
      <w:pPr>
        <w:pStyle w:val="BodyText"/>
      </w:pPr>
    </w:p>
    <w:p w14:paraId="3E077F3C" w14:textId="45899B02" w:rsidR="0009510C" w:rsidRDefault="0009510C" w:rsidP="0009510C">
      <w:pPr>
        <w:pStyle w:val="BodyText"/>
        <w:tabs>
          <w:tab w:val="left" w:pos="1134"/>
        </w:tabs>
      </w:pPr>
      <w:r>
        <w:t>Dated:</w:t>
      </w:r>
      <w:r>
        <w:tab/>
        <w:t>12 April 2024</w:t>
      </w:r>
    </w:p>
    <w:p w14:paraId="37C34AB9" w14:textId="77777777" w:rsidR="004E489A" w:rsidRDefault="004E489A" w:rsidP="009840A9">
      <w:pPr>
        <w:pStyle w:val="BodyText"/>
      </w:pPr>
    </w:p>
    <w:sectPr w:rsidR="004E489A" w:rsidSect="003523E2">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3405" w14:textId="77777777" w:rsidR="003523E2" w:rsidRDefault="003523E2">
      <w:pPr>
        <w:spacing w:line="20" w:lineRule="exact"/>
      </w:pPr>
    </w:p>
    <w:p w14:paraId="423F8AC5" w14:textId="77777777" w:rsidR="003523E2" w:rsidRDefault="003523E2"/>
    <w:p w14:paraId="1ABB7139" w14:textId="77777777" w:rsidR="003523E2" w:rsidRDefault="003523E2"/>
  </w:endnote>
  <w:endnote w:type="continuationSeparator" w:id="0">
    <w:p w14:paraId="4AC59726" w14:textId="77777777" w:rsidR="003523E2" w:rsidRDefault="003523E2">
      <w:r>
        <w:t xml:space="preserve"> </w:t>
      </w:r>
    </w:p>
    <w:p w14:paraId="194456D6" w14:textId="77777777" w:rsidR="003523E2" w:rsidRDefault="003523E2"/>
    <w:p w14:paraId="6DC414E6" w14:textId="77777777" w:rsidR="003523E2" w:rsidRDefault="003523E2"/>
  </w:endnote>
  <w:endnote w:type="continuationNotice" w:id="1">
    <w:p w14:paraId="62CD0A30" w14:textId="77777777" w:rsidR="003523E2" w:rsidRDefault="003523E2">
      <w:r>
        <w:t xml:space="preserve"> </w:t>
      </w:r>
    </w:p>
    <w:p w14:paraId="6F0CBB49" w14:textId="77777777" w:rsidR="003523E2" w:rsidRDefault="003523E2"/>
    <w:p w14:paraId="5679D648" w14:textId="77777777" w:rsidR="003523E2" w:rsidRDefault="0035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7D9" w14:textId="77777777" w:rsidR="00AD52A5" w:rsidRDefault="00AD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DC3A" w14:textId="7F0C9208"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0" behindDoc="0" locked="0" layoutInCell="1" allowOverlap="1" wp14:anchorId="632ACCDC" wp14:editId="7C01ED0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86F8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41793">
          <w:rPr>
            <w:bCs/>
            <w:sz w:val="18"/>
            <w:szCs w:val="18"/>
          </w:rPr>
          <w:t xml:space="preserve"> </w:t>
        </w:r>
        <w:proofErr w:type="spellStart"/>
        <w:r w:rsidR="00041793">
          <w:rPr>
            <w:bCs/>
            <w:sz w:val="18"/>
            <w:szCs w:val="18"/>
          </w:rPr>
          <w:t>Gomeroi</w:t>
        </w:r>
        <w:proofErr w:type="spellEnd"/>
        <w:r w:rsidR="00041793">
          <w:rPr>
            <w:bCs/>
            <w:sz w:val="18"/>
            <w:szCs w:val="18"/>
          </w:rPr>
          <w:t xml:space="preserve"> People v Santos NSW Pty Ltd and Santos NSW (Narrabri Gas) Pty Ltd (No 2) [2024] FCAFC 49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6330" w14:textId="595A48B2" w:rsidR="00395B24" w:rsidRPr="00AD52A5" w:rsidRDefault="00395B24" w:rsidP="00AD52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ED2" w14:textId="01DBA844"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2" behindDoc="0" locked="0" layoutInCell="1" allowOverlap="1" wp14:anchorId="70EE64CD" wp14:editId="049E0F1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A443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831216538"/>
        <w:placeholder>
          <w:docPart w:val="4DCCAF0AF96B4C61B666234A215F887C"/>
        </w:placeholder>
        <w:dataBinding w:prefixMappings="xmlns:ns0='http://schemas.globalmacros.com/FCA'" w:xpath="/ns0:root[1]/ns0:Name[1]" w:storeItemID="{687E7CCB-4AA5-44E7-B148-17BA2B6F57C0}"/>
        <w:text w:multiLine="1"/>
      </w:sdtPr>
      <w:sdtEndPr/>
      <w:sdtContent>
        <w:r w:rsidR="00041793">
          <w:rPr>
            <w:bCs/>
            <w:sz w:val="18"/>
            <w:szCs w:val="18"/>
          </w:rPr>
          <w:t xml:space="preserve"> </w:t>
        </w:r>
        <w:proofErr w:type="spellStart"/>
        <w:r w:rsidR="00041793">
          <w:rPr>
            <w:bCs/>
            <w:sz w:val="18"/>
            <w:szCs w:val="18"/>
          </w:rPr>
          <w:t>Gomeroi</w:t>
        </w:r>
        <w:proofErr w:type="spellEnd"/>
        <w:r w:rsidR="00041793">
          <w:rPr>
            <w:bCs/>
            <w:sz w:val="18"/>
            <w:szCs w:val="18"/>
          </w:rPr>
          <w:t xml:space="preserve"> People v Santos NSW Pty Ltd and Santos NSW (Narrabri Gas) Pty Ltd (No 2) [2024] FCAFC 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956" w14:textId="5278FE5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1" behindDoc="0" locked="0" layoutInCell="1" allowOverlap="1" wp14:anchorId="3EB51675" wp14:editId="442B561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ECBC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510263260"/>
        <w:placeholder>
          <w:docPart w:val="0A4839BFA0DD4C5BA519EF8782DECA13"/>
        </w:placeholder>
        <w:dataBinding w:prefixMappings="xmlns:ns0='http://schemas.globalmacros.com/FCA'" w:xpath="/ns0:root[1]/ns0:Name[1]" w:storeItemID="{687E7CCB-4AA5-44E7-B148-17BA2B6F57C0}"/>
        <w:text w:multiLine="1"/>
      </w:sdtPr>
      <w:sdtEndPr/>
      <w:sdtContent>
        <w:r w:rsidR="00041793">
          <w:rPr>
            <w:bCs/>
            <w:sz w:val="18"/>
            <w:szCs w:val="18"/>
          </w:rPr>
          <w:t xml:space="preserve"> </w:t>
        </w:r>
        <w:proofErr w:type="spellStart"/>
        <w:r w:rsidR="00041793">
          <w:rPr>
            <w:bCs/>
            <w:sz w:val="18"/>
            <w:szCs w:val="18"/>
          </w:rPr>
          <w:t>Gomeroi</w:t>
        </w:r>
        <w:proofErr w:type="spellEnd"/>
        <w:r w:rsidR="00041793">
          <w:rPr>
            <w:bCs/>
            <w:sz w:val="18"/>
            <w:szCs w:val="18"/>
          </w:rPr>
          <w:t xml:space="preserve"> People v Santos NSW Pty Ltd and Santos NSW (Narrabri Gas) Pty Ltd (No 2) [2024] FCAFC 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B0CE" w14:textId="6160D039"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4" behindDoc="0" locked="0" layoutInCell="1" allowOverlap="1" wp14:anchorId="4D92135C" wp14:editId="77FD7EF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1CFE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095746746"/>
        <w:placeholder>
          <w:docPart w:val="CE2209A937594DF480D2E9FC0030E206"/>
        </w:placeholder>
        <w:dataBinding w:prefixMappings="xmlns:ns0='http://schemas.globalmacros.com/FCA'" w:xpath="/ns0:root[1]/ns0:Name[1]" w:storeItemID="{687E7CCB-4AA5-44E7-B148-17BA2B6F57C0}"/>
        <w:text w:multiLine="1"/>
      </w:sdtPr>
      <w:sdtEndPr/>
      <w:sdtContent>
        <w:r w:rsidR="00041793">
          <w:rPr>
            <w:bCs/>
            <w:sz w:val="18"/>
            <w:szCs w:val="18"/>
          </w:rPr>
          <w:t xml:space="preserve"> </w:t>
        </w:r>
        <w:proofErr w:type="spellStart"/>
        <w:r w:rsidR="00041793">
          <w:rPr>
            <w:bCs/>
            <w:sz w:val="18"/>
            <w:szCs w:val="18"/>
          </w:rPr>
          <w:t>Gomeroi</w:t>
        </w:r>
        <w:proofErr w:type="spellEnd"/>
        <w:r w:rsidR="00041793">
          <w:rPr>
            <w:bCs/>
            <w:sz w:val="18"/>
            <w:szCs w:val="18"/>
          </w:rPr>
          <w:t xml:space="preserve"> People v Santos NSW Pty Ltd and Santos NSW (Narrabri Gas) Pty Ltd (No 2) [2024] FCAFC 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A62D" w14:textId="3FC51457"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3" behindDoc="0" locked="0" layoutInCell="1" allowOverlap="1" wp14:anchorId="52FBF18A" wp14:editId="266E1D11">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5A83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532949365"/>
        <w:placeholder>
          <w:docPart w:val="FA63758C38CE49C3BFA5EC444C7AF448"/>
        </w:placeholder>
        <w:dataBinding w:prefixMappings="xmlns:ns0='http://schemas.globalmacros.com/FCA'" w:xpath="/ns0:root[1]/ns0:Name[1]" w:storeItemID="{687E7CCB-4AA5-44E7-B148-17BA2B6F57C0}"/>
        <w:text w:multiLine="1"/>
      </w:sdtPr>
      <w:sdtEndPr/>
      <w:sdtContent>
        <w:r w:rsidR="00041793">
          <w:rPr>
            <w:bCs/>
            <w:sz w:val="18"/>
            <w:szCs w:val="18"/>
          </w:rPr>
          <w:t xml:space="preserve"> </w:t>
        </w:r>
        <w:proofErr w:type="spellStart"/>
        <w:r w:rsidR="00041793">
          <w:rPr>
            <w:bCs/>
            <w:sz w:val="18"/>
            <w:szCs w:val="18"/>
          </w:rPr>
          <w:t>Gomeroi</w:t>
        </w:r>
        <w:proofErr w:type="spellEnd"/>
        <w:r w:rsidR="00041793">
          <w:rPr>
            <w:bCs/>
            <w:sz w:val="18"/>
            <w:szCs w:val="18"/>
          </w:rPr>
          <w:t xml:space="preserve"> People v Santos NSW Pty Ltd and Santos NSW (Narrabri Gas) Pty Ltd (No 2) [2024] FCAFC 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F4DC" w14:textId="77777777" w:rsidR="003523E2" w:rsidRDefault="003523E2"/>
  </w:footnote>
  <w:footnote w:type="continuationSeparator" w:id="0">
    <w:p w14:paraId="32649A0E" w14:textId="77777777" w:rsidR="003523E2" w:rsidRDefault="003523E2">
      <w:r>
        <w:continuationSeparator/>
      </w:r>
    </w:p>
    <w:p w14:paraId="5876D138" w14:textId="77777777" w:rsidR="003523E2" w:rsidRDefault="003523E2"/>
    <w:p w14:paraId="61452BC8" w14:textId="77777777" w:rsidR="003523E2" w:rsidRDefault="003523E2"/>
  </w:footnote>
  <w:footnote w:type="continuationNotice" w:id="1">
    <w:p w14:paraId="5B4976E6" w14:textId="77777777" w:rsidR="003523E2" w:rsidRDefault="003523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03F" w14:textId="77777777" w:rsidR="00AD52A5" w:rsidRDefault="00AD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57D8" w14:textId="77777777" w:rsidR="00AD52A5" w:rsidRDefault="00AD5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04AD" w14:textId="77777777" w:rsidR="00AD52A5" w:rsidRDefault="00AD5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7B29"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C96E"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1B92"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9A3C"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D086"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7AEEA2A6"/>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9D408D4"/>
    <w:multiLevelType w:val="hybridMultilevel"/>
    <w:tmpl w:val="030A08A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CE775E4"/>
    <w:multiLevelType w:val="hybridMultilevel"/>
    <w:tmpl w:val="4844B9D4"/>
    <w:lvl w:ilvl="0" w:tplc="552011F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48C7A04"/>
    <w:multiLevelType w:val="hybridMultilevel"/>
    <w:tmpl w:val="8C2CF618"/>
    <w:lvl w:ilvl="0" w:tplc="88A6E2D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56755422">
    <w:abstractNumId w:val="16"/>
  </w:num>
  <w:num w:numId="2" w16cid:durableId="1842044157">
    <w:abstractNumId w:val="9"/>
  </w:num>
  <w:num w:numId="3" w16cid:durableId="1529025358">
    <w:abstractNumId w:val="7"/>
  </w:num>
  <w:num w:numId="4" w16cid:durableId="1743091842">
    <w:abstractNumId w:val="6"/>
  </w:num>
  <w:num w:numId="5" w16cid:durableId="160195284">
    <w:abstractNumId w:val="5"/>
  </w:num>
  <w:num w:numId="6" w16cid:durableId="1934626745">
    <w:abstractNumId w:val="4"/>
  </w:num>
  <w:num w:numId="7" w16cid:durableId="1550609104">
    <w:abstractNumId w:val="8"/>
  </w:num>
  <w:num w:numId="8" w16cid:durableId="861472852">
    <w:abstractNumId w:val="3"/>
  </w:num>
  <w:num w:numId="9" w16cid:durableId="1253976357">
    <w:abstractNumId w:val="2"/>
  </w:num>
  <w:num w:numId="10" w16cid:durableId="1111512213">
    <w:abstractNumId w:val="1"/>
  </w:num>
  <w:num w:numId="11" w16cid:durableId="1381174580">
    <w:abstractNumId w:val="0"/>
  </w:num>
  <w:num w:numId="12" w16cid:durableId="988242917">
    <w:abstractNumId w:val="25"/>
  </w:num>
  <w:num w:numId="13" w16cid:durableId="1976520830">
    <w:abstractNumId w:val="23"/>
  </w:num>
  <w:num w:numId="14" w16cid:durableId="1542480472">
    <w:abstractNumId w:val="24"/>
  </w:num>
  <w:num w:numId="15" w16cid:durableId="539245039">
    <w:abstractNumId w:val="27"/>
  </w:num>
  <w:num w:numId="16" w16cid:durableId="1992833139">
    <w:abstractNumId w:val="14"/>
  </w:num>
  <w:num w:numId="17" w16cid:durableId="1789200">
    <w:abstractNumId w:val="26"/>
  </w:num>
  <w:num w:numId="18" w16cid:durableId="320235002">
    <w:abstractNumId w:val="11"/>
  </w:num>
  <w:num w:numId="19" w16cid:durableId="984967622">
    <w:abstractNumId w:val="20"/>
  </w:num>
  <w:num w:numId="20" w16cid:durableId="1167549091">
    <w:abstractNumId w:val="17"/>
  </w:num>
  <w:num w:numId="21" w16cid:durableId="1921602391">
    <w:abstractNumId w:val="18"/>
  </w:num>
  <w:num w:numId="22" w16cid:durableId="1888370772">
    <w:abstractNumId w:val="22"/>
  </w:num>
  <w:num w:numId="23" w16cid:durableId="2077700582">
    <w:abstractNumId w:val="10"/>
  </w:num>
  <w:num w:numId="24" w16cid:durableId="1697926568">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16cid:durableId="461313399">
    <w:abstractNumId w:val="12"/>
  </w:num>
  <w:num w:numId="26" w16cid:durableId="159467474">
    <w:abstractNumId w:val="19"/>
  </w:num>
  <w:num w:numId="27" w16cid:durableId="1684357612">
    <w:abstractNumId w:val="19"/>
  </w:num>
  <w:num w:numId="28" w16cid:durableId="1024751867">
    <w:abstractNumId w:val="19"/>
  </w:num>
  <w:num w:numId="29" w16cid:durableId="51415247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25439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4336402">
    <w:abstractNumId w:val="13"/>
  </w:num>
  <w:num w:numId="32" w16cid:durableId="10322866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622759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16cid:durableId="184636374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16cid:durableId="1637443158">
    <w:abstractNumId w:val="21"/>
  </w:num>
  <w:num w:numId="36" w16cid:durableId="1366445065">
    <w:abstractNumId w:val="15"/>
  </w:num>
  <w:num w:numId="37" w16cid:durableId="1210724977">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AndAnother" w:val="True"/>
    <w:docVar w:name="APPAndOthers" w:val="False"/>
    <w:docVar w:name="AppealText" w:val="Santos NSW Pty Ltd v Gomeroi People [2022] NNTTA 74"/>
    <w:docVar w:name="Applicant" w:val="Gomeroi People"/>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13 of 2023"/>
    <w:docVar w:name="Initiators" w:val="(and another named in the Schedule)"/>
    <w:docVar w:name="Judgdate" w:val="12 April 2024"/>
    <w:docVar w:name="Judge" w:val="Mortimer and O'Bryan"/>
    <w:docVar w:name="JudgeType" w:val="Justice"/>
    <w:docVar w:name="lstEntryList" w:val="-1"/>
    <w:docVar w:name="myEntryList" w:val="Counsel for the Applicant=Mr A McAvoy SC with Ms N Case |Solicitor for the Applicant=NTSCORP Limited|Counsel for the First Respondent=Ms R Webb KC with Mr M McKechnie|Solicitor for the First Respondent=Ashurst Australia|Counsel for the Second Respondent=Mr H El-Hage SC|Solicitor for the Second Respondent=Crown Solicitor’s Office"/>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tive Title"/>
    <w:docVar w:name="RESAndAnother" w:val="True"/>
    <w:docVar w:name="RESAndOthers" w:val="False"/>
    <w:docVar w:name="Respondent" w:val="SANTOS NSW PTY LTD AND SANTOS NSW (NARRABRI GAS) PTY LTD (FORMERLY KNOWN AS ENERGYAUSTRALIA NARRABRI GAS PTY LTD)|State of New South Wales"/>
    <w:docVar w:name="ResState" w:val="Queensland"/>
    <w:docVar w:name="SubArea" w:val="(none)"/>
  </w:docVars>
  <w:rsids>
    <w:rsidRoot w:val="00743D3A"/>
    <w:rsid w:val="0000015D"/>
    <w:rsid w:val="00000747"/>
    <w:rsid w:val="0000504D"/>
    <w:rsid w:val="0000515F"/>
    <w:rsid w:val="000115C5"/>
    <w:rsid w:val="0001469E"/>
    <w:rsid w:val="00015993"/>
    <w:rsid w:val="00021CCB"/>
    <w:rsid w:val="00022289"/>
    <w:rsid w:val="000237E9"/>
    <w:rsid w:val="00027398"/>
    <w:rsid w:val="00027D7C"/>
    <w:rsid w:val="0003201A"/>
    <w:rsid w:val="0003207A"/>
    <w:rsid w:val="000326AB"/>
    <w:rsid w:val="00032F9F"/>
    <w:rsid w:val="00037337"/>
    <w:rsid w:val="00037B11"/>
    <w:rsid w:val="00041793"/>
    <w:rsid w:val="00041C07"/>
    <w:rsid w:val="00045BB7"/>
    <w:rsid w:val="00047CC9"/>
    <w:rsid w:val="00052913"/>
    <w:rsid w:val="00052DFB"/>
    <w:rsid w:val="00054FBF"/>
    <w:rsid w:val="00055719"/>
    <w:rsid w:val="0005641B"/>
    <w:rsid w:val="00056490"/>
    <w:rsid w:val="00060467"/>
    <w:rsid w:val="0006196A"/>
    <w:rsid w:val="000650F0"/>
    <w:rsid w:val="00067132"/>
    <w:rsid w:val="0007048F"/>
    <w:rsid w:val="00071FB3"/>
    <w:rsid w:val="0007429C"/>
    <w:rsid w:val="00074C0C"/>
    <w:rsid w:val="00075D68"/>
    <w:rsid w:val="00077768"/>
    <w:rsid w:val="00081497"/>
    <w:rsid w:val="00082F99"/>
    <w:rsid w:val="000831EC"/>
    <w:rsid w:val="00084126"/>
    <w:rsid w:val="000841B8"/>
    <w:rsid w:val="00085255"/>
    <w:rsid w:val="00092352"/>
    <w:rsid w:val="0009510C"/>
    <w:rsid w:val="00095B1D"/>
    <w:rsid w:val="00096482"/>
    <w:rsid w:val="000A2E76"/>
    <w:rsid w:val="000A4807"/>
    <w:rsid w:val="000A4BE4"/>
    <w:rsid w:val="000B4E8C"/>
    <w:rsid w:val="000B6DBD"/>
    <w:rsid w:val="000C023E"/>
    <w:rsid w:val="000C405D"/>
    <w:rsid w:val="000C5195"/>
    <w:rsid w:val="000C62EF"/>
    <w:rsid w:val="000C6ABC"/>
    <w:rsid w:val="000D0FE4"/>
    <w:rsid w:val="000D2137"/>
    <w:rsid w:val="000D3FD2"/>
    <w:rsid w:val="000D4B2E"/>
    <w:rsid w:val="000D7176"/>
    <w:rsid w:val="000D727C"/>
    <w:rsid w:val="000E3FC8"/>
    <w:rsid w:val="000E7BAE"/>
    <w:rsid w:val="000F133D"/>
    <w:rsid w:val="000F22D1"/>
    <w:rsid w:val="000F495B"/>
    <w:rsid w:val="00105031"/>
    <w:rsid w:val="0010536B"/>
    <w:rsid w:val="00107F2F"/>
    <w:rsid w:val="0011145C"/>
    <w:rsid w:val="001128BD"/>
    <w:rsid w:val="0011419D"/>
    <w:rsid w:val="0011435E"/>
    <w:rsid w:val="00114B02"/>
    <w:rsid w:val="00115078"/>
    <w:rsid w:val="0011560B"/>
    <w:rsid w:val="0012008C"/>
    <w:rsid w:val="001226C0"/>
    <w:rsid w:val="0012535F"/>
    <w:rsid w:val="00126EC8"/>
    <w:rsid w:val="0012731C"/>
    <w:rsid w:val="00132054"/>
    <w:rsid w:val="00134964"/>
    <w:rsid w:val="001351B9"/>
    <w:rsid w:val="00142AF0"/>
    <w:rsid w:val="001530C9"/>
    <w:rsid w:val="00154EAA"/>
    <w:rsid w:val="00155CD2"/>
    <w:rsid w:val="00162E91"/>
    <w:rsid w:val="0016390F"/>
    <w:rsid w:val="001676C1"/>
    <w:rsid w:val="001727A4"/>
    <w:rsid w:val="00172A5C"/>
    <w:rsid w:val="0017376C"/>
    <w:rsid w:val="001738AB"/>
    <w:rsid w:val="00173B97"/>
    <w:rsid w:val="001765E0"/>
    <w:rsid w:val="00177759"/>
    <w:rsid w:val="001805B3"/>
    <w:rsid w:val="00180BB3"/>
    <w:rsid w:val="0018597A"/>
    <w:rsid w:val="00185DD6"/>
    <w:rsid w:val="00185E6B"/>
    <w:rsid w:val="00187BBC"/>
    <w:rsid w:val="001908C9"/>
    <w:rsid w:val="001932F3"/>
    <w:rsid w:val="001A2818"/>
    <w:rsid w:val="001A2B40"/>
    <w:rsid w:val="001A3773"/>
    <w:rsid w:val="001A4309"/>
    <w:rsid w:val="001A46AE"/>
    <w:rsid w:val="001A6C52"/>
    <w:rsid w:val="001B0F55"/>
    <w:rsid w:val="001B1053"/>
    <w:rsid w:val="001B12B2"/>
    <w:rsid w:val="001B14AC"/>
    <w:rsid w:val="001B5158"/>
    <w:rsid w:val="001B5D9B"/>
    <w:rsid w:val="001B7940"/>
    <w:rsid w:val="001C171A"/>
    <w:rsid w:val="001C2FE0"/>
    <w:rsid w:val="001C37CA"/>
    <w:rsid w:val="001C385A"/>
    <w:rsid w:val="001C3AFD"/>
    <w:rsid w:val="001C4085"/>
    <w:rsid w:val="001C6114"/>
    <w:rsid w:val="001D0432"/>
    <w:rsid w:val="001D3E82"/>
    <w:rsid w:val="001D4303"/>
    <w:rsid w:val="001D6746"/>
    <w:rsid w:val="001E0146"/>
    <w:rsid w:val="001E0C61"/>
    <w:rsid w:val="001E22D6"/>
    <w:rsid w:val="001E2F39"/>
    <w:rsid w:val="001E3B49"/>
    <w:rsid w:val="001E48EB"/>
    <w:rsid w:val="001E4A05"/>
    <w:rsid w:val="001E4C76"/>
    <w:rsid w:val="001E4D5D"/>
    <w:rsid w:val="001E6A19"/>
    <w:rsid w:val="001E7388"/>
    <w:rsid w:val="001F13DD"/>
    <w:rsid w:val="001F2473"/>
    <w:rsid w:val="001F2DBC"/>
    <w:rsid w:val="001F6EF9"/>
    <w:rsid w:val="001F73E8"/>
    <w:rsid w:val="001F7C55"/>
    <w:rsid w:val="00202184"/>
    <w:rsid w:val="0020262C"/>
    <w:rsid w:val="00202723"/>
    <w:rsid w:val="00204777"/>
    <w:rsid w:val="00211A3E"/>
    <w:rsid w:val="00213269"/>
    <w:rsid w:val="00213BCC"/>
    <w:rsid w:val="00213F20"/>
    <w:rsid w:val="00214055"/>
    <w:rsid w:val="00214EED"/>
    <w:rsid w:val="00215BCA"/>
    <w:rsid w:val="002160F5"/>
    <w:rsid w:val="00217AC4"/>
    <w:rsid w:val="00221461"/>
    <w:rsid w:val="002226AA"/>
    <w:rsid w:val="00223529"/>
    <w:rsid w:val="00224537"/>
    <w:rsid w:val="00235956"/>
    <w:rsid w:val="00235BFF"/>
    <w:rsid w:val="00240017"/>
    <w:rsid w:val="0024360A"/>
    <w:rsid w:val="00243E5E"/>
    <w:rsid w:val="002467A6"/>
    <w:rsid w:val="00247C9A"/>
    <w:rsid w:val="0025160C"/>
    <w:rsid w:val="002535D0"/>
    <w:rsid w:val="002539B3"/>
    <w:rsid w:val="00256336"/>
    <w:rsid w:val="00257C3E"/>
    <w:rsid w:val="002602C2"/>
    <w:rsid w:val="00261805"/>
    <w:rsid w:val="00263AB4"/>
    <w:rsid w:val="002666C9"/>
    <w:rsid w:val="00270136"/>
    <w:rsid w:val="00270FD7"/>
    <w:rsid w:val="00272357"/>
    <w:rsid w:val="00274F5B"/>
    <w:rsid w:val="0027568A"/>
    <w:rsid w:val="00276E92"/>
    <w:rsid w:val="00280836"/>
    <w:rsid w:val="00280E7E"/>
    <w:rsid w:val="00282E1A"/>
    <w:rsid w:val="002840F1"/>
    <w:rsid w:val="00285922"/>
    <w:rsid w:val="0029113B"/>
    <w:rsid w:val="00292C30"/>
    <w:rsid w:val="00292FDA"/>
    <w:rsid w:val="002934C0"/>
    <w:rsid w:val="00293742"/>
    <w:rsid w:val="00293E1F"/>
    <w:rsid w:val="00294F9B"/>
    <w:rsid w:val="0029530E"/>
    <w:rsid w:val="00295933"/>
    <w:rsid w:val="0029668C"/>
    <w:rsid w:val="0029764C"/>
    <w:rsid w:val="002A1B50"/>
    <w:rsid w:val="002A6840"/>
    <w:rsid w:val="002A726B"/>
    <w:rsid w:val="002B0E91"/>
    <w:rsid w:val="002B132C"/>
    <w:rsid w:val="002B3F23"/>
    <w:rsid w:val="002B3F3F"/>
    <w:rsid w:val="002B4EB5"/>
    <w:rsid w:val="002B5AF5"/>
    <w:rsid w:val="002B6779"/>
    <w:rsid w:val="002B71C0"/>
    <w:rsid w:val="002B7A34"/>
    <w:rsid w:val="002C31AD"/>
    <w:rsid w:val="002C5150"/>
    <w:rsid w:val="002C7385"/>
    <w:rsid w:val="002D1183"/>
    <w:rsid w:val="002D2DBB"/>
    <w:rsid w:val="002D37D8"/>
    <w:rsid w:val="002D54A6"/>
    <w:rsid w:val="002E2769"/>
    <w:rsid w:val="002E35FA"/>
    <w:rsid w:val="002E3779"/>
    <w:rsid w:val="002E5BF9"/>
    <w:rsid w:val="002E6A7A"/>
    <w:rsid w:val="002F1E49"/>
    <w:rsid w:val="002F31EC"/>
    <w:rsid w:val="002F4E9C"/>
    <w:rsid w:val="002F5B60"/>
    <w:rsid w:val="002F6E15"/>
    <w:rsid w:val="00302F4E"/>
    <w:rsid w:val="003045A1"/>
    <w:rsid w:val="00311720"/>
    <w:rsid w:val="0031256C"/>
    <w:rsid w:val="003131F7"/>
    <w:rsid w:val="00314D6C"/>
    <w:rsid w:val="00316D2A"/>
    <w:rsid w:val="00322122"/>
    <w:rsid w:val="00322510"/>
    <w:rsid w:val="00322802"/>
    <w:rsid w:val="00322A7C"/>
    <w:rsid w:val="00322EEC"/>
    <w:rsid w:val="00323061"/>
    <w:rsid w:val="00324F31"/>
    <w:rsid w:val="003256CA"/>
    <w:rsid w:val="00333848"/>
    <w:rsid w:val="003351D4"/>
    <w:rsid w:val="0033543E"/>
    <w:rsid w:val="00337B4B"/>
    <w:rsid w:val="003402D3"/>
    <w:rsid w:val="0034068E"/>
    <w:rsid w:val="003426E3"/>
    <w:rsid w:val="00343ABC"/>
    <w:rsid w:val="00343E30"/>
    <w:rsid w:val="00344C48"/>
    <w:rsid w:val="00345BC6"/>
    <w:rsid w:val="003463FE"/>
    <w:rsid w:val="003465EB"/>
    <w:rsid w:val="003472FC"/>
    <w:rsid w:val="00347D1A"/>
    <w:rsid w:val="00347D41"/>
    <w:rsid w:val="00351C4B"/>
    <w:rsid w:val="003523E2"/>
    <w:rsid w:val="00352A0D"/>
    <w:rsid w:val="00355107"/>
    <w:rsid w:val="003554B3"/>
    <w:rsid w:val="00356632"/>
    <w:rsid w:val="00357C7E"/>
    <w:rsid w:val="00357CC1"/>
    <w:rsid w:val="00361FA5"/>
    <w:rsid w:val="00362680"/>
    <w:rsid w:val="003645DB"/>
    <w:rsid w:val="003653B6"/>
    <w:rsid w:val="00365A78"/>
    <w:rsid w:val="00365F0E"/>
    <w:rsid w:val="00370327"/>
    <w:rsid w:val="00374CC4"/>
    <w:rsid w:val="00374D40"/>
    <w:rsid w:val="003774B2"/>
    <w:rsid w:val="003808BD"/>
    <w:rsid w:val="00380F2D"/>
    <w:rsid w:val="003845A9"/>
    <w:rsid w:val="003850C9"/>
    <w:rsid w:val="00387668"/>
    <w:rsid w:val="00390883"/>
    <w:rsid w:val="003922F8"/>
    <w:rsid w:val="00394204"/>
    <w:rsid w:val="00394BFB"/>
    <w:rsid w:val="00394D22"/>
    <w:rsid w:val="00395B24"/>
    <w:rsid w:val="00396434"/>
    <w:rsid w:val="003A2D38"/>
    <w:rsid w:val="003A7ECC"/>
    <w:rsid w:val="003B2264"/>
    <w:rsid w:val="003B2C72"/>
    <w:rsid w:val="003B58B4"/>
    <w:rsid w:val="003C0F0C"/>
    <w:rsid w:val="003C1333"/>
    <w:rsid w:val="003C1F1A"/>
    <w:rsid w:val="003C20FF"/>
    <w:rsid w:val="003C2C61"/>
    <w:rsid w:val="003C528A"/>
    <w:rsid w:val="003C550A"/>
    <w:rsid w:val="003C6055"/>
    <w:rsid w:val="003D2650"/>
    <w:rsid w:val="003D560C"/>
    <w:rsid w:val="003D5C00"/>
    <w:rsid w:val="003E14C9"/>
    <w:rsid w:val="003E3154"/>
    <w:rsid w:val="003E583A"/>
    <w:rsid w:val="003E5874"/>
    <w:rsid w:val="003E72D3"/>
    <w:rsid w:val="003F193E"/>
    <w:rsid w:val="003F242C"/>
    <w:rsid w:val="003F34F1"/>
    <w:rsid w:val="003F6FA9"/>
    <w:rsid w:val="00400786"/>
    <w:rsid w:val="004031D8"/>
    <w:rsid w:val="004104B6"/>
    <w:rsid w:val="00411AE8"/>
    <w:rsid w:val="00413191"/>
    <w:rsid w:val="00413B74"/>
    <w:rsid w:val="00426605"/>
    <w:rsid w:val="004274AC"/>
    <w:rsid w:val="004312A9"/>
    <w:rsid w:val="00431838"/>
    <w:rsid w:val="00433CF1"/>
    <w:rsid w:val="004342F3"/>
    <w:rsid w:val="00434311"/>
    <w:rsid w:val="00435C5F"/>
    <w:rsid w:val="00436155"/>
    <w:rsid w:val="00436460"/>
    <w:rsid w:val="00441E98"/>
    <w:rsid w:val="004446B8"/>
    <w:rsid w:val="00450F3A"/>
    <w:rsid w:val="004532F7"/>
    <w:rsid w:val="00457F93"/>
    <w:rsid w:val="00460FAA"/>
    <w:rsid w:val="00462D09"/>
    <w:rsid w:val="00464D51"/>
    <w:rsid w:val="004706B2"/>
    <w:rsid w:val="00472027"/>
    <w:rsid w:val="0047685E"/>
    <w:rsid w:val="004804CF"/>
    <w:rsid w:val="00483314"/>
    <w:rsid w:val="00484962"/>
    <w:rsid w:val="00484F6D"/>
    <w:rsid w:val="00484FB7"/>
    <w:rsid w:val="0048554D"/>
    <w:rsid w:val="00485959"/>
    <w:rsid w:val="0049338A"/>
    <w:rsid w:val="0049395F"/>
    <w:rsid w:val="0049417F"/>
    <w:rsid w:val="00496347"/>
    <w:rsid w:val="00496D41"/>
    <w:rsid w:val="00497117"/>
    <w:rsid w:val="004A1184"/>
    <w:rsid w:val="004A6602"/>
    <w:rsid w:val="004B3EFA"/>
    <w:rsid w:val="004B6C5E"/>
    <w:rsid w:val="004C2A12"/>
    <w:rsid w:val="004C2A87"/>
    <w:rsid w:val="004C362D"/>
    <w:rsid w:val="004C4D7B"/>
    <w:rsid w:val="004C4ED3"/>
    <w:rsid w:val="004C667B"/>
    <w:rsid w:val="004C7ECD"/>
    <w:rsid w:val="004D2EA5"/>
    <w:rsid w:val="004D32A6"/>
    <w:rsid w:val="004D53E5"/>
    <w:rsid w:val="004D6939"/>
    <w:rsid w:val="004D72BE"/>
    <w:rsid w:val="004D7950"/>
    <w:rsid w:val="004E20F9"/>
    <w:rsid w:val="004E489A"/>
    <w:rsid w:val="004E4B86"/>
    <w:rsid w:val="004E6DC4"/>
    <w:rsid w:val="004E7157"/>
    <w:rsid w:val="004E7A4C"/>
    <w:rsid w:val="004F21C1"/>
    <w:rsid w:val="004F5537"/>
    <w:rsid w:val="004F557A"/>
    <w:rsid w:val="00501A12"/>
    <w:rsid w:val="0050309C"/>
    <w:rsid w:val="005061FA"/>
    <w:rsid w:val="0051037A"/>
    <w:rsid w:val="00510597"/>
    <w:rsid w:val="00511FBB"/>
    <w:rsid w:val="00512859"/>
    <w:rsid w:val="0051327C"/>
    <w:rsid w:val="0051346D"/>
    <w:rsid w:val="00513EAE"/>
    <w:rsid w:val="0051434F"/>
    <w:rsid w:val="0051488D"/>
    <w:rsid w:val="00516806"/>
    <w:rsid w:val="0052095B"/>
    <w:rsid w:val="0052098C"/>
    <w:rsid w:val="00525A49"/>
    <w:rsid w:val="005262D1"/>
    <w:rsid w:val="00526639"/>
    <w:rsid w:val="0052771D"/>
    <w:rsid w:val="00530876"/>
    <w:rsid w:val="005328D0"/>
    <w:rsid w:val="00535613"/>
    <w:rsid w:val="005359EB"/>
    <w:rsid w:val="00535FD6"/>
    <w:rsid w:val="00537C8C"/>
    <w:rsid w:val="0054254A"/>
    <w:rsid w:val="0054500B"/>
    <w:rsid w:val="005466B5"/>
    <w:rsid w:val="005475F8"/>
    <w:rsid w:val="00550CEB"/>
    <w:rsid w:val="00552FBC"/>
    <w:rsid w:val="00554314"/>
    <w:rsid w:val="00562829"/>
    <w:rsid w:val="005629B3"/>
    <w:rsid w:val="0056313D"/>
    <w:rsid w:val="0056315A"/>
    <w:rsid w:val="005709DA"/>
    <w:rsid w:val="00570F24"/>
    <w:rsid w:val="0057128A"/>
    <w:rsid w:val="005724F6"/>
    <w:rsid w:val="00573AC4"/>
    <w:rsid w:val="00577E0B"/>
    <w:rsid w:val="005801FC"/>
    <w:rsid w:val="00582AB4"/>
    <w:rsid w:val="00584147"/>
    <w:rsid w:val="00585BA9"/>
    <w:rsid w:val="005863F5"/>
    <w:rsid w:val="00587359"/>
    <w:rsid w:val="00591A29"/>
    <w:rsid w:val="00593EBD"/>
    <w:rsid w:val="005943E4"/>
    <w:rsid w:val="00595016"/>
    <w:rsid w:val="005972DD"/>
    <w:rsid w:val="00597AAE"/>
    <w:rsid w:val="005A222C"/>
    <w:rsid w:val="005A34DE"/>
    <w:rsid w:val="005A4DF8"/>
    <w:rsid w:val="005A508B"/>
    <w:rsid w:val="005A78C8"/>
    <w:rsid w:val="005B11EA"/>
    <w:rsid w:val="005B1426"/>
    <w:rsid w:val="005B2729"/>
    <w:rsid w:val="005B5DC6"/>
    <w:rsid w:val="005C0A8E"/>
    <w:rsid w:val="005C1767"/>
    <w:rsid w:val="005C185C"/>
    <w:rsid w:val="005C18C2"/>
    <w:rsid w:val="005C2B83"/>
    <w:rsid w:val="005C2C80"/>
    <w:rsid w:val="005C3BF0"/>
    <w:rsid w:val="005C42EF"/>
    <w:rsid w:val="005C5FF5"/>
    <w:rsid w:val="005D0395"/>
    <w:rsid w:val="005D2228"/>
    <w:rsid w:val="005D3960"/>
    <w:rsid w:val="005D6A3C"/>
    <w:rsid w:val="005E02F5"/>
    <w:rsid w:val="005E0510"/>
    <w:rsid w:val="005E176E"/>
    <w:rsid w:val="005E218E"/>
    <w:rsid w:val="005E262A"/>
    <w:rsid w:val="005E35A0"/>
    <w:rsid w:val="005E6514"/>
    <w:rsid w:val="005F076B"/>
    <w:rsid w:val="005F0D1B"/>
    <w:rsid w:val="005F1865"/>
    <w:rsid w:val="006007BD"/>
    <w:rsid w:val="006013C8"/>
    <w:rsid w:val="00601C48"/>
    <w:rsid w:val="0060270D"/>
    <w:rsid w:val="00604342"/>
    <w:rsid w:val="00604611"/>
    <w:rsid w:val="006046E9"/>
    <w:rsid w:val="006048CD"/>
    <w:rsid w:val="0060565C"/>
    <w:rsid w:val="00611586"/>
    <w:rsid w:val="00612D26"/>
    <w:rsid w:val="00615855"/>
    <w:rsid w:val="00615AC2"/>
    <w:rsid w:val="00615AF9"/>
    <w:rsid w:val="00620DA8"/>
    <w:rsid w:val="00621070"/>
    <w:rsid w:val="00621887"/>
    <w:rsid w:val="00624520"/>
    <w:rsid w:val="0062476A"/>
    <w:rsid w:val="006271F5"/>
    <w:rsid w:val="00630425"/>
    <w:rsid w:val="00632300"/>
    <w:rsid w:val="00632BB7"/>
    <w:rsid w:val="00635B36"/>
    <w:rsid w:val="00636871"/>
    <w:rsid w:val="006407CB"/>
    <w:rsid w:val="00640EE1"/>
    <w:rsid w:val="00640F4E"/>
    <w:rsid w:val="00641138"/>
    <w:rsid w:val="00643DE0"/>
    <w:rsid w:val="0064437D"/>
    <w:rsid w:val="00644E85"/>
    <w:rsid w:val="00645DBE"/>
    <w:rsid w:val="00647E7C"/>
    <w:rsid w:val="006516D8"/>
    <w:rsid w:val="00652C52"/>
    <w:rsid w:val="006534A0"/>
    <w:rsid w:val="00655CD1"/>
    <w:rsid w:val="0065635B"/>
    <w:rsid w:val="0066063F"/>
    <w:rsid w:val="00662BB0"/>
    <w:rsid w:val="00662D15"/>
    <w:rsid w:val="00663878"/>
    <w:rsid w:val="0066449A"/>
    <w:rsid w:val="00664E37"/>
    <w:rsid w:val="00667773"/>
    <w:rsid w:val="00670743"/>
    <w:rsid w:val="0067466A"/>
    <w:rsid w:val="00680A85"/>
    <w:rsid w:val="00681ADF"/>
    <w:rsid w:val="006840BE"/>
    <w:rsid w:val="00690EE2"/>
    <w:rsid w:val="00693854"/>
    <w:rsid w:val="00694BEB"/>
    <w:rsid w:val="00695BA0"/>
    <w:rsid w:val="006A0A08"/>
    <w:rsid w:val="006A0E20"/>
    <w:rsid w:val="006A24E3"/>
    <w:rsid w:val="006A31D8"/>
    <w:rsid w:val="006A544C"/>
    <w:rsid w:val="006A5695"/>
    <w:rsid w:val="006A6F6F"/>
    <w:rsid w:val="006B0123"/>
    <w:rsid w:val="006B0439"/>
    <w:rsid w:val="006B04AA"/>
    <w:rsid w:val="006B3904"/>
    <w:rsid w:val="006B5B7D"/>
    <w:rsid w:val="006C1E85"/>
    <w:rsid w:val="006C5B46"/>
    <w:rsid w:val="006C6E39"/>
    <w:rsid w:val="006C781B"/>
    <w:rsid w:val="006D0ECF"/>
    <w:rsid w:val="006D0FAE"/>
    <w:rsid w:val="006D3D5B"/>
    <w:rsid w:val="006D4C92"/>
    <w:rsid w:val="006D4EB6"/>
    <w:rsid w:val="006D7FBC"/>
    <w:rsid w:val="006E1691"/>
    <w:rsid w:val="006E35BF"/>
    <w:rsid w:val="006E547E"/>
    <w:rsid w:val="006E5E8E"/>
    <w:rsid w:val="006E6AB2"/>
    <w:rsid w:val="006E7850"/>
    <w:rsid w:val="006F19D8"/>
    <w:rsid w:val="006F30A9"/>
    <w:rsid w:val="006F4140"/>
    <w:rsid w:val="006F46D6"/>
    <w:rsid w:val="006F4BBB"/>
    <w:rsid w:val="006F6F02"/>
    <w:rsid w:val="00701802"/>
    <w:rsid w:val="007028D9"/>
    <w:rsid w:val="00702A12"/>
    <w:rsid w:val="00704452"/>
    <w:rsid w:val="0070503F"/>
    <w:rsid w:val="00707218"/>
    <w:rsid w:val="007103F2"/>
    <w:rsid w:val="00710D04"/>
    <w:rsid w:val="00712B1D"/>
    <w:rsid w:val="00713104"/>
    <w:rsid w:val="00715751"/>
    <w:rsid w:val="007162C7"/>
    <w:rsid w:val="00716FE9"/>
    <w:rsid w:val="007171BA"/>
    <w:rsid w:val="00717616"/>
    <w:rsid w:val="00722D3A"/>
    <w:rsid w:val="00726BA4"/>
    <w:rsid w:val="00731D04"/>
    <w:rsid w:val="007325D9"/>
    <w:rsid w:val="0073413F"/>
    <w:rsid w:val="007346BC"/>
    <w:rsid w:val="0073583B"/>
    <w:rsid w:val="007360CA"/>
    <w:rsid w:val="0073696A"/>
    <w:rsid w:val="00740A48"/>
    <w:rsid w:val="00741F15"/>
    <w:rsid w:val="0074340D"/>
    <w:rsid w:val="00743D3A"/>
    <w:rsid w:val="0074667B"/>
    <w:rsid w:val="007470BD"/>
    <w:rsid w:val="007501B5"/>
    <w:rsid w:val="007534DE"/>
    <w:rsid w:val="00753D86"/>
    <w:rsid w:val="00760EC0"/>
    <w:rsid w:val="00764F94"/>
    <w:rsid w:val="007711BD"/>
    <w:rsid w:val="00773AE3"/>
    <w:rsid w:val="00776D63"/>
    <w:rsid w:val="00777B10"/>
    <w:rsid w:val="0078003A"/>
    <w:rsid w:val="00780771"/>
    <w:rsid w:val="00785B13"/>
    <w:rsid w:val="00785DEC"/>
    <w:rsid w:val="007929CF"/>
    <w:rsid w:val="00793DB1"/>
    <w:rsid w:val="00797BA8"/>
    <w:rsid w:val="007A081D"/>
    <w:rsid w:val="007A49E7"/>
    <w:rsid w:val="007A4C4C"/>
    <w:rsid w:val="007A5854"/>
    <w:rsid w:val="007A6F28"/>
    <w:rsid w:val="007B03C6"/>
    <w:rsid w:val="007B0DB1"/>
    <w:rsid w:val="007B19B7"/>
    <w:rsid w:val="007B3A91"/>
    <w:rsid w:val="007B5673"/>
    <w:rsid w:val="007B7238"/>
    <w:rsid w:val="007B76FF"/>
    <w:rsid w:val="007C2C10"/>
    <w:rsid w:val="007C3BF6"/>
    <w:rsid w:val="007C5B9B"/>
    <w:rsid w:val="007C676E"/>
    <w:rsid w:val="007C67B3"/>
    <w:rsid w:val="007D0FD2"/>
    <w:rsid w:val="007D2EF8"/>
    <w:rsid w:val="007D55C3"/>
    <w:rsid w:val="007D561F"/>
    <w:rsid w:val="007D7FD2"/>
    <w:rsid w:val="007E0670"/>
    <w:rsid w:val="007E0A23"/>
    <w:rsid w:val="007E13D9"/>
    <w:rsid w:val="007E2AEC"/>
    <w:rsid w:val="007E2BAC"/>
    <w:rsid w:val="007E3C80"/>
    <w:rsid w:val="007E41BE"/>
    <w:rsid w:val="007E4DB6"/>
    <w:rsid w:val="007E6733"/>
    <w:rsid w:val="007E7154"/>
    <w:rsid w:val="007E72DF"/>
    <w:rsid w:val="007E7CD4"/>
    <w:rsid w:val="007F08C8"/>
    <w:rsid w:val="007F12AC"/>
    <w:rsid w:val="007F4501"/>
    <w:rsid w:val="007F60DF"/>
    <w:rsid w:val="007F6F3F"/>
    <w:rsid w:val="008001D9"/>
    <w:rsid w:val="00801800"/>
    <w:rsid w:val="00801861"/>
    <w:rsid w:val="00801B5B"/>
    <w:rsid w:val="008028BE"/>
    <w:rsid w:val="00804FB7"/>
    <w:rsid w:val="00805A30"/>
    <w:rsid w:val="00807706"/>
    <w:rsid w:val="0081631A"/>
    <w:rsid w:val="008216E7"/>
    <w:rsid w:val="00825BE6"/>
    <w:rsid w:val="00826626"/>
    <w:rsid w:val="008276B4"/>
    <w:rsid w:val="00830B4B"/>
    <w:rsid w:val="008314E7"/>
    <w:rsid w:val="00831927"/>
    <w:rsid w:val="00837288"/>
    <w:rsid w:val="00837292"/>
    <w:rsid w:val="00841BD3"/>
    <w:rsid w:val="0084273D"/>
    <w:rsid w:val="0084461B"/>
    <w:rsid w:val="00844E3F"/>
    <w:rsid w:val="00845A83"/>
    <w:rsid w:val="00845BF5"/>
    <w:rsid w:val="00846BB9"/>
    <w:rsid w:val="00855172"/>
    <w:rsid w:val="00862304"/>
    <w:rsid w:val="00864371"/>
    <w:rsid w:val="008649D5"/>
    <w:rsid w:val="0086653A"/>
    <w:rsid w:val="008712BB"/>
    <w:rsid w:val="00876EB6"/>
    <w:rsid w:val="008808C6"/>
    <w:rsid w:val="00882FA7"/>
    <w:rsid w:val="008830E7"/>
    <w:rsid w:val="00883157"/>
    <w:rsid w:val="00890EDE"/>
    <w:rsid w:val="00892B38"/>
    <w:rsid w:val="00896262"/>
    <w:rsid w:val="008A13BC"/>
    <w:rsid w:val="008A1490"/>
    <w:rsid w:val="008A1741"/>
    <w:rsid w:val="008A1F7E"/>
    <w:rsid w:val="008A2484"/>
    <w:rsid w:val="008A52F3"/>
    <w:rsid w:val="008B2F25"/>
    <w:rsid w:val="008C26D9"/>
    <w:rsid w:val="008C6D50"/>
    <w:rsid w:val="008C7167"/>
    <w:rsid w:val="008C7503"/>
    <w:rsid w:val="008D052A"/>
    <w:rsid w:val="008D1617"/>
    <w:rsid w:val="008D2C8E"/>
    <w:rsid w:val="008D2D0F"/>
    <w:rsid w:val="008D330F"/>
    <w:rsid w:val="008D3718"/>
    <w:rsid w:val="008D48C1"/>
    <w:rsid w:val="008D6D54"/>
    <w:rsid w:val="008E1663"/>
    <w:rsid w:val="008E1AD4"/>
    <w:rsid w:val="008E6315"/>
    <w:rsid w:val="008F0480"/>
    <w:rsid w:val="008F07FC"/>
    <w:rsid w:val="008F11E0"/>
    <w:rsid w:val="008F33A9"/>
    <w:rsid w:val="008F3EA7"/>
    <w:rsid w:val="008F78BC"/>
    <w:rsid w:val="008F7B63"/>
    <w:rsid w:val="008F7D6A"/>
    <w:rsid w:val="009011BC"/>
    <w:rsid w:val="00901C86"/>
    <w:rsid w:val="0090277A"/>
    <w:rsid w:val="00903603"/>
    <w:rsid w:val="009054CB"/>
    <w:rsid w:val="00911F8D"/>
    <w:rsid w:val="00912F94"/>
    <w:rsid w:val="009171BC"/>
    <w:rsid w:val="0092497E"/>
    <w:rsid w:val="0092590B"/>
    <w:rsid w:val="00925BF3"/>
    <w:rsid w:val="00925E60"/>
    <w:rsid w:val="009264B3"/>
    <w:rsid w:val="00931E4C"/>
    <w:rsid w:val="009328FA"/>
    <w:rsid w:val="009365E0"/>
    <w:rsid w:val="00937C2F"/>
    <w:rsid w:val="009415FA"/>
    <w:rsid w:val="00942BA2"/>
    <w:rsid w:val="009432B7"/>
    <w:rsid w:val="00944201"/>
    <w:rsid w:val="00944C86"/>
    <w:rsid w:val="009452A1"/>
    <w:rsid w:val="009468E8"/>
    <w:rsid w:val="00947C02"/>
    <w:rsid w:val="00950BE6"/>
    <w:rsid w:val="00954405"/>
    <w:rsid w:val="00957DE8"/>
    <w:rsid w:val="00960ECB"/>
    <w:rsid w:val="009615D6"/>
    <w:rsid w:val="00962092"/>
    <w:rsid w:val="00963038"/>
    <w:rsid w:val="00967855"/>
    <w:rsid w:val="00970748"/>
    <w:rsid w:val="00971CD1"/>
    <w:rsid w:val="00974212"/>
    <w:rsid w:val="00974709"/>
    <w:rsid w:val="009801AE"/>
    <w:rsid w:val="00980736"/>
    <w:rsid w:val="00981A39"/>
    <w:rsid w:val="00981A59"/>
    <w:rsid w:val="00982D56"/>
    <w:rsid w:val="00983DBF"/>
    <w:rsid w:val="009840A9"/>
    <w:rsid w:val="00986557"/>
    <w:rsid w:val="00987037"/>
    <w:rsid w:val="00987097"/>
    <w:rsid w:val="00987A7C"/>
    <w:rsid w:val="009908B4"/>
    <w:rsid w:val="00991123"/>
    <w:rsid w:val="0099139F"/>
    <w:rsid w:val="00991CAB"/>
    <w:rsid w:val="00997575"/>
    <w:rsid w:val="009A1249"/>
    <w:rsid w:val="009A12D2"/>
    <w:rsid w:val="009A267A"/>
    <w:rsid w:val="009A3A9C"/>
    <w:rsid w:val="009A55B5"/>
    <w:rsid w:val="009B046C"/>
    <w:rsid w:val="009B13FA"/>
    <w:rsid w:val="009B1E2D"/>
    <w:rsid w:val="009B4FDA"/>
    <w:rsid w:val="009B7A8B"/>
    <w:rsid w:val="009C3D10"/>
    <w:rsid w:val="009C59FB"/>
    <w:rsid w:val="009C5ADF"/>
    <w:rsid w:val="009C6F3B"/>
    <w:rsid w:val="009D1467"/>
    <w:rsid w:val="009D328D"/>
    <w:rsid w:val="009D655B"/>
    <w:rsid w:val="009D7EB4"/>
    <w:rsid w:val="009E2921"/>
    <w:rsid w:val="009E4FA6"/>
    <w:rsid w:val="009E7D93"/>
    <w:rsid w:val="009F05D8"/>
    <w:rsid w:val="009F073D"/>
    <w:rsid w:val="009F125B"/>
    <w:rsid w:val="009F381B"/>
    <w:rsid w:val="009F3B5C"/>
    <w:rsid w:val="009F3C34"/>
    <w:rsid w:val="009F462C"/>
    <w:rsid w:val="009F5C33"/>
    <w:rsid w:val="00A0103B"/>
    <w:rsid w:val="00A026F0"/>
    <w:rsid w:val="00A03EAC"/>
    <w:rsid w:val="00A04DBB"/>
    <w:rsid w:val="00A07EA0"/>
    <w:rsid w:val="00A11CA6"/>
    <w:rsid w:val="00A20C49"/>
    <w:rsid w:val="00A223D7"/>
    <w:rsid w:val="00A22932"/>
    <w:rsid w:val="00A25B98"/>
    <w:rsid w:val="00A269CA"/>
    <w:rsid w:val="00A336EE"/>
    <w:rsid w:val="00A33F46"/>
    <w:rsid w:val="00A3427E"/>
    <w:rsid w:val="00A359AC"/>
    <w:rsid w:val="00A40F83"/>
    <w:rsid w:val="00A410FB"/>
    <w:rsid w:val="00A41413"/>
    <w:rsid w:val="00A431E6"/>
    <w:rsid w:val="00A436E8"/>
    <w:rsid w:val="00A43FB6"/>
    <w:rsid w:val="00A45FB1"/>
    <w:rsid w:val="00A46A0F"/>
    <w:rsid w:val="00A46CCC"/>
    <w:rsid w:val="00A47996"/>
    <w:rsid w:val="00A51CFE"/>
    <w:rsid w:val="00A5204D"/>
    <w:rsid w:val="00A56E77"/>
    <w:rsid w:val="00A60188"/>
    <w:rsid w:val="00A61605"/>
    <w:rsid w:val="00A64749"/>
    <w:rsid w:val="00A64841"/>
    <w:rsid w:val="00A648CF"/>
    <w:rsid w:val="00A65F97"/>
    <w:rsid w:val="00A73B04"/>
    <w:rsid w:val="00A76C13"/>
    <w:rsid w:val="00A804DD"/>
    <w:rsid w:val="00A82783"/>
    <w:rsid w:val="00A84FD0"/>
    <w:rsid w:val="00A92E79"/>
    <w:rsid w:val="00A950B6"/>
    <w:rsid w:val="00A95145"/>
    <w:rsid w:val="00A95D45"/>
    <w:rsid w:val="00A96529"/>
    <w:rsid w:val="00AA03C3"/>
    <w:rsid w:val="00AA3EA8"/>
    <w:rsid w:val="00AA73CA"/>
    <w:rsid w:val="00AB41C1"/>
    <w:rsid w:val="00AB4CF2"/>
    <w:rsid w:val="00AB5C93"/>
    <w:rsid w:val="00AB6CCA"/>
    <w:rsid w:val="00AC1E71"/>
    <w:rsid w:val="00AC223F"/>
    <w:rsid w:val="00AC2D7B"/>
    <w:rsid w:val="00AC33B1"/>
    <w:rsid w:val="00AD12A8"/>
    <w:rsid w:val="00AD52A5"/>
    <w:rsid w:val="00AD69E1"/>
    <w:rsid w:val="00AE023F"/>
    <w:rsid w:val="00AE2A3C"/>
    <w:rsid w:val="00AE53AA"/>
    <w:rsid w:val="00AF0277"/>
    <w:rsid w:val="00AF2387"/>
    <w:rsid w:val="00AF3577"/>
    <w:rsid w:val="00AF35F9"/>
    <w:rsid w:val="00AF636A"/>
    <w:rsid w:val="00AF7D18"/>
    <w:rsid w:val="00B021AF"/>
    <w:rsid w:val="00B0424C"/>
    <w:rsid w:val="00B0476B"/>
    <w:rsid w:val="00B04A30"/>
    <w:rsid w:val="00B05C7D"/>
    <w:rsid w:val="00B07D9A"/>
    <w:rsid w:val="00B11F7B"/>
    <w:rsid w:val="00B15D57"/>
    <w:rsid w:val="00B16347"/>
    <w:rsid w:val="00B17D6E"/>
    <w:rsid w:val="00B2435E"/>
    <w:rsid w:val="00B24A52"/>
    <w:rsid w:val="00B31CF6"/>
    <w:rsid w:val="00B346C3"/>
    <w:rsid w:val="00B4005C"/>
    <w:rsid w:val="00B4227E"/>
    <w:rsid w:val="00B4471C"/>
    <w:rsid w:val="00B451A6"/>
    <w:rsid w:val="00B514DE"/>
    <w:rsid w:val="00B518AE"/>
    <w:rsid w:val="00B54FF7"/>
    <w:rsid w:val="00B56D6E"/>
    <w:rsid w:val="00B6005B"/>
    <w:rsid w:val="00B64347"/>
    <w:rsid w:val="00B644A9"/>
    <w:rsid w:val="00B6457B"/>
    <w:rsid w:val="00B65DC6"/>
    <w:rsid w:val="00B6671D"/>
    <w:rsid w:val="00B66D6E"/>
    <w:rsid w:val="00B67AC2"/>
    <w:rsid w:val="00B722DE"/>
    <w:rsid w:val="00B751E3"/>
    <w:rsid w:val="00B75BA6"/>
    <w:rsid w:val="00B76C44"/>
    <w:rsid w:val="00B8184A"/>
    <w:rsid w:val="00B81980"/>
    <w:rsid w:val="00B81ECC"/>
    <w:rsid w:val="00B82283"/>
    <w:rsid w:val="00B828D8"/>
    <w:rsid w:val="00B82ADD"/>
    <w:rsid w:val="00B83F87"/>
    <w:rsid w:val="00B87CDC"/>
    <w:rsid w:val="00B910C1"/>
    <w:rsid w:val="00B93B7C"/>
    <w:rsid w:val="00BA20F4"/>
    <w:rsid w:val="00BA2CA4"/>
    <w:rsid w:val="00BA2EFA"/>
    <w:rsid w:val="00BA3DBC"/>
    <w:rsid w:val="00BA707A"/>
    <w:rsid w:val="00BB0326"/>
    <w:rsid w:val="00BB1AFB"/>
    <w:rsid w:val="00BB26F9"/>
    <w:rsid w:val="00BB27AE"/>
    <w:rsid w:val="00BB2DA2"/>
    <w:rsid w:val="00BB3BAE"/>
    <w:rsid w:val="00BB56DC"/>
    <w:rsid w:val="00BC4935"/>
    <w:rsid w:val="00BD5550"/>
    <w:rsid w:val="00BE183D"/>
    <w:rsid w:val="00BF066D"/>
    <w:rsid w:val="00BF1E23"/>
    <w:rsid w:val="00BF24C2"/>
    <w:rsid w:val="00BF2922"/>
    <w:rsid w:val="00BF2BD7"/>
    <w:rsid w:val="00BF5D7A"/>
    <w:rsid w:val="00BF6E64"/>
    <w:rsid w:val="00C01C2E"/>
    <w:rsid w:val="00C02D33"/>
    <w:rsid w:val="00C04B53"/>
    <w:rsid w:val="00C05840"/>
    <w:rsid w:val="00C115CF"/>
    <w:rsid w:val="00C1232C"/>
    <w:rsid w:val="00C13D96"/>
    <w:rsid w:val="00C26B08"/>
    <w:rsid w:val="00C26E4F"/>
    <w:rsid w:val="00C27C6B"/>
    <w:rsid w:val="00C3594D"/>
    <w:rsid w:val="00C36442"/>
    <w:rsid w:val="00C400CE"/>
    <w:rsid w:val="00C410FD"/>
    <w:rsid w:val="00C450B9"/>
    <w:rsid w:val="00C457DE"/>
    <w:rsid w:val="00C47DD3"/>
    <w:rsid w:val="00C5316F"/>
    <w:rsid w:val="00C53562"/>
    <w:rsid w:val="00C539FB"/>
    <w:rsid w:val="00C55FFE"/>
    <w:rsid w:val="00C567EC"/>
    <w:rsid w:val="00C66AA3"/>
    <w:rsid w:val="00C66E57"/>
    <w:rsid w:val="00C724D7"/>
    <w:rsid w:val="00C74150"/>
    <w:rsid w:val="00C75594"/>
    <w:rsid w:val="00C75BA8"/>
    <w:rsid w:val="00C77055"/>
    <w:rsid w:val="00C82191"/>
    <w:rsid w:val="00C83657"/>
    <w:rsid w:val="00C85982"/>
    <w:rsid w:val="00C860F9"/>
    <w:rsid w:val="00C86CC5"/>
    <w:rsid w:val="00C92DA2"/>
    <w:rsid w:val="00C9319B"/>
    <w:rsid w:val="00C96BC9"/>
    <w:rsid w:val="00CA0466"/>
    <w:rsid w:val="00CA1B3D"/>
    <w:rsid w:val="00CA246D"/>
    <w:rsid w:val="00CA2FFE"/>
    <w:rsid w:val="00CA3272"/>
    <w:rsid w:val="00CA50D9"/>
    <w:rsid w:val="00CA7115"/>
    <w:rsid w:val="00CB1B4C"/>
    <w:rsid w:val="00CB2A72"/>
    <w:rsid w:val="00CB3054"/>
    <w:rsid w:val="00CB3B9E"/>
    <w:rsid w:val="00CB5636"/>
    <w:rsid w:val="00CB5F30"/>
    <w:rsid w:val="00CB72B4"/>
    <w:rsid w:val="00CC3EE5"/>
    <w:rsid w:val="00CC464F"/>
    <w:rsid w:val="00CC6E47"/>
    <w:rsid w:val="00CD1346"/>
    <w:rsid w:val="00CD5B72"/>
    <w:rsid w:val="00CE08D1"/>
    <w:rsid w:val="00CE0943"/>
    <w:rsid w:val="00CE31FF"/>
    <w:rsid w:val="00CE329D"/>
    <w:rsid w:val="00CE425C"/>
    <w:rsid w:val="00CE58AC"/>
    <w:rsid w:val="00CF4E6A"/>
    <w:rsid w:val="00CF53B1"/>
    <w:rsid w:val="00CF5A80"/>
    <w:rsid w:val="00D045EE"/>
    <w:rsid w:val="00D05091"/>
    <w:rsid w:val="00D06A0A"/>
    <w:rsid w:val="00D0707F"/>
    <w:rsid w:val="00D079FE"/>
    <w:rsid w:val="00D10CA6"/>
    <w:rsid w:val="00D10F21"/>
    <w:rsid w:val="00D134CF"/>
    <w:rsid w:val="00D14242"/>
    <w:rsid w:val="00D1573B"/>
    <w:rsid w:val="00D16E37"/>
    <w:rsid w:val="00D17266"/>
    <w:rsid w:val="00D243A1"/>
    <w:rsid w:val="00D24505"/>
    <w:rsid w:val="00D24640"/>
    <w:rsid w:val="00D24806"/>
    <w:rsid w:val="00D30CFC"/>
    <w:rsid w:val="00D31E14"/>
    <w:rsid w:val="00D32DFC"/>
    <w:rsid w:val="00D34040"/>
    <w:rsid w:val="00D3480B"/>
    <w:rsid w:val="00D34E69"/>
    <w:rsid w:val="00D35AC6"/>
    <w:rsid w:val="00D36C78"/>
    <w:rsid w:val="00D375EE"/>
    <w:rsid w:val="00D402A8"/>
    <w:rsid w:val="00D46939"/>
    <w:rsid w:val="00D55AE8"/>
    <w:rsid w:val="00D56056"/>
    <w:rsid w:val="00D5639B"/>
    <w:rsid w:val="00D6085F"/>
    <w:rsid w:val="00D6170C"/>
    <w:rsid w:val="00D62274"/>
    <w:rsid w:val="00D62699"/>
    <w:rsid w:val="00D743D0"/>
    <w:rsid w:val="00D76A55"/>
    <w:rsid w:val="00D778E9"/>
    <w:rsid w:val="00D812BF"/>
    <w:rsid w:val="00D82620"/>
    <w:rsid w:val="00D83E08"/>
    <w:rsid w:val="00D85707"/>
    <w:rsid w:val="00D90049"/>
    <w:rsid w:val="00D93807"/>
    <w:rsid w:val="00D9725F"/>
    <w:rsid w:val="00D9770B"/>
    <w:rsid w:val="00D9791F"/>
    <w:rsid w:val="00DA01B1"/>
    <w:rsid w:val="00DA11A2"/>
    <w:rsid w:val="00DA14ED"/>
    <w:rsid w:val="00DA26D6"/>
    <w:rsid w:val="00DA4729"/>
    <w:rsid w:val="00DA4C65"/>
    <w:rsid w:val="00DB2C43"/>
    <w:rsid w:val="00DB2EF1"/>
    <w:rsid w:val="00DB3DE1"/>
    <w:rsid w:val="00DB4975"/>
    <w:rsid w:val="00DB5DA0"/>
    <w:rsid w:val="00DB7131"/>
    <w:rsid w:val="00DB716C"/>
    <w:rsid w:val="00DC0439"/>
    <w:rsid w:val="00DC5C85"/>
    <w:rsid w:val="00DC7C5D"/>
    <w:rsid w:val="00DD4236"/>
    <w:rsid w:val="00DD44F1"/>
    <w:rsid w:val="00DD6957"/>
    <w:rsid w:val="00DD6E7A"/>
    <w:rsid w:val="00DE0843"/>
    <w:rsid w:val="00DE20CF"/>
    <w:rsid w:val="00DE3067"/>
    <w:rsid w:val="00DF0F78"/>
    <w:rsid w:val="00DF3304"/>
    <w:rsid w:val="00DF3EEE"/>
    <w:rsid w:val="00DF5C8E"/>
    <w:rsid w:val="00DF6A30"/>
    <w:rsid w:val="00DF75E1"/>
    <w:rsid w:val="00E027BC"/>
    <w:rsid w:val="00E035ED"/>
    <w:rsid w:val="00E04155"/>
    <w:rsid w:val="00E045BE"/>
    <w:rsid w:val="00E04C3B"/>
    <w:rsid w:val="00E066F1"/>
    <w:rsid w:val="00E07402"/>
    <w:rsid w:val="00E10F0D"/>
    <w:rsid w:val="00E14082"/>
    <w:rsid w:val="00E14EA5"/>
    <w:rsid w:val="00E15F5E"/>
    <w:rsid w:val="00E2070E"/>
    <w:rsid w:val="00E21133"/>
    <w:rsid w:val="00E21F2F"/>
    <w:rsid w:val="00E2327E"/>
    <w:rsid w:val="00E23577"/>
    <w:rsid w:val="00E266EF"/>
    <w:rsid w:val="00E3084B"/>
    <w:rsid w:val="00E326A8"/>
    <w:rsid w:val="00E355D4"/>
    <w:rsid w:val="00E36692"/>
    <w:rsid w:val="00E414D7"/>
    <w:rsid w:val="00E42A70"/>
    <w:rsid w:val="00E45887"/>
    <w:rsid w:val="00E47428"/>
    <w:rsid w:val="00E50E93"/>
    <w:rsid w:val="00E56C8E"/>
    <w:rsid w:val="00E5716B"/>
    <w:rsid w:val="00E57F1F"/>
    <w:rsid w:val="00E60BF1"/>
    <w:rsid w:val="00E625DF"/>
    <w:rsid w:val="00E62D55"/>
    <w:rsid w:val="00E63003"/>
    <w:rsid w:val="00E63EA8"/>
    <w:rsid w:val="00E66B9F"/>
    <w:rsid w:val="00E66F69"/>
    <w:rsid w:val="00E67074"/>
    <w:rsid w:val="00E70A6A"/>
    <w:rsid w:val="00E710D6"/>
    <w:rsid w:val="00E73A57"/>
    <w:rsid w:val="00E73DA4"/>
    <w:rsid w:val="00E74A1D"/>
    <w:rsid w:val="00E76E45"/>
    <w:rsid w:val="00E777C9"/>
    <w:rsid w:val="00E81DA6"/>
    <w:rsid w:val="00E84212"/>
    <w:rsid w:val="00E85925"/>
    <w:rsid w:val="00E86873"/>
    <w:rsid w:val="00E86BC1"/>
    <w:rsid w:val="00E877F3"/>
    <w:rsid w:val="00E9086C"/>
    <w:rsid w:val="00E90AAA"/>
    <w:rsid w:val="00E91830"/>
    <w:rsid w:val="00E91A0F"/>
    <w:rsid w:val="00E9333E"/>
    <w:rsid w:val="00E94A71"/>
    <w:rsid w:val="00E94CBF"/>
    <w:rsid w:val="00EA03CE"/>
    <w:rsid w:val="00EA13FF"/>
    <w:rsid w:val="00EA2108"/>
    <w:rsid w:val="00EA23E5"/>
    <w:rsid w:val="00EA4E2E"/>
    <w:rsid w:val="00EA5282"/>
    <w:rsid w:val="00EB10C6"/>
    <w:rsid w:val="00EB2417"/>
    <w:rsid w:val="00EB24D2"/>
    <w:rsid w:val="00EB2CCB"/>
    <w:rsid w:val="00EB5411"/>
    <w:rsid w:val="00EB7A25"/>
    <w:rsid w:val="00EC0F3E"/>
    <w:rsid w:val="00EC57A7"/>
    <w:rsid w:val="00ED0817"/>
    <w:rsid w:val="00ED2A81"/>
    <w:rsid w:val="00ED67BD"/>
    <w:rsid w:val="00ED7DD9"/>
    <w:rsid w:val="00EE445B"/>
    <w:rsid w:val="00EF0F8A"/>
    <w:rsid w:val="00EF149B"/>
    <w:rsid w:val="00EF3113"/>
    <w:rsid w:val="00EF35C2"/>
    <w:rsid w:val="00EF3F84"/>
    <w:rsid w:val="00F041A7"/>
    <w:rsid w:val="00F054DF"/>
    <w:rsid w:val="00F1073F"/>
    <w:rsid w:val="00F11343"/>
    <w:rsid w:val="00F176AC"/>
    <w:rsid w:val="00F21DE6"/>
    <w:rsid w:val="00F26F28"/>
    <w:rsid w:val="00F27714"/>
    <w:rsid w:val="00F30C66"/>
    <w:rsid w:val="00F3161C"/>
    <w:rsid w:val="00F3276E"/>
    <w:rsid w:val="00F33D3C"/>
    <w:rsid w:val="00F3516A"/>
    <w:rsid w:val="00F37A91"/>
    <w:rsid w:val="00F408A0"/>
    <w:rsid w:val="00F43E24"/>
    <w:rsid w:val="00F45CF5"/>
    <w:rsid w:val="00F47DB0"/>
    <w:rsid w:val="00F500B0"/>
    <w:rsid w:val="00F50432"/>
    <w:rsid w:val="00F50C3F"/>
    <w:rsid w:val="00F50E34"/>
    <w:rsid w:val="00F51AFB"/>
    <w:rsid w:val="00F53EF7"/>
    <w:rsid w:val="00F54BF2"/>
    <w:rsid w:val="00F574EC"/>
    <w:rsid w:val="00F57CD9"/>
    <w:rsid w:val="00F70EB1"/>
    <w:rsid w:val="00F775AC"/>
    <w:rsid w:val="00F8388F"/>
    <w:rsid w:val="00F8752E"/>
    <w:rsid w:val="00F87584"/>
    <w:rsid w:val="00F8792F"/>
    <w:rsid w:val="00F911DC"/>
    <w:rsid w:val="00F920F0"/>
    <w:rsid w:val="00F9214D"/>
    <w:rsid w:val="00F922B6"/>
    <w:rsid w:val="00F92355"/>
    <w:rsid w:val="00F92BFD"/>
    <w:rsid w:val="00F93963"/>
    <w:rsid w:val="00F94291"/>
    <w:rsid w:val="00F948D5"/>
    <w:rsid w:val="00F96FF7"/>
    <w:rsid w:val="00FA1295"/>
    <w:rsid w:val="00FA298A"/>
    <w:rsid w:val="00FA5B66"/>
    <w:rsid w:val="00FB0B9C"/>
    <w:rsid w:val="00FB30EB"/>
    <w:rsid w:val="00FB481E"/>
    <w:rsid w:val="00FB6E1A"/>
    <w:rsid w:val="00FB7982"/>
    <w:rsid w:val="00FC0734"/>
    <w:rsid w:val="00FC0FC5"/>
    <w:rsid w:val="00FC588F"/>
    <w:rsid w:val="00FC6879"/>
    <w:rsid w:val="00FC6F24"/>
    <w:rsid w:val="00FD12EE"/>
    <w:rsid w:val="00FD43C2"/>
    <w:rsid w:val="00FD55EA"/>
    <w:rsid w:val="00FD57CC"/>
    <w:rsid w:val="00FD6457"/>
    <w:rsid w:val="00FD76E2"/>
    <w:rsid w:val="00FE1600"/>
    <w:rsid w:val="00FE1B30"/>
    <w:rsid w:val="00FE1E1F"/>
    <w:rsid w:val="00FE61D9"/>
    <w:rsid w:val="00FE7B44"/>
    <w:rsid w:val="00FF2648"/>
    <w:rsid w:val="00FF3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A8592"/>
  <w15:docId w15:val="{1178F195-4022-4BED-95B1-A6094003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styleId="UnresolvedMention">
    <w:name w:val="Unresolved Mention"/>
    <w:basedOn w:val="DefaultParagraphFont"/>
    <w:uiPriority w:val="99"/>
    <w:semiHidden/>
    <w:unhideWhenUsed/>
    <w:rsid w:val="00CF4E6A"/>
    <w:rPr>
      <w:color w:val="605E5C"/>
      <w:shd w:val="clear" w:color="auto" w:fill="E1DFDD"/>
    </w:rPr>
  </w:style>
  <w:style w:type="paragraph" w:styleId="Revision">
    <w:name w:val="Revision"/>
    <w:hidden/>
    <w:uiPriority w:val="99"/>
    <w:semiHidden/>
    <w:rsid w:val="007E71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3CCFB4E4148D99C86E81D67FA72F3"/>
        <w:category>
          <w:name w:val="General"/>
          <w:gallery w:val="placeholder"/>
        </w:category>
        <w:types>
          <w:type w:val="bbPlcHdr"/>
        </w:types>
        <w:behaviors>
          <w:behavior w:val="content"/>
        </w:behaviors>
        <w:guid w:val="{FD9E996C-7140-44AB-B8C8-A901D1485938}"/>
      </w:docPartPr>
      <w:docPartBody>
        <w:p w:rsidR="003E3068" w:rsidRDefault="00257B47">
          <w:pPr>
            <w:pStyle w:val="44A3CCFB4E4148D99C86E81D67FA72F3"/>
          </w:pPr>
          <w:r>
            <w:rPr>
              <w:rStyle w:val="PlaceholderText"/>
            </w:rPr>
            <w:t>MNC Text</w:t>
          </w:r>
        </w:p>
      </w:docPartBody>
    </w:docPart>
    <w:docPart>
      <w:docPartPr>
        <w:name w:val="4DCCAF0AF96B4C61B666234A215F887C"/>
        <w:category>
          <w:name w:val="General"/>
          <w:gallery w:val="placeholder"/>
        </w:category>
        <w:types>
          <w:type w:val="bbPlcHdr"/>
        </w:types>
        <w:behaviors>
          <w:behavior w:val="content"/>
        </w:behaviors>
        <w:guid w:val="{9DC57A34-738E-46C6-A985-AFEC7A420ED4}"/>
      </w:docPartPr>
      <w:docPartBody>
        <w:p w:rsidR="003E3068" w:rsidRDefault="00257B47">
          <w:pPr>
            <w:pStyle w:val="4DCCAF0AF96B4C61B666234A215F887C"/>
          </w:pPr>
          <w:r w:rsidRPr="005C44BE">
            <w:rPr>
              <w:rStyle w:val="PlaceholderText"/>
            </w:rPr>
            <w:t>Click or tap here to enter text.</w:t>
          </w:r>
        </w:p>
      </w:docPartBody>
    </w:docPart>
    <w:docPart>
      <w:docPartPr>
        <w:name w:val="0A4839BFA0DD4C5BA519EF8782DECA13"/>
        <w:category>
          <w:name w:val="General"/>
          <w:gallery w:val="placeholder"/>
        </w:category>
        <w:types>
          <w:type w:val="bbPlcHdr"/>
        </w:types>
        <w:behaviors>
          <w:behavior w:val="content"/>
        </w:behaviors>
        <w:guid w:val="{B2BE35F6-6C56-49E8-92D3-30A55016B865}"/>
      </w:docPartPr>
      <w:docPartBody>
        <w:p w:rsidR="003E3068" w:rsidRDefault="00257B47">
          <w:pPr>
            <w:pStyle w:val="0A4839BFA0DD4C5BA519EF8782DECA13"/>
          </w:pPr>
          <w:r w:rsidRPr="005C44BE">
            <w:rPr>
              <w:rStyle w:val="PlaceholderText"/>
            </w:rPr>
            <w:t>Click or tap here to enter text.</w:t>
          </w:r>
        </w:p>
      </w:docPartBody>
    </w:docPart>
    <w:docPart>
      <w:docPartPr>
        <w:name w:val="CE2209A937594DF480D2E9FC0030E206"/>
        <w:category>
          <w:name w:val="General"/>
          <w:gallery w:val="placeholder"/>
        </w:category>
        <w:types>
          <w:type w:val="bbPlcHdr"/>
        </w:types>
        <w:behaviors>
          <w:behavior w:val="content"/>
        </w:behaviors>
        <w:guid w:val="{1E9D852F-730A-465E-A6CE-81AE543EF7B1}"/>
      </w:docPartPr>
      <w:docPartBody>
        <w:p w:rsidR="003E3068" w:rsidRDefault="00257B47">
          <w:pPr>
            <w:pStyle w:val="CE2209A937594DF480D2E9FC0030E206"/>
          </w:pPr>
          <w:r w:rsidRPr="005C44BE">
            <w:rPr>
              <w:rStyle w:val="PlaceholderText"/>
            </w:rPr>
            <w:t>Click or tap here to enter text.</w:t>
          </w:r>
        </w:p>
      </w:docPartBody>
    </w:docPart>
    <w:docPart>
      <w:docPartPr>
        <w:name w:val="FA63758C38CE49C3BFA5EC444C7AF448"/>
        <w:category>
          <w:name w:val="General"/>
          <w:gallery w:val="placeholder"/>
        </w:category>
        <w:types>
          <w:type w:val="bbPlcHdr"/>
        </w:types>
        <w:behaviors>
          <w:behavior w:val="content"/>
        </w:behaviors>
        <w:guid w:val="{F71622CC-8AF3-418F-B547-2BD7A1CE4D2E}"/>
      </w:docPartPr>
      <w:docPartBody>
        <w:p w:rsidR="003E3068" w:rsidRDefault="00257B47">
          <w:pPr>
            <w:pStyle w:val="FA63758C38CE49C3BFA5EC444C7AF44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68"/>
    <w:rsid w:val="00111D88"/>
    <w:rsid w:val="00257B47"/>
    <w:rsid w:val="002B13C0"/>
    <w:rsid w:val="003E3068"/>
    <w:rsid w:val="005E4724"/>
    <w:rsid w:val="00637951"/>
    <w:rsid w:val="00734633"/>
    <w:rsid w:val="008428D8"/>
    <w:rsid w:val="00917902"/>
    <w:rsid w:val="00AC388C"/>
    <w:rsid w:val="00C24FA0"/>
    <w:rsid w:val="00C746B0"/>
    <w:rsid w:val="00F91BFC"/>
    <w:rsid w:val="00FB4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A3CCFB4E4148D99C86E81D67FA72F3">
    <w:name w:val="44A3CCFB4E4148D99C86E81D67FA72F3"/>
  </w:style>
  <w:style w:type="paragraph" w:customStyle="1" w:styleId="4DCCAF0AF96B4C61B666234A215F887C">
    <w:name w:val="4DCCAF0AF96B4C61B666234A215F887C"/>
  </w:style>
  <w:style w:type="paragraph" w:customStyle="1" w:styleId="0A4839BFA0DD4C5BA519EF8782DECA13">
    <w:name w:val="0A4839BFA0DD4C5BA519EF8782DECA13"/>
  </w:style>
  <w:style w:type="paragraph" w:customStyle="1" w:styleId="CE2209A937594DF480D2E9FC0030E206">
    <w:name w:val="CE2209A937594DF480D2E9FC0030E206"/>
  </w:style>
  <w:style w:type="paragraph" w:customStyle="1" w:styleId="FA63758C38CE49C3BFA5EC444C7AF448">
    <w:name w:val="FA63758C38CE49C3BFA5EC444C7AF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Gomeroi People v Santos NSW Pty Ltd and Santos NSW (Narrabri Gas) Pty Ltd (No 2) [2024] FCAFC 49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2491BDD-2516-4911-AD38-40105538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10</Pages>
  <Words>2955</Words>
  <Characters>15427</Characters>
  <Application>Microsoft Office Word</Application>
  <DocSecurity>0</DocSecurity>
  <Lines>376</Lines>
  <Paragraphs>148</Paragraphs>
  <ScaleCrop>false</ScaleCrop>
  <HeadingPairs>
    <vt:vector size="2" baseType="variant">
      <vt:variant>
        <vt:lpstr>Title</vt:lpstr>
      </vt:variant>
      <vt:variant>
        <vt:i4>1</vt:i4>
      </vt:variant>
    </vt:vector>
  </HeadingPairs>
  <TitlesOfParts>
    <vt:vector size="1" baseType="lpstr">
      <vt:lpstr>Gomeroi People v Santos NSW Pty Ltd and Santos NSW (Narrabri Gas) Pty Ltd (No 2) [2024] FCAFC 49 </vt:lpstr>
    </vt:vector>
  </TitlesOfParts>
  <Company>Federal Court of Australia</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Gomeroi People v Santos NSW Pty Ltd and Santos NSW (Narrabri Gas) Pty Ltd (No 2) [2024] FCAFC 49</dc:title>
  <dc:creator>Federal Court of Australia</dc:creator>
  <dc:description>v1.3</dc:description>
  <cp:lastModifiedBy>Federal Court of Australia</cp:lastModifiedBy>
  <cp:revision>3</cp:revision>
  <cp:lastPrinted>2024-04-11T22:28:00Z</cp:lastPrinted>
  <dcterms:created xsi:type="dcterms:W3CDTF">2024-04-12T04:43:00Z</dcterms:created>
  <dcterms:modified xsi:type="dcterms:W3CDTF">2024-04-12T04:46:00Z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Native Title</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Santos NSW Pty Ltd v Gomeroi People [2022] NNTTA 74</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