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1BB7" w14:textId="7D686CAE" w:rsidR="00395B24" w:rsidRDefault="00283AAA" w:rsidP="00A22932">
      <w:pPr>
        <w:pStyle w:val="CourtTitle"/>
      </w:pPr>
      <w:r>
        <w:fldChar w:fldCharType="begin"/>
      </w:r>
      <w:r>
        <w:instrText xml:space="preserve"> DOCPROPERTY  Court  \* MERGEFORMAT </w:instrText>
      </w:r>
      <w:r>
        <w:fldChar w:fldCharType="separate"/>
      </w:r>
      <w:r w:rsidR="00497B77">
        <w:t>COPYRIGHT TRIBUNAL of Australia</w:t>
      </w:r>
      <w:r>
        <w:fldChar w:fldCharType="end"/>
      </w:r>
    </w:p>
    <w:p w14:paraId="63C1FB3E" w14:textId="77777777" w:rsidR="004D7950" w:rsidRDefault="004D7950">
      <w:pPr>
        <w:pStyle w:val="NormalHeadings"/>
        <w:jc w:val="center"/>
        <w:rPr>
          <w:sz w:val="32"/>
        </w:rPr>
      </w:pPr>
    </w:p>
    <w:bookmarkStart w:id="0" w:name="MNC"/>
    <w:p w14:paraId="23D06978" w14:textId="33D93BBC" w:rsidR="00374CC4" w:rsidRDefault="00911783" w:rsidP="001A2B40">
      <w:pPr>
        <w:pStyle w:val="MNC"/>
      </w:pPr>
      <w:sdt>
        <w:sdtPr>
          <w:alias w:val="MNC"/>
          <w:tag w:val="MNC"/>
          <w:id w:val="343289786"/>
          <w:lock w:val="sdtLocked"/>
          <w:placeholder>
            <w:docPart w:val="0199D5846E4F4A91A81B4B088D50ACEF"/>
          </w:placeholder>
          <w:dataBinding w:prefixMappings="xmlns:ns0='http://schemas.globalmacros.com/FCA'" w:xpath="/ns0:root[1]/ns0:Name[1]" w:storeItemID="{687E7CCB-4AA5-44E7-B148-17BA2B6F57C0}"/>
          <w:text w:multiLine="1"/>
        </w:sdtPr>
        <w:sdtEndPr/>
        <w:sdtContent>
          <w:r w:rsidR="0000532F">
            <w:t>Reference by APRA AMCOS (Summonses)</w:t>
          </w:r>
          <w:r w:rsidR="00715751">
            <w:t xml:space="preserve"> </w:t>
          </w:r>
          <w:r w:rsidR="00732638">
            <w:t xml:space="preserve">[2022] </w:t>
          </w:r>
          <w:proofErr w:type="spellStart"/>
          <w:r w:rsidR="00732638">
            <w:t>ACopyT</w:t>
          </w:r>
          <w:proofErr w:type="spellEnd"/>
          <w:r w:rsidR="00732638">
            <w:t xml:space="preserve"> 4</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28F6F03C" w14:textId="77777777" w:rsidTr="0000532F">
        <w:tc>
          <w:tcPr>
            <w:tcW w:w="3084" w:type="dxa"/>
            <w:shd w:val="clear" w:color="auto" w:fill="auto"/>
          </w:tcPr>
          <w:p w14:paraId="0D6AE24F" w14:textId="1FF4567D" w:rsidR="00395B24" w:rsidRDefault="0000532F" w:rsidP="0000532F">
            <w:pPr>
              <w:pStyle w:val="Normal1linespace"/>
              <w:widowControl w:val="0"/>
              <w:jc w:val="left"/>
            </w:pPr>
            <w:r>
              <w:t>File number</w:t>
            </w:r>
            <w:r w:rsidR="002C7385">
              <w:t>:</w:t>
            </w:r>
          </w:p>
        </w:tc>
        <w:tc>
          <w:tcPr>
            <w:tcW w:w="5989" w:type="dxa"/>
            <w:shd w:val="clear" w:color="auto" w:fill="auto"/>
          </w:tcPr>
          <w:p w14:paraId="5878AFA3" w14:textId="60D7FE4C" w:rsidR="00395B24" w:rsidRPr="00497B77" w:rsidRDefault="006F7395" w:rsidP="00497B77">
            <w:pPr>
              <w:pStyle w:val="Normal1linespace"/>
              <w:jc w:val="left"/>
            </w:pPr>
            <w:fldSimple w:instr=" REF  FileNo  \* MERGEFORMAT " w:fldLock="1">
              <w:r w:rsidR="00497B77" w:rsidRPr="00497B77">
                <w:t>CT 1 of 2021</w:t>
              </w:r>
            </w:fldSimple>
          </w:p>
        </w:tc>
      </w:tr>
      <w:tr w:rsidR="00395B24" w14:paraId="2F2129E5" w14:textId="77777777" w:rsidTr="0000532F">
        <w:tc>
          <w:tcPr>
            <w:tcW w:w="3084" w:type="dxa"/>
            <w:shd w:val="clear" w:color="auto" w:fill="auto"/>
          </w:tcPr>
          <w:p w14:paraId="246AF67B" w14:textId="77777777" w:rsidR="00395B24" w:rsidRDefault="00395B24" w:rsidP="00663878">
            <w:pPr>
              <w:pStyle w:val="Normal1linespace"/>
              <w:widowControl w:val="0"/>
              <w:jc w:val="left"/>
            </w:pPr>
          </w:p>
        </w:tc>
        <w:tc>
          <w:tcPr>
            <w:tcW w:w="5989" w:type="dxa"/>
            <w:shd w:val="clear" w:color="auto" w:fill="auto"/>
          </w:tcPr>
          <w:p w14:paraId="367E8781" w14:textId="77777777" w:rsidR="00395B24" w:rsidRDefault="00395B24" w:rsidP="00663878">
            <w:pPr>
              <w:pStyle w:val="Normal1linespace"/>
              <w:widowControl w:val="0"/>
              <w:jc w:val="left"/>
            </w:pPr>
          </w:p>
        </w:tc>
      </w:tr>
      <w:tr w:rsidR="00395B24" w14:paraId="7E5DE154" w14:textId="77777777" w:rsidTr="0000532F">
        <w:tc>
          <w:tcPr>
            <w:tcW w:w="3084" w:type="dxa"/>
            <w:shd w:val="clear" w:color="auto" w:fill="auto"/>
          </w:tcPr>
          <w:p w14:paraId="2650FB5A" w14:textId="79BBAC6C" w:rsidR="00395B24" w:rsidRDefault="007E6459" w:rsidP="00663878">
            <w:pPr>
              <w:pStyle w:val="Normal1linespace"/>
              <w:widowControl w:val="0"/>
              <w:jc w:val="left"/>
            </w:pPr>
            <w:r>
              <w:t>The</w:t>
            </w:r>
            <w:r w:rsidR="00A65CA8">
              <w:t xml:space="preserve"> Tribunal</w:t>
            </w:r>
            <w:r w:rsidR="002C7385">
              <w:t>:</w:t>
            </w:r>
          </w:p>
        </w:tc>
        <w:tc>
          <w:tcPr>
            <w:tcW w:w="5989" w:type="dxa"/>
            <w:shd w:val="clear" w:color="auto" w:fill="auto"/>
          </w:tcPr>
          <w:p w14:paraId="0BC77847" w14:textId="6A217603" w:rsidR="00395B24" w:rsidRDefault="002C7385" w:rsidP="00663878">
            <w:pPr>
              <w:pStyle w:val="Normal1linespace"/>
              <w:widowControl w:val="0"/>
              <w:jc w:val="left"/>
              <w:rPr>
                <w:b/>
              </w:rPr>
            </w:pPr>
            <w:r w:rsidRPr="00497B77">
              <w:rPr>
                <w:b/>
              </w:rPr>
              <w:fldChar w:fldCharType="begin" w:fldLock="1"/>
            </w:r>
            <w:r w:rsidRPr="00497B77">
              <w:rPr>
                <w:b/>
              </w:rPr>
              <w:instrText xml:space="preserve"> REF  Judge  \* MERGEFORMAT </w:instrText>
            </w:r>
            <w:r w:rsidRPr="00497B77">
              <w:rPr>
                <w:b/>
              </w:rPr>
              <w:fldChar w:fldCharType="separate"/>
            </w:r>
            <w:r w:rsidR="00497B77" w:rsidRPr="00497B77">
              <w:rPr>
                <w:b/>
                <w:caps/>
                <w:szCs w:val="24"/>
              </w:rPr>
              <w:t>PERRAM J</w:t>
            </w:r>
            <w:r w:rsidRPr="00497B77">
              <w:rPr>
                <w:b/>
              </w:rPr>
              <w:fldChar w:fldCharType="end"/>
            </w:r>
            <w:r w:rsidR="00564C98">
              <w:rPr>
                <w:b/>
              </w:rPr>
              <w:t xml:space="preserve"> (DEPUTY PRESIDENT) </w:t>
            </w:r>
          </w:p>
        </w:tc>
      </w:tr>
      <w:tr w:rsidR="00395B24" w14:paraId="3D5D8A4F" w14:textId="77777777" w:rsidTr="0000532F">
        <w:tc>
          <w:tcPr>
            <w:tcW w:w="3084" w:type="dxa"/>
            <w:shd w:val="clear" w:color="auto" w:fill="auto"/>
          </w:tcPr>
          <w:p w14:paraId="729A53CA" w14:textId="77777777" w:rsidR="00395B24" w:rsidRDefault="00395B24" w:rsidP="00663878">
            <w:pPr>
              <w:pStyle w:val="Normal1linespace"/>
              <w:widowControl w:val="0"/>
              <w:jc w:val="left"/>
            </w:pPr>
          </w:p>
        </w:tc>
        <w:tc>
          <w:tcPr>
            <w:tcW w:w="5989" w:type="dxa"/>
            <w:shd w:val="clear" w:color="auto" w:fill="auto"/>
          </w:tcPr>
          <w:p w14:paraId="258D6B63" w14:textId="77777777" w:rsidR="00395B24" w:rsidRDefault="00395B24" w:rsidP="00663878">
            <w:pPr>
              <w:pStyle w:val="Normal1linespace"/>
              <w:widowControl w:val="0"/>
              <w:jc w:val="left"/>
            </w:pPr>
          </w:p>
        </w:tc>
      </w:tr>
      <w:tr w:rsidR="00395B24" w14:paraId="36792975" w14:textId="77777777" w:rsidTr="0000532F">
        <w:tc>
          <w:tcPr>
            <w:tcW w:w="3084" w:type="dxa"/>
            <w:shd w:val="clear" w:color="auto" w:fill="auto"/>
          </w:tcPr>
          <w:p w14:paraId="488FCE44" w14:textId="2FD2A452" w:rsidR="00395B24" w:rsidRDefault="002C7385" w:rsidP="009C288E">
            <w:pPr>
              <w:pStyle w:val="Normal1linespace"/>
              <w:widowControl w:val="0"/>
              <w:jc w:val="left"/>
            </w:pPr>
            <w:r>
              <w:t xml:space="preserve">Date of </w:t>
            </w:r>
            <w:r w:rsidR="009C288E">
              <w:t>decision</w:t>
            </w:r>
            <w:r>
              <w:t>:</w:t>
            </w:r>
          </w:p>
        </w:tc>
        <w:tc>
          <w:tcPr>
            <w:tcW w:w="5989" w:type="dxa"/>
            <w:shd w:val="clear" w:color="auto" w:fill="auto"/>
          </w:tcPr>
          <w:p w14:paraId="4FE8F12D" w14:textId="55FF2B39" w:rsidR="00395B24" w:rsidRDefault="00393EC7" w:rsidP="00663878">
            <w:pPr>
              <w:pStyle w:val="Normal1linespace"/>
              <w:widowControl w:val="0"/>
              <w:jc w:val="left"/>
            </w:pPr>
            <w:bookmarkStart w:id="1" w:name="JudgmentDate"/>
            <w:r>
              <w:t>11</w:t>
            </w:r>
            <w:r w:rsidR="00564C98">
              <w:t xml:space="preserve"> July 2022</w:t>
            </w:r>
            <w:bookmarkEnd w:id="1"/>
          </w:p>
        </w:tc>
      </w:tr>
      <w:tr w:rsidR="00395B24" w14:paraId="2E265119" w14:textId="77777777" w:rsidTr="0000532F">
        <w:tc>
          <w:tcPr>
            <w:tcW w:w="3084" w:type="dxa"/>
            <w:shd w:val="clear" w:color="auto" w:fill="auto"/>
          </w:tcPr>
          <w:p w14:paraId="61384CBC" w14:textId="77777777" w:rsidR="00395B24" w:rsidRDefault="00395B24" w:rsidP="00663878">
            <w:pPr>
              <w:pStyle w:val="Normal1linespace"/>
              <w:widowControl w:val="0"/>
              <w:jc w:val="left"/>
            </w:pPr>
          </w:p>
        </w:tc>
        <w:tc>
          <w:tcPr>
            <w:tcW w:w="5989" w:type="dxa"/>
            <w:shd w:val="clear" w:color="auto" w:fill="auto"/>
          </w:tcPr>
          <w:p w14:paraId="47E4C354" w14:textId="77777777" w:rsidR="00395B24" w:rsidRDefault="00395B24" w:rsidP="00663878">
            <w:pPr>
              <w:pStyle w:val="Normal1linespace"/>
              <w:widowControl w:val="0"/>
              <w:jc w:val="left"/>
            </w:pPr>
          </w:p>
        </w:tc>
      </w:tr>
      <w:tr w:rsidR="00395B24" w14:paraId="656D72BC" w14:textId="77777777" w:rsidTr="0000532F">
        <w:tc>
          <w:tcPr>
            <w:tcW w:w="3084" w:type="dxa"/>
            <w:shd w:val="clear" w:color="auto" w:fill="auto"/>
          </w:tcPr>
          <w:p w14:paraId="0F01EEEC" w14:textId="77777777" w:rsidR="00395B24" w:rsidRDefault="002C7385" w:rsidP="00663878">
            <w:pPr>
              <w:pStyle w:val="Normal1linespace"/>
              <w:widowControl w:val="0"/>
              <w:jc w:val="left"/>
            </w:pPr>
            <w:r>
              <w:t>Catchwords:</w:t>
            </w:r>
          </w:p>
        </w:tc>
        <w:tc>
          <w:tcPr>
            <w:tcW w:w="5989" w:type="dxa"/>
            <w:shd w:val="clear" w:color="auto" w:fill="auto"/>
          </w:tcPr>
          <w:p w14:paraId="5837881C" w14:textId="5D488E64" w:rsidR="00395B24" w:rsidRDefault="0000532F" w:rsidP="0000532F">
            <w:pPr>
              <w:pStyle w:val="Normal1linespace"/>
              <w:widowControl w:val="0"/>
              <w:jc w:val="left"/>
            </w:pPr>
            <w:bookmarkStart w:id="2" w:name="Catchwords"/>
            <w:r w:rsidRPr="0000532F">
              <w:rPr>
                <w:b/>
              </w:rPr>
              <w:t>PRACTICE AND PROCEDURE</w:t>
            </w:r>
            <w:r>
              <w:t xml:space="preserve"> – application to issue summons – where summonses objected to</w:t>
            </w:r>
            <w:r w:rsidR="00715751">
              <w:t xml:space="preserve"> </w:t>
            </w:r>
            <w:r w:rsidR="002C7385">
              <w:t xml:space="preserve"> </w:t>
            </w:r>
            <w:bookmarkEnd w:id="2"/>
          </w:p>
        </w:tc>
      </w:tr>
      <w:tr w:rsidR="00395B24" w14:paraId="5E5A8436" w14:textId="77777777" w:rsidTr="0000532F">
        <w:tc>
          <w:tcPr>
            <w:tcW w:w="3084" w:type="dxa"/>
            <w:shd w:val="clear" w:color="auto" w:fill="auto"/>
          </w:tcPr>
          <w:p w14:paraId="32D78AF6" w14:textId="77777777" w:rsidR="00395B24" w:rsidRDefault="00395B24" w:rsidP="00663878">
            <w:pPr>
              <w:pStyle w:val="Normal1linespace"/>
              <w:widowControl w:val="0"/>
              <w:jc w:val="left"/>
            </w:pPr>
          </w:p>
        </w:tc>
        <w:tc>
          <w:tcPr>
            <w:tcW w:w="5989" w:type="dxa"/>
            <w:shd w:val="clear" w:color="auto" w:fill="auto"/>
          </w:tcPr>
          <w:p w14:paraId="11FAD217" w14:textId="77777777" w:rsidR="00395B24" w:rsidRDefault="00395B24" w:rsidP="00663878">
            <w:pPr>
              <w:pStyle w:val="Normal1linespace"/>
              <w:widowControl w:val="0"/>
              <w:jc w:val="left"/>
            </w:pPr>
          </w:p>
        </w:tc>
      </w:tr>
      <w:tr w:rsidR="00395B24" w14:paraId="7EF409E9" w14:textId="77777777" w:rsidTr="0000532F">
        <w:tc>
          <w:tcPr>
            <w:tcW w:w="3084" w:type="dxa"/>
            <w:shd w:val="clear" w:color="auto" w:fill="auto"/>
          </w:tcPr>
          <w:p w14:paraId="518EECE0" w14:textId="77777777" w:rsidR="00395B24" w:rsidRDefault="002C7385" w:rsidP="00663878">
            <w:pPr>
              <w:pStyle w:val="Normal1linespace"/>
              <w:widowControl w:val="0"/>
              <w:jc w:val="left"/>
            </w:pPr>
            <w:r>
              <w:t>Legislation:</w:t>
            </w:r>
          </w:p>
        </w:tc>
        <w:tc>
          <w:tcPr>
            <w:tcW w:w="5989" w:type="dxa"/>
            <w:shd w:val="clear" w:color="auto" w:fill="auto"/>
          </w:tcPr>
          <w:p w14:paraId="73221E5F" w14:textId="4379FA28" w:rsidR="00395B24" w:rsidRDefault="003A305C" w:rsidP="00D82620">
            <w:pPr>
              <w:pStyle w:val="CasesLegislationAppealFrom"/>
              <w:spacing w:after="60"/>
            </w:pPr>
            <w:bookmarkStart w:id="3" w:name="Legislation"/>
            <w:r>
              <w:rPr>
                <w:i/>
              </w:rPr>
              <w:t xml:space="preserve">Copyright Act 1968 </w:t>
            </w:r>
            <w:r>
              <w:t>(</w:t>
            </w:r>
            <w:proofErr w:type="spellStart"/>
            <w:r>
              <w:t>Cth</w:t>
            </w:r>
            <w:proofErr w:type="spellEnd"/>
            <w:r>
              <w:t xml:space="preserve">) </w:t>
            </w:r>
            <w:proofErr w:type="spellStart"/>
            <w:r>
              <w:t>ss</w:t>
            </w:r>
            <w:proofErr w:type="spellEnd"/>
            <w:r>
              <w:t xml:space="preserve"> 154, </w:t>
            </w:r>
            <w:r w:rsidR="005E5841">
              <w:t xml:space="preserve">164, </w:t>
            </w:r>
            <w:r>
              <w:t xml:space="preserve">167(3), 172(2) </w:t>
            </w:r>
            <w:r w:rsidR="00715751">
              <w:t xml:space="preserve">  </w:t>
            </w:r>
            <w:r w:rsidR="002C7385">
              <w:t xml:space="preserve"> </w:t>
            </w:r>
            <w:bookmarkEnd w:id="3"/>
          </w:p>
        </w:tc>
      </w:tr>
      <w:tr w:rsidR="00395B24" w14:paraId="793D0E00" w14:textId="77777777" w:rsidTr="0000532F">
        <w:tc>
          <w:tcPr>
            <w:tcW w:w="3084" w:type="dxa"/>
            <w:shd w:val="clear" w:color="auto" w:fill="auto"/>
          </w:tcPr>
          <w:p w14:paraId="732D22F5" w14:textId="77777777" w:rsidR="00395B24" w:rsidRDefault="00395B24" w:rsidP="00663878">
            <w:pPr>
              <w:pStyle w:val="Normal1linespace"/>
              <w:widowControl w:val="0"/>
              <w:jc w:val="left"/>
            </w:pPr>
          </w:p>
        </w:tc>
        <w:tc>
          <w:tcPr>
            <w:tcW w:w="5989" w:type="dxa"/>
            <w:shd w:val="clear" w:color="auto" w:fill="auto"/>
          </w:tcPr>
          <w:p w14:paraId="25A2FFD3" w14:textId="77777777" w:rsidR="00395B24" w:rsidRDefault="00395B24" w:rsidP="00663878">
            <w:pPr>
              <w:pStyle w:val="Normal1linespace"/>
              <w:widowControl w:val="0"/>
              <w:jc w:val="left"/>
            </w:pPr>
          </w:p>
        </w:tc>
      </w:tr>
      <w:tr w:rsidR="00395B24" w14:paraId="3110904E" w14:textId="77777777" w:rsidTr="0000532F">
        <w:tc>
          <w:tcPr>
            <w:tcW w:w="3084" w:type="dxa"/>
            <w:shd w:val="clear" w:color="auto" w:fill="auto"/>
          </w:tcPr>
          <w:p w14:paraId="364F19BA" w14:textId="77777777" w:rsidR="00395B24" w:rsidRDefault="002C7385" w:rsidP="00663878">
            <w:pPr>
              <w:pStyle w:val="Normal1linespace"/>
              <w:widowControl w:val="0"/>
              <w:jc w:val="left"/>
            </w:pPr>
            <w:r>
              <w:t>Cases cited:</w:t>
            </w:r>
          </w:p>
        </w:tc>
        <w:tc>
          <w:tcPr>
            <w:tcW w:w="5989" w:type="dxa"/>
            <w:shd w:val="clear" w:color="auto" w:fill="auto"/>
          </w:tcPr>
          <w:p w14:paraId="4B5512D6" w14:textId="2ABE3158" w:rsidR="00F6414B" w:rsidRPr="00732638" w:rsidRDefault="003A305C" w:rsidP="00D82620">
            <w:pPr>
              <w:pStyle w:val="CasesLegislationAppealFrom"/>
              <w:spacing w:after="60"/>
            </w:pPr>
            <w:bookmarkStart w:id="4" w:name="Cases_Cited"/>
            <w:r>
              <w:rPr>
                <w:i/>
              </w:rPr>
              <w:t xml:space="preserve">Gloucester Shire Council v Fitch Ratings, </w:t>
            </w:r>
            <w:proofErr w:type="spellStart"/>
            <w:r>
              <w:rPr>
                <w:i/>
              </w:rPr>
              <w:t>Inc</w:t>
            </w:r>
            <w:proofErr w:type="spellEnd"/>
            <w:r>
              <w:rPr>
                <w:i/>
              </w:rPr>
              <w:t xml:space="preserve"> </w:t>
            </w:r>
            <w:r>
              <w:t xml:space="preserve">[2016] FCA </w:t>
            </w:r>
            <w:r w:rsidRPr="00732638">
              <w:t>587</w:t>
            </w:r>
          </w:p>
          <w:p w14:paraId="5C4AA617" w14:textId="049E5608" w:rsidR="00F6414B" w:rsidRDefault="00F6414B" w:rsidP="00D82620">
            <w:pPr>
              <w:pStyle w:val="CasesLegislationAppealFrom"/>
              <w:spacing w:after="60"/>
            </w:pPr>
            <w:r w:rsidRPr="00732638">
              <w:rPr>
                <w:i/>
              </w:rPr>
              <w:t xml:space="preserve">Reference by Phonographic Performance Company of Australia Ltd </w:t>
            </w:r>
            <w:r w:rsidR="00283AAA" w:rsidRPr="00732638">
              <w:t xml:space="preserve">[2009] </w:t>
            </w:r>
            <w:proofErr w:type="spellStart"/>
            <w:r w:rsidR="00283AAA" w:rsidRPr="00732638">
              <w:t>ACopyT</w:t>
            </w:r>
            <w:proofErr w:type="spellEnd"/>
            <w:r w:rsidR="00283AAA" w:rsidRPr="00732638">
              <w:t xml:space="preserve"> 1; </w:t>
            </w:r>
            <w:r w:rsidR="00004C5D" w:rsidRPr="00732638">
              <w:t>84 IPR 393</w:t>
            </w:r>
          </w:p>
          <w:p w14:paraId="565F6EE2" w14:textId="669161D6" w:rsidR="00F6414B" w:rsidRDefault="00F6414B" w:rsidP="00D82620">
            <w:pPr>
              <w:pStyle w:val="CasesLegislationAppealFrom"/>
              <w:spacing w:after="60"/>
            </w:pPr>
            <w:r>
              <w:rPr>
                <w:i/>
              </w:rPr>
              <w:t xml:space="preserve">Jones v </w:t>
            </w:r>
            <w:proofErr w:type="spellStart"/>
            <w:r>
              <w:rPr>
                <w:i/>
              </w:rPr>
              <w:t>Dunkel</w:t>
            </w:r>
            <w:proofErr w:type="spellEnd"/>
            <w:r>
              <w:rPr>
                <w:i/>
              </w:rPr>
              <w:t xml:space="preserve"> </w:t>
            </w:r>
            <w:r w:rsidR="009D7E31">
              <w:t>(1959) 101 CLR 298</w:t>
            </w:r>
          </w:p>
          <w:p w14:paraId="26C8E10A" w14:textId="036E12E1" w:rsidR="00F6414B" w:rsidRDefault="00F6414B" w:rsidP="00D82620">
            <w:pPr>
              <w:pStyle w:val="CasesLegislationAppealFrom"/>
              <w:spacing w:after="60"/>
            </w:pPr>
            <w:r>
              <w:rPr>
                <w:i/>
              </w:rPr>
              <w:t xml:space="preserve">Re John Dee (Export) Pty Ltd </w:t>
            </w:r>
            <w:r>
              <w:t>(1990) ATPR 41-006</w:t>
            </w:r>
          </w:p>
          <w:p w14:paraId="139AB4A3" w14:textId="390ABE51" w:rsidR="00395B24" w:rsidRDefault="00F6414B" w:rsidP="00283AAA">
            <w:pPr>
              <w:pStyle w:val="CasesLegislationAppealFrom"/>
              <w:spacing w:after="60"/>
            </w:pPr>
            <w:r>
              <w:rPr>
                <w:i/>
              </w:rPr>
              <w:t xml:space="preserve">Sabre Corporation Pty Ltd v Russ Kalvin’s Hair Co </w:t>
            </w:r>
            <w:r>
              <w:t xml:space="preserve">(1993) </w:t>
            </w:r>
            <w:r w:rsidR="009A2D1C">
              <w:t>46 FCR 428</w:t>
            </w:r>
            <w:r w:rsidR="00715751">
              <w:t xml:space="preserve"> </w:t>
            </w:r>
            <w:r w:rsidR="002C7385">
              <w:t xml:space="preserve"> </w:t>
            </w:r>
            <w:bookmarkEnd w:id="4"/>
          </w:p>
        </w:tc>
      </w:tr>
      <w:tr w:rsidR="00BE356B" w14:paraId="5C41AA7C" w14:textId="77777777" w:rsidTr="0000532F">
        <w:tc>
          <w:tcPr>
            <w:tcW w:w="3084" w:type="dxa"/>
            <w:shd w:val="clear" w:color="auto" w:fill="auto"/>
          </w:tcPr>
          <w:p w14:paraId="637CD7ED" w14:textId="77777777" w:rsidR="00BE356B" w:rsidRDefault="00BE356B" w:rsidP="00A930D3">
            <w:pPr>
              <w:pStyle w:val="Normal1linespace"/>
              <w:widowControl w:val="0"/>
            </w:pPr>
          </w:p>
        </w:tc>
        <w:tc>
          <w:tcPr>
            <w:tcW w:w="5989" w:type="dxa"/>
            <w:shd w:val="clear" w:color="auto" w:fill="auto"/>
          </w:tcPr>
          <w:p w14:paraId="477485E6" w14:textId="77777777" w:rsidR="00BE356B" w:rsidRDefault="00BE356B" w:rsidP="00A930D3">
            <w:pPr>
              <w:pStyle w:val="Normal1linespace"/>
              <w:widowControl w:val="0"/>
              <w:jc w:val="left"/>
            </w:pPr>
          </w:p>
        </w:tc>
      </w:tr>
      <w:tr w:rsidR="00BE356B" w14:paraId="54DCB814" w14:textId="77777777" w:rsidTr="0000532F">
        <w:tc>
          <w:tcPr>
            <w:tcW w:w="3084" w:type="dxa"/>
            <w:shd w:val="clear" w:color="auto" w:fill="auto"/>
          </w:tcPr>
          <w:p w14:paraId="33B05124" w14:textId="77777777" w:rsidR="00BE356B" w:rsidRDefault="00BE356B" w:rsidP="00501A12">
            <w:pPr>
              <w:pStyle w:val="Normal1linespace"/>
              <w:widowControl w:val="0"/>
            </w:pPr>
            <w:r>
              <w:t>Number of paragraphs:</w:t>
            </w:r>
          </w:p>
        </w:tc>
        <w:tc>
          <w:tcPr>
            <w:tcW w:w="5989" w:type="dxa"/>
            <w:shd w:val="clear" w:color="auto" w:fill="auto"/>
          </w:tcPr>
          <w:p w14:paraId="0E25A2A1" w14:textId="138D2F58" w:rsidR="00BE356B" w:rsidRDefault="0000532F" w:rsidP="00501A12">
            <w:pPr>
              <w:pStyle w:val="Normal1linespace"/>
              <w:widowControl w:val="0"/>
              <w:jc w:val="left"/>
            </w:pPr>
            <w:bookmarkStart w:id="5" w:name="PlaceCategoryParagraphs"/>
            <w:r>
              <w:t>80</w:t>
            </w:r>
            <w:bookmarkEnd w:id="5"/>
          </w:p>
        </w:tc>
      </w:tr>
      <w:tr w:rsidR="00BE356B" w14:paraId="1A38E4CD" w14:textId="77777777" w:rsidTr="0000532F">
        <w:tc>
          <w:tcPr>
            <w:tcW w:w="3084" w:type="dxa"/>
            <w:shd w:val="clear" w:color="auto" w:fill="auto"/>
          </w:tcPr>
          <w:p w14:paraId="328EBCF2" w14:textId="77777777" w:rsidR="00BE356B" w:rsidRDefault="00BE356B" w:rsidP="00BE356B">
            <w:pPr>
              <w:pStyle w:val="Normal1linespace"/>
              <w:widowControl w:val="0"/>
              <w:jc w:val="left"/>
            </w:pPr>
          </w:p>
        </w:tc>
        <w:tc>
          <w:tcPr>
            <w:tcW w:w="5989" w:type="dxa"/>
            <w:shd w:val="clear" w:color="auto" w:fill="auto"/>
          </w:tcPr>
          <w:p w14:paraId="28F3560C" w14:textId="77777777" w:rsidR="00BE356B" w:rsidRDefault="00BE356B" w:rsidP="00BE356B">
            <w:pPr>
              <w:pStyle w:val="Normal1linespace"/>
              <w:widowControl w:val="0"/>
              <w:jc w:val="left"/>
            </w:pPr>
          </w:p>
        </w:tc>
      </w:tr>
      <w:tr w:rsidR="00BE356B" w14:paraId="5FFD0A37" w14:textId="77777777" w:rsidTr="0000532F">
        <w:tc>
          <w:tcPr>
            <w:tcW w:w="3084" w:type="dxa"/>
            <w:shd w:val="clear" w:color="auto" w:fill="auto"/>
          </w:tcPr>
          <w:p w14:paraId="13AE492B" w14:textId="4EB830F5" w:rsidR="00BE356B" w:rsidRDefault="0000532F" w:rsidP="00BE356B">
            <w:pPr>
              <w:pStyle w:val="Normal1linespace"/>
              <w:widowControl w:val="0"/>
              <w:jc w:val="left"/>
            </w:pPr>
            <w:r>
              <w:t>Date of last submission</w:t>
            </w:r>
            <w:r w:rsidR="00BE356B">
              <w:t>s:</w:t>
            </w:r>
          </w:p>
        </w:tc>
        <w:tc>
          <w:tcPr>
            <w:tcW w:w="5989" w:type="dxa"/>
            <w:shd w:val="clear" w:color="auto" w:fill="auto"/>
          </w:tcPr>
          <w:p w14:paraId="2039AF0B" w14:textId="6AECA5ED" w:rsidR="00BE356B" w:rsidRDefault="0000532F" w:rsidP="00BE356B">
            <w:pPr>
              <w:pStyle w:val="Normal1linespace"/>
              <w:widowControl w:val="0"/>
              <w:jc w:val="left"/>
            </w:pPr>
            <w:r>
              <w:t>26 April 2022</w:t>
            </w:r>
          </w:p>
        </w:tc>
      </w:tr>
      <w:tr w:rsidR="00BE356B" w14:paraId="7FEFC275" w14:textId="77777777" w:rsidTr="0000532F">
        <w:tc>
          <w:tcPr>
            <w:tcW w:w="3084" w:type="dxa"/>
            <w:shd w:val="clear" w:color="auto" w:fill="auto"/>
          </w:tcPr>
          <w:p w14:paraId="097DDC4A" w14:textId="77777777" w:rsidR="00BE356B" w:rsidRDefault="00BE356B" w:rsidP="00BE356B">
            <w:pPr>
              <w:pStyle w:val="Normal1linespace"/>
              <w:widowControl w:val="0"/>
              <w:jc w:val="left"/>
            </w:pPr>
          </w:p>
        </w:tc>
        <w:tc>
          <w:tcPr>
            <w:tcW w:w="5989" w:type="dxa"/>
            <w:shd w:val="clear" w:color="auto" w:fill="auto"/>
          </w:tcPr>
          <w:p w14:paraId="3C78C379" w14:textId="77777777" w:rsidR="00BE356B" w:rsidRDefault="00BE356B" w:rsidP="00BE356B">
            <w:pPr>
              <w:pStyle w:val="Normal1linespace"/>
              <w:widowControl w:val="0"/>
              <w:jc w:val="left"/>
            </w:pPr>
          </w:p>
        </w:tc>
      </w:tr>
      <w:tr w:rsidR="00BE356B" w14:paraId="31B36D62" w14:textId="77777777" w:rsidTr="0000532F">
        <w:tc>
          <w:tcPr>
            <w:tcW w:w="3084" w:type="dxa"/>
            <w:shd w:val="clear" w:color="auto" w:fill="auto"/>
          </w:tcPr>
          <w:p w14:paraId="2C0409FA" w14:textId="77777777" w:rsidR="00BE356B" w:rsidRDefault="00BE356B" w:rsidP="00BE356B">
            <w:pPr>
              <w:pStyle w:val="Normal1linespace"/>
              <w:widowControl w:val="0"/>
              <w:jc w:val="left"/>
            </w:pPr>
            <w:bookmarkStart w:id="6" w:name="CounselDate" w:colFirst="0" w:colLast="2"/>
            <w:r w:rsidRPr="006A24E3">
              <w:t>Date of hearing:</w:t>
            </w:r>
          </w:p>
        </w:tc>
        <w:tc>
          <w:tcPr>
            <w:tcW w:w="5989" w:type="dxa"/>
            <w:shd w:val="clear" w:color="auto" w:fill="auto"/>
          </w:tcPr>
          <w:p w14:paraId="31FF7EE2" w14:textId="13B4C400" w:rsidR="00BE356B" w:rsidRDefault="0000532F" w:rsidP="00BE356B">
            <w:pPr>
              <w:pStyle w:val="Normal1linespace"/>
              <w:widowControl w:val="0"/>
              <w:jc w:val="left"/>
            </w:pPr>
            <w:bookmarkStart w:id="7" w:name="HearingDate"/>
            <w:r>
              <w:t>Determined on the papers</w:t>
            </w:r>
            <w:r w:rsidR="00BE356B">
              <w:t xml:space="preserve"> </w:t>
            </w:r>
            <w:bookmarkEnd w:id="7"/>
          </w:p>
        </w:tc>
      </w:tr>
      <w:tr w:rsidR="00BE356B" w14:paraId="49D4BC7F" w14:textId="77777777" w:rsidTr="0000532F">
        <w:tc>
          <w:tcPr>
            <w:tcW w:w="3084" w:type="dxa"/>
            <w:shd w:val="clear" w:color="auto" w:fill="auto"/>
          </w:tcPr>
          <w:p w14:paraId="4B7814CE" w14:textId="77777777" w:rsidR="00BE356B" w:rsidRDefault="00BE356B" w:rsidP="00BE356B">
            <w:pPr>
              <w:pStyle w:val="Normal1linespace"/>
              <w:widowControl w:val="0"/>
              <w:jc w:val="left"/>
            </w:pPr>
          </w:p>
        </w:tc>
        <w:tc>
          <w:tcPr>
            <w:tcW w:w="5989" w:type="dxa"/>
            <w:shd w:val="clear" w:color="auto" w:fill="auto"/>
          </w:tcPr>
          <w:p w14:paraId="58C2F242" w14:textId="77777777" w:rsidR="00BE356B" w:rsidRDefault="00BE356B" w:rsidP="00BE356B">
            <w:pPr>
              <w:pStyle w:val="Normal1linespace"/>
              <w:widowControl w:val="0"/>
              <w:jc w:val="left"/>
            </w:pPr>
          </w:p>
        </w:tc>
      </w:tr>
      <w:tr w:rsidR="00497B77" w14:paraId="34B6AB24" w14:textId="77777777" w:rsidTr="0000532F">
        <w:tc>
          <w:tcPr>
            <w:tcW w:w="3084" w:type="dxa"/>
            <w:shd w:val="clear" w:color="auto" w:fill="auto"/>
          </w:tcPr>
          <w:p w14:paraId="66927712" w14:textId="0809D7A9" w:rsidR="00497B77" w:rsidRDefault="0000532F" w:rsidP="00497B77">
            <w:pPr>
              <w:pStyle w:val="Normal1linespace"/>
              <w:widowControl w:val="0"/>
              <w:jc w:val="left"/>
            </w:pPr>
            <w:bookmarkStart w:id="8" w:name="Counsel" w:colFirst="0" w:colLast="2"/>
            <w:bookmarkEnd w:id="6"/>
            <w:r>
              <w:t>Counsel for the Applicant</w:t>
            </w:r>
            <w:r w:rsidR="00CD3D94">
              <w:t>s</w:t>
            </w:r>
            <w:r>
              <w:t>:</w:t>
            </w:r>
          </w:p>
        </w:tc>
        <w:tc>
          <w:tcPr>
            <w:tcW w:w="5989" w:type="dxa"/>
            <w:shd w:val="clear" w:color="auto" w:fill="auto"/>
          </w:tcPr>
          <w:p w14:paraId="1BEED6E4" w14:textId="56653A4E" w:rsidR="00497B77" w:rsidRDefault="0000532F" w:rsidP="00761C81">
            <w:pPr>
              <w:pStyle w:val="Normal1linespace"/>
              <w:widowControl w:val="0"/>
              <w:jc w:val="left"/>
            </w:pPr>
            <w:bookmarkStart w:id="9" w:name="AppCounsel"/>
            <w:bookmarkEnd w:id="9"/>
            <w:r>
              <w:t xml:space="preserve">Mr M Hall SC with Ms R De Stoop and Ms M </w:t>
            </w:r>
            <w:proofErr w:type="spellStart"/>
            <w:r>
              <w:t>Evetts</w:t>
            </w:r>
            <w:proofErr w:type="spellEnd"/>
            <w:r>
              <w:t xml:space="preserve"> </w:t>
            </w:r>
          </w:p>
        </w:tc>
      </w:tr>
      <w:tr w:rsidR="0000532F" w14:paraId="46482080" w14:textId="77777777" w:rsidTr="0000532F">
        <w:tc>
          <w:tcPr>
            <w:tcW w:w="3084" w:type="dxa"/>
            <w:shd w:val="clear" w:color="auto" w:fill="auto"/>
          </w:tcPr>
          <w:p w14:paraId="48A2A3BC" w14:textId="77777777" w:rsidR="0000532F" w:rsidRDefault="0000532F" w:rsidP="00497B77">
            <w:pPr>
              <w:pStyle w:val="Normal1linespace"/>
              <w:widowControl w:val="0"/>
              <w:jc w:val="left"/>
            </w:pPr>
          </w:p>
        </w:tc>
        <w:tc>
          <w:tcPr>
            <w:tcW w:w="5989" w:type="dxa"/>
            <w:shd w:val="clear" w:color="auto" w:fill="auto"/>
          </w:tcPr>
          <w:p w14:paraId="22703904" w14:textId="77777777" w:rsidR="0000532F" w:rsidRDefault="0000532F" w:rsidP="00497B77">
            <w:pPr>
              <w:pStyle w:val="Normal1linespace"/>
              <w:widowControl w:val="0"/>
              <w:jc w:val="left"/>
            </w:pPr>
          </w:p>
        </w:tc>
      </w:tr>
      <w:tr w:rsidR="0000532F" w14:paraId="4FA22327" w14:textId="77777777" w:rsidTr="0000532F">
        <w:tc>
          <w:tcPr>
            <w:tcW w:w="3084" w:type="dxa"/>
            <w:shd w:val="clear" w:color="auto" w:fill="auto"/>
          </w:tcPr>
          <w:p w14:paraId="7AB2CA98" w14:textId="6EDB1059" w:rsidR="0000532F" w:rsidRDefault="0000532F" w:rsidP="00497B77">
            <w:pPr>
              <w:pStyle w:val="Normal1linespace"/>
              <w:widowControl w:val="0"/>
              <w:jc w:val="left"/>
            </w:pPr>
            <w:r>
              <w:t>Solicitor for the Applicant</w:t>
            </w:r>
            <w:r w:rsidR="00CD3D94">
              <w:t>s</w:t>
            </w:r>
            <w:r>
              <w:t>:</w:t>
            </w:r>
          </w:p>
        </w:tc>
        <w:tc>
          <w:tcPr>
            <w:tcW w:w="5989" w:type="dxa"/>
            <w:shd w:val="clear" w:color="auto" w:fill="auto"/>
          </w:tcPr>
          <w:p w14:paraId="38131890" w14:textId="587E0D96" w:rsidR="0000532F" w:rsidRDefault="0000532F" w:rsidP="00497B77">
            <w:pPr>
              <w:pStyle w:val="Normal1linespace"/>
              <w:widowControl w:val="0"/>
              <w:jc w:val="left"/>
            </w:pPr>
            <w:proofErr w:type="spellStart"/>
            <w:r>
              <w:t>Banki</w:t>
            </w:r>
            <w:proofErr w:type="spellEnd"/>
            <w:r>
              <w:t xml:space="preserve"> Haddock </w:t>
            </w:r>
            <w:proofErr w:type="spellStart"/>
            <w:r>
              <w:t>Fiora</w:t>
            </w:r>
            <w:proofErr w:type="spellEnd"/>
          </w:p>
        </w:tc>
      </w:tr>
      <w:tr w:rsidR="0000532F" w14:paraId="643AF8B6" w14:textId="77777777" w:rsidTr="0000532F">
        <w:tc>
          <w:tcPr>
            <w:tcW w:w="3084" w:type="dxa"/>
            <w:shd w:val="clear" w:color="auto" w:fill="auto"/>
          </w:tcPr>
          <w:p w14:paraId="66624F49" w14:textId="77777777" w:rsidR="0000532F" w:rsidRDefault="0000532F" w:rsidP="00497B77">
            <w:pPr>
              <w:pStyle w:val="Normal1linespace"/>
              <w:widowControl w:val="0"/>
              <w:jc w:val="left"/>
            </w:pPr>
          </w:p>
        </w:tc>
        <w:tc>
          <w:tcPr>
            <w:tcW w:w="5989" w:type="dxa"/>
            <w:shd w:val="clear" w:color="auto" w:fill="auto"/>
          </w:tcPr>
          <w:p w14:paraId="648883F3" w14:textId="77777777" w:rsidR="0000532F" w:rsidRDefault="0000532F" w:rsidP="00497B77">
            <w:pPr>
              <w:pStyle w:val="Normal1linespace"/>
              <w:widowControl w:val="0"/>
              <w:jc w:val="left"/>
            </w:pPr>
          </w:p>
        </w:tc>
      </w:tr>
      <w:tr w:rsidR="0000532F" w14:paraId="53E681FB" w14:textId="77777777" w:rsidTr="0000532F">
        <w:tc>
          <w:tcPr>
            <w:tcW w:w="3084" w:type="dxa"/>
            <w:shd w:val="clear" w:color="auto" w:fill="auto"/>
          </w:tcPr>
          <w:p w14:paraId="6A92397E" w14:textId="1B77B3DB" w:rsidR="0000532F" w:rsidRDefault="00083699" w:rsidP="00083699">
            <w:pPr>
              <w:pStyle w:val="Normal1linespace"/>
              <w:widowControl w:val="0"/>
              <w:jc w:val="left"/>
            </w:pPr>
            <w:r>
              <w:t>Counsel for Stan Entertainment Pty Ltd</w:t>
            </w:r>
            <w:r w:rsidR="0000532F">
              <w:t>:</w:t>
            </w:r>
          </w:p>
        </w:tc>
        <w:tc>
          <w:tcPr>
            <w:tcW w:w="5989" w:type="dxa"/>
            <w:shd w:val="clear" w:color="auto" w:fill="auto"/>
          </w:tcPr>
          <w:p w14:paraId="06B47483" w14:textId="4D0C810B" w:rsidR="0000532F" w:rsidRDefault="0000532F" w:rsidP="00497B77">
            <w:pPr>
              <w:pStyle w:val="Normal1linespace"/>
              <w:widowControl w:val="0"/>
              <w:jc w:val="left"/>
            </w:pPr>
            <w:r>
              <w:t xml:space="preserve">Ms A Campbell </w:t>
            </w:r>
          </w:p>
        </w:tc>
      </w:tr>
      <w:tr w:rsidR="0000532F" w14:paraId="7F512410" w14:textId="77777777" w:rsidTr="0000532F">
        <w:tc>
          <w:tcPr>
            <w:tcW w:w="3084" w:type="dxa"/>
            <w:shd w:val="clear" w:color="auto" w:fill="auto"/>
          </w:tcPr>
          <w:p w14:paraId="3EB05EA0" w14:textId="77777777" w:rsidR="0000532F" w:rsidRDefault="0000532F" w:rsidP="00497B77">
            <w:pPr>
              <w:pStyle w:val="Normal1linespace"/>
              <w:widowControl w:val="0"/>
              <w:jc w:val="left"/>
            </w:pPr>
          </w:p>
        </w:tc>
        <w:tc>
          <w:tcPr>
            <w:tcW w:w="5989" w:type="dxa"/>
            <w:shd w:val="clear" w:color="auto" w:fill="auto"/>
          </w:tcPr>
          <w:p w14:paraId="0F2AFDA4" w14:textId="77777777" w:rsidR="0000532F" w:rsidRDefault="0000532F" w:rsidP="00497B77">
            <w:pPr>
              <w:pStyle w:val="Normal1linespace"/>
              <w:widowControl w:val="0"/>
              <w:jc w:val="left"/>
            </w:pPr>
          </w:p>
        </w:tc>
      </w:tr>
      <w:tr w:rsidR="0000532F" w14:paraId="0A92067A" w14:textId="77777777" w:rsidTr="0000532F">
        <w:tc>
          <w:tcPr>
            <w:tcW w:w="3084" w:type="dxa"/>
            <w:shd w:val="clear" w:color="auto" w:fill="auto"/>
          </w:tcPr>
          <w:p w14:paraId="3A4CECF8" w14:textId="4D24B7C8" w:rsidR="0000532F" w:rsidRDefault="0000532F" w:rsidP="00497B77">
            <w:pPr>
              <w:pStyle w:val="Normal1linespace"/>
              <w:widowControl w:val="0"/>
              <w:jc w:val="left"/>
            </w:pPr>
            <w:r>
              <w:t xml:space="preserve">Solicitor </w:t>
            </w:r>
            <w:r w:rsidR="00083699">
              <w:t>Stan Entertainment Pty Ltd</w:t>
            </w:r>
            <w:r>
              <w:t>:</w:t>
            </w:r>
          </w:p>
        </w:tc>
        <w:tc>
          <w:tcPr>
            <w:tcW w:w="5989" w:type="dxa"/>
            <w:shd w:val="clear" w:color="auto" w:fill="auto"/>
          </w:tcPr>
          <w:p w14:paraId="342BACD4" w14:textId="25F3CF91" w:rsidR="0000532F" w:rsidRDefault="0000532F" w:rsidP="00497B77">
            <w:pPr>
              <w:pStyle w:val="Normal1linespace"/>
              <w:widowControl w:val="0"/>
              <w:jc w:val="left"/>
            </w:pPr>
            <w:proofErr w:type="spellStart"/>
            <w:r>
              <w:t>MinterEllison</w:t>
            </w:r>
            <w:proofErr w:type="spellEnd"/>
          </w:p>
        </w:tc>
      </w:tr>
      <w:tr w:rsidR="0000532F" w14:paraId="0E0E3B4A" w14:textId="77777777" w:rsidTr="0000532F">
        <w:tc>
          <w:tcPr>
            <w:tcW w:w="3084" w:type="dxa"/>
            <w:shd w:val="clear" w:color="auto" w:fill="auto"/>
          </w:tcPr>
          <w:p w14:paraId="618A8F32" w14:textId="77777777" w:rsidR="0000532F" w:rsidRDefault="0000532F" w:rsidP="00497B77">
            <w:pPr>
              <w:pStyle w:val="Normal1linespace"/>
              <w:widowControl w:val="0"/>
              <w:jc w:val="left"/>
            </w:pPr>
          </w:p>
        </w:tc>
        <w:tc>
          <w:tcPr>
            <w:tcW w:w="5989" w:type="dxa"/>
            <w:shd w:val="clear" w:color="auto" w:fill="auto"/>
          </w:tcPr>
          <w:p w14:paraId="1BA46D9F" w14:textId="77777777" w:rsidR="0000532F" w:rsidRDefault="0000532F" w:rsidP="00497B77">
            <w:pPr>
              <w:pStyle w:val="Normal1linespace"/>
              <w:widowControl w:val="0"/>
              <w:jc w:val="left"/>
            </w:pPr>
          </w:p>
        </w:tc>
      </w:tr>
      <w:tr w:rsidR="0000532F" w14:paraId="3EC6F2B4" w14:textId="77777777" w:rsidTr="0000532F">
        <w:tc>
          <w:tcPr>
            <w:tcW w:w="3084" w:type="dxa"/>
            <w:shd w:val="clear" w:color="auto" w:fill="auto"/>
          </w:tcPr>
          <w:p w14:paraId="3A879DFE" w14:textId="20DEB4ED" w:rsidR="0000532F" w:rsidRDefault="00083699" w:rsidP="00083699">
            <w:pPr>
              <w:pStyle w:val="Normal1linespace"/>
              <w:widowControl w:val="0"/>
              <w:jc w:val="left"/>
            </w:pPr>
            <w:r>
              <w:t>Counsel for Apple Pty Ltd</w:t>
            </w:r>
            <w:r w:rsidR="00B113F0">
              <w:t>:</w:t>
            </w:r>
          </w:p>
        </w:tc>
        <w:tc>
          <w:tcPr>
            <w:tcW w:w="5989" w:type="dxa"/>
            <w:shd w:val="clear" w:color="auto" w:fill="auto"/>
          </w:tcPr>
          <w:p w14:paraId="7FC4DFB4" w14:textId="19A95E86" w:rsidR="0000532F" w:rsidRDefault="0000532F" w:rsidP="00497B77">
            <w:pPr>
              <w:pStyle w:val="Normal1linespace"/>
              <w:widowControl w:val="0"/>
              <w:jc w:val="left"/>
            </w:pPr>
            <w:r>
              <w:t>Ms F St John</w:t>
            </w:r>
          </w:p>
        </w:tc>
      </w:tr>
      <w:tr w:rsidR="0000532F" w14:paraId="607712EA" w14:textId="77777777" w:rsidTr="0000532F">
        <w:tc>
          <w:tcPr>
            <w:tcW w:w="3084" w:type="dxa"/>
            <w:shd w:val="clear" w:color="auto" w:fill="auto"/>
          </w:tcPr>
          <w:p w14:paraId="72D69939" w14:textId="77777777" w:rsidR="0000532F" w:rsidRDefault="0000532F" w:rsidP="00497B77">
            <w:pPr>
              <w:pStyle w:val="Normal1linespace"/>
              <w:widowControl w:val="0"/>
              <w:jc w:val="left"/>
            </w:pPr>
          </w:p>
        </w:tc>
        <w:tc>
          <w:tcPr>
            <w:tcW w:w="5989" w:type="dxa"/>
            <w:shd w:val="clear" w:color="auto" w:fill="auto"/>
          </w:tcPr>
          <w:p w14:paraId="2DC10204" w14:textId="77777777" w:rsidR="0000532F" w:rsidRDefault="0000532F" w:rsidP="00497B77">
            <w:pPr>
              <w:pStyle w:val="Normal1linespace"/>
              <w:widowControl w:val="0"/>
              <w:jc w:val="left"/>
            </w:pPr>
          </w:p>
        </w:tc>
      </w:tr>
      <w:tr w:rsidR="0000532F" w14:paraId="7851F85E" w14:textId="77777777" w:rsidTr="0000532F">
        <w:tc>
          <w:tcPr>
            <w:tcW w:w="3084" w:type="dxa"/>
            <w:shd w:val="clear" w:color="auto" w:fill="auto"/>
          </w:tcPr>
          <w:p w14:paraId="23C66EB1" w14:textId="6C9A1CA0" w:rsidR="0000532F" w:rsidRDefault="0000532F" w:rsidP="00083699">
            <w:pPr>
              <w:pStyle w:val="Normal1linespace"/>
              <w:widowControl w:val="0"/>
              <w:jc w:val="left"/>
            </w:pPr>
            <w:r>
              <w:t xml:space="preserve">Solicitor for </w:t>
            </w:r>
            <w:r w:rsidR="00083699">
              <w:t>Apple Pty Ltd</w:t>
            </w:r>
            <w:r>
              <w:t>:</w:t>
            </w:r>
          </w:p>
        </w:tc>
        <w:tc>
          <w:tcPr>
            <w:tcW w:w="5989" w:type="dxa"/>
            <w:shd w:val="clear" w:color="auto" w:fill="auto"/>
          </w:tcPr>
          <w:p w14:paraId="0E91540C" w14:textId="7DA344B3" w:rsidR="0000532F" w:rsidRDefault="0000532F" w:rsidP="00497B77">
            <w:pPr>
              <w:pStyle w:val="Normal1linespace"/>
              <w:widowControl w:val="0"/>
              <w:jc w:val="left"/>
            </w:pPr>
            <w:r>
              <w:t xml:space="preserve">Clayton </w:t>
            </w:r>
            <w:proofErr w:type="spellStart"/>
            <w:r>
              <w:t>Utz</w:t>
            </w:r>
            <w:proofErr w:type="spellEnd"/>
          </w:p>
        </w:tc>
      </w:tr>
      <w:tr w:rsidR="0000532F" w14:paraId="1D150319" w14:textId="77777777" w:rsidTr="0000532F">
        <w:tc>
          <w:tcPr>
            <w:tcW w:w="3084" w:type="dxa"/>
            <w:shd w:val="clear" w:color="auto" w:fill="auto"/>
          </w:tcPr>
          <w:p w14:paraId="1A06477A" w14:textId="77777777" w:rsidR="0000532F" w:rsidRDefault="0000532F" w:rsidP="00497B77">
            <w:pPr>
              <w:pStyle w:val="Normal1linespace"/>
              <w:widowControl w:val="0"/>
              <w:jc w:val="left"/>
            </w:pPr>
          </w:p>
        </w:tc>
        <w:tc>
          <w:tcPr>
            <w:tcW w:w="5989" w:type="dxa"/>
            <w:shd w:val="clear" w:color="auto" w:fill="auto"/>
          </w:tcPr>
          <w:p w14:paraId="7DF0E1D7" w14:textId="77777777" w:rsidR="0000532F" w:rsidRDefault="0000532F" w:rsidP="00497B77">
            <w:pPr>
              <w:pStyle w:val="Normal1linespace"/>
              <w:widowControl w:val="0"/>
              <w:jc w:val="left"/>
            </w:pPr>
          </w:p>
        </w:tc>
      </w:tr>
      <w:tr w:rsidR="0000532F" w14:paraId="08BEE13F" w14:textId="77777777" w:rsidTr="0000532F">
        <w:tc>
          <w:tcPr>
            <w:tcW w:w="3084" w:type="dxa"/>
            <w:shd w:val="clear" w:color="auto" w:fill="auto"/>
          </w:tcPr>
          <w:p w14:paraId="7878CD57" w14:textId="232E8F5C" w:rsidR="0000532F" w:rsidRDefault="0000532F" w:rsidP="00083699">
            <w:pPr>
              <w:pStyle w:val="Normal1linespace"/>
              <w:widowControl w:val="0"/>
              <w:jc w:val="left"/>
            </w:pPr>
            <w:r>
              <w:t xml:space="preserve">Solicitor for </w:t>
            </w:r>
            <w:r w:rsidR="00083699">
              <w:t xml:space="preserve">Netflix, </w:t>
            </w:r>
            <w:proofErr w:type="spellStart"/>
            <w:r w:rsidR="00083699">
              <w:t>Inc</w:t>
            </w:r>
            <w:proofErr w:type="spellEnd"/>
            <w:r>
              <w:t>:</w:t>
            </w:r>
          </w:p>
        </w:tc>
        <w:tc>
          <w:tcPr>
            <w:tcW w:w="5989" w:type="dxa"/>
            <w:shd w:val="clear" w:color="auto" w:fill="auto"/>
          </w:tcPr>
          <w:p w14:paraId="4D6A795E" w14:textId="62C771FC" w:rsidR="0000532F" w:rsidRDefault="0000532F" w:rsidP="00497B77">
            <w:pPr>
              <w:pStyle w:val="Normal1linespace"/>
              <w:widowControl w:val="0"/>
              <w:jc w:val="left"/>
            </w:pPr>
            <w:r>
              <w:t>Simpsons Solicitors</w:t>
            </w:r>
          </w:p>
        </w:tc>
      </w:tr>
      <w:tr w:rsidR="0000532F" w14:paraId="54B34301" w14:textId="77777777" w:rsidTr="0000532F">
        <w:tc>
          <w:tcPr>
            <w:tcW w:w="3084" w:type="dxa"/>
            <w:shd w:val="clear" w:color="auto" w:fill="auto"/>
          </w:tcPr>
          <w:p w14:paraId="633CADE7" w14:textId="77777777" w:rsidR="0000532F" w:rsidRDefault="0000532F" w:rsidP="00497B77">
            <w:pPr>
              <w:pStyle w:val="Normal1linespace"/>
              <w:widowControl w:val="0"/>
              <w:jc w:val="left"/>
            </w:pPr>
          </w:p>
        </w:tc>
        <w:tc>
          <w:tcPr>
            <w:tcW w:w="5989" w:type="dxa"/>
            <w:shd w:val="clear" w:color="auto" w:fill="auto"/>
          </w:tcPr>
          <w:p w14:paraId="29E86D3B" w14:textId="77777777" w:rsidR="0000532F" w:rsidRDefault="0000532F" w:rsidP="00497B77">
            <w:pPr>
              <w:pStyle w:val="Normal1linespace"/>
              <w:widowControl w:val="0"/>
              <w:jc w:val="left"/>
            </w:pPr>
          </w:p>
        </w:tc>
      </w:tr>
      <w:tr w:rsidR="0000532F" w14:paraId="44B7C5E2" w14:textId="77777777" w:rsidTr="0000532F">
        <w:tc>
          <w:tcPr>
            <w:tcW w:w="3084" w:type="dxa"/>
            <w:shd w:val="clear" w:color="auto" w:fill="auto"/>
          </w:tcPr>
          <w:p w14:paraId="4F7BFB4C" w14:textId="20C3FB36" w:rsidR="0000532F" w:rsidRDefault="0000532F" w:rsidP="00B113F0">
            <w:pPr>
              <w:pStyle w:val="Normal1linespace"/>
              <w:widowControl w:val="0"/>
              <w:jc w:val="left"/>
            </w:pPr>
            <w:r>
              <w:t xml:space="preserve">Counsel for </w:t>
            </w:r>
            <w:r w:rsidR="00B113F0">
              <w:t xml:space="preserve">the Walt Disney </w:t>
            </w:r>
            <w:r w:rsidR="00B113F0">
              <w:lastRenderedPageBreak/>
              <w:t>Company (Australia) Pty Ltd</w:t>
            </w:r>
            <w:r w:rsidR="00083699">
              <w:t>:</w:t>
            </w:r>
          </w:p>
        </w:tc>
        <w:tc>
          <w:tcPr>
            <w:tcW w:w="5989" w:type="dxa"/>
            <w:shd w:val="clear" w:color="auto" w:fill="auto"/>
          </w:tcPr>
          <w:p w14:paraId="6264810D" w14:textId="173FE5B0" w:rsidR="0000532F" w:rsidRDefault="0000532F" w:rsidP="00497B77">
            <w:pPr>
              <w:pStyle w:val="Normal1linespace"/>
              <w:widowControl w:val="0"/>
              <w:jc w:val="left"/>
            </w:pPr>
            <w:r>
              <w:lastRenderedPageBreak/>
              <w:t>Ms J</w:t>
            </w:r>
            <w:r w:rsidR="00083699">
              <w:t xml:space="preserve"> M</w:t>
            </w:r>
            <w:r>
              <w:t xml:space="preserve"> Beaumont</w:t>
            </w:r>
          </w:p>
        </w:tc>
      </w:tr>
      <w:tr w:rsidR="0000532F" w14:paraId="5779DB26" w14:textId="77777777" w:rsidTr="0000532F">
        <w:tc>
          <w:tcPr>
            <w:tcW w:w="3084" w:type="dxa"/>
            <w:shd w:val="clear" w:color="auto" w:fill="auto"/>
          </w:tcPr>
          <w:p w14:paraId="12C879F4" w14:textId="77777777" w:rsidR="0000532F" w:rsidRDefault="0000532F" w:rsidP="00497B77">
            <w:pPr>
              <w:pStyle w:val="Normal1linespace"/>
              <w:widowControl w:val="0"/>
              <w:jc w:val="left"/>
            </w:pPr>
          </w:p>
        </w:tc>
        <w:tc>
          <w:tcPr>
            <w:tcW w:w="5989" w:type="dxa"/>
            <w:shd w:val="clear" w:color="auto" w:fill="auto"/>
          </w:tcPr>
          <w:p w14:paraId="2FFB51B2" w14:textId="77777777" w:rsidR="0000532F" w:rsidRDefault="0000532F" w:rsidP="00497B77">
            <w:pPr>
              <w:pStyle w:val="Normal1linespace"/>
              <w:widowControl w:val="0"/>
              <w:jc w:val="left"/>
            </w:pPr>
          </w:p>
        </w:tc>
      </w:tr>
      <w:tr w:rsidR="0000532F" w14:paraId="40F02ED6" w14:textId="77777777" w:rsidTr="0000532F">
        <w:tc>
          <w:tcPr>
            <w:tcW w:w="3084" w:type="dxa"/>
            <w:shd w:val="clear" w:color="auto" w:fill="auto"/>
          </w:tcPr>
          <w:p w14:paraId="613CF338" w14:textId="7F50ABB6" w:rsidR="0000532F" w:rsidRDefault="0000532F" w:rsidP="00083699">
            <w:pPr>
              <w:pStyle w:val="Normal1linespace"/>
              <w:widowControl w:val="0"/>
              <w:jc w:val="left"/>
            </w:pPr>
            <w:r>
              <w:t xml:space="preserve">Solicitor for the </w:t>
            </w:r>
            <w:r w:rsidR="00083699">
              <w:t>Walt Disney Company (Australia) Pty Ltd</w:t>
            </w:r>
            <w:r>
              <w:t>:</w:t>
            </w:r>
          </w:p>
        </w:tc>
        <w:tc>
          <w:tcPr>
            <w:tcW w:w="5989" w:type="dxa"/>
            <w:shd w:val="clear" w:color="auto" w:fill="auto"/>
          </w:tcPr>
          <w:p w14:paraId="7A4B9716" w14:textId="47B24DDA" w:rsidR="0000532F" w:rsidRDefault="0000532F" w:rsidP="00497B77">
            <w:pPr>
              <w:pStyle w:val="Normal1linespace"/>
              <w:widowControl w:val="0"/>
              <w:jc w:val="left"/>
            </w:pPr>
            <w:proofErr w:type="spellStart"/>
            <w:r>
              <w:t>Ashurst</w:t>
            </w:r>
            <w:proofErr w:type="spellEnd"/>
          </w:p>
        </w:tc>
      </w:tr>
      <w:tr w:rsidR="0000532F" w14:paraId="480F78D1" w14:textId="77777777" w:rsidTr="0000532F">
        <w:tc>
          <w:tcPr>
            <w:tcW w:w="3084" w:type="dxa"/>
            <w:shd w:val="clear" w:color="auto" w:fill="auto"/>
          </w:tcPr>
          <w:p w14:paraId="0DD4761F" w14:textId="77777777" w:rsidR="0000532F" w:rsidRDefault="0000532F" w:rsidP="00497B77">
            <w:pPr>
              <w:pStyle w:val="Normal1linespace"/>
              <w:widowControl w:val="0"/>
              <w:jc w:val="left"/>
            </w:pPr>
          </w:p>
        </w:tc>
        <w:tc>
          <w:tcPr>
            <w:tcW w:w="5989" w:type="dxa"/>
            <w:shd w:val="clear" w:color="auto" w:fill="auto"/>
          </w:tcPr>
          <w:p w14:paraId="2AC44ECB" w14:textId="77777777" w:rsidR="0000532F" w:rsidRDefault="0000532F" w:rsidP="00497B77">
            <w:pPr>
              <w:pStyle w:val="Normal1linespace"/>
              <w:widowControl w:val="0"/>
              <w:jc w:val="left"/>
            </w:pPr>
          </w:p>
        </w:tc>
      </w:tr>
      <w:tr w:rsidR="0000532F" w14:paraId="26ABE249" w14:textId="77777777" w:rsidTr="0000532F">
        <w:tc>
          <w:tcPr>
            <w:tcW w:w="3084" w:type="dxa"/>
            <w:shd w:val="clear" w:color="auto" w:fill="auto"/>
          </w:tcPr>
          <w:p w14:paraId="3A591772" w14:textId="21F16CEC" w:rsidR="0000532F" w:rsidRDefault="0000532F" w:rsidP="00083699">
            <w:pPr>
              <w:pStyle w:val="Normal1linespace"/>
              <w:widowControl w:val="0"/>
              <w:jc w:val="left"/>
            </w:pPr>
            <w:r>
              <w:t>Solicitor for</w:t>
            </w:r>
            <w:r w:rsidR="00083699">
              <w:t xml:space="preserve"> Network Ten All Access Pty Ltd: </w:t>
            </w:r>
          </w:p>
        </w:tc>
        <w:tc>
          <w:tcPr>
            <w:tcW w:w="5989" w:type="dxa"/>
            <w:shd w:val="clear" w:color="auto" w:fill="auto"/>
          </w:tcPr>
          <w:p w14:paraId="06E552F3" w14:textId="20499515" w:rsidR="0000532F" w:rsidRDefault="0000532F" w:rsidP="00497B77">
            <w:pPr>
              <w:pStyle w:val="Normal1linespace"/>
              <w:widowControl w:val="0"/>
              <w:jc w:val="left"/>
            </w:pPr>
            <w:r>
              <w:t>Baker McKenzie</w:t>
            </w:r>
          </w:p>
        </w:tc>
      </w:tr>
      <w:bookmarkEnd w:id="8"/>
    </w:tbl>
    <w:p w14:paraId="7B8AC6CB" w14:textId="77777777" w:rsidR="007470BD" w:rsidRDefault="007470BD">
      <w:pPr>
        <w:pStyle w:val="Normal1linespace"/>
      </w:pPr>
    </w:p>
    <w:p w14:paraId="15F942A6" w14:textId="77777777" w:rsidR="00E94CBF" w:rsidRDefault="00E94CBF">
      <w:pPr>
        <w:pStyle w:val="Normal1linespace"/>
      </w:pPr>
    </w:p>
    <w:p w14:paraId="167EA4B6"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13819BC2"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31F2F60B" w14:textId="77777777" w:rsidTr="00CE71A8">
        <w:tc>
          <w:tcPr>
            <w:tcW w:w="6912" w:type="dxa"/>
            <w:gridSpan w:val="2"/>
          </w:tcPr>
          <w:p w14:paraId="6E411972" w14:textId="4FD82E7A" w:rsidR="00A46CCC" w:rsidRPr="001765E0" w:rsidRDefault="00497B77" w:rsidP="00525A49">
            <w:pPr>
              <w:pStyle w:val="NormalHeadings"/>
            </w:pPr>
            <w:r>
              <w:t>IN THE COPYRIGHT TRIBUNAL</w:t>
            </w:r>
          </w:p>
        </w:tc>
        <w:tc>
          <w:tcPr>
            <w:tcW w:w="2330" w:type="dxa"/>
          </w:tcPr>
          <w:p w14:paraId="527A1E8D" w14:textId="6F813C87" w:rsidR="00A46CCC" w:rsidRDefault="00564C98" w:rsidP="00F92355">
            <w:pPr>
              <w:pStyle w:val="NormalHeadings"/>
              <w:jc w:val="right"/>
            </w:pPr>
            <w:bookmarkStart w:id="10" w:name="FileNo"/>
            <w:r>
              <w:t>CT 1 of 2021</w:t>
            </w:r>
            <w:bookmarkEnd w:id="10"/>
          </w:p>
        </w:tc>
      </w:tr>
      <w:tr w:rsidR="00A76C13" w14:paraId="35A3E3D3" w14:textId="77777777" w:rsidTr="00CE71A8">
        <w:tc>
          <w:tcPr>
            <w:tcW w:w="9242" w:type="dxa"/>
            <w:gridSpan w:val="3"/>
          </w:tcPr>
          <w:p w14:paraId="50D5D046" w14:textId="268D1987" w:rsidR="00A76C13" w:rsidRPr="00A76C13" w:rsidRDefault="00A76C13" w:rsidP="00497B77">
            <w:pPr>
              <w:pStyle w:val="NormalHeadings"/>
              <w:jc w:val="left"/>
            </w:pPr>
          </w:p>
        </w:tc>
      </w:tr>
      <w:tr w:rsidR="00A46CCC" w14:paraId="31373EB2" w14:textId="77777777" w:rsidTr="00CE71A8">
        <w:trPr>
          <w:trHeight w:val="386"/>
        </w:trPr>
        <w:tc>
          <w:tcPr>
            <w:tcW w:w="2376" w:type="dxa"/>
          </w:tcPr>
          <w:p w14:paraId="6B67D9AF" w14:textId="2E527D4D" w:rsidR="00497B77" w:rsidRDefault="00497B77" w:rsidP="00497B77">
            <w:pPr>
              <w:pStyle w:val="NormalHeadings"/>
              <w:jc w:val="left"/>
              <w:rPr>
                <w:caps/>
                <w:szCs w:val="24"/>
              </w:rPr>
            </w:pPr>
            <w:bookmarkStart w:id="11" w:name="Parties"/>
            <w:r>
              <w:rPr>
                <w:caps/>
                <w:szCs w:val="24"/>
              </w:rPr>
              <w:t>reference by:</w:t>
            </w:r>
          </w:p>
        </w:tc>
        <w:tc>
          <w:tcPr>
            <w:tcW w:w="6866" w:type="dxa"/>
            <w:gridSpan w:val="2"/>
          </w:tcPr>
          <w:p w14:paraId="7E99C8DA" w14:textId="77777777" w:rsidR="00497B77" w:rsidRDefault="00497B77" w:rsidP="00497B77">
            <w:pPr>
              <w:pStyle w:val="Default"/>
              <w:rPr>
                <w:sz w:val="23"/>
                <w:szCs w:val="23"/>
              </w:rPr>
            </w:pPr>
            <w:bookmarkStart w:id="12" w:name="Applicant"/>
            <w:r>
              <w:rPr>
                <w:b/>
                <w:bCs/>
                <w:sz w:val="23"/>
                <w:szCs w:val="23"/>
              </w:rPr>
              <w:t xml:space="preserve">AUSTRALASIAN PERFORMING RIGHT ASSOCIATION LIMITED ABN 42 000 016 099 </w:t>
            </w:r>
          </w:p>
          <w:p w14:paraId="62C75983" w14:textId="16B00444" w:rsidR="00497B77" w:rsidRDefault="00497B77" w:rsidP="00497B77">
            <w:pPr>
              <w:pStyle w:val="Default"/>
              <w:rPr>
                <w:sz w:val="23"/>
                <w:szCs w:val="23"/>
              </w:rPr>
            </w:pPr>
          </w:p>
          <w:p w14:paraId="0D53D214" w14:textId="77777777" w:rsidR="00497B77" w:rsidRDefault="00497B77" w:rsidP="00497B77">
            <w:pPr>
              <w:pStyle w:val="Default"/>
              <w:rPr>
                <w:sz w:val="23"/>
                <w:szCs w:val="23"/>
              </w:rPr>
            </w:pPr>
            <w:r>
              <w:rPr>
                <w:b/>
                <w:bCs/>
                <w:sz w:val="23"/>
                <w:szCs w:val="23"/>
              </w:rPr>
              <w:t xml:space="preserve">AUSTRALASIAN MECHANICAL COPYRIGHT OWNERS’ SOCIETY LIMITED ABN 78 001 678 851 </w:t>
            </w:r>
          </w:p>
          <w:p w14:paraId="561080C3" w14:textId="3A74AA43" w:rsidR="00497B77" w:rsidRDefault="00497B77" w:rsidP="00497B77">
            <w:pPr>
              <w:pStyle w:val="Default"/>
            </w:pPr>
            <w:r>
              <w:t>Applicant</w:t>
            </w:r>
            <w:r w:rsidR="00CE71A8">
              <w:t>s</w:t>
            </w:r>
          </w:p>
          <w:bookmarkEnd w:id="12"/>
          <w:p w14:paraId="0A170C15" w14:textId="2C5F10B3" w:rsidR="00A46CCC" w:rsidRPr="006555B4" w:rsidRDefault="00A46CCC" w:rsidP="00BE356B">
            <w:pPr>
              <w:pStyle w:val="NormalHeadings"/>
              <w:jc w:val="left"/>
            </w:pPr>
          </w:p>
        </w:tc>
      </w:tr>
    </w:tbl>
    <w:p w14:paraId="0E1035FA" w14:textId="77777777" w:rsidR="00395B24" w:rsidRDefault="00395B24">
      <w:pPr>
        <w:pStyle w:val="NormalHeadings"/>
      </w:pPr>
      <w:bookmarkStart w:id="13" w:name="CrossClaimPosition"/>
      <w:bookmarkEnd w:id="11"/>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553153C7" w14:textId="77777777">
        <w:tc>
          <w:tcPr>
            <w:tcW w:w="2376" w:type="dxa"/>
          </w:tcPr>
          <w:p w14:paraId="1EF36707" w14:textId="296A9509" w:rsidR="00395B24" w:rsidRDefault="00CE71A8">
            <w:pPr>
              <w:pStyle w:val="NormalHeadings"/>
              <w:spacing w:after="120"/>
              <w:jc w:val="left"/>
              <w:rPr>
                <w:caps/>
                <w:szCs w:val="24"/>
              </w:rPr>
            </w:pPr>
            <w:r>
              <w:rPr>
                <w:caps/>
                <w:szCs w:val="24"/>
              </w:rPr>
              <w:t>TRIBUNAL</w:t>
            </w:r>
            <w:r w:rsidR="002C7385">
              <w:rPr>
                <w:caps/>
                <w:szCs w:val="24"/>
              </w:rPr>
              <w:t>:</w:t>
            </w:r>
          </w:p>
        </w:tc>
        <w:tc>
          <w:tcPr>
            <w:tcW w:w="6866" w:type="dxa"/>
          </w:tcPr>
          <w:p w14:paraId="7AC43BA6" w14:textId="1F7524A3" w:rsidR="00395B24" w:rsidRDefault="00564C98">
            <w:pPr>
              <w:pStyle w:val="NormalHeadings"/>
              <w:jc w:val="left"/>
              <w:rPr>
                <w:caps/>
                <w:szCs w:val="24"/>
              </w:rPr>
            </w:pPr>
            <w:bookmarkStart w:id="14" w:name="Judge"/>
            <w:r>
              <w:rPr>
                <w:caps/>
                <w:szCs w:val="24"/>
              </w:rPr>
              <w:t>PERRAM J</w:t>
            </w:r>
            <w:bookmarkEnd w:id="14"/>
            <w:r w:rsidR="00CE71A8">
              <w:rPr>
                <w:caps/>
                <w:szCs w:val="24"/>
              </w:rPr>
              <w:t xml:space="preserve"> (DEPUTY PRESIDENT)</w:t>
            </w:r>
          </w:p>
        </w:tc>
      </w:tr>
      <w:tr w:rsidR="00395B24" w14:paraId="626534B2" w14:textId="77777777">
        <w:tc>
          <w:tcPr>
            <w:tcW w:w="2376" w:type="dxa"/>
          </w:tcPr>
          <w:p w14:paraId="6067D886" w14:textId="77777777" w:rsidR="00395B24" w:rsidRDefault="002C7385">
            <w:pPr>
              <w:pStyle w:val="NormalHeadings"/>
              <w:spacing w:after="120"/>
              <w:jc w:val="left"/>
              <w:rPr>
                <w:caps/>
                <w:szCs w:val="24"/>
              </w:rPr>
            </w:pPr>
            <w:r>
              <w:rPr>
                <w:caps/>
                <w:szCs w:val="24"/>
              </w:rPr>
              <w:t>DATE OF ORDER:</w:t>
            </w:r>
          </w:p>
        </w:tc>
        <w:tc>
          <w:tcPr>
            <w:tcW w:w="6866" w:type="dxa"/>
          </w:tcPr>
          <w:p w14:paraId="0AEA87B7" w14:textId="54060808" w:rsidR="00395B24" w:rsidRDefault="00393EC7">
            <w:pPr>
              <w:pStyle w:val="NormalHeadings"/>
              <w:jc w:val="left"/>
              <w:rPr>
                <w:caps/>
                <w:szCs w:val="24"/>
              </w:rPr>
            </w:pPr>
            <w:bookmarkStart w:id="15" w:name="Judgment_Dated"/>
            <w:r>
              <w:rPr>
                <w:caps/>
                <w:szCs w:val="24"/>
              </w:rPr>
              <w:t>11</w:t>
            </w:r>
            <w:r w:rsidR="00564C98">
              <w:rPr>
                <w:caps/>
                <w:szCs w:val="24"/>
              </w:rPr>
              <w:t xml:space="preserve"> JULY 2022</w:t>
            </w:r>
            <w:bookmarkEnd w:id="15"/>
          </w:p>
        </w:tc>
      </w:tr>
    </w:tbl>
    <w:p w14:paraId="5FA379DD" w14:textId="77777777" w:rsidR="00395B24" w:rsidRDefault="00395B24">
      <w:pPr>
        <w:pStyle w:val="NormalHeadings"/>
        <w:rPr>
          <w:b w:val="0"/>
        </w:rPr>
      </w:pPr>
    </w:p>
    <w:p w14:paraId="1D86EE07" w14:textId="77777777" w:rsidR="008D1617" w:rsidRDefault="008D1617">
      <w:pPr>
        <w:pStyle w:val="NormalHeadings"/>
        <w:rPr>
          <w:b w:val="0"/>
        </w:rPr>
      </w:pPr>
    </w:p>
    <w:p w14:paraId="5C6634BE" w14:textId="2071B358" w:rsidR="00395B24" w:rsidRDefault="002C7385">
      <w:pPr>
        <w:pStyle w:val="NormalHeadings"/>
      </w:pPr>
      <w:r>
        <w:t xml:space="preserve">THE </w:t>
      </w:r>
      <w:r w:rsidR="00AD63BB">
        <w:t>TRIBUNAL</w:t>
      </w:r>
      <w:r>
        <w:t xml:space="preserve"> ORDERS THAT:</w:t>
      </w:r>
    </w:p>
    <w:p w14:paraId="580251B0" w14:textId="77777777" w:rsidR="007F60DF" w:rsidRDefault="007F60DF" w:rsidP="00243E5E">
      <w:pPr>
        <w:pStyle w:val="NormalHeadings"/>
      </w:pPr>
    </w:p>
    <w:p w14:paraId="69DAC0D3" w14:textId="0DBAAB4F" w:rsidR="00AD63BB" w:rsidRDefault="00AD63BB" w:rsidP="001A6C52">
      <w:pPr>
        <w:pStyle w:val="Order1"/>
      </w:pPr>
      <w:r>
        <w:t>APRA AMCOS prepare appropriate orders and summonses in accordance with these reasons within 7 days</w:t>
      </w:r>
      <w:r w:rsidR="00C26FF7">
        <w:t xml:space="preserve"> and forward them to the Associate to Perram J</w:t>
      </w:r>
      <w:r w:rsidR="00901B47">
        <w:t xml:space="preserve">.  </w:t>
      </w:r>
    </w:p>
    <w:p w14:paraId="0C310627" w14:textId="77777777" w:rsidR="00E23577" w:rsidRDefault="00E23577" w:rsidP="002B0E91">
      <w:pPr>
        <w:pStyle w:val="BodyText"/>
      </w:pPr>
    </w:p>
    <w:p w14:paraId="4FC5BB11"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6FA65E27" w14:textId="7CDF3003"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 xml:space="preserve">REASONS FOR </w:t>
      </w:r>
      <w:r w:rsidR="00BE266A">
        <w:rPr>
          <w:sz w:val="28"/>
          <w:szCs w:val="28"/>
        </w:rPr>
        <w:t>DETERMINATION</w:t>
      </w:r>
    </w:p>
    <w:p w14:paraId="5C76FC59" w14:textId="5CE50840" w:rsidR="00694BEB" w:rsidRDefault="00BE356B" w:rsidP="005E0510">
      <w:pPr>
        <w:pStyle w:val="NormalHeadings"/>
        <w:spacing w:line="360" w:lineRule="auto"/>
        <w:jc w:val="left"/>
        <w:rPr>
          <w:sz w:val="26"/>
          <w:szCs w:val="26"/>
        </w:rPr>
      </w:pPr>
      <w:r>
        <w:rPr>
          <w:sz w:val="26"/>
          <w:szCs w:val="26"/>
        </w:rPr>
        <w:t>PERRAM J</w:t>
      </w:r>
      <w:r w:rsidR="00000449">
        <w:rPr>
          <w:sz w:val="26"/>
          <w:szCs w:val="26"/>
        </w:rPr>
        <w:t xml:space="preserve"> (DEPUTY PRESIDENT)</w:t>
      </w:r>
      <w:r>
        <w:rPr>
          <w:sz w:val="26"/>
          <w:szCs w:val="26"/>
        </w:rPr>
        <w:t>:</w:t>
      </w:r>
    </w:p>
    <w:p w14:paraId="5BBBB7AD" w14:textId="3E417B8E" w:rsidR="00BE356B" w:rsidRDefault="00BE356B" w:rsidP="005F4427">
      <w:pPr>
        <w:pStyle w:val="ParaNumbering"/>
      </w:pPr>
      <w:r>
        <w:t xml:space="preserve">The parties remain in dispute about the terms of the summonses to be </w:t>
      </w:r>
      <w:r w:rsidR="005F4427">
        <w:t>issued</w:t>
      </w:r>
      <w:r>
        <w:t xml:space="preserve"> to Apple</w:t>
      </w:r>
      <w:r w:rsidR="005F4427">
        <w:t xml:space="preserve"> Pty Ltd (‘Apple’)</w:t>
      </w:r>
      <w:r>
        <w:t>, Netflix,</w:t>
      </w:r>
      <w:r w:rsidR="005F4427">
        <w:t xml:space="preserve"> </w:t>
      </w:r>
      <w:proofErr w:type="spellStart"/>
      <w:r w:rsidR="005F4427">
        <w:t>Inc</w:t>
      </w:r>
      <w:proofErr w:type="spellEnd"/>
      <w:r w:rsidR="005F4427">
        <w:t xml:space="preserve"> (‘Netflix’),</w:t>
      </w:r>
      <w:r>
        <w:t xml:space="preserve"> Network Ten All Access</w:t>
      </w:r>
      <w:r w:rsidR="005F4427">
        <w:t xml:space="preserve"> Pty Limited (‘Paramount+’)</w:t>
      </w:r>
      <w:r>
        <w:t>, Stan</w:t>
      </w:r>
      <w:r w:rsidR="005F4427">
        <w:t xml:space="preserve"> Entertainment Pty Ltd (‘Stan’)</w:t>
      </w:r>
      <w:r w:rsidR="003D68DF">
        <w:t>,</w:t>
      </w:r>
      <w:r>
        <w:t xml:space="preserve"> and </w:t>
      </w:r>
      <w:r w:rsidR="005F4427">
        <w:t xml:space="preserve">The Walt </w:t>
      </w:r>
      <w:r>
        <w:t>Disney</w:t>
      </w:r>
      <w:r w:rsidR="005F4427">
        <w:t xml:space="preserve"> Company (Australia) Pty Ltd (‘Disney’)</w:t>
      </w:r>
      <w:r w:rsidR="00901B47">
        <w:t xml:space="preserve">.  </w:t>
      </w:r>
      <w:r>
        <w:t>Many of these disputes have been resolved by agreement</w:t>
      </w:r>
      <w:r w:rsidR="00901B47">
        <w:t xml:space="preserve">.  </w:t>
      </w:r>
      <w:r>
        <w:t>Some have not</w:t>
      </w:r>
      <w:r w:rsidR="00901B47">
        <w:t xml:space="preserve">.  </w:t>
      </w:r>
      <w:r>
        <w:t>These reasons deal with the disputed paragraphs of the proposed summonses</w:t>
      </w:r>
      <w:r w:rsidR="00901B47">
        <w:t xml:space="preserve">.  </w:t>
      </w:r>
      <w:r>
        <w:t xml:space="preserve">During the course </w:t>
      </w:r>
      <w:r w:rsidR="003D68DF">
        <w:t xml:space="preserve">of </w:t>
      </w:r>
      <w:r>
        <w:t xml:space="preserve">the exchange of the parties’ submissions, </w:t>
      </w:r>
      <w:r w:rsidR="00F54C94">
        <w:t>the Applicants, the Australasian Performing Right</w:t>
      </w:r>
      <w:r w:rsidR="00922FAC">
        <w:t xml:space="preserve"> Association Li</w:t>
      </w:r>
      <w:r w:rsidR="00620039">
        <w:t>mited and the Australasian</w:t>
      </w:r>
      <w:r w:rsidR="00922FAC">
        <w:t xml:space="preserve"> Mechanical Copyright Owners’ Society Limited (‘</w:t>
      </w:r>
      <w:r>
        <w:t>APRA</w:t>
      </w:r>
      <w:r w:rsidR="00595D31">
        <w:t xml:space="preserve"> </w:t>
      </w:r>
      <w:r>
        <w:t>AMCOS</w:t>
      </w:r>
      <w:r w:rsidR="00922FAC">
        <w:t>’),</w:t>
      </w:r>
      <w:r>
        <w:t xml:space="preserve"> varied some of the disputed paragraphs to address some of the concerns</w:t>
      </w:r>
      <w:r w:rsidR="00901B47">
        <w:t xml:space="preserve">.  </w:t>
      </w:r>
      <w:r>
        <w:t>These reasons deal with the disputed paragraphs in their final form</w:t>
      </w:r>
      <w:r w:rsidR="00901B47">
        <w:t xml:space="preserve">.  </w:t>
      </w:r>
    </w:p>
    <w:p w14:paraId="4B823D6A" w14:textId="31200639" w:rsidR="00BE356B" w:rsidRDefault="00BE356B" w:rsidP="00BE356B">
      <w:pPr>
        <w:pStyle w:val="Heading1"/>
      </w:pPr>
      <w:r w:rsidRPr="006F16AB">
        <w:t xml:space="preserve">Some General Observations </w:t>
      </w:r>
      <w:r>
        <w:t>concerning the Issuing of Summonses under s 167(3)</w:t>
      </w:r>
      <w:r w:rsidR="003A305C">
        <w:t xml:space="preserve"> of the </w:t>
      </w:r>
      <w:r w:rsidR="003A305C" w:rsidRPr="00843D6B">
        <w:rPr>
          <w:i/>
        </w:rPr>
        <w:t>Copyright Act 1968</w:t>
      </w:r>
      <w:r w:rsidR="003A305C">
        <w:t xml:space="preserve"> (Cth)</w:t>
      </w:r>
    </w:p>
    <w:p w14:paraId="5E7AF5FB" w14:textId="77777777" w:rsidR="00BE356B" w:rsidRPr="00856301" w:rsidRDefault="00BE356B" w:rsidP="00BE356B">
      <w:pPr>
        <w:pStyle w:val="Heading2"/>
      </w:pPr>
      <w:r>
        <w:t>Relevance</w:t>
      </w:r>
    </w:p>
    <w:p w14:paraId="2E3B7C4C" w14:textId="49CBED91" w:rsidR="00BE356B" w:rsidRDefault="003D68DF" w:rsidP="00BE356B">
      <w:pPr>
        <w:pStyle w:val="ParaNumbering"/>
      </w:pPr>
      <w:r>
        <w:t xml:space="preserve">The present proceeding is a </w:t>
      </w:r>
      <w:r w:rsidR="00BE356B">
        <w:t>determination of a reference under s 154</w:t>
      </w:r>
      <w:r>
        <w:t xml:space="preserve"> of the </w:t>
      </w:r>
      <w:r>
        <w:rPr>
          <w:i/>
        </w:rPr>
        <w:t xml:space="preserve">Copyright Act 1968 </w:t>
      </w:r>
      <w:r>
        <w:t>(</w:t>
      </w:r>
      <w:proofErr w:type="spellStart"/>
      <w:r>
        <w:t>Cth</w:t>
      </w:r>
      <w:proofErr w:type="spellEnd"/>
      <w:r>
        <w:t xml:space="preserve">) (‘the </w:t>
      </w:r>
      <w:r w:rsidRPr="00761C81">
        <w:t>Act</w:t>
      </w:r>
      <w:r>
        <w:t>’)</w:t>
      </w:r>
      <w:r w:rsidR="00901B47">
        <w:t xml:space="preserve">.  </w:t>
      </w:r>
      <w:r>
        <w:t>Section 154(4)</w:t>
      </w:r>
      <w:r w:rsidR="00595D31">
        <w:t xml:space="preserve"> of the Act</w:t>
      </w:r>
      <w:r>
        <w:t xml:space="preserve"> relevantly provides</w:t>
      </w:r>
      <w:r w:rsidR="00BE356B">
        <w:t>:</w:t>
      </w:r>
    </w:p>
    <w:p w14:paraId="3B1C287B" w14:textId="38CA09DB" w:rsidR="00BE356B" w:rsidRPr="00595D31" w:rsidRDefault="00BE356B" w:rsidP="00595D31">
      <w:pPr>
        <w:pStyle w:val="Quote1"/>
        <w:ind w:left="1440" w:hanging="703"/>
      </w:pPr>
      <w:r w:rsidRPr="00595D31">
        <w:t>(4) </w:t>
      </w:r>
      <w:r w:rsidR="00595D31">
        <w:tab/>
      </w:r>
      <w:r w:rsidRPr="00595D31">
        <w:t>The Tribunal shall consider a scheme referred under this section and, after giving to the parties to the reference an opportunity of presenting their cases, shall make such </w:t>
      </w:r>
      <w:hyperlink r:id="rId15" w:anchor="order" w:history="1">
        <w:r w:rsidRPr="00595D31">
          <w:rPr>
            <w:rStyle w:val="Hyperlink"/>
            <w:color w:val="auto"/>
            <w:szCs w:val="24"/>
            <w:u w:val="none"/>
          </w:rPr>
          <w:t>order</w:t>
        </w:r>
      </w:hyperlink>
      <w:r w:rsidRPr="00595D31">
        <w:rPr>
          <w:sz w:val="20"/>
        </w:rPr>
        <w:t>,</w:t>
      </w:r>
      <w:r w:rsidRPr="00595D31">
        <w:t xml:space="preserve"> confirming or varying the scheme or substituting for the scheme another scheme proposed by one of the parties, as the Tribunal considers reasonable in the circumstances</w:t>
      </w:r>
      <w:r w:rsidR="00901B47">
        <w:t xml:space="preserve">.  </w:t>
      </w:r>
    </w:p>
    <w:p w14:paraId="4249CB5A" w14:textId="033677F2" w:rsidR="00BE356B" w:rsidRDefault="00595D31" w:rsidP="00BE356B">
      <w:pPr>
        <w:pStyle w:val="ParaNumbering"/>
      </w:pPr>
      <w:r>
        <w:t xml:space="preserve">Here, the scheme which has been </w:t>
      </w:r>
      <w:r w:rsidR="00E9102D">
        <w:t xml:space="preserve">referred to the Tribunal is a </w:t>
      </w:r>
      <w:r>
        <w:t>licencing scheme proposed by APRA AMCOS</w:t>
      </w:r>
      <w:r w:rsidR="00901B47">
        <w:t xml:space="preserve">.  </w:t>
      </w:r>
      <w:r>
        <w:t>Two of the Respondents to the proceeding, Netflix and Stan, have proposed alternative schemes</w:t>
      </w:r>
      <w:r w:rsidR="00901B47">
        <w:t xml:space="preserve">.  </w:t>
      </w:r>
      <w:r w:rsidR="00BE356B">
        <w:t xml:space="preserve">The question for the Tribunal is therefore whether it should confirm or vary </w:t>
      </w:r>
      <w:r>
        <w:t>APRA AM</w:t>
      </w:r>
      <w:r w:rsidR="00AF2607">
        <w:t>C</w:t>
      </w:r>
      <w:r>
        <w:t xml:space="preserve">OS’ </w:t>
      </w:r>
      <w:r w:rsidR="00BE356B">
        <w:t xml:space="preserve">proposed scheme or whether it should substitute </w:t>
      </w:r>
      <w:r w:rsidR="00282167">
        <w:t>for that</w:t>
      </w:r>
      <w:r>
        <w:t xml:space="preserve"> scheme </w:t>
      </w:r>
      <w:r w:rsidR="00282167">
        <w:t xml:space="preserve">either of the schemes </w:t>
      </w:r>
      <w:r>
        <w:t>proposed by Netflix and Stan</w:t>
      </w:r>
      <w:r w:rsidR="00901B47">
        <w:t xml:space="preserve">.  </w:t>
      </w:r>
    </w:p>
    <w:p w14:paraId="240B1F47" w14:textId="4E58459B" w:rsidR="00BE356B" w:rsidRDefault="00BE356B" w:rsidP="00BE356B">
      <w:pPr>
        <w:pStyle w:val="ParaNumbering"/>
      </w:pPr>
      <w:r>
        <w:t>In exercising the power under s 154(4)</w:t>
      </w:r>
      <w:r w:rsidR="00C931DC">
        <w:t>,</w:t>
      </w:r>
      <w:r>
        <w:t xml:space="preserve"> the Tribunal is not sitting as a court</w:t>
      </w:r>
      <w:r w:rsidR="00901B47">
        <w:t xml:space="preserve">.  </w:t>
      </w:r>
      <w:r>
        <w:t>It is sitting as a price fixing tribunal which produces a determination which is quasi-legislative in nature</w:t>
      </w:r>
      <w:r w:rsidR="00901B47">
        <w:t xml:space="preserve">.  </w:t>
      </w:r>
      <w:r>
        <w:t>There are no pleadings and no formally defined issues</w:t>
      </w:r>
      <w:r w:rsidR="00901B47">
        <w:t xml:space="preserve">.  </w:t>
      </w:r>
      <w:r>
        <w:t>Whilst the Tribunal must hear the parties on their cases and afford them procedural fairness, it is not bound</w:t>
      </w:r>
      <w:r w:rsidR="005A7E3F">
        <w:t xml:space="preserve"> by</w:t>
      </w:r>
      <w:r>
        <w:t xml:space="preserve"> the cases which they put</w:t>
      </w:r>
      <w:r w:rsidR="00901B47">
        <w:t xml:space="preserve">.  </w:t>
      </w:r>
      <w:r>
        <w:t>So much is inherent in the power of the Tribunal to vary a scheme</w:t>
      </w:r>
      <w:r w:rsidR="00901B47">
        <w:t xml:space="preserve">.  </w:t>
      </w:r>
      <w:r>
        <w:t xml:space="preserve">It is open to the Tribunal, so long as it affords the parties procedural fairness, to do something quite different to what they </w:t>
      </w:r>
      <w:r>
        <w:lastRenderedPageBreak/>
        <w:t>propose</w:t>
      </w:r>
      <w:r w:rsidR="00901B47">
        <w:t xml:space="preserve">.  </w:t>
      </w:r>
      <w:r>
        <w:t>It also within its power to adopt a scheme but for different reasons to those which are advanced in its support</w:t>
      </w:r>
      <w:r w:rsidR="00901B47">
        <w:t xml:space="preserve">.  </w:t>
      </w:r>
      <w:r>
        <w:t>For example, the Tribunal might, in appropriate case</w:t>
      </w:r>
      <w:r w:rsidR="00E03F22">
        <w:t>s</w:t>
      </w:r>
      <w:r>
        <w:t>, consider the economic analysis to be largely a thought experiment underpinned by no real data and to conclude instead that some other, more transparent</w:t>
      </w:r>
      <w:r w:rsidR="00282167">
        <w:t>,</w:t>
      </w:r>
      <w:r>
        <w:t xml:space="preserve"> method of arriving at a price was warranted.</w:t>
      </w:r>
    </w:p>
    <w:p w14:paraId="59BBA9A1" w14:textId="1EB649C7" w:rsidR="00BE356B" w:rsidRDefault="00BE356B" w:rsidP="00BE356B">
      <w:pPr>
        <w:pStyle w:val="ParaNumbering"/>
      </w:pPr>
      <w:r>
        <w:t>The power to require the production of documents is contained in s 167</w:t>
      </w:r>
      <w:r w:rsidR="00D94D58">
        <w:t xml:space="preserve">(3) of the </w:t>
      </w:r>
      <w:r w:rsidR="00D94D58" w:rsidRPr="00761C81">
        <w:t>Act</w:t>
      </w:r>
      <w:r>
        <w:t>:</w:t>
      </w:r>
    </w:p>
    <w:p w14:paraId="7A980F78" w14:textId="4B426D58" w:rsidR="00D94D58" w:rsidRPr="00D94D58" w:rsidRDefault="00D94D58" w:rsidP="00D94D58">
      <w:pPr>
        <w:pStyle w:val="Quote1"/>
        <w:ind w:left="1440" w:hanging="703"/>
        <w:rPr>
          <w:sz w:val="24"/>
        </w:rPr>
      </w:pPr>
      <w:r>
        <w:rPr>
          <w:shd w:val="clear" w:color="auto" w:fill="FFFFFF"/>
        </w:rPr>
        <w:t xml:space="preserve">  (3)  </w:t>
      </w:r>
      <w:r>
        <w:rPr>
          <w:shd w:val="clear" w:color="auto" w:fill="FFFFFF"/>
        </w:rPr>
        <w:tab/>
        <w:t>A member or the Registrar may summon a person to produce specified documents or articles to the Tribunal by producing the documents or articles to a specified person at a specified time at a specified place.</w:t>
      </w:r>
    </w:p>
    <w:p w14:paraId="0BE369A4" w14:textId="3499D30C" w:rsidR="00BE356B" w:rsidRDefault="00BE356B" w:rsidP="00BE356B">
      <w:pPr>
        <w:pStyle w:val="ParaNumbering"/>
      </w:pPr>
      <w:r>
        <w:t>Plainly, this power is not at large</w:t>
      </w:r>
      <w:r w:rsidR="00901B47">
        <w:t xml:space="preserve">.  </w:t>
      </w:r>
      <w:r>
        <w:t>It may be exercised only if it may be seen as having a proximate connection with the exercise of the power in s 154(4)</w:t>
      </w:r>
      <w:r w:rsidR="00901B47">
        <w:t xml:space="preserve">.  </w:t>
      </w:r>
      <w:r>
        <w:t>In deciding whether a document sought by a summons has a sufficiently proximate connection with the exercise of the power in s 154(4), the concept of relevance is a useful one</w:t>
      </w:r>
      <w:r w:rsidR="00901B47">
        <w:t xml:space="preserve">.  </w:t>
      </w:r>
      <w:r>
        <w:t>However, in the determination of what is relevant for the purposes of 154(4)</w:t>
      </w:r>
      <w:r w:rsidR="00E03F22">
        <w:t>,</w:t>
      </w:r>
      <w:r>
        <w:t xml:space="preserve"> two considerations should be borne in mind.</w:t>
      </w:r>
    </w:p>
    <w:p w14:paraId="2E586084" w14:textId="47C2C8FD" w:rsidR="00BE356B" w:rsidRDefault="00BE356B" w:rsidP="00BE356B">
      <w:pPr>
        <w:pStyle w:val="ParaNumbering"/>
      </w:pPr>
      <w:r>
        <w:t>First, in a reference proceeding such as the present, it is not the case as I have just explained that the perceived issues between the parties exclusively define the scope of what is relevant to the exercise of the power in s 154(4)</w:t>
      </w:r>
      <w:r w:rsidR="00901B47">
        <w:t xml:space="preserve">.  </w:t>
      </w:r>
      <w:r>
        <w:t>So much flows from the fact the Tribunal is entitled to reject the pricing methodologies put forward by them subject only to the requirements of procedural fairness</w:t>
      </w:r>
      <w:r w:rsidR="00901B47">
        <w:t xml:space="preserve">.  </w:t>
      </w:r>
    </w:p>
    <w:p w14:paraId="0F7B7AAD" w14:textId="553ACABA" w:rsidR="00BE356B" w:rsidRDefault="00BE356B" w:rsidP="00BE356B">
      <w:pPr>
        <w:pStyle w:val="ParaNumbering"/>
      </w:pPr>
      <w:r>
        <w:t>Secondly, the question of what is relevant to the determination of the reference is likely to be affected by the stage to which the proceedings have progressed</w:t>
      </w:r>
      <w:r w:rsidR="00901B47">
        <w:t xml:space="preserve">.  </w:t>
      </w:r>
      <w:r>
        <w:t>As the matter gets closer to a hearing, there will be an increased focus on the nature of the dispute between the parties</w:t>
      </w:r>
      <w:r w:rsidR="00901B47">
        <w:t xml:space="preserve">.  </w:t>
      </w:r>
      <w:r>
        <w:t>At the outset, however, it will generally be more difficult to be dogmatic about what is relevant and what is not</w:t>
      </w:r>
      <w:r w:rsidR="00901B47">
        <w:t xml:space="preserve">.  </w:t>
      </w:r>
      <w:r>
        <w:t xml:space="preserve">The fact that the relevance inquiry tends to narrow over time is </w:t>
      </w:r>
      <w:r w:rsidR="008D5FA3">
        <w:t xml:space="preserve">a </w:t>
      </w:r>
      <w:r>
        <w:t xml:space="preserve">well-known phenomenon in ordinary civil litigation and has frequently been remarked upon in the context of attempts to set aside subpoenas: see </w:t>
      </w:r>
      <w:r w:rsidR="00E940DA">
        <w:rPr>
          <w:i/>
        </w:rPr>
        <w:t xml:space="preserve">Gloucester Shire Council v Fitch Ratings, </w:t>
      </w:r>
      <w:proofErr w:type="spellStart"/>
      <w:r w:rsidR="00E940DA">
        <w:rPr>
          <w:i/>
        </w:rPr>
        <w:t>Inc</w:t>
      </w:r>
      <w:proofErr w:type="spellEnd"/>
      <w:r w:rsidR="00E940DA">
        <w:rPr>
          <w:i/>
        </w:rPr>
        <w:t xml:space="preserve"> </w:t>
      </w:r>
      <w:r w:rsidR="00E940DA">
        <w:t xml:space="preserve">[2016] FCA 587 at [23] per </w:t>
      </w:r>
      <w:proofErr w:type="spellStart"/>
      <w:r w:rsidR="00E940DA">
        <w:t>Wigney</w:t>
      </w:r>
      <w:proofErr w:type="spellEnd"/>
      <w:r w:rsidR="00E940DA">
        <w:t xml:space="preserve"> J</w:t>
      </w:r>
      <w:r w:rsidR="00901B47">
        <w:t xml:space="preserve">.  </w:t>
      </w:r>
    </w:p>
    <w:p w14:paraId="0F1E06B5" w14:textId="442A851B" w:rsidR="00BE356B" w:rsidRDefault="00BE356B" w:rsidP="00BE356B">
      <w:pPr>
        <w:pStyle w:val="ParaNumbering"/>
      </w:pPr>
      <w:r>
        <w:t>The combination of these two matters together widens further the caution</w:t>
      </w:r>
      <w:r w:rsidR="00E940DA">
        <w:t xml:space="preserve"> with which</w:t>
      </w:r>
      <w:r>
        <w:t xml:space="preserve"> the Tribunal should approach relevance debates in a context such as the present</w:t>
      </w:r>
      <w:r w:rsidR="00901B47">
        <w:t xml:space="preserve">.  </w:t>
      </w:r>
      <w:r>
        <w:t>It will rarely be likely at this stage of the proceedings that it will be appropriate to reject the issue of a summons which seeks the production of documents on a rigid view of what must be relevant or irrelevant</w:t>
      </w:r>
      <w:r w:rsidR="00901B47">
        <w:t xml:space="preserve">.  </w:t>
      </w:r>
      <w:r>
        <w:t>That degree of forensic precision will rarely be present</w:t>
      </w:r>
      <w:r w:rsidR="00901B47">
        <w:t xml:space="preserve">.  </w:t>
      </w:r>
      <w:r>
        <w:t xml:space="preserve">For example, it was put by Netflix that </w:t>
      </w:r>
      <w:r>
        <w:lastRenderedPageBreak/>
        <w:t>production of documents throwing light on the approach its management took to an earlier fee it agreed to pay APRA</w:t>
      </w:r>
      <w:r w:rsidR="003A305C">
        <w:t xml:space="preserve"> </w:t>
      </w:r>
      <w:r>
        <w:t>AMCOS could not be relevant to the question of whether the latter exercised monopoly power which was instead to be determined by reference to the objective circumstances</w:t>
      </w:r>
      <w:r w:rsidR="00901B47">
        <w:t xml:space="preserve">.  </w:t>
      </w:r>
      <w:r>
        <w:t>It is simply not possible to accept that kind of dogmatism at this level</w:t>
      </w:r>
      <w:r w:rsidR="00901B47">
        <w:t xml:space="preserve">.  </w:t>
      </w:r>
      <w:r>
        <w:t>In my view, it is possible that such material may be relevant to the exercise of the power in s</w:t>
      </w:r>
      <w:r w:rsidR="00E940DA">
        <w:t xml:space="preserve"> </w:t>
      </w:r>
      <w:r>
        <w:t>154(4)</w:t>
      </w:r>
      <w:r w:rsidR="00901B47">
        <w:t xml:space="preserve">.  </w:t>
      </w:r>
      <w:r>
        <w:t>I do not accept that it is appropriate to determine at this stage that the Tribunal could not as a matter of law accept that the views of Netflix’s management when negotiating the fee with APRA</w:t>
      </w:r>
      <w:r w:rsidR="003A305C">
        <w:t xml:space="preserve"> </w:t>
      </w:r>
      <w:r>
        <w:t>AMCOS were relevant to whether APRA</w:t>
      </w:r>
      <w:r w:rsidR="003A305C">
        <w:t xml:space="preserve"> </w:t>
      </w:r>
      <w:r>
        <w:t>AMCOS was exercising monopoly power</w:t>
      </w:r>
      <w:r w:rsidR="00901B47">
        <w:t xml:space="preserve">.  </w:t>
      </w:r>
    </w:p>
    <w:p w14:paraId="0DF408A7" w14:textId="77777777" w:rsidR="00BE356B" w:rsidRDefault="00BE356B" w:rsidP="00843D6B">
      <w:pPr>
        <w:pStyle w:val="Heading2"/>
      </w:pPr>
      <w:r>
        <w:t>A Specified Document</w:t>
      </w:r>
    </w:p>
    <w:p w14:paraId="65FC994D" w14:textId="09E80A37" w:rsidR="00BE356B" w:rsidRDefault="00BE356B" w:rsidP="00BE356B">
      <w:pPr>
        <w:pStyle w:val="ParaNumbering"/>
      </w:pPr>
      <w:r>
        <w:t>The power in s 167(3) is constrained by the need for the summons to seek an identified document</w:t>
      </w:r>
      <w:r w:rsidR="00901B47">
        <w:t xml:space="preserve">.  </w:t>
      </w:r>
      <w:r>
        <w:t>Netflix submits that this requires the document to be identified</w:t>
      </w:r>
      <w:r w:rsidR="00901B47">
        <w:t xml:space="preserve">.  </w:t>
      </w:r>
      <w:r>
        <w:t>If that is correct then it follows that a summons seeking a document which ‘evidences’ or ‘relates to’ some matter would not be within the power conferred by s 167(3).</w:t>
      </w:r>
    </w:p>
    <w:p w14:paraId="26920660" w14:textId="2CFA65DA" w:rsidR="00BE356B" w:rsidRDefault="00BE356B" w:rsidP="00BE356B">
      <w:pPr>
        <w:pStyle w:val="ParaNumbering"/>
      </w:pPr>
      <w:r>
        <w:t>The expression ‘to produce specified documents’ refers to documents having the quality of having been specified</w:t>
      </w:r>
      <w:r w:rsidR="00901B47">
        <w:t xml:space="preserve">.  </w:t>
      </w:r>
      <w:r>
        <w:t>To specify something, according to the Macquarie Dictionary, is ‘to mention or name specifically or definitely’ or ‘to state in detail’</w:t>
      </w:r>
      <w:r w:rsidR="00901B47">
        <w:t xml:space="preserve">.  </w:t>
      </w:r>
      <w:r>
        <w:t>I therefore accept Netflix’s submission that a summons requiring production of documents which are not identified lies outside the power in s 167(3)</w:t>
      </w:r>
      <w:r w:rsidR="00901B47">
        <w:t xml:space="preserve">.  </w:t>
      </w:r>
      <w:r>
        <w:t>It also follows that a summons which is unclear in what it seeks production of will fail to identify a specified document</w:t>
      </w:r>
      <w:r w:rsidR="00901B47">
        <w:t xml:space="preserve">.  </w:t>
      </w:r>
    </w:p>
    <w:p w14:paraId="4B0B5DD3" w14:textId="77777777" w:rsidR="00BE356B" w:rsidRPr="00583C5D" w:rsidRDefault="00BE356B" w:rsidP="00843D6B">
      <w:pPr>
        <w:pStyle w:val="Heading2"/>
      </w:pPr>
      <w:r>
        <w:t>Burden</w:t>
      </w:r>
    </w:p>
    <w:p w14:paraId="0E1B5666" w14:textId="29925924" w:rsidR="00BE356B" w:rsidRDefault="00BE356B" w:rsidP="00BE356B">
      <w:pPr>
        <w:pStyle w:val="ParaNumbering"/>
      </w:pPr>
      <w:r>
        <w:t>The power under s 167(3) is discretionary</w:t>
      </w:r>
      <w:r w:rsidR="00901B47">
        <w:t xml:space="preserve">.  </w:t>
      </w:r>
      <w:r>
        <w:t xml:space="preserve">Once satisfied that it is being asked to seek the production of a specified document which has the requisite proximate connection with the discharge by the Tribunal of its functions under </w:t>
      </w:r>
      <w:r w:rsidR="00E940DA">
        <w:t xml:space="preserve">s </w:t>
      </w:r>
      <w:r>
        <w:t>154(4)</w:t>
      </w:r>
      <w:r w:rsidR="00E940DA">
        <w:t>,</w:t>
      </w:r>
      <w:r>
        <w:t xml:space="preserve"> the Tribunal may still to refuse to issue the summons</w:t>
      </w:r>
      <w:r w:rsidR="00901B47">
        <w:t xml:space="preserve">.  </w:t>
      </w:r>
      <w:r>
        <w:t>The category of situation</w:t>
      </w:r>
      <w:r w:rsidR="00761C81">
        <w:t>s</w:t>
      </w:r>
      <w:r>
        <w:t xml:space="preserve"> in which that may occur </w:t>
      </w:r>
      <w:r w:rsidR="00761C81">
        <w:t xml:space="preserve">is </w:t>
      </w:r>
      <w:r>
        <w:t>not closed</w:t>
      </w:r>
      <w:r w:rsidR="00901B47">
        <w:t xml:space="preserve">.  </w:t>
      </w:r>
      <w:r>
        <w:t xml:space="preserve">One situation, however, concerns the situation where the Tribunal is satisfied that to require the respondent to comply with the summons would </w:t>
      </w:r>
      <w:r w:rsidR="008D7F37">
        <w:t xml:space="preserve">be </w:t>
      </w:r>
      <w:r>
        <w:t>unduly burdensome</w:t>
      </w:r>
      <w:r w:rsidR="00901B47">
        <w:t xml:space="preserve">.  </w:t>
      </w:r>
      <w:r>
        <w:t>Resistance to the issue of the summons will require evidence of the existence of an identified burden</w:t>
      </w:r>
      <w:r w:rsidR="00901B47">
        <w:t xml:space="preserve">.  </w:t>
      </w:r>
      <w:r>
        <w:t xml:space="preserve">If the Tribunal accepts </w:t>
      </w:r>
      <w:r w:rsidR="00E940DA">
        <w:t xml:space="preserve">that </w:t>
      </w:r>
      <w:r>
        <w:t>the burden exists it must then weigh that burden against its assessment of how necessary the documents sought are</w:t>
      </w:r>
      <w:r w:rsidR="00901B47">
        <w:t xml:space="preserve">.  </w:t>
      </w:r>
      <w:r>
        <w:t>One arrives at this question having already concluded that the proximate connection is present</w:t>
      </w:r>
      <w:r w:rsidR="00901B47">
        <w:t xml:space="preserve">.  </w:t>
      </w:r>
      <w:r>
        <w:t>Necessarily</w:t>
      </w:r>
      <w:r w:rsidR="008209AA">
        <w:t>,</w:t>
      </w:r>
      <w:r>
        <w:t xml:space="preserve"> an assessment of whether the burden is one which is undue will be impressionistic and involve a degree of speculation about the </w:t>
      </w:r>
      <w:r>
        <w:lastRenderedPageBreak/>
        <w:t>ultimate relevance of the material</w:t>
      </w:r>
      <w:r w:rsidR="00901B47">
        <w:t xml:space="preserve">.  </w:t>
      </w:r>
      <w:r>
        <w:t>For the reasons I have given, considerable circumspection is necessary at this stage of a proceeding such as the present.</w:t>
      </w:r>
    </w:p>
    <w:p w14:paraId="49CE4C5D" w14:textId="77777777" w:rsidR="00BE356B" w:rsidRDefault="00BE356B" w:rsidP="00843D6B">
      <w:pPr>
        <w:pStyle w:val="Heading2"/>
      </w:pPr>
      <w:r>
        <w:t>Non-existent Documents</w:t>
      </w:r>
    </w:p>
    <w:p w14:paraId="0A54664D" w14:textId="49E29D48" w:rsidR="00BE356B" w:rsidRDefault="00BE356B" w:rsidP="00BE356B">
      <w:pPr>
        <w:pStyle w:val="ParaNumbering"/>
      </w:pPr>
      <w:r>
        <w:t>The fact that a document does not exist is not a reason for not issuing a summons for its production</w:t>
      </w:r>
      <w:r w:rsidR="00901B47">
        <w:t xml:space="preserve">.  </w:t>
      </w:r>
      <w:r>
        <w:t>The fact the summons is answered with the response ‘There are no documents produced’ is a formal act which, if false, has criminal consequences under s 172(2)</w:t>
      </w:r>
      <w:r w:rsidR="00901B47">
        <w:t xml:space="preserve">.  </w:t>
      </w:r>
      <w:r>
        <w:t>Further, it may be relied on by another party subsequently to prove that there are no such documents</w:t>
      </w:r>
      <w:r w:rsidR="00901B47">
        <w:t xml:space="preserve">.  </w:t>
      </w:r>
      <w:r>
        <w:t>By contrast, the same statement made in a submission to the Tribunal to persuade it not to issue a summons, has no such consequences</w:t>
      </w:r>
      <w:r w:rsidR="00901B47">
        <w:t xml:space="preserve">.  </w:t>
      </w:r>
      <w:r>
        <w:t>The proposition that there are no documents to produce is therefore not generally a reason not to issue a summons.</w:t>
      </w:r>
    </w:p>
    <w:p w14:paraId="62E55BA2" w14:textId="77777777" w:rsidR="00BE356B" w:rsidRPr="00AB7CC9" w:rsidRDefault="00BE356B" w:rsidP="00843D6B">
      <w:pPr>
        <w:pStyle w:val="Heading2"/>
      </w:pPr>
      <w:r>
        <w:t>Sabre Orders</w:t>
      </w:r>
    </w:p>
    <w:p w14:paraId="13F93085" w14:textId="2F657C0F" w:rsidR="00BE356B" w:rsidRDefault="00BE356B" w:rsidP="00BE356B">
      <w:pPr>
        <w:pStyle w:val="ParaNumbering"/>
      </w:pPr>
      <w:r>
        <w:t>APRA</w:t>
      </w:r>
      <w:r w:rsidR="003A305C">
        <w:t xml:space="preserve"> </w:t>
      </w:r>
      <w:r>
        <w:t>AMCOS has sought the issue of summonses containing what is effectively an order that the recipient make a request of its parent (or other members of its group) to produce documents</w:t>
      </w:r>
      <w:r w:rsidR="00901B47">
        <w:t xml:space="preserve">.  </w:t>
      </w:r>
      <w:r>
        <w:t>This practice overcomes the difficulty that often enough a subsidiary will not have possession of all of the documents</w:t>
      </w:r>
      <w:r w:rsidR="00901B47">
        <w:t xml:space="preserve">.  </w:t>
      </w:r>
      <w:r>
        <w:t xml:space="preserve">Such orders are made in curial proceedings: see </w:t>
      </w:r>
      <w:r>
        <w:rPr>
          <w:i/>
        </w:rPr>
        <w:t>Sabre</w:t>
      </w:r>
      <w:r w:rsidR="00FA0763">
        <w:rPr>
          <w:i/>
        </w:rPr>
        <w:t xml:space="preserve"> Corporation Pty Ltd v Russ Kalvin’s Hair Co </w:t>
      </w:r>
      <w:r w:rsidR="00FA0763">
        <w:t xml:space="preserve">(1993) </w:t>
      </w:r>
      <w:r w:rsidR="007657B9">
        <w:t>46 FCR 428</w:t>
      </w:r>
      <w:r w:rsidR="00FA0763">
        <w:t xml:space="preserve"> at </w:t>
      </w:r>
      <w:r w:rsidR="00E75834">
        <w:t>431-432</w:t>
      </w:r>
      <w:r w:rsidR="00FA0763">
        <w:t xml:space="preserve"> per Lockhart J</w:t>
      </w:r>
      <w:r w:rsidR="002D068B">
        <w:t xml:space="preserve"> (‘</w:t>
      </w:r>
      <w:r w:rsidR="002D068B">
        <w:rPr>
          <w:i/>
        </w:rPr>
        <w:t>Sabre</w:t>
      </w:r>
      <w:r w:rsidR="002D068B">
        <w:t>’)</w:t>
      </w:r>
      <w:r w:rsidR="00901B47">
        <w:t xml:space="preserve">.  </w:t>
      </w:r>
      <w:r>
        <w:t xml:space="preserve">Generally, a </w:t>
      </w:r>
      <w:r>
        <w:rPr>
          <w:i/>
        </w:rPr>
        <w:t xml:space="preserve">Sabre </w:t>
      </w:r>
      <w:r>
        <w:t>order is not made unless there is reason to believe that the third party will comply with the request</w:t>
      </w:r>
      <w:r w:rsidR="00901B47">
        <w:t xml:space="preserve">.  </w:t>
      </w:r>
      <w:r>
        <w:t xml:space="preserve">In the case of intra-group requests, this will usually be straightforward because the failure to produce the document may lead to the drawing of a </w:t>
      </w:r>
      <w:r>
        <w:rPr>
          <w:i/>
        </w:rPr>
        <w:t xml:space="preserve">Jones v </w:t>
      </w:r>
      <w:proofErr w:type="spellStart"/>
      <w:r>
        <w:rPr>
          <w:i/>
        </w:rPr>
        <w:t>Dunkel</w:t>
      </w:r>
      <w:proofErr w:type="spellEnd"/>
      <w:r>
        <w:rPr>
          <w:i/>
        </w:rPr>
        <w:t xml:space="preserve"> </w:t>
      </w:r>
      <w:r>
        <w:t>inference</w:t>
      </w:r>
      <w:r w:rsidR="00FA0763">
        <w:t xml:space="preserve">: see </w:t>
      </w:r>
      <w:r w:rsidR="00FA0763">
        <w:rPr>
          <w:i/>
        </w:rPr>
        <w:t xml:space="preserve">Jones v </w:t>
      </w:r>
      <w:proofErr w:type="spellStart"/>
      <w:r w:rsidR="00FA0763">
        <w:rPr>
          <w:i/>
        </w:rPr>
        <w:t>Dunkel</w:t>
      </w:r>
      <w:proofErr w:type="spellEnd"/>
      <w:r w:rsidR="00FA0763">
        <w:rPr>
          <w:i/>
        </w:rPr>
        <w:t xml:space="preserve"> </w:t>
      </w:r>
      <w:r w:rsidR="00FA0763">
        <w:t>(1959) 101 CLR 298 at 320</w:t>
      </w:r>
      <w:r w:rsidR="0046333E">
        <w:t xml:space="preserve"> per Windeyer J</w:t>
      </w:r>
      <w:r>
        <w:t>.</w:t>
      </w:r>
    </w:p>
    <w:p w14:paraId="59C7098C" w14:textId="229E4D57" w:rsidR="00BE356B" w:rsidRDefault="00BE356B" w:rsidP="00BE356B">
      <w:pPr>
        <w:pStyle w:val="ParaNumbering"/>
      </w:pPr>
      <w:r>
        <w:t xml:space="preserve">The </w:t>
      </w:r>
      <w:r w:rsidR="00FA0763">
        <w:t>R</w:t>
      </w:r>
      <w:r>
        <w:t>espondents dispute the power of the Tribunal to make such an order</w:t>
      </w:r>
      <w:r w:rsidR="00901B47">
        <w:t xml:space="preserve">.  </w:t>
      </w:r>
      <w:r>
        <w:t>APRA</w:t>
      </w:r>
      <w:r w:rsidR="00FA0763">
        <w:t xml:space="preserve"> </w:t>
      </w:r>
      <w:r>
        <w:t>AMCOS relied on s 164 which provides:</w:t>
      </w:r>
    </w:p>
    <w:p w14:paraId="00C15BED" w14:textId="126DA12B" w:rsidR="00FA0763" w:rsidRPr="00FA0763" w:rsidRDefault="00FA0763" w:rsidP="00FA0763">
      <w:pPr>
        <w:pStyle w:val="Quote1"/>
        <w:rPr>
          <w:b/>
          <w:sz w:val="24"/>
          <w:lang w:eastAsia="en-AU"/>
        </w:rPr>
      </w:pPr>
      <w:bookmarkStart w:id="17" w:name="_Toc486595761"/>
      <w:r w:rsidRPr="00FA0763">
        <w:rPr>
          <w:rStyle w:val="charsectno"/>
          <w:b/>
          <w:bCs/>
          <w:color w:val="000000"/>
        </w:rPr>
        <w:t>164</w:t>
      </w:r>
      <w:bookmarkEnd w:id="17"/>
      <w:r w:rsidRPr="00FA0763">
        <w:rPr>
          <w:b/>
        </w:rPr>
        <w:t> Procedure</w:t>
      </w:r>
    </w:p>
    <w:p w14:paraId="14F05051" w14:textId="3B078581" w:rsidR="00FA0763" w:rsidRDefault="00FA0763" w:rsidP="00FA0763">
      <w:pPr>
        <w:pStyle w:val="Quote2"/>
      </w:pPr>
      <w:r>
        <w:t>In proceedings before the Tribunal:</w:t>
      </w:r>
    </w:p>
    <w:p w14:paraId="6245F643" w14:textId="7520C8BE" w:rsidR="00FA0763" w:rsidRDefault="00FA0763" w:rsidP="00FA0763">
      <w:pPr>
        <w:pStyle w:val="Quote2"/>
        <w:ind w:left="2160" w:hanging="720"/>
      </w:pPr>
      <w:r>
        <w:t>(a) </w:t>
      </w:r>
      <w:r>
        <w:tab/>
      </w:r>
      <w:proofErr w:type="gramStart"/>
      <w:r>
        <w:t>the</w:t>
      </w:r>
      <w:proofErr w:type="gramEnd"/>
      <w:r>
        <w:t xml:space="preserve"> procedure of the Tribunal is, subject to this Act and the regulations, within the discretion of the Tribunal;</w:t>
      </w:r>
    </w:p>
    <w:p w14:paraId="31054E95" w14:textId="58A2BCA6" w:rsidR="00FA0763" w:rsidRDefault="00FA0763" w:rsidP="00FA0763">
      <w:pPr>
        <w:pStyle w:val="Quote2"/>
        <w:ind w:left="2160" w:hanging="720"/>
      </w:pPr>
      <w:r>
        <w:t>(b) </w:t>
      </w:r>
      <w:r>
        <w:tab/>
      </w:r>
      <w:proofErr w:type="gramStart"/>
      <w:r>
        <w:t>the</w:t>
      </w:r>
      <w:proofErr w:type="gramEnd"/>
      <w:r>
        <w:t xml:space="preserve"> Tribunal is not bound by the rules of evidence; and</w:t>
      </w:r>
    </w:p>
    <w:p w14:paraId="33A46B05" w14:textId="3E456B95" w:rsidR="00FA0763" w:rsidRDefault="00FA0763" w:rsidP="00FA0763">
      <w:pPr>
        <w:pStyle w:val="Quote2"/>
        <w:ind w:left="2160" w:hanging="720"/>
      </w:pPr>
      <w:r>
        <w:t xml:space="preserve">(c)  </w:t>
      </w:r>
      <w:r>
        <w:tab/>
      </w:r>
      <w:proofErr w:type="gramStart"/>
      <w:r>
        <w:t>the</w:t>
      </w:r>
      <w:proofErr w:type="gramEnd"/>
      <w:r>
        <w:t xml:space="preserve"> proceedings shall be conducted with as little formality, and with as much expedition, as the requirements of this Act and a proper consideration of the matters before the Tribunal permit.</w:t>
      </w:r>
    </w:p>
    <w:p w14:paraId="2677E44A" w14:textId="32BB9023" w:rsidR="00BE356B" w:rsidRDefault="00BE356B" w:rsidP="00BE356B">
      <w:pPr>
        <w:pStyle w:val="ParaNumbering"/>
      </w:pPr>
      <w:r>
        <w:t>If s 164 were a blank canvas I would read the reference to ‘the procedure of the Tribunal’ in s</w:t>
      </w:r>
      <w:r w:rsidR="00FA0763">
        <w:t> </w:t>
      </w:r>
      <w:r>
        <w:t xml:space="preserve">164(a) as a reference to the procedure adopted during the ‘proceedings’ referred </w:t>
      </w:r>
      <w:r w:rsidR="00FA0763">
        <w:t xml:space="preserve">to </w:t>
      </w:r>
      <w:r>
        <w:t xml:space="preserve">in the first </w:t>
      </w:r>
      <w:r>
        <w:lastRenderedPageBreak/>
        <w:t>line</w:t>
      </w:r>
      <w:r w:rsidR="00901B47">
        <w:t xml:space="preserve">.  </w:t>
      </w:r>
      <w:r>
        <w:t>Section 164 clearly applies to the actual hearing of a reference under s 154(4)</w:t>
      </w:r>
      <w:r w:rsidR="00901B47">
        <w:t xml:space="preserve">.  </w:t>
      </w:r>
      <w:r>
        <w:t>I would also accept that it applies to any interlocutory hearings before that final hearing</w:t>
      </w:r>
      <w:r w:rsidR="00901B47">
        <w:t xml:space="preserve">.  </w:t>
      </w:r>
      <w:r>
        <w:t>Overall, I would read s 164 as specifying how the Tribunal is to conduct its hearings</w:t>
      </w:r>
      <w:r w:rsidR="00901B47">
        <w:t xml:space="preserve">.  </w:t>
      </w:r>
      <w:r>
        <w:t>The power to determine in its own discretion what its procedure is would not in my opinion extend to an order requiring a party to do something outside of the context of a hearing.</w:t>
      </w:r>
    </w:p>
    <w:p w14:paraId="607DB642" w14:textId="1146B606" w:rsidR="00BE356B" w:rsidRDefault="00BE356B" w:rsidP="00BE356B">
      <w:pPr>
        <w:pStyle w:val="ParaNumbering"/>
      </w:pPr>
      <w:r>
        <w:t>However, the Tribunal has previously adopted a broader view of the operation of s 164(a)</w:t>
      </w:r>
      <w:r w:rsidR="00901B47">
        <w:t xml:space="preserve">.  </w:t>
      </w:r>
      <w:r>
        <w:t xml:space="preserve">In </w:t>
      </w:r>
      <w:r>
        <w:rPr>
          <w:i/>
        </w:rPr>
        <w:t xml:space="preserve">Reference by Phonographic Performance Company of Australia Ltd </w:t>
      </w:r>
      <w:r w:rsidR="00732638">
        <w:t xml:space="preserve">[2009] </w:t>
      </w:r>
      <w:proofErr w:type="spellStart"/>
      <w:r w:rsidR="00732638">
        <w:t>ACopyT</w:t>
      </w:r>
      <w:proofErr w:type="spellEnd"/>
      <w:r w:rsidR="00732638">
        <w:t xml:space="preserve"> 1; 84 IPR 393,</w:t>
      </w:r>
      <w:r>
        <w:t xml:space="preserve"> it was held by Emmett P that the power in s 16</w:t>
      </w:r>
      <w:r w:rsidR="00F6425A">
        <w:t>4</w:t>
      </w:r>
      <w:r>
        <w:t>(a) extended to empowering the Tribunal to order the person seeking the issue of a summons to pay the expenses of a person required to comply with that summons</w:t>
      </w:r>
      <w:r w:rsidR="00901B47">
        <w:t xml:space="preserve">.  </w:t>
      </w:r>
      <w:r>
        <w:t>At [10]</w:t>
      </w:r>
      <w:r w:rsidR="00FA0763">
        <w:t>,</w:t>
      </w:r>
      <w:r>
        <w:t xml:space="preserve"> Emmett P reasoned that the power was ‘implied from or </w:t>
      </w:r>
      <w:r w:rsidR="00A50FAD">
        <w:t xml:space="preserve">are </w:t>
      </w:r>
      <w:r>
        <w:t>incidental to’ the power to issue the summons</w:t>
      </w:r>
      <w:r w:rsidR="00F5727D">
        <w:t>,</w:t>
      </w:r>
      <w:r>
        <w:t xml:space="preserve"> citing a decision of Lockhart P sitting in the </w:t>
      </w:r>
      <w:r w:rsidR="00A50FAD">
        <w:t>then Trade Practices</w:t>
      </w:r>
      <w:r w:rsidR="004F7A75">
        <w:t xml:space="preserve"> Tribunal (now the Australian </w:t>
      </w:r>
      <w:r>
        <w:t>Competition Tribunal</w:t>
      </w:r>
      <w:r w:rsidR="00ED2CA3">
        <w:t>)</w:t>
      </w:r>
      <w:r>
        <w:t xml:space="preserve"> in </w:t>
      </w:r>
      <w:r>
        <w:rPr>
          <w:i/>
        </w:rPr>
        <w:t xml:space="preserve">Re John Dee (Export) Pty Ltd </w:t>
      </w:r>
      <w:r>
        <w:t>(1990) ATPR 41-006</w:t>
      </w:r>
      <w:r w:rsidR="00901B47">
        <w:t xml:space="preserve">.  </w:t>
      </w:r>
      <w:r>
        <w:t>It would appear to follow from this that any power which can be implied from or be seen as incidental to, the power in s 167(</w:t>
      </w:r>
      <w:r w:rsidR="00F5727D">
        <w:t>3</w:t>
      </w:r>
      <w:r>
        <w:t>) will be within the power conferred by s 164.</w:t>
      </w:r>
    </w:p>
    <w:p w14:paraId="51C5F7D7" w14:textId="45B0C496" w:rsidR="00BE356B" w:rsidRDefault="00BE356B" w:rsidP="00BE356B">
      <w:pPr>
        <w:pStyle w:val="ParaNumbering"/>
      </w:pPr>
      <w:r>
        <w:t>Emmett P’s interpretation of s 164 is broader than the one I favour</w:t>
      </w:r>
      <w:r w:rsidR="00901B47">
        <w:t xml:space="preserve">.  </w:t>
      </w:r>
      <w:r>
        <w:t>Although the Tribunal is not bound by its own decisions, there is a public interest in consistent decision making</w:t>
      </w:r>
      <w:r w:rsidR="00901B47">
        <w:t xml:space="preserve">.  </w:t>
      </w:r>
      <w:r>
        <w:t>The decision has stood for 13 years and I do not think it would be appropriate to depart from that interpretation</w:t>
      </w:r>
      <w:r w:rsidR="00901B47">
        <w:t xml:space="preserve">.  </w:t>
      </w:r>
      <w:r>
        <w:t>I therefore conclude that if a power can be seen as incidental to the exercise of another power which the Tribunal has, then s 164 confers that power on the Tribunal</w:t>
      </w:r>
      <w:r w:rsidR="00901B47">
        <w:t xml:space="preserve">.  </w:t>
      </w:r>
    </w:p>
    <w:p w14:paraId="32C1C23B" w14:textId="56A93D4F" w:rsidR="00BE356B" w:rsidRDefault="00BE356B" w:rsidP="00BE356B">
      <w:pPr>
        <w:pStyle w:val="ParaNumbering"/>
      </w:pPr>
      <w:r>
        <w:t>The power in s 167(</w:t>
      </w:r>
      <w:r w:rsidR="00A070C3">
        <w:t>3</w:t>
      </w:r>
      <w:r>
        <w:t>) is a power to require a person to produce a document</w:t>
      </w:r>
      <w:r w:rsidR="00901B47">
        <w:t xml:space="preserve">.  </w:t>
      </w:r>
      <w:r>
        <w:t>In my view, it is incidental to that power to require a party before the Tribunal to ask another person to produce a document</w:t>
      </w:r>
      <w:r w:rsidR="00901B47">
        <w:t xml:space="preserve">.  </w:t>
      </w:r>
      <w:r>
        <w:t>The power in s 167(</w:t>
      </w:r>
      <w:r w:rsidR="00A070C3">
        <w:t>3</w:t>
      </w:r>
      <w:r>
        <w:t>) will be fruitless if the person to whom a summons is addressed does not have possession of a document although it is in the possession of a parent entity</w:t>
      </w:r>
      <w:r w:rsidR="00901B47">
        <w:t xml:space="preserve">.  </w:t>
      </w:r>
      <w:r>
        <w:t>To make the power to order production efficacious it is therefore incidental to that power to order a party before the Tribunal to request another party for the document</w:t>
      </w:r>
      <w:r w:rsidR="00901B47">
        <w:t xml:space="preserve">.  </w:t>
      </w:r>
    </w:p>
    <w:p w14:paraId="4E452414" w14:textId="64818770" w:rsidR="00BE356B" w:rsidRDefault="00BE356B" w:rsidP="00BE356B">
      <w:pPr>
        <w:pStyle w:val="ParaNumbering"/>
      </w:pPr>
      <w:r>
        <w:t>Consequently, I accept that s 16</w:t>
      </w:r>
      <w:r w:rsidR="00A070C3">
        <w:t>4</w:t>
      </w:r>
      <w:r>
        <w:t xml:space="preserve">(a) allows a </w:t>
      </w:r>
      <w:r>
        <w:rPr>
          <w:i/>
        </w:rPr>
        <w:t xml:space="preserve">Sabre </w:t>
      </w:r>
      <w:r>
        <w:t>order to be made against a respondent</w:t>
      </w:r>
      <w:r w:rsidR="00901B47">
        <w:t xml:space="preserve">.  </w:t>
      </w:r>
      <w:r>
        <w:t>Before such an order is made</w:t>
      </w:r>
      <w:r w:rsidR="00FA139F">
        <w:t>,</w:t>
      </w:r>
      <w:r>
        <w:t xml:space="preserve"> the Tribunal should be satisfied that there are reasonable grounds for thinking that the request will be complied with</w:t>
      </w:r>
      <w:r w:rsidR="00901B47">
        <w:t xml:space="preserve">.  </w:t>
      </w:r>
      <w:r>
        <w:t>Where the parties of whom the requests will be made are parent or related entities of one of a part</w:t>
      </w:r>
      <w:r w:rsidR="00FA139F">
        <w:t>ies</w:t>
      </w:r>
      <w:r>
        <w:t xml:space="preserve"> before the Tribunal</w:t>
      </w:r>
      <w:r w:rsidR="00FA139F">
        <w:t>,</w:t>
      </w:r>
      <w:r>
        <w:t xml:space="preserve"> I am satisfied that such grounds exist</w:t>
      </w:r>
      <w:r w:rsidR="00901B47">
        <w:t xml:space="preserve">.  </w:t>
      </w:r>
      <w:r>
        <w:t>They exist because of the possibly adverse inferences which may arise if the request is not complied with.</w:t>
      </w:r>
    </w:p>
    <w:p w14:paraId="4D85FA84" w14:textId="77777777" w:rsidR="00BE356B" w:rsidRDefault="00BE356B" w:rsidP="00BE356B">
      <w:pPr>
        <w:pStyle w:val="ParaNumbering"/>
      </w:pPr>
      <w:r>
        <w:lastRenderedPageBreak/>
        <w:t>Turning then to the particular complaints made by each of the Respondents:</w:t>
      </w:r>
    </w:p>
    <w:p w14:paraId="27E87F55" w14:textId="77777777" w:rsidR="00BE356B" w:rsidRPr="00F175B5" w:rsidRDefault="00BE356B" w:rsidP="00BE356B">
      <w:pPr>
        <w:pStyle w:val="Heading1"/>
      </w:pPr>
      <w:r>
        <w:t>Apple</w:t>
      </w:r>
    </w:p>
    <w:p w14:paraId="1D69B081" w14:textId="77777777" w:rsidR="00BE356B" w:rsidRDefault="00BE356B" w:rsidP="00BE356B">
      <w:pPr>
        <w:pStyle w:val="ParaNumbering"/>
      </w:pPr>
      <w:r>
        <w:t>The disputes concern paragraphs 1(c), 1(h), 1(</w:t>
      </w:r>
      <w:proofErr w:type="spellStart"/>
      <w:r>
        <w:t>i</w:t>
      </w:r>
      <w:proofErr w:type="spellEnd"/>
      <w:r>
        <w:t>) and 2.</w:t>
      </w:r>
    </w:p>
    <w:p w14:paraId="7AA5096B" w14:textId="77777777" w:rsidR="00BE356B" w:rsidRDefault="00BE356B" w:rsidP="00BE356B">
      <w:pPr>
        <w:pStyle w:val="Heading2"/>
      </w:pPr>
      <w:r>
        <w:t>Paragraph 1(c)</w:t>
      </w:r>
    </w:p>
    <w:p w14:paraId="286755CB" w14:textId="77777777" w:rsidR="00BE356B" w:rsidRDefault="00BE356B" w:rsidP="00BE356B">
      <w:pPr>
        <w:pStyle w:val="ParaNumbering"/>
      </w:pPr>
      <w:r>
        <w:t>The current form of the disputed paragraph is as follows:</w:t>
      </w:r>
    </w:p>
    <w:p w14:paraId="4F35F75B" w14:textId="1C29C6F5" w:rsidR="007E0799" w:rsidRDefault="007E0799" w:rsidP="005F3F1F">
      <w:pPr>
        <w:pStyle w:val="Quote1"/>
        <w:ind w:left="1440" w:hanging="703"/>
        <w:rPr>
          <w:lang w:eastAsia="en-AU"/>
        </w:rPr>
      </w:pPr>
      <w:r>
        <w:rPr>
          <w:lang w:eastAsia="en-AU"/>
        </w:rPr>
        <w:t>1</w:t>
      </w:r>
      <w:r w:rsidR="00901B47">
        <w:rPr>
          <w:lang w:eastAsia="en-AU"/>
        </w:rPr>
        <w:t xml:space="preserve">.  </w:t>
      </w:r>
      <w:r w:rsidR="005F3F1F">
        <w:rPr>
          <w:lang w:eastAsia="en-AU"/>
        </w:rPr>
        <w:tab/>
      </w:r>
      <w:r>
        <w:rPr>
          <w:lang w:eastAsia="en-AU"/>
        </w:rPr>
        <w:t>You are summoned to produce to the Copyright Tribunal of Australia by 4:00pm on 31 April 2022, the following document or articles (in electronic form if available):</w:t>
      </w:r>
    </w:p>
    <w:p w14:paraId="708BEDDB" w14:textId="36EB25E2" w:rsidR="007E0799" w:rsidRPr="007E0799" w:rsidRDefault="007E0799" w:rsidP="005F3F1F">
      <w:pPr>
        <w:pStyle w:val="Quote1"/>
        <w:ind w:firstLine="703"/>
        <w:rPr>
          <w:lang w:eastAsia="en-AU"/>
        </w:rPr>
      </w:pPr>
      <w:r>
        <w:rPr>
          <w:lang w:eastAsia="en-AU"/>
        </w:rPr>
        <w:t>...</w:t>
      </w:r>
    </w:p>
    <w:p w14:paraId="7B4240CE" w14:textId="4CD28135" w:rsidR="007E0799" w:rsidRDefault="007E0799" w:rsidP="005F3F1F">
      <w:pPr>
        <w:pStyle w:val="Quote2"/>
        <w:ind w:left="2160" w:hanging="720"/>
        <w:rPr>
          <w:lang w:eastAsia="en-AU"/>
        </w:rPr>
      </w:pPr>
      <w:r>
        <w:rPr>
          <w:color w:val="000000"/>
          <w:lang w:eastAsia="en-AU"/>
        </w:rPr>
        <w:t xml:space="preserve">(c) </w:t>
      </w:r>
      <w:r w:rsidR="005F3F1F">
        <w:rPr>
          <w:color w:val="000000"/>
          <w:lang w:eastAsia="en-AU"/>
        </w:rPr>
        <w:tab/>
      </w:r>
      <w:r>
        <w:rPr>
          <w:color w:val="000000"/>
          <w:lang w:eastAsia="en-AU"/>
        </w:rPr>
        <w:t xml:space="preserve">For the period 2019 to date, one or more documents, recording the </w:t>
      </w:r>
      <w:r>
        <w:rPr>
          <w:lang w:eastAsia="en-AU"/>
        </w:rPr>
        <w:t xml:space="preserve">total </w:t>
      </w:r>
      <w:r>
        <w:rPr>
          <w:color w:val="000000"/>
          <w:lang w:eastAsia="en-AU"/>
        </w:rPr>
        <w:t>costs</w:t>
      </w:r>
      <w:r>
        <w:rPr>
          <w:lang w:eastAsia="en-AU"/>
        </w:rPr>
        <w:t xml:space="preserve">, and the total costs under the following items, </w:t>
      </w:r>
      <w:r>
        <w:rPr>
          <w:color w:val="000000"/>
          <w:lang w:eastAsia="en-AU"/>
        </w:rPr>
        <w:t xml:space="preserve">incurred in relation to </w:t>
      </w:r>
      <w:r>
        <w:rPr>
          <w:lang w:eastAsia="en-AU"/>
        </w:rPr>
        <w:t xml:space="preserve">conducting </w:t>
      </w:r>
      <w:r>
        <w:rPr>
          <w:color w:val="000000"/>
          <w:lang w:eastAsia="en-AU"/>
        </w:rPr>
        <w:t>the Service</w:t>
      </w:r>
      <w:r>
        <w:rPr>
          <w:lang w:eastAsia="en-AU"/>
        </w:rPr>
        <w:t xml:space="preserve"> </w:t>
      </w:r>
      <w:r>
        <w:rPr>
          <w:color w:val="000000"/>
          <w:lang w:eastAsia="en-AU"/>
        </w:rPr>
        <w:t xml:space="preserve">in Australia </w:t>
      </w:r>
      <w:r>
        <w:rPr>
          <w:lang w:eastAsia="en-AU"/>
        </w:rPr>
        <w:t xml:space="preserve">(wherever those costs are incurred) </w:t>
      </w:r>
      <w:r>
        <w:rPr>
          <w:color w:val="000000"/>
          <w:lang w:eastAsia="en-AU"/>
        </w:rPr>
        <w:t>for each financial year</w:t>
      </w:r>
      <w:r>
        <w:rPr>
          <w:lang w:eastAsia="en-AU"/>
        </w:rPr>
        <w:t>:</w:t>
      </w:r>
    </w:p>
    <w:p w14:paraId="1B4CD700" w14:textId="3D397891" w:rsidR="007E0799" w:rsidRDefault="007E0799" w:rsidP="007E0799">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r>
      <w:proofErr w:type="gramStart"/>
      <w:r>
        <w:rPr>
          <w:lang w:eastAsia="en-AU"/>
        </w:rPr>
        <w:t>content</w:t>
      </w:r>
      <w:proofErr w:type="gramEnd"/>
      <w:r>
        <w:rPr>
          <w:lang w:eastAsia="en-AU"/>
        </w:rPr>
        <w:t xml:space="preserve"> costs (broken down by acquisition and commissioned spend);</w:t>
      </w:r>
    </w:p>
    <w:p w14:paraId="6DE0DDAF" w14:textId="30941617" w:rsidR="007E0799" w:rsidRDefault="007E0799" w:rsidP="007E0799">
      <w:pPr>
        <w:pStyle w:val="Quote3"/>
        <w:rPr>
          <w:lang w:eastAsia="en-AU"/>
        </w:rPr>
      </w:pPr>
      <w:r>
        <w:rPr>
          <w:lang w:eastAsia="en-AU"/>
        </w:rPr>
        <w:t>(ii)</w:t>
      </w:r>
      <w:r>
        <w:rPr>
          <w:lang w:eastAsia="en-AU"/>
        </w:rPr>
        <w:tab/>
      </w:r>
      <w:proofErr w:type="gramStart"/>
      <w:r>
        <w:rPr>
          <w:lang w:eastAsia="en-AU"/>
        </w:rPr>
        <w:t>music</w:t>
      </w:r>
      <w:proofErr w:type="gramEnd"/>
      <w:r>
        <w:rPr>
          <w:lang w:eastAsia="en-AU"/>
        </w:rPr>
        <w:t xml:space="preserve"> costs;</w:t>
      </w:r>
    </w:p>
    <w:p w14:paraId="66A575BD" w14:textId="03A60BDF" w:rsidR="007E0799" w:rsidRDefault="007E0799" w:rsidP="007E0799">
      <w:pPr>
        <w:pStyle w:val="Quote3"/>
        <w:rPr>
          <w:lang w:eastAsia="en-AU"/>
        </w:rPr>
      </w:pPr>
      <w:r>
        <w:rPr>
          <w:lang w:eastAsia="en-AU"/>
        </w:rPr>
        <w:t>(</w:t>
      </w:r>
      <w:proofErr w:type="gramStart"/>
      <w:r>
        <w:rPr>
          <w:lang w:eastAsia="en-AU"/>
        </w:rPr>
        <w:t>iii</w:t>
      </w:r>
      <w:proofErr w:type="gramEnd"/>
      <w:r>
        <w:rPr>
          <w:lang w:eastAsia="en-AU"/>
        </w:rPr>
        <w:t xml:space="preserve">) </w:t>
      </w:r>
      <w:r>
        <w:rPr>
          <w:lang w:eastAsia="en-AU"/>
        </w:rPr>
        <w:tab/>
        <w:t>variable costs (</w:t>
      </w:r>
      <w:proofErr w:type="spellStart"/>
      <w:r>
        <w:rPr>
          <w:lang w:eastAsia="en-AU"/>
        </w:rPr>
        <w:t>eg</w:t>
      </w:r>
      <w:proofErr w:type="spellEnd"/>
      <w:r w:rsidR="00901B47">
        <w:rPr>
          <w:lang w:eastAsia="en-AU"/>
        </w:rPr>
        <w:t xml:space="preserve">.  </w:t>
      </w:r>
      <w:proofErr w:type="gramStart"/>
      <w:r>
        <w:rPr>
          <w:lang w:eastAsia="en-AU"/>
        </w:rPr>
        <w:t>delivery</w:t>
      </w:r>
      <w:proofErr w:type="gramEnd"/>
      <w:r>
        <w:rPr>
          <w:lang w:eastAsia="en-AU"/>
        </w:rPr>
        <w:t xml:space="preserve"> and billing); and</w:t>
      </w:r>
    </w:p>
    <w:p w14:paraId="20CE61BD" w14:textId="7C05D3C0" w:rsidR="007E0799" w:rsidRDefault="007E0799" w:rsidP="007E0799">
      <w:pPr>
        <w:pStyle w:val="Quote3"/>
        <w:ind w:left="2880" w:hanging="720"/>
      </w:pPr>
      <w:r>
        <w:rPr>
          <w:lang w:eastAsia="en-AU"/>
        </w:rPr>
        <w:t xml:space="preserve">(iv) </w:t>
      </w:r>
      <w:r>
        <w:rPr>
          <w:lang w:eastAsia="en-AU"/>
        </w:rPr>
        <w:tab/>
      </w:r>
      <w:proofErr w:type="gramStart"/>
      <w:r>
        <w:rPr>
          <w:lang w:eastAsia="en-AU"/>
        </w:rPr>
        <w:t>fixed</w:t>
      </w:r>
      <w:proofErr w:type="gramEnd"/>
      <w:r>
        <w:rPr>
          <w:lang w:eastAsia="en-AU"/>
        </w:rPr>
        <w:t xml:space="preserve"> costs (</w:t>
      </w:r>
      <w:proofErr w:type="spellStart"/>
      <w:r>
        <w:rPr>
          <w:lang w:eastAsia="en-AU"/>
        </w:rPr>
        <w:t>eg</w:t>
      </w:r>
      <w:proofErr w:type="spellEnd"/>
      <w:r w:rsidR="00901B47">
        <w:rPr>
          <w:lang w:eastAsia="en-AU"/>
        </w:rPr>
        <w:t xml:space="preserve">.  </w:t>
      </w:r>
      <w:proofErr w:type="gramStart"/>
      <w:r>
        <w:rPr>
          <w:lang w:eastAsia="en-AU"/>
        </w:rPr>
        <w:t>distribution</w:t>
      </w:r>
      <w:proofErr w:type="gramEnd"/>
      <w:r>
        <w:rPr>
          <w:lang w:eastAsia="en-AU"/>
        </w:rPr>
        <w:t xml:space="preserve"> costs, marketing, technology, staff, overhead).</w:t>
      </w:r>
    </w:p>
    <w:p w14:paraId="511C3B45" w14:textId="7BF3F34A" w:rsidR="00BE356B" w:rsidRDefault="00BE356B" w:rsidP="00BE356B">
      <w:pPr>
        <w:pStyle w:val="ParaNumbering"/>
      </w:pPr>
      <w:r>
        <w:t>Apple submitted that it would onerous for it to comply and that 1(c) was not clear</w:t>
      </w:r>
      <w:r w:rsidR="00901B47">
        <w:t xml:space="preserve">.  </w:t>
      </w:r>
      <w:r>
        <w:t>As to the first</w:t>
      </w:r>
      <w:r w:rsidR="00AD5084">
        <w:t xml:space="preserve"> of these contentions</w:t>
      </w:r>
      <w:r>
        <w:t>, it submitted that identifying the documents that recorded the costs referred to in (c) would be a very complicated exercise because it does not record such costs by country</w:t>
      </w:r>
      <w:r w:rsidR="00901B47">
        <w:t xml:space="preserve">.  </w:t>
      </w:r>
      <w:r>
        <w:t>It would therefore be required to search for and examine primary documents such as emails and invoices</w:t>
      </w:r>
      <w:r w:rsidR="00901B47">
        <w:t xml:space="preserve">.  </w:t>
      </w:r>
      <w:r>
        <w:t>An additional problem would be that the costs might be attributable to more than one service</w:t>
      </w:r>
      <w:r w:rsidR="00901B47">
        <w:t xml:space="preserve">.  </w:t>
      </w:r>
    </w:p>
    <w:p w14:paraId="431AB2A3" w14:textId="3FB2594E" w:rsidR="00BE356B" w:rsidRDefault="00BE356B" w:rsidP="00BE356B">
      <w:pPr>
        <w:pStyle w:val="ParaNumbering"/>
      </w:pPr>
      <w:r>
        <w:t>There was no evidence to this effect and hence no way of determining whether the suggested burden is undue</w:t>
      </w:r>
      <w:r w:rsidR="00901B47">
        <w:t xml:space="preserve">.  </w:t>
      </w:r>
      <w:r>
        <w:t xml:space="preserve">Even if there had been evidence to the effect eluded </w:t>
      </w:r>
      <w:r w:rsidR="00282167">
        <w:t xml:space="preserve">to </w:t>
      </w:r>
      <w:r>
        <w:t>by Apple, I would not have accepted that the burden was undue</w:t>
      </w:r>
      <w:r w:rsidR="00901B47">
        <w:t xml:space="preserve">.  </w:t>
      </w:r>
      <w:r>
        <w:t>I am far from persuaded at this stage that Apple’s costs are irrelevant to the exercise by the Tribunal of its function under s 154(4).</w:t>
      </w:r>
    </w:p>
    <w:p w14:paraId="7243F89E" w14:textId="005E37D9" w:rsidR="00BE356B" w:rsidRDefault="00BE356B" w:rsidP="00BE356B">
      <w:pPr>
        <w:pStyle w:val="ParaNumbering"/>
      </w:pPr>
      <w:r>
        <w:t xml:space="preserve">Nor do </w:t>
      </w:r>
      <w:r w:rsidR="00843D6B">
        <w:t>I accept</w:t>
      </w:r>
      <w:r>
        <w:t xml:space="preserve"> the second contention</w:t>
      </w:r>
      <w:r w:rsidR="00901B47">
        <w:t xml:space="preserve">.  </w:t>
      </w:r>
      <w:r>
        <w:t>Apple initially submitted that its problems were compounded by the words ‘</w:t>
      </w:r>
      <w:r w:rsidRPr="0090559A">
        <w:rPr>
          <w:i/>
        </w:rPr>
        <w:t>in relation to</w:t>
      </w:r>
      <w:r>
        <w:t xml:space="preserve"> conducting the Service in Australia’</w:t>
      </w:r>
      <w:r w:rsidR="004F5A48">
        <w:t xml:space="preserve"> (emphasis added)</w:t>
      </w:r>
      <w:r w:rsidR="00901B47">
        <w:t xml:space="preserve">.  </w:t>
      </w:r>
      <w:r>
        <w:t>Its complaint was that it was unclear whether, for example, it picked up a catering cost</w:t>
      </w:r>
      <w:r w:rsidR="00901B47">
        <w:t xml:space="preserve">.  </w:t>
      </w:r>
      <w:r>
        <w:t>This led APRA</w:t>
      </w:r>
      <w:r w:rsidR="00F12414">
        <w:t xml:space="preserve"> </w:t>
      </w:r>
      <w:r>
        <w:t>AMCOS to add subparagraphs (</w:t>
      </w:r>
      <w:proofErr w:type="spellStart"/>
      <w:r>
        <w:t>i</w:t>
      </w:r>
      <w:proofErr w:type="spellEnd"/>
      <w:r>
        <w:t>)-(</w:t>
      </w:r>
      <w:proofErr w:type="gramStart"/>
      <w:r>
        <w:t>iv</w:t>
      </w:r>
      <w:proofErr w:type="gramEnd"/>
      <w:r>
        <w:t>) to the summons</w:t>
      </w:r>
      <w:r w:rsidR="00901B47">
        <w:t xml:space="preserve">.  </w:t>
      </w:r>
      <w:r>
        <w:t xml:space="preserve">Apple then </w:t>
      </w:r>
      <w:r>
        <w:lastRenderedPageBreak/>
        <w:t>submitted that it was now too broad because of the words ‘wherever those costs are incurred’</w:t>
      </w:r>
      <w:r w:rsidR="00901B47">
        <w:t xml:space="preserve">.  </w:t>
      </w:r>
      <w:r>
        <w:t>I do not accept Apple’s submission</w:t>
      </w:r>
      <w:r w:rsidR="00901B47">
        <w:t xml:space="preserve">.  </w:t>
      </w:r>
      <w:r>
        <w:t>It is clear what 1(c) requires</w:t>
      </w:r>
      <w:r w:rsidR="00901B47">
        <w:t xml:space="preserve">.  </w:t>
      </w:r>
      <w:r>
        <w:t>Paragraph 1(c) is therefore appropriate</w:t>
      </w:r>
      <w:r w:rsidR="00901B47">
        <w:t xml:space="preserve">.  </w:t>
      </w:r>
      <w:r>
        <w:t>For completeness, Apple did not submit that 1(c) did not seek a ‘specified’ document.</w:t>
      </w:r>
    </w:p>
    <w:p w14:paraId="34A5CAB2" w14:textId="77777777" w:rsidR="00BE356B" w:rsidRDefault="00BE356B" w:rsidP="00BE356B">
      <w:pPr>
        <w:pStyle w:val="Heading2"/>
      </w:pPr>
      <w:r>
        <w:t>Paragraph 1(h)</w:t>
      </w:r>
    </w:p>
    <w:p w14:paraId="575DEDE6" w14:textId="77777777" w:rsidR="00BE356B" w:rsidRDefault="00BE356B" w:rsidP="00BE356B">
      <w:pPr>
        <w:pStyle w:val="ParaNumbering"/>
      </w:pPr>
      <w:r>
        <w:t>This paragraph is as follows:</w:t>
      </w:r>
    </w:p>
    <w:p w14:paraId="53D417D8" w14:textId="7670A02D" w:rsidR="00990568" w:rsidRPr="003C64C3" w:rsidRDefault="00990568" w:rsidP="00990568">
      <w:pPr>
        <w:pStyle w:val="Quote1"/>
        <w:ind w:left="1440" w:hanging="703"/>
        <w:rPr>
          <w:lang w:eastAsia="en-AU"/>
        </w:rPr>
      </w:pPr>
      <w:r w:rsidRPr="003C64C3">
        <w:rPr>
          <w:lang w:eastAsia="en-AU"/>
        </w:rPr>
        <w:t>1</w:t>
      </w:r>
      <w:r w:rsidR="00901B47">
        <w:rPr>
          <w:lang w:eastAsia="en-AU"/>
        </w:rPr>
        <w:t xml:space="preserve">.  </w:t>
      </w:r>
      <w:r w:rsidRPr="003C64C3">
        <w:rPr>
          <w:lang w:eastAsia="en-AU"/>
        </w:rPr>
        <w:tab/>
        <w:t>You are summoned to produce to the Copyright Tribunal of Australia by 4:00pm on 31 April 2022, the following document or articles (in electronic form if available):</w:t>
      </w:r>
    </w:p>
    <w:p w14:paraId="4B7FE11F" w14:textId="02061B39" w:rsidR="00990568" w:rsidRPr="003C64C3" w:rsidRDefault="00990568" w:rsidP="00990568">
      <w:pPr>
        <w:pStyle w:val="Quote1"/>
        <w:ind w:left="1440" w:hanging="703"/>
        <w:rPr>
          <w:lang w:eastAsia="en-AU"/>
        </w:rPr>
      </w:pPr>
      <w:r w:rsidRPr="003C64C3">
        <w:rPr>
          <w:lang w:eastAsia="en-AU"/>
        </w:rPr>
        <w:tab/>
        <w:t>…</w:t>
      </w:r>
    </w:p>
    <w:p w14:paraId="3DE6D94A" w14:textId="771531B7" w:rsidR="00990568" w:rsidRDefault="00990568" w:rsidP="00990568">
      <w:pPr>
        <w:pStyle w:val="Quote2"/>
        <w:ind w:left="2160" w:hanging="720"/>
        <w:rPr>
          <w:color w:val="000000"/>
          <w:lang w:eastAsia="en-AU"/>
        </w:rPr>
      </w:pPr>
      <w:r w:rsidRPr="003C64C3">
        <w:rPr>
          <w:lang w:eastAsia="en-AU"/>
        </w:rPr>
        <w:t xml:space="preserve">(h) </w:t>
      </w:r>
      <w:r w:rsidRPr="003C64C3">
        <w:rPr>
          <w:lang w:eastAsia="en-AU"/>
        </w:rPr>
        <w:tab/>
      </w:r>
      <w:r w:rsidRPr="003C64C3">
        <w:rPr>
          <w:color w:val="000000"/>
          <w:lang w:eastAsia="en-AU"/>
        </w:rPr>
        <w:t xml:space="preserve">Any documents </w:t>
      </w:r>
      <w:r w:rsidRPr="003C64C3">
        <w:rPr>
          <w:lang w:eastAsia="en-AU"/>
        </w:rPr>
        <w:t xml:space="preserve">authored or created by, for, or on behalf of, senior management or executives of Apple, or board papers or minutes, </w:t>
      </w:r>
      <w:r w:rsidRPr="003C64C3">
        <w:rPr>
          <w:color w:val="000000"/>
          <w:lang w:eastAsia="en-AU"/>
        </w:rPr>
        <w:t xml:space="preserve">recording or evidencing </w:t>
      </w:r>
      <w:r w:rsidRPr="003C64C3">
        <w:rPr>
          <w:lang w:eastAsia="en-AU"/>
        </w:rPr>
        <w:t xml:space="preserve">Apple’s </w:t>
      </w:r>
      <w:r w:rsidRPr="003C64C3">
        <w:rPr>
          <w:color w:val="000000"/>
          <w:lang w:eastAsia="en-AU"/>
        </w:rPr>
        <w:t>consideration of</w:t>
      </w:r>
      <w:r w:rsidRPr="003C64C3">
        <w:rPr>
          <w:lang w:eastAsia="en-AU"/>
        </w:rPr>
        <w:t xml:space="preserve">, and/or reasons for agreeing to or resisting </w:t>
      </w:r>
      <w:r w:rsidRPr="003C64C3">
        <w:rPr>
          <w:color w:val="000000"/>
          <w:lang w:eastAsia="en-AU"/>
        </w:rPr>
        <w:t xml:space="preserve">the licence fee payable </w:t>
      </w:r>
      <w:r w:rsidRPr="003C64C3">
        <w:rPr>
          <w:lang w:eastAsia="en-AU"/>
        </w:rPr>
        <w:t xml:space="preserve">to APRA AMCOS </w:t>
      </w:r>
      <w:r w:rsidRPr="003C64C3">
        <w:rPr>
          <w:color w:val="000000"/>
          <w:lang w:eastAsia="en-AU"/>
        </w:rPr>
        <w:t>for the communication and reproduction of musical works on the Service in the period 6-months prior</w:t>
      </w:r>
      <w:r w:rsidRPr="003C64C3">
        <w:rPr>
          <w:lang w:eastAsia="en-AU"/>
        </w:rPr>
        <w:t xml:space="preserve"> </w:t>
      </w:r>
      <w:r w:rsidRPr="003C64C3">
        <w:rPr>
          <w:color w:val="000000"/>
          <w:lang w:eastAsia="en-AU"/>
        </w:rPr>
        <w:t>to the entering into of any licence with APRA AMCOS.</w:t>
      </w:r>
    </w:p>
    <w:p w14:paraId="44441F49" w14:textId="7B519EF4" w:rsidR="00BE356B" w:rsidRPr="00990568" w:rsidRDefault="00BE356B" w:rsidP="00990568">
      <w:pPr>
        <w:pStyle w:val="ParaNumbering"/>
        <w:rPr>
          <w:rFonts w:ascii="ArialMT" w:hAnsi="ArialMT" w:cs="ArialMT"/>
          <w:color w:val="000000"/>
          <w:sz w:val="19"/>
          <w:szCs w:val="19"/>
          <w:lang w:eastAsia="en-AU"/>
        </w:rPr>
      </w:pPr>
      <w:r>
        <w:t>Apple submitted that this paragraph was excessive because it would have to search its records including internal emails and text and chat messages</w:t>
      </w:r>
      <w:r w:rsidR="00901B47">
        <w:t xml:space="preserve">.  </w:t>
      </w:r>
      <w:r>
        <w:t>There is no evidence of how burdensome this is for Apple and therefore no occasion to consider the matter further</w:t>
      </w:r>
      <w:r w:rsidR="00901B47">
        <w:t xml:space="preserve">.  </w:t>
      </w:r>
      <w:r>
        <w:t>Apple also took issue with the words ‘recording or evidencing Apple’s consideration of’</w:t>
      </w:r>
      <w:r w:rsidR="00901B47">
        <w:t xml:space="preserve">.  </w:t>
      </w:r>
      <w:r>
        <w:t>It was said that ‘evidencing’ might capture fleeting references</w:t>
      </w:r>
      <w:r w:rsidR="00901B47">
        <w:t xml:space="preserve">.  </w:t>
      </w:r>
      <w:r>
        <w:t>I do not accept this submission</w:t>
      </w:r>
      <w:r w:rsidR="00901B47">
        <w:t xml:space="preserve">.  </w:t>
      </w:r>
      <w:r>
        <w:t>Consequently, I will permit 1(h)</w:t>
      </w:r>
      <w:r w:rsidR="00901B47">
        <w:t xml:space="preserve">.  </w:t>
      </w:r>
      <w:r>
        <w:t>Again, it was not submitted that the paragraph lay outside the requirement that the document be specified.</w:t>
      </w:r>
    </w:p>
    <w:p w14:paraId="04711CB9" w14:textId="77777777" w:rsidR="00BE356B" w:rsidRDefault="00BE356B" w:rsidP="00BE356B">
      <w:pPr>
        <w:pStyle w:val="Heading2"/>
      </w:pPr>
      <w:r>
        <w:t>Paragraph 1(</w:t>
      </w:r>
      <w:proofErr w:type="spellStart"/>
      <w:r>
        <w:t>i</w:t>
      </w:r>
      <w:proofErr w:type="spellEnd"/>
      <w:r>
        <w:t xml:space="preserve">) </w:t>
      </w:r>
    </w:p>
    <w:p w14:paraId="02679996" w14:textId="77777777" w:rsidR="00BE356B" w:rsidRDefault="00BE356B" w:rsidP="00BE356B">
      <w:pPr>
        <w:pStyle w:val="ParaNumbering"/>
      </w:pPr>
      <w:r>
        <w:t>This paragraph is as follows:</w:t>
      </w:r>
    </w:p>
    <w:p w14:paraId="29B45EC0" w14:textId="4DEAB28F" w:rsidR="00FD24D9" w:rsidRPr="003C64C3" w:rsidRDefault="00FD24D9" w:rsidP="00FD24D9">
      <w:pPr>
        <w:pStyle w:val="Quote1"/>
        <w:ind w:left="1440" w:hanging="703"/>
        <w:rPr>
          <w:lang w:eastAsia="en-AU"/>
        </w:rPr>
      </w:pPr>
      <w:r w:rsidRPr="003C64C3">
        <w:rPr>
          <w:lang w:eastAsia="en-AU"/>
        </w:rPr>
        <w:t>1</w:t>
      </w:r>
      <w:r w:rsidR="00901B47">
        <w:rPr>
          <w:lang w:eastAsia="en-AU"/>
        </w:rPr>
        <w:t xml:space="preserve">.  </w:t>
      </w:r>
      <w:r w:rsidRPr="003C64C3">
        <w:rPr>
          <w:lang w:eastAsia="en-AU"/>
        </w:rPr>
        <w:tab/>
        <w:t>You are summoned to produce to the Copyright Tribunal of Australia by 4:00pm on 31 April 2022, the following document or articles (in electronic form if available):</w:t>
      </w:r>
    </w:p>
    <w:p w14:paraId="07A3A73F" w14:textId="77777777" w:rsidR="00FD24D9" w:rsidRPr="003C64C3" w:rsidRDefault="00FD24D9" w:rsidP="00FD24D9">
      <w:pPr>
        <w:pStyle w:val="Quote1"/>
        <w:ind w:left="1440" w:hanging="703"/>
        <w:rPr>
          <w:lang w:eastAsia="en-AU"/>
        </w:rPr>
      </w:pPr>
      <w:r w:rsidRPr="003C64C3">
        <w:rPr>
          <w:lang w:eastAsia="en-AU"/>
        </w:rPr>
        <w:tab/>
        <w:t>…</w:t>
      </w:r>
    </w:p>
    <w:p w14:paraId="2E42D1C9" w14:textId="0368316A" w:rsidR="00FD24D9" w:rsidRDefault="00FD24D9" w:rsidP="00FD24D9">
      <w:pPr>
        <w:pStyle w:val="Quote2"/>
        <w:ind w:left="2160" w:hanging="720"/>
        <w:rPr>
          <w:color w:val="000000"/>
          <w:lang w:eastAsia="en-AU"/>
        </w:rPr>
      </w:pPr>
      <w:r>
        <w:rPr>
          <w:lang w:eastAsia="en-AU"/>
        </w:rPr>
        <w:t>(</w:t>
      </w:r>
      <w:proofErr w:type="spellStart"/>
      <w:r>
        <w:rPr>
          <w:lang w:eastAsia="en-AU"/>
        </w:rPr>
        <w:t>i</w:t>
      </w:r>
      <w:proofErr w:type="spellEnd"/>
      <w:r w:rsidRPr="003C64C3">
        <w:rPr>
          <w:lang w:eastAsia="en-AU"/>
        </w:rPr>
        <w:t xml:space="preserve">) </w:t>
      </w:r>
      <w:r w:rsidRPr="003C64C3">
        <w:rPr>
          <w:lang w:eastAsia="en-AU"/>
        </w:rPr>
        <w:tab/>
      </w:r>
      <w:r w:rsidRPr="003C64C3">
        <w:rPr>
          <w:color w:val="000000"/>
          <w:lang w:eastAsia="en-AU"/>
        </w:rPr>
        <w:t>Any d</w:t>
      </w:r>
      <w:r>
        <w:rPr>
          <w:color w:val="000000"/>
          <w:lang w:eastAsia="en-AU"/>
        </w:rPr>
        <w:t>ocuments authored or created by, for, or on behalf of, senior management or executives of Apple, recording or evidencing Apple’s consideration of, and/or reasons for agreeing to or resisting the licence fee payable to a collecting society for the communication and reproduction of musical works on the Service in the period 6-months prior to the entering into of any licence with that collecting society in each of the following territories:</w:t>
      </w:r>
    </w:p>
    <w:p w14:paraId="4F3C6AED" w14:textId="7FE2C653" w:rsidR="00FD24D9" w:rsidRDefault="00FD24D9" w:rsidP="00FD24D9">
      <w:pPr>
        <w:pStyle w:val="Quote3"/>
        <w:ind w:left="2880" w:hanging="720"/>
        <w:rPr>
          <w:lang w:eastAsia="en-AU"/>
        </w:rPr>
      </w:pPr>
      <w:r>
        <w:rPr>
          <w:lang w:eastAsia="en-AU"/>
        </w:rPr>
        <w:lastRenderedPageBreak/>
        <w:t>(</w:t>
      </w:r>
      <w:proofErr w:type="spellStart"/>
      <w:r>
        <w:rPr>
          <w:lang w:eastAsia="en-AU"/>
        </w:rPr>
        <w:t>i</w:t>
      </w:r>
      <w:proofErr w:type="spellEnd"/>
      <w:r>
        <w:rPr>
          <w:lang w:eastAsia="en-AU"/>
        </w:rPr>
        <w:t xml:space="preserve">) </w:t>
      </w:r>
      <w:r>
        <w:rPr>
          <w:lang w:eastAsia="en-AU"/>
        </w:rPr>
        <w:tab/>
      </w:r>
      <w:proofErr w:type="gramStart"/>
      <w:r>
        <w:rPr>
          <w:lang w:eastAsia="en-AU"/>
        </w:rPr>
        <w:t>the</w:t>
      </w:r>
      <w:proofErr w:type="gramEnd"/>
      <w:r>
        <w:rPr>
          <w:lang w:eastAsia="en-AU"/>
        </w:rPr>
        <w:t xml:space="preserve"> Czech Republic;</w:t>
      </w:r>
    </w:p>
    <w:p w14:paraId="554A59D2" w14:textId="7B5BAB7B" w:rsidR="00FD24D9" w:rsidRDefault="00FD24D9" w:rsidP="00FD24D9">
      <w:pPr>
        <w:pStyle w:val="Quote3"/>
        <w:rPr>
          <w:lang w:eastAsia="en-AU"/>
        </w:rPr>
      </w:pPr>
      <w:r>
        <w:rPr>
          <w:lang w:eastAsia="en-AU"/>
        </w:rPr>
        <w:t xml:space="preserve">(ii) </w:t>
      </w:r>
      <w:r>
        <w:rPr>
          <w:lang w:eastAsia="en-AU"/>
        </w:rPr>
        <w:tab/>
        <w:t>Finland;</w:t>
      </w:r>
    </w:p>
    <w:p w14:paraId="7DB098C3" w14:textId="69B83147" w:rsidR="00FD24D9" w:rsidRDefault="00FD24D9" w:rsidP="00FD24D9">
      <w:pPr>
        <w:pStyle w:val="Quote3"/>
        <w:rPr>
          <w:lang w:eastAsia="en-AU"/>
        </w:rPr>
      </w:pPr>
      <w:r>
        <w:rPr>
          <w:lang w:eastAsia="en-AU"/>
        </w:rPr>
        <w:t xml:space="preserve">(iii) </w:t>
      </w:r>
      <w:r>
        <w:rPr>
          <w:lang w:eastAsia="en-AU"/>
        </w:rPr>
        <w:tab/>
        <w:t>France;</w:t>
      </w:r>
    </w:p>
    <w:p w14:paraId="14CA6C8B" w14:textId="0B7DDACE" w:rsidR="00FD24D9" w:rsidRDefault="00FD24D9" w:rsidP="00FD24D9">
      <w:pPr>
        <w:pStyle w:val="Quote3"/>
        <w:rPr>
          <w:lang w:eastAsia="en-AU"/>
        </w:rPr>
      </w:pPr>
      <w:proofErr w:type="gramStart"/>
      <w:r>
        <w:rPr>
          <w:lang w:eastAsia="en-AU"/>
        </w:rPr>
        <w:t>(iv)</w:t>
      </w:r>
      <w:r>
        <w:rPr>
          <w:lang w:eastAsia="en-AU"/>
        </w:rPr>
        <w:tab/>
        <w:t>Germany</w:t>
      </w:r>
      <w:proofErr w:type="gramEnd"/>
      <w:r>
        <w:rPr>
          <w:lang w:eastAsia="en-AU"/>
        </w:rPr>
        <w:t xml:space="preserve">; </w:t>
      </w:r>
    </w:p>
    <w:p w14:paraId="5FE83107" w14:textId="31323066" w:rsidR="00FD24D9" w:rsidRDefault="00FD24D9" w:rsidP="00FD24D9">
      <w:pPr>
        <w:pStyle w:val="Quote3"/>
        <w:rPr>
          <w:lang w:eastAsia="en-AU"/>
        </w:rPr>
      </w:pPr>
      <w:r>
        <w:rPr>
          <w:lang w:eastAsia="en-AU"/>
        </w:rPr>
        <w:t xml:space="preserve">(v) </w:t>
      </w:r>
      <w:r>
        <w:rPr>
          <w:lang w:eastAsia="en-AU"/>
        </w:rPr>
        <w:tab/>
        <w:t>Hong Kong;</w:t>
      </w:r>
    </w:p>
    <w:p w14:paraId="2E65EF11" w14:textId="102DA870" w:rsidR="00FD24D9" w:rsidRDefault="00FD24D9" w:rsidP="00FD24D9">
      <w:pPr>
        <w:pStyle w:val="Quote3"/>
        <w:rPr>
          <w:lang w:eastAsia="en-AU"/>
        </w:rPr>
      </w:pPr>
      <w:r>
        <w:rPr>
          <w:lang w:eastAsia="en-AU"/>
        </w:rPr>
        <w:t>(vi)</w:t>
      </w:r>
      <w:r>
        <w:rPr>
          <w:lang w:eastAsia="en-AU"/>
        </w:rPr>
        <w:tab/>
      </w:r>
      <w:proofErr w:type="gramStart"/>
      <w:r>
        <w:rPr>
          <w:lang w:eastAsia="en-AU"/>
        </w:rPr>
        <w:t>the</w:t>
      </w:r>
      <w:proofErr w:type="gramEnd"/>
      <w:r>
        <w:rPr>
          <w:lang w:eastAsia="en-AU"/>
        </w:rPr>
        <w:t xml:space="preserve"> United Kingdom, or any part thereof; </w:t>
      </w:r>
    </w:p>
    <w:p w14:paraId="180B2786" w14:textId="218A180B" w:rsidR="00FD24D9" w:rsidRDefault="00FD24D9" w:rsidP="00FD24D9">
      <w:pPr>
        <w:pStyle w:val="Quote3"/>
        <w:rPr>
          <w:lang w:eastAsia="en-AU"/>
        </w:rPr>
      </w:pPr>
      <w:r>
        <w:rPr>
          <w:lang w:eastAsia="en-AU"/>
        </w:rPr>
        <w:t xml:space="preserve">(vii) </w:t>
      </w:r>
      <w:r>
        <w:rPr>
          <w:lang w:eastAsia="en-AU"/>
        </w:rPr>
        <w:tab/>
      </w:r>
      <w:proofErr w:type="gramStart"/>
      <w:r>
        <w:rPr>
          <w:lang w:eastAsia="en-AU"/>
        </w:rPr>
        <w:t>the</w:t>
      </w:r>
      <w:proofErr w:type="gramEnd"/>
      <w:r>
        <w:rPr>
          <w:lang w:eastAsia="en-AU"/>
        </w:rPr>
        <w:t xml:space="preserve"> Republic of Ireland; and</w:t>
      </w:r>
    </w:p>
    <w:p w14:paraId="6363CA9E" w14:textId="4D404AE9" w:rsidR="00FD24D9" w:rsidRDefault="00FD24D9" w:rsidP="00FD24D9">
      <w:pPr>
        <w:pStyle w:val="Quote3"/>
        <w:rPr>
          <w:lang w:eastAsia="en-AU"/>
        </w:rPr>
      </w:pPr>
      <w:r>
        <w:rPr>
          <w:lang w:eastAsia="en-AU"/>
        </w:rPr>
        <w:t xml:space="preserve">(viii) </w:t>
      </w:r>
      <w:r>
        <w:rPr>
          <w:lang w:eastAsia="en-AU"/>
        </w:rPr>
        <w:tab/>
        <w:t>Sweden</w:t>
      </w:r>
      <w:r w:rsidR="00901B47">
        <w:rPr>
          <w:lang w:eastAsia="en-AU"/>
        </w:rPr>
        <w:t xml:space="preserve">.  </w:t>
      </w:r>
    </w:p>
    <w:p w14:paraId="35C297F8" w14:textId="63F55674" w:rsidR="00BE356B" w:rsidRPr="00D16094" w:rsidRDefault="00BE356B" w:rsidP="00BE356B">
      <w:pPr>
        <w:pStyle w:val="ParaNumbering"/>
      </w:pPr>
      <w:r>
        <w:t>Apple submitted that it had not been explained why Apple would have such documents</w:t>
      </w:r>
      <w:r w:rsidR="00901B47">
        <w:t xml:space="preserve">.  </w:t>
      </w:r>
      <w:r>
        <w:t>Since there was no reason to think that it had any such documents, it would be wasteful to require Apple to comply with it</w:t>
      </w:r>
      <w:r w:rsidR="00901B47">
        <w:t xml:space="preserve">.  </w:t>
      </w:r>
      <w:r>
        <w:t>I reject this submission for the reasons I have already given</w:t>
      </w:r>
      <w:r w:rsidR="00901B47">
        <w:t xml:space="preserve">.  </w:t>
      </w:r>
      <w:r>
        <w:t>It was also said to be overbroad and vague</w:t>
      </w:r>
      <w:r w:rsidR="00901B47">
        <w:t xml:space="preserve">.  </w:t>
      </w:r>
      <w:r>
        <w:t>I do not agree – it was clear.</w:t>
      </w:r>
    </w:p>
    <w:p w14:paraId="054CC875" w14:textId="77777777" w:rsidR="00BE356B" w:rsidRDefault="00BE356B" w:rsidP="00BE356B">
      <w:pPr>
        <w:pStyle w:val="Heading2"/>
      </w:pPr>
      <w:r>
        <w:t>Paragraph 2</w:t>
      </w:r>
    </w:p>
    <w:p w14:paraId="6DB2EF4B" w14:textId="77777777" w:rsidR="00BE356B" w:rsidRDefault="00BE356B" w:rsidP="00BE356B">
      <w:pPr>
        <w:pStyle w:val="ParaNumbering"/>
      </w:pPr>
      <w:r>
        <w:t>This paragraph is as follows:</w:t>
      </w:r>
    </w:p>
    <w:p w14:paraId="4966A5D8" w14:textId="0871122B" w:rsidR="00CD1E8D" w:rsidRDefault="00CD1E8D" w:rsidP="00CD1E8D">
      <w:pPr>
        <w:pStyle w:val="Quote1"/>
        <w:ind w:left="1440" w:hanging="703"/>
        <w:rPr>
          <w:lang w:eastAsia="en-AU"/>
        </w:rPr>
      </w:pPr>
      <w:r>
        <w:rPr>
          <w:lang w:eastAsia="en-AU"/>
        </w:rPr>
        <w:t>2</w:t>
      </w:r>
      <w:r w:rsidR="00901B47">
        <w:rPr>
          <w:lang w:eastAsia="en-AU"/>
        </w:rPr>
        <w:t xml:space="preserve">.  </w:t>
      </w:r>
      <w:r>
        <w:rPr>
          <w:lang w:eastAsia="en-AU"/>
        </w:rPr>
        <w:tab/>
        <w:t>To the extent that any of the documents answerable to 1(g) and 1(</w:t>
      </w:r>
      <w:proofErr w:type="spellStart"/>
      <w:r>
        <w:rPr>
          <w:lang w:eastAsia="en-AU"/>
        </w:rPr>
        <w:t>i</w:t>
      </w:r>
      <w:proofErr w:type="spellEnd"/>
      <w:r>
        <w:rPr>
          <w:lang w:eastAsia="en-AU"/>
        </w:rPr>
        <w:t>) above are not in the power, custody or control of Apple, Apple is to take all reasonable steps available to it to obtain the documents, or copies thereof, and produce those documents</w:t>
      </w:r>
      <w:r w:rsidR="00BB32FB">
        <w:rPr>
          <w:lang w:eastAsia="en-AU"/>
        </w:rPr>
        <w:t>.</w:t>
      </w:r>
      <w:r w:rsidR="00901B47">
        <w:rPr>
          <w:lang w:eastAsia="en-AU"/>
        </w:rPr>
        <w:t xml:space="preserve"> </w:t>
      </w:r>
      <w:r>
        <w:rPr>
          <w:lang w:eastAsia="en-AU"/>
        </w:rPr>
        <w:t>If the documents are not produced by 4:00pm on 31 April 2022, Apple, by a representative having knowledge of the facts, is to file and serve an affidavit as to Apple’s efforts made pursuant to this order.</w:t>
      </w:r>
    </w:p>
    <w:p w14:paraId="14675184" w14:textId="6D98E16E" w:rsidR="00BE356B" w:rsidRPr="00C25D29" w:rsidRDefault="00BE356B" w:rsidP="00CD1E8D">
      <w:pPr>
        <w:pStyle w:val="ParaNumbering"/>
      </w:pPr>
      <w:r>
        <w:t>Apple submitted that</w:t>
      </w:r>
      <w:r w:rsidR="00597BBA">
        <w:t xml:space="preserve">: </w:t>
      </w:r>
      <w:r>
        <w:t xml:space="preserve">(a) this was not a category of document; (b) it was in the nature of a </w:t>
      </w:r>
      <w:r>
        <w:rPr>
          <w:i/>
        </w:rPr>
        <w:t xml:space="preserve">Sabre </w:t>
      </w:r>
      <w:r>
        <w:t xml:space="preserve">order; (c) the Tribunal lacked power to make a </w:t>
      </w:r>
      <w:r>
        <w:rPr>
          <w:i/>
        </w:rPr>
        <w:t xml:space="preserve">Sabre </w:t>
      </w:r>
      <w:r>
        <w:t>order; and (d) if it did have power, it ought not to exercise it</w:t>
      </w:r>
      <w:r w:rsidR="00901B47">
        <w:t xml:space="preserve">.  </w:t>
      </w:r>
      <w:r>
        <w:t>I accept (a)</w:t>
      </w:r>
      <w:r w:rsidR="008D7F37">
        <w:t xml:space="preserve"> and (b)</w:t>
      </w:r>
      <w:r w:rsidR="00901B47">
        <w:t xml:space="preserve">.  </w:t>
      </w:r>
      <w:r w:rsidR="008D7F37">
        <w:t>However, a</w:t>
      </w:r>
      <w:r>
        <w:t xml:space="preserve"> </w:t>
      </w:r>
      <w:r>
        <w:rPr>
          <w:i/>
        </w:rPr>
        <w:t xml:space="preserve">Sabre </w:t>
      </w:r>
      <w:r>
        <w:t>order has no place in a summons</w:t>
      </w:r>
      <w:r w:rsidR="00901B47">
        <w:t xml:space="preserve">.  </w:t>
      </w:r>
      <w:r>
        <w:t>I reject (</w:t>
      </w:r>
      <w:r w:rsidR="008D7F37">
        <w:t>c</w:t>
      </w:r>
      <w:r>
        <w:t>)</w:t>
      </w:r>
      <w:r w:rsidR="00E64A80">
        <w:t xml:space="preserve"> and </w:t>
      </w:r>
      <w:r>
        <w:t>(d) for the reasons I have given.</w:t>
      </w:r>
    </w:p>
    <w:p w14:paraId="5AAEF5FD" w14:textId="0121FA20" w:rsidR="00BE356B" w:rsidRDefault="00BE356B" w:rsidP="00BE356B">
      <w:pPr>
        <w:pStyle w:val="ParaNumbering"/>
      </w:pPr>
      <w:r>
        <w:t>In those circumstances, the summons may be issued with paragraphs 1(c), (h) and (</w:t>
      </w:r>
      <w:proofErr w:type="spellStart"/>
      <w:r>
        <w:t>i</w:t>
      </w:r>
      <w:proofErr w:type="spellEnd"/>
      <w:r>
        <w:t>)</w:t>
      </w:r>
      <w:r w:rsidR="00901B47">
        <w:t xml:space="preserve">.  </w:t>
      </w:r>
      <w:r>
        <w:t xml:space="preserve">I will not grant leave to include the </w:t>
      </w:r>
      <w:r>
        <w:rPr>
          <w:i/>
        </w:rPr>
        <w:t xml:space="preserve">Sabre </w:t>
      </w:r>
      <w:r>
        <w:t>order in the summons</w:t>
      </w:r>
      <w:r w:rsidR="00901B47">
        <w:t xml:space="preserve">.  </w:t>
      </w:r>
      <w:r>
        <w:t>I will however make such an order separately upon APRA</w:t>
      </w:r>
      <w:r w:rsidR="005902F7">
        <w:t xml:space="preserve"> </w:t>
      </w:r>
      <w:r>
        <w:t>AMCOS furnishing a draft to my chambers</w:t>
      </w:r>
      <w:r w:rsidR="00901B47">
        <w:t xml:space="preserve">.  </w:t>
      </w:r>
    </w:p>
    <w:p w14:paraId="051FDE3B" w14:textId="77777777" w:rsidR="00BE356B" w:rsidRDefault="00BE356B" w:rsidP="00BE356B">
      <w:pPr>
        <w:pStyle w:val="Heading1"/>
      </w:pPr>
      <w:r>
        <w:t>Netflix</w:t>
      </w:r>
    </w:p>
    <w:p w14:paraId="329D1F74" w14:textId="77777777" w:rsidR="00BE356B" w:rsidRPr="00BE356B" w:rsidRDefault="00BE356B" w:rsidP="00BE356B">
      <w:pPr>
        <w:pStyle w:val="ParaNumbering"/>
      </w:pPr>
      <w:r>
        <w:t>The disputed paragraphs are 1(c), 1(e), 1(g), 1(h), 1(</w:t>
      </w:r>
      <w:proofErr w:type="spellStart"/>
      <w:r>
        <w:t>i</w:t>
      </w:r>
      <w:proofErr w:type="spellEnd"/>
      <w:r>
        <w:t>) and 2.</w:t>
      </w:r>
    </w:p>
    <w:p w14:paraId="50CC6A73" w14:textId="77777777" w:rsidR="00BE356B" w:rsidRDefault="00BE356B" w:rsidP="00BE356B">
      <w:pPr>
        <w:pStyle w:val="Heading2"/>
      </w:pPr>
      <w:r>
        <w:t>Paragraph 1(c)</w:t>
      </w:r>
    </w:p>
    <w:p w14:paraId="4D1C984A" w14:textId="1FE24CC2" w:rsidR="00BE356B" w:rsidRDefault="00BE356B" w:rsidP="00BE356B">
      <w:pPr>
        <w:pStyle w:val="ParaNumbering"/>
      </w:pPr>
      <w:r>
        <w:t>This is essentially the same as paragraph 1(c) for Apple</w:t>
      </w:r>
      <w:r w:rsidR="00901B47">
        <w:t xml:space="preserve">.  </w:t>
      </w:r>
      <w:r>
        <w:t>However, unlike Apple, Netflix submits that the documents sought are not relevant to an issue before the Tribunal</w:t>
      </w:r>
      <w:r w:rsidR="00901B47">
        <w:t xml:space="preserve">.  </w:t>
      </w:r>
      <w:r>
        <w:t xml:space="preserve">The </w:t>
      </w:r>
      <w:r>
        <w:lastRenderedPageBreak/>
        <w:t>documents sought would appear to be directed at ascertaining what the costs are for Netflix in conducting the Netflix service in Australia</w:t>
      </w:r>
      <w:r w:rsidR="00901B47">
        <w:t xml:space="preserve">.  </w:t>
      </w:r>
      <w:r>
        <w:t>APRA</w:t>
      </w:r>
      <w:r w:rsidR="0095709B">
        <w:t xml:space="preserve"> </w:t>
      </w:r>
      <w:r>
        <w:t>AMCOS explained the relevance of 1(c) as follows: APRA</w:t>
      </w:r>
      <w:r w:rsidR="0095709B">
        <w:t xml:space="preserve"> </w:t>
      </w:r>
      <w:r>
        <w:t>AMCOS seek by the reference the imposition of a fee calculated as a percentage of Netflix’s Australian revenues</w:t>
      </w:r>
      <w:r w:rsidR="00901B47">
        <w:t xml:space="preserve">.  </w:t>
      </w:r>
      <w:r>
        <w:t>Netflix by contrast proposes a per subscriber per month (PSPM) fee or a fee based on a percentage of revenue</w:t>
      </w:r>
      <w:r w:rsidR="0095709B">
        <w:t xml:space="preserve"> with the minimum and maximum fee payable capped by reference to the number of subscribers per month</w:t>
      </w:r>
      <w:r w:rsidR="00901B47">
        <w:t xml:space="preserve">.  </w:t>
      </w:r>
      <w:r>
        <w:t>APRA</w:t>
      </w:r>
      <w:r w:rsidR="0095709B">
        <w:t xml:space="preserve"> </w:t>
      </w:r>
      <w:r>
        <w:t>AMCOS submits that Netflix’s costs are relevant because its expert evidence may show that one justification for an increase in the percentage rate may be that a licensee</w:t>
      </w:r>
      <w:r w:rsidR="005902F7">
        <w:t>’</w:t>
      </w:r>
      <w:r>
        <w:t>s costs have decreased</w:t>
      </w:r>
      <w:r w:rsidR="00713A9C">
        <w:t xml:space="preserve"> or that its profits as a proportion of revenue have increased</w:t>
      </w:r>
      <w:r w:rsidR="00901B47">
        <w:t xml:space="preserve">.  </w:t>
      </w:r>
      <w:r>
        <w:t>For the reasons I have given it would be inappropriate to uphold this objection at this stage.</w:t>
      </w:r>
    </w:p>
    <w:p w14:paraId="5D0B38E8" w14:textId="77777777" w:rsidR="00BE356B" w:rsidRDefault="00BE356B" w:rsidP="009B657F">
      <w:pPr>
        <w:pStyle w:val="Heading2"/>
      </w:pPr>
      <w:r>
        <w:t>Paragraph 1(e)</w:t>
      </w:r>
    </w:p>
    <w:p w14:paraId="1292F6F3" w14:textId="65CF1DEB" w:rsidR="00BE356B" w:rsidRDefault="00BE7750" w:rsidP="00BE356B">
      <w:pPr>
        <w:pStyle w:val="ParaNumbering"/>
      </w:pPr>
      <w:r>
        <w:t>Paragraph 1(e)</w:t>
      </w:r>
      <w:r w:rsidR="00BE356B">
        <w:t xml:space="preserve"> is as follows:</w:t>
      </w:r>
    </w:p>
    <w:p w14:paraId="43E90459" w14:textId="7BFE0F75" w:rsidR="005902F7" w:rsidRPr="003C64C3" w:rsidRDefault="005902F7" w:rsidP="005902F7">
      <w:pPr>
        <w:pStyle w:val="Quote1"/>
        <w:ind w:left="1440" w:hanging="703"/>
        <w:rPr>
          <w:lang w:eastAsia="en-AU"/>
        </w:rPr>
      </w:pPr>
      <w:r w:rsidRPr="003C64C3">
        <w:rPr>
          <w:lang w:eastAsia="en-AU"/>
        </w:rPr>
        <w:t>1</w:t>
      </w:r>
      <w:r w:rsidR="00901B47">
        <w:rPr>
          <w:lang w:eastAsia="en-AU"/>
        </w:rPr>
        <w:t xml:space="preserve">.  </w:t>
      </w:r>
      <w:r w:rsidRPr="003C64C3">
        <w:rPr>
          <w:lang w:eastAsia="en-AU"/>
        </w:rPr>
        <w:tab/>
        <w:t>You are summoned to produce to the Copyright Tribunal of Australia by 4:00pm on 31 April 2022, the following document or articles (in electronic form if available):</w:t>
      </w:r>
    </w:p>
    <w:p w14:paraId="5D589EC6" w14:textId="77777777" w:rsidR="005902F7" w:rsidRPr="003C64C3" w:rsidRDefault="005902F7" w:rsidP="005902F7">
      <w:pPr>
        <w:pStyle w:val="Quote1"/>
        <w:ind w:left="1440" w:hanging="703"/>
        <w:rPr>
          <w:lang w:eastAsia="en-AU"/>
        </w:rPr>
      </w:pPr>
      <w:r w:rsidRPr="003C64C3">
        <w:rPr>
          <w:lang w:eastAsia="en-AU"/>
        </w:rPr>
        <w:tab/>
        <w:t>…</w:t>
      </w:r>
    </w:p>
    <w:p w14:paraId="2BD006F8" w14:textId="1A525CA0" w:rsidR="005902F7" w:rsidRDefault="005902F7" w:rsidP="005902F7">
      <w:pPr>
        <w:pStyle w:val="Quote2"/>
        <w:ind w:left="2160" w:hanging="720"/>
        <w:rPr>
          <w:color w:val="000000"/>
          <w:lang w:eastAsia="en-AU"/>
        </w:rPr>
      </w:pPr>
      <w:r>
        <w:rPr>
          <w:lang w:eastAsia="en-AU"/>
        </w:rPr>
        <w:t>(e</w:t>
      </w:r>
      <w:r w:rsidRPr="003C64C3">
        <w:rPr>
          <w:lang w:eastAsia="en-AU"/>
        </w:rPr>
        <w:t xml:space="preserve">) </w:t>
      </w:r>
      <w:r w:rsidRPr="003C64C3">
        <w:rPr>
          <w:lang w:eastAsia="en-AU"/>
        </w:rPr>
        <w:tab/>
      </w:r>
      <w:r>
        <w:rPr>
          <w:lang w:eastAsia="en-AU"/>
        </w:rPr>
        <w:t>For the period 2015 to date, all reports made to Australian Communications and Media Authority in respect of the service</w:t>
      </w:r>
      <w:r w:rsidR="00901B47">
        <w:rPr>
          <w:lang w:eastAsia="en-AU"/>
        </w:rPr>
        <w:t xml:space="preserve">.  </w:t>
      </w:r>
    </w:p>
    <w:p w14:paraId="64143B02" w14:textId="1AA79623" w:rsidR="00BE356B" w:rsidRDefault="00EB6046" w:rsidP="00BE356B">
      <w:pPr>
        <w:pStyle w:val="ParaNumbering"/>
      </w:pPr>
      <w:r>
        <w:t>Netflix again objects on the basis of relevance</w:t>
      </w:r>
      <w:r w:rsidR="00901B47">
        <w:t xml:space="preserve">.  </w:t>
      </w:r>
      <w:r>
        <w:t xml:space="preserve">As above, APRA AMCOS says the </w:t>
      </w:r>
      <w:r w:rsidR="00BE356B">
        <w:t>relevance is that the expert evidence may reveal that the costs of Netflix may be relevant to the calculation of the fee</w:t>
      </w:r>
      <w:r w:rsidR="00901B47">
        <w:t xml:space="preserve">.  </w:t>
      </w:r>
      <w:r w:rsidR="00BE356B">
        <w:t xml:space="preserve">I reject </w:t>
      </w:r>
      <w:r w:rsidR="00534EF3">
        <w:t xml:space="preserve">Netflix’s </w:t>
      </w:r>
      <w:r w:rsidR="00BE356B">
        <w:t>objection for the same reason</w:t>
      </w:r>
      <w:r w:rsidR="00534EF3">
        <w:t xml:space="preserve"> as I reject its objection to paragraph 1(c)</w:t>
      </w:r>
      <w:r w:rsidR="00BE356B">
        <w:t>.</w:t>
      </w:r>
    </w:p>
    <w:p w14:paraId="7728B46F" w14:textId="77777777" w:rsidR="00BE356B" w:rsidRDefault="00BE356B" w:rsidP="00BE356B">
      <w:pPr>
        <w:pStyle w:val="Heading2"/>
      </w:pPr>
      <w:r>
        <w:t>Paragraph 1(g)</w:t>
      </w:r>
    </w:p>
    <w:p w14:paraId="6F9EF810" w14:textId="77777777" w:rsidR="00BE356B" w:rsidRDefault="00BE356B" w:rsidP="00BE356B">
      <w:pPr>
        <w:pStyle w:val="ParaNumbering"/>
      </w:pPr>
      <w:r>
        <w:t>This is as follows:</w:t>
      </w:r>
    </w:p>
    <w:p w14:paraId="7A703BB7" w14:textId="2C7BB21A" w:rsidR="00F32D02" w:rsidRDefault="00F32D02" w:rsidP="00F32D02">
      <w:pPr>
        <w:pStyle w:val="Quote1"/>
        <w:ind w:left="1440" w:hanging="703"/>
        <w:rPr>
          <w:lang w:eastAsia="en-AU"/>
        </w:rPr>
      </w:pPr>
      <w:r w:rsidRPr="003C64C3">
        <w:rPr>
          <w:lang w:eastAsia="en-AU"/>
        </w:rPr>
        <w:t>1</w:t>
      </w:r>
      <w:r w:rsidR="00901B47">
        <w:rPr>
          <w:lang w:eastAsia="en-AU"/>
        </w:rPr>
        <w:t xml:space="preserve">.  </w:t>
      </w:r>
      <w:r w:rsidRPr="003C64C3">
        <w:rPr>
          <w:lang w:eastAsia="en-AU"/>
        </w:rPr>
        <w:tab/>
        <w:t>You are summoned to produce to the Copyright Tribunal of Australia by 4:00pm on 31 April 2022, the following document or articles (in electronic form if available):</w:t>
      </w:r>
    </w:p>
    <w:p w14:paraId="54C10B9C" w14:textId="68C59E3E" w:rsidR="00F32D02" w:rsidRPr="003C64C3" w:rsidRDefault="00F32D02" w:rsidP="00F32D02">
      <w:pPr>
        <w:pStyle w:val="Quote1"/>
        <w:ind w:left="1440" w:hanging="703"/>
        <w:rPr>
          <w:lang w:eastAsia="en-AU"/>
        </w:rPr>
      </w:pPr>
      <w:r>
        <w:rPr>
          <w:lang w:eastAsia="en-AU"/>
        </w:rPr>
        <w:tab/>
        <w:t>…</w:t>
      </w:r>
    </w:p>
    <w:p w14:paraId="61722778" w14:textId="6402166C" w:rsidR="00F32D02" w:rsidRDefault="00F32D02" w:rsidP="00F32D02">
      <w:pPr>
        <w:pStyle w:val="Quote2"/>
        <w:ind w:left="2160" w:hanging="720"/>
      </w:pPr>
      <w:r>
        <w:t xml:space="preserve">(g) </w:t>
      </w:r>
      <w:r>
        <w:tab/>
        <w:t>Insofar as they have not been previously produced in the proceedings, all licence agreements (both current and historical) for the reproduction and communication of musical works on the Service with collecting societies in the following territories:</w:t>
      </w:r>
    </w:p>
    <w:p w14:paraId="73611573" w14:textId="6DC4FD02" w:rsidR="00F32D02" w:rsidRDefault="00F32D02" w:rsidP="00F32D02">
      <w:pPr>
        <w:pStyle w:val="Quote3"/>
      </w:pPr>
      <w:r>
        <w:t>(</w:t>
      </w:r>
      <w:proofErr w:type="spellStart"/>
      <w:r>
        <w:t>i</w:t>
      </w:r>
      <w:proofErr w:type="spellEnd"/>
      <w:r>
        <w:t>)</w:t>
      </w:r>
      <w:r>
        <w:tab/>
      </w:r>
      <w:proofErr w:type="gramStart"/>
      <w:r>
        <w:t>the</w:t>
      </w:r>
      <w:proofErr w:type="gramEnd"/>
      <w:r>
        <w:t xml:space="preserve"> United Kingdom, or any part thereof;</w:t>
      </w:r>
    </w:p>
    <w:p w14:paraId="6E80BFAE" w14:textId="577E6967" w:rsidR="00F32D02" w:rsidRDefault="00F32D02" w:rsidP="00F32D02">
      <w:pPr>
        <w:pStyle w:val="Quote3"/>
      </w:pPr>
      <w:r>
        <w:t xml:space="preserve">(ii) </w:t>
      </w:r>
      <w:r>
        <w:tab/>
      </w:r>
      <w:proofErr w:type="gramStart"/>
      <w:r>
        <w:t>the</w:t>
      </w:r>
      <w:proofErr w:type="gramEnd"/>
      <w:r>
        <w:t xml:space="preserve"> Republic of Ireland;</w:t>
      </w:r>
    </w:p>
    <w:p w14:paraId="5C466D6C" w14:textId="6CD6FE2F" w:rsidR="00F32D02" w:rsidRDefault="00F32D02" w:rsidP="00F32D02">
      <w:pPr>
        <w:pStyle w:val="Quote3"/>
      </w:pPr>
      <w:r>
        <w:lastRenderedPageBreak/>
        <w:t xml:space="preserve">(iii) </w:t>
      </w:r>
      <w:r>
        <w:tab/>
        <w:t>Canada;</w:t>
      </w:r>
    </w:p>
    <w:p w14:paraId="14E0A1C7" w14:textId="6159DC5C" w:rsidR="00F32D02" w:rsidRDefault="00F32D02" w:rsidP="00F32D02">
      <w:pPr>
        <w:pStyle w:val="Quote3"/>
      </w:pPr>
      <w:proofErr w:type="gramStart"/>
      <w:r>
        <w:t xml:space="preserve">(iv) </w:t>
      </w:r>
      <w:r>
        <w:tab/>
        <w:t>France</w:t>
      </w:r>
      <w:proofErr w:type="gramEnd"/>
      <w:r>
        <w:t>;</w:t>
      </w:r>
    </w:p>
    <w:p w14:paraId="08AB0518" w14:textId="2CA6774C" w:rsidR="00F32D02" w:rsidRDefault="00F32D02" w:rsidP="00F32D02">
      <w:pPr>
        <w:pStyle w:val="Quote3"/>
      </w:pPr>
      <w:r>
        <w:t xml:space="preserve">(v) </w:t>
      </w:r>
      <w:r>
        <w:tab/>
        <w:t>Germany;</w:t>
      </w:r>
    </w:p>
    <w:p w14:paraId="23EF2D3B" w14:textId="498E2F30" w:rsidR="00F32D02" w:rsidRDefault="00F32D02" w:rsidP="00F32D02">
      <w:pPr>
        <w:pStyle w:val="Quote3"/>
      </w:pPr>
      <w:proofErr w:type="gramStart"/>
      <w:r>
        <w:t xml:space="preserve">(vi) </w:t>
      </w:r>
      <w:r>
        <w:tab/>
        <w:t>Sweden</w:t>
      </w:r>
      <w:proofErr w:type="gramEnd"/>
      <w:r>
        <w:t>;</w:t>
      </w:r>
    </w:p>
    <w:p w14:paraId="29A6FD29" w14:textId="1CB1AFFF" w:rsidR="00F32D02" w:rsidRDefault="00F32D02" w:rsidP="00F32D02">
      <w:pPr>
        <w:pStyle w:val="Quote3"/>
      </w:pPr>
      <w:r>
        <w:t xml:space="preserve">(vii) </w:t>
      </w:r>
      <w:r>
        <w:tab/>
        <w:t>Brazil;</w:t>
      </w:r>
    </w:p>
    <w:p w14:paraId="064AE7BD" w14:textId="16F9FD3B" w:rsidR="00F32D02" w:rsidRDefault="00F32D02" w:rsidP="00F32D02">
      <w:pPr>
        <w:pStyle w:val="Quote3"/>
      </w:pPr>
      <w:r>
        <w:t xml:space="preserve">(viii) </w:t>
      </w:r>
      <w:r>
        <w:tab/>
        <w:t>Korea;</w:t>
      </w:r>
    </w:p>
    <w:p w14:paraId="02A8E8F9" w14:textId="7E43F58F" w:rsidR="00F32D02" w:rsidRDefault="00F32D02" w:rsidP="00F32D02">
      <w:pPr>
        <w:pStyle w:val="Quote3"/>
      </w:pPr>
      <w:r>
        <w:t xml:space="preserve">(ix) </w:t>
      </w:r>
      <w:r>
        <w:tab/>
        <w:t>Chile;</w:t>
      </w:r>
    </w:p>
    <w:p w14:paraId="24FE4B7C" w14:textId="0BF02821" w:rsidR="00F32D02" w:rsidRDefault="00F32D02" w:rsidP="00F32D02">
      <w:pPr>
        <w:pStyle w:val="Quote3"/>
      </w:pPr>
      <w:r>
        <w:t xml:space="preserve">(x) </w:t>
      </w:r>
      <w:r>
        <w:tab/>
        <w:t>Finland;</w:t>
      </w:r>
    </w:p>
    <w:p w14:paraId="4AA2A246" w14:textId="5CEFF54E" w:rsidR="00F32D02" w:rsidRDefault="00F32D02" w:rsidP="00F32D02">
      <w:pPr>
        <w:pStyle w:val="Quote3"/>
      </w:pPr>
      <w:r>
        <w:t xml:space="preserve">(xi) </w:t>
      </w:r>
      <w:r>
        <w:tab/>
        <w:t>Columbia;</w:t>
      </w:r>
    </w:p>
    <w:p w14:paraId="5C383A2F" w14:textId="16DA46DB" w:rsidR="00F32D02" w:rsidRDefault="00F32D02" w:rsidP="00F32D02">
      <w:pPr>
        <w:pStyle w:val="Quote3"/>
      </w:pPr>
      <w:r>
        <w:t xml:space="preserve">(xii) </w:t>
      </w:r>
      <w:r>
        <w:tab/>
        <w:t>Peru;</w:t>
      </w:r>
    </w:p>
    <w:p w14:paraId="741D0658" w14:textId="4D4E6289" w:rsidR="00F32D02" w:rsidRDefault="00F32D02" w:rsidP="00F32D02">
      <w:pPr>
        <w:pStyle w:val="Quote3"/>
      </w:pPr>
      <w:r>
        <w:t xml:space="preserve">(xiii) </w:t>
      </w:r>
      <w:r>
        <w:tab/>
        <w:t>Portugal;</w:t>
      </w:r>
    </w:p>
    <w:p w14:paraId="1889660B" w14:textId="43C0305C" w:rsidR="00F32D02" w:rsidRDefault="00F32D02" w:rsidP="00F32D02">
      <w:pPr>
        <w:pStyle w:val="Quote3"/>
      </w:pPr>
      <w:r>
        <w:t xml:space="preserve">(xiv) </w:t>
      </w:r>
      <w:r>
        <w:tab/>
        <w:t>Czech Republic;</w:t>
      </w:r>
    </w:p>
    <w:p w14:paraId="6A1C6213" w14:textId="025A9959" w:rsidR="00F32D02" w:rsidRDefault="00F32D02" w:rsidP="00F32D02">
      <w:pPr>
        <w:pStyle w:val="Quote3"/>
      </w:pPr>
      <w:r>
        <w:t xml:space="preserve">(xv) </w:t>
      </w:r>
      <w:r>
        <w:tab/>
        <w:t>Hong Kong;</w:t>
      </w:r>
    </w:p>
    <w:p w14:paraId="5DEB67F0" w14:textId="446A522F" w:rsidR="00F32D02" w:rsidRDefault="00F32D02" w:rsidP="00F32D02">
      <w:pPr>
        <w:pStyle w:val="Quote3"/>
      </w:pPr>
      <w:r>
        <w:t xml:space="preserve">(xvi) </w:t>
      </w:r>
      <w:r>
        <w:tab/>
      </w:r>
      <w:proofErr w:type="spellStart"/>
      <w:r>
        <w:t>Ecudaor</w:t>
      </w:r>
      <w:proofErr w:type="spellEnd"/>
      <w:r>
        <w:t>; and</w:t>
      </w:r>
    </w:p>
    <w:p w14:paraId="44E75FA3" w14:textId="77777777" w:rsidR="00F32D02" w:rsidRDefault="00F32D02" w:rsidP="00F32D02">
      <w:pPr>
        <w:pStyle w:val="Quote3"/>
      </w:pPr>
      <w:r w:rsidRPr="00F32D02">
        <w:t xml:space="preserve">(xvii) </w:t>
      </w:r>
      <w:r w:rsidRPr="00F32D02">
        <w:tab/>
        <w:t>Uruguay.</w:t>
      </w:r>
    </w:p>
    <w:p w14:paraId="402B42CA" w14:textId="6E258F7B" w:rsidR="00BE356B" w:rsidRDefault="00BE356B" w:rsidP="00F32D02">
      <w:pPr>
        <w:pStyle w:val="ParaNumbering"/>
      </w:pPr>
      <w:r>
        <w:t xml:space="preserve">Netflix has already produced these documents </w:t>
      </w:r>
      <w:r w:rsidR="00F32D02">
        <w:t>immediately prior to the date that it began providing</w:t>
      </w:r>
      <w:r>
        <w:t xml:space="preserve"> the service in Australia</w:t>
      </w:r>
      <w:r w:rsidR="00F32D02">
        <w:t>,</w:t>
      </w:r>
      <w:r>
        <w:t xml:space="preserve"> and as at 3 November 2021</w:t>
      </w:r>
      <w:r w:rsidR="00901B47">
        <w:t xml:space="preserve">.  </w:t>
      </w:r>
      <w:r>
        <w:t>APRA AMCOS wishes to see whether the rates have changed over that period</w:t>
      </w:r>
      <w:r w:rsidR="00901B47">
        <w:t xml:space="preserve">.  </w:t>
      </w:r>
      <w:r>
        <w:t>Objection is taken to the fact that 17 countries are involved</w:t>
      </w:r>
      <w:r w:rsidR="00901B47">
        <w:t xml:space="preserve">.  </w:t>
      </w:r>
      <w:r>
        <w:t>I do not accept this objection</w:t>
      </w:r>
      <w:r w:rsidR="00901B47">
        <w:t xml:space="preserve">.  </w:t>
      </w:r>
    </w:p>
    <w:p w14:paraId="56AE10C1" w14:textId="77777777" w:rsidR="00BE356B" w:rsidRDefault="00BE356B" w:rsidP="00BE356B">
      <w:pPr>
        <w:pStyle w:val="Heading2"/>
      </w:pPr>
      <w:r>
        <w:t>Paragraph 1(h)</w:t>
      </w:r>
    </w:p>
    <w:p w14:paraId="6EC59FFD" w14:textId="77777777" w:rsidR="00BE356B" w:rsidRDefault="00BE356B" w:rsidP="00BE356B">
      <w:pPr>
        <w:pStyle w:val="ParaNumbering"/>
      </w:pPr>
      <w:r>
        <w:t>This is as follows:</w:t>
      </w:r>
    </w:p>
    <w:p w14:paraId="2E4060E9" w14:textId="52D28E44" w:rsidR="00BE7750" w:rsidRPr="003C64C3" w:rsidRDefault="00BE7750" w:rsidP="00BE7750">
      <w:pPr>
        <w:pStyle w:val="Quote1"/>
        <w:numPr>
          <w:ilvl w:val="0"/>
          <w:numId w:val="30"/>
        </w:numPr>
        <w:ind w:left="1440" w:hanging="703"/>
        <w:rPr>
          <w:lang w:eastAsia="en-AU"/>
        </w:rPr>
      </w:pPr>
      <w:r w:rsidRPr="003C64C3">
        <w:rPr>
          <w:lang w:eastAsia="en-AU"/>
        </w:rPr>
        <w:t>You are summoned to produce to the Copyright Tribunal of Australia by 4:00pm on 31 April 2022, the following document or articles (in electronic form if available):</w:t>
      </w:r>
    </w:p>
    <w:p w14:paraId="76D28396" w14:textId="77777777" w:rsidR="00BE7750" w:rsidRPr="003C64C3" w:rsidRDefault="00BE7750" w:rsidP="00BE7750">
      <w:pPr>
        <w:pStyle w:val="Quote1"/>
        <w:ind w:left="1440" w:hanging="703"/>
        <w:rPr>
          <w:lang w:eastAsia="en-AU"/>
        </w:rPr>
      </w:pPr>
      <w:r w:rsidRPr="003C64C3">
        <w:rPr>
          <w:lang w:eastAsia="en-AU"/>
        </w:rPr>
        <w:tab/>
        <w:t>…</w:t>
      </w:r>
    </w:p>
    <w:p w14:paraId="1E312941" w14:textId="69C83E2A" w:rsidR="00BE7750" w:rsidRDefault="00BE7750" w:rsidP="00BE7750">
      <w:pPr>
        <w:pStyle w:val="Quote2"/>
        <w:ind w:left="2160" w:hanging="720"/>
        <w:rPr>
          <w:lang w:eastAsia="en-AU"/>
        </w:rPr>
      </w:pPr>
      <w:r>
        <w:rPr>
          <w:lang w:eastAsia="en-AU"/>
        </w:rPr>
        <w:t>(h</w:t>
      </w:r>
      <w:r w:rsidRPr="003C64C3">
        <w:rPr>
          <w:lang w:eastAsia="en-AU"/>
        </w:rPr>
        <w:t xml:space="preserve">) </w:t>
      </w:r>
      <w:r w:rsidRPr="003C64C3">
        <w:rPr>
          <w:lang w:eastAsia="en-AU"/>
        </w:rPr>
        <w:tab/>
      </w:r>
      <w:r>
        <w:rPr>
          <w:lang w:eastAsia="en-AU"/>
        </w:rPr>
        <w:t xml:space="preserve">Any documents authored or created by, for, or on behalf of, senior management </w:t>
      </w:r>
      <w:proofErr w:type="spellStart"/>
      <w:r>
        <w:rPr>
          <w:lang w:eastAsia="en-AU"/>
        </w:rPr>
        <w:t>oir</w:t>
      </w:r>
      <w:proofErr w:type="spellEnd"/>
      <w:r>
        <w:rPr>
          <w:lang w:eastAsia="en-AU"/>
        </w:rPr>
        <w:t xml:space="preserve"> executives of Netflix, or board papers or minutes recording or evidencing Netflix’s consideration of, and/or reasons for agreeing to or resisting the licence fee payable to APRA AMCOS for the communication and reproduction of musical works on the Service in the period 6-months prior to the entering into of the licence wit</w:t>
      </w:r>
      <w:r w:rsidR="002A5561">
        <w:rPr>
          <w:lang w:eastAsia="en-AU"/>
        </w:rPr>
        <w:t>h APRA AMCOS on 24 March 2015.</w:t>
      </w:r>
    </w:p>
    <w:p w14:paraId="44AF4EAD" w14:textId="0E0D9938" w:rsidR="00BE7750" w:rsidRDefault="00BE7750" w:rsidP="00BE7750">
      <w:pPr>
        <w:pStyle w:val="Quote2"/>
        <w:ind w:left="2160" w:hanging="720"/>
        <w:rPr>
          <w:lang w:eastAsia="en-AU"/>
        </w:rPr>
      </w:pPr>
      <w:r>
        <w:rPr>
          <w:lang w:eastAsia="en-AU"/>
        </w:rPr>
        <w:t>(</w:t>
      </w:r>
      <w:proofErr w:type="gramStart"/>
      <w:r>
        <w:rPr>
          <w:lang w:eastAsia="en-AU"/>
        </w:rPr>
        <w:t>error</w:t>
      </w:r>
      <w:proofErr w:type="gramEnd"/>
      <w:r>
        <w:rPr>
          <w:lang w:eastAsia="en-AU"/>
        </w:rPr>
        <w:t xml:space="preserve"> in original)</w:t>
      </w:r>
      <w:r w:rsidR="00E62B3B">
        <w:rPr>
          <w:lang w:eastAsia="en-AU"/>
        </w:rPr>
        <w:t>.</w:t>
      </w:r>
    </w:p>
    <w:p w14:paraId="63D8B054" w14:textId="3F22351B" w:rsidR="00860324" w:rsidRDefault="00860324" w:rsidP="00BE356B">
      <w:pPr>
        <w:pStyle w:val="ParaNumbering"/>
      </w:pPr>
      <w:r>
        <w:t>Netflix submits that its subject</w:t>
      </w:r>
      <w:r w:rsidR="005B338B">
        <w:t>ive</w:t>
      </w:r>
      <w:r>
        <w:t xml:space="preserve"> assessment of its APRA AMCOS fee is irrelevant</w:t>
      </w:r>
      <w:r w:rsidR="005B338B">
        <w:t xml:space="preserve"> to the question of whether it had ‘no choice’ other than to enter into a licence with APRA AMCOS </w:t>
      </w:r>
      <w:r w:rsidR="005B338B">
        <w:lastRenderedPageBreak/>
        <w:t>and was thus subject to monopoly power</w:t>
      </w:r>
      <w:r w:rsidR="00901B47">
        <w:t xml:space="preserve">.  </w:t>
      </w:r>
      <w:r>
        <w:t>The argument was that the subjective understandings of Netflix’s management were not relevant to the objective question of whether APRA AMCOS was exercising monopoly power</w:t>
      </w:r>
      <w:r w:rsidR="00901B47">
        <w:t xml:space="preserve">.  </w:t>
      </w:r>
      <w:r>
        <w:t xml:space="preserve">I am not prepared to accept this </w:t>
      </w:r>
      <w:r w:rsidR="005B338B">
        <w:t xml:space="preserve">argument </w:t>
      </w:r>
      <w:r>
        <w:t>at the summons stage</w:t>
      </w:r>
      <w:r w:rsidR="00901B47">
        <w:t xml:space="preserve">.  </w:t>
      </w:r>
      <w:r>
        <w:t xml:space="preserve">I see no </w:t>
      </w:r>
      <w:r w:rsidR="005B338B">
        <w:t xml:space="preserve">issue with </w:t>
      </w:r>
      <w:r>
        <w:t xml:space="preserve">clarity </w:t>
      </w:r>
      <w:r w:rsidR="005B338B">
        <w:t xml:space="preserve">in relation to </w:t>
      </w:r>
      <w:r>
        <w:t>this paragraph</w:t>
      </w:r>
      <w:r w:rsidR="00901B47">
        <w:t xml:space="preserve">.  </w:t>
      </w:r>
    </w:p>
    <w:p w14:paraId="1F3DC48A" w14:textId="1CCB6470" w:rsidR="00BE356B" w:rsidRDefault="00BE356B" w:rsidP="00BE356B">
      <w:pPr>
        <w:pStyle w:val="ParaNumbering"/>
      </w:pPr>
      <w:r>
        <w:t>I accept Netflix’s contention that the words ‘evidencing’ means that 1(h) does not ‘specify’ a document as required by s 167(</w:t>
      </w:r>
      <w:r w:rsidR="00791F15">
        <w:t>3</w:t>
      </w:r>
      <w:r>
        <w:t>) but I reject the same argument in relation to the word ‘recording’</w:t>
      </w:r>
      <w:r w:rsidR="00901B47">
        <w:t xml:space="preserve">.  </w:t>
      </w:r>
      <w:r>
        <w:t>I reject paragraph 1(h) in its current form but would issue it with the word ‘evidencing’ removed.</w:t>
      </w:r>
    </w:p>
    <w:p w14:paraId="1FA9A259" w14:textId="77777777" w:rsidR="00BE356B" w:rsidRDefault="00BE356B" w:rsidP="00BE356B">
      <w:pPr>
        <w:pStyle w:val="Heading2"/>
      </w:pPr>
      <w:r>
        <w:t>Paragraph 1(</w:t>
      </w:r>
      <w:proofErr w:type="spellStart"/>
      <w:r>
        <w:t>i</w:t>
      </w:r>
      <w:proofErr w:type="spellEnd"/>
      <w:r>
        <w:t>)</w:t>
      </w:r>
    </w:p>
    <w:p w14:paraId="49C5FD5C" w14:textId="24A15A1D" w:rsidR="00BE356B" w:rsidRDefault="00BE356B" w:rsidP="00BE356B">
      <w:pPr>
        <w:pStyle w:val="ParaNumbering"/>
      </w:pPr>
      <w:r>
        <w:t>This is as follows:</w:t>
      </w:r>
    </w:p>
    <w:p w14:paraId="47EAD7D4" w14:textId="4DBF9D4F" w:rsidR="00F005AB" w:rsidRDefault="002A5561" w:rsidP="00F005AB">
      <w:pPr>
        <w:pStyle w:val="Quote1"/>
        <w:ind w:left="1440" w:hanging="703"/>
        <w:rPr>
          <w:lang w:eastAsia="en-AU"/>
        </w:rPr>
      </w:pPr>
      <w:r>
        <w:rPr>
          <w:lang w:eastAsia="en-AU"/>
        </w:rPr>
        <w:t>1.</w:t>
      </w:r>
      <w:r w:rsidR="00F005AB">
        <w:rPr>
          <w:lang w:eastAsia="en-AU"/>
        </w:rPr>
        <w:tab/>
      </w:r>
      <w:r w:rsidR="00F005AB" w:rsidRPr="003C64C3">
        <w:rPr>
          <w:lang w:eastAsia="en-AU"/>
        </w:rPr>
        <w:t>You are summoned to produce to the Copyright Tribunal of Australia by 4:00pm on 31 April 2022, the following document or articles (in electronic form if available):</w:t>
      </w:r>
    </w:p>
    <w:p w14:paraId="652AD28A" w14:textId="05E3EE27" w:rsidR="00552F0A" w:rsidRPr="003C64C3" w:rsidRDefault="00552F0A" w:rsidP="00F005AB">
      <w:pPr>
        <w:pStyle w:val="Quote1"/>
        <w:ind w:left="1440" w:hanging="703"/>
        <w:rPr>
          <w:lang w:eastAsia="en-AU"/>
        </w:rPr>
      </w:pPr>
      <w:r>
        <w:rPr>
          <w:lang w:eastAsia="en-AU"/>
        </w:rPr>
        <w:tab/>
        <w:t>…</w:t>
      </w:r>
    </w:p>
    <w:p w14:paraId="574C14EA" w14:textId="75F0C640" w:rsidR="00F005AB" w:rsidRDefault="00F005AB" w:rsidP="00F005AB">
      <w:pPr>
        <w:pStyle w:val="Quote2"/>
        <w:ind w:left="2160" w:hanging="720"/>
      </w:pPr>
      <w:r>
        <w:rPr>
          <w:color w:val="000000"/>
          <w:lang w:eastAsia="en-AU"/>
        </w:rPr>
        <w:t>(</w:t>
      </w:r>
      <w:proofErr w:type="spellStart"/>
      <w:r>
        <w:rPr>
          <w:color w:val="000000"/>
          <w:lang w:eastAsia="en-AU"/>
        </w:rPr>
        <w:t>i</w:t>
      </w:r>
      <w:proofErr w:type="spellEnd"/>
      <w:r>
        <w:rPr>
          <w:color w:val="000000"/>
          <w:lang w:eastAsia="en-AU"/>
        </w:rPr>
        <w:t xml:space="preserve">) </w:t>
      </w:r>
      <w:r>
        <w:rPr>
          <w:color w:val="000000"/>
          <w:lang w:eastAsia="en-AU"/>
        </w:rPr>
        <w:tab/>
        <w:t xml:space="preserve">Any documents </w:t>
      </w:r>
      <w:r>
        <w:rPr>
          <w:lang w:eastAsia="en-AU"/>
        </w:rPr>
        <w:t xml:space="preserve">authored or created by, for, or on behalf of, senior management or executives of Netflix </w:t>
      </w:r>
      <w:r>
        <w:rPr>
          <w:color w:val="000000"/>
          <w:lang w:eastAsia="en-AU"/>
        </w:rPr>
        <w:t xml:space="preserve">recording or evidencing </w:t>
      </w:r>
      <w:r>
        <w:rPr>
          <w:lang w:eastAsia="en-AU"/>
        </w:rPr>
        <w:t xml:space="preserve">Netflix’s </w:t>
      </w:r>
      <w:r>
        <w:rPr>
          <w:color w:val="000000"/>
          <w:lang w:eastAsia="en-AU"/>
        </w:rPr>
        <w:t>consideration of</w:t>
      </w:r>
      <w:r>
        <w:rPr>
          <w:lang w:eastAsia="en-AU"/>
        </w:rPr>
        <w:t xml:space="preserve">, and/or reasons for agreeing to or resisting </w:t>
      </w:r>
      <w:r>
        <w:rPr>
          <w:color w:val="000000"/>
          <w:lang w:eastAsia="en-AU"/>
        </w:rPr>
        <w:t xml:space="preserve">the licence fee payable </w:t>
      </w:r>
      <w:r>
        <w:rPr>
          <w:lang w:eastAsia="en-AU"/>
        </w:rPr>
        <w:t xml:space="preserve">to a collecting society </w:t>
      </w:r>
      <w:r>
        <w:rPr>
          <w:color w:val="000000"/>
          <w:lang w:eastAsia="en-AU"/>
        </w:rPr>
        <w:t>for the communication and reproduction of musical works on the</w:t>
      </w:r>
      <w:r>
        <w:rPr>
          <w:lang w:eastAsia="en-AU"/>
        </w:rPr>
        <w:t xml:space="preserve"> Service </w:t>
      </w:r>
      <w:r>
        <w:rPr>
          <w:color w:val="000000"/>
          <w:lang w:eastAsia="en-AU"/>
        </w:rPr>
        <w:t>in the period 6-months prior</w:t>
      </w:r>
      <w:r>
        <w:rPr>
          <w:lang w:eastAsia="en-AU"/>
        </w:rPr>
        <w:t xml:space="preserve"> </w:t>
      </w:r>
      <w:r>
        <w:rPr>
          <w:color w:val="000000"/>
          <w:lang w:eastAsia="en-AU"/>
        </w:rPr>
        <w:t xml:space="preserve">to the entering into of any licence </w:t>
      </w:r>
      <w:r>
        <w:rPr>
          <w:lang w:eastAsia="en-AU"/>
        </w:rPr>
        <w:t>with that collecting society in each of the following territories</w:t>
      </w:r>
      <w:r>
        <w:rPr>
          <w:color w:val="000000"/>
          <w:lang w:eastAsia="en-AU"/>
        </w:rPr>
        <w:t>:</w:t>
      </w:r>
    </w:p>
    <w:p w14:paraId="046DC9EF" w14:textId="3508F7CB" w:rsidR="00F005AB" w:rsidRDefault="00F005AB" w:rsidP="00F005AB">
      <w:pPr>
        <w:pStyle w:val="Quote3"/>
        <w:rPr>
          <w:lang w:eastAsia="en-AU"/>
        </w:rPr>
      </w:pPr>
      <w:r>
        <w:rPr>
          <w:lang w:eastAsia="en-AU"/>
        </w:rPr>
        <w:t>(</w:t>
      </w:r>
      <w:proofErr w:type="spellStart"/>
      <w:r>
        <w:rPr>
          <w:lang w:eastAsia="en-AU"/>
        </w:rPr>
        <w:t>i</w:t>
      </w:r>
      <w:proofErr w:type="spellEnd"/>
      <w:r>
        <w:rPr>
          <w:lang w:eastAsia="en-AU"/>
        </w:rPr>
        <w:t xml:space="preserve">) </w:t>
      </w:r>
      <w:r>
        <w:rPr>
          <w:lang w:eastAsia="en-AU"/>
        </w:rPr>
        <w:tab/>
      </w:r>
      <w:proofErr w:type="gramStart"/>
      <w:r>
        <w:rPr>
          <w:lang w:eastAsia="en-AU"/>
        </w:rPr>
        <w:t>the</w:t>
      </w:r>
      <w:proofErr w:type="gramEnd"/>
      <w:r>
        <w:rPr>
          <w:lang w:eastAsia="en-AU"/>
        </w:rPr>
        <w:t xml:space="preserve"> Czech Republic;</w:t>
      </w:r>
    </w:p>
    <w:p w14:paraId="02E89751" w14:textId="67FD9A61" w:rsidR="00F005AB" w:rsidRDefault="00F005AB" w:rsidP="00F005AB">
      <w:pPr>
        <w:pStyle w:val="Quote3"/>
        <w:rPr>
          <w:lang w:eastAsia="en-AU"/>
        </w:rPr>
      </w:pPr>
      <w:r>
        <w:rPr>
          <w:lang w:eastAsia="en-AU"/>
        </w:rPr>
        <w:t xml:space="preserve">(ii) </w:t>
      </w:r>
      <w:r>
        <w:rPr>
          <w:lang w:eastAsia="en-AU"/>
        </w:rPr>
        <w:tab/>
        <w:t>Finland;</w:t>
      </w:r>
    </w:p>
    <w:p w14:paraId="3001A876" w14:textId="1F30642A" w:rsidR="00F005AB" w:rsidRDefault="00F005AB" w:rsidP="00F005AB">
      <w:pPr>
        <w:pStyle w:val="Quote3"/>
        <w:rPr>
          <w:lang w:eastAsia="en-AU"/>
        </w:rPr>
      </w:pPr>
      <w:r>
        <w:rPr>
          <w:lang w:eastAsia="en-AU"/>
        </w:rPr>
        <w:t>(iii)</w:t>
      </w:r>
      <w:r>
        <w:rPr>
          <w:lang w:eastAsia="en-AU"/>
        </w:rPr>
        <w:tab/>
        <w:t>France;</w:t>
      </w:r>
    </w:p>
    <w:p w14:paraId="4AA88CE3" w14:textId="2206AF9C" w:rsidR="00F005AB" w:rsidRDefault="00F005AB" w:rsidP="00F005AB">
      <w:pPr>
        <w:pStyle w:val="Quote3"/>
        <w:rPr>
          <w:lang w:eastAsia="en-AU"/>
        </w:rPr>
      </w:pPr>
      <w:proofErr w:type="gramStart"/>
      <w:r>
        <w:rPr>
          <w:lang w:eastAsia="en-AU"/>
        </w:rPr>
        <w:t>(iv)</w:t>
      </w:r>
      <w:r>
        <w:rPr>
          <w:lang w:eastAsia="en-AU"/>
        </w:rPr>
        <w:tab/>
        <w:t>Germany</w:t>
      </w:r>
      <w:proofErr w:type="gramEnd"/>
      <w:r>
        <w:rPr>
          <w:lang w:eastAsia="en-AU"/>
        </w:rPr>
        <w:t>;</w:t>
      </w:r>
    </w:p>
    <w:p w14:paraId="3F31BF06" w14:textId="272ABF6A" w:rsidR="00F005AB" w:rsidRDefault="00F005AB" w:rsidP="00F005AB">
      <w:pPr>
        <w:pStyle w:val="Quote3"/>
        <w:rPr>
          <w:lang w:eastAsia="en-AU"/>
        </w:rPr>
      </w:pPr>
      <w:r>
        <w:rPr>
          <w:lang w:eastAsia="en-AU"/>
        </w:rPr>
        <w:t xml:space="preserve">(v) </w:t>
      </w:r>
      <w:r>
        <w:rPr>
          <w:lang w:eastAsia="en-AU"/>
        </w:rPr>
        <w:tab/>
        <w:t>Hong Kong;</w:t>
      </w:r>
    </w:p>
    <w:p w14:paraId="727A2BDC" w14:textId="3F6DE780" w:rsidR="00F005AB" w:rsidRDefault="00F005AB" w:rsidP="00F005AB">
      <w:pPr>
        <w:pStyle w:val="Quote3"/>
        <w:rPr>
          <w:lang w:eastAsia="en-AU"/>
        </w:rPr>
      </w:pPr>
      <w:r>
        <w:rPr>
          <w:lang w:eastAsia="en-AU"/>
        </w:rPr>
        <w:t xml:space="preserve">(vi) </w:t>
      </w:r>
      <w:r>
        <w:rPr>
          <w:lang w:eastAsia="en-AU"/>
        </w:rPr>
        <w:tab/>
      </w:r>
      <w:proofErr w:type="gramStart"/>
      <w:r>
        <w:rPr>
          <w:lang w:eastAsia="en-AU"/>
        </w:rPr>
        <w:t>the</w:t>
      </w:r>
      <w:proofErr w:type="gramEnd"/>
      <w:r>
        <w:rPr>
          <w:lang w:eastAsia="en-AU"/>
        </w:rPr>
        <w:t xml:space="preserve"> United Kingdom, or any part thereof;</w:t>
      </w:r>
    </w:p>
    <w:p w14:paraId="53F1793A" w14:textId="5EE653ED" w:rsidR="00F005AB" w:rsidRDefault="00F005AB" w:rsidP="00F005AB">
      <w:pPr>
        <w:pStyle w:val="Quote3"/>
        <w:rPr>
          <w:lang w:eastAsia="en-AU"/>
        </w:rPr>
      </w:pPr>
      <w:r>
        <w:rPr>
          <w:lang w:eastAsia="en-AU"/>
        </w:rPr>
        <w:t xml:space="preserve">(vii) </w:t>
      </w:r>
      <w:r>
        <w:rPr>
          <w:lang w:eastAsia="en-AU"/>
        </w:rPr>
        <w:tab/>
      </w:r>
      <w:proofErr w:type="gramStart"/>
      <w:r>
        <w:rPr>
          <w:lang w:eastAsia="en-AU"/>
        </w:rPr>
        <w:t>the</w:t>
      </w:r>
      <w:proofErr w:type="gramEnd"/>
      <w:r>
        <w:rPr>
          <w:lang w:eastAsia="en-AU"/>
        </w:rPr>
        <w:t xml:space="preserve"> Republic of Ireland; and</w:t>
      </w:r>
    </w:p>
    <w:p w14:paraId="2F3B4B1B" w14:textId="56801F6C" w:rsidR="00F005AB" w:rsidRDefault="00F005AB" w:rsidP="00F005AB">
      <w:pPr>
        <w:pStyle w:val="Quote3"/>
        <w:rPr>
          <w:lang w:eastAsia="en-AU"/>
        </w:rPr>
      </w:pPr>
      <w:r>
        <w:rPr>
          <w:lang w:eastAsia="en-AU"/>
        </w:rPr>
        <w:t xml:space="preserve">(viii) </w:t>
      </w:r>
      <w:r>
        <w:rPr>
          <w:lang w:eastAsia="en-AU"/>
        </w:rPr>
        <w:tab/>
        <w:t>Sweden</w:t>
      </w:r>
      <w:r w:rsidR="00901B47">
        <w:rPr>
          <w:lang w:eastAsia="en-AU"/>
        </w:rPr>
        <w:t xml:space="preserve">.  </w:t>
      </w:r>
    </w:p>
    <w:p w14:paraId="41A04A1E" w14:textId="69A36196" w:rsidR="00BE356B" w:rsidRDefault="00BE356B" w:rsidP="00F005AB">
      <w:pPr>
        <w:pStyle w:val="ParaNumbering"/>
      </w:pPr>
      <w:r>
        <w:t>I reject Netflix’s relevance objection for reasons already given</w:t>
      </w:r>
      <w:r w:rsidR="00901B47">
        <w:t xml:space="preserve">.  </w:t>
      </w:r>
      <w:r>
        <w:t>Nor am I persuaded that it is unduly burdensome.</w:t>
      </w:r>
    </w:p>
    <w:p w14:paraId="3D483BC9" w14:textId="77777777" w:rsidR="00BE356B" w:rsidRDefault="00BE356B" w:rsidP="00BE356B">
      <w:pPr>
        <w:pStyle w:val="Heading2"/>
      </w:pPr>
      <w:r>
        <w:lastRenderedPageBreak/>
        <w:t>Paragraph 2</w:t>
      </w:r>
    </w:p>
    <w:p w14:paraId="172A7486" w14:textId="25D229F7" w:rsidR="00BE356B" w:rsidRDefault="00BE356B" w:rsidP="00BE356B">
      <w:pPr>
        <w:pStyle w:val="ParaNumbering"/>
      </w:pPr>
      <w:r>
        <w:t xml:space="preserve">Subject to it being clarified that the steps to be taken by Netflix relate only to seeking the documents from members of its own group of entities, I accept that the </w:t>
      </w:r>
      <w:r>
        <w:rPr>
          <w:i/>
        </w:rPr>
        <w:t xml:space="preserve">Sabre </w:t>
      </w:r>
      <w:r>
        <w:t>order should be made (but not in the summons)</w:t>
      </w:r>
      <w:r w:rsidR="00901B47">
        <w:t xml:space="preserve">.  </w:t>
      </w:r>
    </w:p>
    <w:p w14:paraId="52C4FEBD" w14:textId="78E283B0" w:rsidR="00BE356B" w:rsidRPr="001272A3" w:rsidRDefault="00BE356B" w:rsidP="00BE356B">
      <w:pPr>
        <w:pStyle w:val="Heading1"/>
      </w:pPr>
      <w:r w:rsidRPr="001272A3">
        <w:t>Paramount+</w:t>
      </w:r>
    </w:p>
    <w:p w14:paraId="6A6D6C21" w14:textId="49037E52" w:rsidR="00BE356B" w:rsidRDefault="00C91B24" w:rsidP="00BE356B">
      <w:pPr>
        <w:pStyle w:val="ParaNumbering"/>
      </w:pPr>
      <w:r>
        <w:t xml:space="preserve">Paramount+ </w:t>
      </w:r>
      <w:r w:rsidR="00BE356B">
        <w:t xml:space="preserve">objects to </w:t>
      </w:r>
      <w:r w:rsidR="008C05E6">
        <w:t>n</w:t>
      </w:r>
      <w:r w:rsidR="00BE356B">
        <w:t>ote</w:t>
      </w:r>
      <w:r w:rsidR="00345735">
        <w:t>s</w:t>
      </w:r>
      <w:r w:rsidR="00BE356B">
        <w:t xml:space="preserve"> (a)</w:t>
      </w:r>
      <w:r w:rsidR="00345735">
        <w:t xml:space="preserve"> and</w:t>
      </w:r>
      <w:r w:rsidR="00BE356B">
        <w:t xml:space="preserve"> (d) and paragraphs 1(b), 1(h), 1(</w:t>
      </w:r>
      <w:proofErr w:type="spellStart"/>
      <w:r w:rsidR="00BE356B">
        <w:t>i</w:t>
      </w:r>
      <w:proofErr w:type="spellEnd"/>
      <w:r w:rsidR="00BE356B">
        <w:t>) and 2</w:t>
      </w:r>
      <w:r>
        <w:t xml:space="preserve"> of the proposed summons</w:t>
      </w:r>
      <w:r w:rsidR="00BE356B">
        <w:t>.</w:t>
      </w:r>
    </w:p>
    <w:p w14:paraId="02DA152B" w14:textId="77777777" w:rsidR="00BE356B" w:rsidRDefault="00BE356B" w:rsidP="00BE356B">
      <w:pPr>
        <w:pStyle w:val="Heading2"/>
      </w:pPr>
      <w:r>
        <w:t>Note (a)</w:t>
      </w:r>
    </w:p>
    <w:p w14:paraId="036ACAAC" w14:textId="77777777" w:rsidR="00BE356B" w:rsidRDefault="00BE356B" w:rsidP="00BE356B">
      <w:pPr>
        <w:pStyle w:val="ParaNumbering"/>
      </w:pPr>
      <w:r>
        <w:t>This is as follows:</w:t>
      </w:r>
    </w:p>
    <w:p w14:paraId="26B51015" w14:textId="356D9D27" w:rsidR="00C91B24" w:rsidRDefault="00C91B24" w:rsidP="00C91B24">
      <w:pPr>
        <w:pStyle w:val="Quote1"/>
        <w:ind w:left="1440" w:hanging="703"/>
      </w:pPr>
      <w:r>
        <w:t>(</w:t>
      </w:r>
      <w:r w:rsidRPr="00C91B24">
        <w:t>a)</w:t>
      </w:r>
      <w:r>
        <w:tab/>
      </w:r>
      <w:r w:rsidRPr="00C91B24">
        <w:t>A reference to Paramount+ includes a reference to any o</w:t>
      </w:r>
      <w:r>
        <w:t xml:space="preserve">f its related bodies corporate, </w:t>
      </w:r>
      <w:r w:rsidRPr="00C91B24">
        <w:t>aside from paragraph 1(e) and 2 below.</w:t>
      </w:r>
    </w:p>
    <w:p w14:paraId="32B46737" w14:textId="6EA11433" w:rsidR="005107EF" w:rsidRDefault="005107EF" w:rsidP="00BE356B">
      <w:pPr>
        <w:pStyle w:val="ParaNumbering"/>
      </w:pPr>
      <w:r>
        <w:t>I do not read note (a) as having the effect that the summons is addressed to all of its related bodies</w:t>
      </w:r>
      <w:r w:rsidR="00901B47">
        <w:t xml:space="preserve">.  </w:t>
      </w:r>
      <w:r>
        <w:t xml:space="preserve">This is because it does not say such a thing and because it </w:t>
      </w:r>
      <w:r w:rsidR="008D7F37">
        <w:t xml:space="preserve">would </w:t>
      </w:r>
      <w:r>
        <w:t>entail that the summons</w:t>
      </w:r>
      <w:r w:rsidR="008D7F37">
        <w:t>,</w:t>
      </w:r>
      <w:r>
        <w:t xml:space="preserve"> whilst appearing to be addressed to one entity was, in fact, addressed to a number of unidentified entities</w:t>
      </w:r>
      <w:r w:rsidR="00901B47">
        <w:t xml:space="preserve">.  </w:t>
      </w:r>
      <w:r>
        <w:t>This would be procedurally irregular and I do not read the draft summons this way</w:t>
      </w:r>
      <w:r w:rsidR="00901B47">
        <w:t xml:space="preserve">.  </w:t>
      </w:r>
      <w:r>
        <w:t xml:space="preserve">That being so, I read </w:t>
      </w:r>
      <w:r w:rsidR="00161753">
        <w:t>n</w:t>
      </w:r>
      <w:r>
        <w:t>ote (a) as being intended to apply to the body of the summons.</w:t>
      </w:r>
    </w:p>
    <w:p w14:paraId="4C185635" w14:textId="72219835" w:rsidR="004E2545" w:rsidRDefault="005107EF" w:rsidP="00BE356B">
      <w:pPr>
        <w:pStyle w:val="ParaNumbering"/>
      </w:pPr>
      <w:r>
        <w:t xml:space="preserve">On that assumption, </w:t>
      </w:r>
      <w:proofErr w:type="gramStart"/>
      <w:r>
        <w:t>t</w:t>
      </w:r>
      <w:r w:rsidR="00BE356B">
        <w:t>he carve</w:t>
      </w:r>
      <w:proofErr w:type="gramEnd"/>
      <w:r w:rsidR="00BE356B">
        <w:t xml:space="preserve"> out for 1(e) makes no sense since Paramount+ is not referred to in that paragraph</w:t>
      </w:r>
      <w:r w:rsidR="00901B47">
        <w:t>.</w:t>
      </w:r>
      <w:r w:rsidR="004446FA">
        <w:t xml:space="preserve"> I think it would be unlikely that that Paramount+ had possession of the documents sought insofar as they were the documents of the related entities. The likely purpose of this definition is to work with the attempted </w:t>
      </w:r>
      <w:r w:rsidR="004446FA">
        <w:rPr>
          <w:i/>
        </w:rPr>
        <w:t xml:space="preserve">Sabre </w:t>
      </w:r>
      <w:r w:rsidR="004446FA">
        <w:t xml:space="preserve">order in paragraph 2. As I shortly conclude, the </w:t>
      </w:r>
      <w:r w:rsidR="004446FA">
        <w:rPr>
          <w:i/>
        </w:rPr>
        <w:t xml:space="preserve">Sabre </w:t>
      </w:r>
      <w:r w:rsidR="004446FA">
        <w:t>order should not be in the summons. Since it is to be excised</w:t>
      </w:r>
      <w:r w:rsidR="00D55E77">
        <w:t>,</w:t>
      </w:r>
      <w:r w:rsidR="004446FA">
        <w:t xml:space="preserve"> this definition should be too.</w:t>
      </w:r>
    </w:p>
    <w:p w14:paraId="1142DAC8" w14:textId="77777777" w:rsidR="00BE356B" w:rsidRDefault="00BE356B" w:rsidP="00BE356B">
      <w:pPr>
        <w:pStyle w:val="Heading2"/>
      </w:pPr>
      <w:r>
        <w:t>Note (d)</w:t>
      </w:r>
    </w:p>
    <w:p w14:paraId="4CCFF4D6" w14:textId="77777777" w:rsidR="00BE356B" w:rsidRDefault="00BE356B" w:rsidP="00BE356B">
      <w:pPr>
        <w:pStyle w:val="ParaNumbering"/>
      </w:pPr>
      <w:r>
        <w:t>This is as follows:</w:t>
      </w:r>
    </w:p>
    <w:p w14:paraId="312E3909" w14:textId="10895A8E" w:rsidR="00A930D3" w:rsidRPr="00A930D3" w:rsidRDefault="00A930D3" w:rsidP="00A930D3">
      <w:pPr>
        <w:pStyle w:val="Quote1"/>
        <w:ind w:left="1440" w:hanging="703"/>
        <w:rPr>
          <w:lang w:eastAsia="en-AU"/>
        </w:rPr>
      </w:pPr>
      <w:r>
        <w:rPr>
          <w:lang w:eastAsia="en-AU"/>
        </w:rPr>
        <w:t xml:space="preserve">(d) </w:t>
      </w:r>
      <w:r>
        <w:rPr>
          <w:lang w:eastAsia="en-AU"/>
        </w:rPr>
        <w:tab/>
        <w:t>Production pursuant to categories 1(a); 1(b); 1(c); and 1(f) will be deemed sufficient by the provision of a summary statement on underlying business records in lieu of the records themselves</w:t>
      </w:r>
      <w:r w:rsidR="00552F0A">
        <w:rPr>
          <w:lang w:eastAsia="en-AU"/>
        </w:rPr>
        <w:t xml:space="preserve">. </w:t>
      </w:r>
      <w:r>
        <w:rPr>
          <w:lang w:eastAsia="en-AU"/>
        </w:rPr>
        <w:t>However, APRA AMCOS reserves the right to inspect the underlying records.</w:t>
      </w:r>
    </w:p>
    <w:p w14:paraId="06BE6472" w14:textId="10FF7577" w:rsidR="00BE356B" w:rsidRDefault="00BE356B" w:rsidP="00A930D3">
      <w:pPr>
        <w:pStyle w:val="ParaNumbering"/>
      </w:pPr>
      <w:r>
        <w:t>There is a debate as to whether APRA</w:t>
      </w:r>
      <w:r w:rsidR="00A930D3">
        <w:t xml:space="preserve"> </w:t>
      </w:r>
      <w:r>
        <w:t>AMCOS should have a right to audit the response</w:t>
      </w:r>
      <w:r w:rsidR="00901B47">
        <w:t xml:space="preserve">.  </w:t>
      </w:r>
      <w:r>
        <w:t>This debate has no place in the form of the summons</w:t>
      </w:r>
      <w:r w:rsidR="00901B47">
        <w:t xml:space="preserve">.  </w:t>
      </w:r>
      <w:r>
        <w:t>Note (d) will be deleted</w:t>
      </w:r>
      <w:r w:rsidR="00901B47">
        <w:t xml:space="preserve">.  </w:t>
      </w:r>
      <w:r>
        <w:t>If the parties reach some kind of arrangement about what is to be produced, they may do so.</w:t>
      </w:r>
    </w:p>
    <w:p w14:paraId="51200FB4" w14:textId="77777777" w:rsidR="00BE356B" w:rsidRDefault="00BE356B" w:rsidP="00BE356B">
      <w:pPr>
        <w:pStyle w:val="Heading2"/>
      </w:pPr>
      <w:r>
        <w:lastRenderedPageBreak/>
        <w:t>Paragraph 1(b)</w:t>
      </w:r>
    </w:p>
    <w:p w14:paraId="56073F43" w14:textId="77777777" w:rsidR="00BE356B" w:rsidRDefault="00BE356B" w:rsidP="00BE356B">
      <w:pPr>
        <w:pStyle w:val="ParaNumbering"/>
      </w:pPr>
      <w:r>
        <w:t>This is as follows:</w:t>
      </w:r>
    </w:p>
    <w:p w14:paraId="3FA6936A" w14:textId="60DC9226" w:rsidR="00A930D3" w:rsidRDefault="002A5561" w:rsidP="00A930D3">
      <w:pPr>
        <w:pStyle w:val="Quote1"/>
        <w:ind w:left="1440" w:hanging="703"/>
        <w:rPr>
          <w:szCs w:val="22"/>
          <w:lang w:eastAsia="en-AU"/>
        </w:rPr>
      </w:pPr>
      <w:r>
        <w:rPr>
          <w:lang w:eastAsia="en-AU"/>
        </w:rPr>
        <w:t>1.</w:t>
      </w:r>
      <w:r w:rsidR="00A930D3" w:rsidRPr="00A930D3">
        <w:rPr>
          <w:szCs w:val="22"/>
          <w:lang w:eastAsia="en-AU"/>
        </w:rPr>
        <w:tab/>
        <w:t>You are summoned to produce to the Copyright Tribunal of Australia by 4:00pm on 31 April 2022, the following document or articles (in electronic form if available):</w:t>
      </w:r>
    </w:p>
    <w:p w14:paraId="6E8B8A4C" w14:textId="00289E8B" w:rsidR="003C119F" w:rsidRPr="00A930D3" w:rsidRDefault="003C119F" w:rsidP="00A930D3">
      <w:pPr>
        <w:pStyle w:val="Quote1"/>
        <w:ind w:left="1440" w:hanging="703"/>
        <w:rPr>
          <w:szCs w:val="22"/>
          <w:lang w:eastAsia="en-AU"/>
        </w:rPr>
      </w:pPr>
      <w:r>
        <w:rPr>
          <w:szCs w:val="22"/>
          <w:lang w:eastAsia="en-AU"/>
        </w:rPr>
        <w:tab/>
        <w:t>…</w:t>
      </w:r>
    </w:p>
    <w:p w14:paraId="6F12C321" w14:textId="4AE4AE5D" w:rsidR="00BE356B" w:rsidRPr="00A930D3" w:rsidRDefault="00A930D3" w:rsidP="00A930D3">
      <w:pPr>
        <w:pStyle w:val="Quote2"/>
        <w:ind w:left="2160" w:hanging="720"/>
        <w:rPr>
          <w:szCs w:val="22"/>
          <w:lang w:eastAsia="en-AU"/>
        </w:rPr>
      </w:pPr>
      <w:r w:rsidRPr="00A930D3">
        <w:rPr>
          <w:szCs w:val="22"/>
          <w:lang w:eastAsia="en-AU"/>
        </w:rPr>
        <w:t xml:space="preserve">(b) </w:t>
      </w:r>
      <w:r w:rsidRPr="00A930D3">
        <w:rPr>
          <w:szCs w:val="22"/>
          <w:lang w:eastAsia="en-AU"/>
        </w:rPr>
        <w:tab/>
        <w:t>For the period 2018 to date, one or more documents evidencing the total revenue for each Quarter generated directly or indirectly by operation of the Service in Australia.</w:t>
      </w:r>
    </w:p>
    <w:p w14:paraId="3DD4C85E" w14:textId="35450240" w:rsidR="00BE356B" w:rsidRDefault="00A930D3" w:rsidP="00BE356B">
      <w:pPr>
        <w:pStyle w:val="ParaNumbering"/>
      </w:pPr>
      <w:r>
        <w:t xml:space="preserve">Paramount+ </w:t>
      </w:r>
      <w:r w:rsidR="00BE356B">
        <w:t>submits that it is unclear what indirectly generated revenue means</w:t>
      </w:r>
      <w:r w:rsidR="00901B47">
        <w:t xml:space="preserve">.  </w:t>
      </w:r>
      <w:r w:rsidR="00BE356B">
        <w:t>In correspondence</w:t>
      </w:r>
      <w:r w:rsidR="007B167E">
        <w:t>,</w:t>
      </w:r>
      <w:r w:rsidR="00BE356B">
        <w:t xml:space="preserve"> APRA</w:t>
      </w:r>
      <w:r>
        <w:t xml:space="preserve"> </w:t>
      </w:r>
      <w:r w:rsidR="00BE356B">
        <w:t>AMCOS has indicated that indirect revenue refers to ‘revenue received other than from subscription fees, and is therefore not reported under the current licensing arrangements’</w:t>
      </w:r>
      <w:r w:rsidR="00901B47">
        <w:t xml:space="preserve">.  </w:t>
      </w:r>
      <w:r w:rsidR="00BE356B">
        <w:t>The wording suggested by APRA</w:t>
      </w:r>
      <w:r>
        <w:t xml:space="preserve"> </w:t>
      </w:r>
      <w:r w:rsidR="00BE356B">
        <w:t xml:space="preserve">AMCOS will be incorporated into </w:t>
      </w:r>
      <w:r w:rsidR="005254D6">
        <w:t>1</w:t>
      </w:r>
      <w:r w:rsidR="00BE356B">
        <w:t>(b)</w:t>
      </w:r>
      <w:r w:rsidR="00901B47">
        <w:t xml:space="preserve">.  </w:t>
      </w:r>
    </w:p>
    <w:p w14:paraId="27178FE6" w14:textId="77777777" w:rsidR="00BE356B" w:rsidRDefault="00BE356B" w:rsidP="00BE356B">
      <w:pPr>
        <w:pStyle w:val="Heading2"/>
      </w:pPr>
      <w:r>
        <w:t>Paragraph 1(h)</w:t>
      </w:r>
    </w:p>
    <w:p w14:paraId="4DF8248C" w14:textId="77777777" w:rsidR="00BE356B" w:rsidRDefault="00BE356B" w:rsidP="00BE356B">
      <w:pPr>
        <w:pStyle w:val="ParaNumbering"/>
      </w:pPr>
      <w:r>
        <w:t>This is as follows:</w:t>
      </w:r>
    </w:p>
    <w:p w14:paraId="383CAFA3" w14:textId="56190485" w:rsidR="000131F2" w:rsidRDefault="0012296C" w:rsidP="000131F2">
      <w:pPr>
        <w:pStyle w:val="Quote1"/>
        <w:numPr>
          <w:ilvl w:val="0"/>
          <w:numId w:val="31"/>
        </w:numPr>
        <w:rPr>
          <w:lang w:eastAsia="en-AU"/>
        </w:rPr>
      </w:pPr>
      <w:r w:rsidRPr="00A930D3">
        <w:rPr>
          <w:lang w:eastAsia="en-AU"/>
        </w:rPr>
        <w:t>You are summoned to produce to the Copyright Tribunal of Australia by 4:00pm on 31 April 2022, the following document or articles (in electronic form if available)</w:t>
      </w:r>
      <w:r w:rsidR="002178D9">
        <w:rPr>
          <w:lang w:eastAsia="en-AU"/>
        </w:rPr>
        <w:t>:</w:t>
      </w:r>
    </w:p>
    <w:p w14:paraId="04AB76DD" w14:textId="30340EEA" w:rsidR="000131F2" w:rsidRPr="00A930D3" w:rsidRDefault="000131F2" w:rsidP="000131F2">
      <w:pPr>
        <w:pStyle w:val="Quote1"/>
        <w:ind w:left="1440"/>
        <w:rPr>
          <w:lang w:eastAsia="en-AU"/>
        </w:rPr>
      </w:pPr>
      <w:r>
        <w:rPr>
          <w:lang w:eastAsia="en-AU"/>
        </w:rPr>
        <w:t>…</w:t>
      </w:r>
    </w:p>
    <w:p w14:paraId="238D5E16" w14:textId="21D4F31A" w:rsidR="0012296C" w:rsidRPr="0012296C" w:rsidRDefault="0012296C" w:rsidP="0012296C">
      <w:pPr>
        <w:pStyle w:val="Quote2"/>
        <w:ind w:left="2160" w:hanging="720"/>
        <w:rPr>
          <w:color w:val="000000"/>
          <w:lang w:eastAsia="en-AU"/>
        </w:rPr>
      </w:pPr>
      <w:r>
        <w:rPr>
          <w:color w:val="000000"/>
          <w:lang w:eastAsia="en-AU"/>
        </w:rPr>
        <w:t xml:space="preserve">(h) </w:t>
      </w:r>
      <w:r>
        <w:rPr>
          <w:color w:val="000000"/>
          <w:lang w:eastAsia="en-AU"/>
        </w:rPr>
        <w:tab/>
        <w:t>Any documents</w:t>
      </w:r>
      <w:r>
        <w:rPr>
          <w:lang w:eastAsia="en-AU"/>
        </w:rPr>
        <w:t xml:space="preserve">, authored or created by, for, or on behalf of, senior management or executives of Paramount+, or board papers or minutes </w:t>
      </w:r>
      <w:r>
        <w:rPr>
          <w:color w:val="000000"/>
          <w:lang w:eastAsia="en-AU"/>
        </w:rPr>
        <w:t>recording or evidencing</w:t>
      </w:r>
      <w:r>
        <w:rPr>
          <w:lang w:eastAsia="en-AU"/>
        </w:rPr>
        <w:t xml:space="preserve"> </w:t>
      </w:r>
      <w:proofErr w:type="spellStart"/>
      <w:r>
        <w:rPr>
          <w:lang w:eastAsia="en-AU"/>
        </w:rPr>
        <w:t>Paramount+’s</w:t>
      </w:r>
      <w:proofErr w:type="spellEnd"/>
      <w:r>
        <w:rPr>
          <w:lang w:eastAsia="en-AU"/>
        </w:rPr>
        <w:t xml:space="preserve"> </w:t>
      </w:r>
      <w:r>
        <w:rPr>
          <w:color w:val="000000"/>
          <w:lang w:eastAsia="en-AU"/>
        </w:rPr>
        <w:t>consideration of</w:t>
      </w:r>
      <w:r>
        <w:rPr>
          <w:lang w:eastAsia="en-AU"/>
        </w:rPr>
        <w:t xml:space="preserve">, and/or reasons for agreeing to or resisting </w:t>
      </w:r>
      <w:r>
        <w:rPr>
          <w:color w:val="000000"/>
          <w:lang w:eastAsia="en-AU"/>
        </w:rPr>
        <w:t xml:space="preserve">the licence fee payable </w:t>
      </w:r>
      <w:r>
        <w:rPr>
          <w:lang w:eastAsia="en-AU"/>
        </w:rPr>
        <w:t xml:space="preserve">to APRA AMCOS </w:t>
      </w:r>
      <w:r>
        <w:rPr>
          <w:color w:val="000000"/>
          <w:lang w:eastAsia="en-AU"/>
        </w:rPr>
        <w:t>for the communication and reproduction of musical works on the Service in the period 6-months prior</w:t>
      </w:r>
      <w:r>
        <w:rPr>
          <w:lang w:eastAsia="en-AU"/>
        </w:rPr>
        <w:t xml:space="preserve"> </w:t>
      </w:r>
      <w:r>
        <w:rPr>
          <w:color w:val="000000"/>
          <w:lang w:eastAsia="en-AU"/>
        </w:rPr>
        <w:t>to the entering into of any licence with APRA AMCOS.</w:t>
      </w:r>
    </w:p>
    <w:p w14:paraId="45B605A5" w14:textId="71C671F5" w:rsidR="00BE356B" w:rsidRDefault="00BE356B" w:rsidP="0012296C">
      <w:pPr>
        <w:pStyle w:val="ParaNumbering"/>
      </w:pPr>
      <w:r>
        <w:t>The first objection is relevance which, for reasons already given, I reject</w:t>
      </w:r>
      <w:r w:rsidR="00901B47">
        <w:t xml:space="preserve">.  </w:t>
      </w:r>
      <w:r>
        <w:t>The second objection is burden which I also reject</w:t>
      </w:r>
      <w:r w:rsidR="00901B47">
        <w:t xml:space="preserve">.  </w:t>
      </w:r>
      <w:r>
        <w:t>The third is a lack of clarity which I reject.</w:t>
      </w:r>
    </w:p>
    <w:p w14:paraId="73035365" w14:textId="77777777" w:rsidR="00BE356B" w:rsidRDefault="00BE356B" w:rsidP="00BE356B">
      <w:pPr>
        <w:pStyle w:val="Heading2"/>
      </w:pPr>
      <w:r>
        <w:t>Paragraph 1(</w:t>
      </w:r>
      <w:proofErr w:type="spellStart"/>
      <w:r>
        <w:t>i</w:t>
      </w:r>
      <w:proofErr w:type="spellEnd"/>
      <w:r>
        <w:t>)</w:t>
      </w:r>
    </w:p>
    <w:p w14:paraId="61A33C54" w14:textId="77777777" w:rsidR="00BE356B" w:rsidRDefault="00BE356B" w:rsidP="00BE356B">
      <w:pPr>
        <w:pStyle w:val="ParaNumbering"/>
      </w:pPr>
      <w:r>
        <w:t>This is as follows:</w:t>
      </w:r>
    </w:p>
    <w:p w14:paraId="2ACE72E9" w14:textId="5719E5A0" w:rsidR="000131F2" w:rsidRDefault="000131F2" w:rsidP="000131F2">
      <w:pPr>
        <w:pStyle w:val="Quote1"/>
        <w:ind w:left="1440" w:hanging="703"/>
        <w:rPr>
          <w:lang w:eastAsia="en-AU"/>
        </w:rPr>
      </w:pPr>
      <w:r>
        <w:rPr>
          <w:lang w:eastAsia="en-AU"/>
        </w:rPr>
        <w:t>1</w:t>
      </w:r>
      <w:r w:rsidR="00901B47">
        <w:rPr>
          <w:lang w:eastAsia="en-AU"/>
        </w:rPr>
        <w:t xml:space="preserve">.  </w:t>
      </w:r>
      <w:r>
        <w:rPr>
          <w:lang w:eastAsia="en-AU"/>
        </w:rPr>
        <w:tab/>
      </w:r>
      <w:r w:rsidRPr="00A930D3">
        <w:rPr>
          <w:lang w:eastAsia="en-AU"/>
        </w:rPr>
        <w:t>You are summoned to produce to the Copyright Tribunal of Australia by 4:00pm on 31 April 2022, the following document or articles (in electronic form if available):</w:t>
      </w:r>
    </w:p>
    <w:p w14:paraId="1084589B" w14:textId="00330517" w:rsidR="002178D9" w:rsidRPr="00A930D3" w:rsidRDefault="002178D9" w:rsidP="000131F2">
      <w:pPr>
        <w:pStyle w:val="Quote1"/>
        <w:ind w:left="1440" w:hanging="703"/>
        <w:rPr>
          <w:lang w:eastAsia="en-AU"/>
        </w:rPr>
      </w:pPr>
      <w:r>
        <w:rPr>
          <w:lang w:eastAsia="en-AU"/>
        </w:rPr>
        <w:tab/>
        <w:t>…</w:t>
      </w:r>
    </w:p>
    <w:p w14:paraId="4E4E5F6C" w14:textId="297E68AD" w:rsidR="00BE356B" w:rsidRDefault="000131F2" w:rsidP="000131F2">
      <w:pPr>
        <w:pStyle w:val="Quote2"/>
        <w:ind w:left="2160" w:hanging="720"/>
      </w:pPr>
      <w:r>
        <w:t>(</w:t>
      </w:r>
      <w:proofErr w:type="spellStart"/>
      <w:r>
        <w:t>i</w:t>
      </w:r>
      <w:proofErr w:type="spellEnd"/>
      <w:r>
        <w:t xml:space="preserve">) </w:t>
      </w:r>
      <w:r>
        <w:tab/>
      </w:r>
      <w:r w:rsidR="0012296C" w:rsidRPr="0012296C">
        <w:t>Any documents, authored or created by, for, or on behalf of, senior management or</w:t>
      </w:r>
      <w:r w:rsidR="0012296C">
        <w:t xml:space="preserve"> </w:t>
      </w:r>
      <w:r w:rsidR="0012296C" w:rsidRPr="0012296C">
        <w:t>executives of Paramount+, or board papers or minutes, including but not limited to</w:t>
      </w:r>
      <w:r w:rsidR="0012296C">
        <w:t xml:space="preserve"> </w:t>
      </w:r>
      <w:r w:rsidR="0012296C" w:rsidRPr="0012296C">
        <w:t xml:space="preserve">board minutes, recording or evidencing </w:t>
      </w:r>
      <w:r w:rsidR="0012296C" w:rsidRPr="0012296C">
        <w:lastRenderedPageBreak/>
        <w:t xml:space="preserve">the </w:t>
      </w:r>
      <w:proofErr w:type="spellStart"/>
      <w:r w:rsidR="0012296C" w:rsidRPr="0012296C">
        <w:t>Paramount+’s</w:t>
      </w:r>
      <w:proofErr w:type="spellEnd"/>
      <w:r w:rsidR="0012296C" w:rsidRPr="0012296C">
        <w:t xml:space="preserve"> consideration of and/or</w:t>
      </w:r>
      <w:r w:rsidR="0012296C">
        <w:t xml:space="preserve">  r</w:t>
      </w:r>
      <w:r w:rsidR="0012296C" w:rsidRPr="0012296C">
        <w:t>easons for agreeing to or resisting the licence fee payable to a collecting society for</w:t>
      </w:r>
      <w:r w:rsidR="0012296C">
        <w:t xml:space="preserve"> </w:t>
      </w:r>
      <w:r w:rsidR="0012296C" w:rsidRPr="0012296C">
        <w:t>the</w:t>
      </w:r>
      <w:r w:rsidR="0012296C">
        <w:t xml:space="preserve"> </w:t>
      </w:r>
      <w:r w:rsidR="0012296C" w:rsidRPr="0012296C">
        <w:t>communication and reproduction of musical works</w:t>
      </w:r>
      <w:r w:rsidR="0012296C">
        <w:t xml:space="preserve"> </w:t>
      </w:r>
      <w:r w:rsidR="0012296C" w:rsidRPr="0012296C">
        <w:t>on the Service in the period 6-months prior to the entering</w:t>
      </w:r>
      <w:r w:rsidR="0012296C">
        <w:t xml:space="preserve"> into of any licence with that </w:t>
      </w:r>
      <w:r w:rsidR="0012296C" w:rsidRPr="0012296C">
        <w:t>collecting society Paramount+ in each of the</w:t>
      </w:r>
      <w:r w:rsidR="0012296C">
        <w:t xml:space="preserve"> </w:t>
      </w:r>
      <w:r w:rsidR="0012296C" w:rsidRPr="0012296C">
        <w:t>following territories:</w:t>
      </w:r>
      <w:r w:rsidR="0012296C">
        <w:t xml:space="preserve"> </w:t>
      </w:r>
    </w:p>
    <w:p w14:paraId="062D3C89" w14:textId="5D34C752" w:rsidR="0012296C" w:rsidRDefault="0012296C" w:rsidP="000131F2">
      <w:pPr>
        <w:pStyle w:val="Quote3"/>
        <w:rPr>
          <w:lang w:eastAsia="en-AU"/>
        </w:rPr>
      </w:pPr>
      <w:r>
        <w:rPr>
          <w:lang w:eastAsia="en-AU"/>
        </w:rPr>
        <w:t>(</w:t>
      </w:r>
      <w:proofErr w:type="spellStart"/>
      <w:r>
        <w:rPr>
          <w:lang w:eastAsia="en-AU"/>
        </w:rPr>
        <w:t>i</w:t>
      </w:r>
      <w:proofErr w:type="spellEnd"/>
      <w:r>
        <w:rPr>
          <w:lang w:eastAsia="en-AU"/>
        </w:rPr>
        <w:t>)</w:t>
      </w:r>
      <w:r>
        <w:rPr>
          <w:lang w:eastAsia="en-AU"/>
        </w:rPr>
        <w:tab/>
      </w:r>
      <w:proofErr w:type="gramStart"/>
      <w:r>
        <w:rPr>
          <w:lang w:eastAsia="en-AU"/>
        </w:rPr>
        <w:t>the</w:t>
      </w:r>
      <w:proofErr w:type="gramEnd"/>
      <w:r>
        <w:rPr>
          <w:lang w:eastAsia="en-AU"/>
        </w:rPr>
        <w:t xml:space="preserve"> Czech Republic;</w:t>
      </w:r>
    </w:p>
    <w:p w14:paraId="1077FEA2" w14:textId="7D885CC8" w:rsidR="0012296C" w:rsidRDefault="0012296C" w:rsidP="000131F2">
      <w:pPr>
        <w:pStyle w:val="Quote3"/>
        <w:rPr>
          <w:lang w:eastAsia="en-AU"/>
        </w:rPr>
      </w:pPr>
      <w:r>
        <w:rPr>
          <w:lang w:eastAsia="en-AU"/>
        </w:rPr>
        <w:t xml:space="preserve">(ii) </w:t>
      </w:r>
      <w:r>
        <w:rPr>
          <w:lang w:eastAsia="en-AU"/>
        </w:rPr>
        <w:tab/>
        <w:t>Finland;</w:t>
      </w:r>
    </w:p>
    <w:p w14:paraId="66703C6E" w14:textId="40472455" w:rsidR="0012296C" w:rsidRDefault="0012296C" w:rsidP="000131F2">
      <w:pPr>
        <w:pStyle w:val="Quote3"/>
        <w:rPr>
          <w:lang w:eastAsia="en-AU"/>
        </w:rPr>
      </w:pPr>
      <w:r>
        <w:rPr>
          <w:lang w:eastAsia="en-AU"/>
        </w:rPr>
        <w:t>(iii)</w:t>
      </w:r>
      <w:r>
        <w:rPr>
          <w:lang w:eastAsia="en-AU"/>
        </w:rPr>
        <w:tab/>
        <w:t>France;</w:t>
      </w:r>
    </w:p>
    <w:p w14:paraId="7ACB2EE9" w14:textId="4F9D8276" w:rsidR="0012296C" w:rsidRDefault="0012296C" w:rsidP="000131F2">
      <w:pPr>
        <w:pStyle w:val="Quote3"/>
        <w:rPr>
          <w:lang w:eastAsia="en-AU"/>
        </w:rPr>
      </w:pPr>
      <w:proofErr w:type="gramStart"/>
      <w:r>
        <w:rPr>
          <w:lang w:eastAsia="en-AU"/>
        </w:rPr>
        <w:t xml:space="preserve">(iv) </w:t>
      </w:r>
      <w:r>
        <w:rPr>
          <w:lang w:eastAsia="en-AU"/>
        </w:rPr>
        <w:tab/>
        <w:t>Germany</w:t>
      </w:r>
      <w:proofErr w:type="gramEnd"/>
      <w:r>
        <w:rPr>
          <w:lang w:eastAsia="en-AU"/>
        </w:rPr>
        <w:t>;</w:t>
      </w:r>
    </w:p>
    <w:p w14:paraId="5FD39083" w14:textId="7016D0E4" w:rsidR="0012296C" w:rsidRDefault="0012296C" w:rsidP="000131F2">
      <w:pPr>
        <w:pStyle w:val="Quote3"/>
        <w:rPr>
          <w:lang w:eastAsia="en-AU"/>
        </w:rPr>
      </w:pPr>
      <w:r>
        <w:rPr>
          <w:lang w:eastAsia="en-AU"/>
        </w:rPr>
        <w:t xml:space="preserve">(v) </w:t>
      </w:r>
      <w:r>
        <w:rPr>
          <w:lang w:eastAsia="en-AU"/>
        </w:rPr>
        <w:tab/>
        <w:t>Hong Kong;</w:t>
      </w:r>
    </w:p>
    <w:p w14:paraId="525BD2C5" w14:textId="21ECC58F" w:rsidR="0012296C" w:rsidRDefault="0012296C" w:rsidP="000131F2">
      <w:pPr>
        <w:pStyle w:val="Quote3"/>
        <w:rPr>
          <w:lang w:eastAsia="en-AU"/>
        </w:rPr>
      </w:pPr>
      <w:r>
        <w:rPr>
          <w:lang w:eastAsia="en-AU"/>
        </w:rPr>
        <w:t xml:space="preserve">(vi) </w:t>
      </w:r>
      <w:r>
        <w:rPr>
          <w:lang w:eastAsia="en-AU"/>
        </w:rPr>
        <w:tab/>
      </w:r>
      <w:proofErr w:type="gramStart"/>
      <w:r>
        <w:rPr>
          <w:lang w:eastAsia="en-AU"/>
        </w:rPr>
        <w:t>the</w:t>
      </w:r>
      <w:proofErr w:type="gramEnd"/>
      <w:r>
        <w:rPr>
          <w:lang w:eastAsia="en-AU"/>
        </w:rPr>
        <w:t xml:space="preserve"> United Kingdom, or any part thereof;</w:t>
      </w:r>
    </w:p>
    <w:p w14:paraId="27B1BFF6" w14:textId="0532A6BB" w:rsidR="0012296C" w:rsidRDefault="0012296C" w:rsidP="000131F2">
      <w:pPr>
        <w:pStyle w:val="Quote3"/>
        <w:rPr>
          <w:lang w:eastAsia="en-AU"/>
        </w:rPr>
      </w:pPr>
      <w:r>
        <w:rPr>
          <w:lang w:eastAsia="en-AU"/>
        </w:rPr>
        <w:t xml:space="preserve">(vii) </w:t>
      </w:r>
      <w:r>
        <w:rPr>
          <w:lang w:eastAsia="en-AU"/>
        </w:rPr>
        <w:tab/>
      </w:r>
      <w:proofErr w:type="gramStart"/>
      <w:r>
        <w:rPr>
          <w:lang w:eastAsia="en-AU"/>
        </w:rPr>
        <w:t>the</w:t>
      </w:r>
      <w:proofErr w:type="gramEnd"/>
      <w:r>
        <w:rPr>
          <w:lang w:eastAsia="en-AU"/>
        </w:rPr>
        <w:t xml:space="preserve"> Republic of Ireland; and</w:t>
      </w:r>
    </w:p>
    <w:p w14:paraId="639A0A5E" w14:textId="75FE23F4" w:rsidR="0012296C" w:rsidRDefault="0012296C" w:rsidP="000131F2">
      <w:pPr>
        <w:pStyle w:val="Quote3"/>
      </w:pPr>
      <w:r>
        <w:rPr>
          <w:lang w:eastAsia="en-AU"/>
        </w:rPr>
        <w:t xml:space="preserve">(viii) </w:t>
      </w:r>
      <w:r>
        <w:rPr>
          <w:lang w:eastAsia="en-AU"/>
        </w:rPr>
        <w:tab/>
        <w:t>Sweden.</w:t>
      </w:r>
    </w:p>
    <w:p w14:paraId="2FAF8435" w14:textId="6857A9CA" w:rsidR="00BE356B" w:rsidRDefault="00BE356B" w:rsidP="00BE356B">
      <w:pPr>
        <w:pStyle w:val="ParaNumbering"/>
      </w:pPr>
      <w:r>
        <w:t>The objections are in substance the same as in 1(h)</w:t>
      </w:r>
      <w:r w:rsidR="00901B47">
        <w:t xml:space="preserve">.  </w:t>
      </w:r>
      <w:r>
        <w:t>I reject them for the same reasons.</w:t>
      </w:r>
    </w:p>
    <w:p w14:paraId="7B6FB426" w14:textId="77777777" w:rsidR="00BE356B" w:rsidRDefault="00BE356B" w:rsidP="00BE356B">
      <w:pPr>
        <w:pStyle w:val="Heading2"/>
      </w:pPr>
      <w:r>
        <w:t>Paragraph 2</w:t>
      </w:r>
    </w:p>
    <w:p w14:paraId="075F2047" w14:textId="77777777" w:rsidR="00BE356B" w:rsidRDefault="00BE356B" w:rsidP="00BE356B">
      <w:pPr>
        <w:pStyle w:val="ParaNumbering"/>
      </w:pPr>
      <w:r>
        <w:t>This is as follows:</w:t>
      </w:r>
    </w:p>
    <w:p w14:paraId="46D986F1" w14:textId="71A54A36" w:rsidR="00967B0F" w:rsidRDefault="00967B0F" w:rsidP="00967B0F">
      <w:pPr>
        <w:pStyle w:val="Quote1"/>
        <w:ind w:left="1440" w:hanging="703"/>
        <w:rPr>
          <w:lang w:eastAsia="en-AU"/>
        </w:rPr>
      </w:pPr>
      <w:r w:rsidRPr="00967B0F">
        <w:rPr>
          <w:lang w:eastAsia="en-AU"/>
        </w:rPr>
        <w:t>2</w:t>
      </w:r>
      <w:r w:rsidR="00901B47">
        <w:rPr>
          <w:lang w:eastAsia="en-AU"/>
        </w:rPr>
        <w:t xml:space="preserve">.  </w:t>
      </w:r>
      <w:r>
        <w:rPr>
          <w:lang w:eastAsia="en-AU"/>
        </w:rPr>
        <w:tab/>
        <w:t>To the extent that any of the documents answerable to 1(g) and 1(</w:t>
      </w:r>
      <w:proofErr w:type="spellStart"/>
      <w:r>
        <w:rPr>
          <w:lang w:eastAsia="en-AU"/>
        </w:rPr>
        <w:t>i</w:t>
      </w:r>
      <w:proofErr w:type="spellEnd"/>
      <w:r>
        <w:rPr>
          <w:lang w:eastAsia="en-AU"/>
        </w:rPr>
        <w:t>) above are not in the power, custody or control of Paramount+, Paramount+ is to take all reasonable steps available to it to obtain the documents, or copies thereof, and produce those documents</w:t>
      </w:r>
      <w:r w:rsidR="005254D6">
        <w:rPr>
          <w:lang w:eastAsia="en-AU"/>
        </w:rPr>
        <w:t xml:space="preserve">. </w:t>
      </w:r>
      <w:r>
        <w:rPr>
          <w:lang w:eastAsia="en-AU"/>
        </w:rPr>
        <w:t xml:space="preserve">If the documents are not produced by 4:00pm on 31 April 2022, Paramount+, by a representative having knowledge of the facts, is to file and serve an affidavit as to </w:t>
      </w:r>
      <w:proofErr w:type="spellStart"/>
      <w:r>
        <w:rPr>
          <w:lang w:eastAsia="en-AU"/>
        </w:rPr>
        <w:t>Paramount+’s</w:t>
      </w:r>
      <w:proofErr w:type="spellEnd"/>
      <w:r>
        <w:rPr>
          <w:lang w:eastAsia="en-AU"/>
        </w:rPr>
        <w:t xml:space="preserve"> efforts made pursuant to this order.</w:t>
      </w:r>
    </w:p>
    <w:p w14:paraId="4BE8F977" w14:textId="18240349" w:rsidR="00BE356B" w:rsidRPr="00967B0F" w:rsidRDefault="00BE356B" w:rsidP="00967B0F">
      <w:pPr>
        <w:pStyle w:val="ParaNumbering"/>
        <w:rPr>
          <w:rFonts w:ascii="ArialMT" w:hAnsi="ArialMT" w:cs="ArialMT"/>
          <w:sz w:val="19"/>
          <w:szCs w:val="19"/>
          <w:lang w:eastAsia="en-AU"/>
        </w:rPr>
      </w:pPr>
      <w:r>
        <w:t>I conclude that the Tribunal has the power to make the order but not as part of the summons</w:t>
      </w:r>
      <w:r w:rsidR="00901B47">
        <w:t xml:space="preserve">.  </w:t>
      </w:r>
      <w:r>
        <w:t>Objection is also take</w:t>
      </w:r>
      <w:r w:rsidR="00EF2F78">
        <w:t>n</w:t>
      </w:r>
      <w:r>
        <w:t xml:space="preserve"> on the grounds that what is sought is inappropriate and oppressive</w:t>
      </w:r>
      <w:r w:rsidR="00901B47">
        <w:t xml:space="preserve">.  </w:t>
      </w:r>
      <w:r>
        <w:t>I reject both propositions.</w:t>
      </w:r>
    </w:p>
    <w:p w14:paraId="43B7256B" w14:textId="77777777" w:rsidR="00BE356B" w:rsidRDefault="00BE356B" w:rsidP="00BE356B">
      <w:pPr>
        <w:pStyle w:val="Heading1"/>
      </w:pPr>
      <w:r>
        <w:t>Stan</w:t>
      </w:r>
    </w:p>
    <w:p w14:paraId="642355E2" w14:textId="77777777" w:rsidR="00BE356B" w:rsidRDefault="00BE356B" w:rsidP="00BE356B">
      <w:pPr>
        <w:pStyle w:val="ParaNumbering"/>
      </w:pPr>
      <w:r>
        <w:t>Stan objects to paragraphs 1(e) and 1(h).</w:t>
      </w:r>
    </w:p>
    <w:p w14:paraId="3AA29B0A" w14:textId="77777777" w:rsidR="00BE356B" w:rsidRDefault="00BE356B" w:rsidP="00BE356B">
      <w:pPr>
        <w:pStyle w:val="Heading2"/>
      </w:pPr>
      <w:r>
        <w:t>Paragraph 1(e)</w:t>
      </w:r>
    </w:p>
    <w:p w14:paraId="0B22A39B" w14:textId="77777777" w:rsidR="00BE356B" w:rsidRDefault="00BE356B" w:rsidP="00BE356B">
      <w:pPr>
        <w:pStyle w:val="ParaNumbering"/>
      </w:pPr>
      <w:r>
        <w:t>This is as follows:</w:t>
      </w:r>
    </w:p>
    <w:p w14:paraId="7CF7331A" w14:textId="3D72AF0F" w:rsidR="000131F2" w:rsidRDefault="000131F2" w:rsidP="000131F2">
      <w:pPr>
        <w:pStyle w:val="Quote1"/>
        <w:ind w:left="1440" w:hanging="703"/>
        <w:rPr>
          <w:lang w:eastAsia="en-AU"/>
        </w:rPr>
      </w:pPr>
      <w:r>
        <w:rPr>
          <w:lang w:eastAsia="en-AU"/>
        </w:rPr>
        <w:t>1</w:t>
      </w:r>
      <w:r w:rsidR="00901B47">
        <w:rPr>
          <w:lang w:eastAsia="en-AU"/>
        </w:rPr>
        <w:t xml:space="preserve">.  </w:t>
      </w:r>
      <w:r>
        <w:rPr>
          <w:lang w:eastAsia="en-AU"/>
        </w:rPr>
        <w:tab/>
        <w:t>You are summoned to produce to the Copyright Tribunal of Australia by 4:00pm on 31 April 2022, the following document or articles (in electronic form if available):</w:t>
      </w:r>
    </w:p>
    <w:p w14:paraId="61A7072D" w14:textId="35B240BD" w:rsidR="000131F2" w:rsidRDefault="000131F2" w:rsidP="000131F2">
      <w:pPr>
        <w:pStyle w:val="Quote1"/>
        <w:rPr>
          <w:lang w:eastAsia="en-AU"/>
        </w:rPr>
      </w:pPr>
      <w:r>
        <w:rPr>
          <w:lang w:eastAsia="en-AU"/>
        </w:rPr>
        <w:tab/>
        <w:t>…</w:t>
      </w:r>
      <w:r>
        <w:rPr>
          <w:lang w:eastAsia="en-AU"/>
        </w:rPr>
        <w:tab/>
      </w:r>
      <w:r>
        <w:rPr>
          <w:lang w:eastAsia="en-AU"/>
        </w:rPr>
        <w:tab/>
      </w:r>
      <w:r>
        <w:rPr>
          <w:lang w:eastAsia="en-AU"/>
        </w:rPr>
        <w:tab/>
      </w:r>
    </w:p>
    <w:p w14:paraId="62A10838" w14:textId="61C0556B" w:rsidR="007B167E" w:rsidRPr="007B167E" w:rsidRDefault="000131F2" w:rsidP="007B167E">
      <w:pPr>
        <w:pStyle w:val="Quote2"/>
        <w:ind w:left="2160" w:hanging="720"/>
        <w:rPr>
          <w:lang w:eastAsia="en-AU"/>
        </w:rPr>
      </w:pPr>
      <w:r>
        <w:rPr>
          <w:lang w:eastAsia="en-AU"/>
        </w:rPr>
        <w:t>(e)</w:t>
      </w:r>
      <w:r>
        <w:rPr>
          <w:lang w:eastAsia="en-AU"/>
        </w:rPr>
        <w:tab/>
      </w:r>
      <w:r w:rsidRPr="00EF2F78">
        <w:t xml:space="preserve">For the period 2015 to date, all reports made to the Australian </w:t>
      </w:r>
      <w:r w:rsidRPr="00EF2F78">
        <w:lastRenderedPageBreak/>
        <w:t>Communications and</w:t>
      </w:r>
      <w:r w:rsidR="007B167E" w:rsidRPr="009B657F">
        <w:rPr>
          <w:sz w:val="28"/>
        </w:rPr>
        <w:t xml:space="preserve"> </w:t>
      </w:r>
      <w:r w:rsidRPr="009B657F">
        <w:rPr>
          <w:szCs w:val="19"/>
        </w:rPr>
        <w:t>Media Authority in respect of the Service.</w:t>
      </w:r>
    </w:p>
    <w:p w14:paraId="39D245FC" w14:textId="56CA49D6" w:rsidR="00BE356B" w:rsidRDefault="00BE356B" w:rsidP="000131F2">
      <w:pPr>
        <w:pStyle w:val="ParaNumbering"/>
      </w:pPr>
      <w:r>
        <w:t>The objections were relevance, confidentiality and the fact that the information was not independent since it was provid</w:t>
      </w:r>
      <w:r w:rsidR="007B167E">
        <w:t>ed by Stan</w:t>
      </w:r>
      <w:r w:rsidR="00901B47">
        <w:t xml:space="preserve">.  </w:t>
      </w:r>
      <w:r>
        <w:t>I reject the relevance objection</w:t>
      </w:r>
      <w:r w:rsidR="00901B47">
        <w:t xml:space="preserve">.  </w:t>
      </w:r>
      <w:r>
        <w:t>Confidentiality is not an objection</w:t>
      </w:r>
      <w:r w:rsidR="00901B47">
        <w:t xml:space="preserve">.  </w:t>
      </w:r>
      <w:r>
        <w:t>The fact that the information is or is not independent does not matter either.</w:t>
      </w:r>
    </w:p>
    <w:p w14:paraId="52D3B0C8" w14:textId="77777777" w:rsidR="00BE356B" w:rsidRDefault="00BE356B" w:rsidP="00BE356B">
      <w:pPr>
        <w:pStyle w:val="Heading2"/>
      </w:pPr>
      <w:r>
        <w:t>Paragraph 1(h)</w:t>
      </w:r>
    </w:p>
    <w:p w14:paraId="1E31D980" w14:textId="4F821E1C" w:rsidR="00BE356B" w:rsidRDefault="00BE356B" w:rsidP="00BE356B">
      <w:pPr>
        <w:pStyle w:val="ParaNumbering"/>
      </w:pPr>
      <w:r>
        <w:t>This is as follows:</w:t>
      </w:r>
    </w:p>
    <w:p w14:paraId="4DC9F7EE" w14:textId="19F4CB75" w:rsidR="000131F2" w:rsidRDefault="000131F2" w:rsidP="000131F2">
      <w:pPr>
        <w:pStyle w:val="Quote1"/>
        <w:ind w:left="1440" w:hanging="703"/>
      </w:pPr>
      <w:r>
        <w:t>1</w:t>
      </w:r>
      <w:r w:rsidR="00901B47">
        <w:t xml:space="preserve">.  </w:t>
      </w:r>
      <w:r>
        <w:tab/>
      </w:r>
      <w:r w:rsidRPr="000131F2">
        <w:t>You are summoned to produce to the Copyright Tribunal of Australia by 4:00pm on 31 April 2022, the following document or articles (in electronic form if available):</w:t>
      </w:r>
    </w:p>
    <w:p w14:paraId="503C6870" w14:textId="4CC7ABAB" w:rsidR="000131F2" w:rsidRDefault="000131F2" w:rsidP="000131F2">
      <w:pPr>
        <w:pStyle w:val="Quote1"/>
        <w:ind w:left="1440" w:hanging="703"/>
      </w:pPr>
      <w:r>
        <w:tab/>
        <w:t>…</w:t>
      </w:r>
    </w:p>
    <w:p w14:paraId="05177460" w14:textId="0C7D7C4E" w:rsidR="000131F2" w:rsidRPr="007B167E" w:rsidRDefault="000131F2" w:rsidP="007B167E">
      <w:pPr>
        <w:pStyle w:val="Quote2"/>
        <w:ind w:left="2160" w:hanging="720"/>
        <w:rPr>
          <w:color w:val="000000"/>
          <w:lang w:eastAsia="en-AU"/>
        </w:rPr>
      </w:pPr>
      <w:r>
        <w:rPr>
          <w:color w:val="000000"/>
          <w:lang w:eastAsia="en-AU"/>
        </w:rPr>
        <w:t xml:space="preserve">(h) </w:t>
      </w:r>
      <w:r>
        <w:rPr>
          <w:color w:val="000000"/>
          <w:lang w:eastAsia="en-AU"/>
        </w:rPr>
        <w:tab/>
        <w:t xml:space="preserve">Any documents </w:t>
      </w:r>
      <w:r>
        <w:rPr>
          <w:lang w:eastAsia="en-AU"/>
        </w:rPr>
        <w:t xml:space="preserve">authored or created by, for, or on behalf of, senior management or executives of Stan, or board papers or minutes </w:t>
      </w:r>
      <w:r>
        <w:rPr>
          <w:color w:val="000000"/>
          <w:lang w:eastAsia="en-AU"/>
        </w:rPr>
        <w:t xml:space="preserve">recording or evidencing </w:t>
      </w:r>
      <w:r>
        <w:rPr>
          <w:lang w:eastAsia="en-AU"/>
        </w:rPr>
        <w:t xml:space="preserve">Stan’s </w:t>
      </w:r>
      <w:r>
        <w:rPr>
          <w:color w:val="000000"/>
          <w:lang w:eastAsia="en-AU"/>
        </w:rPr>
        <w:t>consideration of</w:t>
      </w:r>
      <w:r>
        <w:rPr>
          <w:lang w:eastAsia="en-AU"/>
        </w:rPr>
        <w:t xml:space="preserve">, and/or reasons for agreeing to or resisting the licence fee of 2.0% payable to APRA AMCOS for the </w:t>
      </w:r>
      <w:r>
        <w:rPr>
          <w:color w:val="000000"/>
          <w:lang w:eastAsia="en-AU"/>
        </w:rPr>
        <w:t>communication and reproduction of musical works on the Service in the period 6-months prior</w:t>
      </w:r>
      <w:r>
        <w:rPr>
          <w:lang w:eastAsia="en-AU"/>
        </w:rPr>
        <w:t xml:space="preserve"> </w:t>
      </w:r>
      <w:r>
        <w:rPr>
          <w:color w:val="000000"/>
          <w:lang w:eastAsia="en-AU"/>
        </w:rPr>
        <w:t xml:space="preserve">to the entering into </w:t>
      </w:r>
      <w:r>
        <w:rPr>
          <w:lang w:eastAsia="en-AU"/>
        </w:rPr>
        <w:t xml:space="preserve">of the </w:t>
      </w:r>
      <w:r>
        <w:rPr>
          <w:color w:val="000000"/>
          <w:lang w:eastAsia="en-AU"/>
        </w:rPr>
        <w:t xml:space="preserve">licence with APRA AMCOS </w:t>
      </w:r>
      <w:r>
        <w:rPr>
          <w:lang w:eastAsia="en-AU"/>
        </w:rPr>
        <w:t>dated 9 September 2015</w:t>
      </w:r>
      <w:r>
        <w:rPr>
          <w:color w:val="000000"/>
          <w:lang w:eastAsia="en-AU"/>
        </w:rPr>
        <w:t>.</w:t>
      </w:r>
    </w:p>
    <w:p w14:paraId="1DB00206" w14:textId="0446E6BC" w:rsidR="00BE356B" w:rsidRDefault="00BE356B" w:rsidP="000131F2">
      <w:pPr>
        <w:pStyle w:val="ParaNumbering"/>
      </w:pPr>
      <w:r>
        <w:t>The objections are breadth, oppression and relevance</w:t>
      </w:r>
      <w:r w:rsidR="00901B47">
        <w:t xml:space="preserve">.  </w:t>
      </w:r>
      <w:r>
        <w:t>I reject each.</w:t>
      </w:r>
    </w:p>
    <w:p w14:paraId="044A6E55" w14:textId="77777777" w:rsidR="00BE356B" w:rsidRDefault="00BE356B" w:rsidP="00BE356B">
      <w:pPr>
        <w:pStyle w:val="Heading1"/>
      </w:pPr>
      <w:r>
        <w:t>Disney</w:t>
      </w:r>
    </w:p>
    <w:p w14:paraId="367777AA" w14:textId="31D88379" w:rsidR="00BE356B" w:rsidRDefault="00BE356B" w:rsidP="00BE356B">
      <w:pPr>
        <w:pStyle w:val="ParaNumbering"/>
      </w:pPr>
      <w:r>
        <w:t xml:space="preserve">Disney objects to </w:t>
      </w:r>
      <w:r w:rsidR="0046797F">
        <w:t>n</w:t>
      </w:r>
      <w:r>
        <w:t>ote</w:t>
      </w:r>
      <w:r w:rsidR="0046797F">
        <w:t>s</w:t>
      </w:r>
      <w:r>
        <w:t xml:space="preserve"> (a)</w:t>
      </w:r>
      <w:r w:rsidR="0046797F">
        <w:t xml:space="preserve"> and</w:t>
      </w:r>
      <w:r>
        <w:t xml:space="preserve"> (b) and paragraphs 1(b), 1(c), 1(h), 1(</w:t>
      </w:r>
      <w:proofErr w:type="spellStart"/>
      <w:r>
        <w:t>i</w:t>
      </w:r>
      <w:proofErr w:type="spellEnd"/>
      <w:r>
        <w:t>) and 2.</w:t>
      </w:r>
    </w:p>
    <w:p w14:paraId="203684DC" w14:textId="3B0FF29C" w:rsidR="00BE356B" w:rsidRDefault="00BE356B" w:rsidP="00BE356B">
      <w:pPr>
        <w:pStyle w:val="Heading2"/>
      </w:pPr>
      <w:r>
        <w:t>Note</w:t>
      </w:r>
      <w:r w:rsidR="00EF2F78">
        <w:t xml:space="preserve"> </w:t>
      </w:r>
      <w:r>
        <w:t>(a)</w:t>
      </w:r>
    </w:p>
    <w:p w14:paraId="6693A610" w14:textId="77777777" w:rsidR="00BE356B" w:rsidRDefault="00BE356B" w:rsidP="00BE356B">
      <w:pPr>
        <w:pStyle w:val="ParaNumbering"/>
      </w:pPr>
      <w:r>
        <w:t>This is as follows:</w:t>
      </w:r>
    </w:p>
    <w:p w14:paraId="1024377D" w14:textId="1D15215B" w:rsidR="007B167E" w:rsidRPr="007B167E" w:rsidRDefault="007B167E" w:rsidP="007B167E">
      <w:pPr>
        <w:pStyle w:val="Quote1"/>
        <w:ind w:left="1440" w:hanging="703"/>
        <w:rPr>
          <w:sz w:val="24"/>
        </w:rPr>
      </w:pPr>
      <w:r>
        <w:rPr>
          <w:lang w:eastAsia="en-AU"/>
        </w:rPr>
        <w:t xml:space="preserve">(a) </w:t>
      </w:r>
      <w:r>
        <w:rPr>
          <w:lang w:eastAsia="en-AU"/>
        </w:rPr>
        <w:tab/>
        <w:t>A reference to Disney includes a reference to any of its related bodies corporate.</w:t>
      </w:r>
    </w:p>
    <w:p w14:paraId="1DFFD23B" w14:textId="1F44629D" w:rsidR="00BE356B" w:rsidRDefault="004446FA" w:rsidP="00BE356B">
      <w:pPr>
        <w:pStyle w:val="ParaNumbering"/>
      </w:pPr>
      <w:r>
        <w:t xml:space="preserve">As in the case of Paramount+, this definition services no purpose outside the context of the </w:t>
      </w:r>
      <w:r>
        <w:rPr>
          <w:i/>
        </w:rPr>
        <w:t xml:space="preserve">Sabre </w:t>
      </w:r>
      <w:r>
        <w:t>order</w:t>
      </w:r>
      <w:r w:rsidR="00BE356B">
        <w:t>.</w:t>
      </w:r>
      <w:r>
        <w:t xml:space="preserve"> It will be excised.</w:t>
      </w:r>
    </w:p>
    <w:p w14:paraId="7A30EAA3" w14:textId="77777777" w:rsidR="00BE356B" w:rsidRDefault="00BE356B" w:rsidP="00BE356B">
      <w:pPr>
        <w:pStyle w:val="Heading2"/>
      </w:pPr>
      <w:r>
        <w:t>Note (b)</w:t>
      </w:r>
    </w:p>
    <w:p w14:paraId="41A65AD0" w14:textId="77777777" w:rsidR="00BE356B" w:rsidRDefault="00BE356B" w:rsidP="00BE356B">
      <w:pPr>
        <w:pStyle w:val="ParaNumbering"/>
      </w:pPr>
      <w:r>
        <w:t>This is as follows:</w:t>
      </w:r>
    </w:p>
    <w:p w14:paraId="0FCB1A98" w14:textId="43B62240" w:rsidR="007B167E" w:rsidRPr="007B167E" w:rsidRDefault="007B167E" w:rsidP="007B167E">
      <w:pPr>
        <w:pStyle w:val="Quote1"/>
        <w:ind w:left="1440" w:hanging="703"/>
        <w:rPr>
          <w:sz w:val="24"/>
        </w:rPr>
      </w:pPr>
      <w:r>
        <w:rPr>
          <w:lang w:eastAsia="en-AU"/>
        </w:rPr>
        <w:t xml:space="preserve">(b) </w:t>
      </w:r>
      <w:r>
        <w:rPr>
          <w:lang w:eastAsia="en-AU"/>
        </w:rPr>
        <w:tab/>
        <w:t>Service means the subscription video on demand service called “Disney+”.</w:t>
      </w:r>
    </w:p>
    <w:p w14:paraId="03F546F5" w14:textId="1D5C070A" w:rsidR="00BE356B" w:rsidRDefault="00BE356B" w:rsidP="00BE356B">
      <w:pPr>
        <w:pStyle w:val="ParaNumbering"/>
      </w:pPr>
      <w:r>
        <w:t>The objection is that this definition extends the service to its provision in every country where the service is provided</w:t>
      </w:r>
      <w:r w:rsidR="00901B47">
        <w:t xml:space="preserve">.  </w:t>
      </w:r>
      <w:r>
        <w:t>APRA</w:t>
      </w:r>
      <w:r w:rsidR="007B167E">
        <w:t xml:space="preserve"> </w:t>
      </w:r>
      <w:r>
        <w:t>AMCOS confirms that this was its intent</w:t>
      </w:r>
      <w:r w:rsidR="00901B47">
        <w:t xml:space="preserve">.  </w:t>
      </w:r>
      <w:r>
        <w:t>The word ‘Service’ appears in 1(a), 1(b) and 1(f) in terms which make clear that the service being discussed is the service in Australia</w:t>
      </w:r>
      <w:r w:rsidR="00901B47">
        <w:t xml:space="preserve">.  </w:t>
      </w:r>
      <w:r>
        <w:t xml:space="preserve">It is referred to in paragraph 1(c) which also make clear that it is the cost </w:t>
      </w:r>
      <w:r>
        <w:lastRenderedPageBreak/>
        <w:t>of providing the Service everywhere that is being examined so that allocation to Australia can be determined</w:t>
      </w:r>
      <w:r w:rsidR="00901B47">
        <w:t xml:space="preserve">.  </w:t>
      </w:r>
      <w:r>
        <w:t xml:space="preserve">I see no problem with </w:t>
      </w:r>
      <w:r w:rsidR="00A54D27">
        <w:t>n</w:t>
      </w:r>
      <w:r>
        <w:t>ote (b) in that context</w:t>
      </w:r>
      <w:r w:rsidR="00901B47">
        <w:t xml:space="preserve">.  </w:t>
      </w:r>
      <w:r>
        <w:t>It is also referred to in paragraph 1(e) where the context makes plain that it is the Australian service which is being discussed</w:t>
      </w:r>
      <w:r w:rsidR="00901B47">
        <w:t xml:space="preserve">.  </w:t>
      </w:r>
      <w:r>
        <w:t>Paragraph 1(h) is as follows:</w:t>
      </w:r>
    </w:p>
    <w:p w14:paraId="1D0657F3" w14:textId="61DC6FF3" w:rsidR="007B167E" w:rsidRDefault="007B167E" w:rsidP="007B167E">
      <w:pPr>
        <w:pStyle w:val="Quote1"/>
        <w:ind w:left="1440" w:hanging="703"/>
      </w:pPr>
      <w:r>
        <w:t>1</w:t>
      </w:r>
      <w:r w:rsidR="00901B47">
        <w:t xml:space="preserve">.  </w:t>
      </w:r>
      <w:r>
        <w:tab/>
      </w:r>
      <w:r w:rsidRPr="000131F2">
        <w:t>You are summoned to produce to the Copyright Tribunal of Australia by 4:00pm on 31 April 2022, the following document or articles (in electronic form if available):</w:t>
      </w:r>
    </w:p>
    <w:p w14:paraId="307DCEEA" w14:textId="5DEF3F6E" w:rsidR="007B167E" w:rsidRPr="009B657F" w:rsidRDefault="007B167E" w:rsidP="007B167E">
      <w:pPr>
        <w:pStyle w:val="ParaNumbering"/>
        <w:numPr>
          <w:ilvl w:val="0"/>
          <w:numId w:val="0"/>
        </w:numPr>
      </w:pPr>
      <w:r w:rsidRPr="009B657F">
        <w:tab/>
      </w:r>
      <w:r w:rsidRPr="009B657F">
        <w:tab/>
        <w:t>…</w:t>
      </w:r>
    </w:p>
    <w:p w14:paraId="6259C894" w14:textId="7A085A81" w:rsidR="007B167E" w:rsidRPr="00C4488A" w:rsidRDefault="007B167E" w:rsidP="00C4488A">
      <w:pPr>
        <w:pStyle w:val="Quote2"/>
        <w:ind w:left="2160" w:hanging="720"/>
        <w:rPr>
          <w:color w:val="000000"/>
          <w:lang w:eastAsia="en-AU"/>
        </w:rPr>
      </w:pPr>
      <w:r>
        <w:rPr>
          <w:color w:val="000000"/>
          <w:lang w:eastAsia="en-AU"/>
        </w:rPr>
        <w:t xml:space="preserve">(h) </w:t>
      </w:r>
      <w:r>
        <w:rPr>
          <w:color w:val="000000"/>
          <w:lang w:eastAsia="en-AU"/>
        </w:rPr>
        <w:tab/>
        <w:t xml:space="preserve">Any documents </w:t>
      </w:r>
      <w:r>
        <w:rPr>
          <w:lang w:eastAsia="en-AU"/>
        </w:rPr>
        <w:t>authored or created by, for, or on behalf of, senior management or executives of Disney</w:t>
      </w:r>
      <w:r>
        <w:rPr>
          <w:color w:val="000000"/>
          <w:lang w:eastAsia="en-AU"/>
        </w:rPr>
        <w:t xml:space="preserve">, </w:t>
      </w:r>
      <w:r>
        <w:rPr>
          <w:lang w:eastAsia="en-AU"/>
        </w:rPr>
        <w:t xml:space="preserve">or board papers or minutes, </w:t>
      </w:r>
      <w:r>
        <w:rPr>
          <w:color w:val="000000"/>
          <w:lang w:eastAsia="en-AU"/>
        </w:rPr>
        <w:t xml:space="preserve">recording or evidencing </w:t>
      </w:r>
      <w:r>
        <w:rPr>
          <w:lang w:eastAsia="en-AU"/>
        </w:rPr>
        <w:t xml:space="preserve">Disney’s </w:t>
      </w:r>
      <w:r>
        <w:rPr>
          <w:color w:val="000000"/>
          <w:lang w:eastAsia="en-AU"/>
        </w:rPr>
        <w:t>consideration of</w:t>
      </w:r>
      <w:r>
        <w:rPr>
          <w:lang w:eastAsia="en-AU"/>
        </w:rPr>
        <w:t xml:space="preserve">, and/or reasons for agreeing to or resisting </w:t>
      </w:r>
      <w:r>
        <w:rPr>
          <w:color w:val="000000"/>
          <w:lang w:eastAsia="en-AU"/>
        </w:rPr>
        <w:t xml:space="preserve">the licence fee payable </w:t>
      </w:r>
      <w:r>
        <w:rPr>
          <w:lang w:eastAsia="en-AU"/>
        </w:rPr>
        <w:t xml:space="preserve">to APRA AMCOS </w:t>
      </w:r>
      <w:r>
        <w:rPr>
          <w:color w:val="000000"/>
          <w:lang w:eastAsia="en-AU"/>
        </w:rPr>
        <w:t>for the communication and reproduction of musical works on the Service in the period 6-months prior</w:t>
      </w:r>
      <w:r w:rsidR="00C4488A">
        <w:rPr>
          <w:lang w:eastAsia="en-AU"/>
        </w:rPr>
        <w:t xml:space="preserve"> </w:t>
      </w:r>
      <w:r>
        <w:rPr>
          <w:color w:val="000000"/>
          <w:lang w:eastAsia="en-AU"/>
        </w:rPr>
        <w:t>to the entering into of any licence with APRA AMCOS.</w:t>
      </w:r>
    </w:p>
    <w:p w14:paraId="3C21F794" w14:textId="01EDAC53" w:rsidR="00BE356B" w:rsidRDefault="00BE356B" w:rsidP="007B167E">
      <w:pPr>
        <w:pStyle w:val="ParaNumbering"/>
      </w:pPr>
      <w:r>
        <w:t>Although it would be deliberately obtuse to read this as applying to anything but the Australian service I accept that it can be read that way</w:t>
      </w:r>
      <w:r w:rsidR="00901B47">
        <w:t xml:space="preserve">.  </w:t>
      </w:r>
      <w:r>
        <w:t xml:space="preserve">The definition in </w:t>
      </w:r>
      <w:r w:rsidR="00A54D27">
        <w:t>n</w:t>
      </w:r>
      <w:r>
        <w:t>ote (b) will remain but paragraph 1(h) will be amended to make the obvious clear.</w:t>
      </w:r>
    </w:p>
    <w:p w14:paraId="7E23CFCA" w14:textId="77777777" w:rsidR="00BE356B" w:rsidRDefault="00BE356B" w:rsidP="00BE356B">
      <w:pPr>
        <w:pStyle w:val="Heading2"/>
      </w:pPr>
      <w:r>
        <w:t>Paragraph 1(b)</w:t>
      </w:r>
    </w:p>
    <w:p w14:paraId="3EE76F38" w14:textId="44862409" w:rsidR="00BE356B" w:rsidRDefault="00BE356B" w:rsidP="00BE356B">
      <w:pPr>
        <w:pStyle w:val="ParaNumbering"/>
      </w:pPr>
      <w:r>
        <w:t>This is as follows:</w:t>
      </w:r>
    </w:p>
    <w:p w14:paraId="69214742" w14:textId="55EC5E20" w:rsidR="00C4488A" w:rsidRDefault="00C4488A" w:rsidP="00C4488A">
      <w:pPr>
        <w:pStyle w:val="Quote1"/>
        <w:ind w:left="1440" w:hanging="703"/>
      </w:pPr>
      <w:r w:rsidRPr="00C4488A">
        <w:t>1</w:t>
      </w:r>
      <w:r w:rsidR="00901B47">
        <w:t xml:space="preserve">.  </w:t>
      </w:r>
      <w:r>
        <w:tab/>
      </w:r>
      <w:r w:rsidRPr="000131F2">
        <w:t>You are summoned to produce to the Copyright Tribunal of Australia by 4:00pm on 31 April 2022, the following document or articles (in electronic form if available):</w:t>
      </w:r>
    </w:p>
    <w:p w14:paraId="76E4D8CF" w14:textId="23ACD74E" w:rsidR="00C4488A" w:rsidRDefault="00C4488A" w:rsidP="00C4488A">
      <w:pPr>
        <w:pStyle w:val="Quote1"/>
        <w:ind w:firstLine="703"/>
      </w:pPr>
      <w:r>
        <w:t>…</w:t>
      </w:r>
    </w:p>
    <w:p w14:paraId="59ACB103" w14:textId="0F67DE3B" w:rsidR="00C4488A" w:rsidRPr="00C4488A" w:rsidRDefault="00C4488A" w:rsidP="00C4488A">
      <w:pPr>
        <w:pStyle w:val="Quote2"/>
        <w:ind w:left="2160" w:hanging="720"/>
        <w:rPr>
          <w:lang w:eastAsia="en-AU"/>
        </w:rPr>
      </w:pPr>
      <w:r>
        <w:rPr>
          <w:lang w:eastAsia="en-AU"/>
        </w:rPr>
        <w:t xml:space="preserve">(b) </w:t>
      </w:r>
      <w:r>
        <w:rPr>
          <w:lang w:eastAsia="en-AU"/>
        </w:rPr>
        <w:tab/>
        <w:t>For the period 2019 to date, one or more documents evidencing the total revenue for each Quarter generated directly or indirectly by operation of the Service in Australia.</w:t>
      </w:r>
    </w:p>
    <w:p w14:paraId="2B27040F" w14:textId="2C00E360" w:rsidR="00BE356B" w:rsidRDefault="00BE356B" w:rsidP="00C4488A">
      <w:pPr>
        <w:pStyle w:val="ParaNumbering"/>
      </w:pPr>
      <w:r>
        <w:t xml:space="preserve">This will be limited in the same way as paragraph 1(b) for </w:t>
      </w:r>
      <w:r w:rsidR="00C4488A">
        <w:t xml:space="preserve">Paramount+ </w:t>
      </w:r>
      <w:r>
        <w:t>has been limited</w:t>
      </w:r>
      <w:r w:rsidR="00901B47">
        <w:t xml:space="preserve">.  </w:t>
      </w:r>
      <w:r>
        <w:t>I reject the vagueness and oppression challenges.</w:t>
      </w:r>
    </w:p>
    <w:p w14:paraId="12D370F8" w14:textId="77777777" w:rsidR="00BE356B" w:rsidRDefault="00BE356B" w:rsidP="00BE356B">
      <w:pPr>
        <w:pStyle w:val="Heading2"/>
      </w:pPr>
      <w:r>
        <w:t>Paragraph 1(c)</w:t>
      </w:r>
    </w:p>
    <w:p w14:paraId="54A19270" w14:textId="01F4F7D3" w:rsidR="00BE356B" w:rsidRDefault="00BE356B" w:rsidP="00BE356B">
      <w:pPr>
        <w:pStyle w:val="ParaNumbering"/>
      </w:pPr>
      <w:r>
        <w:t>This is as follows:</w:t>
      </w:r>
    </w:p>
    <w:p w14:paraId="4241D289" w14:textId="0C41D311" w:rsidR="00C4488A" w:rsidRDefault="00C4488A" w:rsidP="00C4488A">
      <w:pPr>
        <w:pStyle w:val="Quote1"/>
        <w:ind w:left="1440" w:hanging="703"/>
      </w:pPr>
      <w:r w:rsidRPr="00C4488A">
        <w:t>1</w:t>
      </w:r>
      <w:r w:rsidR="00901B47">
        <w:t xml:space="preserve">.  </w:t>
      </w:r>
      <w:r>
        <w:tab/>
      </w:r>
      <w:r w:rsidRPr="000131F2">
        <w:t>You are summoned to produce to the Copyright Tribunal of Australia by 4:00pm on 31 April 2022, the following document or articles (in electronic form if available):</w:t>
      </w:r>
    </w:p>
    <w:p w14:paraId="59F01B6F" w14:textId="275C5FFB" w:rsidR="00C4488A" w:rsidRDefault="00C4488A" w:rsidP="00C4488A">
      <w:pPr>
        <w:pStyle w:val="Quote1"/>
        <w:ind w:left="1440" w:hanging="703"/>
      </w:pPr>
      <w:r>
        <w:tab/>
        <w:t>…</w:t>
      </w:r>
    </w:p>
    <w:p w14:paraId="557BC34E" w14:textId="19CC34A9" w:rsidR="00BE356B" w:rsidRDefault="00C4488A" w:rsidP="00C4488A">
      <w:pPr>
        <w:pStyle w:val="Quote2"/>
        <w:ind w:left="2160" w:hanging="720"/>
      </w:pPr>
      <w:r>
        <w:t xml:space="preserve">(c) </w:t>
      </w:r>
      <w:r>
        <w:tab/>
      </w:r>
      <w:r w:rsidRPr="00C4488A">
        <w:t xml:space="preserve">For the period 2019 to date, one or more documents, recording the </w:t>
      </w:r>
      <w:r w:rsidRPr="00C4488A">
        <w:lastRenderedPageBreak/>
        <w:t>total costs, and the total costs under the following items, incurred in relation to</w:t>
      </w:r>
      <w:r>
        <w:t xml:space="preserve"> </w:t>
      </w:r>
      <w:r w:rsidRPr="00C4488A">
        <w:t xml:space="preserve">conducting </w:t>
      </w:r>
      <w:r w:rsidR="007A78C8">
        <w:t>the Service</w:t>
      </w:r>
      <w:r w:rsidRPr="00C4488A">
        <w:t xml:space="preserve"> in Australia</w:t>
      </w:r>
      <w:r>
        <w:t xml:space="preserve"> </w:t>
      </w:r>
      <w:r w:rsidRPr="00C4488A">
        <w:t>(wherever those costs are incurred) for each Quarter, or if unavailable on a quarterly</w:t>
      </w:r>
      <w:r>
        <w:t xml:space="preserve"> </w:t>
      </w:r>
      <w:r w:rsidRPr="00C4488A">
        <w:t>basis, for each financial year:</w:t>
      </w:r>
    </w:p>
    <w:p w14:paraId="61D97796" w14:textId="60901AD8" w:rsidR="00C4488A" w:rsidRDefault="00C4488A" w:rsidP="00C4488A">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Pr>
          <w:lang w:eastAsia="en-AU"/>
        </w:rPr>
        <w:tab/>
      </w:r>
      <w:proofErr w:type="gramStart"/>
      <w:r>
        <w:rPr>
          <w:lang w:eastAsia="en-AU"/>
        </w:rPr>
        <w:t>content</w:t>
      </w:r>
      <w:proofErr w:type="gramEnd"/>
      <w:r>
        <w:rPr>
          <w:lang w:eastAsia="en-AU"/>
        </w:rPr>
        <w:t xml:space="preserve"> costs (broken down by acquisition and commissioned spend);</w:t>
      </w:r>
    </w:p>
    <w:p w14:paraId="2C6F5864" w14:textId="05C6CD9A" w:rsidR="00C4488A" w:rsidRDefault="00C4488A" w:rsidP="00C4488A">
      <w:pPr>
        <w:pStyle w:val="Quote3"/>
        <w:ind w:left="2880" w:hanging="720"/>
        <w:rPr>
          <w:lang w:eastAsia="en-AU"/>
        </w:rPr>
      </w:pPr>
      <w:r>
        <w:rPr>
          <w:lang w:eastAsia="en-AU"/>
        </w:rPr>
        <w:t xml:space="preserve">(ii) </w:t>
      </w:r>
      <w:r>
        <w:rPr>
          <w:lang w:eastAsia="en-AU"/>
        </w:rPr>
        <w:tab/>
      </w:r>
      <w:proofErr w:type="gramStart"/>
      <w:r>
        <w:rPr>
          <w:lang w:eastAsia="en-AU"/>
        </w:rPr>
        <w:t>music</w:t>
      </w:r>
      <w:proofErr w:type="gramEnd"/>
      <w:r>
        <w:rPr>
          <w:lang w:eastAsia="en-AU"/>
        </w:rPr>
        <w:t xml:space="preserve"> costs;</w:t>
      </w:r>
    </w:p>
    <w:p w14:paraId="1C19896A" w14:textId="59347E31" w:rsidR="00906427" w:rsidRDefault="00C4488A" w:rsidP="00906427">
      <w:pPr>
        <w:pStyle w:val="Quote3"/>
        <w:ind w:left="2880" w:hanging="720"/>
        <w:rPr>
          <w:lang w:eastAsia="en-AU"/>
        </w:rPr>
      </w:pPr>
      <w:r>
        <w:rPr>
          <w:lang w:eastAsia="en-AU"/>
        </w:rPr>
        <w:t>(</w:t>
      </w:r>
      <w:proofErr w:type="gramStart"/>
      <w:r>
        <w:rPr>
          <w:lang w:eastAsia="en-AU"/>
        </w:rPr>
        <w:t>iii</w:t>
      </w:r>
      <w:proofErr w:type="gramEnd"/>
      <w:r>
        <w:rPr>
          <w:lang w:eastAsia="en-AU"/>
        </w:rPr>
        <w:t xml:space="preserve">) </w:t>
      </w:r>
      <w:r>
        <w:rPr>
          <w:lang w:eastAsia="en-AU"/>
        </w:rPr>
        <w:tab/>
        <w:t>variable costs (</w:t>
      </w:r>
      <w:proofErr w:type="spellStart"/>
      <w:r>
        <w:rPr>
          <w:lang w:eastAsia="en-AU"/>
        </w:rPr>
        <w:t>eg</w:t>
      </w:r>
      <w:proofErr w:type="spellEnd"/>
      <w:r w:rsidR="00901B47">
        <w:rPr>
          <w:lang w:eastAsia="en-AU"/>
        </w:rPr>
        <w:t xml:space="preserve">.  </w:t>
      </w:r>
      <w:proofErr w:type="gramStart"/>
      <w:r>
        <w:rPr>
          <w:lang w:eastAsia="en-AU"/>
        </w:rPr>
        <w:t>delivery</w:t>
      </w:r>
      <w:proofErr w:type="gramEnd"/>
      <w:r>
        <w:rPr>
          <w:lang w:eastAsia="en-AU"/>
        </w:rPr>
        <w:t xml:space="preserve"> and billing); and</w:t>
      </w:r>
    </w:p>
    <w:p w14:paraId="79FF2803" w14:textId="3F42F1A3" w:rsidR="00906427" w:rsidRDefault="00C4488A" w:rsidP="00906427">
      <w:pPr>
        <w:pStyle w:val="Quote3"/>
        <w:ind w:left="2880" w:hanging="720"/>
        <w:rPr>
          <w:lang w:eastAsia="en-AU"/>
        </w:rPr>
      </w:pPr>
      <w:r>
        <w:rPr>
          <w:lang w:eastAsia="en-AU"/>
        </w:rPr>
        <w:t xml:space="preserve">(iv) </w:t>
      </w:r>
      <w:r>
        <w:rPr>
          <w:lang w:eastAsia="en-AU"/>
        </w:rPr>
        <w:tab/>
      </w:r>
      <w:proofErr w:type="gramStart"/>
      <w:r>
        <w:rPr>
          <w:lang w:eastAsia="en-AU"/>
        </w:rPr>
        <w:t>fixed</w:t>
      </w:r>
      <w:proofErr w:type="gramEnd"/>
      <w:r>
        <w:rPr>
          <w:lang w:eastAsia="en-AU"/>
        </w:rPr>
        <w:t xml:space="preserve"> costs (</w:t>
      </w:r>
      <w:proofErr w:type="spellStart"/>
      <w:r>
        <w:rPr>
          <w:lang w:eastAsia="en-AU"/>
        </w:rPr>
        <w:t>eg</w:t>
      </w:r>
      <w:proofErr w:type="spellEnd"/>
      <w:r w:rsidR="00901B47">
        <w:rPr>
          <w:lang w:eastAsia="en-AU"/>
        </w:rPr>
        <w:t xml:space="preserve">.  </w:t>
      </w:r>
      <w:proofErr w:type="gramStart"/>
      <w:r>
        <w:rPr>
          <w:lang w:eastAsia="en-AU"/>
        </w:rPr>
        <w:t>distribution</w:t>
      </w:r>
      <w:proofErr w:type="gramEnd"/>
      <w:r>
        <w:rPr>
          <w:lang w:eastAsia="en-AU"/>
        </w:rPr>
        <w:t xml:space="preserve"> costs, marketing, technology, staff, overhead).</w:t>
      </w:r>
    </w:p>
    <w:p w14:paraId="08006167" w14:textId="6C9E3042" w:rsidR="00BE356B" w:rsidRDefault="00BE356B" w:rsidP="00BE356B">
      <w:pPr>
        <w:pStyle w:val="ParaNumbering"/>
      </w:pPr>
      <w:r>
        <w:t>I reject the relevance challenge for reasons already given</w:t>
      </w:r>
      <w:r w:rsidR="00901B47">
        <w:t xml:space="preserve">.  </w:t>
      </w:r>
      <w:r>
        <w:t>I reject the clarity complaint</w:t>
      </w:r>
      <w:r w:rsidR="00901B47">
        <w:t xml:space="preserve">.  </w:t>
      </w:r>
      <w:r>
        <w:t>I reject the oppression argument.</w:t>
      </w:r>
    </w:p>
    <w:p w14:paraId="11A56CA2" w14:textId="77777777" w:rsidR="00BE356B" w:rsidRDefault="00BE356B" w:rsidP="00BE356B">
      <w:pPr>
        <w:pStyle w:val="Heading2"/>
      </w:pPr>
      <w:r>
        <w:t>Paragraph 1(h)</w:t>
      </w:r>
    </w:p>
    <w:p w14:paraId="12454FE2" w14:textId="77777777" w:rsidR="00BE356B" w:rsidRDefault="00BE356B" w:rsidP="00BE356B">
      <w:pPr>
        <w:pStyle w:val="ParaNumbering"/>
      </w:pPr>
      <w:r>
        <w:t>This is as follows:</w:t>
      </w:r>
    </w:p>
    <w:p w14:paraId="64C4555F" w14:textId="382B4E1E" w:rsidR="00200A0A" w:rsidRDefault="00200A0A" w:rsidP="00200A0A">
      <w:pPr>
        <w:pStyle w:val="Quote1"/>
        <w:ind w:left="1440" w:hanging="703"/>
      </w:pPr>
      <w:r>
        <w:t>1</w:t>
      </w:r>
      <w:r w:rsidR="00901B47">
        <w:t xml:space="preserve">.  </w:t>
      </w:r>
      <w:r>
        <w:tab/>
      </w:r>
      <w:r w:rsidRPr="000131F2">
        <w:t>You are summoned to produce to the Copyright Tribunal of Australia by 4:00pm on 31 April 2022, the following document or articles (in electronic form if available):</w:t>
      </w:r>
    </w:p>
    <w:p w14:paraId="5B0C0B81" w14:textId="77777777" w:rsidR="00200A0A" w:rsidRPr="00B7595F" w:rsidRDefault="00200A0A" w:rsidP="00200A0A">
      <w:pPr>
        <w:pStyle w:val="ParaNumbering"/>
        <w:numPr>
          <w:ilvl w:val="0"/>
          <w:numId w:val="0"/>
        </w:numPr>
      </w:pPr>
      <w:r w:rsidRPr="00B7595F">
        <w:tab/>
      </w:r>
      <w:r w:rsidRPr="00B7595F">
        <w:tab/>
        <w:t>…</w:t>
      </w:r>
    </w:p>
    <w:p w14:paraId="78224693" w14:textId="77777777" w:rsidR="00200A0A" w:rsidRPr="00C4488A" w:rsidRDefault="00200A0A" w:rsidP="00200A0A">
      <w:pPr>
        <w:pStyle w:val="Quote2"/>
        <w:ind w:left="2160" w:hanging="720"/>
        <w:rPr>
          <w:color w:val="000000"/>
          <w:lang w:eastAsia="en-AU"/>
        </w:rPr>
      </w:pPr>
      <w:r>
        <w:rPr>
          <w:color w:val="000000"/>
          <w:lang w:eastAsia="en-AU"/>
        </w:rPr>
        <w:t xml:space="preserve">(h) </w:t>
      </w:r>
      <w:r>
        <w:rPr>
          <w:color w:val="000000"/>
          <w:lang w:eastAsia="en-AU"/>
        </w:rPr>
        <w:tab/>
        <w:t xml:space="preserve">Any documents </w:t>
      </w:r>
      <w:r>
        <w:rPr>
          <w:lang w:eastAsia="en-AU"/>
        </w:rPr>
        <w:t>authored or created by, for, or on behalf of, senior management or executives of Disney</w:t>
      </w:r>
      <w:r>
        <w:rPr>
          <w:color w:val="000000"/>
          <w:lang w:eastAsia="en-AU"/>
        </w:rPr>
        <w:t xml:space="preserve">, </w:t>
      </w:r>
      <w:r>
        <w:rPr>
          <w:lang w:eastAsia="en-AU"/>
        </w:rPr>
        <w:t xml:space="preserve">or board papers or minutes, </w:t>
      </w:r>
      <w:r>
        <w:rPr>
          <w:color w:val="000000"/>
          <w:lang w:eastAsia="en-AU"/>
        </w:rPr>
        <w:t xml:space="preserve">recording or evidencing </w:t>
      </w:r>
      <w:r>
        <w:rPr>
          <w:lang w:eastAsia="en-AU"/>
        </w:rPr>
        <w:t xml:space="preserve">Disney’s </w:t>
      </w:r>
      <w:r>
        <w:rPr>
          <w:color w:val="000000"/>
          <w:lang w:eastAsia="en-AU"/>
        </w:rPr>
        <w:t>consideration of</w:t>
      </w:r>
      <w:r>
        <w:rPr>
          <w:lang w:eastAsia="en-AU"/>
        </w:rPr>
        <w:t xml:space="preserve">, and/or reasons for agreeing to or resisting </w:t>
      </w:r>
      <w:r>
        <w:rPr>
          <w:color w:val="000000"/>
          <w:lang w:eastAsia="en-AU"/>
        </w:rPr>
        <w:t xml:space="preserve">the licence fee payable </w:t>
      </w:r>
      <w:r>
        <w:rPr>
          <w:lang w:eastAsia="en-AU"/>
        </w:rPr>
        <w:t xml:space="preserve">to APRA AMCOS </w:t>
      </w:r>
      <w:r>
        <w:rPr>
          <w:color w:val="000000"/>
          <w:lang w:eastAsia="en-AU"/>
        </w:rPr>
        <w:t>for the communication and reproduction of musical works on the Service in the period 6-months prior</w:t>
      </w:r>
      <w:r>
        <w:rPr>
          <w:lang w:eastAsia="en-AU"/>
        </w:rPr>
        <w:t xml:space="preserve"> </w:t>
      </w:r>
      <w:r>
        <w:rPr>
          <w:color w:val="000000"/>
          <w:lang w:eastAsia="en-AU"/>
        </w:rPr>
        <w:t>to the entering into of any licence with APRA AMCOS.</w:t>
      </w:r>
    </w:p>
    <w:p w14:paraId="57BF458B" w14:textId="22C1A90E" w:rsidR="00BE356B" w:rsidRDefault="00BE356B" w:rsidP="00BE356B">
      <w:pPr>
        <w:pStyle w:val="ParaNumbering"/>
      </w:pPr>
      <w:r>
        <w:t>I reject the relevance objection</w:t>
      </w:r>
      <w:r w:rsidR="00901B47">
        <w:t xml:space="preserve">.  </w:t>
      </w:r>
      <w:r>
        <w:t>I reject the burden argument</w:t>
      </w:r>
      <w:r w:rsidR="00901B47">
        <w:t xml:space="preserve">.  </w:t>
      </w:r>
    </w:p>
    <w:p w14:paraId="5FDBC062" w14:textId="77777777" w:rsidR="00BE356B" w:rsidRDefault="00BE356B" w:rsidP="00BE356B">
      <w:pPr>
        <w:pStyle w:val="Heading2"/>
      </w:pPr>
      <w:r>
        <w:t>Paragraph 1(</w:t>
      </w:r>
      <w:proofErr w:type="spellStart"/>
      <w:r>
        <w:t>i</w:t>
      </w:r>
      <w:proofErr w:type="spellEnd"/>
      <w:r>
        <w:t>):</w:t>
      </w:r>
    </w:p>
    <w:p w14:paraId="3C07410C" w14:textId="77777777" w:rsidR="00906427" w:rsidRDefault="00BE356B" w:rsidP="00906427">
      <w:pPr>
        <w:pStyle w:val="ParaNumbering"/>
      </w:pPr>
      <w:r>
        <w:t>This is as follows:</w:t>
      </w:r>
    </w:p>
    <w:p w14:paraId="0FD24324" w14:textId="7D49AB39" w:rsidR="00906427" w:rsidRDefault="00906427" w:rsidP="00906427">
      <w:pPr>
        <w:pStyle w:val="Quote1"/>
        <w:ind w:left="1440" w:hanging="703"/>
      </w:pPr>
      <w:r>
        <w:t>1</w:t>
      </w:r>
      <w:r w:rsidR="00901B47">
        <w:t xml:space="preserve">.  </w:t>
      </w:r>
      <w:r>
        <w:tab/>
      </w:r>
      <w:r w:rsidRPr="000131F2">
        <w:t>You are summoned to produce to the Copyright Tribunal of Australia by 4:00pm on 31 April 2022, the following document or articles (in electronic form if available):</w:t>
      </w:r>
    </w:p>
    <w:p w14:paraId="31D910F3" w14:textId="6E8024C1" w:rsidR="00906427" w:rsidRDefault="00A54D27" w:rsidP="00906427">
      <w:pPr>
        <w:pStyle w:val="Quote1"/>
        <w:ind w:left="1440" w:hanging="703"/>
      </w:pPr>
      <w:r>
        <w:tab/>
        <w:t>…</w:t>
      </w:r>
      <w:r w:rsidR="00906427">
        <w:tab/>
      </w:r>
    </w:p>
    <w:p w14:paraId="4CA40FDE" w14:textId="48003F5F" w:rsidR="00BE356B" w:rsidRDefault="00906427" w:rsidP="00906427">
      <w:pPr>
        <w:pStyle w:val="Quote2"/>
        <w:ind w:left="2160" w:hanging="720"/>
      </w:pPr>
      <w:r>
        <w:t>(</w:t>
      </w:r>
      <w:proofErr w:type="spellStart"/>
      <w:r>
        <w:t>i</w:t>
      </w:r>
      <w:proofErr w:type="spellEnd"/>
      <w:r>
        <w:t xml:space="preserve">) </w:t>
      </w:r>
      <w:r>
        <w:tab/>
        <w:t>Any documents authored or created by, for, or on behalf of, senior management or executives of Disney recording or evidencing Disney’s consideration of, and/or reasons for agreeing to or resisting the licence fee payable to a collecting society for the communication and reproduction of musical works on the Service in the period 6-months prior to the entering into of any licence with that collecting society in each of the following territories:</w:t>
      </w:r>
    </w:p>
    <w:p w14:paraId="0740684E" w14:textId="374BABF7" w:rsidR="00906427" w:rsidRDefault="00906427" w:rsidP="00906427">
      <w:pPr>
        <w:pStyle w:val="Quote3"/>
        <w:rPr>
          <w:lang w:eastAsia="en-AU"/>
        </w:rPr>
      </w:pPr>
      <w:r>
        <w:rPr>
          <w:lang w:eastAsia="en-AU"/>
        </w:rPr>
        <w:lastRenderedPageBreak/>
        <w:t>(</w:t>
      </w:r>
      <w:proofErr w:type="spellStart"/>
      <w:r>
        <w:rPr>
          <w:lang w:eastAsia="en-AU"/>
        </w:rPr>
        <w:t>i</w:t>
      </w:r>
      <w:proofErr w:type="spellEnd"/>
      <w:r>
        <w:rPr>
          <w:lang w:eastAsia="en-AU"/>
        </w:rPr>
        <w:t xml:space="preserve">) </w:t>
      </w:r>
      <w:r>
        <w:rPr>
          <w:lang w:eastAsia="en-AU"/>
        </w:rPr>
        <w:tab/>
      </w:r>
      <w:proofErr w:type="gramStart"/>
      <w:r>
        <w:rPr>
          <w:lang w:eastAsia="en-AU"/>
        </w:rPr>
        <w:t>the</w:t>
      </w:r>
      <w:proofErr w:type="gramEnd"/>
      <w:r>
        <w:rPr>
          <w:lang w:eastAsia="en-AU"/>
        </w:rPr>
        <w:t xml:space="preserve"> Czech Republic;</w:t>
      </w:r>
    </w:p>
    <w:p w14:paraId="4CEE37BA" w14:textId="2DD50803" w:rsidR="00906427" w:rsidRDefault="00906427" w:rsidP="00906427">
      <w:pPr>
        <w:pStyle w:val="Quote3"/>
        <w:rPr>
          <w:lang w:eastAsia="en-AU"/>
        </w:rPr>
      </w:pPr>
      <w:r>
        <w:rPr>
          <w:lang w:eastAsia="en-AU"/>
        </w:rPr>
        <w:t xml:space="preserve">(ii) </w:t>
      </w:r>
      <w:r>
        <w:rPr>
          <w:lang w:eastAsia="en-AU"/>
        </w:rPr>
        <w:tab/>
        <w:t>Finland;</w:t>
      </w:r>
    </w:p>
    <w:p w14:paraId="69DCA7AB" w14:textId="722C6805" w:rsidR="00906427" w:rsidRDefault="00906427" w:rsidP="00906427">
      <w:pPr>
        <w:pStyle w:val="Quote3"/>
        <w:rPr>
          <w:lang w:eastAsia="en-AU"/>
        </w:rPr>
      </w:pPr>
      <w:r>
        <w:rPr>
          <w:lang w:eastAsia="en-AU"/>
        </w:rPr>
        <w:t>(iii)</w:t>
      </w:r>
      <w:r>
        <w:rPr>
          <w:lang w:eastAsia="en-AU"/>
        </w:rPr>
        <w:tab/>
        <w:t>France;</w:t>
      </w:r>
    </w:p>
    <w:p w14:paraId="511947CD" w14:textId="5A54A275" w:rsidR="00906427" w:rsidRDefault="00906427" w:rsidP="00906427">
      <w:pPr>
        <w:pStyle w:val="Quote3"/>
        <w:rPr>
          <w:lang w:eastAsia="en-AU"/>
        </w:rPr>
      </w:pPr>
      <w:proofErr w:type="gramStart"/>
      <w:r>
        <w:rPr>
          <w:lang w:eastAsia="en-AU"/>
        </w:rPr>
        <w:t xml:space="preserve">(iv) </w:t>
      </w:r>
      <w:r>
        <w:rPr>
          <w:lang w:eastAsia="en-AU"/>
        </w:rPr>
        <w:tab/>
        <w:t>Germany</w:t>
      </w:r>
      <w:proofErr w:type="gramEnd"/>
      <w:r>
        <w:rPr>
          <w:lang w:eastAsia="en-AU"/>
        </w:rPr>
        <w:t>;</w:t>
      </w:r>
    </w:p>
    <w:p w14:paraId="51E466E7" w14:textId="7915176E" w:rsidR="00906427" w:rsidRDefault="00906427" w:rsidP="00906427">
      <w:pPr>
        <w:pStyle w:val="Quote3"/>
        <w:rPr>
          <w:lang w:eastAsia="en-AU"/>
        </w:rPr>
      </w:pPr>
      <w:r>
        <w:rPr>
          <w:lang w:eastAsia="en-AU"/>
        </w:rPr>
        <w:t>(v)</w:t>
      </w:r>
      <w:r>
        <w:rPr>
          <w:lang w:eastAsia="en-AU"/>
        </w:rPr>
        <w:tab/>
        <w:t>Hong Kong;</w:t>
      </w:r>
    </w:p>
    <w:p w14:paraId="424C872E" w14:textId="41A3DB27" w:rsidR="00906427" w:rsidRDefault="00906427" w:rsidP="00906427">
      <w:pPr>
        <w:pStyle w:val="Quote3"/>
        <w:rPr>
          <w:lang w:eastAsia="en-AU"/>
        </w:rPr>
      </w:pPr>
      <w:r>
        <w:rPr>
          <w:lang w:eastAsia="en-AU"/>
        </w:rPr>
        <w:t xml:space="preserve">(vi) </w:t>
      </w:r>
      <w:r>
        <w:rPr>
          <w:lang w:eastAsia="en-AU"/>
        </w:rPr>
        <w:tab/>
      </w:r>
      <w:proofErr w:type="gramStart"/>
      <w:r>
        <w:rPr>
          <w:lang w:eastAsia="en-AU"/>
        </w:rPr>
        <w:t>the</w:t>
      </w:r>
      <w:proofErr w:type="gramEnd"/>
      <w:r>
        <w:rPr>
          <w:lang w:eastAsia="en-AU"/>
        </w:rPr>
        <w:t xml:space="preserve"> United Kingdom, or any part thereof;</w:t>
      </w:r>
    </w:p>
    <w:p w14:paraId="4DB7A70D" w14:textId="72F3E8E2" w:rsidR="00906427" w:rsidRDefault="00906427" w:rsidP="00906427">
      <w:pPr>
        <w:pStyle w:val="Quote3"/>
        <w:rPr>
          <w:lang w:eastAsia="en-AU"/>
        </w:rPr>
      </w:pPr>
      <w:r>
        <w:rPr>
          <w:lang w:eastAsia="en-AU"/>
        </w:rPr>
        <w:t xml:space="preserve">(vii) </w:t>
      </w:r>
      <w:r>
        <w:rPr>
          <w:lang w:eastAsia="en-AU"/>
        </w:rPr>
        <w:tab/>
      </w:r>
      <w:proofErr w:type="gramStart"/>
      <w:r>
        <w:rPr>
          <w:lang w:eastAsia="en-AU"/>
        </w:rPr>
        <w:t>the</w:t>
      </w:r>
      <w:proofErr w:type="gramEnd"/>
      <w:r>
        <w:rPr>
          <w:lang w:eastAsia="en-AU"/>
        </w:rPr>
        <w:t xml:space="preserve"> Republic of Ireland; and</w:t>
      </w:r>
    </w:p>
    <w:p w14:paraId="49C30A1B" w14:textId="699CE2BB" w:rsidR="00906427" w:rsidRDefault="00906427" w:rsidP="00906427">
      <w:pPr>
        <w:pStyle w:val="Quote3"/>
        <w:rPr>
          <w:lang w:eastAsia="en-AU"/>
        </w:rPr>
      </w:pPr>
      <w:r>
        <w:rPr>
          <w:lang w:eastAsia="en-AU"/>
        </w:rPr>
        <w:t xml:space="preserve">(viii) </w:t>
      </w:r>
      <w:r>
        <w:rPr>
          <w:lang w:eastAsia="en-AU"/>
        </w:rPr>
        <w:tab/>
        <w:t>Sweden.</w:t>
      </w:r>
    </w:p>
    <w:p w14:paraId="4D018B1E" w14:textId="1E783953" w:rsidR="00BE356B" w:rsidRDefault="00BE356B" w:rsidP="00BE356B">
      <w:pPr>
        <w:pStyle w:val="ParaNumbering"/>
      </w:pPr>
      <w:r>
        <w:t>This is challenged on the same bases as 1(h)</w:t>
      </w:r>
      <w:r w:rsidR="00901B47">
        <w:t xml:space="preserve">.  </w:t>
      </w:r>
      <w:r>
        <w:t xml:space="preserve">I </w:t>
      </w:r>
      <w:r w:rsidR="004446FA">
        <w:t xml:space="preserve">allow </w:t>
      </w:r>
      <w:r>
        <w:t>it for the same reasons.</w:t>
      </w:r>
    </w:p>
    <w:p w14:paraId="4F42E513" w14:textId="77777777" w:rsidR="00BE356B" w:rsidRDefault="00BE356B" w:rsidP="00BE356B">
      <w:pPr>
        <w:pStyle w:val="Heading2"/>
      </w:pPr>
      <w:r>
        <w:t>Paragraph 2</w:t>
      </w:r>
    </w:p>
    <w:p w14:paraId="545AE850" w14:textId="0A516692" w:rsidR="00BE356B" w:rsidRDefault="00BE356B" w:rsidP="00BE356B">
      <w:pPr>
        <w:pStyle w:val="ParaNumbering"/>
      </w:pPr>
      <w:r>
        <w:t>The Tribunal has the power to make an order</w:t>
      </w:r>
      <w:r w:rsidR="00153D80">
        <w:t xml:space="preserve"> of this nature</w:t>
      </w:r>
      <w:r>
        <w:t xml:space="preserve"> although not </w:t>
      </w:r>
      <w:r w:rsidR="001475D4">
        <w:t xml:space="preserve">in </w:t>
      </w:r>
      <w:r>
        <w:t>the form of a summons</w:t>
      </w:r>
      <w:r w:rsidR="00901B47">
        <w:t xml:space="preserve">.  </w:t>
      </w:r>
      <w:r>
        <w:t>Disney correctly submits that as drafted the form of paragraph 2 requires Disney to request the documents from the whole world</w:t>
      </w:r>
      <w:r w:rsidR="00901B47">
        <w:t xml:space="preserve">.  </w:t>
      </w:r>
      <w:r>
        <w:t>Plainly, it should be limited to Disney entities.</w:t>
      </w:r>
    </w:p>
    <w:p w14:paraId="3E8F19CF" w14:textId="77777777" w:rsidR="00BE356B" w:rsidRDefault="00BE356B" w:rsidP="00BE356B">
      <w:pPr>
        <w:pStyle w:val="Heading1"/>
      </w:pPr>
      <w:r>
        <w:t>Result</w:t>
      </w:r>
    </w:p>
    <w:p w14:paraId="7C554099" w14:textId="77777777" w:rsidR="00497B77" w:rsidRDefault="00BE356B" w:rsidP="00761C81">
      <w:pPr>
        <w:pStyle w:val="ParaNumbering"/>
      </w:pPr>
      <w:r>
        <w:t>APRA</w:t>
      </w:r>
      <w:r w:rsidR="00AD63BB">
        <w:t xml:space="preserve"> </w:t>
      </w:r>
      <w:r>
        <w:t>AMCOS should now prepare appropriate orders and summonses for issue within 7 days</w:t>
      </w:r>
      <w:r w:rsidR="005107EF">
        <w:t xml:space="preserve"> which give effect to these reasons</w:t>
      </w:r>
      <w:r w:rsidR="00901B47">
        <w:t xml:space="preserve">.  </w:t>
      </w:r>
      <w:r w:rsidR="002D4E2A">
        <w:t>They are to be sent to my chambers where they will be made and issued respectively</w:t>
      </w:r>
      <w:r w:rsidR="00901B47">
        <w:t xml:space="preserve">.  </w:t>
      </w:r>
      <w:bookmarkStart w:id="18" w:name="Certification"/>
    </w:p>
    <w:tbl>
      <w:tblPr>
        <w:tblW w:w="0" w:type="auto"/>
        <w:tblLook w:val="04A0" w:firstRow="1" w:lastRow="0" w:firstColumn="1" w:lastColumn="0" w:noHBand="0" w:noVBand="1"/>
      </w:tblPr>
      <w:tblGrid>
        <w:gridCol w:w="3794"/>
      </w:tblGrid>
      <w:tr w:rsidR="00497B77" w:rsidRPr="00497B77" w14:paraId="1D167870" w14:textId="77777777">
        <w:tc>
          <w:tcPr>
            <w:tcW w:w="3794" w:type="dxa"/>
            <w:shd w:val="clear" w:color="auto" w:fill="auto"/>
          </w:tcPr>
          <w:p w14:paraId="6D9C37D3" w14:textId="36B1A6FF" w:rsidR="00497B77" w:rsidRPr="00497B77" w:rsidRDefault="00497B77" w:rsidP="004E6477">
            <w:pPr>
              <w:pStyle w:val="Normal1linespace"/>
            </w:pPr>
            <w:r w:rsidRPr="00497B77">
              <w:t xml:space="preserve">I certify that the preceding </w:t>
            </w:r>
            <w:bookmarkStart w:id="19" w:name="NumberWord"/>
            <w:r>
              <w:t>eighty</w:t>
            </w:r>
            <w:bookmarkEnd w:id="19"/>
            <w:r w:rsidRPr="00497B77">
              <w:t xml:space="preserve"> (</w:t>
            </w:r>
            <w:bookmarkStart w:id="20" w:name="NumberNumeral"/>
            <w:r>
              <w:t>80</w:t>
            </w:r>
            <w:bookmarkEnd w:id="20"/>
            <w:r w:rsidRPr="00497B77">
              <w:t xml:space="preserve">) numbered </w:t>
            </w:r>
            <w:bookmarkStart w:id="21" w:name="CertPara"/>
            <w:r>
              <w:t>paragraphs are</w:t>
            </w:r>
            <w:bookmarkEnd w:id="21"/>
            <w:r w:rsidRPr="00497B77">
              <w:t xml:space="preserve"> a true copy of the Reasons for </w:t>
            </w:r>
            <w:r w:rsidR="007F51CE">
              <w:t>Determination</w:t>
            </w:r>
            <w:r w:rsidRPr="00497B77">
              <w:t xml:space="preserve"> of </w:t>
            </w:r>
            <w:bookmarkStart w:id="22" w:name="bkHonourable"/>
            <w:r w:rsidRPr="00497B77">
              <w:t>the</w:t>
            </w:r>
            <w:r w:rsidR="003B6C9F">
              <w:t xml:space="preserve"> Tribunal constituted by the</w:t>
            </w:r>
            <w:r w:rsidRPr="00497B77">
              <w:t xml:space="preserve"> Honourable </w:t>
            </w:r>
            <w:bookmarkStart w:id="23" w:name="Justice"/>
            <w:bookmarkEnd w:id="22"/>
            <w:r>
              <w:t>Justice</w:t>
            </w:r>
            <w:r w:rsidR="00FA7501">
              <w:t xml:space="preserve"> Perram (Deputy President)</w:t>
            </w:r>
            <w:bookmarkEnd w:id="23"/>
            <w:r w:rsidRPr="00497B77">
              <w:t>.</w:t>
            </w:r>
          </w:p>
        </w:tc>
      </w:tr>
    </w:tbl>
    <w:p w14:paraId="021731FD" w14:textId="23CDC19F" w:rsidR="00497B77" w:rsidRDefault="00497B77" w:rsidP="00282167">
      <w:pPr>
        <w:pStyle w:val="BodyText"/>
      </w:pPr>
      <w:bookmarkStart w:id="24" w:name="_GoBack"/>
      <w:bookmarkEnd w:id="24"/>
    </w:p>
    <w:p w14:paraId="52A50456" w14:textId="09B96D71" w:rsidR="00497B77" w:rsidRDefault="00497B77" w:rsidP="00282167">
      <w:pPr>
        <w:pStyle w:val="BodyText"/>
      </w:pPr>
    </w:p>
    <w:p w14:paraId="1FA43820" w14:textId="252A112F" w:rsidR="00497B77" w:rsidRDefault="00497B77" w:rsidP="00282167">
      <w:pPr>
        <w:pStyle w:val="BodyText"/>
      </w:pPr>
      <w:r>
        <w:t>Associate:</w:t>
      </w:r>
    </w:p>
    <w:p w14:paraId="7A09F824" w14:textId="77777777" w:rsidR="00497B77" w:rsidRDefault="00497B77" w:rsidP="00282167">
      <w:pPr>
        <w:pStyle w:val="BodyText"/>
      </w:pPr>
    </w:p>
    <w:p w14:paraId="234EE53C" w14:textId="520CC996" w:rsidR="00CD1346" w:rsidRDefault="00497B77" w:rsidP="0086254B">
      <w:pPr>
        <w:pStyle w:val="BodyText"/>
        <w:tabs>
          <w:tab w:val="left" w:pos="1134"/>
        </w:tabs>
      </w:pPr>
      <w:r>
        <w:t>Dated:</w:t>
      </w:r>
      <w:r>
        <w:tab/>
      </w:r>
      <w:bookmarkStart w:id="25" w:name="CertifyDated"/>
      <w:bookmarkEnd w:id="18"/>
      <w:bookmarkEnd w:id="25"/>
      <w:r w:rsidR="005C6304">
        <w:t>11 July 2022</w:t>
      </w:r>
    </w:p>
    <w:p w14:paraId="573EB4EA" w14:textId="34D153B5" w:rsidR="00497B77" w:rsidRPr="005C6304" w:rsidRDefault="00497B77" w:rsidP="005C6304">
      <w:pPr>
        <w:spacing w:line="240" w:lineRule="auto"/>
        <w:jc w:val="left"/>
      </w:pPr>
      <w:r>
        <w:br w:type="page"/>
      </w:r>
    </w:p>
    <w:p w14:paraId="5D82BC86" w14:textId="77777777" w:rsidR="00497B77" w:rsidRPr="00CD498A" w:rsidRDefault="00497B77" w:rsidP="00E91A0F">
      <w:pPr>
        <w:pStyle w:val="NormalHeadings"/>
        <w:spacing w:before="180" w:line="480" w:lineRule="auto"/>
        <w:jc w:val="center"/>
        <w:rPr>
          <w:sz w:val="28"/>
          <w:szCs w:val="28"/>
        </w:rPr>
      </w:pPr>
      <w:bookmarkStart w:id="26" w:name="SOP_Section"/>
      <w:r w:rsidRPr="00CD498A">
        <w:rPr>
          <w:sz w:val="28"/>
          <w:szCs w:val="28"/>
        </w:rPr>
        <w:lastRenderedPageBreak/>
        <w:t>SCHEDULE OF PARTIES</w:t>
      </w:r>
    </w:p>
    <w:p w14:paraId="7B873EA3" w14:textId="77777777" w:rsidR="00497B77" w:rsidRPr="00663089" w:rsidRDefault="00497B77" w:rsidP="00282167">
      <w:pPr>
        <w:pStyle w:val="BodyText"/>
      </w:pPr>
    </w:p>
    <w:tbl>
      <w:tblPr>
        <w:tblW w:w="6521" w:type="dxa"/>
        <w:tblLayout w:type="fixed"/>
        <w:tblLook w:val="0000" w:firstRow="0" w:lastRow="0" w:firstColumn="0" w:lastColumn="0" w:noHBand="0" w:noVBand="0"/>
        <w:tblCaption w:val="SOP Table"/>
        <w:tblDescription w:val="SOP Table"/>
      </w:tblPr>
      <w:tblGrid>
        <w:gridCol w:w="6521"/>
      </w:tblGrid>
      <w:tr w:rsidR="001031EF" w14:paraId="12906339" w14:textId="77777777" w:rsidTr="001031EF">
        <w:tc>
          <w:tcPr>
            <w:tcW w:w="6521" w:type="dxa"/>
          </w:tcPr>
          <w:p w14:paraId="0E7AEAE1" w14:textId="77777777" w:rsidR="001031EF" w:rsidRDefault="001031EF" w:rsidP="00282167">
            <w:pPr>
              <w:pStyle w:val="NormalHeadings"/>
              <w:jc w:val="left"/>
              <w:rPr>
                <w:caps/>
                <w:szCs w:val="24"/>
              </w:rPr>
            </w:pPr>
          </w:p>
        </w:tc>
      </w:tr>
      <w:tr w:rsidR="001031EF" w14:paraId="3708E5A7" w14:textId="77777777" w:rsidTr="001031EF">
        <w:trPr>
          <w:trHeight w:val="386"/>
        </w:trPr>
        <w:tc>
          <w:tcPr>
            <w:tcW w:w="6521" w:type="dxa"/>
          </w:tcPr>
          <w:p w14:paraId="3A038F86" w14:textId="60F45604" w:rsidR="001031EF" w:rsidRDefault="001031EF" w:rsidP="00282167">
            <w:pPr>
              <w:pStyle w:val="BodyTextBold"/>
              <w:spacing w:before="180"/>
              <w:jc w:val="left"/>
            </w:pPr>
            <w:bookmarkStart w:id="27" w:name="SOP_RespondentsRows" w:colFirst="0" w:colLast="1"/>
            <w:r>
              <w:t>Respondents</w:t>
            </w:r>
          </w:p>
        </w:tc>
      </w:tr>
      <w:tr w:rsidR="001031EF" w14:paraId="598591A1" w14:textId="77777777" w:rsidTr="001031EF">
        <w:trPr>
          <w:trHeight w:val="386"/>
        </w:trPr>
        <w:tc>
          <w:tcPr>
            <w:tcW w:w="6521" w:type="dxa"/>
          </w:tcPr>
          <w:p w14:paraId="6B5F189F" w14:textId="1825314C" w:rsidR="001031EF" w:rsidRDefault="001031EF" w:rsidP="001031EF">
            <w:pPr>
              <w:pStyle w:val="BodyText"/>
              <w:spacing w:after="240" w:line="240" w:lineRule="auto"/>
              <w:jc w:val="left"/>
            </w:pPr>
            <w:bookmarkStart w:id="28" w:name="SOP_FirstRespondent"/>
            <w:bookmarkEnd w:id="28"/>
            <w:r>
              <w:t>NETWORK TEN ALL ACCESS PTY LTD (ABN 60 620 391 117)</w:t>
            </w:r>
          </w:p>
        </w:tc>
      </w:tr>
      <w:tr w:rsidR="001031EF" w14:paraId="3CB59969" w14:textId="77777777" w:rsidTr="001031EF">
        <w:trPr>
          <w:trHeight w:val="386"/>
        </w:trPr>
        <w:tc>
          <w:tcPr>
            <w:tcW w:w="6521" w:type="dxa"/>
          </w:tcPr>
          <w:p w14:paraId="4D2B932B" w14:textId="65E0F28B" w:rsidR="001031EF" w:rsidRDefault="001031EF" w:rsidP="001031EF">
            <w:pPr>
              <w:pStyle w:val="BodyText"/>
              <w:spacing w:after="240" w:line="240" w:lineRule="auto"/>
              <w:jc w:val="left"/>
            </w:pPr>
            <w:r>
              <w:t>APPLE PTY LIMITED (ABN 46 002 510 054)</w:t>
            </w:r>
          </w:p>
        </w:tc>
      </w:tr>
      <w:tr w:rsidR="001031EF" w14:paraId="6DF000BB" w14:textId="77777777" w:rsidTr="001031EF">
        <w:trPr>
          <w:trHeight w:val="386"/>
        </w:trPr>
        <w:tc>
          <w:tcPr>
            <w:tcW w:w="6521" w:type="dxa"/>
          </w:tcPr>
          <w:p w14:paraId="010494C9" w14:textId="01C5B8B5" w:rsidR="001031EF" w:rsidRDefault="001031EF" w:rsidP="001031EF">
            <w:pPr>
              <w:pStyle w:val="BodyText"/>
              <w:spacing w:after="240" w:line="240" w:lineRule="auto"/>
              <w:jc w:val="left"/>
            </w:pPr>
            <w:r>
              <w:t>STAN ENTERTAINMENT PTY LTD (ABN 94 168 856 924)</w:t>
            </w:r>
          </w:p>
        </w:tc>
      </w:tr>
      <w:tr w:rsidR="001031EF" w14:paraId="4E8B3F44" w14:textId="77777777" w:rsidTr="001031EF">
        <w:trPr>
          <w:trHeight w:val="386"/>
        </w:trPr>
        <w:tc>
          <w:tcPr>
            <w:tcW w:w="6521" w:type="dxa"/>
          </w:tcPr>
          <w:p w14:paraId="6ACBC308" w14:textId="194BB50C" w:rsidR="001031EF" w:rsidRDefault="001031EF" w:rsidP="001031EF">
            <w:pPr>
              <w:pStyle w:val="BodyText"/>
              <w:spacing w:after="240" w:line="240" w:lineRule="auto"/>
              <w:jc w:val="left"/>
            </w:pPr>
            <w:r>
              <w:t>THE WALT DISNEY COMPANY (AUSTRALIA) PTY LTD (ABN 30 054 610 025)</w:t>
            </w:r>
          </w:p>
        </w:tc>
      </w:tr>
      <w:tr w:rsidR="001031EF" w14:paraId="4648AD92" w14:textId="77777777" w:rsidTr="001031EF">
        <w:trPr>
          <w:trHeight w:val="386"/>
        </w:trPr>
        <w:tc>
          <w:tcPr>
            <w:tcW w:w="6521" w:type="dxa"/>
          </w:tcPr>
          <w:p w14:paraId="04E22BE2" w14:textId="086D572B" w:rsidR="001031EF" w:rsidRDefault="001031EF" w:rsidP="001031EF">
            <w:pPr>
              <w:pStyle w:val="BodyText"/>
              <w:spacing w:after="240" w:line="240" w:lineRule="auto"/>
              <w:jc w:val="left"/>
            </w:pPr>
            <w:r>
              <w:t>NETFLIX, INC.</w:t>
            </w:r>
          </w:p>
        </w:tc>
      </w:tr>
      <w:tr w:rsidR="001031EF" w14:paraId="3496AC88" w14:textId="77777777" w:rsidTr="001031EF">
        <w:trPr>
          <w:trHeight w:val="386"/>
        </w:trPr>
        <w:tc>
          <w:tcPr>
            <w:tcW w:w="6521" w:type="dxa"/>
          </w:tcPr>
          <w:p w14:paraId="36E40EF3" w14:textId="77777777" w:rsidR="001031EF" w:rsidRDefault="001031EF" w:rsidP="001031EF">
            <w:pPr>
              <w:pStyle w:val="BodyText"/>
              <w:spacing w:after="240" w:line="240" w:lineRule="auto"/>
              <w:jc w:val="left"/>
            </w:pPr>
          </w:p>
        </w:tc>
      </w:tr>
      <w:tr w:rsidR="001031EF" w14:paraId="36DEB662" w14:textId="77777777" w:rsidTr="001031EF">
        <w:trPr>
          <w:trHeight w:val="386"/>
        </w:trPr>
        <w:tc>
          <w:tcPr>
            <w:tcW w:w="6521" w:type="dxa"/>
          </w:tcPr>
          <w:p w14:paraId="3E6AFFE4" w14:textId="77777777" w:rsidR="001031EF" w:rsidRDefault="001031EF" w:rsidP="001031EF">
            <w:pPr>
              <w:pStyle w:val="BodyText"/>
              <w:spacing w:after="240" w:line="240" w:lineRule="auto"/>
              <w:jc w:val="left"/>
            </w:pPr>
          </w:p>
        </w:tc>
      </w:tr>
      <w:bookmarkEnd w:id="27"/>
    </w:tbl>
    <w:p w14:paraId="23D868EE" w14:textId="77777777" w:rsidR="00497B77" w:rsidRDefault="00497B77" w:rsidP="002B0E91">
      <w:pPr>
        <w:pStyle w:val="BodyText"/>
      </w:pPr>
    </w:p>
    <w:bookmarkEnd w:id="26"/>
    <w:p w14:paraId="01F73EB2" w14:textId="77777777" w:rsidR="00497B77" w:rsidRDefault="00497B77" w:rsidP="00497B77">
      <w:pPr>
        <w:pStyle w:val="BodyText"/>
      </w:pPr>
    </w:p>
    <w:sectPr w:rsidR="00497B77" w:rsidSect="00A84FD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77CF" w14:textId="77777777" w:rsidR="00DD1BBE" w:rsidRDefault="00DD1BBE">
      <w:pPr>
        <w:spacing w:line="20" w:lineRule="exact"/>
      </w:pPr>
    </w:p>
    <w:p w14:paraId="0121FC5F" w14:textId="77777777" w:rsidR="00DD1BBE" w:rsidRDefault="00DD1BBE"/>
    <w:p w14:paraId="0FDB7686" w14:textId="77777777" w:rsidR="00DD1BBE" w:rsidRDefault="00DD1BBE"/>
  </w:endnote>
  <w:endnote w:type="continuationSeparator" w:id="0">
    <w:p w14:paraId="561AA2A5" w14:textId="77777777" w:rsidR="00DD1BBE" w:rsidRDefault="00DD1BBE">
      <w:r>
        <w:t xml:space="preserve"> </w:t>
      </w:r>
    </w:p>
    <w:p w14:paraId="56DE76C5" w14:textId="77777777" w:rsidR="00DD1BBE" w:rsidRDefault="00DD1BBE"/>
    <w:p w14:paraId="2F7F53CF" w14:textId="77777777" w:rsidR="00DD1BBE" w:rsidRDefault="00DD1BBE"/>
  </w:endnote>
  <w:endnote w:type="continuationNotice" w:id="1">
    <w:p w14:paraId="35E738D7" w14:textId="77777777" w:rsidR="00DD1BBE" w:rsidRDefault="00DD1BBE">
      <w:r>
        <w:t xml:space="preserve"> </w:t>
      </w:r>
    </w:p>
    <w:p w14:paraId="027C5B43" w14:textId="77777777" w:rsidR="00DD1BBE" w:rsidRDefault="00DD1BBE"/>
    <w:p w14:paraId="77C5D3EE" w14:textId="77777777" w:rsidR="00DD1BBE" w:rsidRDefault="00DD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2DB7" w14:textId="6C506340" w:rsidR="00761C81" w:rsidRPr="00C47B9D" w:rsidRDefault="00761C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3A50635" wp14:editId="3CEBDC8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A52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32638">
          <w:rPr>
            <w:bCs/>
            <w:sz w:val="18"/>
            <w:szCs w:val="18"/>
          </w:rPr>
          <w:t xml:space="preserve">Reference by APRA AMCOS (Summonses) [2022] </w:t>
        </w:r>
        <w:proofErr w:type="spellStart"/>
        <w:r w:rsidR="00732638">
          <w:rPr>
            <w:bCs/>
            <w:sz w:val="18"/>
            <w:szCs w:val="18"/>
          </w:rPr>
          <w:t>ACopyT</w:t>
        </w:r>
        <w:proofErr w:type="spellEnd"/>
        <w:r w:rsidR="00732638">
          <w:rPr>
            <w:bCs/>
            <w:sz w:val="18"/>
            <w:szCs w:val="18"/>
          </w:rPr>
          <w:t xml:space="preserve"> 4 </w:t>
        </w:r>
      </w:sdtContent>
    </w:sdt>
  </w:p>
  <w:p w14:paraId="5CBC76C8" w14:textId="64123F88" w:rsidR="00761C81" w:rsidRPr="00A436E8" w:rsidRDefault="00761C81"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6768" w14:textId="4A3EA5E1" w:rsidR="00761C81" w:rsidRPr="00A436E8" w:rsidRDefault="00761C81"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23C3" w14:textId="2DFE8A55" w:rsidR="00761C81" w:rsidRPr="00C47B9D" w:rsidRDefault="00761C8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F78B0AA" wp14:editId="141E406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CA51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C305BD0B3074D35A56309436A35F101"/>
        </w:placeholder>
        <w:dataBinding w:prefixMappings="xmlns:ns0='http://schemas.globalmacros.com/FCA'" w:xpath="/ns0:root[1]/ns0:Name[1]" w:storeItemID="{687E7CCB-4AA5-44E7-B148-17BA2B6F57C0}"/>
        <w:text w:multiLine="1"/>
      </w:sdtPr>
      <w:sdtEndPr/>
      <w:sdtContent>
        <w:r w:rsidR="00732638">
          <w:rPr>
            <w:bCs/>
            <w:sz w:val="18"/>
            <w:szCs w:val="18"/>
          </w:rPr>
          <w:t xml:space="preserve">Reference by APRA AMCOS (Summonses) [2022] </w:t>
        </w:r>
        <w:proofErr w:type="spellStart"/>
        <w:r w:rsidR="00732638">
          <w:rPr>
            <w:bCs/>
            <w:sz w:val="18"/>
            <w:szCs w:val="18"/>
          </w:rPr>
          <w:t>ACopyT</w:t>
        </w:r>
        <w:proofErr w:type="spellEnd"/>
        <w:r w:rsidR="00732638">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5575FD9A" w14:textId="4DD2C31C" w:rsidR="00761C81" w:rsidRPr="00A84FD0" w:rsidRDefault="00761C81" w:rsidP="00A84FD0">
    <w:pPr>
      <w:pStyle w:val="Footer"/>
      <w:jc w:val="center"/>
      <w:rPr>
        <w:sz w:val="28"/>
      </w:rPr>
    </w:pPr>
    <w:r>
      <w:rPr>
        <w:b/>
        <w:sz w:val="28"/>
      </w:rPr>
      <w:t xml:space="preserve">DRAFT - Judgment Template v.1.3 - </w:t>
    </w:r>
    <w:r>
      <w:rPr>
        <w:b/>
        <w:sz w:val="28"/>
      </w:rPr>
      <w:fldChar w:fldCharType="begin"/>
    </w:r>
    <w:r>
      <w:rPr>
        <w:b/>
        <w:sz w:val="28"/>
      </w:rPr>
      <w:instrText xml:space="preserve"> DATE  \@ "d MMMM yyyy"  \* MERGEFORMAT </w:instrText>
    </w:r>
    <w:r>
      <w:rPr>
        <w:b/>
        <w:sz w:val="28"/>
      </w:rPr>
      <w:fldChar w:fldCharType="separate"/>
    </w:r>
    <w:r w:rsidR="0079323F">
      <w:rPr>
        <w:b/>
        <w:noProof/>
        <w:sz w:val="28"/>
      </w:rPr>
      <w:t>11 July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79323F">
      <w:rPr>
        <w:b/>
        <w:noProof/>
        <w:sz w:val="28"/>
      </w:rPr>
      <w:t>9:55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FA78" w14:textId="5E0B5289" w:rsidR="00761C81" w:rsidRPr="00C47B9D" w:rsidRDefault="00761C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7987BD0" wp14:editId="5FD2CBB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5683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593EA4683B04BDCAD4716E132863835"/>
        </w:placeholder>
        <w:dataBinding w:prefixMappings="xmlns:ns0='http://schemas.globalmacros.com/FCA'" w:xpath="/ns0:root[1]/ns0:Name[1]" w:storeItemID="{687E7CCB-4AA5-44E7-B148-17BA2B6F57C0}"/>
        <w:text w:multiLine="1"/>
      </w:sdtPr>
      <w:sdtEndPr/>
      <w:sdtContent>
        <w:r w:rsidR="00732638">
          <w:rPr>
            <w:bCs/>
            <w:sz w:val="18"/>
            <w:szCs w:val="18"/>
          </w:rPr>
          <w:t xml:space="preserve">Reference by APRA AMCOS (Summonses) [2022] </w:t>
        </w:r>
        <w:proofErr w:type="spellStart"/>
        <w:r w:rsidR="00732638">
          <w:rPr>
            <w:bCs/>
            <w:sz w:val="18"/>
            <w:szCs w:val="18"/>
          </w:rPr>
          <w:t>ACopyT</w:t>
        </w:r>
        <w:proofErr w:type="spellEnd"/>
        <w:r w:rsidR="00732638">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9323F">
      <w:rPr>
        <w:bCs/>
        <w:noProof/>
        <w:sz w:val="20"/>
      </w:rPr>
      <w:t>i</w:t>
    </w:r>
    <w:r w:rsidRPr="00EA7F6D">
      <w:rPr>
        <w:bCs/>
        <w:noProof/>
        <w:sz w:val="20"/>
      </w:rPr>
      <w:fldChar w:fldCharType="end"/>
    </w:r>
  </w:p>
  <w:p w14:paraId="3A9A9141" w14:textId="5650F01B" w:rsidR="00761C81" w:rsidRPr="00A436E8" w:rsidRDefault="00761C81"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45E" w14:textId="26611530" w:rsidR="00761C81" w:rsidRPr="00C47B9D" w:rsidRDefault="00761C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9D9F600" wp14:editId="49BF464D">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BD22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8544C309A82417196B3E2E1ED411CF1"/>
        </w:placeholder>
        <w:dataBinding w:prefixMappings="xmlns:ns0='http://schemas.globalmacros.com/FCA'" w:xpath="/ns0:root[1]/ns0:Name[1]" w:storeItemID="{687E7CCB-4AA5-44E7-B148-17BA2B6F57C0}"/>
        <w:text w:multiLine="1"/>
      </w:sdtPr>
      <w:sdtEndPr/>
      <w:sdtContent>
        <w:r w:rsidR="00732638">
          <w:rPr>
            <w:bCs/>
            <w:sz w:val="18"/>
            <w:szCs w:val="18"/>
          </w:rPr>
          <w:t xml:space="preserve">Reference by APRA AMCOS (Summonses) [2022] </w:t>
        </w:r>
        <w:proofErr w:type="spellStart"/>
        <w:r w:rsidR="00732638">
          <w:rPr>
            <w:bCs/>
            <w:sz w:val="18"/>
            <w:szCs w:val="18"/>
          </w:rPr>
          <w:t>ACopyT</w:t>
        </w:r>
        <w:proofErr w:type="spellEnd"/>
        <w:r w:rsidR="00732638">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11783">
      <w:rPr>
        <w:bCs/>
        <w:noProof/>
        <w:sz w:val="20"/>
      </w:rPr>
      <w:t>17</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24DB" w14:textId="7C06D089" w:rsidR="00761C81" w:rsidRPr="00C47B9D" w:rsidRDefault="00761C8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9F8CBD1" wp14:editId="68AFF49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751D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3B4BB3535654F0395978CF803438851"/>
        </w:placeholder>
        <w:dataBinding w:prefixMappings="xmlns:ns0='http://schemas.globalmacros.com/FCA'" w:xpath="/ns0:root[1]/ns0:Name[1]" w:storeItemID="{687E7CCB-4AA5-44E7-B148-17BA2B6F57C0}"/>
        <w:text w:multiLine="1"/>
      </w:sdtPr>
      <w:sdtEndPr/>
      <w:sdtContent>
        <w:r w:rsidR="00732638">
          <w:rPr>
            <w:bCs/>
            <w:sz w:val="18"/>
            <w:szCs w:val="18"/>
          </w:rPr>
          <w:t xml:space="preserve">Reference by APRA AMCOS (Summonses) [2022] </w:t>
        </w:r>
        <w:proofErr w:type="spellStart"/>
        <w:r w:rsidR="00732638">
          <w:rPr>
            <w:bCs/>
            <w:sz w:val="18"/>
            <w:szCs w:val="18"/>
          </w:rPr>
          <w:t>ACopyT</w:t>
        </w:r>
        <w:proofErr w:type="spellEnd"/>
        <w:r w:rsidR="00732638">
          <w:rPr>
            <w:bCs/>
            <w:sz w:val="18"/>
            <w:szCs w:val="18"/>
          </w:rPr>
          <w:t xml:space="preserve"> 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9323F">
      <w:rPr>
        <w:bCs/>
        <w:noProof/>
        <w:sz w:val="20"/>
      </w:rPr>
      <w:t>1</w:t>
    </w:r>
    <w:r w:rsidRPr="00EA7F6D">
      <w:rPr>
        <w:bCs/>
        <w:noProof/>
        <w:sz w:val="20"/>
      </w:rPr>
      <w:fldChar w:fldCharType="end"/>
    </w:r>
  </w:p>
  <w:p w14:paraId="6A149583" w14:textId="777C4AF8" w:rsidR="00761C81" w:rsidRPr="00A84FD0" w:rsidRDefault="00761C81"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BDA2" w14:textId="77777777" w:rsidR="00DD1BBE" w:rsidRDefault="00DD1BBE"/>
  </w:footnote>
  <w:footnote w:type="continuationSeparator" w:id="0">
    <w:p w14:paraId="33E3DC66" w14:textId="77777777" w:rsidR="00DD1BBE" w:rsidRDefault="00DD1BBE">
      <w:r>
        <w:continuationSeparator/>
      </w:r>
    </w:p>
    <w:p w14:paraId="478B127D" w14:textId="77777777" w:rsidR="00DD1BBE" w:rsidRDefault="00DD1BBE"/>
    <w:p w14:paraId="3D5132A8" w14:textId="77777777" w:rsidR="00DD1BBE" w:rsidRDefault="00DD1B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3C03" w14:textId="77777777" w:rsidR="00761C81" w:rsidRDefault="00761C8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2B8" w14:textId="77777777" w:rsidR="00761C81" w:rsidRDefault="00761C8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8664" w14:textId="77777777" w:rsidR="00761C81" w:rsidRDefault="00761C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A419" w14:textId="77777777" w:rsidR="00761C81" w:rsidRDefault="00761C8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FB0C" w14:textId="77777777" w:rsidR="00761C81" w:rsidRDefault="00761C8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9EAE1886"/>
    <w:lvl w:ilvl="0">
      <w:start w:val="1"/>
      <w:numFmt w:val="decimal"/>
      <w:lvlRestart w:val="0"/>
      <w:pStyle w:val="ParaNumbering"/>
      <w:lvlText w:val="%1"/>
      <w:lvlJc w:val="left"/>
      <w:pPr>
        <w:tabs>
          <w:tab w:val="num" w:pos="720"/>
        </w:tabs>
        <w:ind w:left="0" w:hanging="720"/>
      </w:pPr>
      <w:rPr>
        <w:rFonts w:ascii="Times New Roman" w:hAnsi="Times New Roman" w:cs="Times New Roman"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1E32F76"/>
    <w:multiLevelType w:val="hybridMultilevel"/>
    <w:tmpl w:val="2AF08158"/>
    <w:lvl w:ilvl="0" w:tplc="3C46A346">
      <w:start w:val="1"/>
      <w:numFmt w:val="decimal"/>
      <w:lvlText w:val="%1."/>
      <w:lvlJc w:val="left"/>
      <w:pPr>
        <w:ind w:left="1442" w:hanging="705"/>
      </w:pPr>
      <w:rPr>
        <w:rFonts w:hint="default"/>
      </w:r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634406A"/>
    <w:multiLevelType w:val="hybridMultilevel"/>
    <w:tmpl w:val="81DA1850"/>
    <w:lvl w:ilvl="0" w:tplc="08E231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B14C3A"/>
    <w:multiLevelType w:val="hybridMultilevel"/>
    <w:tmpl w:val="C71AE7E6"/>
    <w:lvl w:ilvl="0" w:tplc="10223692">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2A74B9E"/>
    <w:multiLevelType w:val="hybridMultilevel"/>
    <w:tmpl w:val="21CE3162"/>
    <w:lvl w:ilvl="0" w:tplc="75E43C5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0"/>
  </w:num>
  <w:num w:numId="14">
    <w:abstractNumId w:val="21"/>
  </w:num>
  <w:num w:numId="15">
    <w:abstractNumId w:val="28"/>
  </w:num>
  <w:num w:numId="16">
    <w:abstractNumId w:val="13"/>
  </w:num>
  <w:num w:numId="17">
    <w:abstractNumId w:val="26"/>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3"/>
  </w:num>
  <w:num w:numId="30">
    <w:abstractNumId w:val="27"/>
  </w:num>
  <w:num w:numId="31">
    <w:abstractNumId w:val="22"/>
  </w:num>
  <w:num w:numId="32">
    <w:abstractNumId w:val="24"/>
  </w:num>
  <w:num w:numId="33">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PRA AMCOS"/>
    <w:docVar w:name="CounselParties" w:val="Respondent"/>
    <w:docVar w:name="CounselType" w:val="Solicitor for the "/>
    <w:docVar w:name="Court" w:val="Copyright Tribunal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CT 1 of 2021"/>
    <w:docVar w:name="Initiators" w:val="(and another named in the Schedule)"/>
    <w:docVar w:name="Judgdate" w:val="X July 2022"/>
    <w:docVar w:name="Judge" w:val="Perram"/>
    <w:docVar w:name="JudgeType" w:val="Justice"/>
    <w:docVar w:name="lstEntryList" w:val="-1"/>
    <w:docVar w:name="myEntryList" w:val="Counsel for the Applicant=Mr M Hall SC with Ms R De Stoop and Ms M Evetts |Solicitor for the Applicant=Banki Haddock Fiora|Counsel for the Respondents=Ms A Campbell |Solicitor for the Respondents=MinterEllison|Counsel for the Respondents=Ms F St John|Solicitor for the Respondents=Clayton Utz|Solicitor for the Respondents=Simpsons Solicitors|Counsel for the Respondents=Ms J Beaumont|Solicitor for the Respondents=Ashurst|Solicitor for the Respondents=Baker McKenzie"/>
    <w:docVar w:name="NSD" w:val="NSD "/>
    <w:docVar w:name="NumApps" w:val="1"/>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False"/>
    <w:docVar w:name="RESAndOthers" w:val="True"/>
    <w:docVar w:name="Respondent" w:val="Netflix, Inc|Stan Entertainment Pty Ltd|The Walt Disney Company (Australia) Pty Ltd|Network Ten All Access Pty Ltd|Apple Pty Ltd"/>
    <w:docVar w:name="ResState" w:val="New South Wales"/>
    <w:docVar w:name="SubArea" w:val="TBC"/>
  </w:docVars>
  <w:rsids>
    <w:rsidRoot w:val="00BE356B"/>
    <w:rsid w:val="00000449"/>
    <w:rsid w:val="00000747"/>
    <w:rsid w:val="00004C5D"/>
    <w:rsid w:val="0000532F"/>
    <w:rsid w:val="000075B0"/>
    <w:rsid w:val="00010925"/>
    <w:rsid w:val="000115C5"/>
    <w:rsid w:val="000131F2"/>
    <w:rsid w:val="0001469E"/>
    <w:rsid w:val="00015993"/>
    <w:rsid w:val="000205A0"/>
    <w:rsid w:val="00021CCB"/>
    <w:rsid w:val="00022289"/>
    <w:rsid w:val="000237E9"/>
    <w:rsid w:val="00027398"/>
    <w:rsid w:val="0003201A"/>
    <w:rsid w:val="0003207A"/>
    <w:rsid w:val="00032F9F"/>
    <w:rsid w:val="00033C8D"/>
    <w:rsid w:val="00041C07"/>
    <w:rsid w:val="00045BB7"/>
    <w:rsid w:val="00055719"/>
    <w:rsid w:val="0005641B"/>
    <w:rsid w:val="0006196A"/>
    <w:rsid w:val="000650F0"/>
    <w:rsid w:val="00066D4E"/>
    <w:rsid w:val="00071FB3"/>
    <w:rsid w:val="00072585"/>
    <w:rsid w:val="00077768"/>
    <w:rsid w:val="00081497"/>
    <w:rsid w:val="000831EC"/>
    <w:rsid w:val="00083699"/>
    <w:rsid w:val="00084126"/>
    <w:rsid w:val="00085255"/>
    <w:rsid w:val="000901D2"/>
    <w:rsid w:val="000A2E76"/>
    <w:rsid w:val="000A4807"/>
    <w:rsid w:val="000A4BE4"/>
    <w:rsid w:val="000C023E"/>
    <w:rsid w:val="000C405D"/>
    <w:rsid w:val="000C5195"/>
    <w:rsid w:val="000C62EF"/>
    <w:rsid w:val="000D2137"/>
    <w:rsid w:val="000D3FD2"/>
    <w:rsid w:val="000D4B2E"/>
    <w:rsid w:val="000E3FC8"/>
    <w:rsid w:val="000E7BAE"/>
    <w:rsid w:val="000F133D"/>
    <w:rsid w:val="000F13DA"/>
    <w:rsid w:val="000F450C"/>
    <w:rsid w:val="001031EF"/>
    <w:rsid w:val="0010536B"/>
    <w:rsid w:val="0011145C"/>
    <w:rsid w:val="001128BD"/>
    <w:rsid w:val="0011419D"/>
    <w:rsid w:val="00114B02"/>
    <w:rsid w:val="00115E61"/>
    <w:rsid w:val="001213C3"/>
    <w:rsid w:val="001226C0"/>
    <w:rsid w:val="0012296C"/>
    <w:rsid w:val="00126EC8"/>
    <w:rsid w:val="0012731C"/>
    <w:rsid w:val="00132054"/>
    <w:rsid w:val="00134964"/>
    <w:rsid w:val="001351B9"/>
    <w:rsid w:val="001475D4"/>
    <w:rsid w:val="00153D80"/>
    <w:rsid w:val="00155234"/>
    <w:rsid w:val="00155CD2"/>
    <w:rsid w:val="00161753"/>
    <w:rsid w:val="00162410"/>
    <w:rsid w:val="001727A4"/>
    <w:rsid w:val="0017376C"/>
    <w:rsid w:val="001738AB"/>
    <w:rsid w:val="001765E0"/>
    <w:rsid w:val="00177759"/>
    <w:rsid w:val="00180BB3"/>
    <w:rsid w:val="001815B8"/>
    <w:rsid w:val="0018452D"/>
    <w:rsid w:val="00185DD6"/>
    <w:rsid w:val="00185E6B"/>
    <w:rsid w:val="00187BBC"/>
    <w:rsid w:val="001932F3"/>
    <w:rsid w:val="0019695D"/>
    <w:rsid w:val="001A04E5"/>
    <w:rsid w:val="001A2B40"/>
    <w:rsid w:val="001A38BE"/>
    <w:rsid w:val="001A4309"/>
    <w:rsid w:val="001A46AE"/>
    <w:rsid w:val="001A6C52"/>
    <w:rsid w:val="001B1053"/>
    <w:rsid w:val="001B14AC"/>
    <w:rsid w:val="001B5F2F"/>
    <w:rsid w:val="001B6862"/>
    <w:rsid w:val="001B7940"/>
    <w:rsid w:val="001B7950"/>
    <w:rsid w:val="001C171A"/>
    <w:rsid w:val="001C2552"/>
    <w:rsid w:val="001C2FE0"/>
    <w:rsid w:val="001C37CA"/>
    <w:rsid w:val="001C4085"/>
    <w:rsid w:val="001D0085"/>
    <w:rsid w:val="001D2AD8"/>
    <w:rsid w:val="001D4303"/>
    <w:rsid w:val="001D6746"/>
    <w:rsid w:val="001D7B83"/>
    <w:rsid w:val="001E0C61"/>
    <w:rsid w:val="001E3B49"/>
    <w:rsid w:val="001E4A05"/>
    <w:rsid w:val="001E6A19"/>
    <w:rsid w:val="001E7388"/>
    <w:rsid w:val="001F13DD"/>
    <w:rsid w:val="001F2473"/>
    <w:rsid w:val="001F2DBC"/>
    <w:rsid w:val="001F73E8"/>
    <w:rsid w:val="00200A0A"/>
    <w:rsid w:val="0020262C"/>
    <w:rsid w:val="00202723"/>
    <w:rsid w:val="00211A3E"/>
    <w:rsid w:val="002130FE"/>
    <w:rsid w:val="00213F20"/>
    <w:rsid w:val="00214055"/>
    <w:rsid w:val="00215BCA"/>
    <w:rsid w:val="002160F5"/>
    <w:rsid w:val="002178D9"/>
    <w:rsid w:val="00217AC4"/>
    <w:rsid w:val="00220D04"/>
    <w:rsid w:val="00221461"/>
    <w:rsid w:val="00224537"/>
    <w:rsid w:val="0023172C"/>
    <w:rsid w:val="00232FBC"/>
    <w:rsid w:val="00235956"/>
    <w:rsid w:val="002406F3"/>
    <w:rsid w:val="00243D96"/>
    <w:rsid w:val="00243E5E"/>
    <w:rsid w:val="002467A6"/>
    <w:rsid w:val="00247C9A"/>
    <w:rsid w:val="0025160C"/>
    <w:rsid w:val="0025338C"/>
    <w:rsid w:val="002535D0"/>
    <w:rsid w:val="002539B3"/>
    <w:rsid w:val="00256336"/>
    <w:rsid w:val="002571D2"/>
    <w:rsid w:val="00257C3E"/>
    <w:rsid w:val="002602C2"/>
    <w:rsid w:val="002666C9"/>
    <w:rsid w:val="00267792"/>
    <w:rsid w:val="00270136"/>
    <w:rsid w:val="00270FD7"/>
    <w:rsid w:val="00274F5B"/>
    <w:rsid w:val="00275D1D"/>
    <w:rsid w:val="00280836"/>
    <w:rsid w:val="00282167"/>
    <w:rsid w:val="00282E1A"/>
    <w:rsid w:val="00283AAA"/>
    <w:rsid w:val="002840F1"/>
    <w:rsid w:val="00284340"/>
    <w:rsid w:val="00285922"/>
    <w:rsid w:val="0029113B"/>
    <w:rsid w:val="002934C0"/>
    <w:rsid w:val="00293E1F"/>
    <w:rsid w:val="0029764C"/>
    <w:rsid w:val="002A1B50"/>
    <w:rsid w:val="002A4E3B"/>
    <w:rsid w:val="002A5561"/>
    <w:rsid w:val="002B0E91"/>
    <w:rsid w:val="002B132C"/>
    <w:rsid w:val="002B367B"/>
    <w:rsid w:val="002B3F23"/>
    <w:rsid w:val="002B4EB5"/>
    <w:rsid w:val="002B5AF5"/>
    <w:rsid w:val="002B6779"/>
    <w:rsid w:val="002B71C0"/>
    <w:rsid w:val="002B7725"/>
    <w:rsid w:val="002B7A34"/>
    <w:rsid w:val="002C19AF"/>
    <w:rsid w:val="002C31AD"/>
    <w:rsid w:val="002C7385"/>
    <w:rsid w:val="002D049F"/>
    <w:rsid w:val="002D068B"/>
    <w:rsid w:val="002D2DBB"/>
    <w:rsid w:val="002D37D8"/>
    <w:rsid w:val="002D3BA4"/>
    <w:rsid w:val="002D4E2A"/>
    <w:rsid w:val="002D54A6"/>
    <w:rsid w:val="002E3779"/>
    <w:rsid w:val="002E5AD2"/>
    <w:rsid w:val="002E5BF9"/>
    <w:rsid w:val="002E6A7A"/>
    <w:rsid w:val="002E7B6B"/>
    <w:rsid w:val="002F02FB"/>
    <w:rsid w:val="002F1E49"/>
    <w:rsid w:val="002F4E9C"/>
    <w:rsid w:val="002F6E15"/>
    <w:rsid w:val="00302F4E"/>
    <w:rsid w:val="0031256C"/>
    <w:rsid w:val="00314D6C"/>
    <w:rsid w:val="00316D2A"/>
    <w:rsid w:val="00321AB3"/>
    <w:rsid w:val="00322A7C"/>
    <w:rsid w:val="00322EEC"/>
    <w:rsid w:val="00323061"/>
    <w:rsid w:val="00323AAF"/>
    <w:rsid w:val="0033227C"/>
    <w:rsid w:val="00334DB7"/>
    <w:rsid w:val="00335E9F"/>
    <w:rsid w:val="003402D3"/>
    <w:rsid w:val="0034068E"/>
    <w:rsid w:val="00343ABC"/>
    <w:rsid w:val="00345735"/>
    <w:rsid w:val="003463FE"/>
    <w:rsid w:val="003472FC"/>
    <w:rsid w:val="00347D41"/>
    <w:rsid w:val="003554B3"/>
    <w:rsid w:val="00356632"/>
    <w:rsid w:val="003577D1"/>
    <w:rsid w:val="00357C7E"/>
    <w:rsid w:val="003653B6"/>
    <w:rsid w:val="00370327"/>
    <w:rsid w:val="00374CC4"/>
    <w:rsid w:val="003774B2"/>
    <w:rsid w:val="00380F2D"/>
    <w:rsid w:val="003845A9"/>
    <w:rsid w:val="003850C9"/>
    <w:rsid w:val="00390883"/>
    <w:rsid w:val="003922F8"/>
    <w:rsid w:val="00393EC7"/>
    <w:rsid w:val="00395B24"/>
    <w:rsid w:val="00397DA9"/>
    <w:rsid w:val="003A2D38"/>
    <w:rsid w:val="003A305C"/>
    <w:rsid w:val="003A7ECC"/>
    <w:rsid w:val="003B2C72"/>
    <w:rsid w:val="003B58B4"/>
    <w:rsid w:val="003B6C9F"/>
    <w:rsid w:val="003C119F"/>
    <w:rsid w:val="003C1333"/>
    <w:rsid w:val="003C20FF"/>
    <w:rsid w:val="003C550A"/>
    <w:rsid w:val="003C6055"/>
    <w:rsid w:val="003C64C3"/>
    <w:rsid w:val="003D1F7D"/>
    <w:rsid w:val="003D2650"/>
    <w:rsid w:val="003D560C"/>
    <w:rsid w:val="003D5C00"/>
    <w:rsid w:val="003D68DF"/>
    <w:rsid w:val="003E0962"/>
    <w:rsid w:val="003E3154"/>
    <w:rsid w:val="003E5874"/>
    <w:rsid w:val="003E72D3"/>
    <w:rsid w:val="003F193E"/>
    <w:rsid w:val="003F242C"/>
    <w:rsid w:val="003F34F1"/>
    <w:rsid w:val="0040233A"/>
    <w:rsid w:val="004031D8"/>
    <w:rsid w:val="004045C1"/>
    <w:rsid w:val="004104B6"/>
    <w:rsid w:val="00411AE8"/>
    <w:rsid w:val="00411B58"/>
    <w:rsid w:val="0041200F"/>
    <w:rsid w:val="00413B74"/>
    <w:rsid w:val="004342F3"/>
    <w:rsid w:val="004357AC"/>
    <w:rsid w:val="00435C5F"/>
    <w:rsid w:val="00436155"/>
    <w:rsid w:val="00436460"/>
    <w:rsid w:val="00441E98"/>
    <w:rsid w:val="004446FA"/>
    <w:rsid w:val="0044614D"/>
    <w:rsid w:val="00447575"/>
    <w:rsid w:val="00447E83"/>
    <w:rsid w:val="00450F3A"/>
    <w:rsid w:val="004532F7"/>
    <w:rsid w:val="0046333E"/>
    <w:rsid w:val="00464D51"/>
    <w:rsid w:val="0046797F"/>
    <w:rsid w:val="00472027"/>
    <w:rsid w:val="004804CF"/>
    <w:rsid w:val="00483314"/>
    <w:rsid w:val="00484962"/>
    <w:rsid w:val="00484F6D"/>
    <w:rsid w:val="00484FB7"/>
    <w:rsid w:val="0048554D"/>
    <w:rsid w:val="0049338A"/>
    <w:rsid w:val="0049417F"/>
    <w:rsid w:val="004961CA"/>
    <w:rsid w:val="00496D41"/>
    <w:rsid w:val="00497B77"/>
    <w:rsid w:val="004A08D3"/>
    <w:rsid w:val="004A6602"/>
    <w:rsid w:val="004B3EFA"/>
    <w:rsid w:val="004C2A87"/>
    <w:rsid w:val="004C4D7B"/>
    <w:rsid w:val="004C4ED3"/>
    <w:rsid w:val="004C667B"/>
    <w:rsid w:val="004C7ECD"/>
    <w:rsid w:val="004D2EA5"/>
    <w:rsid w:val="004D32A6"/>
    <w:rsid w:val="004D53E5"/>
    <w:rsid w:val="004D7950"/>
    <w:rsid w:val="004E2545"/>
    <w:rsid w:val="004E32A1"/>
    <w:rsid w:val="004E6477"/>
    <w:rsid w:val="004E6DC4"/>
    <w:rsid w:val="004F21C1"/>
    <w:rsid w:val="004F22DA"/>
    <w:rsid w:val="004F5A48"/>
    <w:rsid w:val="004F7A75"/>
    <w:rsid w:val="00501A12"/>
    <w:rsid w:val="0050309C"/>
    <w:rsid w:val="00504F86"/>
    <w:rsid w:val="005107EF"/>
    <w:rsid w:val="0051327C"/>
    <w:rsid w:val="0051346D"/>
    <w:rsid w:val="00513EAE"/>
    <w:rsid w:val="0051434F"/>
    <w:rsid w:val="00516806"/>
    <w:rsid w:val="0052098C"/>
    <w:rsid w:val="005254D6"/>
    <w:rsid w:val="00525A49"/>
    <w:rsid w:val="005262D1"/>
    <w:rsid w:val="00530876"/>
    <w:rsid w:val="00534EF3"/>
    <w:rsid w:val="00535613"/>
    <w:rsid w:val="005359EB"/>
    <w:rsid w:val="005417C5"/>
    <w:rsid w:val="005420B5"/>
    <w:rsid w:val="0054254A"/>
    <w:rsid w:val="0054500B"/>
    <w:rsid w:val="005466B5"/>
    <w:rsid w:val="0055279B"/>
    <w:rsid w:val="00552F0A"/>
    <w:rsid w:val="00554314"/>
    <w:rsid w:val="005549EA"/>
    <w:rsid w:val="00562829"/>
    <w:rsid w:val="005629B3"/>
    <w:rsid w:val="00564C98"/>
    <w:rsid w:val="0057128A"/>
    <w:rsid w:val="005724F6"/>
    <w:rsid w:val="00573AC4"/>
    <w:rsid w:val="0057708D"/>
    <w:rsid w:val="0057794B"/>
    <w:rsid w:val="005801FC"/>
    <w:rsid w:val="00585BA9"/>
    <w:rsid w:val="00587359"/>
    <w:rsid w:val="005900F0"/>
    <w:rsid w:val="005902F7"/>
    <w:rsid w:val="00595016"/>
    <w:rsid w:val="00595789"/>
    <w:rsid w:val="00595D31"/>
    <w:rsid w:val="00597AAE"/>
    <w:rsid w:val="00597BBA"/>
    <w:rsid w:val="005A222C"/>
    <w:rsid w:val="005A4DF8"/>
    <w:rsid w:val="005A78C8"/>
    <w:rsid w:val="005A7E3F"/>
    <w:rsid w:val="005B1426"/>
    <w:rsid w:val="005B338B"/>
    <w:rsid w:val="005C0A8E"/>
    <w:rsid w:val="005C1767"/>
    <w:rsid w:val="005C185C"/>
    <w:rsid w:val="005C42EF"/>
    <w:rsid w:val="005C6304"/>
    <w:rsid w:val="005C7784"/>
    <w:rsid w:val="005E02F5"/>
    <w:rsid w:val="005E0510"/>
    <w:rsid w:val="005E176E"/>
    <w:rsid w:val="005E218E"/>
    <w:rsid w:val="005E35A0"/>
    <w:rsid w:val="005E5841"/>
    <w:rsid w:val="005F0D1B"/>
    <w:rsid w:val="005F1865"/>
    <w:rsid w:val="005F3F1F"/>
    <w:rsid w:val="005F4427"/>
    <w:rsid w:val="006007BD"/>
    <w:rsid w:val="006013C8"/>
    <w:rsid w:val="0060270D"/>
    <w:rsid w:val="00604342"/>
    <w:rsid w:val="00604611"/>
    <w:rsid w:val="00610DA4"/>
    <w:rsid w:val="00611586"/>
    <w:rsid w:val="00612D26"/>
    <w:rsid w:val="00615855"/>
    <w:rsid w:val="00620039"/>
    <w:rsid w:val="00620DA8"/>
    <w:rsid w:val="00621887"/>
    <w:rsid w:val="00624520"/>
    <w:rsid w:val="006271F5"/>
    <w:rsid w:val="00632300"/>
    <w:rsid w:val="00632BB7"/>
    <w:rsid w:val="00635B36"/>
    <w:rsid w:val="00636871"/>
    <w:rsid w:val="00640EE1"/>
    <w:rsid w:val="00640F4E"/>
    <w:rsid w:val="00642A75"/>
    <w:rsid w:val="00643A35"/>
    <w:rsid w:val="00643DE0"/>
    <w:rsid w:val="0064437D"/>
    <w:rsid w:val="00644E85"/>
    <w:rsid w:val="006516D8"/>
    <w:rsid w:val="00652C52"/>
    <w:rsid w:val="0066063F"/>
    <w:rsid w:val="00662BB0"/>
    <w:rsid w:val="00663878"/>
    <w:rsid w:val="00667114"/>
    <w:rsid w:val="00667773"/>
    <w:rsid w:val="00670743"/>
    <w:rsid w:val="00680A85"/>
    <w:rsid w:val="00681ADF"/>
    <w:rsid w:val="00690EE2"/>
    <w:rsid w:val="00693854"/>
    <w:rsid w:val="00694BEB"/>
    <w:rsid w:val="006A0E20"/>
    <w:rsid w:val="006A24E3"/>
    <w:rsid w:val="006A5695"/>
    <w:rsid w:val="006B0439"/>
    <w:rsid w:val="006B3904"/>
    <w:rsid w:val="006B5B7D"/>
    <w:rsid w:val="006C21DB"/>
    <w:rsid w:val="006C5B46"/>
    <w:rsid w:val="006C6E39"/>
    <w:rsid w:val="006D0ECF"/>
    <w:rsid w:val="006D3D5B"/>
    <w:rsid w:val="006D476D"/>
    <w:rsid w:val="006D4C61"/>
    <w:rsid w:val="006D4C92"/>
    <w:rsid w:val="006D4EB6"/>
    <w:rsid w:val="006D7FBC"/>
    <w:rsid w:val="006E35BF"/>
    <w:rsid w:val="006E7850"/>
    <w:rsid w:val="006F0563"/>
    <w:rsid w:val="006F1711"/>
    <w:rsid w:val="006F19D8"/>
    <w:rsid w:val="006F30C6"/>
    <w:rsid w:val="006F46D6"/>
    <w:rsid w:val="006F4BBB"/>
    <w:rsid w:val="006F654F"/>
    <w:rsid w:val="006F7395"/>
    <w:rsid w:val="007028D9"/>
    <w:rsid w:val="00707218"/>
    <w:rsid w:val="00710D04"/>
    <w:rsid w:val="00712B1D"/>
    <w:rsid w:val="00713A9C"/>
    <w:rsid w:val="00715751"/>
    <w:rsid w:val="00715B91"/>
    <w:rsid w:val="007171BA"/>
    <w:rsid w:val="00717616"/>
    <w:rsid w:val="007325D9"/>
    <w:rsid w:val="00732638"/>
    <w:rsid w:val="0073413F"/>
    <w:rsid w:val="0073583B"/>
    <w:rsid w:val="007360CA"/>
    <w:rsid w:val="00737CE1"/>
    <w:rsid w:val="0074667B"/>
    <w:rsid w:val="007470BD"/>
    <w:rsid w:val="0075585B"/>
    <w:rsid w:val="00760EC0"/>
    <w:rsid w:val="00761C81"/>
    <w:rsid w:val="007657B9"/>
    <w:rsid w:val="007711BD"/>
    <w:rsid w:val="0078003A"/>
    <w:rsid w:val="00780194"/>
    <w:rsid w:val="00780771"/>
    <w:rsid w:val="00791F15"/>
    <w:rsid w:val="007929CF"/>
    <w:rsid w:val="0079323F"/>
    <w:rsid w:val="00794767"/>
    <w:rsid w:val="00797BA8"/>
    <w:rsid w:val="007A081D"/>
    <w:rsid w:val="007A49E7"/>
    <w:rsid w:val="007A6F28"/>
    <w:rsid w:val="007A7361"/>
    <w:rsid w:val="007A78C8"/>
    <w:rsid w:val="007B03C6"/>
    <w:rsid w:val="007B0DB1"/>
    <w:rsid w:val="007B167E"/>
    <w:rsid w:val="007B5673"/>
    <w:rsid w:val="007B7238"/>
    <w:rsid w:val="007B76FF"/>
    <w:rsid w:val="007C3BF6"/>
    <w:rsid w:val="007C67B3"/>
    <w:rsid w:val="007D0FD2"/>
    <w:rsid w:val="007D2EF8"/>
    <w:rsid w:val="007D561F"/>
    <w:rsid w:val="007D7FD2"/>
    <w:rsid w:val="007E0799"/>
    <w:rsid w:val="007E13D9"/>
    <w:rsid w:val="007E2AEC"/>
    <w:rsid w:val="007E41BE"/>
    <w:rsid w:val="007E4DB6"/>
    <w:rsid w:val="007E6459"/>
    <w:rsid w:val="007E6733"/>
    <w:rsid w:val="007E7CD4"/>
    <w:rsid w:val="007F12AC"/>
    <w:rsid w:val="007F21DF"/>
    <w:rsid w:val="007F4501"/>
    <w:rsid w:val="007F51CE"/>
    <w:rsid w:val="007F60DF"/>
    <w:rsid w:val="00801800"/>
    <w:rsid w:val="00801861"/>
    <w:rsid w:val="00801B5B"/>
    <w:rsid w:val="00805A30"/>
    <w:rsid w:val="00810FA5"/>
    <w:rsid w:val="00815CB2"/>
    <w:rsid w:val="00820189"/>
    <w:rsid w:val="008209AA"/>
    <w:rsid w:val="008216E7"/>
    <w:rsid w:val="00823B0B"/>
    <w:rsid w:val="00825BE6"/>
    <w:rsid w:val="008276B4"/>
    <w:rsid w:val="00831927"/>
    <w:rsid w:val="00837288"/>
    <w:rsid w:val="00840875"/>
    <w:rsid w:val="00841BD3"/>
    <w:rsid w:val="0084273D"/>
    <w:rsid w:val="00843D6B"/>
    <w:rsid w:val="00844E3F"/>
    <w:rsid w:val="00845A83"/>
    <w:rsid w:val="00845D8E"/>
    <w:rsid w:val="00846BB9"/>
    <w:rsid w:val="00855EF5"/>
    <w:rsid w:val="00860324"/>
    <w:rsid w:val="0086254B"/>
    <w:rsid w:val="008634AC"/>
    <w:rsid w:val="008649D5"/>
    <w:rsid w:val="00865CE8"/>
    <w:rsid w:val="008712BB"/>
    <w:rsid w:val="008830E7"/>
    <w:rsid w:val="00890EDE"/>
    <w:rsid w:val="00892B38"/>
    <w:rsid w:val="00894A9F"/>
    <w:rsid w:val="008A1741"/>
    <w:rsid w:val="008A2484"/>
    <w:rsid w:val="008A52F3"/>
    <w:rsid w:val="008B1A08"/>
    <w:rsid w:val="008C05E6"/>
    <w:rsid w:val="008C26D9"/>
    <w:rsid w:val="008C6D50"/>
    <w:rsid w:val="008C7167"/>
    <w:rsid w:val="008C7503"/>
    <w:rsid w:val="008D1617"/>
    <w:rsid w:val="008D330F"/>
    <w:rsid w:val="008D48C1"/>
    <w:rsid w:val="008D5FA3"/>
    <w:rsid w:val="008D7F37"/>
    <w:rsid w:val="008E6315"/>
    <w:rsid w:val="008F0480"/>
    <w:rsid w:val="008F07FC"/>
    <w:rsid w:val="008F11E0"/>
    <w:rsid w:val="008F3EA7"/>
    <w:rsid w:val="008F78BC"/>
    <w:rsid w:val="008F7B63"/>
    <w:rsid w:val="008F7D6A"/>
    <w:rsid w:val="0090117D"/>
    <w:rsid w:val="00901B47"/>
    <w:rsid w:val="00901C86"/>
    <w:rsid w:val="00903603"/>
    <w:rsid w:val="009054CB"/>
    <w:rsid w:val="00906427"/>
    <w:rsid w:val="00911783"/>
    <w:rsid w:val="00911F8D"/>
    <w:rsid w:val="00912F94"/>
    <w:rsid w:val="009171BC"/>
    <w:rsid w:val="00922FAC"/>
    <w:rsid w:val="00923711"/>
    <w:rsid w:val="0092497E"/>
    <w:rsid w:val="0092590B"/>
    <w:rsid w:val="00925BF3"/>
    <w:rsid w:val="00925E60"/>
    <w:rsid w:val="009264B3"/>
    <w:rsid w:val="00931E4C"/>
    <w:rsid w:val="009365E0"/>
    <w:rsid w:val="00942BA2"/>
    <w:rsid w:val="009432B7"/>
    <w:rsid w:val="00944C86"/>
    <w:rsid w:val="009451E6"/>
    <w:rsid w:val="00947C02"/>
    <w:rsid w:val="00950BE6"/>
    <w:rsid w:val="009531F7"/>
    <w:rsid w:val="0095709B"/>
    <w:rsid w:val="00957DE8"/>
    <w:rsid w:val="00960780"/>
    <w:rsid w:val="00960ECB"/>
    <w:rsid w:val="009615D6"/>
    <w:rsid w:val="009661D5"/>
    <w:rsid w:val="00966623"/>
    <w:rsid w:val="00967855"/>
    <w:rsid w:val="00967B0F"/>
    <w:rsid w:val="00971CD1"/>
    <w:rsid w:val="00974027"/>
    <w:rsid w:val="00974709"/>
    <w:rsid w:val="00976D1A"/>
    <w:rsid w:val="009801AE"/>
    <w:rsid w:val="00980736"/>
    <w:rsid w:val="00981A39"/>
    <w:rsid w:val="00982D56"/>
    <w:rsid w:val="00983DBF"/>
    <w:rsid w:val="00987097"/>
    <w:rsid w:val="00990568"/>
    <w:rsid w:val="00990A78"/>
    <w:rsid w:val="00991123"/>
    <w:rsid w:val="00991CAB"/>
    <w:rsid w:val="009A2D1C"/>
    <w:rsid w:val="009A3A9C"/>
    <w:rsid w:val="009B046C"/>
    <w:rsid w:val="009B13FA"/>
    <w:rsid w:val="009B1E2D"/>
    <w:rsid w:val="009B657F"/>
    <w:rsid w:val="009C1064"/>
    <w:rsid w:val="009C288E"/>
    <w:rsid w:val="009C4201"/>
    <w:rsid w:val="009C59FB"/>
    <w:rsid w:val="009C6F3B"/>
    <w:rsid w:val="009D1467"/>
    <w:rsid w:val="009D328D"/>
    <w:rsid w:val="009D7E31"/>
    <w:rsid w:val="009E4FA6"/>
    <w:rsid w:val="009E7CA4"/>
    <w:rsid w:val="009E7D93"/>
    <w:rsid w:val="009F3C34"/>
    <w:rsid w:val="009F462C"/>
    <w:rsid w:val="009F5C33"/>
    <w:rsid w:val="00A026F0"/>
    <w:rsid w:val="00A03EAC"/>
    <w:rsid w:val="00A04DBB"/>
    <w:rsid w:val="00A070C3"/>
    <w:rsid w:val="00A07EA0"/>
    <w:rsid w:val="00A11CA6"/>
    <w:rsid w:val="00A16161"/>
    <w:rsid w:val="00A20C49"/>
    <w:rsid w:val="00A22932"/>
    <w:rsid w:val="00A269CA"/>
    <w:rsid w:val="00A336EE"/>
    <w:rsid w:val="00A33F46"/>
    <w:rsid w:val="00A3427E"/>
    <w:rsid w:val="00A359AC"/>
    <w:rsid w:val="00A40F83"/>
    <w:rsid w:val="00A410FB"/>
    <w:rsid w:val="00A41413"/>
    <w:rsid w:val="00A431E6"/>
    <w:rsid w:val="00A436E8"/>
    <w:rsid w:val="00A44DE2"/>
    <w:rsid w:val="00A45FB1"/>
    <w:rsid w:val="00A460F2"/>
    <w:rsid w:val="00A46A0F"/>
    <w:rsid w:val="00A46CCC"/>
    <w:rsid w:val="00A47996"/>
    <w:rsid w:val="00A50FAD"/>
    <w:rsid w:val="00A51CFE"/>
    <w:rsid w:val="00A5204D"/>
    <w:rsid w:val="00A54D27"/>
    <w:rsid w:val="00A56E77"/>
    <w:rsid w:val="00A61605"/>
    <w:rsid w:val="00A65CA8"/>
    <w:rsid w:val="00A65F97"/>
    <w:rsid w:val="00A73B04"/>
    <w:rsid w:val="00A7623F"/>
    <w:rsid w:val="00A76878"/>
    <w:rsid w:val="00A76C13"/>
    <w:rsid w:val="00A77C1C"/>
    <w:rsid w:val="00A84FD0"/>
    <w:rsid w:val="00A92E79"/>
    <w:rsid w:val="00A930D3"/>
    <w:rsid w:val="00A950B6"/>
    <w:rsid w:val="00A95D45"/>
    <w:rsid w:val="00AA3EA8"/>
    <w:rsid w:val="00AB41C1"/>
    <w:rsid w:val="00AB4CF2"/>
    <w:rsid w:val="00AB6CCA"/>
    <w:rsid w:val="00AC223F"/>
    <w:rsid w:val="00AC33B1"/>
    <w:rsid w:val="00AC4EEB"/>
    <w:rsid w:val="00AD12A8"/>
    <w:rsid w:val="00AD5084"/>
    <w:rsid w:val="00AD63BB"/>
    <w:rsid w:val="00AE023F"/>
    <w:rsid w:val="00AF1671"/>
    <w:rsid w:val="00AF2607"/>
    <w:rsid w:val="00AF3577"/>
    <w:rsid w:val="00AF35F9"/>
    <w:rsid w:val="00B0424C"/>
    <w:rsid w:val="00B05C7D"/>
    <w:rsid w:val="00B113F0"/>
    <w:rsid w:val="00B15D57"/>
    <w:rsid w:val="00B15F4E"/>
    <w:rsid w:val="00B16347"/>
    <w:rsid w:val="00B17D6E"/>
    <w:rsid w:val="00B212E3"/>
    <w:rsid w:val="00B2435E"/>
    <w:rsid w:val="00B346C3"/>
    <w:rsid w:val="00B35089"/>
    <w:rsid w:val="00B4005C"/>
    <w:rsid w:val="00B4227E"/>
    <w:rsid w:val="00B4471C"/>
    <w:rsid w:val="00B451A6"/>
    <w:rsid w:val="00B56D6E"/>
    <w:rsid w:val="00B64347"/>
    <w:rsid w:val="00B65DC6"/>
    <w:rsid w:val="00B67AC2"/>
    <w:rsid w:val="00B722DE"/>
    <w:rsid w:val="00B751E3"/>
    <w:rsid w:val="00B7595F"/>
    <w:rsid w:val="00B75BA6"/>
    <w:rsid w:val="00B76C44"/>
    <w:rsid w:val="00B8184A"/>
    <w:rsid w:val="00B82283"/>
    <w:rsid w:val="00B828D8"/>
    <w:rsid w:val="00B83F87"/>
    <w:rsid w:val="00B87CDC"/>
    <w:rsid w:val="00B910C1"/>
    <w:rsid w:val="00B948F9"/>
    <w:rsid w:val="00BA2A07"/>
    <w:rsid w:val="00BA2CA4"/>
    <w:rsid w:val="00BA2EFA"/>
    <w:rsid w:val="00BA3DBC"/>
    <w:rsid w:val="00BA707A"/>
    <w:rsid w:val="00BB1AFB"/>
    <w:rsid w:val="00BB27AE"/>
    <w:rsid w:val="00BB2DA2"/>
    <w:rsid w:val="00BB32FB"/>
    <w:rsid w:val="00BB56DC"/>
    <w:rsid w:val="00BD2823"/>
    <w:rsid w:val="00BD37F4"/>
    <w:rsid w:val="00BD4B4E"/>
    <w:rsid w:val="00BE183D"/>
    <w:rsid w:val="00BE19A3"/>
    <w:rsid w:val="00BE266A"/>
    <w:rsid w:val="00BE356B"/>
    <w:rsid w:val="00BE554A"/>
    <w:rsid w:val="00BE7750"/>
    <w:rsid w:val="00BF0D0A"/>
    <w:rsid w:val="00BF24C2"/>
    <w:rsid w:val="00BF2922"/>
    <w:rsid w:val="00BF3531"/>
    <w:rsid w:val="00BF5D7A"/>
    <w:rsid w:val="00C01C2E"/>
    <w:rsid w:val="00C02213"/>
    <w:rsid w:val="00C02D33"/>
    <w:rsid w:val="00C04B53"/>
    <w:rsid w:val="00C04FF6"/>
    <w:rsid w:val="00C1232C"/>
    <w:rsid w:val="00C16028"/>
    <w:rsid w:val="00C17EC6"/>
    <w:rsid w:val="00C22535"/>
    <w:rsid w:val="00C26FF7"/>
    <w:rsid w:val="00C27C6B"/>
    <w:rsid w:val="00C322A5"/>
    <w:rsid w:val="00C3594D"/>
    <w:rsid w:val="00C36442"/>
    <w:rsid w:val="00C3758A"/>
    <w:rsid w:val="00C400CE"/>
    <w:rsid w:val="00C410FD"/>
    <w:rsid w:val="00C44471"/>
    <w:rsid w:val="00C4488A"/>
    <w:rsid w:val="00C457DE"/>
    <w:rsid w:val="00C47212"/>
    <w:rsid w:val="00C47DD3"/>
    <w:rsid w:val="00C5316F"/>
    <w:rsid w:val="00C53562"/>
    <w:rsid w:val="00C539FB"/>
    <w:rsid w:val="00C632F5"/>
    <w:rsid w:val="00C66AA3"/>
    <w:rsid w:val="00C66E57"/>
    <w:rsid w:val="00C724D7"/>
    <w:rsid w:val="00C74150"/>
    <w:rsid w:val="00C75594"/>
    <w:rsid w:val="00C8458A"/>
    <w:rsid w:val="00C85982"/>
    <w:rsid w:val="00C86182"/>
    <w:rsid w:val="00C91B24"/>
    <w:rsid w:val="00C931DC"/>
    <w:rsid w:val="00C97AC0"/>
    <w:rsid w:val="00CA0466"/>
    <w:rsid w:val="00CA246D"/>
    <w:rsid w:val="00CA50D9"/>
    <w:rsid w:val="00CB3054"/>
    <w:rsid w:val="00CB5636"/>
    <w:rsid w:val="00CB5F30"/>
    <w:rsid w:val="00CB65C9"/>
    <w:rsid w:val="00CB7D64"/>
    <w:rsid w:val="00CC3EE5"/>
    <w:rsid w:val="00CC6E47"/>
    <w:rsid w:val="00CD1346"/>
    <w:rsid w:val="00CD1E8D"/>
    <w:rsid w:val="00CD3D94"/>
    <w:rsid w:val="00CE19FC"/>
    <w:rsid w:val="00CE22CE"/>
    <w:rsid w:val="00CE425C"/>
    <w:rsid w:val="00CE58AC"/>
    <w:rsid w:val="00CE71A8"/>
    <w:rsid w:val="00CF5063"/>
    <w:rsid w:val="00CF5A80"/>
    <w:rsid w:val="00CF5B61"/>
    <w:rsid w:val="00D028F3"/>
    <w:rsid w:val="00D045EE"/>
    <w:rsid w:val="00D05091"/>
    <w:rsid w:val="00D10CA6"/>
    <w:rsid w:val="00D10F21"/>
    <w:rsid w:val="00D134CF"/>
    <w:rsid w:val="00D1573B"/>
    <w:rsid w:val="00D16C83"/>
    <w:rsid w:val="00D204ED"/>
    <w:rsid w:val="00D240B1"/>
    <w:rsid w:val="00D24806"/>
    <w:rsid w:val="00D34040"/>
    <w:rsid w:val="00D34E69"/>
    <w:rsid w:val="00D36C78"/>
    <w:rsid w:val="00D375EE"/>
    <w:rsid w:val="00D40553"/>
    <w:rsid w:val="00D43415"/>
    <w:rsid w:val="00D54564"/>
    <w:rsid w:val="00D555A4"/>
    <w:rsid w:val="00D55AE8"/>
    <w:rsid w:val="00D55E77"/>
    <w:rsid w:val="00D56056"/>
    <w:rsid w:val="00D6085F"/>
    <w:rsid w:val="00D62699"/>
    <w:rsid w:val="00D72330"/>
    <w:rsid w:val="00D778E9"/>
    <w:rsid w:val="00D812BF"/>
    <w:rsid w:val="00D82620"/>
    <w:rsid w:val="00D85707"/>
    <w:rsid w:val="00D94D58"/>
    <w:rsid w:val="00D9725F"/>
    <w:rsid w:val="00DA01B1"/>
    <w:rsid w:val="00DA11A2"/>
    <w:rsid w:val="00DA14ED"/>
    <w:rsid w:val="00DA26D6"/>
    <w:rsid w:val="00DB2EF1"/>
    <w:rsid w:val="00DB3DE1"/>
    <w:rsid w:val="00DB5DA0"/>
    <w:rsid w:val="00DB65BC"/>
    <w:rsid w:val="00DB716C"/>
    <w:rsid w:val="00DC5C85"/>
    <w:rsid w:val="00DC7C5D"/>
    <w:rsid w:val="00DD1268"/>
    <w:rsid w:val="00DD1BBE"/>
    <w:rsid w:val="00DD4236"/>
    <w:rsid w:val="00DD44F1"/>
    <w:rsid w:val="00DD6957"/>
    <w:rsid w:val="00DD6E7A"/>
    <w:rsid w:val="00DE3067"/>
    <w:rsid w:val="00DF3EEE"/>
    <w:rsid w:val="00DF75E1"/>
    <w:rsid w:val="00E027BC"/>
    <w:rsid w:val="00E03F22"/>
    <w:rsid w:val="00E045BE"/>
    <w:rsid w:val="00E10F0D"/>
    <w:rsid w:val="00E13C7B"/>
    <w:rsid w:val="00E14EA5"/>
    <w:rsid w:val="00E200C2"/>
    <w:rsid w:val="00E2070E"/>
    <w:rsid w:val="00E21133"/>
    <w:rsid w:val="00E22CBE"/>
    <w:rsid w:val="00E2327E"/>
    <w:rsid w:val="00E23577"/>
    <w:rsid w:val="00E266EF"/>
    <w:rsid w:val="00E325F9"/>
    <w:rsid w:val="00E326A8"/>
    <w:rsid w:val="00E47428"/>
    <w:rsid w:val="00E5257B"/>
    <w:rsid w:val="00E56C8E"/>
    <w:rsid w:val="00E5716B"/>
    <w:rsid w:val="00E57F1F"/>
    <w:rsid w:val="00E62B3B"/>
    <w:rsid w:val="00E64A80"/>
    <w:rsid w:val="00E656F5"/>
    <w:rsid w:val="00E66B9F"/>
    <w:rsid w:val="00E70A6A"/>
    <w:rsid w:val="00E710D6"/>
    <w:rsid w:val="00E73DA4"/>
    <w:rsid w:val="00E75834"/>
    <w:rsid w:val="00E76E45"/>
    <w:rsid w:val="00E777C9"/>
    <w:rsid w:val="00E81DA6"/>
    <w:rsid w:val="00E84212"/>
    <w:rsid w:val="00E85DDC"/>
    <w:rsid w:val="00E9086C"/>
    <w:rsid w:val="00E90AAA"/>
    <w:rsid w:val="00E9102D"/>
    <w:rsid w:val="00E91A0F"/>
    <w:rsid w:val="00E937D9"/>
    <w:rsid w:val="00E940DA"/>
    <w:rsid w:val="00E94A71"/>
    <w:rsid w:val="00E94CBF"/>
    <w:rsid w:val="00EA03CE"/>
    <w:rsid w:val="00EA23E5"/>
    <w:rsid w:val="00EA4E2E"/>
    <w:rsid w:val="00EB2417"/>
    <w:rsid w:val="00EB2CCB"/>
    <w:rsid w:val="00EB32DD"/>
    <w:rsid w:val="00EB6046"/>
    <w:rsid w:val="00EB7A25"/>
    <w:rsid w:val="00EC0F3E"/>
    <w:rsid w:val="00EC57A7"/>
    <w:rsid w:val="00ED0817"/>
    <w:rsid w:val="00ED1BAF"/>
    <w:rsid w:val="00ED2CA3"/>
    <w:rsid w:val="00ED7DD9"/>
    <w:rsid w:val="00ED7F83"/>
    <w:rsid w:val="00EE1C7C"/>
    <w:rsid w:val="00EE4156"/>
    <w:rsid w:val="00EE445B"/>
    <w:rsid w:val="00EE474A"/>
    <w:rsid w:val="00EF2F78"/>
    <w:rsid w:val="00EF3113"/>
    <w:rsid w:val="00EF3F84"/>
    <w:rsid w:val="00F005AB"/>
    <w:rsid w:val="00F04F78"/>
    <w:rsid w:val="00F12414"/>
    <w:rsid w:val="00F176AC"/>
    <w:rsid w:val="00F26F28"/>
    <w:rsid w:val="00F27714"/>
    <w:rsid w:val="00F3276E"/>
    <w:rsid w:val="00F32D02"/>
    <w:rsid w:val="00F33D3C"/>
    <w:rsid w:val="00F37A91"/>
    <w:rsid w:val="00F408A0"/>
    <w:rsid w:val="00F43E94"/>
    <w:rsid w:val="00F44FD2"/>
    <w:rsid w:val="00F45CF5"/>
    <w:rsid w:val="00F47DB0"/>
    <w:rsid w:val="00F50C3F"/>
    <w:rsid w:val="00F50E34"/>
    <w:rsid w:val="00F51AFB"/>
    <w:rsid w:val="00F53EF7"/>
    <w:rsid w:val="00F54BF2"/>
    <w:rsid w:val="00F54C94"/>
    <w:rsid w:val="00F5727D"/>
    <w:rsid w:val="00F6414B"/>
    <w:rsid w:val="00F6425A"/>
    <w:rsid w:val="00F775AC"/>
    <w:rsid w:val="00F847F7"/>
    <w:rsid w:val="00F8792F"/>
    <w:rsid w:val="00F9214D"/>
    <w:rsid w:val="00F92355"/>
    <w:rsid w:val="00F93963"/>
    <w:rsid w:val="00F94291"/>
    <w:rsid w:val="00F96E1B"/>
    <w:rsid w:val="00FA0763"/>
    <w:rsid w:val="00FA139F"/>
    <w:rsid w:val="00FA298A"/>
    <w:rsid w:val="00FA5B66"/>
    <w:rsid w:val="00FA7501"/>
    <w:rsid w:val="00FB0B9C"/>
    <w:rsid w:val="00FB30EB"/>
    <w:rsid w:val="00FB7982"/>
    <w:rsid w:val="00FC0734"/>
    <w:rsid w:val="00FC0FC5"/>
    <w:rsid w:val="00FC588F"/>
    <w:rsid w:val="00FC6879"/>
    <w:rsid w:val="00FD24D9"/>
    <w:rsid w:val="00FD43C2"/>
    <w:rsid w:val="00FD57CC"/>
    <w:rsid w:val="00FE1B30"/>
    <w:rsid w:val="00FE7B44"/>
    <w:rsid w:val="00FF4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DD9CDF"/>
  <w15:docId w15:val="{892EB193-C057-4F79-9778-10E05D8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NoSpacing">
    <w:name w:val="No Spacing"/>
    <w:uiPriority w:val="1"/>
    <w:qFormat/>
    <w:rsid w:val="00BE356B"/>
    <w:rPr>
      <w:rFonts w:asciiTheme="minorHAnsi" w:eastAsiaTheme="minorHAnsi" w:hAnsiTheme="minorHAnsi" w:cstheme="minorBidi"/>
      <w:sz w:val="22"/>
      <w:szCs w:val="22"/>
      <w:lang w:eastAsia="en-US"/>
    </w:rPr>
  </w:style>
  <w:style w:type="paragraph" w:customStyle="1" w:styleId="acthead5">
    <w:name w:val="acthead5"/>
    <w:basedOn w:val="Normal"/>
    <w:rsid w:val="00FA0763"/>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FA0763"/>
  </w:style>
  <w:style w:type="paragraph" w:customStyle="1" w:styleId="subsection">
    <w:name w:val="subsection"/>
    <w:basedOn w:val="Normal"/>
    <w:rsid w:val="00FA0763"/>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FA0763"/>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967B0F"/>
    <w:pPr>
      <w:ind w:left="720"/>
      <w:contextualSpacing/>
    </w:pPr>
  </w:style>
  <w:style w:type="paragraph" w:customStyle="1" w:styleId="Default">
    <w:name w:val="Default"/>
    <w:rsid w:val="00497B77"/>
    <w:pPr>
      <w:autoSpaceDE w:val="0"/>
      <w:autoSpaceDN w:val="0"/>
      <w:adjustRightInd w:val="0"/>
    </w:pPr>
    <w:rPr>
      <w:color w:val="000000"/>
      <w:sz w:val="24"/>
      <w:szCs w:val="24"/>
    </w:rPr>
  </w:style>
  <w:style w:type="paragraph" w:styleId="Revision">
    <w:name w:val="Revision"/>
    <w:hidden/>
    <w:uiPriority w:val="99"/>
    <w:semiHidden/>
    <w:rsid w:val="009B65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6466">
      <w:bodyDiv w:val="1"/>
      <w:marLeft w:val="0"/>
      <w:marRight w:val="0"/>
      <w:marTop w:val="0"/>
      <w:marBottom w:val="0"/>
      <w:divBdr>
        <w:top w:val="none" w:sz="0" w:space="0" w:color="auto"/>
        <w:left w:val="none" w:sz="0" w:space="0" w:color="auto"/>
        <w:bottom w:val="none" w:sz="0" w:space="0" w:color="auto"/>
        <w:right w:val="none" w:sz="0" w:space="0" w:color="auto"/>
      </w:divBdr>
    </w:div>
    <w:div w:id="12430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lassic.austlii.edu.au/au/legis/cth/consol_act/ca1968133/s136.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9D5846E4F4A91A81B4B088D50ACEF"/>
        <w:category>
          <w:name w:val="General"/>
          <w:gallery w:val="placeholder"/>
        </w:category>
        <w:types>
          <w:type w:val="bbPlcHdr"/>
        </w:types>
        <w:behaviors>
          <w:behavior w:val="content"/>
        </w:behaviors>
        <w:guid w:val="{46E2CFD1-62F5-4F01-A804-52EEBEA98188}"/>
      </w:docPartPr>
      <w:docPartBody>
        <w:p w:rsidR="00E70DA1" w:rsidRDefault="00E70DA1">
          <w:pPr>
            <w:pStyle w:val="0199D5846E4F4A91A81B4B088D50ACEF"/>
          </w:pPr>
          <w:r>
            <w:rPr>
              <w:rStyle w:val="PlaceholderText"/>
            </w:rPr>
            <w:t>MNC Text</w:t>
          </w:r>
        </w:p>
      </w:docPartBody>
    </w:docPart>
    <w:docPart>
      <w:docPartPr>
        <w:name w:val="5C305BD0B3074D35A56309436A35F101"/>
        <w:category>
          <w:name w:val="General"/>
          <w:gallery w:val="placeholder"/>
        </w:category>
        <w:types>
          <w:type w:val="bbPlcHdr"/>
        </w:types>
        <w:behaviors>
          <w:behavior w:val="content"/>
        </w:behaviors>
        <w:guid w:val="{7F5784B5-8E55-4C32-9E58-85E2550E3839}"/>
      </w:docPartPr>
      <w:docPartBody>
        <w:p w:rsidR="00E70DA1" w:rsidRDefault="00E70DA1">
          <w:pPr>
            <w:pStyle w:val="5C305BD0B3074D35A56309436A35F101"/>
          </w:pPr>
          <w:r w:rsidRPr="005C44BE">
            <w:rPr>
              <w:rStyle w:val="PlaceholderText"/>
            </w:rPr>
            <w:t>Click or tap here to enter text.</w:t>
          </w:r>
        </w:p>
      </w:docPartBody>
    </w:docPart>
    <w:docPart>
      <w:docPartPr>
        <w:name w:val="7593EA4683B04BDCAD4716E132863835"/>
        <w:category>
          <w:name w:val="General"/>
          <w:gallery w:val="placeholder"/>
        </w:category>
        <w:types>
          <w:type w:val="bbPlcHdr"/>
        </w:types>
        <w:behaviors>
          <w:behavior w:val="content"/>
        </w:behaviors>
        <w:guid w:val="{FEDBE217-323F-4B91-BAE1-5D88F6F38DC3}"/>
      </w:docPartPr>
      <w:docPartBody>
        <w:p w:rsidR="00E70DA1" w:rsidRDefault="00E70DA1">
          <w:pPr>
            <w:pStyle w:val="7593EA4683B04BDCAD4716E132863835"/>
          </w:pPr>
          <w:r w:rsidRPr="005C44BE">
            <w:rPr>
              <w:rStyle w:val="PlaceholderText"/>
            </w:rPr>
            <w:t>Click or tap here to enter text.</w:t>
          </w:r>
        </w:p>
      </w:docPartBody>
    </w:docPart>
    <w:docPart>
      <w:docPartPr>
        <w:name w:val="58544C309A82417196B3E2E1ED411CF1"/>
        <w:category>
          <w:name w:val="General"/>
          <w:gallery w:val="placeholder"/>
        </w:category>
        <w:types>
          <w:type w:val="bbPlcHdr"/>
        </w:types>
        <w:behaviors>
          <w:behavior w:val="content"/>
        </w:behaviors>
        <w:guid w:val="{A39648C2-D781-4CAA-9850-7E0F2E3691DA}"/>
      </w:docPartPr>
      <w:docPartBody>
        <w:p w:rsidR="00E70DA1" w:rsidRDefault="00E70DA1">
          <w:pPr>
            <w:pStyle w:val="58544C309A82417196B3E2E1ED411CF1"/>
          </w:pPr>
          <w:r w:rsidRPr="005C44BE">
            <w:rPr>
              <w:rStyle w:val="PlaceholderText"/>
            </w:rPr>
            <w:t>Click or tap here to enter text.</w:t>
          </w:r>
        </w:p>
      </w:docPartBody>
    </w:docPart>
    <w:docPart>
      <w:docPartPr>
        <w:name w:val="43B4BB3535654F0395978CF803438851"/>
        <w:category>
          <w:name w:val="General"/>
          <w:gallery w:val="placeholder"/>
        </w:category>
        <w:types>
          <w:type w:val="bbPlcHdr"/>
        </w:types>
        <w:behaviors>
          <w:behavior w:val="content"/>
        </w:behaviors>
        <w:guid w:val="{C59AC5E8-FA29-4046-81BA-DB4E2C5F016A}"/>
      </w:docPartPr>
      <w:docPartBody>
        <w:p w:rsidR="00E70DA1" w:rsidRDefault="00E70DA1">
          <w:pPr>
            <w:pStyle w:val="43B4BB3535654F0395978CF80343885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A1"/>
    <w:rsid w:val="00680E14"/>
    <w:rsid w:val="00995662"/>
    <w:rsid w:val="00CE176C"/>
    <w:rsid w:val="00DA71AB"/>
    <w:rsid w:val="00E70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99D5846E4F4A91A81B4B088D50ACEF">
    <w:name w:val="0199D5846E4F4A91A81B4B088D50ACEF"/>
  </w:style>
  <w:style w:type="paragraph" w:customStyle="1" w:styleId="5C305BD0B3074D35A56309436A35F101">
    <w:name w:val="5C305BD0B3074D35A56309436A35F101"/>
  </w:style>
  <w:style w:type="paragraph" w:customStyle="1" w:styleId="7593EA4683B04BDCAD4716E132863835">
    <w:name w:val="7593EA4683B04BDCAD4716E132863835"/>
  </w:style>
  <w:style w:type="paragraph" w:customStyle="1" w:styleId="58544C309A82417196B3E2E1ED411CF1">
    <w:name w:val="58544C309A82417196B3E2E1ED411CF1"/>
  </w:style>
  <w:style w:type="paragraph" w:customStyle="1" w:styleId="43B4BB3535654F0395978CF803438851">
    <w:name w:val="43B4BB3535654F0395978CF803438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Reference by APRA AMCOS (Summonses) [2022] ACopyT 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4A16CE3-7073-4506-B280-7CA7C1F8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22</Pages>
  <Words>6597</Words>
  <Characters>32561</Characters>
  <Application>Microsoft Office Word</Application>
  <DocSecurity>0</DocSecurity>
  <Lines>271</Lines>
  <Paragraphs>78</Paragraphs>
  <ScaleCrop>false</ScaleCrop>
  <HeadingPairs>
    <vt:vector size="2" baseType="variant">
      <vt:variant>
        <vt:lpstr>Title</vt:lpstr>
      </vt:variant>
      <vt:variant>
        <vt:i4>1</vt:i4>
      </vt:variant>
    </vt:vector>
  </HeadingPairs>
  <TitlesOfParts>
    <vt:vector size="1" baseType="lpstr">
      <vt:lpstr>Reference by APRA AMCOS (Summonses) [2022] ACopyT 4 </vt:lpstr>
    </vt:vector>
  </TitlesOfParts>
  <Company>Federal Court of Australia</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by APRA AMCOS (Summonses) [2022] ACopyT 4</dc:title>
  <dc:creator>Kaity Crowe</dc:creator>
  <dc:description>v1.3</dc:description>
  <cp:lastModifiedBy>Amy Chan</cp:lastModifiedBy>
  <cp:revision>3</cp:revision>
  <cp:lastPrinted>2022-07-10T23:18:00Z</cp:lastPrinted>
  <dcterms:created xsi:type="dcterms:W3CDTF">2022-07-11T00:01:00Z</dcterms:created>
  <dcterms:modified xsi:type="dcterms:W3CDTF">2022-07-11T00:01:00Z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Copyright Tribunal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