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B24" w:rsidRPr="00951C5D" w:rsidRDefault="00A56E77" w:rsidP="00A22932">
      <w:pPr>
        <w:pStyle w:val="CourtTitle"/>
        <w:rPr>
          <w:szCs w:val="32"/>
        </w:rPr>
      </w:pPr>
      <w:r w:rsidRPr="00951C5D">
        <w:rPr>
          <w:szCs w:val="32"/>
        </w:rPr>
        <w:fldChar w:fldCharType="begin"/>
      </w:r>
      <w:r w:rsidRPr="00951C5D">
        <w:rPr>
          <w:szCs w:val="32"/>
        </w:rPr>
        <w:instrText xml:space="preserve"> DOCPROPERTY  Court  \* MERGEFORMAT </w:instrText>
      </w:r>
      <w:r w:rsidRPr="00951C5D">
        <w:rPr>
          <w:szCs w:val="32"/>
        </w:rPr>
        <w:fldChar w:fldCharType="separate"/>
      </w:r>
      <w:r w:rsidR="0056433D" w:rsidRPr="00951C5D">
        <w:rPr>
          <w:szCs w:val="32"/>
        </w:rPr>
        <w:t>Federal Court of Australia</w:t>
      </w:r>
      <w:r w:rsidRPr="00951C5D">
        <w:rPr>
          <w:szCs w:val="32"/>
        </w:rPr>
        <w:fldChar w:fldCharType="end"/>
      </w:r>
    </w:p>
    <w:p w:rsidR="004D7950" w:rsidRPr="006D7E5A" w:rsidRDefault="004D7950">
      <w:pPr>
        <w:pStyle w:val="NormalHeadings"/>
        <w:jc w:val="center"/>
        <w:rPr>
          <w:szCs w:val="24"/>
        </w:rPr>
      </w:pPr>
    </w:p>
    <w:bookmarkStart w:id="0" w:name="MNC"/>
    <w:p w:rsidR="00374CC4" w:rsidRPr="006D7E5A" w:rsidRDefault="00951C5D" w:rsidP="001A2B40">
      <w:pPr>
        <w:pStyle w:val="MNC"/>
        <w:rPr>
          <w:sz w:val="24"/>
          <w:szCs w:val="24"/>
        </w:rPr>
      </w:pPr>
      <w:sdt>
        <w:sdtPr>
          <w:rPr>
            <w:szCs w:val="28"/>
          </w:rPr>
          <w:alias w:val="MNC"/>
          <w:tag w:val="MNC"/>
          <w:id w:val="343289786"/>
          <w:lock w:val="sdtLocked"/>
          <w:placeholder>
            <w:docPart w:val="880B1466C2824AE1BFCA4F64D4D279EA"/>
          </w:placeholder>
          <w:dataBinding w:prefixMappings="xmlns:ns0='http://schemas.globalmacros.com/FCA'" w:xpath="/ns0:root[1]/ns0:Name[1]" w:storeItemID="{687E7CCB-4AA5-44E7-B148-17BA2B6F57C0}"/>
          <w:text w:multiLine="1"/>
        </w:sdtPr>
        <w:sdtEndPr/>
        <w:sdtContent>
          <w:r w:rsidR="00A946F0" w:rsidRPr="00D957A0">
            <w:rPr>
              <w:szCs w:val="28"/>
            </w:rPr>
            <w:t xml:space="preserve"> Huber V </w:t>
          </w:r>
          <w:proofErr w:type="spellStart"/>
          <w:r w:rsidR="00A946F0" w:rsidRPr="00D957A0">
            <w:rPr>
              <w:szCs w:val="28"/>
            </w:rPr>
            <w:t>CellOS</w:t>
          </w:r>
          <w:proofErr w:type="spellEnd"/>
          <w:r w:rsidR="00A946F0" w:rsidRPr="00D957A0">
            <w:rPr>
              <w:szCs w:val="28"/>
            </w:rPr>
            <w:t xml:space="preserve"> Software </w:t>
          </w:r>
          <w:r w:rsidR="00D957A0" w:rsidRPr="00D957A0">
            <w:rPr>
              <w:szCs w:val="28"/>
            </w:rPr>
            <w:t>Ltd</w:t>
          </w:r>
          <w:r w:rsidR="00A946F0" w:rsidRPr="00D957A0">
            <w:rPr>
              <w:szCs w:val="28"/>
            </w:rPr>
            <w:t xml:space="preserve"> (in </w:t>
          </w:r>
          <w:proofErr w:type="spellStart"/>
          <w:r w:rsidR="00A946F0" w:rsidRPr="00D957A0">
            <w:rPr>
              <w:szCs w:val="28"/>
            </w:rPr>
            <w:t>liq</w:t>
          </w:r>
          <w:proofErr w:type="spellEnd"/>
          <w:r w:rsidR="00A946F0" w:rsidRPr="00D957A0">
            <w:rPr>
              <w:szCs w:val="28"/>
            </w:rPr>
            <w:t xml:space="preserve">) </w:t>
          </w:r>
          <w:r w:rsidR="00150DF4" w:rsidRPr="00D957A0">
            <w:rPr>
              <w:szCs w:val="28"/>
            </w:rPr>
            <w:t>[2022] FCA 744</w:t>
          </w:r>
          <w:r w:rsidR="00A946F0" w:rsidRPr="00D957A0">
            <w:rPr>
              <w:szCs w:val="28"/>
            </w:rPr>
            <w:t xml:space="preserve"> </w:t>
          </w:r>
        </w:sdtContent>
      </w:sdt>
      <w:bookmarkEnd w:id="0"/>
      <w:r w:rsidR="005C185C" w:rsidRPr="006D7E5A">
        <w:rPr>
          <w:sz w:val="24"/>
          <w:szCs w:val="24"/>
        </w:rPr>
        <w:t xml:space="preserve"> </w:t>
      </w:r>
    </w:p>
    <w:tbl>
      <w:tblPr>
        <w:tblW w:w="9073" w:type="dxa"/>
        <w:tblLayout w:type="fixed"/>
        <w:tblLook w:val="01E0" w:firstRow="1" w:lastRow="1" w:firstColumn="1" w:lastColumn="1" w:noHBand="0" w:noVBand="0"/>
        <w:tblCaption w:val="Cover Table"/>
        <w:tblDescription w:val="Cover Table"/>
      </w:tblPr>
      <w:tblGrid>
        <w:gridCol w:w="3083"/>
        <w:gridCol w:w="5990"/>
      </w:tblGrid>
      <w:tr w:rsidR="00395B24" w:rsidRPr="006D7E5A" w:rsidTr="00885ADE">
        <w:tc>
          <w:tcPr>
            <w:tcW w:w="3083" w:type="dxa"/>
            <w:shd w:val="clear" w:color="auto" w:fill="auto"/>
          </w:tcPr>
          <w:p w:rsidR="00395B24" w:rsidRPr="006D7E5A" w:rsidRDefault="002C7385" w:rsidP="00663878">
            <w:pPr>
              <w:pStyle w:val="Normal1linespace"/>
              <w:widowControl w:val="0"/>
              <w:jc w:val="left"/>
              <w:rPr>
                <w:szCs w:val="24"/>
              </w:rPr>
            </w:pPr>
            <w:r w:rsidRPr="006D7E5A">
              <w:rPr>
                <w:szCs w:val="24"/>
              </w:rPr>
              <w:t>File number(s):</w:t>
            </w:r>
          </w:p>
        </w:tc>
        <w:tc>
          <w:tcPr>
            <w:tcW w:w="5990" w:type="dxa"/>
            <w:shd w:val="clear" w:color="auto" w:fill="auto"/>
          </w:tcPr>
          <w:p w:rsidR="00395B24" w:rsidRPr="006D7E5A" w:rsidRDefault="00982D0F" w:rsidP="0056433D">
            <w:pPr>
              <w:pStyle w:val="Normal1linespace"/>
              <w:jc w:val="left"/>
              <w:rPr>
                <w:szCs w:val="24"/>
              </w:rPr>
            </w:pPr>
            <w:r w:rsidRPr="006D7E5A">
              <w:rPr>
                <w:szCs w:val="24"/>
              </w:rPr>
              <w:fldChar w:fldCharType="begin" w:fldLock="1"/>
            </w:r>
            <w:r w:rsidRPr="006D7E5A">
              <w:rPr>
                <w:szCs w:val="24"/>
              </w:rPr>
              <w:instrText xml:space="preserve"> REF  FileNo  \* MERGEFORMAT </w:instrText>
            </w:r>
            <w:r w:rsidRPr="006D7E5A">
              <w:rPr>
                <w:szCs w:val="24"/>
              </w:rPr>
              <w:fldChar w:fldCharType="separate"/>
            </w:r>
            <w:r w:rsidR="00D957A0">
              <w:rPr>
                <w:szCs w:val="24"/>
              </w:rPr>
              <w:t xml:space="preserve">VID 338 of </w:t>
            </w:r>
            <w:r w:rsidR="0056433D" w:rsidRPr="006D7E5A">
              <w:rPr>
                <w:szCs w:val="24"/>
              </w:rPr>
              <w:t>2020</w:t>
            </w:r>
            <w:r w:rsidRPr="006D7E5A">
              <w:rPr>
                <w:szCs w:val="24"/>
              </w:rPr>
              <w:fldChar w:fldCharType="end"/>
            </w:r>
          </w:p>
        </w:tc>
      </w:tr>
      <w:tr w:rsidR="00395B24" w:rsidRPr="006D7E5A" w:rsidTr="00885ADE">
        <w:tc>
          <w:tcPr>
            <w:tcW w:w="3083" w:type="dxa"/>
            <w:shd w:val="clear" w:color="auto" w:fill="auto"/>
          </w:tcPr>
          <w:p w:rsidR="00395B24" w:rsidRPr="006D7E5A" w:rsidRDefault="00395B24" w:rsidP="00663878">
            <w:pPr>
              <w:pStyle w:val="Normal1linespace"/>
              <w:widowControl w:val="0"/>
              <w:jc w:val="left"/>
              <w:rPr>
                <w:szCs w:val="24"/>
              </w:rPr>
            </w:pPr>
          </w:p>
        </w:tc>
        <w:tc>
          <w:tcPr>
            <w:tcW w:w="5990" w:type="dxa"/>
            <w:shd w:val="clear" w:color="auto" w:fill="auto"/>
          </w:tcPr>
          <w:p w:rsidR="00395B24" w:rsidRPr="006D7E5A" w:rsidRDefault="00395B24" w:rsidP="00663878">
            <w:pPr>
              <w:pStyle w:val="Normal1linespace"/>
              <w:widowControl w:val="0"/>
              <w:jc w:val="left"/>
              <w:rPr>
                <w:szCs w:val="24"/>
              </w:rPr>
            </w:pPr>
          </w:p>
        </w:tc>
        <w:bookmarkStart w:id="1" w:name="_GoBack"/>
        <w:bookmarkEnd w:id="1"/>
      </w:tr>
      <w:tr w:rsidR="00395B24" w:rsidRPr="006D7E5A" w:rsidTr="00885ADE">
        <w:tc>
          <w:tcPr>
            <w:tcW w:w="3083" w:type="dxa"/>
            <w:shd w:val="clear" w:color="auto" w:fill="auto"/>
          </w:tcPr>
          <w:p w:rsidR="00395B24" w:rsidRPr="006D7E5A" w:rsidRDefault="002C7385" w:rsidP="00663878">
            <w:pPr>
              <w:pStyle w:val="Normal1linespace"/>
              <w:widowControl w:val="0"/>
              <w:jc w:val="left"/>
              <w:rPr>
                <w:szCs w:val="24"/>
              </w:rPr>
            </w:pPr>
            <w:r w:rsidRPr="006D7E5A">
              <w:rPr>
                <w:szCs w:val="24"/>
              </w:rPr>
              <w:t>Judg</w:t>
            </w:r>
            <w:r w:rsidR="005724F6" w:rsidRPr="006D7E5A">
              <w:rPr>
                <w:szCs w:val="24"/>
              </w:rPr>
              <w:t>ment of</w:t>
            </w:r>
            <w:r w:rsidRPr="006D7E5A">
              <w:rPr>
                <w:szCs w:val="24"/>
              </w:rPr>
              <w:t>:</w:t>
            </w:r>
          </w:p>
        </w:tc>
        <w:tc>
          <w:tcPr>
            <w:tcW w:w="5990" w:type="dxa"/>
            <w:shd w:val="clear" w:color="auto" w:fill="auto"/>
          </w:tcPr>
          <w:p w:rsidR="00395B24" w:rsidRPr="006D7E5A" w:rsidRDefault="002C7385" w:rsidP="00663878">
            <w:pPr>
              <w:pStyle w:val="Normal1linespace"/>
              <w:widowControl w:val="0"/>
              <w:jc w:val="left"/>
              <w:rPr>
                <w:b/>
                <w:szCs w:val="24"/>
              </w:rPr>
            </w:pPr>
            <w:r w:rsidRPr="006D7E5A">
              <w:rPr>
                <w:b/>
                <w:szCs w:val="24"/>
              </w:rPr>
              <w:fldChar w:fldCharType="begin" w:fldLock="1"/>
            </w:r>
            <w:r w:rsidRPr="006D7E5A">
              <w:rPr>
                <w:b/>
                <w:szCs w:val="24"/>
              </w:rPr>
              <w:instrText xml:space="preserve"> REF  Judge  \* MERGEFORMAT </w:instrText>
            </w:r>
            <w:r w:rsidRPr="006D7E5A">
              <w:rPr>
                <w:b/>
                <w:szCs w:val="24"/>
              </w:rPr>
              <w:fldChar w:fldCharType="separate"/>
            </w:r>
            <w:r w:rsidR="0056433D" w:rsidRPr="006D7E5A">
              <w:rPr>
                <w:b/>
                <w:caps/>
                <w:szCs w:val="24"/>
              </w:rPr>
              <w:t>MCELWAINE J</w:t>
            </w:r>
            <w:r w:rsidRPr="006D7E5A">
              <w:rPr>
                <w:b/>
                <w:szCs w:val="24"/>
              </w:rPr>
              <w:fldChar w:fldCharType="end"/>
            </w:r>
          </w:p>
        </w:tc>
      </w:tr>
      <w:tr w:rsidR="00395B24" w:rsidRPr="006D7E5A" w:rsidTr="00885ADE">
        <w:tc>
          <w:tcPr>
            <w:tcW w:w="3083" w:type="dxa"/>
            <w:shd w:val="clear" w:color="auto" w:fill="auto"/>
          </w:tcPr>
          <w:p w:rsidR="00395B24" w:rsidRPr="006D7E5A" w:rsidRDefault="00395B24" w:rsidP="00663878">
            <w:pPr>
              <w:pStyle w:val="Normal1linespace"/>
              <w:widowControl w:val="0"/>
              <w:jc w:val="left"/>
              <w:rPr>
                <w:szCs w:val="24"/>
              </w:rPr>
            </w:pPr>
          </w:p>
        </w:tc>
        <w:tc>
          <w:tcPr>
            <w:tcW w:w="5990" w:type="dxa"/>
            <w:shd w:val="clear" w:color="auto" w:fill="auto"/>
          </w:tcPr>
          <w:p w:rsidR="00395B24" w:rsidRPr="006D7E5A" w:rsidRDefault="00395B24" w:rsidP="00663878">
            <w:pPr>
              <w:pStyle w:val="Normal1linespace"/>
              <w:widowControl w:val="0"/>
              <w:jc w:val="left"/>
              <w:rPr>
                <w:szCs w:val="24"/>
              </w:rPr>
            </w:pPr>
          </w:p>
        </w:tc>
      </w:tr>
      <w:tr w:rsidR="00395B24" w:rsidRPr="006D7E5A" w:rsidTr="00885ADE">
        <w:tc>
          <w:tcPr>
            <w:tcW w:w="3083" w:type="dxa"/>
            <w:shd w:val="clear" w:color="auto" w:fill="auto"/>
          </w:tcPr>
          <w:p w:rsidR="00395B24" w:rsidRPr="006D7E5A" w:rsidRDefault="002C7385" w:rsidP="00663878">
            <w:pPr>
              <w:pStyle w:val="Normal1linespace"/>
              <w:widowControl w:val="0"/>
              <w:jc w:val="left"/>
              <w:rPr>
                <w:szCs w:val="24"/>
              </w:rPr>
            </w:pPr>
            <w:r w:rsidRPr="006D7E5A">
              <w:rPr>
                <w:szCs w:val="24"/>
              </w:rPr>
              <w:t>Date of judgment:</w:t>
            </w:r>
          </w:p>
        </w:tc>
        <w:tc>
          <w:tcPr>
            <w:tcW w:w="5990" w:type="dxa"/>
            <w:shd w:val="clear" w:color="auto" w:fill="auto"/>
          </w:tcPr>
          <w:p w:rsidR="00395B24" w:rsidRPr="006D7E5A" w:rsidRDefault="00681142" w:rsidP="00663878">
            <w:pPr>
              <w:pStyle w:val="Normal1linespace"/>
              <w:widowControl w:val="0"/>
              <w:jc w:val="left"/>
              <w:rPr>
                <w:szCs w:val="24"/>
              </w:rPr>
            </w:pPr>
            <w:bookmarkStart w:id="2" w:name="JudgmentDate"/>
            <w:bookmarkEnd w:id="2"/>
            <w:r>
              <w:rPr>
                <w:szCs w:val="24"/>
              </w:rPr>
              <w:t>29 June 2022</w:t>
            </w:r>
          </w:p>
        </w:tc>
      </w:tr>
      <w:tr w:rsidR="00395B24" w:rsidRPr="006D7E5A" w:rsidTr="00885ADE">
        <w:tc>
          <w:tcPr>
            <w:tcW w:w="3083" w:type="dxa"/>
            <w:shd w:val="clear" w:color="auto" w:fill="auto"/>
          </w:tcPr>
          <w:p w:rsidR="00395B24" w:rsidRPr="006D7E5A" w:rsidRDefault="00395B24" w:rsidP="00663878">
            <w:pPr>
              <w:pStyle w:val="Normal1linespace"/>
              <w:widowControl w:val="0"/>
              <w:jc w:val="left"/>
              <w:rPr>
                <w:szCs w:val="24"/>
              </w:rPr>
            </w:pPr>
          </w:p>
        </w:tc>
        <w:tc>
          <w:tcPr>
            <w:tcW w:w="5990" w:type="dxa"/>
            <w:shd w:val="clear" w:color="auto" w:fill="auto"/>
          </w:tcPr>
          <w:p w:rsidR="00395B24" w:rsidRPr="006D7E5A" w:rsidRDefault="00395B24" w:rsidP="00663878">
            <w:pPr>
              <w:pStyle w:val="Normal1linespace"/>
              <w:widowControl w:val="0"/>
              <w:jc w:val="left"/>
              <w:rPr>
                <w:szCs w:val="24"/>
              </w:rPr>
            </w:pPr>
          </w:p>
        </w:tc>
      </w:tr>
      <w:tr w:rsidR="00395B24" w:rsidRPr="006D7E5A" w:rsidTr="00885ADE">
        <w:tc>
          <w:tcPr>
            <w:tcW w:w="3083" w:type="dxa"/>
            <w:shd w:val="clear" w:color="auto" w:fill="auto"/>
          </w:tcPr>
          <w:p w:rsidR="00395B24" w:rsidRPr="006D7E5A" w:rsidRDefault="002C7385" w:rsidP="00663878">
            <w:pPr>
              <w:pStyle w:val="Normal1linespace"/>
              <w:widowControl w:val="0"/>
              <w:jc w:val="left"/>
              <w:rPr>
                <w:szCs w:val="24"/>
              </w:rPr>
            </w:pPr>
            <w:r w:rsidRPr="006D7E5A">
              <w:rPr>
                <w:szCs w:val="24"/>
              </w:rPr>
              <w:t>Catchwords:</w:t>
            </w:r>
          </w:p>
        </w:tc>
        <w:tc>
          <w:tcPr>
            <w:tcW w:w="5990" w:type="dxa"/>
            <w:shd w:val="clear" w:color="auto" w:fill="auto"/>
          </w:tcPr>
          <w:p w:rsidR="00150DF4" w:rsidRPr="00681142" w:rsidRDefault="00715751" w:rsidP="00EB6982">
            <w:pPr>
              <w:pStyle w:val="Normal1linespace"/>
              <w:widowControl w:val="0"/>
              <w:jc w:val="left"/>
              <w:rPr>
                <w:color w:val="000000"/>
                <w:bdr w:val="none" w:sz="0" w:space="0" w:color="auto" w:frame="1"/>
                <w:shd w:val="clear" w:color="auto" w:fill="FFFFFF"/>
              </w:rPr>
            </w:pPr>
            <w:bookmarkStart w:id="3" w:name="Catchwords"/>
            <w:r w:rsidRPr="006D7E5A">
              <w:rPr>
                <w:szCs w:val="24"/>
              </w:rPr>
              <w:t xml:space="preserve"> </w:t>
            </w:r>
            <w:r w:rsidR="007C6D0D">
              <w:rPr>
                <w:b/>
                <w:szCs w:val="24"/>
              </w:rPr>
              <w:t>PRACTICE AND PROCEDURE</w:t>
            </w:r>
            <w:r w:rsidR="007C6D0D" w:rsidRPr="00EB6982">
              <w:rPr>
                <w:b/>
                <w:bCs/>
                <w:color w:val="000000"/>
                <w:bdr w:val="none" w:sz="0" w:space="0" w:color="auto" w:frame="1"/>
                <w:shd w:val="clear" w:color="auto" w:fill="FFFFFF"/>
              </w:rPr>
              <w:t> </w:t>
            </w:r>
            <w:r w:rsidR="007C6D0D" w:rsidRPr="00681142">
              <w:rPr>
                <w:b/>
                <w:color w:val="000000"/>
                <w:bdr w:val="none" w:sz="0" w:space="0" w:color="auto" w:frame="1"/>
                <w:shd w:val="clear" w:color="auto" w:fill="FFFFFF"/>
              </w:rPr>
              <w:t>–</w:t>
            </w:r>
            <w:r w:rsidR="007C6D0D">
              <w:rPr>
                <w:color w:val="000000"/>
                <w:bdr w:val="none" w:sz="0" w:space="0" w:color="auto" w:frame="1"/>
                <w:shd w:val="clear" w:color="auto" w:fill="FFFFFF"/>
              </w:rPr>
              <w:t xml:space="preserve"> application for extension of time and for leave to appeal</w:t>
            </w:r>
            <w:r w:rsidR="00150DF4">
              <w:rPr>
                <w:color w:val="000000"/>
                <w:bdr w:val="none" w:sz="0" w:space="0" w:color="auto" w:frame="1"/>
                <w:shd w:val="clear" w:color="auto" w:fill="FFFFFF"/>
              </w:rPr>
              <w:t xml:space="preserve"> from a decision of the Federal Court pursuant to r 36.05 of the </w:t>
            </w:r>
            <w:r w:rsidR="00150DF4" w:rsidRPr="00681142">
              <w:rPr>
                <w:i/>
                <w:color w:val="000000"/>
                <w:bdr w:val="none" w:sz="0" w:space="0" w:color="auto" w:frame="1"/>
                <w:shd w:val="clear" w:color="auto" w:fill="FFFFFF"/>
              </w:rPr>
              <w:t xml:space="preserve">Federal Court Rules 2011 </w:t>
            </w:r>
            <w:r w:rsidR="00150DF4">
              <w:rPr>
                <w:color w:val="000000"/>
                <w:bdr w:val="none" w:sz="0" w:space="0" w:color="auto" w:frame="1"/>
                <w:shd w:val="clear" w:color="auto" w:fill="FFFFFF"/>
              </w:rPr>
              <w:t>(</w:t>
            </w:r>
            <w:proofErr w:type="spellStart"/>
            <w:r w:rsidR="00150DF4">
              <w:rPr>
                <w:color w:val="000000"/>
                <w:bdr w:val="none" w:sz="0" w:space="0" w:color="auto" w:frame="1"/>
                <w:shd w:val="clear" w:color="auto" w:fill="FFFFFF"/>
              </w:rPr>
              <w:t>Cth</w:t>
            </w:r>
            <w:proofErr w:type="spellEnd"/>
            <w:r w:rsidR="00150DF4">
              <w:rPr>
                <w:color w:val="000000"/>
                <w:bdr w:val="none" w:sz="0" w:space="0" w:color="auto" w:frame="1"/>
                <w:shd w:val="clear" w:color="auto" w:fill="FFFFFF"/>
              </w:rPr>
              <w:t xml:space="preserve">) –  where respondent company is in liquidation </w:t>
            </w:r>
            <w:r w:rsidR="00A011ED">
              <w:rPr>
                <w:color w:val="000000"/>
                <w:bdr w:val="none" w:sz="0" w:space="0" w:color="auto" w:frame="1"/>
                <w:shd w:val="clear" w:color="auto" w:fill="FFFFFF"/>
              </w:rPr>
              <w:t>–</w:t>
            </w:r>
            <w:r w:rsidR="00150DF4">
              <w:rPr>
                <w:color w:val="000000"/>
                <w:bdr w:val="none" w:sz="0" w:space="0" w:color="auto" w:frame="1"/>
                <w:shd w:val="clear" w:color="auto" w:fill="FFFFFF"/>
              </w:rPr>
              <w:t xml:space="preserve"> </w:t>
            </w:r>
            <w:r w:rsidR="00A011ED">
              <w:rPr>
                <w:color w:val="000000"/>
                <w:bdr w:val="none" w:sz="0" w:space="0" w:color="auto" w:frame="1"/>
                <w:shd w:val="clear" w:color="auto" w:fill="FFFFFF"/>
              </w:rPr>
              <w:t xml:space="preserve">where proceeding stayed under s 500(2) of the </w:t>
            </w:r>
            <w:r w:rsidR="00A011ED">
              <w:rPr>
                <w:i/>
                <w:color w:val="000000"/>
                <w:bdr w:val="none" w:sz="0" w:space="0" w:color="auto" w:frame="1"/>
                <w:shd w:val="clear" w:color="auto" w:fill="FFFFFF"/>
              </w:rPr>
              <w:t xml:space="preserve">Corporations Act 2001 </w:t>
            </w:r>
            <w:r w:rsidR="00A011ED">
              <w:rPr>
                <w:color w:val="000000"/>
                <w:bdr w:val="none" w:sz="0" w:space="0" w:color="auto" w:frame="1"/>
                <w:shd w:val="clear" w:color="auto" w:fill="FFFFFF"/>
              </w:rPr>
              <w:t>(</w:t>
            </w:r>
            <w:proofErr w:type="spellStart"/>
            <w:r w:rsidR="00A011ED">
              <w:rPr>
                <w:color w:val="000000"/>
                <w:bdr w:val="none" w:sz="0" w:space="0" w:color="auto" w:frame="1"/>
                <w:shd w:val="clear" w:color="auto" w:fill="FFFFFF"/>
              </w:rPr>
              <w:t>Cth</w:t>
            </w:r>
            <w:proofErr w:type="spellEnd"/>
            <w:r w:rsidR="00A011ED">
              <w:rPr>
                <w:color w:val="000000"/>
                <w:bdr w:val="none" w:sz="0" w:space="0" w:color="auto" w:frame="1"/>
                <w:shd w:val="clear" w:color="auto" w:fill="FFFFFF"/>
              </w:rPr>
              <w:t>) – where no application for leave to proceed</w:t>
            </w:r>
            <w:r w:rsidR="006407F0">
              <w:rPr>
                <w:color w:val="000000"/>
                <w:bdr w:val="none" w:sz="0" w:space="0" w:color="auto" w:frame="1"/>
                <w:shd w:val="clear" w:color="auto" w:fill="FFFFFF"/>
              </w:rPr>
              <w:t xml:space="preserve"> pursuant to s 500(2)</w:t>
            </w:r>
            <w:r w:rsidR="00A011ED">
              <w:rPr>
                <w:color w:val="000000"/>
                <w:bdr w:val="none" w:sz="0" w:space="0" w:color="auto" w:frame="1"/>
                <w:shd w:val="clear" w:color="auto" w:fill="FFFFFF"/>
              </w:rPr>
              <w:t xml:space="preserve"> has been made</w:t>
            </w:r>
          </w:p>
          <w:p w:rsidR="00150DF4" w:rsidRDefault="00150DF4">
            <w:pPr>
              <w:pStyle w:val="Normal1linespace"/>
              <w:widowControl w:val="0"/>
              <w:jc w:val="left"/>
              <w:rPr>
                <w:i/>
                <w:color w:val="000000"/>
                <w:bdr w:val="none" w:sz="0" w:space="0" w:color="auto" w:frame="1"/>
                <w:shd w:val="clear" w:color="auto" w:fill="FFFFFF"/>
              </w:rPr>
            </w:pPr>
          </w:p>
          <w:p w:rsidR="00395B24" w:rsidRPr="00681142" w:rsidRDefault="00150DF4" w:rsidP="00681142">
            <w:pPr>
              <w:pStyle w:val="Normal1linespace"/>
              <w:widowControl w:val="0"/>
              <w:jc w:val="left"/>
              <w:rPr>
                <w:color w:val="000000"/>
                <w:bdr w:val="none" w:sz="0" w:space="0" w:color="auto" w:frame="1"/>
                <w:shd w:val="clear" w:color="auto" w:fill="FFFFFF"/>
              </w:rPr>
            </w:pPr>
            <w:r w:rsidRPr="00681142">
              <w:rPr>
                <w:b/>
                <w:color w:val="000000"/>
                <w:bdr w:val="none" w:sz="0" w:space="0" w:color="auto" w:frame="1"/>
                <w:shd w:val="clear" w:color="auto" w:fill="FFFFFF"/>
              </w:rPr>
              <w:t>CORPORATIONS</w:t>
            </w:r>
            <w:r w:rsidRPr="00D91D2E">
              <w:rPr>
                <w:b/>
                <w:bCs/>
                <w:color w:val="000000"/>
                <w:bdr w:val="none" w:sz="0" w:space="0" w:color="auto" w:frame="1"/>
                <w:shd w:val="clear" w:color="auto" w:fill="FFFFFF"/>
              </w:rPr>
              <w:t> </w:t>
            </w:r>
            <w:r w:rsidRPr="00D91D2E">
              <w:rPr>
                <w:b/>
                <w:color w:val="000000"/>
                <w:bdr w:val="none" w:sz="0" w:space="0" w:color="auto" w:frame="1"/>
                <w:shd w:val="clear" w:color="auto" w:fill="FFFFFF"/>
              </w:rPr>
              <w:t>–</w:t>
            </w:r>
            <w:r>
              <w:rPr>
                <w:b/>
                <w:color w:val="000000"/>
                <w:bdr w:val="none" w:sz="0" w:space="0" w:color="auto" w:frame="1"/>
                <w:shd w:val="clear" w:color="auto" w:fill="FFFFFF"/>
              </w:rPr>
              <w:t xml:space="preserve"> </w:t>
            </w:r>
            <w:r>
              <w:rPr>
                <w:color w:val="000000"/>
                <w:bdr w:val="none" w:sz="0" w:space="0" w:color="auto" w:frame="1"/>
                <w:shd w:val="clear" w:color="auto" w:fill="FFFFFF"/>
              </w:rPr>
              <w:t xml:space="preserve">whether an appeal is an “other civil proceeding” within the meaning of s 500(2) of the </w:t>
            </w:r>
            <w:r>
              <w:rPr>
                <w:i/>
                <w:color w:val="000000"/>
                <w:bdr w:val="none" w:sz="0" w:space="0" w:color="auto" w:frame="1"/>
                <w:shd w:val="clear" w:color="auto" w:fill="FFFFFF"/>
              </w:rPr>
              <w:t>Corporations Act 2001</w:t>
            </w:r>
            <w:r>
              <w:rPr>
                <w:color w:val="000000"/>
                <w:bdr w:val="none" w:sz="0" w:space="0" w:color="auto" w:frame="1"/>
                <w:shd w:val="clear" w:color="auto" w:fill="FFFFFF"/>
              </w:rPr>
              <w:t xml:space="preserve"> (</w:t>
            </w:r>
            <w:proofErr w:type="spellStart"/>
            <w:r>
              <w:rPr>
                <w:color w:val="000000"/>
                <w:bdr w:val="none" w:sz="0" w:space="0" w:color="auto" w:frame="1"/>
                <w:shd w:val="clear" w:color="auto" w:fill="FFFFFF"/>
              </w:rPr>
              <w:t>Cth</w:t>
            </w:r>
            <w:proofErr w:type="spellEnd"/>
            <w:r>
              <w:rPr>
                <w:color w:val="000000"/>
                <w:bdr w:val="none" w:sz="0" w:space="0" w:color="auto" w:frame="1"/>
                <w:shd w:val="clear" w:color="auto" w:fill="FFFFFF"/>
              </w:rPr>
              <w:t>)</w:t>
            </w:r>
            <w:bookmarkEnd w:id="3"/>
          </w:p>
        </w:tc>
      </w:tr>
      <w:tr w:rsidR="00395B24" w:rsidRPr="006D7E5A" w:rsidTr="00885ADE">
        <w:tc>
          <w:tcPr>
            <w:tcW w:w="3083" w:type="dxa"/>
            <w:shd w:val="clear" w:color="auto" w:fill="auto"/>
          </w:tcPr>
          <w:p w:rsidR="00395B24" w:rsidRPr="006D7E5A" w:rsidRDefault="00395B24" w:rsidP="00663878">
            <w:pPr>
              <w:pStyle w:val="Normal1linespace"/>
              <w:widowControl w:val="0"/>
              <w:jc w:val="left"/>
              <w:rPr>
                <w:szCs w:val="24"/>
              </w:rPr>
            </w:pPr>
          </w:p>
        </w:tc>
        <w:tc>
          <w:tcPr>
            <w:tcW w:w="5990" w:type="dxa"/>
            <w:shd w:val="clear" w:color="auto" w:fill="auto"/>
          </w:tcPr>
          <w:p w:rsidR="00395B24" w:rsidRPr="006D7E5A" w:rsidRDefault="00395B24" w:rsidP="00663878">
            <w:pPr>
              <w:pStyle w:val="Normal1linespace"/>
              <w:widowControl w:val="0"/>
              <w:jc w:val="left"/>
              <w:rPr>
                <w:szCs w:val="24"/>
              </w:rPr>
            </w:pPr>
          </w:p>
        </w:tc>
      </w:tr>
      <w:tr w:rsidR="00395B24" w:rsidRPr="006D7E5A" w:rsidTr="00885ADE">
        <w:tc>
          <w:tcPr>
            <w:tcW w:w="3083" w:type="dxa"/>
            <w:shd w:val="clear" w:color="auto" w:fill="auto"/>
          </w:tcPr>
          <w:p w:rsidR="00395B24" w:rsidRPr="006D7E5A" w:rsidRDefault="002C7385" w:rsidP="00663878">
            <w:pPr>
              <w:pStyle w:val="Normal1linespace"/>
              <w:widowControl w:val="0"/>
              <w:jc w:val="left"/>
              <w:rPr>
                <w:szCs w:val="24"/>
              </w:rPr>
            </w:pPr>
            <w:r w:rsidRPr="006D7E5A">
              <w:rPr>
                <w:szCs w:val="24"/>
              </w:rPr>
              <w:t>Legislation:</w:t>
            </w:r>
          </w:p>
        </w:tc>
        <w:tc>
          <w:tcPr>
            <w:tcW w:w="5990" w:type="dxa"/>
            <w:shd w:val="clear" w:color="auto" w:fill="auto"/>
          </w:tcPr>
          <w:p w:rsidR="00681142" w:rsidRDefault="00681142" w:rsidP="0003469A">
            <w:pPr>
              <w:pStyle w:val="CasesLegislationAppealFrom"/>
              <w:spacing w:after="60"/>
              <w:rPr>
                <w:i/>
                <w:iCs/>
              </w:rPr>
            </w:pPr>
            <w:bookmarkStart w:id="4" w:name="Legislation"/>
            <w:r w:rsidRPr="000F6AA0">
              <w:rPr>
                <w:i/>
                <w:szCs w:val="24"/>
              </w:rPr>
              <w:t>Corporations Act 2001</w:t>
            </w:r>
            <w:r>
              <w:rPr>
                <w:szCs w:val="24"/>
              </w:rPr>
              <w:t xml:space="preserve"> (</w:t>
            </w:r>
            <w:proofErr w:type="spellStart"/>
            <w:r>
              <w:rPr>
                <w:szCs w:val="24"/>
              </w:rPr>
              <w:t>Cth</w:t>
            </w:r>
            <w:proofErr w:type="spellEnd"/>
            <w:r>
              <w:rPr>
                <w:szCs w:val="24"/>
              </w:rPr>
              <w:t>)</w:t>
            </w:r>
            <w:r>
              <w:rPr>
                <w:i/>
                <w:szCs w:val="24"/>
              </w:rPr>
              <w:t xml:space="preserve"> </w:t>
            </w:r>
            <w:proofErr w:type="spellStart"/>
            <w:r w:rsidRPr="000F6AA0">
              <w:rPr>
                <w:szCs w:val="24"/>
              </w:rPr>
              <w:t>ss</w:t>
            </w:r>
            <w:proofErr w:type="spellEnd"/>
            <w:r w:rsidRPr="000F6AA0">
              <w:rPr>
                <w:szCs w:val="24"/>
              </w:rPr>
              <w:t xml:space="preserve"> 439C(c)</w:t>
            </w:r>
            <w:r>
              <w:rPr>
                <w:szCs w:val="24"/>
              </w:rPr>
              <w:t>, 440D, 500(2)</w:t>
            </w:r>
          </w:p>
          <w:p w:rsidR="00681142" w:rsidRDefault="00681142" w:rsidP="0003469A">
            <w:pPr>
              <w:pStyle w:val="CasesLegislationAppealFrom"/>
              <w:spacing w:after="60"/>
              <w:rPr>
                <w:i/>
                <w:iCs/>
              </w:rPr>
            </w:pPr>
            <w:r w:rsidRPr="00875F95">
              <w:rPr>
                <w:i/>
                <w:szCs w:val="24"/>
                <w:lang w:eastAsia="en-AU"/>
              </w:rPr>
              <w:t>Federal Court of Australia Act 1976</w:t>
            </w:r>
            <w:r>
              <w:rPr>
                <w:i/>
                <w:szCs w:val="24"/>
                <w:lang w:eastAsia="en-AU"/>
              </w:rPr>
              <w:t xml:space="preserve"> </w:t>
            </w:r>
            <w:r w:rsidRPr="00875F95">
              <w:rPr>
                <w:szCs w:val="24"/>
                <w:lang w:eastAsia="en-AU"/>
              </w:rPr>
              <w:t>(</w:t>
            </w:r>
            <w:proofErr w:type="spellStart"/>
            <w:r w:rsidRPr="00875F95">
              <w:rPr>
                <w:szCs w:val="24"/>
                <w:lang w:eastAsia="en-AU"/>
              </w:rPr>
              <w:t>Cth</w:t>
            </w:r>
            <w:proofErr w:type="spellEnd"/>
            <w:r w:rsidRPr="00875F95">
              <w:rPr>
                <w:szCs w:val="24"/>
                <w:lang w:eastAsia="en-AU"/>
              </w:rPr>
              <w:t>)</w:t>
            </w:r>
            <w:r>
              <w:rPr>
                <w:i/>
                <w:szCs w:val="24"/>
                <w:lang w:eastAsia="en-AU"/>
              </w:rPr>
              <w:t xml:space="preserve"> </w:t>
            </w:r>
            <w:r w:rsidRPr="00875F95">
              <w:rPr>
                <w:szCs w:val="24"/>
                <w:lang w:eastAsia="en-AU"/>
              </w:rPr>
              <w:t>s 24</w:t>
            </w:r>
          </w:p>
          <w:p w:rsidR="00681142" w:rsidRDefault="00681142" w:rsidP="0003469A">
            <w:pPr>
              <w:pStyle w:val="CasesLegislationAppealFrom"/>
              <w:spacing w:after="60"/>
              <w:rPr>
                <w:i/>
                <w:iCs/>
              </w:rPr>
            </w:pPr>
            <w:r w:rsidRPr="0016497D">
              <w:rPr>
                <w:i/>
                <w:szCs w:val="24"/>
              </w:rPr>
              <w:t>Federal Court (Corporations) Rules 200</w:t>
            </w:r>
            <w:r>
              <w:rPr>
                <w:i/>
                <w:szCs w:val="24"/>
              </w:rPr>
              <w:t xml:space="preserve">0 </w:t>
            </w:r>
            <w:r>
              <w:rPr>
                <w:szCs w:val="24"/>
              </w:rPr>
              <w:t>(</w:t>
            </w:r>
            <w:proofErr w:type="spellStart"/>
            <w:r>
              <w:rPr>
                <w:szCs w:val="24"/>
              </w:rPr>
              <w:t>Cth</w:t>
            </w:r>
            <w:proofErr w:type="spellEnd"/>
            <w:r>
              <w:rPr>
                <w:szCs w:val="24"/>
              </w:rPr>
              <w:t xml:space="preserve">) </w:t>
            </w:r>
            <w:proofErr w:type="spellStart"/>
            <w:r>
              <w:rPr>
                <w:szCs w:val="24"/>
              </w:rPr>
              <w:t>rr</w:t>
            </w:r>
            <w:proofErr w:type="spellEnd"/>
            <w:r>
              <w:rPr>
                <w:szCs w:val="24"/>
              </w:rPr>
              <w:t xml:space="preserve"> 2.2, 2.4</w:t>
            </w:r>
          </w:p>
          <w:p w:rsidR="0003469A" w:rsidRPr="0003469A" w:rsidRDefault="0003469A" w:rsidP="0003469A">
            <w:pPr>
              <w:pStyle w:val="CasesLegislationAppealFrom"/>
              <w:spacing w:after="60"/>
              <w:rPr>
                <w:szCs w:val="24"/>
              </w:rPr>
            </w:pPr>
            <w:r w:rsidRPr="00681142">
              <w:rPr>
                <w:i/>
                <w:iCs/>
              </w:rPr>
              <w:t>Federal Court Rules 2011</w:t>
            </w:r>
            <w:r>
              <w:rPr>
                <w:i/>
                <w:iCs/>
              </w:rPr>
              <w:t xml:space="preserve"> </w:t>
            </w:r>
            <w:r w:rsidRPr="00681142">
              <w:rPr>
                <w:iCs/>
              </w:rPr>
              <w:t>(</w:t>
            </w:r>
            <w:proofErr w:type="spellStart"/>
            <w:r w:rsidRPr="00681142">
              <w:rPr>
                <w:iCs/>
              </w:rPr>
              <w:t>Cth</w:t>
            </w:r>
            <w:proofErr w:type="spellEnd"/>
            <w:r w:rsidRPr="00681142">
              <w:rPr>
                <w:iCs/>
              </w:rPr>
              <w:t>)</w:t>
            </w:r>
            <w:r>
              <w:rPr>
                <w:szCs w:val="24"/>
              </w:rPr>
              <w:t xml:space="preserve"> </w:t>
            </w:r>
            <w:proofErr w:type="spellStart"/>
            <w:r>
              <w:rPr>
                <w:szCs w:val="24"/>
              </w:rPr>
              <w:t>rr</w:t>
            </w:r>
            <w:proofErr w:type="spellEnd"/>
            <w:r>
              <w:rPr>
                <w:szCs w:val="24"/>
              </w:rPr>
              <w:t xml:space="preserve"> 36.03, 36.05</w:t>
            </w:r>
            <w:r>
              <w:rPr>
                <w:i/>
                <w:szCs w:val="24"/>
              </w:rPr>
              <w:t xml:space="preserve"> </w:t>
            </w:r>
            <w:bookmarkEnd w:id="4"/>
            <w:r>
              <w:rPr>
                <w:i/>
                <w:szCs w:val="24"/>
              </w:rPr>
              <w:t xml:space="preserve"> </w:t>
            </w:r>
          </w:p>
        </w:tc>
      </w:tr>
      <w:tr w:rsidR="00395B24" w:rsidRPr="006D7E5A" w:rsidTr="00885ADE">
        <w:tc>
          <w:tcPr>
            <w:tcW w:w="3083" w:type="dxa"/>
            <w:shd w:val="clear" w:color="auto" w:fill="auto"/>
          </w:tcPr>
          <w:p w:rsidR="00395B24" w:rsidRPr="006D7E5A" w:rsidRDefault="00395B24" w:rsidP="00663878">
            <w:pPr>
              <w:pStyle w:val="Normal1linespace"/>
              <w:widowControl w:val="0"/>
              <w:jc w:val="left"/>
              <w:rPr>
                <w:szCs w:val="24"/>
              </w:rPr>
            </w:pPr>
          </w:p>
        </w:tc>
        <w:tc>
          <w:tcPr>
            <w:tcW w:w="5990" w:type="dxa"/>
            <w:shd w:val="clear" w:color="auto" w:fill="auto"/>
          </w:tcPr>
          <w:p w:rsidR="00395B24" w:rsidRPr="006D7E5A" w:rsidRDefault="00395B24" w:rsidP="00663878">
            <w:pPr>
              <w:pStyle w:val="Normal1linespace"/>
              <w:widowControl w:val="0"/>
              <w:jc w:val="left"/>
              <w:rPr>
                <w:szCs w:val="24"/>
              </w:rPr>
            </w:pPr>
          </w:p>
        </w:tc>
      </w:tr>
      <w:tr w:rsidR="00395B24" w:rsidRPr="006D7E5A" w:rsidTr="00885ADE">
        <w:tc>
          <w:tcPr>
            <w:tcW w:w="3083" w:type="dxa"/>
            <w:shd w:val="clear" w:color="auto" w:fill="auto"/>
          </w:tcPr>
          <w:p w:rsidR="00395B24" w:rsidRPr="006D7E5A" w:rsidRDefault="002C7385" w:rsidP="00663878">
            <w:pPr>
              <w:pStyle w:val="Normal1linespace"/>
              <w:widowControl w:val="0"/>
              <w:jc w:val="left"/>
              <w:rPr>
                <w:szCs w:val="24"/>
              </w:rPr>
            </w:pPr>
            <w:r w:rsidRPr="006D7E5A">
              <w:rPr>
                <w:szCs w:val="24"/>
              </w:rPr>
              <w:t>Cases cited:</w:t>
            </w:r>
          </w:p>
        </w:tc>
        <w:tc>
          <w:tcPr>
            <w:tcW w:w="5990" w:type="dxa"/>
            <w:shd w:val="clear" w:color="auto" w:fill="auto"/>
          </w:tcPr>
          <w:p w:rsidR="0003469A" w:rsidRPr="0003469A" w:rsidRDefault="0003469A" w:rsidP="0003469A">
            <w:pPr>
              <w:pStyle w:val="CasesLegislationAppealFrom"/>
              <w:spacing w:after="60"/>
              <w:rPr>
                <w:szCs w:val="24"/>
              </w:rPr>
            </w:pPr>
            <w:bookmarkStart w:id="5" w:name="Cases_Cited"/>
            <w:r w:rsidRPr="00681142">
              <w:rPr>
                <w:i/>
                <w:szCs w:val="24"/>
              </w:rPr>
              <w:t>Australian Securities Commission v Marlborough Gold Mines Limited</w:t>
            </w:r>
            <w:r w:rsidRPr="00681142">
              <w:rPr>
                <w:szCs w:val="24"/>
              </w:rPr>
              <w:t xml:space="preserve"> (1993) 177 CLR 485; [1993] HCA 15</w:t>
            </w:r>
          </w:p>
          <w:p w:rsidR="0003469A" w:rsidRPr="0003469A" w:rsidRDefault="0003469A" w:rsidP="0003469A">
            <w:pPr>
              <w:pStyle w:val="CasesLegislationAppealFrom"/>
              <w:spacing w:after="60"/>
            </w:pPr>
            <w:r w:rsidRPr="00681142">
              <w:rPr>
                <w:i/>
                <w:iCs/>
              </w:rPr>
              <w:t>Barnes v Addy</w:t>
            </w:r>
            <w:r w:rsidRPr="00681142">
              <w:rPr>
                <w:szCs w:val="24"/>
              </w:rPr>
              <w:t xml:space="preserve"> </w:t>
            </w:r>
            <w:r w:rsidRPr="00681142">
              <w:t xml:space="preserve">(1874) 9 LR </w:t>
            </w:r>
            <w:proofErr w:type="spellStart"/>
            <w:r w:rsidRPr="00681142">
              <w:t>Ch</w:t>
            </w:r>
            <w:proofErr w:type="spellEnd"/>
            <w:r w:rsidRPr="00681142">
              <w:t xml:space="preserve"> App 244</w:t>
            </w:r>
          </w:p>
          <w:p w:rsidR="0003469A" w:rsidRPr="0003469A" w:rsidRDefault="0003469A" w:rsidP="0003469A">
            <w:pPr>
              <w:pStyle w:val="CasesLegislationAppealFrom"/>
              <w:spacing w:after="60"/>
              <w:rPr>
                <w:lang w:eastAsia="en-AU"/>
              </w:rPr>
            </w:pPr>
            <w:r w:rsidRPr="00681142">
              <w:rPr>
                <w:i/>
                <w:iCs/>
                <w:lang w:eastAsia="en-AU"/>
              </w:rPr>
              <w:t>BPM Pty Ltd v HPM Pty Ltd</w:t>
            </w:r>
            <w:r w:rsidRPr="00681142">
              <w:rPr>
                <w:lang w:eastAsia="en-AU"/>
              </w:rPr>
              <w:t xml:space="preserve"> (1996) 131 FLR 339</w:t>
            </w:r>
          </w:p>
          <w:p w:rsidR="0003469A" w:rsidRPr="0003469A" w:rsidRDefault="0003469A" w:rsidP="0003469A">
            <w:pPr>
              <w:pStyle w:val="CasesLegislationAppealFrom"/>
              <w:spacing w:after="60"/>
              <w:rPr>
                <w:szCs w:val="24"/>
                <w:lang w:eastAsia="en-AU"/>
              </w:rPr>
            </w:pPr>
            <w:proofErr w:type="spellStart"/>
            <w:r w:rsidRPr="00681142">
              <w:rPr>
                <w:i/>
                <w:szCs w:val="24"/>
                <w:lang w:eastAsia="en-AU"/>
              </w:rPr>
              <w:t>Buurabalayji</w:t>
            </w:r>
            <w:proofErr w:type="spellEnd"/>
            <w:r w:rsidRPr="00681142">
              <w:rPr>
                <w:i/>
                <w:szCs w:val="24"/>
                <w:lang w:eastAsia="en-AU"/>
              </w:rPr>
              <w:t xml:space="preserve"> </w:t>
            </w:r>
            <w:proofErr w:type="spellStart"/>
            <w:r w:rsidRPr="00681142">
              <w:rPr>
                <w:i/>
                <w:szCs w:val="24"/>
                <w:lang w:eastAsia="en-AU"/>
              </w:rPr>
              <w:t>Thalanyji</w:t>
            </w:r>
            <w:proofErr w:type="spellEnd"/>
            <w:r w:rsidRPr="00681142">
              <w:rPr>
                <w:i/>
                <w:szCs w:val="24"/>
                <w:lang w:eastAsia="en-AU"/>
              </w:rPr>
              <w:t xml:space="preserve"> Aboriginal Corporation v Onslow Salt Pty Ltd (No 7)</w:t>
            </w:r>
            <w:r w:rsidRPr="00681142">
              <w:rPr>
                <w:szCs w:val="24"/>
                <w:lang w:eastAsia="en-AU"/>
              </w:rPr>
              <w:t xml:space="preserve"> (2020) 144 ACSR 621; [2020] FCA 572</w:t>
            </w:r>
          </w:p>
          <w:p w:rsidR="0003469A" w:rsidRPr="0003469A" w:rsidRDefault="0003469A" w:rsidP="0003469A">
            <w:pPr>
              <w:pStyle w:val="CasesLegislationAppealFrom"/>
              <w:spacing w:after="60"/>
              <w:rPr>
                <w:szCs w:val="24"/>
              </w:rPr>
            </w:pPr>
            <w:r w:rsidRPr="00681142">
              <w:rPr>
                <w:i/>
                <w:szCs w:val="24"/>
              </w:rPr>
              <w:t>Caruso v Built IT Pty Ltd (No 2)</w:t>
            </w:r>
            <w:r w:rsidRPr="00681142">
              <w:rPr>
                <w:szCs w:val="24"/>
              </w:rPr>
              <w:t xml:space="preserve"> (2019) 134 SASR 280; [2019] SASC 125</w:t>
            </w:r>
          </w:p>
          <w:p w:rsidR="0003469A" w:rsidRPr="0003469A" w:rsidRDefault="00681142" w:rsidP="0003469A">
            <w:pPr>
              <w:pStyle w:val="CasesLegislationAppealFrom"/>
              <w:spacing w:after="60"/>
              <w:rPr>
                <w:szCs w:val="24"/>
              </w:rPr>
            </w:pPr>
            <w:proofErr w:type="spellStart"/>
            <w:r w:rsidRPr="0003469A">
              <w:rPr>
                <w:i/>
                <w:iCs/>
              </w:rPr>
              <w:t>CellOS</w:t>
            </w:r>
            <w:proofErr w:type="spellEnd"/>
            <w:r w:rsidRPr="0003469A">
              <w:rPr>
                <w:i/>
                <w:iCs/>
              </w:rPr>
              <w:t xml:space="preserve"> Software Ltd v Huber and Others</w:t>
            </w:r>
            <w:r w:rsidRPr="0003469A">
              <w:t xml:space="preserve"> (2018) 132 ACSR 468</w:t>
            </w:r>
            <w:r w:rsidRPr="00681142">
              <w:t>;</w:t>
            </w:r>
            <w:r w:rsidRPr="0003469A">
              <w:t xml:space="preserve"> [2018] FCA 2069</w:t>
            </w:r>
          </w:p>
          <w:p w:rsidR="0003469A" w:rsidRPr="0003469A" w:rsidRDefault="0003469A" w:rsidP="0003469A">
            <w:pPr>
              <w:pStyle w:val="CasesLegislationAppealFrom"/>
              <w:spacing w:after="60"/>
              <w:rPr>
                <w:szCs w:val="24"/>
              </w:rPr>
            </w:pPr>
            <w:proofErr w:type="spellStart"/>
            <w:r w:rsidRPr="00681142">
              <w:rPr>
                <w:i/>
                <w:szCs w:val="24"/>
              </w:rPr>
              <w:t>CellOS</w:t>
            </w:r>
            <w:proofErr w:type="spellEnd"/>
            <w:r w:rsidRPr="00681142">
              <w:rPr>
                <w:i/>
                <w:szCs w:val="24"/>
              </w:rPr>
              <w:t xml:space="preserve"> Software </w:t>
            </w:r>
            <w:r w:rsidR="00681142">
              <w:rPr>
                <w:i/>
                <w:szCs w:val="24"/>
              </w:rPr>
              <w:t xml:space="preserve">Ltd </w:t>
            </w:r>
            <w:r w:rsidRPr="00681142">
              <w:rPr>
                <w:i/>
                <w:szCs w:val="24"/>
              </w:rPr>
              <w:t>v Huber and Others (No 2)</w:t>
            </w:r>
            <w:r w:rsidRPr="00681142">
              <w:rPr>
                <w:szCs w:val="24"/>
              </w:rPr>
              <w:t xml:space="preserve"> (2020) 144 ACSR 267; [2020] FCA 505</w:t>
            </w:r>
          </w:p>
          <w:p w:rsidR="0003469A" w:rsidRPr="0003469A" w:rsidRDefault="0003469A" w:rsidP="0003469A">
            <w:pPr>
              <w:pStyle w:val="CasesLegislationAppealFrom"/>
              <w:spacing w:after="60"/>
              <w:rPr>
                <w:szCs w:val="24"/>
                <w:lang w:eastAsia="en-AU"/>
              </w:rPr>
            </w:pPr>
            <w:r w:rsidRPr="00681142">
              <w:rPr>
                <w:i/>
                <w:szCs w:val="24"/>
                <w:lang w:eastAsia="en-AU"/>
              </w:rPr>
              <w:t xml:space="preserve">Cummings v Claremont Petroleum NL </w:t>
            </w:r>
            <w:r w:rsidRPr="00681142">
              <w:rPr>
                <w:szCs w:val="24"/>
                <w:lang w:eastAsia="en-AU"/>
              </w:rPr>
              <w:t>(1996) 185 CLR 124 at 130</w:t>
            </w:r>
          </w:p>
          <w:p w:rsidR="0003469A" w:rsidRPr="0003469A" w:rsidRDefault="0003469A" w:rsidP="0003469A">
            <w:pPr>
              <w:pStyle w:val="CasesLegislationAppealFrom"/>
              <w:spacing w:after="60"/>
              <w:rPr>
                <w:szCs w:val="24"/>
              </w:rPr>
            </w:pPr>
            <w:r w:rsidRPr="00681142">
              <w:rPr>
                <w:i/>
                <w:szCs w:val="24"/>
              </w:rPr>
              <w:t>Huang v Hua Cheng International Group Pty Ltd</w:t>
            </w:r>
            <w:r w:rsidRPr="00681142">
              <w:rPr>
                <w:szCs w:val="24"/>
              </w:rPr>
              <w:t xml:space="preserve"> [2019] NSWCA 155</w:t>
            </w:r>
          </w:p>
          <w:p w:rsidR="0003469A" w:rsidRPr="0003469A" w:rsidRDefault="0003469A" w:rsidP="0003469A">
            <w:pPr>
              <w:pStyle w:val="CasesLegislationAppealFrom"/>
              <w:spacing w:after="60"/>
              <w:rPr>
                <w:lang w:eastAsia="en-AU"/>
              </w:rPr>
            </w:pPr>
            <w:r w:rsidRPr="00681142">
              <w:rPr>
                <w:i/>
                <w:iCs/>
                <w:lang w:eastAsia="en-AU"/>
              </w:rPr>
              <w:t>Humber &amp; Co v John Griffiths Cycle Co</w:t>
            </w:r>
            <w:r w:rsidRPr="00681142">
              <w:rPr>
                <w:lang w:eastAsia="en-AU"/>
              </w:rPr>
              <w:t xml:space="preserve"> (1901) 85 LT 141</w:t>
            </w:r>
          </w:p>
          <w:p w:rsidR="0003469A" w:rsidRPr="0003469A" w:rsidRDefault="0003469A" w:rsidP="0003469A">
            <w:pPr>
              <w:pStyle w:val="CasesLegislationAppealFrom"/>
              <w:spacing w:after="60"/>
              <w:rPr>
                <w:lang w:eastAsia="en-AU"/>
              </w:rPr>
            </w:pPr>
            <w:r w:rsidRPr="00681142">
              <w:rPr>
                <w:i/>
                <w:iCs/>
                <w:lang w:eastAsia="en-AU"/>
              </w:rPr>
              <w:t>Ingot Capital Investments Pty Ltd v Macquarie Equity Capital Markets Ltd</w:t>
            </w:r>
            <w:r w:rsidRPr="00681142">
              <w:rPr>
                <w:lang w:eastAsia="en-AU"/>
              </w:rPr>
              <w:t xml:space="preserve"> [2007] NSWCA 338</w:t>
            </w:r>
          </w:p>
          <w:p w:rsidR="0003469A" w:rsidRPr="0003469A" w:rsidRDefault="0003469A" w:rsidP="0003469A">
            <w:pPr>
              <w:pStyle w:val="CasesLegislationAppealFrom"/>
              <w:spacing w:after="60"/>
              <w:rPr>
                <w:lang w:eastAsia="en-AU"/>
              </w:rPr>
            </w:pPr>
            <w:r w:rsidRPr="00681142">
              <w:rPr>
                <w:i/>
                <w:iCs/>
                <w:lang w:eastAsia="en-AU"/>
              </w:rPr>
              <w:lastRenderedPageBreak/>
              <w:t xml:space="preserve">King v </w:t>
            </w:r>
            <w:proofErr w:type="spellStart"/>
            <w:r w:rsidRPr="00681142">
              <w:rPr>
                <w:i/>
                <w:iCs/>
                <w:lang w:eastAsia="en-AU"/>
              </w:rPr>
              <w:t>Yurisich</w:t>
            </w:r>
            <w:proofErr w:type="spellEnd"/>
            <w:r w:rsidRPr="00681142">
              <w:rPr>
                <w:lang w:eastAsia="en-AU"/>
              </w:rPr>
              <w:t xml:space="preserve"> (2006) 59 ACSR 598</w:t>
            </w:r>
          </w:p>
          <w:p w:rsidR="0003469A" w:rsidRPr="0003469A" w:rsidRDefault="0003469A" w:rsidP="0003469A">
            <w:pPr>
              <w:pStyle w:val="CasesLegislationAppealFrom"/>
              <w:spacing w:after="60"/>
              <w:rPr>
                <w:lang w:eastAsia="en-AU"/>
              </w:rPr>
            </w:pPr>
            <w:r w:rsidRPr="00681142">
              <w:rPr>
                <w:i/>
                <w:iCs/>
                <w:lang w:eastAsia="en-AU"/>
              </w:rPr>
              <w:t xml:space="preserve">MG Corrosion Consultants Pty Ltd v Gilmour </w:t>
            </w:r>
            <w:r w:rsidRPr="00681142">
              <w:rPr>
                <w:iCs/>
                <w:lang w:eastAsia="en-AU"/>
              </w:rPr>
              <w:t xml:space="preserve">[2012] 202 FCR 354; </w:t>
            </w:r>
            <w:r w:rsidRPr="00681142">
              <w:rPr>
                <w:lang w:eastAsia="en-AU"/>
              </w:rPr>
              <w:t>[2012] FCA 383</w:t>
            </w:r>
          </w:p>
          <w:p w:rsidR="0003469A" w:rsidRPr="0003469A" w:rsidRDefault="0003469A" w:rsidP="0003469A">
            <w:pPr>
              <w:pStyle w:val="CasesLegislationAppealFrom"/>
              <w:spacing w:after="60"/>
              <w:rPr>
                <w:lang w:eastAsia="en-AU"/>
              </w:rPr>
            </w:pPr>
            <w:r w:rsidRPr="00681142">
              <w:rPr>
                <w:i/>
                <w:iCs/>
                <w:lang w:eastAsia="en-AU"/>
              </w:rPr>
              <w:t>Re Gordon Grant and Grant Pty Ltd</w:t>
            </w:r>
            <w:r w:rsidRPr="00681142">
              <w:rPr>
                <w:lang w:eastAsia="en-AU"/>
              </w:rPr>
              <w:t xml:space="preserve"> [1983] 2 </w:t>
            </w:r>
            <w:proofErr w:type="spellStart"/>
            <w:r w:rsidRPr="00681142">
              <w:rPr>
                <w:lang w:eastAsia="en-AU"/>
              </w:rPr>
              <w:t>Qd</w:t>
            </w:r>
            <w:proofErr w:type="spellEnd"/>
            <w:r w:rsidRPr="00681142">
              <w:rPr>
                <w:lang w:eastAsia="en-AU"/>
              </w:rPr>
              <w:t xml:space="preserve"> R 314</w:t>
            </w:r>
          </w:p>
          <w:p w:rsidR="0003469A" w:rsidRPr="0003469A" w:rsidRDefault="0003469A" w:rsidP="0003469A">
            <w:pPr>
              <w:pStyle w:val="CasesLegislationAppealFrom"/>
              <w:spacing w:after="60"/>
              <w:rPr>
                <w:szCs w:val="24"/>
                <w:lang w:eastAsia="en-AU"/>
              </w:rPr>
            </w:pPr>
            <w:r w:rsidRPr="00681142">
              <w:rPr>
                <w:i/>
                <w:szCs w:val="24"/>
                <w:lang w:eastAsia="en-AU"/>
              </w:rPr>
              <w:t>Skinner v Jeogla Pty Ltd</w:t>
            </w:r>
            <w:r w:rsidRPr="00681142">
              <w:rPr>
                <w:szCs w:val="24"/>
                <w:lang w:eastAsia="en-AU"/>
              </w:rPr>
              <w:t xml:space="preserve"> (2001) 37 ACSR 106; [2001] NSWCA 15</w:t>
            </w:r>
          </w:p>
          <w:p w:rsidR="0003469A" w:rsidRPr="0003469A" w:rsidRDefault="0003469A" w:rsidP="0003469A">
            <w:pPr>
              <w:pStyle w:val="CasesLegislationAppealFrom"/>
              <w:spacing w:after="60"/>
              <w:rPr>
                <w:szCs w:val="24"/>
              </w:rPr>
            </w:pPr>
            <w:proofErr w:type="spellStart"/>
            <w:r w:rsidRPr="00681142">
              <w:rPr>
                <w:i/>
                <w:szCs w:val="24"/>
                <w:lang w:eastAsia="en-AU"/>
              </w:rPr>
              <w:t>Zervas</w:t>
            </w:r>
            <w:proofErr w:type="spellEnd"/>
            <w:r w:rsidRPr="00681142">
              <w:rPr>
                <w:i/>
                <w:szCs w:val="24"/>
                <w:lang w:eastAsia="en-AU"/>
              </w:rPr>
              <w:t xml:space="preserve"> v </w:t>
            </w:r>
            <w:proofErr w:type="spellStart"/>
            <w:r w:rsidRPr="00681142">
              <w:rPr>
                <w:i/>
                <w:szCs w:val="24"/>
                <w:lang w:eastAsia="en-AU"/>
              </w:rPr>
              <w:t>Burkitt</w:t>
            </w:r>
            <w:proofErr w:type="spellEnd"/>
            <w:r w:rsidRPr="00681142">
              <w:rPr>
                <w:szCs w:val="24"/>
                <w:lang w:eastAsia="en-AU"/>
              </w:rPr>
              <w:t xml:space="preserve"> [2019] NSWCA 112</w:t>
            </w:r>
            <w:bookmarkEnd w:id="5"/>
          </w:p>
        </w:tc>
      </w:tr>
      <w:tr w:rsidR="0056433D" w:rsidRPr="006D7E5A" w:rsidTr="00885ADE">
        <w:tc>
          <w:tcPr>
            <w:tcW w:w="3083" w:type="dxa"/>
            <w:shd w:val="clear" w:color="auto" w:fill="auto"/>
          </w:tcPr>
          <w:p w:rsidR="0056433D" w:rsidRPr="006D7E5A" w:rsidRDefault="0056433D" w:rsidP="002F7154">
            <w:pPr>
              <w:pStyle w:val="Normal1linespace"/>
              <w:widowControl w:val="0"/>
              <w:rPr>
                <w:szCs w:val="24"/>
              </w:rPr>
            </w:pPr>
          </w:p>
        </w:tc>
        <w:tc>
          <w:tcPr>
            <w:tcW w:w="5990" w:type="dxa"/>
            <w:shd w:val="clear" w:color="auto" w:fill="auto"/>
          </w:tcPr>
          <w:p w:rsidR="0056433D" w:rsidRPr="006D7E5A" w:rsidRDefault="0056433D" w:rsidP="002F7154">
            <w:pPr>
              <w:pStyle w:val="Normal1linespace"/>
              <w:widowControl w:val="0"/>
              <w:jc w:val="left"/>
              <w:rPr>
                <w:szCs w:val="24"/>
              </w:rPr>
            </w:pPr>
          </w:p>
        </w:tc>
      </w:tr>
      <w:tr w:rsidR="0056433D" w:rsidRPr="006D7E5A" w:rsidTr="00885ADE">
        <w:tc>
          <w:tcPr>
            <w:tcW w:w="3083" w:type="dxa"/>
            <w:shd w:val="clear" w:color="auto" w:fill="auto"/>
          </w:tcPr>
          <w:p w:rsidR="0056433D" w:rsidRPr="006D7E5A" w:rsidRDefault="0056433D" w:rsidP="00501A12">
            <w:pPr>
              <w:pStyle w:val="Normal1linespace"/>
              <w:widowControl w:val="0"/>
              <w:rPr>
                <w:szCs w:val="24"/>
              </w:rPr>
            </w:pPr>
            <w:r w:rsidRPr="006D7E5A">
              <w:rPr>
                <w:szCs w:val="24"/>
              </w:rPr>
              <w:t>Division:</w:t>
            </w:r>
          </w:p>
        </w:tc>
        <w:tc>
          <w:tcPr>
            <w:tcW w:w="5990" w:type="dxa"/>
            <w:shd w:val="clear" w:color="auto" w:fill="auto"/>
          </w:tcPr>
          <w:p w:rsidR="0056433D" w:rsidRPr="006D7E5A" w:rsidRDefault="00982D0F" w:rsidP="00501A12">
            <w:pPr>
              <w:pStyle w:val="Normal1linespace"/>
              <w:widowControl w:val="0"/>
              <w:jc w:val="left"/>
              <w:rPr>
                <w:szCs w:val="24"/>
              </w:rPr>
            </w:pPr>
            <w:r w:rsidRPr="006D7E5A">
              <w:rPr>
                <w:szCs w:val="24"/>
              </w:rPr>
              <w:fldChar w:fldCharType="begin"/>
            </w:r>
            <w:r w:rsidRPr="006D7E5A">
              <w:rPr>
                <w:szCs w:val="24"/>
              </w:rPr>
              <w:instrText xml:space="preserve"> DOCPROPERTY  Division </w:instrText>
            </w:r>
            <w:r w:rsidRPr="006D7E5A">
              <w:rPr>
                <w:szCs w:val="24"/>
              </w:rPr>
              <w:fldChar w:fldCharType="separate"/>
            </w:r>
            <w:r w:rsidR="0056433D" w:rsidRPr="006D7E5A">
              <w:rPr>
                <w:szCs w:val="24"/>
              </w:rPr>
              <w:t>General Division</w:t>
            </w:r>
            <w:r w:rsidRPr="006D7E5A">
              <w:rPr>
                <w:szCs w:val="24"/>
              </w:rPr>
              <w:fldChar w:fldCharType="end"/>
            </w:r>
          </w:p>
        </w:tc>
      </w:tr>
      <w:tr w:rsidR="0056433D" w:rsidRPr="006D7E5A" w:rsidTr="00885ADE">
        <w:tc>
          <w:tcPr>
            <w:tcW w:w="3083" w:type="dxa"/>
            <w:shd w:val="clear" w:color="auto" w:fill="auto"/>
          </w:tcPr>
          <w:p w:rsidR="0056433D" w:rsidRPr="006D7E5A" w:rsidRDefault="0056433D" w:rsidP="00501A12">
            <w:pPr>
              <w:pStyle w:val="Normal1linespace"/>
              <w:widowControl w:val="0"/>
              <w:rPr>
                <w:szCs w:val="24"/>
              </w:rPr>
            </w:pPr>
            <w:bookmarkStart w:id="6" w:name="Registry_rows" w:colFirst="0" w:colLast="1"/>
          </w:p>
        </w:tc>
        <w:tc>
          <w:tcPr>
            <w:tcW w:w="5990" w:type="dxa"/>
            <w:shd w:val="clear" w:color="auto" w:fill="auto"/>
          </w:tcPr>
          <w:p w:rsidR="0056433D" w:rsidRPr="006D7E5A" w:rsidRDefault="0056433D" w:rsidP="00501A12">
            <w:pPr>
              <w:pStyle w:val="Normal1linespace"/>
              <w:widowControl w:val="0"/>
              <w:jc w:val="left"/>
              <w:rPr>
                <w:szCs w:val="24"/>
              </w:rPr>
            </w:pPr>
          </w:p>
        </w:tc>
      </w:tr>
      <w:tr w:rsidR="0056433D" w:rsidRPr="006D7E5A" w:rsidTr="00885ADE">
        <w:tc>
          <w:tcPr>
            <w:tcW w:w="3083" w:type="dxa"/>
            <w:shd w:val="clear" w:color="auto" w:fill="auto"/>
          </w:tcPr>
          <w:p w:rsidR="0056433D" w:rsidRPr="006D7E5A" w:rsidRDefault="0056433D" w:rsidP="00501A12">
            <w:pPr>
              <w:pStyle w:val="Normal1linespace"/>
              <w:widowControl w:val="0"/>
              <w:rPr>
                <w:szCs w:val="24"/>
              </w:rPr>
            </w:pPr>
            <w:r w:rsidRPr="006D7E5A">
              <w:rPr>
                <w:szCs w:val="24"/>
              </w:rPr>
              <w:t>Registry:</w:t>
            </w:r>
          </w:p>
        </w:tc>
        <w:tc>
          <w:tcPr>
            <w:tcW w:w="5990" w:type="dxa"/>
            <w:shd w:val="clear" w:color="auto" w:fill="auto"/>
          </w:tcPr>
          <w:p w:rsidR="0056433D" w:rsidRPr="006D7E5A" w:rsidRDefault="003024A0" w:rsidP="00501A12">
            <w:pPr>
              <w:pStyle w:val="Normal1linespace"/>
              <w:widowControl w:val="0"/>
              <w:jc w:val="left"/>
              <w:rPr>
                <w:szCs w:val="24"/>
              </w:rPr>
            </w:pPr>
            <w:r>
              <w:rPr>
                <w:szCs w:val="24"/>
              </w:rPr>
              <w:t>Victoria</w:t>
            </w:r>
          </w:p>
        </w:tc>
      </w:tr>
      <w:tr w:rsidR="0056433D" w:rsidRPr="006D7E5A" w:rsidTr="00885ADE">
        <w:tc>
          <w:tcPr>
            <w:tcW w:w="3083" w:type="dxa"/>
            <w:shd w:val="clear" w:color="auto" w:fill="auto"/>
          </w:tcPr>
          <w:p w:rsidR="0056433D" w:rsidRPr="006D7E5A" w:rsidRDefault="0056433D" w:rsidP="00501A12">
            <w:pPr>
              <w:pStyle w:val="Normal1linespace"/>
              <w:widowControl w:val="0"/>
              <w:rPr>
                <w:szCs w:val="24"/>
              </w:rPr>
            </w:pPr>
            <w:bookmarkStart w:id="7" w:name="NPARow" w:colFirst="0" w:colLast="1"/>
            <w:bookmarkEnd w:id="6"/>
          </w:p>
        </w:tc>
        <w:tc>
          <w:tcPr>
            <w:tcW w:w="5990" w:type="dxa"/>
            <w:shd w:val="clear" w:color="auto" w:fill="auto"/>
          </w:tcPr>
          <w:p w:rsidR="0056433D" w:rsidRPr="006D7E5A" w:rsidRDefault="0056433D" w:rsidP="00501A12">
            <w:pPr>
              <w:pStyle w:val="Normal1linespace"/>
              <w:widowControl w:val="0"/>
              <w:jc w:val="left"/>
              <w:rPr>
                <w:b/>
                <w:szCs w:val="24"/>
              </w:rPr>
            </w:pPr>
          </w:p>
        </w:tc>
      </w:tr>
      <w:tr w:rsidR="0056433D" w:rsidRPr="006D7E5A" w:rsidTr="00885ADE">
        <w:tc>
          <w:tcPr>
            <w:tcW w:w="3083" w:type="dxa"/>
            <w:shd w:val="clear" w:color="auto" w:fill="auto"/>
          </w:tcPr>
          <w:p w:rsidR="0056433D" w:rsidRPr="006D7E5A" w:rsidRDefault="0056433D" w:rsidP="00501A12">
            <w:pPr>
              <w:pStyle w:val="Normal1linespace"/>
              <w:widowControl w:val="0"/>
              <w:rPr>
                <w:szCs w:val="24"/>
              </w:rPr>
            </w:pPr>
            <w:r w:rsidRPr="006D7E5A">
              <w:rPr>
                <w:szCs w:val="24"/>
              </w:rPr>
              <w:t>National Practice Area:</w:t>
            </w:r>
          </w:p>
        </w:tc>
        <w:tc>
          <w:tcPr>
            <w:tcW w:w="5990" w:type="dxa"/>
            <w:shd w:val="clear" w:color="auto" w:fill="auto"/>
          </w:tcPr>
          <w:p w:rsidR="0056433D" w:rsidRPr="006D7E5A" w:rsidRDefault="003024A0" w:rsidP="00171DBB">
            <w:pPr>
              <w:pStyle w:val="Normal1linespace"/>
              <w:widowControl w:val="0"/>
              <w:jc w:val="left"/>
              <w:rPr>
                <w:b/>
                <w:szCs w:val="24"/>
              </w:rPr>
            </w:pPr>
            <w:r>
              <w:rPr>
                <w:szCs w:val="24"/>
              </w:rPr>
              <w:t>Commercial and Corporations</w:t>
            </w:r>
          </w:p>
        </w:tc>
      </w:tr>
      <w:tr w:rsidR="0056433D" w:rsidRPr="006D7E5A" w:rsidTr="00885ADE">
        <w:tc>
          <w:tcPr>
            <w:tcW w:w="3083" w:type="dxa"/>
            <w:shd w:val="clear" w:color="auto" w:fill="auto"/>
          </w:tcPr>
          <w:p w:rsidR="0056433D" w:rsidRPr="006D7E5A" w:rsidRDefault="0056433D" w:rsidP="00501A12">
            <w:pPr>
              <w:pStyle w:val="Normal1linespace"/>
              <w:widowControl w:val="0"/>
              <w:rPr>
                <w:szCs w:val="24"/>
              </w:rPr>
            </w:pPr>
            <w:bookmarkStart w:id="8" w:name="SubAreaRow" w:colFirst="0" w:colLast="1"/>
            <w:bookmarkEnd w:id="7"/>
          </w:p>
        </w:tc>
        <w:tc>
          <w:tcPr>
            <w:tcW w:w="5990" w:type="dxa"/>
            <w:shd w:val="clear" w:color="auto" w:fill="auto"/>
          </w:tcPr>
          <w:p w:rsidR="0056433D" w:rsidRPr="006D7E5A" w:rsidRDefault="0056433D" w:rsidP="00171DBB">
            <w:pPr>
              <w:pStyle w:val="Normal1linespace"/>
              <w:widowControl w:val="0"/>
              <w:jc w:val="left"/>
              <w:rPr>
                <w:szCs w:val="24"/>
              </w:rPr>
            </w:pPr>
          </w:p>
        </w:tc>
      </w:tr>
      <w:tr w:rsidR="0056433D" w:rsidRPr="006D7E5A" w:rsidTr="00885ADE">
        <w:tc>
          <w:tcPr>
            <w:tcW w:w="3083" w:type="dxa"/>
            <w:shd w:val="clear" w:color="auto" w:fill="auto"/>
          </w:tcPr>
          <w:p w:rsidR="0056433D" w:rsidRPr="006D7E5A" w:rsidRDefault="0056433D" w:rsidP="00501A12">
            <w:pPr>
              <w:pStyle w:val="Normal1linespace"/>
              <w:widowControl w:val="0"/>
              <w:rPr>
                <w:szCs w:val="24"/>
              </w:rPr>
            </w:pPr>
            <w:r w:rsidRPr="006D7E5A">
              <w:rPr>
                <w:szCs w:val="24"/>
              </w:rPr>
              <w:t>Sub-area:</w:t>
            </w:r>
          </w:p>
        </w:tc>
        <w:tc>
          <w:tcPr>
            <w:tcW w:w="5990" w:type="dxa"/>
            <w:shd w:val="clear" w:color="auto" w:fill="auto"/>
          </w:tcPr>
          <w:p w:rsidR="0056433D" w:rsidRPr="006D7E5A" w:rsidRDefault="003024A0" w:rsidP="00435936">
            <w:pPr>
              <w:pStyle w:val="Normal1linespace"/>
              <w:widowControl w:val="0"/>
              <w:jc w:val="left"/>
              <w:rPr>
                <w:szCs w:val="24"/>
              </w:rPr>
            </w:pPr>
            <w:r>
              <w:rPr>
                <w:szCs w:val="24"/>
              </w:rPr>
              <w:t>Corporations and Corporate Insolvency</w:t>
            </w:r>
          </w:p>
        </w:tc>
      </w:tr>
      <w:bookmarkEnd w:id="8"/>
      <w:tr w:rsidR="0056433D" w:rsidRPr="006D7E5A" w:rsidTr="00885ADE">
        <w:tc>
          <w:tcPr>
            <w:tcW w:w="3083" w:type="dxa"/>
            <w:shd w:val="clear" w:color="auto" w:fill="auto"/>
          </w:tcPr>
          <w:p w:rsidR="0056433D" w:rsidRPr="006D7E5A" w:rsidRDefault="0056433D" w:rsidP="00501A12">
            <w:pPr>
              <w:pStyle w:val="Normal1linespace"/>
              <w:widowControl w:val="0"/>
              <w:rPr>
                <w:szCs w:val="24"/>
              </w:rPr>
            </w:pPr>
          </w:p>
        </w:tc>
        <w:tc>
          <w:tcPr>
            <w:tcW w:w="5990" w:type="dxa"/>
            <w:shd w:val="clear" w:color="auto" w:fill="auto"/>
          </w:tcPr>
          <w:p w:rsidR="0056433D" w:rsidRPr="006D7E5A" w:rsidRDefault="0056433D" w:rsidP="00501A12">
            <w:pPr>
              <w:pStyle w:val="Normal1linespace"/>
              <w:widowControl w:val="0"/>
              <w:jc w:val="left"/>
              <w:rPr>
                <w:szCs w:val="24"/>
              </w:rPr>
            </w:pPr>
          </w:p>
        </w:tc>
      </w:tr>
      <w:tr w:rsidR="0056433D" w:rsidRPr="006D7E5A" w:rsidTr="00885ADE">
        <w:tc>
          <w:tcPr>
            <w:tcW w:w="3083" w:type="dxa"/>
            <w:shd w:val="clear" w:color="auto" w:fill="auto"/>
          </w:tcPr>
          <w:p w:rsidR="0056433D" w:rsidRPr="006D7E5A" w:rsidRDefault="0056433D" w:rsidP="00501A12">
            <w:pPr>
              <w:pStyle w:val="Normal1linespace"/>
              <w:widowControl w:val="0"/>
              <w:rPr>
                <w:szCs w:val="24"/>
              </w:rPr>
            </w:pPr>
            <w:r w:rsidRPr="006D7E5A">
              <w:rPr>
                <w:szCs w:val="24"/>
              </w:rPr>
              <w:t>Number of paragraphs:</w:t>
            </w:r>
          </w:p>
        </w:tc>
        <w:tc>
          <w:tcPr>
            <w:tcW w:w="5990" w:type="dxa"/>
            <w:shd w:val="clear" w:color="auto" w:fill="auto"/>
          </w:tcPr>
          <w:p w:rsidR="0056433D" w:rsidRPr="006D7E5A" w:rsidRDefault="00681142" w:rsidP="00501A12">
            <w:pPr>
              <w:pStyle w:val="Normal1linespace"/>
              <w:widowControl w:val="0"/>
              <w:jc w:val="left"/>
              <w:rPr>
                <w:szCs w:val="24"/>
              </w:rPr>
            </w:pPr>
            <w:bookmarkStart w:id="9" w:name="PlaceCategoryParagraphs"/>
            <w:r>
              <w:rPr>
                <w:szCs w:val="24"/>
              </w:rPr>
              <w:t>20</w:t>
            </w:r>
            <w:bookmarkEnd w:id="9"/>
          </w:p>
        </w:tc>
      </w:tr>
      <w:tr w:rsidR="0056433D" w:rsidRPr="006D7E5A" w:rsidTr="00885ADE">
        <w:tc>
          <w:tcPr>
            <w:tcW w:w="3083" w:type="dxa"/>
            <w:shd w:val="clear" w:color="auto" w:fill="auto"/>
          </w:tcPr>
          <w:p w:rsidR="0056433D" w:rsidRPr="006D7E5A" w:rsidRDefault="0056433D" w:rsidP="0056433D">
            <w:pPr>
              <w:pStyle w:val="Normal1linespace"/>
              <w:widowControl w:val="0"/>
              <w:jc w:val="left"/>
              <w:rPr>
                <w:szCs w:val="24"/>
              </w:rPr>
            </w:pPr>
          </w:p>
        </w:tc>
        <w:tc>
          <w:tcPr>
            <w:tcW w:w="5990" w:type="dxa"/>
            <w:shd w:val="clear" w:color="auto" w:fill="auto"/>
          </w:tcPr>
          <w:p w:rsidR="0056433D" w:rsidRPr="006D7E5A" w:rsidRDefault="0056433D" w:rsidP="0056433D">
            <w:pPr>
              <w:pStyle w:val="Normal1linespace"/>
              <w:widowControl w:val="0"/>
              <w:jc w:val="left"/>
              <w:rPr>
                <w:szCs w:val="24"/>
              </w:rPr>
            </w:pPr>
          </w:p>
        </w:tc>
      </w:tr>
      <w:tr w:rsidR="0056433D" w:rsidRPr="006D7E5A" w:rsidTr="00885ADE">
        <w:tc>
          <w:tcPr>
            <w:tcW w:w="3083" w:type="dxa"/>
            <w:shd w:val="clear" w:color="auto" w:fill="auto"/>
          </w:tcPr>
          <w:p w:rsidR="0056433D" w:rsidRPr="006D7E5A" w:rsidRDefault="0056433D" w:rsidP="0056433D">
            <w:pPr>
              <w:pStyle w:val="Normal1linespace"/>
              <w:widowControl w:val="0"/>
              <w:jc w:val="left"/>
              <w:rPr>
                <w:szCs w:val="24"/>
              </w:rPr>
            </w:pPr>
            <w:r w:rsidRPr="006D7E5A">
              <w:rPr>
                <w:szCs w:val="24"/>
              </w:rPr>
              <w:t>Date of last submission/s:</w:t>
            </w:r>
          </w:p>
        </w:tc>
        <w:tc>
          <w:tcPr>
            <w:tcW w:w="5990" w:type="dxa"/>
            <w:shd w:val="clear" w:color="auto" w:fill="auto"/>
          </w:tcPr>
          <w:p w:rsidR="0056433D" w:rsidRDefault="003024A0" w:rsidP="0056433D">
            <w:pPr>
              <w:pStyle w:val="Normal1linespace"/>
              <w:widowControl w:val="0"/>
              <w:jc w:val="left"/>
              <w:rPr>
                <w:szCs w:val="24"/>
              </w:rPr>
            </w:pPr>
            <w:r>
              <w:rPr>
                <w:szCs w:val="24"/>
              </w:rPr>
              <w:t>Applicant: 30 May 2022</w:t>
            </w:r>
          </w:p>
          <w:p w:rsidR="003024A0" w:rsidRPr="006D7E5A" w:rsidRDefault="003024A0" w:rsidP="0056433D">
            <w:pPr>
              <w:pStyle w:val="Normal1linespace"/>
              <w:widowControl w:val="0"/>
              <w:jc w:val="left"/>
              <w:rPr>
                <w:szCs w:val="24"/>
              </w:rPr>
            </w:pPr>
            <w:r>
              <w:rPr>
                <w:szCs w:val="24"/>
              </w:rPr>
              <w:t>Respondent: 13 May 2022</w:t>
            </w:r>
          </w:p>
        </w:tc>
      </w:tr>
      <w:tr w:rsidR="0056433D" w:rsidRPr="006D7E5A" w:rsidTr="00885ADE">
        <w:tc>
          <w:tcPr>
            <w:tcW w:w="3083" w:type="dxa"/>
            <w:shd w:val="clear" w:color="auto" w:fill="auto"/>
          </w:tcPr>
          <w:p w:rsidR="0056433D" w:rsidRPr="006D7E5A" w:rsidRDefault="0056433D" w:rsidP="0056433D">
            <w:pPr>
              <w:pStyle w:val="Normal1linespace"/>
              <w:widowControl w:val="0"/>
              <w:jc w:val="left"/>
              <w:rPr>
                <w:szCs w:val="24"/>
              </w:rPr>
            </w:pPr>
          </w:p>
        </w:tc>
        <w:tc>
          <w:tcPr>
            <w:tcW w:w="5990" w:type="dxa"/>
            <w:shd w:val="clear" w:color="auto" w:fill="auto"/>
          </w:tcPr>
          <w:p w:rsidR="0056433D" w:rsidRPr="006D7E5A" w:rsidRDefault="0056433D" w:rsidP="0056433D">
            <w:pPr>
              <w:pStyle w:val="Normal1linespace"/>
              <w:widowControl w:val="0"/>
              <w:jc w:val="left"/>
              <w:rPr>
                <w:szCs w:val="24"/>
              </w:rPr>
            </w:pPr>
          </w:p>
        </w:tc>
      </w:tr>
      <w:tr w:rsidR="0056433D" w:rsidRPr="006D7E5A" w:rsidTr="00885ADE">
        <w:tc>
          <w:tcPr>
            <w:tcW w:w="3083" w:type="dxa"/>
            <w:shd w:val="clear" w:color="auto" w:fill="auto"/>
          </w:tcPr>
          <w:p w:rsidR="0056433D" w:rsidRPr="006D7E5A" w:rsidRDefault="0056433D" w:rsidP="0056433D">
            <w:pPr>
              <w:pStyle w:val="Normal1linespace"/>
              <w:widowControl w:val="0"/>
              <w:jc w:val="left"/>
              <w:rPr>
                <w:szCs w:val="24"/>
              </w:rPr>
            </w:pPr>
            <w:bookmarkStart w:id="10" w:name="CounselDate" w:colFirst="0" w:colLast="2"/>
            <w:r w:rsidRPr="006D7E5A">
              <w:rPr>
                <w:szCs w:val="24"/>
              </w:rPr>
              <w:t>Date of hearing:</w:t>
            </w:r>
          </w:p>
        </w:tc>
        <w:tc>
          <w:tcPr>
            <w:tcW w:w="5990" w:type="dxa"/>
            <w:shd w:val="clear" w:color="auto" w:fill="auto"/>
          </w:tcPr>
          <w:p w:rsidR="0056433D" w:rsidRPr="006D7E5A" w:rsidRDefault="003024A0" w:rsidP="0056433D">
            <w:pPr>
              <w:pStyle w:val="Normal1linespace"/>
              <w:widowControl w:val="0"/>
              <w:jc w:val="left"/>
              <w:rPr>
                <w:szCs w:val="24"/>
              </w:rPr>
            </w:pPr>
            <w:r>
              <w:rPr>
                <w:szCs w:val="24"/>
              </w:rPr>
              <w:t>Determined on the papers</w:t>
            </w:r>
          </w:p>
        </w:tc>
      </w:tr>
      <w:tr w:rsidR="0056433D" w:rsidRPr="006D7E5A" w:rsidTr="00885ADE">
        <w:tc>
          <w:tcPr>
            <w:tcW w:w="3083" w:type="dxa"/>
            <w:shd w:val="clear" w:color="auto" w:fill="auto"/>
          </w:tcPr>
          <w:p w:rsidR="0056433D" w:rsidRPr="006D7E5A" w:rsidRDefault="0056433D" w:rsidP="0056433D">
            <w:pPr>
              <w:pStyle w:val="Normal1linespace"/>
              <w:widowControl w:val="0"/>
              <w:jc w:val="left"/>
              <w:rPr>
                <w:szCs w:val="24"/>
              </w:rPr>
            </w:pPr>
          </w:p>
        </w:tc>
        <w:tc>
          <w:tcPr>
            <w:tcW w:w="5990" w:type="dxa"/>
            <w:shd w:val="clear" w:color="auto" w:fill="auto"/>
          </w:tcPr>
          <w:p w:rsidR="0056433D" w:rsidRPr="006D7E5A" w:rsidRDefault="0056433D" w:rsidP="0056433D">
            <w:pPr>
              <w:pStyle w:val="Normal1linespace"/>
              <w:widowControl w:val="0"/>
              <w:jc w:val="left"/>
              <w:rPr>
                <w:szCs w:val="24"/>
              </w:rPr>
            </w:pPr>
          </w:p>
        </w:tc>
      </w:tr>
      <w:tr w:rsidR="00681142" w:rsidTr="00885ADE">
        <w:tc>
          <w:tcPr>
            <w:tcW w:w="3083" w:type="dxa"/>
            <w:shd w:val="clear" w:color="auto" w:fill="auto"/>
          </w:tcPr>
          <w:p w:rsidR="00681142" w:rsidRDefault="00681142" w:rsidP="00681142">
            <w:pPr>
              <w:pStyle w:val="Normal1linespace"/>
              <w:widowControl w:val="0"/>
              <w:jc w:val="left"/>
            </w:pPr>
            <w:bookmarkStart w:id="11" w:name="Counsel" w:colFirst="0" w:colLast="2"/>
            <w:bookmarkStart w:id="12" w:name="CompletionTable"/>
            <w:bookmarkEnd w:id="10"/>
            <w:r>
              <w:t>Solicitor for the Applicant:</w:t>
            </w:r>
          </w:p>
        </w:tc>
        <w:tc>
          <w:tcPr>
            <w:tcW w:w="5990" w:type="dxa"/>
            <w:shd w:val="clear" w:color="auto" w:fill="auto"/>
          </w:tcPr>
          <w:p w:rsidR="00681142" w:rsidRDefault="00681142" w:rsidP="00681142">
            <w:pPr>
              <w:pStyle w:val="Normal1linespace"/>
              <w:widowControl w:val="0"/>
              <w:jc w:val="left"/>
            </w:pPr>
            <w:bookmarkStart w:id="13" w:name="AppCounsel"/>
            <w:bookmarkEnd w:id="13"/>
            <w:r>
              <w:t>The Applicant was self-represented</w:t>
            </w:r>
          </w:p>
        </w:tc>
      </w:tr>
      <w:tr w:rsidR="00681142" w:rsidTr="00885ADE">
        <w:tc>
          <w:tcPr>
            <w:tcW w:w="3083" w:type="dxa"/>
            <w:shd w:val="clear" w:color="auto" w:fill="auto"/>
          </w:tcPr>
          <w:p w:rsidR="00681142" w:rsidRDefault="00681142" w:rsidP="00681142">
            <w:pPr>
              <w:pStyle w:val="Normal1linespace"/>
              <w:widowControl w:val="0"/>
              <w:jc w:val="left"/>
            </w:pPr>
          </w:p>
        </w:tc>
        <w:tc>
          <w:tcPr>
            <w:tcW w:w="5990" w:type="dxa"/>
            <w:shd w:val="clear" w:color="auto" w:fill="auto"/>
          </w:tcPr>
          <w:p w:rsidR="00681142" w:rsidRDefault="00681142" w:rsidP="00681142">
            <w:pPr>
              <w:pStyle w:val="Normal1linespace"/>
              <w:widowControl w:val="0"/>
              <w:jc w:val="left"/>
            </w:pPr>
          </w:p>
        </w:tc>
      </w:tr>
      <w:tr w:rsidR="00681142" w:rsidTr="00885ADE">
        <w:tc>
          <w:tcPr>
            <w:tcW w:w="3083" w:type="dxa"/>
            <w:shd w:val="clear" w:color="auto" w:fill="auto"/>
          </w:tcPr>
          <w:p w:rsidR="00681142" w:rsidRDefault="00681142" w:rsidP="00681142">
            <w:pPr>
              <w:pStyle w:val="Normal1linespace"/>
              <w:widowControl w:val="0"/>
              <w:jc w:val="left"/>
            </w:pPr>
            <w:r>
              <w:t>Solicitor for the Respondent:</w:t>
            </w:r>
          </w:p>
        </w:tc>
        <w:tc>
          <w:tcPr>
            <w:tcW w:w="5990" w:type="dxa"/>
            <w:shd w:val="clear" w:color="auto" w:fill="auto"/>
          </w:tcPr>
          <w:p w:rsidR="00681142" w:rsidRDefault="00681142" w:rsidP="00681142">
            <w:pPr>
              <w:pStyle w:val="Normal1linespace"/>
              <w:widowControl w:val="0"/>
              <w:jc w:val="left"/>
            </w:pPr>
            <w:r>
              <w:t>Mills Oakley</w:t>
            </w:r>
          </w:p>
        </w:tc>
      </w:tr>
      <w:bookmarkEnd w:id="11"/>
      <w:bookmarkEnd w:id="12"/>
    </w:tbl>
    <w:p w:rsidR="007470BD" w:rsidRPr="006D7E5A" w:rsidRDefault="007470BD">
      <w:pPr>
        <w:pStyle w:val="Normal1linespace"/>
        <w:rPr>
          <w:szCs w:val="24"/>
        </w:rPr>
      </w:pPr>
    </w:p>
    <w:p w:rsidR="00E94CBF" w:rsidRPr="006D7E5A" w:rsidRDefault="00E94CBF">
      <w:pPr>
        <w:pStyle w:val="Normal1linespace"/>
        <w:rPr>
          <w:szCs w:val="24"/>
        </w:rPr>
      </w:pPr>
    </w:p>
    <w:p w:rsidR="00395B24" w:rsidRPr="006D7E5A" w:rsidRDefault="00395B24">
      <w:pPr>
        <w:pStyle w:val="Normal1linespace"/>
        <w:rPr>
          <w:szCs w:val="24"/>
        </w:rPr>
        <w:sectPr w:rsidR="00395B24" w:rsidRPr="006D7E5A" w:rsidSect="001F2473">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7" w:h="16840" w:code="9"/>
          <w:pgMar w:top="1440" w:right="1440" w:bottom="1440" w:left="1440" w:header="851" w:footer="768" w:gutter="0"/>
          <w:pgNumType w:start="1"/>
          <w:cols w:space="720"/>
          <w:noEndnote/>
          <w:titlePg/>
        </w:sectPr>
      </w:pPr>
    </w:p>
    <w:p w:rsidR="008C7167" w:rsidRPr="006D7E5A" w:rsidRDefault="0011419D" w:rsidP="00045BB7">
      <w:pPr>
        <w:pStyle w:val="NormalHeadings"/>
        <w:spacing w:line="480" w:lineRule="auto"/>
        <w:jc w:val="center"/>
        <w:rPr>
          <w:szCs w:val="24"/>
        </w:rPr>
      </w:pPr>
      <w:r w:rsidRPr="006D7E5A">
        <w:rPr>
          <w:szCs w:val="24"/>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RPr="006D7E5A" w:rsidTr="00E81DA6">
        <w:tc>
          <w:tcPr>
            <w:tcW w:w="6912" w:type="dxa"/>
            <w:gridSpan w:val="2"/>
          </w:tcPr>
          <w:p w:rsidR="00A46CCC" w:rsidRPr="006D7E5A" w:rsidRDefault="00A46CCC" w:rsidP="00525A49">
            <w:pPr>
              <w:pStyle w:val="NormalHeadings"/>
              <w:rPr>
                <w:szCs w:val="24"/>
              </w:rPr>
            </w:pPr>
          </w:p>
        </w:tc>
        <w:tc>
          <w:tcPr>
            <w:tcW w:w="2330" w:type="dxa"/>
          </w:tcPr>
          <w:p w:rsidR="00A46CCC" w:rsidRPr="006D7E5A" w:rsidRDefault="00D957A0" w:rsidP="00F92355">
            <w:pPr>
              <w:pStyle w:val="NormalHeadings"/>
              <w:jc w:val="right"/>
              <w:rPr>
                <w:szCs w:val="24"/>
              </w:rPr>
            </w:pPr>
            <w:bookmarkStart w:id="14" w:name="FileNo"/>
            <w:r>
              <w:rPr>
                <w:szCs w:val="24"/>
              </w:rPr>
              <w:t xml:space="preserve">VID 338 of </w:t>
            </w:r>
            <w:r w:rsidR="0056433D" w:rsidRPr="006D7E5A">
              <w:rPr>
                <w:szCs w:val="24"/>
              </w:rPr>
              <w:t>2020</w:t>
            </w:r>
            <w:bookmarkEnd w:id="14"/>
          </w:p>
        </w:tc>
      </w:tr>
      <w:tr w:rsidR="00A76C13" w:rsidRPr="006D7E5A" w:rsidTr="00F461A4">
        <w:tc>
          <w:tcPr>
            <w:tcW w:w="9242" w:type="dxa"/>
            <w:gridSpan w:val="3"/>
          </w:tcPr>
          <w:p w:rsidR="00A76C13" w:rsidRPr="006D7E5A" w:rsidRDefault="0056433D" w:rsidP="0056433D">
            <w:pPr>
              <w:pStyle w:val="NormalHeadings"/>
              <w:jc w:val="left"/>
              <w:rPr>
                <w:szCs w:val="24"/>
              </w:rPr>
            </w:pPr>
            <w:bookmarkStart w:id="15" w:name="InTheMatterOf"/>
            <w:r w:rsidRPr="006D7E5A">
              <w:rPr>
                <w:szCs w:val="24"/>
              </w:rPr>
              <w:t xml:space="preserve"> </w:t>
            </w:r>
            <w:bookmarkEnd w:id="15"/>
          </w:p>
        </w:tc>
      </w:tr>
      <w:tr w:rsidR="00A46CCC" w:rsidRPr="006D7E5A" w:rsidTr="005041F0">
        <w:trPr>
          <w:trHeight w:val="386"/>
        </w:trPr>
        <w:tc>
          <w:tcPr>
            <w:tcW w:w="2376" w:type="dxa"/>
          </w:tcPr>
          <w:p w:rsidR="00A46CCC" w:rsidRPr="006D7E5A" w:rsidRDefault="00A46CCC" w:rsidP="005041F0">
            <w:pPr>
              <w:pStyle w:val="NormalHeadings"/>
              <w:jc w:val="left"/>
              <w:rPr>
                <w:caps/>
                <w:szCs w:val="24"/>
              </w:rPr>
            </w:pPr>
            <w:bookmarkStart w:id="16" w:name="Parties"/>
            <w:r w:rsidRPr="006D7E5A">
              <w:rPr>
                <w:caps/>
                <w:szCs w:val="24"/>
              </w:rPr>
              <w:t>BETWEEN:</w:t>
            </w:r>
          </w:p>
        </w:tc>
        <w:tc>
          <w:tcPr>
            <w:tcW w:w="6866" w:type="dxa"/>
            <w:gridSpan w:val="2"/>
          </w:tcPr>
          <w:p w:rsidR="0056433D" w:rsidRPr="006D7E5A" w:rsidRDefault="0056433D" w:rsidP="0056433D">
            <w:pPr>
              <w:pStyle w:val="NormalHeadings"/>
              <w:jc w:val="left"/>
              <w:rPr>
                <w:szCs w:val="24"/>
              </w:rPr>
            </w:pPr>
            <w:bookmarkStart w:id="17" w:name="Applicant"/>
            <w:r w:rsidRPr="006D7E5A">
              <w:rPr>
                <w:szCs w:val="24"/>
              </w:rPr>
              <w:t>JASON JOSEPH EMMANUEL HUBER</w:t>
            </w:r>
          </w:p>
          <w:p w:rsidR="0056433D" w:rsidRPr="006D7E5A" w:rsidRDefault="0056433D" w:rsidP="0056433D">
            <w:pPr>
              <w:pStyle w:val="PartyType"/>
            </w:pPr>
            <w:r w:rsidRPr="006D7E5A">
              <w:t>Applicant</w:t>
            </w:r>
          </w:p>
          <w:bookmarkEnd w:id="17"/>
          <w:p w:rsidR="00A46CCC" w:rsidRPr="006D7E5A" w:rsidRDefault="00A46CCC" w:rsidP="005041F0">
            <w:pPr>
              <w:pStyle w:val="NormalHeadings"/>
              <w:jc w:val="left"/>
              <w:rPr>
                <w:szCs w:val="24"/>
              </w:rPr>
            </w:pPr>
          </w:p>
        </w:tc>
      </w:tr>
      <w:tr w:rsidR="00A46CCC" w:rsidRPr="006D7E5A" w:rsidTr="005041F0">
        <w:trPr>
          <w:trHeight w:val="386"/>
        </w:trPr>
        <w:tc>
          <w:tcPr>
            <w:tcW w:w="2376" w:type="dxa"/>
          </w:tcPr>
          <w:p w:rsidR="00A46CCC" w:rsidRPr="006D7E5A" w:rsidRDefault="00A46CCC" w:rsidP="005041F0">
            <w:pPr>
              <w:pStyle w:val="NormalHeadings"/>
              <w:jc w:val="left"/>
              <w:rPr>
                <w:caps/>
                <w:szCs w:val="24"/>
              </w:rPr>
            </w:pPr>
            <w:r w:rsidRPr="006D7E5A">
              <w:rPr>
                <w:caps/>
                <w:szCs w:val="24"/>
              </w:rPr>
              <w:t>AND:</w:t>
            </w:r>
          </w:p>
        </w:tc>
        <w:tc>
          <w:tcPr>
            <w:tcW w:w="6866" w:type="dxa"/>
            <w:gridSpan w:val="2"/>
          </w:tcPr>
          <w:p w:rsidR="0056433D" w:rsidRPr="006D7E5A" w:rsidRDefault="0056433D" w:rsidP="0056433D">
            <w:pPr>
              <w:pStyle w:val="NormalHeadings"/>
              <w:jc w:val="left"/>
              <w:rPr>
                <w:szCs w:val="24"/>
              </w:rPr>
            </w:pPr>
            <w:bookmarkStart w:id="18" w:name="Respondent"/>
            <w:r w:rsidRPr="006D7E5A">
              <w:rPr>
                <w:szCs w:val="24"/>
              </w:rPr>
              <w:t>CELLOS S</w:t>
            </w:r>
            <w:r w:rsidR="00EB6982">
              <w:rPr>
                <w:szCs w:val="24"/>
              </w:rPr>
              <w:t>O</w:t>
            </w:r>
            <w:r w:rsidRPr="006D7E5A">
              <w:rPr>
                <w:szCs w:val="24"/>
              </w:rPr>
              <w:t xml:space="preserve">FTWARE LTD </w:t>
            </w:r>
            <w:r w:rsidR="000178E6" w:rsidRPr="006D7E5A">
              <w:rPr>
                <w:szCs w:val="24"/>
              </w:rPr>
              <w:t>(IN</w:t>
            </w:r>
            <w:r w:rsidRPr="006D7E5A">
              <w:rPr>
                <w:szCs w:val="24"/>
              </w:rPr>
              <w:t xml:space="preserve"> LIQUIDATION)</w:t>
            </w:r>
          </w:p>
          <w:p w:rsidR="0056433D" w:rsidRPr="006D7E5A" w:rsidRDefault="0056433D" w:rsidP="0056433D">
            <w:pPr>
              <w:pStyle w:val="PartyType"/>
            </w:pPr>
            <w:r w:rsidRPr="006D7E5A">
              <w:t>Respondent</w:t>
            </w:r>
          </w:p>
          <w:bookmarkEnd w:id="18"/>
          <w:p w:rsidR="00A46CCC" w:rsidRPr="006D7E5A" w:rsidRDefault="00A46CCC" w:rsidP="005041F0">
            <w:pPr>
              <w:pStyle w:val="NormalHeadings"/>
              <w:jc w:val="left"/>
              <w:rPr>
                <w:szCs w:val="24"/>
              </w:rPr>
            </w:pPr>
          </w:p>
        </w:tc>
      </w:tr>
    </w:tbl>
    <w:p w:rsidR="00395B24" w:rsidRPr="006D7E5A" w:rsidRDefault="00395B24">
      <w:pPr>
        <w:pStyle w:val="NormalHeadings"/>
        <w:rPr>
          <w:szCs w:val="24"/>
        </w:rPr>
      </w:pPr>
      <w:bookmarkStart w:id="19" w:name="CrossClaimPosition"/>
      <w:bookmarkEnd w:id="16"/>
      <w:bookmarkEnd w:id="19"/>
    </w:p>
    <w:tbl>
      <w:tblPr>
        <w:tblW w:w="0" w:type="auto"/>
        <w:tblLayout w:type="fixed"/>
        <w:tblLook w:val="0000" w:firstRow="0" w:lastRow="0" w:firstColumn="0" w:lastColumn="0" w:noHBand="0" w:noVBand="0"/>
        <w:tblCaption w:val="Judge"/>
        <w:tblDescription w:val="Judge"/>
      </w:tblPr>
      <w:tblGrid>
        <w:gridCol w:w="2376"/>
        <w:gridCol w:w="6866"/>
      </w:tblGrid>
      <w:tr w:rsidR="00395B24" w:rsidRPr="006D7E5A">
        <w:tc>
          <w:tcPr>
            <w:tcW w:w="2376" w:type="dxa"/>
          </w:tcPr>
          <w:p w:rsidR="00395B24" w:rsidRPr="006D7E5A" w:rsidRDefault="00974709">
            <w:pPr>
              <w:pStyle w:val="NormalHeadings"/>
              <w:spacing w:after="120"/>
              <w:jc w:val="left"/>
              <w:rPr>
                <w:caps/>
                <w:szCs w:val="24"/>
              </w:rPr>
            </w:pPr>
            <w:bookmarkStart w:id="20" w:name="JudgeText"/>
            <w:r w:rsidRPr="006D7E5A">
              <w:rPr>
                <w:caps/>
                <w:szCs w:val="24"/>
              </w:rPr>
              <w:t>order made by</w:t>
            </w:r>
            <w:bookmarkEnd w:id="20"/>
            <w:r w:rsidR="002C7385" w:rsidRPr="006D7E5A">
              <w:rPr>
                <w:caps/>
                <w:szCs w:val="24"/>
              </w:rPr>
              <w:t>:</w:t>
            </w:r>
          </w:p>
        </w:tc>
        <w:tc>
          <w:tcPr>
            <w:tcW w:w="6866" w:type="dxa"/>
          </w:tcPr>
          <w:p w:rsidR="00395B24" w:rsidRPr="006D7E5A" w:rsidRDefault="0056433D">
            <w:pPr>
              <w:pStyle w:val="NormalHeadings"/>
              <w:jc w:val="left"/>
              <w:rPr>
                <w:caps/>
                <w:szCs w:val="24"/>
              </w:rPr>
            </w:pPr>
            <w:bookmarkStart w:id="21" w:name="Judge"/>
            <w:r w:rsidRPr="006D7E5A">
              <w:rPr>
                <w:caps/>
                <w:szCs w:val="24"/>
              </w:rPr>
              <w:t>MCELWAINE J</w:t>
            </w:r>
            <w:bookmarkEnd w:id="21"/>
          </w:p>
        </w:tc>
      </w:tr>
      <w:tr w:rsidR="00395B24" w:rsidRPr="006D7E5A">
        <w:tc>
          <w:tcPr>
            <w:tcW w:w="2376" w:type="dxa"/>
          </w:tcPr>
          <w:p w:rsidR="00395B24" w:rsidRPr="006D7E5A" w:rsidRDefault="002C7385">
            <w:pPr>
              <w:pStyle w:val="NormalHeadings"/>
              <w:spacing w:after="120"/>
              <w:jc w:val="left"/>
              <w:rPr>
                <w:caps/>
                <w:szCs w:val="24"/>
              </w:rPr>
            </w:pPr>
            <w:r w:rsidRPr="006D7E5A">
              <w:rPr>
                <w:caps/>
                <w:szCs w:val="24"/>
              </w:rPr>
              <w:t>DATE OF ORDER:</w:t>
            </w:r>
          </w:p>
        </w:tc>
        <w:tc>
          <w:tcPr>
            <w:tcW w:w="6866" w:type="dxa"/>
          </w:tcPr>
          <w:p w:rsidR="00395B24" w:rsidRPr="006D7E5A" w:rsidRDefault="007A3B5F">
            <w:pPr>
              <w:pStyle w:val="NormalHeadings"/>
              <w:jc w:val="left"/>
              <w:rPr>
                <w:caps/>
                <w:szCs w:val="24"/>
              </w:rPr>
            </w:pPr>
            <w:bookmarkStart w:id="22" w:name="Judgment_Dated"/>
            <w:bookmarkEnd w:id="22"/>
            <w:r>
              <w:rPr>
                <w:caps/>
                <w:szCs w:val="24"/>
              </w:rPr>
              <w:t>29 June 2022</w:t>
            </w:r>
          </w:p>
        </w:tc>
      </w:tr>
    </w:tbl>
    <w:p w:rsidR="00395B24" w:rsidRPr="006D7E5A" w:rsidRDefault="00395B24">
      <w:pPr>
        <w:pStyle w:val="NormalHeadings"/>
        <w:rPr>
          <w:b w:val="0"/>
          <w:szCs w:val="24"/>
        </w:rPr>
      </w:pPr>
    </w:p>
    <w:p w:rsidR="008D1617" w:rsidRPr="006D7E5A" w:rsidRDefault="008D1617">
      <w:pPr>
        <w:pStyle w:val="NormalHeadings"/>
        <w:rPr>
          <w:b w:val="0"/>
          <w:szCs w:val="24"/>
        </w:rPr>
      </w:pPr>
    </w:p>
    <w:p w:rsidR="00395B24" w:rsidRPr="006D7E5A" w:rsidRDefault="002C7385" w:rsidP="0073621B">
      <w:pPr>
        <w:pStyle w:val="NormalHeadings"/>
        <w:spacing w:line="360" w:lineRule="auto"/>
        <w:rPr>
          <w:szCs w:val="24"/>
        </w:rPr>
      </w:pPr>
      <w:r w:rsidRPr="006D7E5A">
        <w:rPr>
          <w:szCs w:val="24"/>
        </w:rPr>
        <w:t>THE COURT ORDERS THAT:</w:t>
      </w:r>
    </w:p>
    <w:p w:rsidR="003024A0" w:rsidRDefault="00A67DC4" w:rsidP="00681142">
      <w:pPr>
        <w:pStyle w:val="Order1"/>
        <w:spacing w:before="0" w:after="0"/>
        <w:rPr>
          <w:szCs w:val="24"/>
        </w:rPr>
      </w:pPr>
      <w:r w:rsidRPr="006D7E5A">
        <w:rPr>
          <w:szCs w:val="24"/>
        </w:rPr>
        <w:t>The separate question, the subject of the order made on 13 April 2022, namely whether the Applicant may proceed with his application for leave to appeal filed 25 May 2020</w:t>
      </w:r>
      <w:r w:rsidR="0073621B">
        <w:rPr>
          <w:szCs w:val="24"/>
        </w:rPr>
        <w:t xml:space="preserve"> </w:t>
      </w:r>
    </w:p>
    <w:p w:rsidR="0073621B" w:rsidRPr="0073621B" w:rsidRDefault="00A67DC4" w:rsidP="00681142">
      <w:pPr>
        <w:pStyle w:val="Order1"/>
        <w:numPr>
          <w:ilvl w:val="0"/>
          <w:numId w:val="0"/>
        </w:numPr>
        <w:spacing w:before="0" w:after="0"/>
        <w:ind w:left="720"/>
        <w:rPr>
          <w:szCs w:val="24"/>
        </w:rPr>
      </w:pPr>
      <w:proofErr w:type="gramStart"/>
      <w:r>
        <w:t>be</w:t>
      </w:r>
      <w:proofErr w:type="gramEnd"/>
      <w:r>
        <w:t xml:space="preserve"> answered: no</w:t>
      </w:r>
      <w:r w:rsidR="003024A0">
        <w:t>,</w:t>
      </w:r>
      <w:r>
        <w:t xml:space="preserve"> in the absence of a grant of leave to proceed pursuant to s 500(2) of the </w:t>
      </w:r>
      <w:r w:rsidRPr="0073621B">
        <w:rPr>
          <w:i/>
          <w:iCs/>
        </w:rPr>
        <w:t>Corporations Act 200</w:t>
      </w:r>
      <w:r w:rsidR="003024A0">
        <w:rPr>
          <w:i/>
          <w:iCs/>
        </w:rPr>
        <w:t>1</w:t>
      </w:r>
    </w:p>
    <w:p w:rsidR="0073621B" w:rsidRDefault="00A67DC4" w:rsidP="0073621B">
      <w:pPr>
        <w:pStyle w:val="Order1"/>
        <w:spacing w:before="240" w:after="240"/>
        <w:rPr>
          <w:szCs w:val="24"/>
        </w:rPr>
      </w:pPr>
      <w:r w:rsidRPr="0073621B">
        <w:rPr>
          <w:szCs w:val="24"/>
        </w:rPr>
        <w:t>Within 7 days the parties are to file short submissions, limited to two pages as to any consequential orders, including costs.</w:t>
      </w:r>
    </w:p>
    <w:p w:rsidR="00A431E6" w:rsidRPr="0073621B" w:rsidRDefault="00A67DC4" w:rsidP="0073621B">
      <w:pPr>
        <w:pStyle w:val="Order1"/>
        <w:spacing w:before="240" w:after="240"/>
        <w:rPr>
          <w:szCs w:val="24"/>
        </w:rPr>
      </w:pPr>
      <w:r w:rsidRPr="0073621B">
        <w:rPr>
          <w:szCs w:val="24"/>
        </w:rPr>
        <w:t>Any necessary further orders be determined on the papers, unless the Court otherwise orders.</w:t>
      </w:r>
    </w:p>
    <w:p w:rsidR="0050309C" w:rsidRPr="006D7E5A" w:rsidRDefault="0056433D" w:rsidP="0073621B">
      <w:pPr>
        <w:pStyle w:val="SingleSpace"/>
        <w:spacing w:before="240" w:line="360" w:lineRule="auto"/>
        <w:rPr>
          <w:szCs w:val="24"/>
        </w:rPr>
      </w:pPr>
      <w:bookmarkStart w:id="23" w:name="OrdersStatement"/>
      <w:r w:rsidRPr="006D7E5A">
        <w:rPr>
          <w:szCs w:val="24"/>
        </w:rPr>
        <w:t>Note:</w:t>
      </w:r>
      <w:r w:rsidRPr="006D7E5A">
        <w:rPr>
          <w:szCs w:val="24"/>
        </w:rPr>
        <w:tab/>
        <w:t xml:space="preserve">Entry of orders is dealt with in Rule 39.32 of the </w:t>
      </w:r>
      <w:r w:rsidRPr="006D7E5A">
        <w:rPr>
          <w:i/>
          <w:szCs w:val="24"/>
        </w:rPr>
        <w:t>Federal Court Rules 2011</w:t>
      </w:r>
      <w:r w:rsidRPr="006D7E5A">
        <w:rPr>
          <w:szCs w:val="24"/>
        </w:rPr>
        <w:t>.</w:t>
      </w:r>
      <w:bookmarkEnd w:id="23"/>
    </w:p>
    <w:p w:rsidR="00E23577" w:rsidRPr="006D7E5A" w:rsidRDefault="00E23577" w:rsidP="002B0E91">
      <w:pPr>
        <w:pStyle w:val="BodyText"/>
        <w:rPr>
          <w:szCs w:val="24"/>
        </w:rPr>
      </w:pPr>
    </w:p>
    <w:p w:rsidR="00395B24" w:rsidRPr="006D7E5A" w:rsidRDefault="00395B24">
      <w:pPr>
        <w:pStyle w:val="NormalHeadings"/>
        <w:spacing w:before="240" w:after="120"/>
        <w:rPr>
          <w:b w:val="0"/>
          <w:szCs w:val="24"/>
        </w:rPr>
        <w:sectPr w:rsidR="00395B24" w:rsidRPr="006D7E5A" w:rsidSect="0092590B">
          <w:headerReference w:type="default" r:id="rId15"/>
          <w:footerReference w:type="default" r:id="rId16"/>
          <w:headerReference w:type="first" r:id="rId17"/>
          <w:footerReference w:type="first" r:id="rId18"/>
          <w:endnotePr>
            <w:numFmt w:val="decimal"/>
          </w:endnotePr>
          <w:pgSz w:w="11907" w:h="16840" w:code="9"/>
          <w:pgMar w:top="1440" w:right="1440" w:bottom="1440" w:left="1440" w:header="851" w:footer="851" w:gutter="0"/>
          <w:pgNumType w:fmt="lowerRoman" w:start="1"/>
          <w:cols w:space="720"/>
          <w:noEndnote/>
          <w:titlePg/>
        </w:sectPr>
      </w:pPr>
    </w:p>
    <w:p w:rsidR="00484F6D" w:rsidRPr="006D7E5A" w:rsidRDefault="00484F6D" w:rsidP="00045BB7">
      <w:pPr>
        <w:pStyle w:val="NormalHeadings"/>
        <w:spacing w:line="480" w:lineRule="auto"/>
        <w:jc w:val="center"/>
        <w:rPr>
          <w:szCs w:val="24"/>
        </w:rPr>
      </w:pPr>
      <w:bookmarkStart w:id="24" w:name="ReasonsPage"/>
      <w:bookmarkEnd w:id="24"/>
      <w:r w:rsidRPr="006D7E5A">
        <w:rPr>
          <w:szCs w:val="24"/>
        </w:rPr>
        <w:lastRenderedPageBreak/>
        <w:t>REASONS FOR JUDGMENT</w:t>
      </w:r>
    </w:p>
    <w:p w:rsidR="00CD1346" w:rsidRPr="00D957A0" w:rsidRDefault="0056433D" w:rsidP="00B048A4">
      <w:pPr>
        <w:pStyle w:val="NoNum"/>
        <w:rPr>
          <w:b/>
          <w:szCs w:val="24"/>
        </w:rPr>
      </w:pPr>
      <w:r w:rsidRPr="00D957A0">
        <w:rPr>
          <w:b/>
          <w:szCs w:val="24"/>
        </w:rPr>
        <w:t>MCELWAINE J:</w:t>
      </w:r>
    </w:p>
    <w:p w:rsidR="00C14EF3" w:rsidRPr="006D7E5A" w:rsidRDefault="00AF783D" w:rsidP="6014B508">
      <w:pPr>
        <w:pStyle w:val="ParaNumbering"/>
        <w:spacing w:before="240" w:after="240"/>
      </w:pPr>
      <w:r w:rsidRPr="6014B508">
        <w:t xml:space="preserve">On 20 December 2018, Beach J published extensive liability reasons </w:t>
      </w:r>
      <w:r w:rsidR="000178E6" w:rsidRPr="6014B508">
        <w:t>in proceeding</w:t>
      </w:r>
      <w:r w:rsidRPr="006D7E5A">
        <w:rPr>
          <w:szCs w:val="24"/>
        </w:rPr>
        <w:t xml:space="preserve"> </w:t>
      </w:r>
      <w:r w:rsidRPr="6014B508">
        <w:t>VID 951/2015</w:t>
      </w:r>
      <w:r w:rsidR="00A73F83" w:rsidRPr="006D7E5A">
        <w:rPr>
          <w:szCs w:val="24"/>
        </w:rPr>
        <w:t>,</w:t>
      </w:r>
      <w:r w:rsidRPr="6014B508">
        <w:t xml:space="preserve"> com</w:t>
      </w:r>
      <w:r w:rsidR="00A73F83" w:rsidRPr="6014B508">
        <w:t xml:space="preserve">menced by </w:t>
      </w:r>
      <w:proofErr w:type="spellStart"/>
      <w:r w:rsidR="00A73F83" w:rsidRPr="6014B508">
        <w:t>CellOS</w:t>
      </w:r>
      <w:proofErr w:type="spellEnd"/>
      <w:r w:rsidR="00A73F83" w:rsidRPr="6014B508">
        <w:t xml:space="preserve"> Software Ltd (</w:t>
      </w:r>
      <w:proofErr w:type="spellStart"/>
      <w:r w:rsidRPr="6014B508">
        <w:t>CellOS</w:t>
      </w:r>
      <w:proofErr w:type="spellEnd"/>
      <w:r w:rsidRPr="6014B508">
        <w:t xml:space="preserve">) against multiple respondents, including the present applicant, Mr Huber: </w:t>
      </w:r>
      <w:proofErr w:type="spellStart"/>
      <w:r w:rsidRPr="0003469A">
        <w:rPr>
          <w:i/>
          <w:iCs/>
        </w:rPr>
        <w:t>CellOS</w:t>
      </w:r>
      <w:proofErr w:type="spellEnd"/>
      <w:r w:rsidRPr="0003469A">
        <w:rPr>
          <w:i/>
          <w:iCs/>
        </w:rPr>
        <w:t xml:space="preserve"> Software Ltd v Huber</w:t>
      </w:r>
      <w:r w:rsidR="00B048A4" w:rsidRPr="0003469A">
        <w:rPr>
          <w:i/>
          <w:iCs/>
        </w:rPr>
        <w:t xml:space="preserve"> and Others</w:t>
      </w:r>
      <w:r w:rsidRPr="0003469A">
        <w:t xml:space="preserve"> (2018) 132 ACSR 468</w:t>
      </w:r>
      <w:r w:rsidR="004E66B4" w:rsidRPr="00681142">
        <w:t>;</w:t>
      </w:r>
      <w:r w:rsidRPr="0003469A">
        <w:t xml:space="preserve"> [2018] FCA 2069</w:t>
      </w:r>
      <w:r w:rsidRPr="6014B508">
        <w:t xml:space="preserve"> (</w:t>
      </w:r>
      <w:r w:rsidRPr="6014B508">
        <w:rPr>
          <w:b/>
          <w:bCs/>
        </w:rPr>
        <w:t>liability judgme</w:t>
      </w:r>
      <w:r w:rsidR="0027350F" w:rsidRPr="6014B508">
        <w:rPr>
          <w:b/>
          <w:bCs/>
        </w:rPr>
        <w:t>nt</w:t>
      </w:r>
      <w:r w:rsidR="0027350F" w:rsidRPr="6014B508">
        <w:t>). In very short compass his H</w:t>
      </w:r>
      <w:r w:rsidRPr="6014B508">
        <w:t>onour found</w:t>
      </w:r>
      <w:r w:rsidR="00956DD5" w:rsidRPr="6014B508">
        <w:t xml:space="preserve"> that Mr Huber, whilst acting as the CEO and as a director of </w:t>
      </w:r>
      <w:proofErr w:type="spellStart"/>
      <w:r w:rsidR="00956DD5" w:rsidRPr="6014B508">
        <w:t>CellOS</w:t>
      </w:r>
      <w:proofErr w:type="spellEnd"/>
      <w:r w:rsidR="00956DD5" w:rsidRPr="6014B508">
        <w:t>, breached various statutory</w:t>
      </w:r>
      <w:r w:rsidR="003024A0">
        <w:t xml:space="preserve"> and </w:t>
      </w:r>
      <w:r w:rsidR="00956DD5" w:rsidRPr="6014B508">
        <w:t>fiduciary duties owed to it in relation to various dealings in its shares. Additionally,</w:t>
      </w:r>
      <w:r w:rsidR="00C14EF3" w:rsidRPr="6014B508">
        <w:t xml:space="preserve"> his H</w:t>
      </w:r>
      <w:r w:rsidR="00956DD5" w:rsidRPr="6014B508">
        <w:t xml:space="preserve">onour also found that various offshore corporations controlled by Mr Huber were involved in those contraventions within the meaning of the second limb of </w:t>
      </w:r>
      <w:r w:rsidR="00956DD5" w:rsidRPr="0003469A">
        <w:rPr>
          <w:i/>
          <w:iCs/>
        </w:rPr>
        <w:t>Barnes v Addy</w:t>
      </w:r>
      <w:r w:rsidR="00956DD5" w:rsidRPr="0003469A">
        <w:rPr>
          <w:szCs w:val="24"/>
        </w:rPr>
        <w:t xml:space="preserve"> </w:t>
      </w:r>
      <w:r w:rsidR="00C14EF3" w:rsidRPr="0003469A">
        <w:t xml:space="preserve">(1874) 9 LR </w:t>
      </w:r>
      <w:proofErr w:type="spellStart"/>
      <w:r w:rsidR="00C14EF3" w:rsidRPr="0003469A">
        <w:t>Ch</w:t>
      </w:r>
      <w:proofErr w:type="spellEnd"/>
      <w:r w:rsidR="00C14EF3" w:rsidRPr="0003469A">
        <w:t xml:space="preserve"> App 244</w:t>
      </w:r>
      <w:r w:rsidR="00C14EF3" w:rsidRPr="6014B508">
        <w:t>. The proceeding a</w:t>
      </w:r>
      <w:r w:rsidR="003024A0">
        <w:t>gainst certain respondents</w:t>
      </w:r>
      <w:r w:rsidR="004E66B4">
        <w:t>:</w:t>
      </w:r>
      <w:r w:rsidR="003024A0">
        <w:t xml:space="preserve"> </w:t>
      </w:r>
      <w:r w:rsidR="00A73F83" w:rsidRPr="6014B508">
        <w:t>Mr</w:t>
      </w:r>
      <w:r w:rsidR="004E66B4">
        <w:t>s</w:t>
      </w:r>
      <w:r w:rsidR="00A73F83" w:rsidRPr="6014B508">
        <w:t xml:space="preserve"> Constance Peck, Mr Alan P</w:t>
      </w:r>
      <w:r w:rsidR="003024A0">
        <w:t>eck and Mr Melvin Tan</w:t>
      </w:r>
      <w:r w:rsidR="00C14EF3" w:rsidRPr="6014B508">
        <w:t xml:space="preserve"> was dismissed. His Honour adjourned for further hearing the consequential question of what relief should be awarded to </w:t>
      </w:r>
      <w:proofErr w:type="spellStart"/>
      <w:r w:rsidR="00C14EF3" w:rsidRPr="6014B508">
        <w:t>CellOS</w:t>
      </w:r>
      <w:proofErr w:type="spellEnd"/>
      <w:r w:rsidR="00C14EF3" w:rsidRPr="6014B508">
        <w:t>.</w:t>
      </w:r>
    </w:p>
    <w:p w:rsidR="00C14EF3" w:rsidRPr="006D7E5A" w:rsidRDefault="00C14EF3" w:rsidP="0073621B">
      <w:pPr>
        <w:pStyle w:val="ParaNumbering"/>
        <w:tabs>
          <w:tab w:val="clear" w:pos="720"/>
        </w:tabs>
        <w:spacing w:before="240" w:after="240"/>
        <w:rPr>
          <w:szCs w:val="24"/>
        </w:rPr>
      </w:pPr>
      <w:r w:rsidRPr="006D7E5A">
        <w:rPr>
          <w:szCs w:val="24"/>
        </w:rPr>
        <w:t>The hearing of the pro</w:t>
      </w:r>
      <w:r w:rsidR="00C718F5">
        <w:rPr>
          <w:szCs w:val="24"/>
        </w:rPr>
        <w:t>ceeding resumed in October 2019</w:t>
      </w:r>
      <w:r w:rsidRPr="006D7E5A">
        <w:rPr>
          <w:szCs w:val="24"/>
        </w:rPr>
        <w:t xml:space="preserve"> and on 17 April 2020, his Honour published further reasons </w:t>
      </w:r>
      <w:r w:rsidR="00B048A4" w:rsidRPr="006D7E5A">
        <w:rPr>
          <w:szCs w:val="24"/>
        </w:rPr>
        <w:t xml:space="preserve">for the making of various orders, including that Mr Huber and his related corporations must account to </w:t>
      </w:r>
      <w:proofErr w:type="spellStart"/>
      <w:r w:rsidR="00B048A4" w:rsidRPr="006D7E5A">
        <w:rPr>
          <w:szCs w:val="24"/>
        </w:rPr>
        <w:t>CellOS</w:t>
      </w:r>
      <w:proofErr w:type="spellEnd"/>
      <w:r w:rsidR="00B048A4" w:rsidRPr="006D7E5A">
        <w:rPr>
          <w:szCs w:val="24"/>
        </w:rPr>
        <w:t xml:space="preserve"> in the amount of $42</w:t>
      </w:r>
      <w:r w:rsidR="00AF4C7C">
        <w:rPr>
          <w:szCs w:val="24"/>
        </w:rPr>
        <w:t xml:space="preserve"> million</w:t>
      </w:r>
      <w:r w:rsidR="000178E6" w:rsidRPr="006D7E5A">
        <w:rPr>
          <w:szCs w:val="24"/>
        </w:rPr>
        <w:t>:</w:t>
      </w:r>
      <w:r w:rsidR="00B048A4" w:rsidRPr="006D7E5A">
        <w:rPr>
          <w:szCs w:val="24"/>
        </w:rPr>
        <w:t xml:space="preserve"> </w:t>
      </w:r>
      <w:proofErr w:type="spellStart"/>
      <w:r w:rsidR="00B048A4" w:rsidRPr="0003469A">
        <w:rPr>
          <w:i/>
          <w:szCs w:val="24"/>
        </w:rPr>
        <w:t>CellOS</w:t>
      </w:r>
      <w:proofErr w:type="spellEnd"/>
      <w:r w:rsidR="00B048A4" w:rsidRPr="0003469A">
        <w:rPr>
          <w:i/>
          <w:szCs w:val="24"/>
        </w:rPr>
        <w:t xml:space="preserve"> Software</w:t>
      </w:r>
      <w:r w:rsidR="00681142">
        <w:rPr>
          <w:i/>
          <w:szCs w:val="24"/>
        </w:rPr>
        <w:t xml:space="preserve"> Ltd</w:t>
      </w:r>
      <w:r w:rsidR="00B048A4" w:rsidRPr="0003469A">
        <w:rPr>
          <w:i/>
          <w:szCs w:val="24"/>
        </w:rPr>
        <w:t xml:space="preserve"> v Huber and </w:t>
      </w:r>
      <w:r w:rsidR="000178E6" w:rsidRPr="0003469A">
        <w:rPr>
          <w:i/>
          <w:szCs w:val="24"/>
        </w:rPr>
        <w:t>Others (</w:t>
      </w:r>
      <w:r w:rsidR="00B048A4" w:rsidRPr="0003469A">
        <w:rPr>
          <w:i/>
          <w:szCs w:val="24"/>
        </w:rPr>
        <w:t>No 2)</w:t>
      </w:r>
      <w:r w:rsidR="00B048A4" w:rsidRPr="0003469A">
        <w:rPr>
          <w:szCs w:val="24"/>
        </w:rPr>
        <w:t xml:space="preserve"> (2020) 144 ACSR 267</w:t>
      </w:r>
      <w:r w:rsidR="004E66B4" w:rsidRPr="0003469A">
        <w:rPr>
          <w:szCs w:val="24"/>
        </w:rPr>
        <w:t>;</w:t>
      </w:r>
      <w:r w:rsidR="00B048A4" w:rsidRPr="0003469A">
        <w:rPr>
          <w:szCs w:val="24"/>
        </w:rPr>
        <w:t xml:space="preserve"> [2020] </w:t>
      </w:r>
      <w:r w:rsidR="00A73F83" w:rsidRPr="0003469A">
        <w:rPr>
          <w:szCs w:val="24"/>
        </w:rPr>
        <w:t>FCA 505</w:t>
      </w:r>
      <w:r w:rsidR="00A73F83" w:rsidRPr="006D7E5A">
        <w:rPr>
          <w:szCs w:val="24"/>
        </w:rPr>
        <w:t xml:space="preserve"> (</w:t>
      </w:r>
      <w:r w:rsidR="00A73F83" w:rsidRPr="003051A1">
        <w:rPr>
          <w:b/>
          <w:szCs w:val="24"/>
        </w:rPr>
        <w:t>relief</w:t>
      </w:r>
      <w:r w:rsidR="00B048A4" w:rsidRPr="003051A1">
        <w:rPr>
          <w:b/>
          <w:szCs w:val="24"/>
        </w:rPr>
        <w:t xml:space="preserve"> judgment</w:t>
      </w:r>
      <w:r w:rsidR="00B048A4" w:rsidRPr="006D7E5A">
        <w:rPr>
          <w:szCs w:val="24"/>
        </w:rPr>
        <w:t>).</w:t>
      </w:r>
    </w:p>
    <w:p w:rsidR="00B048A4" w:rsidRPr="006D7E5A" w:rsidRDefault="00B048A4" w:rsidP="0073621B">
      <w:pPr>
        <w:pStyle w:val="ParaNumbering"/>
        <w:tabs>
          <w:tab w:val="clear" w:pos="720"/>
        </w:tabs>
        <w:spacing w:before="240" w:after="240"/>
        <w:rPr>
          <w:szCs w:val="24"/>
        </w:rPr>
      </w:pPr>
      <w:r w:rsidRPr="006D7E5A">
        <w:rPr>
          <w:szCs w:val="24"/>
        </w:rPr>
        <w:t xml:space="preserve">Initially, Mr Huber and the fifteenth respondent, Blue </w:t>
      </w:r>
      <w:proofErr w:type="spellStart"/>
      <w:r w:rsidRPr="006D7E5A">
        <w:rPr>
          <w:szCs w:val="24"/>
        </w:rPr>
        <w:t>Delorite</w:t>
      </w:r>
      <w:proofErr w:type="spellEnd"/>
      <w:r w:rsidRPr="006D7E5A">
        <w:rPr>
          <w:szCs w:val="24"/>
        </w:rPr>
        <w:t xml:space="preserve"> Pty Ltd, were legally represente</w:t>
      </w:r>
      <w:r w:rsidR="00A73F83" w:rsidRPr="006D7E5A">
        <w:rPr>
          <w:szCs w:val="24"/>
        </w:rPr>
        <w:t xml:space="preserve">d at the </w:t>
      </w:r>
      <w:r w:rsidR="000178E6" w:rsidRPr="006D7E5A">
        <w:rPr>
          <w:szCs w:val="24"/>
        </w:rPr>
        <w:t>trial that</w:t>
      </w:r>
      <w:r w:rsidRPr="006D7E5A">
        <w:rPr>
          <w:szCs w:val="24"/>
        </w:rPr>
        <w:t xml:space="preserve"> resulted in the liability </w:t>
      </w:r>
      <w:r w:rsidR="00C85BF1">
        <w:rPr>
          <w:szCs w:val="24"/>
        </w:rPr>
        <w:t>judgment</w:t>
      </w:r>
      <w:r w:rsidRPr="006D7E5A">
        <w:rPr>
          <w:szCs w:val="24"/>
        </w:rPr>
        <w:t>. That representation ceased partway through the hearing and Mr Huber appeared for himself and for the fifteenth respondent. None of the other respondent corporations associated with Mr Huber appeared upon the trial.</w:t>
      </w:r>
    </w:p>
    <w:p w:rsidR="00D94288" w:rsidRPr="006D7E5A" w:rsidRDefault="00B048A4" w:rsidP="6014B508">
      <w:pPr>
        <w:pStyle w:val="ParaNumbering"/>
        <w:tabs>
          <w:tab w:val="clear" w:pos="720"/>
        </w:tabs>
        <w:spacing w:before="240" w:after="240"/>
      </w:pPr>
      <w:r>
        <w:t>On 25 May 2020, Mr Huber,</w:t>
      </w:r>
      <w:r w:rsidR="00D94288">
        <w:t xml:space="preserve"> as</w:t>
      </w:r>
      <w:r>
        <w:t xml:space="preserve"> the only named applicant, filed an application for an extension of</w:t>
      </w:r>
      <w:r w:rsidR="00D94288">
        <w:t xml:space="preserve"> time, an affidavit in support and a proposed notice of appeal from the </w:t>
      </w:r>
      <w:r w:rsidR="000178E6">
        <w:t>“whole</w:t>
      </w:r>
      <w:r w:rsidR="00D94288">
        <w:t xml:space="preserve"> of the </w:t>
      </w:r>
      <w:r w:rsidR="00C85BF1">
        <w:t>judgment</w:t>
      </w:r>
      <w:r w:rsidR="00D94288">
        <w:t xml:space="preserve"> of the Federal Court against the appellant given on 20 December 2018 and 17 April</w:t>
      </w:r>
      <w:r w:rsidR="003051A1">
        <w:t xml:space="preserve"> 2020” pursuant to rule </w:t>
      </w:r>
      <w:r w:rsidR="003051A1" w:rsidRPr="0003469A">
        <w:t xml:space="preserve">36.05 of the </w:t>
      </w:r>
      <w:r w:rsidR="003051A1" w:rsidRPr="0003469A">
        <w:rPr>
          <w:i/>
          <w:iCs/>
        </w:rPr>
        <w:t>Federal Court Rules 2011</w:t>
      </w:r>
      <w:r w:rsidR="00556AB0">
        <w:rPr>
          <w:iCs/>
        </w:rPr>
        <w:t xml:space="preserve"> (</w:t>
      </w:r>
      <w:proofErr w:type="spellStart"/>
      <w:r w:rsidR="00556AB0">
        <w:rPr>
          <w:iCs/>
        </w:rPr>
        <w:t>Cth</w:t>
      </w:r>
      <w:proofErr w:type="spellEnd"/>
      <w:r w:rsidR="00556AB0">
        <w:rPr>
          <w:iCs/>
        </w:rPr>
        <w:t>)</w:t>
      </w:r>
      <w:r w:rsidR="003051A1" w:rsidRPr="6014B508">
        <w:rPr>
          <w:i/>
          <w:iCs/>
        </w:rPr>
        <w:t xml:space="preserve"> </w:t>
      </w:r>
      <w:r w:rsidR="003051A1" w:rsidRPr="00681142">
        <w:t>(</w:t>
      </w:r>
      <w:r w:rsidR="003051A1" w:rsidRPr="00681142">
        <w:rPr>
          <w:b/>
          <w:bCs/>
          <w:i/>
          <w:iCs/>
        </w:rPr>
        <w:t>Federal Court Rules</w:t>
      </w:r>
      <w:r w:rsidR="003051A1" w:rsidRPr="00681142">
        <w:t>)</w:t>
      </w:r>
      <w:r w:rsidR="003051A1">
        <w:t xml:space="preserve">. </w:t>
      </w:r>
      <w:r w:rsidR="00D94288">
        <w:t xml:space="preserve">It is convenient that I refer to this as the </w:t>
      </w:r>
      <w:r w:rsidR="00D94288" w:rsidRPr="00C718F5">
        <w:rPr>
          <w:b/>
        </w:rPr>
        <w:t>extension application</w:t>
      </w:r>
      <w:r w:rsidR="00D94288">
        <w:t>.</w:t>
      </w:r>
    </w:p>
    <w:p w:rsidR="008A757D" w:rsidRPr="006D7E5A" w:rsidRDefault="00C718F5" w:rsidP="0073621B">
      <w:pPr>
        <w:pStyle w:val="ParaNumbering"/>
        <w:tabs>
          <w:tab w:val="clear" w:pos="720"/>
        </w:tabs>
        <w:spacing w:before="240" w:after="240"/>
        <w:rPr>
          <w:szCs w:val="24"/>
        </w:rPr>
      </w:pPr>
      <w:r>
        <w:rPr>
          <w:szCs w:val="24"/>
        </w:rPr>
        <w:t>It is</w:t>
      </w:r>
      <w:r w:rsidR="00D94288" w:rsidRPr="006D7E5A">
        <w:rPr>
          <w:szCs w:val="24"/>
        </w:rPr>
        <w:t xml:space="preserve"> common ground that </w:t>
      </w:r>
      <w:proofErr w:type="spellStart"/>
      <w:r w:rsidR="00D94288" w:rsidRPr="006D7E5A">
        <w:rPr>
          <w:szCs w:val="24"/>
        </w:rPr>
        <w:t>CellOS</w:t>
      </w:r>
      <w:proofErr w:type="spellEnd"/>
      <w:r w:rsidR="00D94288" w:rsidRPr="006D7E5A">
        <w:rPr>
          <w:szCs w:val="24"/>
        </w:rPr>
        <w:t xml:space="preserve"> was placed into administration on 10 January 2022, and following the second meeting of creditors</w:t>
      </w:r>
      <w:r>
        <w:rPr>
          <w:szCs w:val="24"/>
        </w:rPr>
        <w:t>,</w:t>
      </w:r>
      <w:r w:rsidR="00D94288" w:rsidRPr="006D7E5A">
        <w:rPr>
          <w:szCs w:val="24"/>
        </w:rPr>
        <w:t xml:space="preserve"> was voluntarily wound up</w:t>
      </w:r>
      <w:r w:rsidR="008A757D" w:rsidRPr="006D7E5A">
        <w:rPr>
          <w:szCs w:val="24"/>
        </w:rPr>
        <w:t xml:space="preserve"> pursuant to s </w:t>
      </w:r>
      <w:r w:rsidR="008A757D" w:rsidRPr="0003469A">
        <w:rPr>
          <w:szCs w:val="24"/>
        </w:rPr>
        <w:t xml:space="preserve">439C(c) of the </w:t>
      </w:r>
      <w:r w:rsidR="008A757D" w:rsidRPr="0003469A">
        <w:rPr>
          <w:i/>
          <w:szCs w:val="24"/>
        </w:rPr>
        <w:t>Corporations Act 2001</w:t>
      </w:r>
      <w:r w:rsidR="008A757D" w:rsidRPr="006D7E5A">
        <w:rPr>
          <w:szCs w:val="24"/>
        </w:rPr>
        <w:t xml:space="preserve"> (</w:t>
      </w:r>
      <w:r w:rsidR="008A757D" w:rsidRPr="003051A1">
        <w:rPr>
          <w:b/>
          <w:i/>
          <w:szCs w:val="24"/>
        </w:rPr>
        <w:t>Corporations Act</w:t>
      </w:r>
      <w:r w:rsidR="008A757D" w:rsidRPr="006D7E5A">
        <w:rPr>
          <w:szCs w:val="24"/>
        </w:rPr>
        <w:t>) on 19 April 2022.</w:t>
      </w:r>
    </w:p>
    <w:p w:rsidR="008A757D" w:rsidRPr="006D7E5A" w:rsidRDefault="008A757D" w:rsidP="0073621B">
      <w:pPr>
        <w:pStyle w:val="ParaNumbering"/>
        <w:tabs>
          <w:tab w:val="clear" w:pos="720"/>
        </w:tabs>
        <w:spacing w:before="240" w:after="240"/>
        <w:rPr>
          <w:szCs w:val="24"/>
        </w:rPr>
      </w:pPr>
      <w:r w:rsidRPr="006D7E5A">
        <w:rPr>
          <w:szCs w:val="24"/>
        </w:rPr>
        <w:lastRenderedPageBreak/>
        <w:t xml:space="preserve">Mr Huber does not accept that the extension application is now the subject of the stay that is provided for at section </w:t>
      </w:r>
      <w:r w:rsidRPr="0003469A">
        <w:rPr>
          <w:szCs w:val="24"/>
        </w:rPr>
        <w:t xml:space="preserve">500(2) of the </w:t>
      </w:r>
      <w:r w:rsidRPr="0003469A">
        <w:rPr>
          <w:i/>
          <w:szCs w:val="24"/>
        </w:rPr>
        <w:t>Corporations Act</w:t>
      </w:r>
      <w:r w:rsidRPr="0003469A">
        <w:rPr>
          <w:szCs w:val="24"/>
        </w:rPr>
        <w:t xml:space="preserve"> </w:t>
      </w:r>
      <w:r w:rsidRPr="006D7E5A">
        <w:rPr>
          <w:szCs w:val="24"/>
        </w:rPr>
        <w:t xml:space="preserve">which </w:t>
      </w:r>
      <w:r w:rsidR="00CB563D" w:rsidRPr="006D7E5A">
        <w:rPr>
          <w:szCs w:val="24"/>
        </w:rPr>
        <w:t xml:space="preserve">relevantly </w:t>
      </w:r>
      <w:r w:rsidRPr="006D7E5A">
        <w:rPr>
          <w:szCs w:val="24"/>
        </w:rPr>
        <w:t>provides:</w:t>
      </w:r>
    </w:p>
    <w:p w:rsidR="00CB563D" w:rsidRPr="00681142" w:rsidRDefault="00CB563D" w:rsidP="00681142">
      <w:pPr>
        <w:pStyle w:val="Quote1"/>
        <w:rPr>
          <w:b/>
        </w:rPr>
      </w:pPr>
      <w:r w:rsidRPr="00681142">
        <w:rPr>
          <w:b/>
        </w:rPr>
        <w:t>Execution and civil proceedings</w:t>
      </w:r>
    </w:p>
    <w:p w:rsidR="00CB563D" w:rsidRPr="003051A1" w:rsidRDefault="00CB563D" w:rsidP="00681142">
      <w:pPr>
        <w:pStyle w:val="Quote1"/>
      </w:pPr>
      <w:r w:rsidRPr="003051A1">
        <w:t>…</w:t>
      </w:r>
    </w:p>
    <w:p w:rsidR="00CB563D" w:rsidRPr="003051A1" w:rsidRDefault="00CB563D" w:rsidP="00681142">
      <w:pPr>
        <w:pStyle w:val="Quote1"/>
      </w:pPr>
      <w:r w:rsidRPr="003051A1">
        <w:t xml:space="preserve">(2) </w:t>
      </w:r>
      <w:r w:rsidR="003051A1">
        <w:t>A</w:t>
      </w:r>
      <w:r w:rsidR="003051A1" w:rsidRPr="003051A1">
        <w:t>fter</w:t>
      </w:r>
      <w:r w:rsidRPr="003051A1">
        <w:t xml:space="preserve"> the passing of the resolution for voluntary winding</w:t>
      </w:r>
      <w:r w:rsidR="00C85BF1">
        <w:t xml:space="preserve"> up, no action or other civil</w:t>
      </w:r>
      <w:r w:rsidRPr="003051A1">
        <w:t xml:space="preserve"> proceeding is to be proceeded with or commenced against the co</w:t>
      </w:r>
      <w:r w:rsidR="00C85BF1">
        <w:t>mpany except by leave of the C</w:t>
      </w:r>
      <w:r w:rsidRPr="003051A1">
        <w:t>ourt an</w:t>
      </w:r>
      <w:r w:rsidR="00C85BF1">
        <w:t>d subject to such terms as the C</w:t>
      </w:r>
      <w:r w:rsidRPr="003051A1">
        <w:t>ourt imposes.</w:t>
      </w:r>
    </w:p>
    <w:p w:rsidR="00291F2C" w:rsidRPr="006D7E5A" w:rsidRDefault="00291F2C" w:rsidP="0073621B">
      <w:pPr>
        <w:pStyle w:val="ParaNumbering"/>
        <w:tabs>
          <w:tab w:val="clear" w:pos="720"/>
        </w:tabs>
        <w:spacing w:before="240" w:after="240"/>
      </w:pPr>
      <w:r>
        <w:t>In somewhat prolix affidavits and supporting submissions, Mr Huber has set out in considerable detail the reasons why he did not file a notice of appeal from the final orders made by Beach J on 17 April 2020 as required by</w:t>
      </w:r>
      <w:r w:rsidRPr="0003469A">
        <w:t xml:space="preserve"> rule</w:t>
      </w:r>
      <w:r w:rsidR="0027350F" w:rsidRPr="0003469A">
        <w:t xml:space="preserve"> 36.03 of the </w:t>
      </w:r>
      <w:r w:rsidR="0027350F" w:rsidRPr="00681142">
        <w:rPr>
          <w:i/>
          <w:iCs/>
        </w:rPr>
        <w:t>Federal Court Rules</w:t>
      </w:r>
      <w:r w:rsidR="0027350F">
        <w:t>.</w:t>
      </w:r>
      <w:r w:rsidR="00EE684C">
        <w:t xml:space="preserve"> Mr Huber has not made an application for leave to proceed purs</w:t>
      </w:r>
      <w:r w:rsidR="0027350F">
        <w:t>uant to s</w:t>
      </w:r>
      <w:r w:rsidR="00A62488">
        <w:t xml:space="preserve"> 500(2) of the </w:t>
      </w:r>
      <w:r w:rsidR="00A62488" w:rsidRPr="6014B508">
        <w:rPr>
          <w:i/>
          <w:iCs/>
        </w:rPr>
        <w:t>Corporations A</w:t>
      </w:r>
      <w:r w:rsidR="00EE684C" w:rsidRPr="6014B508">
        <w:rPr>
          <w:i/>
          <w:iCs/>
        </w:rPr>
        <w:t>ct</w:t>
      </w:r>
      <w:r w:rsidR="00EE684C">
        <w:t>.</w:t>
      </w:r>
    </w:p>
    <w:p w:rsidR="00CB563D" w:rsidRPr="006D7E5A" w:rsidRDefault="00CB563D" w:rsidP="0073621B">
      <w:pPr>
        <w:pStyle w:val="ParaNumbering"/>
        <w:tabs>
          <w:tab w:val="clear" w:pos="720"/>
        </w:tabs>
        <w:spacing w:before="240" w:after="240"/>
      </w:pPr>
      <w:r>
        <w:t>On 13 April 2022, I made orders b</w:t>
      </w:r>
      <w:r w:rsidR="0027350F">
        <w:t xml:space="preserve">y consent for determination as a preliminary issue, the separate question of whether Mr Huber may </w:t>
      </w:r>
      <w:r w:rsidR="000178E6">
        <w:t>proceed with</w:t>
      </w:r>
      <w:r>
        <w:t xml:space="preserve"> the extension application</w:t>
      </w:r>
      <w:r w:rsidR="00A67DC4">
        <w:t xml:space="preserve"> absent a grant of leave and that </w:t>
      </w:r>
      <w:r w:rsidR="000178E6">
        <w:t>it be</w:t>
      </w:r>
      <w:r w:rsidR="00A67DC4">
        <w:t xml:space="preserve"> determined on the papers following receipt of written submissions</w:t>
      </w:r>
      <w:r w:rsidR="003051A1">
        <w:t xml:space="preserve">. </w:t>
      </w:r>
      <w:r>
        <w:t xml:space="preserve">I have now received those submissions from Mr Huber and from the legal practitioners for </w:t>
      </w:r>
      <w:proofErr w:type="spellStart"/>
      <w:r>
        <w:t>CellOS</w:t>
      </w:r>
      <w:proofErr w:type="spellEnd"/>
      <w:r>
        <w:t>. For the following reasons,</w:t>
      </w:r>
      <w:r w:rsidR="00C85BF1">
        <w:t xml:space="preserve"> I have decided</w:t>
      </w:r>
      <w:r>
        <w:t xml:space="preserve"> that it is not open to Mr Huber to continue with the extension application unless he first obtains lea</w:t>
      </w:r>
      <w:r w:rsidR="00A62488">
        <w:t xml:space="preserve">ve pursuant to s 500(2) of the </w:t>
      </w:r>
      <w:r w:rsidR="00A62488" w:rsidRPr="6014B508">
        <w:rPr>
          <w:i/>
          <w:iCs/>
        </w:rPr>
        <w:t>Corporations A</w:t>
      </w:r>
      <w:r w:rsidRPr="6014B508">
        <w:rPr>
          <w:i/>
          <w:iCs/>
        </w:rPr>
        <w:t>ct</w:t>
      </w:r>
      <w:r>
        <w:t>.</w:t>
      </w:r>
    </w:p>
    <w:p w:rsidR="00EE684C" w:rsidRPr="006D7E5A" w:rsidRDefault="00CB563D" w:rsidP="6014B508">
      <w:pPr>
        <w:pStyle w:val="ParaNumbering"/>
        <w:tabs>
          <w:tab w:val="clear" w:pos="720"/>
        </w:tabs>
        <w:spacing w:before="240" w:after="240"/>
      </w:pPr>
      <w:r>
        <w:t>Some understanding of the proceeding is necessary in order to explain</w:t>
      </w:r>
      <w:r w:rsidR="001951DA">
        <w:t xml:space="preserve"> </w:t>
      </w:r>
      <w:r w:rsidR="00291F2C">
        <w:t>why that is so</w:t>
      </w:r>
      <w:r w:rsidR="001951DA">
        <w:t xml:space="preserve"> and why Mr Huber’s</w:t>
      </w:r>
      <w:r w:rsidR="00EE684C">
        <w:t xml:space="preserve"> arguments, to the effect that the extension application is not a fresh proceeding and is not therefore subject to the statutory stay,</w:t>
      </w:r>
      <w:r w:rsidR="00C85BF1">
        <w:t xml:space="preserve"> are incorrect.</w:t>
      </w:r>
      <w:r w:rsidR="00EE684C">
        <w:t>.</w:t>
      </w:r>
    </w:p>
    <w:p w:rsidR="00EE684C" w:rsidRPr="006D7E5A" w:rsidRDefault="00EE684C" w:rsidP="0073621B">
      <w:pPr>
        <w:pStyle w:val="ParaNumbering"/>
        <w:tabs>
          <w:tab w:val="clear" w:pos="720"/>
        </w:tabs>
        <w:spacing w:before="240" w:after="240"/>
        <w:rPr>
          <w:szCs w:val="24"/>
        </w:rPr>
      </w:pPr>
      <w:r w:rsidRPr="006D7E5A">
        <w:rPr>
          <w:szCs w:val="24"/>
        </w:rPr>
        <w:t>In an admirably clear summary of the principal issue</w:t>
      </w:r>
      <w:r w:rsidR="00C85BF1">
        <w:rPr>
          <w:szCs w:val="24"/>
        </w:rPr>
        <w:t>s</w:t>
      </w:r>
      <w:r w:rsidRPr="006D7E5A">
        <w:rPr>
          <w:szCs w:val="24"/>
        </w:rPr>
        <w:t xml:space="preserve"> in the comple</w:t>
      </w:r>
      <w:r w:rsidR="001951DA">
        <w:rPr>
          <w:szCs w:val="24"/>
        </w:rPr>
        <w:t>x litigation that was before his Honour</w:t>
      </w:r>
      <w:r w:rsidRPr="006D7E5A">
        <w:rPr>
          <w:szCs w:val="24"/>
        </w:rPr>
        <w:t>, Beach J set out the following in his liability judgment at [1] – [15]:</w:t>
      </w:r>
    </w:p>
    <w:p w:rsidR="00EE684C" w:rsidRPr="003051A1" w:rsidRDefault="00EE684C" w:rsidP="00681142">
      <w:pPr>
        <w:pStyle w:val="Quote1"/>
        <w:rPr>
          <w:lang w:eastAsia="en-AU"/>
        </w:rPr>
      </w:pPr>
      <w:r w:rsidRPr="003051A1">
        <w:rPr>
          <w:lang w:eastAsia="en-AU"/>
        </w:rPr>
        <w:t xml:space="preserve">The applicant, </w:t>
      </w:r>
      <w:proofErr w:type="spellStart"/>
      <w:r w:rsidRPr="003051A1">
        <w:rPr>
          <w:lang w:eastAsia="en-AU"/>
        </w:rPr>
        <w:t>CellOS</w:t>
      </w:r>
      <w:proofErr w:type="spellEnd"/>
      <w:r w:rsidRPr="003051A1">
        <w:rPr>
          <w:lang w:eastAsia="en-AU"/>
        </w:rPr>
        <w:t xml:space="preserve"> Software Limited (</w:t>
      </w:r>
      <w:proofErr w:type="spellStart"/>
      <w:r w:rsidRPr="003051A1">
        <w:rPr>
          <w:lang w:eastAsia="en-AU"/>
        </w:rPr>
        <w:t>CellOS</w:t>
      </w:r>
      <w:proofErr w:type="spellEnd"/>
      <w:r w:rsidRPr="003051A1">
        <w:rPr>
          <w:lang w:eastAsia="en-AU"/>
        </w:rPr>
        <w:t xml:space="preserve">), an Australian unlisted public company, is a software development company in the field of data analytics. </w:t>
      </w:r>
      <w:proofErr w:type="spellStart"/>
      <w:r w:rsidRPr="003051A1">
        <w:rPr>
          <w:lang w:eastAsia="en-AU"/>
        </w:rPr>
        <w:t>CellOS</w:t>
      </w:r>
      <w:proofErr w:type="spellEnd"/>
      <w:r w:rsidRPr="003051A1">
        <w:rPr>
          <w:lang w:eastAsia="en-AU"/>
        </w:rPr>
        <w:t xml:space="preserve"> has brought these proceedings against numerous respondents. Primarily it has brought these proceedings against its former chief executive officer and director, Mr Jason Huber, the first respondent. Mr Huber was CEO of </w:t>
      </w:r>
      <w:proofErr w:type="spellStart"/>
      <w:r w:rsidRPr="003051A1">
        <w:rPr>
          <w:lang w:eastAsia="en-AU"/>
        </w:rPr>
        <w:t>CellOS</w:t>
      </w:r>
      <w:proofErr w:type="spellEnd"/>
      <w:r w:rsidRPr="003051A1">
        <w:rPr>
          <w:lang w:eastAsia="en-AU"/>
        </w:rPr>
        <w:t xml:space="preserve"> from 19 December 2005 to 3 September 2015. He was a director from 19 December 2005 to 12 May 2010 and from 1 March 2012 to 3 September 2015.</w:t>
      </w:r>
    </w:p>
    <w:p w:rsidR="00EE684C" w:rsidRPr="003051A1" w:rsidRDefault="00EE684C" w:rsidP="00681142">
      <w:pPr>
        <w:pStyle w:val="Quote1"/>
        <w:rPr>
          <w:lang w:eastAsia="en-AU"/>
        </w:rPr>
      </w:pPr>
      <w:proofErr w:type="spellStart"/>
      <w:r w:rsidRPr="003051A1">
        <w:rPr>
          <w:lang w:eastAsia="en-AU"/>
        </w:rPr>
        <w:t>CellOS</w:t>
      </w:r>
      <w:proofErr w:type="spellEnd"/>
      <w:r w:rsidRPr="003051A1">
        <w:rPr>
          <w:lang w:eastAsia="en-AU"/>
        </w:rPr>
        <w:t xml:space="preserve"> alleges that Mr Huber carried out a scheme against it, and in carrying out this scheme breached various statutory and fiduciary duties owed to </w:t>
      </w:r>
      <w:proofErr w:type="spellStart"/>
      <w:r w:rsidRPr="003051A1">
        <w:rPr>
          <w:lang w:eastAsia="en-AU"/>
        </w:rPr>
        <w:t>CellOS</w:t>
      </w:r>
      <w:proofErr w:type="spellEnd"/>
      <w:r w:rsidRPr="003051A1">
        <w:rPr>
          <w:lang w:eastAsia="en-AU"/>
        </w:rPr>
        <w:t>, particularly under</w:t>
      </w:r>
      <w:r w:rsidR="003051A1">
        <w:rPr>
          <w:lang w:eastAsia="en-AU"/>
        </w:rPr>
        <w:t xml:space="preserve"> </w:t>
      </w:r>
      <w:proofErr w:type="spellStart"/>
      <w:r w:rsidRPr="003051A1">
        <w:rPr>
          <w:lang w:eastAsia="en-AU"/>
        </w:rPr>
        <w:t>ss</w:t>
      </w:r>
      <w:proofErr w:type="spellEnd"/>
      <w:r w:rsidRPr="003051A1">
        <w:rPr>
          <w:lang w:eastAsia="en-AU"/>
        </w:rPr>
        <w:t xml:space="preserve"> 181</w:t>
      </w:r>
      <w:r w:rsidR="003051A1">
        <w:rPr>
          <w:lang w:eastAsia="en-AU"/>
        </w:rPr>
        <w:t xml:space="preserve">, </w:t>
      </w:r>
      <w:r w:rsidRPr="003051A1">
        <w:rPr>
          <w:lang w:eastAsia="en-AU"/>
        </w:rPr>
        <w:t>182</w:t>
      </w:r>
      <w:r w:rsidR="003051A1">
        <w:rPr>
          <w:lang w:eastAsia="en-AU"/>
        </w:rPr>
        <w:t xml:space="preserve"> and </w:t>
      </w:r>
      <w:r w:rsidRPr="003051A1">
        <w:rPr>
          <w:lang w:eastAsia="en-AU"/>
        </w:rPr>
        <w:t>183</w:t>
      </w:r>
      <w:r w:rsidR="003051A1">
        <w:rPr>
          <w:lang w:eastAsia="en-AU"/>
        </w:rPr>
        <w:t xml:space="preserve"> </w:t>
      </w:r>
      <w:r w:rsidRPr="003051A1">
        <w:rPr>
          <w:lang w:eastAsia="en-AU"/>
        </w:rPr>
        <w:t>of</w:t>
      </w:r>
      <w:r w:rsidR="003051A1">
        <w:rPr>
          <w:lang w:eastAsia="en-AU"/>
        </w:rPr>
        <w:t xml:space="preserve"> the </w:t>
      </w:r>
      <w:r w:rsidRPr="003051A1">
        <w:rPr>
          <w:i/>
          <w:iCs/>
          <w:lang w:eastAsia="en-AU"/>
        </w:rPr>
        <w:t>Corporations Act 2001</w:t>
      </w:r>
      <w:r w:rsidR="003051A1">
        <w:rPr>
          <w:i/>
          <w:iCs/>
          <w:lang w:eastAsia="en-AU"/>
        </w:rPr>
        <w:t xml:space="preserve"> </w:t>
      </w:r>
      <w:r w:rsidRPr="003051A1">
        <w:rPr>
          <w:lang w:eastAsia="en-AU"/>
        </w:rPr>
        <w:t>(</w:t>
      </w:r>
      <w:proofErr w:type="spellStart"/>
      <w:r w:rsidRPr="003051A1">
        <w:rPr>
          <w:lang w:eastAsia="en-AU"/>
        </w:rPr>
        <w:t>Cth</w:t>
      </w:r>
      <w:proofErr w:type="spellEnd"/>
      <w:r w:rsidRPr="003051A1">
        <w:rPr>
          <w:lang w:eastAsia="en-AU"/>
        </w:rPr>
        <w:t xml:space="preserve">). Broadly, </w:t>
      </w:r>
      <w:proofErr w:type="spellStart"/>
      <w:r w:rsidRPr="003051A1">
        <w:rPr>
          <w:lang w:eastAsia="en-AU"/>
        </w:rPr>
        <w:t>CellOS</w:t>
      </w:r>
      <w:proofErr w:type="spellEnd"/>
      <w:r w:rsidRPr="003051A1">
        <w:rPr>
          <w:lang w:eastAsia="en-AU"/>
        </w:rPr>
        <w:t xml:space="preserve"> alleges that the scheme carried out by Mr Huber consisted of the following steps.</w:t>
      </w:r>
    </w:p>
    <w:p w:rsidR="00EE684C" w:rsidRPr="003051A1" w:rsidRDefault="00EE684C" w:rsidP="00681142">
      <w:pPr>
        <w:pStyle w:val="Quote1"/>
        <w:rPr>
          <w:lang w:eastAsia="en-AU"/>
        </w:rPr>
      </w:pPr>
      <w:r w:rsidRPr="003051A1">
        <w:rPr>
          <w:lang w:eastAsia="en-AU"/>
        </w:rPr>
        <w:t xml:space="preserve">At all relevant times </w:t>
      </w:r>
      <w:proofErr w:type="spellStart"/>
      <w:r w:rsidRPr="003051A1">
        <w:rPr>
          <w:lang w:eastAsia="en-AU"/>
        </w:rPr>
        <w:t>CellOS</w:t>
      </w:r>
      <w:proofErr w:type="spellEnd"/>
      <w:r w:rsidRPr="003051A1">
        <w:rPr>
          <w:lang w:eastAsia="en-AU"/>
        </w:rPr>
        <w:t xml:space="preserve"> was not generating sufficient revenue and was reliant </w:t>
      </w:r>
      <w:r w:rsidRPr="003051A1">
        <w:rPr>
          <w:lang w:eastAsia="en-AU"/>
        </w:rPr>
        <w:lastRenderedPageBreak/>
        <w:t>upon new equity capital or debt funding to continue its operations and its business of software development. Mr Huber was personally responsible for securing this funding.</w:t>
      </w:r>
    </w:p>
    <w:p w:rsidR="00EE684C" w:rsidRPr="003051A1" w:rsidRDefault="00EE684C" w:rsidP="00681142">
      <w:pPr>
        <w:pStyle w:val="Quote1"/>
        <w:rPr>
          <w:lang w:eastAsia="en-AU"/>
        </w:rPr>
      </w:pPr>
      <w:r w:rsidRPr="003051A1">
        <w:rPr>
          <w:lang w:eastAsia="en-AU"/>
        </w:rPr>
        <w:t xml:space="preserve">From late 2012, Mr Huber instructed a corporate secretarial services provider to establish a web of offshore companies registered in Belize, Panama, Anguilla, British Virgin Islands and Samoa, which Mr Huber was to control, and which were designed to disguise Mr Huber’s involvement in his planned scheme and in those vehicles. Mr Huber established a web of offshore companies to hold his </w:t>
      </w:r>
      <w:proofErr w:type="spellStart"/>
      <w:r w:rsidRPr="003051A1">
        <w:rPr>
          <w:lang w:eastAsia="en-AU"/>
        </w:rPr>
        <w:t>CellOS</w:t>
      </w:r>
      <w:proofErr w:type="spellEnd"/>
      <w:r w:rsidRPr="003051A1">
        <w:rPr>
          <w:lang w:eastAsia="en-AU"/>
        </w:rPr>
        <w:t xml:space="preserve"> shares (</w:t>
      </w:r>
      <w:r w:rsidRPr="00E50170">
        <w:rPr>
          <w:lang w:eastAsia="en-AU"/>
        </w:rPr>
        <w:t>Huber controlled entities</w:t>
      </w:r>
      <w:r w:rsidRPr="003051A1">
        <w:rPr>
          <w:lang w:eastAsia="en-AU"/>
        </w:rPr>
        <w:t xml:space="preserve">) with the corporate secretarial assistance of Mr Chua Min Wee and his company </w:t>
      </w:r>
      <w:proofErr w:type="spellStart"/>
      <w:r w:rsidRPr="003051A1">
        <w:rPr>
          <w:lang w:eastAsia="en-AU"/>
        </w:rPr>
        <w:t>Grandeza</w:t>
      </w:r>
      <w:proofErr w:type="spellEnd"/>
      <w:r w:rsidRPr="003051A1">
        <w:rPr>
          <w:lang w:eastAsia="en-AU"/>
        </w:rPr>
        <w:t xml:space="preserve"> Corporate Services Pte Ltd (</w:t>
      </w:r>
      <w:proofErr w:type="spellStart"/>
      <w:r w:rsidRPr="00E50170">
        <w:rPr>
          <w:lang w:eastAsia="en-AU"/>
        </w:rPr>
        <w:t>Grandeza</w:t>
      </w:r>
      <w:proofErr w:type="spellEnd"/>
      <w:r w:rsidRPr="003051A1">
        <w:rPr>
          <w:lang w:eastAsia="en-AU"/>
        </w:rPr>
        <w:t xml:space="preserve">), a Singaporean company, and Mr </w:t>
      </w:r>
      <w:proofErr w:type="spellStart"/>
      <w:r w:rsidRPr="003051A1">
        <w:rPr>
          <w:lang w:eastAsia="en-AU"/>
        </w:rPr>
        <w:t>Harveen</w:t>
      </w:r>
      <w:proofErr w:type="spellEnd"/>
      <w:r w:rsidRPr="003051A1">
        <w:rPr>
          <w:lang w:eastAsia="en-AU"/>
        </w:rPr>
        <w:t xml:space="preserve"> Singh </w:t>
      </w:r>
      <w:proofErr w:type="spellStart"/>
      <w:r w:rsidRPr="003051A1">
        <w:rPr>
          <w:lang w:eastAsia="en-AU"/>
        </w:rPr>
        <w:t>Narulla</w:t>
      </w:r>
      <w:proofErr w:type="spellEnd"/>
      <w:r w:rsidRPr="003051A1">
        <w:rPr>
          <w:lang w:eastAsia="en-AU"/>
        </w:rPr>
        <w:t>. The Huber controlled entities disguised Mr Huber’s involvement in what later occurred.</w:t>
      </w:r>
    </w:p>
    <w:p w:rsidR="00EE684C" w:rsidRPr="003051A1" w:rsidRDefault="00EE684C" w:rsidP="00681142">
      <w:pPr>
        <w:pStyle w:val="Quote1"/>
        <w:rPr>
          <w:lang w:eastAsia="en-AU"/>
        </w:rPr>
      </w:pPr>
      <w:r w:rsidRPr="003051A1">
        <w:rPr>
          <w:lang w:eastAsia="en-AU"/>
        </w:rPr>
        <w:t xml:space="preserve">From at least late 2012, Mr Huber procured through these Huber controlled entities at least 47,872,063 </w:t>
      </w:r>
      <w:proofErr w:type="spellStart"/>
      <w:r w:rsidRPr="003051A1">
        <w:rPr>
          <w:lang w:eastAsia="en-AU"/>
        </w:rPr>
        <w:t>CellOS</w:t>
      </w:r>
      <w:proofErr w:type="spellEnd"/>
      <w:r w:rsidRPr="003051A1">
        <w:rPr>
          <w:lang w:eastAsia="en-AU"/>
        </w:rPr>
        <w:t xml:space="preserve"> shares from early investors in </w:t>
      </w:r>
      <w:proofErr w:type="spellStart"/>
      <w:r w:rsidRPr="003051A1">
        <w:rPr>
          <w:lang w:eastAsia="en-AU"/>
        </w:rPr>
        <w:t>CellOS</w:t>
      </w:r>
      <w:proofErr w:type="spellEnd"/>
      <w:r w:rsidRPr="003051A1">
        <w:rPr>
          <w:lang w:eastAsia="en-AU"/>
        </w:rPr>
        <w:t xml:space="preserve">, without disclosing his involvement to the vendors or to </w:t>
      </w:r>
      <w:proofErr w:type="spellStart"/>
      <w:r w:rsidRPr="003051A1">
        <w:rPr>
          <w:lang w:eastAsia="en-AU"/>
        </w:rPr>
        <w:t>CellOS</w:t>
      </w:r>
      <w:proofErr w:type="spellEnd"/>
      <w:r w:rsidRPr="003051A1">
        <w:rPr>
          <w:lang w:eastAsia="en-AU"/>
        </w:rPr>
        <w:t xml:space="preserve">; it is said that these transactions were entered into without </w:t>
      </w:r>
      <w:proofErr w:type="spellStart"/>
      <w:r w:rsidRPr="003051A1">
        <w:rPr>
          <w:lang w:eastAsia="en-AU"/>
        </w:rPr>
        <w:t>CellOS’</w:t>
      </w:r>
      <w:proofErr w:type="spellEnd"/>
      <w:r w:rsidRPr="003051A1">
        <w:rPr>
          <w:lang w:eastAsia="en-AU"/>
        </w:rPr>
        <w:t xml:space="preserve"> knowledge. It is known that Huber controlled entities purchased 19,059,834 shares (out of 47,872,063 shares transferred from private investors) for AU$4,848,094. The price for the remainder is not known.</w:t>
      </w:r>
    </w:p>
    <w:p w:rsidR="00EE684C" w:rsidRPr="003051A1" w:rsidRDefault="00EE684C" w:rsidP="00681142">
      <w:pPr>
        <w:pStyle w:val="Quote1"/>
        <w:rPr>
          <w:lang w:eastAsia="en-AU"/>
        </w:rPr>
      </w:pPr>
      <w:r w:rsidRPr="003051A1">
        <w:rPr>
          <w:lang w:eastAsia="en-AU"/>
        </w:rPr>
        <w:t xml:space="preserve">From at least late 2012, Mr Huber sought out potential investors for </w:t>
      </w:r>
      <w:proofErr w:type="spellStart"/>
      <w:r w:rsidRPr="003051A1">
        <w:rPr>
          <w:lang w:eastAsia="en-AU"/>
        </w:rPr>
        <w:t>CellOS</w:t>
      </w:r>
      <w:proofErr w:type="spellEnd"/>
      <w:r w:rsidRPr="003051A1">
        <w:rPr>
          <w:lang w:eastAsia="en-AU"/>
        </w:rPr>
        <w:t xml:space="preserve">, ostensibly to raise funds for </w:t>
      </w:r>
      <w:proofErr w:type="spellStart"/>
      <w:r w:rsidRPr="003051A1">
        <w:rPr>
          <w:lang w:eastAsia="en-AU"/>
        </w:rPr>
        <w:t>CellOS’</w:t>
      </w:r>
      <w:proofErr w:type="spellEnd"/>
      <w:r w:rsidRPr="003051A1">
        <w:rPr>
          <w:lang w:eastAsia="en-AU"/>
        </w:rPr>
        <w:t xml:space="preserve"> ongoing operations. But instead of </w:t>
      </w:r>
      <w:proofErr w:type="spellStart"/>
      <w:r w:rsidRPr="003051A1">
        <w:rPr>
          <w:lang w:eastAsia="en-AU"/>
        </w:rPr>
        <w:t>CellOS</w:t>
      </w:r>
      <w:proofErr w:type="spellEnd"/>
      <w:r w:rsidRPr="003051A1">
        <w:rPr>
          <w:lang w:eastAsia="en-AU"/>
        </w:rPr>
        <w:t xml:space="preserve"> issuing shares directly to new investors, Mr Huber procured investors to purchase shares from Huber controlled entities at prices between US$2 and US$10. Between late 2012 and mid-2015, the Huber controlled entities sold 51,945,132 shares in </w:t>
      </w:r>
      <w:proofErr w:type="spellStart"/>
      <w:r w:rsidRPr="003051A1">
        <w:rPr>
          <w:lang w:eastAsia="en-AU"/>
        </w:rPr>
        <w:t>CellOS</w:t>
      </w:r>
      <w:proofErr w:type="spellEnd"/>
      <w:r w:rsidRPr="003051A1">
        <w:rPr>
          <w:lang w:eastAsia="en-AU"/>
        </w:rPr>
        <w:t xml:space="preserve"> to 355 private investors. It is known that Huber controlled entities sold 22,832,921 shares out of 51,945,132 shares transferred to private investors for AU$50,353,076. The price for the remainder is not known.</w:t>
      </w:r>
    </w:p>
    <w:p w:rsidR="00EE684C" w:rsidRPr="003051A1" w:rsidRDefault="00EE684C" w:rsidP="00681142">
      <w:pPr>
        <w:pStyle w:val="Quote1"/>
        <w:rPr>
          <w:lang w:eastAsia="en-AU"/>
        </w:rPr>
      </w:pPr>
      <w:r w:rsidRPr="003051A1">
        <w:rPr>
          <w:lang w:eastAsia="en-AU"/>
        </w:rPr>
        <w:t xml:space="preserve">Mr Huber directly or indirectly lent part of the proceeds from these share sales back to </w:t>
      </w:r>
      <w:proofErr w:type="spellStart"/>
      <w:r w:rsidRPr="003051A1">
        <w:rPr>
          <w:lang w:eastAsia="en-AU"/>
        </w:rPr>
        <w:t>CellOS</w:t>
      </w:r>
      <w:proofErr w:type="spellEnd"/>
      <w:r w:rsidRPr="003051A1">
        <w:rPr>
          <w:lang w:eastAsia="en-AU"/>
        </w:rPr>
        <w:t xml:space="preserve"> in order to fund its operations.</w:t>
      </w:r>
    </w:p>
    <w:p w:rsidR="00EE684C" w:rsidRPr="003051A1" w:rsidRDefault="00EE684C" w:rsidP="00681142">
      <w:pPr>
        <w:pStyle w:val="Quote1"/>
        <w:rPr>
          <w:lang w:eastAsia="en-AU"/>
        </w:rPr>
      </w:pPr>
      <w:r w:rsidRPr="003051A1">
        <w:rPr>
          <w:lang w:eastAsia="en-AU"/>
        </w:rPr>
        <w:t xml:space="preserve">In or around May 2013, Mr Huber arranged for </w:t>
      </w:r>
      <w:proofErr w:type="spellStart"/>
      <w:r w:rsidRPr="003051A1">
        <w:rPr>
          <w:lang w:eastAsia="en-AU"/>
        </w:rPr>
        <w:t>CellOS</w:t>
      </w:r>
      <w:proofErr w:type="spellEnd"/>
      <w:r w:rsidRPr="003051A1">
        <w:rPr>
          <w:lang w:eastAsia="en-AU"/>
        </w:rPr>
        <w:t xml:space="preserve"> to enter into a loan agreement with one of his offshore companies, LGA Energy Investments Ltd based in Belize (LGA) to loan </w:t>
      </w:r>
      <w:proofErr w:type="spellStart"/>
      <w:r w:rsidRPr="003051A1">
        <w:rPr>
          <w:lang w:eastAsia="en-AU"/>
        </w:rPr>
        <w:t>CellOS</w:t>
      </w:r>
      <w:proofErr w:type="spellEnd"/>
      <w:r w:rsidRPr="003051A1">
        <w:rPr>
          <w:lang w:eastAsia="en-AU"/>
        </w:rPr>
        <w:t xml:space="preserve"> up to SG$25 million (LGA loan) without disclosing his interest in LGA or the LGA loan to either </w:t>
      </w:r>
      <w:proofErr w:type="spellStart"/>
      <w:r w:rsidRPr="003051A1">
        <w:rPr>
          <w:lang w:eastAsia="en-AU"/>
        </w:rPr>
        <w:t>CellOS’</w:t>
      </w:r>
      <w:proofErr w:type="spellEnd"/>
      <w:r w:rsidRPr="003051A1">
        <w:rPr>
          <w:lang w:eastAsia="en-AU"/>
        </w:rPr>
        <w:t xml:space="preserve"> board or its shareholders, on terms that the loan could be converted to shares at SG$1.80. Mr Huber wearing his </w:t>
      </w:r>
      <w:proofErr w:type="spellStart"/>
      <w:r w:rsidRPr="003051A1">
        <w:rPr>
          <w:lang w:eastAsia="en-AU"/>
        </w:rPr>
        <w:t>CellOS</w:t>
      </w:r>
      <w:proofErr w:type="spellEnd"/>
      <w:r w:rsidRPr="003051A1">
        <w:rPr>
          <w:lang w:eastAsia="en-AU"/>
        </w:rPr>
        <w:t xml:space="preserve"> hat would call for loans from LGA and then convert those loans to shares. At the time, </w:t>
      </w:r>
      <w:proofErr w:type="spellStart"/>
      <w:r w:rsidRPr="003051A1">
        <w:rPr>
          <w:lang w:eastAsia="en-AU"/>
        </w:rPr>
        <w:t>CellOS</w:t>
      </w:r>
      <w:proofErr w:type="spellEnd"/>
      <w:r w:rsidRPr="003051A1">
        <w:rPr>
          <w:lang w:eastAsia="en-AU"/>
        </w:rPr>
        <w:t xml:space="preserve"> was able to issue new shares at US$5 per share and </w:t>
      </w:r>
      <w:proofErr w:type="spellStart"/>
      <w:r w:rsidRPr="003051A1">
        <w:rPr>
          <w:lang w:eastAsia="en-AU"/>
        </w:rPr>
        <w:t>CellOS</w:t>
      </w:r>
      <w:proofErr w:type="spellEnd"/>
      <w:r w:rsidRPr="003051A1">
        <w:rPr>
          <w:lang w:eastAsia="en-AU"/>
        </w:rPr>
        <w:t xml:space="preserve"> shares were on the secondary market at up to US$5 per share.</w:t>
      </w:r>
    </w:p>
    <w:p w:rsidR="00EE684C" w:rsidRPr="00E50170" w:rsidRDefault="00EE684C" w:rsidP="00681142">
      <w:pPr>
        <w:pStyle w:val="Quote1"/>
        <w:ind w:left="1440" w:hanging="703"/>
        <w:rPr>
          <w:lang w:eastAsia="en-AU"/>
        </w:rPr>
      </w:pPr>
      <w:r w:rsidRPr="00E50170">
        <w:rPr>
          <w:lang w:eastAsia="en-AU"/>
        </w:rPr>
        <w:t>LGA is not a party to the proceedings. The LGA loan operated such that:</w:t>
      </w:r>
    </w:p>
    <w:p w:rsidR="00E50170" w:rsidRPr="00E50170" w:rsidRDefault="00D3655C" w:rsidP="00F242D8">
      <w:pPr>
        <w:pStyle w:val="Quote2"/>
        <w:ind w:left="2160" w:hanging="720"/>
        <w:rPr>
          <w:lang w:eastAsia="en-AU"/>
        </w:rPr>
      </w:pPr>
      <w:r>
        <w:rPr>
          <w:lang w:eastAsia="en-AU"/>
        </w:rPr>
        <w:t>(a)</w:t>
      </w:r>
      <w:r>
        <w:rPr>
          <w:lang w:eastAsia="en-AU"/>
        </w:rPr>
        <w:tab/>
      </w:r>
      <w:r w:rsidR="00EE684C" w:rsidRPr="00E50170">
        <w:rPr>
          <w:lang w:eastAsia="en-AU"/>
        </w:rPr>
        <w:t>The loan operated retrospectively to cover money advanced since 1 March 2012, that is, over a year earlier and included advances by third parties nominated by LGA;</w:t>
      </w:r>
    </w:p>
    <w:p w:rsidR="00E50170" w:rsidRPr="00E50170" w:rsidRDefault="00D3655C" w:rsidP="00F242D8">
      <w:pPr>
        <w:pStyle w:val="Quote2"/>
        <w:ind w:left="2160" w:hanging="720"/>
        <w:rPr>
          <w:lang w:eastAsia="en-AU"/>
        </w:rPr>
      </w:pPr>
      <w:r>
        <w:rPr>
          <w:lang w:eastAsia="en-AU"/>
        </w:rPr>
        <w:t>(b)</w:t>
      </w:r>
      <w:r>
        <w:rPr>
          <w:lang w:eastAsia="en-AU"/>
        </w:rPr>
        <w:tab/>
      </w:r>
      <w:r w:rsidR="00EE684C" w:rsidRPr="00E50170">
        <w:rPr>
          <w:lang w:eastAsia="en-AU"/>
        </w:rPr>
        <w:t xml:space="preserve">LGA or third parties would loan money to </w:t>
      </w:r>
      <w:proofErr w:type="spellStart"/>
      <w:r w:rsidR="00EE684C" w:rsidRPr="00E50170">
        <w:rPr>
          <w:lang w:eastAsia="en-AU"/>
        </w:rPr>
        <w:t>CellOS</w:t>
      </w:r>
      <w:proofErr w:type="spellEnd"/>
      <w:r w:rsidR="00EE684C" w:rsidRPr="00E50170">
        <w:rPr>
          <w:lang w:eastAsia="en-AU"/>
        </w:rPr>
        <w:t xml:space="preserve">; </w:t>
      </w:r>
      <w:r w:rsidR="00E50170" w:rsidRPr="00E50170">
        <w:rPr>
          <w:lang w:eastAsia="en-AU"/>
        </w:rPr>
        <w:t>and</w:t>
      </w:r>
    </w:p>
    <w:p w:rsidR="00EE684C" w:rsidRPr="00E50170" w:rsidRDefault="00D3655C" w:rsidP="00F242D8">
      <w:pPr>
        <w:pStyle w:val="Quote2"/>
        <w:ind w:left="2160" w:hanging="720"/>
        <w:rPr>
          <w:lang w:eastAsia="en-AU"/>
        </w:rPr>
      </w:pPr>
      <w:r>
        <w:rPr>
          <w:lang w:eastAsia="en-AU"/>
        </w:rPr>
        <w:t>(c)</w:t>
      </w:r>
      <w:r>
        <w:rPr>
          <w:lang w:eastAsia="en-AU"/>
        </w:rPr>
        <w:tab/>
      </w:r>
      <w:r w:rsidR="00EE684C" w:rsidRPr="00E50170">
        <w:rPr>
          <w:lang w:eastAsia="en-AU"/>
        </w:rPr>
        <w:t xml:space="preserve">LGA had an option to convert the loan amount into </w:t>
      </w:r>
      <w:proofErr w:type="spellStart"/>
      <w:r w:rsidR="00EE684C" w:rsidRPr="00E50170">
        <w:rPr>
          <w:lang w:eastAsia="en-AU"/>
        </w:rPr>
        <w:t>CellOS</w:t>
      </w:r>
      <w:proofErr w:type="spellEnd"/>
      <w:r w:rsidR="00EE684C" w:rsidRPr="00E50170">
        <w:rPr>
          <w:lang w:eastAsia="en-AU"/>
        </w:rPr>
        <w:t xml:space="preserve"> shares at the price of SG$1.80 per share, which was favourable to Mr Huber and LGA but disadvantageous to </w:t>
      </w:r>
      <w:proofErr w:type="spellStart"/>
      <w:r w:rsidR="00EE684C" w:rsidRPr="00E50170">
        <w:rPr>
          <w:lang w:eastAsia="en-AU"/>
        </w:rPr>
        <w:t>CellOS</w:t>
      </w:r>
      <w:proofErr w:type="spellEnd"/>
      <w:r w:rsidR="00EE684C" w:rsidRPr="00E50170">
        <w:rPr>
          <w:lang w:eastAsia="en-AU"/>
        </w:rPr>
        <w:t xml:space="preserve"> and the other shareholders.</w:t>
      </w:r>
    </w:p>
    <w:p w:rsidR="00EE684C" w:rsidRPr="00E50170" w:rsidRDefault="00EE684C" w:rsidP="00681142">
      <w:pPr>
        <w:pStyle w:val="Quote1"/>
        <w:rPr>
          <w:color w:val="333333"/>
          <w:lang w:eastAsia="en-AU"/>
        </w:rPr>
      </w:pPr>
      <w:r w:rsidRPr="00E50170">
        <w:rPr>
          <w:color w:val="333333"/>
          <w:lang w:eastAsia="en-AU"/>
        </w:rPr>
        <w:t>The effect of the LGA loan allowed:</w:t>
      </w:r>
    </w:p>
    <w:p w:rsidR="00E50170" w:rsidRDefault="00D3655C" w:rsidP="00F242D8">
      <w:pPr>
        <w:pStyle w:val="Quote2"/>
        <w:ind w:left="2160" w:hanging="720"/>
        <w:rPr>
          <w:lang w:eastAsia="en-AU"/>
        </w:rPr>
      </w:pPr>
      <w:r>
        <w:rPr>
          <w:lang w:eastAsia="en-AU"/>
        </w:rPr>
        <w:t>(a)</w:t>
      </w:r>
      <w:r>
        <w:rPr>
          <w:lang w:eastAsia="en-AU"/>
        </w:rPr>
        <w:tab/>
      </w:r>
      <w:r w:rsidR="00EE684C" w:rsidRPr="00E50170">
        <w:rPr>
          <w:lang w:eastAsia="en-AU"/>
        </w:rPr>
        <w:t xml:space="preserve">Mr Huber to immediately benefit from the funds he had been lending </w:t>
      </w:r>
      <w:proofErr w:type="spellStart"/>
      <w:r w:rsidR="00EE684C" w:rsidRPr="00E50170">
        <w:rPr>
          <w:lang w:eastAsia="en-AU"/>
        </w:rPr>
        <w:t>CellOS</w:t>
      </w:r>
      <w:proofErr w:type="spellEnd"/>
      <w:r w:rsidR="00EE684C" w:rsidRPr="00E50170">
        <w:rPr>
          <w:lang w:eastAsia="en-AU"/>
        </w:rPr>
        <w:t xml:space="preserve"> since March 2012 by converting them into new </w:t>
      </w:r>
      <w:proofErr w:type="spellStart"/>
      <w:r w:rsidR="00EE684C" w:rsidRPr="00E50170">
        <w:rPr>
          <w:lang w:eastAsia="en-AU"/>
        </w:rPr>
        <w:t>CellOS</w:t>
      </w:r>
      <w:proofErr w:type="spellEnd"/>
      <w:r w:rsidR="00EE684C" w:rsidRPr="00E50170">
        <w:rPr>
          <w:lang w:eastAsia="en-AU"/>
        </w:rPr>
        <w:t xml:space="preserve"> shares at the favourable strike price of SG$1.80 per share; and</w:t>
      </w:r>
    </w:p>
    <w:p w:rsidR="00EE684C" w:rsidRPr="00E50170" w:rsidRDefault="00D3655C" w:rsidP="00F242D8">
      <w:pPr>
        <w:pStyle w:val="Quote2"/>
        <w:ind w:left="2160" w:hanging="720"/>
        <w:rPr>
          <w:lang w:eastAsia="en-AU"/>
        </w:rPr>
      </w:pPr>
      <w:r>
        <w:rPr>
          <w:lang w:eastAsia="en-AU"/>
        </w:rPr>
        <w:lastRenderedPageBreak/>
        <w:t>(b)</w:t>
      </w:r>
      <w:r>
        <w:rPr>
          <w:lang w:eastAsia="en-AU"/>
        </w:rPr>
        <w:tab/>
      </w:r>
      <w:r w:rsidR="00EE684C" w:rsidRPr="00E50170">
        <w:rPr>
          <w:lang w:eastAsia="en-AU"/>
        </w:rPr>
        <w:t xml:space="preserve">Mr Huber to, first, prospectively sell </w:t>
      </w:r>
      <w:proofErr w:type="spellStart"/>
      <w:r w:rsidR="00EE684C" w:rsidRPr="00E50170">
        <w:rPr>
          <w:lang w:eastAsia="en-AU"/>
        </w:rPr>
        <w:t>CellOS</w:t>
      </w:r>
      <w:proofErr w:type="spellEnd"/>
      <w:r w:rsidR="00EE684C" w:rsidRPr="00E50170">
        <w:rPr>
          <w:lang w:eastAsia="en-AU"/>
        </w:rPr>
        <w:t xml:space="preserve"> shares held by the Huber controlled entities, second, then lend the funds to </w:t>
      </w:r>
      <w:proofErr w:type="spellStart"/>
      <w:r w:rsidR="00EE684C" w:rsidRPr="00E50170">
        <w:rPr>
          <w:lang w:eastAsia="en-AU"/>
        </w:rPr>
        <w:t>CellOS</w:t>
      </w:r>
      <w:proofErr w:type="spellEnd"/>
      <w:r w:rsidR="00EE684C" w:rsidRPr="00E50170">
        <w:rPr>
          <w:lang w:eastAsia="en-AU"/>
        </w:rPr>
        <w:t xml:space="preserve"> under the LGA loan and, third, obtain more shares at SG$1.80 per share by exercising the conversion option.</w:t>
      </w:r>
    </w:p>
    <w:p w:rsidR="00EE684C" w:rsidRPr="00E50170" w:rsidRDefault="00EE684C" w:rsidP="00681142">
      <w:pPr>
        <w:pStyle w:val="Quote1"/>
        <w:rPr>
          <w:color w:val="333333"/>
          <w:lang w:eastAsia="en-AU"/>
        </w:rPr>
      </w:pPr>
      <w:r w:rsidRPr="00E50170">
        <w:rPr>
          <w:lang w:eastAsia="en-AU"/>
        </w:rPr>
        <w:t>Significant</w:t>
      </w:r>
      <w:r w:rsidRPr="00E50170">
        <w:rPr>
          <w:color w:val="333333"/>
          <w:lang w:eastAsia="en-AU"/>
        </w:rPr>
        <w:t xml:space="preserve"> proceeds from the sale of shares by the Huber controlled entities were paid to </w:t>
      </w:r>
      <w:proofErr w:type="spellStart"/>
      <w:r w:rsidRPr="00E50170">
        <w:rPr>
          <w:color w:val="333333"/>
          <w:lang w:eastAsia="en-AU"/>
        </w:rPr>
        <w:t>CellOS</w:t>
      </w:r>
      <w:proofErr w:type="spellEnd"/>
      <w:r w:rsidRPr="00E50170">
        <w:rPr>
          <w:color w:val="333333"/>
          <w:lang w:eastAsia="en-AU"/>
        </w:rPr>
        <w:t xml:space="preserve"> and attributed to the LGA loan. In all, Mr Huber procured payments into </w:t>
      </w:r>
      <w:proofErr w:type="spellStart"/>
      <w:r w:rsidRPr="00E50170">
        <w:rPr>
          <w:color w:val="333333"/>
          <w:lang w:eastAsia="en-AU"/>
        </w:rPr>
        <w:t>CellOS</w:t>
      </w:r>
      <w:proofErr w:type="spellEnd"/>
      <w:r w:rsidRPr="00E50170">
        <w:rPr>
          <w:color w:val="333333"/>
          <w:lang w:eastAsia="en-AU"/>
        </w:rPr>
        <w:t xml:space="preserve"> of SG$29,143,387.90 and AU$1,228,786.85, which were attributed to the LGA loan, and through LGA converted those loan funds into 17,477,204 shares in </w:t>
      </w:r>
      <w:proofErr w:type="spellStart"/>
      <w:r w:rsidRPr="00E50170">
        <w:rPr>
          <w:color w:val="333333"/>
          <w:lang w:eastAsia="en-AU"/>
        </w:rPr>
        <w:t>CellOS</w:t>
      </w:r>
      <w:proofErr w:type="spellEnd"/>
      <w:r w:rsidRPr="00E50170">
        <w:rPr>
          <w:color w:val="333333"/>
          <w:lang w:eastAsia="en-AU"/>
        </w:rPr>
        <w:t xml:space="preserve"> at SG$1.80 per share.</w:t>
      </w:r>
    </w:p>
    <w:p w:rsidR="00EE684C" w:rsidRPr="00E50170" w:rsidRDefault="00EE684C" w:rsidP="00681142">
      <w:pPr>
        <w:pStyle w:val="Quote1"/>
        <w:rPr>
          <w:color w:val="333333"/>
          <w:lang w:eastAsia="en-AU"/>
        </w:rPr>
      </w:pPr>
      <w:r w:rsidRPr="00E50170">
        <w:rPr>
          <w:color w:val="333333"/>
          <w:lang w:eastAsia="en-AU"/>
        </w:rPr>
        <w:t xml:space="preserve">Mr </w:t>
      </w:r>
      <w:r w:rsidRPr="00E50170">
        <w:rPr>
          <w:lang w:eastAsia="en-AU"/>
        </w:rPr>
        <w:t>Huber</w:t>
      </w:r>
      <w:r w:rsidRPr="00E50170">
        <w:rPr>
          <w:color w:val="333333"/>
          <w:lang w:eastAsia="en-AU"/>
        </w:rPr>
        <w:t xml:space="preserve"> directed LGA to transfer 16,815,157 of those shares to Huber controlled entities for no consideration and then procured the on-sale of 4,265,157 of those shares, of which 2 million were sold at US$2 per share, 399,000 at US$10 per share, and the remainder at unknown prices.</w:t>
      </w:r>
    </w:p>
    <w:p w:rsidR="00EE684C" w:rsidRPr="00E50170" w:rsidRDefault="00EE684C" w:rsidP="00681142">
      <w:pPr>
        <w:pStyle w:val="Quote1"/>
        <w:rPr>
          <w:color w:val="333333"/>
          <w:lang w:eastAsia="en-AU"/>
        </w:rPr>
      </w:pPr>
      <w:r w:rsidRPr="00E50170">
        <w:rPr>
          <w:color w:val="333333"/>
          <w:lang w:eastAsia="en-AU"/>
        </w:rPr>
        <w:t xml:space="preserve">As I say, between 28 June 2013 and 27 March 2014, LGA came to hold almost 17 million </w:t>
      </w:r>
      <w:proofErr w:type="spellStart"/>
      <w:r w:rsidRPr="00E50170">
        <w:rPr>
          <w:color w:val="333333"/>
          <w:lang w:eastAsia="en-AU"/>
        </w:rPr>
        <w:t>CellOS</w:t>
      </w:r>
      <w:proofErr w:type="spellEnd"/>
      <w:r w:rsidRPr="00E50170">
        <w:rPr>
          <w:color w:val="333333"/>
          <w:lang w:eastAsia="en-AU"/>
        </w:rPr>
        <w:t xml:space="preserve"> shares by way of its conversion option under the LGA loan. In May 2014, LGA transferred these shares to seven of the Huber controlled entities.</w:t>
      </w:r>
    </w:p>
    <w:p w:rsidR="00EE684C" w:rsidRPr="00E50170" w:rsidRDefault="00EE684C" w:rsidP="00681142">
      <w:pPr>
        <w:pStyle w:val="Quote1"/>
        <w:rPr>
          <w:color w:val="333333"/>
          <w:lang w:eastAsia="en-AU"/>
        </w:rPr>
      </w:pPr>
      <w:r w:rsidRPr="00E50170">
        <w:rPr>
          <w:color w:val="333333"/>
          <w:lang w:eastAsia="en-AU"/>
        </w:rPr>
        <w:t xml:space="preserve">On 1 July 2014 Mr Huber arranged for </w:t>
      </w:r>
      <w:proofErr w:type="spellStart"/>
      <w:r w:rsidRPr="00E50170">
        <w:rPr>
          <w:color w:val="333333"/>
          <w:lang w:eastAsia="en-AU"/>
        </w:rPr>
        <w:t>CellOS</w:t>
      </w:r>
      <w:proofErr w:type="spellEnd"/>
      <w:r w:rsidRPr="00E50170">
        <w:rPr>
          <w:color w:val="333333"/>
          <w:lang w:eastAsia="en-AU"/>
        </w:rPr>
        <w:t xml:space="preserve"> to enter into another loan arrangement with another associated company, </w:t>
      </w:r>
      <w:proofErr w:type="spellStart"/>
      <w:r w:rsidRPr="00E50170">
        <w:rPr>
          <w:color w:val="333333"/>
          <w:lang w:eastAsia="en-AU"/>
        </w:rPr>
        <w:t>Pized</w:t>
      </w:r>
      <w:proofErr w:type="spellEnd"/>
      <w:r w:rsidRPr="00E50170">
        <w:rPr>
          <w:color w:val="333333"/>
          <w:lang w:eastAsia="en-AU"/>
        </w:rPr>
        <w:t xml:space="preserve"> Management Ltd (</w:t>
      </w:r>
      <w:proofErr w:type="spellStart"/>
      <w:r w:rsidRPr="00E50170">
        <w:rPr>
          <w:color w:val="333333"/>
          <w:lang w:eastAsia="en-AU"/>
        </w:rPr>
        <w:t>Pized</w:t>
      </w:r>
      <w:proofErr w:type="spellEnd"/>
      <w:r w:rsidRPr="00E50170">
        <w:rPr>
          <w:color w:val="333333"/>
          <w:lang w:eastAsia="en-AU"/>
        </w:rPr>
        <w:t>) (</w:t>
      </w:r>
      <w:proofErr w:type="spellStart"/>
      <w:r w:rsidRPr="00E50170">
        <w:rPr>
          <w:color w:val="333333"/>
          <w:lang w:eastAsia="en-AU"/>
        </w:rPr>
        <w:t>Pized</w:t>
      </w:r>
      <w:proofErr w:type="spellEnd"/>
      <w:r w:rsidRPr="00E50170">
        <w:rPr>
          <w:color w:val="333333"/>
          <w:lang w:eastAsia="en-AU"/>
        </w:rPr>
        <w:t xml:space="preserve"> loan). </w:t>
      </w:r>
      <w:proofErr w:type="spellStart"/>
      <w:r w:rsidRPr="00E50170">
        <w:rPr>
          <w:color w:val="333333"/>
          <w:lang w:eastAsia="en-AU"/>
        </w:rPr>
        <w:t>Pized</w:t>
      </w:r>
      <w:proofErr w:type="spellEnd"/>
      <w:r w:rsidRPr="00E50170">
        <w:rPr>
          <w:color w:val="333333"/>
          <w:lang w:eastAsia="en-AU"/>
        </w:rPr>
        <w:t xml:space="preserve"> is the fourteenth respondent. The </w:t>
      </w:r>
      <w:proofErr w:type="spellStart"/>
      <w:r w:rsidRPr="00E50170">
        <w:rPr>
          <w:color w:val="333333"/>
          <w:lang w:eastAsia="en-AU"/>
        </w:rPr>
        <w:t>Pized</w:t>
      </w:r>
      <w:proofErr w:type="spellEnd"/>
      <w:r w:rsidRPr="00E50170">
        <w:rPr>
          <w:color w:val="333333"/>
          <w:lang w:eastAsia="en-AU"/>
        </w:rPr>
        <w:t xml:space="preserve"> loan was similar to the LGA loan, and Mr Huber again failed to disclose his interest. Significant proceeds from the sale of shares by the Huber controlled entities were advanced to </w:t>
      </w:r>
      <w:proofErr w:type="spellStart"/>
      <w:r w:rsidRPr="00E50170">
        <w:rPr>
          <w:color w:val="333333"/>
          <w:lang w:eastAsia="en-AU"/>
        </w:rPr>
        <w:t>CellOS</w:t>
      </w:r>
      <w:proofErr w:type="spellEnd"/>
      <w:r w:rsidRPr="00E50170">
        <w:rPr>
          <w:color w:val="333333"/>
          <w:lang w:eastAsia="en-AU"/>
        </w:rPr>
        <w:t xml:space="preserve"> and attributed to the </w:t>
      </w:r>
      <w:proofErr w:type="spellStart"/>
      <w:r w:rsidRPr="00E50170">
        <w:rPr>
          <w:color w:val="333333"/>
          <w:lang w:eastAsia="en-AU"/>
        </w:rPr>
        <w:t>Pized</w:t>
      </w:r>
      <w:proofErr w:type="spellEnd"/>
      <w:r w:rsidRPr="00E50170">
        <w:rPr>
          <w:color w:val="333333"/>
          <w:lang w:eastAsia="en-AU"/>
        </w:rPr>
        <w:t xml:space="preserve"> loan. When Mr Huber was removed from his position in September 2015, amounts under the </w:t>
      </w:r>
      <w:proofErr w:type="spellStart"/>
      <w:r w:rsidRPr="00E50170">
        <w:rPr>
          <w:color w:val="333333"/>
          <w:lang w:eastAsia="en-AU"/>
        </w:rPr>
        <w:t>Pized</w:t>
      </w:r>
      <w:proofErr w:type="spellEnd"/>
      <w:r w:rsidRPr="00E50170">
        <w:rPr>
          <w:color w:val="333333"/>
          <w:lang w:eastAsia="en-AU"/>
        </w:rPr>
        <w:t xml:space="preserve"> loan in the order of SG$2.5 million and US$8.3 million had not been converted and still remain a liability owing to </w:t>
      </w:r>
      <w:proofErr w:type="spellStart"/>
      <w:r w:rsidRPr="00E50170">
        <w:rPr>
          <w:color w:val="333333"/>
          <w:lang w:eastAsia="en-AU"/>
        </w:rPr>
        <w:t>Pized</w:t>
      </w:r>
      <w:proofErr w:type="spellEnd"/>
      <w:r w:rsidRPr="00E50170">
        <w:rPr>
          <w:color w:val="333333"/>
          <w:lang w:eastAsia="en-AU"/>
        </w:rPr>
        <w:t xml:space="preserve"> on </w:t>
      </w:r>
      <w:proofErr w:type="spellStart"/>
      <w:r w:rsidRPr="00E50170">
        <w:rPr>
          <w:color w:val="333333"/>
          <w:lang w:eastAsia="en-AU"/>
        </w:rPr>
        <w:t>CellOS’</w:t>
      </w:r>
      <w:proofErr w:type="spellEnd"/>
      <w:r w:rsidRPr="00E50170">
        <w:rPr>
          <w:color w:val="333333"/>
          <w:lang w:eastAsia="en-AU"/>
        </w:rPr>
        <w:t xml:space="preserve"> books.</w:t>
      </w:r>
    </w:p>
    <w:p w:rsidR="00EE684C" w:rsidRPr="00E50170" w:rsidRDefault="00EE684C" w:rsidP="00681142">
      <w:pPr>
        <w:pStyle w:val="Quote1"/>
        <w:rPr>
          <w:color w:val="333333"/>
          <w:lang w:eastAsia="en-AU"/>
        </w:rPr>
      </w:pPr>
      <w:proofErr w:type="spellStart"/>
      <w:r w:rsidRPr="00E50170">
        <w:rPr>
          <w:lang w:eastAsia="en-AU"/>
        </w:rPr>
        <w:t>CellOS</w:t>
      </w:r>
      <w:proofErr w:type="spellEnd"/>
      <w:r w:rsidRPr="00E50170">
        <w:rPr>
          <w:color w:val="333333"/>
          <w:lang w:eastAsia="en-AU"/>
        </w:rPr>
        <w:t xml:space="preserve"> alleges that Mr Huber’s scheme, which it characterises as fraudulent, generated significant profits for him.</w:t>
      </w:r>
    </w:p>
    <w:p w:rsidR="004C679E" w:rsidRPr="006D7E5A" w:rsidRDefault="00F77B91" w:rsidP="0073621B">
      <w:pPr>
        <w:pStyle w:val="ParaNumbering"/>
        <w:tabs>
          <w:tab w:val="clear" w:pos="720"/>
        </w:tabs>
        <w:spacing w:before="240" w:after="240"/>
        <w:rPr>
          <w:szCs w:val="24"/>
          <w:lang w:eastAsia="en-AU"/>
        </w:rPr>
      </w:pPr>
      <w:r w:rsidRPr="006D7E5A">
        <w:rPr>
          <w:szCs w:val="24"/>
          <w:lang w:eastAsia="en-AU"/>
        </w:rPr>
        <w:t xml:space="preserve">Mr </w:t>
      </w:r>
      <w:r w:rsidRPr="006D7E5A">
        <w:rPr>
          <w:szCs w:val="24"/>
        </w:rPr>
        <w:t>Huber</w:t>
      </w:r>
      <w:r w:rsidRPr="006D7E5A">
        <w:rPr>
          <w:szCs w:val="24"/>
          <w:lang w:eastAsia="en-AU"/>
        </w:rPr>
        <w:t xml:space="preserve"> initially attempted to file a notice of appeal from</w:t>
      </w:r>
      <w:r w:rsidR="001951DA">
        <w:rPr>
          <w:szCs w:val="24"/>
          <w:lang w:eastAsia="en-AU"/>
        </w:rPr>
        <w:t xml:space="preserve"> the</w:t>
      </w:r>
      <w:r w:rsidRPr="006D7E5A">
        <w:rPr>
          <w:szCs w:val="24"/>
          <w:lang w:eastAsia="en-AU"/>
        </w:rPr>
        <w:t xml:space="preserve"> various findings as set out in the liability </w:t>
      </w:r>
      <w:r w:rsidR="00C85BF1">
        <w:rPr>
          <w:szCs w:val="24"/>
          <w:lang w:eastAsia="en-AU"/>
        </w:rPr>
        <w:t>judgment</w:t>
      </w:r>
      <w:r w:rsidRPr="006D7E5A">
        <w:rPr>
          <w:szCs w:val="24"/>
          <w:lang w:eastAsia="en-AU"/>
        </w:rPr>
        <w:t xml:space="preserve"> on 4 February 2019. He encountered difficulty in that the liability </w:t>
      </w:r>
      <w:r w:rsidR="00C85BF1">
        <w:rPr>
          <w:szCs w:val="24"/>
          <w:lang w:eastAsia="en-AU"/>
        </w:rPr>
        <w:t>judgment</w:t>
      </w:r>
      <w:r w:rsidRPr="006D7E5A">
        <w:rPr>
          <w:szCs w:val="24"/>
          <w:lang w:eastAsia="en-AU"/>
        </w:rPr>
        <w:t xml:space="preserve"> did not result in the making of orders that could be the subject </w:t>
      </w:r>
      <w:r w:rsidR="001951DA">
        <w:rPr>
          <w:szCs w:val="24"/>
          <w:lang w:eastAsia="en-AU"/>
        </w:rPr>
        <w:t xml:space="preserve">of an appeal pursuant to </w:t>
      </w:r>
      <w:r w:rsidR="001951DA" w:rsidRPr="0003469A">
        <w:rPr>
          <w:szCs w:val="24"/>
          <w:lang w:eastAsia="en-AU"/>
        </w:rPr>
        <w:t>s</w:t>
      </w:r>
      <w:r w:rsidRPr="0003469A">
        <w:rPr>
          <w:szCs w:val="24"/>
          <w:lang w:eastAsia="en-AU"/>
        </w:rPr>
        <w:t xml:space="preserve"> 24 of the </w:t>
      </w:r>
      <w:r w:rsidRPr="0003469A">
        <w:rPr>
          <w:i/>
          <w:szCs w:val="24"/>
          <w:lang w:eastAsia="en-AU"/>
        </w:rPr>
        <w:t xml:space="preserve">Federal Court of Australia </w:t>
      </w:r>
      <w:r w:rsidR="00E50170" w:rsidRPr="0003469A">
        <w:rPr>
          <w:i/>
          <w:szCs w:val="24"/>
          <w:lang w:eastAsia="en-AU"/>
        </w:rPr>
        <w:t>A</w:t>
      </w:r>
      <w:r w:rsidRPr="0003469A">
        <w:rPr>
          <w:i/>
          <w:szCs w:val="24"/>
          <w:lang w:eastAsia="en-AU"/>
        </w:rPr>
        <w:t>ct 1976</w:t>
      </w:r>
      <w:r w:rsidR="00CE69A6">
        <w:rPr>
          <w:szCs w:val="24"/>
          <w:lang w:eastAsia="en-AU"/>
        </w:rPr>
        <w:t xml:space="preserve"> (the </w:t>
      </w:r>
      <w:r w:rsidR="00CE69A6">
        <w:rPr>
          <w:b/>
          <w:szCs w:val="24"/>
          <w:lang w:eastAsia="en-AU"/>
        </w:rPr>
        <w:t>FCA</w:t>
      </w:r>
      <w:r w:rsidR="00CE69A6">
        <w:rPr>
          <w:szCs w:val="24"/>
          <w:lang w:eastAsia="en-AU"/>
        </w:rPr>
        <w:t>)</w:t>
      </w:r>
      <w:r w:rsidRPr="006D7E5A">
        <w:rPr>
          <w:szCs w:val="24"/>
          <w:lang w:eastAsia="en-AU"/>
        </w:rPr>
        <w:t>. When appealable orders w</w:t>
      </w:r>
      <w:r w:rsidR="00C85BF1">
        <w:rPr>
          <w:szCs w:val="24"/>
          <w:lang w:eastAsia="en-AU"/>
        </w:rPr>
        <w:t>ere made pursuant to the relief</w:t>
      </w:r>
      <w:r w:rsidRPr="006D7E5A">
        <w:rPr>
          <w:szCs w:val="24"/>
          <w:lang w:eastAsia="en-AU"/>
        </w:rPr>
        <w:t xml:space="preserve"> </w:t>
      </w:r>
      <w:r w:rsidR="00C85BF1">
        <w:rPr>
          <w:szCs w:val="24"/>
          <w:lang w:eastAsia="en-AU"/>
        </w:rPr>
        <w:t>judgment</w:t>
      </w:r>
      <w:r w:rsidRPr="006D7E5A">
        <w:rPr>
          <w:szCs w:val="24"/>
          <w:lang w:eastAsia="en-AU"/>
        </w:rPr>
        <w:t>, Mr Huber encountered further difficulty in relation to the payment of the required filing fees and the time-limit for the filing of an appeal as</w:t>
      </w:r>
      <w:r w:rsidR="00E50170">
        <w:rPr>
          <w:szCs w:val="24"/>
          <w:lang w:eastAsia="en-AU"/>
        </w:rPr>
        <w:t xml:space="preserve"> of right expired. </w:t>
      </w:r>
      <w:r w:rsidRPr="006D7E5A">
        <w:rPr>
          <w:szCs w:val="24"/>
          <w:lang w:eastAsia="en-AU"/>
        </w:rPr>
        <w:t>In the events as</w:t>
      </w:r>
      <w:r w:rsidR="00C85BF1">
        <w:rPr>
          <w:szCs w:val="24"/>
          <w:lang w:eastAsia="en-AU"/>
        </w:rPr>
        <w:t xml:space="preserve"> they did occur, the extension application</w:t>
      </w:r>
      <w:r w:rsidRPr="006D7E5A">
        <w:rPr>
          <w:szCs w:val="24"/>
          <w:lang w:eastAsia="en-AU"/>
        </w:rPr>
        <w:t xml:space="preserve"> was filed</w:t>
      </w:r>
      <w:r w:rsidR="004C679E" w:rsidRPr="006D7E5A">
        <w:rPr>
          <w:szCs w:val="24"/>
          <w:lang w:eastAsia="en-AU"/>
        </w:rPr>
        <w:t xml:space="preserve"> 10 days outside of the time-limit for the filing of a notice of appeal.</w:t>
      </w:r>
    </w:p>
    <w:p w:rsidR="00EE684C" w:rsidRPr="006D7E5A" w:rsidRDefault="0049490E" w:rsidP="0073621B">
      <w:pPr>
        <w:pStyle w:val="ParaNumbering"/>
        <w:tabs>
          <w:tab w:val="clear" w:pos="720"/>
        </w:tabs>
        <w:spacing w:before="240" w:after="240"/>
        <w:rPr>
          <w:szCs w:val="24"/>
          <w:lang w:eastAsia="en-AU"/>
        </w:rPr>
      </w:pPr>
      <w:r w:rsidRPr="006D7E5A">
        <w:rPr>
          <w:szCs w:val="24"/>
          <w:lang w:eastAsia="en-AU"/>
        </w:rPr>
        <w:t xml:space="preserve"> First, </w:t>
      </w:r>
      <w:r w:rsidR="004C679E" w:rsidRPr="006D7E5A">
        <w:rPr>
          <w:szCs w:val="24"/>
        </w:rPr>
        <w:t>Mr</w:t>
      </w:r>
      <w:r w:rsidR="004C679E" w:rsidRPr="006D7E5A">
        <w:rPr>
          <w:szCs w:val="24"/>
          <w:lang w:eastAsia="en-AU"/>
        </w:rPr>
        <w:t xml:space="preserve"> Huber submits that the respondent “is seeking a stay purs</w:t>
      </w:r>
      <w:r w:rsidR="00A73F83" w:rsidRPr="006D7E5A">
        <w:rPr>
          <w:szCs w:val="24"/>
          <w:lang w:eastAsia="en-AU"/>
        </w:rPr>
        <w:t xml:space="preserve">uant to section 500(2) of the </w:t>
      </w:r>
      <w:r w:rsidR="00A73F83" w:rsidRPr="00E50170">
        <w:rPr>
          <w:i/>
          <w:szCs w:val="24"/>
          <w:lang w:eastAsia="en-AU"/>
        </w:rPr>
        <w:t>Corporations A</w:t>
      </w:r>
      <w:r w:rsidR="004C679E" w:rsidRPr="00E50170">
        <w:rPr>
          <w:i/>
          <w:szCs w:val="24"/>
          <w:lang w:eastAsia="en-AU"/>
        </w:rPr>
        <w:t>ct</w:t>
      </w:r>
      <w:r w:rsidR="00C85BF1">
        <w:rPr>
          <w:szCs w:val="24"/>
          <w:lang w:eastAsia="en-AU"/>
        </w:rPr>
        <w:t>”</w:t>
      </w:r>
      <w:r w:rsidR="004C679E" w:rsidRPr="006D7E5A">
        <w:rPr>
          <w:szCs w:val="24"/>
          <w:lang w:eastAsia="en-AU"/>
        </w:rPr>
        <w:t xml:space="preserve"> which wit</w:t>
      </w:r>
      <w:r w:rsidR="00A73F83" w:rsidRPr="006D7E5A">
        <w:rPr>
          <w:szCs w:val="24"/>
          <w:lang w:eastAsia="en-AU"/>
        </w:rPr>
        <w:t xml:space="preserve">h respect reflects </w:t>
      </w:r>
      <w:r w:rsidR="000178E6" w:rsidRPr="006D7E5A">
        <w:rPr>
          <w:szCs w:val="24"/>
          <w:lang w:eastAsia="en-AU"/>
        </w:rPr>
        <w:t>a misunderstanding</w:t>
      </w:r>
      <w:r w:rsidR="004C679E" w:rsidRPr="006D7E5A">
        <w:rPr>
          <w:szCs w:val="24"/>
          <w:lang w:eastAsia="en-AU"/>
        </w:rPr>
        <w:t xml:space="preserve"> on his part. Where section 500(2) applies, it operates to</w:t>
      </w:r>
      <w:r w:rsidRPr="006D7E5A">
        <w:rPr>
          <w:szCs w:val="24"/>
          <w:lang w:eastAsia="en-AU"/>
        </w:rPr>
        <w:t xml:space="preserve"> deny rights that otherwise exist to commence or continue a civil proceeding. There is no step that is required to be taken by </w:t>
      </w:r>
      <w:proofErr w:type="spellStart"/>
      <w:r w:rsidRPr="006D7E5A">
        <w:rPr>
          <w:szCs w:val="24"/>
          <w:lang w:eastAsia="en-AU"/>
        </w:rPr>
        <w:t>CellOS</w:t>
      </w:r>
      <w:proofErr w:type="spellEnd"/>
      <w:r w:rsidRPr="006D7E5A">
        <w:rPr>
          <w:szCs w:val="24"/>
          <w:lang w:eastAsia="en-AU"/>
        </w:rPr>
        <w:t xml:space="preserve"> to effect the stay.</w:t>
      </w:r>
    </w:p>
    <w:p w:rsidR="00E60136" w:rsidRPr="006D7E5A" w:rsidRDefault="0049490E" w:rsidP="6014B508">
      <w:pPr>
        <w:pStyle w:val="ParaNumbering"/>
        <w:tabs>
          <w:tab w:val="clear" w:pos="720"/>
        </w:tabs>
        <w:spacing w:before="240" w:after="240"/>
        <w:rPr>
          <w:lang w:eastAsia="en-AU"/>
        </w:rPr>
      </w:pPr>
      <w:r w:rsidRPr="6014B508">
        <w:rPr>
          <w:lang w:eastAsia="en-AU"/>
        </w:rPr>
        <w:t>Second, Mr Huber submits that the extension application is not a “fresh proceeding” but is to be understood as a continuation of the primary proceeding</w:t>
      </w:r>
      <w:r w:rsidR="00E60136" w:rsidRPr="6014B508">
        <w:rPr>
          <w:lang w:eastAsia="en-AU"/>
        </w:rPr>
        <w:t xml:space="preserve"> and is not therefore subject to the </w:t>
      </w:r>
      <w:r w:rsidR="00E60136" w:rsidRPr="6014B508">
        <w:rPr>
          <w:lang w:eastAsia="en-AU"/>
        </w:rPr>
        <w:lastRenderedPageBreak/>
        <w:t>statutory stay. There is no merit in that submission. An appeal is a creature of statute. Appellate juri</w:t>
      </w:r>
      <w:r w:rsidR="00A73F83" w:rsidRPr="6014B508">
        <w:rPr>
          <w:lang w:eastAsia="en-AU"/>
        </w:rPr>
        <w:t>sdiction is conferred by s</w:t>
      </w:r>
      <w:r w:rsidR="00E60136" w:rsidRPr="6014B508">
        <w:rPr>
          <w:lang w:eastAsia="en-AU"/>
        </w:rPr>
        <w:t xml:space="preserve"> 24 of the </w:t>
      </w:r>
      <w:r w:rsidR="00CE69A6">
        <w:rPr>
          <w:i/>
          <w:iCs/>
          <w:lang w:eastAsia="en-AU"/>
        </w:rPr>
        <w:t>FCA</w:t>
      </w:r>
      <w:r w:rsidR="00E60136" w:rsidRPr="6014B508">
        <w:rPr>
          <w:lang w:eastAsia="en-AU"/>
        </w:rPr>
        <w:t>, relevantly in this ca</w:t>
      </w:r>
      <w:r w:rsidR="00A73F83" w:rsidRPr="6014B508">
        <w:rPr>
          <w:lang w:eastAsia="en-AU"/>
        </w:rPr>
        <w:t xml:space="preserve">se, from all </w:t>
      </w:r>
      <w:r w:rsidR="00C85BF1">
        <w:rPr>
          <w:lang w:eastAsia="en-AU"/>
        </w:rPr>
        <w:t>judgment</w:t>
      </w:r>
      <w:r w:rsidR="00A73F83" w:rsidRPr="6014B508">
        <w:rPr>
          <w:lang w:eastAsia="en-AU"/>
        </w:rPr>
        <w:t>s of the C</w:t>
      </w:r>
      <w:r w:rsidR="00E60136" w:rsidRPr="6014B508">
        <w:rPr>
          <w:lang w:eastAsia="en-AU"/>
        </w:rPr>
        <w:t>ourt constituted by a single judge exercising th</w:t>
      </w:r>
      <w:r w:rsidR="00A73F83" w:rsidRPr="6014B508">
        <w:rPr>
          <w:lang w:eastAsia="en-AU"/>
        </w:rPr>
        <w:t>e original jurisdiction of the C</w:t>
      </w:r>
      <w:r w:rsidR="00E50170" w:rsidRPr="6014B508">
        <w:rPr>
          <w:lang w:eastAsia="en-AU"/>
        </w:rPr>
        <w:t xml:space="preserve">ourt. </w:t>
      </w:r>
      <w:r w:rsidR="00E60136" w:rsidRPr="6014B508">
        <w:rPr>
          <w:lang w:eastAsia="en-AU"/>
        </w:rPr>
        <w:t>Once a notice of appeal has been regularly filed, the appe</w:t>
      </w:r>
      <w:r w:rsidR="00C85BF1">
        <w:rPr>
          <w:lang w:eastAsia="en-AU"/>
        </w:rPr>
        <w:t xml:space="preserve">llate jurisdiction </w:t>
      </w:r>
      <w:r w:rsidR="00E60136" w:rsidRPr="6014B508">
        <w:rPr>
          <w:lang w:eastAsia="en-AU"/>
        </w:rPr>
        <w:t>is engaged.  That jurisdiction is separate and distinct from the original juri</w:t>
      </w:r>
      <w:r w:rsidR="00A73F83" w:rsidRPr="6014B508">
        <w:rPr>
          <w:lang w:eastAsia="en-AU"/>
        </w:rPr>
        <w:t>sdiction that was exercised by B</w:t>
      </w:r>
      <w:r w:rsidR="00E50170" w:rsidRPr="6014B508">
        <w:rPr>
          <w:lang w:eastAsia="en-AU"/>
        </w:rPr>
        <w:t xml:space="preserve">each J. </w:t>
      </w:r>
      <w:r w:rsidR="00E60136" w:rsidRPr="6014B508">
        <w:rPr>
          <w:lang w:eastAsia="en-AU"/>
        </w:rPr>
        <w:t>Self-evidently, an appeal is not a continuation of the exercise of the original jurisdiction.</w:t>
      </w:r>
    </w:p>
    <w:p w:rsidR="0049490E" w:rsidRPr="006D7E5A" w:rsidRDefault="00C85BF1" w:rsidP="6014B508">
      <w:pPr>
        <w:pStyle w:val="ParaNumbering"/>
        <w:tabs>
          <w:tab w:val="clear" w:pos="720"/>
        </w:tabs>
        <w:spacing w:before="240" w:after="240"/>
        <w:rPr>
          <w:lang w:eastAsia="en-AU"/>
        </w:rPr>
      </w:pPr>
      <w:r>
        <w:rPr>
          <w:lang w:eastAsia="en-AU"/>
        </w:rPr>
        <w:t>Third,</w:t>
      </w:r>
      <w:r w:rsidR="00E50170" w:rsidRPr="6014B508">
        <w:rPr>
          <w:lang w:eastAsia="en-AU"/>
        </w:rPr>
        <w:t xml:space="preserve"> </w:t>
      </w:r>
      <w:r>
        <w:rPr>
          <w:lang w:eastAsia="en-AU"/>
        </w:rPr>
        <w:t>w</w:t>
      </w:r>
      <w:r w:rsidR="00E60136" w:rsidRPr="6014B508">
        <w:rPr>
          <w:lang w:eastAsia="en-AU"/>
        </w:rPr>
        <w:t>hat is meant by the words “other civ</w:t>
      </w:r>
      <w:r w:rsidR="00A73F83" w:rsidRPr="6014B508">
        <w:rPr>
          <w:lang w:eastAsia="en-AU"/>
        </w:rPr>
        <w:t>il proceeding” in s 500(2</w:t>
      </w:r>
      <w:proofErr w:type="gramStart"/>
      <w:r w:rsidR="00A73F83" w:rsidRPr="6014B508">
        <w:rPr>
          <w:lang w:eastAsia="en-AU"/>
        </w:rPr>
        <w:t xml:space="preserve">)  </w:t>
      </w:r>
      <w:r w:rsidR="002D44BA">
        <w:rPr>
          <w:lang w:eastAsia="en-AU"/>
        </w:rPr>
        <w:t>of</w:t>
      </w:r>
      <w:proofErr w:type="gramEnd"/>
      <w:r w:rsidR="002D44BA">
        <w:rPr>
          <w:lang w:eastAsia="en-AU"/>
        </w:rPr>
        <w:t xml:space="preserve"> t</w:t>
      </w:r>
      <w:r w:rsidR="00A73F83" w:rsidRPr="6014B508">
        <w:rPr>
          <w:lang w:eastAsia="en-AU"/>
        </w:rPr>
        <w:t xml:space="preserve">he </w:t>
      </w:r>
      <w:r w:rsidR="00A73F83" w:rsidRPr="6014B508">
        <w:rPr>
          <w:i/>
          <w:iCs/>
          <w:lang w:eastAsia="en-AU"/>
        </w:rPr>
        <w:t>Corporations A</w:t>
      </w:r>
      <w:r w:rsidR="00E60136" w:rsidRPr="6014B508">
        <w:rPr>
          <w:i/>
          <w:iCs/>
          <w:lang w:eastAsia="en-AU"/>
        </w:rPr>
        <w:t>ct</w:t>
      </w:r>
      <w:r w:rsidR="00E60136" w:rsidRPr="6014B508">
        <w:rPr>
          <w:lang w:eastAsia="en-AU"/>
        </w:rPr>
        <w:t xml:space="preserve"> does not provide a statutory definition of proceeding.</w:t>
      </w:r>
      <w:r w:rsidR="00320CCE" w:rsidRPr="6014B508">
        <w:rPr>
          <w:lang w:eastAsia="en-AU"/>
        </w:rPr>
        <w:t xml:space="preserve"> Barker J in </w:t>
      </w:r>
      <w:r w:rsidR="00320CCE" w:rsidRPr="0003469A">
        <w:rPr>
          <w:i/>
          <w:iCs/>
          <w:lang w:eastAsia="en-AU"/>
        </w:rPr>
        <w:t>MG Corrosion Consultants Pty Ltd v Gilmour</w:t>
      </w:r>
      <w:r w:rsidR="00296CB6" w:rsidRPr="0003469A">
        <w:rPr>
          <w:i/>
          <w:iCs/>
          <w:lang w:eastAsia="en-AU"/>
        </w:rPr>
        <w:t xml:space="preserve"> </w:t>
      </w:r>
      <w:r w:rsidR="00296CB6" w:rsidRPr="00681142">
        <w:rPr>
          <w:iCs/>
          <w:lang w:eastAsia="en-AU"/>
        </w:rPr>
        <w:t>[2012] 202 FCR 354;</w:t>
      </w:r>
      <w:r w:rsidR="00320CCE" w:rsidRPr="00681142">
        <w:rPr>
          <w:iCs/>
          <w:lang w:eastAsia="en-AU"/>
        </w:rPr>
        <w:t xml:space="preserve"> </w:t>
      </w:r>
      <w:r w:rsidRPr="0003469A">
        <w:rPr>
          <w:lang w:eastAsia="en-AU"/>
        </w:rPr>
        <w:t>[2012</w:t>
      </w:r>
      <w:r w:rsidR="00320CCE" w:rsidRPr="0003469A">
        <w:rPr>
          <w:lang w:eastAsia="en-AU"/>
        </w:rPr>
        <w:t>] FCA 383</w:t>
      </w:r>
      <w:r w:rsidR="0030335C" w:rsidRPr="6014B508">
        <w:rPr>
          <w:lang w:eastAsia="en-AU"/>
        </w:rPr>
        <w:t xml:space="preserve"> (</w:t>
      </w:r>
      <w:r w:rsidR="0030335C" w:rsidRPr="6014B508">
        <w:rPr>
          <w:b/>
          <w:bCs/>
          <w:i/>
          <w:iCs/>
          <w:lang w:eastAsia="en-AU"/>
        </w:rPr>
        <w:t>M G Corrosion</w:t>
      </w:r>
      <w:r w:rsidR="0030335C" w:rsidRPr="6014B508">
        <w:rPr>
          <w:lang w:eastAsia="en-AU"/>
        </w:rPr>
        <w:t>)</w:t>
      </w:r>
      <w:r w:rsidR="00320CCE" w:rsidRPr="6014B508">
        <w:rPr>
          <w:lang w:eastAsia="en-AU"/>
        </w:rPr>
        <w:t xml:space="preserve"> </w:t>
      </w:r>
      <w:r w:rsidR="00A73F83" w:rsidRPr="6014B508">
        <w:rPr>
          <w:lang w:eastAsia="en-AU"/>
        </w:rPr>
        <w:t>was</w:t>
      </w:r>
      <w:r w:rsidR="00320CCE" w:rsidRPr="6014B508">
        <w:rPr>
          <w:lang w:eastAsia="en-AU"/>
        </w:rPr>
        <w:t xml:space="preserve"> </w:t>
      </w:r>
      <w:r w:rsidR="00A73F83" w:rsidRPr="6014B508">
        <w:rPr>
          <w:lang w:eastAsia="en-AU"/>
        </w:rPr>
        <w:t>concerned with the status of an</w:t>
      </w:r>
      <w:r w:rsidR="00320CCE" w:rsidRPr="6014B508">
        <w:rPr>
          <w:lang w:eastAsia="en-AU"/>
        </w:rPr>
        <w:t xml:space="preserve"> interlocutory app</w:t>
      </w:r>
      <w:r w:rsidR="00A73F83" w:rsidRPr="6014B508">
        <w:rPr>
          <w:lang w:eastAsia="en-AU"/>
        </w:rPr>
        <w:t xml:space="preserve">lication for freezing orders </w:t>
      </w:r>
      <w:r w:rsidR="00320CCE" w:rsidRPr="6014B508">
        <w:rPr>
          <w:lang w:eastAsia="en-AU"/>
        </w:rPr>
        <w:t>where</w:t>
      </w:r>
      <w:r w:rsidR="00A73F83" w:rsidRPr="6014B508">
        <w:rPr>
          <w:lang w:eastAsia="en-AU"/>
        </w:rPr>
        <w:t>,</w:t>
      </w:r>
      <w:r w:rsidR="00320CCE" w:rsidRPr="6014B508">
        <w:rPr>
          <w:lang w:eastAsia="en-AU"/>
        </w:rPr>
        <w:t xml:space="preserve"> after the decisi</w:t>
      </w:r>
      <w:r w:rsidR="00A73F83" w:rsidRPr="6014B508">
        <w:rPr>
          <w:lang w:eastAsia="en-AU"/>
        </w:rPr>
        <w:t>on was reserved, the defendant c</w:t>
      </w:r>
      <w:r w:rsidR="00320CCE" w:rsidRPr="6014B508">
        <w:rPr>
          <w:lang w:eastAsia="en-AU"/>
        </w:rPr>
        <w:t>orporation</w:t>
      </w:r>
      <w:r w:rsidR="00A73F83" w:rsidRPr="6014B508">
        <w:rPr>
          <w:lang w:eastAsia="en-AU"/>
        </w:rPr>
        <w:t xml:space="preserve"> was placed into administration</w:t>
      </w:r>
      <w:r w:rsidR="00296CB6">
        <w:rPr>
          <w:lang w:eastAsia="en-AU"/>
        </w:rPr>
        <w:t>,</w:t>
      </w:r>
      <w:r w:rsidR="00320CCE" w:rsidRPr="6014B508">
        <w:rPr>
          <w:lang w:eastAsia="en-AU"/>
        </w:rPr>
        <w:t xml:space="preserve"> which then raised the </w:t>
      </w:r>
      <w:r w:rsidR="00BD38B0">
        <w:rPr>
          <w:lang w:eastAsia="en-AU"/>
        </w:rPr>
        <w:t>operative effect of section 440</w:t>
      </w:r>
      <w:r w:rsidR="00A73F83" w:rsidRPr="6014B508">
        <w:rPr>
          <w:lang w:eastAsia="en-AU"/>
        </w:rPr>
        <w:t xml:space="preserve">D of the </w:t>
      </w:r>
      <w:r w:rsidR="00A73F83" w:rsidRPr="6014B508">
        <w:rPr>
          <w:i/>
          <w:iCs/>
          <w:lang w:eastAsia="en-AU"/>
        </w:rPr>
        <w:t>Corporations Act</w:t>
      </w:r>
      <w:r w:rsidR="00296CB6">
        <w:rPr>
          <w:lang w:eastAsia="en-AU"/>
        </w:rPr>
        <w:t>. His Honour</w:t>
      </w:r>
      <w:r w:rsidR="00A73F83" w:rsidRPr="6014B508">
        <w:rPr>
          <w:lang w:eastAsia="en-AU"/>
        </w:rPr>
        <w:t xml:space="preserve"> reasoned as follows at [6]:</w:t>
      </w:r>
    </w:p>
    <w:p w:rsidR="00320CCE" w:rsidRPr="00E50170" w:rsidRDefault="00320CCE" w:rsidP="00681142">
      <w:pPr>
        <w:pStyle w:val="Quote1"/>
        <w:rPr>
          <w:szCs w:val="22"/>
          <w:lang w:eastAsia="en-AU"/>
        </w:rPr>
      </w:pPr>
      <w:r w:rsidRPr="00E50170">
        <w:rPr>
          <w:szCs w:val="22"/>
          <w:lang w:eastAsia="en-AU"/>
        </w:rPr>
        <w:t>The term “proceeding” does not appear to be defined relevantly in the</w:t>
      </w:r>
      <w:r w:rsidR="00E50170" w:rsidRPr="00E50170">
        <w:rPr>
          <w:szCs w:val="22"/>
          <w:lang w:eastAsia="en-AU"/>
        </w:rPr>
        <w:t xml:space="preserve"> </w:t>
      </w:r>
      <w:r w:rsidRPr="00E50170">
        <w:rPr>
          <w:i/>
          <w:iCs/>
          <w:szCs w:val="22"/>
          <w:lang w:eastAsia="en-AU"/>
        </w:rPr>
        <w:t>Corporations Ac</w:t>
      </w:r>
      <w:r w:rsidR="00E50170" w:rsidRPr="00E50170">
        <w:rPr>
          <w:i/>
          <w:iCs/>
          <w:szCs w:val="22"/>
          <w:lang w:eastAsia="en-AU"/>
        </w:rPr>
        <w:t xml:space="preserve">t </w:t>
      </w:r>
      <w:r w:rsidRPr="00E50170">
        <w:rPr>
          <w:szCs w:val="22"/>
          <w:lang w:eastAsia="en-AU"/>
        </w:rPr>
        <w:t>but it is de</w:t>
      </w:r>
      <w:r w:rsidR="00E50170" w:rsidRPr="00E50170">
        <w:rPr>
          <w:szCs w:val="22"/>
          <w:lang w:eastAsia="en-AU"/>
        </w:rPr>
        <w:t xml:space="preserve">fined in </w:t>
      </w:r>
      <w:r w:rsidRPr="00E50170">
        <w:rPr>
          <w:szCs w:val="22"/>
          <w:lang w:eastAsia="en-AU"/>
        </w:rPr>
        <w:t>s 4</w:t>
      </w:r>
      <w:r w:rsidR="00E50170" w:rsidRPr="00E50170">
        <w:rPr>
          <w:szCs w:val="22"/>
          <w:lang w:eastAsia="en-AU"/>
        </w:rPr>
        <w:t xml:space="preserve"> of the </w:t>
      </w:r>
      <w:r w:rsidRPr="00E50170">
        <w:rPr>
          <w:i/>
          <w:iCs/>
          <w:szCs w:val="22"/>
          <w:lang w:eastAsia="en-AU"/>
        </w:rPr>
        <w:t>Federal Court of Australia Act 1976</w:t>
      </w:r>
      <w:r w:rsidR="00E50170" w:rsidRPr="00E50170">
        <w:rPr>
          <w:szCs w:val="22"/>
          <w:lang w:eastAsia="en-AU"/>
        </w:rPr>
        <w:t xml:space="preserve"> </w:t>
      </w:r>
      <w:r w:rsidRPr="00E50170">
        <w:rPr>
          <w:szCs w:val="22"/>
          <w:lang w:eastAsia="en-AU"/>
        </w:rPr>
        <w:t>(</w:t>
      </w:r>
      <w:proofErr w:type="spellStart"/>
      <w:r w:rsidRPr="00E50170">
        <w:rPr>
          <w:szCs w:val="22"/>
          <w:lang w:eastAsia="en-AU"/>
        </w:rPr>
        <w:t>Cth</w:t>
      </w:r>
      <w:proofErr w:type="spellEnd"/>
      <w:r w:rsidRPr="00E50170">
        <w:rPr>
          <w:szCs w:val="22"/>
          <w:lang w:eastAsia="en-AU"/>
        </w:rPr>
        <w:t>) (FCA Act) to mean “a proceeding in a court, whether between parties or not, and includes an incidental proceeding in the course of, or in connexion with, a proceeding, and also includes an appeal”. In my view, in the present circumstances, the FCA Act definition of “proceeding” should be adopted for the purposes of the</w:t>
      </w:r>
      <w:r w:rsidR="00E50170" w:rsidRPr="00E50170">
        <w:rPr>
          <w:szCs w:val="22"/>
          <w:lang w:eastAsia="en-AU"/>
        </w:rPr>
        <w:t xml:space="preserve"> </w:t>
      </w:r>
      <w:r w:rsidRPr="00E50170">
        <w:rPr>
          <w:i/>
          <w:iCs/>
          <w:szCs w:val="22"/>
          <w:lang w:eastAsia="en-AU"/>
        </w:rPr>
        <w:t>Corporations Act</w:t>
      </w:r>
      <w:r w:rsidRPr="00E50170">
        <w:rPr>
          <w:szCs w:val="22"/>
          <w:lang w:eastAsia="en-AU"/>
        </w:rPr>
        <w:t>, not on the basis that the FCA Act definition applies as a matter of incorporation, but rather on the basis that the broad definition given in the FCA Act accords with the ordinary meaning of the word and there i</w:t>
      </w:r>
      <w:r w:rsidR="00E50170" w:rsidRPr="00E50170">
        <w:rPr>
          <w:szCs w:val="22"/>
          <w:lang w:eastAsia="en-AU"/>
        </w:rPr>
        <w:t xml:space="preserve">s nothing in the context of the </w:t>
      </w:r>
      <w:r w:rsidRPr="00E50170">
        <w:rPr>
          <w:i/>
          <w:iCs/>
          <w:szCs w:val="22"/>
          <w:lang w:eastAsia="en-AU"/>
        </w:rPr>
        <w:t>Corporations Act</w:t>
      </w:r>
      <w:r w:rsidR="00E50170" w:rsidRPr="00E50170">
        <w:rPr>
          <w:szCs w:val="22"/>
          <w:lang w:eastAsia="en-AU"/>
        </w:rPr>
        <w:t xml:space="preserve"> </w:t>
      </w:r>
      <w:r w:rsidRPr="00E50170">
        <w:rPr>
          <w:szCs w:val="22"/>
          <w:lang w:eastAsia="en-AU"/>
        </w:rPr>
        <w:t xml:space="preserve">to suggest it has a different or narrower meaning </w:t>
      </w:r>
      <w:r w:rsidR="00E50170" w:rsidRPr="00E50170">
        <w:rPr>
          <w:szCs w:val="22"/>
          <w:lang w:eastAsia="en-AU"/>
        </w:rPr>
        <w:t xml:space="preserve">of the word for the purposes of </w:t>
      </w:r>
      <w:r w:rsidRPr="00E50170">
        <w:rPr>
          <w:szCs w:val="22"/>
          <w:lang w:eastAsia="en-AU"/>
        </w:rPr>
        <w:t>s 440D.</w:t>
      </w:r>
    </w:p>
    <w:p w:rsidR="00320CCE" w:rsidRPr="006D7E5A" w:rsidRDefault="00A73F83" w:rsidP="0073621B">
      <w:pPr>
        <w:pStyle w:val="ParaNumbering"/>
        <w:tabs>
          <w:tab w:val="clear" w:pos="720"/>
        </w:tabs>
        <w:spacing w:before="240" w:after="240"/>
        <w:rPr>
          <w:szCs w:val="24"/>
          <w:lang w:eastAsia="en-AU"/>
        </w:rPr>
      </w:pPr>
      <w:r w:rsidRPr="006D7E5A">
        <w:rPr>
          <w:szCs w:val="24"/>
        </w:rPr>
        <w:t>McKerracher</w:t>
      </w:r>
      <w:r w:rsidRPr="006D7E5A">
        <w:rPr>
          <w:szCs w:val="24"/>
          <w:lang w:eastAsia="en-AU"/>
        </w:rPr>
        <w:t xml:space="preserve"> J in </w:t>
      </w:r>
      <w:proofErr w:type="spellStart"/>
      <w:r w:rsidRPr="0003469A">
        <w:rPr>
          <w:i/>
          <w:szCs w:val="24"/>
          <w:lang w:eastAsia="en-AU"/>
        </w:rPr>
        <w:t>Buurabal</w:t>
      </w:r>
      <w:r w:rsidR="00320CCE" w:rsidRPr="0003469A">
        <w:rPr>
          <w:i/>
          <w:szCs w:val="24"/>
          <w:lang w:eastAsia="en-AU"/>
        </w:rPr>
        <w:t>ayji</w:t>
      </w:r>
      <w:proofErr w:type="spellEnd"/>
      <w:r w:rsidR="00320CCE" w:rsidRPr="0003469A">
        <w:rPr>
          <w:i/>
          <w:szCs w:val="24"/>
          <w:lang w:eastAsia="en-AU"/>
        </w:rPr>
        <w:t xml:space="preserve"> </w:t>
      </w:r>
      <w:proofErr w:type="spellStart"/>
      <w:r w:rsidR="00320CCE" w:rsidRPr="0003469A">
        <w:rPr>
          <w:i/>
          <w:szCs w:val="24"/>
          <w:lang w:eastAsia="en-AU"/>
        </w:rPr>
        <w:t>Th</w:t>
      </w:r>
      <w:r w:rsidRPr="0003469A">
        <w:rPr>
          <w:i/>
          <w:szCs w:val="24"/>
          <w:lang w:eastAsia="en-AU"/>
        </w:rPr>
        <w:t>alany</w:t>
      </w:r>
      <w:r w:rsidR="00CE69A6" w:rsidRPr="00681142">
        <w:rPr>
          <w:i/>
          <w:szCs w:val="24"/>
          <w:lang w:eastAsia="en-AU"/>
        </w:rPr>
        <w:t>ji</w:t>
      </w:r>
      <w:proofErr w:type="spellEnd"/>
      <w:r w:rsidRPr="0003469A">
        <w:rPr>
          <w:i/>
          <w:szCs w:val="24"/>
          <w:lang w:eastAsia="en-AU"/>
        </w:rPr>
        <w:t xml:space="preserve"> Aboriginal Corporatio</w:t>
      </w:r>
      <w:r w:rsidR="00150FDC" w:rsidRPr="0003469A">
        <w:rPr>
          <w:i/>
          <w:szCs w:val="24"/>
          <w:lang w:eastAsia="en-AU"/>
        </w:rPr>
        <w:t>n</w:t>
      </w:r>
      <w:r w:rsidRPr="0003469A">
        <w:rPr>
          <w:i/>
          <w:szCs w:val="24"/>
          <w:lang w:eastAsia="en-AU"/>
        </w:rPr>
        <w:t xml:space="preserve"> v Onslow Salt Pty Ltd (No 7)</w:t>
      </w:r>
      <w:r w:rsidRPr="0003469A">
        <w:rPr>
          <w:szCs w:val="24"/>
          <w:lang w:eastAsia="en-AU"/>
        </w:rPr>
        <w:t xml:space="preserve"> </w:t>
      </w:r>
      <w:r w:rsidR="00296CB6" w:rsidRPr="0003469A">
        <w:rPr>
          <w:szCs w:val="24"/>
          <w:lang w:eastAsia="en-AU"/>
        </w:rPr>
        <w:t>(2020) 144 ACSR 621</w:t>
      </w:r>
      <w:r w:rsidR="00CE69A6" w:rsidRPr="00681142">
        <w:rPr>
          <w:szCs w:val="24"/>
          <w:lang w:eastAsia="en-AU"/>
        </w:rPr>
        <w:t>;</w:t>
      </w:r>
      <w:r w:rsidR="00046FEB" w:rsidRPr="00681142">
        <w:rPr>
          <w:szCs w:val="24"/>
          <w:lang w:eastAsia="en-AU"/>
        </w:rPr>
        <w:t xml:space="preserve"> </w:t>
      </w:r>
      <w:r w:rsidRPr="0003469A">
        <w:rPr>
          <w:szCs w:val="24"/>
          <w:lang w:eastAsia="en-AU"/>
        </w:rPr>
        <w:t>[2020] FCA 572</w:t>
      </w:r>
      <w:r w:rsidRPr="006D7E5A">
        <w:rPr>
          <w:szCs w:val="24"/>
          <w:lang w:eastAsia="en-AU"/>
        </w:rPr>
        <w:t xml:space="preserve"> at </w:t>
      </w:r>
      <w:r w:rsidR="0030335C" w:rsidRPr="006D7E5A">
        <w:rPr>
          <w:szCs w:val="24"/>
          <w:lang w:eastAsia="en-AU"/>
        </w:rPr>
        <w:t xml:space="preserve">[22] referenced with approval the decision of Barker J in </w:t>
      </w:r>
      <w:r w:rsidR="0030335C" w:rsidRPr="00E50170">
        <w:rPr>
          <w:i/>
          <w:szCs w:val="24"/>
          <w:lang w:eastAsia="en-AU"/>
        </w:rPr>
        <w:t>M G Corrosion</w:t>
      </w:r>
      <w:r w:rsidR="0030335C" w:rsidRPr="006D7E5A">
        <w:rPr>
          <w:szCs w:val="24"/>
          <w:lang w:eastAsia="en-AU"/>
        </w:rPr>
        <w:t xml:space="preserve">, adding “there is nothing in the context of the </w:t>
      </w:r>
      <w:r w:rsidR="00CE69A6">
        <w:rPr>
          <w:szCs w:val="24"/>
          <w:lang w:eastAsia="en-AU"/>
        </w:rPr>
        <w:t>[</w:t>
      </w:r>
      <w:r w:rsidR="00CE69A6" w:rsidRPr="00681142">
        <w:rPr>
          <w:i/>
          <w:szCs w:val="24"/>
          <w:lang w:eastAsia="en-AU"/>
        </w:rPr>
        <w:t>Corporations Act</w:t>
      </w:r>
      <w:r w:rsidR="00CE69A6">
        <w:rPr>
          <w:szCs w:val="24"/>
          <w:lang w:eastAsia="en-AU"/>
        </w:rPr>
        <w:t>]</w:t>
      </w:r>
      <w:r w:rsidR="0030335C" w:rsidRPr="006D7E5A">
        <w:rPr>
          <w:szCs w:val="24"/>
          <w:lang w:eastAsia="en-AU"/>
        </w:rPr>
        <w:t xml:space="preserve"> to suggest that the broad and ordinary meaning giv</w:t>
      </w:r>
      <w:r w:rsidR="00150FDC" w:rsidRPr="006D7E5A">
        <w:rPr>
          <w:szCs w:val="24"/>
          <w:lang w:eastAsia="en-AU"/>
        </w:rPr>
        <w:t>en in the F</w:t>
      </w:r>
      <w:r w:rsidR="0030335C" w:rsidRPr="006D7E5A">
        <w:rPr>
          <w:szCs w:val="24"/>
          <w:lang w:eastAsia="en-AU"/>
        </w:rPr>
        <w:t>CA should not apply for the purposes of s 440D”.</w:t>
      </w:r>
    </w:p>
    <w:p w:rsidR="00D35CA2" w:rsidRPr="00FD27D3" w:rsidRDefault="0030335C" w:rsidP="6014B508">
      <w:pPr>
        <w:pStyle w:val="ParaNumbering"/>
        <w:tabs>
          <w:tab w:val="clear" w:pos="720"/>
        </w:tabs>
        <w:spacing w:before="240" w:after="240"/>
        <w:rPr>
          <w:rFonts w:eastAsia="Times New Roman"/>
          <w:color w:val="333333"/>
          <w:lang w:eastAsia="en-AU"/>
        </w:rPr>
      </w:pPr>
      <w:r w:rsidRPr="6014B508">
        <w:rPr>
          <w:lang w:eastAsia="en-AU"/>
        </w:rPr>
        <w:t>There are textual differences in the wording of s 440D in that it provides that “a proceeding in a court against the company… cannot be begun or proceeded with…”</w:t>
      </w:r>
      <w:r w:rsidR="00150FDC" w:rsidRPr="6014B508">
        <w:rPr>
          <w:lang w:eastAsia="en-AU"/>
        </w:rPr>
        <w:t xml:space="preserve"> which is less comprehensive than the phrase </w:t>
      </w:r>
      <w:r w:rsidR="000178E6" w:rsidRPr="6014B508">
        <w:rPr>
          <w:lang w:eastAsia="en-AU"/>
        </w:rPr>
        <w:t>‘action</w:t>
      </w:r>
      <w:r w:rsidR="00150FDC" w:rsidRPr="6014B508">
        <w:rPr>
          <w:lang w:eastAsia="en-AU"/>
        </w:rPr>
        <w:t xml:space="preserve"> or other civil proceeding” in s 500(2). Ultimately, I need not decide whether in some circumstances s 500(2) operates more broadly</w:t>
      </w:r>
      <w:r w:rsidR="00085CB6" w:rsidRPr="6014B508">
        <w:rPr>
          <w:lang w:eastAsia="en-AU"/>
        </w:rPr>
        <w:t>,</w:t>
      </w:r>
      <w:r w:rsidR="00150FDC" w:rsidRPr="6014B508">
        <w:rPr>
          <w:lang w:eastAsia="en-AU"/>
        </w:rPr>
        <w:t xml:space="preserve"> </w:t>
      </w:r>
      <w:r w:rsidR="00296CB6">
        <w:rPr>
          <w:lang w:eastAsia="en-AU"/>
        </w:rPr>
        <w:t>as</w:t>
      </w:r>
      <w:r w:rsidR="004D11CF" w:rsidRPr="6014B508">
        <w:rPr>
          <w:lang w:eastAsia="en-AU"/>
        </w:rPr>
        <w:t xml:space="preserve"> the narrow question in this case is whether an appeal, and relatedly an application to leave to commence an appeal out of time, is a civil proceeding within the meaning of s 500(2).</w:t>
      </w:r>
      <w:r w:rsidR="0087187E" w:rsidRPr="6014B508">
        <w:rPr>
          <w:lang w:eastAsia="en-AU"/>
        </w:rPr>
        <w:t xml:space="preserve"> The authorities that have considered this question are not uniform.</w:t>
      </w:r>
      <w:r w:rsidR="004137D4" w:rsidRPr="6014B508">
        <w:rPr>
          <w:lang w:eastAsia="en-AU"/>
        </w:rPr>
        <w:t xml:space="preserve"> The issue has variously been described as </w:t>
      </w:r>
      <w:r w:rsidR="004137D4" w:rsidRPr="6014B508">
        <w:rPr>
          <w:lang w:eastAsia="en-AU"/>
        </w:rPr>
        <w:lastRenderedPageBreak/>
        <w:t xml:space="preserve">“vexed”: </w:t>
      </w:r>
      <w:r w:rsidR="004137D4" w:rsidRPr="0003469A">
        <w:rPr>
          <w:i/>
          <w:iCs/>
          <w:lang w:eastAsia="en-AU"/>
        </w:rPr>
        <w:t xml:space="preserve">King v </w:t>
      </w:r>
      <w:proofErr w:type="spellStart"/>
      <w:r w:rsidR="004137D4" w:rsidRPr="0003469A">
        <w:rPr>
          <w:i/>
          <w:iCs/>
          <w:lang w:eastAsia="en-AU"/>
        </w:rPr>
        <w:t>Yuris</w:t>
      </w:r>
      <w:r w:rsidR="00296CB6" w:rsidRPr="0003469A">
        <w:rPr>
          <w:i/>
          <w:iCs/>
          <w:lang w:eastAsia="en-AU"/>
        </w:rPr>
        <w:t>i</w:t>
      </w:r>
      <w:r w:rsidR="004137D4" w:rsidRPr="0003469A">
        <w:rPr>
          <w:i/>
          <w:iCs/>
          <w:lang w:eastAsia="en-AU"/>
        </w:rPr>
        <w:t>ch</w:t>
      </w:r>
      <w:proofErr w:type="spellEnd"/>
      <w:r w:rsidR="004137D4" w:rsidRPr="0003469A">
        <w:rPr>
          <w:lang w:eastAsia="en-AU"/>
        </w:rPr>
        <w:t xml:space="preserve"> (2006) 59 ACSR 598</w:t>
      </w:r>
      <w:r w:rsidR="00C44D31">
        <w:rPr>
          <w:lang w:eastAsia="en-AU"/>
        </w:rPr>
        <w:t>; [2006] FCA 1369</w:t>
      </w:r>
      <w:r w:rsidR="004137D4" w:rsidRPr="6014B508">
        <w:rPr>
          <w:lang w:eastAsia="en-AU"/>
        </w:rPr>
        <w:t>; at [6], Weinberg J and “unclear”</w:t>
      </w:r>
      <w:r w:rsidR="00D35CA2" w:rsidRPr="6014B508">
        <w:rPr>
          <w:lang w:eastAsia="en-AU"/>
        </w:rPr>
        <w:t xml:space="preserve">: </w:t>
      </w:r>
      <w:r w:rsidR="00CF1B3A" w:rsidRPr="0003469A">
        <w:rPr>
          <w:i/>
          <w:iCs/>
          <w:lang w:eastAsia="en-AU"/>
        </w:rPr>
        <w:t xml:space="preserve">Ingot Capital Investments Pty </w:t>
      </w:r>
      <w:r w:rsidR="00AA33E1" w:rsidRPr="0003469A">
        <w:rPr>
          <w:i/>
          <w:iCs/>
          <w:lang w:eastAsia="en-AU"/>
        </w:rPr>
        <w:t>Ltd v Macquarie Equity Capital M</w:t>
      </w:r>
      <w:r w:rsidR="00CF1B3A" w:rsidRPr="0003469A">
        <w:rPr>
          <w:i/>
          <w:iCs/>
          <w:lang w:eastAsia="en-AU"/>
        </w:rPr>
        <w:t>arkets Ltd</w:t>
      </w:r>
      <w:r w:rsidR="00CF1B3A" w:rsidRPr="0003469A">
        <w:rPr>
          <w:lang w:eastAsia="en-AU"/>
        </w:rPr>
        <w:t xml:space="preserve"> [2007] NSWCA</w:t>
      </w:r>
      <w:r w:rsidR="00D35CA2" w:rsidRPr="0003469A">
        <w:rPr>
          <w:lang w:eastAsia="en-AU"/>
        </w:rPr>
        <w:t xml:space="preserve"> 338</w:t>
      </w:r>
      <w:r w:rsidR="00D35CA2" w:rsidRPr="6014B508">
        <w:rPr>
          <w:lang w:eastAsia="en-AU"/>
        </w:rPr>
        <w:t xml:space="preserve"> at </w:t>
      </w:r>
      <w:r w:rsidR="00296CB6">
        <w:rPr>
          <w:lang w:eastAsia="en-AU"/>
        </w:rPr>
        <w:t xml:space="preserve">[20], Giles JA. The difficulty </w:t>
      </w:r>
      <w:r w:rsidR="00D35CA2" w:rsidRPr="6014B508">
        <w:rPr>
          <w:lang w:eastAsia="en-AU"/>
        </w:rPr>
        <w:t xml:space="preserve"> arise</w:t>
      </w:r>
      <w:r w:rsidR="00296CB6">
        <w:rPr>
          <w:lang w:eastAsia="en-AU"/>
        </w:rPr>
        <w:t>s</w:t>
      </w:r>
      <w:r w:rsidR="00D35CA2" w:rsidRPr="6014B508">
        <w:rPr>
          <w:lang w:eastAsia="en-AU"/>
        </w:rPr>
        <w:t xml:space="preserve"> from</w:t>
      </w:r>
      <w:r w:rsidR="00AA33E1" w:rsidRPr="6014B508">
        <w:rPr>
          <w:lang w:eastAsia="en-AU"/>
        </w:rPr>
        <w:t xml:space="preserve"> reconciling</w:t>
      </w:r>
      <w:r w:rsidR="00D35CA2" w:rsidRPr="6014B508">
        <w:rPr>
          <w:lang w:eastAsia="en-AU"/>
        </w:rPr>
        <w:t xml:space="preserve"> whether a defensive proceeding is properly to be understood as subject to the stay</w:t>
      </w:r>
      <w:r w:rsidR="00AA33E1" w:rsidRPr="6014B508">
        <w:rPr>
          <w:lang w:eastAsia="en-AU"/>
        </w:rPr>
        <w:t xml:space="preserve"> (</w:t>
      </w:r>
      <w:r w:rsidR="00AA33E1" w:rsidRPr="0003469A">
        <w:rPr>
          <w:i/>
          <w:iCs/>
          <w:lang w:eastAsia="en-AU"/>
        </w:rPr>
        <w:t>Humber &amp; Co v John Griffiths Cycle Co</w:t>
      </w:r>
      <w:r w:rsidR="00AA33E1" w:rsidRPr="0003469A">
        <w:rPr>
          <w:lang w:eastAsia="en-AU"/>
        </w:rPr>
        <w:t xml:space="preserve"> (1901) 85 LT 141</w:t>
      </w:r>
      <w:r w:rsidR="00AA33E1" w:rsidRPr="6014B508">
        <w:rPr>
          <w:lang w:eastAsia="en-AU"/>
        </w:rPr>
        <w:t xml:space="preserve">; </w:t>
      </w:r>
      <w:r w:rsidR="00AA33E1" w:rsidRPr="0003469A">
        <w:rPr>
          <w:i/>
          <w:iCs/>
          <w:lang w:eastAsia="en-AU"/>
        </w:rPr>
        <w:t>BPM Pty Ltd v HPM Pty Ltd</w:t>
      </w:r>
      <w:r w:rsidR="00AA33E1" w:rsidRPr="0003469A">
        <w:rPr>
          <w:lang w:eastAsia="en-AU"/>
        </w:rPr>
        <w:t xml:space="preserve"> (1996) 131 FLR 339</w:t>
      </w:r>
      <w:r w:rsidR="00AA33E1" w:rsidRPr="6014B508">
        <w:rPr>
          <w:lang w:eastAsia="en-AU"/>
        </w:rPr>
        <w:t>)</w:t>
      </w:r>
      <w:r w:rsidR="00D35CA2" w:rsidRPr="6014B508">
        <w:rPr>
          <w:lang w:eastAsia="en-AU"/>
        </w:rPr>
        <w:t xml:space="preserve"> where the purpose of the </w:t>
      </w:r>
      <w:r w:rsidR="00AA33E1" w:rsidRPr="6014B508">
        <w:rPr>
          <w:lang w:eastAsia="en-AU"/>
        </w:rPr>
        <w:t>stay</w:t>
      </w:r>
      <w:r w:rsidR="00D35CA2" w:rsidRPr="6014B508">
        <w:rPr>
          <w:lang w:eastAsia="en-AU"/>
        </w:rPr>
        <w:t xml:space="preserve"> is to limit the wasting of the company’s assets and to free the liquidator from the distraction of litigation by substituting a statuto</w:t>
      </w:r>
      <w:r w:rsidR="007A32CB" w:rsidRPr="6014B508">
        <w:rPr>
          <w:lang w:eastAsia="en-AU"/>
        </w:rPr>
        <w:t xml:space="preserve">ry procedure for the lodgement </w:t>
      </w:r>
      <w:r w:rsidR="00D35CA2" w:rsidRPr="6014B508">
        <w:rPr>
          <w:lang w:eastAsia="en-AU"/>
        </w:rPr>
        <w:t xml:space="preserve">and assessment of claims: </w:t>
      </w:r>
      <w:r w:rsidR="00D35CA2" w:rsidRPr="0003469A">
        <w:rPr>
          <w:i/>
          <w:iCs/>
          <w:lang w:eastAsia="en-AU"/>
        </w:rPr>
        <w:t>Re Gordon Grant and Grant Pty Ltd</w:t>
      </w:r>
      <w:r w:rsidR="00D35CA2" w:rsidRPr="0003469A">
        <w:rPr>
          <w:lang w:eastAsia="en-AU"/>
        </w:rPr>
        <w:t xml:space="preserve"> [1983] 2 </w:t>
      </w:r>
      <w:proofErr w:type="spellStart"/>
      <w:r w:rsidR="00D35CA2" w:rsidRPr="0003469A">
        <w:rPr>
          <w:lang w:eastAsia="en-AU"/>
        </w:rPr>
        <w:t>Qd</w:t>
      </w:r>
      <w:proofErr w:type="spellEnd"/>
      <w:r w:rsidR="00D35CA2" w:rsidRPr="0003469A">
        <w:rPr>
          <w:lang w:eastAsia="en-AU"/>
        </w:rPr>
        <w:t xml:space="preserve"> R 314</w:t>
      </w:r>
      <w:r w:rsidR="00D35CA2" w:rsidRPr="6014B508">
        <w:rPr>
          <w:lang w:eastAsia="en-AU"/>
        </w:rPr>
        <w:t xml:space="preserve"> at 316</w:t>
      </w:r>
      <w:r w:rsidR="00296CB6">
        <w:rPr>
          <w:lang w:eastAsia="en-AU"/>
        </w:rPr>
        <w:t xml:space="preserve"> – </w:t>
      </w:r>
      <w:r w:rsidR="00D35CA2" w:rsidRPr="6014B508">
        <w:rPr>
          <w:lang w:eastAsia="en-AU"/>
        </w:rPr>
        <w:t>317, McPherson J.</w:t>
      </w:r>
      <w:r w:rsidR="00AA33E1" w:rsidRPr="6014B508">
        <w:rPr>
          <w:lang w:eastAsia="en-AU"/>
        </w:rPr>
        <w:t xml:space="preserve"> A defendant who suffers a judgment in favour of a company in liquidation is</w:t>
      </w:r>
      <w:r w:rsidR="0033440A" w:rsidRPr="6014B508">
        <w:rPr>
          <w:lang w:eastAsia="en-AU"/>
        </w:rPr>
        <w:t xml:space="preserve"> a debtor, not a </w:t>
      </w:r>
      <w:r w:rsidR="000178E6" w:rsidRPr="6014B508">
        <w:rPr>
          <w:lang w:eastAsia="en-AU"/>
        </w:rPr>
        <w:t>creditor entitled</w:t>
      </w:r>
      <w:r w:rsidR="00AA33E1" w:rsidRPr="6014B508">
        <w:rPr>
          <w:lang w:eastAsia="en-AU"/>
        </w:rPr>
        <w:t xml:space="preserve"> to participate in a dividend.</w:t>
      </w:r>
      <w:r w:rsidR="00C13813" w:rsidRPr="6014B508">
        <w:rPr>
          <w:lang w:eastAsia="en-AU"/>
        </w:rPr>
        <w:t xml:space="preserve"> Or as put by Professor </w:t>
      </w:r>
      <w:proofErr w:type="spellStart"/>
      <w:r w:rsidR="00C13813" w:rsidRPr="6014B508">
        <w:rPr>
          <w:lang w:eastAsia="en-AU"/>
        </w:rPr>
        <w:t>Keay</w:t>
      </w:r>
      <w:proofErr w:type="spellEnd"/>
      <w:r w:rsidR="00C13813" w:rsidRPr="6014B508">
        <w:rPr>
          <w:lang w:eastAsia="en-AU"/>
        </w:rPr>
        <w:t xml:space="preserve"> as editor of McPherson &amp; </w:t>
      </w:r>
      <w:proofErr w:type="spellStart"/>
      <w:r w:rsidR="00C13813" w:rsidRPr="6014B508">
        <w:rPr>
          <w:lang w:eastAsia="en-AU"/>
        </w:rPr>
        <w:t>Keay</w:t>
      </w:r>
      <w:proofErr w:type="spellEnd"/>
      <w:r w:rsidR="00C13813" w:rsidRPr="6014B508">
        <w:rPr>
          <w:lang w:eastAsia="en-AU"/>
        </w:rPr>
        <w:t xml:space="preserve">, </w:t>
      </w:r>
      <w:r w:rsidR="00C13813" w:rsidRPr="6014B508">
        <w:rPr>
          <w:i/>
          <w:iCs/>
          <w:lang w:eastAsia="en-AU"/>
        </w:rPr>
        <w:t xml:space="preserve">The Law of Company Liquidation </w:t>
      </w:r>
      <w:r w:rsidR="00C13813" w:rsidRPr="6014B508">
        <w:rPr>
          <w:lang w:eastAsia="en-AU"/>
        </w:rPr>
        <w:t>(5</w:t>
      </w:r>
      <w:r w:rsidR="00C13813" w:rsidRPr="6014B508">
        <w:rPr>
          <w:vertAlign w:val="superscript"/>
          <w:lang w:eastAsia="en-AU"/>
        </w:rPr>
        <w:t>th</w:t>
      </w:r>
      <w:r w:rsidR="00C13813" w:rsidRPr="6014B508">
        <w:rPr>
          <w:lang w:eastAsia="en-AU"/>
        </w:rPr>
        <w:t xml:space="preserve"> </w:t>
      </w:r>
      <w:proofErr w:type="spellStart"/>
      <w:r w:rsidR="00C13813" w:rsidRPr="6014B508">
        <w:rPr>
          <w:lang w:eastAsia="en-AU"/>
        </w:rPr>
        <w:t>ed</w:t>
      </w:r>
      <w:proofErr w:type="spellEnd"/>
      <w:r w:rsidR="00C13813" w:rsidRPr="6014B508">
        <w:rPr>
          <w:lang w:eastAsia="en-AU"/>
        </w:rPr>
        <w:t>, Sweet and Maxwell, 2021) at [7-073]: “</w:t>
      </w:r>
      <w:r w:rsidR="00C13813" w:rsidRPr="00CD475D">
        <w:rPr>
          <w:lang w:eastAsia="en-AU"/>
        </w:rPr>
        <w:t>The connotation is that it would be unfair to require the defendant to obtain leave when it was the company that initiated the proceedings. The appeal is merely part of the defendant</w:t>
      </w:r>
      <w:r w:rsidR="00A946F0" w:rsidRPr="00681142">
        <w:rPr>
          <w:lang w:eastAsia="en-AU"/>
        </w:rPr>
        <w:t>’s</w:t>
      </w:r>
      <w:r w:rsidR="00C13813" w:rsidRPr="00CD475D">
        <w:rPr>
          <w:lang w:eastAsia="en-AU"/>
        </w:rPr>
        <w:t xml:space="preserve"> attempt</w:t>
      </w:r>
      <w:r w:rsidR="00A946F0" w:rsidRPr="00681142">
        <w:rPr>
          <w:lang w:eastAsia="en-AU"/>
        </w:rPr>
        <w:t xml:space="preserve"> at</w:t>
      </w:r>
      <w:r w:rsidR="00C13813" w:rsidRPr="00CD475D">
        <w:rPr>
          <w:lang w:eastAsia="en-AU"/>
        </w:rPr>
        <w:t xml:space="preserve"> providing a defence, believing that the decision at first instance was wrong.”</w:t>
      </w:r>
    </w:p>
    <w:p w:rsidR="0056433D" w:rsidRPr="006D7E5A" w:rsidRDefault="00A904BD" w:rsidP="0073621B">
      <w:pPr>
        <w:pStyle w:val="ParaNumbering"/>
        <w:tabs>
          <w:tab w:val="clear" w:pos="720"/>
        </w:tabs>
        <w:spacing w:before="240" w:after="240"/>
        <w:rPr>
          <w:szCs w:val="24"/>
        </w:rPr>
      </w:pPr>
      <w:r w:rsidRPr="006D7E5A">
        <w:rPr>
          <w:szCs w:val="24"/>
          <w:lang w:eastAsia="en-AU"/>
        </w:rPr>
        <w:t xml:space="preserve">A civil proceeding, in its ordinary meaning, includes an appeal: </w:t>
      </w:r>
      <w:r w:rsidRPr="0003469A">
        <w:rPr>
          <w:i/>
          <w:szCs w:val="24"/>
          <w:lang w:eastAsia="en-AU"/>
        </w:rPr>
        <w:t>Cummin</w:t>
      </w:r>
      <w:r w:rsidR="00FD27D3" w:rsidRPr="00681142">
        <w:rPr>
          <w:i/>
          <w:szCs w:val="24"/>
          <w:lang w:eastAsia="en-AU"/>
        </w:rPr>
        <w:t>g</w:t>
      </w:r>
      <w:r w:rsidRPr="0003469A">
        <w:rPr>
          <w:i/>
          <w:szCs w:val="24"/>
          <w:lang w:eastAsia="en-AU"/>
        </w:rPr>
        <w:t xml:space="preserve">s v Claremont Petroleum NL </w:t>
      </w:r>
      <w:r w:rsidRPr="0003469A">
        <w:rPr>
          <w:szCs w:val="24"/>
          <w:lang w:eastAsia="en-AU"/>
        </w:rPr>
        <w:t>(199</w:t>
      </w:r>
      <w:r w:rsidR="00FD27D3" w:rsidRPr="00681142">
        <w:rPr>
          <w:szCs w:val="24"/>
          <w:lang w:eastAsia="en-AU"/>
        </w:rPr>
        <w:t>6</w:t>
      </w:r>
      <w:r w:rsidRPr="0003469A">
        <w:rPr>
          <w:szCs w:val="24"/>
          <w:lang w:eastAsia="en-AU"/>
        </w:rPr>
        <w:t>) 185 CLR 124 at 130</w:t>
      </w:r>
      <w:r w:rsidRPr="006D7E5A">
        <w:rPr>
          <w:szCs w:val="24"/>
          <w:lang w:eastAsia="en-AU"/>
        </w:rPr>
        <w:t xml:space="preserve">, Brennan CJ, </w:t>
      </w:r>
      <w:proofErr w:type="spellStart"/>
      <w:r w:rsidRPr="006D7E5A">
        <w:rPr>
          <w:szCs w:val="24"/>
          <w:lang w:eastAsia="en-AU"/>
        </w:rPr>
        <w:t>Gaudron</w:t>
      </w:r>
      <w:proofErr w:type="spellEnd"/>
      <w:r w:rsidRPr="006D7E5A">
        <w:rPr>
          <w:szCs w:val="24"/>
          <w:lang w:eastAsia="en-AU"/>
        </w:rPr>
        <w:t xml:space="preserve"> and McHugh JJ. </w:t>
      </w:r>
      <w:r w:rsidR="00AA33E1" w:rsidRPr="006D7E5A">
        <w:rPr>
          <w:szCs w:val="24"/>
          <w:lang w:eastAsia="en-AU"/>
        </w:rPr>
        <w:t xml:space="preserve">Despite the reservations expressed by the Court of </w:t>
      </w:r>
      <w:r w:rsidR="000178E6" w:rsidRPr="006D7E5A">
        <w:rPr>
          <w:szCs w:val="24"/>
          <w:lang w:eastAsia="en-AU"/>
        </w:rPr>
        <w:t>Appeal in</w:t>
      </w:r>
      <w:r w:rsidR="0033440A" w:rsidRPr="006D7E5A">
        <w:rPr>
          <w:szCs w:val="24"/>
          <w:lang w:eastAsia="en-AU"/>
        </w:rPr>
        <w:t xml:space="preserve"> </w:t>
      </w:r>
      <w:r w:rsidR="0033440A" w:rsidRPr="0003469A">
        <w:rPr>
          <w:i/>
          <w:szCs w:val="24"/>
          <w:lang w:eastAsia="en-AU"/>
        </w:rPr>
        <w:t>Skinner v Jeogla Pty Ltd</w:t>
      </w:r>
      <w:r w:rsidR="0033440A" w:rsidRPr="0003469A">
        <w:rPr>
          <w:szCs w:val="24"/>
          <w:lang w:eastAsia="en-AU"/>
        </w:rPr>
        <w:t xml:space="preserve"> (2001) 37 ACSR 106; [2001] NSWCA 15</w:t>
      </w:r>
      <w:r w:rsidR="0033440A" w:rsidRPr="006D7E5A">
        <w:rPr>
          <w:szCs w:val="24"/>
          <w:lang w:eastAsia="en-AU"/>
        </w:rPr>
        <w:t xml:space="preserve">, </w:t>
      </w:r>
      <w:proofErr w:type="spellStart"/>
      <w:r w:rsidR="0033440A" w:rsidRPr="006D7E5A">
        <w:rPr>
          <w:szCs w:val="24"/>
          <w:lang w:eastAsia="en-AU"/>
        </w:rPr>
        <w:t>Spigelman</w:t>
      </w:r>
      <w:proofErr w:type="spellEnd"/>
      <w:r w:rsidR="0033440A" w:rsidRPr="006D7E5A">
        <w:rPr>
          <w:szCs w:val="24"/>
          <w:lang w:eastAsia="en-AU"/>
        </w:rPr>
        <w:t xml:space="preserve"> CJ, Powell JA and </w:t>
      </w:r>
      <w:proofErr w:type="spellStart"/>
      <w:r w:rsidR="0033440A" w:rsidRPr="006D7E5A">
        <w:rPr>
          <w:szCs w:val="24"/>
          <w:lang w:eastAsia="en-AU"/>
        </w:rPr>
        <w:t>Ipp</w:t>
      </w:r>
      <w:proofErr w:type="spellEnd"/>
      <w:r w:rsidR="0033440A" w:rsidRPr="006D7E5A">
        <w:rPr>
          <w:szCs w:val="24"/>
          <w:lang w:eastAsia="en-AU"/>
        </w:rPr>
        <w:t xml:space="preserve"> AJA, there is now a long and consistent line of authority in NSW to the effect that an appeal by an unsuccessful defendant from a judgment in favour of a company in liquidation is subject to the statutory stay.  Gleeson JA </w:t>
      </w:r>
      <w:r w:rsidR="007A32CB" w:rsidRPr="007A32CB">
        <w:rPr>
          <w:rFonts w:eastAsia="Times New Roman"/>
          <w:sz w:val="22"/>
          <w:szCs w:val="22"/>
          <w:lang w:eastAsia="en-AU"/>
        </w:rPr>
        <w:t xml:space="preserve"> </w:t>
      </w:r>
      <w:r w:rsidR="0033440A" w:rsidRPr="006D7E5A">
        <w:rPr>
          <w:szCs w:val="24"/>
          <w:lang w:eastAsia="en-AU"/>
        </w:rPr>
        <w:t xml:space="preserve">usefully summarised the course of authority in </w:t>
      </w:r>
      <w:proofErr w:type="spellStart"/>
      <w:r w:rsidR="0033440A" w:rsidRPr="0003469A">
        <w:rPr>
          <w:i/>
          <w:szCs w:val="24"/>
          <w:lang w:eastAsia="en-AU"/>
        </w:rPr>
        <w:t>Zervas</w:t>
      </w:r>
      <w:proofErr w:type="spellEnd"/>
      <w:r w:rsidR="0033440A" w:rsidRPr="0003469A">
        <w:rPr>
          <w:i/>
          <w:szCs w:val="24"/>
          <w:lang w:eastAsia="en-AU"/>
        </w:rPr>
        <w:t xml:space="preserve"> v </w:t>
      </w:r>
      <w:proofErr w:type="spellStart"/>
      <w:r w:rsidR="0033440A" w:rsidRPr="0003469A">
        <w:rPr>
          <w:i/>
          <w:szCs w:val="24"/>
          <w:lang w:eastAsia="en-AU"/>
        </w:rPr>
        <w:t>Burkitt</w:t>
      </w:r>
      <w:proofErr w:type="spellEnd"/>
      <w:r w:rsidR="0033440A" w:rsidRPr="0003469A">
        <w:rPr>
          <w:szCs w:val="24"/>
          <w:lang w:eastAsia="en-AU"/>
        </w:rPr>
        <w:t xml:space="preserve"> [2019] NSWCA 112</w:t>
      </w:r>
      <w:r w:rsidR="0033440A" w:rsidRPr="006D7E5A">
        <w:rPr>
          <w:szCs w:val="24"/>
          <w:lang w:eastAsia="en-AU"/>
        </w:rPr>
        <w:t xml:space="preserve"> at [11]</w:t>
      </w:r>
      <w:r w:rsidR="000178E6" w:rsidRPr="006D7E5A">
        <w:rPr>
          <w:szCs w:val="24"/>
          <w:lang w:eastAsia="en-AU"/>
        </w:rPr>
        <w:t>- [</w:t>
      </w:r>
      <w:r w:rsidR="0033440A" w:rsidRPr="006D7E5A">
        <w:rPr>
          <w:szCs w:val="24"/>
          <w:lang w:eastAsia="en-AU"/>
        </w:rPr>
        <w:t>1</w:t>
      </w:r>
      <w:r w:rsidR="00FD27D3">
        <w:rPr>
          <w:szCs w:val="24"/>
          <w:lang w:eastAsia="en-AU"/>
        </w:rPr>
        <w:t>4</w:t>
      </w:r>
      <w:r w:rsidR="0033440A" w:rsidRPr="006D7E5A">
        <w:rPr>
          <w:szCs w:val="24"/>
          <w:lang w:eastAsia="en-AU"/>
        </w:rPr>
        <w:t>] as follows:</w:t>
      </w:r>
    </w:p>
    <w:p w:rsidR="0033440A" w:rsidRPr="007A32CB" w:rsidRDefault="0033440A" w:rsidP="00681142">
      <w:pPr>
        <w:pStyle w:val="Quote1"/>
        <w:rPr>
          <w:rFonts w:eastAsia="Times New Roman"/>
          <w:szCs w:val="22"/>
          <w:lang w:eastAsia="en-AU"/>
        </w:rPr>
      </w:pPr>
      <w:r w:rsidRPr="007A32CB">
        <w:rPr>
          <w:rFonts w:eastAsia="Times New Roman"/>
          <w:szCs w:val="22"/>
          <w:lang w:eastAsia="en-AU"/>
        </w:rPr>
        <w:t>There are authorities that a “defensive proceeding” is not subject to the requi</w:t>
      </w:r>
      <w:r w:rsidR="007A32CB" w:rsidRPr="007A32CB">
        <w:rPr>
          <w:rFonts w:eastAsia="Times New Roman"/>
          <w:szCs w:val="22"/>
          <w:lang w:eastAsia="en-AU"/>
        </w:rPr>
        <w:t xml:space="preserve">rement of leave under </w:t>
      </w:r>
      <w:r w:rsidRPr="007A32CB">
        <w:rPr>
          <w:rFonts w:eastAsia="Times New Roman"/>
          <w:szCs w:val="22"/>
          <w:lang w:eastAsia="en-AU"/>
        </w:rPr>
        <w:t>s 471B</w:t>
      </w:r>
      <w:r w:rsidR="007A32CB" w:rsidRPr="007A32CB">
        <w:rPr>
          <w:rFonts w:eastAsia="Times New Roman"/>
          <w:szCs w:val="22"/>
          <w:lang w:eastAsia="en-AU"/>
        </w:rPr>
        <w:t xml:space="preserve"> </w:t>
      </w:r>
      <w:r w:rsidRPr="007A32CB">
        <w:rPr>
          <w:rFonts w:eastAsia="Times New Roman"/>
          <w:szCs w:val="22"/>
          <w:lang w:eastAsia="en-AU"/>
        </w:rPr>
        <w:t>or</w:t>
      </w:r>
      <w:r w:rsidR="007A32CB" w:rsidRPr="007A32CB">
        <w:rPr>
          <w:rFonts w:eastAsia="Times New Roman"/>
          <w:szCs w:val="22"/>
          <w:lang w:eastAsia="en-AU"/>
        </w:rPr>
        <w:t xml:space="preserve"> </w:t>
      </w:r>
      <w:r w:rsidRPr="007A32CB">
        <w:rPr>
          <w:rFonts w:eastAsia="Times New Roman"/>
          <w:szCs w:val="22"/>
          <w:lang w:eastAsia="en-AU"/>
        </w:rPr>
        <w:t>s 500(2)</w:t>
      </w:r>
      <w:r w:rsidR="007A32CB" w:rsidRPr="007A32CB">
        <w:rPr>
          <w:rFonts w:eastAsia="Times New Roman"/>
          <w:szCs w:val="22"/>
          <w:lang w:eastAsia="en-AU"/>
        </w:rPr>
        <w:t xml:space="preserve"> of the </w:t>
      </w:r>
      <w:r w:rsidRPr="007A32CB">
        <w:rPr>
          <w:rFonts w:eastAsia="Times New Roman"/>
          <w:i/>
          <w:iCs/>
          <w:szCs w:val="22"/>
          <w:lang w:eastAsia="en-AU"/>
        </w:rPr>
        <w:t>Corporations Act</w:t>
      </w:r>
      <w:r w:rsidR="007A32CB" w:rsidRPr="007A32CB">
        <w:rPr>
          <w:rFonts w:eastAsia="Times New Roman"/>
          <w:szCs w:val="22"/>
          <w:lang w:eastAsia="en-AU"/>
        </w:rPr>
        <w:t xml:space="preserve">: </w:t>
      </w:r>
      <w:r w:rsidRPr="007A32CB">
        <w:rPr>
          <w:rFonts w:eastAsia="Times New Roman"/>
          <w:i/>
          <w:iCs/>
          <w:szCs w:val="22"/>
          <w:lang w:eastAsia="en-AU"/>
        </w:rPr>
        <w:t>BPM Pty Ltd v HPM Pty Ltd</w:t>
      </w:r>
      <w:r w:rsidR="007A32CB" w:rsidRPr="007A32CB">
        <w:rPr>
          <w:rFonts w:eastAsia="Times New Roman"/>
          <w:i/>
          <w:iCs/>
          <w:szCs w:val="22"/>
          <w:lang w:eastAsia="en-AU"/>
        </w:rPr>
        <w:t xml:space="preserve"> </w:t>
      </w:r>
      <w:r w:rsidRPr="007A32CB">
        <w:rPr>
          <w:rFonts w:eastAsia="Times New Roman"/>
          <w:szCs w:val="22"/>
          <w:lang w:eastAsia="en-AU"/>
        </w:rPr>
        <w:t>(1996) 14 ACLC 857, Anderson J citing</w:t>
      </w:r>
      <w:r w:rsidR="007A32CB" w:rsidRPr="007A32CB">
        <w:rPr>
          <w:rFonts w:eastAsia="Times New Roman"/>
          <w:szCs w:val="22"/>
          <w:lang w:eastAsia="en-AU"/>
        </w:rPr>
        <w:t xml:space="preserve"> the reasoning of Lord Davey in </w:t>
      </w:r>
      <w:r w:rsidRPr="007A32CB">
        <w:rPr>
          <w:rFonts w:eastAsia="Times New Roman"/>
          <w:i/>
          <w:iCs/>
          <w:szCs w:val="22"/>
          <w:lang w:eastAsia="en-AU"/>
        </w:rPr>
        <w:t>Humber &amp; Co v John Griffiths Cycle Co</w:t>
      </w:r>
      <w:r w:rsidR="007A32CB" w:rsidRPr="007A32CB">
        <w:rPr>
          <w:rFonts w:eastAsia="Times New Roman"/>
          <w:szCs w:val="22"/>
          <w:lang w:eastAsia="en-AU"/>
        </w:rPr>
        <w:t xml:space="preserve"> </w:t>
      </w:r>
      <w:r w:rsidRPr="007A32CB">
        <w:rPr>
          <w:rFonts w:eastAsia="Times New Roman"/>
          <w:szCs w:val="22"/>
          <w:lang w:eastAsia="en-AU"/>
        </w:rPr>
        <w:t>(1901) 85 LT 141</w:t>
      </w:r>
      <w:r w:rsidR="007A32CB" w:rsidRPr="007A32CB">
        <w:rPr>
          <w:rFonts w:eastAsia="Times New Roman"/>
          <w:szCs w:val="22"/>
          <w:lang w:eastAsia="en-AU"/>
        </w:rPr>
        <w:t xml:space="preserve"> </w:t>
      </w:r>
      <w:r w:rsidRPr="007A32CB">
        <w:rPr>
          <w:rFonts w:eastAsia="Times New Roman"/>
          <w:szCs w:val="22"/>
          <w:lang w:eastAsia="en-AU"/>
        </w:rPr>
        <w:t>(</w:t>
      </w:r>
      <w:r w:rsidRPr="007A32CB">
        <w:rPr>
          <w:rFonts w:eastAsia="Times New Roman"/>
          <w:i/>
          <w:iCs/>
          <w:szCs w:val="22"/>
          <w:lang w:eastAsia="en-AU"/>
        </w:rPr>
        <w:t>Humber</w:t>
      </w:r>
      <w:r w:rsidR="007A32CB" w:rsidRPr="007A32CB">
        <w:rPr>
          <w:rFonts w:eastAsia="Times New Roman"/>
          <w:szCs w:val="22"/>
          <w:lang w:eastAsia="en-AU"/>
        </w:rPr>
        <w:t xml:space="preserve">). </w:t>
      </w:r>
      <w:r w:rsidRPr="007A32CB">
        <w:rPr>
          <w:rFonts w:eastAsia="Times New Roman"/>
          <w:i/>
          <w:iCs/>
          <w:szCs w:val="22"/>
          <w:lang w:eastAsia="en-AU"/>
        </w:rPr>
        <w:t>BPM Pty Ltd v HPM Pty Ltd</w:t>
      </w:r>
      <w:r w:rsidR="007A32CB" w:rsidRPr="007A32CB">
        <w:rPr>
          <w:rFonts w:eastAsia="Times New Roman"/>
          <w:i/>
          <w:iCs/>
          <w:szCs w:val="22"/>
          <w:lang w:eastAsia="en-AU"/>
        </w:rPr>
        <w:t xml:space="preserve"> </w:t>
      </w:r>
      <w:r w:rsidRPr="007A32CB">
        <w:rPr>
          <w:rFonts w:eastAsia="Times New Roman"/>
          <w:szCs w:val="22"/>
          <w:lang w:eastAsia="en-AU"/>
        </w:rPr>
        <w:t>involved a “defensive procedural measure”, relevantly, an application for security for costs by a respondent to an appeal.</w:t>
      </w:r>
    </w:p>
    <w:p w:rsidR="0033440A" w:rsidRPr="007A32CB" w:rsidRDefault="007A32CB" w:rsidP="00681142">
      <w:pPr>
        <w:pStyle w:val="Quote1"/>
        <w:rPr>
          <w:rFonts w:eastAsia="Times New Roman"/>
          <w:szCs w:val="22"/>
          <w:lang w:eastAsia="en-AU"/>
        </w:rPr>
      </w:pPr>
      <w:r w:rsidRPr="007A32CB">
        <w:rPr>
          <w:rFonts w:eastAsia="Times New Roman"/>
          <w:szCs w:val="22"/>
          <w:lang w:eastAsia="en-AU"/>
        </w:rPr>
        <w:t xml:space="preserve">Whether the reference in </w:t>
      </w:r>
      <w:r w:rsidR="0033440A" w:rsidRPr="007A32CB">
        <w:rPr>
          <w:rFonts w:eastAsia="Times New Roman"/>
          <w:i/>
          <w:iCs/>
          <w:szCs w:val="22"/>
          <w:lang w:eastAsia="en-AU"/>
        </w:rPr>
        <w:t>Humber</w:t>
      </w:r>
      <w:r w:rsidRPr="007A32CB">
        <w:rPr>
          <w:rFonts w:eastAsia="Times New Roman"/>
          <w:szCs w:val="22"/>
          <w:lang w:eastAsia="en-AU"/>
        </w:rPr>
        <w:t xml:space="preserve"> </w:t>
      </w:r>
      <w:r w:rsidR="0033440A" w:rsidRPr="007A32CB">
        <w:rPr>
          <w:rFonts w:eastAsia="Times New Roman"/>
          <w:szCs w:val="22"/>
          <w:lang w:eastAsia="en-AU"/>
        </w:rPr>
        <w:t>to a “defensive proceeding” encompasses prosecuting an appeal was doubted, but not finally determined in</w:t>
      </w:r>
      <w:r w:rsidRPr="007A32CB">
        <w:rPr>
          <w:rFonts w:eastAsia="Times New Roman"/>
          <w:szCs w:val="22"/>
          <w:lang w:eastAsia="en-AU"/>
        </w:rPr>
        <w:t xml:space="preserve"> </w:t>
      </w:r>
      <w:r w:rsidR="0033440A" w:rsidRPr="007A32CB">
        <w:rPr>
          <w:rFonts w:eastAsia="Times New Roman"/>
          <w:i/>
          <w:iCs/>
          <w:szCs w:val="22"/>
          <w:lang w:eastAsia="en-AU"/>
        </w:rPr>
        <w:t>Skinner v Jeogla Pty Ltd</w:t>
      </w:r>
      <w:r w:rsidRPr="007A32CB">
        <w:rPr>
          <w:rFonts w:eastAsia="Times New Roman"/>
          <w:szCs w:val="22"/>
          <w:lang w:eastAsia="en-AU"/>
        </w:rPr>
        <w:t xml:space="preserve"> </w:t>
      </w:r>
      <w:r w:rsidR="0033440A" w:rsidRPr="007A32CB">
        <w:rPr>
          <w:rFonts w:eastAsia="Times New Roman"/>
          <w:szCs w:val="22"/>
          <w:lang w:eastAsia="en-AU"/>
        </w:rPr>
        <w:t>[2001] NSWCA 15</w:t>
      </w:r>
      <w:r w:rsidRPr="007A32CB">
        <w:rPr>
          <w:rFonts w:eastAsia="Times New Roman"/>
          <w:szCs w:val="22"/>
          <w:lang w:eastAsia="en-AU"/>
        </w:rPr>
        <w:t xml:space="preserve">; </w:t>
      </w:r>
      <w:r w:rsidR="0033440A" w:rsidRPr="007A32CB">
        <w:rPr>
          <w:rFonts w:eastAsia="Times New Roman"/>
          <w:szCs w:val="22"/>
          <w:lang w:eastAsia="en-AU"/>
        </w:rPr>
        <w:t>(2001) 37 ACSR 106</w:t>
      </w:r>
      <w:r w:rsidRPr="007A32CB">
        <w:rPr>
          <w:rFonts w:eastAsia="Times New Roman"/>
          <w:szCs w:val="22"/>
          <w:lang w:eastAsia="en-AU"/>
        </w:rPr>
        <w:t xml:space="preserve"> at </w:t>
      </w:r>
      <w:r w:rsidR="0033440A" w:rsidRPr="007A32CB">
        <w:rPr>
          <w:rFonts w:eastAsia="Times New Roman"/>
          <w:szCs w:val="22"/>
          <w:lang w:eastAsia="en-AU"/>
        </w:rPr>
        <w:t>[20]</w:t>
      </w:r>
      <w:r w:rsidRPr="007A32CB">
        <w:rPr>
          <w:rFonts w:eastAsia="Times New Roman"/>
          <w:szCs w:val="22"/>
          <w:lang w:eastAsia="en-AU"/>
        </w:rPr>
        <w:t xml:space="preserve"> </w:t>
      </w:r>
      <w:r w:rsidR="0033440A" w:rsidRPr="007A32CB">
        <w:rPr>
          <w:rFonts w:eastAsia="Times New Roman"/>
          <w:szCs w:val="22"/>
          <w:lang w:eastAsia="en-AU"/>
        </w:rPr>
        <w:t>(</w:t>
      </w:r>
      <w:proofErr w:type="spellStart"/>
      <w:r w:rsidR="0033440A" w:rsidRPr="007A32CB">
        <w:rPr>
          <w:rFonts w:eastAsia="Times New Roman"/>
          <w:szCs w:val="22"/>
          <w:lang w:eastAsia="en-AU"/>
        </w:rPr>
        <w:t>Spigelman</w:t>
      </w:r>
      <w:proofErr w:type="spellEnd"/>
      <w:r w:rsidR="0033440A" w:rsidRPr="007A32CB">
        <w:rPr>
          <w:rFonts w:eastAsia="Times New Roman"/>
          <w:szCs w:val="22"/>
          <w:lang w:eastAsia="en-AU"/>
        </w:rPr>
        <w:t xml:space="preserve"> CJ) and [59] (</w:t>
      </w:r>
      <w:proofErr w:type="spellStart"/>
      <w:r w:rsidR="0033440A" w:rsidRPr="007A32CB">
        <w:rPr>
          <w:rFonts w:eastAsia="Times New Roman"/>
          <w:szCs w:val="22"/>
          <w:lang w:eastAsia="en-AU"/>
        </w:rPr>
        <w:t>Ipp</w:t>
      </w:r>
      <w:proofErr w:type="spellEnd"/>
      <w:r w:rsidR="0033440A" w:rsidRPr="007A32CB">
        <w:rPr>
          <w:rFonts w:eastAsia="Times New Roman"/>
          <w:szCs w:val="22"/>
          <w:lang w:eastAsia="en-AU"/>
        </w:rPr>
        <w:t xml:space="preserve"> AJA).</w:t>
      </w:r>
    </w:p>
    <w:p w:rsidR="0033440A" w:rsidRPr="007A32CB" w:rsidRDefault="007A32CB" w:rsidP="00681142">
      <w:pPr>
        <w:pStyle w:val="Quote1"/>
        <w:rPr>
          <w:rFonts w:eastAsia="Times New Roman"/>
          <w:szCs w:val="22"/>
          <w:lang w:eastAsia="en-AU"/>
        </w:rPr>
      </w:pPr>
      <w:r w:rsidRPr="007A32CB">
        <w:rPr>
          <w:rFonts w:eastAsia="Times New Roman"/>
          <w:szCs w:val="22"/>
          <w:lang w:eastAsia="en-AU"/>
        </w:rPr>
        <w:t xml:space="preserve">In </w:t>
      </w:r>
      <w:r w:rsidR="0033440A" w:rsidRPr="007A32CB">
        <w:rPr>
          <w:rFonts w:eastAsia="Times New Roman"/>
          <w:i/>
          <w:iCs/>
          <w:szCs w:val="22"/>
          <w:lang w:eastAsia="en-AU"/>
        </w:rPr>
        <w:t xml:space="preserve">Distinctive FX 9 Pty Limited v </w:t>
      </w:r>
      <w:proofErr w:type="spellStart"/>
      <w:r w:rsidR="0033440A" w:rsidRPr="007A32CB">
        <w:rPr>
          <w:rFonts w:eastAsia="Times New Roman"/>
          <w:i/>
          <w:iCs/>
          <w:szCs w:val="22"/>
          <w:lang w:eastAsia="en-AU"/>
        </w:rPr>
        <w:t>Statewide</w:t>
      </w:r>
      <w:proofErr w:type="spellEnd"/>
      <w:r w:rsidR="0033440A" w:rsidRPr="007A32CB">
        <w:rPr>
          <w:rFonts w:eastAsia="Times New Roman"/>
          <w:i/>
          <w:iCs/>
          <w:szCs w:val="22"/>
          <w:lang w:eastAsia="en-AU"/>
        </w:rPr>
        <w:t xml:space="preserve"> Developments Pty Limited</w:t>
      </w:r>
      <w:r w:rsidRPr="007A32CB">
        <w:rPr>
          <w:rFonts w:eastAsia="Times New Roman"/>
          <w:szCs w:val="22"/>
          <w:lang w:eastAsia="en-AU"/>
        </w:rPr>
        <w:t xml:space="preserve"> </w:t>
      </w:r>
      <w:r w:rsidR="0033440A" w:rsidRPr="007A32CB">
        <w:rPr>
          <w:rFonts w:eastAsia="Times New Roman"/>
          <w:szCs w:val="22"/>
          <w:lang w:eastAsia="en-AU"/>
        </w:rPr>
        <w:t>[2012] NSWCA 393</w:t>
      </w:r>
      <w:r w:rsidRPr="007A32CB">
        <w:rPr>
          <w:rFonts w:eastAsia="Times New Roman"/>
          <w:szCs w:val="22"/>
          <w:lang w:eastAsia="en-AU"/>
        </w:rPr>
        <w:t xml:space="preserve"> at </w:t>
      </w:r>
      <w:r w:rsidR="0033440A" w:rsidRPr="007A32CB">
        <w:rPr>
          <w:rFonts w:eastAsia="Times New Roman"/>
          <w:szCs w:val="22"/>
          <w:lang w:eastAsia="en-AU"/>
        </w:rPr>
        <w:t>[13], Beazley JA (as her Honour then was) reviewed the authorities and concluded:</w:t>
      </w:r>
    </w:p>
    <w:p w:rsidR="0033440A" w:rsidRPr="007A32CB" w:rsidRDefault="0033440A" w:rsidP="00681142">
      <w:pPr>
        <w:pStyle w:val="Quote2"/>
        <w:rPr>
          <w:lang w:eastAsia="en-AU"/>
        </w:rPr>
      </w:pPr>
      <w:r w:rsidRPr="007A32CB">
        <w:rPr>
          <w:lang w:eastAsia="en-AU"/>
        </w:rPr>
        <w:lastRenderedPageBreak/>
        <w:t>Notwithstanding the uncertainty expressed in these authorities, I am of the opinion</w:t>
      </w:r>
      <w:r w:rsidR="007A32CB" w:rsidRPr="007A32CB">
        <w:rPr>
          <w:lang w:eastAsia="en-AU"/>
        </w:rPr>
        <w:t xml:space="preserve"> that when regard is had to the </w:t>
      </w:r>
      <w:r w:rsidRPr="007A32CB">
        <w:rPr>
          <w:i/>
          <w:iCs/>
          <w:lang w:eastAsia="en-AU"/>
        </w:rPr>
        <w:t>Civil Procedure Act</w:t>
      </w:r>
      <w:r w:rsidR="007A32CB" w:rsidRPr="007A32CB">
        <w:rPr>
          <w:i/>
          <w:iCs/>
          <w:lang w:eastAsia="en-AU"/>
        </w:rPr>
        <w:t xml:space="preserve"> </w:t>
      </w:r>
      <w:r w:rsidRPr="007A32CB">
        <w:rPr>
          <w:lang w:eastAsia="en-AU"/>
        </w:rPr>
        <w:t>and the UCPR, the bringing of an appeal (or, I should add, a summons for leave to appeal) is the commencement of a proceeding for which leave is required pursuant to s 471B.</w:t>
      </w:r>
    </w:p>
    <w:p w:rsidR="0033440A" w:rsidRPr="007A32CB" w:rsidRDefault="0033440A" w:rsidP="00681142">
      <w:pPr>
        <w:pStyle w:val="Quote1"/>
        <w:rPr>
          <w:rFonts w:eastAsia="Times New Roman"/>
          <w:szCs w:val="22"/>
          <w:lang w:eastAsia="en-AU"/>
        </w:rPr>
      </w:pPr>
      <w:r w:rsidRPr="007A32CB">
        <w:rPr>
          <w:rFonts w:eastAsia="Times New Roman"/>
          <w:szCs w:val="22"/>
          <w:lang w:eastAsia="en-AU"/>
        </w:rPr>
        <w:t>That approach has been followed in this Court thereafter:</w:t>
      </w:r>
      <w:r w:rsidR="007A32CB" w:rsidRPr="007A32CB">
        <w:rPr>
          <w:rFonts w:eastAsia="Times New Roman"/>
          <w:szCs w:val="22"/>
          <w:lang w:eastAsia="en-AU"/>
        </w:rPr>
        <w:t xml:space="preserve"> </w:t>
      </w:r>
      <w:proofErr w:type="spellStart"/>
      <w:r w:rsidRPr="007A32CB">
        <w:rPr>
          <w:rFonts w:eastAsia="Times New Roman"/>
          <w:i/>
          <w:iCs/>
          <w:szCs w:val="22"/>
          <w:lang w:eastAsia="en-AU"/>
        </w:rPr>
        <w:t>Cassegrain</w:t>
      </w:r>
      <w:proofErr w:type="spellEnd"/>
      <w:r w:rsidRPr="007A32CB">
        <w:rPr>
          <w:rFonts w:eastAsia="Times New Roman"/>
          <w:i/>
          <w:iCs/>
          <w:szCs w:val="22"/>
          <w:lang w:eastAsia="en-AU"/>
        </w:rPr>
        <w:t xml:space="preserve"> v Gerard </w:t>
      </w:r>
      <w:proofErr w:type="spellStart"/>
      <w:r w:rsidRPr="007A32CB">
        <w:rPr>
          <w:rFonts w:eastAsia="Times New Roman"/>
          <w:i/>
          <w:iCs/>
          <w:szCs w:val="22"/>
          <w:lang w:eastAsia="en-AU"/>
        </w:rPr>
        <w:t>Cassegrain</w:t>
      </w:r>
      <w:proofErr w:type="spellEnd"/>
      <w:r w:rsidRPr="007A32CB">
        <w:rPr>
          <w:rFonts w:eastAsia="Times New Roman"/>
          <w:i/>
          <w:iCs/>
          <w:szCs w:val="22"/>
          <w:lang w:eastAsia="en-AU"/>
        </w:rPr>
        <w:t xml:space="preserve"> &amp; Co Pty Ltd (in </w:t>
      </w:r>
      <w:proofErr w:type="spellStart"/>
      <w:r w:rsidRPr="007A32CB">
        <w:rPr>
          <w:rFonts w:eastAsia="Times New Roman"/>
          <w:i/>
          <w:iCs/>
          <w:szCs w:val="22"/>
          <w:lang w:eastAsia="en-AU"/>
        </w:rPr>
        <w:t>liq</w:t>
      </w:r>
      <w:proofErr w:type="spellEnd"/>
      <w:r w:rsidRPr="007A32CB">
        <w:rPr>
          <w:rFonts w:eastAsia="Times New Roman"/>
          <w:i/>
          <w:iCs/>
          <w:szCs w:val="22"/>
          <w:lang w:eastAsia="en-AU"/>
        </w:rPr>
        <w:t>)</w:t>
      </w:r>
      <w:r w:rsidR="007A32CB" w:rsidRPr="007A32CB">
        <w:rPr>
          <w:rFonts w:eastAsia="Times New Roman"/>
          <w:szCs w:val="22"/>
          <w:lang w:eastAsia="en-AU"/>
        </w:rPr>
        <w:t xml:space="preserve"> </w:t>
      </w:r>
      <w:r w:rsidRPr="007A32CB">
        <w:rPr>
          <w:rFonts w:eastAsia="Times New Roman"/>
          <w:szCs w:val="22"/>
          <w:lang w:eastAsia="en-AU"/>
        </w:rPr>
        <w:t>[2012] NSWCA 435</w:t>
      </w:r>
      <w:r w:rsidR="007A32CB" w:rsidRPr="007A32CB">
        <w:rPr>
          <w:rFonts w:eastAsia="Times New Roman"/>
          <w:szCs w:val="22"/>
          <w:lang w:eastAsia="en-AU"/>
        </w:rPr>
        <w:t xml:space="preserve"> at </w:t>
      </w:r>
      <w:r w:rsidRPr="007A32CB">
        <w:rPr>
          <w:rFonts w:eastAsia="Times New Roman"/>
          <w:szCs w:val="22"/>
          <w:lang w:eastAsia="en-AU"/>
        </w:rPr>
        <w:t>[31]</w:t>
      </w:r>
      <w:r w:rsidR="007A32CB" w:rsidRPr="007A32CB">
        <w:rPr>
          <w:rFonts w:eastAsia="Times New Roman"/>
          <w:szCs w:val="22"/>
          <w:lang w:eastAsia="en-AU"/>
        </w:rPr>
        <w:t xml:space="preserve">; </w:t>
      </w:r>
      <w:r w:rsidRPr="007A32CB">
        <w:rPr>
          <w:rFonts w:eastAsia="Times New Roman"/>
          <w:i/>
          <w:iCs/>
          <w:szCs w:val="22"/>
          <w:lang w:eastAsia="en-AU"/>
        </w:rPr>
        <w:t>Chief Commissioner of State Revenue v CCM Holdings Trust Pty Ltd</w:t>
      </w:r>
      <w:r w:rsidR="007A32CB" w:rsidRPr="007A32CB">
        <w:rPr>
          <w:rFonts w:eastAsia="Times New Roman"/>
          <w:i/>
          <w:iCs/>
          <w:szCs w:val="22"/>
          <w:lang w:eastAsia="en-AU"/>
        </w:rPr>
        <w:t xml:space="preserve"> </w:t>
      </w:r>
      <w:r w:rsidRPr="007A32CB">
        <w:rPr>
          <w:rFonts w:eastAsia="Times New Roman"/>
          <w:szCs w:val="22"/>
          <w:lang w:eastAsia="en-AU"/>
        </w:rPr>
        <w:t>[2014] NSWCA 42</w:t>
      </w:r>
      <w:r w:rsidR="007A32CB" w:rsidRPr="007A32CB">
        <w:rPr>
          <w:rFonts w:eastAsia="Times New Roman"/>
          <w:szCs w:val="22"/>
          <w:lang w:eastAsia="en-AU"/>
        </w:rPr>
        <w:t xml:space="preserve"> </w:t>
      </w:r>
      <w:r w:rsidRPr="007A32CB">
        <w:rPr>
          <w:rFonts w:eastAsia="Times New Roman"/>
          <w:szCs w:val="22"/>
          <w:lang w:eastAsia="en-AU"/>
        </w:rPr>
        <w:t>at</w:t>
      </w:r>
      <w:r w:rsidR="007A32CB" w:rsidRPr="007A32CB">
        <w:rPr>
          <w:rFonts w:eastAsia="Times New Roman"/>
          <w:szCs w:val="22"/>
          <w:lang w:eastAsia="en-AU"/>
        </w:rPr>
        <w:t xml:space="preserve"> </w:t>
      </w:r>
      <w:r w:rsidRPr="007A32CB">
        <w:rPr>
          <w:rFonts w:eastAsia="Times New Roman"/>
          <w:szCs w:val="22"/>
          <w:lang w:eastAsia="en-AU"/>
        </w:rPr>
        <w:t>[3];</w:t>
      </w:r>
      <w:r w:rsidR="007A32CB" w:rsidRPr="007A32CB">
        <w:rPr>
          <w:rFonts w:eastAsia="Times New Roman"/>
          <w:szCs w:val="22"/>
          <w:lang w:eastAsia="en-AU"/>
        </w:rPr>
        <w:t xml:space="preserve"> </w:t>
      </w:r>
      <w:proofErr w:type="spellStart"/>
      <w:r w:rsidRPr="007A32CB">
        <w:rPr>
          <w:rFonts w:eastAsia="Times New Roman"/>
          <w:i/>
          <w:iCs/>
          <w:szCs w:val="22"/>
          <w:lang w:eastAsia="en-AU"/>
        </w:rPr>
        <w:t>Naaman</w:t>
      </w:r>
      <w:proofErr w:type="spellEnd"/>
      <w:r w:rsidRPr="007A32CB">
        <w:rPr>
          <w:rFonts w:eastAsia="Times New Roman"/>
          <w:i/>
          <w:iCs/>
          <w:szCs w:val="22"/>
          <w:lang w:eastAsia="en-AU"/>
        </w:rPr>
        <w:t xml:space="preserve"> v </w:t>
      </w:r>
      <w:proofErr w:type="spellStart"/>
      <w:r w:rsidRPr="007A32CB">
        <w:rPr>
          <w:rFonts w:eastAsia="Times New Roman"/>
          <w:i/>
          <w:iCs/>
          <w:szCs w:val="22"/>
          <w:lang w:eastAsia="en-AU"/>
        </w:rPr>
        <w:t>Sleiman</w:t>
      </w:r>
      <w:proofErr w:type="spellEnd"/>
      <w:r w:rsidR="007A32CB" w:rsidRPr="007A32CB">
        <w:rPr>
          <w:rFonts w:eastAsia="Times New Roman"/>
          <w:i/>
          <w:iCs/>
          <w:szCs w:val="22"/>
          <w:lang w:eastAsia="en-AU"/>
        </w:rPr>
        <w:t xml:space="preserve"> </w:t>
      </w:r>
      <w:r w:rsidRPr="007A32CB">
        <w:rPr>
          <w:rFonts w:eastAsia="Times New Roman"/>
          <w:szCs w:val="22"/>
          <w:lang w:eastAsia="en-AU"/>
        </w:rPr>
        <w:t>[2015] NSWCA 259</w:t>
      </w:r>
      <w:r w:rsidR="007A32CB" w:rsidRPr="007A32CB">
        <w:rPr>
          <w:rFonts w:eastAsia="Times New Roman"/>
          <w:szCs w:val="22"/>
          <w:lang w:eastAsia="en-AU"/>
        </w:rPr>
        <w:t xml:space="preserve"> at </w:t>
      </w:r>
      <w:r w:rsidRPr="007A32CB">
        <w:rPr>
          <w:rFonts w:eastAsia="Times New Roman"/>
          <w:szCs w:val="22"/>
          <w:lang w:eastAsia="en-AU"/>
        </w:rPr>
        <w:t>[82];</w:t>
      </w:r>
      <w:r w:rsidR="007A32CB" w:rsidRPr="007A32CB">
        <w:rPr>
          <w:rFonts w:eastAsia="Times New Roman"/>
          <w:szCs w:val="22"/>
          <w:lang w:eastAsia="en-AU"/>
        </w:rPr>
        <w:t xml:space="preserve"> </w:t>
      </w:r>
      <w:r w:rsidRPr="007A32CB">
        <w:rPr>
          <w:rFonts w:eastAsia="Times New Roman"/>
          <w:i/>
          <w:iCs/>
          <w:szCs w:val="22"/>
          <w:lang w:eastAsia="en-AU"/>
        </w:rPr>
        <w:t xml:space="preserve">Commissioner of Taxation of the Commonwealth of Australia v 4 </w:t>
      </w:r>
      <w:proofErr w:type="spellStart"/>
      <w:r w:rsidRPr="007A32CB">
        <w:rPr>
          <w:rFonts w:eastAsia="Times New Roman"/>
          <w:i/>
          <w:iCs/>
          <w:szCs w:val="22"/>
          <w:lang w:eastAsia="en-AU"/>
        </w:rPr>
        <w:t>Doonan</w:t>
      </w:r>
      <w:proofErr w:type="spellEnd"/>
      <w:r w:rsidRPr="007A32CB">
        <w:rPr>
          <w:rFonts w:eastAsia="Times New Roman"/>
          <w:i/>
          <w:iCs/>
          <w:szCs w:val="22"/>
          <w:lang w:eastAsia="en-AU"/>
        </w:rPr>
        <w:t xml:space="preserve"> Street Collinsville Pty Ltd (in </w:t>
      </w:r>
      <w:proofErr w:type="spellStart"/>
      <w:r w:rsidRPr="007A32CB">
        <w:rPr>
          <w:rFonts w:eastAsia="Times New Roman"/>
          <w:i/>
          <w:iCs/>
          <w:szCs w:val="22"/>
          <w:lang w:eastAsia="en-AU"/>
        </w:rPr>
        <w:t>liq</w:t>
      </w:r>
      <w:proofErr w:type="spellEnd"/>
      <w:r w:rsidRPr="007A32CB">
        <w:rPr>
          <w:rFonts w:eastAsia="Times New Roman"/>
          <w:i/>
          <w:iCs/>
          <w:szCs w:val="22"/>
          <w:lang w:eastAsia="en-AU"/>
        </w:rPr>
        <w:t>)</w:t>
      </w:r>
      <w:r w:rsidR="007A32CB" w:rsidRPr="007A32CB">
        <w:rPr>
          <w:rFonts w:eastAsia="Times New Roman"/>
          <w:i/>
          <w:iCs/>
          <w:szCs w:val="22"/>
          <w:lang w:eastAsia="en-AU"/>
        </w:rPr>
        <w:t xml:space="preserve"> </w:t>
      </w:r>
      <w:r w:rsidRPr="007A32CB">
        <w:rPr>
          <w:rFonts w:eastAsia="Times New Roman"/>
          <w:szCs w:val="22"/>
          <w:lang w:eastAsia="en-AU"/>
        </w:rPr>
        <w:t>[2016] NSWCA 69</w:t>
      </w:r>
      <w:r w:rsidR="007A32CB" w:rsidRPr="007A32CB">
        <w:rPr>
          <w:rFonts w:eastAsia="Times New Roman"/>
          <w:szCs w:val="22"/>
          <w:lang w:eastAsia="en-AU"/>
        </w:rPr>
        <w:t xml:space="preserve"> at </w:t>
      </w:r>
      <w:r w:rsidRPr="007A32CB">
        <w:rPr>
          <w:rFonts w:eastAsia="Times New Roman"/>
          <w:szCs w:val="22"/>
          <w:lang w:eastAsia="en-AU"/>
        </w:rPr>
        <w:t xml:space="preserve">[31]. Mr </w:t>
      </w:r>
      <w:proofErr w:type="spellStart"/>
      <w:r w:rsidRPr="007A32CB">
        <w:rPr>
          <w:rFonts w:eastAsia="Times New Roman"/>
          <w:szCs w:val="22"/>
          <w:lang w:eastAsia="en-AU"/>
        </w:rPr>
        <w:t>Zervas</w:t>
      </w:r>
      <w:proofErr w:type="spellEnd"/>
      <w:r w:rsidRPr="007A32CB">
        <w:rPr>
          <w:rFonts w:eastAsia="Times New Roman"/>
          <w:szCs w:val="22"/>
          <w:lang w:eastAsia="en-AU"/>
        </w:rPr>
        <w:t xml:space="preserve"> and Dr </w:t>
      </w:r>
      <w:proofErr w:type="spellStart"/>
      <w:r w:rsidRPr="007A32CB">
        <w:rPr>
          <w:rFonts w:eastAsia="Times New Roman"/>
          <w:szCs w:val="22"/>
          <w:lang w:eastAsia="en-AU"/>
        </w:rPr>
        <w:t>Burkitt</w:t>
      </w:r>
      <w:proofErr w:type="spellEnd"/>
      <w:r w:rsidRPr="007A32CB">
        <w:rPr>
          <w:rFonts w:eastAsia="Times New Roman"/>
          <w:szCs w:val="22"/>
          <w:lang w:eastAsia="en-AU"/>
        </w:rPr>
        <w:t xml:space="preserve"> both accept that they need leave and it is appropriate to proceed upon that basis. There is no need to consider whether and the extent to which the requirement for leave might not apply, such as to “defensive proceedings”.</w:t>
      </w:r>
    </w:p>
    <w:p w:rsidR="0033440A" w:rsidRPr="006D7E5A" w:rsidRDefault="00CF4871" w:rsidP="0073621B">
      <w:pPr>
        <w:pStyle w:val="ParaNumbering"/>
        <w:tabs>
          <w:tab w:val="clear" w:pos="720"/>
        </w:tabs>
        <w:spacing w:before="240" w:after="240"/>
        <w:rPr>
          <w:szCs w:val="24"/>
        </w:rPr>
      </w:pPr>
      <w:r w:rsidRPr="006D7E5A">
        <w:rPr>
          <w:szCs w:val="24"/>
        </w:rPr>
        <w:t>The authorities were</w:t>
      </w:r>
      <w:r w:rsidR="00F23753">
        <w:rPr>
          <w:szCs w:val="24"/>
        </w:rPr>
        <w:t xml:space="preserve"> also</w:t>
      </w:r>
      <w:r w:rsidRPr="006D7E5A">
        <w:rPr>
          <w:szCs w:val="24"/>
        </w:rPr>
        <w:t xml:space="preserve"> comprehensively considered by Parker J in </w:t>
      </w:r>
      <w:r w:rsidRPr="0003469A">
        <w:rPr>
          <w:i/>
          <w:szCs w:val="24"/>
        </w:rPr>
        <w:t>Caruso v Built IT Pty Ltd (No 2)</w:t>
      </w:r>
      <w:r w:rsidRPr="0003469A">
        <w:rPr>
          <w:szCs w:val="24"/>
        </w:rPr>
        <w:t xml:space="preserve"> </w:t>
      </w:r>
      <w:r w:rsidR="00FD27D3" w:rsidRPr="00681142">
        <w:rPr>
          <w:szCs w:val="24"/>
        </w:rPr>
        <w:t xml:space="preserve">(2019) 134 SASR 280; </w:t>
      </w:r>
      <w:r w:rsidRPr="0003469A">
        <w:rPr>
          <w:szCs w:val="24"/>
        </w:rPr>
        <w:t>[2019] SASC 125</w:t>
      </w:r>
      <w:r w:rsidR="00F23753">
        <w:rPr>
          <w:szCs w:val="24"/>
        </w:rPr>
        <w:t>,</w:t>
      </w:r>
      <w:r w:rsidRPr="006D7E5A">
        <w:rPr>
          <w:szCs w:val="24"/>
        </w:rPr>
        <w:t xml:space="preserve"> who concluded at [54] that he would apply the analysis of Beazley JA in </w:t>
      </w:r>
      <w:r w:rsidRPr="007A2C2B">
        <w:rPr>
          <w:i/>
          <w:szCs w:val="24"/>
        </w:rPr>
        <w:t>Distinctive FX9</w:t>
      </w:r>
      <w:r w:rsidRPr="006D7E5A">
        <w:rPr>
          <w:szCs w:val="24"/>
        </w:rPr>
        <w:t xml:space="preserve">, particularly because her Honour’s reasoning was referred to with approval, albeit </w:t>
      </w:r>
      <w:r w:rsidRPr="007A2C2B">
        <w:rPr>
          <w:i/>
          <w:szCs w:val="24"/>
        </w:rPr>
        <w:t>obiter</w:t>
      </w:r>
      <w:r w:rsidRPr="006D7E5A">
        <w:rPr>
          <w:szCs w:val="24"/>
        </w:rPr>
        <w:t xml:space="preserve">, in </w:t>
      </w:r>
      <w:r w:rsidRPr="007A2C2B">
        <w:rPr>
          <w:i/>
          <w:szCs w:val="24"/>
        </w:rPr>
        <w:t xml:space="preserve">DSG Holdings Australia Pty Ltd v </w:t>
      </w:r>
      <w:proofErr w:type="spellStart"/>
      <w:r w:rsidRPr="007A2C2B">
        <w:rPr>
          <w:i/>
          <w:szCs w:val="24"/>
        </w:rPr>
        <w:t>Helenic</w:t>
      </w:r>
      <w:proofErr w:type="spellEnd"/>
      <w:r w:rsidRPr="007A2C2B">
        <w:rPr>
          <w:i/>
          <w:szCs w:val="24"/>
        </w:rPr>
        <w:t xml:space="preserve"> Pty Ltd</w:t>
      </w:r>
      <w:r w:rsidRPr="006D7E5A">
        <w:rPr>
          <w:szCs w:val="24"/>
        </w:rPr>
        <w:t xml:space="preserve"> (2014) 307 ALR 143; [2014] NSWCA 96 at [54], Leeming JA, with whom Meagher JA and Bergin CJ in </w:t>
      </w:r>
      <w:proofErr w:type="spellStart"/>
      <w:r w:rsidRPr="006D7E5A">
        <w:rPr>
          <w:szCs w:val="24"/>
        </w:rPr>
        <w:t>Eq</w:t>
      </w:r>
      <w:proofErr w:type="spellEnd"/>
      <w:r w:rsidRPr="006D7E5A">
        <w:rPr>
          <w:szCs w:val="24"/>
        </w:rPr>
        <w:t xml:space="preserve"> agreed.</w:t>
      </w:r>
      <w:r w:rsidR="00DA5C76" w:rsidRPr="006D7E5A">
        <w:rPr>
          <w:szCs w:val="24"/>
        </w:rPr>
        <w:t xml:space="preserve"> Finally, in </w:t>
      </w:r>
      <w:r w:rsidR="00DA5C76" w:rsidRPr="0003469A">
        <w:rPr>
          <w:i/>
          <w:szCs w:val="24"/>
        </w:rPr>
        <w:t>Huang v Hua Cheng International Group Pty Ltd</w:t>
      </w:r>
      <w:r w:rsidR="00DA5C76" w:rsidRPr="0003469A">
        <w:rPr>
          <w:szCs w:val="24"/>
        </w:rPr>
        <w:t xml:space="preserve"> [2019] NSWCA 155</w:t>
      </w:r>
      <w:r w:rsidR="00DA5C76" w:rsidRPr="006D7E5A">
        <w:rPr>
          <w:szCs w:val="24"/>
        </w:rPr>
        <w:t xml:space="preserve"> at </w:t>
      </w:r>
      <w:r w:rsidR="007A2C2B">
        <w:rPr>
          <w:szCs w:val="24"/>
        </w:rPr>
        <w:t>[</w:t>
      </w:r>
      <w:r w:rsidR="00DA5C76" w:rsidRPr="006D7E5A">
        <w:rPr>
          <w:szCs w:val="24"/>
        </w:rPr>
        <w:t xml:space="preserve">21], </w:t>
      </w:r>
      <w:proofErr w:type="spellStart"/>
      <w:r w:rsidR="00DA5C76" w:rsidRPr="006D7E5A">
        <w:rPr>
          <w:szCs w:val="24"/>
        </w:rPr>
        <w:t>Basten</w:t>
      </w:r>
      <w:proofErr w:type="spellEnd"/>
      <w:r w:rsidR="00DA5C76" w:rsidRPr="006D7E5A">
        <w:rPr>
          <w:szCs w:val="24"/>
        </w:rPr>
        <w:t xml:space="preserve"> JA</w:t>
      </w:r>
      <w:r w:rsidR="00F23753">
        <w:rPr>
          <w:szCs w:val="24"/>
        </w:rPr>
        <w:t>,</w:t>
      </w:r>
      <w:r w:rsidR="00DA5C76" w:rsidRPr="006D7E5A">
        <w:rPr>
          <w:szCs w:val="24"/>
        </w:rPr>
        <w:t xml:space="preserve"> in delivering the judgment of the Court, stated that </w:t>
      </w:r>
      <w:r w:rsidR="000178E6" w:rsidRPr="006D7E5A">
        <w:rPr>
          <w:szCs w:val="24"/>
        </w:rPr>
        <w:t>“the</w:t>
      </w:r>
      <w:r w:rsidR="00DA5C76" w:rsidRPr="006D7E5A">
        <w:rPr>
          <w:szCs w:val="24"/>
        </w:rPr>
        <w:t xml:space="preserve"> language is sufficiently similar to conclude that the same operation should be given to s 500</w:t>
      </w:r>
      <w:r w:rsidR="00F23753">
        <w:rPr>
          <w:szCs w:val="24"/>
        </w:rPr>
        <w:t>(</w:t>
      </w:r>
      <w:r w:rsidR="00DA5C76" w:rsidRPr="006D7E5A">
        <w:rPr>
          <w:szCs w:val="24"/>
        </w:rPr>
        <w:t>2)”.</w:t>
      </w:r>
    </w:p>
    <w:p w:rsidR="00CF4871" w:rsidRPr="006D7E5A" w:rsidRDefault="00DA5C76" w:rsidP="0073621B">
      <w:pPr>
        <w:pStyle w:val="ParaNumbering"/>
        <w:tabs>
          <w:tab w:val="clear" w:pos="720"/>
        </w:tabs>
        <w:spacing w:before="240" w:after="240"/>
        <w:rPr>
          <w:szCs w:val="24"/>
        </w:rPr>
      </w:pPr>
      <w:r w:rsidRPr="006D7E5A">
        <w:rPr>
          <w:szCs w:val="24"/>
        </w:rPr>
        <w:t xml:space="preserve">I propose to follow and apply these authorities: </w:t>
      </w:r>
      <w:r w:rsidRPr="0003469A">
        <w:rPr>
          <w:i/>
          <w:szCs w:val="24"/>
        </w:rPr>
        <w:t>Australian Securities Commission v Marlborough Gold Mines Limited</w:t>
      </w:r>
      <w:r w:rsidRPr="0003469A">
        <w:rPr>
          <w:szCs w:val="24"/>
        </w:rPr>
        <w:t xml:space="preserve"> (1993) 177 CLR 485</w:t>
      </w:r>
      <w:r w:rsidR="0003469A" w:rsidRPr="0003469A">
        <w:rPr>
          <w:szCs w:val="24"/>
        </w:rPr>
        <w:t>; [1993] HCA 15</w:t>
      </w:r>
      <w:r w:rsidRPr="006D7E5A">
        <w:rPr>
          <w:szCs w:val="24"/>
        </w:rPr>
        <w:t xml:space="preserve">. The result is that absent a grant of leave, Mr Huber may not proceed with the </w:t>
      </w:r>
      <w:r w:rsidR="009E755E" w:rsidRPr="006D7E5A">
        <w:rPr>
          <w:szCs w:val="24"/>
        </w:rPr>
        <w:t>extension application.</w:t>
      </w:r>
    </w:p>
    <w:p w:rsidR="009E755E" w:rsidRDefault="004D28C0" w:rsidP="0073621B">
      <w:pPr>
        <w:pStyle w:val="ParaNumbering"/>
        <w:tabs>
          <w:tab w:val="clear" w:pos="720"/>
        </w:tabs>
        <w:spacing w:before="240" w:after="240"/>
        <w:rPr>
          <w:szCs w:val="24"/>
        </w:rPr>
      </w:pPr>
      <w:r w:rsidRPr="006D7E5A">
        <w:rPr>
          <w:szCs w:val="24"/>
        </w:rPr>
        <w:t xml:space="preserve">In his </w:t>
      </w:r>
      <w:r w:rsidR="009E755E" w:rsidRPr="006D7E5A">
        <w:rPr>
          <w:szCs w:val="24"/>
        </w:rPr>
        <w:t>written submi</w:t>
      </w:r>
      <w:r w:rsidRPr="006D7E5A">
        <w:rPr>
          <w:szCs w:val="24"/>
        </w:rPr>
        <w:t>ssions, Mr Huber addresses in considerable detail the principles applicable to a grant of leave pursuant to s 500(2).</w:t>
      </w:r>
      <w:r w:rsidR="00A271F7" w:rsidRPr="006D7E5A">
        <w:rPr>
          <w:szCs w:val="24"/>
        </w:rPr>
        <w:t xml:space="preserve"> Mr Huber has not made an application for a grant of leave supported by an affidavit as required by r</w:t>
      </w:r>
      <w:r w:rsidR="00A271F7" w:rsidRPr="0003469A">
        <w:rPr>
          <w:szCs w:val="24"/>
        </w:rPr>
        <w:t xml:space="preserve">ules 2.2 and 2.4 of the </w:t>
      </w:r>
      <w:r w:rsidR="00A271F7" w:rsidRPr="0003469A">
        <w:rPr>
          <w:i/>
          <w:szCs w:val="24"/>
        </w:rPr>
        <w:t>Federa</w:t>
      </w:r>
      <w:r w:rsidR="000B7A69" w:rsidRPr="0003469A">
        <w:rPr>
          <w:i/>
          <w:szCs w:val="24"/>
        </w:rPr>
        <w:t>l Court (Co</w:t>
      </w:r>
      <w:r w:rsidR="00A271F7" w:rsidRPr="0003469A">
        <w:rPr>
          <w:i/>
          <w:szCs w:val="24"/>
        </w:rPr>
        <w:t>rporations) Rules 2000</w:t>
      </w:r>
      <w:r w:rsidR="00556AB0" w:rsidRPr="00681142">
        <w:rPr>
          <w:szCs w:val="24"/>
        </w:rPr>
        <w:t xml:space="preserve"> (</w:t>
      </w:r>
      <w:proofErr w:type="spellStart"/>
      <w:r w:rsidR="00556AB0" w:rsidRPr="00681142">
        <w:rPr>
          <w:szCs w:val="24"/>
        </w:rPr>
        <w:t>Cth</w:t>
      </w:r>
      <w:proofErr w:type="spellEnd"/>
      <w:r w:rsidR="00556AB0" w:rsidRPr="00681142">
        <w:rPr>
          <w:szCs w:val="24"/>
        </w:rPr>
        <w:t>)</w:t>
      </w:r>
      <w:r w:rsidR="000B7A69" w:rsidRPr="006D7E5A">
        <w:rPr>
          <w:szCs w:val="24"/>
        </w:rPr>
        <w:t>. If an application of that type is made, the respondent will be entitled to be heard and to test any factual material that Mr Huber relies upon.</w:t>
      </w:r>
      <w:r w:rsidR="009E755E" w:rsidRPr="006D7E5A">
        <w:rPr>
          <w:szCs w:val="24"/>
        </w:rPr>
        <w:t xml:space="preserve"> </w:t>
      </w:r>
      <w:r w:rsidR="000B7A69" w:rsidRPr="006D7E5A">
        <w:rPr>
          <w:szCs w:val="24"/>
        </w:rPr>
        <w:t>Thus, I do not consider any of the discretionary submissions of Mr Huber</w:t>
      </w:r>
      <w:r w:rsidR="00F23753">
        <w:rPr>
          <w:szCs w:val="24"/>
        </w:rPr>
        <w:t xml:space="preserve"> which proceed on the assumption that there is before the Court an application for leave to proceed.</w:t>
      </w:r>
    </w:p>
    <w:p w:rsidR="00681142" w:rsidRDefault="00681142" w:rsidP="00815065">
      <w:pPr>
        <w:pStyle w:val="BodyText"/>
      </w:pPr>
      <w:bookmarkStart w:id="25" w:name="Certification"/>
    </w:p>
    <w:tbl>
      <w:tblPr>
        <w:tblW w:w="0" w:type="auto"/>
        <w:tblLook w:val="04A0" w:firstRow="1" w:lastRow="0" w:firstColumn="1" w:lastColumn="0" w:noHBand="0" w:noVBand="1"/>
      </w:tblPr>
      <w:tblGrid>
        <w:gridCol w:w="3794"/>
      </w:tblGrid>
      <w:tr w:rsidR="00681142" w:rsidRPr="00681142">
        <w:tc>
          <w:tcPr>
            <w:tcW w:w="3794" w:type="dxa"/>
            <w:shd w:val="clear" w:color="auto" w:fill="auto"/>
          </w:tcPr>
          <w:p w:rsidR="00681142" w:rsidRPr="00681142" w:rsidRDefault="00681142" w:rsidP="00681142">
            <w:pPr>
              <w:pStyle w:val="Normal1linespace"/>
            </w:pPr>
            <w:r w:rsidRPr="00681142">
              <w:t xml:space="preserve">I certify that the preceding </w:t>
            </w:r>
            <w:bookmarkStart w:id="26" w:name="NumberWord"/>
            <w:r>
              <w:t>twenty</w:t>
            </w:r>
            <w:bookmarkEnd w:id="26"/>
            <w:r w:rsidRPr="00681142">
              <w:t xml:space="preserve"> (</w:t>
            </w:r>
            <w:bookmarkStart w:id="27" w:name="NumberNumeral"/>
            <w:r>
              <w:t>20</w:t>
            </w:r>
            <w:bookmarkEnd w:id="27"/>
            <w:r w:rsidRPr="00681142">
              <w:t xml:space="preserve">) numbered </w:t>
            </w:r>
            <w:bookmarkStart w:id="28" w:name="CertPara"/>
            <w:r>
              <w:t>paragraphs are</w:t>
            </w:r>
            <w:bookmarkEnd w:id="28"/>
            <w:r w:rsidRPr="00681142">
              <w:t xml:space="preserve"> a true copy of the Reasons for Judgment of </w:t>
            </w:r>
            <w:bookmarkStart w:id="29" w:name="bkHonourable"/>
            <w:r w:rsidRPr="00681142">
              <w:t xml:space="preserve">the Honourable </w:t>
            </w:r>
            <w:bookmarkStart w:id="30" w:name="Justice"/>
            <w:bookmarkEnd w:id="29"/>
            <w:r>
              <w:t>Justice McElwaine</w:t>
            </w:r>
            <w:bookmarkEnd w:id="30"/>
            <w:r w:rsidRPr="00681142">
              <w:t>.</w:t>
            </w:r>
          </w:p>
        </w:tc>
      </w:tr>
    </w:tbl>
    <w:p w:rsidR="00681142" w:rsidRDefault="00681142" w:rsidP="00815065">
      <w:pPr>
        <w:pStyle w:val="BodyText"/>
      </w:pPr>
    </w:p>
    <w:p w:rsidR="00681142" w:rsidRDefault="00681142" w:rsidP="00815065">
      <w:pPr>
        <w:pStyle w:val="BodyText"/>
      </w:pPr>
    </w:p>
    <w:p w:rsidR="00681142" w:rsidRDefault="00681142" w:rsidP="00815065">
      <w:pPr>
        <w:pStyle w:val="BodyText"/>
      </w:pPr>
    </w:p>
    <w:p w:rsidR="00681142" w:rsidRDefault="00681142" w:rsidP="00815065">
      <w:pPr>
        <w:pStyle w:val="BodyText"/>
      </w:pPr>
      <w:r>
        <w:t>Associate:</w:t>
      </w:r>
      <w:r w:rsidR="00885ADE">
        <w:t xml:space="preserve"> </w:t>
      </w:r>
    </w:p>
    <w:p w:rsidR="00681142" w:rsidRDefault="00681142" w:rsidP="00815065">
      <w:pPr>
        <w:pStyle w:val="BodyText"/>
      </w:pPr>
    </w:p>
    <w:p w:rsidR="00681142" w:rsidRDefault="00681142" w:rsidP="00815065">
      <w:pPr>
        <w:pStyle w:val="BodyText"/>
        <w:tabs>
          <w:tab w:val="left" w:pos="1134"/>
        </w:tabs>
      </w:pPr>
      <w:r>
        <w:t>Dated:</w:t>
      </w:r>
      <w:r>
        <w:tab/>
      </w:r>
      <w:bookmarkStart w:id="31" w:name="CertifyDated"/>
      <w:r>
        <w:t>29 June 2022</w:t>
      </w:r>
      <w:bookmarkEnd w:id="31"/>
    </w:p>
    <w:p w:rsidR="00681142" w:rsidRDefault="00681142" w:rsidP="00815065">
      <w:pPr>
        <w:pStyle w:val="BodyText"/>
      </w:pPr>
    </w:p>
    <w:bookmarkEnd w:id="25"/>
    <w:p w:rsidR="00681142" w:rsidRPr="006D7E5A" w:rsidRDefault="00681142" w:rsidP="00681142">
      <w:pPr>
        <w:pStyle w:val="BodyText"/>
      </w:pPr>
    </w:p>
    <w:sectPr w:rsidR="00681142" w:rsidRPr="006D7E5A" w:rsidSect="00A84FD0">
      <w:headerReference w:type="even" r:id="rId19"/>
      <w:headerReference w:type="default" r:id="rId20"/>
      <w:footerReference w:type="default" r:id="rId21"/>
      <w:headerReference w:type="first" r:id="rId22"/>
      <w:footerReference w:type="first" r:id="rId23"/>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30B6" w:rsidRDefault="00FB30B6">
      <w:pPr>
        <w:spacing w:line="20" w:lineRule="exact"/>
      </w:pPr>
    </w:p>
    <w:p w:rsidR="00FB30B6" w:rsidRDefault="00FB30B6"/>
    <w:p w:rsidR="00FB30B6" w:rsidRDefault="00FB30B6"/>
  </w:endnote>
  <w:endnote w:type="continuationSeparator" w:id="0">
    <w:p w:rsidR="00FB30B6" w:rsidRDefault="00FB30B6">
      <w:r>
        <w:t xml:space="preserve"> </w:t>
      </w:r>
    </w:p>
    <w:p w:rsidR="00FB30B6" w:rsidRDefault="00FB30B6"/>
    <w:p w:rsidR="00FB30B6" w:rsidRDefault="00FB30B6"/>
  </w:endnote>
  <w:endnote w:type="continuationNotice" w:id="1">
    <w:p w:rsidR="00FB30B6" w:rsidRDefault="00FB30B6">
      <w:r>
        <w:t xml:space="preserve"> </w:t>
      </w:r>
    </w:p>
    <w:p w:rsidR="00FB30B6" w:rsidRDefault="00FB30B6"/>
    <w:p w:rsidR="00FB30B6" w:rsidRDefault="00FB30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142" w:rsidRDefault="006811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6E8" w:rsidRPr="00C47B9D" w:rsidRDefault="00A436E8"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59264" behindDoc="0" locked="0" layoutInCell="1" allowOverlap="1" wp14:anchorId="5164A62B" wp14:editId="1D479B30">
              <wp:simplePos x="0" y="0"/>
              <wp:positionH relativeFrom="column">
                <wp:posOffset>-28575</wp:posOffset>
              </wp:positionH>
              <wp:positionV relativeFrom="paragraph">
                <wp:posOffset>-635</wp:posOffset>
              </wp:positionV>
              <wp:extent cx="29432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8D136F"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05pt" to="22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" strokecolor="black [3213]"/>
          </w:pict>
        </mc:Fallback>
      </mc:AlternateContent>
    </w:r>
    <w:sdt>
      <w:sdtPr>
        <w:rPr>
          <w:bCs/>
          <w:sz w:val="18"/>
          <w:szCs w:val="18"/>
        </w:rPr>
        <w:tag w:val="MNC"/>
        <w:id w:val="1707292070"/>
        <w:dataBinding w:prefixMappings="xmlns:ns0='http://schemas.globalmacros.com/FCA'" w:xpath="/ns0:root[1]/ns0:Name[1]" w:storeItemID="{687E7CCB-4AA5-44E7-B148-17BA2B6F57C0}"/>
        <w:text w:multiLine="1"/>
      </w:sdtPr>
      <w:sdtEndPr/>
      <w:sdtContent>
        <w:r w:rsidR="00D957A0">
          <w:rPr>
            <w:bCs/>
            <w:sz w:val="18"/>
            <w:szCs w:val="18"/>
          </w:rPr>
          <w:t xml:space="preserve"> Huber V </w:t>
        </w:r>
        <w:proofErr w:type="spellStart"/>
        <w:r w:rsidR="00D957A0">
          <w:rPr>
            <w:bCs/>
            <w:sz w:val="18"/>
            <w:szCs w:val="18"/>
          </w:rPr>
          <w:t>CellOS</w:t>
        </w:r>
        <w:proofErr w:type="spellEnd"/>
        <w:r w:rsidR="00D957A0">
          <w:rPr>
            <w:bCs/>
            <w:sz w:val="18"/>
            <w:szCs w:val="18"/>
          </w:rPr>
          <w:t xml:space="preserve"> Software Ltd (in </w:t>
        </w:r>
        <w:proofErr w:type="spellStart"/>
        <w:r w:rsidR="00D957A0">
          <w:rPr>
            <w:bCs/>
            <w:sz w:val="18"/>
            <w:szCs w:val="18"/>
          </w:rPr>
          <w:t>liq</w:t>
        </w:r>
        <w:proofErr w:type="spellEnd"/>
        <w:r w:rsidR="00D957A0">
          <w:rPr>
            <w:bCs/>
            <w:sz w:val="18"/>
            <w:szCs w:val="18"/>
          </w:rPr>
          <w:t xml:space="preserve">) [2022] FCA 744 </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Pr="00A436E8" w:rsidRDefault="00395B24" w:rsidP="00A436E8">
    <w:pPr>
      <w:pStyle w:val="Footer"/>
      <w:jc w:val="center"/>
      <w:rPr>
        <w:sz w:val="28"/>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FD0" w:rsidRPr="00C47B9D" w:rsidRDefault="00A84FD0" w:rsidP="00E94CBF">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3360" behindDoc="0" locked="0" layoutInCell="1" allowOverlap="1" wp14:anchorId="5F193290" wp14:editId="64B5AC01">
              <wp:simplePos x="0" y="0"/>
              <wp:positionH relativeFrom="column">
                <wp:posOffset>-28575</wp:posOffset>
              </wp:positionH>
              <wp:positionV relativeFrom="paragraph">
                <wp:posOffset>21590</wp:posOffset>
              </wp:positionV>
              <wp:extent cx="29432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FA0344"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Av3wnR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831216538"/>
        <w:placeholder>
          <w:docPart w:val="AE0CF3358C9F42DEB2CFC7616BE9E6BF"/>
        </w:placeholder>
        <w:dataBinding w:prefixMappings="xmlns:ns0='http://schemas.globalmacros.com/FCA'" w:xpath="/ns0:root[1]/ns0:Name[1]" w:storeItemID="{687E7CCB-4AA5-44E7-B148-17BA2B6F57C0}"/>
        <w:text w:multiLine="1"/>
      </w:sdtPr>
      <w:sdtEndPr/>
      <w:sdtContent>
        <w:r w:rsidR="00D957A0">
          <w:rPr>
            <w:bCs/>
            <w:sz w:val="18"/>
            <w:szCs w:val="18"/>
          </w:rPr>
          <w:t xml:space="preserve"> Huber V </w:t>
        </w:r>
        <w:proofErr w:type="spellStart"/>
        <w:r w:rsidR="00D957A0">
          <w:rPr>
            <w:bCs/>
            <w:sz w:val="18"/>
            <w:szCs w:val="18"/>
          </w:rPr>
          <w:t>CellOS</w:t>
        </w:r>
        <w:proofErr w:type="spellEnd"/>
        <w:r w:rsidR="00D957A0">
          <w:rPr>
            <w:bCs/>
            <w:sz w:val="18"/>
            <w:szCs w:val="18"/>
          </w:rPr>
          <w:t xml:space="preserve"> Software Ltd (in </w:t>
        </w:r>
        <w:proofErr w:type="spellStart"/>
        <w:r w:rsidR="00D957A0">
          <w:rPr>
            <w:bCs/>
            <w:sz w:val="18"/>
            <w:szCs w:val="18"/>
          </w:rPr>
          <w:t>liq</w:t>
        </w:r>
        <w:proofErr w:type="spellEnd"/>
        <w:r w:rsidR="00D957A0">
          <w:rPr>
            <w:bCs/>
            <w:sz w:val="18"/>
            <w:szCs w:val="18"/>
          </w:rPr>
          <w:t xml:space="preserve">) [2022] FCA 744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Pr>
        <w:bCs/>
        <w:sz w:val="20"/>
      </w:rPr>
      <w:t>ii</w:t>
    </w:r>
    <w:r w:rsidRPr="00EA7F6D">
      <w:rPr>
        <w:bCs/>
        <w:noProof/>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6E8" w:rsidRPr="00C47B9D" w:rsidRDefault="00A436E8"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1312" behindDoc="0" locked="0" layoutInCell="1" allowOverlap="1" wp14:anchorId="28949F92" wp14:editId="68BA6B85">
              <wp:simplePos x="0" y="0"/>
              <wp:positionH relativeFrom="column">
                <wp:posOffset>-28575</wp:posOffset>
              </wp:positionH>
              <wp:positionV relativeFrom="paragraph">
                <wp:posOffset>21590</wp:posOffset>
              </wp:positionV>
              <wp:extent cx="29432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15DBC3"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" strokecolor="black [3213]"/>
          </w:pict>
        </mc:Fallback>
      </mc:AlternateContent>
    </w:r>
    <w:sdt>
      <w:sdtPr>
        <w:rPr>
          <w:bCs/>
          <w:sz w:val="18"/>
          <w:szCs w:val="18"/>
        </w:rPr>
        <w:tag w:val="MNC"/>
        <w:id w:val="510263260"/>
        <w:placeholder>
          <w:docPart w:val="6DC92291F57441CBBEFD8D5CF595A70C"/>
        </w:placeholder>
        <w:dataBinding w:prefixMappings="xmlns:ns0='http://schemas.globalmacros.com/FCA'" w:xpath="/ns0:root[1]/ns0:Name[1]" w:storeItemID="{687E7CCB-4AA5-44E7-B148-17BA2B6F57C0}"/>
        <w:text w:multiLine="1"/>
      </w:sdtPr>
      <w:sdtEndPr/>
      <w:sdtContent>
        <w:r w:rsidR="00D957A0">
          <w:rPr>
            <w:bCs/>
            <w:sz w:val="18"/>
            <w:szCs w:val="18"/>
          </w:rPr>
          <w:t xml:space="preserve"> Huber V </w:t>
        </w:r>
        <w:proofErr w:type="spellStart"/>
        <w:r w:rsidR="00D957A0">
          <w:rPr>
            <w:bCs/>
            <w:sz w:val="18"/>
            <w:szCs w:val="18"/>
          </w:rPr>
          <w:t>CellOS</w:t>
        </w:r>
        <w:proofErr w:type="spellEnd"/>
        <w:r w:rsidR="00D957A0">
          <w:rPr>
            <w:bCs/>
            <w:sz w:val="18"/>
            <w:szCs w:val="18"/>
          </w:rPr>
          <w:t xml:space="preserve"> Software Ltd (in </w:t>
        </w:r>
        <w:proofErr w:type="spellStart"/>
        <w:r w:rsidR="00D957A0">
          <w:rPr>
            <w:bCs/>
            <w:sz w:val="18"/>
            <w:szCs w:val="18"/>
          </w:rPr>
          <w:t>liq</w:t>
        </w:r>
        <w:proofErr w:type="spellEnd"/>
        <w:r w:rsidR="00D957A0">
          <w:rPr>
            <w:bCs/>
            <w:sz w:val="18"/>
            <w:szCs w:val="18"/>
          </w:rPr>
          <w:t xml:space="preserve">) [2022] FCA 744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951C5D">
      <w:rPr>
        <w:bCs/>
        <w:noProof/>
        <w:sz w:val="20"/>
      </w:rPr>
      <w:t>i</w:t>
    </w:r>
    <w:r w:rsidRPr="00EA7F6D">
      <w:rPr>
        <w:bCs/>
        <w:noProof/>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FD0" w:rsidRPr="00C47B9D" w:rsidRDefault="00A84FD0"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7456" behindDoc="0" locked="0" layoutInCell="1" allowOverlap="1" wp14:anchorId="42D62352" wp14:editId="2C15D143">
              <wp:simplePos x="0" y="0"/>
              <wp:positionH relativeFrom="column">
                <wp:posOffset>-28575</wp:posOffset>
              </wp:positionH>
              <wp:positionV relativeFrom="paragraph">
                <wp:posOffset>21590</wp:posOffset>
              </wp:positionV>
              <wp:extent cx="294322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639A8C"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" strokecolor="black [3213]"/>
          </w:pict>
        </mc:Fallback>
      </mc:AlternateContent>
    </w:r>
    <w:sdt>
      <w:sdtPr>
        <w:rPr>
          <w:bCs/>
          <w:sz w:val="18"/>
          <w:szCs w:val="18"/>
        </w:rPr>
        <w:tag w:val="MNC"/>
        <w:id w:val="1095746746"/>
        <w:placeholder>
          <w:docPart w:val="D932F575AC344081A1E99258A3B57A84"/>
        </w:placeholder>
        <w:dataBinding w:prefixMappings="xmlns:ns0='http://schemas.globalmacros.com/FCA'" w:xpath="/ns0:root[1]/ns0:Name[1]" w:storeItemID="{687E7CCB-4AA5-44E7-B148-17BA2B6F57C0}"/>
        <w:text w:multiLine="1"/>
      </w:sdtPr>
      <w:sdtEndPr/>
      <w:sdtContent>
        <w:r w:rsidR="00D957A0">
          <w:rPr>
            <w:bCs/>
            <w:sz w:val="18"/>
            <w:szCs w:val="18"/>
          </w:rPr>
          <w:t xml:space="preserve"> Huber V </w:t>
        </w:r>
        <w:proofErr w:type="spellStart"/>
        <w:r w:rsidR="00D957A0">
          <w:rPr>
            <w:bCs/>
            <w:sz w:val="18"/>
            <w:szCs w:val="18"/>
          </w:rPr>
          <w:t>CellOS</w:t>
        </w:r>
        <w:proofErr w:type="spellEnd"/>
        <w:r w:rsidR="00D957A0">
          <w:rPr>
            <w:bCs/>
            <w:sz w:val="18"/>
            <w:szCs w:val="18"/>
          </w:rPr>
          <w:t xml:space="preserve"> Software Ltd (in </w:t>
        </w:r>
        <w:proofErr w:type="spellStart"/>
        <w:r w:rsidR="00D957A0">
          <w:rPr>
            <w:bCs/>
            <w:sz w:val="18"/>
            <w:szCs w:val="18"/>
          </w:rPr>
          <w:t>liq</w:t>
        </w:r>
        <w:proofErr w:type="spellEnd"/>
        <w:r w:rsidR="00D957A0">
          <w:rPr>
            <w:bCs/>
            <w:sz w:val="18"/>
            <w:szCs w:val="18"/>
          </w:rPr>
          <w:t xml:space="preserve">) [2022] FCA 744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951C5D">
      <w:rPr>
        <w:bCs/>
        <w:noProof/>
        <w:sz w:val="20"/>
      </w:rPr>
      <w:t>8</w:t>
    </w:r>
    <w:r w:rsidRPr="00EA7F6D">
      <w:rPr>
        <w:bCs/>
        <w:noProof/>
        <w:sz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FD0" w:rsidRPr="00C47B9D" w:rsidRDefault="00A84FD0"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5408" behindDoc="0" locked="0" layoutInCell="1" allowOverlap="1" wp14:anchorId="5C09D453" wp14:editId="00235DF5">
              <wp:simplePos x="0" y="0"/>
              <wp:positionH relativeFrom="column">
                <wp:posOffset>-28575</wp:posOffset>
              </wp:positionH>
              <wp:positionV relativeFrom="paragraph">
                <wp:posOffset>21590</wp:posOffset>
              </wp:positionV>
              <wp:extent cx="29432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0A86E6" id="Straight Connector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CXUeOM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1532949365"/>
        <w:placeholder>
          <w:docPart w:val="53A7138E4DFE419BA5D3E74282BD335F"/>
        </w:placeholder>
        <w:dataBinding w:prefixMappings="xmlns:ns0='http://schemas.globalmacros.com/FCA'" w:xpath="/ns0:root[1]/ns0:Name[1]" w:storeItemID="{687E7CCB-4AA5-44E7-B148-17BA2B6F57C0}"/>
        <w:text w:multiLine="1"/>
      </w:sdtPr>
      <w:sdtEndPr/>
      <w:sdtContent>
        <w:r w:rsidR="00D957A0">
          <w:rPr>
            <w:bCs/>
            <w:sz w:val="18"/>
            <w:szCs w:val="18"/>
          </w:rPr>
          <w:t xml:space="preserve"> Huber V </w:t>
        </w:r>
        <w:proofErr w:type="spellStart"/>
        <w:r w:rsidR="00D957A0">
          <w:rPr>
            <w:bCs/>
            <w:sz w:val="18"/>
            <w:szCs w:val="18"/>
          </w:rPr>
          <w:t>CellOS</w:t>
        </w:r>
        <w:proofErr w:type="spellEnd"/>
        <w:r w:rsidR="00D957A0">
          <w:rPr>
            <w:bCs/>
            <w:sz w:val="18"/>
            <w:szCs w:val="18"/>
          </w:rPr>
          <w:t xml:space="preserve"> Software Ltd (in </w:t>
        </w:r>
        <w:proofErr w:type="spellStart"/>
        <w:r w:rsidR="00D957A0">
          <w:rPr>
            <w:bCs/>
            <w:sz w:val="18"/>
            <w:szCs w:val="18"/>
          </w:rPr>
          <w:t>liq</w:t>
        </w:r>
        <w:proofErr w:type="spellEnd"/>
        <w:r w:rsidR="00D957A0">
          <w:rPr>
            <w:bCs/>
            <w:sz w:val="18"/>
            <w:szCs w:val="18"/>
          </w:rPr>
          <w:t xml:space="preserve">) [2022] FCA 744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951C5D">
      <w:rPr>
        <w:bCs/>
        <w:noProof/>
        <w:sz w:val="20"/>
      </w:rPr>
      <w:t>1</w:t>
    </w:r>
    <w:r w:rsidRPr="00EA7F6D">
      <w:rPr>
        <w:bCs/>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30B6" w:rsidRDefault="00FB30B6"/>
  </w:footnote>
  <w:footnote w:type="continuationSeparator" w:id="0">
    <w:p w:rsidR="00FB30B6" w:rsidRDefault="00FB30B6">
      <w:r>
        <w:continuationSeparator/>
      </w:r>
    </w:p>
    <w:p w:rsidR="00FB30B6" w:rsidRDefault="00FB30B6"/>
    <w:p w:rsidR="00FB30B6" w:rsidRDefault="00FB30B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142" w:rsidRDefault="006811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142" w:rsidRDefault="006811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142" w:rsidRDefault="0068114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pPr>
      <w:tabs>
        <w:tab w:val="center" w:pos="4512"/>
      </w:tabs>
      <w:suppressAutoHyphen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pPr>
      <w:pStyle w:val="Header"/>
      <w:tabs>
        <w:tab w:val="clear" w:pos="4320"/>
        <w:tab w:val="clear" w:pos="8640"/>
      </w:tabs>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pPr>
      <w:tabs>
        <w:tab w:val="center" w:pos="4512"/>
      </w:tabs>
      <w:suppressAutoHyphens/>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rsidP="00A436E8">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9E2A2F"/>
    <w:multiLevelType w:val="multilevel"/>
    <w:tmpl w:val="F61AF490"/>
    <w:styleLink w:val="FCListNoalt"/>
    <w:lvl w:ilvl="0">
      <w:start w:val="1"/>
      <w:numFmt w:val="lowerLetter"/>
      <w:lvlRestart w:val="0"/>
      <w:pStyle w:val="ListNo1alt"/>
      <w:lvlText w:val="(%1)"/>
      <w:lvlJc w:val="left"/>
      <w:pPr>
        <w:tabs>
          <w:tab w:val="num" w:pos="720"/>
        </w:tabs>
        <w:ind w:left="720" w:hanging="720"/>
      </w:pPr>
      <w:rPr>
        <w:rFonts w:ascii="Times New Roman" w:hAnsi="Times New Roman" w:hint="default"/>
      </w:rPr>
    </w:lvl>
    <w:lvl w:ilvl="1">
      <w:start w:val="1"/>
      <w:numFmt w:val="lowerRoman"/>
      <w:pStyle w:val="ListNo2alt"/>
      <w:lvlText w:val="(%2)"/>
      <w:lvlJc w:val="left"/>
      <w:pPr>
        <w:tabs>
          <w:tab w:val="num" w:pos="1440"/>
        </w:tabs>
        <w:ind w:left="1440" w:hanging="720"/>
      </w:pPr>
      <w:rPr>
        <w:rFonts w:hint="default"/>
      </w:rPr>
    </w:lvl>
    <w:lvl w:ilvl="2">
      <w:start w:val="1"/>
      <w:numFmt w:val="upperLetter"/>
      <w:pStyle w:val="ListNo3alt"/>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1" w15:restartNumberingAfterBreak="0">
    <w:nsid w:val="0AB90312"/>
    <w:multiLevelType w:val="multilevel"/>
    <w:tmpl w:val="A3101B7C"/>
    <w:lvl w:ilvl="0">
      <w:start w:val="1"/>
      <w:numFmt w:val="decimal"/>
      <w:lvlText w:val="%1."/>
      <w:lvlJc w:val="left"/>
      <w:pPr>
        <w:tabs>
          <w:tab w:val="num" w:pos="720"/>
        </w:tabs>
        <w:ind w:left="720" w:hanging="360"/>
      </w:pPr>
      <w:rPr>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3" w15:restartNumberingAfterBreak="0">
    <w:nsid w:val="168F28D0"/>
    <w:multiLevelType w:val="multilevel"/>
    <w:tmpl w:val="D26E5E56"/>
    <w:lvl w:ilvl="0">
      <w:start w:val="1"/>
      <w:numFmt w:val="bullet"/>
      <w:pStyle w:val="FCBullets"/>
      <w:lvlText w:val=""/>
      <w:lvlJc w:val="left"/>
      <w:pPr>
        <w:tabs>
          <w:tab w:val="num" w:pos="720"/>
        </w:tabs>
        <w:ind w:left="720" w:hanging="720"/>
      </w:pPr>
      <w:rPr>
        <w:rFonts w:ascii="Symbol" w:hAnsi="Symbol" w:hint="default"/>
      </w:rPr>
    </w:lvl>
    <w:lvl w:ilvl="1">
      <w:start w:val="1"/>
      <w:numFmt w:val="bullet"/>
      <w:pStyle w:val="FCBullets2"/>
      <w:lvlText w:val=""/>
      <w:lvlJc w:val="left"/>
      <w:pPr>
        <w:tabs>
          <w:tab w:val="num" w:pos="1440"/>
        </w:tabs>
        <w:ind w:left="1440" w:hanging="720"/>
      </w:pPr>
      <w:rPr>
        <w:rFonts w:ascii="Symbol" w:hAnsi="Symbol" w:hint="default"/>
        <w:sz w:val="24"/>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4"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5" w15:restartNumberingAfterBreak="0">
    <w:nsid w:val="221C4E9C"/>
    <w:multiLevelType w:val="hybridMultilevel"/>
    <w:tmpl w:val="E932B5EE"/>
    <w:lvl w:ilvl="0" w:tplc="E4E497A2">
      <w:start w:val="1"/>
      <w:numFmt w:val="lowerLetter"/>
      <w:lvlText w:val="(%1)"/>
      <w:lvlJc w:val="left"/>
      <w:pPr>
        <w:ind w:left="1440" w:hanging="360"/>
      </w:pPr>
      <w:rPr>
        <w:rFonts w:ascii="Times New Roman" w:eastAsia="Batang" w:hAnsi="Times New Roman" w:cs="Times New Roman"/>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7" w15:restartNumberingAfterBreak="0">
    <w:nsid w:val="2AD4345C"/>
    <w:multiLevelType w:val="multilevel"/>
    <w:tmpl w:val="A1C8FFD0"/>
    <w:styleLink w:val="FCOrders"/>
    <w:lvl w:ilvl="0">
      <w:start w:val="1"/>
      <w:numFmt w:val="decimal"/>
      <w:pStyle w:val="Order1"/>
      <w:lvlText w:val="%1."/>
      <w:lvlJc w:val="left"/>
      <w:pPr>
        <w:tabs>
          <w:tab w:val="num" w:pos="720"/>
        </w:tabs>
        <w:ind w:left="720" w:hanging="720"/>
      </w:pPr>
      <w:rPr>
        <w:rFonts w:ascii="Times New Roman" w:hAnsi="Times New Roman" w:hint="default"/>
        <w:sz w:val="24"/>
      </w:rPr>
    </w:lvl>
    <w:lvl w:ilvl="1">
      <w:start w:val="1"/>
      <w:numFmt w:val="lowerLetter"/>
      <w:pStyle w:val="Order2"/>
      <w:lvlText w:val="(%2)"/>
      <w:lvlJc w:val="left"/>
      <w:pPr>
        <w:tabs>
          <w:tab w:val="num" w:pos="1440"/>
        </w:tabs>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start w:val="1"/>
      <w:numFmt w:val="upperLetter"/>
      <w:pStyle w:val="Order4"/>
      <w:lvlText w:val="%4."/>
      <w:lvlJc w:val="left"/>
      <w:pPr>
        <w:tabs>
          <w:tab w:val="num" w:pos="2160"/>
        </w:tabs>
        <w:ind w:left="2880" w:hanging="72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8" w15:restartNumberingAfterBreak="0">
    <w:nsid w:val="2AF11FCB"/>
    <w:multiLevelType w:val="hybridMultilevel"/>
    <w:tmpl w:val="94A6534E"/>
    <w:lvl w:ilvl="0" w:tplc="31029F3C">
      <w:start w:val="1"/>
      <w:numFmt w:val="bullet"/>
      <w:pStyle w:val="Quote4Bullet"/>
      <w:lvlText w:val=""/>
      <w:lvlJc w:val="left"/>
      <w:pPr>
        <w:ind w:left="3600" w:hanging="360"/>
      </w:pPr>
      <w:rPr>
        <w:rFonts w:ascii="Symbol" w:hAnsi="Symbol" w:hint="default"/>
        <w:sz w:val="16"/>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9" w15:restartNumberingAfterBreak="0">
    <w:nsid w:val="32D95B3D"/>
    <w:multiLevelType w:val="multilevel"/>
    <w:tmpl w:val="253A8338"/>
    <w:styleLink w:val="FCNotes"/>
    <w:lvl w:ilvl="0">
      <w:start w:val="1"/>
      <w:numFmt w:val="upperLetter"/>
      <w:pStyle w:val="Notes"/>
      <w:lvlText w:val="%1."/>
      <w:lvlJc w:val="left"/>
      <w:pPr>
        <w:tabs>
          <w:tab w:val="num" w:pos="720"/>
        </w:tabs>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33561E2E"/>
    <w:multiLevelType w:val="hybridMultilevel"/>
    <w:tmpl w:val="433821BE"/>
    <w:lvl w:ilvl="0" w:tplc="DE3AD0E2">
      <w:start w:val="1"/>
      <w:numFmt w:val="bullet"/>
      <w:pStyle w:val="Quote3Bullet"/>
      <w:lvlText w:val=""/>
      <w:lvlJc w:val="left"/>
      <w:pPr>
        <w:ind w:left="2880" w:hanging="360"/>
      </w:pPr>
      <w:rPr>
        <w:rFonts w:ascii="Wingdings" w:hAnsi="Wingdings" w:hint="default"/>
      </w:rPr>
    </w:lvl>
    <w:lvl w:ilvl="1" w:tplc="0C090003">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1" w15:restartNumberingAfterBreak="0">
    <w:nsid w:val="494817A7"/>
    <w:multiLevelType w:val="multilevel"/>
    <w:tmpl w:val="0F0EC90E"/>
    <w:numStyleLink w:val="FCListNo"/>
  </w:abstractNum>
  <w:abstractNum w:abstractNumId="22"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5" w15:restartNumberingAfterBreak="0">
    <w:nsid w:val="6BBB3ABD"/>
    <w:multiLevelType w:val="hybridMultilevel"/>
    <w:tmpl w:val="47FE3828"/>
    <w:lvl w:ilvl="0" w:tplc="0C090017">
      <w:start w:val="1"/>
      <w:numFmt w:val="lowerLetter"/>
      <w:lvlText w:val="%1)"/>
      <w:lvlJc w:val="left"/>
      <w:pPr>
        <w:ind w:left="720" w:hanging="360"/>
      </w:pPr>
    </w:lvl>
    <w:lvl w:ilvl="1" w:tplc="E4E497A2">
      <w:start w:val="1"/>
      <w:numFmt w:val="lowerLetter"/>
      <w:lvlText w:val="(%2)"/>
      <w:lvlJc w:val="left"/>
      <w:pPr>
        <w:ind w:left="1440" w:hanging="360"/>
      </w:pPr>
      <w:rPr>
        <w:rFonts w:ascii="Times New Roman" w:eastAsia="Batang" w:hAnsi="Times New Roman" w:cs="Times New Roman"/>
        <w:sz w:val="22"/>
        <w:szCs w:val="22"/>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7"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22"/>
  </w:num>
  <w:num w:numId="14">
    <w:abstractNumId w:val="23"/>
  </w:num>
  <w:num w:numId="15">
    <w:abstractNumId w:val="27"/>
  </w:num>
  <w:num w:numId="16">
    <w:abstractNumId w:val="14"/>
  </w:num>
  <w:num w:numId="17">
    <w:abstractNumId w:val="26"/>
  </w:num>
  <w:num w:numId="18">
    <w:abstractNumId w:val="12"/>
  </w:num>
  <w:num w:numId="19">
    <w:abstractNumId w:val="20"/>
  </w:num>
  <w:num w:numId="20">
    <w:abstractNumId w:val="17"/>
  </w:num>
  <w:num w:numId="21">
    <w:abstractNumId w:val="18"/>
  </w:num>
  <w:num w:numId="22">
    <w:abstractNumId w:val="21"/>
  </w:num>
  <w:num w:numId="23">
    <w:abstractNumId w:val="10"/>
  </w:num>
  <w:num w:numId="24">
    <w:abstractNumId w:val="10"/>
  </w:num>
  <w:num w:numId="25">
    <w:abstractNumId w:val="13"/>
  </w:num>
  <w:num w:numId="26">
    <w:abstractNumId w:val="19"/>
  </w:num>
  <w:num w:numId="27">
    <w:abstractNumId w:val="19"/>
  </w:num>
  <w:num w:numId="28">
    <w:abstractNumId w:val="11"/>
    <w:lvlOverride w:ilvl="0">
      <w:startOverride w:val="1"/>
    </w:lvlOverride>
  </w:num>
  <w:num w:numId="29">
    <w:abstractNumId w:val="11"/>
    <w:lvlOverride w:ilvl="0">
      <w:startOverride w:val="2"/>
    </w:lvlOverride>
  </w:num>
  <w:num w:numId="30">
    <w:abstractNumId w:val="11"/>
    <w:lvlOverride w:ilvl="0">
      <w:startOverride w:val="3"/>
    </w:lvlOverride>
  </w:num>
  <w:num w:numId="31">
    <w:abstractNumId w:val="11"/>
    <w:lvlOverride w:ilvl="0">
      <w:startOverride w:val="4"/>
    </w:lvlOverride>
  </w:num>
  <w:num w:numId="32">
    <w:abstractNumId w:val="11"/>
    <w:lvlOverride w:ilvl="0">
      <w:startOverride w:val="5"/>
    </w:lvlOverride>
  </w:num>
  <w:num w:numId="33">
    <w:abstractNumId w:val="11"/>
    <w:lvlOverride w:ilvl="0">
      <w:startOverride w:val="6"/>
    </w:lvlOverride>
  </w:num>
  <w:num w:numId="34">
    <w:abstractNumId w:val="11"/>
    <w:lvlOverride w:ilvl="0">
      <w:startOverride w:val="7"/>
    </w:lvlOverride>
  </w:num>
  <w:num w:numId="35">
    <w:abstractNumId w:val="11"/>
    <w:lvlOverride w:ilvl="0">
      <w:startOverride w:val="8"/>
    </w:lvlOverride>
  </w:num>
  <w:num w:numId="36">
    <w:abstractNumId w:val="11"/>
    <w:lvlOverride w:ilvl="0">
      <w:startOverride w:val="9"/>
    </w:lvlOverride>
  </w:num>
  <w:num w:numId="37">
    <w:abstractNumId w:val="25"/>
  </w:num>
  <w:num w:numId="38">
    <w:abstractNumId w:val="15"/>
  </w:num>
  <w:num w:numId="39">
    <w:abstractNumId w:val="17"/>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8" w:dllVersion="513"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Applicant" w:val="Jason Joseph Emmanuel Huber"/>
    <w:docVar w:name="CounselParties" w:val="Applicant"/>
    <w:docVar w:name="CounselType" w:val="Solicitor for the "/>
    <w:docVar w:name="Court" w:val="Federal Court of Australia (FCA)"/>
    <w:docVar w:name="Cross1AndAnother" w:val="True"/>
    <w:docVar w:name="Cross1AndOthers" w:val="False"/>
    <w:docVar w:name="Cross2AndAnother" w:val="True"/>
    <w:docVar w:name="Cross2AndOthers" w:val="False"/>
    <w:docVar w:name="Defenders" w:val="(and another named in the Schedule)"/>
    <w:docVar w:name="dgnword-docGUID" w:val="{C1A0AC5B-380B-455A-8765-AD642DF7A0A2}"/>
    <w:docVar w:name="dgnword-eventsink" w:val="555194144"/>
    <w:docVar w:name="Division" w:val="FCA General Division"/>
    <w:docVar w:name="DocCreated" w:val="True"/>
    <w:docVar w:name="FileNumbers" w:val="VID 338/2020"/>
    <w:docVar w:name="Initiators" w:val="(and another named in the Schedule)"/>
    <w:docVar w:name="Judgdate" w:val="29 June 2022"/>
    <w:docVar w:name="Judge" w:val="McElwaine"/>
    <w:docVar w:name="JudgeType" w:val="Justice"/>
    <w:docVar w:name="lstEntryList" w:val="-1"/>
    <w:docVar w:name="myEntryList" w:val="Solicitor for the Respondent=Mills Oakley|Solicitor for the Applicant=The Applicant was self-represented"/>
    <w:docVar w:name="NSD" w:val="NSD "/>
    <w:docVar w:name="NumApps" w:val="1"/>
    <w:docVar w:name="NumApps_" w:val="1"/>
    <w:docVar w:name="NumCrossResps" w:val="0"/>
    <w:docVar w:name="NumDefs" w:val="1"/>
    <w:docVar w:name="NumOthers" w:val="0"/>
    <w:docVar w:name="OtherNum" w:val="0"/>
    <w:docVar w:name="Parties1" w:val="Applicant"/>
    <w:docVar w:name="Parties2" w:val="Respondent"/>
    <w:docVar w:name="Parties3" w:val="Cross-Appellant"/>
    <w:docVar w:name="Parties4" w:val="Cross-Defendant"/>
    <w:docVar w:name="Parties5" w:val="Intervener"/>
    <w:docVar w:name="Place" w:val="N/A FCA"/>
    <w:docVar w:name="PracticeArea" w:val="TBC"/>
    <w:docVar w:name="RESAndAnother" w:val="True"/>
    <w:docVar w:name="RESAndOthers" w:val="False"/>
    <w:docVar w:name="Respondent" w:val="Cellos Sftware Ltd ( In Liquidation)"/>
    <w:docVar w:name="ResState" w:val="N/A FCFCOA"/>
    <w:docVar w:name="SubArea" w:val="TBC"/>
  </w:docVars>
  <w:rsids>
    <w:rsidRoot w:val="0056433D"/>
    <w:rsid w:val="00000747"/>
    <w:rsid w:val="000115C5"/>
    <w:rsid w:val="0001469E"/>
    <w:rsid w:val="00015993"/>
    <w:rsid w:val="000178E6"/>
    <w:rsid w:val="00021CCB"/>
    <w:rsid w:val="00022289"/>
    <w:rsid w:val="000237E9"/>
    <w:rsid w:val="00027398"/>
    <w:rsid w:val="0003201A"/>
    <w:rsid w:val="0003207A"/>
    <w:rsid w:val="00032F9F"/>
    <w:rsid w:val="0003469A"/>
    <w:rsid w:val="00041C07"/>
    <w:rsid w:val="00045BB7"/>
    <w:rsid w:val="00046FEB"/>
    <w:rsid w:val="00055719"/>
    <w:rsid w:val="0005641B"/>
    <w:rsid w:val="0006196A"/>
    <w:rsid w:val="000650F0"/>
    <w:rsid w:val="00071FB3"/>
    <w:rsid w:val="00077768"/>
    <w:rsid w:val="00081497"/>
    <w:rsid w:val="000831EC"/>
    <w:rsid w:val="00084126"/>
    <w:rsid w:val="00085255"/>
    <w:rsid w:val="00085CB6"/>
    <w:rsid w:val="000A2E76"/>
    <w:rsid w:val="000A4807"/>
    <w:rsid w:val="000A4BE4"/>
    <w:rsid w:val="000B7A69"/>
    <w:rsid w:val="000C023E"/>
    <w:rsid w:val="000C405D"/>
    <w:rsid w:val="000C5195"/>
    <w:rsid w:val="000C62EF"/>
    <w:rsid w:val="000D2137"/>
    <w:rsid w:val="000D3FD2"/>
    <w:rsid w:val="000D4B2E"/>
    <w:rsid w:val="000E3FC8"/>
    <w:rsid w:val="000E7BAE"/>
    <w:rsid w:val="000F133D"/>
    <w:rsid w:val="0010536B"/>
    <w:rsid w:val="0011145C"/>
    <w:rsid w:val="001128BD"/>
    <w:rsid w:val="0011419D"/>
    <w:rsid w:val="00114B02"/>
    <w:rsid w:val="001226C0"/>
    <w:rsid w:val="00126EC8"/>
    <w:rsid w:val="0012731C"/>
    <w:rsid w:val="00132054"/>
    <w:rsid w:val="00134964"/>
    <w:rsid w:val="001351B9"/>
    <w:rsid w:val="00150DF4"/>
    <w:rsid w:val="00150FDC"/>
    <w:rsid w:val="00155CD2"/>
    <w:rsid w:val="001727A4"/>
    <w:rsid w:val="0017376C"/>
    <w:rsid w:val="001738AB"/>
    <w:rsid w:val="001765E0"/>
    <w:rsid w:val="00177759"/>
    <w:rsid w:val="00180BB3"/>
    <w:rsid w:val="00185DD6"/>
    <w:rsid w:val="00185E6B"/>
    <w:rsid w:val="00187BBC"/>
    <w:rsid w:val="001932F3"/>
    <w:rsid w:val="001951DA"/>
    <w:rsid w:val="001A2B40"/>
    <w:rsid w:val="001A4309"/>
    <w:rsid w:val="001A46AE"/>
    <w:rsid w:val="001A6C52"/>
    <w:rsid w:val="001B1053"/>
    <w:rsid w:val="001B14AC"/>
    <w:rsid w:val="001B7940"/>
    <w:rsid w:val="001C171A"/>
    <w:rsid w:val="001C2FE0"/>
    <w:rsid w:val="001C37CA"/>
    <w:rsid w:val="001C4085"/>
    <w:rsid w:val="001D4303"/>
    <w:rsid w:val="001D6746"/>
    <w:rsid w:val="001E0C61"/>
    <w:rsid w:val="001E3B49"/>
    <w:rsid w:val="001E4A05"/>
    <w:rsid w:val="001E6A19"/>
    <w:rsid w:val="001E7388"/>
    <w:rsid w:val="001F13DD"/>
    <w:rsid w:val="001F2473"/>
    <w:rsid w:val="001F2DBC"/>
    <w:rsid w:val="001F73E8"/>
    <w:rsid w:val="0020262C"/>
    <w:rsid w:val="00202723"/>
    <w:rsid w:val="00211A3E"/>
    <w:rsid w:val="00213F20"/>
    <w:rsid w:val="00214055"/>
    <w:rsid w:val="00215BCA"/>
    <w:rsid w:val="002160F5"/>
    <w:rsid w:val="00217AC4"/>
    <w:rsid w:val="00221461"/>
    <w:rsid w:val="00224537"/>
    <w:rsid w:val="00235956"/>
    <w:rsid w:val="00243E5E"/>
    <w:rsid w:val="002467A6"/>
    <w:rsid w:val="00247C9A"/>
    <w:rsid w:val="0025160C"/>
    <w:rsid w:val="002535D0"/>
    <w:rsid w:val="002539B3"/>
    <w:rsid w:val="00256336"/>
    <w:rsid w:val="00257C3E"/>
    <w:rsid w:val="002602C2"/>
    <w:rsid w:val="002666C9"/>
    <w:rsid w:val="00270136"/>
    <w:rsid w:val="00270FD7"/>
    <w:rsid w:val="0027350F"/>
    <w:rsid w:val="00274F5B"/>
    <w:rsid w:val="00280836"/>
    <w:rsid w:val="00282E1A"/>
    <w:rsid w:val="002840F1"/>
    <w:rsid w:val="00285922"/>
    <w:rsid w:val="0029113B"/>
    <w:rsid w:val="00291F2C"/>
    <w:rsid w:val="002934C0"/>
    <w:rsid w:val="00293E1F"/>
    <w:rsid w:val="00296CB6"/>
    <w:rsid w:val="0029764C"/>
    <w:rsid w:val="002A1B50"/>
    <w:rsid w:val="002B0E91"/>
    <w:rsid w:val="002B132C"/>
    <w:rsid w:val="002B3F23"/>
    <w:rsid w:val="002B4EB5"/>
    <w:rsid w:val="002B5AF5"/>
    <w:rsid w:val="002B6779"/>
    <w:rsid w:val="002B71C0"/>
    <w:rsid w:val="002B7A34"/>
    <w:rsid w:val="002C31AD"/>
    <w:rsid w:val="002C7385"/>
    <w:rsid w:val="002D2DBB"/>
    <w:rsid w:val="002D37D8"/>
    <w:rsid w:val="002D44BA"/>
    <w:rsid w:val="002D54A6"/>
    <w:rsid w:val="002E3779"/>
    <w:rsid w:val="002E5BF9"/>
    <w:rsid w:val="002E6A7A"/>
    <w:rsid w:val="002F1E49"/>
    <w:rsid w:val="002F4E9C"/>
    <w:rsid w:val="002F6E15"/>
    <w:rsid w:val="003024A0"/>
    <w:rsid w:val="00302F4E"/>
    <w:rsid w:val="0030335C"/>
    <w:rsid w:val="003051A1"/>
    <w:rsid w:val="0031256C"/>
    <w:rsid w:val="00314D6C"/>
    <w:rsid w:val="00316D2A"/>
    <w:rsid w:val="00320CCE"/>
    <w:rsid w:val="00322A7C"/>
    <w:rsid w:val="00322EEC"/>
    <w:rsid w:val="00323061"/>
    <w:rsid w:val="0033440A"/>
    <w:rsid w:val="003402D3"/>
    <w:rsid w:val="0034068E"/>
    <w:rsid w:val="00343ABC"/>
    <w:rsid w:val="003463FE"/>
    <w:rsid w:val="003472FC"/>
    <w:rsid w:val="00347D41"/>
    <w:rsid w:val="003554B3"/>
    <w:rsid w:val="00356632"/>
    <w:rsid w:val="00357C7E"/>
    <w:rsid w:val="003653B6"/>
    <w:rsid w:val="00370327"/>
    <w:rsid w:val="00374CC4"/>
    <w:rsid w:val="003774B2"/>
    <w:rsid w:val="00380F2D"/>
    <w:rsid w:val="003845A9"/>
    <w:rsid w:val="003850C9"/>
    <w:rsid w:val="00390883"/>
    <w:rsid w:val="003922F8"/>
    <w:rsid w:val="00395B24"/>
    <w:rsid w:val="003A2D38"/>
    <w:rsid w:val="003A7ECC"/>
    <w:rsid w:val="003B2C72"/>
    <w:rsid w:val="003B58B4"/>
    <w:rsid w:val="003C1333"/>
    <w:rsid w:val="003C20FF"/>
    <w:rsid w:val="003C550A"/>
    <w:rsid w:val="003C6055"/>
    <w:rsid w:val="003D2650"/>
    <w:rsid w:val="003D560C"/>
    <w:rsid w:val="003D5C00"/>
    <w:rsid w:val="003E3154"/>
    <w:rsid w:val="003E5874"/>
    <w:rsid w:val="003E72D3"/>
    <w:rsid w:val="003F193E"/>
    <w:rsid w:val="003F242C"/>
    <w:rsid w:val="003F34F1"/>
    <w:rsid w:val="004031D8"/>
    <w:rsid w:val="004104B6"/>
    <w:rsid w:val="00411AE8"/>
    <w:rsid w:val="004137D4"/>
    <w:rsid w:val="00413B74"/>
    <w:rsid w:val="004342F3"/>
    <w:rsid w:val="00435C5F"/>
    <w:rsid w:val="00436155"/>
    <w:rsid w:val="00436460"/>
    <w:rsid w:val="00441E98"/>
    <w:rsid w:val="0044652F"/>
    <w:rsid w:val="00450F3A"/>
    <w:rsid w:val="004532F7"/>
    <w:rsid w:val="00464D51"/>
    <w:rsid w:val="00472027"/>
    <w:rsid w:val="004804CF"/>
    <w:rsid w:val="00483314"/>
    <w:rsid w:val="00484962"/>
    <w:rsid w:val="00484F6D"/>
    <w:rsid w:val="00484FB7"/>
    <w:rsid w:val="0048554D"/>
    <w:rsid w:val="0049338A"/>
    <w:rsid w:val="0049417F"/>
    <w:rsid w:val="0049490E"/>
    <w:rsid w:val="00496D41"/>
    <w:rsid w:val="004A3544"/>
    <w:rsid w:val="004A6602"/>
    <w:rsid w:val="004B3EFA"/>
    <w:rsid w:val="004C2A87"/>
    <w:rsid w:val="004C4D7B"/>
    <w:rsid w:val="004C4ED3"/>
    <w:rsid w:val="004C667B"/>
    <w:rsid w:val="004C679E"/>
    <w:rsid w:val="004C7ECD"/>
    <w:rsid w:val="004D11CF"/>
    <w:rsid w:val="004D28C0"/>
    <w:rsid w:val="004D2EA5"/>
    <w:rsid w:val="004D32A6"/>
    <w:rsid w:val="004D53E5"/>
    <w:rsid w:val="004D7950"/>
    <w:rsid w:val="004E66B4"/>
    <w:rsid w:val="004E6DC4"/>
    <w:rsid w:val="004F21C1"/>
    <w:rsid w:val="00501A12"/>
    <w:rsid w:val="0050309C"/>
    <w:rsid w:val="0050600B"/>
    <w:rsid w:val="0051327C"/>
    <w:rsid w:val="0051346D"/>
    <w:rsid w:val="00513EAE"/>
    <w:rsid w:val="0051434F"/>
    <w:rsid w:val="00516806"/>
    <w:rsid w:val="0052098C"/>
    <w:rsid w:val="00525A49"/>
    <w:rsid w:val="005262D1"/>
    <w:rsid w:val="00530876"/>
    <w:rsid w:val="00535613"/>
    <w:rsid w:val="005359EB"/>
    <w:rsid w:val="0054254A"/>
    <w:rsid w:val="0054500B"/>
    <w:rsid w:val="005466B5"/>
    <w:rsid w:val="00554314"/>
    <w:rsid w:val="00556AB0"/>
    <w:rsid w:val="00562829"/>
    <w:rsid w:val="005629B3"/>
    <w:rsid w:val="0056433D"/>
    <w:rsid w:val="0057128A"/>
    <w:rsid w:val="005724F6"/>
    <w:rsid w:val="00573AC4"/>
    <w:rsid w:val="005801FC"/>
    <w:rsid w:val="00585BA9"/>
    <w:rsid w:val="00587359"/>
    <w:rsid w:val="00595016"/>
    <w:rsid w:val="00597AAE"/>
    <w:rsid w:val="005A222C"/>
    <w:rsid w:val="005A4DF8"/>
    <w:rsid w:val="005A78C8"/>
    <w:rsid w:val="005B1426"/>
    <w:rsid w:val="005B2A54"/>
    <w:rsid w:val="005C0A8E"/>
    <w:rsid w:val="005C1767"/>
    <w:rsid w:val="005C185C"/>
    <w:rsid w:val="005C42EF"/>
    <w:rsid w:val="005D36F7"/>
    <w:rsid w:val="005E02F5"/>
    <w:rsid w:val="005E0510"/>
    <w:rsid w:val="005E176E"/>
    <w:rsid w:val="005E218E"/>
    <w:rsid w:val="005E35A0"/>
    <w:rsid w:val="005F0D1B"/>
    <w:rsid w:val="005F1865"/>
    <w:rsid w:val="005F6E64"/>
    <w:rsid w:val="00600072"/>
    <w:rsid w:val="006007BD"/>
    <w:rsid w:val="006013C8"/>
    <w:rsid w:val="0060270D"/>
    <w:rsid w:val="00604342"/>
    <w:rsid w:val="00604611"/>
    <w:rsid w:val="00611586"/>
    <w:rsid w:val="00612D26"/>
    <w:rsid w:val="00615855"/>
    <w:rsid w:val="00620DA8"/>
    <w:rsid w:val="00621887"/>
    <w:rsid w:val="00624520"/>
    <w:rsid w:val="00625C72"/>
    <w:rsid w:val="006271F5"/>
    <w:rsid w:val="00632300"/>
    <w:rsid w:val="00632BB7"/>
    <w:rsid w:val="00635B36"/>
    <w:rsid w:val="00636871"/>
    <w:rsid w:val="006407F0"/>
    <w:rsid w:val="00640EE1"/>
    <w:rsid w:val="00640F4E"/>
    <w:rsid w:val="00643DE0"/>
    <w:rsid w:val="0064437D"/>
    <w:rsid w:val="00644E85"/>
    <w:rsid w:val="006516D8"/>
    <w:rsid w:val="00652C52"/>
    <w:rsid w:val="0066063F"/>
    <w:rsid w:val="00662BB0"/>
    <w:rsid w:val="00663878"/>
    <w:rsid w:val="00667773"/>
    <w:rsid w:val="00670743"/>
    <w:rsid w:val="00680A85"/>
    <w:rsid w:val="00681142"/>
    <w:rsid w:val="00681ADF"/>
    <w:rsid w:val="00690EE2"/>
    <w:rsid w:val="00693854"/>
    <w:rsid w:val="00694BEB"/>
    <w:rsid w:val="006A0E20"/>
    <w:rsid w:val="006A24E3"/>
    <w:rsid w:val="006A401B"/>
    <w:rsid w:val="006A5695"/>
    <w:rsid w:val="006B0439"/>
    <w:rsid w:val="006B3904"/>
    <w:rsid w:val="006B5B7D"/>
    <w:rsid w:val="006C5B46"/>
    <w:rsid w:val="006C6E39"/>
    <w:rsid w:val="006D0ECF"/>
    <w:rsid w:val="006D3D5B"/>
    <w:rsid w:val="006D4C92"/>
    <w:rsid w:val="006D4EB6"/>
    <w:rsid w:val="006D7E5A"/>
    <w:rsid w:val="006D7FBC"/>
    <w:rsid w:val="006E35BF"/>
    <w:rsid w:val="006E7850"/>
    <w:rsid w:val="006F19D8"/>
    <w:rsid w:val="006F46D6"/>
    <w:rsid w:val="006F4BBB"/>
    <w:rsid w:val="007028D9"/>
    <w:rsid w:val="00707218"/>
    <w:rsid w:val="00710D04"/>
    <w:rsid w:val="00712B1D"/>
    <w:rsid w:val="00715751"/>
    <w:rsid w:val="007171BA"/>
    <w:rsid w:val="00717616"/>
    <w:rsid w:val="007325D9"/>
    <w:rsid w:val="0073413F"/>
    <w:rsid w:val="0073583B"/>
    <w:rsid w:val="007360CA"/>
    <w:rsid w:val="0073621B"/>
    <w:rsid w:val="0074667B"/>
    <w:rsid w:val="007470BD"/>
    <w:rsid w:val="00760EC0"/>
    <w:rsid w:val="007711BD"/>
    <w:rsid w:val="0078003A"/>
    <w:rsid w:val="00780771"/>
    <w:rsid w:val="007929CF"/>
    <w:rsid w:val="00797BA8"/>
    <w:rsid w:val="007A081D"/>
    <w:rsid w:val="007A2C2B"/>
    <w:rsid w:val="007A32CB"/>
    <w:rsid w:val="007A3B5F"/>
    <w:rsid w:val="007A49E7"/>
    <w:rsid w:val="007A6F28"/>
    <w:rsid w:val="007B03C6"/>
    <w:rsid w:val="007B0DB1"/>
    <w:rsid w:val="007B5673"/>
    <w:rsid w:val="007B7238"/>
    <w:rsid w:val="007B76FF"/>
    <w:rsid w:val="007C3BF6"/>
    <w:rsid w:val="007C67B3"/>
    <w:rsid w:val="007C6D0D"/>
    <w:rsid w:val="007D0FD2"/>
    <w:rsid w:val="007D2EF8"/>
    <w:rsid w:val="007D561F"/>
    <w:rsid w:val="007D7FD2"/>
    <w:rsid w:val="007E13D9"/>
    <w:rsid w:val="007E2AEC"/>
    <w:rsid w:val="007E41BE"/>
    <w:rsid w:val="007E4DB6"/>
    <w:rsid w:val="007E6733"/>
    <w:rsid w:val="007E7CD4"/>
    <w:rsid w:val="007F12AC"/>
    <w:rsid w:val="007F4501"/>
    <w:rsid w:val="007F60DF"/>
    <w:rsid w:val="00801800"/>
    <w:rsid w:val="00801861"/>
    <w:rsid w:val="00801B5B"/>
    <w:rsid w:val="00805A30"/>
    <w:rsid w:val="008216E7"/>
    <w:rsid w:val="00825BE6"/>
    <w:rsid w:val="008276B4"/>
    <w:rsid w:val="00831927"/>
    <w:rsid w:val="00837288"/>
    <w:rsid w:val="00841BD3"/>
    <w:rsid w:val="0084273D"/>
    <w:rsid w:val="00844E3F"/>
    <w:rsid w:val="00845A83"/>
    <w:rsid w:val="00846BB9"/>
    <w:rsid w:val="008649D5"/>
    <w:rsid w:val="008712BB"/>
    <w:rsid w:val="0087187E"/>
    <w:rsid w:val="008830E7"/>
    <w:rsid w:val="00885ADE"/>
    <w:rsid w:val="00890EDE"/>
    <w:rsid w:val="00892B38"/>
    <w:rsid w:val="008A1741"/>
    <w:rsid w:val="008A2484"/>
    <w:rsid w:val="008A52F3"/>
    <w:rsid w:val="008A757D"/>
    <w:rsid w:val="008C26D9"/>
    <w:rsid w:val="008C6D50"/>
    <w:rsid w:val="008C7167"/>
    <w:rsid w:val="008C7503"/>
    <w:rsid w:val="008D1617"/>
    <w:rsid w:val="008D330F"/>
    <w:rsid w:val="008D48C1"/>
    <w:rsid w:val="008E6315"/>
    <w:rsid w:val="008F0480"/>
    <w:rsid w:val="008F07FC"/>
    <w:rsid w:val="008F11E0"/>
    <w:rsid w:val="008F3EA7"/>
    <w:rsid w:val="008F78BC"/>
    <w:rsid w:val="008F7B63"/>
    <w:rsid w:val="008F7D6A"/>
    <w:rsid w:val="00901C86"/>
    <w:rsid w:val="00903603"/>
    <w:rsid w:val="009054CB"/>
    <w:rsid w:val="009067D5"/>
    <w:rsid w:val="00911F8D"/>
    <w:rsid w:val="00912F94"/>
    <w:rsid w:val="009171BC"/>
    <w:rsid w:val="0092497E"/>
    <w:rsid w:val="0092590B"/>
    <w:rsid w:val="00925BF3"/>
    <w:rsid w:val="00925E60"/>
    <w:rsid w:val="009264B3"/>
    <w:rsid w:val="00931E4C"/>
    <w:rsid w:val="009365E0"/>
    <w:rsid w:val="00942BA2"/>
    <w:rsid w:val="009432B7"/>
    <w:rsid w:val="00944C86"/>
    <w:rsid w:val="00947C02"/>
    <w:rsid w:val="009508C3"/>
    <w:rsid w:val="00950BE6"/>
    <w:rsid w:val="00951C5D"/>
    <w:rsid w:val="00956DD5"/>
    <w:rsid w:val="00957DE8"/>
    <w:rsid w:val="00960ECB"/>
    <w:rsid w:val="009615D6"/>
    <w:rsid w:val="00967855"/>
    <w:rsid w:val="00971CD1"/>
    <w:rsid w:val="00974709"/>
    <w:rsid w:val="009801AE"/>
    <w:rsid w:val="00980736"/>
    <w:rsid w:val="00981A39"/>
    <w:rsid w:val="00982D0F"/>
    <w:rsid w:val="00982D56"/>
    <w:rsid w:val="00983DBF"/>
    <w:rsid w:val="00987097"/>
    <w:rsid w:val="00991123"/>
    <w:rsid w:val="00991CAB"/>
    <w:rsid w:val="00992F80"/>
    <w:rsid w:val="009A3A9C"/>
    <w:rsid w:val="009B046C"/>
    <w:rsid w:val="009B13FA"/>
    <w:rsid w:val="009B1E2D"/>
    <w:rsid w:val="009B4A02"/>
    <w:rsid w:val="009C59FB"/>
    <w:rsid w:val="009C6F3B"/>
    <w:rsid w:val="009D1467"/>
    <w:rsid w:val="009D328D"/>
    <w:rsid w:val="009E4FA6"/>
    <w:rsid w:val="009E755E"/>
    <w:rsid w:val="009E7D93"/>
    <w:rsid w:val="009F3C34"/>
    <w:rsid w:val="009F462C"/>
    <w:rsid w:val="009F5C33"/>
    <w:rsid w:val="00A011ED"/>
    <w:rsid w:val="00A026F0"/>
    <w:rsid w:val="00A03EAC"/>
    <w:rsid w:val="00A04DBB"/>
    <w:rsid w:val="00A07EA0"/>
    <w:rsid w:val="00A11CA6"/>
    <w:rsid w:val="00A20C49"/>
    <w:rsid w:val="00A22932"/>
    <w:rsid w:val="00A269CA"/>
    <w:rsid w:val="00A271F7"/>
    <w:rsid w:val="00A336EE"/>
    <w:rsid w:val="00A33F46"/>
    <w:rsid w:val="00A3427E"/>
    <w:rsid w:val="00A359AC"/>
    <w:rsid w:val="00A40F83"/>
    <w:rsid w:val="00A410FB"/>
    <w:rsid w:val="00A41413"/>
    <w:rsid w:val="00A431E6"/>
    <w:rsid w:val="00A436E8"/>
    <w:rsid w:val="00A45FB1"/>
    <w:rsid w:val="00A46A0F"/>
    <w:rsid w:val="00A46CCC"/>
    <w:rsid w:val="00A47996"/>
    <w:rsid w:val="00A51CFE"/>
    <w:rsid w:val="00A5204D"/>
    <w:rsid w:val="00A56E77"/>
    <w:rsid w:val="00A61605"/>
    <w:rsid w:val="00A62488"/>
    <w:rsid w:val="00A65F97"/>
    <w:rsid w:val="00A67DC4"/>
    <w:rsid w:val="00A73B04"/>
    <w:rsid w:val="00A73F83"/>
    <w:rsid w:val="00A76C13"/>
    <w:rsid w:val="00A84FD0"/>
    <w:rsid w:val="00A904BD"/>
    <w:rsid w:val="00A92E79"/>
    <w:rsid w:val="00A946F0"/>
    <w:rsid w:val="00A950B6"/>
    <w:rsid w:val="00A95D45"/>
    <w:rsid w:val="00AA33E1"/>
    <w:rsid w:val="00AA3EA8"/>
    <w:rsid w:val="00AB41C1"/>
    <w:rsid w:val="00AB4CF2"/>
    <w:rsid w:val="00AB6CCA"/>
    <w:rsid w:val="00AC223F"/>
    <w:rsid w:val="00AC33B1"/>
    <w:rsid w:val="00AD12A8"/>
    <w:rsid w:val="00AE023F"/>
    <w:rsid w:val="00AF325A"/>
    <w:rsid w:val="00AF3577"/>
    <w:rsid w:val="00AF35F9"/>
    <w:rsid w:val="00AF4C7C"/>
    <w:rsid w:val="00AF783D"/>
    <w:rsid w:val="00B0424C"/>
    <w:rsid w:val="00B048A4"/>
    <w:rsid w:val="00B05C7D"/>
    <w:rsid w:val="00B15D57"/>
    <w:rsid w:val="00B16347"/>
    <w:rsid w:val="00B17D6E"/>
    <w:rsid w:val="00B2435E"/>
    <w:rsid w:val="00B260B2"/>
    <w:rsid w:val="00B346C3"/>
    <w:rsid w:val="00B4005C"/>
    <w:rsid w:val="00B4227E"/>
    <w:rsid w:val="00B4471C"/>
    <w:rsid w:val="00B451A6"/>
    <w:rsid w:val="00B56D6E"/>
    <w:rsid w:val="00B64347"/>
    <w:rsid w:val="00B65DC6"/>
    <w:rsid w:val="00B67AC2"/>
    <w:rsid w:val="00B722DE"/>
    <w:rsid w:val="00B751E3"/>
    <w:rsid w:val="00B75BA6"/>
    <w:rsid w:val="00B76C44"/>
    <w:rsid w:val="00B8184A"/>
    <w:rsid w:val="00B82283"/>
    <w:rsid w:val="00B828D8"/>
    <w:rsid w:val="00B83F87"/>
    <w:rsid w:val="00B87CDC"/>
    <w:rsid w:val="00B910C1"/>
    <w:rsid w:val="00BA2CA4"/>
    <w:rsid w:val="00BA2EFA"/>
    <w:rsid w:val="00BA3DBC"/>
    <w:rsid w:val="00BA707A"/>
    <w:rsid w:val="00BB1627"/>
    <w:rsid w:val="00BB1AFB"/>
    <w:rsid w:val="00BB27AE"/>
    <w:rsid w:val="00BB2DA2"/>
    <w:rsid w:val="00BB56DC"/>
    <w:rsid w:val="00BD38B0"/>
    <w:rsid w:val="00BE183D"/>
    <w:rsid w:val="00BF24C2"/>
    <w:rsid w:val="00BF2922"/>
    <w:rsid w:val="00BF5D7A"/>
    <w:rsid w:val="00C01C2E"/>
    <w:rsid w:val="00C02D33"/>
    <w:rsid w:val="00C04B53"/>
    <w:rsid w:val="00C1232C"/>
    <w:rsid w:val="00C13813"/>
    <w:rsid w:val="00C14EF3"/>
    <w:rsid w:val="00C16A13"/>
    <w:rsid w:val="00C27C6B"/>
    <w:rsid w:val="00C3594D"/>
    <w:rsid w:val="00C36442"/>
    <w:rsid w:val="00C400CE"/>
    <w:rsid w:val="00C410FD"/>
    <w:rsid w:val="00C44D31"/>
    <w:rsid w:val="00C457DE"/>
    <w:rsid w:val="00C47DD3"/>
    <w:rsid w:val="00C5316F"/>
    <w:rsid w:val="00C53562"/>
    <w:rsid w:val="00C539FB"/>
    <w:rsid w:val="00C66AA3"/>
    <w:rsid w:val="00C66E57"/>
    <w:rsid w:val="00C718F5"/>
    <w:rsid w:val="00C724D7"/>
    <w:rsid w:val="00C74150"/>
    <w:rsid w:val="00C75594"/>
    <w:rsid w:val="00C85982"/>
    <w:rsid w:val="00C85BF1"/>
    <w:rsid w:val="00CA0466"/>
    <w:rsid w:val="00CA246D"/>
    <w:rsid w:val="00CA50D9"/>
    <w:rsid w:val="00CB3054"/>
    <w:rsid w:val="00CB5636"/>
    <w:rsid w:val="00CB563D"/>
    <w:rsid w:val="00CB5F30"/>
    <w:rsid w:val="00CC3EE5"/>
    <w:rsid w:val="00CC6E47"/>
    <w:rsid w:val="00CD1346"/>
    <w:rsid w:val="00CD475D"/>
    <w:rsid w:val="00CE425C"/>
    <w:rsid w:val="00CE58AC"/>
    <w:rsid w:val="00CE641D"/>
    <w:rsid w:val="00CE69A6"/>
    <w:rsid w:val="00CF1B3A"/>
    <w:rsid w:val="00CF4871"/>
    <w:rsid w:val="00CF5A80"/>
    <w:rsid w:val="00D045EE"/>
    <w:rsid w:val="00D05091"/>
    <w:rsid w:val="00D10CA6"/>
    <w:rsid w:val="00D10F21"/>
    <w:rsid w:val="00D134CF"/>
    <w:rsid w:val="00D1573B"/>
    <w:rsid w:val="00D24806"/>
    <w:rsid w:val="00D34040"/>
    <w:rsid w:val="00D34E69"/>
    <w:rsid w:val="00D35CA2"/>
    <w:rsid w:val="00D3655C"/>
    <w:rsid w:val="00D36C78"/>
    <w:rsid w:val="00D375EE"/>
    <w:rsid w:val="00D55AE8"/>
    <w:rsid w:val="00D56056"/>
    <w:rsid w:val="00D6085F"/>
    <w:rsid w:val="00D62699"/>
    <w:rsid w:val="00D778E9"/>
    <w:rsid w:val="00D812BF"/>
    <w:rsid w:val="00D82620"/>
    <w:rsid w:val="00D85707"/>
    <w:rsid w:val="00D94288"/>
    <w:rsid w:val="00D957A0"/>
    <w:rsid w:val="00D9725F"/>
    <w:rsid w:val="00DA01B1"/>
    <w:rsid w:val="00DA11A2"/>
    <w:rsid w:val="00DA14ED"/>
    <w:rsid w:val="00DA26D6"/>
    <w:rsid w:val="00DA5C76"/>
    <w:rsid w:val="00DB2EF1"/>
    <w:rsid w:val="00DB3DE1"/>
    <w:rsid w:val="00DB5DA0"/>
    <w:rsid w:val="00DB716C"/>
    <w:rsid w:val="00DC5C85"/>
    <w:rsid w:val="00DC7C5D"/>
    <w:rsid w:val="00DD4236"/>
    <w:rsid w:val="00DD44F1"/>
    <w:rsid w:val="00DD6957"/>
    <w:rsid w:val="00DD6E7A"/>
    <w:rsid w:val="00DD7711"/>
    <w:rsid w:val="00DE3067"/>
    <w:rsid w:val="00DF3EEE"/>
    <w:rsid w:val="00DF75E1"/>
    <w:rsid w:val="00E027BC"/>
    <w:rsid w:val="00E045BE"/>
    <w:rsid w:val="00E10F0D"/>
    <w:rsid w:val="00E14EA5"/>
    <w:rsid w:val="00E2070E"/>
    <w:rsid w:val="00E21133"/>
    <w:rsid w:val="00E2327E"/>
    <w:rsid w:val="00E23577"/>
    <w:rsid w:val="00E249BC"/>
    <w:rsid w:val="00E266EF"/>
    <w:rsid w:val="00E326A8"/>
    <w:rsid w:val="00E47428"/>
    <w:rsid w:val="00E50170"/>
    <w:rsid w:val="00E56C8E"/>
    <w:rsid w:val="00E5716B"/>
    <w:rsid w:val="00E57F1F"/>
    <w:rsid w:val="00E60136"/>
    <w:rsid w:val="00E60679"/>
    <w:rsid w:val="00E66B9F"/>
    <w:rsid w:val="00E70A6A"/>
    <w:rsid w:val="00E710D6"/>
    <w:rsid w:val="00E73DA4"/>
    <w:rsid w:val="00E76E45"/>
    <w:rsid w:val="00E777C9"/>
    <w:rsid w:val="00E81DA6"/>
    <w:rsid w:val="00E84212"/>
    <w:rsid w:val="00E9086C"/>
    <w:rsid w:val="00E90AAA"/>
    <w:rsid w:val="00E91A0F"/>
    <w:rsid w:val="00E94A71"/>
    <w:rsid w:val="00E94CBF"/>
    <w:rsid w:val="00EA03CE"/>
    <w:rsid w:val="00EA23E5"/>
    <w:rsid w:val="00EA4E2E"/>
    <w:rsid w:val="00EB2417"/>
    <w:rsid w:val="00EB2CCB"/>
    <w:rsid w:val="00EB6982"/>
    <w:rsid w:val="00EB7A25"/>
    <w:rsid w:val="00EC0F3E"/>
    <w:rsid w:val="00EC57A7"/>
    <w:rsid w:val="00ED0817"/>
    <w:rsid w:val="00ED7DD9"/>
    <w:rsid w:val="00EE445B"/>
    <w:rsid w:val="00EE4D5E"/>
    <w:rsid w:val="00EE684C"/>
    <w:rsid w:val="00EF3113"/>
    <w:rsid w:val="00EF3F84"/>
    <w:rsid w:val="00F176AC"/>
    <w:rsid w:val="00F23753"/>
    <w:rsid w:val="00F242D8"/>
    <w:rsid w:val="00F25F15"/>
    <w:rsid w:val="00F26F28"/>
    <w:rsid w:val="00F27714"/>
    <w:rsid w:val="00F3276E"/>
    <w:rsid w:val="00F33D3C"/>
    <w:rsid w:val="00F37A91"/>
    <w:rsid w:val="00F408A0"/>
    <w:rsid w:val="00F414EE"/>
    <w:rsid w:val="00F45CF5"/>
    <w:rsid w:val="00F47DB0"/>
    <w:rsid w:val="00F50C3F"/>
    <w:rsid w:val="00F50E34"/>
    <w:rsid w:val="00F51AFB"/>
    <w:rsid w:val="00F53EF7"/>
    <w:rsid w:val="00F54BF2"/>
    <w:rsid w:val="00F775AC"/>
    <w:rsid w:val="00F77B91"/>
    <w:rsid w:val="00F8792F"/>
    <w:rsid w:val="00F9214D"/>
    <w:rsid w:val="00F92355"/>
    <w:rsid w:val="00F93963"/>
    <w:rsid w:val="00F94291"/>
    <w:rsid w:val="00FA298A"/>
    <w:rsid w:val="00FA5B66"/>
    <w:rsid w:val="00FA7812"/>
    <w:rsid w:val="00FB0B9C"/>
    <w:rsid w:val="00FB30B6"/>
    <w:rsid w:val="00FB30EB"/>
    <w:rsid w:val="00FB7982"/>
    <w:rsid w:val="00FC0734"/>
    <w:rsid w:val="00FC0FC5"/>
    <w:rsid w:val="00FC588F"/>
    <w:rsid w:val="00FC6879"/>
    <w:rsid w:val="00FD27D3"/>
    <w:rsid w:val="00FD43C2"/>
    <w:rsid w:val="00FD57CC"/>
    <w:rsid w:val="00FE1B30"/>
    <w:rsid w:val="00FE7B44"/>
    <w:rsid w:val="0BD4C19E"/>
    <w:rsid w:val="17C36C96"/>
    <w:rsid w:val="1AB3650E"/>
    <w:rsid w:val="1DDBF608"/>
    <w:rsid w:val="2334C182"/>
    <w:rsid w:val="273182F2"/>
    <w:rsid w:val="3A17866B"/>
    <w:rsid w:val="3BB356CC"/>
    <w:rsid w:val="3F683289"/>
    <w:rsid w:val="45F40101"/>
    <w:rsid w:val="4C58F81A"/>
    <w:rsid w:val="57E6C7D3"/>
    <w:rsid w:val="6014B508"/>
    <w:rsid w:val="641D3D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1126E4D2-24EA-445E-8987-BAA029A3F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rsid w:val="001C2FE0"/>
    <w:pPr>
      <w:numPr>
        <w:numId w:val="25"/>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81ADF"/>
    <w:pPr>
      <w:tabs>
        <w:tab w:val="right" w:leader="dot" w:pos="9072"/>
      </w:tabs>
      <w:spacing w:before="120" w:after="60" w:line="240" w:lineRule="auto"/>
      <w:jc w:val="left"/>
    </w:pPr>
    <w:rPr>
      <w:b/>
      <w:caps/>
      <w:kern w:val="28"/>
    </w:rPr>
  </w:style>
  <w:style w:type="paragraph" w:customStyle="1" w:styleId="ListNo1">
    <w:name w:val="List No 1"/>
    <w:basedOn w:val="Normal"/>
    <w:rsid w:val="0052098C"/>
    <w:pPr>
      <w:numPr>
        <w:numId w:val="22"/>
      </w:numPr>
      <w:spacing w:before="60" w:after="60"/>
    </w:pPr>
  </w:style>
  <w:style w:type="paragraph" w:customStyle="1" w:styleId="FTOC2">
    <w:name w:val="FTOC 2"/>
    <w:basedOn w:val="Normal"/>
    <w:semiHidden/>
    <w:rsid w:val="00681ADF"/>
    <w:pPr>
      <w:tabs>
        <w:tab w:val="right" w:leader="dot" w:pos="9072"/>
      </w:tabs>
      <w:spacing w:before="120" w:after="60" w:line="240" w:lineRule="auto"/>
      <w:ind w:left="238"/>
      <w:jc w:val="left"/>
    </w:pPr>
    <w:rPr>
      <w:b/>
    </w:rPr>
  </w:style>
  <w:style w:type="paragraph" w:customStyle="1" w:styleId="FTOC3">
    <w:name w:val="FTOC 3"/>
    <w:basedOn w:val="Normal"/>
    <w:semiHidden/>
    <w:rsid w:val="00681ADF"/>
    <w:pPr>
      <w:tabs>
        <w:tab w:val="right" w:leader="dot" w:pos="9072"/>
      </w:tabs>
      <w:spacing w:before="120" w:after="60" w:line="240" w:lineRule="auto"/>
      <w:ind w:left="482"/>
      <w:jc w:val="left"/>
    </w:pPr>
    <w:rPr>
      <w:b/>
      <w:i/>
    </w:rPr>
  </w:style>
  <w:style w:type="paragraph" w:customStyle="1" w:styleId="FTOC4">
    <w:name w:val="FTOC 4"/>
    <w:basedOn w:val="Normal"/>
    <w:semiHidden/>
    <w:rsid w:val="00681ADF"/>
    <w:pPr>
      <w:tabs>
        <w:tab w:val="right" w:leader="dot" w:pos="9072"/>
      </w:tabs>
      <w:spacing w:before="120" w:after="60" w:line="240" w:lineRule="auto"/>
      <w:ind w:left="720"/>
      <w:jc w:val="left"/>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2"/>
      </w:numPr>
    </w:pPr>
  </w:style>
  <w:style w:type="numbering" w:styleId="1ai">
    <w:name w:val="Outline List 1"/>
    <w:basedOn w:val="NoList"/>
    <w:semiHidden/>
    <w:pPr>
      <w:numPr>
        <w:numId w:val="13"/>
      </w:numPr>
    </w:pPr>
  </w:style>
  <w:style w:type="numbering" w:styleId="ArticleSection">
    <w:name w:val="Outline List 3"/>
    <w:basedOn w:val="NoList"/>
    <w:semiHidden/>
    <w:pPr>
      <w:numPr>
        <w:numId w:val="14"/>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uiPriority w:val="99"/>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2"/>
      </w:numPr>
    </w:pPr>
  </w:style>
  <w:style w:type="paragraph" w:styleId="ListBullet2">
    <w:name w:val="List Bullet 2"/>
    <w:basedOn w:val="Normal"/>
    <w:semiHidden/>
    <w:pPr>
      <w:numPr>
        <w:numId w:val="3"/>
      </w:numPr>
    </w:pPr>
  </w:style>
  <w:style w:type="paragraph" w:styleId="ListBullet3">
    <w:name w:val="List Bullet 3"/>
    <w:basedOn w:val="Normal"/>
    <w:semiHidden/>
    <w:pPr>
      <w:numPr>
        <w:numId w:val="4"/>
      </w:numPr>
    </w:pPr>
  </w:style>
  <w:style w:type="paragraph" w:styleId="ListBullet4">
    <w:name w:val="List Bullet 4"/>
    <w:basedOn w:val="Normal"/>
    <w:semiHidden/>
    <w:pPr>
      <w:numPr>
        <w:numId w:val="5"/>
      </w:numPr>
    </w:pPr>
  </w:style>
  <w:style w:type="paragraph" w:styleId="ListBullet5">
    <w:name w:val="List Bullet 5"/>
    <w:basedOn w:val="Normal"/>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uiPriority w:val="99"/>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rsid w:val="00323061"/>
    <w:pPr>
      <w:spacing w:before="120" w:after="60" w:line="240" w:lineRule="auto"/>
      <w:jc w:val="left"/>
    </w:pPr>
  </w:style>
  <w:style w:type="paragraph" w:customStyle="1" w:styleId="bTOC2">
    <w:name w:val="bTOC 2"/>
    <w:basedOn w:val="TOC2"/>
    <w:semiHidden/>
    <w:rsid w:val="00323061"/>
    <w:pPr>
      <w:spacing w:before="120" w:after="60" w:line="240" w:lineRule="auto"/>
      <w:ind w:left="238"/>
      <w:jc w:val="left"/>
    </w:pPr>
  </w:style>
  <w:style w:type="paragraph" w:customStyle="1" w:styleId="bTOC3">
    <w:name w:val="bTOC 3"/>
    <w:basedOn w:val="TOC3"/>
    <w:semiHidden/>
    <w:rsid w:val="00323061"/>
    <w:pPr>
      <w:spacing w:before="120" w:after="60" w:line="240" w:lineRule="auto"/>
      <w:ind w:left="482"/>
      <w:jc w:val="left"/>
    </w:pPr>
  </w:style>
  <w:style w:type="paragraph" w:customStyle="1" w:styleId="bTOC4">
    <w:name w:val="bTOC 4"/>
    <w:basedOn w:val="TOC4"/>
    <w:semiHidden/>
    <w:rsid w:val="00323061"/>
    <w:pPr>
      <w:spacing w:before="120" w:after="60" w:line="240" w:lineRule="auto"/>
      <w:jc w:val="left"/>
    </w:pPr>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5"/>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5"/>
      </w:numPr>
      <w:spacing w:before="240" w:after="60" w:line="240" w:lineRule="auto"/>
    </w:pPr>
    <w:rPr>
      <w:b/>
    </w:rPr>
  </w:style>
  <w:style w:type="paragraph" w:customStyle="1" w:styleId="fcHeading3">
    <w:name w:val="fcHeading 3"/>
    <w:basedOn w:val="Normal"/>
    <w:next w:val="ParaNumbering"/>
    <w:semiHidden/>
    <w:pPr>
      <w:keepNext/>
      <w:numPr>
        <w:ilvl w:val="2"/>
        <w:numId w:val="15"/>
      </w:numPr>
      <w:spacing w:before="240" w:after="60" w:line="240" w:lineRule="auto"/>
    </w:pPr>
    <w:rPr>
      <w:b/>
      <w:i/>
    </w:rPr>
  </w:style>
  <w:style w:type="paragraph" w:customStyle="1" w:styleId="fcHeading4">
    <w:name w:val="fcHeading 4"/>
    <w:basedOn w:val="Normal"/>
    <w:next w:val="ParaNumbering"/>
    <w:semiHidden/>
    <w:pPr>
      <w:keepNext/>
      <w:numPr>
        <w:ilvl w:val="3"/>
        <w:numId w:val="15"/>
      </w:numPr>
      <w:spacing w:before="240" w:after="60" w:line="240" w:lineRule="auto"/>
    </w:pPr>
    <w:rPr>
      <w:b/>
      <w:smallCaps/>
    </w:rPr>
  </w:style>
  <w:style w:type="paragraph" w:customStyle="1" w:styleId="fcHeading5">
    <w:name w:val="fcHeading 5"/>
    <w:basedOn w:val="Normal"/>
    <w:next w:val="ParaNumbering"/>
    <w:semiHidden/>
    <w:pPr>
      <w:keepNext/>
      <w:numPr>
        <w:ilvl w:val="4"/>
        <w:numId w:val="15"/>
      </w:numPr>
      <w:spacing w:before="240" w:after="60" w:line="240" w:lineRule="auto"/>
    </w:pPr>
    <w:rPr>
      <w:b/>
      <w:caps/>
    </w:rPr>
  </w:style>
  <w:style w:type="paragraph" w:customStyle="1" w:styleId="FTOC5">
    <w:name w:val="FTOC 5"/>
    <w:basedOn w:val="Normal"/>
    <w:semiHidden/>
    <w:rsid w:val="006516D8"/>
    <w:pPr>
      <w:tabs>
        <w:tab w:val="right" w:leader="dot" w:pos="9072"/>
      </w:tabs>
      <w:spacing w:before="120" w:after="60" w:line="240" w:lineRule="auto"/>
      <w:ind w:left="567" w:hanging="567"/>
      <w:jc w:val="left"/>
    </w:pPr>
    <w:rPr>
      <w:b/>
      <w:kern w:val="28"/>
    </w:rPr>
  </w:style>
  <w:style w:type="paragraph" w:customStyle="1" w:styleId="FTOC6">
    <w:name w:val="FTOC 6"/>
    <w:basedOn w:val="Normal"/>
    <w:semiHidden/>
    <w:rsid w:val="006516D8"/>
    <w:pPr>
      <w:tabs>
        <w:tab w:val="right" w:leader="dot" w:pos="9072"/>
      </w:tabs>
      <w:spacing w:before="120" w:after="60" w:line="240" w:lineRule="auto"/>
      <w:ind w:left="1304" w:hanging="737"/>
      <w:jc w:val="left"/>
    </w:pPr>
    <w:rPr>
      <w:b/>
    </w:rPr>
  </w:style>
  <w:style w:type="paragraph" w:customStyle="1" w:styleId="FTOC7">
    <w:name w:val="FTOC 7"/>
    <w:basedOn w:val="Normal"/>
    <w:semiHidden/>
    <w:rsid w:val="006516D8"/>
    <w:pPr>
      <w:tabs>
        <w:tab w:val="right" w:leader="dot" w:pos="9072"/>
      </w:tabs>
      <w:spacing w:before="120" w:after="60" w:line="240" w:lineRule="auto"/>
      <w:ind w:left="2325" w:hanging="1021"/>
      <w:jc w:val="left"/>
    </w:pPr>
    <w:rPr>
      <w:b/>
    </w:rPr>
  </w:style>
  <w:style w:type="paragraph" w:customStyle="1" w:styleId="FTOC8">
    <w:name w:val="FTOC 8"/>
    <w:basedOn w:val="Normal"/>
    <w:semiHidden/>
    <w:rsid w:val="006516D8"/>
    <w:pPr>
      <w:tabs>
        <w:tab w:val="right" w:leader="dot" w:pos="9072"/>
      </w:tabs>
      <w:spacing w:before="120" w:after="60" w:line="240" w:lineRule="auto"/>
      <w:ind w:left="3232" w:hanging="1418"/>
      <w:jc w:val="left"/>
    </w:pPr>
    <w:rPr>
      <w:b/>
    </w:rPr>
  </w:style>
  <w:style w:type="paragraph" w:customStyle="1" w:styleId="FTOC9">
    <w:name w:val="FTOC 9"/>
    <w:basedOn w:val="Normal"/>
    <w:semiHidden/>
    <w:rsid w:val="006516D8"/>
    <w:pPr>
      <w:tabs>
        <w:tab w:val="right" w:leader="dot" w:pos="9072"/>
      </w:tabs>
      <w:spacing w:before="120" w:after="60" w:line="240" w:lineRule="auto"/>
      <w:ind w:left="4082" w:hanging="1701"/>
      <w:jc w:val="left"/>
    </w:pPr>
    <w:rPr>
      <w:b/>
    </w:rPr>
  </w:style>
  <w:style w:type="paragraph" w:customStyle="1" w:styleId="bTOC5">
    <w:name w:val="bTOC 5"/>
    <w:basedOn w:val="Normal"/>
    <w:semiHidden/>
    <w:rsid w:val="00323061"/>
    <w:pPr>
      <w:tabs>
        <w:tab w:val="right" w:leader="dot" w:pos="9072"/>
      </w:tabs>
      <w:spacing w:before="120" w:after="60" w:line="240" w:lineRule="auto"/>
      <w:ind w:left="709" w:hanging="709"/>
      <w:jc w:val="left"/>
    </w:pPr>
  </w:style>
  <w:style w:type="paragraph" w:customStyle="1" w:styleId="bTOC6">
    <w:name w:val="bTOC 6"/>
    <w:basedOn w:val="Normal"/>
    <w:semiHidden/>
    <w:rsid w:val="00323061"/>
    <w:pPr>
      <w:tabs>
        <w:tab w:val="right" w:leader="dot" w:pos="9072"/>
      </w:tabs>
      <w:spacing w:before="120" w:after="60" w:line="240" w:lineRule="auto"/>
      <w:ind w:left="1418" w:hanging="709"/>
      <w:jc w:val="left"/>
    </w:pPr>
  </w:style>
  <w:style w:type="paragraph" w:customStyle="1" w:styleId="bTOC7">
    <w:name w:val="bTOC 7"/>
    <w:basedOn w:val="Normal"/>
    <w:semiHidden/>
    <w:rsid w:val="00F51AFB"/>
    <w:pPr>
      <w:tabs>
        <w:tab w:val="right" w:leader="dot" w:pos="9072"/>
      </w:tabs>
      <w:spacing w:before="120" w:after="60" w:line="240" w:lineRule="auto"/>
      <w:ind w:left="2240" w:hanging="822"/>
      <w:jc w:val="left"/>
    </w:pPr>
  </w:style>
  <w:style w:type="paragraph" w:customStyle="1" w:styleId="bTOC8">
    <w:name w:val="bTOC 8"/>
    <w:basedOn w:val="Normal"/>
    <w:semiHidden/>
    <w:rsid w:val="00F51AFB"/>
    <w:pPr>
      <w:keepNext/>
      <w:tabs>
        <w:tab w:val="right" w:leader="dot" w:pos="9072"/>
      </w:tabs>
      <w:spacing w:before="120" w:after="60" w:line="240" w:lineRule="auto"/>
      <w:ind w:left="3373" w:hanging="1247"/>
      <w:jc w:val="left"/>
    </w:pPr>
  </w:style>
  <w:style w:type="paragraph" w:customStyle="1" w:styleId="bTOC9">
    <w:name w:val="bTOC 9"/>
    <w:basedOn w:val="Normal"/>
    <w:semiHidden/>
    <w:rsid w:val="00F51AFB"/>
    <w:pPr>
      <w:keepNext/>
      <w:tabs>
        <w:tab w:val="right" w:leader="dot" w:pos="9072"/>
      </w:tabs>
      <w:spacing w:before="120" w:after="60" w:line="240" w:lineRule="auto"/>
      <w:ind w:left="4082" w:hanging="1247"/>
      <w:jc w:val="left"/>
    </w:pPr>
  </w:style>
  <w:style w:type="paragraph" w:customStyle="1" w:styleId="ListNo2">
    <w:name w:val="List No 2"/>
    <w:basedOn w:val="ListNo1"/>
    <w:rsid w:val="0052098C"/>
    <w:pPr>
      <w:numPr>
        <w:ilvl w:val="1"/>
      </w:numPr>
    </w:pPr>
  </w:style>
  <w:style w:type="paragraph" w:customStyle="1" w:styleId="ListNo3">
    <w:name w:val="List No 3"/>
    <w:basedOn w:val="ListNo2"/>
    <w:rsid w:val="0052098C"/>
    <w:pPr>
      <w:numPr>
        <w:ilvl w:val="2"/>
      </w:numPr>
    </w:pPr>
  </w:style>
  <w:style w:type="numbering" w:customStyle="1" w:styleId="FCListNo">
    <w:name w:val="FCListNo"/>
    <w:uiPriority w:val="99"/>
    <w:rsid w:val="0052098C"/>
    <w:pPr>
      <w:numPr>
        <w:numId w:val="16"/>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7"/>
      </w:numPr>
      <w:ind w:left="1440" w:hanging="720"/>
    </w:pPr>
  </w:style>
  <w:style w:type="paragraph" w:customStyle="1" w:styleId="Quote2Bullet">
    <w:name w:val="Quote2 Bullet"/>
    <w:basedOn w:val="Quote2"/>
    <w:rsid w:val="00EF3F84"/>
    <w:pPr>
      <w:numPr>
        <w:numId w:val="18"/>
      </w:numPr>
      <w:ind w:hanging="720"/>
    </w:pPr>
  </w:style>
  <w:style w:type="paragraph" w:customStyle="1" w:styleId="Quote3Bullet">
    <w:name w:val="Quote3 Bullet"/>
    <w:basedOn w:val="Quote3"/>
    <w:rsid w:val="00EE445B"/>
    <w:pPr>
      <w:numPr>
        <w:numId w:val="19"/>
      </w:numPr>
      <w:ind w:hanging="720"/>
    </w:pPr>
  </w:style>
  <w:style w:type="paragraph" w:customStyle="1" w:styleId="Order1">
    <w:name w:val="Order 1"/>
    <w:basedOn w:val="Normal"/>
    <w:rsid w:val="004104B6"/>
    <w:pPr>
      <w:numPr>
        <w:numId w:val="20"/>
      </w:numPr>
      <w:spacing w:before="60" w:after="60"/>
    </w:pPr>
  </w:style>
  <w:style w:type="numbering" w:customStyle="1" w:styleId="FCOrders">
    <w:name w:val="FCOrders"/>
    <w:uiPriority w:val="99"/>
    <w:rsid w:val="004104B6"/>
    <w:pPr>
      <w:numPr>
        <w:numId w:val="20"/>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CourtTitle">
    <w:name w:val="CourtTitle"/>
    <w:basedOn w:val="NormalHeadings"/>
    <w:rsid w:val="00285922"/>
    <w:pPr>
      <w:jc w:val="center"/>
    </w:pPr>
    <w:rPr>
      <w:caps/>
      <w:sz w:val="32"/>
    </w:rPr>
  </w:style>
  <w:style w:type="paragraph" w:customStyle="1" w:styleId="MNC">
    <w:name w:val="MNC"/>
    <w:basedOn w:val="MediaNeutralStyle"/>
    <w:rsid w:val="00085255"/>
    <w:pPr>
      <w:spacing w:after="240"/>
    </w:pPr>
    <w:rPr>
      <w:sz w:val="28"/>
    </w:rPr>
  </w:style>
  <w:style w:type="paragraph" w:customStyle="1" w:styleId="Quote4">
    <w:name w:val="Quote4"/>
    <w:basedOn w:val="Quote1"/>
    <w:rsid w:val="00DF75E1"/>
    <w:pPr>
      <w:ind w:left="2880"/>
    </w:pPr>
  </w:style>
  <w:style w:type="paragraph" w:customStyle="1" w:styleId="Quote4Bullet">
    <w:name w:val="Quote4 Bullet"/>
    <w:basedOn w:val="Quote4"/>
    <w:rsid w:val="00EE445B"/>
    <w:pPr>
      <w:numPr>
        <w:numId w:val="21"/>
      </w:numPr>
      <w:ind w:hanging="720"/>
    </w:pPr>
  </w:style>
  <w:style w:type="character" w:styleId="PlaceholderText">
    <w:name w:val="Placeholder Text"/>
    <w:basedOn w:val="DefaultParagraphFont"/>
    <w:uiPriority w:val="99"/>
    <w:semiHidden/>
    <w:rsid w:val="00CF5A80"/>
    <w:rPr>
      <w:color w:val="808080"/>
    </w:rPr>
  </w:style>
  <w:style w:type="paragraph" w:customStyle="1" w:styleId="Order2">
    <w:name w:val="Order 2"/>
    <w:basedOn w:val="Order1"/>
    <w:rsid w:val="001351B9"/>
    <w:pPr>
      <w:numPr>
        <w:ilvl w:val="1"/>
      </w:numPr>
    </w:pPr>
  </w:style>
  <w:style w:type="paragraph" w:customStyle="1" w:styleId="Order3">
    <w:name w:val="Order 3"/>
    <w:basedOn w:val="Order2"/>
    <w:rsid w:val="00DD6957"/>
    <w:pPr>
      <w:numPr>
        <w:ilvl w:val="2"/>
      </w:numPr>
    </w:pPr>
  </w:style>
  <w:style w:type="paragraph" w:customStyle="1" w:styleId="ListNo1alt">
    <w:name w:val="List No 1 (alt)"/>
    <w:basedOn w:val="Normal"/>
    <w:rsid w:val="008A1741"/>
    <w:pPr>
      <w:numPr>
        <w:numId w:val="24"/>
      </w:numPr>
      <w:spacing w:before="60" w:after="60"/>
    </w:pPr>
  </w:style>
  <w:style w:type="paragraph" w:customStyle="1" w:styleId="ListNo2alt">
    <w:name w:val="List No 2 (alt)"/>
    <w:basedOn w:val="ListNo1alt"/>
    <w:rsid w:val="008A1741"/>
    <w:pPr>
      <w:numPr>
        <w:ilvl w:val="1"/>
      </w:numPr>
    </w:pPr>
  </w:style>
  <w:style w:type="paragraph" w:customStyle="1" w:styleId="ListNo3alt">
    <w:name w:val="List No 3 (alt)"/>
    <w:basedOn w:val="ListNo2alt"/>
    <w:rsid w:val="008A1741"/>
    <w:pPr>
      <w:numPr>
        <w:ilvl w:val="2"/>
      </w:numPr>
    </w:pPr>
  </w:style>
  <w:style w:type="numbering" w:customStyle="1" w:styleId="FCListNoalt">
    <w:name w:val="FC List No (alt)"/>
    <w:uiPriority w:val="99"/>
    <w:rsid w:val="008A1741"/>
    <w:pPr>
      <w:numPr>
        <w:numId w:val="23"/>
      </w:numPr>
    </w:pPr>
  </w:style>
  <w:style w:type="paragraph" w:customStyle="1" w:styleId="Order4">
    <w:name w:val="Order 4"/>
    <w:basedOn w:val="Order3"/>
    <w:rsid w:val="004104B6"/>
    <w:pPr>
      <w:numPr>
        <w:ilvl w:val="3"/>
      </w:numPr>
    </w:pPr>
  </w:style>
  <w:style w:type="paragraph" w:styleId="FootnoteText">
    <w:name w:val="footnote text"/>
    <w:basedOn w:val="Normal"/>
    <w:link w:val="FootnoteTextChar"/>
    <w:semiHidden/>
    <w:unhideWhenUsed/>
    <w:rsid w:val="00077768"/>
    <w:pPr>
      <w:spacing w:line="240" w:lineRule="auto"/>
    </w:pPr>
    <w:rPr>
      <w:sz w:val="20"/>
    </w:rPr>
  </w:style>
  <w:style w:type="character" w:customStyle="1" w:styleId="FootnoteTextChar">
    <w:name w:val="Footnote Text Char"/>
    <w:basedOn w:val="DefaultParagraphFont"/>
    <w:link w:val="FootnoteText"/>
    <w:semiHidden/>
    <w:rsid w:val="00077768"/>
    <w:rPr>
      <w:lang w:eastAsia="en-US"/>
    </w:rPr>
  </w:style>
  <w:style w:type="character" w:styleId="FootnoteReference">
    <w:name w:val="footnote reference"/>
    <w:basedOn w:val="DefaultParagraphFont"/>
    <w:semiHidden/>
    <w:unhideWhenUsed/>
    <w:rsid w:val="00077768"/>
    <w:rPr>
      <w:vertAlign w:val="superscript"/>
    </w:rPr>
  </w:style>
  <w:style w:type="paragraph" w:customStyle="1" w:styleId="FCBullets2">
    <w:name w:val="FCBullets2"/>
    <w:basedOn w:val="FCBullets"/>
    <w:rsid w:val="001C2FE0"/>
    <w:pPr>
      <w:numPr>
        <w:ilvl w:val="1"/>
      </w:numPr>
    </w:pPr>
  </w:style>
  <w:style w:type="numbering" w:customStyle="1" w:styleId="FCNotes">
    <w:name w:val="FCNotes"/>
    <w:uiPriority w:val="99"/>
    <w:rsid w:val="00805A30"/>
    <w:pPr>
      <w:numPr>
        <w:numId w:val="26"/>
      </w:numPr>
    </w:pPr>
  </w:style>
  <w:style w:type="paragraph" w:customStyle="1" w:styleId="Notes">
    <w:name w:val="Notes"/>
    <w:basedOn w:val="Normal"/>
    <w:rsid w:val="00805A30"/>
    <w:pPr>
      <w:numPr>
        <w:numId w:val="27"/>
      </w:numPr>
      <w:spacing w:before="60" w:after="60"/>
    </w:pPr>
  </w:style>
  <w:style w:type="paragraph" w:customStyle="1" w:styleId="OrdersHeading1">
    <w:name w:val="Orders Heading 1"/>
    <w:basedOn w:val="Normal"/>
    <w:next w:val="BodyText"/>
    <w:rsid w:val="001E0C61"/>
    <w:pPr>
      <w:keepNext/>
      <w:spacing w:before="240" w:after="180" w:line="240" w:lineRule="auto"/>
    </w:pPr>
    <w:rPr>
      <w:b/>
      <w:caps/>
    </w:rPr>
  </w:style>
  <w:style w:type="paragraph" w:customStyle="1" w:styleId="OrdersHeading2">
    <w:name w:val="Orders Heading 2"/>
    <w:basedOn w:val="Normal"/>
    <w:next w:val="BodyText"/>
    <w:rsid w:val="001E0C61"/>
    <w:pPr>
      <w:keepNext/>
      <w:spacing w:before="240" w:after="180" w:line="240" w:lineRule="auto"/>
    </w:pPr>
    <w:rPr>
      <w:b/>
    </w:rPr>
  </w:style>
  <w:style w:type="character" w:customStyle="1" w:styleId="ssbf">
    <w:name w:val="ss_bf"/>
    <w:basedOn w:val="DefaultParagraphFont"/>
    <w:rsid w:val="00EE684C"/>
  </w:style>
  <w:style w:type="character" w:customStyle="1" w:styleId="sspagshow">
    <w:name w:val="ss_pag_show"/>
    <w:basedOn w:val="DefaultParagraphFont"/>
    <w:rsid w:val="00EE684C"/>
  </w:style>
  <w:style w:type="character" w:customStyle="1" w:styleId="ssro">
    <w:name w:val="ss_ro"/>
    <w:basedOn w:val="DefaultParagraphFont"/>
    <w:rsid w:val="00EE684C"/>
  </w:style>
  <w:style w:type="character" w:customStyle="1" w:styleId="sslistitemcontent">
    <w:name w:val="ss_listitemcontent"/>
    <w:basedOn w:val="DefaultParagraphFont"/>
    <w:rsid w:val="00EE684C"/>
  </w:style>
  <w:style w:type="paragraph" w:styleId="Revision">
    <w:name w:val="Revision"/>
    <w:hidden/>
    <w:uiPriority w:val="99"/>
    <w:semiHidden/>
    <w:rsid w:val="00FD27D3"/>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38058">
      <w:bodyDiv w:val="1"/>
      <w:marLeft w:val="0"/>
      <w:marRight w:val="0"/>
      <w:marTop w:val="0"/>
      <w:marBottom w:val="0"/>
      <w:divBdr>
        <w:top w:val="none" w:sz="0" w:space="0" w:color="auto"/>
        <w:left w:val="none" w:sz="0" w:space="0" w:color="auto"/>
        <w:bottom w:val="none" w:sz="0" w:space="0" w:color="auto"/>
        <w:right w:val="none" w:sz="0" w:space="0" w:color="auto"/>
      </w:divBdr>
    </w:div>
    <w:div w:id="277882282">
      <w:bodyDiv w:val="1"/>
      <w:marLeft w:val="0"/>
      <w:marRight w:val="0"/>
      <w:marTop w:val="0"/>
      <w:marBottom w:val="0"/>
      <w:divBdr>
        <w:top w:val="none" w:sz="0" w:space="0" w:color="auto"/>
        <w:left w:val="none" w:sz="0" w:space="0" w:color="auto"/>
        <w:bottom w:val="none" w:sz="0" w:space="0" w:color="auto"/>
        <w:right w:val="none" w:sz="0" w:space="0" w:color="auto"/>
      </w:divBdr>
    </w:div>
    <w:div w:id="772550172">
      <w:bodyDiv w:val="1"/>
      <w:marLeft w:val="0"/>
      <w:marRight w:val="0"/>
      <w:marTop w:val="0"/>
      <w:marBottom w:val="0"/>
      <w:divBdr>
        <w:top w:val="none" w:sz="0" w:space="0" w:color="auto"/>
        <w:left w:val="none" w:sz="0" w:space="0" w:color="auto"/>
        <w:bottom w:val="none" w:sz="0" w:space="0" w:color="auto"/>
        <w:right w:val="none" w:sz="0" w:space="0" w:color="auto"/>
      </w:divBdr>
      <w:divsChild>
        <w:div w:id="7927484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56325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0578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724058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3334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1438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63115959">
      <w:bodyDiv w:val="1"/>
      <w:marLeft w:val="0"/>
      <w:marRight w:val="0"/>
      <w:marTop w:val="0"/>
      <w:marBottom w:val="0"/>
      <w:divBdr>
        <w:top w:val="none" w:sz="0" w:space="0" w:color="auto"/>
        <w:left w:val="none" w:sz="0" w:space="0" w:color="auto"/>
        <w:bottom w:val="none" w:sz="0" w:space="0" w:color="auto"/>
        <w:right w:val="none" w:sz="0" w:space="0" w:color="auto"/>
      </w:divBdr>
      <w:divsChild>
        <w:div w:id="13147952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9042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80B1466C2824AE1BFCA4F64D4D279EA"/>
        <w:category>
          <w:name w:val="General"/>
          <w:gallery w:val="placeholder"/>
        </w:category>
        <w:types>
          <w:type w:val="bbPlcHdr"/>
        </w:types>
        <w:behaviors>
          <w:behavior w:val="content"/>
        </w:behaviors>
        <w:guid w:val="{0BCDFD22-96A0-4777-8E75-55FD1603C7EB}"/>
      </w:docPartPr>
      <w:docPartBody>
        <w:p w:rsidR="00B57D9A" w:rsidRDefault="00CE641D">
          <w:pPr>
            <w:pStyle w:val="880B1466C2824AE1BFCA4F64D4D279EA"/>
          </w:pPr>
          <w:r>
            <w:rPr>
              <w:rStyle w:val="PlaceholderText"/>
            </w:rPr>
            <w:t>MNC Text</w:t>
          </w:r>
        </w:p>
      </w:docPartBody>
    </w:docPart>
    <w:docPart>
      <w:docPartPr>
        <w:name w:val="AE0CF3358C9F42DEB2CFC7616BE9E6BF"/>
        <w:category>
          <w:name w:val="General"/>
          <w:gallery w:val="placeholder"/>
        </w:category>
        <w:types>
          <w:type w:val="bbPlcHdr"/>
        </w:types>
        <w:behaviors>
          <w:behavior w:val="content"/>
        </w:behaviors>
        <w:guid w:val="{C3F51C28-87DE-42A1-86A0-1B54A9BA4DB9}"/>
      </w:docPartPr>
      <w:docPartBody>
        <w:p w:rsidR="00B57D9A" w:rsidRDefault="00CE641D">
          <w:pPr>
            <w:pStyle w:val="AE0CF3358C9F42DEB2CFC7616BE9E6BF"/>
          </w:pPr>
          <w:r w:rsidRPr="005C44BE">
            <w:rPr>
              <w:rStyle w:val="PlaceholderText"/>
            </w:rPr>
            <w:t>Click or tap here to enter text.</w:t>
          </w:r>
        </w:p>
      </w:docPartBody>
    </w:docPart>
    <w:docPart>
      <w:docPartPr>
        <w:name w:val="6DC92291F57441CBBEFD8D5CF595A70C"/>
        <w:category>
          <w:name w:val="General"/>
          <w:gallery w:val="placeholder"/>
        </w:category>
        <w:types>
          <w:type w:val="bbPlcHdr"/>
        </w:types>
        <w:behaviors>
          <w:behavior w:val="content"/>
        </w:behaviors>
        <w:guid w:val="{438FD3FB-1F75-47DE-8FB4-BACD0B0872FC}"/>
      </w:docPartPr>
      <w:docPartBody>
        <w:p w:rsidR="00B57D9A" w:rsidRDefault="00CE641D">
          <w:pPr>
            <w:pStyle w:val="6DC92291F57441CBBEFD8D5CF595A70C"/>
          </w:pPr>
          <w:r w:rsidRPr="005C44BE">
            <w:rPr>
              <w:rStyle w:val="PlaceholderText"/>
            </w:rPr>
            <w:t>Click or tap here to enter text.</w:t>
          </w:r>
        </w:p>
      </w:docPartBody>
    </w:docPart>
    <w:docPart>
      <w:docPartPr>
        <w:name w:val="D932F575AC344081A1E99258A3B57A84"/>
        <w:category>
          <w:name w:val="General"/>
          <w:gallery w:val="placeholder"/>
        </w:category>
        <w:types>
          <w:type w:val="bbPlcHdr"/>
        </w:types>
        <w:behaviors>
          <w:behavior w:val="content"/>
        </w:behaviors>
        <w:guid w:val="{E1C6CD60-D2D1-4717-AA6F-16AFA5DC2EF1}"/>
      </w:docPartPr>
      <w:docPartBody>
        <w:p w:rsidR="00B57D9A" w:rsidRDefault="00CE641D">
          <w:pPr>
            <w:pStyle w:val="D932F575AC344081A1E99258A3B57A84"/>
          </w:pPr>
          <w:r w:rsidRPr="005C44BE">
            <w:rPr>
              <w:rStyle w:val="PlaceholderText"/>
            </w:rPr>
            <w:t>Click or tap here to enter text.</w:t>
          </w:r>
        </w:p>
      </w:docPartBody>
    </w:docPart>
    <w:docPart>
      <w:docPartPr>
        <w:name w:val="53A7138E4DFE419BA5D3E74282BD335F"/>
        <w:category>
          <w:name w:val="General"/>
          <w:gallery w:val="placeholder"/>
        </w:category>
        <w:types>
          <w:type w:val="bbPlcHdr"/>
        </w:types>
        <w:behaviors>
          <w:behavior w:val="content"/>
        </w:behaviors>
        <w:guid w:val="{6FBD8C75-587E-4D23-AB93-75D62DC827B1}"/>
      </w:docPartPr>
      <w:docPartBody>
        <w:p w:rsidR="00B57D9A" w:rsidRDefault="00CE641D">
          <w:pPr>
            <w:pStyle w:val="53A7138E4DFE419BA5D3E74282BD335F"/>
          </w:pPr>
          <w:r w:rsidRPr="005C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41D"/>
    <w:rsid w:val="00341978"/>
    <w:rsid w:val="00B57D9A"/>
    <w:rsid w:val="00BA5653"/>
    <w:rsid w:val="00C15F36"/>
    <w:rsid w:val="00C406AD"/>
    <w:rsid w:val="00CE64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80B1466C2824AE1BFCA4F64D4D279EA">
    <w:name w:val="880B1466C2824AE1BFCA4F64D4D279EA"/>
  </w:style>
  <w:style w:type="paragraph" w:customStyle="1" w:styleId="AE0CF3358C9F42DEB2CFC7616BE9E6BF">
    <w:name w:val="AE0CF3358C9F42DEB2CFC7616BE9E6BF"/>
  </w:style>
  <w:style w:type="paragraph" w:customStyle="1" w:styleId="6DC92291F57441CBBEFD8D5CF595A70C">
    <w:name w:val="6DC92291F57441CBBEFD8D5CF595A70C"/>
  </w:style>
  <w:style w:type="paragraph" w:customStyle="1" w:styleId="D932F575AC344081A1E99258A3B57A84">
    <w:name w:val="D932F575AC344081A1E99258A3B57A84"/>
  </w:style>
  <w:style w:type="paragraph" w:customStyle="1" w:styleId="53A7138E4DFE419BA5D3E74282BD335F">
    <w:name w:val="53A7138E4DFE419BA5D3E74282BD33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xmlns="http://schemas.globalmacros.com/FCA">
  <Name> Huber V CellOS Software Ltd (in liq) [2022] FCA 744 </Name>
</roo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E7CCB-4AA5-44E7-B148-17BA2B6F57C0}">
  <ds:schemaRefs>
    <ds:schemaRef ds:uri="http://schemas.globalmacros.com/FCA"/>
  </ds:schemaRefs>
</ds:datastoreItem>
</file>

<file path=customXml/itemProps2.xml><?xml version="1.0" encoding="utf-8"?>
<ds:datastoreItem xmlns:ds="http://schemas.openxmlformats.org/officeDocument/2006/customXml" ds:itemID="{8E3F15CC-3A64-4A16-948F-E95E66615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7</TotalTime>
  <Pages>11</Pages>
  <Words>4000</Words>
  <Characters>19654</Characters>
  <Application>Microsoft Office Word</Application>
  <DocSecurity>0</DocSecurity>
  <Lines>409</Lines>
  <Paragraphs>158</Paragraphs>
  <ScaleCrop>false</ScaleCrop>
  <HeadingPairs>
    <vt:vector size="2" baseType="variant">
      <vt:variant>
        <vt:lpstr>Title</vt:lpstr>
      </vt:variant>
      <vt:variant>
        <vt:i4>1</vt:i4>
      </vt:variant>
    </vt:vector>
  </HeadingPairs>
  <TitlesOfParts>
    <vt:vector size="1" baseType="lpstr">
      <vt:lpstr>Huber V CellOS Software Ltd (in liq) [2022] FCA 744 </vt:lpstr>
    </vt:vector>
  </TitlesOfParts>
  <Company>Federal Court of Australia</Company>
  <LinksUpToDate>false</LinksUpToDate>
  <CharactersWithSpaces>23496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Huber V CellOS Software Ltd (in liq) [2022] FCA 744</dc:title>
  <dc:creator>Justice McElwaine (FCA)</dc:creator>
  <dc:description>v1.3</dc:description>
  <cp:lastModifiedBy>Federal Court of Australia</cp:lastModifiedBy>
  <cp:revision>4</cp:revision>
  <cp:lastPrinted>2022-06-27T04:08:00Z</cp:lastPrinted>
  <dcterms:created xsi:type="dcterms:W3CDTF">2022-06-29T22:40:00Z</dcterms:created>
  <dcterms:modified xsi:type="dcterms:W3CDTF">2022-06-29T23:25:00Z</dcterms:modified>
  <cp:version>v1.2</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Distribution">
    <vt:lpwstr>GENERAL DISTRIBUTION</vt:lpwstr>
  </property>
  <property fmtid="{D5CDD505-2E9C-101B-9397-08002B2CF9AE}" pid="4" name="MNC">
    <vt:lpwstr> </vt:lpwstr>
  </property>
  <property fmtid="{D5CDD505-2E9C-101B-9397-08002B2CF9AE}" pid="5" name="Pages">
    <vt:lpwstr>3</vt:lpwstr>
  </property>
  <property fmtid="{D5CDD505-2E9C-101B-9397-08002B2CF9AE}" pid="6" name="Parties">
    <vt:lpwstr> </vt:lpwstr>
  </property>
  <property fmtid="{D5CDD505-2E9C-101B-9397-08002B2CF9AE}" pid="7" name="Place">
    <vt:lpwstr>N/A FCA</vt:lpwstr>
  </property>
  <property fmtid="{D5CDD505-2E9C-101B-9397-08002B2CF9AE}" pid="8" name="Respondent">
    <vt:lpwstr> </vt:lpwstr>
  </property>
  <property fmtid="{D5CDD505-2E9C-101B-9397-08002B2CF9AE}" pid="9" name="Year">
    <vt:lpwstr>2020</vt:lpwstr>
  </property>
  <property fmtid="{D5CDD505-2E9C-101B-9397-08002B2CF9AE}" pid="10" name="Judgment Template">
    <vt:lpwstr>True</vt:lpwstr>
  </property>
  <property fmtid="{D5CDD505-2E9C-101B-9397-08002B2CF9AE}" pid="11" name="VERSION">
    <vt:lpwstr>1.0</vt:lpwstr>
  </property>
  <property fmtid="{D5CDD505-2E9C-101B-9397-08002B2CF9AE}" pid="12" name="Registry">
    <vt:lpwstr>TBC</vt:lpwstr>
  </property>
  <property fmtid="{D5CDD505-2E9C-101B-9397-08002B2CF9AE}" pid="13" name="Division">
    <vt:lpwstr>General Division</vt:lpwstr>
  </property>
  <property fmtid="{D5CDD505-2E9C-101B-9397-08002B2CF9AE}" pid="14" name="FileNo">
    <vt:lpwstr>&lt;FILE NO&gt;</vt:lpwstr>
  </property>
  <property fmtid="{D5CDD505-2E9C-101B-9397-08002B2CF9AE}" pid="15" name="Practice Area">
    <vt:lpwstr>TBC</vt:lpwstr>
  </property>
  <property fmtid="{D5CDD505-2E9C-101B-9397-08002B2CF9AE}" pid="16" name="Court">
    <vt:lpwstr>Federal Court of Australia</vt:lpwstr>
  </property>
  <property fmtid="{D5CDD505-2E9C-101B-9397-08002B2CF9AE}" pid="17" name="Sub Area">
    <vt:lpwstr>To be Completed for Commercial and Corporations, and IP NPAs</vt:lpwstr>
  </property>
  <property fmtid="{D5CDD505-2E9C-101B-9397-08002B2CF9AE}" pid="18" name="AppealFrom">
    <vt:lpwstr>&lt;AppealFrom&gt;</vt:lpwstr>
  </property>
  <property fmtid="{D5CDD505-2E9C-101B-9397-08002B2CF9AE}" pid="19" name="DivisionTitle">
    <vt:lpwstr>none</vt:lpwstr>
  </property>
  <property fmtid="{D5CDD505-2E9C-101B-9397-08002B2CF9AE}" pid="20" name="Judge">
    <vt:lpwstr>Judge</vt:lpwstr>
  </property>
  <property fmtid="{D5CDD505-2E9C-101B-9397-08002B2CF9AE}" pid="21" name="Judgment_dated">
    <vt:lpwstr>Judgment_dated</vt:lpwstr>
  </property>
  <property fmtid="{D5CDD505-2E9C-101B-9397-08002B2CF9AE}" pid="22" name="Legislation">
    <vt:lpwstr>Legislation</vt:lpwstr>
  </property>
  <property fmtid="{D5CDD505-2E9C-101B-9397-08002B2CF9AE}" pid="23" name="Catchwords">
    <vt:lpwstr>Catchwords</vt:lpwstr>
  </property>
  <property fmtid="{D5CDD505-2E9C-101B-9397-08002B2CF9AE}" pid="24" name="Words_Phrases">
    <vt:lpwstr>WordsPhrases</vt:lpwstr>
  </property>
  <property fmtid="{D5CDD505-2E9C-101B-9397-08002B2CF9AE}" pid="25" name="Cases_Cited">
    <vt:lpwstr>CasesCited</vt:lpwstr>
  </property>
  <property fmtid="{D5CDD505-2E9C-101B-9397-08002B2CF9AE}" pid="26" name="File_Number">
    <vt:lpwstr>Num</vt:lpwstr>
  </property>
  <property fmtid="{D5CDD505-2E9C-101B-9397-08002B2CF9AE}" pid="27" name="State">
    <vt:lpwstr>State</vt:lpwstr>
  </property>
</Properties>
</file>