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84D20">
      <w:pPr>
        <w:pStyle w:val="MediaNeutralStyle"/>
      </w:pPr>
      <w:bookmarkStart w:id="0" w:name="MNC"/>
      <w:r>
        <w:t>Ford</w:t>
      </w:r>
      <w:r w:rsidR="00B069D0">
        <w:t xml:space="preserve"> (Administrator), in the matter of The PAS Group Limited (Administrators Appointed) v </w:t>
      </w:r>
      <w:proofErr w:type="spellStart"/>
      <w:r w:rsidR="00B069D0">
        <w:t>Scentre</w:t>
      </w:r>
      <w:proofErr w:type="spellEnd"/>
      <w:r w:rsidR="00B069D0">
        <w:t xml:space="preserve"> M</w:t>
      </w:r>
      <w:r w:rsidR="001C3F40">
        <w:t>anagement Limited [2020] FCA 1023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24897">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1B4A1C" w:rsidRDefault="005C04C2" w:rsidP="001B4A1C">
            <w:pPr>
              <w:pStyle w:val="Normal1linespace"/>
              <w:jc w:val="left"/>
            </w:pPr>
            <w:r>
              <w:fldChar w:fldCharType="begin" w:fldLock="1"/>
            </w:r>
            <w:r>
              <w:instrText xml:space="preserve"> REF  FileNo  \* MERGEFORMAT </w:instrText>
            </w:r>
            <w:r>
              <w:fldChar w:fldCharType="separate"/>
            </w:r>
            <w:r w:rsidR="001B4A1C" w:rsidRPr="001B4A1C">
              <w:t>VID 432 of 2020</w:t>
            </w:r>
            <w:r>
              <w:fldChar w:fldCharType="end"/>
            </w:r>
          </w:p>
        </w:tc>
      </w:tr>
      <w:tr w:rsidR="00395B24" w:rsidTr="00C248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4897">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1B4A1C">
              <w:rPr>
                <w:b/>
              </w:rPr>
              <w:fldChar w:fldCharType="begin" w:fldLock="1"/>
            </w:r>
            <w:r w:rsidRPr="001B4A1C">
              <w:rPr>
                <w:b/>
              </w:rPr>
              <w:instrText xml:space="preserve"> REF  Judge  \* MERGEFORMAT </w:instrText>
            </w:r>
            <w:r w:rsidRPr="001B4A1C">
              <w:rPr>
                <w:b/>
              </w:rPr>
              <w:fldChar w:fldCharType="separate"/>
            </w:r>
            <w:r w:rsidR="001B4A1C" w:rsidRPr="001B4A1C">
              <w:rPr>
                <w:b/>
                <w:caps/>
                <w:szCs w:val="24"/>
              </w:rPr>
              <w:t>O'CALLAGHAN J</w:t>
            </w:r>
            <w:r w:rsidRPr="001B4A1C">
              <w:rPr>
                <w:b/>
              </w:rPr>
              <w:fldChar w:fldCharType="end"/>
            </w:r>
          </w:p>
        </w:tc>
      </w:tr>
      <w:tr w:rsidR="00395B24" w:rsidTr="00C248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489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B4A1C" w:rsidP="00663878">
            <w:pPr>
              <w:pStyle w:val="Normal1linespace"/>
              <w:widowControl w:val="0"/>
              <w:jc w:val="left"/>
            </w:pPr>
            <w:bookmarkStart w:id="1" w:name="JudgmentDate"/>
            <w:r>
              <w:t>21 July 2020</w:t>
            </w:r>
            <w:bookmarkEnd w:id="1"/>
          </w:p>
        </w:tc>
      </w:tr>
      <w:tr w:rsidR="00395B24" w:rsidTr="00C248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489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F74003" w:rsidRDefault="008F5677" w:rsidP="00F74003">
            <w:pPr>
              <w:pStyle w:val="Normal1linespace"/>
              <w:widowControl w:val="0"/>
              <w:jc w:val="left"/>
            </w:pPr>
            <w:bookmarkStart w:id="2" w:name="Catchwords"/>
            <w:r w:rsidRPr="00F74003">
              <w:rPr>
                <w:b/>
              </w:rPr>
              <w:t>CORPORATIONS</w:t>
            </w:r>
            <w:r w:rsidRPr="00F74003">
              <w:t xml:space="preserve"> – </w:t>
            </w:r>
            <w:r w:rsidR="00A2297B" w:rsidRPr="00F74003">
              <w:t xml:space="preserve">where administrators continued to use and occupy leased premises to carry on companies’ businesses after appointment – whether rent in respect of </w:t>
            </w:r>
            <w:r w:rsidR="000579FF" w:rsidRPr="00F74003">
              <w:t xml:space="preserve">“standstill </w:t>
            </w:r>
            <w:r w:rsidR="00A2297B" w:rsidRPr="00F74003">
              <w:t>period</w:t>
            </w:r>
            <w:r w:rsidR="000579FF" w:rsidRPr="00F74003">
              <w:t>”</w:t>
            </w:r>
            <w:r w:rsidR="00F74003">
              <w:t xml:space="preserve"> when administrators </w:t>
            </w:r>
            <w:r w:rsidR="00A2297B" w:rsidRPr="00F74003">
              <w:t xml:space="preserve">not personally liable under s 443B(2) of the </w:t>
            </w:r>
            <w:r w:rsidR="00A2297B" w:rsidRPr="00F74003">
              <w:rPr>
                <w:i/>
              </w:rPr>
              <w:t xml:space="preserve">Corporations Act 2001 </w:t>
            </w:r>
            <w:r w:rsidR="00A2297B" w:rsidRPr="00F74003">
              <w:t>(</w:t>
            </w:r>
            <w:proofErr w:type="spellStart"/>
            <w:r w:rsidR="00A2297B" w:rsidRPr="00F74003">
              <w:t>Cth</w:t>
            </w:r>
            <w:proofErr w:type="spellEnd"/>
            <w:r w:rsidR="00A2297B" w:rsidRPr="00F74003">
              <w:t>)</w:t>
            </w:r>
            <w:r w:rsidR="00D95990" w:rsidRPr="00F74003">
              <w:t xml:space="preserve"> would </w:t>
            </w:r>
            <w:r w:rsidR="00A2297B" w:rsidRPr="00F74003">
              <w:t xml:space="preserve">fall within s 556(1)(a) </w:t>
            </w:r>
            <w:r w:rsidR="00A31245">
              <w:t>in a liquidation</w:t>
            </w:r>
            <w:r w:rsidR="00A2297B" w:rsidRPr="00F74003">
              <w:t xml:space="preserve"> – application of principle </w:t>
            </w:r>
            <w:r w:rsidR="00F74003">
              <w:t>derived from</w:t>
            </w:r>
            <w:r w:rsidR="00A2297B" w:rsidRPr="00F74003">
              <w:t xml:space="preserve"> </w:t>
            </w:r>
            <w:r w:rsidR="00A2297B" w:rsidRPr="00F74003">
              <w:rPr>
                <w:i/>
              </w:rPr>
              <w:t>Re Lundy Granite</w:t>
            </w:r>
            <w:r w:rsidR="00A2297B" w:rsidRPr="00F74003">
              <w:t xml:space="preserve"> </w:t>
            </w:r>
            <w:r w:rsidR="00A2297B" w:rsidRPr="00F74003">
              <w:rPr>
                <w:i/>
              </w:rPr>
              <w:t xml:space="preserve">Co; Ex parte </w:t>
            </w:r>
            <w:proofErr w:type="spellStart"/>
            <w:r w:rsidR="00A2297B" w:rsidRPr="00F74003">
              <w:rPr>
                <w:i/>
              </w:rPr>
              <w:t>Heavan</w:t>
            </w:r>
            <w:proofErr w:type="spellEnd"/>
            <w:r w:rsidR="00A2297B" w:rsidRPr="00F74003">
              <w:rPr>
                <w:i/>
              </w:rPr>
              <w:t xml:space="preserve"> </w:t>
            </w:r>
            <w:r w:rsidR="00A2297B" w:rsidRPr="00F74003">
              <w:t xml:space="preserve">(1871) LR 6 </w:t>
            </w:r>
            <w:proofErr w:type="spellStart"/>
            <w:r w:rsidR="00A2297B" w:rsidRPr="00F74003">
              <w:t>Ch</w:t>
            </w:r>
            <w:proofErr w:type="spellEnd"/>
            <w:r w:rsidR="00A2297B" w:rsidRPr="00F74003">
              <w:t xml:space="preserve"> App 462</w:t>
            </w:r>
            <w:bookmarkEnd w:id="2"/>
          </w:p>
        </w:tc>
      </w:tr>
      <w:tr w:rsidR="00395B24" w:rsidTr="00C248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489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DF1661" w:rsidRDefault="00DF1661" w:rsidP="00D82620">
            <w:pPr>
              <w:pStyle w:val="CasesLegislationAppealFrom"/>
              <w:spacing w:after="60"/>
            </w:pPr>
            <w:bookmarkStart w:id="3" w:name="Legislation"/>
            <w:r>
              <w:rPr>
                <w:i/>
              </w:rPr>
              <w:t xml:space="preserve">Corporations Act 2001 </w:t>
            </w:r>
            <w:r>
              <w:t>(</w:t>
            </w:r>
            <w:proofErr w:type="spellStart"/>
            <w:r>
              <w:t>Cth</w:t>
            </w:r>
            <w:proofErr w:type="spellEnd"/>
            <w:r>
              <w:t xml:space="preserve">) </w:t>
            </w:r>
            <w:proofErr w:type="spellStart"/>
            <w:r>
              <w:t>ss</w:t>
            </w:r>
            <w:proofErr w:type="spellEnd"/>
            <w:r>
              <w:t xml:space="preserve"> 443A, 443B, 443B(2), 447A, 556, 556(1), 556(1)(a), </w:t>
            </w:r>
            <w:proofErr w:type="spellStart"/>
            <w:r>
              <w:t>Sch</w:t>
            </w:r>
            <w:proofErr w:type="spellEnd"/>
            <w:r>
              <w:t xml:space="preserve"> 2 s 90-15</w:t>
            </w:r>
          </w:p>
          <w:p w:rsidR="008425A5" w:rsidRPr="008425A5" w:rsidRDefault="008425A5" w:rsidP="00D82620">
            <w:pPr>
              <w:pStyle w:val="CasesLegislationAppealFrom"/>
              <w:spacing w:after="60"/>
            </w:pPr>
            <w:r w:rsidRPr="00C24897">
              <w:rPr>
                <w:i/>
              </w:rPr>
              <w:t xml:space="preserve">Insolvency (England and Wales) Rules 2016 </w:t>
            </w:r>
            <w:r w:rsidRPr="00C24897">
              <w:t>(UK)</w:t>
            </w:r>
          </w:p>
          <w:p w:rsidR="00395B24" w:rsidRPr="008425A5" w:rsidRDefault="008425A5" w:rsidP="008F5677">
            <w:pPr>
              <w:pStyle w:val="CasesLegislationAppealFrom"/>
              <w:spacing w:after="60"/>
            </w:pPr>
            <w:r w:rsidRPr="00C24897">
              <w:rPr>
                <w:i/>
              </w:rPr>
              <w:t>Insolvency Rules</w:t>
            </w:r>
            <w:r w:rsidRPr="00C24897">
              <w:t xml:space="preserve"> </w:t>
            </w:r>
            <w:r w:rsidRPr="00C24897">
              <w:rPr>
                <w:i/>
              </w:rPr>
              <w:t xml:space="preserve">1986 </w:t>
            </w:r>
            <w:r w:rsidRPr="00C24897">
              <w:t>(UK</w:t>
            </w:r>
            <w:r w:rsidR="00DF1661">
              <w:t xml:space="preserve">) </w:t>
            </w:r>
            <w:proofErr w:type="spellStart"/>
            <w:r w:rsidR="00DF1661">
              <w:t>rr</w:t>
            </w:r>
            <w:proofErr w:type="spellEnd"/>
            <w:r w:rsidR="00DF1661">
              <w:t xml:space="preserve"> 2.67(1), 4.218, 12.2(1)</w:t>
            </w:r>
            <w:bookmarkEnd w:id="3"/>
          </w:p>
        </w:tc>
      </w:tr>
      <w:tr w:rsidR="00395B24" w:rsidTr="00C248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2489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425A5" w:rsidRPr="008425A5" w:rsidRDefault="008425A5" w:rsidP="00D82620">
            <w:pPr>
              <w:pStyle w:val="CasesLegislationAppealFrom"/>
              <w:spacing w:after="60"/>
            </w:pPr>
            <w:bookmarkStart w:id="4" w:name="Cases_Cited"/>
            <w:r w:rsidRPr="00C24897">
              <w:rPr>
                <w:i/>
              </w:rPr>
              <w:t>Ainsworth v Criminal Justice Commission</w:t>
            </w:r>
            <w:r w:rsidRPr="00C24897">
              <w:t xml:space="preserve"> (1992) 175 CLR 564</w:t>
            </w:r>
          </w:p>
          <w:p w:rsidR="008425A5" w:rsidRPr="008425A5" w:rsidRDefault="008425A5" w:rsidP="00D82620">
            <w:pPr>
              <w:pStyle w:val="CasesLegislationAppealFrom"/>
              <w:spacing w:after="60"/>
            </w:pPr>
            <w:r w:rsidRPr="00C24897">
              <w:rPr>
                <w:i/>
              </w:rPr>
              <w:t>Ansett Australia Ground Staff Superannuation Plan Pty Ltd v Ansett Australia Ltd</w:t>
            </w:r>
            <w:r w:rsidRPr="00C24897">
              <w:t xml:space="preserve"> [2002] VSC 576; 174 FLR 1</w:t>
            </w:r>
          </w:p>
          <w:p w:rsidR="008425A5" w:rsidRPr="008425A5" w:rsidRDefault="008425A5" w:rsidP="00D82620">
            <w:pPr>
              <w:pStyle w:val="CasesLegislationAppealFrom"/>
              <w:spacing w:after="60"/>
            </w:pPr>
            <w:r w:rsidRPr="00C24897">
              <w:rPr>
                <w:i/>
              </w:rPr>
              <w:t xml:space="preserve">Australian Securities and Investments Commission v </w:t>
            </w:r>
            <w:proofErr w:type="spellStart"/>
            <w:r w:rsidRPr="00C24897">
              <w:rPr>
                <w:i/>
              </w:rPr>
              <w:t>Letten</w:t>
            </w:r>
            <w:proofErr w:type="spellEnd"/>
            <w:r w:rsidRPr="00C24897">
              <w:rPr>
                <w:i/>
              </w:rPr>
              <w:t xml:space="preserve"> (No 13) </w:t>
            </w:r>
            <w:r w:rsidRPr="00C24897">
              <w:t>[2011] FCA 1151; 86 ACSR 174</w:t>
            </w:r>
          </w:p>
          <w:p w:rsidR="008425A5" w:rsidRPr="008425A5" w:rsidRDefault="008425A5" w:rsidP="00D82620">
            <w:pPr>
              <w:pStyle w:val="CasesLegislationAppealFrom"/>
              <w:spacing w:after="60"/>
            </w:pPr>
            <w:r w:rsidRPr="00C24897">
              <w:rPr>
                <w:i/>
              </w:rPr>
              <w:t>Carson v Humphreys</w:t>
            </w:r>
            <w:r w:rsidRPr="00C24897">
              <w:t xml:space="preserve"> (1931) 44 CLR 480</w:t>
            </w:r>
          </w:p>
          <w:p w:rsidR="008425A5" w:rsidRPr="008425A5" w:rsidRDefault="008425A5" w:rsidP="00D82620">
            <w:pPr>
              <w:pStyle w:val="CasesLegislationAppealFrom"/>
              <w:spacing w:after="60"/>
            </w:pPr>
            <w:proofErr w:type="spellStart"/>
            <w:r w:rsidRPr="00C24897">
              <w:rPr>
                <w:i/>
              </w:rPr>
              <w:t>Grapecorp</w:t>
            </w:r>
            <w:proofErr w:type="spellEnd"/>
            <w:r w:rsidRPr="00C24897">
              <w:rPr>
                <w:i/>
              </w:rPr>
              <w:t xml:space="preserve"> Management Pty Ltd (in </w:t>
            </w:r>
            <w:proofErr w:type="spellStart"/>
            <w:r w:rsidRPr="00C24897">
              <w:rPr>
                <w:i/>
              </w:rPr>
              <w:t>liq</w:t>
            </w:r>
            <w:proofErr w:type="spellEnd"/>
            <w:r w:rsidRPr="00C24897">
              <w:rPr>
                <w:i/>
              </w:rPr>
              <w:t>) v Grape Exchange Management Euston Pty Ltd</w:t>
            </w:r>
            <w:r w:rsidRPr="00C24897">
              <w:t xml:space="preserve"> [2012] VSC 112; 265 FLR 33</w:t>
            </w:r>
          </w:p>
          <w:p w:rsidR="008425A5" w:rsidRPr="008425A5" w:rsidRDefault="008425A5" w:rsidP="00D82620">
            <w:pPr>
              <w:pStyle w:val="CasesLegislationAppealFrom"/>
              <w:spacing w:after="60"/>
            </w:pPr>
            <w:r w:rsidRPr="00C24897">
              <w:rPr>
                <w:i/>
              </w:rPr>
              <w:t>Jervis v Pillar Denton Ltd</w:t>
            </w:r>
            <w:r w:rsidRPr="00C24897">
              <w:t xml:space="preserve"> [2015] </w:t>
            </w:r>
            <w:proofErr w:type="spellStart"/>
            <w:r w:rsidRPr="00C24897">
              <w:t>Ch</w:t>
            </w:r>
            <w:proofErr w:type="spellEnd"/>
            <w:r w:rsidRPr="00C24897">
              <w:t xml:space="preserve"> 87</w:t>
            </w:r>
          </w:p>
          <w:p w:rsidR="008425A5" w:rsidRPr="008425A5" w:rsidRDefault="008425A5" w:rsidP="00D82620">
            <w:pPr>
              <w:pStyle w:val="CasesLegislationAppealFrom"/>
              <w:spacing w:after="60"/>
            </w:pPr>
            <w:r w:rsidRPr="00C24897">
              <w:rPr>
                <w:i/>
              </w:rPr>
              <w:t xml:space="preserve">Re </w:t>
            </w:r>
            <w:proofErr w:type="spellStart"/>
            <w:r w:rsidRPr="00C24897">
              <w:rPr>
                <w:i/>
              </w:rPr>
              <w:t>Gunns</w:t>
            </w:r>
            <w:proofErr w:type="spellEnd"/>
            <w:r w:rsidRPr="00C24897">
              <w:rPr>
                <w:i/>
              </w:rPr>
              <w:t xml:space="preserve"> Plantations Ltd (No 1)</w:t>
            </w:r>
            <w:r w:rsidRPr="00C24897">
              <w:t xml:space="preserve"> [2012] VSC 655</w:t>
            </w:r>
            <w:r w:rsidRPr="008425A5" w:rsidDel="008425A5">
              <w:t xml:space="preserve"> </w:t>
            </w:r>
          </w:p>
          <w:p w:rsidR="008425A5" w:rsidRPr="008425A5" w:rsidRDefault="008425A5" w:rsidP="00D82620">
            <w:pPr>
              <w:pStyle w:val="CasesLegislationAppealFrom"/>
              <w:spacing w:after="60"/>
            </w:pPr>
            <w:r w:rsidRPr="00C24897">
              <w:rPr>
                <w:i/>
              </w:rPr>
              <w:t>Re Lundy Granite</w:t>
            </w:r>
            <w:r w:rsidRPr="00C24897">
              <w:t xml:space="preserve"> </w:t>
            </w:r>
            <w:r w:rsidRPr="00C24897">
              <w:rPr>
                <w:i/>
              </w:rPr>
              <w:t xml:space="preserve">Co; Ex parte </w:t>
            </w:r>
            <w:proofErr w:type="spellStart"/>
            <w:r w:rsidRPr="00C24897">
              <w:rPr>
                <w:i/>
              </w:rPr>
              <w:t>Heavan</w:t>
            </w:r>
            <w:proofErr w:type="spellEnd"/>
            <w:r w:rsidRPr="00C24897">
              <w:rPr>
                <w:i/>
              </w:rPr>
              <w:t xml:space="preserve"> </w:t>
            </w:r>
            <w:r w:rsidRPr="00C24897">
              <w:t xml:space="preserve">(1871) LR 6 </w:t>
            </w:r>
            <w:proofErr w:type="spellStart"/>
            <w:r w:rsidRPr="00C24897">
              <w:t>Ch</w:t>
            </w:r>
            <w:proofErr w:type="spellEnd"/>
            <w:r w:rsidRPr="00C24897">
              <w:t xml:space="preserve"> App 462</w:t>
            </w:r>
          </w:p>
          <w:p w:rsidR="008425A5" w:rsidRPr="008425A5" w:rsidRDefault="008425A5" w:rsidP="00D82620">
            <w:pPr>
              <w:pStyle w:val="CasesLegislationAppealFrom"/>
              <w:spacing w:after="60"/>
            </w:pPr>
            <w:r w:rsidRPr="00C24897">
              <w:rPr>
                <w:i/>
              </w:rPr>
              <w:t xml:space="preserve">Re </w:t>
            </w:r>
            <w:proofErr w:type="spellStart"/>
            <w:r w:rsidRPr="00C24897">
              <w:rPr>
                <w:i/>
              </w:rPr>
              <w:t>Mesco</w:t>
            </w:r>
            <w:proofErr w:type="spellEnd"/>
            <w:r w:rsidRPr="00C24897">
              <w:rPr>
                <w:i/>
              </w:rPr>
              <w:t xml:space="preserve"> Properties Ltd</w:t>
            </w:r>
            <w:r w:rsidRPr="00C24897">
              <w:t xml:space="preserve"> [1979] 1 WLR 558</w:t>
            </w:r>
          </w:p>
          <w:p w:rsidR="008425A5" w:rsidRPr="008425A5" w:rsidRDefault="008425A5" w:rsidP="00D82620">
            <w:pPr>
              <w:pStyle w:val="CasesLegislationAppealFrom"/>
              <w:spacing w:after="60"/>
            </w:pPr>
            <w:r w:rsidRPr="00C24897">
              <w:rPr>
                <w:i/>
              </w:rPr>
              <w:t>Re Mineral Resources Ltd</w:t>
            </w:r>
            <w:r w:rsidRPr="00C24897">
              <w:t xml:space="preserve"> [1999] 1 All ER 746</w:t>
            </w:r>
          </w:p>
          <w:p w:rsidR="008425A5" w:rsidRPr="008425A5" w:rsidRDefault="008425A5" w:rsidP="00D82620">
            <w:pPr>
              <w:pStyle w:val="CasesLegislationAppealFrom"/>
              <w:spacing w:after="60"/>
            </w:pPr>
            <w:r w:rsidRPr="00C24897">
              <w:rPr>
                <w:i/>
              </w:rPr>
              <w:t>Re Toshoku Finance UK plc</w:t>
            </w:r>
            <w:r w:rsidRPr="00C24897">
              <w:t xml:space="preserve"> [2002] UKHL 6; 1 WLR 671</w:t>
            </w:r>
          </w:p>
          <w:p w:rsidR="008425A5" w:rsidRDefault="008425A5" w:rsidP="00D82620">
            <w:pPr>
              <w:pStyle w:val="CasesLegislationAppealFrom"/>
              <w:spacing w:after="60"/>
              <w:rPr>
                <w:i/>
              </w:rPr>
            </w:pPr>
            <w:r w:rsidRPr="00C24897">
              <w:rPr>
                <w:i/>
              </w:rPr>
              <w:t>Strawbridge (Administrator), in the matter of CBCH Group Pty Ltd (Administrators Appointed) (No 2)</w:t>
            </w:r>
            <w:r w:rsidRPr="00C24897">
              <w:t xml:space="preserve"> [2020] FCA 472</w:t>
            </w:r>
          </w:p>
          <w:p w:rsidR="00395B24" w:rsidRPr="008425A5" w:rsidRDefault="008425A5" w:rsidP="00D82620">
            <w:pPr>
              <w:pStyle w:val="CasesLegislationAppealFrom"/>
              <w:spacing w:after="60"/>
            </w:pPr>
            <w:proofErr w:type="spellStart"/>
            <w:r w:rsidRPr="00826F1C">
              <w:rPr>
                <w:i/>
              </w:rPr>
              <w:t>Timbercorp</w:t>
            </w:r>
            <w:proofErr w:type="spellEnd"/>
            <w:r w:rsidRPr="00826F1C">
              <w:rPr>
                <w:i/>
              </w:rPr>
              <w:t xml:space="preserve"> Securities Ltd (in </w:t>
            </w:r>
            <w:proofErr w:type="spellStart"/>
            <w:r w:rsidRPr="00826F1C">
              <w:rPr>
                <w:i/>
              </w:rPr>
              <w:t>liq</w:t>
            </w:r>
            <w:proofErr w:type="spellEnd"/>
            <w:r w:rsidRPr="00826F1C">
              <w:rPr>
                <w:i/>
              </w:rPr>
              <w:t>) v Plantation Land Ltd</w:t>
            </w:r>
            <w:r w:rsidRPr="00826F1C">
              <w:t xml:space="preserve"> [2009] FCA 741; 72 ACSR 620</w:t>
            </w:r>
            <w:bookmarkEnd w:id="4"/>
          </w:p>
        </w:tc>
      </w:tr>
      <w:tr w:rsidR="00B069D0" w:rsidRPr="00B069D0" w:rsidTr="00C24897">
        <w:tc>
          <w:tcPr>
            <w:tcW w:w="3085" w:type="dxa"/>
            <w:shd w:val="clear" w:color="auto" w:fill="auto"/>
          </w:tcPr>
          <w:p w:rsidR="00B069D0" w:rsidRPr="00B069D0" w:rsidRDefault="00B069D0" w:rsidP="00C24897">
            <w:pPr>
              <w:pStyle w:val="Normal1linespace"/>
              <w:jc w:val="left"/>
            </w:pPr>
            <w:bookmarkStart w:id="5" w:name="CounselTable"/>
          </w:p>
        </w:tc>
        <w:tc>
          <w:tcPr>
            <w:tcW w:w="5989" w:type="dxa"/>
            <w:shd w:val="clear" w:color="auto" w:fill="auto"/>
          </w:tcPr>
          <w:p w:rsidR="00B069D0" w:rsidRPr="00B069D0" w:rsidRDefault="00B069D0" w:rsidP="00C24897">
            <w:pPr>
              <w:pStyle w:val="Normal1linespace"/>
              <w:jc w:val="left"/>
            </w:pPr>
          </w:p>
        </w:tc>
      </w:tr>
      <w:tr w:rsidR="00B069D0" w:rsidRPr="00B069D0" w:rsidTr="00C24897">
        <w:tc>
          <w:tcPr>
            <w:tcW w:w="3085" w:type="dxa"/>
            <w:shd w:val="clear" w:color="auto" w:fill="auto"/>
          </w:tcPr>
          <w:p w:rsidR="00B069D0" w:rsidRPr="00B069D0" w:rsidRDefault="00B069D0" w:rsidP="00C24897">
            <w:pPr>
              <w:pStyle w:val="Normal1linespace"/>
              <w:jc w:val="left"/>
            </w:pPr>
            <w:bookmarkStart w:id="6" w:name="CounselDate" w:colFirst="0" w:colLast="2"/>
            <w:r w:rsidRPr="00B069D0">
              <w:t>Date of hearing:</w:t>
            </w:r>
          </w:p>
        </w:tc>
        <w:tc>
          <w:tcPr>
            <w:tcW w:w="5989" w:type="dxa"/>
            <w:shd w:val="clear" w:color="auto" w:fill="auto"/>
          </w:tcPr>
          <w:p w:rsidR="00B069D0" w:rsidRPr="00B069D0" w:rsidRDefault="00B069D0" w:rsidP="00C24897">
            <w:pPr>
              <w:pStyle w:val="Normal1linespace"/>
              <w:jc w:val="left"/>
            </w:pPr>
            <w:bookmarkStart w:id="7" w:name="HearingDate"/>
            <w:r>
              <w:t>9 July 2020</w:t>
            </w:r>
            <w:bookmarkEnd w:id="7"/>
          </w:p>
        </w:tc>
      </w:tr>
      <w:tr w:rsidR="00B069D0" w:rsidRPr="00B069D0" w:rsidTr="00C24897">
        <w:tc>
          <w:tcPr>
            <w:tcW w:w="3085" w:type="dxa"/>
            <w:shd w:val="clear" w:color="auto" w:fill="auto"/>
          </w:tcPr>
          <w:p w:rsidR="00B069D0" w:rsidRPr="00B069D0" w:rsidRDefault="00B069D0" w:rsidP="00C24897">
            <w:pPr>
              <w:pStyle w:val="Normal1linespace"/>
              <w:jc w:val="left"/>
            </w:pPr>
          </w:p>
        </w:tc>
        <w:tc>
          <w:tcPr>
            <w:tcW w:w="5989" w:type="dxa"/>
            <w:shd w:val="clear" w:color="auto" w:fill="auto"/>
          </w:tcPr>
          <w:p w:rsidR="00B069D0" w:rsidRPr="00B069D0" w:rsidRDefault="00B069D0" w:rsidP="00C24897">
            <w:pPr>
              <w:pStyle w:val="Normal1linespace"/>
              <w:jc w:val="left"/>
            </w:pPr>
          </w:p>
        </w:tc>
      </w:tr>
      <w:bookmarkEnd w:id="6"/>
      <w:tr w:rsidR="00B069D0" w:rsidTr="00C24897">
        <w:tc>
          <w:tcPr>
            <w:tcW w:w="3085" w:type="dxa"/>
            <w:shd w:val="clear" w:color="auto" w:fill="auto"/>
          </w:tcPr>
          <w:p w:rsidR="00B069D0" w:rsidRDefault="00B069D0" w:rsidP="00C24897">
            <w:pPr>
              <w:pStyle w:val="Normal1linespace"/>
              <w:widowControl w:val="0"/>
              <w:jc w:val="left"/>
            </w:pPr>
            <w:r>
              <w:t>Registry:</w:t>
            </w:r>
          </w:p>
        </w:tc>
        <w:tc>
          <w:tcPr>
            <w:tcW w:w="5989" w:type="dxa"/>
            <w:shd w:val="clear" w:color="auto" w:fill="auto"/>
          </w:tcPr>
          <w:p w:rsidR="00B069D0" w:rsidRPr="00F17599" w:rsidRDefault="00C21B7B" w:rsidP="00096054">
            <w:pPr>
              <w:pStyle w:val="Normal1linespace"/>
              <w:widowControl w:val="0"/>
              <w:jc w:val="left"/>
            </w:pPr>
            <w:fldSimple w:instr=" DOCPROPERTY  Registry " w:fldLock="1">
              <w:r w:rsidR="00B069D0">
                <w:t>Victoria</w:t>
              </w:r>
            </w:fldSimple>
          </w:p>
        </w:tc>
      </w:tr>
      <w:tr w:rsidR="00B069D0" w:rsidTr="00C24897">
        <w:tc>
          <w:tcPr>
            <w:tcW w:w="3085" w:type="dxa"/>
            <w:shd w:val="clear" w:color="auto" w:fill="auto"/>
          </w:tcPr>
          <w:p w:rsidR="00B069D0" w:rsidRDefault="00B069D0" w:rsidP="00C24897">
            <w:pPr>
              <w:pStyle w:val="Normal1linespace"/>
              <w:widowControl w:val="0"/>
              <w:jc w:val="left"/>
            </w:pPr>
          </w:p>
        </w:tc>
        <w:tc>
          <w:tcPr>
            <w:tcW w:w="5989" w:type="dxa"/>
            <w:shd w:val="clear" w:color="auto" w:fill="auto"/>
          </w:tcPr>
          <w:p w:rsidR="00B069D0" w:rsidRDefault="00B069D0" w:rsidP="00096054">
            <w:pPr>
              <w:pStyle w:val="Normal1linespace"/>
              <w:widowControl w:val="0"/>
              <w:jc w:val="left"/>
            </w:pPr>
          </w:p>
        </w:tc>
      </w:tr>
      <w:tr w:rsidR="00B069D0" w:rsidTr="00C24897">
        <w:tc>
          <w:tcPr>
            <w:tcW w:w="3085" w:type="dxa"/>
            <w:shd w:val="clear" w:color="auto" w:fill="auto"/>
          </w:tcPr>
          <w:p w:rsidR="00B069D0" w:rsidRDefault="00B069D0" w:rsidP="00C24897">
            <w:pPr>
              <w:pStyle w:val="Normal1linespace"/>
              <w:widowControl w:val="0"/>
              <w:jc w:val="left"/>
            </w:pPr>
            <w:r>
              <w:t>Division:</w:t>
            </w:r>
          </w:p>
        </w:tc>
        <w:tc>
          <w:tcPr>
            <w:tcW w:w="5989" w:type="dxa"/>
            <w:shd w:val="clear" w:color="auto" w:fill="auto"/>
          </w:tcPr>
          <w:p w:rsidR="00B069D0" w:rsidRPr="00F17599" w:rsidRDefault="00C21B7B" w:rsidP="00096054">
            <w:pPr>
              <w:pStyle w:val="Normal1linespace"/>
              <w:widowControl w:val="0"/>
              <w:jc w:val="left"/>
            </w:pPr>
            <w:fldSimple w:instr=" DOCPROPERTY  Division " w:fldLock="1">
              <w:r w:rsidR="00B069D0">
                <w:t>General Division</w:t>
              </w:r>
            </w:fldSimple>
          </w:p>
        </w:tc>
      </w:tr>
      <w:tr w:rsidR="00B069D0" w:rsidTr="00C24897">
        <w:tc>
          <w:tcPr>
            <w:tcW w:w="3085" w:type="dxa"/>
            <w:shd w:val="clear" w:color="auto" w:fill="auto"/>
          </w:tcPr>
          <w:p w:rsidR="00B069D0" w:rsidRDefault="00B069D0" w:rsidP="00C24897">
            <w:pPr>
              <w:pStyle w:val="Normal1linespace"/>
              <w:widowControl w:val="0"/>
              <w:jc w:val="left"/>
            </w:pPr>
          </w:p>
        </w:tc>
        <w:tc>
          <w:tcPr>
            <w:tcW w:w="5989" w:type="dxa"/>
            <w:shd w:val="clear" w:color="auto" w:fill="auto"/>
          </w:tcPr>
          <w:p w:rsidR="00B069D0" w:rsidRPr="00F17599" w:rsidRDefault="00B069D0" w:rsidP="00096054">
            <w:pPr>
              <w:pStyle w:val="Normal1linespace"/>
              <w:widowControl w:val="0"/>
              <w:jc w:val="left"/>
              <w:rPr>
                <w:b/>
              </w:rPr>
            </w:pPr>
          </w:p>
        </w:tc>
      </w:tr>
      <w:tr w:rsidR="00B069D0" w:rsidTr="00C24897">
        <w:tc>
          <w:tcPr>
            <w:tcW w:w="3085" w:type="dxa"/>
            <w:shd w:val="clear" w:color="auto" w:fill="auto"/>
          </w:tcPr>
          <w:p w:rsidR="00B069D0" w:rsidRDefault="00B069D0" w:rsidP="00C24897">
            <w:pPr>
              <w:pStyle w:val="Normal1linespace"/>
              <w:widowControl w:val="0"/>
              <w:jc w:val="left"/>
            </w:pPr>
            <w:r>
              <w:t>National Practice Area:</w:t>
            </w:r>
          </w:p>
        </w:tc>
        <w:tc>
          <w:tcPr>
            <w:tcW w:w="5989" w:type="dxa"/>
            <w:shd w:val="clear" w:color="auto" w:fill="auto"/>
          </w:tcPr>
          <w:p w:rsidR="00B069D0" w:rsidRPr="00F17599" w:rsidRDefault="00C21B7B" w:rsidP="00096054">
            <w:pPr>
              <w:pStyle w:val="Normal1linespace"/>
              <w:widowControl w:val="0"/>
              <w:jc w:val="left"/>
              <w:rPr>
                <w:b/>
              </w:rPr>
            </w:pPr>
            <w:fldSimple w:instr=" DOCPROPERTY  &quot;Practice Area&quot;  \* MERGEFORMAT " w:fldLock="1">
              <w:r w:rsidR="00B069D0">
                <w:t>Commercial and Corporations</w:t>
              </w:r>
            </w:fldSimple>
          </w:p>
        </w:tc>
      </w:tr>
      <w:tr w:rsidR="00B069D0" w:rsidTr="00C24897">
        <w:tc>
          <w:tcPr>
            <w:tcW w:w="3085" w:type="dxa"/>
            <w:shd w:val="clear" w:color="auto" w:fill="auto"/>
          </w:tcPr>
          <w:p w:rsidR="00B069D0" w:rsidRDefault="00B069D0" w:rsidP="00C24897">
            <w:pPr>
              <w:pStyle w:val="Normal1linespace"/>
              <w:widowControl w:val="0"/>
              <w:jc w:val="left"/>
            </w:pPr>
          </w:p>
        </w:tc>
        <w:tc>
          <w:tcPr>
            <w:tcW w:w="5989" w:type="dxa"/>
            <w:shd w:val="clear" w:color="auto" w:fill="auto"/>
          </w:tcPr>
          <w:p w:rsidR="00B069D0" w:rsidRDefault="00B069D0" w:rsidP="00096054">
            <w:pPr>
              <w:pStyle w:val="Normal1linespace"/>
              <w:widowControl w:val="0"/>
              <w:jc w:val="left"/>
            </w:pPr>
          </w:p>
        </w:tc>
      </w:tr>
      <w:tr w:rsidR="00B069D0" w:rsidTr="00C24897">
        <w:tc>
          <w:tcPr>
            <w:tcW w:w="3085" w:type="dxa"/>
            <w:shd w:val="clear" w:color="auto" w:fill="auto"/>
          </w:tcPr>
          <w:p w:rsidR="00B069D0" w:rsidRDefault="00B069D0" w:rsidP="00C24897">
            <w:pPr>
              <w:pStyle w:val="Normal1linespace"/>
              <w:widowControl w:val="0"/>
              <w:jc w:val="left"/>
            </w:pPr>
            <w:r>
              <w:t>Sub-area:</w:t>
            </w:r>
          </w:p>
        </w:tc>
        <w:tc>
          <w:tcPr>
            <w:tcW w:w="5989" w:type="dxa"/>
            <w:shd w:val="clear" w:color="auto" w:fill="auto"/>
          </w:tcPr>
          <w:p w:rsidR="00B069D0" w:rsidRPr="00435936" w:rsidRDefault="00C21B7B" w:rsidP="00096054">
            <w:pPr>
              <w:pStyle w:val="Normal1linespace"/>
              <w:widowControl w:val="0"/>
              <w:jc w:val="left"/>
            </w:pPr>
            <w:fldSimple w:instr=" DOCPROPERTY  &quot;Sub Area&quot;  \* MERGEFORMAT " w:fldLock="1">
              <w:r w:rsidR="00B069D0" w:rsidRPr="00B069D0">
                <w:rPr>
                  <w:bCs/>
                  <w:lang w:val="en-US"/>
                </w:rPr>
                <w:t>Corporations and Corporate</w:t>
              </w:r>
              <w:r w:rsidR="00B069D0">
                <w:t xml:space="preserve"> Insolvency</w:t>
              </w:r>
            </w:fldSimple>
          </w:p>
        </w:tc>
      </w:tr>
      <w:tr w:rsidR="00B069D0" w:rsidTr="00C24897">
        <w:tc>
          <w:tcPr>
            <w:tcW w:w="3085" w:type="dxa"/>
            <w:shd w:val="clear" w:color="auto" w:fill="auto"/>
          </w:tcPr>
          <w:p w:rsidR="00B069D0" w:rsidRDefault="00B069D0" w:rsidP="00C24897">
            <w:pPr>
              <w:pStyle w:val="Normal1linespace"/>
              <w:widowControl w:val="0"/>
              <w:jc w:val="left"/>
            </w:pPr>
          </w:p>
        </w:tc>
        <w:tc>
          <w:tcPr>
            <w:tcW w:w="5989" w:type="dxa"/>
            <w:shd w:val="clear" w:color="auto" w:fill="auto"/>
          </w:tcPr>
          <w:p w:rsidR="00B069D0" w:rsidRDefault="00B069D0" w:rsidP="00096054">
            <w:pPr>
              <w:pStyle w:val="Normal1linespace"/>
              <w:widowControl w:val="0"/>
              <w:jc w:val="left"/>
              <w:rPr>
                <w:b/>
              </w:rPr>
            </w:pPr>
          </w:p>
        </w:tc>
      </w:tr>
      <w:tr w:rsidR="00B069D0" w:rsidTr="00C24897">
        <w:tc>
          <w:tcPr>
            <w:tcW w:w="3085" w:type="dxa"/>
            <w:shd w:val="clear" w:color="auto" w:fill="auto"/>
          </w:tcPr>
          <w:p w:rsidR="00B069D0" w:rsidRDefault="00B069D0" w:rsidP="00C24897">
            <w:pPr>
              <w:pStyle w:val="Normal1linespace"/>
              <w:widowControl w:val="0"/>
              <w:jc w:val="left"/>
            </w:pPr>
            <w:r>
              <w:t>Category:</w:t>
            </w:r>
          </w:p>
        </w:tc>
        <w:tc>
          <w:tcPr>
            <w:tcW w:w="5989" w:type="dxa"/>
            <w:shd w:val="clear" w:color="auto" w:fill="auto"/>
          </w:tcPr>
          <w:p w:rsidR="00B069D0" w:rsidRDefault="00BE1225" w:rsidP="00096054">
            <w:pPr>
              <w:pStyle w:val="Normal1linespace"/>
              <w:widowControl w:val="0"/>
              <w:jc w:val="left"/>
            </w:pPr>
            <w:r>
              <w:t>Catchwords</w:t>
            </w:r>
          </w:p>
        </w:tc>
      </w:tr>
      <w:tr w:rsidR="00B069D0" w:rsidTr="00C24897">
        <w:tc>
          <w:tcPr>
            <w:tcW w:w="3085" w:type="dxa"/>
            <w:shd w:val="clear" w:color="auto" w:fill="auto"/>
          </w:tcPr>
          <w:p w:rsidR="00B069D0" w:rsidRDefault="00B069D0" w:rsidP="00C24897">
            <w:pPr>
              <w:pStyle w:val="Normal1linespace"/>
              <w:widowControl w:val="0"/>
              <w:jc w:val="left"/>
            </w:pPr>
          </w:p>
        </w:tc>
        <w:tc>
          <w:tcPr>
            <w:tcW w:w="5989" w:type="dxa"/>
            <w:shd w:val="clear" w:color="auto" w:fill="auto"/>
          </w:tcPr>
          <w:p w:rsidR="00B069D0" w:rsidRDefault="00B069D0" w:rsidP="00096054">
            <w:pPr>
              <w:pStyle w:val="Normal1linespace"/>
              <w:widowControl w:val="0"/>
              <w:jc w:val="left"/>
            </w:pPr>
          </w:p>
        </w:tc>
      </w:tr>
      <w:tr w:rsidR="00B069D0" w:rsidTr="00C24897">
        <w:tc>
          <w:tcPr>
            <w:tcW w:w="3085" w:type="dxa"/>
            <w:shd w:val="clear" w:color="auto" w:fill="auto"/>
          </w:tcPr>
          <w:p w:rsidR="00B069D0" w:rsidRDefault="00B069D0" w:rsidP="00C24897">
            <w:pPr>
              <w:pStyle w:val="Normal1linespace"/>
              <w:widowControl w:val="0"/>
              <w:jc w:val="left"/>
            </w:pPr>
            <w:r>
              <w:t>Number of paragraphs:</w:t>
            </w:r>
          </w:p>
        </w:tc>
        <w:tc>
          <w:tcPr>
            <w:tcW w:w="5989" w:type="dxa"/>
            <w:shd w:val="clear" w:color="auto" w:fill="auto"/>
          </w:tcPr>
          <w:p w:rsidR="00B069D0" w:rsidRDefault="00BD78D0" w:rsidP="00096054">
            <w:pPr>
              <w:pStyle w:val="Normal1linespace"/>
              <w:widowControl w:val="0"/>
              <w:jc w:val="left"/>
            </w:pPr>
            <w:bookmarkStart w:id="8" w:name="PlaceCategoryParagraphs"/>
            <w:r>
              <w:t>44</w:t>
            </w:r>
            <w:bookmarkEnd w:id="8"/>
          </w:p>
        </w:tc>
      </w:tr>
      <w:tr w:rsidR="00B069D0" w:rsidTr="00C24897">
        <w:tc>
          <w:tcPr>
            <w:tcW w:w="3085" w:type="dxa"/>
            <w:shd w:val="clear" w:color="auto" w:fill="auto"/>
          </w:tcPr>
          <w:p w:rsidR="00B069D0" w:rsidRDefault="00B069D0" w:rsidP="00C24897">
            <w:pPr>
              <w:pStyle w:val="Normal1linespace"/>
              <w:widowControl w:val="0"/>
              <w:jc w:val="left"/>
            </w:pPr>
          </w:p>
        </w:tc>
        <w:tc>
          <w:tcPr>
            <w:tcW w:w="5989" w:type="dxa"/>
            <w:shd w:val="clear" w:color="auto" w:fill="auto"/>
          </w:tcPr>
          <w:p w:rsidR="00B069D0" w:rsidRDefault="00B069D0" w:rsidP="00096054">
            <w:pPr>
              <w:pStyle w:val="Normal1linespace"/>
              <w:widowControl w:val="0"/>
              <w:jc w:val="left"/>
            </w:pPr>
          </w:p>
        </w:tc>
      </w:tr>
      <w:tr w:rsidR="00B069D0" w:rsidTr="00C24897">
        <w:tc>
          <w:tcPr>
            <w:tcW w:w="3085" w:type="dxa"/>
            <w:shd w:val="clear" w:color="auto" w:fill="auto"/>
          </w:tcPr>
          <w:p w:rsidR="00B069D0" w:rsidRDefault="00B069D0" w:rsidP="00C24897">
            <w:pPr>
              <w:pStyle w:val="Normal1linespace"/>
              <w:widowControl w:val="0"/>
              <w:jc w:val="left"/>
            </w:pPr>
            <w:bookmarkStart w:id="9" w:name="Counsel" w:colFirst="0" w:colLast="2"/>
            <w:r>
              <w:t>Solicitor for the Plaintiffs:</w:t>
            </w:r>
          </w:p>
        </w:tc>
        <w:tc>
          <w:tcPr>
            <w:tcW w:w="5989" w:type="dxa"/>
            <w:shd w:val="clear" w:color="auto" w:fill="auto"/>
          </w:tcPr>
          <w:p w:rsidR="00B069D0" w:rsidRDefault="00B069D0" w:rsidP="00096054">
            <w:pPr>
              <w:pStyle w:val="Normal1linespace"/>
              <w:widowControl w:val="0"/>
              <w:jc w:val="left"/>
            </w:pPr>
            <w:bookmarkStart w:id="10" w:name="AppCounsel"/>
            <w:bookmarkEnd w:id="10"/>
            <w:r>
              <w:t xml:space="preserve">Mr L </w:t>
            </w:r>
            <w:proofErr w:type="spellStart"/>
            <w:r>
              <w:t>Zwier</w:t>
            </w:r>
            <w:proofErr w:type="spellEnd"/>
            <w:r>
              <w:t xml:space="preserve"> and Mr S Lloyd of Arnold Bloch </w:t>
            </w:r>
            <w:proofErr w:type="spellStart"/>
            <w:r>
              <w:t>Leibler</w:t>
            </w:r>
            <w:proofErr w:type="spellEnd"/>
          </w:p>
        </w:tc>
      </w:tr>
      <w:tr w:rsidR="00B069D0" w:rsidTr="00C24897">
        <w:tc>
          <w:tcPr>
            <w:tcW w:w="3085" w:type="dxa"/>
            <w:shd w:val="clear" w:color="auto" w:fill="auto"/>
          </w:tcPr>
          <w:p w:rsidR="00B069D0" w:rsidRDefault="00B069D0" w:rsidP="00B069D0">
            <w:pPr>
              <w:pStyle w:val="Normal1linespace"/>
              <w:widowControl w:val="0"/>
              <w:jc w:val="left"/>
            </w:pPr>
          </w:p>
        </w:tc>
        <w:tc>
          <w:tcPr>
            <w:tcW w:w="5989" w:type="dxa"/>
            <w:shd w:val="clear" w:color="auto" w:fill="auto"/>
          </w:tcPr>
          <w:p w:rsidR="00B069D0" w:rsidRDefault="00B069D0" w:rsidP="00B069D0">
            <w:pPr>
              <w:pStyle w:val="Normal1linespace"/>
              <w:widowControl w:val="0"/>
              <w:jc w:val="left"/>
            </w:pPr>
          </w:p>
        </w:tc>
      </w:tr>
      <w:tr w:rsidR="00B069D0" w:rsidTr="00C24897">
        <w:tc>
          <w:tcPr>
            <w:tcW w:w="3085" w:type="dxa"/>
            <w:shd w:val="clear" w:color="auto" w:fill="auto"/>
          </w:tcPr>
          <w:p w:rsidR="00B069D0" w:rsidRDefault="00B069D0" w:rsidP="00B069D0">
            <w:pPr>
              <w:pStyle w:val="Normal1linespace"/>
              <w:widowControl w:val="0"/>
              <w:jc w:val="left"/>
            </w:pPr>
            <w:r>
              <w:t>Counsel for the Defendant:</w:t>
            </w:r>
          </w:p>
        </w:tc>
        <w:tc>
          <w:tcPr>
            <w:tcW w:w="5989" w:type="dxa"/>
            <w:shd w:val="clear" w:color="auto" w:fill="auto"/>
          </w:tcPr>
          <w:p w:rsidR="00B069D0" w:rsidRDefault="00B069D0" w:rsidP="00B069D0">
            <w:pPr>
              <w:pStyle w:val="Normal1linespace"/>
              <w:widowControl w:val="0"/>
              <w:jc w:val="left"/>
            </w:pPr>
            <w:r>
              <w:t>Dr JP Moore QC with Ms K Brazenor</w:t>
            </w:r>
          </w:p>
        </w:tc>
      </w:tr>
      <w:tr w:rsidR="00B069D0" w:rsidTr="00C24897">
        <w:tc>
          <w:tcPr>
            <w:tcW w:w="3085" w:type="dxa"/>
            <w:shd w:val="clear" w:color="auto" w:fill="auto"/>
          </w:tcPr>
          <w:p w:rsidR="00B069D0" w:rsidRDefault="00B069D0" w:rsidP="00B069D0">
            <w:pPr>
              <w:pStyle w:val="Normal1linespace"/>
              <w:widowControl w:val="0"/>
              <w:jc w:val="left"/>
            </w:pPr>
          </w:p>
        </w:tc>
        <w:tc>
          <w:tcPr>
            <w:tcW w:w="5989" w:type="dxa"/>
            <w:shd w:val="clear" w:color="auto" w:fill="auto"/>
          </w:tcPr>
          <w:p w:rsidR="00B069D0" w:rsidRDefault="00B069D0" w:rsidP="00B069D0">
            <w:pPr>
              <w:pStyle w:val="Normal1linespace"/>
              <w:widowControl w:val="0"/>
              <w:jc w:val="left"/>
            </w:pPr>
          </w:p>
        </w:tc>
      </w:tr>
      <w:tr w:rsidR="00B069D0" w:rsidTr="00C24897">
        <w:tc>
          <w:tcPr>
            <w:tcW w:w="3085" w:type="dxa"/>
            <w:shd w:val="clear" w:color="auto" w:fill="auto"/>
          </w:tcPr>
          <w:p w:rsidR="00B069D0" w:rsidRDefault="00B069D0" w:rsidP="00B069D0">
            <w:pPr>
              <w:pStyle w:val="Normal1linespace"/>
              <w:widowControl w:val="0"/>
              <w:jc w:val="left"/>
            </w:pPr>
            <w:r>
              <w:t>Solicitor for the Defendant:</w:t>
            </w:r>
          </w:p>
        </w:tc>
        <w:tc>
          <w:tcPr>
            <w:tcW w:w="5989" w:type="dxa"/>
            <w:shd w:val="clear" w:color="auto" w:fill="auto"/>
          </w:tcPr>
          <w:p w:rsidR="00B069D0" w:rsidRDefault="00B069D0" w:rsidP="00B069D0">
            <w:pPr>
              <w:pStyle w:val="Normal1linespace"/>
              <w:widowControl w:val="0"/>
              <w:jc w:val="left"/>
            </w:pPr>
            <w:r>
              <w:t>Holding Redlich</w:t>
            </w:r>
          </w:p>
        </w:tc>
      </w:tr>
      <w:bookmarkEnd w:id="5"/>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1B4A1C" w:rsidP="00F92355">
            <w:pPr>
              <w:pStyle w:val="NormalHeadings"/>
              <w:jc w:val="right"/>
            </w:pPr>
            <w:bookmarkStart w:id="11" w:name="FileNo"/>
            <w:r>
              <w:t>VID 432 of 2020</w:t>
            </w:r>
            <w:bookmarkEnd w:id="11"/>
          </w:p>
        </w:tc>
      </w:tr>
      <w:tr w:rsidR="00A76C13" w:rsidTr="0096263B">
        <w:tc>
          <w:tcPr>
            <w:tcW w:w="9242" w:type="dxa"/>
            <w:gridSpan w:val="3"/>
          </w:tcPr>
          <w:p w:rsidR="00A76C13" w:rsidRPr="00A76C13" w:rsidRDefault="001B4A1C" w:rsidP="00096054">
            <w:pPr>
              <w:pStyle w:val="NormalHeadings"/>
              <w:spacing w:before="240" w:after="240"/>
              <w:jc w:val="left"/>
            </w:pPr>
            <w:bookmarkStart w:id="12" w:name="InTheMatterOf"/>
            <w:r>
              <w:t>IN THE MATTER OF THE PAS GROUP LIMITED (ADMINISTRATORS APPOINTED</w:t>
            </w:r>
            <w:r w:rsidR="00B069D0">
              <w:t>) ACN 169 477 463 &amp; ORS</w:t>
            </w:r>
            <w:bookmarkEnd w:id="12"/>
          </w:p>
        </w:tc>
      </w:tr>
      <w:tr w:rsidR="00A46CCC" w:rsidTr="0096263B">
        <w:trPr>
          <w:trHeight w:val="386"/>
        </w:trPr>
        <w:tc>
          <w:tcPr>
            <w:tcW w:w="2376" w:type="dxa"/>
          </w:tcPr>
          <w:p w:rsidR="00A46CCC" w:rsidRDefault="00A46CCC" w:rsidP="0096263B">
            <w:pPr>
              <w:pStyle w:val="NormalHeadings"/>
              <w:jc w:val="left"/>
              <w:rPr>
                <w:caps/>
                <w:szCs w:val="24"/>
              </w:rPr>
            </w:pPr>
            <w:bookmarkStart w:id="13" w:name="Parties"/>
            <w:r>
              <w:rPr>
                <w:caps/>
                <w:szCs w:val="24"/>
              </w:rPr>
              <w:t>BETWEEN:</w:t>
            </w:r>
          </w:p>
        </w:tc>
        <w:tc>
          <w:tcPr>
            <w:tcW w:w="6866" w:type="dxa"/>
            <w:gridSpan w:val="2"/>
          </w:tcPr>
          <w:p w:rsidR="001B4A1C" w:rsidRDefault="001B4A1C" w:rsidP="001B4A1C">
            <w:pPr>
              <w:pStyle w:val="NormalHeadings"/>
              <w:jc w:val="left"/>
            </w:pPr>
            <w:bookmarkStart w:id="14" w:name="Applicant"/>
            <w:r>
              <w:t>MARTIN FRANCIS FORD, STEPHEN GRAHAM LONGLEY</w:t>
            </w:r>
            <w:r w:rsidR="00384D20">
              <w:t>,</w:t>
            </w:r>
            <w:r>
              <w:t xml:space="preserve"> AND DAVID LAURENCE MCEVOY</w:t>
            </w:r>
            <w:r w:rsidR="00384D20">
              <w:t>,</w:t>
            </w:r>
            <w:r>
              <w:t xml:space="preserve"> IN THEIR CAPACITY AS JOINT AND SEVERAL VOLUNTARY</w:t>
            </w:r>
            <w:r w:rsidR="00B069D0">
              <w:t xml:space="preserve"> </w:t>
            </w:r>
            <w:r>
              <w:t xml:space="preserve">ADMINISTRATORS OF </w:t>
            </w:r>
            <w:r w:rsidR="00384D20">
              <w:t>THE SECOND TO TWENTIETH PLAINTIFFS</w:t>
            </w:r>
          </w:p>
          <w:p w:rsidR="001B4A1C" w:rsidRDefault="001B4A1C" w:rsidP="001B4A1C">
            <w:pPr>
              <w:pStyle w:val="PartyType"/>
            </w:pPr>
            <w:r>
              <w:t>First Plaintiff</w:t>
            </w:r>
          </w:p>
          <w:p w:rsidR="001B4A1C" w:rsidRDefault="001B4A1C" w:rsidP="008F6A0F">
            <w:pPr>
              <w:pStyle w:val="NormalHeadings"/>
              <w:jc w:val="left"/>
            </w:pPr>
          </w:p>
          <w:p w:rsidR="001B4A1C" w:rsidRDefault="001B4A1C" w:rsidP="001B4A1C">
            <w:pPr>
              <w:pStyle w:val="NormalHeadings"/>
              <w:jc w:val="left"/>
            </w:pPr>
            <w:r>
              <w:t>THE PAS GROUP LIMITED (ADMINISTRATORS APPOINTED) ACN 169 477 463</w:t>
            </w:r>
          </w:p>
          <w:p w:rsidR="001B4A1C" w:rsidRDefault="001B4A1C" w:rsidP="001B4A1C">
            <w:pPr>
              <w:pStyle w:val="PartyType"/>
            </w:pPr>
            <w:r>
              <w:t>Second Plaintiff</w:t>
            </w:r>
          </w:p>
          <w:p w:rsidR="001B4A1C" w:rsidRDefault="001B4A1C" w:rsidP="008F6A0F">
            <w:pPr>
              <w:pStyle w:val="NormalHeadings"/>
              <w:jc w:val="left"/>
            </w:pPr>
          </w:p>
          <w:p w:rsidR="001B4A1C" w:rsidRDefault="001B4A1C" w:rsidP="001B4A1C">
            <w:pPr>
              <w:pStyle w:val="NormalHeadings"/>
              <w:jc w:val="left"/>
            </w:pPr>
            <w:r>
              <w:t xml:space="preserve">AFG RETAIL PTY LIMITED (ADMINISTRATORS APPOINTED) ACN 133 613 251 </w:t>
            </w:r>
            <w:r w:rsidRPr="001B4A1C">
              <w:rPr>
                <w:b w:val="0"/>
              </w:rPr>
              <w:t>(and others named in the Schedule)</w:t>
            </w:r>
          </w:p>
          <w:p w:rsidR="001B4A1C" w:rsidRDefault="001B4A1C" w:rsidP="001B4A1C">
            <w:pPr>
              <w:pStyle w:val="PartyType"/>
            </w:pPr>
            <w:r>
              <w:t>Third Plaintiff</w:t>
            </w:r>
          </w:p>
          <w:bookmarkEnd w:id="14"/>
          <w:p w:rsidR="00A46CCC" w:rsidRPr="006555B4" w:rsidRDefault="00A46CCC" w:rsidP="008F6A0F">
            <w:pPr>
              <w:pStyle w:val="NormalHeadings"/>
              <w:jc w:val="left"/>
            </w:pPr>
          </w:p>
        </w:tc>
      </w:tr>
      <w:tr w:rsidR="00A46CCC" w:rsidTr="0096263B">
        <w:trPr>
          <w:trHeight w:val="386"/>
        </w:trPr>
        <w:tc>
          <w:tcPr>
            <w:tcW w:w="2376" w:type="dxa"/>
          </w:tcPr>
          <w:p w:rsidR="00A46CCC" w:rsidRDefault="00A46CCC" w:rsidP="0096263B">
            <w:pPr>
              <w:pStyle w:val="NormalHeadings"/>
              <w:jc w:val="left"/>
              <w:rPr>
                <w:caps/>
                <w:szCs w:val="24"/>
              </w:rPr>
            </w:pPr>
            <w:r>
              <w:rPr>
                <w:caps/>
                <w:szCs w:val="24"/>
              </w:rPr>
              <w:t>AND:</w:t>
            </w:r>
          </w:p>
        </w:tc>
        <w:tc>
          <w:tcPr>
            <w:tcW w:w="6866" w:type="dxa"/>
            <w:gridSpan w:val="2"/>
          </w:tcPr>
          <w:p w:rsidR="001B4A1C" w:rsidRDefault="001B4A1C" w:rsidP="001B4A1C">
            <w:pPr>
              <w:pStyle w:val="NormalHeadings"/>
              <w:jc w:val="left"/>
            </w:pPr>
            <w:bookmarkStart w:id="15" w:name="Respondent"/>
            <w:r>
              <w:t>SCENTRE MANAGEMENT LIMITED ACN 001 670 579</w:t>
            </w:r>
          </w:p>
          <w:p w:rsidR="001B4A1C" w:rsidRDefault="001B4A1C" w:rsidP="001B4A1C">
            <w:pPr>
              <w:pStyle w:val="PartyType"/>
            </w:pPr>
            <w:r>
              <w:t>Defendant</w:t>
            </w:r>
          </w:p>
          <w:bookmarkEnd w:id="15"/>
          <w:p w:rsidR="00A46CCC" w:rsidRPr="006555B4" w:rsidRDefault="00A46CCC" w:rsidP="008F6A0F">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1B4A1C">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1B4A1C">
            <w:pPr>
              <w:pStyle w:val="NormalHeadings"/>
              <w:jc w:val="left"/>
              <w:rPr>
                <w:caps/>
                <w:szCs w:val="24"/>
              </w:rPr>
            </w:pPr>
            <w:bookmarkStart w:id="18" w:name="Judge"/>
            <w:r>
              <w:rPr>
                <w:caps/>
                <w:szCs w:val="24"/>
              </w:rPr>
              <w:t>O'CALLAGHAN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B4A1C">
            <w:pPr>
              <w:pStyle w:val="NormalHeadings"/>
              <w:jc w:val="left"/>
              <w:rPr>
                <w:caps/>
                <w:szCs w:val="24"/>
              </w:rPr>
            </w:pPr>
            <w:bookmarkStart w:id="19" w:name="Judgment_Dated"/>
            <w:r>
              <w:rPr>
                <w:caps/>
                <w:szCs w:val="24"/>
              </w:rPr>
              <w:t>21 JULY 2020</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D1DBA" w:rsidP="00274F5B">
      <w:pPr>
        <w:pStyle w:val="Order1"/>
      </w:pPr>
      <w:bookmarkStart w:id="20" w:name="Order_Start_Text"/>
      <w:bookmarkEnd w:id="20"/>
      <w:r>
        <w:t>The further hearing of the proceeding be relisted on a date to be fixed.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8F6A0F" w:rsidP="005E0510">
      <w:pPr>
        <w:pStyle w:val="NormalHeadings"/>
        <w:spacing w:line="360" w:lineRule="auto"/>
        <w:jc w:val="left"/>
        <w:rPr>
          <w:sz w:val="26"/>
          <w:szCs w:val="26"/>
        </w:rPr>
      </w:pPr>
      <w:r>
        <w:rPr>
          <w:sz w:val="26"/>
          <w:szCs w:val="26"/>
        </w:rPr>
        <w:t>O’CALLAGHAN J</w:t>
      </w:r>
      <w:r w:rsidR="00484F6D" w:rsidRPr="00EA03CE">
        <w:rPr>
          <w:sz w:val="26"/>
          <w:szCs w:val="26"/>
        </w:rPr>
        <w:t>:</w:t>
      </w:r>
    </w:p>
    <w:p w:rsidR="00D63D8F" w:rsidRPr="00EA03CE" w:rsidRDefault="00D63D8F" w:rsidP="00C24897">
      <w:pPr>
        <w:pStyle w:val="Heading2"/>
      </w:pPr>
      <w:r>
        <w:t xml:space="preserve">Introduction </w:t>
      </w:r>
    </w:p>
    <w:p w:rsidR="0047632B" w:rsidRDefault="00522F09" w:rsidP="007A45D6">
      <w:pPr>
        <w:pStyle w:val="ParaNumbering"/>
      </w:pPr>
      <w:r>
        <w:t xml:space="preserve">This is an application by the first plaintiffs, </w:t>
      </w:r>
      <w:r w:rsidR="004E44F7">
        <w:t xml:space="preserve">Messrs Ford, Longley and </w:t>
      </w:r>
      <w:proofErr w:type="spellStart"/>
      <w:r w:rsidRPr="00522F09">
        <w:t>McEvoy</w:t>
      </w:r>
      <w:proofErr w:type="spellEnd"/>
      <w:r w:rsidRPr="00522F09">
        <w:t xml:space="preserve"> (</w:t>
      </w:r>
      <w:r>
        <w:t xml:space="preserve">the </w:t>
      </w:r>
      <w:r w:rsidR="00D63D8F">
        <w:rPr>
          <w:b/>
        </w:rPr>
        <w:t>a</w:t>
      </w:r>
      <w:r w:rsidRPr="00522F09">
        <w:rPr>
          <w:b/>
        </w:rPr>
        <w:t>dministrators</w:t>
      </w:r>
      <w:r w:rsidR="00477259">
        <w:t xml:space="preserve">) </w:t>
      </w:r>
      <w:r w:rsidRPr="00522F09">
        <w:t xml:space="preserve">in their capacity as administrators of </w:t>
      </w:r>
      <w:r w:rsidR="00BE1225">
        <w:t xml:space="preserve">The </w:t>
      </w:r>
      <w:r w:rsidRPr="00522F09">
        <w:t>PAS Group L</w:t>
      </w:r>
      <w:r w:rsidR="00BE1225">
        <w:t>imi</w:t>
      </w:r>
      <w:r w:rsidRPr="00522F09">
        <w:t>t</w:t>
      </w:r>
      <w:r w:rsidR="00BE1225">
        <w:t>e</w:t>
      </w:r>
      <w:r w:rsidRPr="00522F09">
        <w:t>d</w:t>
      </w:r>
      <w:r>
        <w:t xml:space="preserve"> (the second p</w:t>
      </w:r>
      <w:r w:rsidRPr="00522F09">
        <w:t>laintiff), and the other PA</w:t>
      </w:r>
      <w:r>
        <w:t>S Group companies, who are the third to t</w:t>
      </w:r>
      <w:r w:rsidRPr="00522F09">
        <w:t xml:space="preserve">wentieth </w:t>
      </w:r>
      <w:r w:rsidR="00BE1225">
        <w:t>p</w:t>
      </w:r>
      <w:r w:rsidRPr="00522F09">
        <w:t>laintiffs</w:t>
      </w:r>
      <w:r>
        <w:t>.</w:t>
      </w:r>
      <w:r w:rsidRPr="00522F09">
        <w:t xml:space="preserve"> </w:t>
      </w:r>
      <w:r>
        <w:t xml:space="preserve"> I shall refer to the second to twentieth p</w:t>
      </w:r>
      <w:r w:rsidRPr="00522F09">
        <w:t xml:space="preserve">laintiffs </w:t>
      </w:r>
      <w:r>
        <w:t xml:space="preserve">collectively as the </w:t>
      </w:r>
      <w:r w:rsidRPr="00522F09">
        <w:rPr>
          <w:b/>
        </w:rPr>
        <w:t>PAS Companies</w:t>
      </w:r>
      <w:r w:rsidRPr="00522F09">
        <w:t>.</w:t>
      </w:r>
    </w:p>
    <w:p w:rsidR="00522F09" w:rsidRDefault="00522F09" w:rsidP="00522F09">
      <w:pPr>
        <w:pStyle w:val="ParaNumbering"/>
      </w:pPr>
      <w:r w:rsidRPr="00522F09">
        <w:t>By an originating proc</w:t>
      </w:r>
      <w:r w:rsidR="00D63D8F">
        <w:t>ess filed on 19 June 2020, the a</w:t>
      </w:r>
      <w:r>
        <w:t xml:space="preserve">dministrators seek </w:t>
      </w:r>
      <w:r w:rsidRPr="00522F09">
        <w:t>a declaration that rent and any other amounts payable under a</w:t>
      </w:r>
      <w:r w:rsidR="00096054">
        <w:t>ny</w:t>
      </w:r>
      <w:r w:rsidRPr="00522F09">
        <w:t xml:space="preserve"> lease agreement by the PAS Companies in resp</w:t>
      </w:r>
      <w:r w:rsidR="007C4A31">
        <w:t xml:space="preserve">ect of the period from 29 May </w:t>
      </w:r>
      <w:r w:rsidRPr="00522F09">
        <w:t>to 22 June 2020 constitutes an unsecured debt or claim in the PAS</w:t>
      </w:r>
      <w:r w:rsidR="003158CE">
        <w:t xml:space="preserve"> Companies’</w:t>
      </w:r>
      <w:r w:rsidRPr="00522F09">
        <w:t xml:space="preserve"> administrations</w:t>
      </w:r>
      <w:r w:rsidR="006A41F1">
        <w:t>,</w:t>
      </w:r>
      <w:r w:rsidRPr="00522F09">
        <w:t xml:space="preserve"> </w:t>
      </w:r>
      <w:r w:rsidR="005432F3">
        <w:t>and</w:t>
      </w:r>
      <w:r w:rsidR="005432F3" w:rsidRPr="00522F09">
        <w:t xml:space="preserve"> </w:t>
      </w:r>
      <w:r w:rsidRPr="00522F09">
        <w:t>is not entitled to priority over other debts or claims as an expense of the</w:t>
      </w:r>
      <w:r w:rsidR="005432F3">
        <w:t xml:space="preserve"> PAS Companies’</w:t>
      </w:r>
      <w:r w:rsidRPr="00522F09">
        <w:t xml:space="preserve"> adm</w:t>
      </w:r>
      <w:r w:rsidR="00477259">
        <w:t>inistrations pursuant to s</w:t>
      </w:r>
      <w:r w:rsidRPr="00522F09">
        <w:t xml:space="preserve"> 556(1) of the </w:t>
      </w:r>
      <w:r w:rsidRPr="00522F09">
        <w:rPr>
          <w:i/>
        </w:rPr>
        <w:t>Corporations Act 2001</w:t>
      </w:r>
      <w:r w:rsidRPr="00522F09">
        <w:t xml:space="preserve"> (</w:t>
      </w:r>
      <w:proofErr w:type="spellStart"/>
      <w:r w:rsidRPr="00522F09">
        <w:t>Cth</w:t>
      </w:r>
      <w:proofErr w:type="spellEnd"/>
      <w:r w:rsidRPr="00522F09">
        <w:t xml:space="preserve">) (the </w:t>
      </w:r>
      <w:r w:rsidRPr="00522F09">
        <w:rPr>
          <w:b/>
        </w:rPr>
        <w:t>Act</w:t>
      </w:r>
      <w:r w:rsidRPr="00522F09">
        <w:t>).</w:t>
      </w:r>
    </w:p>
    <w:p w:rsidR="007C4A31" w:rsidRPr="00522F09" w:rsidRDefault="007C4A31" w:rsidP="00D63D8F">
      <w:pPr>
        <w:pStyle w:val="ParaNumbering"/>
      </w:pPr>
      <w:r>
        <w:t>Those dates are relevant because</w:t>
      </w:r>
      <w:r w:rsidR="00EC3AD7">
        <w:t>,</w:t>
      </w:r>
      <w:r>
        <w:t xml:space="preserve"> on 9 June 2020, the administrators obtained an order in proceeding number VID 379 of 2020 the effect of which was to </w:t>
      </w:r>
      <w:r w:rsidR="00A371FD">
        <w:t xml:space="preserve">delay </w:t>
      </w:r>
      <w:r>
        <w:t xml:space="preserve">the </w:t>
      </w:r>
      <w:r w:rsidR="00A371FD">
        <w:t xml:space="preserve">end of the </w:t>
      </w:r>
      <w:r>
        <w:t>statutory “no personal liability”</w:t>
      </w:r>
      <w:r w:rsidRPr="007C4A31">
        <w:t xml:space="preserve"> period from five business days after</w:t>
      </w:r>
      <w:r w:rsidR="00EC3AD7">
        <w:t xml:space="preserve"> the</w:t>
      </w:r>
      <w:r w:rsidRPr="007C4A31">
        <w:t xml:space="preserve"> commencement of the administration </w:t>
      </w:r>
      <w:r w:rsidR="00EC3AD7">
        <w:t xml:space="preserve">on </w:t>
      </w:r>
      <w:r w:rsidR="00D63D8F">
        <w:t xml:space="preserve">29 May </w:t>
      </w:r>
      <w:r w:rsidRPr="007C4A31">
        <w:t>(as provid</w:t>
      </w:r>
      <w:r>
        <w:t xml:space="preserve">ed by s 443B(2) of the </w:t>
      </w:r>
      <w:r w:rsidRPr="007C4A31">
        <w:t xml:space="preserve">Act) to </w:t>
      </w:r>
      <w:r w:rsidR="00D63D8F">
        <w:t>22 June</w:t>
      </w:r>
      <w:r w:rsidR="00611AB7">
        <w:t xml:space="preserve">.  I will refer to </w:t>
      </w:r>
      <w:r w:rsidR="00A371FD">
        <w:t xml:space="preserve">the </w:t>
      </w:r>
      <w:r w:rsidR="00611AB7">
        <w:t xml:space="preserve">period from 29 May to 22 June 2020 </w:t>
      </w:r>
      <w:r w:rsidR="00A371FD">
        <w:t xml:space="preserve">provided for by that order </w:t>
      </w:r>
      <w:r w:rsidR="00611AB7">
        <w:t xml:space="preserve">as </w:t>
      </w:r>
      <w:r w:rsidR="006A41F1">
        <w:t xml:space="preserve">the </w:t>
      </w:r>
      <w:r w:rsidR="006A41F1" w:rsidRPr="006A41F1">
        <w:rPr>
          <w:b/>
        </w:rPr>
        <w:t>standstill period</w:t>
      </w:r>
      <w:r w:rsidR="006A41F1">
        <w:t>.</w:t>
      </w:r>
    </w:p>
    <w:p w:rsidR="007C4A31" w:rsidRDefault="007C4A31" w:rsidP="007C4A31">
      <w:pPr>
        <w:pStyle w:val="ParaNumbering"/>
      </w:pPr>
      <w:proofErr w:type="spellStart"/>
      <w:r w:rsidRPr="007C4A31">
        <w:t>Scentre</w:t>
      </w:r>
      <w:proofErr w:type="spellEnd"/>
      <w:r w:rsidRPr="007C4A31">
        <w:t xml:space="preserve"> Management Limited (</w:t>
      </w:r>
      <w:proofErr w:type="spellStart"/>
      <w:r w:rsidRPr="007C4A31">
        <w:rPr>
          <w:b/>
        </w:rPr>
        <w:t>Scentre</w:t>
      </w:r>
      <w:proofErr w:type="spellEnd"/>
      <w:r w:rsidR="006A41F1">
        <w:t xml:space="preserve">) </w:t>
      </w:r>
      <w:r w:rsidRPr="007C4A31">
        <w:t xml:space="preserve">is the largest lessor of </w:t>
      </w:r>
      <w:r>
        <w:t xml:space="preserve">premises to the PAS Companies.  </w:t>
      </w:r>
      <w:r w:rsidR="006A41F1">
        <w:t>It</w:t>
      </w:r>
      <w:r w:rsidRPr="007C4A31">
        <w:t xml:space="preserve"> has been </w:t>
      </w:r>
      <w:r w:rsidR="006A41F1">
        <w:t>named</w:t>
      </w:r>
      <w:r w:rsidRPr="007C4A31">
        <w:t xml:space="preserve"> </w:t>
      </w:r>
      <w:r w:rsidR="002E494A">
        <w:t xml:space="preserve">as the defendant </w:t>
      </w:r>
      <w:r w:rsidRPr="007C4A31">
        <w:t>to represent the interests of landlord cr</w:t>
      </w:r>
      <w:r w:rsidR="004E44F7">
        <w:t>editors of the PAS Companies</w:t>
      </w:r>
      <w:r>
        <w:t>.</w:t>
      </w:r>
    </w:p>
    <w:p w:rsidR="007C4A31" w:rsidRDefault="007C4A31" w:rsidP="0096263B">
      <w:pPr>
        <w:pStyle w:val="ParaNumbering"/>
      </w:pPr>
      <w:proofErr w:type="spellStart"/>
      <w:r w:rsidRPr="007C4A31">
        <w:t>Scentre</w:t>
      </w:r>
      <w:proofErr w:type="spellEnd"/>
      <w:r w:rsidRPr="007C4A31">
        <w:t xml:space="preserve"> opposes the grant</w:t>
      </w:r>
      <w:r w:rsidR="00D63D8F">
        <w:t>ing</w:t>
      </w:r>
      <w:r w:rsidRPr="007C4A31">
        <w:t xml:space="preserve"> of the dec</w:t>
      </w:r>
      <w:r w:rsidR="00D63D8F">
        <w:t xml:space="preserve">laration and says that the rent incurred during the </w:t>
      </w:r>
      <w:r w:rsidR="006A41F1">
        <w:t xml:space="preserve">standstill period </w:t>
      </w:r>
      <w:r w:rsidR="00D63D8F">
        <w:t xml:space="preserve">would, in the event of a winding up, be an expense properly incurred in carrying on the business of the PAS </w:t>
      </w:r>
      <w:r w:rsidR="000A6AED">
        <w:t xml:space="preserve">Companies </w:t>
      </w:r>
      <w:r w:rsidR="00D63D8F">
        <w:t>within the meaning of s 556(1)(a) of the Act, and would thus be paid in priority to all other unsecured debts or claims</w:t>
      </w:r>
      <w:r w:rsidR="007A45D6">
        <w:t xml:space="preserve"> in accordance with the so-called </w:t>
      </w:r>
      <w:r w:rsidR="007A45D6" w:rsidRPr="007A45D6">
        <w:rPr>
          <w:i/>
        </w:rPr>
        <w:t>Lundy Granite</w:t>
      </w:r>
      <w:r w:rsidR="007A45D6">
        <w:t xml:space="preserve"> principle</w:t>
      </w:r>
      <w:r w:rsidR="00D63D8F">
        <w:t>.</w:t>
      </w:r>
      <w:r w:rsidR="005E2C4F">
        <w:t xml:space="preserve">  </w:t>
      </w:r>
      <w:proofErr w:type="spellStart"/>
      <w:r w:rsidR="005E2C4F">
        <w:t>Scentre</w:t>
      </w:r>
      <w:proofErr w:type="spellEnd"/>
      <w:r w:rsidR="005E2C4F">
        <w:t xml:space="preserve"> says that a declaration should be made to that effect.</w:t>
      </w:r>
    </w:p>
    <w:p w:rsidR="007C4A31" w:rsidRDefault="00D63D8F" w:rsidP="007C4A31">
      <w:pPr>
        <w:pStyle w:val="ParaNumbering"/>
      </w:pPr>
      <w:r>
        <w:t xml:space="preserve">It was agreed </w:t>
      </w:r>
      <w:r w:rsidR="006A41F1">
        <w:t xml:space="preserve">at the hearing of the application </w:t>
      </w:r>
      <w:r>
        <w:t>that the</w:t>
      </w:r>
      <w:r w:rsidR="00522F09">
        <w:t xml:space="preserve"> </w:t>
      </w:r>
      <w:r w:rsidR="006A41F1">
        <w:t xml:space="preserve">precise </w:t>
      </w:r>
      <w:r w:rsidR="007C4A31">
        <w:t xml:space="preserve">question to be resolved is this: </w:t>
      </w:r>
    </w:p>
    <w:p w:rsidR="00522F09" w:rsidRPr="00522F09" w:rsidRDefault="000A6AED" w:rsidP="007C4A31">
      <w:pPr>
        <w:pStyle w:val="Quote1"/>
      </w:pPr>
      <w:r>
        <w:t>[</w:t>
      </w:r>
      <w:r w:rsidR="007C4A31">
        <w:t>W</w:t>
      </w:r>
      <w:r>
        <w:t>]</w:t>
      </w:r>
      <w:proofErr w:type="spellStart"/>
      <w:r w:rsidR="007C4A31" w:rsidRPr="007C4A31">
        <w:t>hether</w:t>
      </w:r>
      <w:proofErr w:type="spellEnd"/>
      <w:r w:rsidR="007C4A31" w:rsidRPr="007C4A31">
        <w:t>, as a result of the Administrators’ conduct of the administration, the rent incurred by the PAS Companies during the period 29 May to 22 June 2020 would be a debt or claim entitled to priority under s 556(1) of the Corporations Act in any subsequent winding up</w:t>
      </w:r>
      <w:r>
        <w:t xml:space="preserve"> …</w:t>
      </w:r>
    </w:p>
    <w:p w:rsidR="00484F6D" w:rsidRDefault="002E494A" w:rsidP="002E494A">
      <w:pPr>
        <w:pStyle w:val="ParaNumbering"/>
      </w:pPr>
      <w:r>
        <w:lastRenderedPageBreak/>
        <w:t xml:space="preserve">In the event that the question is answered adversely to them, the administrators seek, and </w:t>
      </w:r>
      <w:proofErr w:type="spellStart"/>
      <w:r>
        <w:t>Scentre</w:t>
      </w:r>
      <w:proofErr w:type="spellEnd"/>
      <w:r>
        <w:t xml:space="preserve"> opposes, an order pursuant to s 447A and </w:t>
      </w:r>
      <w:proofErr w:type="spellStart"/>
      <w:r w:rsidR="00714B6B">
        <w:t>Sch</w:t>
      </w:r>
      <w:proofErr w:type="spellEnd"/>
      <w:r w:rsidR="00714B6B">
        <w:t xml:space="preserve"> 2 </w:t>
      </w:r>
      <w:r>
        <w:t>s 90-15 of the Act that P</w:t>
      </w:r>
      <w:r w:rsidR="00714B6B">
        <w:t>t</w:t>
      </w:r>
      <w:r>
        <w:t xml:space="preserve"> 5.3A of the Act is to “operate” in relation to the PAS Companies as if rent in respect of the </w:t>
      </w:r>
      <w:r w:rsidR="006A41F1">
        <w:t xml:space="preserve">standstill </w:t>
      </w:r>
      <w:r>
        <w:t xml:space="preserve">period is not an expense incurred by the administrators in carrying on the PAS Companies’ business, within the meaning of s 556(1)(a) of the Act.  </w:t>
      </w:r>
    </w:p>
    <w:p w:rsidR="00EB5C4B" w:rsidRDefault="005E2C4F" w:rsidP="0096263B">
      <w:pPr>
        <w:pStyle w:val="ParaNumbering"/>
      </w:pPr>
      <w:r>
        <w:t xml:space="preserve">The PAS </w:t>
      </w:r>
      <w:r w:rsidR="00714B6B">
        <w:t xml:space="preserve">Companies </w:t>
      </w:r>
      <w:r>
        <w:t xml:space="preserve">remain in administration, </w:t>
      </w:r>
      <w:r w:rsidRPr="001C797E">
        <w:t xml:space="preserve">but the question of the priority, if any, to be given to any claim for unpaid rent </w:t>
      </w:r>
      <w:r w:rsidR="0004603B">
        <w:t>in a</w:t>
      </w:r>
      <w:r w:rsidR="00FB3B46">
        <w:t xml:space="preserve"> liquidation</w:t>
      </w:r>
      <w:r w:rsidR="0004603B">
        <w:t xml:space="preserve"> </w:t>
      </w:r>
      <w:r w:rsidRPr="001C797E">
        <w:t>is not hypothetical because, as Mr</w:t>
      </w:r>
      <w:r w:rsidR="00714B6B">
        <w:t> </w:t>
      </w:r>
      <w:r w:rsidRPr="001C797E">
        <w:t xml:space="preserve">Longley deposed, </w:t>
      </w:r>
      <w:r w:rsidR="00703722" w:rsidRPr="001C797E">
        <w:t>the return to creditors will be impacted by the resolution of that question</w:t>
      </w:r>
      <w:r w:rsidR="0020359E" w:rsidRPr="001C797E">
        <w:t xml:space="preserve">. </w:t>
      </w:r>
      <w:r w:rsidR="006A41F1">
        <w:t xml:space="preserve"> </w:t>
      </w:r>
      <w:r w:rsidR="0020359E" w:rsidRPr="001C797E">
        <w:t xml:space="preserve">And the resolution </w:t>
      </w:r>
      <w:r w:rsidR="006A41F1">
        <w:t xml:space="preserve">of the issue </w:t>
      </w:r>
      <w:r w:rsidR="0020359E" w:rsidRPr="001C797E">
        <w:t xml:space="preserve">will </w:t>
      </w:r>
      <w:r w:rsidR="001C797E" w:rsidRPr="001C797E">
        <w:t xml:space="preserve">in turn </w:t>
      </w:r>
      <w:r w:rsidR="0020359E" w:rsidRPr="001C797E">
        <w:t>assist the administrators to explain</w:t>
      </w:r>
      <w:r w:rsidR="0020359E">
        <w:t xml:space="preserve"> to creditors the </w:t>
      </w:r>
      <w:r w:rsidR="001C797E">
        <w:t>difference in outcomes between any proposed deed of company arrangement on the one hand</w:t>
      </w:r>
      <w:r w:rsidR="006A41F1">
        <w:t>,</w:t>
      </w:r>
      <w:r w:rsidR="001C797E">
        <w:t xml:space="preserve"> and liquidation on the other.  So there is real utility i</w:t>
      </w:r>
      <w:r w:rsidR="0096263B">
        <w:t>n deciding the controversy now (including by the making of a declaration)</w:t>
      </w:r>
      <w:r w:rsidR="0005795C">
        <w:t>,</w:t>
      </w:r>
      <w:r w:rsidR="0096263B">
        <w:t xml:space="preserve"> because to do so will have practical consequences</w:t>
      </w:r>
      <w:r w:rsidR="00FB3B46">
        <w:t>: see</w:t>
      </w:r>
      <w:r w:rsidR="00714B6B">
        <w:t xml:space="preserve">, </w:t>
      </w:r>
      <w:proofErr w:type="spellStart"/>
      <w:r w:rsidR="00714B6B">
        <w:t>eg</w:t>
      </w:r>
      <w:proofErr w:type="spellEnd"/>
      <w:r w:rsidR="00714B6B">
        <w:t xml:space="preserve">, </w:t>
      </w:r>
      <w:r w:rsidR="0096263B" w:rsidRPr="008425A5">
        <w:rPr>
          <w:i/>
        </w:rPr>
        <w:t>Ainsworth v Criminal Justice Commission</w:t>
      </w:r>
      <w:r w:rsidR="0096263B" w:rsidRPr="008425A5">
        <w:t xml:space="preserve"> (1992) 175 CLR 564</w:t>
      </w:r>
      <w:r w:rsidR="0096263B">
        <w:t xml:space="preserve"> at 582 (Mason CJ, Dawson, </w:t>
      </w:r>
      <w:proofErr w:type="spellStart"/>
      <w:r w:rsidR="0096263B">
        <w:t>Toohey</w:t>
      </w:r>
      <w:proofErr w:type="spellEnd"/>
      <w:r w:rsidR="0096263B">
        <w:t xml:space="preserve"> and </w:t>
      </w:r>
      <w:proofErr w:type="spellStart"/>
      <w:r w:rsidR="0096263B">
        <w:t>Gaudron</w:t>
      </w:r>
      <w:proofErr w:type="spellEnd"/>
      <w:r w:rsidR="0096263B">
        <w:t xml:space="preserve"> JJ).</w:t>
      </w:r>
    </w:p>
    <w:p w:rsidR="005D24AA" w:rsidRPr="005D24AA" w:rsidRDefault="005D24AA" w:rsidP="005D24AA">
      <w:pPr>
        <w:pStyle w:val="ParaNumbering"/>
      </w:pPr>
      <w:r>
        <w:t xml:space="preserve">The </w:t>
      </w:r>
      <w:r w:rsidRPr="005D24AA">
        <w:t>Australian Securities and Investment</w:t>
      </w:r>
      <w:r w:rsidR="005A3CCC">
        <w:t>s</w:t>
      </w:r>
      <w:r w:rsidRPr="005D24AA">
        <w:t xml:space="preserve"> Commission</w:t>
      </w:r>
      <w:r>
        <w:t xml:space="preserve"> and the Commonwealth Attorney-General’s Department, which is responsible for administering the “Fair Entitlements </w:t>
      </w:r>
      <w:r w:rsidR="00611157">
        <w:t xml:space="preserve">Guarantee” scheme for the Commonwealth, and </w:t>
      </w:r>
      <w:r w:rsidR="00CE0B34">
        <w:t xml:space="preserve">which </w:t>
      </w:r>
      <w:r w:rsidR="00611157">
        <w:t>is a contingent creditor</w:t>
      </w:r>
      <w:r w:rsidR="006A41F1">
        <w:t xml:space="preserve"> of the PAS Companies</w:t>
      </w:r>
      <w:r w:rsidR="00611157">
        <w:t>, were given notice of the application.  Neither appeared</w:t>
      </w:r>
      <w:r w:rsidR="006A41F1">
        <w:t xml:space="preserve"> at the hearing of the application</w:t>
      </w:r>
      <w:r w:rsidR="00611157">
        <w:t>.</w:t>
      </w:r>
    </w:p>
    <w:p w:rsidR="002E494A" w:rsidRDefault="002E494A" w:rsidP="002E494A">
      <w:pPr>
        <w:pStyle w:val="Heading2"/>
      </w:pPr>
      <w:r>
        <w:t>The facts</w:t>
      </w:r>
    </w:p>
    <w:p w:rsidR="0043712A" w:rsidRDefault="0043712A" w:rsidP="00E45735">
      <w:pPr>
        <w:pStyle w:val="ParaNumbering"/>
      </w:pPr>
      <w:r>
        <w:t xml:space="preserve">The PAS Companies constitute an </w:t>
      </w:r>
      <w:r w:rsidR="00E45735">
        <w:t xml:space="preserve">Australian-based fashion </w:t>
      </w:r>
      <w:r>
        <w:t>group</w:t>
      </w:r>
      <w:r w:rsidR="00E45735">
        <w:t xml:space="preserve">. </w:t>
      </w:r>
      <w:r w:rsidR="00141747">
        <w:t xml:space="preserve"> </w:t>
      </w:r>
      <w:r w:rsidR="00E45735">
        <w:t>T</w:t>
      </w:r>
      <w:r w:rsidR="006A41F1">
        <w:t>hey operate</w:t>
      </w:r>
      <w:r>
        <w:t xml:space="preserve"> in both the retail and wholesale segments of the market, </w:t>
      </w:r>
      <w:r w:rsidR="006A41F1">
        <w:t>and online.</w:t>
      </w:r>
      <w:r w:rsidR="00E45735">
        <w:t xml:space="preserve">  They </w:t>
      </w:r>
      <w:r w:rsidR="006A41F1">
        <w:t xml:space="preserve">operate </w:t>
      </w:r>
      <w:r>
        <w:t xml:space="preserve">161 retail stores, </w:t>
      </w:r>
      <w:r w:rsidR="006A41F1">
        <w:t>of which</w:t>
      </w:r>
      <w:r>
        <w:t xml:space="preserve"> 18 </w:t>
      </w:r>
      <w:r w:rsidR="006A41F1">
        <w:t>are located</w:t>
      </w:r>
      <w:r>
        <w:t xml:space="preserve"> in </w:t>
      </w:r>
      <w:r w:rsidR="00E45735">
        <w:t xml:space="preserve">New Zealand, and </w:t>
      </w:r>
      <w:r>
        <w:t xml:space="preserve">lease </w:t>
      </w:r>
      <w:r w:rsidR="006A41F1">
        <w:t>a total of 166 premises.</w:t>
      </w:r>
    </w:p>
    <w:p w:rsidR="0043712A" w:rsidRDefault="0043712A" w:rsidP="0043712A">
      <w:pPr>
        <w:pStyle w:val="ParaNumbering"/>
      </w:pPr>
      <w:r>
        <w:t xml:space="preserve">Since the commencement of the administration, </w:t>
      </w:r>
      <w:r w:rsidR="00463AA7">
        <w:t>including during the standstill period, the a</w:t>
      </w:r>
      <w:r>
        <w:t>dministrators have caused the PAS Companies to continue to occupy and use the five non-retail leased premises</w:t>
      </w:r>
      <w:r w:rsidR="00BB1AE0">
        <w:t>,</w:t>
      </w:r>
      <w:r>
        <w:t xml:space="preserve"> and to continue to trade from all but eight of the 161 retail stores</w:t>
      </w:r>
      <w:r w:rsidR="00463AA7">
        <w:t>.</w:t>
      </w:r>
      <w:r w:rsidR="00590085">
        <w:t xml:space="preserve">  Two of the eight stores that did not reopen during the standstill period are leased to the PAS Companies by </w:t>
      </w:r>
      <w:proofErr w:type="spellStart"/>
      <w:r w:rsidR="00590085">
        <w:t>Scentre</w:t>
      </w:r>
      <w:proofErr w:type="spellEnd"/>
      <w:r w:rsidR="00590085">
        <w:t>.</w:t>
      </w:r>
    </w:p>
    <w:p w:rsidR="0043712A" w:rsidRDefault="00463AA7" w:rsidP="0043712A">
      <w:pPr>
        <w:pStyle w:val="ParaNumbering"/>
      </w:pPr>
      <w:r>
        <w:t>The a</w:t>
      </w:r>
      <w:r w:rsidR="0043712A">
        <w:t>dministrators have estimated that:</w:t>
      </w:r>
    </w:p>
    <w:p w:rsidR="0043712A" w:rsidRDefault="0043712A" w:rsidP="00C24897">
      <w:pPr>
        <w:pStyle w:val="ListNo1"/>
      </w:pPr>
      <w:r>
        <w:t>the total average daily rent liability for the PAS Companies in respect of all leased premises is approximately $55,400;</w:t>
      </w:r>
    </w:p>
    <w:p w:rsidR="0043712A" w:rsidRDefault="0043712A" w:rsidP="00C24897">
      <w:pPr>
        <w:pStyle w:val="ListNo1"/>
      </w:pPr>
      <w:r>
        <w:lastRenderedPageBreak/>
        <w:t>the total rent for all 166 premises leased by the PAS Co</w:t>
      </w:r>
      <w:r w:rsidR="0005795C">
        <w:t>mpanies during the standstill period</w:t>
      </w:r>
      <w:r>
        <w:t xml:space="preserve"> is approximately $1.385m; and</w:t>
      </w:r>
    </w:p>
    <w:p w:rsidR="0043712A" w:rsidRDefault="0043712A" w:rsidP="00C24897">
      <w:pPr>
        <w:pStyle w:val="ListNo1"/>
      </w:pPr>
      <w:r>
        <w:t>the PAS Companies generated approximately $7.32m in revenue from trading f</w:t>
      </w:r>
      <w:r w:rsidR="0005795C">
        <w:t xml:space="preserve">rom leased and other premises </w:t>
      </w:r>
      <w:r>
        <w:t xml:space="preserve">during the </w:t>
      </w:r>
      <w:r w:rsidR="0005795C">
        <w:t>standstill period</w:t>
      </w:r>
      <w:r>
        <w:t>.</w:t>
      </w:r>
    </w:p>
    <w:p w:rsidR="0043712A" w:rsidRPr="0043712A" w:rsidRDefault="0043712A" w:rsidP="0043712A">
      <w:pPr>
        <w:pStyle w:val="ParaNumbering"/>
      </w:pPr>
      <w:r w:rsidRPr="0043712A">
        <w:t>The PAS Companies have not paid</w:t>
      </w:r>
      <w:r w:rsidR="0005795C">
        <w:t>, and do not propose to pay,</w:t>
      </w:r>
      <w:r w:rsidRPr="0043712A">
        <w:t xml:space="preserve"> rent under any of their leas</w:t>
      </w:r>
      <w:r w:rsidR="0005795C">
        <w:t xml:space="preserve">es for </w:t>
      </w:r>
      <w:r w:rsidR="00144CEE">
        <w:t>the standstill period</w:t>
      </w:r>
      <w:r w:rsidR="0005795C">
        <w:t>.</w:t>
      </w:r>
    </w:p>
    <w:p w:rsidR="0043712A" w:rsidRDefault="0005795C" w:rsidP="0043712A">
      <w:pPr>
        <w:pStyle w:val="ParaNumbering"/>
      </w:pPr>
      <w:r>
        <w:t xml:space="preserve">Mr Longley </w:t>
      </w:r>
      <w:r w:rsidR="0043712A">
        <w:t>deposed tha</w:t>
      </w:r>
      <w:r>
        <w:t xml:space="preserve">t in respect of the </w:t>
      </w:r>
      <w:proofErr w:type="spellStart"/>
      <w:r w:rsidR="00463AA7">
        <w:t>Scentre</w:t>
      </w:r>
      <w:proofErr w:type="spellEnd"/>
      <w:r w:rsidR="00463AA7">
        <w:t xml:space="preserve"> l</w:t>
      </w:r>
      <w:r w:rsidR="0043712A">
        <w:t>eases</w:t>
      </w:r>
      <w:r>
        <w:t xml:space="preserve"> (there are 26 of them)</w:t>
      </w:r>
      <w:r w:rsidR="0043712A">
        <w:t>:</w:t>
      </w:r>
    </w:p>
    <w:p w:rsidR="0043712A" w:rsidRDefault="0043712A" w:rsidP="00C24897">
      <w:pPr>
        <w:pStyle w:val="ListNo1"/>
        <w:numPr>
          <w:ilvl w:val="0"/>
          <w:numId w:val="26"/>
        </w:numPr>
      </w:pPr>
      <w:r>
        <w:t xml:space="preserve">gross revenue of $944,076 was generated during the </w:t>
      </w:r>
      <w:r w:rsidR="0005795C">
        <w:t xml:space="preserve">standstill period </w:t>
      </w:r>
      <w:r>
        <w:t>from the 24 stores that were open;</w:t>
      </w:r>
    </w:p>
    <w:p w:rsidR="0043712A" w:rsidRDefault="0005795C" w:rsidP="009B7B73">
      <w:pPr>
        <w:pStyle w:val="ListNo1"/>
        <w:numPr>
          <w:ilvl w:val="0"/>
          <w:numId w:val="26"/>
        </w:numPr>
      </w:pPr>
      <w:r>
        <w:t xml:space="preserve">(unsurprisingly) </w:t>
      </w:r>
      <w:r w:rsidR="0043712A">
        <w:t>no revenue was gene</w:t>
      </w:r>
      <w:r>
        <w:t xml:space="preserve">rated during the standstill </w:t>
      </w:r>
      <w:r w:rsidR="0043712A">
        <w:t>period from the two stores that were closed;</w:t>
      </w:r>
    </w:p>
    <w:p w:rsidR="0043712A" w:rsidRDefault="0043712A" w:rsidP="009B7B73">
      <w:pPr>
        <w:pStyle w:val="ListNo1"/>
        <w:numPr>
          <w:ilvl w:val="0"/>
          <w:numId w:val="26"/>
        </w:numPr>
      </w:pPr>
      <w:r>
        <w:t xml:space="preserve">the total rent payable in respect of all </w:t>
      </w:r>
      <w:r w:rsidR="0005795C">
        <w:t xml:space="preserve">the </w:t>
      </w:r>
      <w:proofErr w:type="spellStart"/>
      <w:r>
        <w:t>Scentr</w:t>
      </w:r>
      <w:r w:rsidR="00463AA7">
        <w:t>e</w:t>
      </w:r>
      <w:proofErr w:type="spellEnd"/>
      <w:r w:rsidR="00463AA7">
        <w:t xml:space="preserve"> l</w:t>
      </w:r>
      <w:r w:rsidR="0005795C">
        <w:t>eases during the standstill</w:t>
      </w:r>
      <w:r>
        <w:t xml:space="preserve"> period was $382,396</w:t>
      </w:r>
      <w:r w:rsidR="0005795C">
        <w:t xml:space="preserve">; </w:t>
      </w:r>
      <w:r>
        <w:t>and</w:t>
      </w:r>
    </w:p>
    <w:p w:rsidR="0043712A" w:rsidRDefault="0043712A" w:rsidP="009B7B73">
      <w:pPr>
        <w:pStyle w:val="ListNo1"/>
        <w:numPr>
          <w:ilvl w:val="0"/>
          <w:numId w:val="26"/>
        </w:numPr>
      </w:pPr>
      <w:r>
        <w:t>accordingly</w:t>
      </w:r>
      <w:r w:rsidR="00463AA7">
        <w:t>, the revenue generated by the a</w:t>
      </w:r>
      <w:r>
        <w:t>dministrators from continuing to trade f</w:t>
      </w:r>
      <w:r w:rsidR="0005795C">
        <w:t xml:space="preserve">rom the 24 leased </w:t>
      </w:r>
      <w:proofErr w:type="spellStart"/>
      <w:r w:rsidR="0005795C">
        <w:t>Scentre</w:t>
      </w:r>
      <w:proofErr w:type="spellEnd"/>
      <w:r w:rsidR="0005795C">
        <w:t xml:space="preserve"> </w:t>
      </w:r>
      <w:r>
        <w:t>premises that were open exceeded the rent attributa</w:t>
      </w:r>
      <w:r w:rsidR="00B90FBC">
        <w:t>ble to the period by $561,6</w:t>
      </w:r>
      <w:r w:rsidR="001A2EAF">
        <w:t>80</w:t>
      </w:r>
      <w:r>
        <w:t>.</w:t>
      </w:r>
    </w:p>
    <w:p w:rsidR="0043712A" w:rsidRDefault="00AB6594" w:rsidP="00AB6594">
      <w:pPr>
        <w:pStyle w:val="ParaNumbering"/>
      </w:pPr>
      <w:proofErr w:type="spellStart"/>
      <w:r>
        <w:t>Scentre’s</w:t>
      </w:r>
      <w:proofErr w:type="spellEnd"/>
      <w:r>
        <w:t xml:space="preserve"> witness, </w:t>
      </w:r>
      <w:r w:rsidRPr="00AB6594">
        <w:t xml:space="preserve">Mr </w:t>
      </w:r>
      <w:proofErr w:type="spellStart"/>
      <w:r w:rsidRPr="00AB6594">
        <w:t>Mi</w:t>
      </w:r>
      <w:r>
        <w:t>gliorini</w:t>
      </w:r>
      <w:proofErr w:type="spellEnd"/>
      <w:r>
        <w:t xml:space="preserve">, calculated </w:t>
      </w:r>
      <w:r w:rsidR="001A0C63">
        <w:t xml:space="preserve">some </w:t>
      </w:r>
      <w:r w:rsidRPr="00AB6594">
        <w:t>slightly different figure</w:t>
      </w:r>
      <w:r>
        <w:t xml:space="preserve">s, but the parties agreed that nothing turns on that for </w:t>
      </w:r>
      <w:r w:rsidR="0005795C">
        <w:t>current purposes</w:t>
      </w:r>
      <w:r>
        <w:t>.</w:t>
      </w:r>
    </w:p>
    <w:p w:rsidR="00463AA7" w:rsidRDefault="005E2C4F" w:rsidP="005E2C4F">
      <w:pPr>
        <w:pStyle w:val="Heading2"/>
      </w:pPr>
      <w:r>
        <w:t xml:space="preserve">Resolution of the issue </w:t>
      </w:r>
    </w:p>
    <w:p w:rsidR="005E577F" w:rsidRDefault="005E577F" w:rsidP="005E577F">
      <w:pPr>
        <w:pStyle w:val="ParaNumbering"/>
      </w:pPr>
      <w:r>
        <w:t xml:space="preserve">The administrators rely on provisions in the Act concerning their liability for the debts of the administration, in particular </w:t>
      </w:r>
      <w:proofErr w:type="spellStart"/>
      <w:r w:rsidR="00F0629A">
        <w:t>ss</w:t>
      </w:r>
      <w:proofErr w:type="spellEnd"/>
      <w:r w:rsidR="00F0629A">
        <w:t xml:space="preserve"> 443A and 443B.</w:t>
      </w:r>
    </w:p>
    <w:p w:rsidR="00F0629A" w:rsidRDefault="00F0629A" w:rsidP="00F0629A">
      <w:pPr>
        <w:pStyle w:val="ParaNumbering"/>
        <w:tabs>
          <w:tab w:val="num" w:pos="720"/>
        </w:tabs>
      </w:pPr>
      <w:r>
        <w:t>Section 443A of the Act relevantly provides:</w:t>
      </w:r>
    </w:p>
    <w:p w:rsidR="006014CF" w:rsidRDefault="006014CF" w:rsidP="00C24897">
      <w:pPr>
        <w:pStyle w:val="Quote1"/>
        <w:ind w:left="1440" w:hanging="703"/>
      </w:pPr>
      <w:r>
        <w:t>(1)</w:t>
      </w:r>
      <w:r>
        <w:tab/>
      </w:r>
      <w:r w:rsidR="00F0629A">
        <w:t>The administrator of a company under administration is liable for debts he or she incurs, in the performance or exercise, or purported performance or exercise, of any of his or her functions and powers as administrator, for</w:t>
      </w:r>
      <w:r>
        <w:t>:</w:t>
      </w:r>
    </w:p>
    <w:p w:rsidR="006014CF" w:rsidRDefault="006014CF" w:rsidP="00C24897">
      <w:pPr>
        <w:pStyle w:val="Quote2"/>
      </w:pPr>
      <w:r>
        <w:t>…</w:t>
      </w:r>
    </w:p>
    <w:p w:rsidR="00F0629A" w:rsidRPr="00F0629A" w:rsidRDefault="00F0629A" w:rsidP="00C24897">
      <w:pPr>
        <w:pStyle w:val="Quote2"/>
      </w:pPr>
      <w:r>
        <w:t>(c)</w:t>
      </w:r>
      <w:r w:rsidR="006014CF">
        <w:tab/>
      </w:r>
      <w:r>
        <w:t>property … leased, used or occupied …</w:t>
      </w:r>
    </w:p>
    <w:p w:rsidR="00F0629A" w:rsidRDefault="00F0629A" w:rsidP="00F0629A">
      <w:pPr>
        <w:pStyle w:val="ParaNumbering"/>
        <w:tabs>
          <w:tab w:val="num" w:pos="720"/>
        </w:tabs>
      </w:pPr>
      <w:r>
        <w:t>Section 443B of the Act relevantly provides:</w:t>
      </w:r>
    </w:p>
    <w:p w:rsidR="00F0629A" w:rsidRPr="00C24897" w:rsidRDefault="00F0629A" w:rsidP="00C24897">
      <w:pPr>
        <w:pStyle w:val="Quote2"/>
        <w:rPr>
          <w:i/>
        </w:rPr>
      </w:pPr>
      <w:r w:rsidRPr="00C24897">
        <w:rPr>
          <w:i/>
        </w:rPr>
        <w:t xml:space="preserve">Scope </w:t>
      </w:r>
    </w:p>
    <w:p w:rsidR="00F0629A" w:rsidRDefault="00F0629A" w:rsidP="00F0629A">
      <w:pPr>
        <w:pStyle w:val="Quote1"/>
        <w:ind w:left="1440" w:hanging="703"/>
      </w:pPr>
      <w:r>
        <w:t>(1)</w:t>
      </w:r>
      <w:r>
        <w:tab/>
        <w:t xml:space="preserve">This section applies if, under an agreement made before the administration of </w:t>
      </w:r>
      <w:r>
        <w:lastRenderedPageBreak/>
        <w:t xml:space="preserve">a company began, the company continues to use or occupy, or to be in possession of, property of which someone else is the owner or lessor, including property consisting of goods that is subject to a lease that gives rise to a PPSA security interest in the goods. </w:t>
      </w:r>
    </w:p>
    <w:p w:rsidR="00F0629A" w:rsidRPr="00AA1DDF" w:rsidRDefault="00F0629A" w:rsidP="00C24897">
      <w:pPr>
        <w:pStyle w:val="Quote2"/>
        <w:rPr>
          <w:i/>
        </w:rPr>
      </w:pPr>
      <w:r w:rsidRPr="00AA1DDF">
        <w:rPr>
          <w:i/>
        </w:rPr>
        <w:t xml:space="preserve">General rule </w:t>
      </w:r>
    </w:p>
    <w:p w:rsidR="00F0629A" w:rsidRDefault="00F0629A" w:rsidP="00F0629A">
      <w:pPr>
        <w:pStyle w:val="Quote1"/>
        <w:ind w:left="1440" w:hanging="703"/>
      </w:pPr>
      <w:r>
        <w:t>(2)</w:t>
      </w:r>
      <w:r>
        <w:tab/>
        <w:t xml:space="preserve">Subject to this section, the administrator is liable for so much of the rent or other amounts payable by the company under the agreement as is attributable to a period: </w:t>
      </w:r>
    </w:p>
    <w:p w:rsidR="00F0629A" w:rsidRDefault="00F0629A" w:rsidP="00F0629A">
      <w:pPr>
        <w:pStyle w:val="Quote2"/>
        <w:ind w:left="2160" w:hanging="720"/>
      </w:pPr>
      <w:r>
        <w:t xml:space="preserve">(a)  </w:t>
      </w:r>
      <w:r>
        <w:tab/>
        <w:t xml:space="preserve">that begins more than 5 business days after the administration began; and </w:t>
      </w:r>
    </w:p>
    <w:p w:rsidR="00F0629A" w:rsidRDefault="00F0629A" w:rsidP="00F0629A">
      <w:pPr>
        <w:pStyle w:val="Quote2"/>
        <w:ind w:left="2160" w:hanging="720"/>
      </w:pPr>
      <w:r>
        <w:t xml:space="preserve">(b)  </w:t>
      </w:r>
      <w:r>
        <w:tab/>
        <w:t xml:space="preserve">throughout which: </w:t>
      </w:r>
    </w:p>
    <w:p w:rsidR="00F0629A" w:rsidRDefault="00F0629A" w:rsidP="00F0629A">
      <w:pPr>
        <w:pStyle w:val="Quote3"/>
        <w:ind w:left="2880" w:hanging="720"/>
      </w:pPr>
      <w:r>
        <w:t>(</w:t>
      </w:r>
      <w:proofErr w:type="spellStart"/>
      <w:r>
        <w:t>i</w:t>
      </w:r>
      <w:proofErr w:type="spellEnd"/>
      <w:r>
        <w:t xml:space="preserve">)  </w:t>
      </w:r>
      <w:r>
        <w:tab/>
        <w:t xml:space="preserve">the company continues to use or occupy, or to be in possession of, the property; and </w:t>
      </w:r>
    </w:p>
    <w:p w:rsidR="00F0629A" w:rsidRDefault="00F0629A" w:rsidP="00F0629A">
      <w:pPr>
        <w:pStyle w:val="Quote3"/>
        <w:ind w:left="2880" w:hanging="720"/>
      </w:pPr>
      <w:r>
        <w:t xml:space="preserve">(ii)  </w:t>
      </w:r>
      <w:r>
        <w:tab/>
        <w:t xml:space="preserve">the administration continues. </w:t>
      </w:r>
    </w:p>
    <w:p w:rsidR="00F0629A" w:rsidRDefault="00F0629A" w:rsidP="00F0629A">
      <w:pPr>
        <w:pStyle w:val="Quote1"/>
        <w:ind w:left="1440" w:hanging="703"/>
      </w:pPr>
      <w:r>
        <w:t>(3)</w:t>
      </w:r>
      <w:r>
        <w:tab/>
        <w:t xml:space="preserve">Within 5 business days after the beginning of the administration, the administrator may give to the owner or lessor a notice that: </w:t>
      </w:r>
    </w:p>
    <w:p w:rsidR="00F0629A" w:rsidRDefault="00F0629A" w:rsidP="00F0629A">
      <w:pPr>
        <w:pStyle w:val="Quote2"/>
      </w:pPr>
      <w:r>
        <w:t>(a)</w:t>
      </w:r>
      <w:r>
        <w:tab/>
        <w:t xml:space="preserve">specifies the property; and </w:t>
      </w:r>
    </w:p>
    <w:p w:rsidR="00F0629A" w:rsidRDefault="00F0629A" w:rsidP="00F0629A">
      <w:pPr>
        <w:pStyle w:val="Quote2"/>
        <w:ind w:left="2160" w:hanging="720"/>
      </w:pPr>
      <w:r>
        <w:t>(b)</w:t>
      </w:r>
      <w:r>
        <w:tab/>
        <w:t xml:space="preserve">states that the company does not propose to exercise rights in relation to the property; and </w:t>
      </w:r>
    </w:p>
    <w:p w:rsidR="00F0629A" w:rsidRDefault="00F0629A" w:rsidP="00F0629A">
      <w:pPr>
        <w:pStyle w:val="Quote2"/>
        <w:ind w:left="2160" w:hanging="720"/>
      </w:pPr>
      <w:r>
        <w:t>(c)</w:t>
      </w:r>
      <w:r>
        <w:tab/>
        <w:t xml:space="preserve">if the administrator: </w:t>
      </w:r>
    </w:p>
    <w:p w:rsidR="00F0629A" w:rsidRDefault="00F0629A" w:rsidP="00F0629A">
      <w:pPr>
        <w:pStyle w:val="Quote3"/>
      </w:pPr>
      <w:r>
        <w:t>(</w:t>
      </w:r>
      <w:proofErr w:type="spellStart"/>
      <w:r>
        <w:t>i</w:t>
      </w:r>
      <w:proofErr w:type="spellEnd"/>
      <w:r>
        <w:t xml:space="preserve">)  </w:t>
      </w:r>
      <w:r>
        <w:tab/>
        <w:t xml:space="preserve">knows the location of the property; or </w:t>
      </w:r>
    </w:p>
    <w:p w:rsidR="00F0629A" w:rsidRDefault="00F0629A" w:rsidP="00F0629A">
      <w:pPr>
        <w:pStyle w:val="Quote3"/>
        <w:ind w:left="2880" w:hanging="720"/>
      </w:pPr>
      <w:r>
        <w:t xml:space="preserve">(ii)  </w:t>
      </w:r>
      <w:r>
        <w:tab/>
        <w:t xml:space="preserve">could, by the exercise of reasonable diligence, know the location of the property; </w:t>
      </w:r>
    </w:p>
    <w:p w:rsidR="00F0629A" w:rsidRDefault="00F0629A" w:rsidP="00F0629A">
      <w:pPr>
        <w:pStyle w:val="Quote3"/>
      </w:pPr>
      <w:r>
        <w:t xml:space="preserve">specifies the location of the property. </w:t>
      </w:r>
    </w:p>
    <w:p w:rsidR="00F0629A" w:rsidRPr="00904B93" w:rsidRDefault="00F0629A" w:rsidP="00F0629A">
      <w:pPr>
        <w:pStyle w:val="Quote1"/>
        <w:ind w:left="1440" w:hanging="703"/>
      </w:pPr>
      <w:r>
        <w:t>(4)</w:t>
      </w:r>
      <w:r>
        <w:tab/>
        <w:t xml:space="preserve">Despite subsection (2), the administrator is not liable for so much of the rent or other amounts payable by the company under the agreement as is attributable to a period during which a notice under subsection (3) is in force, </w:t>
      </w:r>
      <w:r w:rsidRPr="00904B93">
        <w:t xml:space="preserve">but such a notice does not affect a liability of the company. </w:t>
      </w:r>
    </w:p>
    <w:p w:rsidR="00F0629A" w:rsidRPr="00904B93" w:rsidRDefault="00F0629A" w:rsidP="00F0629A">
      <w:pPr>
        <w:pStyle w:val="Quote1"/>
      </w:pPr>
      <w:r w:rsidRPr="00904B93">
        <w:t>…</w:t>
      </w:r>
    </w:p>
    <w:p w:rsidR="00F0629A" w:rsidRPr="00904B93" w:rsidRDefault="00F0629A" w:rsidP="00F0629A">
      <w:pPr>
        <w:pStyle w:val="Quote1"/>
        <w:rPr>
          <w:i/>
        </w:rPr>
      </w:pPr>
      <w:r w:rsidRPr="00904B93">
        <w:rPr>
          <w:i/>
        </w:rPr>
        <w:t>Restrictions on general rule</w:t>
      </w:r>
    </w:p>
    <w:p w:rsidR="00F0629A" w:rsidRPr="00F5369B" w:rsidRDefault="00F0629A" w:rsidP="00F0629A">
      <w:pPr>
        <w:pStyle w:val="Quote1"/>
      </w:pPr>
      <w:r w:rsidRPr="00904B93">
        <w:t>…</w:t>
      </w:r>
    </w:p>
    <w:p w:rsidR="00F0629A" w:rsidRDefault="00F0629A" w:rsidP="00F0629A">
      <w:pPr>
        <w:pStyle w:val="Quote1"/>
        <w:ind w:left="1440" w:hanging="703"/>
      </w:pPr>
      <w:r>
        <w:t>(8)</w:t>
      </w:r>
      <w:r>
        <w:tab/>
        <w:t xml:space="preserve">Subsection (2) does not apply in so far as a court, by order, excuses the administrator from liability, but an order does not affect a liability of the company. </w:t>
      </w:r>
    </w:p>
    <w:p w:rsidR="00F0629A" w:rsidRDefault="003B30D7" w:rsidP="00F0629A">
      <w:pPr>
        <w:pStyle w:val="Quote1"/>
        <w:ind w:left="1440" w:hanging="703"/>
      </w:pPr>
      <w:r>
        <w:t>(9)</w:t>
      </w:r>
      <w:r>
        <w:tab/>
        <w:t>The administrator is not taken because of subsection (2):</w:t>
      </w:r>
    </w:p>
    <w:p w:rsidR="003B30D7" w:rsidRDefault="003B30D7" w:rsidP="00C24897">
      <w:pPr>
        <w:pStyle w:val="Quote2"/>
      </w:pPr>
      <w:r>
        <w:t>(a)</w:t>
      </w:r>
      <w:r>
        <w:tab/>
        <w:t>to have adopted the agreement; or</w:t>
      </w:r>
    </w:p>
    <w:p w:rsidR="003B30D7" w:rsidRDefault="003B30D7" w:rsidP="00C24897">
      <w:pPr>
        <w:pStyle w:val="Quote2"/>
        <w:ind w:left="2160" w:hanging="720"/>
      </w:pPr>
      <w:r>
        <w:t>(b)</w:t>
      </w:r>
      <w:r>
        <w:tab/>
        <w:t>to be liable under the agreement otherwise than as mentioned in subsection (2).</w:t>
      </w:r>
    </w:p>
    <w:p w:rsidR="005E577F" w:rsidRDefault="005E577F" w:rsidP="00C24897">
      <w:pPr>
        <w:pStyle w:val="ParaNumbering"/>
        <w:keepNext/>
      </w:pPr>
      <w:r>
        <w:lastRenderedPageBreak/>
        <w:t>The administrators contend, in summary, as follows:</w:t>
      </w:r>
    </w:p>
    <w:p w:rsidR="005E577F" w:rsidRDefault="005E577F" w:rsidP="00C24897">
      <w:pPr>
        <w:pStyle w:val="ListNo1"/>
        <w:numPr>
          <w:ilvl w:val="0"/>
          <w:numId w:val="27"/>
        </w:numPr>
      </w:pPr>
      <w:r>
        <w:t>a lessor’s claim for rent under a pre-appointment lease is, without more, an ordinary unsecured claim against the company;</w:t>
      </w:r>
    </w:p>
    <w:p w:rsidR="005E577F" w:rsidRDefault="005E577F" w:rsidP="00C24897">
      <w:pPr>
        <w:pStyle w:val="ListNo1"/>
        <w:numPr>
          <w:ilvl w:val="0"/>
          <w:numId w:val="27"/>
        </w:numPr>
      </w:pPr>
      <w:r>
        <w:t xml:space="preserve">administrators are only personally liable for amounts owing under pre-appointment leases to the extent that </w:t>
      </w:r>
      <w:proofErr w:type="spellStart"/>
      <w:r>
        <w:t>ss</w:t>
      </w:r>
      <w:proofErr w:type="spellEnd"/>
      <w:r>
        <w:t xml:space="preserve"> 443A and 443B make them liable;</w:t>
      </w:r>
    </w:p>
    <w:p w:rsidR="005E577F" w:rsidRDefault="005E577F" w:rsidP="00C24897">
      <w:pPr>
        <w:pStyle w:val="ListNo1"/>
        <w:numPr>
          <w:ilvl w:val="0"/>
          <w:numId w:val="27"/>
        </w:numPr>
      </w:pPr>
      <w:r>
        <w:t xml:space="preserve">because administrators are only personally liable for amounts payable in respect of the period commencing after the </w:t>
      </w:r>
      <w:r w:rsidR="00E45735">
        <w:t>stand</w:t>
      </w:r>
      <w:r w:rsidR="004D1C0E">
        <w:t xml:space="preserve">still period </w:t>
      </w:r>
      <w:r>
        <w:t>has ended, a lessor’s claim in respect of the standstill period will be a</w:t>
      </w:r>
      <w:r w:rsidR="00292FB1">
        <w:t xml:space="preserve">n ordinary unsecured claim; </w:t>
      </w:r>
    </w:p>
    <w:p w:rsidR="005E577F" w:rsidRDefault="005E577F" w:rsidP="00C24897">
      <w:pPr>
        <w:pStyle w:val="ListNo1"/>
        <w:numPr>
          <w:ilvl w:val="0"/>
          <w:numId w:val="27"/>
        </w:numPr>
      </w:pPr>
      <w:r>
        <w:t>standstill period rent is not a debt “incurred” in the sense required by th</w:t>
      </w:r>
      <w:r w:rsidR="00053E6E">
        <w:t>e relevant provisions of s</w:t>
      </w:r>
      <w:r>
        <w:t xml:space="preserve"> 556(1), becau</w:t>
      </w:r>
      <w:r w:rsidR="00292FB1">
        <w:t>se the a</w:t>
      </w:r>
      <w:r w:rsidR="007A2513">
        <w:t>dministrators</w:t>
      </w:r>
      <w:r>
        <w:t xml:space="preserve"> did not do anything which caused the companies to incur the </w:t>
      </w:r>
      <w:r w:rsidR="00E45735">
        <w:t>stand</w:t>
      </w:r>
      <w:r w:rsidR="004D1C0E">
        <w:t>still period r</w:t>
      </w:r>
      <w:r w:rsidR="007A2513">
        <w:t>ent</w:t>
      </w:r>
      <w:r>
        <w:t xml:space="preserve"> and cannot be taken to have “elected” to retain the property for the benefit o</w:t>
      </w:r>
      <w:r w:rsidR="004D1C0E">
        <w:t>f the</w:t>
      </w:r>
      <w:r w:rsidR="00E45735">
        <w:t xml:space="preserve"> administration until the stand</w:t>
      </w:r>
      <w:r w:rsidR="004D1C0E">
        <w:t>still p</w:t>
      </w:r>
      <w:r w:rsidR="00292FB1">
        <w:t>eriod has ended;</w:t>
      </w:r>
      <w:r w:rsidR="0042592D">
        <w:t xml:space="preserve"> and</w:t>
      </w:r>
    </w:p>
    <w:p w:rsidR="00292FB1" w:rsidRDefault="00292FB1" w:rsidP="00C24897">
      <w:pPr>
        <w:pStyle w:val="ListNo1"/>
        <w:numPr>
          <w:ilvl w:val="0"/>
          <w:numId w:val="27"/>
        </w:numPr>
      </w:pPr>
      <w:r>
        <w:t xml:space="preserve">the voluntary administration scheme was intended to balance competing equities, and if the rent in this case </w:t>
      </w:r>
      <w:r w:rsidR="0042592D">
        <w:t>were</w:t>
      </w:r>
      <w:r>
        <w:t xml:space="preserve"> treated as an expense in any </w:t>
      </w:r>
      <w:r w:rsidR="0042592D">
        <w:t xml:space="preserve">administration, </w:t>
      </w:r>
      <w:r>
        <w:t xml:space="preserve">that would constitute a “super priority” inconsistent with </w:t>
      </w:r>
      <w:r w:rsidR="0042592D">
        <w:t>the balance provided for by the scheme</w:t>
      </w:r>
      <w:r>
        <w:t xml:space="preserve">. </w:t>
      </w:r>
    </w:p>
    <w:p w:rsidR="0042639A" w:rsidRDefault="0042639A" w:rsidP="004D1C0E">
      <w:pPr>
        <w:pStyle w:val="ParaNumbering"/>
      </w:pPr>
      <w:r>
        <w:t>In their written reply submissions, the administrators</w:t>
      </w:r>
      <w:r w:rsidR="00E30B29">
        <w:t>’</w:t>
      </w:r>
      <w:r>
        <w:t xml:space="preserve"> case was put this way:</w:t>
      </w:r>
    </w:p>
    <w:p w:rsidR="0042639A" w:rsidRDefault="0042639A" w:rsidP="0042639A">
      <w:pPr>
        <w:pStyle w:val="Quote1"/>
      </w:pPr>
      <w:r>
        <w:t xml:space="preserve">The </w:t>
      </w:r>
      <w:r w:rsidR="0047632B">
        <w:t>[</w:t>
      </w:r>
      <w:r w:rsidR="0047632B" w:rsidRPr="0047632B">
        <w:rPr>
          <w:i/>
        </w:rPr>
        <w:t>Lundy Granite</w:t>
      </w:r>
      <w:r w:rsidR="0047632B">
        <w:t>]</w:t>
      </w:r>
      <w:r>
        <w:t xml:space="preserve"> principle does not apply to Standstill Period Rent because the provisions of section 443B are a statutory mechanism intended to replace the liquidation expenses principle and there is no room for the principle to operate alongside the statutory regime. </w:t>
      </w:r>
      <w:proofErr w:type="spellStart"/>
      <w:r>
        <w:t>Scentre’s</w:t>
      </w:r>
      <w:proofErr w:type="spellEnd"/>
      <w:r>
        <w:t xml:space="preserve"> submissions do not address the interaction of section 443B with the </w:t>
      </w:r>
      <w:r w:rsidR="0047632B">
        <w:t>[</w:t>
      </w:r>
      <w:r w:rsidR="0047632B" w:rsidRPr="0047632B">
        <w:rPr>
          <w:i/>
        </w:rPr>
        <w:t>Lundy Granite</w:t>
      </w:r>
      <w:r w:rsidR="0047632B">
        <w:t xml:space="preserve">] </w:t>
      </w:r>
      <w:r>
        <w:t xml:space="preserve">principle in relation to Standstill Period Rent. In substance, section 443B is a statutory variation of the </w:t>
      </w:r>
      <w:r w:rsidR="0047632B">
        <w:t>[</w:t>
      </w:r>
      <w:r w:rsidR="0047632B" w:rsidRPr="0047632B">
        <w:rPr>
          <w:i/>
        </w:rPr>
        <w:t>Lundy Granite</w:t>
      </w:r>
      <w:r w:rsidR="0047632B">
        <w:t xml:space="preserve">] </w:t>
      </w:r>
      <w:r>
        <w:t xml:space="preserve">principle, which determines when a liability under a pre-appointment lease will be taken to have been incurred as an expense of the administration. Put another way, section 443B dictates when an administrator will be deemed to have </w:t>
      </w:r>
      <w:r w:rsidR="002D383B">
        <w:t>‘</w:t>
      </w:r>
      <w:r>
        <w:t>elected</w:t>
      </w:r>
      <w:r w:rsidR="002D383B">
        <w:t>’</w:t>
      </w:r>
      <w:r>
        <w:t xml:space="preserve"> to retain property for the purposes of the administration.</w:t>
      </w:r>
    </w:p>
    <w:p w:rsidR="0042639A" w:rsidRDefault="0042639A" w:rsidP="0042639A">
      <w:pPr>
        <w:pStyle w:val="Quote1"/>
      </w:pPr>
      <w:r>
        <w:t xml:space="preserve">Whatever may be its application in respect of liquidation expenses, the </w:t>
      </w:r>
      <w:r w:rsidR="0047632B">
        <w:t>[</w:t>
      </w:r>
      <w:r w:rsidR="0047632B" w:rsidRPr="0047632B">
        <w:rPr>
          <w:i/>
        </w:rPr>
        <w:t>Lundy Granite</w:t>
      </w:r>
      <w:r w:rsidR="0047632B">
        <w:t xml:space="preserve">] </w:t>
      </w:r>
      <w:r>
        <w:t>principle should not be used to expand the scope of the statutory priority afforded to expenses incurred by administrators where the legislature has made a deliberate choice about which pre-appointment liabilities should attract priority in a winding up of the company</w:t>
      </w:r>
      <w:r w:rsidR="0047632B">
        <w:t>.</w:t>
      </w:r>
    </w:p>
    <w:p w:rsidR="00053E6E" w:rsidRDefault="005E577F" w:rsidP="004D1C0E">
      <w:pPr>
        <w:pStyle w:val="ParaNumbering"/>
      </w:pPr>
      <w:r>
        <w:t>I am unable to accept</w:t>
      </w:r>
      <w:r w:rsidR="00F0629A">
        <w:t xml:space="preserve"> those submissions.  </w:t>
      </w:r>
      <w:r w:rsidR="007A45D6">
        <w:t>Section 443B was not intended to “replace” the</w:t>
      </w:r>
      <w:r w:rsidR="002C3E10">
        <w:t xml:space="preserve"> principle </w:t>
      </w:r>
      <w:r w:rsidR="004A46B9">
        <w:t>derived from</w:t>
      </w:r>
      <w:r w:rsidR="007A45D6">
        <w:t xml:space="preserve"> </w:t>
      </w:r>
      <w:r w:rsidR="00AD12AB" w:rsidRPr="00C24897">
        <w:rPr>
          <w:i/>
        </w:rPr>
        <w:t>R</w:t>
      </w:r>
      <w:r w:rsidR="002C3E10" w:rsidRPr="008425A5">
        <w:rPr>
          <w:i/>
        </w:rPr>
        <w:t xml:space="preserve">e </w:t>
      </w:r>
      <w:r w:rsidR="007A45D6" w:rsidRPr="008425A5">
        <w:rPr>
          <w:i/>
        </w:rPr>
        <w:t>Lundy Granite</w:t>
      </w:r>
      <w:r w:rsidR="007A2513" w:rsidRPr="008425A5">
        <w:t xml:space="preserve"> </w:t>
      </w:r>
      <w:r w:rsidR="002C3E10" w:rsidRPr="008425A5">
        <w:rPr>
          <w:i/>
        </w:rPr>
        <w:t xml:space="preserve">Co; Ex parte </w:t>
      </w:r>
      <w:proofErr w:type="spellStart"/>
      <w:r w:rsidR="002C3E10" w:rsidRPr="008425A5">
        <w:rPr>
          <w:i/>
        </w:rPr>
        <w:t>Heavan</w:t>
      </w:r>
      <w:proofErr w:type="spellEnd"/>
      <w:r w:rsidR="002C3E10" w:rsidRPr="008425A5">
        <w:rPr>
          <w:i/>
        </w:rPr>
        <w:t xml:space="preserve"> </w:t>
      </w:r>
      <w:r w:rsidR="002C3E10" w:rsidRPr="008425A5">
        <w:t xml:space="preserve">(1871) LR 6 </w:t>
      </w:r>
      <w:proofErr w:type="spellStart"/>
      <w:r w:rsidR="002C3E10" w:rsidRPr="008425A5">
        <w:t>Ch</w:t>
      </w:r>
      <w:proofErr w:type="spellEnd"/>
      <w:r w:rsidR="002C3E10" w:rsidRPr="008425A5">
        <w:t xml:space="preserve"> App 462</w:t>
      </w:r>
      <w:r w:rsidR="004139BC">
        <w:t xml:space="preserve"> (James and </w:t>
      </w:r>
      <w:proofErr w:type="spellStart"/>
      <w:r w:rsidR="004139BC">
        <w:t>Mellish</w:t>
      </w:r>
      <w:proofErr w:type="spellEnd"/>
      <w:r w:rsidR="004139BC">
        <w:t xml:space="preserve"> LJJ)</w:t>
      </w:r>
      <w:r w:rsidR="002C3E10">
        <w:t xml:space="preserve"> (</w:t>
      </w:r>
      <w:r w:rsidR="002C3E10">
        <w:rPr>
          <w:b/>
          <w:i/>
        </w:rPr>
        <w:t>Lundy Granite</w:t>
      </w:r>
      <w:r w:rsidR="002C3E10">
        <w:t>)</w:t>
      </w:r>
      <w:r w:rsidR="007A2513">
        <w:t>.</w:t>
      </w:r>
    </w:p>
    <w:p w:rsidR="005E577F" w:rsidRPr="00452E24" w:rsidRDefault="00053E6E" w:rsidP="004D1C0E">
      <w:pPr>
        <w:pStyle w:val="ParaNumbering"/>
      </w:pPr>
      <w:r>
        <w:lastRenderedPageBreak/>
        <w:t>T</w:t>
      </w:r>
      <w:r w:rsidR="00F0629A">
        <w:t xml:space="preserve">he provisions relating to an administrator’s liability in </w:t>
      </w:r>
      <w:r w:rsidR="00FB3D6A">
        <w:t xml:space="preserve">Pt 5.3A </w:t>
      </w:r>
      <w:r w:rsidR="00F0629A">
        <w:t>of the Act have no relevant bearing on the question</w:t>
      </w:r>
      <w:r w:rsidR="00FB3D6A">
        <w:t xml:space="preserve"> of the ranking of claims in a liquidation under s 556, which is contained in </w:t>
      </w:r>
      <w:r w:rsidR="004D1C0E">
        <w:t>a completely different Part of the Act (</w:t>
      </w:r>
      <w:r w:rsidR="00FB3D6A">
        <w:t>Pt 5.6</w:t>
      </w:r>
      <w:r w:rsidR="002D383B">
        <w:t>,</w:t>
      </w:r>
      <w:r w:rsidR="00FB3D6A">
        <w:t xml:space="preserve"> headed “Winding up generally”</w:t>
      </w:r>
      <w:r>
        <w:t>).</w:t>
      </w:r>
      <w:r w:rsidR="00452E24">
        <w:t xml:space="preserve">  As senior counsel for </w:t>
      </w:r>
      <w:proofErr w:type="spellStart"/>
      <w:r w:rsidR="00452E24">
        <w:t>Scentre</w:t>
      </w:r>
      <w:proofErr w:type="spellEnd"/>
      <w:r w:rsidR="00452E24">
        <w:t xml:space="preserve"> submitted, the relevant question </w:t>
      </w:r>
      <w:r w:rsidR="003C75F6">
        <w:t xml:space="preserve">here </w:t>
      </w:r>
      <w:r w:rsidR="00452E24">
        <w:t>is not whether the administrators are personally liable for the rent</w:t>
      </w:r>
      <w:r w:rsidR="00452E24" w:rsidRPr="00452E24">
        <w:t xml:space="preserve">, but whether </w:t>
      </w:r>
      <w:r w:rsidR="003C75F6">
        <w:t>that rent</w:t>
      </w:r>
      <w:r w:rsidR="00452E24" w:rsidRPr="00452E24">
        <w:t xml:space="preserve"> is taken to be an expense relevantly incurred.</w:t>
      </w:r>
      <w:r w:rsidR="007A45D6">
        <w:t xml:space="preserve"> </w:t>
      </w:r>
    </w:p>
    <w:p w:rsidR="00317C1F" w:rsidRDefault="00477259" w:rsidP="007A2513">
      <w:pPr>
        <w:pStyle w:val="ParaNumbering"/>
      </w:pPr>
      <w:r>
        <w:t>T</w:t>
      </w:r>
      <w:r w:rsidR="00EB5C4B">
        <w:t xml:space="preserve">he </w:t>
      </w:r>
      <w:r w:rsidR="004D1C0E">
        <w:t xml:space="preserve">principal question the subject of this proceeding </w:t>
      </w:r>
      <w:r w:rsidR="00053E6E">
        <w:t xml:space="preserve">– </w:t>
      </w:r>
      <w:r w:rsidR="004D1C0E">
        <w:t>w</w:t>
      </w:r>
      <w:r w:rsidR="00053E6E">
        <w:t xml:space="preserve">hether, </w:t>
      </w:r>
      <w:r w:rsidR="004D1C0E">
        <w:t xml:space="preserve">in the events that have occurred, </w:t>
      </w:r>
      <w:r w:rsidR="004D1C0E" w:rsidRPr="004D1C0E">
        <w:t>the rent incurred by the PAS Companies during the</w:t>
      </w:r>
      <w:r w:rsidR="003C75F6">
        <w:t xml:space="preserve"> standstill</w:t>
      </w:r>
      <w:r w:rsidR="004D1C0E" w:rsidRPr="004D1C0E">
        <w:t xml:space="preserve"> period would be a debt or claim entitled to priority under s 556(1)</w:t>
      </w:r>
      <w:r w:rsidR="00053E6E">
        <w:t>(a)</w:t>
      </w:r>
      <w:r w:rsidR="004D1C0E" w:rsidRPr="004D1C0E">
        <w:t xml:space="preserve"> of the </w:t>
      </w:r>
      <w:r w:rsidR="00053E6E">
        <w:t xml:space="preserve">Act in a </w:t>
      </w:r>
      <w:r w:rsidR="004D1C0E" w:rsidRPr="004D1C0E">
        <w:t>winding up</w:t>
      </w:r>
      <w:r w:rsidR="00053E6E">
        <w:t xml:space="preserve"> – falls to be determined by reference to orthodox principles </w:t>
      </w:r>
      <w:r w:rsidR="007A45D6">
        <w:t xml:space="preserve">derived from </w:t>
      </w:r>
      <w:r w:rsidR="003C75F6">
        <w:rPr>
          <w:i/>
        </w:rPr>
        <w:t>Lundy Granite</w:t>
      </w:r>
      <w:r w:rsidR="003C75F6">
        <w:t>,</w:t>
      </w:r>
      <w:r w:rsidR="007A2513">
        <w:t xml:space="preserve"> which have nothing relevantly </w:t>
      </w:r>
      <w:r w:rsidR="00053E6E">
        <w:t>to do with provisions in the Act dealing with the circumstances in which administrators may or may not be personally liable</w:t>
      </w:r>
      <w:r w:rsidR="007A2513">
        <w:t xml:space="preserve"> for debts incurred</w:t>
      </w:r>
      <w:r w:rsidR="00053E6E">
        <w:t xml:space="preserve">. </w:t>
      </w:r>
    </w:p>
    <w:p w:rsidR="00317C1F" w:rsidRDefault="00317C1F" w:rsidP="00317C1F">
      <w:pPr>
        <w:pStyle w:val="ParaNumbering"/>
      </w:pPr>
      <w:r>
        <w:t>Section 556 relevantly provides:</w:t>
      </w:r>
    </w:p>
    <w:p w:rsidR="00317C1F" w:rsidRDefault="00317C1F" w:rsidP="00C24897">
      <w:pPr>
        <w:pStyle w:val="Quote1"/>
        <w:ind w:left="1440" w:hanging="703"/>
      </w:pPr>
      <w:r>
        <w:t>(1)</w:t>
      </w:r>
      <w:r>
        <w:tab/>
        <w:t>Subject to this Division, in the winding up of a company the following debts and claims must be paid in priority to all other unsecured debts and claims:</w:t>
      </w:r>
    </w:p>
    <w:p w:rsidR="00317C1F" w:rsidRDefault="00317C1F" w:rsidP="00C24897">
      <w:pPr>
        <w:pStyle w:val="Quote2"/>
        <w:ind w:left="2160" w:hanging="720"/>
      </w:pPr>
      <w:r>
        <w:t>(a)</w:t>
      </w:r>
      <w:r>
        <w:tab/>
        <w:t>first, expenses (except deferred expenses) properly incurred by a relevant authority in preserving, realising or getting in property of the company, or in carrying on the company</w:t>
      </w:r>
      <w:r w:rsidR="00115754">
        <w:t>’</w:t>
      </w:r>
      <w:r>
        <w:t>s business;</w:t>
      </w:r>
    </w:p>
    <w:p w:rsidR="00317C1F" w:rsidRDefault="00317C1F" w:rsidP="00C24897">
      <w:pPr>
        <w:pStyle w:val="Quote2"/>
      </w:pPr>
      <w:r>
        <w:t>…</w:t>
      </w:r>
    </w:p>
    <w:p w:rsidR="00317C1F" w:rsidRDefault="00317C1F" w:rsidP="00C24897">
      <w:pPr>
        <w:pStyle w:val="Quote2"/>
        <w:ind w:left="2160" w:hanging="720"/>
      </w:pPr>
      <w:r>
        <w:t>(</w:t>
      </w:r>
      <w:proofErr w:type="spellStart"/>
      <w:r>
        <w:t>dd</w:t>
      </w:r>
      <w:proofErr w:type="spellEnd"/>
      <w:r>
        <w:t>)</w:t>
      </w:r>
      <w:r w:rsidR="00115754">
        <w:tab/>
      </w:r>
      <w:r>
        <w:t>next, any other expenses (except deferred expenses) properly incurred by a relevant authority</w:t>
      </w:r>
      <w:r w:rsidR="00115754">
        <w:t xml:space="preserve"> …</w:t>
      </w:r>
    </w:p>
    <w:p w:rsidR="00317C1F" w:rsidRDefault="00317C1F" w:rsidP="00317C1F">
      <w:pPr>
        <w:pStyle w:val="ParaNumbering"/>
      </w:pPr>
      <w:r>
        <w:t xml:space="preserve">“Relevant authority” is defined in s 556(2) to </w:t>
      </w:r>
      <w:r w:rsidR="00115754">
        <w:t xml:space="preserve">include </w:t>
      </w:r>
      <w:r>
        <w:t>in any case “a liquidator or provisional liquidator</w:t>
      </w:r>
      <w:r w:rsidR="00115754">
        <w:t xml:space="preserve"> of the company</w:t>
      </w:r>
      <w:r>
        <w:t>” or “an administrator</w:t>
      </w:r>
      <w:r w:rsidR="00115754">
        <w:t xml:space="preserve"> of the company</w:t>
      </w:r>
      <w:r>
        <w:t xml:space="preserve">”.  </w:t>
      </w:r>
    </w:p>
    <w:p w:rsidR="00317C1F" w:rsidRDefault="00B55468" w:rsidP="00317C1F">
      <w:pPr>
        <w:pStyle w:val="ParaNumbering"/>
      </w:pPr>
      <w:r w:rsidRPr="00F74003">
        <w:t xml:space="preserve">Prior to the introduction of the </w:t>
      </w:r>
      <w:r w:rsidRPr="00F74003">
        <w:rPr>
          <w:i/>
        </w:rPr>
        <w:t xml:space="preserve">Insolvency </w:t>
      </w:r>
      <w:r w:rsidR="00F71E4A" w:rsidRPr="00F74003">
        <w:rPr>
          <w:i/>
        </w:rPr>
        <w:t>(England and Wales)</w:t>
      </w:r>
      <w:r w:rsidR="004760FB" w:rsidRPr="00F74003">
        <w:rPr>
          <w:i/>
        </w:rPr>
        <w:t xml:space="preserve"> Rules</w:t>
      </w:r>
      <w:r w:rsidRPr="00F74003">
        <w:rPr>
          <w:i/>
        </w:rPr>
        <w:t xml:space="preserve"> 2016 </w:t>
      </w:r>
      <w:r w:rsidRPr="00F74003">
        <w:t>(UK),</w:t>
      </w:r>
      <w:r>
        <w:t xml:space="preserve"> t</w:t>
      </w:r>
      <w:r w:rsidR="00317C1F">
        <w:t xml:space="preserve">he </w:t>
      </w:r>
      <w:r w:rsidR="007A2513">
        <w:t xml:space="preserve">equivalent </w:t>
      </w:r>
      <w:r w:rsidR="00317C1F">
        <w:t>UK provisions, which include</w:t>
      </w:r>
      <w:r w:rsidR="00F71E4A">
        <w:t>d</w:t>
      </w:r>
      <w:r w:rsidR="00317C1F">
        <w:t xml:space="preserve"> priority payment provisions for both administration and liquidation, </w:t>
      </w:r>
      <w:r w:rsidR="007A2513">
        <w:t xml:space="preserve">and which are considered in the modern English cases to which I refer below, </w:t>
      </w:r>
      <w:r w:rsidR="00F71E4A">
        <w:t>we</w:t>
      </w:r>
      <w:r w:rsidR="00317C1F">
        <w:t xml:space="preserve">re contained in the </w:t>
      </w:r>
      <w:r w:rsidR="00317C1F" w:rsidRPr="00C24897">
        <w:rPr>
          <w:i/>
        </w:rPr>
        <w:t>Insolvency Rules</w:t>
      </w:r>
      <w:r w:rsidR="00F71E4A" w:rsidRPr="008425A5">
        <w:t xml:space="preserve"> </w:t>
      </w:r>
      <w:r w:rsidR="00F71E4A" w:rsidRPr="008425A5">
        <w:rPr>
          <w:i/>
        </w:rPr>
        <w:t xml:space="preserve">1986 </w:t>
      </w:r>
      <w:r w:rsidR="00F71E4A" w:rsidRPr="008425A5">
        <w:t>(UK)</w:t>
      </w:r>
      <w:r w:rsidR="00F71E4A">
        <w:t xml:space="preserve"> (the </w:t>
      </w:r>
      <w:r w:rsidR="00F71E4A">
        <w:rPr>
          <w:b/>
        </w:rPr>
        <w:t>Insolvency Rules</w:t>
      </w:r>
      <w:r w:rsidR="00F71E4A">
        <w:t>)</w:t>
      </w:r>
      <w:r w:rsidR="00317C1F">
        <w:t xml:space="preserve">. </w:t>
      </w:r>
    </w:p>
    <w:p w:rsidR="00317C1F" w:rsidRDefault="00317C1F" w:rsidP="00317C1F">
      <w:pPr>
        <w:pStyle w:val="ParaNumbering"/>
      </w:pPr>
      <w:r w:rsidRPr="00ED2093">
        <w:t>Rule 12.2</w:t>
      </w:r>
      <w:r w:rsidR="00F5574C">
        <w:t>(1)</w:t>
      </w:r>
      <w:r w:rsidRPr="00ED2093">
        <w:t xml:space="preserve"> of the </w:t>
      </w:r>
      <w:r>
        <w:t>Insolvency Rules provide</w:t>
      </w:r>
      <w:r w:rsidR="004760FB">
        <w:t>d</w:t>
      </w:r>
      <w:r>
        <w:t xml:space="preserve"> that “</w:t>
      </w:r>
      <w:r w:rsidR="00847136">
        <w:t>[a]</w:t>
      </w:r>
      <w:proofErr w:type="spellStart"/>
      <w:r w:rsidRPr="00ED2093">
        <w:t>ll</w:t>
      </w:r>
      <w:proofErr w:type="spellEnd"/>
      <w:r w:rsidRPr="00ED2093">
        <w:t xml:space="preserve"> fees, costs, charges and other expenses incurred in the course of winding up, administration or bankruptcy proceedings are to be regarded as expenses of the winding up or the administration or, as the </w:t>
      </w:r>
      <w:r>
        <w:t>case may be, of the bankruptcy”.</w:t>
      </w:r>
    </w:p>
    <w:p w:rsidR="00317C1F" w:rsidRDefault="00317C1F" w:rsidP="00317C1F">
      <w:pPr>
        <w:pStyle w:val="ParaNumbering"/>
      </w:pPr>
      <w:r>
        <w:t>Rule 2.67(1) deal</w:t>
      </w:r>
      <w:r w:rsidR="00F5574C">
        <w:t>t</w:t>
      </w:r>
      <w:r>
        <w:t xml:space="preserve"> with the order of priority of expenses in an administration and relevantly provide</w:t>
      </w:r>
      <w:r w:rsidR="00847136">
        <w:t>d</w:t>
      </w:r>
      <w:r>
        <w:t xml:space="preserve"> that “</w:t>
      </w:r>
      <w:r w:rsidR="00847136">
        <w:t>[t]</w:t>
      </w:r>
      <w:r>
        <w:t xml:space="preserve">he expenses of the administration are payable in the following order of </w:t>
      </w:r>
      <w:r>
        <w:lastRenderedPageBreak/>
        <w:t>priority</w:t>
      </w:r>
      <w:r w:rsidR="00D07E88">
        <w:t>—</w:t>
      </w:r>
      <w:r w:rsidR="00847136">
        <w:t xml:space="preserve"> </w:t>
      </w:r>
      <w:r>
        <w:t>(a) expenses properly incurred by the administrator in performing his functions in the administration of the company</w:t>
      </w:r>
      <w:r w:rsidR="00847136">
        <w:t xml:space="preserve"> </w:t>
      </w:r>
      <w:r>
        <w:t>…”</w:t>
      </w:r>
    </w:p>
    <w:p w:rsidR="00317C1F" w:rsidRDefault="00317C1F" w:rsidP="00317C1F">
      <w:pPr>
        <w:pStyle w:val="ParaNumbering"/>
      </w:pPr>
      <w:r>
        <w:t>As to expenses in a liquidation, r 4.218 relevantly provide</w:t>
      </w:r>
      <w:r w:rsidR="00847136">
        <w:t>d</w:t>
      </w:r>
      <w:r>
        <w:t>:</w:t>
      </w:r>
    </w:p>
    <w:p w:rsidR="00317C1F" w:rsidRDefault="00847136" w:rsidP="00C24897">
      <w:pPr>
        <w:pStyle w:val="Quote1"/>
        <w:ind w:left="1440" w:hanging="703"/>
      </w:pPr>
      <w:r>
        <w:t>(1)</w:t>
      </w:r>
      <w:r>
        <w:tab/>
      </w:r>
      <w:r w:rsidR="00317C1F">
        <w:t>All fees, costs, charges and other expenses incurred in the course of the liquidation are to be regarded as expenses of the liquidation.</w:t>
      </w:r>
    </w:p>
    <w:p w:rsidR="00317C1F" w:rsidRDefault="00317C1F" w:rsidP="00317C1F">
      <w:pPr>
        <w:pStyle w:val="Quote1"/>
      </w:pPr>
      <w:r>
        <w:t>…</w:t>
      </w:r>
    </w:p>
    <w:p w:rsidR="00D07E88" w:rsidRDefault="00317C1F" w:rsidP="00317C1F">
      <w:pPr>
        <w:pStyle w:val="Quote1"/>
      </w:pPr>
      <w:r>
        <w:t>(3)</w:t>
      </w:r>
      <w:r w:rsidR="00D07E88">
        <w:tab/>
      </w:r>
      <w:r>
        <w:t xml:space="preserve">… the expenses are payable in the following order of priority— </w:t>
      </w:r>
    </w:p>
    <w:p w:rsidR="001C652A" w:rsidRDefault="00317C1F" w:rsidP="00C24897">
      <w:pPr>
        <w:pStyle w:val="Quote2"/>
      </w:pPr>
      <w:r>
        <w:t>(a)</w:t>
      </w:r>
      <w:r w:rsidR="00F26F61">
        <w:tab/>
      </w:r>
      <w:r>
        <w:t>expenses</w:t>
      </w:r>
      <w:r w:rsidR="001C652A">
        <w:t xml:space="preserve"> which—</w:t>
      </w:r>
      <w:r>
        <w:t xml:space="preserve"> </w:t>
      </w:r>
    </w:p>
    <w:p w:rsidR="001C652A" w:rsidRDefault="00317C1F" w:rsidP="00C24897">
      <w:pPr>
        <w:pStyle w:val="Quote3"/>
      </w:pPr>
      <w:r>
        <w:t xml:space="preserve">… </w:t>
      </w:r>
    </w:p>
    <w:p w:rsidR="00317C1F" w:rsidRDefault="00317C1F" w:rsidP="00C24897">
      <w:pPr>
        <w:pStyle w:val="Quote3"/>
        <w:ind w:left="2880" w:hanging="720"/>
      </w:pPr>
      <w:r>
        <w:t>(ii)</w:t>
      </w:r>
      <w:r w:rsidR="00F26F61">
        <w:tab/>
      </w:r>
      <w:r w:rsidR="001C652A">
        <w:t xml:space="preserve">are </w:t>
      </w:r>
      <w:r>
        <w:t>properly chargeable or incurred by the official receiver or the liquidator in preserving, realising or getting in any of the assets of the company or otherwise in the preparation or conduct of any legal proceedings … or in the preparation or conduct of any negotiations</w:t>
      </w:r>
      <w:r w:rsidR="00F26F61">
        <w:t xml:space="preserve"> </w:t>
      </w:r>
      <w:r>
        <w:t>…</w:t>
      </w:r>
    </w:p>
    <w:p w:rsidR="00317C1F" w:rsidRDefault="002845A0" w:rsidP="00317C1F">
      <w:pPr>
        <w:pStyle w:val="ParaNumbering"/>
      </w:pPr>
      <w:r>
        <w:t xml:space="preserve">The explanation for why </w:t>
      </w:r>
      <w:r w:rsidR="00317C1F" w:rsidRPr="00317C1F">
        <w:t xml:space="preserve">the rent payable in respect of the leased premises </w:t>
      </w:r>
      <w:r w:rsidR="00CF399E">
        <w:t>in this case</w:t>
      </w:r>
      <w:r w:rsidR="00317C1F" w:rsidRPr="00317C1F">
        <w:t xml:space="preserve"> is “an expense incurred” by the first plaintiffs “in carrying on the business” of the PAS Companies </w:t>
      </w:r>
      <w:r>
        <w:t>dates back to the 1870s</w:t>
      </w:r>
      <w:r w:rsidR="0020359E">
        <w:t xml:space="preserve">.  </w:t>
      </w:r>
    </w:p>
    <w:p w:rsidR="00487D6C" w:rsidRPr="00BD78D0" w:rsidRDefault="0020359E" w:rsidP="00317C1F">
      <w:pPr>
        <w:pStyle w:val="ParaNumbering"/>
      </w:pPr>
      <w:r w:rsidRPr="00BD78D0">
        <w:t xml:space="preserve">It is not necessary to recite that history </w:t>
      </w:r>
      <w:r w:rsidR="007A2513" w:rsidRPr="00BD78D0">
        <w:t>in detail</w:t>
      </w:r>
      <w:r w:rsidR="00F26F61" w:rsidRPr="00BD78D0">
        <w:t>,</w:t>
      </w:r>
      <w:r w:rsidR="007A2513" w:rsidRPr="00BD78D0">
        <w:t xml:space="preserve"> </w:t>
      </w:r>
      <w:r w:rsidRPr="00BD78D0">
        <w:t>bec</w:t>
      </w:r>
      <w:r w:rsidR="001C797E" w:rsidRPr="00BD78D0">
        <w:t xml:space="preserve">ause it </w:t>
      </w:r>
      <w:r w:rsidRPr="00BD78D0">
        <w:t xml:space="preserve">has been done by Lord Hoffmann </w:t>
      </w:r>
      <w:r w:rsidR="00CF399E" w:rsidRPr="00BD78D0">
        <w:t>(with whom Lords Woolf</w:t>
      </w:r>
      <w:r w:rsidR="00C74F7A" w:rsidRPr="00BD78D0">
        <w:t xml:space="preserve"> CJ</w:t>
      </w:r>
      <w:r w:rsidR="00CF399E" w:rsidRPr="00BD78D0">
        <w:t xml:space="preserve">, Hutton, </w:t>
      </w:r>
      <w:proofErr w:type="spellStart"/>
      <w:r w:rsidR="00CF399E" w:rsidRPr="00BD78D0">
        <w:t>Hobhouse</w:t>
      </w:r>
      <w:proofErr w:type="spellEnd"/>
      <w:r w:rsidR="00CF399E" w:rsidRPr="00BD78D0">
        <w:t xml:space="preserve"> and Rodger </w:t>
      </w:r>
      <w:r w:rsidR="00DE66BD" w:rsidRPr="00BD78D0">
        <w:t xml:space="preserve">agreed) </w:t>
      </w:r>
      <w:r w:rsidRPr="00BD78D0">
        <w:t xml:space="preserve">in </w:t>
      </w:r>
      <w:r w:rsidR="00AD12AB" w:rsidRPr="00C24897">
        <w:rPr>
          <w:i/>
        </w:rPr>
        <w:t>R</w:t>
      </w:r>
      <w:r w:rsidRPr="00BD78D0">
        <w:rPr>
          <w:i/>
        </w:rPr>
        <w:t>e Toshoku Finance UK plc</w:t>
      </w:r>
      <w:r w:rsidRPr="00BD78D0">
        <w:t xml:space="preserve"> [2002] UKHL 6; 1 WLR 671 and</w:t>
      </w:r>
      <w:r w:rsidR="00BD31EA" w:rsidRPr="00BD78D0">
        <w:t>,</w:t>
      </w:r>
      <w:r w:rsidRPr="00BD78D0">
        <w:t xml:space="preserve"> </w:t>
      </w:r>
      <w:r w:rsidR="007A2513" w:rsidRPr="00BD78D0">
        <w:t xml:space="preserve">more recently, and in even more detail, </w:t>
      </w:r>
      <w:r w:rsidR="00286725">
        <w:t xml:space="preserve">by </w:t>
      </w:r>
      <w:proofErr w:type="spellStart"/>
      <w:r w:rsidR="00286725">
        <w:t>Lewison</w:t>
      </w:r>
      <w:proofErr w:type="spellEnd"/>
      <w:r w:rsidR="00286725">
        <w:t> </w:t>
      </w:r>
      <w:r w:rsidRPr="00BD78D0">
        <w:t xml:space="preserve">LJ </w:t>
      </w:r>
      <w:r w:rsidR="00DE66BD" w:rsidRPr="00BD78D0">
        <w:t>(with whom Sharp and Patten L</w:t>
      </w:r>
      <w:r w:rsidR="00520D83" w:rsidRPr="00BD78D0">
        <w:t>JJ</w:t>
      </w:r>
      <w:r w:rsidR="00DE66BD" w:rsidRPr="00BD78D0">
        <w:t xml:space="preserve"> agreed) </w:t>
      </w:r>
      <w:r w:rsidRPr="00BD78D0">
        <w:t xml:space="preserve">in </w:t>
      </w:r>
      <w:r w:rsidRPr="00BD78D0">
        <w:rPr>
          <w:i/>
        </w:rPr>
        <w:t>Jervis v Pillar Denton Ltd</w:t>
      </w:r>
      <w:r w:rsidRPr="00BD78D0">
        <w:t xml:space="preserve"> [2015] </w:t>
      </w:r>
      <w:proofErr w:type="spellStart"/>
      <w:r w:rsidRPr="00BD78D0">
        <w:t>Ch</w:t>
      </w:r>
      <w:proofErr w:type="spellEnd"/>
      <w:r w:rsidRPr="00BD78D0">
        <w:t xml:space="preserve"> 87. </w:t>
      </w:r>
    </w:p>
    <w:p w:rsidR="00CF399E" w:rsidRDefault="00CF399E" w:rsidP="00317C1F">
      <w:pPr>
        <w:pStyle w:val="ParaNumbering"/>
      </w:pPr>
      <w:r>
        <w:t xml:space="preserve">It is sufficient for current purposes to set out what Lord Hoffmann said in </w:t>
      </w:r>
      <w:r w:rsidR="00AD12AB">
        <w:rPr>
          <w:i/>
        </w:rPr>
        <w:t>R</w:t>
      </w:r>
      <w:r w:rsidRPr="0020359E">
        <w:rPr>
          <w:i/>
        </w:rPr>
        <w:t>e Toshoku Finance UK plc</w:t>
      </w:r>
      <w:r w:rsidR="00F7494F">
        <w:t>,</w:t>
      </w:r>
      <w:r>
        <w:rPr>
          <w:i/>
        </w:rPr>
        <w:t xml:space="preserve"> </w:t>
      </w:r>
      <w:r>
        <w:t>in these passages</w:t>
      </w:r>
      <w:r w:rsidR="00F7494F">
        <w:t xml:space="preserve"> (at 679 [25]-[27])</w:t>
      </w:r>
      <w:r>
        <w:t>:</w:t>
      </w:r>
    </w:p>
    <w:p w:rsidR="00CF399E" w:rsidRDefault="00F74003" w:rsidP="00CF399E">
      <w:pPr>
        <w:pStyle w:val="Quote1"/>
      </w:pPr>
      <w:r>
        <w:t>… [D]</w:t>
      </w:r>
      <w:proofErr w:type="spellStart"/>
      <w:r w:rsidR="00CF399E">
        <w:t>ebts</w:t>
      </w:r>
      <w:proofErr w:type="spellEnd"/>
      <w:r w:rsidR="00CF399E">
        <w:t xml:space="preserve"> arising out of pre-liquidation contracts such as leases, whether they accrue before or after the liquidation, can and prima facie should be proved in the liquidation. In this respect they are crucially different from normal liquidation expenses, which are incurred after the liquidation date and cannot be proved for. In the </w:t>
      </w:r>
      <w:r w:rsidR="00CF399E" w:rsidRPr="00CF399E">
        <w:rPr>
          <w:i/>
        </w:rPr>
        <w:t xml:space="preserve">Lundy Granite Co </w:t>
      </w:r>
      <w:r w:rsidR="00CF399E" w:rsidRPr="00C24897">
        <w:t>case</w:t>
      </w:r>
      <w:r w:rsidR="00CF399E">
        <w:t xml:space="preserve"> LR 6 </w:t>
      </w:r>
      <w:proofErr w:type="spellStart"/>
      <w:r w:rsidR="00CF399E">
        <w:t>Ch</w:t>
      </w:r>
      <w:proofErr w:type="spellEnd"/>
      <w:r w:rsidR="00CF399E">
        <w:t xml:space="preserve"> App 462 the court was therefore exercising the discretion conferred by section 87 of the </w:t>
      </w:r>
      <w:r w:rsidR="002C734A">
        <w:t>[</w:t>
      </w:r>
      <w:r w:rsidR="002C734A">
        <w:rPr>
          <w:i/>
        </w:rPr>
        <w:t xml:space="preserve">Companies Act 1862 </w:t>
      </w:r>
      <w:r w:rsidR="002C734A">
        <w:t>(UK)]</w:t>
      </w:r>
      <w:r w:rsidR="00CF399E">
        <w:t xml:space="preserve"> to decide that, contrary to the normal </w:t>
      </w:r>
      <w:proofErr w:type="spellStart"/>
      <w:r w:rsidR="00CF399E">
        <w:t>pari</w:t>
      </w:r>
      <w:proofErr w:type="spellEnd"/>
      <w:r w:rsidR="00CF399E">
        <w:t xml:space="preserve"> </w:t>
      </w:r>
      <w:proofErr w:type="spellStart"/>
      <w:r w:rsidR="00CF399E">
        <w:t>passu</w:t>
      </w:r>
      <w:proofErr w:type="spellEnd"/>
      <w:r w:rsidR="00CF399E">
        <w:t xml:space="preserve"> rule, a creditor who had a debt which was capable of proof at the date of liquidation should be paid in priority to other creditors. What was the justification for the exercise of such a discretion?</w:t>
      </w:r>
    </w:p>
    <w:p w:rsidR="00CF399E" w:rsidRDefault="00CF399E" w:rsidP="00CF399E">
      <w:pPr>
        <w:pStyle w:val="Quote1"/>
      </w:pPr>
      <w:r>
        <w:t xml:space="preserve">A reason, or at any rate a rationalisation, was put forward by Lindley LJ, giving the judgment of the Court of Appeal in </w:t>
      </w:r>
      <w:r w:rsidRPr="00CF399E">
        <w:rPr>
          <w:i/>
        </w:rPr>
        <w:t>In re Oak Pits Colliery Co</w:t>
      </w:r>
      <w:r>
        <w:t xml:space="preserve"> (1882) 21 </w:t>
      </w:r>
      <w:proofErr w:type="spellStart"/>
      <w:r>
        <w:t>Ch</w:t>
      </w:r>
      <w:proofErr w:type="spellEnd"/>
      <w:r>
        <w:t xml:space="preserve"> D 322, 330: </w:t>
      </w:r>
    </w:p>
    <w:p w:rsidR="00CF399E" w:rsidRDefault="002C734A" w:rsidP="00CF399E">
      <w:pPr>
        <w:pStyle w:val="Quote2"/>
      </w:pPr>
      <w:r>
        <w:t>‘</w:t>
      </w:r>
      <w:r w:rsidR="00CF399E">
        <w:t xml:space="preserve">When the liquidator retains property for the purpose of advantageously </w:t>
      </w:r>
      <w:r w:rsidR="00CF399E">
        <w:lastRenderedPageBreak/>
        <w:t>disposing of it, or when he continues to use it, the rent of it ought to be regarded as a debt contracted for the purposes of winding up the company, and ought to be paid in full like any other debt or expense properly incurred by the liquidator for the same purpose …</w:t>
      </w:r>
      <w:r>
        <w:t>’</w:t>
      </w:r>
    </w:p>
    <w:p w:rsidR="00CF399E" w:rsidRDefault="00CF399E" w:rsidP="00CF399E">
      <w:pPr>
        <w:pStyle w:val="Quote1"/>
      </w:pPr>
      <w:r>
        <w:t>My Lords, it is important to notice Lindley LJ was not saying that the liability to pay rent had been incurred as an expense of the winding up. It plainly had not. The liability had been incurred by the company before the winding up for the whole term of the lease. Lindley LJ was saying that it would be just and equitable, in the circumstances to which he refers, to treat the rent liability</w:t>
      </w:r>
      <w:r w:rsidRPr="00C24897">
        <w:rPr>
          <w:i/>
        </w:rPr>
        <w:t xml:space="preserve"> as if </w:t>
      </w:r>
      <w:r>
        <w:t xml:space="preserve">it were an expense of the winding up and to accord it the same priority. The conditions under which a pre-liquidation creditor would be allowed to be paid in full were cautiously stated. Lindley LJ said, at p 329, that the landlord </w:t>
      </w:r>
      <w:r w:rsidR="004139BC">
        <w:t>‘</w:t>
      </w:r>
      <w:r>
        <w:t>must show why he should have such an advantage over the other creditors</w:t>
      </w:r>
      <w:r w:rsidR="004139BC">
        <w:t>’</w:t>
      </w:r>
      <w:r>
        <w:t>. It was not sufficient that the liquidator retained possession for the benefit of the estate if it was also for the benefit of the landlord. Not offering to surrender or simply doing nothing was not regarded as retaining possession for the benefit of the estate.</w:t>
      </w:r>
    </w:p>
    <w:p w:rsidR="00DD5383" w:rsidRDefault="00DD5383" w:rsidP="00CF399E">
      <w:pPr>
        <w:pStyle w:val="Quote1"/>
      </w:pPr>
      <w:r>
        <w:t>(Emphasis in original.)</w:t>
      </w:r>
    </w:p>
    <w:p w:rsidR="00ED2093" w:rsidRDefault="00D40090" w:rsidP="00CF399E">
      <w:pPr>
        <w:pStyle w:val="ParaNumbering"/>
      </w:pPr>
      <w:r>
        <w:t xml:space="preserve">The relevant </w:t>
      </w:r>
      <w:r w:rsidR="009B37C2">
        <w:t>principle</w:t>
      </w:r>
      <w:r w:rsidR="00CF399E">
        <w:t>,</w:t>
      </w:r>
      <w:r w:rsidR="009B37C2">
        <w:t xml:space="preserve"> </w:t>
      </w:r>
      <w:r w:rsidR="00CF399E" w:rsidRPr="00CF399E">
        <w:t xml:space="preserve">often referred to as the </w:t>
      </w:r>
      <w:r w:rsidR="00CF399E" w:rsidRPr="00833D32">
        <w:rPr>
          <w:i/>
        </w:rPr>
        <w:t>Lundy Granite</w:t>
      </w:r>
      <w:r w:rsidR="00CF399E" w:rsidRPr="00CF399E">
        <w:t xml:space="preserve"> principle</w:t>
      </w:r>
      <w:r w:rsidR="00833D32">
        <w:t>,</w:t>
      </w:r>
      <w:r w:rsidR="00CF399E" w:rsidRPr="00CF399E">
        <w:t xml:space="preserve"> or s</w:t>
      </w:r>
      <w:r w:rsidR="0047632B">
        <w:t xml:space="preserve">ometimes the </w:t>
      </w:r>
      <w:r w:rsidR="007A2513">
        <w:t>“</w:t>
      </w:r>
      <w:r w:rsidR="0047632B">
        <w:t>salvage</w:t>
      </w:r>
      <w:r w:rsidR="007A2513">
        <w:t>”</w:t>
      </w:r>
      <w:r w:rsidR="0047632B">
        <w:t xml:space="preserve"> principle or the </w:t>
      </w:r>
      <w:r w:rsidR="00292FB1">
        <w:t>“</w:t>
      </w:r>
      <w:r w:rsidR="00860F36">
        <w:t>liquidation</w:t>
      </w:r>
      <w:r w:rsidR="0047632B">
        <w:t xml:space="preserve"> expense” principle,</w:t>
      </w:r>
      <w:r w:rsidR="00292FB1">
        <w:t xml:space="preserve"> </w:t>
      </w:r>
      <w:r w:rsidR="00B028A5">
        <w:t xml:space="preserve">has its origins in applications </w:t>
      </w:r>
      <w:r w:rsidR="00CF399E">
        <w:t xml:space="preserve">relating to distress for rent, and relevantly for the purposes of this case may be stated as follows: </w:t>
      </w:r>
      <w:r>
        <w:t xml:space="preserve">where an administrator (or a liquidator) </w:t>
      </w:r>
      <w:r w:rsidR="009E2BA5">
        <w:t>elects to cause</w:t>
      </w:r>
      <w:r>
        <w:t xml:space="preserve"> the company to continue in occupation of leased premises for the purposes of the administration (or liquidation), </w:t>
      </w:r>
      <w:r w:rsidR="0063072E">
        <w:t xml:space="preserve">referred to in some cases as the period of “beneficial occupation”, </w:t>
      </w:r>
      <w:r>
        <w:t xml:space="preserve">the rent is payable as an expense of the </w:t>
      </w:r>
      <w:r w:rsidR="009E630B" w:rsidRPr="00F74003">
        <w:t xml:space="preserve">administration or </w:t>
      </w:r>
      <w:r w:rsidRPr="00F74003">
        <w:t>liquidation</w:t>
      </w:r>
      <w:r>
        <w:t xml:space="preserve"> properly incurred in carrying on the company’s business</w:t>
      </w:r>
      <w:r w:rsidR="00A26D47">
        <w:t xml:space="preserve"> within the relevant governing provisions (in Australia</w:t>
      </w:r>
      <w:r w:rsidR="0063072E">
        <w:t>,</w:t>
      </w:r>
      <w:r w:rsidR="00A26D47">
        <w:t xml:space="preserve"> s 556(1)(a) of the Act</w:t>
      </w:r>
      <w:r w:rsidR="00317C1F">
        <w:t xml:space="preserve">). </w:t>
      </w:r>
    </w:p>
    <w:p w:rsidR="009E2BA5" w:rsidRDefault="009E2BA5" w:rsidP="00ED2093">
      <w:pPr>
        <w:pStyle w:val="ParaNumbering"/>
      </w:pPr>
      <w:r>
        <w:t>Such an election is ordinarily evidenced by what the</w:t>
      </w:r>
      <w:r w:rsidR="004139BC">
        <w:t xml:space="preserve"> administrator or</w:t>
      </w:r>
      <w:r>
        <w:t xml:space="preserve"> liquidator has said and done.</w:t>
      </w:r>
    </w:p>
    <w:p w:rsidR="00837FC6" w:rsidRDefault="00837FC6" w:rsidP="00EC7ED3">
      <w:pPr>
        <w:pStyle w:val="ParaNumbering"/>
      </w:pPr>
      <w:r>
        <w:t xml:space="preserve">The principle is not limited to cases where an administrator or liquidator continues to occupy land, and may include, for example, a liability incurred </w:t>
      </w:r>
      <w:r w:rsidR="00EC7ED3">
        <w:t>for capital gains tax from the sale of property prior to liquidation or an election not to disclaim an ongoing contract for services</w:t>
      </w:r>
      <w:r w:rsidR="004139BC">
        <w:t>:</w:t>
      </w:r>
      <w:r w:rsidR="00EC7ED3">
        <w:t xml:space="preserve"> </w:t>
      </w:r>
      <w:r w:rsidR="004139BC">
        <w:t>s</w:t>
      </w:r>
      <w:r w:rsidR="00EC7ED3">
        <w:t xml:space="preserve">ee </w:t>
      </w:r>
      <w:proofErr w:type="spellStart"/>
      <w:r w:rsidR="00EC7ED3" w:rsidRPr="008425A5">
        <w:rPr>
          <w:i/>
        </w:rPr>
        <w:t>Grapecorp</w:t>
      </w:r>
      <w:proofErr w:type="spellEnd"/>
      <w:r w:rsidR="00EC7ED3" w:rsidRPr="008425A5">
        <w:rPr>
          <w:i/>
        </w:rPr>
        <w:t xml:space="preserve"> Management Pty Ltd (in </w:t>
      </w:r>
      <w:proofErr w:type="spellStart"/>
      <w:r w:rsidR="00EC7ED3" w:rsidRPr="008425A5">
        <w:rPr>
          <w:i/>
        </w:rPr>
        <w:t>liq</w:t>
      </w:r>
      <w:proofErr w:type="spellEnd"/>
      <w:r w:rsidR="00EC7ED3" w:rsidRPr="008425A5">
        <w:rPr>
          <w:i/>
        </w:rPr>
        <w:t>) v Grape Exchange Management Euston Pty Ltd</w:t>
      </w:r>
      <w:r w:rsidR="00EC7ED3" w:rsidRPr="008425A5">
        <w:t xml:space="preserve"> </w:t>
      </w:r>
      <w:r w:rsidR="004139BC" w:rsidRPr="008425A5">
        <w:t>[2012] VSC 112;</w:t>
      </w:r>
      <w:r w:rsidR="00EC7ED3" w:rsidRPr="008425A5">
        <w:t xml:space="preserve"> 265 FLR 33</w:t>
      </w:r>
      <w:r w:rsidR="00EC7ED3" w:rsidRPr="00EC7ED3">
        <w:t xml:space="preserve"> at</w:t>
      </w:r>
      <w:r w:rsidR="00EC7ED3">
        <w:t xml:space="preserve"> 53 [89] (</w:t>
      </w:r>
      <w:proofErr w:type="spellStart"/>
      <w:r w:rsidR="00EC7ED3">
        <w:t>S</w:t>
      </w:r>
      <w:r w:rsidR="009E2BA5">
        <w:t>ifris</w:t>
      </w:r>
      <w:proofErr w:type="spellEnd"/>
      <w:r w:rsidR="009E2BA5">
        <w:t xml:space="preserve"> J), citing </w:t>
      </w:r>
      <w:r w:rsidR="009E2BA5" w:rsidRPr="008425A5">
        <w:rPr>
          <w:i/>
        </w:rPr>
        <w:t xml:space="preserve">Re </w:t>
      </w:r>
      <w:proofErr w:type="spellStart"/>
      <w:r w:rsidR="009E2BA5" w:rsidRPr="008425A5">
        <w:rPr>
          <w:i/>
        </w:rPr>
        <w:t>Mesco</w:t>
      </w:r>
      <w:proofErr w:type="spellEnd"/>
      <w:r w:rsidR="009E2BA5" w:rsidRPr="008425A5">
        <w:rPr>
          <w:i/>
        </w:rPr>
        <w:t xml:space="preserve"> Properties Ltd</w:t>
      </w:r>
      <w:r w:rsidR="009E2BA5" w:rsidRPr="008425A5">
        <w:t xml:space="preserve"> [1979] 1 WLR 558</w:t>
      </w:r>
      <w:r w:rsidR="009E2BA5">
        <w:t xml:space="preserve">  (Brightman J) </w:t>
      </w:r>
      <w:r w:rsidR="00452E24">
        <w:t xml:space="preserve">in relation to capital gains tax </w:t>
      </w:r>
      <w:r w:rsidR="009E2BA5">
        <w:t xml:space="preserve">and </w:t>
      </w:r>
      <w:r w:rsidR="009E2BA5" w:rsidRPr="008425A5">
        <w:rPr>
          <w:i/>
        </w:rPr>
        <w:t>Re Mineral Resources Ltd</w:t>
      </w:r>
      <w:r w:rsidR="009E2BA5" w:rsidRPr="008425A5">
        <w:t xml:space="preserve"> </w:t>
      </w:r>
      <w:r w:rsidR="00452E24" w:rsidRPr="008425A5">
        <w:t>[1999] 1 All ER 746</w:t>
      </w:r>
      <w:r w:rsidR="00452E24">
        <w:t xml:space="preserve"> (Neuberger J, as he then was) in relation to an ongoing contract for services.</w:t>
      </w:r>
    </w:p>
    <w:p w:rsidR="002845A0" w:rsidRDefault="00B028A5" w:rsidP="00DE66BD">
      <w:pPr>
        <w:pStyle w:val="ParaNumbering"/>
      </w:pPr>
      <w:r>
        <w:t>Although the foundation of the principl</w:t>
      </w:r>
      <w:r w:rsidR="00942101">
        <w:t>e is the application of equity (</w:t>
      </w:r>
      <w:r w:rsidR="000F1338">
        <w:t xml:space="preserve">to avoid an administrator or liquidator being able to use leased premises for the benefit of </w:t>
      </w:r>
      <w:r w:rsidR="001C7A0C">
        <w:t xml:space="preserve">the </w:t>
      </w:r>
      <w:r w:rsidR="000F1338">
        <w:t>company for nothing</w:t>
      </w:r>
      <w:r w:rsidR="00942101">
        <w:t>)</w:t>
      </w:r>
      <w:r w:rsidR="001C7A0C">
        <w:t>,</w:t>
      </w:r>
      <w:r w:rsidR="00942101">
        <w:t xml:space="preserve"> </w:t>
      </w:r>
      <w:r>
        <w:t>it</w:t>
      </w:r>
      <w:r w:rsidR="001C7A0C">
        <w:t>s</w:t>
      </w:r>
      <w:r>
        <w:t xml:space="preserve"> </w:t>
      </w:r>
      <w:r w:rsidR="001C7A0C">
        <w:t xml:space="preserve">application </w:t>
      </w:r>
      <w:r>
        <w:t xml:space="preserve">nowadays </w:t>
      </w:r>
      <w:r w:rsidR="00A26D47">
        <w:t xml:space="preserve">is not a matter of discretion. </w:t>
      </w:r>
      <w:r>
        <w:t xml:space="preserve"> It is “a judge-made deeming provision under which the office holder is deemed to have incurred the liability in the course of the </w:t>
      </w:r>
      <w:r>
        <w:lastRenderedPageBreak/>
        <w:t>winding up or administration”</w:t>
      </w:r>
      <w:r w:rsidR="00DE66BD">
        <w:t xml:space="preserve">: </w:t>
      </w:r>
      <w:r w:rsidR="00DE66BD" w:rsidRPr="00DE66BD">
        <w:rPr>
          <w:i/>
        </w:rPr>
        <w:t>Jervis v Pillar Denton Ltd</w:t>
      </w:r>
      <w:r w:rsidR="00DE66BD" w:rsidRPr="00DE66BD">
        <w:t xml:space="preserve"> [2015] </w:t>
      </w:r>
      <w:proofErr w:type="spellStart"/>
      <w:r w:rsidR="00DE66BD" w:rsidRPr="00DE66BD">
        <w:t>Ch</w:t>
      </w:r>
      <w:proofErr w:type="spellEnd"/>
      <w:r w:rsidR="00DE66BD" w:rsidRPr="00DE66BD">
        <w:t xml:space="preserve"> 87</w:t>
      </w:r>
      <w:r w:rsidR="00DE66BD">
        <w:t xml:space="preserve"> at 114 [77]</w:t>
      </w:r>
      <w:r w:rsidR="00A90601">
        <w:t xml:space="preserve"> (</w:t>
      </w:r>
      <w:proofErr w:type="spellStart"/>
      <w:r w:rsidR="00A90601">
        <w:t>Lewison</w:t>
      </w:r>
      <w:proofErr w:type="spellEnd"/>
      <w:r w:rsidR="00A90601">
        <w:t> LJ</w:t>
      </w:r>
      <w:r w:rsidR="00B12281">
        <w:t>, with whom</w:t>
      </w:r>
      <w:r w:rsidR="00A90601">
        <w:t xml:space="preserve"> Sharp and Patten LJJ agree</w:t>
      </w:r>
      <w:r w:rsidR="00B12281">
        <w:t>d</w:t>
      </w:r>
      <w:r w:rsidR="00A90601">
        <w:t>)</w:t>
      </w:r>
      <w:r w:rsidR="00DE66BD">
        <w:t xml:space="preserve">.  </w:t>
      </w:r>
    </w:p>
    <w:p w:rsidR="009E2BA5" w:rsidRDefault="00DE66BD" w:rsidP="00B069F6">
      <w:pPr>
        <w:pStyle w:val="ParaNumbering"/>
      </w:pPr>
      <w:r>
        <w:t>The principle has been accepted in Australia in a number of single</w:t>
      </w:r>
      <w:r w:rsidR="00942101">
        <w:t xml:space="preserve"> instance decisions, including </w:t>
      </w:r>
      <w:r w:rsidR="0006483F" w:rsidRPr="008425A5">
        <w:rPr>
          <w:i/>
        </w:rPr>
        <w:t>Ansett Australia Ground Staff Superannuation Plan Pty Ltd v Ansett Australia Ltd</w:t>
      </w:r>
      <w:r w:rsidR="0006483F" w:rsidRPr="008425A5">
        <w:t xml:space="preserve"> </w:t>
      </w:r>
      <w:r w:rsidR="00A90601" w:rsidRPr="008425A5">
        <w:t>[2002] VSC 576;</w:t>
      </w:r>
      <w:r w:rsidR="0006483F" w:rsidRPr="008425A5">
        <w:t xml:space="preserve"> 174 FLR 1</w:t>
      </w:r>
      <w:r w:rsidR="0006483F">
        <w:t xml:space="preserve"> at 83-84 [307]-[308] (Warren J); </w:t>
      </w:r>
      <w:proofErr w:type="spellStart"/>
      <w:r w:rsidR="0006483F" w:rsidRPr="008425A5">
        <w:rPr>
          <w:i/>
        </w:rPr>
        <w:t>Timbercorp</w:t>
      </w:r>
      <w:proofErr w:type="spellEnd"/>
      <w:r w:rsidR="0006483F" w:rsidRPr="008425A5">
        <w:rPr>
          <w:i/>
        </w:rPr>
        <w:t xml:space="preserve"> Securities Ltd (in </w:t>
      </w:r>
      <w:proofErr w:type="spellStart"/>
      <w:r w:rsidR="0006483F" w:rsidRPr="008425A5">
        <w:rPr>
          <w:i/>
        </w:rPr>
        <w:t>liq</w:t>
      </w:r>
      <w:proofErr w:type="spellEnd"/>
      <w:r w:rsidR="0006483F" w:rsidRPr="008425A5">
        <w:rPr>
          <w:i/>
        </w:rPr>
        <w:t>) v Plantation Land Ltd</w:t>
      </w:r>
      <w:r w:rsidR="0006483F" w:rsidRPr="008425A5">
        <w:t xml:space="preserve"> </w:t>
      </w:r>
      <w:r w:rsidR="00386427" w:rsidRPr="008425A5">
        <w:t>[</w:t>
      </w:r>
      <w:r w:rsidR="0006483F" w:rsidRPr="008425A5">
        <w:t>2009</w:t>
      </w:r>
      <w:r w:rsidR="00386427" w:rsidRPr="008425A5">
        <w:t>] FCA 741;</w:t>
      </w:r>
      <w:r w:rsidR="0006483F" w:rsidRPr="008425A5">
        <w:t xml:space="preserve"> 72 ACSR 620</w:t>
      </w:r>
      <w:r w:rsidR="0006483F">
        <w:t xml:space="preserve"> at 624-625 [16]-[20] (Finkelstein J); </w:t>
      </w:r>
      <w:r w:rsidR="009E2BA5" w:rsidRPr="008425A5">
        <w:rPr>
          <w:i/>
        </w:rPr>
        <w:t>Australian Securities and Investment</w:t>
      </w:r>
      <w:r w:rsidR="00386427" w:rsidRPr="008425A5">
        <w:rPr>
          <w:i/>
        </w:rPr>
        <w:t>s</w:t>
      </w:r>
      <w:r w:rsidR="009E2BA5" w:rsidRPr="008425A5">
        <w:rPr>
          <w:i/>
        </w:rPr>
        <w:t xml:space="preserve"> Commission v </w:t>
      </w:r>
      <w:proofErr w:type="spellStart"/>
      <w:r w:rsidR="009E2BA5" w:rsidRPr="008425A5">
        <w:rPr>
          <w:i/>
        </w:rPr>
        <w:t>Letten</w:t>
      </w:r>
      <w:proofErr w:type="spellEnd"/>
      <w:r w:rsidR="009E2BA5" w:rsidRPr="008425A5">
        <w:rPr>
          <w:i/>
        </w:rPr>
        <w:t xml:space="preserve"> (No 13) </w:t>
      </w:r>
      <w:r w:rsidR="00386427" w:rsidRPr="008425A5">
        <w:t xml:space="preserve">[2011] FCA 1151; 86 </w:t>
      </w:r>
      <w:r w:rsidR="009E2BA5" w:rsidRPr="008425A5">
        <w:t>ACSR 174</w:t>
      </w:r>
      <w:r w:rsidR="009E2BA5">
        <w:t xml:space="preserve"> at 187-189 [47]-[52] (obiter, Gordon J); and</w:t>
      </w:r>
      <w:r w:rsidR="009E2BA5">
        <w:rPr>
          <w:i/>
        </w:rPr>
        <w:t xml:space="preserve"> </w:t>
      </w:r>
      <w:proofErr w:type="spellStart"/>
      <w:r w:rsidR="0006483F" w:rsidRPr="0006483F">
        <w:rPr>
          <w:i/>
        </w:rPr>
        <w:t>Grapecorp</w:t>
      </w:r>
      <w:proofErr w:type="spellEnd"/>
      <w:r w:rsidR="0006483F" w:rsidRPr="0006483F">
        <w:rPr>
          <w:i/>
        </w:rPr>
        <w:t xml:space="preserve"> Management Pty Ltd (in </w:t>
      </w:r>
      <w:proofErr w:type="spellStart"/>
      <w:r w:rsidR="0006483F" w:rsidRPr="0006483F">
        <w:rPr>
          <w:i/>
        </w:rPr>
        <w:t>liq</w:t>
      </w:r>
      <w:proofErr w:type="spellEnd"/>
      <w:r w:rsidR="0006483F" w:rsidRPr="0006483F">
        <w:rPr>
          <w:i/>
        </w:rPr>
        <w:t>) v Grape Exchange Management Euston Pty Ltd</w:t>
      </w:r>
      <w:r w:rsidR="0006483F" w:rsidRPr="0006483F">
        <w:t xml:space="preserve"> </w:t>
      </w:r>
      <w:r w:rsidR="00A83FF1">
        <w:t>[2012] VSC 112;</w:t>
      </w:r>
      <w:r w:rsidR="0006483F" w:rsidRPr="0006483F">
        <w:t xml:space="preserve"> 265 FLR 33</w:t>
      </w:r>
      <w:r w:rsidR="0006483F">
        <w:t xml:space="preserve"> at 51-52 [81]-[83] (</w:t>
      </w:r>
      <w:proofErr w:type="spellStart"/>
      <w:r w:rsidR="0006483F">
        <w:t>Sifris</w:t>
      </w:r>
      <w:proofErr w:type="spellEnd"/>
      <w:r w:rsidR="0006483F">
        <w:t xml:space="preserve"> J). </w:t>
      </w:r>
      <w:r w:rsidR="008162AA">
        <w:t xml:space="preserve"> </w:t>
      </w:r>
      <w:r w:rsidR="00B069F6">
        <w:t>(</w:t>
      </w:r>
      <w:r w:rsidR="009E2BA5">
        <w:t xml:space="preserve">The principle and reasoning in </w:t>
      </w:r>
      <w:r w:rsidR="00B12281">
        <w:rPr>
          <w:i/>
        </w:rPr>
        <w:t>Lundy Granite</w:t>
      </w:r>
      <w:r w:rsidR="00B12281">
        <w:t>,</w:t>
      </w:r>
      <w:r w:rsidR="009E2BA5">
        <w:t xml:space="preserve"> </w:t>
      </w:r>
      <w:r w:rsidR="00317C1F">
        <w:t>and the 19</w:t>
      </w:r>
      <w:r w:rsidR="00B12281" w:rsidRPr="00C24897">
        <w:t>th</w:t>
      </w:r>
      <w:r w:rsidR="00317C1F">
        <w:t xml:space="preserve"> century English cases following and further explaining it, were</w:t>
      </w:r>
      <w:r w:rsidR="009E2BA5">
        <w:t xml:space="preserve"> also </w:t>
      </w:r>
      <w:r w:rsidR="00317C1F">
        <w:t xml:space="preserve">adopted by the High Court in the bankruptcy context in </w:t>
      </w:r>
      <w:r w:rsidR="00317C1F" w:rsidRPr="008425A5">
        <w:rPr>
          <w:i/>
        </w:rPr>
        <w:t>Carson v Humphreys</w:t>
      </w:r>
      <w:r w:rsidR="00317C1F" w:rsidRPr="008425A5">
        <w:t xml:space="preserve"> (193</w:t>
      </w:r>
      <w:r w:rsidR="00B12281" w:rsidRPr="008425A5">
        <w:t>1</w:t>
      </w:r>
      <w:r w:rsidR="00317C1F" w:rsidRPr="008425A5">
        <w:t>) 44 CLR 480</w:t>
      </w:r>
      <w:r w:rsidR="00317C1F">
        <w:t xml:space="preserve"> (</w:t>
      </w:r>
      <w:r w:rsidR="008809A0">
        <w:t xml:space="preserve">per </w:t>
      </w:r>
      <w:r w:rsidR="00317C1F">
        <w:t>Dixon J,</w:t>
      </w:r>
      <w:r w:rsidR="00B3004C">
        <w:t xml:space="preserve"> with whom</w:t>
      </w:r>
      <w:r w:rsidR="00317C1F">
        <w:t xml:space="preserve"> Gavan Duffy CJ</w:t>
      </w:r>
      <w:r w:rsidR="008809A0">
        <w:t>, Evatt</w:t>
      </w:r>
      <w:r w:rsidR="00317C1F">
        <w:t xml:space="preserve"> and Starke </w:t>
      </w:r>
      <w:r w:rsidR="008809A0">
        <w:t>J</w:t>
      </w:r>
      <w:r w:rsidR="00B3004C">
        <w:t>J agreed</w:t>
      </w:r>
      <w:r w:rsidR="00D153EA">
        <w:t>;</w:t>
      </w:r>
      <w:r w:rsidR="00317C1F">
        <w:t xml:space="preserve"> </w:t>
      </w:r>
      <w:proofErr w:type="spellStart"/>
      <w:r w:rsidR="00317C1F">
        <w:t>McTiernan</w:t>
      </w:r>
      <w:proofErr w:type="spellEnd"/>
      <w:r w:rsidR="00317C1F">
        <w:t xml:space="preserve"> J to similar effect).</w:t>
      </w:r>
      <w:r w:rsidR="00BE38CA">
        <w:t>)</w:t>
      </w:r>
    </w:p>
    <w:p w:rsidR="00B069F6" w:rsidRDefault="00B069F6" w:rsidP="00CB7CE0">
      <w:pPr>
        <w:pStyle w:val="ParaNumbering"/>
      </w:pPr>
      <w:r>
        <w:t xml:space="preserve">The administrators cited </w:t>
      </w:r>
      <w:r w:rsidR="00CB7CE0">
        <w:t xml:space="preserve">two cases – </w:t>
      </w:r>
      <w:r w:rsidR="00CB7CE0" w:rsidRPr="008425A5">
        <w:rPr>
          <w:i/>
        </w:rPr>
        <w:t>Strawbridge (Administrator), in the matter of CBCH Group Pty Ltd (Administrators Appointed) (No 2)</w:t>
      </w:r>
      <w:r w:rsidR="00CB7CE0" w:rsidRPr="008425A5">
        <w:t xml:space="preserve"> [2020] FCA 472</w:t>
      </w:r>
      <w:r w:rsidR="00CB7CE0" w:rsidRPr="00CB7CE0">
        <w:t xml:space="preserve"> </w:t>
      </w:r>
      <w:r w:rsidR="00CB7CE0">
        <w:t>at [51] and [63] (Markovic</w:t>
      </w:r>
      <w:r w:rsidR="00BC4262">
        <w:t> </w:t>
      </w:r>
      <w:r w:rsidR="00CB7CE0">
        <w:t xml:space="preserve">J) and </w:t>
      </w:r>
      <w:r w:rsidR="00CB7CE0" w:rsidRPr="008425A5">
        <w:rPr>
          <w:i/>
        </w:rPr>
        <w:t xml:space="preserve">Re </w:t>
      </w:r>
      <w:proofErr w:type="spellStart"/>
      <w:r w:rsidR="00CB7CE0" w:rsidRPr="008425A5">
        <w:rPr>
          <w:i/>
        </w:rPr>
        <w:t>Gunns</w:t>
      </w:r>
      <w:proofErr w:type="spellEnd"/>
      <w:r w:rsidR="00CB7CE0" w:rsidRPr="008425A5">
        <w:rPr>
          <w:i/>
        </w:rPr>
        <w:t xml:space="preserve"> Plantations </w:t>
      </w:r>
      <w:r w:rsidR="00BC4262" w:rsidRPr="008425A5">
        <w:rPr>
          <w:i/>
        </w:rPr>
        <w:t xml:space="preserve">Ltd </w:t>
      </w:r>
      <w:r w:rsidR="00CB7CE0" w:rsidRPr="008425A5">
        <w:rPr>
          <w:i/>
        </w:rPr>
        <w:t>(No 1)</w:t>
      </w:r>
      <w:r w:rsidR="00CB7CE0" w:rsidRPr="008425A5">
        <w:t xml:space="preserve"> [2012] VSC 655</w:t>
      </w:r>
      <w:r w:rsidR="00CB7CE0">
        <w:t xml:space="preserve"> at </w:t>
      </w:r>
      <w:r w:rsidR="00292FB1">
        <w:t xml:space="preserve">[146] </w:t>
      </w:r>
      <w:r w:rsidR="00CB7CE0">
        <w:t xml:space="preserve">(Robson J) – for the proposition that in each case the court </w:t>
      </w:r>
      <w:r w:rsidR="00CB7CE0" w:rsidRPr="00CB7CE0">
        <w:t>proceeded on t</w:t>
      </w:r>
      <w:r w:rsidR="00E45735">
        <w:t>he basis that a claim for stand</w:t>
      </w:r>
      <w:r w:rsidR="00CB7CE0" w:rsidRPr="00CB7CE0">
        <w:t>still period rent</w:t>
      </w:r>
      <w:r w:rsidR="00CB7CE0">
        <w:t xml:space="preserve"> would be “u</w:t>
      </w:r>
      <w:r w:rsidR="00EF3184">
        <w:t xml:space="preserve">nsecured”.  But that </w:t>
      </w:r>
      <w:r w:rsidR="00CB7CE0">
        <w:t xml:space="preserve">goes nowhere.  First, the point was not the subject of argument in either case, and secondly, and more importantly, neither case </w:t>
      </w:r>
      <w:r w:rsidR="007A2513">
        <w:t xml:space="preserve">mentioned, let alone </w:t>
      </w:r>
      <w:r w:rsidR="00CB7CE0">
        <w:t>dealt with</w:t>
      </w:r>
      <w:r w:rsidR="007A2513">
        <w:t>,</w:t>
      </w:r>
      <w:r w:rsidR="00CB7CE0">
        <w:t xml:space="preserve"> the </w:t>
      </w:r>
      <w:r w:rsidR="007A2513">
        <w:t>question</w:t>
      </w:r>
      <w:r w:rsidR="00CB7CE0">
        <w:t xml:space="preserve"> where such a claim would rank</w:t>
      </w:r>
      <w:r w:rsidR="00EA6D9B">
        <w:t xml:space="preserve"> in a liquidation</w:t>
      </w:r>
      <w:r w:rsidR="00CB7CE0">
        <w:t>.</w:t>
      </w:r>
    </w:p>
    <w:p w:rsidR="0005413E" w:rsidRDefault="00053E6E" w:rsidP="00C6183A">
      <w:pPr>
        <w:pStyle w:val="ParaNumbering"/>
      </w:pPr>
      <w:r>
        <w:t>In this case, there can</w:t>
      </w:r>
      <w:r w:rsidR="006B18A5">
        <w:t xml:space="preserve"> be</w:t>
      </w:r>
      <w:r>
        <w:t xml:space="preserve"> no doubt that the leased properties were properly used </w:t>
      </w:r>
      <w:r w:rsidR="0040676A">
        <w:t xml:space="preserve">in carrying on </w:t>
      </w:r>
      <w:r>
        <w:t>the companies’</w:t>
      </w:r>
      <w:r w:rsidR="007A2513">
        <w:t xml:space="preserve"> businesses (or</w:t>
      </w:r>
      <w:r w:rsidR="00C6183A">
        <w:t xml:space="preserve"> </w:t>
      </w:r>
      <w:r w:rsidR="00C6183A" w:rsidRPr="00C6183A">
        <w:t xml:space="preserve">in preserving, realising or getting in </w:t>
      </w:r>
      <w:r w:rsidR="00C6183A">
        <w:t>the</w:t>
      </w:r>
      <w:r w:rsidR="00024955">
        <w:t>ir</w:t>
      </w:r>
      <w:r w:rsidR="00C6183A">
        <w:t xml:space="preserve"> </w:t>
      </w:r>
      <w:r w:rsidR="00C6183A" w:rsidRPr="00C6183A">
        <w:t>property</w:t>
      </w:r>
      <w:r w:rsidR="00C6183A">
        <w:t>).</w:t>
      </w:r>
    </w:p>
    <w:p w:rsidR="00C6183A" w:rsidRDefault="00C6183A" w:rsidP="00C6183A">
      <w:pPr>
        <w:pStyle w:val="ParaNumbering"/>
      </w:pPr>
      <w:r w:rsidRPr="00C6183A">
        <w:t xml:space="preserve">During the </w:t>
      </w:r>
      <w:r w:rsidR="00E45735">
        <w:t>stand</w:t>
      </w:r>
      <w:r>
        <w:t>still period, and as Mr Longley deposed, the a</w:t>
      </w:r>
      <w:r w:rsidRPr="00C6183A">
        <w:t>dministrators made the decision to ac</w:t>
      </w:r>
      <w:r>
        <w:t>tively trade the PAS Companies “on a ‘</w:t>
      </w:r>
      <w:r w:rsidRPr="00C6183A">
        <w:t>b</w:t>
      </w:r>
      <w:r>
        <w:t>usiness as usual’</w:t>
      </w:r>
      <w:r w:rsidR="00601F44">
        <w:t xml:space="preserve"> basis</w:t>
      </w:r>
      <w:r w:rsidRPr="00C6183A">
        <w:t xml:space="preserve"> so that [they could] </w:t>
      </w:r>
      <w:r w:rsidR="007C074E">
        <w:t>explore the options available to</w:t>
      </w:r>
      <w:r w:rsidRPr="00C6183A">
        <w:t xml:space="preserve"> maximise the</w:t>
      </w:r>
      <w:r>
        <w:t xml:space="preserve"> prospects of the PAS Companies’</w:t>
      </w:r>
      <w:r w:rsidRPr="00C6183A">
        <w:t xml:space="preserve"> business continuing in existence via a going concern sale or a </w:t>
      </w:r>
      <w:r>
        <w:t>deed of company arrangem</w:t>
      </w:r>
      <w:r w:rsidR="007A2513">
        <w:t xml:space="preserve">ent”.  As </w:t>
      </w:r>
      <w:r w:rsidR="00F74003">
        <w:t>Mr Longley</w:t>
      </w:r>
      <w:r w:rsidR="007A2513">
        <w:t xml:space="preserve"> also deposed, the a</w:t>
      </w:r>
      <w:r>
        <w:t xml:space="preserve">dministrators chose to trade actively from 24 of the 26 premises subject to the </w:t>
      </w:r>
      <w:proofErr w:type="spellStart"/>
      <w:r>
        <w:t>Scentre</w:t>
      </w:r>
      <w:proofErr w:type="spellEnd"/>
      <w:r>
        <w:t xml:space="preserve"> leases, and from all but eight of the PAS Companies’ 161 leased premises</w:t>
      </w:r>
      <w:r w:rsidR="007A2513">
        <w:t xml:space="preserve">, and by doing so </w:t>
      </w:r>
      <w:r>
        <w:t>generated</w:t>
      </w:r>
      <w:r w:rsidR="00477259">
        <w:t xml:space="preserve"> over $7m</w:t>
      </w:r>
      <w:r>
        <w:t xml:space="preserve"> in revenue.</w:t>
      </w:r>
      <w:r w:rsidR="00EF3184">
        <w:t xml:space="preserve"> </w:t>
      </w:r>
    </w:p>
    <w:p w:rsidR="00C6183A" w:rsidRPr="00C6183A" w:rsidRDefault="004E44F7" w:rsidP="00C6183A">
      <w:pPr>
        <w:pStyle w:val="ParaNumbering"/>
      </w:pPr>
      <w:r>
        <w:t>It is thus self-evident in respect of the premises from which trading was conducted (that is, almost all of them) that</w:t>
      </w:r>
      <w:r w:rsidR="00C6183A">
        <w:t xml:space="preserve"> the administrators elected</w:t>
      </w:r>
      <w:r w:rsidR="00C6183A" w:rsidRPr="00C6183A">
        <w:t xml:space="preserve"> to cause the company to continue in </w:t>
      </w:r>
      <w:r w:rsidR="00C6183A" w:rsidRPr="00C6183A">
        <w:lastRenderedPageBreak/>
        <w:t xml:space="preserve">occupation of </w:t>
      </w:r>
      <w:r>
        <w:t xml:space="preserve">those </w:t>
      </w:r>
      <w:r w:rsidR="00C6183A" w:rsidRPr="00C6183A">
        <w:t>leased premises for the purposes of the administration</w:t>
      </w:r>
      <w:r w:rsidR="00C6183A">
        <w:t xml:space="preserve">. </w:t>
      </w:r>
      <w:r w:rsidR="00B069F6">
        <w:t xml:space="preserve"> It follows that in any </w:t>
      </w:r>
      <w:r w:rsidR="00B069F6" w:rsidRPr="00C012E3">
        <w:t xml:space="preserve">liquidation </w:t>
      </w:r>
      <w:r w:rsidR="00292FB1">
        <w:t xml:space="preserve">of the PAS Companies </w:t>
      </w:r>
      <w:r w:rsidR="00B069F6" w:rsidRPr="00C012E3">
        <w:t xml:space="preserve">the </w:t>
      </w:r>
      <w:r>
        <w:t>stand</w:t>
      </w:r>
      <w:r w:rsidR="00B069F6">
        <w:t xml:space="preserve">still </w:t>
      </w:r>
      <w:r w:rsidR="00D06F05">
        <w:t xml:space="preserve">period </w:t>
      </w:r>
      <w:r w:rsidR="00B069F6">
        <w:t xml:space="preserve">rent would be payable as an expense </w:t>
      </w:r>
      <w:r w:rsidR="00B069F6" w:rsidRPr="00C012E3">
        <w:t>properly incurred in carrying on</w:t>
      </w:r>
      <w:r w:rsidR="00B069F6">
        <w:t xml:space="preserve"> the business of </w:t>
      </w:r>
      <w:r w:rsidR="00292FB1">
        <w:t xml:space="preserve">the </w:t>
      </w:r>
      <w:r w:rsidR="00B069F6">
        <w:t>PAS Companies within the meaning of s 556(1)(a) of the Act.</w:t>
      </w:r>
    </w:p>
    <w:p w:rsidR="002E2416" w:rsidRDefault="00B069F6" w:rsidP="002E2416">
      <w:pPr>
        <w:pStyle w:val="ParaNumbering"/>
      </w:pPr>
      <w:r>
        <w:t>On the assumption that I reached that conclusion (as I do)</w:t>
      </w:r>
      <w:r w:rsidR="00AE2148">
        <w:t>,</w:t>
      </w:r>
      <w:r>
        <w:t xml:space="preserve"> the administrators</w:t>
      </w:r>
      <w:r w:rsidR="00C012E3">
        <w:t xml:space="preserve"> </w:t>
      </w:r>
      <w:r>
        <w:t xml:space="preserve">seek </w:t>
      </w:r>
      <w:r w:rsidR="00C012E3">
        <w:t>an order</w:t>
      </w:r>
      <w:r w:rsidR="002E2416">
        <w:t xml:space="preserve"> </w:t>
      </w:r>
      <w:r w:rsidR="002E2416" w:rsidRPr="002E2416">
        <w:t xml:space="preserve">pursuant to s 447A and </w:t>
      </w:r>
      <w:proofErr w:type="spellStart"/>
      <w:r w:rsidR="00AE2148">
        <w:t>Sch</w:t>
      </w:r>
      <w:proofErr w:type="spellEnd"/>
      <w:r w:rsidR="00AE2148">
        <w:t xml:space="preserve"> 2 </w:t>
      </w:r>
      <w:r w:rsidR="002E2416" w:rsidRPr="002E2416">
        <w:t>s 90-15 of the Act t</w:t>
      </w:r>
      <w:r w:rsidR="002E2416">
        <w:t>hat P</w:t>
      </w:r>
      <w:r w:rsidR="00611AB7">
        <w:t>t</w:t>
      </w:r>
      <w:r w:rsidR="002E2416">
        <w:t xml:space="preserve"> 5.3A of the Act is to “operate”</w:t>
      </w:r>
      <w:r w:rsidR="002E2416" w:rsidRPr="002E2416">
        <w:t xml:space="preserve"> in relation to the PAS Companies as if rent in respect of the </w:t>
      </w:r>
      <w:r w:rsidR="00611AB7">
        <w:t xml:space="preserve">standstill </w:t>
      </w:r>
      <w:r w:rsidR="002E2416" w:rsidRPr="002E2416">
        <w:t>period is not an expense incurred by the administrators in carrying on the PAS Companies</w:t>
      </w:r>
      <w:r w:rsidR="00611AB7">
        <w:t>’</w:t>
      </w:r>
      <w:r w:rsidR="002E2416" w:rsidRPr="002E2416">
        <w:t xml:space="preserve"> business, within the meaning of s 556(1)(a) of the Act.  </w:t>
      </w:r>
    </w:p>
    <w:p w:rsidR="00E20A65" w:rsidRDefault="00E20A65" w:rsidP="00E20A65">
      <w:pPr>
        <w:pStyle w:val="ParaNumbering"/>
      </w:pPr>
      <w:r>
        <w:t xml:space="preserve">I decline to make such an order.  </w:t>
      </w:r>
      <w:r w:rsidRPr="00E20A65">
        <w:t>No justification is given for why the landlords should be deprived of the priority they would othe</w:t>
      </w:r>
      <w:r>
        <w:t>rwise have through the operation of the Act, according to orthodox principles.</w:t>
      </w:r>
      <w:r w:rsidR="0063072E">
        <w:t xml:space="preserve">  On the contrary, as </w:t>
      </w:r>
      <w:proofErr w:type="spellStart"/>
      <w:r w:rsidR="0063072E">
        <w:t>Lewison</w:t>
      </w:r>
      <w:proofErr w:type="spellEnd"/>
      <w:r w:rsidR="0063072E">
        <w:t xml:space="preserve"> LJ said in </w:t>
      </w:r>
      <w:r w:rsidR="0063072E" w:rsidRPr="00DE66BD">
        <w:rPr>
          <w:i/>
        </w:rPr>
        <w:t>Jervis v Pillar Denton Ltd</w:t>
      </w:r>
      <w:r w:rsidR="0063072E" w:rsidRPr="00DE66BD">
        <w:t xml:space="preserve"> [2015] </w:t>
      </w:r>
      <w:proofErr w:type="spellStart"/>
      <w:r w:rsidR="0063072E" w:rsidRPr="00DE66BD">
        <w:t>Ch</w:t>
      </w:r>
      <w:proofErr w:type="spellEnd"/>
      <w:r w:rsidR="0063072E" w:rsidRPr="00DE66BD">
        <w:t xml:space="preserve"> 87</w:t>
      </w:r>
      <w:r w:rsidR="0063072E">
        <w:t xml:space="preserve"> at 115 [82], the </w:t>
      </w:r>
      <w:r w:rsidR="0063072E" w:rsidRPr="0063072E">
        <w:rPr>
          <w:i/>
        </w:rPr>
        <w:t>Lundy Granite</w:t>
      </w:r>
      <w:r w:rsidR="0063072E">
        <w:t xml:space="preserve"> principle “is framed by reference to the period during which the company uses the landlord’s property to its own advantage” and “[</w:t>
      </w:r>
      <w:proofErr w:type="spellStart"/>
      <w:r w:rsidR="0063072E">
        <w:t>i</w:t>
      </w:r>
      <w:proofErr w:type="spellEnd"/>
      <w:r w:rsidR="0063072E">
        <w:t xml:space="preserve">]t is in those circumstances that common sense and ordinary justice require the court to see that the landlord is paid”. </w:t>
      </w:r>
    </w:p>
    <w:p w:rsidR="00E20A65" w:rsidRDefault="00E20A65" w:rsidP="00E20A65">
      <w:pPr>
        <w:pStyle w:val="Heading2"/>
      </w:pPr>
      <w:r>
        <w:t>Disposition</w:t>
      </w:r>
    </w:p>
    <w:p w:rsidR="0020359E" w:rsidRDefault="00E20A65" w:rsidP="00EA6D9B">
      <w:pPr>
        <w:pStyle w:val="ParaNumbering"/>
      </w:pPr>
      <w:r>
        <w:t xml:space="preserve">The parties agreed that the question </w:t>
      </w:r>
      <w:r w:rsidR="006D1DBA">
        <w:t>of fashioning</w:t>
      </w:r>
      <w:r>
        <w:t xml:space="preserve"> any declaratory relief </w:t>
      </w:r>
      <w:r w:rsidR="006D1DBA">
        <w:t xml:space="preserve">should be determined after publication of these reasons.  </w:t>
      </w:r>
      <w:r w:rsidR="004E44F7">
        <w:t xml:space="preserve">To that end, </w:t>
      </w:r>
      <w:r w:rsidR="006D1DBA">
        <w:t>a further</w:t>
      </w:r>
      <w:r w:rsidR="004E44F7">
        <w:t xml:space="preserve"> hearing will be convened</w:t>
      </w:r>
      <w:r w:rsidR="00F74003">
        <w:t xml:space="preserve"> shortly</w:t>
      </w:r>
      <w:r w:rsidR="004E44F7">
        <w:t xml:space="preserve">, after the parties have considered these reasons. </w:t>
      </w:r>
    </w:p>
    <w:p w:rsidR="00BD78D0" w:rsidRDefault="00BD78D0" w:rsidP="00815065">
      <w:pPr>
        <w:pStyle w:val="BodyText"/>
      </w:pPr>
      <w:bookmarkStart w:id="22" w:name="Certification"/>
    </w:p>
    <w:tbl>
      <w:tblPr>
        <w:tblW w:w="0" w:type="auto"/>
        <w:tblLook w:val="04A0" w:firstRow="1" w:lastRow="0" w:firstColumn="1" w:lastColumn="0" w:noHBand="0" w:noVBand="1"/>
      </w:tblPr>
      <w:tblGrid>
        <w:gridCol w:w="3794"/>
      </w:tblGrid>
      <w:tr w:rsidR="00BD78D0" w:rsidRPr="00BD78D0">
        <w:tc>
          <w:tcPr>
            <w:tcW w:w="3794" w:type="dxa"/>
            <w:shd w:val="clear" w:color="auto" w:fill="auto"/>
          </w:tcPr>
          <w:p w:rsidR="00BD78D0" w:rsidRPr="00BD78D0" w:rsidRDefault="00BD78D0" w:rsidP="00AE12F4">
            <w:pPr>
              <w:spacing w:line="240" w:lineRule="auto"/>
            </w:pPr>
            <w:r w:rsidRPr="00BD78D0">
              <w:t xml:space="preserve">I certify that the preceding </w:t>
            </w:r>
            <w:bookmarkStart w:id="23" w:name="NumberWord"/>
            <w:r>
              <w:t>forty-four</w:t>
            </w:r>
            <w:bookmarkEnd w:id="23"/>
            <w:r w:rsidRPr="00BD78D0">
              <w:t xml:space="preserve"> (</w:t>
            </w:r>
            <w:bookmarkStart w:id="24" w:name="NumberNumeral"/>
            <w:r>
              <w:t>44</w:t>
            </w:r>
            <w:bookmarkEnd w:id="24"/>
            <w:r w:rsidRPr="00BD78D0">
              <w:t xml:space="preserve">) numbered </w:t>
            </w:r>
            <w:bookmarkStart w:id="25" w:name="CertPara"/>
            <w:r>
              <w:t>paragraphs are</w:t>
            </w:r>
            <w:bookmarkEnd w:id="25"/>
            <w:r w:rsidRPr="00BD78D0">
              <w:t xml:space="preserve"> a true copy of the Reasons for Judgment herein of the Honourable </w:t>
            </w:r>
            <w:bookmarkStart w:id="26" w:name="Justice"/>
            <w:r w:rsidR="006320CC">
              <w:t>Justice O’</w:t>
            </w:r>
            <w:r>
              <w:t>Callaghan</w:t>
            </w:r>
            <w:bookmarkEnd w:id="26"/>
            <w:r w:rsidRPr="00BD78D0">
              <w:t>.</w:t>
            </w:r>
          </w:p>
        </w:tc>
      </w:tr>
    </w:tbl>
    <w:p w:rsidR="00BD78D0" w:rsidRDefault="00BD78D0" w:rsidP="00815065">
      <w:pPr>
        <w:pStyle w:val="BodyText"/>
      </w:pPr>
    </w:p>
    <w:p w:rsidR="00BD78D0" w:rsidRDefault="00BD78D0" w:rsidP="00815065">
      <w:pPr>
        <w:pStyle w:val="BodyText"/>
      </w:pPr>
      <w:r>
        <w:t>Associate:</w:t>
      </w:r>
      <w:r w:rsidR="00D2334C">
        <w:tab/>
      </w:r>
      <w:bookmarkStart w:id="27" w:name="_GoBack"/>
      <w:bookmarkEnd w:id="27"/>
    </w:p>
    <w:p w:rsidR="00BD78D0" w:rsidRDefault="00BD78D0" w:rsidP="00815065">
      <w:pPr>
        <w:pStyle w:val="BodyText"/>
      </w:pPr>
    </w:p>
    <w:p w:rsidR="00BD78D0" w:rsidRDefault="00BD78D0" w:rsidP="00C24897">
      <w:pPr>
        <w:pStyle w:val="BodyText"/>
        <w:tabs>
          <w:tab w:val="left" w:pos="1134"/>
        </w:tabs>
      </w:pPr>
      <w:r>
        <w:t>Dated:</w:t>
      </w:r>
      <w:r>
        <w:tab/>
      </w:r>
      <w:bookmarkStart w:id="28" w:name="CertifyDated"/>
      <w:r>
        <w:t>21 July 2020</w:t>
      </w:r>
      <w:bookmarkEnd w:id="22"/>
      <w:bookmarkEnd w:id="28"/>
    </w:p>
    <w:p w:rsidR="001B4A1C" w:rsidRDefault="001B4A1C" w:rsidP="001B4A1C">
      <w:pPr>
        <w:pStyle w:val="BodyText"/>
        <w:sectPr w:rsidR="001B4A1C">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1B4A1C" w:rsidRPr="00CD498A" w:rsidRDefault="001B4A1C" w:rsidP="00E91A0F">
      <w:pPr>
        <w:pStyle w:val="NormalHeadings"/>
        <w:spacing w:before="180" w:line="480" w:lineRule="auto"/>
        <w:jc w:val="center"/>
        <w:rPr>
          <w:sz w:val="28"/>
          <w:szCs w:val="28"/>
        </w:rPr>
      </w:pPr>
      <w:bookmarkStart w:id="29" w:name="SOP_Section"/>
      <w:r w:rsidRPr="00CD498A">
        <w:rPr>
          <w:sz w:val="28"/>
          <w:szCs w:val="28"/>
        </w:rPr>
        <w:lastRenderedPageBreak/>
        <w:t>SCHEDULE OF PARTIES</w:t>
      </w:r>
    </w:p>
    <w:p w:rsidR="001B4A1C" w:rsidRPr="00663089" w:rsidRDefault="001B4A1C" w:rsidP="00F26F61">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1B4A1C" w:rsidTr="001B4A1C">
        <w:tc>
          <w:tcPr>
            <w:tcW w:w="3368" w:type="dxa"/>
          </w:tcPr>
          <w:p w:rsidR="001B4A1C" w:rsidRDefault="001B4A1C" w:rsidP="00F26F61">
            <w:pPr>
              <w:pStyle w:val="NormalHeadings"/>
              <w:jc w:val="left"/>
              <w:rPr>
                <w:caps/>
                <w:szCs w:val="24"/>
              </w:rPr>
            </w:pPr>
          </w:p>
        </w:tc>
        <w:tc>
          <w:tcPr>
            <w:tcW w:w="5874" w:type="dxa"/>
          </w:tcPr>
          <w:p w:rsidR="001B4A1C" w:rsidRDefault="00C21B7B" w:rsidP="00F26F61">
            <w:pPr>
              <w:pStyle w:val="NormalHeadings"/>
              <w:jc w:val="right"/>
            </w:pPr>
            <w:fldSimple w:instr=" REF  FileNo " w:fldLock="1">
              <w:r w:rsidR="001B4A1C">
                <w:t>VID 432 of 2020</w:t>
              </w:r>
            </w:fldSimple>
          </w:p>
        </w:tc>
      </w:tr>
      <w:tr w:rsidR="001B4A1C" w:rsidTr="001B4A1C">
        <w:trPr>
          <w:trHeight w:val="386"/>
        </w:trPr>
        <w:tc>
          <w:tcPr>
            <w:tcW w:w="3368" w:type="dxa"/>
          </w:tcPr>
          <w:p w:rsidR="001B4A1C" w:rsidRDefault="001B4A1C" w:rsidP="00F26F61">
            <w:pPr>
              <w:pStyle w:val="BodyTextBold"/>
              <w:spacing w:before="180"/>
              <w:jc w:val="left"/>
            </w:pPr>
            <w:bookmarkStart w:id="30" w:name="SOP_ApplicantsRows" w:colFirst="0" w:colLast="1"/>
            <w:r>
              <w:t>Plaintiffs</w:t>
            </w:r>
          </w:p>
        </w:tc>
        <w:tc>
          <w:tcPr>
            <w:tcW w:w="5874" w:type="dxa"/>
            <w:tcMar>
              <w:left w:w="28" w:type="dxa"/>
            </w:tcMar>
          </w:tcPr>
          <w:p w:rsidR="001B4A1C" w:rsidRDefault="001B4A1C" w:rsidP="00F26F61">
            <w:pPr>
              <w:pStyle w:val="BodyText"/>
              <w:jc w:val="left"/>
            </w:pPr>
          </w:p>
        </w:tc>
      </w:tr>
      <w:tr w:rsidR="001B4A1C" w:rsidTr="001B4A1C">
        <w:trPr>
          <w:trHeight w:val="386"/>
        </w:trPr>
        <w:tc>
          <w:tcPr>
            <w:tcW w:w="3368" w:type="dxa"/>
          </w:tcPr>
          <w:p w:rsidR="001B4A1C" w:rsidRDefault="001B4A1C" w:rsidP="00F26F61">
            <w:pPr>
              <w:pStyle w:val="BodyText"/>
              <w:spacing w:after="240" w:line="240" w:lineRule="auto"/>
              <w:jc w:val="left"/>
            </w:pPr>
            <w:bookmarkStart w:id="31" w:name="SOP_FirstApplicant"/>
            <w:bookmarkEnd w:id="31"/>
            <w:r>
              <w:t>Fourth Plaintiff:</w:t>
            </w:r>
          </w:p>
        </w:tc>
        <w:tc>
          <w:tcPr>
            <w:tcW w:w="5874" w:type="dxa"/>
            <w:tcMar>
              <w:left w:w="28" w:type="dxa"/>
            </w:tcMar>
          </w:tcPr>
          <w:p w:rsidR="001B4A1C" w:rsidRDefault="001B4A1C" w:rsidP="00F26F61">
            <w:pPr>
              <w:pStyle w:val="BodyText"/>
              <w:spacing w:after="240" w:line="240" w:lineRule="auto"/>
              <w:jc w:val="left"/>
            </w:pPr>
            <w:r>
              <w:t>BLACK PEPPER BRANDS PTY LIMITED (ADMINISTRATORS APPOINTED) ACN 112 065 559</w:t>
            </w:r>
          </w:p>
        </w:tc>
      </w:tr>
      <w:tr w:rsidR="001B4A1C" w:rsidTr="001B4A1C">
        <w:trPr>
          <w:trHeight w:val="386"/>
        </w:trPr>
        <w:tc>
          <w:tcPr>
            <w:tcW w:w="3368" w:type="dxa"/>
          </w:tcPr>
          <w:p w:rsidR="001B4A1C" w:rsidRDefault="001B4A1C" w:rsidP="00F26F61">
            <w:pPr>
              <w:pStyle w:val="BodyText"/>
              <w:spacing w:after="240" w:line="240" w:lineRule="auto"/>
              <w:jc w:val="left"/>
            </w:pPr>
            <w:r>
              <w:t>Fifth Plaintiff:</w:t>
            </w:r>
          </w:p>
        </w:tc>
        <w:tc>
          <w:tcPr>
            <w:tcW w:w="5874" w:type="dxa"/>
            <w:tcMar>
              <w:left w:w="28" w:type="dxa"/>
            </w:tcMar>
          </w:tcPr>
          <w:p w:rsidR="001B4A1C" w:rsidRDefault="001B4A1C" w:rsidP="00F26F61">
            <w:pPr>
              <w:pStyle w:val="BodyText"/>
              <w:spacing w:after="240" w:line="240" w:lineRule="auto"/>
              <w:jc w:val="left"/>
            </w:pPr>
            <w:r>
              <w:t>BONDI BATHER PTY LIMITED (ADMINISTRATORS APPOINTED) ACN 620 985 864</w:t>
            </w:r>
          </w:p>
        </w:tc>
      </w:tr>
      <w:tr w:rsidR="001B4A1C" w:rsidTr="001B4A1C">
        <w:trPr>
          <w:trHeight w:val="386"/>
        </w:trPr>
        <w:tc>
          <w:tcPr>
            <w:tcW w:w="3368" w:type="dxa"/>
          </w:tcPr>
          <w:p w:rsidR="001B4A1C" w:rsidRDefault="001B4A1C" w:rsidP="00F26F61">
            <w:pPr>
              <w:pStyle w:val="BodyText"/>
              <w:spacing w:after="240" w:line="240" w:lineRule="auto"/>
              <w:jc w:val="left"/>
            </w:pPr>
            <w:r>
              <w:t>Sixth Plaintiff:</w:t>
            </w:r>
          </w:p>
        </w:tc>
        <w:tc>
          <w:tcPr>
            <w:tcW w:w="5874" w:type="dxa"/>
            <w:tcMar>
              <w:left w:w="28" w:type="dxa"/>
            </w:tcMar>
          </w:tcPr>
          <w:p w:rsidR="001B4A1C" w:rsidRDefault="001B4A1C" w:rsidP="00F26F61">
            <w:pPr>
              <w:pStyle w:val="BodyText"/>
              <w:spacing w:after="240" w:line="240" w:lineRule="auto"/>
              <w:jc w:val="left"/>
            </w:pPr>
            <w:r>
              <w:t>CHESTNUT APPAREL PTY LIMITED (ADMINISTRATORS APPOINTED) ACN 112 091 522</w:t>
            </w:r>
          </w:p>
        </w:tc>
      </w:tr>
      <w:tr w:rsidR="001B4A1C" w:rsidTr="001B4A1C">
        <w:trPr>
          <w:trHeight w:val="386"/>
        </w:trPr>
        <w:tc>
          <w:tcPr>
            <w:tcW w:w="3368" w:type="dxa"/>
          </w:tcPr>
          <w:p w:rsidR="001B4A1C" w:rsidRDefault="001B4A1C" w:rsidP="00F26F61">
            <w:pPr>
              <w:pStyle w:val="BodyText"/>
              <w:spacing w:after="240" w:line="240" w:lineRule="auto"/>
              <w:jc w:val="left"/>
            </w:pPr>
            <w:r>
              <w:t>Seventh Plaintiff:</w:t>
            </w:r>
          </w:p>
        </w:tc>
        <w:tc>
          <w:tcPr>
            <w:tcW w:w="5874" w:type="dxa"/>
            <w:tcMar>
              <w:left w:w="28" w:type="dxa"/>
            </w:tcMar>
          </w:tcPr>
          <w:p w:rsidR="001B4A1C" w:rsidRDefault="001B4A1C" w:rsidP="00F26F61">
            <w:pPr>
              <w:pStyle w:val="BodyText"/>
              <w:spacing w:after="240" w:line="240" w:lineRule="auto"/>
              <w:jc w:val="left"/>
            </w:pPr>
            <w:r>
              <w:t>DESIGNWORKS CLOTHING COMPANY PTY LIMITED (ADMINISTRATORS APPOINTED) ACN 117 343 807</w:t>
            </w:r>
          </w:p>
        </w:tc>
      </w:tr>
      <w:tr w:rsidR="001B4A1C" w:rsidTr="001B4A1C">
        <w:trPr>
          <w:trHeight w:val="386"/>
        </w:trPr>
        <w:tc>
          <w:tcPr>
            <w:tcW w:w="3368" w:type="dxa"/>
          </w:tcPr>
          <w:p w:rsidR="001B4A1C" w:rsidRDefault="001B4A1C" w:rsidP="00F26F61">
            <w:pPr>
              <w:pStyle w:val="BodyText"/>
              <w:spacing w:after="240" w:line="240" w:lineRule="auto"/>
              <w:jc w:val="left"/>
            </w:pPr>
            <w:r>
              <w:t>Eighth Plaintiff:</w:t>
            </w:r>
          </w:p>
        </w:tc>
        <w:tc>
          <w:tcPr>
            <w:tcW w:w="5874" w:type="dxa"/>
            <w:tcMar>
              <w:left w:w="28" w:type="dxa"/>
            </w:tcMar>
          </w:tcPr>
          <w:p w:rsidR="001B4A1C" w:rsidRDefault="001B4A1C" w:rsidP="00F26F61">
            <w:pPr>
              <w:pStyle w:val="BodyText"/>
              <w:spacing w:after="240" w:line="240" w:lineRule="auto"/>
              <w:jc w:val="left"/>
            </w:pPr>
            <w:r>
              <w:t>DESIGNWORKS HOLDINGS PTY LIMITED (ADMINISTRATORS APPOINTED) ACN 113 900 057</w:t>
            </w:r>
          </w:p>
        </w:tc>
      </w:tr>
      <w:tr w:rsidR="001B4A1C" w:rsidTr="001B4A1C">
        <w:trPr>
          <w:trHeight w:val="386"/>
        </w:trPr>
        <w:tc>
          <w:tcPr>
            <w:tcW w:w="3368" w:type="dxa"/>
          </w:tcPr>
          <w:p w:rsidR="001B4A1C" w:rsidRDefault="001B4A1C" w:rsidP="00F26F61">
            <w:pPr>
              <w:pStyle w:val="BodyText"/>
              <w:spacing w:after="240" w:line="240" w:lineRule="auto"/>
              <w:jc w:val="left"/>
            </w:pPr>
            <w:r>
              <w:t>Ninth Plaintiff:</w:t>
            </w:r>
          </w:p>
        </w:tc>
        <w:tc>
          <w:tcPr>
            <w:tcW w:w="5874" w:type="dxa"/>
            <w:tcMar>
              <w:left w:w="28" w:type="dxa"/>
            </w:tcMar>
          </w:tcPr>
          <w:p w:rsidR="001B4A1C" w:rsidRDefault="001B4A1C" w:rsidP="00F26F61">
            <w:pPr>
              <w:pStyle w:val="BodyText"/>
              <w:spacing w:after="240" w:line="240" w:lineRule="auto"/>
              <w:jc w:val="left"/>
            </w:pPr>
            <w:r>
              <w:t>FIORELLI LICENSING PTY LIMITED (ADMINISTRATORS APPOINTED) ACN 122 295 827</w:t>
            </w:r>
          </w:p>
        </w:tc>
      </w:tr>
      <w:tr w:rsidR="001B4A1C" w:rsidTr="001B4A1C">
        <w:trPr>
          <w:trHeight w:val="386"/>
        </w:trPr>
        <w:tc>
          <w:tcPr>
            <w:tcW w:w="3368" w:type="dxa"/>
          </w:tcPr>
          <w:p w:rsidR="001B4A1C" w:rsidRDefault="001B4A1C" w:rsidP="00F26F61">
            <w:pPr>
              <w:pStyle w:val="BodyText"/>
              <w:spacing w:after="240" w:line="240" w:lineRule="auto"/>
              <w:jc w:val="left"/>
            </w:pPr>
            <w:r>
              <w:t>Tenth Plaintiff:</w:t>
            </w:r>
          </w:p>
        </w:tc>
        <w:tc>
          <w:tcPr>
            <w:tcW w:w="5874" w:type="dxa"/>
            <w:tcMar>
              <w:left w:w="28" w:type="dxa"/>
            </w:tcMar>
          </w:tcPr>
          <w:p w:rsidR="001B4A1C" w:rsidRDefault="001B4A1C" w:rsidP="00F26F61">
            <w:pPr>
              <w:pStyle w:val="BodyText"/>
              <w:spacing w:after="240" w:line="240" w:lineRule="auto"/>
              <w:jc w:val="left"/>
            </w:pPr>
            <w:r>
              <w:t xml:space="preserve">JETS SWIMWEAR PTY LIMITED (ADMINISTRATORS APPOINTED) ACN 068 819 581 </w:t>
            </w:r>
          </w:p>
        </w:tc>
      </w:tr>
      <w:tr w:rsidR="001B4A1C" w:rsidTr="001B4A1C">
        <w:trPr>
          <w:trHeight w:val="386"/>
        </w:trPr>
        <w:tc>
          <w:tcPr>
            <w:tcW w:w="3368" w:type="dxa"/>
          </w:tcPr>
          <w:p w:rsidR="001B4A1C" w:rsidRDefault="001B4A1C" w:rsidP="00F26F61">
            <w:pPr>
              <w:pStyle w:val="BodyText"/>
              <w:spacing w:after="240" w:line="240" w:lineRule="auto"/>
              <w:jc w:val="left"/>
            </w:pPr>
            <w:r>
              <w:t>Eleventh Plaintiff:</w:t>
            </w:r>
          </w:p>
        </w:tc>
        <w:tc>
          <w:tcPr>
            <w:tcW w:w="5874" w:type="dxa"/>
            <w:tcMar>
              <w:left w:w="28" w:type="dxa"/>
            </w:tcMar>
          </w:tcPr>
          <w:p w:rsidR="001B4A1C" w:rsidRDefault="001B4A1C" w:rsidP="00F26F61">
            <w:pPr>
              <w:pStyle w:val="BodyText"/>
              <w:spacing w:after="240" w:line="240" w:lineRule="auto"/>
              <w:jc w:val="left"/>
            </w:pPr>
            <w:r>
              <w:t>METPAS PTY LTD (ADMINISTRATORS APPOINTED) ACN 127 957 653</w:t>
            </w:r>
          </w:p>
        </w:tc>
      </w:tr>
      <w:tr w:rsidR="001B4A1C" w:rsidTr="001B4A1C">
        <w:trPr>
          <w:trHeight w:val="386"/>
        </w:trPr>
        <w:tc>
          <w:tcPr>
            <w:tcW w:w="3368" w:type="dxa"/>
          </w:tcPr>
          <w:p w:rsidR="001B4A1C" w:rsidRDefault="001B4A1C" w:rsidP="00F26F61">
            <w:pPr>
              <w:pStyle w:val="BodyText"/>
              <w:spacing w:after="240" w:line="240" w:lineRule="auto"/>
              <w:jc w:val="left"/>
            </w:pPr>
            <w:r>
              <w:t>Twelfth Plaintiff:</w:t>
            </w:r>
          </w:p>
        </w:tc>
        <w:tc>
          <w:tcPr>
            <w:tcW w:w="5874" w:type="dxa"/>
            <w:tcMar>
              <w:left w:w="28" w:type="dxa"/>
            </w:tcMar>
          </w:tcPr>
          <w:p w:rsidR="001B4A1C" w:rsidRDefault="001B4A1C" w:rsidP="00F26F61">
            <w:pPr>
              <w:pStyle w:val="BodyText"/>
              <w:spacing w:after="240" w:line="240" w:lineRule="auto"/>
              <w:jc w:val="left"/>
            </w:pPr>
            <w:r>
              <w:t>PAS FINANCE PTY LTD (ADMINISTRATORS APPOINTED) ACN 169 478 291</w:t>
            </w:r>
          </w:p>
        </w:tc>
      </w:tr>
      <w:tr w:rsidR="001B4A1C" w:rsidTr="001B4A1C">
        <w:trPr>
          <w:trHeight w:val="386"/>
        </w:trPr>
        <w:tc>
          <w:tcPr>
            <w:tcW w:w="3368" w:type="dxa"/>
          </w:tcPr>
          <w:p w:rsidR="001B4A1C" w:rsidRDefault="001B4A1C" w:rsidP="00F26F61">
            <w:pPr>
              <w:pStyle w:val="BodyText"/>
              <w:spacing w:after="240" w:line="240" w:lineRule="auto"/>
              <w:jc w:val="left"/>
            </w:pPr>
            <w:r>
              <w:t>Thirteenth Plaintiff:</w:t>
            </w:r>
          </w:p>
        </w:tc>
        <w:tc>
          <w:tcPr>
            <w:tcW w:w="5874" w:type="dxa"/>
            <w:tcMar>
              <w:left w:w="28" w:type="dxa"/>
            </w:tcMar>
          </w:tcPr>
          <w:p w:rsidR="001B4A1C" w:rsidRDefault="001B4A1C" w:rsidP="00F26F61">
            <w:pPr>
              <w:pStyle w:val="BodyText"/>
              <w:spacing w:after="240" w:line="240" w:lineRule="auto"/>
              <w:jc w:val="left"/>
            </w:pPr>
            <w:r>
              <w:t>PASCO GROUP PTY LTD (ADMINISTRATORS APPOINTED) ACN 117 244 943</w:t>
            </w:r>
          </w:p>
        </w:tc>
      </w:tr>
      <w:tr w:rsidR="001B4A1C" w:rsidTr="001B4A1C">
        <w:trPr>
          <w:trHeight w:val="386"/>
        </w:trPr>
        <w:tc>
          <w:tcPr>
            <w:tcW w:w="3368" w:type="dxa"/>
          </w:tcPr>
          <w:p w:rsidR="001B4A1C" w:rsidRDefault="001B4A1C" w:rsidP="00F26F61">
            <w:pPr>
              <w:pStyle w:val="BodyText"/>
              <w:spacing w:after="240" w:line="240" w:lineRule="auto"/>
              <w:jc w:val="left"/>
            </w:pPr>
            <w:r>
              <w:t>Fourteenth Plaintiff:</w:t>
            </w:r>
          </w:p>
        </w:tc>
        <w:tc>
          <w:tcPr>
            <w:tcW w:w="5874" w:type="dxa"/>
            <w:tcMar>
              <w:left w:w="28" w:type="dxa"/>
            </w:tcMar>
          </w:tcPr>
          <w:p w:rsidR="001B4A1C" w:rsidRDefault="001B4A1C" w:rsidP="00F26F61">
            <w:pPr>
              <w:pStyle w:val="BodyText"/>
              <w:spacing w:after="240" w:line="240" w:lineRule="auto"/>
              <w:jc w:val="left"/>
            </w:pPr>
            <w:r>
              <w:t>PASCO OPERATIONS PTY LTD (ADMINISTRATORS APPOINTED) ACN 112 078 547</w:t>
            </w:r>
          </w:p>
        </w:tc>
      </w:tr>
      <w:tr w:rsidR="001B4A1C" w:rsidTr="001B4A1C">
        <w:trPr>
          <w:trHeight w:val="386"/>
        </w:trPr>
        <w:tc>
          <w:tcPr>
            <w:tcW w:w="3368" w:type="dxa"/>
          </w:tcPr>
          <w:p w:rsidR="001B4A1C" w:rsidRDefault="001B4A1C" w:rsidP="00F26F61">
            <w:pPr>
              <w:pStyle w:val="BodyText"/>
              <w:spacing w:after="240" w:line="240" w:lineRule="auto"/>
              <w:jc w:val="left"/>
            </w:pPr>
            <w:r>
              <w:t>Fifteenth Plaintiff:</w:t>
            </w:r>
          </w:p>
        </w:tc>
        <w:tc>
          <w:tcPr>
            <w:tcW w:w="5874" w:type="dxa"/>
            <w:tcMar>
              <w:left w:w="28" w:type="dxa"/>
            </w:tcMar>
          </w:tcPr>
          <w:p w:rsidR="001B4A1C" w:rsidRDefault="001B4A1C" w:rsidP="00F26F61">
            <w:pPr>
              <w:pStyle w:val="BodyText"/>
              <w:spacing w:after="240" w:line="240" w:lineRule="auto"/>
              <w:jc w:val="left"/>
            </w:pPr>
            <w:r>
              <w:t>REVIEW AUSTRALIA PTY LIMITED (ADMINISTRATORS APPOINTED) ACN 122 295 836</w:t>
            </w:r>
          </w:p>
        </w:tc>
      </w:tr>
      <w:tr w:rsidR="001B4A1C" w:rsidTr="001B4A1C">
        <w:trPr>
          <w:trHeight w:val="386"/>
        </w:trPr>
        <w:tc>
          <w:tcPr>
            <w:tcW w:w="3368" w:type="dxa"/>
          </w:tcPr>
          <w:p w:rsidR="001B4A1C" w:rsidRDefault="001B4A1C" w:rsidP="00F26F61">
            <w:pPr>
              <w:pStyle w:val="BodyText"/>
              <w:spacing w:after="240" w:line="240" w:lineRule="auto"/>
              <w:jc w:val="left"/>
            </w:pPr>
            <w:r>
              <w:t>Sixteenth Plaintiff:</w:t>
            </w:r>
          </w:p>
        </w:tc>
        <w:tc>
          <w:tcPr>
            <w:tcW w:w="5874" w:type="dxa"/>
            <w:tcMar>
              <w:left w:w="28" w:type="dxa"/>
            </w:tcMar>
          </w:tcPr>
          <w:p w:rsidR="001B4A1C" w:rsidRDefault="001B4A1C" w:rsidP="00F26F61">
            <w:pPr>
              <w:pStyle w:val="BodyText"/>
              <w:spacing w:after="240" w:line="240" w:lineRule="auto"/>
              <w:jc w:val="left"/>
            </w:pPr>
            <w:r>
              <w:t>THE CAPELLE GROUP PTY LIMITED (ADMINISTRATORS APPOINTED) ACN 121 867 641</w:t>
            </w:r>
          </w:p>
        </w:tc>
      </w:tr>
      <w:tr w:rsidR="001B4A1C" w:rsidTr="001B4A1C">
        <w:trPr>
          <w:trHeight w:val="386"/>
        </w:trPr>
        <w:tc>
          <w:tcPr>
            <w:tcW w:w="3368" w:type="dxa"/>
          </w:tcPr>
          <w:p w:rsidR="001B4A1C" w:rsidRDefault="001B4A1C" w:rsidP="00F26F61">
            <w:pPr>
              <w:pStyle w:val="BodyText"/>
              <w:spacing w:after="240" w:line="240" w:lineRule="auto"/>
              <w:jc w:val="left"/>
            </w:pPr>
            <w:r>
              <w:t>Seventeenth Plaintiff:</w:t>
            </w:r>
          </w:p>
        </w:tc>
        <w:tc>
          <w:tcPr>
            <w:tcW w:w="5874" w:type="dxa"/>
            <w:tcMar>
              <w:left w:w="28" w:type="dxa"/>
            </w:tcMar>
          </w:tcPr>
          <w:p w:rsidR="001B4A1C" w:rsidRDefault="001B4A1C" w:rsidP="00F26F61">
            <w:pPr>
              <w:pStyle w:val="BodyText"/>
              <w:spacing w:after="240" w:line="240" w:lineRule="auto"/>
              <w:jc w:val="left"/>
            </w:pPr>
            <w:r>
              <w:t>THE HOPKINS GROUP AUST PTY LIMITED (ADMINISTRATORS APPOINTED) ACN 119 023 273</w:t>
            </w:r>
          </w:p>
        </w:tc>
      </w:tr>
      <w:tr w:rsidR="001B4A1C" w:rsidTr="001B4A1C">
        <w:trPr>
          <w:trHeight w:val="386"/>
        </w:trPr>
        <w:tc>
          <w:tcPr>
            <w:tcW w:w="3368" w:type="dxa"/>
          </w:tcPr>
          <w:p w:rsidR="001B4A1C" w:rsidRDefault="001B4A1C" w:rsidP="00F26F61">
            <w:pPr>
              <w:pStyle w:val="BodyText"/>
              <w:spacing w:after="240" w:line="240" w:lineRule="auto"/>
              <w:jc w:val="left"/>
            </w:pPr>
            <w:r>
              <w:lastRenderedPageBreak/>
              <w:t>Eighteenth Plaintiff:</w:t>
            </w:r>
          </w:p>
        </w:tc>
        <w:tc>
          <w:tcPr>
            <w:tcW w:w="5874" w:type="dxa"/>
            <w:tcMar>
              <w:left w:w="28" w:type="dxa"/>
            </w:tcMar>
          </w:tcPr>
          <w:p w:rsidR="001B4A1C" w:rsidRDefault="001B4A1C" w:rsidP="00F26F61">
            <w:pPr>
              <w:pStyle w:val="BodyText"/>
              <w:spacing w:after="240" w:line="240" w:lineRule="auto"/>
              <w:jc w:val="left"/>
            </w:pPr>
            <w:r>
              <w:t>WORLD BRANDS PTY LTD (ADMINISTRATORS APPOINTED) ACN 075 219 135</w:t>
            </w:r>
          </w:p>
        </w:tc>
      </w:tr>
      <w:tr w:rsidR="001B4A1C" w:rsidTr="001B4A1C">
        <w:trPr>
          <w:trHeight w:val="386"/>
        </w:trPr>
        <w:tc>
          <w:tcPr>
            <w:tcW w:w="3368" w:type="dxa"/>
          </w:tcPr>
          <w:p w:rsidR="001B4A1C" w:rsidRDefault="001B4A1C" w:rsidP="00F26F61">
            <w:pPr>
              <w:pStyle w:val="BodyText"/>
              <w:spacing w:after="240" w:line="240" w:lineRule="auto"/>
              <w:jc w:val="left"/>
            </w:pPr>
            <w:r>
              <w:t>Nineteenth Plaintiff:</w:t>
            </w:r>
          </w:p>
        </w:tc>
        <w:tc>
          <w:tcPr>
            <w:tcW w:w="5874" w:type="dxa"/>
            <w:tcMar>
              <w:left w:w="28" w:type="dxa"/>
            </w:tcMar>
          </w:tcPr>
          <w:p w:rsidR="001B4A1C" w:rsidRDefault="001B4A1C" w:rsidP="00F26F61">
            <w:pPr>
              <w:pStyle w:val="BodyText"/>
              <w:spacing w:after="240" w:line="240" w:lineRule="auto"/>
              <w:jc w:val="left"/>
            </w:pPr>
            <w:r>
              <w:t>YARRA TRAIL HOLDINGS PTY LIMITED (ADMINISTRATORS APPOINTED) ACN 110 901 561</w:t>
            </w:r>
          </w:p>
        </w:tc>
      </w:tr>
      <w:tr w:rsidR="001B4A1C" w:rsidTr="001B4A1C">
        <w:trPr>
          <w:trHeight w:val="386"/>
        </w:trPr>
        <w:tc>
          <w:tcPr>
            <w:tcW w:w="3368" w:type="dxa"/>
          </w:tcPr>
          <w:p w:rsidR="001B4A1C" w:rsidRDefault="001B4A1C" w:rsidP="00F26F61">
            <w:pPr>
              <w:pStyle w:val="BodyText"/>
              <w:spacing w:after="240" w:line="240" w:lineRule="auto"/>
              <w:jc w:val="left"/>
            </w:pPr>
            <w:r>
              <w:t>Twentieth Plaintiff:</w:t>
            </w:r>
          </w:p>
        </w:tc>
        <w:tc>
          <w:tcPr>
            <w:tcW w:w="5874" w:type="dxa"/>
            <w:tcMar>
              <w:left w:w="28" w:type="dxa"/>
            </w:tcMar>
          </w:tcPr>
          <w:p w:rsidR="001B4A1C" w:rsidRDefault="001B4A1C" w:rsidP="00F26F61">
            <w:pPr>
              <w:pStyle w:val="BodyText"/>
              <w:spacing w:after="240" w:line="240" w:lineRule="auto"/>
              <w:jc w:val="left"/>
            </w:pPr>
            <w:r>
              <w:t>YARRA TRAIL PTY LIMITED (ADMINISTRATORS APPOINTED) ACN 110 902 102</w:t>
            </w:r>
          </w:p>
        </w:tc>
      </w:tr>
      <w:bookmarkEnd w:id="30"/>
    </w:tbl>
    <w:p w:rsidR="001B4A1C" w:rsidRDefault="001B4A1C" w:rsidP="002B0E91">
      <w:pPr>
        <w:pStyle w:val="BodyText"/>
      </w:pPr>
    </w:p>
    <w:bookmarkEnd w:id="29"/>
    <w:p w:rsidR="001B4A1C" w:rsidRPr="005E2C4F" w:rsidRDefault="001B4A1C" w:rsidP="001B4A1C">
      <w:pPr>
        <w:pStyle w:val="BodyText"/>
      </w:pPr>
    </w:p>
    <w:sectPr w:rsidR="001B4A1C" w:rsidRPr="005E2C4F" w:rsidSect="001B4A1C">
      <w:headerReference w:type="first" r:id="rId16"/>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0A7" w:rsidRDefault="003630A7">
      <w:pPr>
        <w:spacing w:line="20" w:lineRule="exact"/>
      </w:pPr>
    </w:p>
    <w:p w:rsidR="003630A7" w:rsidRDefault="003630A7"/>
    <w:p w:rsidR="003630A7" w:rsidRDefault="003630A7"/>
  </w:endnote>
  <w:endnote w:type="continuationSeparator" w:id="0">
    <w:p w:rsidR="003630A7" w:rsidRDefault="003630A7">
      <w:r>
        <w:t xml:space="preserve"> </w:t>
      </w:r>
    </w:p>
    <w:p w:rsidR="003630A7" w:rsidRDefault="003630A7"/>
    <w:p w:rsidR="003630A7" w:rsidRDefault="003630A7"/>
  </w:endnote>
  <w:endnote w:type="continuationNotice" w:id="1">
    <w:p w:rsidR="003630A7" w:rsidRDefault="003630A7">
      <w:r>
        <w:t xml:space="preserve"> </w:t>
      </w:r>
    </w:p>
    <w:p w:rsidR="003630A7" w:rsidRDefault="003630A7"/>
    <w:p w:rsidR="003630A7" w:rsidRDefault="00363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Default="00F26F61">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Pr="00D2334C" w:rsidRDefault="00F26F61" w:rsidP="00D23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Default="00F26F61"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0A7" w:rsidRDefault="003630A7"/>
    <w:p w:rsidR="003630A7" w:rsidRDefault="003630A7"/>
    <w:p w:rsidR="003630A7" w:rsidRDefault="003630A7"/>
  </w:footnote>
  <w:footnote w:type="continuationSeparator" w:id="0">
    <w:p w:rsidR="003630A7" w:rsidRDefault="003630A7">
      <w:r>
        <w:continuationSeparator/>
      </w:r>
    </w:p>
    <w:p w:rsidR="003630A7" w:rsidRDefault="003630A7"/>
    <w:p w:rsidR="003630A7" w:rsidRDefault="003630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Default="00F26F61">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Default="00F26F6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Default="00F26F6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Default="00F26F61">
    <w:pPr>
      <w:tabs>
        <w:tab w:val="center" w:pos="4512"/>
      </w:tabs>
      <w:suppressAutoHyphens/>
    </w:pPr>
    <w:r>
      <w:tab/>
      <w:t xml:space="preserve">- </w:t>
    </w:r>
    <w:r>
      <w:fldChar w:fldCharType="begin"/>
    </w:r>
    <w:r>
      <w:instrText>page \* arabic</w:instrText>
    </w:r>
    <w:r>
      <w:fldChar w:fldCharType="separate"/>
    </w:r>
    <w:r w:rsidR="005C04C2">
      <w:rPr>
        <w:noProof/>
      </w:rPr>
      <w:t>12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Default="00F26F61">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61" w:rsidRDefault="00F26F61" w:rsidP="001B4A1C">
    <w:pPr>
      <w:pStyle w:val="Header"/>
      <w:tabs>
        <w:tab w:val="clear" w:pos="4320"/>
        <w:tab w:val="clear" w:pos="8640"/>
      </w:tabs>
      <w:jc w:val="center"/>
    </w:pPr>
    <w:r>
      <w:t xml:space="preserve">- </w:t>
    </w:r>
    <w:r>
      <w:fldChar w:fldCharType="begin"/>
    </w:r>
    <w:r>
      <w:instrText>page \* arabic</w:instrText>
    </w:r>
    <w:r>
      <w:fldChar w:fldCharType="separate"/>
    </w:r>
    <w:r w:rsidR="009B7B73">
      <w:rPr>
        <w:noProof/>
      </w:rPr>
      <w:t>11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CounselParties" w:val="Defendant"/>
    <w:docVar w:name="CounselType" w:val="Solicitor for the "/>
    <w:docVar w:name="Cross1AndAnother" w:val="True"/>
    <w:docVar w:name="Cross1AndOthers" w:val="False"/>
    <w:docVar w:name="Cross2AndAnother" w:val="True"/>
    <w:docVar w:name="Cross2AndOthers" w:val="False"/>
    <w:docVar w:name="Defendant" w:val="Scentre Management Limited ACN 001 670 579"/>
    <w:docVar w:name="Defenders" w:val="(and another named in the Schedule)"/>
    <w:docVar w:name="Division" w:val="General Division"/>
    <w:docVar w:name="DocCreated" w:val="True"/>
    <w:docVar w:name="FileNumbers" w:val="VID 432 of 2020"/>
    <w:docVar w:name="HearingDate" w:val="9 July 2020"/>
    <w:docVar w:name="Initiators" w:val="(and another named in the Schedule)"/>
    <w:docVar w:name="InTheMatterOf" w:val="The PAS Group Limited (Administrators Appointed)"/>
    <w:docVar w:name="Judgdate" w:val="21 July 2020"/>
    <w:docVar w:name="Judge" w:val="O'CALLAGHAN "/>
    <w:docVar w:name="Justices" w:val="Justice"/>
    <w:docVar w:name="lstEntryList" w:val="-1"/>
    <w:docVar w:name="myEntryList" w:val="Solicitor for the Plaintiffs=Mr L Zwier and Mr S Lloyd of Arnold Bloch Leibler|Counsel for the Defendant=Dr JP Moore QC with Ms K Brazenor|Solicitor for the Defendant=Holding Redlich"/>
    <w:docVar w:name="NSD" w:val="NSD "/>
    <w:docVar w:name="NumApps" w:val="20"/>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Martin Francis Ford, Stephen Graham Longley and David Laurence McEvoy in their capacity as joint and several voluntary administrators of each of The PAS Group Limited (Administrators Appointed) and others named in the schedule|The PAS Group Limited (Administrators Appointed) ACN 169 477 463|AFG Retail Pty Limited (Administrators Appointed) ACN 133 613 251|Black Pepper Brands Pty Limited (Administrators Appointed) ACN 112 065 559|Bondi Bather Pty Limited (Administrators Appointed) ACN 620 985 864|Chestnut Apparel Pty Limited (Administrators Appointed) ACN 112 091 522|Designworks Clothing Company Pty Limited (Administrators Appointed) ACN 117 343 807|Designworks Holdings Pty Limited (Administrators Appointed) ACN 113 900 057|Fiorelli Licensing Pty Limited (Administrators Appointed) ACN 122 295 827|JETS Swimwear Pty Limited (Administrators Appointed) ACN 068 819 581 |Metpas Pty Ltd (Administrators Appointed) ACN 127 957 653|PAS Finance Pty Ltd (Administrators Appointed) ACN 169 478 291|PASCO Group Pty Ltd (Administrators Appointed) ACN 117 244 943|PASCO Operations Pty Ltd (Administrators Appointed) ACN 112 078 547|Review Australia Pty Limited (Administrators Appointed) ACN 122 295 836|The Capelle Group Pty Limited (Administrators Appointed) ACN 121 867 641|The Hopkins Group Aust Pty Limited (Administrators Appointed) ACN 119 023 273|World Brands Pty Ltd (Administrators Appointed) ACN 075 219 135|Yarra Trail Holdings Pty Limited (Administrators Appointed) ACN 110 901 561|Yarra Trail Pty Limited (Administrators Appointed) ACN 110 902 102"/>
    <w:docVar w:name="PracticeArea" w:val="Commercial and Corporations"/>
    <w:docVar w:name="RESAndAnother" w:val="True"/>
    <w:docVar w:name="RESAndOthers" w:val="False"/>
    <w:docVar w:name="ResState" w:val="Victoria"/>
    <w:docVar w:name="SubArea" w:val="Corporations and Corporate Insolvency (C &amp; C)"/>
  </w:docVars>
  <w:rsids>
    <w:rsidRoot w:val="008F6A0F"/>
    <w:rsid w:val="0001469E"/>
    <w:rsid w:val="00015993"/>
    <w:rsid w:val="00022289"/>
    <w:rsid w:val="00024955"/>
    <w:rsid w:val="00032F9F"/>
    <w:rsid w:val="00041C07"/>
    <w:rsid w:val="00045BB7"/>
    <w:rsid w:val="0004603B"/>
    <w:rsid w:val="00053E6E"/>
    <w:rsid w:val="0005413E"/>
    <w:rsid w:val="00055719"/>
    <w:rsid w:val="0005641B"/>
    <w:rsid w:val="0005795C"/>
    <w:rsid w:val="000579FF"/>
    <w:rsid w:val="0006483F"/>
    <w:rsid w:val="00081497"/>
    <w:rsid w:val="00096054"/>
    <w:rsid w:val="000A2E76"/>
    <w:rsid w:val="000A4807"/>
    <w:rsid w:val="000A4BE4"/>
    <w:rsid w:val="000A4EA6"/>
    <w:rsid w:val="000A6AED"/>
    <w:rsid w:val="000B5CF8"/>
    <w:rsid w:val="000C023E"/>
    <w:rsid w:val="000C5195"/>
    <w:rsid w:val="000C62EF"/>
    <w:rsid w:val="000D2137"/>
    <w:rsid w:val="000D3FD2"/>
    <w:rsid w:val="000E3FC8"/>
    <w:rsid w:val="000E7BAE"/>
    <w:rsid w:val="000F1338"/>
    <w:rsid w:val="000F133D"/>
    <w:rsid w:val="00101092"/>
    <w:rsid w:val="0010435C"/>
    <w:rsid w:val="0010536B"/>
    <w:rsid w:val="0011145C"/>
    <w:rsid w:val="001128BD"/>
    <w:rsid w:val="0011419D"/>
    <w:rsid w:val="00115754"/>
    <w:rsid w:val="00127F25"/>
    <w:rsid w:val="00132054"/>
    <w:rsid w:val="00141747"/>
    <w:rsid w:val="00144CEE"/>
    <w:rsid w:val="001727A4"/>
    <w:rsid w:val="0017376C"/>
    <w:rsid w:val="001738AB"/>
    <w:rsid w:val="001765E0"/>
    <w:rsid w:val="00177759"/>
    <w:rsid w:val="00185E6B"/>
    <w:rsid w:val="00187BBC"/>
    <w:rsid w:val="001932F3"/>
    <w:rsid w:val="001A0C63"/>
    <w:rsid w:val="001A2EAF"/>
    <w:rsid w:val="001A4309"/>
    <w:rsid w:val="001A5EC0"/>
    <w:rsid w:val="001B1053"/>
    <w:rsid w:val="001B14AC"/>
    <w:rsid w:val="001B4A1C"/>
    <w:rsid w:val="001B7940"/>
    <w:rsid w:val="001C37CA"/>
    <w:rsid w:val="001C3F40"/>
    <w:rsid w:val="001C652A"/>
    <w:rsid w:val="001C797E"/>
    <w:rsid w:val="001C7A0C"/>
    <w:rsid w:val="001D028D"/>
    <w:rsid w:val="001D4303"/>
    <w:rsid w:val="001D6746"/>
    <w:rsid w:val="001E3B49"/>
    <w:rsid w:val="001E7388"/>
    <w:rsid w:val="001F13DD"/>
    <w:rsid w:val="001F2DBC"/>
    <w:rsid w:val="001F73E8"/>
    <w:rsid w:val="0020262C"/>
    <w:rsid w:val="0020359E"/>
    <w:rsid w:val="00224537"/>
    <w:rsid w:val="00235956"/>
    <w:rsid w:val="00247C9A"/>
    <w:rsid w:val="0025160C"/>
    <w:rsid w:val="002535D0"/>
    <w:rsid w:val="002539B3"/>
    <w:rsid w:val="00254F71"/>
    <w:rsid w:val="00257C3E"/>
    <w:rsid w:val="002602C2"/>
    <w:rsid w:val="002666C9"/>
    <w:rsid w:val="00270136"/>
    <w:rsid w:val="00274F5B"/>
    <w:rsid w:val="00275ACE"/>
    <w:rsid w:val="00280836"/>
    <w:rsid w:val="00282E1A"/>
    <w:rsid w:val="002845A0"/>
    <w:rsid w:val="00286725"/>
    <w:rsid w:val="0029113B"/>
    <w:rsid w:val="00292FB1"/>
    <w:rsid w:val="002934C0"/>
    <w:rsid w:val="002A1B50"/>
    <w:rsid w:val="002B0E91"/>
    <w:rsid w:val="002B6779"/>
    <w:rsid w:val="002B71C0"/>
    <w:rsid w:val="002B7A34"/>
    <w:rsid w:val="002C31AD"/>
    <w:rsid w:val="002C3E10"/>
    <w:rsid w:val="002C734A"/>
    <w:rsid w:val="002C7385"/>
    <w:rsid w:val="002D2DBB"/>
    <w:rsid w:val="002D383B"/>
    <w:rsid w:val="002D54A6"/>
    <w:rsid w:val="002E2416"/>
    <w:rsid w:val="002E494A"/>
    <w:rsid w:val="002E6A7A"/>
    <w:rsid w:val="002F1E49"/>
    <w:rsid w:val="002F4E9C"/>
    <w:rsid w:val="0031256C"/>
    <w:rsid w:val="00314D6C"/>
    <w:rsid w:val="003158CE"/>
    <w:rsid w:val="00316D2A"/>
    <w:rsid w:val="00317C1F"/>
    <w:rsid w:val="00322A7C"/>
    <w:rsid w:val="00333653"/>
    <w:rsid w:val="003402D3"/>
    <w:rsid w:val="003410F1"/>
    <w:rsid w:val="00343ABC"/>
    <w:rsid w:val="003463FE"/>
    <w:rsid w:val="003554B3"/>
    <w:rsid w:val="00356632"/>
    <w:rsid w:val="003630A7"/>
    <w:rsid w:val="003845A9"/>
    <w:rsid w:val="00384D20"/>
    <w:rsid w:val="00386427"/>
    <w:rsid w:val="00390883"/>
    <w:rsid w:val="003922F8"/>
    <w:rsid w:val="00395B24"/>
    <w:rsid w:val="003A2D38"/>
    <w:rsid w:val="003A7ECC"/>
    <w:rsid w:val="003B2C72"/>
    <w:rsid w:val="003B30D7"/>
    <w:rsid w:val="003C1333"/>
    <w:rsid w:val="003C20FF"/>
    <w:rsid w:val="003C43AE"/>
    <w:rsid w:val="003C75F6"/>
    <w:rsid w:val="003D2650"/>
    <w:rsid w:val="003D560C"/>
    <w:rsid w:val="003E5874"/>
    <w:rsid w:val="003F193E"/>
    <w:rsid w:val="003F34F1"/>
    <w:rsid w:val="0040676A"/>
    <w:rsid w:val="00411AE8"/>
    <w:rsid w:val="00412942"/>
    <w:rsid w:val="004139BC"/>
    <w:rsid w:val="00413B74"/>
    <w:rsid w:val="00416CD6"/>
    <w:rsid w:val="0042592D"/>
    <w:rsid w:val="0042639A"/>
    <w:rsid w:val="00432E34"/>
    <w:rsid w:val="00435C5F"/>
    <w:rsid w:val="0043712A"/>
    <w:rsid w:val="00441E98"/>
    <w:rsid w:val="00452E24"/>
    <w:rsid w:val="004532F7"/>
    <w:rsid w:val="004540A6"/>
    <w:rsid w:val="004558CE"/>
    <w:rsid w:val="00463AA7"/>
    <w:rsid w:val="00472027"/>
    <w:rsid w:val="00474B8C"/>
    <w:rsid w:val="00475195"/>
    <w:rsid w:val="004760FB"/>
    <w:rsid w:val="0047632B"/>
    <w:rsid w:val="00477259"/>
    <w:rsid w:val="004804CF"/>
    <w:rsid w:val="00484962"/>
    <w:rsid w:val="00484F6D"/>
    <w:rsid w:val="00487D6C"/>
    <w:rsid w:val="0049338A"/>
    <w:rsid w:val="0049417F"/>
    <w:rsid w:val="004A46B9"/>
    <w:rsid w:val="004B055C"/>
    <w:rsid w:val="004B3EFA"/>
    <w:rsid w:val="004C051A"/>
    <w:rsid w:val="004C2A87"/>
    <w:rsid w:val="004C4D7B"/>
    <w:rsid w:val="004C4ED3"/>
    <w:rsid w:val="004D1C0E"/>
    <w:rsid w:val="004D2EA5"/>
    <w:rsid w:val="004D32A6"/>
    <w:rsid w:val="004D53E5"/>
    <w:rsid w:val="004E44F7"/>
    <w:rsid w:val="004E50D1"/>
    <w:rsid w:val="00501A12"/>
    <w:rsid w:val="00513051"/>
    <w:rsid w:val="0051346D"/>
    <w:rsid w:val="00513EAE"/>
    <w:rsid w:val="00516806"/>
    <w:rsid w:val="00520D83"/>
    <w:rsid w:val="00522F09"/>
    <w:rsid w:val="00525A49"/>
    <w:rsid w:val="00535613"/>
    <w:rsid w:val="005359EB"/>
    <w:rsid w:val="0054254A"/>
    <w:rsid w:val="005432F3"/>
    <w:rsid w:val="005466B5"/>
    <w:rsid w:val="00554314"/>
    <w:rsid w:val="005562C3"/>
    <w:rsid w:val="00560495"/>
    <w:rsid w:val="005629B3"/>
    <w:rsid w:val="00570D05"/>
    <w:rsid w:val="00573AC4"/>
    <w:rsid w:val="005801FC"/>
    <w:rsid w:val="00590085"/>
    <w:rsid w:val="00595016"/>
    <w:rsid w:val="00597AAE"/>
    <w:rsid w:val="005A222C"/>
    <w:rsid w:val="005A3CCC"/>
    <w:rsid w:val="005A4DF8"/>
    <w:rsid w:val="005B1426"/>
    <w:rsid w:val="005C04C2"/>
    <w:rsid w:val="005C0A8E"/>
    <w:rsid w:val="005C1767"/>
    <w:rsid w:val="005C1CE6"/>
    <w:rsid w:val="005C42EF"/>
    <w:rsid w:val="005D24AA"/>
    <w:rsid w:val="005E02F5"/>
    <w:rsid w:val="005E0510"/>
    <w:rsid w:val="005E176E"/>
    <w:rsid w:val="005E218E"/>
    <w:rsid w:val="005E2C4F"/>
    <w:rsid w:val="005E35A0"/>
    <w:rsid w:val="005E577F"/>
    <w:rsid w:val="005F0D1B"/>
    <w:rsid w:val="005F1865"/>
    <w:rsid w:val="006007BD"/>
    <w:rsid w:val="006013C8"/>
    <w:rsid w:val="006014CF"/>
    <w:rsid w:val="00601F44"/>
    <w:rsid w:val="0060270D"/>
    <w:rsid w:val="00602DF7"/>
    <w:rsid w:val="00604611"/>
    <w:rsid w:val="00611157"/>
    <w:rsid w:val="00611586"/>
    <w:rsid w:val="00611AB7"/>
    <w:rsid w:val="00621887"/>
    <w:rsid w:val="00624520"/>
    <w:rsid w:val="0063072E"/>
    <w:rsid w:val="006320CC"/>
    <w:rsid w:val="00632300"/>
    <w:rsid w:val="00632BB7"/>
    <w:rsid w:val="00635B36"/>
    <w:rsid w:val="00636871"/>
    <w:rsid w:val="00640F4E"/>
    <w:rsid w:val="00643DE0"/>
    <w:rsid w:val="00644E85"/>
    <w:rsid w:val="0066063F"/>
    <w:rsid w:val="00662BB0"/>
    <w:rsid w:val="00663878"/>
    <w:rsid w:val="00667773"/>
    <w:rsid w:val="00670743"/>
    <w:rsid w:val="0067225D"/>
    <w:rsid w:val="00690EE2"/>
    <w:rsid w:val="006943F7"/>
    <w:rsid w:val="006A0E20"/>
    <w:rsid w:val="006A41F1"/>
    <w:rsid w:val="006A5695"/>
    <w:rsid w:val="006B0726"/>
    <w:rsid w:val="006B18A5"/>
    <w:rsid w:val="006B3904"/>
    <w:rsid w:val="006B5B7D"/>
    <w:rsid w:val="006B6218"/>
    <w:rsid w:val="006D0ECF"/>
    <w:rsid w:val="006D1DBA"/>
    <w:rsid w:val="006D4C92"/>
    <w:rsid w:val="006D4EB6"/>
    <w:rsid w:val="006E35BF"/>
    <w:rsid w:val="006E7850"/>
    <w:rsid w:val="007028D9"/>
    <w:rsid w:val="00703722"/>
    <w:rsid w:val="007056F8"/>
    <w:rsid w:val="00706F2B"/>
    <w:rsid w:val="00707218"/>
    <w:rsid w:val="007127A6"/>
    <w:rsid w:val="00712B1D"/>
    <w:rsid w:val="00714B6B"/>
    <w:rsid w:val="007325D9"/>
    <w:rsid w:val="007360CA"/>
    <w:rsid w:val="00760EC0"/>
    <w:rsid w:val="00773515"/>
    <w:rsid w:val="0078003A"/>
    <w:rsid w:val="00780771"/>
    <w:rsid w:val="007929CF"/>
    <w:rsid w:val="007A2513"/>
    <w:rsid w:val="007A45D6"/>
    <w:rsid w:val="007A6F28"/>
    <w:rsid w:val="007B03C6"/>
    <w:rsid w:val="007B0DB1"/>
    <w:rsid w:val="007B46F1"/>
    <w:rsid w:val="007C074E"/>
    <w:rsid w:val="007C3BF6"/>
    <w:rsid w:val="007C4A31"/>
    <w:rsid w:val="007D0FD2"/>
    <w:rsid w:val="007D2EF8"/>
    <w:rsid w:val="007D561F"/>
    <w:rsid w:val="007D7FD2"/>
    <w:rsid w:val="007E13D9"/>
    <w:rsid w:val="007E41BE"/>
    <w:rsid w:val="007E4DB6"/>
    <w:rsid w:val="007E7CD4"/>
    <w:rsid w:val="007F12AC"/>
    <w:rsid w:val="00801800"/>
    <w:rsid w:val="00801B5B"/>
    <w:rsid w:val="00807D9D"/>
    <w:rsid w:val="00811DF9"/>
    <w:rsid w:val="008162AA"/>
    <w:rsid w:val="008276B4"/>
    <w:rsid w:val="00831927"/>
    <w:rsid w:val="00833D32"/>
    <w:rsid w:val="00837FC6"/>
    <w:rsid w:val="00841BD3"/>
    <w:rsid w:val="008425A5"/>
    <w:rsid w:val="0084273D"/>
    <w:rsid w:val="00844E3F"/>
    <w:rsid w:val="00845A83"/>
    <w:rsid w:val="00847136"/>
    <w:rsid w:val="00860F36"/>
    <w:rsid w:val="008712BB"/>
    <w:rsid w:val="008809A0"/>
    <w:rsid w:val="00891A34"/>
    <w:rsid w:val="008A2484"/>
    <w:rsid w:val="008B287F"/>
    <w:rsid w:val="008C26D9"/>
    <w:rsid w:val="008C6D50"/>
    <w:rsid w:val="008C7167"/>
    <w:rsid w:val="008C7503"/>
    <w:rsid w:val="008D1617"/>
    <w:rsid w:val="008E6315"/>
    <w:rsid w:val="008F0EAC"/>
    <w:rsid w:val="008F11E0"/>
    <w:rsid w:val="008F5677"/>
    <w:rsid w:val="008F6A0F"/>
    <w:rsid w:val="008F78BC"/>
    <w:rsid w:val="008F7B63"/>
    <w:rsid w:val="008F7D6A"/>
    <w:rsid w:val="009054CB"/>
    <w:rsid w:val="00912F94"/>
    <w:rsid w:val="00925743"/>
    <w:rsid w:val="0092590B"/>
    <w:rsid w:val="00925E60"/>
    <w:rsid w:val="009264B3"/>
    <w:rsid w:val="009365E0"/>
    <w:rsid w:val="00942101"/>
    <w:rsid w:val="00942BA2"/>
    <w:rsid w:val="00944C86"/>
    <w:rsid w:val="009465B2"/>
    <w:rsid w:val="00957DE8"/>
    <w:rsid w:val="00960ECB"/>
    <w:rsid w:val="009615D6"/>
    <w:rsid w:val="0096263B"/>
    <w:rsid w:val="00967855"/>
    <w:rsid w:val="00970CE3"/>
    <w:rsid w:val="00973976"/>
    <w:rsid w:val="00980736"/>
    <w:rsid w:val="00981A39"/>
    <w:rsid w:val="00987097"/>
    <w:rsid w:val="009A3A9C"/>
    <w:rsid w:val="009B046C"/>
    <w:rsid w:val="009B13FA"/>
    <w:rsid w:val="009B1E2D"/>
    <w:rsid w:val="009B37C2"/>
    <w:rsid w:val="009B7B73"/>
    <w:rsid w:val="009C1BBD"/>
    <w:rsid w:val="009C59FB"/>
    <w:rsid w:val="009C6F3B"/>
    <w:rsid w:val="009D1467"/>
    <w:rsid w:val="009E2BA5"/>
    <w:rsid w:val="009E4FA6"/>
    <w:rsid w:val="009E630B"/>
    <w:rsid w:val="009E7D93"/>
    <w:rsid w:val="009F5C33"/>
    <w:rsid w:val="00A028EE"/>
    <w:rsid w:val="00A03EAC"/>
    <w:rsid w:val="00A11CA6"/>
    <w:rsid w:val="00A20C49"/>
    <w:rsid w:val="00A22938"/>
    <w:rsid w:val="00A2297B"/>
    <w:rsid w:val="00A269CA"/>
    <w:rsid w:val="00A26D47"/>
    <w:rsid w:val="00A31245"/>
    <w:rsid w:val="00A31525"/>
    <w:rsid w:val="00A336EE"/>
    <w:rsid w:val="00A359AC"/>
    <w:rsid w:val="00A371FD"/>
    <w:rsid w:val="00A41413"/>
    <w:rsid w:val="00A45FB1"/>
    <w:rsid w:val="00A46CCC"/>
    <w:rsid w:val="00A51CFE"/>
    <w:rsid w:val="00A76C13"/>
    <w:rsid w:val="00A83FF1"/>
    <w:rsid w:val="00A90601"/>
    <w:rsid w:val="00A92E79"/>
    <w:rsid w:val="00A950B6"/>
    <w:rsid w:val="00A97E25"/>
    <w:rsid w:val="00AA2934"/>
    <w:rsid w:val="00AB41C1"/>
    <w:rsid w:val="00AB6594"/>
    <w:rsid w:val="00AD12A8"/>
    <w:rsid w:val="00AD12AB"/>
    <w:rsid w:val="00AE023F"/>
    <w:rsid w:val="00AE12F4"/>
    <w:rsid w:val="00AE2148"/>
    <w:rsid w:val="00AE7CF2"/>
    <w:rsid w:val="00AF3577"/>
    <w:rsid w:val="00AF35F9"/>
    <w:rsid w:val="00B028A5"/>
    <w:rsid w:val="00B05C7D"/>
    <w:rsid w:val="00B069D0"/>
    <w:rsid w:val="00B069F6"/>
    <w:rsid w:val="00B12281"/>
    <w:rsid w:val="00B2245A"/>
    <w:rsid w:val="00B3004C"/>
    <w:rsid w:val="00B346C3"/>
    <w:rsid w:val="00B4471C"/>
    <w:rsid w:val="00B451A6"/>
    <w:rsid w:val="00B55468"/>
    <w:rsid w:val="00B722DE"/>
    <w:rsid w:val="00B76C44"/>
    <w:rsid w:val="00B83F87"/>
    <w:rsid w:val="00B90FBC"/>
    <w:rsid w:val="00BA2EFA"/>
    <w:rsid w:val="00BA3DBC"/>
    <w:rsid w:val="00BA48AA"/>
    <w:rsid w:val="00BB1AE0"/>
    <w:rsid w:val="00BB2DA2"/>
    <w:rsid w:val="00BB56DC"/>
    <w:rsid w:val="00BB5B00"/>
    <w:rsid w:val="00BC4262"/>
    <w:rsid w:val="00BD31EA"/>
    <w:rsid w:val="00BD78D0"/>
    <w:rsid w:val="00BE1225"/>
    <w:rsid w:val="00BE183D"/>
    <w:rsid w:val="00BE38CA"/>
    <w:rsid w:val="00BF5D7A"/>
    <w:rsid w:val="00C012E3"/>
    <w:rsid w:val="00C02D33"/>
    <w:rsid w:val="00C1232C"/>
    <w:rsid w:val="00C21B7B"/>
    <w:rsid w:val="00C24897"/>
    <w:rsid w:val="00C36442"/>
    <w:rsid w:val="00C400CE"/>
    <w:rsid w:val="00C410FD"/>
    <w:rsid w:val="00C539FB"/>
    <w:rsid w:val="00C56589"/>
    <w:rsid w:val="00C6183A"/>
    <w:rsid w:val="00C625D4"/>
    <w:rsid w:val="00C65B95"/>
    <w:rsid w:val="00C66B77"/>
    <w:rsid w:val="00C71C21"/>
    <w:rsid w:val="00C74F7A"/>
    <w:rsid w:val="00C90EAE"/>
    <w:rsid w:val="00CA246D"/>
    <w:rsid w:val="00CA50D9"/>
    <w:rsid w:val="00CA6BCD"/>
    <w:rsid w:val="00CB5636"/>
    <w:rsid w:val="00CB7CE0"/>
    <w:rsid w:val="00CE0B34"/>
    <w:rsid w:val="00CF399E"/>
    <w:rsid w:val="00D05081"/>
    <w:rsid w:val="00D06F05"/>
    <w:rsid w:val="00D07E88"/>
    <w:rsid w:val="00D10F21"/>
    <w:rsid w:val="00D153EA"/>
    <w:rsid w:val="00D2334C"/>
    <w:rsid w:val="00D24806"/>
    <w:rsid w:val="00D34040"/>
    <w:rsid w:val="00D34E69"/>
    <w:rsid w:val="00D375EE"/>
    <w:rsid w:val="00D40090"/>
    <w:rsid w:val="00D62699"/>
    <w:rsid w:val="00D63D8F"/>
    <w:rsid w:val="00D82620"/>
    <w:rsid w:val="00D95990"/>
    <w:rsid w:val="00D9725F"/>
    <w:rsid w:val="00DA01B1"/>
    <w:rsid w:val="00DA11A2"/>
    <w:rsid w:val="00DA14ED"/>
    <w:rsid w:val="00DB2EF1"/>
    <w:rsid w:val="00DB3DE1"/>
    <w:rsid w:val="00DB5DA0"/>
    <w:rsid w:val="00DB716C"/>
    <w:rsid w:val="00DC5C85"/>
    <w:rsid w:val="00DD4236"/>
    <w:rsid w:val="00DD44F1"/>
    <w:rsid w:val="00DD5383"/>
    <w:rsid w:val="00DE3067"/>
    <w:rsid w:val="00DE66BD"/>
    <w:rsid w:val="00DF1661"/>
    <w:rsid w:val="00E027BC"/>
    <w:rsid w:val="00E14EA5"/>
    <w:rsid w:val="00E20A65"/>
    <w:rsid w:val="00E21133"/>
    <w:rsid w:val="00E2327E"/>
    <w:rsid w:val="00E266EF"/>
    <w:rsid w:val="00E30B29"/>
    <w:rsid w:val="00E45735"/>
    <w:rsid w:val="00E47428"/>
    <w:rsid w:val="00E64446"/>
    <w:rsid w:val="00E66B9F"/>
    <w:rsid w:val="00E710D6"/>
    <w:rsid w:val="00E76E45"/>
    <w:rsid w:val="00E777C9"/>
    <w:rsid w:val="00E81DA6"/>
    <w:rsid w:val="00E84212"/>
    <w:rsid w:val="00E9086C"/>
    <w:rsid w:val="00E91A0F"/>
    <w:rsid w:val="00E94A71"/>
    <w:rsid w:val="00EA03CE"/>
    <w:rsid w:val="00EA23E5"/>
    <w:rsid w:val="00EA4E2E"/>
    <w:rsid w:val="00EA6D9B"/>
    <w:rsid w:val="00EB2CCB"/>
    <w:rsid w:val="00EB2FA1"/>
    <w:rsid w:val="00EB5C4B"/>
    <w:rsid w:val="00EC3AD7"/>
    <w:rsid w:val="00EC57A7"/>
    <w:rsid w:val="00EC7ED3"/>
    <w:rsid w:val="00ED0817"/>
    <w:rsid w:val="00ED2093"/>
    <w:rsid w:val="00ED7DD9"/>
    <w:rsid w:val="00EF3113"/>
    <w:rsid w:val="00EF3184"/>
    <w:rsid w:val="00EF3F84"/>
    <w:rsid w:val="00F0629A"/>
    <w:rsid w:val="00F176AC"/>
    <w:rsid w:val="00F22357"/>
    <w:rsid w:val="00F26F61"/>
    <w:rsid w:val="00F27714"/>
    <w:rsid w:val="00F27FC9"/>
    <w:rsid w:val="00F3276E"/>
    <w:rsid w:val="00F33D3C"/>
    <w:rsid w:val="00F37A91"/>
    <w:rsid w:val="00F45CF5"/>
    <w:rsid w:val="00F47DB0"/>
    <w:rsid w:val="00F50E34"/>
    <w:rsid w:val="00F53EF7"/>
    <w:rsid w:val="00F54BF2"/>
    <w:rsid w:val="00F5574C"/>
    <w:rsid w:val="00F63725"/>
    <w:rsid w:val="00F71E4A"/>
    <w:rsid w:val="00F74003"/>
    <w:rsid w:val="00F7494F"/>
    <w:rsid w:val="00F911C4"/>
    <w:rsid w:val="00F92355"/>
    <w:rsid w:val="00F93963"/>
    <w:rsid w:val="00F94291"/>
    <w:rsid w:val="00FA661C"/>
    <w:rsid w:val="00FB3B46"/>
    <w:rsid w:val="00FB3D6A"/>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3109696-EFD0-490B-984A-F5544B74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D369-9977-4E17-A25C-CDC72B23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15</Pages>
  <Words>4652</Words>
  <Characters>23595</Characters>
  <Application>Microsoft Office Word</Application>
  <DocSecurity>0</DocSecurity>
  <Lines>548</Lines>
  <Paragraphs>256</Paragraphs>
  <ScaleCrop>false</ScaleCrop>
  <HeadingPairs>
    <vt:vector size="2" baseType="variant">
      <vt:variant>
        <vt:lpstr>Title</vt:lpstr>
      </vt:variant>
      <vt:variant>
        <vt:i4>1</vt:i4>
      </vt:variant>
    </vt:vector>
  </HeadingPairs>
  <TitlesOfParts>
    <vt:vector size="1" baseType="lpstr">
      <vt:lpstr>Ford (Administrator), in the matter of The PAS Group Limited (Administrators Appointed) v Scentre Management Limited [2020] FCA 1023 </vt:lpstr>
    </vt:vector>
  </TitlesOfParts>
  <Company>Federal Court of Australia</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(Administrator), in the matter of The PAS Group Limited (Administrators Appointed) v Scentre Management Limited [2020] FCA 1023</dc:title>
  <dc:creator>Justice O'Callaghan (FCA)</dc:creator>
  <cp:lastModifiedBy>Sona Muradyan</cp:lastModifiedBy>
  <cp:revision>5</cp:revision>
  <cp:lastPrinted>2020-07-17T01:29:00Z</cp:lastPrinted>
  <dcterms:created xsi:type="dcterms:W3CDTF">2020-07-21T00:53:00Z</dcterms:created>
  <dcterms:modified xsi:type="dcterms:W3CDTF">2020-07-21T00:57:00Z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O'CALLAGHAN J</vt:lpwstr>
  </property>
  <property fmtid="{D5CDD505-2E9C-101B-9397-08002B2CF9AE}" pid="4" name="Judgment_dated" linkTarget="Judgment_dated">
    <vt:lpwstr>21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