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43A74">
      <w:pPr>
        <w:pStyle w:val="MediaNeutralStyle"/>
      </w:pPr>
      <w:bookmarkStart w:id="0" w:name="MNC"/>
      <w:r>
        <w:t xml:space="preserve">Australian Building and Construction Commissioner v Construction, Forestry, Maritime, Mining and Energy </w:t>
      </w:r>
      <w:r w:rsidR="00D96C46">
        <w:t>Union</w:t>
      </w:r>
      <w:r w:rsidR="00573FAD">
        <w:t xml:space="preserve">  (The North Queensland Stadium Case) </w:t>
      </w:r>
      <w:r>
        <w:t xml:space="preserve"> [2020] FCA </w:t>
      </w:r>
      <w:r w:rsidR="00B62CA7">
        <w:t>947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F76E2">
        <w:tc>
          <w:tcPr>
            <w:tcW w:w="3085" w:type="dxa"/>
            <w:shd w:val="clear" w:color="auto" w:fill="auto"/>
          </w:tcPr>
          <w:p w:rsidR="00395B24" w:rsidRDefault="00954414" w:rsidP="00663878">
            <w:pPr>
              <w:pStyle w:val="Normal1linespace"/>
              <w:widowControl w:val="0"/>
              <w:jc w:val="left"/>
            </w:pPr>
            <w:r>
              <w:t>File number</w:t>
            </w:r>
            <w:r w:rsidR="002C7385">
              <w:t>:</w:t>
            </w:r>
          </w:p>
        </w:tc>
        <w:tc>
          <w:tcPr>
            <w:tcW w:w="5989" w:type="dxa"/>
            <w:shd w:val="clear" w:color="auto" w:fill="auto"/>
          </w:tcPr>
          <w:p w:rsidR="00395B24" w:rsidRPr="009F243F" w:rsidRDefault="00D65600" w:rsidP="009F243F">
            <w:pPr>
              <w:pStyle w:val="Normal1linespace"/>
              <w:jc w:val="left"/>
            </w:pPr>
            <w:fldSimple w:instr=" REF  FileNo  \* MERGEFORMAT " w:fldLock="1">
              <w:r w:rsidR="009F243F" w:rsidRPr="009F243F">
                <w:t>QUD 228 of 2019</w:t>
              </w:r>
            </w:fldSimple>
          </w:p>
        </w:tc>
      </w:tr>
      <w:tr w:rsidR="00395B24" w:rsidTr="004F76E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F76E2">
        <w:tc>
          <w:tcPr>
            <w:tcW w:w="3085" w:type="dxa"/>
            <w:shd w:val="clear" w:color="auto" w:fill="auto"/>
          </w:tcPr>
          <w:p w:rsidR="00395B24" w:rsidRDefault="00954414"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F243F">
              <w:rPr>
                <w:b/>
              </w:rPr>
              <w:fldChar w:fldCharType="begin" w:fldLock="1"/>
            </w:r>
            <w:r w:rsidRPr="009F243F">
              <w:rPr>
                <w:b/>
              </w:rPr>
              <w:instrText xml:space="preserve"> REF  Judge  \* MERGEFORMAT </w:instrText>
            </w:r>
            <w:r w:rsidRPr="009F243F">
              <w:rPr>
                <w:b/>
              </w:rPr>
              <w:fldChar w:fldCharType="separate"/>
            </w:r>
            <w:r w:rsidR="009F243F" w:rsidRPr="009F243F">
              <w:rPr>
                <w:b/>
                <w:caps/>
                <w:szCs w:val="24"/>
              </w:rPr>
              <w:t>RANGIAH J</w:t>
            </w:r>
            <w:r w:rsidRPr="009F243F">
              <w:rPr>
                <w:b/>
              </w:rPr>
              <w:fldChar w:fldCharType="end"/>
            </w:r>
          </w:p>
        </w:tc>
      </w:tr>
      <w:tr w:rsidR="00395B24" w:rsidTr="004F76E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954414" w:rsidTr="004F76E2">
        <w:tc>
          <w:tcPr>
            <w:tcW w:w="3085" w:type="dxa"/>
            <w:shd w:val="clear" w:color="auto" w:fill="auto"/>
          </w:tcPr>
          <w:p w:rsidR="00395B24" w:rsidRPr="00E73F22" w:rsidRDefault="002C7385" w:rsidP="00663878">
            <w:pPr>
              <w:pStyle w:val="Normal1linespace"/>
              <w:widowControl w:val="0"/>
              <w:jc w:val="left"/>
            </w:pPr>
            <w:r w:rsidRPr="00E73F22">
              <w:t>Date of judgment:</w:t>
            </w:r>
          </w:p>
        </w:tc>
        <w:tc>
          <w:tcPr>
            <w:tcW w:w="5989" w:type="dxa"/>
            <w:shd w:val="clear" w:color="auto" w:fill="auto"/>
          </w:tcPr>
          <w:p w:rsidR="00395B24" w:rsidRPr="00E73F22" w:rsidRDefault="00E73F22" w:rsidP="00956CE2">
            <w:pPr>
              <w:pStyle w:val="Normal1linespace"/>
              <w:widowControl w:val="0"/>
              <w:jc w:val="left"/>
            </w:pPr>
            <w:bookmarkStart w:id="1" w:name="JudgmentDate"/>
            <w:r w:rsidRPr="00E73F22">
              <w:t>10</w:t>
            </w:r>
            <w:r w:rsidR="009F243F" w:rsidRPr="00E73F22">
              <w:t xml:space="preserve"> Ju</w:t>
            </w:r>
            <w:r w:rsidR="00956CE2" w:rsidRPr="00E73F22">
              <w:t>ly</w:t>
            </w:r>
            <w:r w:rsidR="009F243F" w:rsidRPr="00E73F22">
              <w:t xml:space="preserve"> 2020</w:t>
            </w:r>
            <w:bookmarkEnd w:id="1"/>
          </w:p>
        </w:tc>
      </w:tr>
      <w:tr w:rsidR="00395B24" w:rsidTr="004F76E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954414" w:rsidTr="004F76E2">
        <w:tc>
          <w:tcPr>
            <w:tcW w:w="3085" w:type="dxa"/>
            <w:shd w:val="clear" w:color="auto" w:fill="auto"/>
          </w:tcPr>
          <w:p w:rsidR="00395B24" w:rsidRPr="00467312" w:rsidRDefault="002C7385" w:rsidP="00663878">
            <w:pPr>
              <w:pStyle w:val="Normal1linespace"/>
              <w:widowControl w:val="0"/>
              <w:jc w:val="left"/>
            </w:pPr>
            <w:r w:rsidRPr="00467312">
              <w:t>Catchwords:</w:t>
            </w:r>
          </w:p>
        </w:tc>
        <w:tc>
          <w:tcPr>
            <w:tcW w:w="5989" w:type="dxa"/>
            <w:shd w:val="clear" w:color="auto" w:fill="auto"/>
          </w:tcPr>
          <w:p w:rsidR="00395B24" w:rsidRPr="00C860FC" w:rsidRDefault="003A1F7A" w:rsidP="00323E04">
            <w:pPr>
              <w:pStyle w:val="Normal1linespace"/>
              <w:widowControl w:val="0"/>
              <w:jc w:val="left"/>
            </w:pPr>
            <w:bookmarkStart w:id="2" w:name="Catchwords"/>
            <w:r w:rsidRPr="00584352">
              <w:rPr>
                <w:b/>
              </w:rPr>
              <w:t xml:space="preserve">INDUSTRIAL RELATIONS </w:t>
            </w:r>
            <w:r w:rsidRPr="00584352">
              <w:t xml:space="preserve">– </w:t>
            </w:r>
            <w:r w:rsidR="00973CF6">
              <w:t xml:space="preserve">application for declarations </w:t>
            </w:r>
            <w:r w:rsidR="00A70DBC">
              <w:t>of contraventions of</w:t>
            </w:r>
            <w:r w:rsidR="00973CF6">
              <w:t xml:space="preserve"> </w:t>
            </w:r>
            <w:proofErr w:type="spellStart"/>
            <w:r w:rsidRPr="00C860FC">
              <w:t>ss</w:t>
            </w:r>
            <w:proofErr w:type="spellEnd"/>
            <w:r w:rsidRPr="00C860FC">
              <w:t xml:space="preserve"> 46 and 54 of the </w:t>
            </w:r>
            <w:r w:rsidRPr="00C860FC">
              <w:rPr>
                <w:i/>
              </w:rPr>
              <w:t xml:space="preserve">Building and Construction Industry (Improving Productivity) Act 2016 </w:t>
            </w:r>
            <w:r w:rsidRPr="00C860FC">
              <w:t>(</w:t>
            </w:r>
            <w:proofErr w:type="spellStart"/>
            <w:r w:rsidRPr="00C860FC">
              <w:t>Cth</w:t>
            </w:r>
            <w:proofErr w:type="spellEnd"/>
            <w:r w:rsidRPr="00C860FC">
              <w:t>)</w:t>
            </w:r>
            <w:r w:rsidR="00C860FC">
              <w:t xml:space="preserve"> (</w:t>
            </w:r>
            <w:r w:rsidR="00C860FC">
              <w:rPr>
                <w:b/>
              </w:rPr>
              <w:t>BCI Act</w:t>
            </w:r>
            <w:r w:rsidR="00C860FC">
              <w:t>)</w:t>
            </w:r>
            <w:r w:rsidRPr="00C860FC">
              <w:t xml:space="preserve"> – whether casual employees can</w:t>
            </w:r>
            <w:r w:rsidR="00A70DBC">
              <w:t>not</w:t>
            </w:r>
            <w:r w:rsidRPr="00C860FC">
              <w:t xml:space="preserve"> engage in industrial action –</w:t>
            </w:r>
            <w:r w:rsidR="00407BA2">
              <w:t xml:space="preserve"> whether casual employees were obliged to accept or perform work </w:t>
            </w:r>
            <w:r w:rsidR="00407BA2" w:rsidRPr="00C860FC">
              <w:t>–</w:t>
            </w:r>
            <w:r w:rsidR="00407BA2">
              <w:t xml:space="preserve"> </w:t>
            </w:r>
            <w:r w:rsidRPr="009F5C86">
              <w:t>whether employees placed a ban on the performance</w:t>
            </w:r>
            <w:r w:rsidR="00973CF6">
              <w:t xml:space="preserve"> or acceptance</w:t>
            </w:r>
            <w:r w:rsidRPr="009F5C86">
              <w:t xml:space="preserve"> of building work</w:t>
            </w:r>
            <w:r w:rsidR="00584352" w:rsidRPr="00973CF6">
              <w:t xml:space="preserve"> </w:t>
            </w:r>
            <w:r w:rsidRPr="00973CF6">
              <w:t xml:space="preserve">– whether employees failed or refused to </w:t>
            </w:r>
            <w:r w:rsidR="00973CF6">
              <w:t>accept or perform</w:t>
            </w:r>
            <w:r w:rsidRPr="00973CF6">
              <w:t xml:space="preserve"> building work</w:t>
            </w:r>
            <w:r w:rsidR="00973CF6">
              <w:t xml:space="preserve"> </w:t>
            </w:r>
            <w:r w:rsidRPr="00973CF6">
              <w:t>– whether employees engaged</w:t>
            </w:r>
            <w:r w:rsidR="00584352" w:rsidRPr="00973CF6">
              <w:t xml:space="preserve"> in unlawful industrial action in breach of s 46 of the BCI Act</w:t>
            </w:r>
            <w:r w:rsidR="00C860FC">
              <w:t xml:space="preserve"> –</w:t>
            </w:r>
            <w:r w:rsidR="00A70DBC">
              <w:t xml:space="preserve"> </w:t>
            </w:r>
            <w:r w:rsidR="009F5C86">
              <w:t xml:space="preserve">whether Union organised unlawful industrial action </w:t>
            </w:r>
            <w:r w:rsidR="00C860FC">
              <w:t>with intent to coerce in breach of s 54 of the BCI Act</w:t>
            </w:r>
            <w:r w:rsidR="00973CF6">
              <w:t xml:space="preserve"> – declarations made</w:t>
            </w:r>
            <w:r w:rsidR="00954414" w:rsidRPr="00C860FC">
              <w:t xml:space="preserve"> </w:t>
            </w:r>
            <w:bookmarkEnd w:id="2"/>
          </w:p>
        </w:tc>
      </w:tr>
      <w:tr w:rsidR="00395B24" w:rsidTr="004F76E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954414" w:rsidTr="004F76E2">
        <w:tc>
          <w:tcPr>
            <w:tcW w:w="3085" w:type="dxa"/>
            <w:shd w:val="clear" w:color="auto" w:fill="auto"/>
          </w:tcPr>
          <w:p w:rsidR="00395B24" w:rsidRPr="00522C9B" w:rsidRDefault="002C7385" w:rsidP="00663878">
            <w:pPr>
              <w:pStyle w:val="Normal1linespace"/>
              <w:widowControl w:val="0"/>
              <w:jc w:val="left"/>
            </w:pPr>
            <w:r w:rsidRPr="00522C9B">
              <w:t>Legislation:</w:t>
            </w:r>
          </w:p>
        </w:tc>
        <w:tc>
          <w:tcPr>
            <w:tcW w:w="5989" w:type="dxa"/>
            <w:shd w:val="clear" w:color="auto" w:fill="auto"/>
          </w:tcPr>
          <w:p w:rsidR="009A4D1D" w:rsidRDefault="009A4D1D" w:rsidP="009A4D1D">
            <w:pPr>
              <w:pStyle w:val="CasesLegislationAppealFrom"/>
              <w:spacing w:after="60"/>
              <w:rPr>
                <w:i/>
              </w:rPr>
            </w:pPr>
            <w:bookmarkStart w:id="3" w:name="Legislation"/>
            <w:r>
              <w:rPr>
                <w:i/>
              </w:rPr>
              <w:t>Act</w:t>
            </w:r>
            <w:r w:rsidRPr="00181F12">
              <w:rPr>
                <w:i/>
              </w:rPr>
              <w:t xml:space="preserve">s Interpretation </w:t>
            </w:r>
            <w:r>
              <w:rPr>
                <w:i/>
              </w:rPr>
              <w:t>Act</w:t>
            </w:r>
            <w:r>
              <w:t xml:space="preserve"> </w:t>
            </w:r>
            <w:r w:rsidRPr="00A90815">
              <w:rPr>
                <w:i/>
              </w:rPr>
              <w:t>1901</w:t>
            </w:r>
            <w:r>
              <w:t xml:space="preserve"> (</w:t>
            </w:r>
            <w:proofErr w:type="spellStart"/>
            <w:r>
              <w:t>Cth</w:t>
            </w:r>
            <w:proofErr w:type="spellEnd"/>
            <w:r>
              <w:t>) s 23</w:t>
            </w:r>
          </w:p>
          <w:p w:rsidR="009A4D1D" w:rsidRDefault="009A4D1D" w:rsidP="009A4D1D">
            <w:pPr>
              <w:pStyle w:val="CasesLegislationAppealFrom"/>
              <w:spacing w:after="60"/>
            </w:pPr>
            <w:r w:rsidRPr="00845121">
              <w:rPr>
                <w:i/>
              </w:rPr>
              <w:t>Building and</w:t>
            </w:r>
            <w:r>
              <w:t xml:space="preserve"> </w:t>
            </w:r>
            <w:r w:rsidRPr="00845121">
              <w:rPr>
                <w:i/>
              </w:rPr>
              <w:t>Construction In</w:t>
            </w:r>
            <w:r>
              <w:rPr>
                <w:i/>
              </w:rPr>
              <w:t>dustry (Improving Productivity) Act</w:t>
            </w:r>
            <w:r w:rsidRPr="00845121">
              <w:rPr>
                <w:i/>
              </w:rPr>
              <w:t xml:space="preserve"> 2016</w:t>
            </w:r>
            <w:r>
              <w:t xml:space="preserve"> (</w:t>
            </w:r>
            <w:proofErr w:type="spellStart"/>
            <w:r>
              <w:t>Cth</w:t>
            </w:r>
            <w:proofErr w:type="spellEnd"/>
            <w:r>
              <w:t xml:space="preserve">) </w:t>
            </w:r>
            <w:proofErr w:type="spellStart"/>
            <w:r>
              <w:t>ss</w:t>
            </w:r>
            <w:proofErr w:type="spellEnd"/>
            <w:r>
              <w:t xml:space="preserve"> 5, 6, 7, 8, 45, 46, 54</w:t>
            </w:r>
            <w:r w:rsidR="00E94E85">
              <w:t xml:space="preserve"> and</w:t>
            </w:r>
            <w:r>
              <w:t xml:space="preserve"> 81</w:t>
            </w:r>
          </w:p>
          <w:p w:rsidR="009A4D1D" w:rsidRDefault="009A4D1D" w:rsidP="009A4D1D">
            <w:pPr>
              <w:pStyle w:val="CasesLegislationAppealFrom"/>
              <w:spacing w:after="60"/>
            </w:pPr>
            <w:r>
              <w:rPr>
                <w:i/>
              </w:rPr>
              <w:t xml:space="preserve">Evidence Act 1995 </w:t>
            </w:r>
            <w:r>
              <w:t>(</w:t>
            </w:r>
            <w:proofErr w:type="spellStart"/>
            <w:r>
              <w:t>Cth</w:t>
            </w:r>
            <w:proofErr w:type="spellEnd"/>
            <w:r>
              <w:t>) s 140</w:t>
            </w:r>
          </w:p>
          <w:p w:rsidR="009A4D1D" w:rsidRDefault="009A4D1D" w:rsidP="009A4D1D">
            <w:pPr>
              <w:pStyle w:val="CasesLegislationAppealFrom"/>
              <w:spacing w:after="60"/>
            </w:pPr>
            <w:r>
              <w:rPr>
                <w:i/>
              </w:rPr>
              <w:t xml:space="preserve">Fair Work Act 2009 </w:t>
            </w:r>
            <w:r>
              <w:t>(</w:t>
            </w:r>
            <w:proofErr w:type="spellStart"/>
            <w:r>
              <w:t>Cth</w:t>
            </w:r>
            <w:proofErr w:type="spellEnd"/>
            <w:r>
              <w:t xml:space="preserve">) </w:t>
            </w:r>
            <w:proofErr w:type="spellStart"/>
            <w:r>
              <w:t>ss</w:t>
            </w:r>
            <w:proofErr w:type="spellEnd"/>
            <w:r>
              <w:t xml:space="preserve"> 13, 19, 45, 50, 55, 61, 86, 95, 102, 114,123, 133, 172, 408, 409, 410, 411</w:t>
            </w:r>
            <w:r w:rsidR="00E94E85">
              <w:t xml:space="preserve"> and</w:t>
            </w:r>
            <w:r>
              <w:t xml:space="preserve"> 417</w:t>
            </w:r>
          </w:p>
          <w:p w:rsidR="00395B24" w:rsidRPr="00954414" w:rsidRDefault="009A4D1D" w:rsidP="009A4D1D">
            <w:pPr>
              <w:pStyle w:val="CasesLegislationAppealFrom"/>
              <w:spacing w:after="60"/>
              <w:rPr>
                <w:highlight w:val="yellow"/>
              </w:rPr>
            </w:pPr>
            <w:r w:rsidRPr="00C7456B">
              <w:rPr>
                <w:i/>
              </w:rPr>
              <w:t>Workplace Relations Act 1996</w:t>
            </w:r>
            <w:r>
              <w:t xml:space="preserve"> (</w:t>
            </w:r>
            <w:proofErr w:type="spellStart"/>
            <w:r>
              <w:t>Cth</w:t>
            </w:r>
            <w:proofErr w:type="spellEnd"/>
            <w:r>
              <w:t>) s 4</w:t>
            </w:r>
            <w:r w:rsidR="00954414" w:rsidRPr="00954414">
              <w:rPr>
                <w:highlight w:val="yellow"/>
              </w:rPr>
              <w:t xml:space="preserve"> </w:t>
            </w:r>
            <w:bookmarkEnd w:id="3"/>
          </w:p>
        </w:tc>
      </w:tr>
      <w:tr w:rsidR="00395B24" w:rsidTr="004F76E2">
        <w:tc>
          <w:tcPr>
            <w:tcW w:w="3085" w:type="dxa"/>
            <w:shd w:val="clear" w:color="auto" w:fill="auto"/>
          </w:tcPr>
          <w:p w:rsidR="00395B24" w:rsidRPr="00522C9B"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954414" w:rsidTr="004F76E2">
        <w:tc>
          <w:tcPr>
            <w:tcW w:w="3085" w:type="dxa"/>
            <w:shd w:val="clear" w:color="auto" w:fill="auto"/>
          </w:tcPr>
          <w:p w:rsidR="00395B24" w:rsidRPr="00522C9B" w:rsidRDefault="002C7385" w:rsidP="00663878">
            <w:pPr>
              <w:pStyle w:val="Normal1linespace"/>
              <w:widowControl w:val="0"/>
              <w:jc w:val="left"/>
            </w:pPr>
            <w:r w:rsidRPr="00522C9B">
              <w:t>Cases cited:</w:t>
            </w:r>
          </w:p>
        </w:tc>
        <w:tc>
          <w:tcPr>
            <w:tcW w:w="5989" w:type="dxa"/>
            <w:shd w:val="clear" w:color="auto" w:fill="auto"/>
          </w:tcPr>
          <w:p w:rsidR="00E52169" w:rsidRDefault="00E52169" w:rsidP="009A4D1D">
            <w:pPr>
              <w:pStyle w:val="CasesLegislationAppealFrom"/>
              <w:spacing w:after="60"/>
              <w:rPr>
                <w:i/>
              </w:rPr>
            </w:pPr>
            <w:bookmarkStart w:id="4" w:name="Cases_Cited"/>
            <w:r w:rsidRPr="009A4D1D">
              <w:rPr>
                <w:i/>
                <w:szCs w:val="24"/>
              </w:rPr>
              <w:t>Adams v Director of the Fair Work Building Industry Inspectorate</w:t>
            </w:r>
            <w:r w:rsidRPr="001D5EF3">
              <w:rPr>
                <w:szCs w:val="24"/>
              </w:rPr>
              <w:t xml:space="preserve"> (2017) 258 FC</w:t>
            </w:r>
            <w:r>
              <w:rPr>
                <w:szCs w:val="24"/>
              </w:rPr>
              <w:t>R 257</w:t>
            </w:r>
          </w:p>
          <w:p w:rsidR="00E52169" w:rsidRDefault="00E52169" w:rsidP="009A4D1D">
            <w:pPr>
              <w:pStyle w:val="CasesLegislationAppealFrom"/>
              <w:spacing w:after="60"/>
            </w:pPr>
            <w:r w:rsidRPr="009A4D1D">
              <w:rPr>
                <w:i/>
              </w:rPr>
              <w:t>Australian Building and Construction Commissioner v Construction, Forestry, Maritime, Mining and Energy Union (The Nine Brisbane Sites Appeal)</w:t>
            </w:r>
            <w:r w:rsidRPr="00CC47F4">
              <w:t xml:space="preserve"> </w:t>
            </w:r>
            <w:r w:rsidRPr="009A4D1D">
              <w:t>(2019) 269 FCR 262</w:t>
            </w:r>
          </w:p>
          <w:p w:rsidR="00E52169" w:rsidRDefault="00E52169" w:rsidP="009A4D1D">
            <w:pPr>
              <w:pStyle w:val="CasesLegislationAppealFrom"/>
              <w:spacing w:after="60"/>
              <w:rPr>
                <w:i/>
              </w:rPr>
            </w:pPr>
            <w:r>
              <w:rPr>
                <w:i/>
              </w:rPr>
              <w:t>A</w:t>
            </w:r>
            <w:r w:rsidRPr="00626680">
              <w:rPr>
                <w:i/>
              </w:rPr>
              <w:t xml:space="preserve">ustralian Building </w:t>
            </w:r>
            <w:r>
              <w:rPr>
                <w:i/>
              </w:rPr>
              <w:t xml:space="preserve">and </w:t>
            </w:r>
            <w:r w:rsidRPr="00626680">
              <w:rPr>
                <w:i/>
              </w:rPr>
              <w:t>Construction Commissioner v Parker</w:t>
            </w:r>
            <w:r>
              <w:t xml:space="preserve"> (2017) 266 IR 340</w:t>
            </w:r>
          </w:p>
          <w:p w:rsidR="00E52169" w:rsidRDefault="00E52169" w:rsidP="009A4D1D">
            <w:pPr>
              <w:pStyle w:val="CasesLegislationAppealFrom"/>
              <w:spacing w:after="60"/>
              <w:rPr>
                <w:i/>
              </w:rPr>
            </w:pPr>
            <w:r w:rsidRPr="003F0223">
              <w:rPr>
                <w:i/>
              </w:rPr>
              <w:t>Brodie v Singleton Shire Council</w:t>
            </w:r>
            <w:r w:rsidRPr="003F0223">
              <w:t xml:space="preserve"> (2001) 206 CLR 512</w:t>
            </w:r>
          </w:p>
          <w:p w:rsidR="00E52169" w:rsidRDefault="00E52169" w:rsidP="009A4D1D">
            <w:pPr>
              <w:pStyle w:val="CasesLegislationAppealFrom"/>
              <w:spacing w:after="60"/>
            </w:pPr>
            <w:r w:rsidRPr="003F0223">
              <w:rPr>
                <w:i/>
              </w:rPr>
              <w:t>Byrne v Australian Airlines Ltd</w:t>
            </w:r>
            <w:r w:rsidRPr="003F0223">
              <w:t xml:space="preserve"> (1995) 185 CLR 410</w:t>
            </w:r>
          </w:p>
          <w:p w:rsidR="00E52169" w:rsidRDefault="00E52169" w:rsidP="009A4D1D">
            <w:pPr>
              <w:pStyle w:val="CasesLegislationAppealFrom"/>
              <w:spacing w:after="60"/>
            </w:pPr>
            <w:r w:rsidRPr="00030CAF">
              <w:rPr>
                <w:i/>
              </w:rPr>
              <w:t xml:space="preserve">Commissioner of Stamp Duties v Permanent Trustee Co Ltd </w:t>
            </w:r>
            <w:r>
              <w:lastRenderedPageBreak/>
              <w:t>(1987) 9 NSWLR 719</w:t>
            </w:r>
          </w:p>
          <w:p w:rsidR="00E52169" w:rsidRDefault="00E52169" w:rsidP="009A4D1D">
            <w:pPr>
              <w:pStyle w:val="CasesLegislationAppealFrom"/>
              <w:spacing w:after="60"/>
            </w:pPr>
            <w:r w:rsidRPr="00292F16">
              <w:rPr>
                <w:i/>
                <w:szCs w:val="24"/>
              </w:rPr>
              <w:t>Communications</w:t>
            </w:r>
            <w:r>
              <w:rPr>
                <w:i/>
                <w:szCs w:val="24"/>
              </w:rPr>
              <w:t>,</w:t>
            </w:r>
            <w:r w:rsidRPr="00292F16">
              <w:rPr>
                <w:i/>
                <w:szCs w:val="24"/>
              </w:rPr>
              <w:t xml:space="preserve"> Electrical</w:t>
            </w:r>
            <w:r>
              <w:rPr>
                <w:i/>
                <w:szCs w:val="24"/>
              </w:rPr>
              <w:t>,</w:t>
            </w:r>
            <w:r w:rsidRPr="00292F16">
              <w:rPr>
                <w:i/>
                <w:szCs w:val="24"/>
              </w:rPr>
              <w:t xml:space="preserve"> Energy</w:t>
            </w:r>
            <w:r>
              <w:rPr>
                <w:i/>
                <w:szCs w:val="24"/>
              </w:rPr>
              <w:t>,</w:t>
            </w:r>
            <w:r w:rsidRPr="00292F16">
              <w:rPr>
                <w:i/>
                <w:szCs w:val="24"/>
              </w:rPr>
              <w:t xml:space="preserve"> Information</w:t>
            </w:r>
            <w:r>
              <w:rPr>
                <w:i/>
                <w:szCs w:val="24"/>
              </w:rPr>
              <w:t>,</w:t>
            </w:r>
            <w:r w:rsidRPr="00292F16">
              <w:rPr>
                <w:i/>
                <w:szCs w:val="24"/>
              </w:rPr>
              <w:t xml:space="preserve"> Postal</w:t>
            </w:r>
            <w:r>
              <w:rPr>
                <w:i/>
                <w:szCs w:val="24"/>
              </w:rPr>
              <w:t>,</w:t>
            </w:r>
            <w:r w:rsidRPr="00292F16">
              <w:rPr>
                <w:i/>
                <w:szCs w:val="24"/>
              </w:rPr>
              <w:t xml:space="preserve"> Plumbing and Allied Services Union of Australia v Laing </w:t>
            </w:r>
            <w:r w:rsidRPr="00292F16">
              <w:rPr>
                <w:szCs w:val="24"/>
              </w:rPr>
              <w:t>(1998) 89 FCR 17</w:t>
            </w:r>
          </w:p>
          <w:p w:rsidR="00E52169" w:rsidRDefault="00E52169" w:rsidP="009A4D1D">
            <w:pPr>
              <w:pStyle w:val="CasesLegislationAppealFrom"/>
              <w:spacing w:after="60"/>
            </w:pPr>
            <w:r w:rsidRPr="006B6C7B">
              <w:rPr>
                <w:i/>
              </w:rPr>
              <w:t xml:space="preserve">Construction, Forestry, Mining and Energy </w:t>
            </w:r>
            <w:r>
              <w:rPr>
                <w:i/>
              </w:rPr>
              <w:t>Union</w:t>
            </w:r>
            <w:r w:rsidRPr="006B6C7B">
              <w:rPr>
                <w:i/>
              </w:rPr>
              <w:t xml:space="preserve"> </w:t>
            </w:r>
            <w:r>
              <w:rPr>
                <w:i/>
              </w:rPr>
              <w:t xml:space="preserve">v </w:t>
            </w:r>
            <w:r w:rsidRPr="006B6C7B">
              <w:rPr>
                <w:i/>
              </w:rPr>
              <w:t xml:space="preserve">Australian Industrial Relations Commission </w:t>
            </w:r>
            <w:r>
              <w:t>(1998) 89 FCR 200</w:t>
            </w:r>
          </w:p>
          <w:p w:rsidR="00E52169" w:rsidRDefault="00E52169" w:rsidP="009A4D1D">
            <w:pPr>
              <w:pStyle w:val="CasesLegislationAppealFrom"/>
              <w:spacing w:after="60"/>
            </w:pPr>
            <w:proofErr w:type="spellStart"/>
            <w:r>
              <w:rPr>
                <w:i/>
              </w:rPr>
              <w:t>Damevski</w:t>
            </w:r>
            <w:proofErr w:type="spellEnd"/>
            <w:r>
              <w:rPr>
                <w:i/>
              </w:rPr>
              <w:t xml:space="preserve"> v </w:t>
            </w:r>
            <w:proofErr w:type="spellStart"/>
            <w:r>
              <w:rPr>
                <w:i/>
              </w:rPr>
              <w:t>Giudice</w:t>
            </w:r>
            <w:proofErr w:type="spellEnd"/>
            <w:r>
              <w:t xml:space="preserve"> (2003) </w:t>
            </w:r>
            <w:r w:rsidRPr="00DE6860">
              <w:t>133 FCR 438</w:t>
            </w:r>
          </w:p>
          <w:p w:rsidR="00E52169" w:rsidRDefault="00E52169" w:rsidP="009A4D1D">
            <w:pPr>
              <w:pStyle w:val="CasesLegislationAppealFrom"/>
              <w:spacing w:after="60"/>
            </w:pPr>
            <w:r w:rsidRPr="00B10792">
              <w:rPr>
                <w:i/>
              </w:rPr>
              <w:t xml:space="preserve">Doyle v Sydney Steel Co Ltd </w:t>
            </w:r>
            <w:r>
              <w:t>(1936) 56 CLR 545</w:t>
            </w:r>
          </w:p>
          <w:p w:rsidR="00E52169" w:rsidRDefault="00E52169" w:rsidP="009A4D1D">
            <w:pPr>
              <w:pStyle w:val="CasesLegislationAppealFrom"/>
              <w:spacing w:after="60"/>
            </w:pPr>
            <w:proofErr w:type="spellStart"/>
            <w:r w:rsidRPr="007126EB">
              <w:rPr>
                <w:i/>
              </w:rPr>
              <w:t>Empirnall</w:t>
            </w:r>
            <w:proofErr w:type="spellEnd"/>
            <w:r w:rsidRPr="007126EB">
              <w:rPr>
                <w:i/>
              </w:rPr>
              <w:t xml:space="preserve"> Holdings v </w:t>
            </w:r>
            <w:proofErr w:type="spellStart"/>
            <w:r w:rsidRPr="007126EB">
              <w:rPr>
                <w:i/>
              </w:rPr>
              <w:t>Machon</w:t>
            </w:r>
            <w:proofErr w:type="spellEnd"/>
            <w:r w:rsidRPr="007126EB">
              <w:rPr>
                <w:i/>
              </w:rPr>
              <w:t xml:space="preserve"> Paull</w:t>
            </w:r>
            <w:r>
              <w:rPr>
                <w:i/>
              </w:rPr>
              <w:t xml:space="preserve"> Partners Pty Ltd</w:t>
            </w:r>
            <w:r>
              <w:t xml:space="preserve"> (1988) 14 NSWLR 523</w:t>
            </w:r>
          </w:p>
          <w:p w:rsidR="00E52169" w:rsidRDefault="00E52169" w:rsidP="009A4D1D">
            <w:pPr>
              <w:pStyle w:val="CasesLegislationAppealFrom"/>
              <w:spacing w:after="60"/>
            </w:pPr>
            <w:r w:rsidRPr="00ED5178">
              <w:rPr>
                <w:i/>
              </w:rPr>
              <w:t>Fair Work Ombudsman v National Jet Systems Pty Ltd</w:t>
            </w:r>
            <w:r w:rsidRPr="00ED5178">
              <w:t xml:space="preserve"> (2012) 218 IR 436</w:t>
            </w:r>
          </w:p>
          <w:p w:rsidR="00E52169" w:rsidRDefault="00E52169" w:rsidP="009A4D1D">
            <w:pPr>
              <w:pStyle w:val="CasesLegislationAppealFrom"/>
              <w:spacing w:after="60"/>
            </w:pPr>
            <w:r w:rsidRPr="00ED5178">
              <w:rPr>
                <w:i/>
              </w:rPr>
              <w:t>Finance Sector Union of Australia v Commonwealth Bank of Australia</w:t>
            </w:r>
            <w:r>
              <w:t xml:space="preserve"> (2000) 106 FCR 16</w:t>
            </w:r>
          </w:p>
          <w:p w:rsidR="00E52169" w:rsidRDefault="00E52169" w:rsidP="009A4D1D">
            <w:pPr>
              <w:pStyle w:val="CasesLegislationAppealFrom"/>
              <w:spacing w:after="60"/>
            </w:pPr>
            <w:r w:rsidRPr="007126EB">
              <w:rPr>
                <w:i/>
              </w:rPr>
              <w:t xml:space="preserve">Hoh v Ying </w:t>
            </w:r>
            <w:proofErr w:type="spellStart"/>
            <w:r w:rsidRPr="007126EB">
              <w:rPr>
                <w:i/>
              </w:rPr>
              <w:t>Mui</w:t>
            </w:r>
            <w:proofErr w:type="spellEnd"/>
            <w:r w:rsidRPr="007126EB">
              <w:rPr>
                <w:i/>
              </w:rPr>
              <w:t xml:space="preserve"> Pty Ltd</w:t>
            </w:r>
            <w:r>
              <w:t xml:space="preserve"> [2019] VSCA 203 </w:t>
            </w:r>
          </w:p>
          <w:p w:rsidR="00E52169" w:rsidRDefault="00E52169" w:rsidP="009A4D1D">
            <w:pPr>
              <w:pStyle w:val="CasesLegislationAppealFrom"/>
              <w:spacing w:after="60"/>
            </w:pPr>
            <w:r w:rsidRPr="00B5407D">
              <w:rPr>
                <w:i/>
              </w:rPr>
              <w:t>John Holland</w:t>
            </w:r>
            <w:r>
              <w:rPr>
                <w:i/>
              </w:rPr>
              <w:t xml:space="preserve"> Pty Ltd v Construction, Forestry, Mining a</w:t>
            </w:r>
            <w:r w:rsidRPr="00B5407D">
              <w:rPr>
                <w:i/>
              </w:rPr>
              <w:t xml:space="preserve">nd Energy Union </w:t>
            </w:r>
            <w:r w:rsidRPr="00DE39BB">
              <w:rPr>
                <w:i/>
              </w:rPr>
              <w:t>(New South Wales Branch)</w:t>
            </w:r>
            <w:r>
              <w:t xml:space="preserve"> (2009) 178 FCR 461</w:t>
            </w:r>
          </w:p>
          <w:p w:rsidR="00E52169" w:rsidRDefault="00E52169" w:rsidP="009A4D1D">
            <w:pPr>
              <w:pStyle w:val="CasesLegislationAppealFrom"/>
              <w:spacing w:after="60"/>
            </w:pPr>
            <w:proofErr w:type="spellStart"/>
            <w:r w:rsidRPr="007126EB">
              <w:rPr>
                <w:i/>
              </w:rPr>
              <w:t>P</w:t>
            </w:r>
            <w:r>
              <w:rPr>
                <w:i/>
              </w:rPr>
              <w:t>’</w:t>
            </w:r>
            <w:r w:rsidRPr="007126EB">
              <w:rPr>
                <w:i/>
              </w:rPr>
              <w:t>Auer</w:t>
            </w:r>
            <w:proofErr w:type="spellEnd"/>
            <w:r w:rsidRPr="007126EB">
              <w:rPr>
                <w:i/>
              </w:rPr>
              <w:t xml:space="preserve"> AG v </w:t>
            </w:r>
            <w:proofErr w:type="spellStart"/>
            <w:r w:rsidRPr="007126EB">
              <w:rPr>
                <w:i/>
              </w:rPr>
              <w:t>Polybuild</w:t>
            </w:r>
            <w:proofErr w:type="spellEnd"/>
            <w:r w:rsidRPr="007126EB">
              <w:rPr>
                <w:i/>
              </w:rPr>
              <w:t xml:space="preserve"> Technologies International Pty Ltd</w:t>
            </w:r>
            <w:r>
              <w:t xml:space="preserve"> [2015] VSCA 42</w:t>
            </w:r>
          </w:p>
          <w:p w:rsidR="00E52169" w:rsidRDefault="00E52169" w:rsidP="009A4D1D">
            <w:pPr>
              <w:pStyle w:val="CasesLegislationAppealFrom"/>
              <w:spacing w:after="60"/>
            </w:pPr>
            <w:r>
              <w:rPr>
                <w:i/>
              </w:rPr>
              <w:t xml:space="preserve">Reed v Blue Line Cruises Limited </w:t>
            </w:r>
            <w:r>
              <w:t>(1996) 73 IR 420</w:t>
            </w:r>
          </w:p>
          <w:p w:rsidR="00E52169" w:rsidRDefault="00E52169" w:rsidP="009A4D1D">
            <w:pPr>
              <w:pStyle w:val="CasesLegislationAppealFrom"/>
              <w:spacing w:after="60"/>
            </w:pPr>
            <w:r w:rsidRPr="00ED5178">
              <w:rPr>
                <w:i/>
              </w:rPr>
              <w:t>Seven Network (Operations) Ltd v Communications, Electrical, Electronic, Energy, Information, Postal, Plumbing and Allied Services Union of Australia</w:t>
            </w:r>
            <w:r>
              <w:t xml:space="preserve"> (2001) 109 FCR 378</w:t>
            </w:r>
          </w:p>
          <w:p w:rsidR="00E52169" w:rsidRDefault="00E52169" w:rsidP="009A4D1D">
            <w:pPr>
              <w:pStyle w:val="CasesLegislationAppealFrom"/>
              <w:spacing w:after="60"/>
            </w:pPr>
            <w:r w:rsidRPr="00490FB0">
              <w:rPr>
                <w:i/>
              </w:rPr>
              <w:t>Shop, Distributive &amp; Allied Employees</w:t>
            </w:r>
            <w:r>
              <w:rPr>
                <w:i/>
              </w:rPr>
              <w:t>’</w:t>
            </w:r>
            <w:r w:rsidRPr="00490FB0">
              <w:rPr>
                <w:i/>
              </w:rPr>
              <w:t xml:space="preserve"> Association v Harris </w:t>
            </w:r>
            <w:proofErr w:type="spellStart"/>
            <w:r w:rsidRPr="00490FB0">
              <w:rPr>
                <w:i/>
              </w:rPr>
              <w:t>Scarfe</w:t>
            </w:r>
            <w:proofErr w:type="spellEnd"/>
            <w:r w:rsidRPr="00490FB0">
              <w:rPr>
                <w:i/>
              </w:rPr>
              <w:t xml:space="preserve"> Australia Pty Ltd</w:t>
            </w:r>
            <w:r>
              <w:t xml:space="preserve"> [2014] FCA 283</w:t>
            </w:r>
          </w:p>
          <w:p w:rsidR="00E52169" w:rsidRDefault="00E52169" w:rsidP="009A4D1D">
            <w:pPr>
              <w:pStyle w:val="CasesLegislationAppealFrom"/>
              <w:spacing w:after="60"/>
            </w:pPr>
            <w:r w:rsidRPr="00ED5178">
              <w:rPr>
                <w:i/>
              </w:rPr>
              <w:t>Victoria v Construction, Forestry, Mining and Energy Union</w:t>
            </w:r>
            <w:r>
              <w:t xml:space="preserve"> (2013) 218 FCR 172</w:t>
            </w:r>
          </w:p>
          <w:p w:rsidR="00E52169" w:rsidRDefault="00E52169" w:rsidP="009A4D1D">
            <w:pPr>
              <w:pStyle w:val="CasesLegislationAppealFrom"/>
              <w:spacing w:after="60"/>
            </w:pPr>
            <w:r w:rsidRPr="00ED5178">
              <w:rPr>
                <w:i/>
              </w:rPr>
              <w:t>Williams v Construction, Forestry, Mining and Energy Union</w:t>
            </w:r>
            <w:r w:rsidRPr="00ED5178">
              <w:t xml:space="preserve"> (2009) 179 IR 441</w:t>
            </w:r>
          </w:p>
          <w:p w:rsidR="00E52169" w:rsidRDefault="00E52169" w:rsidP="009A4D1D">
            <w:pPr>
              <w:pStyle w:val="CasesLegislationAppealFrom"/>
              <w:spacing w:after="60"/>
            </w:pPr>
            <w:proofErr w:type="spellStart"/>
            <w:r>
              <w:rPr>
                <w:i/>
              </w:rPr>
              <w:t>WorkPac</w:t>
            </w:r>
            <w:proofErr w:type="spellEnd"/>
            <w:r>
              <w:rPr>
                <w:i/>
              </w:rPr>
              <w:t xml:space="preserve"> Pty Ltd v </w:t>
            </w:r>
            <w:proofErr w:type="spellStart"/>
            <w:r>
              <w:rPr>
                <w:i/>
              </w:rPr>
              <w:t>Rossato</w:t>
            </w:r>
            <w:proofErr w:type="spellEnd"/>
            <w:r>
              <w:rPr>
                <w:i/>
              </w:rPr>
              <w:t xml:space="preserve"> </w:t>
            </w:r>
            <w:r>
              <w:t>[2020] FCAFC 84</w:t>
            </w:r>
          </w:p>
          <w:p w:rsidR="00395B24" w:rsidRPr="00954414" w:rsidRDefault="00E52169" w:rsidP="00E52169">
            <w:pPr>
              <w:pStyle w:val="CasesLegislationAppealFrom"/>
              <w:spacing w:after="60"/>
              <w:rPr>
                <w:highlight w:val="yellow"/>
              </w:rPr>
            </w:pPr>
            <w:proofErr w:type="spellStart"/>
            <w:r w:rsidRPr="001869DF">
              <w:rPr>
                <w:i/>
              </w:rPr>
              <w:t>WorkPac</w:t>
            </w:r>
            <w:proofErr w:type="spellEnd"/>
            <w:r w:rsidRPr="001869DF">
              <w:rPr>
                <w:i/>
              </w:rPr>
              <w:t xml:space="preserve"> Pty Ltd v Skene </w:t>
            </w:r>
            <w:r>
              <w:t>(2018) 264 FCR 536</w:t>
            </w:r>
            <w:r w:rsidR="00954414" w:rsidRPr="00954414">
              <w:rPr>
                <w:highlight w:val="yellow"/>
              </w:rPr>
              <w:t xml:space="preserve"> </w:t>
            </w:r>
            <w:bookmarkEnd w:id="4"/>
          </w:p>
        </w:tc>
      </w:tr>
      <w:tr w:rsidR="004F76E2" w:rsidRPr="004F76E2" w:rsidTr="004F76E2">
        <w:tc>
          <w:tcPr>
            <w:tcW w:w="3085" w:type="dxa"/>
            <w:shd w:val="clear" w:color="auto" w:fill="auto"/>
          </w:tcPr>
          <w:p w:rsidR="004F76E2" w:rsidRPr="004F76E2" w:rsidRDefault="004F76E2" w:rsidP="004F76E2">
            <w:pPr>
              <w:pStyle w:val="Normal1linespace"/>
              <w:jc w:val="left"/>
            </w:pPr>
          </w:p>
        </w:tc>
        <w:tc>
          <w:tcPr>
            <w:tcW w:w="5989" w:type="dxa"/>
            <w:shd w:val="clear" w:color="auto" w:fill="auto"/>
          </w:tcPr>
          <w:p w:rsidR="004F76E2" w:rsidRPr="004F76E2" w:rsidRDefault="004F76E2" w:rsidP="004F76E2">
            <w:pPr>
              <w:pStyle w:val="Normal1linespace"/>
              <w:jc w:val="left"/>
            </w:pPr>
          </w:p>
        </w:tc>
      </w:tr>
      <w:tr w:rsidR="004F76E2" w:rsidRPr="004F76E2" w:rsidTr="004F76E2">
        <w:tc>
          <w:tcPr>
            <w:tcW w:w="3085" w:type="dxa"/>
            <w:shd w:val="clear" w:color="auto" w:fill="auto"/>
          </w:tcPr>
          <w:p w:rsidR="004F76E2" w:rsidRPr="004F76E2" w:rsidRDefault="004F76E2" w:rsidP="004F76E2">
            <w:pPr>
              <w:pStyle w:val="Normal1linespace"/>
              <w:jc w:val="left"/>
            </w:pPr>
            <w:bookmarkStart w:id="5" w:name="CounselDate" w:colFirst="0" w:colLast="2"/>
            <w:r w:rsidRPr="004F76E2">
              <w:t>Date of hearing:</w:t>
            </w:r>
          </w:p>
        </w:tc>
        <w:tc>
          <w:tcPr>
            <w:tcW w:w="5989" w:type="dxa"/>
            <w:shd w:val="clear" w:color="auto" w:fill="auto"/>
          </w:tcPr>
          <w:p w:rsidR="004F76E2" w:rsidRPr="004F76E2" w:rsidRDefault="004F76E2" w:rsidP="004F76E2">
            <w:pPr>
              <w:pStyle w:val="Normal1linespace"/>
              <w:jc w:val="left"/>
            </w:pPr>
            <w:bookmarkStart w:id="6" w:name="HearingDate"/>
            <w:r>
              <w:t>9</w:t>
            </w:r>
            <w:r w:rsidR="00F442C7">
              <w:t xml:space="preserve">, 11 and </w:t>
            </w:r>
            <w:r>
              <w:t>12 March 2020</w:t>
            </w:r>
            <w:bookmarkEnd w:id="6"/>
          </w:p>
        </w:tc>
      </w:tr>
      <w:tr w:rsidR="004F76E2" w:rsidRPr="004F76E2" w:rsidTr="004F76E2">
        <w:tc>
          <w:tcPr>
            <w:tcW w:w="3085" w:type="dxa"/>
            <w:shd w:val="clear" w:color="auto" w:fill="auto"/>
          </w:tcPr>
          <w:p w:rsidR="004F76E2" w:rsidRPr="004F76E2" w:rsidRDefault="004F76E2" w:rsidP="004F76E2">
            <w:pPr>
              <w:pStyle w:val="Normal1linespace"/>
              <w:jc w:val="left"/>
            </w:pPr>
          </w:p>
        </w:tc>
        <w:tc>
          <w:tcPr>
            <w:tcW w:w="5989" w:type="dxa"/>
            <w:shd w:val="clear" w:color="auto" w:fill="auto"/>
          </w:tcPr>
          <w:p w:rsidR="004F76E2" w:rsidRPr="004F76E2" w:rsidRDefault="004F76E2" w:rsidP="004F76E2">
            <w:pPr>
              <w:pStyle w:val="Normal1linespace"/>
              <w:jc w:val="left"/>
            </w:pPr>
          </w:p>
        </w:tc>
      </w:tr>
      <w:tr w:rsidR="004F76E2" w:rsidRPr="004F76E2" w:rsidTr="004F76E2">
        <w:tc>
          <w:tcPr>
            <w:tcW w:w="3085" w:type="dxa"/>
            <w:shd w:val="clear" w:color="auto" w:fill="auto"/>
          </w:tcPr>
          <w:p w:rsidR="004F76E2" w:rsidRPr="004F76E2" w:rsidRDefault="004F76E2" w:rsidP="004F76E2">
            <w:pPr>
              <w:pStyle w:val="Normal1linespace"/>
              <w:jc w:val="left"/>
            </w:pPr>
            <w:r w:rsidRPr="004F76E2">
              <w:t>Date of last submissions:</w:t>
            </w:r>
          </w:p>
        </w:tc>
        <w:tc>
          <w:tcPr>
            <w:tcW w:w="5989" w:type="dxa"/>
            <w:shd w:val="clear" w:color="auto" w:fill="auto"/>
          </w:tcPr>
          <w:p w:rsidR="004F76E2" w:rsidRDefault="004F76E2" w:rsidP="004F76E2">
            <w:pPr>
              <w:pStyle w:val="Normal1linespace"/>
              <w:jc w:val="left"/>
            </w:pPr>
            <w:r>
              <w:t>20 March 2020 (Applicant)</w:t>
            </w:r>
          </w:p>
          <w:p w:rsidR="004F76E2" w:rsidRPr="004F76E2" w:rsidRDefault="004F76E2" w:rsidP="004F76E2">
            <w:pPr>
              <w:pStyle w:val="Normal1linespace"/>
              <w:jc w:val="left"/>
            </w:pPr>
            <w:r>
              <w:t>20 March 2020 (Respondent)</w:t>
            </w:r>
          </w:p>
        </w:tc>
      </w:tr>
      <w:bookmarkEnd w:id="5"/>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t>Registry:</w:t>
            </w:r>
          </w:p>
        </w:tc>
        <w:tc>
          <w:tcPr>
            <w:tcW w:w="5989" w:type="dxa"/>
            <w:shd w:val="clear" w:color="auto" w:fill="auto"/>
          </w:tcPr>
          <w:p w:rsidR="004F76E2" w:rsidRPr="00F17599" w:rsidRDefault="00585423" w:rsidP="004F76E2">
            <w:pPr>
              <w:pStyle w:val="Normal1linespace"/>
              <w:widowControl w:val="0"/>
              <w:jc w:val="left"/>
            </w:pPr>
            <w:r>
              <w:fldChar w:fldCharType="begin" w:fldLock="1"/>
            </w:r>
            <w:r>
              <w:instrText xml:space="preserve"> DOCPROPERTY  Registry </w:instrText>
            </w:r>
            <w:r>
              <w:fldChar w:fldCharType="separate"/>
            </w:r>
            <w:r w:rsidR="004F76E2">
              <w:t>Queensland</w:t>
            </w:r>
            <w:r>
              <w:fldChar w:fldCharType="end"/>
            </w:r>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t>Division:</w:t>
            </w:r>
          </w:p>
        </w:tc>
        <w:tc>
          <w:tcPr>
            <w:tcW w:w="5989" w:type="dxa"/>
            <w:shd w:val="clear" w:color="auto" w:fill="auto"/>
          </w:tcPr>
          <w:p w:rsidR="004F76E2" w:rsidRPr="00F17599" w:rsidRDefault="00585423" w:rsidP="00BB609E">
            <w:pPr>
              <w:pStyle w:val="Normal1linespace"/>
              <w:widowControl w:val="0"/>
              <w:jc w:val="left"/>
            </w:pPr>
            <w:r>
              <w:fldChar w:fldCharType="begin" w:fldLock="1"/>
            </w:r>
            <w:r>
              <w:instrText xml:space="preserve"> DOCPROPERTY  Division </w:instrText>
            </w:r>
            <w:r>
              <w:fldChar w:fldCharType="separate"/>
            </w:r>
            <w:r w:rsidR="00BB609E">
              <w:t>Fair Wok</w:t>
            </w:r>
            <w:r w:rsidR="004F76E2">
              <w:t xml:space="preserve"> Division</w:t>
            </w:r>
            <w:r>
              <w:fldChar w:fldCharType="end"/>
            </w:r>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Pr="00F17599" w:rsidRDefault="004F76E2" w:rsidP="004F76E2">
            <w:pPr>
              <w:pStyle w:val="Normal1linespace"/>
              <w:widowControl w:val="0"/>
              <w:jc w:val="left"/>
              <w:rPr>
                <w:b/>
              </w:rPr>
            </w:pPr>
          </w:p>
        </w:tc>
      </w:tr>
      <w:tr w:rsidR="004F76E2" w:rsidTr="004F76E2">
        <w:tc>
          <w:tcPr>
            <w:tcW w:w="3085" w:type="dxa"/>
            <w:shd w:val="clear" w:color="auto" w:fill="auto"/>
          </w:tcPr>
          <w:p w:rsidR="004F76E2" w:rsidRDefault="004F76E2" w:rsidP="0052057A">
            <w:pPr>
              <w:pStyle w:val="Normal1linespace"/>
              <w:widowControl w:val="0"/>
              <w:jc w:val="left"/>
            </w:pPr>
            <w:r>
              <w:t xml:space="preserve">National </w:t>
            </w:r>
            <w:r w:rsidR="0052057A">
              <w:t xml:space="preserve">Practice </w:t>
            </w:r>
            <w:r>
              <w:t>Area:</w:t>
            </w:r>
          </w:p>
        </w:tc>
        <w:tc>
          <w:tcPr>
            <w:tcW w:w="5989" w:type="dxa"/>
            <w:shd w:val="clear" w:color="auto" w:fill="auto"/>
          </w:tcPr>
          <w:p w:rsidR="004F76E2" w:rsidRPr="00F17599" w:rsidRDefault="00D65600" w:rsidP="004F76E2">
            <w:pPr>
              <w:pStyle w:val="Normal1linespace"/>
              <w:widowControl w:val="0"/>
              <w:jc w:val="left"/>
              <w:rPr>
                <w:b/>
              </w:rPr>
            </w:pPr>
            <w:fldSimple w:instr=" DOCPROPERTY  &quot;Practice Area&quot;  \* MERGEFORMAT " w:fldLock="1">
              <w:r w:rsidR="004F76E2">
                <w:t>Employment &amp; Industrial Relations</w:t>
              </w:r>
            </w:fldSimple>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lastRenderedPageBreak/>
              <w:t>Category:</w:t>
            </w:r>
          </w:p>
        </w:tc>
        <w:tc>
          <w:tcPr>
            <w:tcW w:w="5989" w:type="dxa"/>
            <w:shd w:val="clear" w:color="auto" w:fill="auto"/>
          </w:tcPr>
          <w:p w:rsidR="004F76E2" w:rsidRPr="00191D6A" w:rsidRDefault="004F76E2" w:rsidP="004F76E2">
            <w:pPr>
              <w:pStyle w:val="Normal1linespace"/>
              <w:widowControl w:val="0"/>
              <w:jc w:val="left"/>
            </w:pPr>
            <w:r w:rsidRPr="00191D6A">
              <w:t>Catchwords</w:t>
            </w:r>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t>Number of paragraphs:</w:t>
            </w:r>
          </w:p>
        </w:tc>
        <w:tc>
          <w:tcPr>
            <w:tcW w:w="5989" w:type="dxa"/>
            <w:shd w:val="clear" w:color="auto" w:fill="auto"/>
          </w:tcPr>
          <w:p w:rsidR="004F76E2" w:rsidRDefault="00E52169" w:rsidP="004F76E2">
            <w:pPr>
              <w:pStyle w:val="Normal1linespace"/>
              <w:widowControl w:val="0"/>
              <w:jc w:val="left"/>
            </w:pPr>
            <w:bookmarkStart w:id="7" w:name="PlaceCategoryParagraphs"/>
            <w:r>
              <w:t>168</w:t>
            </w:r>
            <w:bookmarkEnd w:id="7"/>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bookmarkStart w:id="8" w:name="Counsel" w:colFirst="0" w:colLast="2"/>
            <w:r>
              <w:t>Counsel for the Applicant:</w:t>
            </w:r>
          </w:p>
        </w:tc>
        <w:tc>
          <w:tcPr>
            <w:tcW w:w="5989" w:type="dxa"/>
            <w:shd w:val="clear" w:color="auto" w:fill="auto"/>
          </w:tcPr>
          <w:p w:rsidR="004F76E2" w:rsidRDefault="00C816D2" w:rsidP="004F76E2">
            <w:pPr>
              <w:pStyle w:val="Normal1linespace"/>
              <w:widowControl w:val="0"/>
              <w:jc w:val="left"/>
            </w:pPr>
            <w:bookmarkStart w:id="9" w:name="AppCounsel"/>
            <w:bookmarkEnd w:id="9"/>
            <w:r>
              <w:t>Mr </w:t>
            </w:r>
            <w:r w:rsidR="004F76E2">
              <w:t xml:space="preserve">J Bourke QC with </w:t>
            </w:r>
            <w:r>
              <w:t>Mr </w:t>
            </w:r>
            <w:r w:rsidR="004F76E2">
              <w:t>A Denton</w:t>
            </w:r>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t>Solicitor for the Applicant:</w:t>
            </w:r>
          </w:p>
        </w:tc>
        <w:tc>
          <w:tcPr>
            <w:tcW w:w="5989" w:type="dxa"/>
            <w:shd w:val="clear" w:color="auto" w:fill="auto"/>
          </w:tcPr>
          <w:p w:rsidR="004F76E2" w:rsidRDefault="004F76E2" w:rsidP="004F76E2">
            <w:pPr>
              <w:pStyle w:val="Normal1linespace"/>
              <w:widowControl w:val="0"/>
              <w:jc w:val="left"/>
            </w:pPr>
            <w:r>
              <w:t>Norton Rose Fulbright</w:t>
            </w:r>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t>Counsel for the Respondents:</w:t>
            </w:r>
          </w:p>
        </w:tc>
        <w:tc>
          <w:tcPr>
            <w:tcW w:w="5989" w:type="dxa"/>
            <w:shd w:val="clear" w:color="auto" w:fill="auto"/>
          </w:tcPr>
          <w:p w:rsidR="004F76E2" w:rsidRDefault="00C816D2" w:rsidP="004F76E2">
            <w:pPr>
              <w:pStyle w:val="Normal1linespace"/>
              <w:widowControl w:val="0"/>
              <w:jc w:val="left"/>
            </w:pPr>
            <w:r>
              <w:t>Mr </w:t>
            </w:r>
            <w:r w:rsidR="004F76E2">
              <w:t xml:space="preserve">R Kenzie QC with </w:t>
            </w:r>
            <w:r>
              <w:t>Mr </w:t>
            </w:r>
            <w:r w:rsidR="004F76E2">
              <w:t>C Massy</w:t>
            </w:r>
          </w:p>
        </w:tc>
      </w:tr>
      <w:tr w:rsidR="004F76E2" w:rsidTr="004F76E2">
        <w:tc>
          <w:tcPr>
            <w:tcW w:w="3085" w:type="dxa"/>
            <w:shd w:val="clear" w:color="auto" w:fill="auto"/>
          </w:tcPr>
          <w:p w:rsidR="004F76E2" w:rsidRDefault="004F76E2" w:rsidP="004F76E2">
            <w:pPr>
              <w:pStyle w:val="Normal1linespace"/>
              <w:widowControl w:val="0"/>
              <w:jc w:val="left"/>
            </w:pPr>
          </w:p>
        </w:tc>
        <w:tc>
          <w:tcPr>
            <w:tcW w:w="5989" w:type="dxa"/>
            <w:shd w:val="clear" w:color="auto" w:fill="auto"/>
          </w:tcPr>
          <w:p w:rsidR="004F76E2" w:rsidRDefault="004F76E2" w:rsidP="004F76E2">
            <w:pPr>
              <w:pStyle w:val="Normal1linespace"/>
              <w:widowControl w:val="0"/>
              <w:jc w:val="left"/>
            </w:pPr>
          </w:p>
        </w:tc>
      </w:tr>
      <w:tr w:rsidR="004F76E2" w:rsidTr="004F76E2">
        <w:tc>
          <w:tcPr>
            <w:tcW w:w="3085" w:type="dxa"/>
            <w:shd w:val="clear" w:color="auto" w:fill="auto"/>
          </w:tcPr>
          <w:p w:rsidR="004F76E2" w:rsidRDefault="004F76E2" w:rsidP="004F76E2">
            <w:pPr>
              <w:pStyle w:val="Normal1linespace"/>
              <w:widowControl w:val="0"/>
              <w:jc w:val="left"/>
            </w:pPr>
            <w:r>
              <w:t>Solicitor for the Respondents:</w:t>
            </w:r>
          </w:p>
        </w:tc>
        <w:tc>
          <w:tcPr>
            <w:tcW w:w="5989" w:type="dxa"/>
            <w:shd w:val="clear" w:color="auto" w:fill="auto"/>
          </w:tcPr>
          <w:p w:rsidR="004F76E2" w:rsidRDefault="004F76E2" w:rsidP="004F76E2">
            <w:pPr>
              <w:pStyle w:val="Normal1linespace"/>
              <w:widowControl w:val="0"/>
              <w:jc w:val="left"/>
            </w:pPr>
            <w:r>
              <w:t>Hall Payne Lawyers</w:t>
            </w:r>
          </w:p>
        </w:tc>
      </w:tr>
      <w:bookmarkEnd w:id="8"/>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F243F" w:rsidP="00F92355">
            <w:pPr>
              <w:pStyle w:val="NormalHeadings"/>
              <w:jc w:val="right"/>
            </w:pPr>
            <w:bookmarkStart w:id="10" w:name="FileNo"/>
            <w:r>
              <w:t>QUD 228 of 2019</w:t>
            </w:r>
            <w:bookmarkEnd w:id="10"/>
          </w:p>
        </w:tc>
      </w:tr>
      <w:tr w:rsidR="00A76C13" w:rsidTr="004C08EB">
        <w:tc>
          <w:tcPr>
            <w:tcW w:w="9242" w:type="dxa"/>
            <w:gridSpan w:val="3"/>
          </w:tcPr>
          <w:p w:rsidR="00A76C13" w:rsidRPr="00A76C13" w:rsidRDefault="009F243F" w:rsidP="009F243F">
            <w:pPr>
              <w:pStyle w:val="NormalHeadings"/>
              <w:jc w:val="left"/>
            </w:pPr>
            <w:bookmarkStart w:id="11" w:name="InTheMatterOf"/>
            <w:r>
              <w:t xml:space="preserve"> </w:t>
            </w:r>
            <w:bookmarkEnd w:id="11"/>
          </w:p>
        </w:tc>
      </w:tr>
      <w:tr w:rsidR="00A46CCC" w:rsidTr="004C08EB">
        <w:trPr>
          <w:trHeight w:val="386"/>
        </w:trPr>
        <w:tc>
          <w:tcPr>
            <w:tcW w:w="2376" w:type="dxa"/>
          </w:tcPr>
          <w:p w:rsidR="00A46CCC" w:rsidRDefault="00A46CCC" w:rsidP="004C08EB">
            <w:pPr>
              <w:pStyle w:val="NormalHeadings"/>
              <w:jc w:val="left"/>
              <w:rPr>
                <w:caps/>
                <w:szCs w:val="24"/>
              </w:rPr>
            </w:pPr>
            <w:bookmarkStart w:id="12" w:name="Parties"/>
            <w:r>
              <w:rPr>
                <w:caps/>
                <w:szCs w:val="24"/>
              </w:rPr>
              <w:t>BETWEEN:</w:t>
            </w:r>
          </w:p>
        </w:tc>
        <w:tc>
          <w:tcPr>
            <w:tcW w:w="6866" w:type="dxa"/>
            <w:gridSpan w:val="2"/>
          </w:tcPr>
          <w:p w:rsidR="009F243F" w:rsidRDefault="009F243F" w:rsidP="009F243F">
            <w:pPr>
              <w:pStyle w:val="NormalHeadings"/>
              <w:jc w:val="left"/>
            </w:pPr>
            <w:bookmarkStart w:id="13" w:name="Applicant"/>
            <w:r>
              <w:t>AUSTRALIAN BUILDING AND CONSTRUCTION COMMISSIONER</w:t>
            </w:r>
          </w:p>
          <w:p w:rsidR="009F243F" w:rsidRDefault="009F243F" w:rsidP="009F243F">
            <w:pPr>
              <w:pStyle w:val="PartyType"/>
            </w:pPr>
            <w:r>
              <w:t>Applicant</w:t>
            </w:r>
          </w:p>
          <w:bookmarkEnd w:id="13"/>
          <w:p w:rsidR="00A46CCC" w:rsidRPr="006555B4" w:rsidRDefault="00A46CCC" w:rsidP="00B43A74">
            <w:pPr>
              <w:pStyle w:val="NormalHeadings"/>
              <w:jc w:val="left"/>
            </w:pPr>
          </w:p>
        </w:tc>
      </w:tr>
      <w:tr w:rsidR="00A46CCC" w:rsidTr="004C08EB">
        <w:trPr>
          <w:trHeight w:val="386"/>
        </w:trPr>
        <w:tc>
          <w:tcPr>
            <w:tcW w:w="2376" w:type="dxa"/>
          </w:tcPr>
          <w:p w:rsidR="00A46CCC" w:rsidRDefault="00A46CCC" w:rsidP="004C08EB">
            <w:pPr>
              <w:pStyle w:val="NormalHeadings"/>
              <w:jc w:val="left"/>
              <w:rPr>
                <w:caps/>
                <w:szCs w:val="24"/>
              </w:rPr>
            </w:pPr>
            <w:r>
              <w:rPr>
                <w:caps/>
                <w:szCs w:val="24"/>
              </w:rPr>
              <w:t>AND:</w:t>
            </w:r>
          </w:p>
        </w:tc>
        <w:tc>
          <w:tcPr>
            <w:tcW w:w="6866" w:type="dxa"/>
            <w:gridSpan w:val="2"/>
          </w:tcPr>
          <w:p w:rsidR="009F243F" w:rsidRDefault="009F243F" w:rsidP="009F243F">
            <w:pPr>
              <w:pStyle w:val="NormalHeadings"/>
              <w:jc w:val="left"/>
            </w:pPr>
            <w:bookmarkStart w:id="14" w:name="Respondent"/>
            <w:r>
              <w:t xml:space="preserve">CONSTRUCTION, FORESTRY, MARITIME, MINING AND ENERGY </w:t>
            </w:r>
            <w:r w:rsidR="00D96C46">
              <w:t>UNION</w:t>
            </w:r>
          </w:p>
          <w:p w:rsidR="009F243F" w:rsidRDefault="009F243F" w:rsidP="009F243F">
            <w:pPr>
              <w:pStyle w:val="PartyType"/>
            </w:pPr>
            <w:r>
              <w:t>First Respondent</w:t>
            </w:r>
          </w:p>
          <w:p w:rsidR="009F243F" w:rsidRDefault="009F243F" w:rsidP="00B43A74">
            <w:pPr>
              <w:pStyle w:val="NormalHeadings"/>
              <w:jc w:val="left"/>
            </w:pPr>
          </w:p>
          <w:p w:rsidR="009F243F" w:rsidRDefault="009F243F" w:rsidP="009F243F">
            <w:pPr>
              <w:pStyle w:val="NormalHeadings"/>
              <w:jc w:val="left"/>
            </w:pPr>
            <w:r>
              <w:t>GRANT HARRADINE</w:t>
            </w:r>
          </w:p>
          <w:p w:rsidR="009F243F" w:rsidRDefault="009F243F" w:rsidP="009F243F">
            <w:pPr>
              <w:pStyle w:val="PartyType"/>
            </w:pPr>
            <w:r>
              <w:t>Second Respondent</w:t>
            </w:r>
          </w:p>
          <w:p w:rsidR="009F243F" w:rsidRDefault="009F243F" w:rsidP="00B43A74">
            <w:pPr>
              <w:pStyle w:val="NormalHeadings"/>
              <w:jc w:val="left"/>
            </w:pPr>
          </w:p>
          <w:p w:rsidR="009F243F" w:rsidRDefault="009F243F" w:rsidP="009F243F">
            <w:pPr>
              <w:pStyle w:val="NormalHeadings"/>
              <w:jc w:val="left"/>
            </w:pPr>
            <w:r>
              <w:t xml:space="preserve">WALTER BENEDITO </w:t>
            </w:r>
            <w:r w:rsidRPr="009F243F">
              <w:rPr>
                <w:b w:val="0"/>
              </w:rPr>
              <w:t>(and others named in the Schedule)</w:t>
            </w:r>
          </w:p>
          <w:p w:rsidR="009F243F" w:rsidRDefault="009F243F" w:rsidP="009F243F">
            <w:pPr>
              <w:pStyle w:val="PartyType"/>
            </w:pPr>
            <w:r>
              <w:t>Third Respondent</w:t>
            </w:r>
          </w:p>
          <w:bookmarkEnd w:id="14"/>
          <w:p w:rsidR="00A46CCC" w:rsidRPr="006555B4" w:rsidRDefault="00A46CCC" w:rsidP="00B43A74">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F243F">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9F243F">
            <w:pPr>
              <w:pStyle w:val="NormalHeadings"/>
              <w:jc w:val="left"/>
              <w:rPr>
                <w:caps/>
                <w:szCs w:val="24"/>
              </w:rPr>
            </w:pPr>
            <w:bookmarkStart w:id="17" w:name="Judge"/>
            <w:r>
              <w:rPr>
                <w:caps/>
                <w:szCs w:val="24"/>
              </w:rPr>
              <w:t>RANGIAH J</w:t>
            </w:r>
            <w:bookmarkEnd w:id="17"/>
          </w:p>
        </w:tc>
      </w:tr>
      <w:tr w:rsidR="00395B24" w:rsidTr="00E73F22">
        <w:tc>
          <w:tcPr>
            <w:tcW w:w="2376" w:type="dxa"/>
            <w:shd w:val="clear" w:color="auto" w:fill="auto"/>
          </w:tcPr>
          <w:p w:rsidR="00395B24" w:rsidRPr="00E73F22" w:rsidRDefault="002C7385">
            <w:pPr>
              <w:pStyle w:val="NormalHeadings"/>
              <w:spacing w:after="120"/>
              <w:jc w:val="left"/>
              <w:rPr>
                <w:caps/>
                <w:szCs w:val="24"/>
              </w:rPr>
            </w:pPr>
            <w:r w:rsidRPr="00E73F22">
              <w:rPr>
                <w:caps/>
                <w:szCs w:val="24"/>
              </w:rPr>
              <w:t>DATE OF ORDER:</w:t>
            </w:r>
          </w:p>
        </w:tc>
        <w:tc>
          <w:tcPr>
            <w:tcW w:w="6866" w:type="dxa"/>
            <w:shd w:val="clear" w:color="auto" w:fill="auto"/>
          </w:tcPr>
          <w:p w:rsidR="00395B24" w:rsidRDefault="00E73F22">
            <w:pPr>
              <w:pStyle w:val="NormalHeadings"/>
              <w:jc w:val="left"/>
              <w:rPr>
                <w:caps/>
                <w:szCs w:val="24"/>
              </w:rPr>
            </w:pPr>
            <w:bookmarkStart w:id="18" w:name="Judgment_Dated"/>
            <w:r w:rsidRPr="00E73F22">
              <w:rPr>
                <w:caps/>
                <w:szCs w:val="24"/>
              </w:rPr>
              <w:t>10</w:t>
            </w:r>
            <w:r w:rsidR="00956CE2" w:rsidRPr="00E73F22">
              <w:rPr>
                <w:caps/>
                <w:szCs w:val="24"/>
              </w:rPr>
              <w:t xml:space="preserve"> JULY</w:t>
            </w:r>
            <w:r w:rsidR="009F243F" w:rsidRPr="00E73F22">
              <w:rPr>
                <w:caps/>
                <w:szCs w:val="24"/>
              </w:rPr>
              <w:t xml:space="preserve"> 2020</w:t>
            </w:r>
            <w:bookmarkEnd w:id="18"/>
          </w:p>
        </w:tc>
      </w:tr>
    </w:tbl>
    <w:p w:rsidR="00395B24" w:rsidRDefault="00395B24">
      <w:pPr>
        <w:pStyle w:val="NormalHeadings"/>
        <w:rPr>
          <w:b w:val="0"/>
        </w:rPr>
      </w:pPr>
    </w:p>
    <w:p w:rsidR="008D1617" w:rsidRDefault="008D1617">
      <w:pPr>
        <w:pStyle w:val="NormalHeadings"/>
        <w:rPr>
          <w:b w:val="0"/>
        </w:rPr>
      </w:pPr>
    </w:p>
    <w:p w:rsidR="00395B24" w:rsidRDefault="00846A4F">
      <w:pPr>
        <w:pStyle w:val="NormalHeadings"/>
      </w:pPr>
      <w:r>
        <w:t>THE COURT DECLARES</w:t>
      </w:r>
      <w:r w:rsidR="002C7385">
        <w:t xml:space="preserve"> THAT:</w:t>
      </w:r>
    </w:p>
    <w:p w:rsidR="00395B24" w:rsidRDefault="00395B24">
      <w:pPr>
        <w:pStyle w:val="NormalHeadings"/>
      </w:pPr>
    </w:p>
    <w:p w:rsidR="00395B24" w:rsidRDefault="005767B0" w:rsidP="005767B0">
      <w:pPr>
        <w:pStyle w:val="Order1"/>
      </w:pPr>
      <w:bookmarkStart w:id="19" w:name="Order_Start_Text"/>
      <w:bookmarkEnd w:id="19"/>
      <w:r>
        <w:t>On 11 March 2019, t</w:t>
      </w:r>
      <w:r w:rsidR="00846A4F">
        <w:t xml:space="preserve">he </w:t>
      </w:r>
      <w:r w:rsidR="00F442C7">
        <w:t xml:space="preserve">third, fourth, sixth, ninth to fourteenth, seventeenth and eighteenth </w:t>
      </w:r>
      <w:r w:rsidR="00846A4F">
        <w:t>respondents</w:t>
      </w:r>
      <w:r w:rsidR="00F442C7">
        <w:t xml:space="preserve"> </w:t>
      </w:r>
      <w:r>
        <w:t xml:space="preserve">engaged in </w:t>
      </w:r>
      <w:r w:rsidR="00846A4F">
        <w:t xml:space="preserve">unlawful industrial action </w:t>
      </w:r>
      <w:r>
        <w:t xml:space="preserve">in contravention of </w:t>
      </w:r>
      <w:r w:rsidRPr="005767B0">
        <w:t xml:space="preserve">s 46 of the </w:t>
      </w:r>
      <w:r w:rsidRPr="005767B0">
        <w:rPr>
          <w:i/>
        </w:rPr>
        <w:t>Building and</w:t>
      </w:r>
      <w:r w:rsidRPr="005767B0">
        <w:t xml:space="preserve"> </w:t>
      </w:r>
      <w:r w:rsidRPr="005767B0">
        <w:rPr>
          <w:i/>
        </w:rPr>
        <w:t>Construction Industry (Improving Productivity) Act 2016</w:t>
      </w:r>
      <w:r w:rsidRPr="005767B0">
        <w:t xml:space="preserve"> (</w:t>
      </w:r>
      <w:proofErr w:type="spellStart"/>
      <w:r w:rsidRPr="005767B0">
        <w:t>Cth</w:t>
      </w:r>
      <w:proofErr w:type="spellEnd"/>
      <w:r w:rsidRPr="005767B0">
        <w:t xml:space="preserve">) (the </w:t>
      </w:r>
      <w:r w:rsidRPr="005767B0">
        <w:rPr>
          <w:b/>
        </w:rPr>
        <w:t>BCI Act</w:t>
      </w:r>
      <w:r>
        <w:t xml:space="preserve">) </w:t>
      </w:r>
      <w:r w:rsidR="00846A4F">
        <w:t>by imposing</w:t>
      </w:r>
      <w:r w:rsidR="009B3B27">
        <w:t xml:space="preserve"> a ban</w:t>
      </w:r>
      <w:r w:rsidR="006F2DDA" w:rsidRPr="006F2DDA">
        <w:t xml:space="preserve"> </w:t>
      </w:r>
      <w:r w:rsidR="009B3B27">
        <w:t>upon performing and</w:t>
      </w:r>
      <w:r w:rsidR="00846A4F">
        <w:t xml:space="preserve"> accepting building work offered by PJ Walsh Constructions Pty Ltd </w:t>
      </w:r>
      <w:r>
        <w:t xml:space="preserve">in respect </w:t>
      </w:r>
      <w:r w:rsidR="00846A4F">
        <w:t xml:space="preserve">of the </w:t>
      </w:r>
      <w:r>
        <w:t xml:space="preserve">construction of </w:t>
      </w:r>
      <w:r w:rsidR="00846A4F">
        <w:t>North Queensland Stadium in Townsville</w:t>
      </w:r>
      <w:r w:rsidR="00F442C7">
        <w:t>,</w:t>
      </w:r>
      <w:r w:rsidR="00846A4F">
        <w:t xml:space="preserve"> Queensland</w:t>
      </w:r>
      <w:r w:rsidR="006F2DDA">
        <w:t>.</w:t>
      </w:r>
    </w:p>
    <w:p w:rsidR="00846A4F" w:rsidRDefault="006F2DDA" w:rsidP="00846A4F">
      <w:pPr>
        <w:pStyle w:val="Order1"/>
      </w:pPr>
      <w:r>
        <w:t xml:space="preserve">On 12 March 2019, </w:t>
      </w:r>
      <w:r w:rsidR="005767B0">
        <w:t>t</w:t>
      </w:r>
      <w:r w:rsidR="0059426D">
        <w:t xml:space="preserve">he </w:t>
      </w:r>
      <w:r w:rsidR="00F442C7">
        <w:t xml:space="preserve">third to thirteenth and fifteenth </w:t>
      </w:r>
      <w:r w:rsidR="00846A4F">
        <w:t>to eighteenth respondents</w:t>
      </w:r>
      <w:r w:rsidR="005767B0">
        <w:t xml:space="preserve"> engaged in </w:t>
      </w:r>
      <w:r w:rsidR="00846A4F">
        <w:t xml:space="preserve">unlawful industrial action </w:t>
      </w:r>
      <w:r w:rsidR="009B3B27">
        <w:t xml:space="preserve">in contravention of </w:t>
      </w:r>
      <w:r w:rsidR="009B3B27" w:rsidRPr="005767B0">
        <w:t xml:space="preserve">s 46 </w:t>
      </w:r>
      <w:r w:rsidR="009B3B27">
        <w:t xml:space="preserve">of the BCI Act </w:t>
      </w:r>
      <w:r w:rsidR="00846A4F">
        <w:t>by i</w:t>
      </w:r>
      <w:r w:rsidR="009B3B27">
        <w:t>mposing a ban upon performing and</w:t>
      </w:r>
      <w:r w:rsidR="00846A4F">
        <w:t xml:space="preserve"> accepting building work offered by PJ Walsh Constructions Pty Ltd</w:t>
      </w:r>
      <w:r w:rsidR="005767B0" w:rsidRPr="005767B0">
        <w:t xml:space="preserve"> </w:t>
      </w:r>
      <w:r w:rsidR="005767B0">
        <w:t xml:space="preserve">in respect of the construction </w:t>
      </w:r>
      <w:r w:rsidR="00846A4F">
        <w:t>of the North Queensland Stadium.</w:t>
      </w:r>
    </w:p>
    <w:p w:rsidR="0059426D" w:rsidRDefault="0059426D" w:rsidP="0059426D">
      <w:pPr>
        <w:pStyle w:val="Order1"/>
      </w:pPr>
      <w:r>
        <w:t>On 11 and</w:t>
      </w:r>
      <w:r w:rsidR="00F442C7">
        <w:t xml:space="preserve"> </w:t>
      </w:r>
      <w:r>
        <w:t xml:space="preserve">12 March 2019, the first and second respondents contravened </w:t>
      </w:r>
      <w:r w:rsidRPr="005767B0">
        <w:t xml:space="preserve">s 46 </w:t>
      </w:r>
      <w:r>
        <w:t>of the BCI Act by organising the unlawful industrial action engaged in by the third to eighteenth respondents.</w:t>
      </w:r>
    </w:p>
    <w:p w:rsidR="00BE2A1A" w:rsidRDefault="005767B0" w:rsidP="00BE2A1A">
      <w:pPr>
        <w:pStyle w:val="Order1"/>
      </w:pPr>
      <w:r>
        <w:t>O</w:t>
      </w:r>
      <w:r w:rsidR="0059426D">
        <w:t>n 11 and 12</w:t>
      </w:r>
      <w:r w:rsidR="006F2DDA">
        <w:t xml:space="preserve"> </w:t>
      </w:r>
      <w:r w:rsidRPr="005767B0">
        <w:t xml:space="preserve">March 2019, </w:t>
      </w:r>
      <w:r>
        <w:t xml:space="preserve">the first and second respondents </w:t>
      </w:r>
      <w:r w:rsidRPr="005767B0">
        <w:t xml:space="preserve">organised </w:t>
      </w:r>
      <w:r>
        <w:t xml:space="preserve">the unlawful industrial action engaged in by the third to eighteenth respondents </w:t>
      </w:r>
      <w:r w:rsidRPr="005767B0">
        <w:t xml:space="preserve">with intent to coerce </w:t>
      </w:r>
      <w:r w:rsidRPr="005767B0">
        <w:lastRenderedPageBreak/>
        <w:t xml:space="preserve">PJ Walsh Constructions </w:t>
      </w:r>
      <w:r>
        <w:t xml:space="preserve">Pty Ltd </w:t>
      </w:r>
      <w:r w:rsidRPr="005767B0">
        <w:t>into making a building enterp</w:t>
      </w:r>
      <w:r>
        <w:t xml:space="preserve">rise agreement with the first respondent in </w:t>
      </w:r>
      <w:r w:rsidRPr="005767B0">
        <w:t>contravention of s 54(1) of the BCI Act.</w:t>
      </w:r>
    </w:p>
    <w:p w:rsidR="00BE2A1A" w:rsidRDefault="00BE2A1A" w:rsidP="00BE2A1A">
      <w:pPr>
        <w:pStyle w:val="Order1"/>
        <w:numPr>
          <w:ilvl w:val="0"/>
          <w:numId w:val="0"/>
        </w:numPr>
        <w:ind w:left="720"/>
      </w:pPr>
    </w:p>
    <w:p w:rsidR="00846A4F" w:rsidRPr="00846A4F" w:rsidRDefault="00846A4F" w:rsidP="00846A4F">
      <w:pPr>
        <w:pStyle w:val="Order1"/>
        <w:numPr>
          <w:ilvl w:val="0"/>
          <w:numId w:val="0"/>
        </w:numPr>
        <w:rPr>
          <w:b/>
        </w:rPr>
      </w:pPr>
      <w:r w:rsidRPr="00846A4F">
        <w:rPr>
          <w:b/>
        </w:rPr>
        <w:t>THE COURT ORDERS THAT:</w:t>
      </w:r>
    </w:p>
    <w:p w:rsidR="005767B0" w:rsidRDefault="00846A4F" w:rsidP="005767B0">
      <w:pPr>
        <w:pStyle w:val="Order1"/>
      </w:pPr>
      <w:r>
        <w:t xml:space="preserve">The questions of </w:t>
      </w:r>
      <w:r w:rsidR="005767B0">
        <w:t xml:space="preserve">penalties and costs be heard </w:t>
      </w:r>
      <w:r w:rsidR="00F442C7">
        <w:t>o</w:t>
      </w:r>
      <w:r w:rsidR="005767B0">
        <w:t>n a date to be fixed.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FC3C76" w:rsidP="005E0510">
      <w:pPr>
        <w:pStyle w:val="NormalHeadings"/>
        <w:spacing w:line="360" w:lineRule="auto"/>
        <w:jc w:val="left"/>
        <w:rPr>
          <w:sz w:val="26"/>
          <w:szCs w:val="26"/>
        </w:rPr>
      </w:pPr>
      <w:r>
        <w:rPr>
          <w:sz w:val="26"/>
          <w:szCs w:val="26"/>
        </w:rPr>
        <w:t>RANGIAH J</w:t>
      </w:r>
      <w:r w:rsidR="00484F6D" w:rsidRPr="00EA03CE">
        <w:rPr>
          <w:sz w:val="26"/>
          <w:szCs w:val="26"/>
        </w:rPr>
        <w:t>:</w:t>
      </w:r>
    </w:p>
    <w:p w:rsidR="006502D7" w:rsidRDefault="0009316B" w:rsidP="006502D7">
      <w:pPr>
        <w:pStyle w:val="ParaNumbering"/>
      </w:pPr>
      <w:r>
        <w:t xml:space="preserve">In 2019, </w:t>
      </w:r>
      <w:r w:rsidR="003304A6">
        <w:t>PJ</w:t>
      </w:r>
      <w:r w:rsidR="00AC135F">
        <w:t xml:space="preserve"> Walsh Constructions</w:t>
      </w:r>
      <w:r w:rsidR="003304A6">
        <w:t xml:space="preserve"> Pty Ltd (</w:t>
      </w:r>
      <w:r w:rsidR="00AC135F">
        <w:rPr>
          <w:b/>
        </w:rPr>
        <w:t>PJ Walsh Constructions</w:t>
      </w:r>
      <w:r w:rsidR="003304A6">
        <w:t>) employed t</w:t>
      </w:r>
      <w:r w:rsidR="006502D7">
        <w:t xml:space="preserve">he third to </w:t>
      </w:r>
      <w:r w:rsidR="00AC135F">
        <w:t xml:space="preserve">eighteenth </w:t>
      </w:r>
      <w:r w:rsidR="006502D7">
        <w:t xml:space="preserve">respondents (the </w:t>
      </w:r>
      <w:r w:rsidR="006502D7" w:rsidRPr="00845121">
        <w:rPr>
          <w:b/>
        </w:rPr>
        <w:t>Employees</w:t>
      </w:r>
      <w:r w:rsidR="006502D7">
        <w:rPr>
          <w:b/>
        </w:rPr>
        <w:t xml:space="preserve">) </w:t>
      </w:r>
      <w:r w:rsidR="006502D7">
        <w:t>at the site of the North Queensland Stadium (</w:t>
      </w:r>
      <w:r w:rsidR="006502D7">
        <w:rPr>
          <w:b/>
        </w:rPr>
        <w:t>NQS</w:t>
      </w:r>
      <w:r w:rsidR="006502D7">
        <w:t>) under construction in Townsville</w:t>
      </w:r>
      <w:r w:rsidR="004D27D8">
        <w:t>,</w:t>
      </w:r>
      <w:r w:rsidR="006502D7">
        <w:t xml:space="preserve"> Queensland. </w:t>
      </w:r>
    </w:p>
    <w:p w:rsidR="006502D7" w:rsidRDefault="009F441D" w:rsidP="004E3080">
      <w:pPr>
        <w:pStyle w:val="ParaNumbering"/>
      </w:pPr>
      <w:r>
        <w:t>At the same time, t</w:t>
      </w:r>
      <w:r w:rsidR="0009316B">
        <w:t>he</w:t>
      </w:r>
      <w:r>
        <w:t xml:space="preserve"> first respondent, the</w:t>
      </w:r>
      <w:r w:rsidR="0009316B">
        <w:t xml:space="preserve"> Construction, Forestry, Maritime, Mining and Energy </w:t>
      </w:r>
      <w:r w:rsidR="00D96C46">
        <w:t>Union</w:t>
      </w:r>
      <w:r w:rsidR="0009316B">
        <w:t xml:space="preserve"> (the </w:t>
      </w:r>
      <w:r w:rsidR="00D96C46">
        <w:rPr>
          <w:b/>
        </w:rPr>
        <w:t>Union</w:t>
      </w:r>
      <w:r w:rsidR="0009316B">
        <w:t>)</w:t>
      </w:r>
      <w:r w:rsidR="00016B76">
        <w:t>,</w:t>
      </w:r>
      <w:r w:rsidR="004E3080">
        <w:t xml:space="preserve"> was</w:t>
      </w:r>
      <w:r w:rsidR="0009316B">
        <w:t xml:space="preserve"> engaged in a campaign to pers</w:t>
      </w:r>
      <w:r w:rsidR="004E3080">
        <w:t>u</w:t>
      </w:r>
      <w:r w:rsidR="00E973EA">
        <w:t xml:space="preserve">ade </w:t>
      </w:r>
      <w:r w:rsidR="00AC135F">
        <w:t>PJ Walsh Constructions</w:t>
      </w:r>
      <w:r w:rsidR="00E973EA">
        <w:t xml:space="preserve"> to make </w:t>
      </w:r>
      <w:r w:rsidR="0009316B">
        <w:t xml:space="preserve">an </w:t>
      </w:r>
      <w:r w:rsidR="00E973EA">
        <w:t>enterprise agreement</w:t>
      </w:r>
      <w:r w:rsidR="004E3080" w:rsidRPr="004E3080">
        <w:t xml:space="preserve"> </w:t>
      </w:r>
      <w:r w:rsidR="004E3080">
        <w:t>with the Union. In the context of that</w:t>
      </w:r>
      <w:r w:rsidR="0009316B">
        <w:t xml:space="preserve"> campaign, </w:t>
      </w:r>
      <w:r w:rsidR="006502D7">
        <w:t>the Employees refused to</w:t>
      </w:r>
      <w:r w:rsidR="003304A6">
        <w:t xml:space="preserve"> work</w:t>
      </w:r>
      <w:r w:rsidR="006502D7">
        <w:t xml:space="preserve"> </w:t>
      </w:r>
      <w:r w:rsidR="0009316B">
        <w:t>between 11 and 14 March 2019.</w:t>
      </w:r>
    </w:p>
    <w:p w:rsidR="006502D7" w:rsidRDefault="00045A5F" w:rsidP="009F243F">
      <w:pPr>
        <w:pStyle w:val="ParaNumbering"/>
      </w:pPr>
      <w:r>
        <w:t xml:space="preserve">The </w:t>
      </w:r>
      <w:r w:rsidR="00FC3C76">
        <w:t xml:space="preserve">applicant, </w:t>
      </w:r>
      <w:r w:rsidR="00AC135F">
        <w:t xml:space="preserve">the </w:t>
      </w:r>
      <w:r w:rsidR="00FC3C76">
        <w:t xml:space="preserve">Australian </w:t>
      </w:r>
      <w:r w:rsidR="00845121">
        <w:t xml:space="preserve">Building </w:t>
      </w:r>
      <w:r w:rsidR="00FC3C76">
        <w:t xml:space="preserve">and </w:t>
      </w:r>
      <w:r w:rsidR="00845121">
        <w:t xml:space="preserve">Construction </w:t>
      </w:r>
      <w:r w:rsidR="00FC3C76">
        <w:t xml:space="preserve">Commissioner (the </w:t>
      </w:r>
      <w:r w:rsidR="00FC3C76" w:rsidRPr="00845121">
        <w:rPr>
          <w:b/>
        </w:rPr>
        <w:t>Commissioner</w:t>
      </w:r>
      <w:r w:rsidR="00FC3C76">
        <w:t>)</w:t>
      </w:r>
      <w:r w:rsidR="00AC135F">
        <w:t>,</w:t>
      </w:r>
      <w:r w:rsidR="00FC3C76">
        <w:t xml:space="preserve"> alleges that the </w:t>
      </w:r>
      <w:r w:rsidR="006502D7">
        <w:t xml:space="preserve">Employees </w:t>
      </w:r>
      <w:r w:rsidR="00FC3C76">
        <w:t xml:space="preserve">engaged in unlawful industrial </w:t>
      </w:r>
      <w:r w:rsidR="004E3080">
        <w:t>action</w:t>
      </w:r>
      <w:r w:rsidR="00FC3C76">
        <w:t xml:space="preserve"> against </w:t>
      </w:r>
      <w:r w:rsidR="00AC135F">
        <w:t>PJ Walsh Constructions</w:t>
      </w:r>
      <w:r w:rsidR="00845121">
        <w:t xml:space="preserve"> in contravention of s </w:t>
      </w:r>
      <w:r w:rsidR="00FC3C76">
        <w:t xml:space="preserve">46 of the </w:t>
      </w:r>
      <w:r w:rsidR="00845121" w:rsidRPr="00845121">
        <w:rPr>
          <w:i/>
        </w:rPr>
        <w:t xml:space="preserve">Building </w:t>
      </w:r>
      <w:r w:rsidR="00FC3C76" w:rsidRPr="00845121">
        <w:rPr>
          <w:i/>
        </w:rPr>
        <w:t>and</w:t>
      </w:r>
      <w:r w:rsidR="00FC3C76">
        <w:t xml:space="preserve"> </w:t>
      </w:r>
      <w:r w:rsidR="00845121" w:rsidRPr="00845121">
        <w:rPr>
          <w:i/>
        </w:rPr>
        <w:t>Construction In</w:t>
      </w:r>
      <w:r w:rsidR="004E3080">
        <w:rPr>
          <w:i/>
        </w:rPr>
        <w:t>dustry (Improving Productivity) Act</w:t>
      </w:r>
      <w:r w:rsidR="00845121" w:rsidRPr="00845121">
        <w:rPr>
          <w:i/>
        </w:rPr>
        <w:t xml:space="preserve"> </w:t>
      </w:r>
      <w:r w:rsidR="00FC3C76" w:rsidRPr="00845121">
        <w:rPr>
          <w:i/>
        </w:rPr>
        <w:t>2016</w:t>
      </w:r>
      <w:r w:rsidR="00FC3C76">
        <w:t xml:space="preserve"> (</w:t>
      </w:r>
      <w:proofErr w:type="spellStart"/>
      <w:r w:rsidR="00FC3C76">
        <w:t>C</w:t>
      </w:r>
      <w:r w:rsidR="00845121">
        <w:t>th</w:t>
      </w:r>
      <w:proofErr w:type="spellEnd"/>
      <w:r w:rsidR="00FC3C76">
        <w:t xml:space="preserve">) (the </w:t>
      </w:r>
      <w:r w:rsidR="00BC2E3D">
        <w:rPr>
          <w:b/>
        </w:rPr>
        <w:t>BCI Act</w:t>
      </w:r>
      <w:r w:rsidR="00FC3C76">
        <w:t xml:space="preserve">).  </w:t>
      </w:r>
    </w:p>
    <w:p w:rsidR="00AC135F" w:rsidRDefault="0009316B" w:rsidP="00E91551">
      <w:pPr>
        <w:pStyle w:val="ParaNumbering"/>
      </w:pPr>
      <w:r>
        <w:t xml:space="preserve">The Commissioner </w:t>
      </w:r>
      <w:r w:rsidR="00FC3C76">
        <w:t xml:space="preserve">alleges that </w:t>
      </w:r>
      <w:r w:rsidR="00B64676">
        <w:t>the second respondent, Grant Harradine, a Union official,</w:t>
      </w:r>
      <w:r w:rsidR="00FC3C76">
        <w:t xml:space="preserve"> </w:t>
      </w:r>
      <w:r>
        <w:t xml:space="preserve">also </w:t>
      </w:r>
      <w:r w:rsidR="00FC3C76">
        <w:t>contravene</w:t>
      </w:r>
      <w:r w:rsidR="00845121">
        <w:t>d</w:t>
      </w:r>
      <w:r w:rsidR="00FC3C76">
        <w:t xml:space="preserve"> s</w:t>
      </w:r>
      <w:r w:rsidR="00845121">
        <w:t> </w:t>
      </w:r>
      <w:r w:rsidR="00FC3C76">
        <w:t xml:space="preserve">46 of </w:t>
      </w:r>
      <w:r w:rsidR="00845121">
        <w:t xml:space="preserve">the </w:t>
      </w:r>
      <w:r w:rsidR="00BC2E3D">
        <w:t>BCI Act</w:t>
      </w:r>
      <w:r w:rsidR="00FC3C76">
        <w:t xml:space="preserve"> by organising</w:t>
      </w:r>
      <w:r w:rsidR="003304A6">
        <w:t xml:space="preserve"> the</w:t>
      </w:r>
      <w:r w:rsidR="00FC3C76">
        <w:t xml:space="preserve"> </w:t>
      </w:r>
      <w:r>
        <w:t xml:space="preserve">unlawful </w:t>
      </w:r>
      <w:r w:rsidR="00FC3C76">
        <w:t xml:space="preserve">industrial </w:t>
      </w:r>
      <w:r w:rsidR="004E3080">
        <w:t>action</w:t>
      </w:r>
      <w:r w:rsidR="00FC3C76">
        <w:t xml:space="preserve"> </w:t>
      </w:r>
      <w:r w:rsidR="004E3080">
        <w:t xml:space="preserve">engaged in </w:t>
      </w:r>
      <w:r w:rsidR="00FC3C76">
        <w:t xml:space="preserve">by the </w:t>
      </w:r>
      <w:r w:rsidR="00845121">
        <w:t>Employees</w:t>
      </w:r>
      <w:r w:rsidR="00FC3C76">
        <w:t xml:space="preserve">.  </w:t>
      </w:r>
    </w:p>
    <w:p w:rsidR="00E91551" w:rsidRDefault="00B64676" w:rsidP="00E91551">
      <w:pPr>
        <w:pStyle w:val="ParaNumbering"/>
      </w:pPr>
      <w:r>
        <w:t xml:space="preserve">The Commissioner </w:t>
      </w:r>
      <w:r w:rsidR="00E91551">
        <w:t xml:space="preserve">alleges that Mr Harradine </w:t>
      </w:r>
      <w:r>
        <w:t xml:space="preserve">also </w:t>
      </w:r>
      <w:r w:rsidR="00E91551">
        <w:t xml:space="preserve">contravened s 54 of the </w:t>
      </w:r>
      <w:r w:rsidR="00BC2E3D">
        <w:t>BCI Act</w:t>
      </w:r>
      <w:r w:rsidR="004E3080">
        <w:t xml:space="preserve"> by organising </w:t>
      </w:r>
      <w:r w:rsidR="00AC135F">
        <w:t xml:space="preserve">the </w:t>
      </w:r>
      <w:r w:rsidR="004E3080">
        <w:t>action</w:t>
      </w:r>
      <w:r w:rsidR="00E91551">
        <w:t xml:space="preserve"> </w:t>
      </w:r>
      <w:r w:rsidR="00AC135F">
        <w:t xml:space="preserve">taken by the Employees </w:t>
      </w:r>
      <w:r w:rsidR="00E91551">
        <w:t xml:space="preserve">with </w:t>
      </w:r>
      <w:r w:rsidR="004D27D8">
        <w:t xml:space="preserve">the </w:t>
      </w:r>
      <w:r w:rsidR="00E91551">
        <w:t xml:space="preserve">intent to </w:t>
      </w:r>
      <w:r w:rsidR="003304A6">
        <w:t>coerce, or apply undue pressure</w:t>
      </w:r>
      <w:r w:rsidR="00E91551">
        <w:t xml:space="preserve"> to</w:t>
      </w:r>
      <w:r w:rsidR="003304A6">
        <w:t>,</w:t>
      </w:r>
      <w:r w:rsidR="00E91551">
        <w:t xml:space="preserve"> </w:t>
      </w:r>
      <w:r w:rsidR="00AC135F">
        <w:t>PJ Walsh Constructions</w:t>
      </w:r>
      <w:r w:rsidR="004D27D8">
        <w:t xml:space="preserve"> to make an enterprise agreement with the Union.</w:t>
      </w:r>
      <w:r w:rsidR="00E91551">
        <w:t xml:space="preserve"> </w:t>
      </w:r>
    </w:p>
    <w:p w:rsidR="00FC3C76" w:rsidRDefault="00FC3C76" w:rsidP="00E91551">
      <w:pPr>
        <w:pStyle w:val="ParaNumbering"/>
        <w:tabs>
          <w:tab w:val="clear" w:pos="720"/>
        </w:tabs>
      </w:pPr>
      <w:r>
        <w:t xml:space="preserve">The Commissioner </w:t>
      </w:r>
      <w:r w:rsidR="006502D7">
        <w:t xml:space="preserve">further </w:t>
      </w:r>
      <w:r>
        <w:t>alleges that</w:t>
      </w:r>
      <w:r w:rsidR="003304A6">
        <w:t>,</w:t>
      </w:r>
      <w:r>
        <w:t xml:space="preserve"> </w:t>
      </w:r>
      <w:r w:rsidR="006502D7">
        <w:t xml:space="preserve">by </w:t>
      </w:r>
      <w:r w:rsidR="00E91551">
        <w:t>reason of Mr Harradine</w:t>
      </w:r>
      <w:r w:rsidR="00ED139E">
        <w:t>’</w:t>
      </w:r>
      <w:r w:rsidR="0009316B">
        <w:t>s conduct</w:t>
      </w:r>
      <w:r w:rsidR="00E91551">
        <w:t xml:space="preserve">, the </w:t>
      </w:r>
      <w:r w:rsidR="00D96C46">
        <w:t>Union</w:t>
      </w:r>
      <w:r w:rsidR="00DD6154">
        <w:t xml:space="preserve"> </w:t>
      </w:r>
      <w:r>
        <w:t>contravene</w:t>
      </w:r>
      <w:r w:rsidR="006502D7">
        <w:t>d</w:t>
      </w:r>
      <w:r>
        <w:t xml:space="preserve"> </w:t>
      </w:r>
      <w:proofErr w:type="spellStart"/>
      <w:r w:rsidR="0097358F">
        <w:t>s</w:t>
      </w:r>
      <w:r w:rsidR="00E91551">
        <w:t>s</w:t>
      </w:r>
      <w:proofErr w:type="spellEnd"/>
      <w:r w:rsidR="0097358F">
        <w:t> </w:t>
      </w:r>
      <w:r>
        <w:t xml:space="preserve">46 </w:t>
      </w:r>
      <w:r w:rsidR="00E91551">
        <w:t xml:space="preserve">and 54 </w:t>
      </w:r>
      <w:r>
        <w:t xml:space="preserve">of </w:t>
      </w:r>
      <w:r w:rsidR="00845121">
        <w:t xml:space="preserve">the </w:t>
      </w:r>
      <w:r w:rsidR="00BC2E3D">
        <w:t>BCI Act</w:t>
      </w:r>
      <w:r>
        <w:t>.</w:t>
      </w:r>
    </w:p>
    <w:p w:rsidR="00FC3C76" w:rsidRDefault="0097358F" w:rsidP="00FC3C76">
      <w:pPr>
        <w:pStyle w:val="ParaNumbering"/>
      </w:pPr>
      <w:r>
        <w:t xml:space="preserve">The </w:t>
      </w:r>
      <w:r w:rsidR="00FC3C76">
        <w:t>Commission</w:t>
      </w:r>
      <w:r>
        <w:t>er</w:t>
      </w:r>
      <w:r w:rsidR="00FC3C76">
        <w:t xml:space="preserve"> </w:t>
      </w:r>
      <w:r w:rsidR="003304A6">
        <w:t xml:space="preserve">seeks declaratory relief </w:t>
      </w:r>
      <w:r w:rsidR="00E91551">
        <w:t xml:space="preserve">and </w:t>
      </w:r>
      <w:r w:rsidR="00FC3C76">
        <w:t>the imposit</w:t>
      </w:r>
      <w:r w:rsidR="004E3080">
        <w:t>ion of pecuniary penalties</w:t>
      </w:r>
      <w:r w:rsidR="00FC3C76">
        <w:t>.</w:t>
      </w:r>
    </w:p>
    <w:p w:rsidR="00DD6154" w:rsidRDefault="00FC3C76" w:rsidP="00B64676">
      <w:pPr>
        <w:pStyle w:val="ParaNumbering"/>
      </w:pPr>
      <w:r>
        <w:t>The respondents deny that they contravene</w:t>
      </w:r>
      <w:r w:rsidR="00615565">
        <w:t>d</w:t>
      </w:r>
      <w:r>
        <w:t xml:space="preserve"> s</w:t>
      </w:r>
      <w:r w:rsidR="00615565">
        <w:t> </w:t>
      </w:r>
      <w:r w:rsidR="002A0450">
        <w:t>46</w:t>
      </w:r>
      <w:r>
        <w:t xml:space="preserve">, on the basis that they did not take </w:t>
      </w:r>
      <w:r w:rsidR="00770C00">
        <w:t>“</w:t>
      </w:r>
      <w:r>
        <w:t xml:space="preserve">industrial </w:t>
      </w:r>
      <w:r w:rsidR="0010056A">
        <w:t>a</w:t>
      </w:r>
      <w:r w:rsidR="004E3080">
        <w:t>ction</w:t>
      </w:r>
      <w:r w:rsidR="00770C00">
        <w:t>”</w:t>
      </w:r>
      <w:r w:rsidR="002A0450">
        <w:t xml:space="preserve"> within the meaning of </w:t>
      </w:r>
      <w:r w:rsidR="0010056A">
        <w:t xml:space="preserve">s 7(1) of </w:t>
      </w:r>
      <w:r w:rsidR="002A0450">
        <w:t xml:space="preserve">the </w:t>
      </w:r>
      <w:r w:rsidR="00BC2E3D">
        <w:t>BCI Act</w:t>
      </w:r>
      <w:r>
        <w:t xml:space="preserve">, since they were </w:t>
      </w:r>
      <w:r w:rsidR="002A0450">
        <w:t xml:space="preserve">casual employees </w:t>
      </w:r>
      <w:r w:rsidR="000B3F47">
        <w:t xml:space="preserve">and were not obliged to </w:t>
      </w:r>
      <w:r w:rsidR="0010056A">
        <w:t xml:space="preserve">perform or accept </w:t>
      </w:r>
      <w:r w:rsidR="00E91551">
        <w:t xml:space="preserve">work. Further, Mr Harradine and the </w:t>
      </w:r>
      <w:r w:rsidR="00D96C46">
        <w:t>Union</w:t>
      </w:r>
      <w:r w:rsidR="00E91551">
        <w:t xml:space="preserve"> deny that they contravened s 54</w:t>
      </w:r>
      <w:r w:rsidR="00780E56">
        <w:t>(1)</w:t>
      </w:r>
      <w:r w:rsidR="00E91551">
        <w:t xml:space="preserve"> of the </w:t>
      </w:r>
      <w:r w:rsidR="00BC2E3D">
        <w:t>BCI Act</w:t>
      </w:r>
      <w:r w:rsidR="00780E56">
        <w:t>,</w:t>
      </w:r>
      <w:r w:rsidR="00AC135F">
        <w:t xml:space="preserve"> on the basis that the conduct of the Employees was not unlawful, illegitimate or unconscionable and did not apply undue pressure</w:t>
      </w:r>
      <w:r w:rsidR="00E91551">
        <w:t xml:space="preserve">. </w:t>
      </w:r>
    </w:p>
    <w:p w:rsidR="00C816D2" w:rsidRDefault="00950218" w:rsidP="00950218">
      <w:pPr>
        <w:pStyle w:val="Heading1"/>
      </w:pPr>
      <w:r>
        <w:lastRenderedPageBreak/>
        <w:t>THE FACTS</w:t>
      </w:r>
      <w:r w:rsidR="00FC3C76">
        <w:t xml:space="preserve"> </w:t>
      </w:r>
    </w:p>
    <w:p w:rsidR="0010056A" w:rsidRDefault="002A0450" w:rsidP="00DD6154">
      <w:pPr>
        <w:pStyle w:val="ParaNumbering"/>
      </w:pPr>
      <w:r>
        <w:t>There is no substantial dispute about the</w:t>
      </w:r>
      <w:r w:rsidR="0010056A">
        <w:t xml:space="preserve"> facts</w:t>
      </w:r>
      <w:r>
        <w:t xml:space="preserve">.  </w:t>
      </w:r>
      <w:r w:rsidR="00C816D2">
        <w:t xml:space="preserve">There </w:t>
      </w:r>
      <w:r w:rsidR="00E91551">
        <w:t>is in evidence a</w:t>
      </w:r>
      <w:r w:rsidR="00FC3C76">
        <w:t xml:space="preserve">n affidavit of Patrick Walsh, the director of </w:t>
      </w:r>
      <w:r w:rsidR="00AC135F">
        <w:t>PJ Walsh Constructions</w:t>
      </w:r>
      <w:r w:rsidR="00FC3C76">
        <w:t xml:space="preserve">.  </w:t>
      </w:r>
      <w:r w:rsidR="00C816D2">
        <w:t>Mr </w:t>
      </w:r>
      <w:r w:rsidR="00FC3C76">
        <w:t xml:space="preserve">Walsh was not </w:t>
      </w:r>
      <w:r w:rsidR="00E91551">
        <w:t>re</w:t>
      </w:r>
      <w:r w:rsidR="000B3F47">
        <w:t>quired for cross-examination.</w:t>
      </w:r>
      <w:r w:rsidR="00FC3C76">
        <w:t xml:space="preserve"> </w:t>
      </w:r>
      <w:r w:rsidR="00096CFD">
        <w:t xml:space="preserve">I </w:t>
      </w:r>
      <w:r w:rsidR="00FC3C76">
        <w:t xml:space="preserve">accept his evidence.  </w:t>
      </w:r>
    </w:p>
    <w:p w:rsidR="00FC3C76" w:rsidRDefault="00FC3C76" w:rsidP="00DD6154">
      <w:pPr>
        <w:pStyle w:val="ParaNumbering"/>
      </w:pPr>
      <w:r>
        <w:t xml:space="preserve">The description of the </w:t>
      </w:r>
      <w:r w:rsidR="0010056A">
        <w:t xml:space="preserve">facts </w:t>
      </w:r>
      <w:r>
        <w:t xml:space="preserve">that follows is largely taken from </w:t>
      </w:r>
      <w:r w:rsidR="00C816D2">
        <w:t>Mr </w:t>
      </w:r>
      <w:r>
        <w:t>Walsh</w:t>
      </w:r>
      <w:r w:rsidR="00ED139E">
        <w:t>’</w:t>
      </w:r>
      <w:r>
        <w:t>s affidavit</w:t>
      </w:r>
      <w:r w:rsidR="00353322">
        <w:t xml:space="preserve"> and </w:t>
      </w:r>
      <w:r w:rsidR="0010056A">
        <w:t xml:space="preserve">from facts </w:t>
      </w:r>
      <w:r w:rsidR="00353322">
        <w:t>alleged and admitted in the pleadings</w:t>
      </w:r>
      <w:r>
        <w:t>.</w:t>
      </w:r>
    </w:p>
    <w:p w:rsidR="00FC3C76" w:rsidRDefault="00096CFD" w:rsidP="00045BD8">
      <w:pPr>
        <w:pStyle w:val="ParaNumbering"/>
      </w:pPr>
      <w:r>
        <w:t xml:space="preserve">Watpac Construction </w:t>
      </w:r>
      <w:r w:rsidR="00FC3C76">
        <w:t xml:space="preserve">Pty </w:t>
      </w:r>
      <w:r>
        <w:t>Ltd (</w:t>
      </w:r>
      <w:r w:rsidRPr="00096CFD">
        <w:rPr>
          <w:b/>
        </w:rPr>
        <w:t>Watpac</w:t>
      </w:r>
      <w:r>
        <w:t xml:space="preserve">) </w:t>
      </w:r>
      <w:r w:rsidR="00FC3C76" w:rsidRPr="00096CFD">
        <w:t>was</w:t>
      </w:r>
      <w:r w:rsidR="00FC3C76">
        <w:t xml:space="preserve"> the head contr</w:t>
      </w:r>
      <w:r w:rsidR="0010056A">
        <w:t xml:space="preserve">actor </w:t>
      </w:r>
      <w:r w:rsidR="00780E56">
        <w:t xml:space="preserve">for </w:t>
      </w:r>
      <w:r w:rsidR="00FC3C76">
        <w:t xml:space="preserve">the construction of the </w:t>
      </w:r>
      <w:r w:rsidR="00016B76">
        <w:t>NQS</w:t>
      </w:r>
      <w:r w:rsidR="000B3F47">
        <w:t>.</w:t>
      </w:r>
      <w:r w:rsidR="00016B76">
        <w:t xml:space="preserve"> </w:t>
      </w:r>
      <w:r w:rsidR="000B3F47">
        <w:t xml:space="preserve"> </w:t>
      </w:r>
      <w:r w:rsidR="00AC135F">
        <w:t>PJ Walsh Constructions</w:t>
      </w:r>
      <w:r>
        <w:t xml:space="preserve"> </w:t>
      </w:r>
      <w:r w:rsidR="00FC3C76">
        <w:t>signed a contr</w:t>
      </w:r>
      <w:r w:rsidR="0010056A">
        <w:t>act</w:t>
      </w:r>
      <w:r w:rsidR="00FC3C76">
        <w:t xml:space="preserve"> with </w:t>
      </w:r>
      <w:r>
        <w:t>Watpac</w:t>
      </w:r>
      <w:r w:rsidR="000B3F47" w:rsidRPr="000B3F47">
        <w:t xml:space="preserve"> </w:t>
      </w:r>
      <w:r w:rsidR="002B18A4">
        <w:t>on 7 August</w:t>
      </w:r>
      <w:r w:rsidR="004D27D8">
        <w:t xml:space="preserve"> </w:t>
      </w:r>
      <w:r w:rsidR="000B3F47">
        <w:t>2018</w:t>
      </w:r>
      <w:r>
        <w:t xml:space="preserve"> </w:t>
      </w:r>
      <w:r w:rsidR="00045BD8">
        <w:t>to provide concreting works</w:t>
      </w:r>
      <w:r w:rsidR="0010056A" w:rsidRPr="0010056A">
        <w:t xml:space="preserve"> </w:t>
      </w:r>
      <w:r w:rsidR="0010056A">
        <w:t>at the NQS project</w:t>
      </w:r>
      <w:r w:rsidR="000B3F47">
        <w:t>,</w:t>
      </w:r>
      <w:r w:rsidR="00045BD8">
        <w:t xml:space="preserve"> and started </w:t>
      </w:r>
      <w:r w:rsidR="00DD6154">
        <w:t xml:space="preserve">performing </w:t>
      </w:r>
      <w:r w:rsidR="0010056A">
        <w:t xml:space="preserve">that </w:t>
      </w:r>
      <w:r w:rsidR="00045BD8">
        <w:t>work</w:t>
      </w:r>
      <w:r w:rsidR="00DD6154" w:rsidRPr="00DD6154">
        <w:t xml:space="preserve"> </w:t>
      </w:r>
      <w:r w:rsidR="00045BD8">
        <w:t>in June 2018.</w:t>
      </w:r>
    </w:p>
    <w:p w:rsidR="00B46E1B" w:rsidRDefault="00AC135F" w:rsidP="00FC3C76">
      <w:pPr>
        <w:pStyle w:val="ParaNumbering"/>
      </w:pPr>
      <w:r>
        <w:t>PJ Walsh Constructions</w:t>
      </w:r>
      <w:r w:rsidR="00FC3C76">
        <w:t xml:space="preserve"> employed about 22 to 30 </w:t>
      </w:r>
      <w:r w:rsidR="002C4740">
        <w:t xml:space="preserve">employees </w:t>
      </w:r>
      <w:r w:rsidR="00FC3C76">
        <w:t xml:space="preserve">to perform work </w:t>
      </w:r>
      <w:r w:rsidR="004D27D8">
        <w:t>at</w:t>
      </w:r>
      <w:r w:rsidR="00FC3C76">
        <w:t xml:space="preserve"> the </w:t>
      </w:r>
      <w:r w:rsidR="002C4740">
        <w:t>N</w:t>
      </w:r>
      <w:r w:rsidR="00FC3C76">
        <w:t xml:space="preserve">QS </w:t>
      </w:r>
      <w:r w:rsidR="00B64676">
        <w:t>site</w:t>
      </w:r>
      <w:r w:rsidR="00045BD8">
        <w:t xml:space="preserve">, depending upon work demands. </w:t>
      </w:r>
      <w:r w:rsidR="0010056A">
        <w:t xml:space="preserve">Mr Walsh deposes that </w:t>
      </w:r>
      <w:r w:rsidR="00770C00">
        <w:t>“</w:t>
      </w:r>
      <w:r w:rsidR="0010056A">
        <w:t>a</w:t>
      </w:r>
      <w:r w:rsidR="00FC3C76">
        <w:t>lmost all</w:t>
      </w:r>
      <w:r w:rsidR="00770C00">
        <w:t>”</w:t>
      </w:r>
      <w:r w:rsidR="00FC3C76">
        <w:t xml:space="preserve"> </w:t>
      </w:r>
      <w:r w:rsidR="004D27D8">
        <w:t xml:space="preserve">of </w:t>
      </w:r>
      <w:r>
        <w:t>PJ Walsh Constructions</w:t>
      </w:r>
      <w:r w:rsidR="00ED139E">
        <w:t>’</w:t>
      </w:r>
      <w:r w:rsidR="0010056A">
        <w:t xml:space="preserve"> </w:t>
      </w:r>
      <w:r w:rsidR="008736D1">
        <w:t xml:space="preserve">employees </w:t>
      </w:r>
      <w:r w:rsidR="00B64676">
        <w:t>at</w:t>
      </w:r>
      <w:r w:rsidR="00FC3C76">
        <w:t xml:space="preserve"> the </w:t>
      </w:r>
      <w:r w:rsidR="008736D1">
        <w:t>NQS </w:t>
      </w:r>
      <w:r w:rsidR="00B64676">
        <w:t>site</w:t>
      </w:r>
      <w:r w:rsidR="008736D1">
        <w:t xml:space="preserve"> </w:t>
      </w:r>
      <w:r w:rsidR="00FC3C76">
        <w:t>were engaged as casuals because they were engaged solel</w:t>
      </w:r>
      <w:r w:rsidR="00045BD8">
        <w:t>y for that project and there would be</w:t>
      </w:r>
      <w:r w:rsidR="00FC3C76">
        <w:t xml:space="preserve"> no further work available for them after the </w:t>
      </w:r>
      <w:r w:rsidR="004D27D8">
        <w:t xml:space="preserve">NQS </w:t>
      </w:r>
      <w:r w:rsidR="00FC3C76">
        <w:t>project was comp</w:t>
      </w:r>
      <w:r w:rsidR="00045BD8">
        <w:t xml:space="preserve">leted.  </w:t>
      </w:r>
    </w:p>
    <w:p w:rsidR="00FC3C76" w:rsidRDefault="0010056A" w:rsidP="00FC3C76">
      <w:pPr>
        <w:pStyle w:val="ParaNumbering"/>
      </w:pPr>
      <w:r>
        <w:t>T</w:t>
      </w:r>
      <w:r w:rsidR="00FC3C76">
        <w:t xml:space="preserve">he </w:t>
      </w:r>
      <w:r w:rsidR="00AC135F">
        <w:t>PJ Walsh Constructions</w:t>
      </w:r>
      <w:r w:rsidR="00045BD8">
        <w:t xml:space="preserve"> e</w:t>
      </w:r>
      <w:r w:rsidR="00845121">
        <w:t>mployees</w:t>
      </w:r>
      <w:r w:rsidR="00B64676">
        <w:t xml:space="preserve"> undertaking construction work</w:t>
      </w:r>
      <w:r w:rsidR="00FC3C76">
        <w:t xml:space="preserve"> </w:t>
      </w:r>
      <w:r w:rsidR="00045BD8">
        <w:t xml:space="preserve">at the NQS site </w:t>
      </w:r>
      <w:r w:rsidR="008736D1">
        <w:t xml:space="preserve">were covered </w:t>
      </w:r>
      <w:r w:rsidR="00FC3C76">
        <w:t>by the</w:t>
      </w:r>
      <w:r w:rsidR="00B64676" w:rsidRPr="00B64676">
        <w:rPr>
          <w:i/>
        </w:rPr>
        <w:t xml:space="preserve"> </w:t>
      </w:r>
      <w:r w:rsidR="00B64676" w:rsidRPr="00C816D2">
        <w:rPr>
          <w:i/>
        </w:rPr>
        <w:t>PJ</w:t>
      </w:r>
      <w:r w:rsidR="00AC135F">
        <w:rPr>
          <w:i/>
        </w:rPr>
        <w:t xml:space="preserve"> Walsh Constructions</w:t>
      </w:r>
      <w:r w:rsidR="00B64676" w:rsidRPr="00C816D2">
        <w:rPr>
          <w:i/>
        </w:rPr>
        <w:t xml:space="preserve"> Pty Ltd and Advanced Concrete Cutting and Drilling, Multi-Enterprise Agreement 2014 </w:t>
      </w:r>
      <w:r w:rsidR="0048540B">
        <w:rPr>
          <w:i/>
        </w:rPr>
        <w:t>—</w:t>
      </w:r>
      <w:r w:rsidR="00B64676" w:rsidRPr="00C816D2">
        <w:rPr>
          <w:i/>
        </w:rPr>
        <w:t xml:space="preserve"> 2018</w:t>
      </w:r>
      <w:r w:rsidR="00B64676">
        <w:t xml:space="preserve"> (the </w:t>
      </w:r>
      <w:r w:rsidR="00B64676" w:rsidRPr="00C816D2">
        <w:rPr>
          <w:b/>
        </w:rPr>
        <w:t>Enterprise Agreement</w:t>
      </w:r>
      <w:r w:rsidR="00B64676">
        <w:t>)</w:t>
      </w:r>
      <w:r w:rsidR="00FC3C76">
        <w:t>.</w:t>
      </w:r>
    </w:p>
    <w:p w:rsidR="00FC3C76" w:rsidRDefault="00950218" w:rsidP="00FC3C76">
      <w:pPr>
        <w:pStyle w:val="ParaNumbering"/>
      </w:pPr>
      <w:r>
        <w:t>Mr Walsh’s evidence is that t</w:t>
      </w:r>
      <w:r w:rsidR="00FC3C76">
        <w:t xml:space="preserve">he ordinary hours of work for </w:t>
      </w:r>
      <w:r w:rsidR="00AC135F">
        <w:t>PJ Walsh Constructions</w:t>
      </w:r>
      <w:r w:rsidR="00ED139E">
        <w:t>’</w:t>
      </w:r>
      <w:r w:rsidR="00FC3C76">
        <w:t xml:space="preserve"> </w:t>
      </w:r>
      <w:r w:rsidR="00857918">
        <w:t xml:space="preserve">employees </w:t>
      </w:r>
      <w:r w:rsidR="00FC3C76">
        <w:t xml:space="preserve">at the </w:t>
      </w:r>
      <w:r w:rsidR="00045BD8">
        <w:t xml:space="preserve">NQS site </w:t>
      </w:r>
      <w:r>
        <w:t>were 6</w:t>
      </w:r>
      <w:r w:rsidR="00857918">
        <w:t> am</w:t>
      </w:r>
      <w:r w:rsidR="00FC3C76">
        <w:t xml:space="preserve"> to 2</w:t>
      </w:r>
      <w:r w:rsidR="00857918">
        <w:t>.</w:t>
      </w:r>
      <w:r w:rsidR="00FC3C76">
        <w:t>30</w:t>
      </w:r>
      <w:r w:rsidR="00857918">
        <w:t> pm</w:t>
      </w:r>
      <w:r w:rsidR="00FC3C76">
        <w:t xml:space="preserve"> on weekdays.</w:t>
      </w:r>
    </w:p>
    <w:p w:rsidR="00FC3C76" w:rsidRDefault="00FC3C76" w:rsidP="00FC3C76">
      <w:pPr>
        <w:pStyle w:val="ParaNumbering"/>
      </w:pPr>
      <w:r>
        <w:t xml:space="preserve">In August 2018, the </w:t>
      </w:r>
      <w:r w:rsidR="001D3C5E">
        <w:t xml:space="preserve">Queensland Government </w:t>
      </w:r>
      <w:r>
        <w:t>released a document entitled</w:t>
      </w:r>
      <w:r w:rsidR="000B3F47">
        <w:t>,</w:t>
      </w:r>
      <w:r>
        <w:t xml:space="preserve"> </w:t>
      </w:r>
      <w:r w:rsidR="00770C00">
        <w:t>“</w:t>
      </w:r>
      <w:r w:rsidR="001D3C5E">
        <w:t xml:space="preserve">Best </w:t>
      </w:r>
      <w:r w:rsidR="00406424">
        <w:t xml:space="preserve">Practice </w:t>
      </w:r>
      <w:r w:rsidR="001D3C5E">
        <w:t>Principles: Quality, Safe Workplaces</w:t>
      </w:r>
      <w:r w:rsidR="00770C00">
        <w:t>”</w:t>
      </w:r>
      <w:r w:rsidR="00DD6154">
        <w:t xml:space="preserve"> (the </w:t>
      </w:r>
      <w:r w:rsidR="00DD6154">
        <w:rPr>
          <w:b/>
        </w:rPr>
        <w:t>BPP</w:t>
      </w:r>
      <w:r w:rsidR="00DD6154">
        <w:t>)</w:t>
      </w:r>
      <w:r>
        <w:t xml:space="preserve">.  </w:t>
      </w:r>
      <w:r w:rsidR="00BB3B0A">
        <w:t xml:space="preserve">Watpac </w:t>
      </w:r>
      <w:r>
        <w:t xml:space="preserve">advised </w:t>
      </w:r>
      <w:r w:rsidR="00C816D2">
        <w:t>Mr </w:t>
      </w:r>
      <w:r>
        <w:t xml:space="preserve">Walsh that the Queensland </w:t>
      </w:r>
      <w:r w:rsidR="00BB3B0A">
        <w:t xml:space="preserve">Government </w:t>
      </w:r>
      <w:r>
        <w:t xml:space="preserve">had issued a direction that the </w:t>
      </w:r>
      <w:r w:rsidR="004C08EB">
        <w:t>BPP</w:t>
      </w:r>
      <w:r>
        <w:t xml:space="preserve"> was to be implemented on the </w:t>
      </w:r>
      <w:r w:rsidR="00635F38">
        <w:t>NQS </w:t>
      </w:r>
      <w:r w:rsidR="0088755E">
        <w:t>p</w:t>
      </w:r>
      <w:r w:rsidR="00635F38">
        <w:t>roject</w:t>
      </w:r>
      <w:r>
        <w:t xml:space="preserve">.  </w:t>
      </w:r>
      <w:r w:rsidR="00B46E1B">
        <w:t xml:space="preserve">The consequence </w:t>
      </w:r>
      <w:r w:rsidR="00045BD8">
        <w:t xml:space="preserve">was that employees </w:t>
      </w:r>
      <w:r w:rsidR="00DD6154">
        <w:t xml:space="preserve">covered by </w:t>
      </w:r>
      <w:r w:rsidR="00B46E1B">
        <w:t>the BPP</w:t>
      </w:r>
      <w:r w:rsidR="00DD6154">
        <w:t xml:space="preserve"> </w:t>
      </w:r>
      <w:r w:rsidR="00045BD8">
        <w:t>would</w:t>
      </w:r>
      <w:r w:rsidR="002A0450">
        <w:t xml:space="preserve"> </w:t>
      </w:r>
      <w:r w:rsidR="00406424">
        <w:t xml:space="preserve">receive </w:t>
      </w:r>
      <w:r w:rsidR="002A0450">
        <w:t>in</w:t>
      </w:r>
      <w:r w:rsidR="00DD6154">
        <w:t>creased rates of pay. A</w:t>
      </w:r>
      <w:r w:rsidR="00045BD8">
        <w:t xml:space="preserve">t that time, </w:t>
      </w:r>
      <w:r w:rsidR="00C816D2">
        <w:t>Mr </w:t>
      </w:r>
      <w:r>
        <w:t xml:space="preserve">Walsh understood </w:t>
      </w:r>
      <w:r w:rsidR="00BB3B0A">
        <w:t xml:space="preserve">that </w:t>
      </w:r>
      <w:r>
        <w:t xml:space="preserve">the </w:t>
      </w:r>
      <w:r w:rsidR="004C08EB">
        <w:t>BPP</w:t>
      </w:r>
      <w:r w:rsidR="002A0450">
        <w:t xml:space="preserve"> did not apply to </w:t>
      </w:r>
      <w:r>
        <w:t>subcontr</w:t>
      </w:r>
      <w:r w:rsidR="00406424">
        <w:t>actors</w:t>
      </w:r>
      <w:r>
        <w:t xml:space="preserve"> who had signed the</w:t>
      </w:r>
      <w:r w:rsidR="00BB3B0A">
        <w:t>ir</w:t>
      </w:r>
      <w:r>
        <w:t xml:space="preserve"> </w:t>
      </w:r>
      <w:r w:rsidR="00406424">
        <w:t xml:space="preserve">contracts </w:t>
      </w:r>
      <w:r>
        <w:t>prior</w:t>
      </w:r>
      <w:r w:rsidR="002A0450">
        <w:t xml:space="preserve"> to the announcement of the </w:t>
      </w:r>
      <w:r>
        <w:t xml:space="preserve">policy.  </w:t>
      </w:r>
    </w:p>
    <w:p w:rsidR="00FC3C76" w:rsidRDefault="00FC3C76" w:rsidP="00FC3C76">
      <w:pPr>
        <w:pStyle w:val="ParaNumbering"/>
      </w:pPr>
      <w:r>
        <w:t>On 21 November 2018</w:t>
      </w:r>
      <w:r w:rsidR="004C08EB">
        <w:t>, Mr </w:t>
      </w:r>
      <w:r>
        <w:t xml:space="preserve">Walsh met with </w:t>
      </w:r>
      <w:r w:rsidR="00896962">
        <w:t xml:space="preserve">a </w:t>
      </w:r>
      <w:r w:rsidR="00D96C46">
        <w:t>Union</w:t>
      </w:r>
      <w:r w:rsidR="00896962">
        <w:t xml:space="preserve"> </w:t>
      </w:r>
      <w:r>
        <w:t xml:space="preserve">official, Michael Robinson.  </w:t>
      </w:r>
      <w:r w:rsidR="00C816D2">
        <w:t>Mr </w:t>
      </w:r>
      <w:r>
        <w:t>Robinson ha</w:t>
      </w:r>
      <w:r w:rsidR="00896962">
        <w:t>n</w:t>
      </w:r>
      <w:r>
        <w:t>d</w:t>
      </w:r>
      <w:r w:rsidR="00896962">
        <w:t>ed</w:t>
      </w:r>
      <w:r>
        <w:t xml:space="preserve"> </w:t>
      </w:r>
      <w:r w:rsidR="00C816D2">
        <w:t>Mr </w:t>
      </w:r>
      <w:r w:rsidR="00045BD8">
        <w:t xml:space="preserve">Walsh a copy of a </w:t>
      </w:r>
      <w:r w:rsidR="00E973EA">
        <w:t>document describe</w:t>
      </w:r>
      <w:r w:rsidR="00780E56">
        <w:t>d</w:t>
      </w:r>
      <w:r w:rsidR="00E973EA">
        <w:t xml:space="preserve"> as a </w:t>
      </w:r>
      <w:r w:rsidR="00770C00">
        <w:t>“</w:t>
      </w:r>
      <w:r w:rsidR="00045BD8">
        <w:t>Template A</w:t>
      </w:r>
      <w:r w:rsidR="002769C2">
        <w:t>greement</w:t>
      </w:r>
      <w:r w:rsidR="00770C00">
        <w:t>”</w:t>
      </w:r>
      <w:r>
        <w:t xml:space="preserve">, which </w:t>
      </w:r>
      <w:r w:rsidR="00780E56">
        <w:t xml:space="preserve">was a </w:t>
      </w:r>
      <w:r w:rsidR="00E973EA">
        <w:t>draft enterprise agreement. Mr Robinson</w:t>
      </w:r>
      <w:r>
        <w:t xml:space="preserve"> said </w:t>
      </w:r>
      <w:r w:rsidR="00E973EA">
        <w:t xml:space="preserve">that </w:t>
      </w:r>
      <w:r>
        <w:t xml:space="preserve">the </w:t>
      </w:r>
      <w:r w:rsidR="00D96C46">
        <w:t>Union</w:t>
      </w:r>
      <w:r w:rsidR="00896962">
        <w:t xml:space="preserve"> </w:t>
      </w:r>
      <w:r>
        <w:t xml:space="preserve">wanted </w:t>
      </w:r>
      <w:r w:rsidR="00AC135F">
        <w:t>PJ Walsh Constructions</w:t>
      </w:r>
      <w:r>
        <w:t xml:space="preserve"> to sign up to</w:t>
      </w:r>
      <w:r w:rsidR="00E973EA">
        <w:t xml:space="preserve"> that agreement</w:t>
      </w:r>
      <w:r>
        <w:t xml:space="preserve">.  </w:t>
      </w:r>
      <w:r w:rsidR="00C816D2">
        <w:t>Mr </w:t>
      </w:r>
      <w:r>
        <w:t xml:space="preserve">Robinson also provided </w:t>
      </w:r>
      <w:r w:rsidR="00C816D2">
        <w:t>Mr </w:t>
      </w:r>
      <w:r w:rsidR="00E973EA">
        <w:t xml:space="preserve">Walsh with </w:t>
      </w:r>
      <w:r w:rsidR="002769C2">
        <w:t xml:space="preserve">an </w:t>
      </w:r>
      <w:r w:rsidR="00770C00">
        <w:t>“</w:t>
      </w:r>
      <w:r w:rsidR="002769C2">
        <w:t xml:space="preserve">Expression </w:t>
      </w:r>
      <w:r>
        <w:t xml:space="preserve">of </w:t>
      </w:r>
      <w:r w:rsidR="002769C2">
        <w:t>Interest</w:t>
      </w:r>
      <w:r w:rsidR="00770C00">
        <w:t>”</w:t>
      </w:r>
      <w:r w:rsidR="00406424">
        <w:t xml:space="preserve"> in signing up to the Template A</w:t>
      </w:r>
      <w:r>
        <w:t xml:space="preserve">greement.  </w:t>
      </w:r>
      <w:r w:rsidR="002769C2">
        <w:t xml:space="preserve">Mr Robinson said </w:t>
      </w:r>
      <w:r w:rsidR="00406424">
        <w:t xml:space="preserve">that it would cost </w:t>
      </w:r>
      <w:r w:rsidR="00AC135F">
        <w:t xml:space="preserve">PJ </w:t>
      </w:r>
      <w:r w:rsidR="00AC135F">
        <w:lastRenderedPageBreak/>
        <w:t>Walsh Constructions</w:t>
      </w:r>
      <w:r w:rsidR="00406424">
        <w:t xml:space="preserve"> $500 to sign up to </w:t>
      </w:r>
      <w:r>
        <w:t xml:space="preserve">the </w:t>
      </w:r>
      <w:r w:rsidR="002769C2">
        <w:t xml:space="preserve">Expression </w:t>
      </w:r>
      <w:r>
        <w:t xml:space="preserve">of </w:t>
      </w:r>
      <w:r w:rsidR="00406424">
        <w:t>Interest.</w:t>
      </w:r>
      <w:r>
        <w:t xml:space="preserve">  </w:t>
      </w:r>
      <w:r w:rsidR="00C816D2">
        <w:t>Mr </w:t>
      </w:r>
      <w:r w:rsidR="002769C2">
        <w:t>Walsh</w:t>
      </w:r>
      <w:r>
        <w:t xml:space="preserve"> said he would not sign </w:t>
      </w:r>
      <w:r w:rsidR="002769C2">
        <w:t xml:space="preserve">without </w:t>
      </w:r>
      <w:r>
        <w:t xml:space="preserve">seeking legal advice.  </w:t>
      </w:r>
    </w:p>
    <w:p w:rsidR="00393AB9" w:rsidRDefault="00B46E1B" w:rsidP="00692242">
      <w:pPr>
        <w:pStyle w:val="ParaNumbering"/>
      </w:pPr>
      <w:r>
        <w:t>On 22 November 2018</w:t>
      </w:r>
      <w:r w:rsidR="002769C2">
        <w:t>, Mr </w:t>
      </w:r>
      <w:r w:rsidR="00FC3C76">
        <w:t xml:space="preserve">Robinson sent </w:t>
      </w:r>
      <w:r w:rsidR="00C816D2">
        <w:t>Mr </w:t>
      </w:r>
      <w:r w:rsidR="002769C2">
        <w:t xml:space="preserve">Walsh a </w:t>
      </w:r>
      <w:r w:rsidR="00FC3C76">
        <w:t>text message to the effect</w:t>
      </w:r>
      <w:r w:rsidR="002769C2">
        <w:t xml:space="preserve">, </w:t>
      </w:r>
      <w:r w:rsidR="00770C00">
        <w:t>“</w:t>
      </w:r>
      <w:r w:rsidR="002769C2">
        <w:t xml:space="preserve">Are we </w:t>
      </w:r>
      <w:r w:rsidR="00FC3C76">
        <w:t>good to go</w:t>
      </w:r>
      <w:r w:rsidR="002769C2">
        <w:t>?</w:t>
      </w:r>
      <w:r w:rsidR="00770C00">
        <w:t>”</w:t>
      </w:r>
      <w:r w:rsidR="00FC3C76">
        <w:t xml:space="preserve">.  </w:t>
      </w:r>
      <w:r w:rsidR="00C816D2">
        <w:t>Mr </w:t>
      </w:r>
      <w:r w:rsidR="00393AB9">
        <w:t>Walsh understood the message</w:t>
      </w:r>
      <w:r w:rsidR="00FC3C76">
        <w:t xml:space="preserve"> to </w:t>
      </w:r>
      <w:r w:rsidR="00393AB9">
        <w:t xml:space="preserve">refer to signing up to </w:t>
      </w:r>
      <w:r w:rsidR="00FC3C76">
        <w:t xml:space="preserve">the </w:t>
      </w:r>
      <w:r w:rsidR="00393AB9">
        <w:t>Template A</w:t>
      </w:r>
      <w:r w:rsidR="00FC3C76">
        <w:t>greement.  In the following few days</w:t>
      </w:r>
      <w:r w:rsidR="002769C2">
        <w:t>,</w:t>
      </w:r>
      <w:r w:rsidR="00FC3C76">
        <w:t xml:space="preserve"> </w:t>
      </w:r>
      <w:r w:rsidR="00C816D2">
        <w:t>Mr </w:t>
      </w:r>
      <w:r w:rsidR="00FC3C76">
        <w:t xml:space="preserve">Robinson </w:t>
      </w:r>
      <w:r w:rsidR="00406424">
        <w:t xml:space="preserve">contacted </w:t>
      </w:r>
      <w:r w:rsidR="00C816D2">
        <w:t>Mr </w:t>
      </w:r>
      <w:r w:rsidR="00393AB9">
        <w:t>Walsh</w:t>
      </w:r>
      <w:r w:rsidR="00FC3C76">
        <w:t xml:space="preserve"> several times by telephone saying words to the effect, </w:t>
      </w:r>
      <w:r w:rsidR="00770C00">
        <w:t>“</w:t>
      </w:r>
      <w:r w:rsidR="002769C2">
        <w:t xml:space="preserve">We </w:t>
      </w:r>
      <w:r w:rsidR="00FC3C76">
        <w:t>need to get the agreement through</w:t>
      </w:r>
      <w:r w:rsidR="00770C00">
        <w:t>”</w:t>
      </w:r>
      <w:r w:rsidR="00FC3C76">
        <w:t xml:space="preserve">.  </w:t>
      </w:r>
      <w:r w:rsidR="00C816D2">
        <w:t>Mr </w:t>
      </w:r>
      <w:r w:rsidR="00FC3C76">
        <w:t>Walsh was unwilling to sign</w:t>
      </w:r>
      <w:r w:rsidR="00393AB9">
        <w:t>.</w:t>
      </w:r>
    </w:p>
    <w:p w:rsidR="00FC3C76" w:rsidRDefault="00FC3C76" w:rsidP="0021222C">
      <w:pPr>
        <w:pStyle w:val="ParaNumbering"/>
      </w:pPr>
      <w:r>
        <w:t>On 26 November 2018</w:t>
      </w:r>
      <w:r w:rsidR="00D61F31">
        <w:t xml:space="preserve">, </w:t>
      </w:r>
      <w:r w:rsidR="004D27D8">
        <w:t xml:space="preserve">the </w:t>
      </w:r>
      <w:r w:rsidR="00D96C46">
        <w:t>Union</w:t>
      </w:r>
      <w:r w:rsidR="00D61F31">
        <w:t xml:space="preserve"> </w:t>
      </w:r>
      <w:r>
        <w:t xml:space="preserve">arranged a meeting with all the </w:t>
      </w:r>
      <w:r w:rsidR="00406424">
        <w:t xml:space="preserve">subcontractors </w:t>
      </w:r>
      <w:r w:rsidR="009B73E0">
        <w:t xml:space="preserve">for the NQS project </w:t>
      </w:r>
      <w:r>
        <w:t>who had com</w:t>
      </w:r>
      <w:r w:rsidR="00393AB9">
        <w:t xml:space="preserve">menced since May </w:t>
      </w:r>
      <w:r w:rsidR="00B46E1B">
        <w:t xml:space="preserve">2018. The Union announced that </w:t>
      </w:r>
      <w:r>
        <w:t>the BPP</w:t>
      </w:r>
      <w:r w:rsidR="009B73E0">
        <w:t>, and the increased rates,</w:t>
      </w:r>
      <w:r>
        <w:t xml:space="preserve"> applied</w:t>
      </w:r>
      <w:r w:rsidR="009B73E0">
        <w:t xml:space="preserve"> retrospectively from that time</w:t>
      </w:r>
      <w:r w:rsidR="00406424">
        <w:t xml:space="preserve">. </w:t>
      </w:r>
      <w:r w:rsidR="00D61F31">
        <w:t>Mr Harradine</w:t>
      </w:r>
      <w:r>
        <w:t xml:space="preserve"> </w:t>
      </w:r>
      <w:r w:rsidR="00D61F31">
        <w:t>and Mr </w:t>
      </w:r>
      <w:r>
        <w:t xml:space="preserve">Robinson </w:t>
      </w:r>
      <w:r w:rsidR="00D61F31">
        <w:t xml:space="preserve">said that </w:t>
      </w:r>
      <w:r w:rsidR="00406424">
        <w:t xml:space="preserve">subcontractors </w:t>
      </w:r>
      <w:r>
        <w:t xml:space="preserve">needed to sign the </w:t>
      </w:r>
      <w:r w:rsidR="009B73E0">
        <w:t>Template A</w:t>
      </w:r>
      <w:r>
        <w:t xml:space="preserve">greement.  </w:t>
      </w:r>
      <w:r w:rsidR="00C816D2">
        <w:t>Mr </w:t>
      </w:r>
      <w:r>
        <w:t xml:space="preserve">Walsh </w:t>
      </w:r>
      <w:r w:rsidR="009B73E0">
        <w:t>continued to refuse to sign</w:t>
      </w:r>
      <w:r>
        <w:t>.</w:t>
      </w:r>
    </w:p>
    <w:p w:rsidR="00FC3C76" w:rsidRDefault="004D27D8" w:rsidP="00FC3C76">
      <w:pPr>
        <w:pStyle w:val="ParaNumbering"/>
      </w:pPr>
      <w:r>
        <w:t>In November 201</w:t>
      </w:r>
      <w:r w:rsidR="00FC3C76">
        <w:t>8</w:t>
      </w:r>
      <w:r w:rsidR="006342E2">
        <w:t>,</w:t>
      </w:r>
      <w:r w:rsidR="00FC3C76">
        <w:t xml:space="preserve"> </w:t>
      </w:r>
      <w:r w:rsidR="006342E2">
        <w:t xml:space="preserve">four </w:t>
      </w:r>
      <w:r w:rsidR="00D96C46">
        <w:t>Union</w:t>
      </w:r>
      <w:r w:rsidR="006342E2">
        <w:t xml:space="preserve"> </w:t>
      </w:r>
      <w:r w:rsidR="00FC3C76">
        <w:t xml:space="preserve">officials attended the </w:t>
      </w:r>
      <w:r w:rsidR="00635F38">
        <w:t>NQS </w:t>
      </w:r>
      <w:r w:rsidR="00FC3C76">
        <w:t xml:space="preserve">site.  </w:t>
      </w:r>
      <w:r w:rsidR="006342E2">
        <w:t xml:space="preserve">Mr Harradine </w:t>
      </w:r>
      <w:r w:rsidR="00FC3C76">
        <w:t xml:space="preserve">addressed the </w:t>
      </w:r>
      <w:r w:rsidR="00950218">
        <w:t>PJ Walsh Constructions employees</w:t>
      </w:r>
      <w:r w:rsidR="00FC3C76">
        <w:t xml:space="preserve">, waving the </w:t>
      </w:r>
      <w:r w:rsidR="00B46E1B">
        <w:t>Template A</w:t>
      </w:r>
      <w:r w:rsidR="00FC3C76">
        <w:t xml:space="preserve">greement in the air and saying, </w:t>
      </w:r>
      <w:r w:rsidR="00770C00">
        <w:t>“</w:t>
      </w:r>
      <w:r w:rsidR="006342E2">
        <w:t xml:space="preserve">You </w:t>
      </w:r>
      <w:r w:rsidR="00FC3C76">
        <w:t>need to make your bosses sign this</w:t>
      </w:r>
      <w:r w:rsidR="00770C00">
        <w:t>”</w:t>
      </w:r>
      <w:r w:rsidR="00FC3C76">
        <w:t xml:space="preserve">.  The </w:t>
      </w:r>
      <w:r w:rsidR="00D96C46">
        <w:t>Union</w:t>
      </w:r>
      <w:r w:rsidR="006342E2">
        <w:t xml:space="preserve"> </w:t>
      </w:r>
      <w:r w:rsidR="00FC3C76">
        <w:t xml:space="preserve">officials began verbally abusing </w:t>
      </w:r>
      <w:r w:rsidR="00C816D2">
        <w:t>Mr </w:t>
      </w:r>
      <w:r w:rsidR="00FC3C76">
        <w:t xml:space="preserve">Walsh saying, he was a </w:t>
      </w:r>
      <w:r w:rsidR="00770C00">
        <w:t>“</w:t>
      </w:r>
      <w:r>
        <w:t xml:space="preserve">fucking </w:t>
      </w:r>
      <w:r w:rsidR="00FC3C76">
        <w:t>dog</w:t>
      </w:r>
      <w:r w:rsidR="00770C00">
        <w:t>”</w:t>
      </w:r>
      <w:r w:rsidR="00FC3C76">
        <w:t xml:space="preserve"> and was </w:t>
      </w:r>
      <w:r w:rsidR="00770C00">
        <w:t>“</w:t>
      </w:r>
      <w:r>
        <w:t xml:space="preserve">not </w:t>
      </w:r>
      <w:r w:rsidR="00FC3C76">
        <w:t xml:space="preserve">paying workers properly </w:t>
      </w:r>
      <w:r w:rsidR="006342E2">
        <w:t>—</w:t>
      </w:r>
      <w:r w:rsidR="00FC3C76">
        <w:t xml:space="preserve"> you</w:t>
      </w:r>
      <w:r w:rsidR="00ED139E">
        <w:t>’</w:t>
      </w:r>
      <w:r w:rsidR="00FC3C76">
        <w:t>re a piece of shi</w:t>
      </w:r>
      <w:r w:rsidR="006342E2">
        <w:t>t</w:t>
      </w:r>
      <w:r w:rsidR="00770C00">
        <w:t>”</w:t>
      </w:r>
      <w:r w:rsidR="00FC3C76">
        <w:t xml:space="preserve">.  One of the </w:t>
      </w:r>
      <w:r w:rsidR="00D96C46">
        <w:t>Union</w:t>
      </w:r>
      <w:r w:rsidR="006342E2">
        <w:t xml:space="preserve"> </w:t>
      </w:r>
      <w:r w:rsidR="00FC3C76">
        <w:t xml:space="preserve">officials said that, </w:t>
      </w:r>
      <w:r w:rsidR="00770C00">
        <w:t>“</w:t>
      </w:r>
      <w:r w:rsidR="00016B76">
        <w:t xml:space="preserve">This </w:t>
      </w:r>
      <w:r w:rsidR="006342E2">
        <w:t xml:space="preserve">bloke here is </w:t>
      </w:r>
      <w:r w:rsidR="00FC3C76">
        <w:t>holding back, stopping you getting paid</w:t>
      </w:r>
      <w:r w:rsidR="00770C00">
        <w:t>”</w:t>
      </w:r>
      <w:r w:rsidR="00FC3C76">
        <w:t xml:space="preserve">.  </w:t>
      </w:r>
    </w:p>
    <w:p w:rsidR="00FC3C76" w:rsidRDefault="00FC3C76" w:rsidP="00FC3C76">
      <w:pPr>
        <w:pStyle w:val="ParaNumbering"/>
      </w:pPr>
      <w:r>
        <w:t xml:space="preserve">On 29 November 2018, </w:t>
      </w:r>
      <w:r w:rsidR="00C816D2">
        <w:t>Mr </w:t>
      </w:r>
      <w:r>
        <w:t xml:space="preserve">Walsh received </w:t>
      </w:r>
      <w:r w:rsidR="00104EB8">
        <w:t xml:space="preserve">a letter from Watpac </w:t>
      </w:r>
      <w:r w:rsidR="00F852C5">
        <w:t>formally requesting a</w:t>
      </w:r>
      <w:r>
        <w:t xml:space="preserve"> </w:t>
      </w:r>
      <w:r w:rsidR="00F852C5">
        <w:t xml:space="preserve">Deed of Variation to incorporate </w:t>
      </w:r>
      <w:r>
        <w:t xml:space="preserve">the increased rates necessitated by the BPP.  </w:t>
      </w:r>
      <w:r w:rsidR="00C816D2">
        <w:t>Mr </w:t>
      </w:r>
      <w:r>
        <w:t xml:space="preserve">Walsh completed the </w:t>
      </w:r>
      <w:r w:rsidR="00104EB8">
        <w:t xml:space="preserve">Deed of Variation </w:t>
      </w:r>
      <w:r>
        <w:t>and return</w:t>
      </w:r>
      <w:r w:rsidR="00104EB8">
        <w:t>ed</w:t>
      </w:r>
      <w:r>
        <w:t xml:space="preserve"> it to</w:t>
      </w:r>
      <w:r w:rsidR="00104EB8">
        <w:t xml:space="preserve"> Watpac</w:t>
      </w:r>
      <w:r>
        <w:t xml:space="preserve">.  </w:t>
      </w:r>
    </w:p>
    <w:p w:rsidR="00AA0290" w:rsidRDefault="00AA0290" w:rsidP="00AA0290">
      <w:pPr>
        <w:pStyle w:val="ParaNumbering"/>
      </w:pPr>
      <w:r>
        <w:t>In December 2018, Mr Robinson and another Union official spoke to employees at the NQS site.  One of the official</w:t>
      </w:r>
      <w:r w:rsidR="00EA1DAA">
        <w:t>s</w:t>
      </w:r>
      <w:r>
        <w:t xml:space="preserve"> said words to the effect, “We</w:t>
      </w:r>
      <w:r w:rsidR="004D27D8">
        <w:t>’</w:t>
      </w:r>
      <w:r>
        <w:t xml:space="preserve">ve done our bit for you, but if you don’t back us we can’t do anything.  </w:t>
      </w:r>
      <w:r w:rsidR="004D27D8">
        <w:t xml:space="preserve">You </w:t>
      </w:r>
      <w:r>
        <w:t xml:space="preserve">need to make your bosses sign this agreement.  Make them”.  Shortly after this, all the PJ Walsh Constructions employees left the area and failed to return to work and complete their shift.  </w:t>
      </w:r>
    </w:p>
    <w:p w:rsidR="001359F7" w:rsidRDefault="001359F7" w:rsidP="00FC3C76">
      <w:pPr>
        <w:pStyle w:val="ParaNumbering"/>
      </w:pPr>
      <w:r>
        <w:t xml:space="preserve">On </w:t>
      </w:r>
      <w:r w:rsidR="004D27D8">
        <w:t>6</w:t>
      </w:r>
      <w:r>
        <w:t xml:space="preserve"> March 2019, Mr Harradine sent an email to a </w:t>
      </w:r>
      <w:r w:rsidR="00D96C46">
        <w:t>Union</w:t>
      </w:r>
      <w:r>
        <w:t xml:space="preserve"> regional organiser saying, </w:t>
      </w:r>
      <w:r w:rsidR="00770C00">
        <w:t>“</w:t>
      </w:r>
      <w:r w:rsidR="00853E4D">
        <w:t>CFMEU — </w:t>
      </w:r>
      <w:r w:rsidR="004D27D8">
        <w:t xml:space="preserve">Has </w:t>
      </w:r>
      <w:r>
        <w:t>never changed no agreement no money, but I</w:t>
      </w:r>
      <w:r w:rsidR="00ED139E">
        <w:t>’</w:t>
      </w:r>
      <w:r w:rsidR="00EA1DAA">
        <w:t>ve got PJ Walsh</w:t>
      </w:r>
      <w:r>
        <w:t xml:space="preserve">…ready to walk if no results </w:t>
      </w:r>
      <w:proofErr w:type="spellStart"/>
      <w:r w:rsidR="004D27D8">
        <w:t>friday</w:t>
      </w:r>
      <w:proofErr w:type="spellEnd"/>
      <w:r w:rsidR="004D27D8">
        <w:t xml:space="preserve"> </w:t>
      </w:r>
      <w:r>
        <w:t>8/3/19</w:t>
      </w:r>
      <w:r w:rsidR="00770C00">
        <w:t>”</w:t>
      </w:r>
      <w:r>
        <w:t xml:space="preserve">. </w:t>
      </w:r>
    </w:p>
    <w:p w:rsidR="002E2DCD" w:rsidRDefault="002E2DCD" w:rsidP="002E2DCD">
      <w:pPr>
        <w:pStyle w:val="ParaNumbering"/>
        <w:keepNext/>
        <w:keepLines/>
      </w:pPr>
      <w:r>
        <w:lastRenderedPageBreak/>
        <w:t xml:space="preserve">The events of 11 to 14 March 2019 involved the third to eighteenth respondents, </w:t>
      </w:r>
      <w:r w:rsidR="00EA2CFD">
        <w:t xml:space="preserve">whom I have referred to </w:t>
      </w:r>
      <w:r>
        <w:t xml:space="preserve">collectively </w:t>
      </w:r>
      <w:r w:rsidR="00EA2CFD">
        <w:t>as</w:t>
      </w:r>
      <w:r>
        <w:t xml:space="preserve"> </w:t>
      </w:r>
      <w:r w:rsidR="00EA2CFD">
        <w:t>“</w:t>
      </w:r>
      <w:r>
        <w:t>the Employees</w:t>
      </w:r>
      <w:r w:rsidR="00EA2CFD">
        <w:t>”</w:t>
      </w:r>
      <w:r>
        <w:t>.  The Employees were:</w:t>
      </w:r>
    </w:p>
    <w:p w:rsidR="002E2DCD" w:rsidRPr="00840E7F" w:rsidRDefault="002E2DCD" w:rsidP="002E2DCD">
      <w:pPr>
        <w:pStyle w:val="FCBullets"/>
        <w:keepNext/>
        <w:keepLines/>
      </w:pPr>
      <w:r>
        <w:t xml:space="preserve">Walter </w:t>
      </w:r>
      <w:proofErr w:type="spellStart"/>
      <w:r>
        <w:t>Benedito</w:t>
      </w:r>
      <w:proofErr w:type="spellEnd"/>
      <w:r>
        <w:t xml:space="preserve"> (third respondent);</w:t>
      </w:r>
      <w:r w:rsidRPr="00840E7F">
        <w:t xml:space="preserve"> </w:t>
      </w:r>
    </w:p>
    <w:p w:rsidR="002E2DCD" w:rsidRPr="00840E7F" w:rsidRDefault="002E2DCD" w:rsidP="002E2DCD">
      <w:pPr>
        <w:pStyle w:val="FCBullets"/>
      </w:pPr>
      <w:r>
        <w:t>Shane Bryant (fourth respondent);</w:t>
      </w:r>
      <w:r w:rsidRPr="00840E7F">
        <w:t xml:space="preserve"> </w:t>
      </w:r>
    </w:p>
    <w:p w:rsidR="002E2DCD" w:rsidRDefault="002E2DCD" w:rsidP="002E2DCD">
      <w:pPr>
        <w:pStyle w:val="FCBullets"/>
      </w:pPr>
      <w:r>
        <w:t>Grant Cooke (fifth respondent)</w:t>
      </w:r>
      <w:r w:rsidR="00E8541E">
        <w:t>;</w:t>
      </w:r>
    </w:p>
    <w:p w:rsidR="002E2DCD" w:rsidRDefault="002E2DCD" w:rsidP="002E2DCD">
      <w:pPr>
        <w:pStyle w:val="FCBullets"/>
      </w:pPr>
      <w:r w:rsidRPr="00840E7F">
        <w:t xml:space="preserve">Craig </w:t>
      </w:r>
      <w:proofErr w:type="spellStart"/>
      <w:r w:rsidRPr="00840E7F">
        <w:t>Crannaford</w:t>
      </w:r>
      <w:proofErr w:type="spellEnd"/>
      <w:r>
        <w:t xml:space="preserve"> (sixth respondent);</w:t>
      </w:r>
    </w:p>
    <w:p w:rsidR="002E2DCD" w:rsidRDefault="002E2DCD" w:rsidP="002E2DCD">
      <w:pPr>
        <w:pStyle w:val="FCBullets"/>
      </w:pPr>
      <w:r>
        <w:t>Matt Daniels (seventh respondent);</w:t>
      </w:r>
    </w:p>
    <w:p w:rsidR="002E2DCD" w:rsidRPr="00840E7F" w:rsidRDefault="002E2DCD" w:rsidP="002E2DCD">
      <w:pPr>
        <w:pStyle w:val="FCBullets"/>
      </w:pPr>
      <w:r>
        <w:t xml:space="preserve">Dwayne </w:t>
      </w:r>
      <w:proofErr w:type="spellStart"/>
      <w:r>
        <w:t>Desatge</w:t>
      </w:r>
      <w:proofErr w:type="spellEnd"/>
      <w:r>
        <w:t xml:space="preserve"> (eighth respondent);</w:t>
      </w:r>
    </w:p>
    <w:p w:rsidR="002E2DCD" w:rsidRPr="00840E7F" w:rsidRDefault="002E2DCD" w:rsidP="002E2DCD">
      <w:pPr>
        <w:pStyle w:val="FCBullets"/>
      </w:pPr>
      <w:r>
        <w:t>Joseph Duck (ninth respondent);</w:t>
      </w:r>
      <w:r w:rsidRPr="00840E7F">
        <w:t xml:space="preserve"> </w:t>
      </w:r>
    </w:p>
    <w:p w:rsidR="002E2DCD" w:rsidRPr="00840E7F" w:rsidRDefault="002E2DCD" w:rsidP="002E2DCD">
      <w:pPr>
        <w:pStyle w:val="FCBullets"/>
      </w:pPr>
      <w:r>
        <w:t xml:space="preserve">John </w:t>
      </w:r>
      <w:proofErr w:type="spellStart"/>
      <w:r>
        <w:t>Eastaughffe</w:t>
      </w:r>
      <w:proofErr w:type="spellEnd"/>
      <w:r>
        <w:t xml:space="preserve"> (tenth respondent);</w:t>
      </w:r>
      <w:r w:rsidRPr="00840E7F">
        <w:t xml:space="preserve"> </w:t>
      </w:r>
    </w:p>
    <w:p w:rsidR="002E2DCD" w:rsidRPr="00840E7F" w:rsidRDefault="002E2DCD" w:rsidP="002E2DCD">
      <w:pPr>
        <w:pStyle w:val="FCBullets"/>
      </w:pPr>
      <w:r>
        <w:t>Damien Haydon (eleventh respondent);</w:t>
      </w:r>
      <w:r w:rsidRPr="00840E7F">
        <w:t xml:space="preserve"> </w:t>
      </w:r>
    </w:p>
    <w:p w:rsidR="002E2DCD" w:rsidRPr="00840E7F" w:rsidRDefault="002E2DCD" w:rsidP="002E2DCD">
      <w:pPr>
        <w:pStyle w:val="FCBullets"/>
      </w:pPr>
      <w:r>
        <w:t xml:space="preserve">Lawrence </w:t>
      </w:r>
      <w:proofErr w:type="spellStart"/>
      <w:r>
        <w:t>Henaway</w:t>
      </w:r>
      <w:proofErr w:type="spellEnd"/>
      <w:r>
        <w:t xml:space="preserve"> (twelfth respondent);</w:t>
      </w:r>
      <w:r w:rsidRPr="00840E7F">
        <w:t xml:space="preserve"> </w:t>
      </w:r>
    </w:p>
    <w:p w:rsidR="002E2DCD" w:rsidRPr="00840E7F" w:rsidRDefault="002E2DCD" w:rsidP="002E2DCD">
      <w:pPr>
        <w:pStyle w:val="FCBullets"/>
      </w:pPr>
      <w:r>
        <w:t>Peter Lewis (thirteenth respondent);</w:t>
      </w:r>
      <w:r w:rsidRPr="00840E7F">
        <w:t xml:space="preserve"> </w:t>
      </w:r>
    </w:p>
    <w:p w:rsidR="002E2DCD" w:rsidRPr="00840E7F" w:rsidRDefault="002E2DCD" w:rsidP="002E2DCD">
      <w:pPr>
        <w:pStyle w:val="FCBullets"/>
      </w:pPr>
      <w:r>
        <w:t xml:space="preserve">Vincent </w:t>
      </w:r>
      <w:proofErr w:type="spellStart"/>
      <w:r>
        <w:t>Marello</w:t>
      </w:r>
      <w:proofErr w:type="spellEnd"/>
      <w:r>
        <w:t xml:space="preserve"> (fourteenth respondent); </w:t>
      </w:r>
    </w:p>
    <w:p w:rsidR="002E2DCD" w:rsidRDefault="002E2DCD" w:rsidP="002E2DCD">
      <w:pPr>
        <w:pStyle w:val="FCBullets"/>
      </w:pPr>
      <w:r>
        <w:t>Troy Renwick (fifteenth respondent);</w:t>
      </w:r>
    </w:p>
    <w:p w:rsidR="002E2DCD" w:rsidRDefault="002E2DCD" w:rsidP="002E2DCD">
      <w:pPr>
        <w:pStyle w:val="FCBullets"/>
      </w:pPr>
      <w:r>
        <w:t>Michael Roach (sixteenth respondent);</w:t>
      </w:r>
    </w:p>
    <w:p w:rsidR="002E2DCD" w:rsidRDefault="002E2DCD" w:rsidP="002E2DCD">
      <w:pPr>
        <w:pStyle w:val="FCBullets"/>
      </w:pPr>
      <w:r>
        <w:t>Shannon Tambo (seventeenth respondent); and</w:t>
      </w:r>
    </w:p>
    <w:p w:rsidR="002E2DCD" w:rsidRDefault="002E2DCD" w:rsidP="002E2DCD">
      <w:pPr>
        <w:pStyle w:val="FCBullets"/>
      </w:pPr>
      <w:proofErr w:type="spellStart"/>
      <w:r>
        <w:t>Alfio</w:t>
      </w:r>
      <w:proofErr w:type="spellEnd"/>
      <w:r>
        <w:t xml:space="preserve"> </w:t>
      </w:r>
      <w:proofErr w:type="spellStart"/>
      <w:r>
        <w:t>Tornabene</w:t>
      </w:r>
      <w:proofErr w:type="spellEnd"/>
      <w:r>
        <w:t xml:space="preserve"> (eighteenth respondent)</w:t>
      </w:r>
      <w:r w:rsidRPr="00840E7F">
        <w:t>.</w:t>
      </w:r>
    </w:p>
    <w:p w:rsidR="00DC6793" w:rsidRDefault="001359F7" w:rsidP="00B132E0">
      <w:pPr>
        <w:pStyle w:val="ParaNumbering"/>
      </w:pPr>
      <w:r>
        <w:t>On 11 March 2019, Mr Harradine entered the NQS site</w:t>
      </w:r>
      <w:r w:rsidR="00EB2FA6">
        <w:t xml:space="preserve"> </w:t>
      </w:r>
      <w:r w:rsidR="00375BC6">
        <w:t xml:space="preserve">area </w:t>
      </w:r>
      <w:r w:rsidR="00EB2FA6">
        <w:t>at about 6</w:t>
      </w:r>
      <w:r w:rsidR="00F84B68">
        <w:t> </w:t>
      </w:r>
      <w:r w:rsidR="00EB2FA6">
        <w:t>am</w:t>
      </w:r>
      <w:r w:rsidR="00A45AAF">
        <w:t xml:space="preserve">. </w:t>
      </w:r>
      <w:r w:rsidR="006A0635">
        <w:t xml:space="preserve">The </w:t>
      </w:r>
      <w:r w:rsidR="00AC135F">
        <w:t>PJ Walsh Constructions</w:t>
      </w:r>
      <w:r w:rsidR="0078573D">
        <w:t xml:space="preserve"> employees appear to have taken </w:t>
      </w:r>
      <w:r w:rsidR="00DC6793">
        <w:t>their</w:t>
      </w:r>
      <w:r w:rsidR="0063276A">
        <w:t xml:space="preserve"> break </w:t>
      </w:r>
      <w:r w:rsidR="00DC6793">
        <w:t xml:space="preserve">at </w:t>
      </w:r>
      <w:r w:rsidR="0063276A">
        <w:t>10.30 am</w:t>
      </w:r>
      <w:r w:rsidR="0078573D">
        <w:t>,</w:t>
      </w:r>
      <w:r w:rsidR="0063276A">
        <w:t xml:space="preserve"> and </w:t>
      </w:r>
      <w:r w:rsidR="006A0635">
        <w:t>gathered in the lunch room (also called the smoko room</w:t>
      </w:r>
      <w:r w:rsidR="00F47B21">
        <w:t>)</w:t>
      </w:r>
      <w:r w:rsidR="006A0635">
        <w:t>. They were addressed by Mr Harradine.</w:t>
      </w:r>
      <w:r w:rsidR="00F47B21">
        <w:t xml:space="preserve"> </w:t>
      </w:r>
    </w:p>
    <w:p w:rsidR="007E6A93" w:rsidRDefault="00DC6793" w:rsidP="00DC6793">
      <w:pPr>
        <w:pStyle w:val="ParaNumbering"/>
      </w:pPr>
      <w:r>
        <w:t>Mr Walsh was informed</w:t>
      </w:r>
      <w:r w:rsidR="0063276A">
        <w:t xml:space="preserve"> </w:t>
      </w:r>
      <w:r w:rsidR="00EA2CFD">
        <w:t xml:space="preserve">that morning </w:t>
      </w:r>
      <w:r w:rsidR="0063276A">
        <w:t xml:space="preserve">by </w:t>
      </w:r>
      <w:r w:rsidR="00AC135F">
        <w:t>PJ Walsh Constructions</w:t>
      </w:r>
      <w:r w:rsidR="00ED139E">
        <w:t>’</w:t>
      </w:r>
      <w:r w:rsidR="00E973EA">
        <w:t xml:space="preserve"> site manager, Nathan Smith, </w:t>
      </w:r>
      <w:r w:rsidR="0063276A">
        <w:t>that the employees were refusing to work unless they were paid the higher rates unde</w:t>
      </w:r>
      <w:r>
        <w:t xml:space="preserve">r the </w:t>
      </w:r>
      <w:r w:rsidR="0046063D">
        <w:t>Union</w:t>
      </w:r>
      <w:r w:rsidR="00ED139E">
        <w:t>’</w:t>
      </w:r>
      <w:r w:rsidR="0046063D">
        <w:t xml:space="preserve">s </w:t>
      </w:r>
      <w:r>
        <w:t>Template</w:t>
      </w:r>
      <w:r w:rsidR="00041E81">
        <w:t xml:space="preserve"> Agreement</w:t>
      </w:r>
      <w:r>
        <w:t xml:space="preserve">. </w:t>
      </w:r>
      <w:r w:rsidR="00C816D2">
        <w:t>Mr </w:t>
      </w:r>
      <w:r w:rsidR="00FC3C76">
        <w:t xml:space="preserve">Walsh </w:t>
      </w:r>
      <w:r>
        <w:t xml:space="preserve">told </w:t>
      </w:r>
      <w:r w:rsidR="008E50D6">
        <w:t xml:space="preserve">the </w:t>
      </w:r>
      <w:r w:rsidR="00FE37D2">
        <w:t>e</w:t>
      </w:r>
      <w:r w:rsidR="00845121">
        <w:t>mployees</w:t>
      </w:r>
      <w:r>
        <w:t xml:space="preserve"> </w:t>
      </w:r>
      <w:r w:rsidR="00FC3C76">
        <w:t xml:space="preserve">that </w:t>
      </w:r>
      <w:r w:rsidR="00AC135F">
        <w:t>PJ Walsh Constructions</w:t>
      </w:r>
      <w:r w:rsidR="008E50D6">
        <w:t xml:space="preserve"> </w:t>
      </w:r>
      <w:r>
        <w:t>was close to signing a</w:t>
      </w:r>
      <w:r w:rsidR="00FC3C76">
        <w:t xml:space="preserve"> </w:t>
      </w:r>
      <w:r w:rsidR="008E50D6">
        <w:t xml:space="preserve">Deed </w:t>
      </w:r>
      <w:r w:rsidR="00FC3C76">
        <w:t xml:space="preserve">of </w:t>
      </w:r>
      <w:r w:rsidR="008E50D6">
        <w:t xml:space="preserve">Variation </w:t>
      </w:r>
      <w:r w:rsidR="00FC3C76">
        <w:t xml:space="preserve">with </w:t>
      </w:r>
      <w:r w:rsidR="008E50D6">
        <w:t xml:space="preserve">Watpac </w:t>
      </w:r>
      <w:r w:rsidR="00FC3C76">
        <w:t>which would result in higher rates being paid</w:t>
      </w:r>
      <w:r w:rsidR="00FE37D2">
        <w:t>,</w:t>
      </w:r>
      <w:r w:rsidR="00FC3C76">
        <w:t xml:space="preserve"> and that </w:t>
      </w:r>
      <w:r w:rsidR="00FE37D2">
        <w:t xml:space="preserve">the difference </w:t>
      </w:r>
      <w:r w:rsidR="008E50D6">
        <w:t>would</w:t>
      </w:r>
      <w:r w:rsidR="00FE37D2">
        <w:t xml:space="preserve"> be</w:t>
      </w:r>
      <w:r w:rsidR="008E50D6">
        <w:t xml:space="preserve"> </w:t>
      </w:r>
      <w:r w:rsidR="00FE37D2">
        <w:t>back-paid</w:t>
      </w:r>
      <w:r w:rsidR="00FC3C76">
        <w:t xml:space="preserve">.  </w:t>
      </w:r>
      <w:r w:rsidR="007E6A93">
        <w:t>The employees</w:t>
      </w:r>
      <w:r w:rsidR="00FC3C76">
        <w:t xml:space="preserve"> </w:t>
      </w:r>
      <w:r w:rsidR="008E50D6">
        <w:t>we</w:t>
      </w:r>
      <w:r w:rsidR="00FC3C76">
        <w:t>re not receptive to his explanation.</w:t>
      </w:r>
      <w:r w:rsidR="00FE37D2">
        <w:t xml:space="preserve"> </w:t>
      </w:r>
      <w:r w:rsidR="0063276A">
        <w:t xml:space="preserve">Mr </w:t>
      </w:r>
      <w:r w:rsidR="006A0635">
        <w:t>Smith instructed</w:t>
      </w:r>
      <w:r w:rsidR="00FC3C76">
        <w:t xml:space="preserve"> </w:t>
      </w:r>
      <w:r w:rsidR="009A71CD">
        <w:t xml:space="preserve">the </w:t>
      </w:r>
      <w:r w:rsidR="006A0635">
        <w:t>e</w:t>
      </w:r>
      <w:r w:rsidR="00845121">
        <w:t>mployees</w:t>
      </w:r>
      <w:r w:rsidR="00FC3C76">
        <w:t xml:space="preserve"> to go back to work.  Fo</w:t>
      </w:r>
      <w:r w:rsidR="009A71CD">
        <w:t>u</w:t>
      </w:r>
      <w:r w:rsidR="00FC3C76">
        <w:t>r return</w:t>
      </w:r>
      <w:r w:rsidR="009A71CD">
        <w:t>ed</w:t>
      </w:r>
      <w:r w:rsidR="00FE37D2">
        <w:t xml:space="preserve"> to work, but</w:t>
      </w:r>
      <w:r w:rsidR="00FC3C76">
        <w:t xml:space="preserve"> </w:t>
      </w:r>
      <w:r w:rsidR="00E51D49">
        <w:t>fifteen</w:t>
      </w:r>
      <w:r w:rsidR="00FC3C76">
        <w:t xml:space="preserve"> refused.    </w:t>
      </w:r>
    </w:p>
    <w:p w:rsidR="006A0635" w:rsidRDefault="0063276A" w:rsidP="007E6A93">
      <w:pPr>
        <w:pStyle w:val="ParaNumbering"/>
      </w:pPr>
      <w:r>
        <w:lastRenderedPageBreak/>
        <w:t>That afternoon, Brian</w:t>
      </w:r>
      <w:r w:rsidR="006A0635">
        <w:t xml:space="preserve"> Hayes</w:t>
      </w:r>
      <w:r>
        <w:t>, Watpac</w:t>
      </w:r>
      <w:r w:rsidR="00ED139E">
        <w:t>’</w:t>
      </w:r>
      <w:r>
        <w:t>s project manager,</w:t>
      </w:r>
      <w:r w:rsidR="006A0635">
        <w:t xml:space="preserve"> told </w:t>
      </w:r>
      <w:r>
        <w:t>Mr Harradine that he needed some</w:t>
      </w:r>
      <w:r w:rsidR="00D84DA4">
        <w:t xml:space="preserve"> workers</w:t>
      </w:r>
      <w:r w:rsidR="006A0635">
        <w:t xml:space="preserve"> to finish </w:t>
      </w:r>
      <w:r>
        <w:t xml:space="preserve">working on </w:t>
      </w:r>
      <w:r w:rsidR="006A0635">
        <w:t xml:space="preserve">a concrete slab that had been poured that morning. </w:t>
      </w:r>
      <w:r w:rsidR="0025087F">
        <w:t xml:space="preserve">Mr </w:t>
      </w:r>
      <w:r w:rsidR="006A0635">
        <w:t>Harradine said that he would allow four w</w:t>
      </w:r>
      <w:r>
        <w:t>or</w:t>
      </w:r>
      <w:r w:rsidR="00D84DA4">
        <w:t>kers to complete the work. Four</w:t>
      </w:r>
      <w:r w:rsidR="006A0635">
        <w:t xml:space="preserve"> </w:t>
      </w:r>
      <w:r w:rsidR="00AF1B5E">
        <w:t xml:space="preserve">of the fifteen </w:t>
      </w:r>
      <w:r w:rsidR="006A0635">
        <w:t xml:space="preserve">employees left the </w:t>
      </w:r>
      <w:r w:rsidR="000C2DAC">
        <w:t xml:space="preserve">lunch </w:t>
      </w:r>
      <w:r w:rsidR="006A0635">
        <w:t xml:space="preserve">room and helped to finish the slab. </w:t>
      </w:r>
      <w:r w:rsidR="000C2DAC">
        <w:t xml:space="preserve"> The </w:t>
      </w:r>
      <w:r w:rsidR="00AF1B5E">
        <w:t xml:space="preserve">eleven </w:t>
      </w:r>
      <w:r w:rsidR="000C2DAC">
        <w:t>who remained in the lunch room were the third</w:t>
      </w:r>
      <w:r w:rsidR="00F84B68">
        <w:t>, fourth, sixth,</w:t>
      </w:r>
      <w:r w:rsidR="00660FBF">
        <w:t xml:space="preserve"> ninth to fourteenth,</w:t>
      </w:r>
      <w:r w:rsidR="00F84B68">
        <w:t xml:space="preserve"> seventeenth and eighteenth respondents</w:t>
      </w:r>
      <w:r w:rsidR="000C2DAC">
        <w:t xml:space="preserve">.  </w:t>
      </w:r>
      <w:r w:rsidR="00725240">
        <w:t xml:space="preserve">They remained in the lunch room and did not perform any further work from 11 am that day. They left the site at 2 pm.  </w:t>
      </w:r>
      <w:r w:rsidR="000C2DAC">
        <w:t xml:space="preserve">I will describe the </w:t>
      </w:r>
      <w:r w:rsidR="00AF1B5E">
        <w:t xml:space="preserve">eleven </w:t>
      </w:r>
      <w:r w:rsidR="000C2DAC">
        <w:t>as the “</w:t>
      </w:r>
      <w:r w:rsidR="000C2DAC">
        <w:rPr>
          <w:b/>
        </w:rPr>
        <w:t>11 March Employees</w:t>
      </w:r>
      <w:r w:rsidR="000C2DAC">
        <w:t xml:space="preserve">”. </w:t>
      </w:r>
    </w:p>
    <w:p w:rsidR="00701808" w:rsidRPr="008A11BB" w:rsidRDefault="00701808" w:rsidP="00701808">
      <w:pPr>
        <w:pStyle w:val="ParaNumbering"/>
      </w:pPr>
      <w:r w:rsidRPr="008A11BB">
        <w:t>Mr Walsh deposes that PJ Walsh Construct</w:t>
      </w:r>
      <w:r w:rsidR="00F84B68">
        <w:t>ions uses a program called “</w:t>
      </w:r>
      <w:proofErr w:type="spellStart"/>
      <w:r w:rsidR="00F84B68">
        <w:t>Zen</w:t>
      </w:r>
      <w:r w:rsidRPr="008A11BB">
        <w:t>Shifts</w:t>
      </w:r>
      <w:proofErr w:type="spellEnd"/>
      <w:r w:rsidRPr="008A11BB">
        <w:t xml:space="preserve">” to roster employees and </w:t>
      </w:r>
      <w:r w:rsidR="00052F62">
        <w:t xml:space="preserve">to </w:t>
      </w:r>
      <w:r w:rsidRPr="008A11BB">
        <w:t xml:space="preserve">send </w:t>
      </w:r>
      <w:r w:rsidR="00052F62">
        <w:t xml:space="preserve">them </w:t>
      </w:r>
      <w:r w:rsidRPr="008A11BB">
        <w:t xml:space="preserve">details of the work to be performed, including time and location, by text message.  On the Friday before, or sometimes over the weekend before, the employees are notified of their rosters for the week ahead.  </w:t>
      </w:r>
    </w:p>
    <w:p w:rsidR="00701808" w:rsidRPr="008A11BB" w:rsidRDefault="00B91BA7" w:rsidP="00701808">
      <w:pPr>
        <w:pStyle w:val="ParaNumbering"/>
      </w:pPr>
      <w:r>
        <w:t xml:space="preserve">A copy of the </w:t>
      </w:r>
      <w:proofErr w:type="spellStart"/>
      <w:r>
        <w:t>Zen</w:t>
      </w:r>
      <w:r w:rsidR="00701808" w:rsidRPr="008A11BB">
        <w:t>Shift</w:t>
      </w:r>
      <w:r w:rsidR="00713876">
        <w:t>s</w:t>
      </w:r>
      <w:proofErr w:type="spellEnd"/>
      <w:r w:rsidR="00701808" w:rsidRPr="008A11BB">
        <w:t xml:space="preserve"> roster for the period from 11 to 14 March 2019 is in evidence. The document lists, inter alia, the date, the names of employees, the job site, the start and finish times and hours. The document is not appropriately described as a </w:t>
      </w:r>
      <w:r w:rsidR="007E6E5D">
        <w:t>“</w:t>
      </w:r>
      <w:r w:rsidR="00701808" w:rsidRPr="008A11BB">
        <w:t>roster</w:t>
      </w:r>
      <w:r w:rsidR="007E6E5D">
        <w:t>”,</w:t>
      </w:r>
      <w:r w:rsidR="00701808" w:rsidRPr="008A11BB">
        <w:t xml:space="preserve"> since </w:t>
      </w:r>
      <w:r w:rsidR="00F02B6C">
        <w:t xml:space="preserve">it </w:t>
      </w:r>
      <w:r w:rsidR="00701808" w:rsidRPr="008A11BB">
        <w:t xml:space="preserve">records the hours actually worked by employees each day, rather than the hours for which they were scheduled to work. </w:t>
      </w:r>
    </w:p>
    <w:p w:rsidR="00701808" w:rsidRPr="008A11BB" w:rsidRDefault="00701808" w:rsidP="00701808">
      <w:pPr>
        <w:pStyle w:val="ParaNumbering"/>
      </w:pPr>
      <w:r w:rsidRPr="008A11BB">
        <w:t>PJ Walsh Constructions also uses sign-in sheets to check the hours worked against the roster to ensure that employe</w:t>
      </w:r>
      <w:r w:rsidR="00F02B6C">
        <w:t>e</w:t>
      </w:r>
      <w:r w:rsidRPr="008A11BB">
        <w:t>s are paid correctly.  The sign-in sheets are contained in a document entitled</w:t>
      </w:r>
      <w:r w:rsidR="00713876">
        <w:t xml:space="preserve"> the</w:t>
      </w:r>
      <w:r w:rsidRPr="008A11BB">
        <w:t xml:space="preserve"> “Foreman’</w:t>
      </w:r>
      <w:r w:rsidR="00F02B6C">
        <w:t>s</w:t>
      </w:r>
      <w:r w:rsidRPr="008A11BB">
        <w:t xml:space="preserve"> Weekly Report”. </w:t>
      </w:r>
    </w:p>
    <w:p w:rsidR="0025087F" w:rsidRDefault="007945E9" w:rsidP="007E6A93">
      <w:pPr>
        <w:pStyle w:val="ParaNumbering"/>
      </w:pPr>
      <w:r>
        <w:t xml:space="preserve">The </w:t>
      </w:r>
      <w:r w:rsidR="00770C00">
        <w:t>“</w:t>
      </w:r>
      <w:r w:rsidR="0025087F">
        <w:t>Foreman</w:t>
      </w:r>
      <w:r w:rsidR="00ED139E">
        <w:t>’</w:t>
      </w:r>
      <w:r w:rsidR="00E973EA">
        <w:t>s</w:t>
      </w:r>
      <w:r w:rsidR="0025087F">
        <w:t xml:space="preserve"> Weekly Report</w:t>
      </w:r>
      <w:r w:rsidR="00770C00">
        <w:t>”</w:t>
      </w:r>
      <w:r w:rsidR="0025087F">
        <w:t xml:space="preserve"> for the period from 11 to 14 March 2019</w:t>
      </w:r>
      <w:r>
        <w:t xml:space="preserve"> is in evidence. </w:t>
      </w:r>
      <w:r w:rsidR="00AB5634">
        <w:t>A part of that document is headed</w:t>
      </w:r>
      <w:r w:rsidR="0025087F">
        <w:t xml:space="preserve"> </w:t>
      </w:r>
      <w:r w:rsidR="00770C00">
        <w:t>“</w:t>
      </w:r>
      <w:r w:rsidR="0025087F">
        <w:t>Daily Attendance Record</w:t>
      </w:r>
      <w:r w:rsidR="00770C00">
        <w:t>”</w:t>
      </w:r>
      <w:r w:rsidR="00AB5634">
        <w:t>,</w:t>
      </w:r>
      <w:r w:rsidR="0025087F">
        <w:t xml:space="preserve"> </w:t>
      </w:r>
      <w:r w:rsidR="007365AE">
        <w:t xml:space="preserve">and </w:t>
      </w:r>
      <w:r w:rsidR="00AB5634">
        <w:t xml:space="preserve">contains </w:t>
      </w:r>
      <w:r w:rsidR="007365AE">
        <w:t>the notation</w:t>
      </w:r>
      <w:r w:rsidR="007E6E5D">
        <w:t>,</w:t>
      </w:r>
      <w:r w:rsidR="007365AE">
        <w:t xml:space="preserve"> “By signing you acknowledge you are drug and alcohol free and fit for work”.  </w:t>
      </w:r>
      <w:r w:rsidR="00AB5634">
        <w:t xml:space="preserve">The document </w:t>
      </w:r>
      <w:r w:rsidR="007365AE">
        <w:t xml:space="preserve">has </w:t>
      </w:r>
      <w:r w:rsidR="0025087F">
        <w:t>spaces for the insertion of a date, client, site, name, signature, start time and finish time. The document show</w:t>
      </w:r>
      <w:r>
        <w:t>s</w:t>
      </w:r>
      <w:r w:rsidR="0025087F">
        <w:t xml:space="preserve"> that the 11 March Employees each signed in at the NQS site at 6 am and signed out at 2</w:t>
      </w:r>
      <w:r w:rsidR="00AF1B5E">
        <w:t xml:space="preserve"> </w:t>
      </w:r>
      <w:r w:rsidR="0025087F">
        <w:t>pm</w:t>
      </w:r>
      <w:r w:rsidR="0063276A">
        <w:t xml:space="preserve"> </w:t>
      </w:r>
      <w:r w:rsidR="00597337">
        <w:t>on that date</w:t>
      </w:r>
      <w:r w:rsidR="0025087F">
        <w:t>.</w:t>
      </w:r>
    </w:p>
    <w:p w:rsidR="007E6A93" w:rsidRDefault="00FC3C76" w:rsidP="00193CF7">
      <w:pPr>
        <w:pStyle w:val="ParaNumbering"/>
      </w:pPr>
      <w:r>
        <w:t>On 12 March 2019</w:t>
      </w:r>
      <w:r w:rsidR="004B6708">
        <w:t>,</w:t>
      </w:r>
      <w:r>
        <w:t xml:space="preserve"> </w:t>
      </w:r>
      <w:r w:rsidR="009F4763">
        <w:t>fifteen</w:t>
      </w:r>
      <w:r w:rsidR="007E6E5D">
        <w:t xml:space="preserve"> of the Employees </w:t>
      </w:r>
      <w:r>
        <w:t xml:space="preserve">attended the </w:t>
      </w:r>
      <w:r w:rsidR="00635F38">
        <w:t>NQS Project</w:t>
      </w:r>
      <w:r>
        <w:t xml:space="preserve"> site and </w:t>
      </w:r>
      <w:r w:rsidR="004B6708">
        <w:t>w</w:t>
      </w:r>
      <w:r>
        <w:t>e</w:t>
      </w:r>
      <w:r w:rsidR="004B6708">
        <w:t>n</w:t>
      </w:r>
      <w:r>
        <w:t>t</w:t>
      </w:r>
      <w:r w:rsidR="0063276A">
        <w:t xml:space="preserve"> straight</w:t>
      </w:r>
      <w:r>
        <w:t xml:space="preserve"> </w:t>
      </w:r>
      <w:r w:rsidR="004B6708">
        <w:t xml:space="preserve">to the </w:t>
      </w:r>
      <w:r w:rsidR="006A0635">
        <w:t xml:space="preserve">lunch room </w:t>
      </w:r>
      <w:r w:rsidR="007E6A93">
        <w:t xml:space="preserve">and </w:t>
      </w:r>
      <w:r>
        <w:t xml:space="preserve">remained </w:t>
      </w:r>
      <w:r w:rsidR="00FE37D2">
        <w:t>there. Those</w:t>
      </w:r>
      <w:r w:rsidR="007E6A93">
        <w:t xml:space="preserve"> employees </w:t>
      </w:r>
      <w:r w:rsidR="00AB5634">
        <w:t xml:space="preserve">were the </w:t>
      </w:r>
      <w:r w:rsidR="005C225B">
        <w:t>11 March Employees</w:t>
      </w:r>
      <w:r w:rsidR="00846A4F">
        <w:t xml:space="preserve">, </w:t>
      </w:r>
      <w:r w:rsidR="005C225B">
        <w:t>other than</w:t>
      </w:r>
      <w:r w:rsidR="00AF1B5E">
        <w:t xml:space="preserve"> the fourteenth respondent, </w:t>
      </w:r>
      <w:r w:rsidR="00846A4F">
        <w:t>as well as</w:t>
      </w:r>
      <w:r w:rsidR="002E2DCD">
        <w:t xml:space="preserve"> the fifth, seventh, eight</w:t>
      </w:r>
      <w:r w:rsidR="002819CE">
        <w:t>h</w:t>
      </w:r>
      <w:r w:rsidR="002E2DCD">
        <w:t>, fifteenth and sixteenth respondents.</w:t>
      </w:r>
      <w:r w:rsidR="00193CF7">
        <w:t xml:space="preserve">  </w:t>
      </w:r>
      <w:r w:rsidR="0025087F">
        <w:t xml:space="preserve">I will refer to these employees as the </w:t>
      </w:r>
      <w:r w:rsidR="00770C00">
        <w:t>“</w:t>
      </w:r>
      <w:r w:rsidR="0025087F" w:rsidRPr="00193CF7">
        <w:rPr>
          <w:b/>
        </w:rPr>
        <w:t>12 March Employees</w:t>
      </w:r>
      <w:r w:rsidR="00770C00">
        <w:t>”</w:t>
      </w:r>
      <w:r w:rsidR="0025087F">
        <w:t xml:space="preserve">. </w:t>
      </w:r>
    </w:p>
    <w:p w:rsidR="00FC3C76" w:rsidRDefault="0025087F" w:rsidP="00B24526">
      <w:pPr>
        <w:pStyle w:val="ParaNumbering"/>
      </w:pPr>
      <w:r>
        <w:lastRenderedPageBreak/>
        <w:t xml:space="preserve">Mr Harradine remained </w:t>
      </w:r>
      <w:r w:rsidR="00B24526">
        <w:t>with the 12 March</w:t>
      </w:r>
      <w:r>
        <w:t xml:space="preserve"> </w:t>
      </w:r>
      <w:r w:rsidR="00B24526">
        <w:t>E</w:t>
      </w:r>
      <w:r>
        <w:t xml:space="preserve">mployees throughout the day. </w:t>
      </w:r>
      <w:r w:rsidR="008B2138">
        <w:t xml:space="preserve"> </w:t>
      </w:r>
      <w:r w:rsidR="00C816D2">
        <w:t>Mr </w:t>
      </w:r>
      <w:r w:rsidR="007E6A93">
        <w:t>Walsh told the employees</w:t>
      </w:r>
      <w:r w:rsidR="00FE37D2">
        <w:t xml:space="preserve"> </w:t>
      </w:r>
      <w:r w:rsidR="00FC3C76">
        <w:t xml:space="preserve">that the </w:t>
      </w:r>
      <w:r w:rsidR="004B6708">
        <w:t xml:space="preserve">Deed </w:t>
      </w:r>
      <w:r w:rsidR="00FC3C76">
        <w:t xml:space="preserve">of </w:t>
      </w:r>
      <w:r w:rsidR="004B6708">
        <w:t>Variation wa</w:t>
      </w:r>
      <w:r w:rsidR="00FC3C76">
        <w:t xml:space="preserve">s close to </w:t>
      </w:r>
      <w:r w:rsidR="004B6708">
        <w:t xml:space="preserve">being </w:t>
      </w:r>
      <w:r w:rsidR="00FC3C76">
        <w:t>signed off and that he would pay them the increased rate, including back</w:t>
      </w:r>
      <w:r w:rsidR="004B6708">
        <w:t xml:space="preserve"> </w:t>
      </w:r>
      <w:r w:rsidR="00FC3C76">
        <w:t>pa</w:t>
      </w:r>
      <w:r w:rsidR="004B6708">
        <w:t>y,</w:t>
      </w:r>
      <w:r w:rsidR="00FC3C76">
        <w:t xml:space="preserve"> once the variation </w:t>
      </w:r>
      <w:r w:rsidR="00F44C00">
        <w:t xml:space="preserve">had </w:t>
      </w:r>
      <w:r w:rsidR="00FC3C76">
        <w:t xml:space="preserve">been approved.  </w:t>
      </w:r>
      <w:r w:rsidR="004B6708">
        <w:t xml:space="preserve">Mr Harradine said, </w:t>
      </w:r>
      <w:r w:rsidR="00770C00">
        <w:t>“</w:t>
      </w:r>
      <w:r w:rsidR="004B6708">
        <w:t>I</w:t>
      </w:r>
      <w:r w:rsidR="00ED139E">
        <w:t>’</w:t>
      </w:r>
      <w:r w:rsidR="004B6708">
        <w:t xml:space="preserve">ve </w:t>
      </w:r>
      <w:r w:rsidR="00FC3C76">
        <w:t>got my people in State Parliament telling me different, that it won</w:t>
      </w:r>
      <w:r w:rsidR="00ED139E">
        <w:t>’</w:t>
      </w:r>
      <w:r w:rsidR="00FC3C76">
        <w:t>t be paid until this project agreement is signed</w:t>
      </w:r>
      <w:r w:rsidR="00770C00">
        <w:t>”</w:t>
      </w:r>
      <w:r w:rsidR="004B6708">
        <w:t>.</w:t>
      </w:r>
      <w:r w:rsidR="00FC3C76">
        <w:t xml:space="preserve"> </w:t>
      </w:r>
      <w:r w:rsidR="00C816D2">
        <w:t>Mr </w:t>
      </w:r>
      <w:r w:rsidR="00FC3C76">
        <w:t>Walsh understood th</w:t>
      </w:r>
      <w:r w:rsidR="007365AE">
        <w:t>at</w:t>
      </w:r>
      <w:r w:rsidR="00FC3C76">
        <w:t xml:space="preserve"> </w:t>
      </w:r>
      <w:r w:rsidR="007E6A93">
        <w:t xml:space="preserve">agreement </w:t>
      </w:r>
      <w:r w:rsidR="00FC3C76">
        <w:t xml:space="preserve">to be the </w:t>
      </w:r>
      <w:r w:rsidR="007E6A93">
        <w:t>Template A</w:t>
      </w:r>
      <w:r w:rsidR="00FC3C76">
        <w:t xml:space="preserve">greement.  </w:t>
      </w:r>
    </w:p>
    <w:p w:rsidR="00B24526" w:rsidRDefault="00B24526" w:rsidP="00B24526">
      <w:pPr>
        <w:pStyle w:val="ParaNumbering"/>
      </w:pPr>
      <w:r>
        <w:t>The Foreman</w:t>
      </w:r>
      <w:r w:rsidR="00ED139E">
        <w:t>’</w:t>
      </w:r>
      <w:r>
        <w:t>s Weekly Report shows that the 12 Marc</w:t>
      </w:r>
      <w:r w:rsidR="007945E9">
        <w:t xml:space="preserve">h Employees </w:t>
      </w:r>
      <w:r w:rsidR="00193CF7">
        <w:t xml:space="preserve">all </w:t>
      </w:r>
      <w:r w:rsidR="007945E9">
        <w:t>signed in at the NQS</w:t>
      </w:r>
      <w:r>
        <w:t xml:space="preserve"> site at 6</w:t>
      </w:r>
      <w:r w:rsidR="002E2DCD">
        <w:t> </w:t>
      </w:r>
      <w:r>
        <w:t xml:space="preserve">am and that most signed out at 1.30 pm, although some did not sign out at all. </w:t>
      </w:r>
    </w:p>
    <w:p w:rsidR="00814C1E" w:rsidRDefault="00353322" w:rsidP="00FC3C76">
      <w:pPr>
        <w:pStyle w:val="ParaNumbering"/>
      </w:pPr>
      <w:r>
        <w:t xml:space="preserve">In the evening of </w:t>
      </w:r>
      <w:r w:rsidR="00FC3C76">
        <w:t xml:space="preserve">12 March 2019, </w:t>
      </w:r>
      <w:r w:rsidR="00C816D2">
        <w:t>Mr </w:t>
      </w:r>
      <w:r w:rsidR="00D83572">
        <w:t xml:space="preserve">Walsh </w:t>
      </w:r>
      <w:r w:rsidR="00906BDC">
        <w:t xml:space="preserve">sent a message by SMS to </w:t>
      </w:r>
      <w:r w:rsidR="00AC135F">
        <w:t>PJ Walsh Constructions</w:t>
      </w:r>
      <w:r w:rsidR="00ED139E">
        <w:t>’</w:t>
      </w:r>
      <w:r w:rsidR="00FE37D2">
        <w:t xml:space="preserve"> </w:t>
      </w:r>
      <w:r w:rsidR="00D83572">
        <w:t xml:space="preserve">employees </w:t>
      </w:r>
      <w:r w:rsidR="00FC3C76">
        <w:t xml:space="preserve">engaged </w:t>
      </w:r>
      <w:r w:rsidR="00D83572">
        <w:t>o</w:t>
      </w:r>
      <w:r w:rsidR="00FC3C76">
        <w:t xml:space="preserve">n </w:t>
      </w:r>
      <w:r w:rsidR="002E2DCD">
        <w:t xml:space="preserve">the </w:t>
      </w:r>
      <w:r w:rsidR="00D83572">
        <w:t>NQS </w:t>
      </w:r>
      <w:r w:rsidR="002E2DCD">
        <w:t xml:space="preserve">project </w:t>
      </w:r>
      <w:r w:rsidR="00906BDC">
        <w:t xml:space="preserve">directing </w:t>
      </w:r>
      <w:r w:rsidR="00FC3C76">
        <w:t xml:space="preserve">them to attend </w:t>
      </w:r>
      <w:r w:rsidR="00906BDC">
        <w:t xml:space="preserve">a meeting at </w:t>
      </w:r>
      <w:r w:rsidR="00FC3C76">
        <w:t xml:space="preserve">the </w:t>
      </w:r>
      <w:r w:rsidR="00AC135F">
        <w:t>PJ Walsh Constructions</w:t>
      </w:r>
      <w:r w:rsidR="00D83572">
        <w:t xml:space="preserve"> </w:t>
      </w:r>
      <w:r w:rsidR="00FC3C76">
        <w:t>yard at 6</w:t>
      </w:r>
      <w:r w:rsidR="00D83572">
        <w:t>.</w:t>
      </w:r>
      <w:r w:rsidR="00FC3C76">
        <w:t>30</w:t>
      </w:r>
      <w:r w:rsidR="00D83572">
        <w:t> am</w:t>
      </w:r>
      <w:r w:rsidR="000C35F5">
        <w:t xml:space="preserve"> the following day</w:t>
      </w:r>
      <w:r w:rsidR="00906BDC">
        <w:t xml:space="preserve">, prior to commencing work at the NQS project. </w:t>
      </w:r>
      <w:r w:rsidR="00D83572">
        <w:t xml:space="preserve">The </w:t>
      </w:r>
      <w:r w:rsidR="00AC135F">
        <w:t>PJ Walsh Constructions</w:t>
      </w:r>
      <w:r w:rsidR="00FC3C76">
        <w:t xml:space="preserve"> yard was at a different </w:t>
      </w:r>
      <w:r w:rsidR="00814C1E">
        <w:t xml:space="preserve">location to </w:t>
      </w:r>
      <w:r w:rsidR="00FC3C76">
        <w:t xml:space="preserve">the </w:t>
      </w:r>
      <w:r w:rsidR="00906BDC">
        <w:t>NQS p</w:t>
      </w:r>
      <w:r w:rsidR="00D83572">
        <w:t>roject</w:t>
      </w:r>
      <w:r w:rsidR="00FC3C76">
        <w:t xml:space="preserve">.  </w:t>
      </w:r>
    </w:p>
    <w:p w:rsidR="00FC3C76" w:rsidRDefault="00814C1E" w:rsidP="00FC3C76">
      <w:pPr>
        <w:pStyle w:val="ParaNumbering"/>
      </w:pPr>
      <w:r>
        <w:t xml:space="preserve">On 13 March 2019, </w:t>
      </w:r>
      <w:r w:rsidR="00CA7C35">
        <w:t>fourteen</w:t>
      </w:r>
      <w:r w:rsidR="00FC3C76">
        <w:t xml:space="preserve"> </w:t>
      </w:r>
      <w:r w:rsidR="002822E8">
        <w:t xml:space="preserve">of the Employees </w:t>
      </w:r>
      <w:r w:rsidR="00FC3C76">
        <w:t>did not attend the</w:t>
      </w:r>
      <w:r w:rsidR="00906BDC" w:rsidRPr="00906BDC">
        <w:t xml:space="preserve"> </w:t>
      </w:r>
      <w:r w:rsidR="00AC135F">
        <w:t>PJ Walsh Constructions</w:t>
      </w:r>
      <w:r w:rsidR="00906BDC">
        <w:t xml:space="preserve"> </w:t>
      </w:r>
      <w:r w:rsidR="00FC3C76">
        <w:t xml:space="preserve">yard, but </w:t>
      </w:r>
      <w:r>
        <w:t xml:space="preserve">instead </w:t>
      </w:r>
      <w:r w:rsidR="00FC3C76">
        <w:t xml:space="preserve">attended the </w:t>
      </w:r>
      <w:r w:rsidR="00906BDC">
        <w:t>NQS site</w:t>
      </w:r>
      <w:r w:rsidR="00FC3C76">
        <w:t xml:space="preserve">.  Those </w:t>
      </w:r>
      <w:r w:rsidR="00D83572">
        <w:t xml:space="preserve">employees </w:t>
      </w:r>
      <w:r w:rsidR="00FC3C76">
        <w:t xml:space="preserve">were </w:t>
      </w:r>
      <w:r w:rsidR="00290EC9">
        <w:t>the 11 March Employees</w:t>
      </w:r>
      <w:r w:rsidR="00FC3C76">
        <w:t>, other than</w:t>
      </w:r>
      <w:r w:rsidR="00290EC9">
        <w:t xml:space="preserve"> </w:t>
      </w:r>
      <w:r w:rsidR="00444F7A">
        <w:t>t</w:t>
      </w:r>
      <w:r w:rsidR="008D3F70">
        <w:t xml:space="preserve">he fourteenth and eighteenth </w:t>
      </w:r>
      <w:r w:rsidR="00444F7A">
        <w:t>respondent</w:t>
      </w:r>
      <w:r w:rsidR="008D3F70">
        <w:t>s</w:t>
      </w:r>
      <w:r w:rsidR="00290EC9">
        <w:t>, as well a</w:t>
      </w:r>
      <w:r w:rsidR="002819CE">
        <w:t xml:space="preserve">s the </w:t>
      </w:r>
      <w:r w:rsidR="00D215F7">
        <w:t xml:space="preserve">fifth, </w:t>
      </w:r>
      <w:r w:rsidR="009E0623">
        <w:t xml:space="preserve">seventh, </w:t>
      </w:r>
      <w:r w:rsidR="002819CE">
        <w:t xml:space="preserve">eighth, </w:t>
      </w:r>
      <w:r w:rsidR="00444F7A">
        <w:t>fifteenth and sixteenth respondents</w:t>
      </w:r>
      <w:r w:rsidR="00FC3C76">
        <w:t>.</w:t>
      </w:r>
      <w:r w:rsidR="00B24526">
        <w:t xml:space="preserve"> I will refer to these </w:t>
      </w:r>
      <w:r w:rsidR="00493A00">
        <w:t>fourteen</w:t>
      </w:r>
      <w:r w:rsidR="00AB5634">
        <w:t xml:space="preserve"> </w:t>
      </w:r>
      <w:r w:rsidR="00B24526">
        <w:t xml:space="preserve">employees as the </w:t>
      </w:r>
      <w:r w:rsidR="00770C00">
        <w:t>“</w:t>
      </w:r>
      <w:r w:rsidR="00B24526">
        <w:rPr>
          <w:b/>
        </w:rPr>
        <w:t>13 March Employees</w:t>
      </w:r>
      <w:r w:rsidR="00770C00">
        <w:t>”</w:t>
      </w:r>
      <w:r w:rsidR="00B24526">
        <w:t>. They did not sign in or out.</w:t>
      </w:r>
      <w:r w:rsidR="00906BDC">
        <w:t xml:space="preserve"> At about 9.30 or 10 am, they left the NQS site and went to the Union</w:t>
      </w:r>
      <w:r w:rsidR="00ED139E">
        <w:t>’</w:t>
      </w:r>
      <w:r w:rsidR="00906BDC">
        <w:t>s office. They did not perform any work that day.</w:t>
      </w:r>
    </w:p>
    <w:p w:rsidR="000C35F5" w:rsidRDefault="000C35F5" w:rsidP="00FC3C76">
      <w:pPr>
        <w:pStyle w:val="ParaNumbering"/>
      </w:pPr>
      <w:r>
        <w:t xml:space="preserve">On 14 March 2019, </w:t>
      </w:r>
      <w:r w:rsidR="00AD6F3E">
        <w:t>thirteen</w:t>
      </w:r>
      <w:r w:rsidR="00EB2FA6">
        <w:t xml:space="preserve"> </w:t>
      </w:r>
      <w:r w:rsidR="002822E8">
        <w:t xml:space="preserve">of the Employees </w:t>
      </w:r>
      <w:r w:rsidR="00EB2FA6">
        <w:t xml:space="preserve">did not </w:t>
      </w:r>
      <w:r>
        <w:t>at</w:t>
      </w:r>
      <w:r w:rsidR="007945E9">
        <w:t>tend</w:t>
      </w:r>
      <w:r w:rsidR="00F47B21">
        <w:t xml:space="preserve"> the NQS site and</w:t>
      </w:r>
      <w:r w:rsidR="00EB2FA6">
        <w:t xml:space="preserve"> did not</w:t>
      </w:r>
      <w:r w:rsidR="00B24526">
        <w:t xml:space="preserve"> perform</w:t>
      </w:r>
      <w:r>
        <w:t xml:space="preserve"> any work</w:t>
      </w:r>
      <w:r w:rsidR="00F47B21">
        <w:t xml:space="preserve"> that day</w:t>
      </w:r>
      <w:r>
        <w:t>.</w:t>
      </w:r>
      <w:r w:rsidR="00EB2FA6">
        <w:t xml:space="preserve"> </w:t>
      </w:r>
      <w:r w:rsidR="007265D4">
        <w:t xml:space="preserve"> Those employees were </w:t>
      </w:r>
      <w:r w:rsidR="00D66C2D">
        <w:t>the 11 March Employees</w:t>
      </w:r>
      <w:r w:rsidR="007265D4">
        <w:t xml:space="preserve">, other than </w:t>
      </w:r>
      <w:r w:rsidR="004049FB">
        <w:t xml:space="preserve">the thirteenth, fourteenth and eighteenth </w:t>
      </w:r>
      <w:r w:rsidR="00AF1B5E">
        <w:t>respondent</w:t>
      </w:r>
      <w:r w:rsidR="004049FB">
        <w:t>s, as well as the fifth, seventh, eighth, fifteenth and sixteenth respondents</w:t>
      </w:r>
      <w:r w:rsidR="007265D4">
        <w:t xml:space="preserve">.  </w:t>
      </w:r>
      <w:r w:rsidR="00EB2FA6">
        <w:t xml:space="preserve">I will refer to these employees as the </w:t>
      </w:r>
      <w:r w:rsidR="00770C00">
        <w:t>“</w:t>
      </w:r>
      <w:r w:rsidR="00EB2FA6">
        <w:rPr>
          <w:b/>
        </w:rPr>
        <w:t>14 March</w:t>
      </w:r>
      <w:r w:rsidR="00EB0A91">
        <w:rPr>
          <w:b/>
        </w:rPr>
        <w:t xml:space="preserve"> </w:t>
      </w:r>
      <w:r w:rsidR="00EB0A91" w:rsidRPr="0082743B">
        <w:rPr>
          <w:b/>
        </w:rPr>
        <w:t>Employees</w:t>
      </w:r>
      <w:r w:rsidR="00770C00">
        <w:t>”</w:t>
      </w:r>
      <w:r w:rsidR="00EB2FA6">
        <w:t>.</w:t>
      </w:r>
    </w:p>
    <w:p w:rsidR="00FC3C76" w:rsidRDefault="00D83572" w:rsidP="00E973EA">
      <w:pPr>
        <w:pStyle w:val="ParaNumbering"/>
      </w:pPr>
      <w:r>
        <w:t xml:space="preserve">On </w:t>
      </w:r>
      <w:r w:rsidR="00FC3C76">
        <w:t xml:space="preserve">14 March 2019, </w:t>
      </w:r>
      <w:r w:rsidR="00814C1E">
        <w:t>t</w:t>
      </w:r>
      <w:r w:rsidR="00F07C40">
        <w:t xml:space="preserve">he Fair Work Commission </w:t>
      </w:r>
      <w:r w:rsidR="00814C1E">
        <w:t xml:space="preserve">made an order </w:t>
      </w:r>
      <w:r w:rsidR="00FC3C76">
        <w:t xml:space="preserve">that all </w:t>
      </w:r>
      <w:r w:rsidR="00F07C40">
        <w:t xml:space="preserve">employees </w:t>
      </w:r>
      <w:r w:rsidR="00FC3C76">
        <w:t xml:space="preserve">employed by </w:t>
      </w:r>
      <w:r w:rsidR="00AC135F">
        <w:t>PJ Walsh Constructions</w:t>
      </w:r>
      <w:r w:rsidR="00FC3C76">
        <w:t xml:space="preserve"> pursuant to the </w:t>
      </w:r>
      <w:r w:rsidR="008736D1">
        <w:t>Enterprise Agreement</w:t>
      </w:r>
      <w:r w:rsidR="00FC3C76">
        <w:t xml:space="preserve"> at the </w:t>
      </w:r>
      <w:r w:rsidR="00AF1B5E">
        <w:t>NQS</w:t>
      </w:r>
      <w:r w:rsidR="00814C1E">
        <w:t xml:space="preserve"> site</w:t>
      </w:r>
      <w:r w:rsidR="00FC3C76">
        <w:t xml:space="preserve"> </w:t>
      </w:r>
      <w:r w:rsidR="007265D4">
        <w:t xml:space="preserve">stop, </w:t>
      </w:r>
      <w:r w:rsidR="00FC3C76">
        <w:t>not engage in and/or</w:t>
      </w:r>
      <w:r w:rsidR="00E9678F">
        <w:t xml:space="preserve"> not </w:t>
      </w:r>
      <w:r w:rsidR="00FC3C76">
        <w:t>organise industria</w:t>
      </w:r>
      <w:r w:rsidR="00E973EA">
        <w:t>l a</w:t>
      </w:r>
      <w:r w:rsidR="004E3080">
        <w:t>ction</w:t>
      </w:r>
      <w:r w:rsidR="00FC3C76">
        <w:t xml:space="preserve"> while the order remained in place</w:t>
      </w:r>
      <w:r w:rsidR="00E9678F">
        <w:t>.  On</w:t>
      </w:r>
      <w:r w:rsidR="00FC3C76">
        <w:t xml:space="preserve"> 15 March 2019, the </w:t>
      </w:r>
      <w:r w:rsidR="00AC135F">
        <w:t>PJ Walsh Constructions</w:t>
      </w:r>
      <w:r w:rsidR="00ED139E">
        <w:t>’</w:t>
      </w:r>
      <w:r w:rsidR="00FC3C76">
        <w:t xml:space="preserve"> </w:t>
      </w:r>
      <w:r w:rsidR="00E9678F">
        <w:t xml:space="preserve">employees </w:t>
      </w:r>
      <w:r w:rsidR="00EB2FA6">
        <w:t>returned to wor</w:t>
      </w:r>
      <w:r w:rsidR="00E973EA">
        <w:t>k</w:t>
      </w:r>
      <w:r w:rsidR="00FC3C76">
        <w:t>.</w:t>
      </w:r>
    </w:p>
    <w:p w:rsidR="00FC3C76" w:rsidRDefault="00C816D2" w:rsidP="00FC3C76">
      <w:pPr>
        <w:pStyle w:val="ParaNumbering"/>
      </w:pPr>
      <w:r>
        <w:t>Mr </w:t>
      </w:r>
      <w:r w:rsidR="00B338B7">
        <w:t xml:space="preserve">Walsh deposes </w:t>
      </w:r>
      <w:r w:rsidR="00FC3C76">
        <w:t xml:space="preserve">that he did not authorise </w:t>
      </w:r>
      <w:r w:rsidR="00814C1E">
        <w:t>or agree to any e</w:t>
      </w:r>
      <w:r w:rsidR="00B338B7">
        <w:t xml:space="preserve">mployees </w:t>
      </w:r>
      <w:r w:rsidR="00FC3C76">
        <w:t xml:space="preserve">performing work </w:t>
      </w:r>
      <w:r w:rsidR="00E973EA">
        <w:t xml:space="preserve">at </w:t>
      </w:r>
      <w:r w:rsidR="007265D4">
        <w:t xml:space="preserve">the </w:t>
      </w:r>
      <w:r w:rsidR="00E973EA">
        <w:t>NQS p</w:t>
      </w:r>
      <w:r w:rsidR="00B338B7">
        <w:t>roject</w:t>
      </w:r>
      <w:r w:rsidR="00FC3C76">
        <w:t xml:space="preserve"> in a manner different from that which they were employed to do.</w:t>
      </w:r>
    </w:p>
    <w:p w:rsidR="007945E9" w:rsidRDefault="007945E9" w:rsidP="007945E9">
      <w:pPr>
        <w:pStyle w:val="ParaNumbering"/>
      </w:pPr>
      <w:r>
        <w:t xml:space="preserve">Mr Walsh states that it </w:t>
      </w:r>
      <w:r w:rsidR="00092971">
        <w:t>wa</w:t>
      </w:r>
      <w:r>
        <w:t xml:space="preserve">s the expectation of </w:t>
      </w:r>
      <w:r w:rsidR="00AC135F">
        <w:t>PJ Walsh Constructions</w:t>
      </w:r>
      <w:r w:rsidR="00E973EA">
        <w:t xml:space="preserve"> that </w:t>
      </w:r>
      <w:r w:rsidR="007265D4">
        <w:t xml:space="preserve">employees </w:t>
      </w:r>
      <w:r w:rsidR="00E973EA">
        <w:t>would notify the company if there were</w:t>
      </w:r>
      <w:r>
        <w:t xml:space="preserve"> any concern</w:t>
      </w:r>
      <w:r w:rsidR="00E973EA">
        <w:t>s with rostered shifts that had</w:t>
      </w:r>
      <w:r>
        <w:t xml:space="preserve"> been offered</w:t>
      </w:r>
      <w:r w:rsidR="00092971">
        <w:t>,</w:t>
      </w:r>
      <w:r>
        <w:t xml:space="preserve"> or </w:t>
      </w:r>
      <w:r w:rsidR="00E973EA">
        <w:t>if there was any reason why they were</w:t>
      </w:r>
      <w:r>
        <w:t xml:space="preserve"> </w:t>
      </w:r>
      <w:r w:rsidR="007265D4">
        <w:t>un</w:t>
      </w:r>
      <w:r>
        <w:t>able to w</w:t>
      </w:r>
      <w:r w:rsidR="00E973EA">
        <w:t>ork as rostered.  Employees would</w:t>
      </w:r>
      <w:r>
        <w:t xml:space="preserve"> usually </w:t>
      </w:r>
      <w:r>
        <w:lastRenderedPageBreak/>
        <w:t>notify the company as</w:t>
      </w:r>
      <w:r w:rsidR="00E973EA">
        <w:t xml:space="preserve"> soon as possible if they could not</w:t>
      </w:r>
      <w:r>
        <w:t xml:space="preserve"> work </w:t>
      </w:r>
      <w:r w:rsidR="00E973EA">
        <w:t>a rostered shift.  Employees were</w:t>
      </w:r>
      <w:r>
        <w:t xml:space="preserve"> asked to let the company know </w:t>
      </w:r>
      <w:r w:rsidR="00E973EA">
        <w:t xml:space="preserve">as soon as possible if they were </w:t>
      </w:r>
      <w:r>
        <w:t>unable to come into work for any reason, such as illness.</w:t>
      </w:r>
      <w:r w:rsidRPr="00F852C5">
        <w:t xml:space="preserve"> </w:t>
      </w:r>
    </w:p>
    <w:p w:rsidR="007945E9" w:rsidRDefault="007945E9" w:rsidP="007945E9">
      <w:pPr>
        <w:pStyle w:val="ParaNumbering"/>
      </w:pPr>
      <w:r>
        <w:t>Mr Walsh states that once a shift has be</w:t>
      </w:r>
      <w:r w:rsidR="00E973EA">
        <w:t>en commenced by employees, it was</w:t>
      </w:r>
      <w:r>
        <w:t xml:space="preserve"> the company</w:t>
      </w:r>
      <w:r w:rsidR="00ED139E">
        <w:t>’</w:t>
      </w:r>
      <w:r>
        <w:t>s expectation, and the pr</w:t>
      </w:r>
      <w:r w:rsidR="00E973EA">
        <w:t>actice, that an employee would</w:t>
      </w:r>
      <w:r>
        <w:t xml:space="preserve"> complete the shift they commence</w:t>
      </w:r>
      <w:r w:rsidR="00E973EA">
        <w:t>d</w:t>
      </w:r>
      <w:r>
        <w:t xml:space="preserve"> unless, for health reasons, </w:t>
      </w:r>
      <w:r w:rsidR="00E973EA">
        <w:t>they were</w:t>
      </w:r>
      <w:r>
        <w:t xml:space="preserve"> unable to do so.</w:t>
      </w:r>
    </w:p>
    <w:p w:rsidR="00AB5634" w:rsidRDefault="00AB5634" w:rsidP="007945E9">
      <w:pPr>
        <w:pStyle w:val="ParaNumbering"/>
      </w:pPr>
      <w:r>
        <w:t xml:space="preserve">Aaron Parton, who was employed by Watpac as the site manager for the NQS project gave evidence.  He produced an aerial photograph of the NQS site area.  It shows that the area where work was actually carried out was fenced off and that the </w:t>
      </w:r>
      <w:r w:rsidR="00082356">
        <w:t>amenities area (</w:t>
      </w:r>
      <w:r w:rsidR="00C44FCC">
        <w:t xml:space="preserve">including the </w:t>
      </w:r>
      <w:r>
        <w:t>lunch room</w:t>
      </w:r>
      <w:r w:rsidR="00082356">
        <w:t xml:space="preserve">) was outside the fenced area.  </w:t>
      </w:r>
      <w:r w:rsidR="00C44FCC">
        <w:t xml:space="preserve">There was also a </w:t>
      </w:r>
      <w:r w:rsidR="004F5157">
        <w:t>perimeter fence which surrounde</w:t>
      </w:r>
      <w:r w:rsidR="00C44FCC">
        <w:t xml:space="preserve">d both the whole site area, including both the amenities area and the work area.  </w:t>
      </w:r>
      <w:r w:rsidR="00082356">
        <w:t xml:space="preserve">There was a gate that could be closed across an access road leading to the amenities area and the </w:t>
      </w:r>
      <w:r w:rsidR="00C44FCC">
        <w:t xml:space="preserve">work </w:t>
      </w:r>
      <w:r w:rsidR="00082356">
        <w:t>area.</w:t>
      </w:r>
    </w:p>
    <w:p w:rsidR="00B338B7" w:rsidRDefault="009B3B27" w:rsidP="00585423">
      <w:pPr>
        <w:pStyle w:val="Heading1"/>
      </w:pPr>
      <w:r>
        <w:t>THE LEGISLATION</w:t>
      </w:r>
    </w:p>
    <w:p w:rsidR="00A55168" w:rsidRDefault="00A55168" w:rsidP="00A55168">
      <w:pPr>
        <w:pStyle w:val="ParaNumbering"/>
      </w:pPr>
      <w:r>
        <w:t>Section 45 of the BCI Act provides:</w:t>
      </w:r>
    </w:p>
    <w:p w:rsidR="00A55168" w:rsidRPr="00FD5724" w:rsidRDefault="00A55168" w:rsidP="00A55168">
      <w:pPr>
        <w:pStyle w:val="Quote1"/>
        <w:rPr>
          <w:b/>
        </w:rPr>
      </w:pPr>
      <w:r w:rsidRPr="00FD5724">
        <w:rPr>
          <w:b/>
        </w:rPr>
        <w:t>45</w:t>
      </w:r>
      <w:r w:rsidRPr="00FD5724">
        <w:rPr>
          <w:b/>
        </w:rPr>
        <w:tab/>
      </w:r>
      <w:r>
        <w:rPr>
          <w:b/>
        </w:rPr>
        <w:t>Action</w:t>
      </w:r>
      <w:r w:rsidRPr="00FD5724">
        <w:rPr>
          <w:b/>
        </w:rPr>
        <w:t xml:space="preserve"> to which this Chapter applies</w:t>
      </w:r>
    </w:p>
    <w:p w:rsidR="00A55168" w:rsidRDefault="00A55168" w:rsidP="00A55168">
      <w:pPr>
        <w:pStyle w:val="Quote1"/>
      </w:pPr>
      <w:r>
        <w:t>This Chapter applies to the following action:</w:t>
      </w:r>
    </w:p>
    <w:p w:rsidR="00A55168" w:rsidRDefault="00A55168" w:rsidP="00A55168">
      <w:pPr>
        <w:pStyle w:val="Quote1"/>
      </w:pPr>
      <w:r>
        <w:t>(a)</w:t>
      </w:r>
      <w:r>
        <w:tab/>
        <w:t>act</w:t>
      </w:r>
      <w:r w:rsidR="007265D4">
        <w:t>ion taken by a constitutionally-</w:t>
      </w:r>
      <w:r>
        <w:t>covered entity;</w:t>
      </w:r>
    </w:p>
    <w:p w:rsidR="00A55168" w:rsidRDefault="00A55168" w:rsidP="00A55168">
      <w:pPr>
        <w:pStyle w:val="Quote1"/>
        <w:ind w:left="1440" w:hanging="703"/>
      </w:pPr>
      <w:r>
        <w:t>(b)</w:t>
      </w:r>
      <w:r>
        <w:tab/>
        <w:t>action that affects, is capable of affecting or is taken with intent to affect the activities, functions, relationships or</w:t>
      </w:r>
      <w:r w:rsidR="007265D4">
        <w:t xml:space="preserve"> business of a constitutionally-</w:t>
      </w:r>
      <w:r>
        <w:t>covered entity;</w:t>
      </w:r>
    </w:p>
    <w:p w:rsidR="00A55168" w:rsidRDefault="00A55168" w:rsidP="00A55168">
      <w:pPr>
        <w:pStyle w:val="Quote1"/>
        <w:ind w:left="1440" w:hanging="703"/>
      </w:pPr>
      <w:r>
        <w:t>(c)</w:t>
      </w:r>
      <w:r>
        <w:tab/>
        <w:t>action that consists of advising, encouraging or inciting, or action taken with inten</w:t>
      </w:r>
      <w:r w:rsidR="007265D4">
        <w:t>t to coerce, a constitutionally-</w:t>
      </w:r>
      <w:r>
        <w:t>covered entity:</w:t>
      </w:r>
    </w:p>
    <w:p w:rsidR="00A55168" w:rsidRDefault="00A55168" w:rsidP="00A55168">
      <w:pPr>
        <w:pStyle w:val="Quote2"/>
        <w:ind w:left="2160" w:hanging="720"/>
      </w:pPr>
      <w:r>
        <w:t>(</w:t>
      </w:r>
      <w:proofErr w:type="spellStart"/>
      <w:r>
        <w:t>i</w:t>
      </w:r>
      <w:proofErr w:type="spellEnd"/>
      <w:r>
        <w:t>)</w:t>
      </w:r>
      <w:r>
        <w:tab/>
        <w:t>to take, or not take, particular action in relation to another person; or</w:t>
      </w:r>
    </w:p>
    <w:p w:rsidR="00A55168" w:rsidRPr="004419DD" w:rsidRDefault="00A55168" w:rsidP="00A55168">
      <w:pPr>
        <w:pStyle w:val="Quote2"/>
        <w:ind w:left="2160" w:hanging="720"/>
        <w:rPr>
          <w:highlight w:val="yellow"/>
        </w:rPr>
      </w:pPr>
      <w:r>
        <w:t>(ii)</w:t>
      </w:r>
      <w:r>
        <w:tab/>
        <w:t>to threaten to take, or not take, particular action in relation to another person.</w:t>
      </w:r>
    </w:p>
    <w:p w:rsidR="00FC3C76" w:rsidRDefault="00B338B7" w:rsidP="00FC3C76">
      <w:pPr>
        <w:pStyle w:val="ParaNumbering"/>
      </w:pPr>
      <w:r>
        <w:t xml:space="preserve">Section </w:t>
      </w:r>
      <w:r w:rsidR="00FC3C76">
        <w:t xml:space="preserve">46 of </w:t>
      </w:r>
      <w:r w:rsidR="00845121">
        <w:t xml:space="preserve">the </w:t>
      </w:r>
      <w:r w:rsidR="00BC2E3D">
        <w:t>BCI Act</w:t>
      </w:r>
      <w:r w:rsidR="00FC3C76">
        <w:t xml:space="preserve"> provides:</w:t>
      </w:r>
    </w:p>
    <w:p w:rsidR="00CD2B6E" w:rsidRPr="00CD2B6E" w:rsidRDefault="00CD2B6E" w:rsidP="00CD2B6E">
      <w:pPr>
        <w:pStyle w:val="Quote1"/>
        <w:rPr>
          <w:b/>
        </w:rPr>
      </w:pPr>
      <w:r w:rsidRPr="00CD2B6E">
        <w:rPr>
          <w:b/>
        </w:rPr>
        <w:t>46</w:t>
      </w:r>
      <w:r>
        <w:rPr>
          <w:b/>
        </w:rPr>
        <w:tab/>
      </w:r>
      <w:r w:rsidRPr="00CD2B6E">
        <w:rPr>
          <w:b/>
        </w:rPr>
        <w:t xml:space="preserve">Unlawful industrial </w:t>
      </w:r>
      <w:r w:rsidR="00C95096">
        <w:rPr>
          <w:b/>
        </w:rPr>
        <w:t>action</w:t>
      </w:r>
      <w:r w:rsidR="00C95096" w:rsidRPr="00CD2B6E">
        <w:rPr>
          <w:b/>
        </w:rPr>
        <w:t xml:space="preserve"> </w:t>
      </w:r>
      <w:r w:rsidRPr="00CD2B6E">
        <w:rPr>
          <w:b/>
        </w:rPr>
        <w:t>prohibited</w:t>
      </w:r>
    </w:p>
    <w:p w:rsidR="00CD2B6E" w:rsidRDefault="00CD2B6E" w:rsidP="00CD2B6E">
      <w:pPr>
        <w:pStyle w:val="Quote1"/>
      </w:pPr>
      <w:r>
        <w:t xml:space="preserve">A person must not organise or engage in unlawful industrial </w:t>
      </w:r>
      <w:r w:rsidR="00E973EA">
        <w:t>a</w:t>
      </w:r>
      <w:r w:rsidR="004E3080">
        <w:t>ction</w:t>
      </w:r>
      <w:r>
        <w:t>.</w:t>
      </w:r>
    </w:p>
    <w:p w:rsidR="009B2D3C" w:rsidRDefault="009B2D3C" w:rsidP="009B2D3C">
      <w:pPr>
        <w:pStyle w:val="ParaNumbering"/>
      </w:pPr>
      <w:r>
        <w:t xml:space="preserve">Under s 5 of the </w:t>
      </w:r>
      <w:r w:rsidR="00BC2E3D">
        <w:t>BCI Act</w:t>
      </w:r>
      <w:r>
        <w:t xml:space="preserve">, </w:t>
      </w:r>
      <w:r w:rsidR="00E973EA">
        <w:t>a</w:t>
      </w:r>
      <w:r w:rsidR="004E3080">
        <w:t>ction</w:t>
      </w:r>
      <w:r>
        <w:t xml:space="preserve"> is </w:t>
      </w:r>
      <w:r w:rsidR="00770C00">
        <w:t>“</w:t>
      </w:r>
      <w:r>
        <w:t xml:space="preserve">unlawful industrial </w:t>
      </w:r>
      <w:r w:rsidR="00E973EA">
        <w:t>a</w:t>
      </w:r>
      <w:r w:rsidR="004E3080">
        <w:t>ction</w:t>
      </w:r>
      <w:r w:rsidR="00770C00">
        <w:t>”</w:t>
      </w:r>
      <w:r w:rsidR="00E973EA">
        <w:t xml:space="preserve"> if the a</w:t>
      </w:r>
      <w:r w:rsidR="004E3080">
        <w:t>ction</w:t>
      </w:r>
      <w:r>
        <w:t xml:space="preserve"> is </w:t>
      </w:r>
      <w:r w:rsidR="00770C00">
        <w:t>“</w:t>
      </w:r>
      <w:r>
        <w:t xml:space="preserve">industrial </w:t>
      </w:r>
      <w:r w:rsidR="00E973EA">
        <w:t>a</w:t>
      </w:r>
      <w:r w:rsidR="004E3080">
        <w:t>ction</w:t>
      </w:r>
      <w:r w:rsidR="00770C00">
        <w:t>”</w:t>
      </w:r>
      <w:r>
        <w:t xml:space="preserve"> and is not </w:t>
      </w:r>
      <w:r w:rsidR="00770C00">
        <w:t>“</w:t>
      </w:r>
      <w:r>
        <w:t xml:space="preserve">protected industrial </w:t>
      </w:r>
      <w:r w:rsidR="00E973EA">
        <w:t>a</w:t>
      </w:r>
      <w:r w:rsidR="004E3080">
        <w:t>ction</w:t>
      </w:r>
      <w:r w:rsidR="00770C00">
        <w:t>”</w:t>
      </w:r>
      <w:r>
        <w:t xml:space="preserve">.  </w:t>
      </w:r>
    </w:p>
    <w:p w:rsidR="00FC3C76" w:rsidRDefault="00CD2B6E" w:rsidP="00CD2B6E">
      <w:pPr>
        <w:pStyle w:val="ParaNumbering"/>
      </w:pPr>
      <w:r>
        <w:t xml:space="preserve">The </w:t>
      </w:r>
      <w:r w:rsidR="009B2D3C">
        <w:t>term</w:t>
      </w:r>
      <w:r w:rsidR="00FC3C76">
        <w:t xml:space="preserve">, </w:t>
      </w:r>
      <w:r w:rsidR="00770C00">
        <w:t>“</w:t>
      </w:r>
      <w:r w:rsidR="004E640E">
        <w:t>i</w:t>
      </w:r>
      <w:r>
        <w:t xml:space="preserve">ndustrial </w:t>
      </w:r>
      <w:r w:rsidR="00E973EA">
        <w:t>a</w:t>
      </w:r>
      <w:r w:rsidR="004E3080">
        <w:t>ction</w:t>
      </w:r>
      <w:r w:rsidR="00770C00">
        <w:t>”</w:t>
      </w:r>
      <w:r w:rsidR="00FC3C76">
        <w:t xml:space="preserve"> is defined in s</w:t>
      </w:r>
      <w:r>
        <w:t> </w:t>
      </w:r>
      <w:r w:rsidR="00FC3C76">
        <w:t xml:space="preserve">7 </w:t>
      </w:r>
      <w:r w:rsidR="00541B76">
        <w:t xml:space="preserve">of the </w:t>
      </w:r>
      <w:r w:rsidR="00541B76" w:rsidRPr="00541B76">
        <w:t>BCI</w:t>
      </w:r>
      <w:r w:rsidR="00541B76">
        <w:t xml:space="preserve"> Act </w:t>
      </w:r>
      <w:r w:rsidR="00FC3C76" w:rsidRPr="00541B76">
        <w:t>as</w:t>
      </w:r>
      <w:r w:rsidR="00FC3C76">
        <w:t xml:space="preserve"> follows:</w:t>
      </w:r>
    </w:p>
    <w:p w:rsidR="00CD2B6E" w:rsidRPr="00CD2B6E" w:rsidRDefault="00CD2B6E" w:rsidP="00CD2B6E">
      <w:pPr>
        <w:pStyle w:val="Quote1"/>
        <w:rPr>
          <w:b/>
        </w:rPr>
      </w:pPr>
      <w:r w:rsidRPr="00CD2B6E">
        <w:rPr>
          <w:b/>
        </w:rPr>
        <w:lastRenderedPageBreak/>
        <w:t>7</w:t>
      </w:r>
      <w:r>
        <w:rPr>
          <w:b/>
        </w:rPr>
        <w:tab/>
      </w:r>
      <w:r w:rsidRPr="00CD2B6E">
        <w:rPr>
          <w:b/>
        </w:rPr>
        <w:t xml:space="preserve">Meaning of </w:t>
      </w:r>
      <w:r w:rsidRPr="00CD2B6E">
        <w:rPr>
          <w:b/>
          <w:i/>
        </w:rPr>
        <w:t xml:space="preserve">industrial </w:t>
      </w:r>
      <w:r w:rsidR="00E973EA">
        <w:rPr>
          <w:b/>
          <w:i/>
        </w:rPr>
        <w:t>a</w:t>
      </w:r>
      <w:r w:rsidR="004E3080">
        <w:rPr>
          <w:b/>
          <w:i/>
        </w:rPr>
        <w:t>ction</w:t>
      </w:r>
    </w:p>
    <w:p w:rsidR="00CD2B6E" w:rsidRDefault="00CD2B6E" w:rsidP="00CD2B6E">
      <w:pPr>
        <w:pStyle w:val="Quote1"/>
      </w:pPr>
      <w:r>
        <w:t>(1)</w:t>
      </w:r>
      <w:r>
        <w:tab/>
      </w:r>
      <w:r w:rsidRPr="00CD2B6E">
        <w:rPr>
          <w:b/>
          <w:i/>
        </w:rPr>
        <w:t xml:space="preserve">Industrial </w:t>
      </w:r>
      <w:r w:rsidR="00E973EA">
        <w:rPr>
          <w:b/>
          <w:i/>
        </w:rPr>
        <w:t>a</w:t>
      </w:r>
      <w:r w:rsidR="004E3080">
        <w:rPr>
          <w:b/>
          <w:i/>
        </w:rPr>
        <w:t>ction</w:t>
      </w:r>
      <w:r>
        <w:t xml:space="preserve"> is </w:t>
      </w:r>
      <w:r w:rsidR="00E973EA">
        <w:t>a</w:t>
      </w:r>
      <w:r w:rsidR="004E3080">
        <w:t>ction</w:t>
      </w:r>
      <w:r>
        <w:t xml:space="preserve"> of any of the following kinds:</w:t>
      </w:r>
    </w:p>
    <w:p w:rsidR="00CD2B6E" w:rsidRDefault="00CD2B6E" w:rsidP="00CD2B6E">
      <w:pPr>
        <w:pStyle w:val="Quote2"/>
        <w:ind w:left="2160" w:hanging="720"/>
      </w:pPr>
      <w:r>
        <w:t>(a)</w:t>
      </w:r>
      <w:r>
        <w:tab/>
        <w:t>the performance of building work by an employee in a manner different from that in which it is customarily performed, or the adoption of a pr</w:t>
      </w:r>
      <w:r w:rsidR="00E973EA">
        <w:t>a</w:t>
      </w:r>
      <w:r w:rsidR="004E3080">
        <w:t>ct</w:t>
      </w:r>
      <w:r>
        <w:t>ice in relation to building work by an employee, the result of which is a restriction or limitation on, or a delay in, the performance of the work;</w:t>
      </w:r>
    </w:p>
    <w:p w:rsidR="00CD2B6E" w:rsidRDefault="00CD2B6E" w:rsidP="00CD2B6E">
      <w:pPr>
        <w:pStyle w:val="Quote2"/>
        <w:ind w:left="2160" w:hanging="720"/>
      </w:pPr>
      <w:r>
        <w:t>(b)</w:t>
      </w:r>
      <w:r>
        <w:tab/>
        <w:t>a ban, limitation or restriction on the performance of building work by an employee or on the acceptance of or offering for building work by an employee;</w:t>
      </w:r>
    </w:p>
    <w:p w:rsidR="00CD2B6E" w:rsidRDefault="00CD2B6E" w:rsidP="00CD2B6E">
      <w:pPr>
        <w:pStyle w:val="Quote2"/>
        <w:ind w:left="2160" w:hanging="720"/>
      </w:pPr>
      <w:r>
        <w:t>(c)</w:t>
      </w:r>
      <w:r>
        <w:tab/>
        <w:t>a failure or refusal:</w:t>
      </w:r>
    </w:p>
    <w:p w:rsidR="00CD2B6E" w:rsidRDefault="00CD2B6E" w:rsidP="00CD2B6E">
      <w:pPr>
        <w:pStyle w:val="Quote3"/>
        <w:ind w:left="2880" w:hanging="720"/>
      </w:pPr>
      <w:r>
        <w:t>(</w:t>
      </w:r>
      <w:proofErr w:type="spellStart"/>
      <w:r>
        <w:t>i</w:t>
      </w:r>
      <w:proofErr w:type="spellEnd"/>
      <w:r>
        <w:t>)</w:t>
      </w:r>
      <w:r>
        <w:tab/>
        <w:t>by employees to attend work, where that work is building work; or</w:t>
      </w:r>
    </w:p>
    <w:p w:rsidR="00CD2B6E" w:rsidRDefault="00CD2B6E" w:rsidP="00CD2B6E">
      <w:pPr>
        <w:pStyle w:val="Quote3"/>
        <w:ind w:left="2880" w:hanging="720"/>
      </w:pPr>
      <w:r>
        <w:t>(ii)</w:t>
      </w:r>
      <w:r>
        <w:tab/>
        <w:t>to perform any building work at all by employees who attend work, where that work is building work;</w:t>
      </w:r>
    </w:p>
    <w:p w:rsidR="00CD2B6E" w:rsidRDefault="00CD2B6E" w:rsidP="00CD2B6E">
      <w:pPr>
        <w:pStyle w:val="Quote2"/>
        <w:ind w:left="2160" w:hanging="720"/>
      </w:pPr>
      <w:r>
        <w:t>(d)</w:t>
      </w:r>
      <w:r>
        <w:tab/>
        <w:t>the lockout of employees from their work by their employer, where that work is building work.</w:t>
      </w:r>
    </w:p>
    <w:p w:rsidR="00CD2B6E" w:rsidRDefault="00CD2B6E" w:rsidP="00CD2B6E">
      <w:pPr>
        <w:pStyle w:val="Quote2"/>
        <w:ind w:left="2160" w:hanging="720"/>
      </w:pPr>
      <w:r>
        <w:t>Note:</w:t>
      </w:r>
      <w:r>
        <w:tab/>
        <w:t xml:space="preserve">In </w:t>
      </w:r>
      <w:r w:rsidRPr="00CD2B6E">
        <w:rPr>
          <w:i/>
        </w:rPr>
        <w:t xml:space="preserve">Automotive, Food, Metals, Engineering, Printing and Kindred Industries </w:t>
      </w:r>
      <w:r w:rsidR="00D96C46">
        <w:rPr>
          <w:i/>
        </w:rPr>
        <w:t>Union</w:t>
      </w:r>
      <w:r w:rsidRPr="00CD2B6E">
        <w:rPr>
          <w:i/>
        </w:rPr>
        <w:t xml:space="preserve"> v The Age Company Limited</w:t>
      </w:r>
      <w:r>
        <w:t xml:space="preserve">, PR946290, the Full Bench of the Australian Industrial Relations Commission considered the nature of industrial </w:t>
      </w:r>
      <w:r w:rsidR="00E973EA">
        <w:t>a</w:t>
      </w:r>
      <w:r w:rsidR="004E3080">
        <w:t>ction</w:t>
      </w:r>
      <w:r>
        <w:t xml:space="preserve"> and noted that </w:t>
      </w:r>
      <w:r w:rsidR="00E973EA">
        <w:t>a</w:t>
      </w:r>
      <w:r w:rsidR="004E3080">
        <w:t>ction</w:t>
      </w:r>
      <w:r>
        <w:t xml:space="preserve"> will not be industrial in char</w:t>
      </w:r>
      <w:r w:rsidR="00E973EA">
        <w:t>a</w:t>
      </w:r>
      <w:r w:rsidR="004E3080">
        <w:t>ct</w:t>
      </w:r>
      <w:r>
        <w:t>er if it stands completely outside the area of disputation and bargaining.</w:t>
      </w:r>
    </w:p>
    <w:p w:rsidR="00CD2B6E" w:rsidRDefault="00CD2B6E" w:rsidP="00CD2B6E">
      <w:pPr>
        <w:pStyle w:val="Quote1"/>
      </w:pPr>
      <w:r>
        <w:t>(2)</w:t>
      </w:r>
      <w:r>
        <w:tab/>
        <w:t xml:space="preserve">However, </w:t>
      </w:r>
      <w:r w:rsidRPr="00CD2B6E">
        <w:rPr>
          <w:b/>
          <w:i/>
        </w:rPr>
        <w:t xml:space="preserve">industrial </w:t>
      </w:r>
      <w:r w:rsidR="00E973EA">
        <w:rPr>
          <w:b/>
          <w:i/>
        </w:rPr>
        <w:t>a</w:t>
      </w:r>
      <w:r w:rsidR="004E3080">
        <w:rPr>
          <w:b/>
          <w:i/>
        </w:rPr>
        <w:t>ction</w:t>
      </w:r>
      <w:r>
        <w:t xml:space="preserve"> does not include the following:</w:t>
      </w:r>
    </w:p>
    <w:p w:rsidR="00CD2B6E" w:rsidRDefault="00CD2B6E" w:rsidP="00CD2B6E">
      <w:pPr>
        <w:pStyle w:val="Quote2"/>
        <w:ind w:left="2160" w:hanging="720"/>
      </w:pPr>
      <w:r>
        <w:t>(a)</w:t>
      </w:r>
      <w:r>
        <w:tab/>
      </w:r>
      <w:r w:rsidR="003123B2">
        <w:t>a</w:t>
      </w:r>
      <w:r w:rsidR="004E3080">
        <w:t>ction</w:t>
      </w:r>
      <w:r>
        <w:t xml:space="preserve"> by employees that is authorised or agreed to, in advance and in writing, by the employer of the employees;</w:t>
      </w:r>
    </w:p>
    <w:p w:rsidR="00CD2B6E" w:rsidRDefault="00CD2B6E" w:rsidP="00CD2B6E">
      <w:pPr>
        <w:pStyle w:val="Quote2"/>
        <w:ind w:left="2160" w:hanging="720"/>
      </w:pPr>
      <w:r>
        <w:t>(b)</w:t>
      </w:r>
      <w:r>
        <w:tab/>
      </w:r>
      <w:r w:rsidR="003123B2">
        <w:t>a</w:t>
      </w:r>
      <w:r w:rsidR="004E3080">
        <w:t>ction</w:t>
      </w:r>
      <w:r>
        <w:t xml:space="preserve"> by an employer that is authorised or agreed to, in advance and in writing, by, or on behalf of, employees of the employer;</w:t>
      </w:r>
    </w:p>
    <w:p w:rsidR="00CD2B6E" w:rsidRDefault="00CD2B6E" w:rsidP="00CD2B6E">
      <w:pPr>
        <w:pStyle w:val="Quote2"/>
        <w:ind w:left="2160" w:hanging="720"/>
      </w:pPr>
      <w:r>
        <w:t>(c)</w:t>
      </w:r>
      <w:r>
        <w:tab/>
      </w:r>
      <w:r w:rsidR="003123B2">
        <w:t>a</w:t>
      </w:r>
      <w:r w:rsidR="004E3080">
        <w:t>ction</w:t>
      </w:r>
      <w:r>
        <w:t xml:space="preserve"> by an employee if:</w:t>
      </w:r>
    </w:p>
    <w:p w:rsidR="00CD2B6E" w:rsidRDefault="00CD2B6E" w:rsidP="00CD2B6E">
      <w:pPr>
        <w:pStyle w:val="Quote3"/>
        <w:ind w:left="2880" w:hanging="720"/>
      </w:pPr>
      <w:r>
        <w:t>(</w:t>
      </w:r>
      <w:proofErr w:type="spellStart"/>
      <w:r>
        <w:t>i</w:t>
      </w:r>
      <w:proofErr w:type="spellEnd"/>
      <w:r>
        <w:t>)</w:t>
      </w:r>
      <w:r>
        <w:tab/>
        <w:t xml:space="preserve">the </w:t>
      </w:r>
      <w:r w:rsidR="003123B2">
        <w:t>a</w:t>
      </w:r>
      <w:r w:rsidR="004E3080">
        <w:t>ction</w:t>
      </w:r>
      <w:r>
        <w:t xml:space="preserve"> was based on a reasonable concern of the employee about an imminent risk to his or her health or safety; and</w:t>
      </w:r>
    </w:p>
    <w:p w:rsidR="00CD2B6E" w:rsidRDefault="00CD2B6E" w:rsidP="00CD2B6E">
      <w:pPr>
        <w:pStyle w:val="Quote3"/>
        <w:ind w:left="2880" w:hanging="720"/>
      </w:pPr>
      <w:r>
        <w:t>(ii)</w:t>
      </w:r>
      <w:r>
        <w:tab/>
        <w:t>the employee did not unreasonably fail to comply with a direction of his or her employer to perform other available work, whether at the same or another workplace, that was safe and appropriate for the employee to perform.</w:t>
      </w:r>
    </w:p>
    <w:p w:rsidR="00CD2B6E" w:rsidRPr="000F4C75" w:rsidRDefault="00CD2B6E" w:rsidP="000F4C75">
      <w:pPr>
        <w:pStyle w:val="Quote1"/>
        <w:rPr>
          <w:i/>
        </w:rPr>
      </w:pPr>
      <w:r w:rsidRPr="000F4C75">
        <w:rPr>
          <w:i/>
        </w:rPr>
        <w:t>When there is a lockout</w:t>
      </w:r>
    </w:p>
    <w:p w:rsidR="00CD2B6E" w:rsidRDefault="00CD2B6E" w:rsidP="000F4C75">
      <w:pPr>
        <w:pStyle w:val="Quote1"/>
        <w:ind w:left="1440" w:hanging="703"/>
      </w:pPr>
      <w:r>
        <w:t>(3)</w:t>
      </w:r>
      <w:r>
        <w:tab/>
        <w:t xml:space="preserve">There is a </w:t>
      </w:r>
      <w:r w:rsidRPr="009A1BF5">
        <w:rPr>
          <w:b/>
          <w:i/>
        </w:rPr>
        <w:t>lockout</w:t>
      </w:r>
      <w:r>
        <w:t xml:space="preserve"> of employees from their work by an employer if the employer prevents the employees from performing work under their contr</w:t>
      </w:r>
      <w:r w:rsidR="003123B2">
        <w:t>a</w:t>
      </w:r>
      <w:r w:rsidR="004E3080">
        <w:t>ct</w:t>
      </w:r>
      <w:r>
        <w:t>s of employment without terminating those contr</w:t>
      </w:r>
      <w:r w:rsidR="003123B2">
        <w:t>a</w:t>
      </w:r>
      <w:r w:rsidR="004E3080">
        <w:t>ct</w:t>
      </w:r>
      <w:r>
        <w:t>s.</w:t>
      </w:r>
    </w:p>
    <w:p w:rsidR="00FC3C76" w:rsidRDefault="0013311C" w:rsidP="00FC3C76">
      <w:pPr>
        <w:pStyle w:val="ParaNumbering"/>
      </w:pPr>
      <w:r>
        <w:t>Section 6</w:t>
      </w:r>
      <w:r w:rsidR="00FC3C76">
        <w:t>(</w:t>
      </w:r>
      <w:r>
        <w:t>1</w:t>
      </w:r>
      <w:r w:rsidR="00FC3C76">
        <w:t xml:space="preserve">) of </w:t>
      </w:r>
      <w:r w:rsidR="00845121">
        <w:t xml:space="preserve">the </w:t>
      </w:r>
      <w:r w:rsidR="00BC2E3D">
        <w:t>BCI Act</w:t>
      </w:r>
      <w:r w:rsidR="00FC3C76">
        <w:t xml:space="preserve"> defines </w:t>
      </w:r>
      <w:r w:rsidR="00770C00">
        <w:t>“</w:t>
      </w:r>
      <w:r w:rsidR="004E640E">
        <w:t>b</w:t>
      </w:r>
      <w:r>
        <w:t xml:space="preserve">uilding </w:t>
      </w:r>
      <w:r w:rsidR="00FC3C76">
        <w:t>work</w:t>
      </w:r>
      <w:r w:rsidR="00770C00">
        <w:t>”</w:t>
      </w:r>
      <w:r w:rsidR="00FC3C76">
        <w:t xml:space="preserve"> to mean</w:t>
      </w:r>
      <w:r w:rsidR="003123B2">
        <w:t xml:space="preserve">, relevantly, </w:t>
      </w:r>
      <w:r w:rsidR="00FC3C76">
        <w:t>the construction of structures that form, or are to form</w:t>
      </w:r>
      <w:r w:rsidR="004A391D">
        <w:t>,</w:t>
      </w:r>
      <w:r w:rsidR="00FC3C76">
        <w:t xml:space="preserve"> part of land</w:t>
      </w:r>
      <w:r w:rsidR="004E640E">
        <w:t>,</w:t>
      </w:r>
      <w:r w:rsidR="00FC3C76">
        <w:t xml:space="preserve"> and any operation that is part of, or preparatory </w:t>
      </w:r>
      <w:r w:rsidR="00FC3C76">
        <w:lastRenderedPageBreak/>
        <w:t>to, such work.  It is not i</w:t>
      </w:r>
      <w:r w:rsidR="009B2D3C">
        <w:t xml:space="preserve">n dispute that the work done, or to be done, </w:t>
      </w:r>
      <w:r w:rsidR="00716AA9">
        <w:t>by the E</w:t>
      </w:r>
      <w:r w:rsidR="00353322">
        <w:t xml:space="preserve">mployees </w:t>
      </w:r>
      <w:r>
        <w:t>at the NQS </w:t>
      </w:r>
      <w:r w:rsidR="00C95096">
        <w:t>site</w:t>
      </w:r>
      <w:r w:rsidR="00FC3C76">
        <w:t xml:space="preserve"> was </w:t>
      </w:r>
      <w:r w:rsidR="00770C00">
        <w:t>“</w:t>
      </w:r>
      <w:r w:rsidR="00FC3C76">
        <w:t>building work</w:t>
      </w:r>
      <w:r w:rsidR="00770C00">
        <w:t>”</w:t>
      </w:r>
      <w:r w:rsidR="00FC3C76">
        <w:t>.</w:t>
      </w:r>
    </w:p>
    <w:p w:rsidR="00FC3C76" w:rsidRDefault="00FC3C76" w:rsidP="004A391D">
      <w:pPr>
        <w:pStyle w:val="ParaNumbering"/>
        <w:keepNext/>
        <w:keepLines/>
      </w:pPr>
      <w:r>
        <w:t xml:space="preserve">Section 54 of </w:t>
      </w:r>
      <w:r w:rsidR="00845121">
        <w:t xml:space="preserve">the </w:t>
      </w:r>
      <w:r w:rsidR="00BC2E3D">
        <w:t>BCI Act</w:t>
      </w:r>
      <w:r>
        <w:t xml:space="preserve"> provides</w:t>
      </w:r>
      <w:r w:rsidR="00814C1E">
        <w:t xml:space="preserve">, </w:t>
      </w:r>
      <w:r w:rsidR="00716AA9">
        <w:t>relevant</w:t>
      </w:r>
      <w:r w:rsidR="00814C1E">
        <w:t>ly</w:t>
      </w:r>
      <w:r>
        <w:t>:</w:t>
      </w:r>
    </w:p>
    <w:p w:rsidR="0013311C" w:rsidRPr="0013311C" w:rsidRDefault="0013311C" w:rsidP="004A391D">
      <w:pPr>
        <w:pStyle w:val="Quote1"/>
        <w:keepNext/>
        <w:keepLines/>
        <w:ind w:left="1440" w:hanging="703"/>
        <w:rPr>
          <w:b/>
        </w:rPr>
      </w:pPr>
      <w:r w:rsidRPr="0013311C">
        <w:rPr>
          <w:b/>
        </w:rPr>
        <w:t>54</w:t>
      </w:r>
      <w:r>
        <w:rPr>
          <w:b/>
        </w:rPr>
        <w:tab/>
      </w:r>
      <w:r w:rsidRPr="0013311C">
        <w:rPr>
          <w:b/>
        </w:rPr>
        <w:t>Coercion of persons to make, vary, terminate etc. enterprise agreements etc.</w:t>
      </w:r>
    </w:p>
    <w:p w:rsidR="0013311C" w:rsidRDefault="0013311C" w:rsidP="00FD5724">
      <w:pPr>
        <w:pStyle w:val="Quote1"/>
      </w:pPr>
      <w:r>
        <w:t>(1)</w:t>
      </w:r>
      <w:r>
        <w:tab/>
        <w:t>A person must not:</w:t>
      </w:r>
    </w:p>
    <w:p w:rsidR="0013311C" w:rsidRDefault="0013311C" w:rsidP="0013311C">
      <w:pPr>
        <w:pStyle w:val="Quote2"/>
      </w:pPr>
      <w:r>
        <w:t>(a)</w:t>
      </w:r>
      <w:r>
        <w:tab/>
        <w:t xml:space="preserve">organise or take, or threaten to organise or take, any </w:t>
      </w:r>
      <w:r w:rsidR="00716AA9">
        <w:t>a</w:t>
      </w:r>
      <w:r w:rsidR="004E3080">
        <w:t>ction</w:t>
      </w:r>
      <w:r>
        <w:t>; or</w:t>
      </w:r>
    </w:p>
    <w:p w:rsidR="0013311C" w:rsidRDefault="0013311C" w:rsidP="0013311C">
      <w:pPr>
        <w:pStyle w:val="Quote2"/>
      </w:pPr>
      <w:r>
        <w:t>(b)</w:t>
      </w:r>
      <w:r>
        <w:tab/>
        <w:t xml:space="preserve">refrain, or threaten to refrain, from taking any </w:t>
      </w:r>
      <w:r w:rsidR="00716AA9">
        <w:t>a</w:t>
      </w:r>
      <w:r w:rsidR="004E3080">
        <w:t>ction</w:t>
      </w:r>
      <w:r>
        <w:t>;</w:t>
      </w:r>
    </w:p>
    <w:p w:rsidR="0013311C" w:rsidRDefault="0013311C" w:rsidP="0013311C">
      <w:pPr>
        <w:pStyle w:val="Quote2"/>
      </w:pPr>
      <w:r>
        <w:t>with intent to coerce another person, or with intent to apply undue pressure to another person, to agree, or not to agree:</w:t>
      </w:r>
    </w:p>
    <w:p w:rsidR="0013311C" w:rsidRDefault="0013311C" w:rsidP="0013311C">
      <w:pPr>
        <w:pStyle w:val="Quote2"/>
      </w:pPr>
      <w:r>
        <w:t>(c)</w:t>
      </w:r>
      <w:r>
        <w:tab/>
        <w:t>to make, vary or terminate a building enterprise agreement; or</w:t>
      </w:r>
    </w:p>
    <w:p w:rsidR="0013311C" w:rsidRDefault="0013311C" w:rsidP="0013311C">
      <w:pPr>
        <w:pStyle w:val="Quote2"/>
      </w:pPr>
      <w:r>
        <w:t>(d)</w:t>
      </w:r>
      <w:r>
        <w:tab/>
        <w:t>to approve any of the things mentioned in paragraph (c).</w:t>
      </w:r>
    </w:p>
    <w:p w:rsidR="0013311C" w:rsidRDefault="00814C1E" w:rsidP="00814C1E">
      <w:pPr>
        <w:pStyle w:val="Quote2"/>
      </w:pPr>
      <w:r>
        <w:t>…</w:t>
      </w:r>
    </w:p>
    <w:p w:rsidR="008A7E5B" w:rsidRDefault="008A7E5B" w:rsidP="00C95096">
      <w:pPr>
        <w:pStyle w:val="ParaNumbering"/>
        <w:keepNext/>
        <w:keepLines/>
      </w:pPr>
      <w:r>
        <w:t xml:space="preserve">Section 140 of the </w:t>
      </w:r>
      <w:r w:rsidRPr="008A7E5B">
        <w:rPr>
          <w:i/>
          <w:iCs/>
        </w:rPr>
        <w:t xml:space="preserve">Evidence </w:t>
      </w:r>
      <w:r w:rsidR="004E3080">
        <w:rPr>
          <w:i/>
          <w:iCs/>
        </w:rPr>
        <w:t>Act</w:t>
      </w:r>
      <w:r w:rsidRPr="008A7E5B">
        <w:rPr>
          <w:i/>
          <w:iCs/>
        </w:rPr>
        <w:t xml:space="preserve"> 1995</w:t>
      </w:r>
      <w:r>
        <w:t xml:space="preserve"> (</w:t>
      </w:r>
      <w:proofErr w:type="spellStart"/>
      <w:r>
        <w:t>Cth</w:t>
      </w:r>
      <w:proofErr w:type="spellEnd"/>
      <w:r>
        <w:t>) provides:</w:t>
      </w:r>
    </w:p>
    <w:p w:rsidR="004E757B" w:rsidRDefault="004E757B" w:rsidP="00C95096">
      <w:pPr>
        <w:pStyle w:val="Quote1"/>
        <w:keepNext/>
        <w:keepLines/>
        <w:ind w:left="1440" w:hanging="703"/>
      </w:pPr>
      <w:r>
        <w:t>(1)</w:t>
      </w:r>
      <w:r>
        <w:tab/>
        <w:t>In a civil proceeding, the court must find the case of a party proved if it is satisfied that the case has been proved on the balance of probabilities.</w:t>
      </w:r>
    </w:p>
    <w:p w:rsidR="004E757B" w:rsidRDefault="004E757B" w:rsidP="004E757B">
      <w:pPr>
        <w:pStyle w:val="Quote1"/>
        <w:ind w:left="1440" w:hanging="703"/>
      </w:pPr>
      <w:r>
        <w:t>(2)</w:t>
      </w:r>
      <w:r>
        <w:tab/>
        <w:t>Without limiting the matters that the court may take into account in deciding whether it is so satisfied, it is to take into account:</w:t>
      </w:r>
    </w:p>
    <w:p w:rsidR="004E757B" w:rsidRDefault="004E757B" w:rsidP="004E757B">
      <w:pPr>
        <w:pStyle w:val="Quote2"/>
      </w:pPr>
      <w:r>
        <w:t>(a)</w:t>
      </w:r>
      <w:r>
        <w:tab/>
        <w:t xml:space="preserve">the nature of the cause of </w:t>
      </w:r>
      <w:r w:rsidR="009A1BF5">
        <w:t xml:space="preserve">action </w:t>
      </w:r>
      <w:r>
        <w:t>or defence; and</w:t>
      </w:r>
    </w:p>
    <w:p w:rsidR="004E757B" w:rsidRDefault="004E757B" w:rsidP="004E757B">
      <w:pPr>
        <w:pStyle w:val="Quote2"/>
      </w:pPr>
      <w:r>
        <w:t>(b)</w:t>
      </w:r>
      <w:r>
        <w:tab/>
        <w:t>the nature of the subject-matter of the proceeding; and</w:t>
      </w:r>
    </w:p>
    <w:p w:rsidR="008A7E5B" w:rsidRPr="008A7E5B" w:rsidRDefault="004E757B" w:rsidP="004E757B">
      <w:pPr>
        <w:pStyle w:val="Quote2"/>
      </w:pPr>
      <w:r>
        <w:t>(c)</w:t>
      </w:r>
      <w:r>
        <w:tab/>
        <w:t>the gravity of the matters alleged.</w:t>
      </w:r>
    </w:p>
    <w:p w:rsidR="008A7E5B" w:rsidRDefault="00716AA9" w:rsidP="00301C38">
      <w:pPr>
        <w:pStyle w:val="ParaNumbering"/>
      </w:pPr>
      <w:r>
        <w:t xml:space="preserve">In this case, the relevant </w:t>
      </w:r>
      <w:r w:rsidR="008A7E5B">
        <w:t xml:space="preserve">matters </w:t>
      </w:r>
      <w:r w:rsidR="00BC5DC6">
        <w:t xml:space="preserve">to be taken into account </w:t>
      </w:r>
      <w:r w:rsidR="008A7E5B">
        <w:t xml:space="preserve">include the gravity of the allegations made, particularly that </w:t>
      </w:r>
      <w:proofErr w:type="spellStart"/>
      <w:r w:rsidR="008A7E5B">
        <w:t>ss</w:t>
      </w:r>
      <w:proofErr w:type="spellEnd"/>
      <w:r w:rsidR="008A7E5B">
        <w:t xml:space="preserve"> 46 and 54 of the </w:t>
      </w:r>
      <w:r w:rsidR="00BC2E3D">
        <w:t>BCI Act</w:t>
      </w:r>
      <w:r w:rsidR="008A7E5B">
        <w:t xml:space="preserve"> are </w:t>
      </w:r>
      <w:r w:rsidR="00770C00">
        <w:t>“</w:t>
      </w:r>
      <w:r w:rsidR="009A1BF5">
        <w:t xml:space="preserve">Grade </w:t>
      </w:r>
      <w:r w:rsidR="00DC642C">
        <w:t>A civil remedy</w:t>
      </w:r>
      <w:r w:rsidR="008A7E5B">
        <w:t xml:space="preserve"> provisions</w:t>
      </w:r>
      <w:r w:rsidR="00770C00">
        <w:t>”</w:t>
      </w:r>
      <w:r w:rsidR="008A7E5B">
        <w:t>, contravention of which exposes the respondents to pecuniary penalties</w:t>
      </w:r>
      <w:r w:rsidR="00DC642C">
        <w:t xml:space="preserve"> under </w:t>
      </w:r>
      <w:proofErr w:type="spellStart"/>
      <w:r w:rsidR="00DC642C">
        <w:t>s</w:t>
      </w:r>
      <w:r w:rsidR="009A1BF5">
        <w:t>s</w:t>
      </w:r>
      <w:proofErr w:type="spellEnd"/>
      <w:r w:rsidR="009A1BF5">
        <w:t> </w:t>
      </w:r>
      <w:r w:rsidR="00DC642C">
        <w:t>81(1) and (2)</w:t>
      </w:r>
      <w:r w:rsidR="008A7E5B">
        <w:t>.</w:t>
      </w:r>
    </w:p>
    <w:p w:rsidR="00D84E0E" w:rsidRDefault="00D84E0E" w:rsidP="00585423">
      <w:pPr>
        <w:pStyle w:val="Heading1"/>
      </w:pPr>
      <w:r>
        <w:t>C</w:t>
      </w:r>
      <w:r w:rsidR="006940F7">
        <w:t>ONSIDERATION</w:t>
      </w:r>
    </w:p>
    <w:p w:rsidR="006940F7" w:rsidRPr="006940F7" w:rsidRDefault="00D84E0E" w:rsidP="00585423">
      <w:pPr>
        <w:pStyle w:val="Heading2"/>
        <w:rPr>
          <w:i/>
        </w:rPr>
      </w:pPr>
      <w:r w:rsidRPr="006940F7">
        <w:t xml:space="preserve">Alleged contraventions of s 46 of the </w:t>
      </w:r>
      <w:r w:rsidR="00BC2E3D">
        <w:t>BCI Act</w:t>
      </w:r>
      <w:r w:rsidRPr="006940F7">
        <w:t xml:space="preserve"> — unlawful industrial </w:t>
      </w:r>
      <w:r w:rsidR="009F441D">
        <w:t>a</w:t>
      </w:r>
      <w:r w:rsidR="004E3080">
        <w:t>ction</w:t>
      </w:r>
      <w:r w:rsidRPr="006940F7">
        <w:t xml:space="preserve"> </w:t>
      </w:r>
    </w:p>
    <w:p w:rsidR="00F25D87" w:rsidRPr="00931EBA" w:rsidRDefault="00931EBA" w:rsidP="00F25D87">
      <w:pPr>
        <w:pStyle w:val="ParaNumbering"/>
      </w:pPr>
      <w:r>
        <w:t xml:space="preserve">The </w:t>
      </w:r>
      <w:r w:rsidR="00541522">
        <w:t xml:space="preserve">issue for determination </w:t>
      </w:r>
      <w:r w:rsidR="00B8403E">
        <w:t>is whether the</w:t>
      </w:r>
      <w:r w:rsidR="001D5A75">
        <w:t xml:space="preserve"> E</w:t>
      </w:r>
      <w:r>
        <w:t>mployees engaged in</w:t>
      </w:r>
      <w:r w:rsidRPr="00931EBA">
        <w:t xml:space="preserve"> </w:t>
      </w:r>
      <w:r w:rsidR="00770C00">
        <w:t>“</w:t>
      </w:r>
      <w:r w:rsidRPr="00931EBA">
        <w:t xml:space="preserve">industrial </w:t>
      </w:r>
      <w:r w:rsidR="009F441D">
        <w:t>a</w:t>
      </w:r>
      <w:r w:rsidR="004E3080">
        <w:t>ction</w:t>
      </w:r>
      <w:r w:rsidR="00770C00">
        <w:t>”</w:t>
      </w:r>
      <w:r w:rsidRPr="00931EBA">
        <w:t xml:space="preserve"> within the meaning of </w:t>
      </w:r>
      <w:proofErr w:type="spellStart"/>
      <w:r w:rsidRPr="00931EBA">
        <w:t>s</w:t>
      </w:r>
      <w:r w:rsidR="009A1BF5">
        <w:t>s</w:t>
      </w:r>
      <w:proofErr w:type="spellEnd"/>
      <w:r w:rsidR="009A1BF5">
        <w:t> </w:t>
      </w:r>
      <w:r w:rsidRPr="00931EBA">
        <w:t>7</w:t>
      </w:r>
      <w:r>
        <w:t>(1)</w:t>
      </w:r>
      <w:r w:rsidRPr="00931EBA">
        <w:t xml:space="preserve"> </w:t>
      </w:r>
      <w:r>
        <w:t xml:space="preserve">and 46 </w:t>
      </w:r>
      <w:r w:rsidRPr="00931EBA">
        <w:t xml:space="preserve">of the </w:t>
      </w:r>
      <w:r w:rsidR="00BC2E3D">
        <w:t>BCI Act</w:t>
      </w:r>
      <w:r w:rsidRPr="00931EBA">
        <w:t xml:space="preserve"> on 11, 12, 13 and 14 March 2019.</w:t>
      </w:r>
    </w:p>
    <w:p w:rsidR="00AF4CFD" w:rsidRDefault="00931EBA" w:rsidP="00B54C20">
      <w:pPr>
        <w:pStyle w:val="ParaNumbering"/>
        <w:keepNext/>
        <w:keepLines/>
      </w:pPr>
      <w:r>
        <w:lastRenderedPageBreak/>
        <w:t>The</w:t>
      </w:r>
      <w:r w:rsidR="00AE5722">
        <w:t xml:space="preserve"> </w:t>
      </w:r>
      <w:r>
        <w:t>respondents</w:t>
      </w:r>
      <w:r w:rsidR="00F25D87">
        <w:t xml:space="preserve"> submit</w:t>
      </w:r>
      <w:r>
        <w:t xml:space="preserve"> </w:t>
      </w:r>
      <w:r w:rsidR="00F25D87">
        <w:t>that</w:t>
      </w:r>
      <w:r w:rsidR="001D5A75">
        <w:t xml:space="preserve"> the Commissioner has not established that the  Employees </w:t>
      </w:r>
      <w:r w:rsidR="00AE5722">
        <w:t>engage</w:t>
      </w:r>
      <w:r w:rsidR="001D5A75">
        <w:t>d</w:t>
      </w:r>
      <w:r w:rsidR="00AE5722">
        <w:t xml:space="preserve"> in </w:t>
      </w:r>
      <w:r w:rsidR="00770C00">
        <w:t>“</w:t>
      </w:r>
      <w:r w:rsidR="00AE5722">
        <w:t xml:space="preserve">industrial </w:t>
      </w:r>
      <w:r w:rsidR="009F441D">
        <w:t>a</w:t>
      </w:r>
      <w:r w:rsidR="004E3080">
        <w:t>ction</w:t>
      </w:r>
      <w:r w:rsidR="00770C00">
        <w:t>”</w:t>
      </w:r>
      <w:r w:rsidR="00AE5722">
        <w:t xml:space="preserve"> </w:t>
      </w:r>
      <w:r w:rsidR="0085301B">
        <w:t>because</w:t>
      </w:r>
      <w:r w:rsidR="00AF4CFD">
        <w:t>:</w:t>
      </w:r>
    </w:p>
    <w:p w:rsidR="00AF4CFD" w:rsidRDefault="00AF4CFD" w:rsidP="0085301B">
      <w:pPr>
        <w:pStyle w:val="ListNo1"/>
        <w:keepNext/>
        <w:keepLines/>
        <w:numPr>
          <w:ilvl w:val="0"/>
          <w:numId w:val="25"/>
        </w:numPr>
      </w:pPr>
      <w:r>
        <w:t>T</w:t>
      </w:r>
      <w:r w:rsidR="00F25D87">
        <w:t xml:space="preserve">he </w:t>
      </w:r>
      <w:r w:rsidR="001D5A75">
        <w:t xml:space="preserve">evidence does not demonstrate that </w:t>
      </w:r>
      <w:r w:rsidR="00B429F2">
        <w:t xml:space="preserve">the Employees </w:t>
      </w:r>
      <w:r w:rsidR="00931EBA">
        <w:t xml:space="preserve">were </w:t>
      </w:r>
      <w:r w:rsidR="00931EBA" w:rsidRPr="00931EBA">
        <w:t>offer</w:t>
      </w:r>
      <w:r w:rsidR="00931EBA">
        <w:t xml:space="preserve">ed </w:t>
      </w:r>
      <w:r w:rsidR="00931EBA" w:rsidRPr="00931EBA">
        <w:t xml:space="preserve">work </w:t>
      </w:r>
      <w:r w:rsidR="009F441D">
        <w:t>for the relevant times</w:t>
      </w:r>
      <w:r w:rsidR="00C95096">
        <w:t xml:space="preserve"> or days</w:t>
      </w:r>
      <w:r w:rsidR="00AE5722">
        <w:t>.</w:t>
      </w:r>
    </w:p>
    <w:p w:rsidR="00AF4CFD" w:rsidRDefault="009F441D" w:rsidP="00BB609E">
      <w:pPr>
        <w:pStyle w:val="ListNo1"/>
        <w:numPr>
          <w:ilvl w:val="0"/>
          <w:numId w:val="25"/>
        </w:numPr>
      </w:pPr>
      <w:r>
        <w:t xml:space="preserve">In any event, </w:t>
      </w:r>
      <w:r w:rsidR="001D5A75">
        <w:t>the</w:t>
      </w:r>
      <w:r w:rsidR="00B429F2">
        <w:t xml:space="preserve"> Employees</w:t>
      </w:r>
      <w:r w:rsidR="001D5A75">
        <w:t xml:space="preserve"> </w:t>
      </w:r>
      <w:r w:rsidR="00931EBA">
        <w:t xml:space="preserve">were </w:t>
      </w:r>
      <w:r>
        <w:t xml:space="preserve">casual employees who were </w:t>
      </w:r>
      <w:r w:rsidR="00931EBA">
        <w:t xml:space="preserve">not obliged to accept </w:t>
      </w:r>
      <w:r w:rsidR="00AE5722">
        <w:t xml:space="preserve">any </w:t>
      </w:r>
      <w:r w:rsidR="00931EBA">
        <w:t>work</w:t>
      </w:r>
      <w:r w:rsidR="00AE5722">
        <w:t xml:space="preserve"> offered to them.</w:t>
      </w:r>
    </w:p>
    <w:p w:rsidR="00F25D87" w:rsidRDefault="00AE5722" w:rsidP="00BB609E">
      <w:pPr>
        <w:pStyle w:val="ListNo1"/>
        <w:numPr>
          <w:ilvl w:val="0"/>
          <w:numId w:val="25"/>
        </w:numPr>
      </w:pPr>
      <w:r>
        <w:t>In circumstances where the</w:t>
      </w:r>
      <w:r w:rsidR="00B429F2">
        <w:t xml:space="preserve"> Employees</w:t>
      </w:r>
      <w:r w:rsidR="001D5A75">
        <w:t xml:space="preserve"> </w:t>
      </w:r>
      <w:r>
        <w:t xml:space="preserve">were not </w:t>
      </w:r>
      <w:r w:rsidRPr="00931EBA">
        <w:t>offer</w:t>
      </w:r>
      <w:r>
        <w:t xml:space="preserve">ed </w:t>
      </w:r>
      <w:r w:rsidRPr="00931EBA">
        <w:t>work</w:t>
      </w:r>
      <w:r w:rsidR="001D5A75">
        <w:t xml:space="preserve">, </w:t>
      </w:r>
      <w:r w:rsidR="00A55168">
        <w:t xml:space="preserve">or </w:t>
      </w:r>
      <w:r>
        <w:t>were not obli</w:t>
      </w:r>
      <w:r w:rsidR="001D5A75">
        <w:t xml:space="preserve">ged to accept any work </w:t>
      </w:r>
      <w:r w:rsidR="00A55168">
        <w:t xml:space="preserve">that was </w:t>
      </w:r>
      <w:r>
        <w:t>offered, t</w:t>
      </w:r>
      <w:r w:rsidR="00CC7321">
        <w:t>he</w:t>
      </w:r>
      <w:r w:rsidR="001D5A75">
        <w:t xml:space="preserve">ir failure </w:t>
      </w:r>
      <w:r w:rsidR="00A55168">
        <w:t xml:space="preserve">or refusal </w:t>
      </w:r>
      <w:r>
        <w:t xml:space="preserve">to work </w:t>
      </w:r>
      <w:r w:rsidR="00025080">
        <w:t>does</w:t>
      </w:r>
      <w:r>
        <w:t xml:space="preserve"> not </w:t>
      </w:r>
      <w:r w:rsidR="00025080">
        <w:t xml:space="preserve">fall </w:t>
      </w:r>
      <w:r w:rsidR="00F25D87">
        <w:t xml:space="preserve">within the definition of </w:t>
      </w:r>
      <w:r w:rsidR="00770C00">
        <w:t>“</w:t>
      </w:r>
      <w:r w:rsidR="00F25D87">
        <w:t xml:space="preserve">industrial </w:t>
      </w:r>
      <w:r w:rsidR="00937A87">
        <w:t>action</w:t>
      </w:r>
      <w:r w:rsidR="00770C00">
        <w:t>”</w:t>
      </w:r>
      <w:r w:rsidRPr="00AE5722">
        <w:t xml:space="preserve"> </w:t>
      </w:r>
      <w:r>
        <w:t xml:space="preserve">in s 7(1) of the </w:t>
      </w:r>
      <w:r w:rsidR="00BC2E3D">
        <w:t>BCI Act</w:t>
      </w:r>
      <w:r w:rsidR="00F25D87">
        <w:t>.</w:t>
      </w:r>
    </w:p>
    <w:p w:rsidR="00AF4CFD" w:rsidRDefault="00AE5722" w:rsidP="00BB609E">
      <w:pPr>
        <w:pStyle w:val="ListNo1"/>
        <w:numPr>
          <w:ilvl w:val="0"/>
          <w:numId w:val="25"/>
        </w:numPr>
      </w:pPr>
      <w:r>
        <w:t xml:space="preserve">The failure </w:t>
      </w:r>
      <w:r w:rsidR="001D5A75">
        <w:t>or refusal</w:t>
      </w:r>
      <w:r w:rsidR="00AF1B5E">
        <w:t xml:space="preserve"> of the Employees</w:t>
      </w:r>
      <w:r w:rsidR="001D5A75">
        <w:t xml:space="preserve"> </w:t>
      </w:r>
      <w:r>
        <w:t xml:space="preserve">to work </w:t>
      </w:r>
      <w:r w:rsidR="00CC7321">
        <w:t>was, under</w:t>
      </w:r>
      <w:r w:rsidR="00AF4CFD">
        <w:t xml:space="preserve"> s 7(2) of the </w:t>
      </w:r>
      <w:r w:rsidR="00BC2E3D">
        <w:t>BCI Act</w:t>
      </w:r>
      <w:r w:rsidR="00AF4CFD">
        <w:t xml:space="preserve">, </w:t>
      </w:r>
      <w:r w:rsidR="00025080">
        <w:t>authorised or agreed to</w:t>
      </w:r>
      <w:r w:rsidR="00AF4CFD" w:rsidRPr="00AF4CFD">
        <w:t xml:space="preserve"> </w:t>
      </w:r>
      <w:r w:rsidR="009F441D">
        <w:t xml:space="preserve">by </w:t>
      </w:r>
      <w:r w:rsidR="00AC135F">
        <w:t>PJ Walsh Constructions</w:t>
      </w:r>
      <w:r w:rsidR="00025080">
        <w:t xml:space="preserve"> </w:t>
      </w:r>
      <w:r w:rsidR="00AF4CFD">
        <w:t>under</w:t>
      </w:r>
      <w:r w:rsidR="0085301B">
        <w:t xml:space="preserve"> the </w:t>
      </w:r>
      <w:r w:rsidR="00AF4CFD">
        <w:t>Enterprise Agreement.</w:t>
      </w:r>
    </w:p>
    <w:p w:rsidR="00F25D87" w:rsidRDefault="00F25D87" w:rsidP="00F25D87">
      <w:pPr>
        <w:pStyle w:val="ParaNumbering"/>
      </w:pPr>
      <w:r>
        <w:t>I will co</w:t>
      </w:r>
      <w:r w:rsidR="0085301B">
        <w:t>nsider each of these issues</w:t>
      </w:r>
      <w:r>
        <w:t xml:space="preserve"> in turn.</w:t>
      </w:r>
    </w:p>
    <w:p w:rsidR="00F25D87" w:rsidRPr="006B5AC6" w:rsidRDefault="00F25D87" w:rsidP="006B5AC6">
      <w:pPr>
        <w:pStyle w:val="Heading3"/>
      </w:pPr>
      <w:r w:rsidRPr="006B5AC6">
        <w:t xml:space="preserve">Whether the </w:t>
      </w:r>
      <w:r w:rsidR="00A45AAF">
        <w:t xml:space="preserve">evidence demonstrates </w:t>
      </w:r>
      <w:r w:rsidRPr="006B5AC6">
        <w:t xml:space="preserve">that the </w:t>
      </w:r>
      <w:r w:rsidR="00261E04" w:rsidRPr="006B5AC6">
        <w:t xml:space="preserve">Employees </w:t>
      </w:r>
      <w:r w:rsidRPr="006B5AC6">
        <w:t>were offered work on</w:t>
      </w:r>
      <w:r w:rsidR="0082743B">
        <w:t xml:space="preserve"> </w:t>
      </w:r>
      <w:r w:rsidRPr="006B5AC6">
        <w:t>11, 12,</w:t>
      </w:r>
      <w:r w:rsidR="00705D69">
        <w:t xml:space="preserve"> 13 and 14 March 2019 </w:t>
      </w:r>
      <w:r w:rsidR="00261E04">
        <w:t xml:space="preserve">which </w:t>
      </w:r>
      <w:r w:rsidR="00705D69">
        <w:t xml:space="preserve">the </w:t>
      </w:r>
      <w:r w:rsidRPr="006B5AC6">
        <w:t>employees refused</w:t>
      </w:r>
    </w:p>
    <w:p w:rsidR="00D84E0E" w:rsidRDefault="00972153" w:rsidP="00D84E0E">
      <w:pPr>
        <w:pStyle w:val="ParaNumbering"/>
      </w:pPr>
      <w:r>
        <w:t>I find</w:t>
      </w:r>
      <w:r w:rsidR="00D84E0E">
        <w:t xml:space="preserve"> that </w:t>
      </w:r>
      <w:r w:rsidR="006940F7">
        <w:t xml:space="preserve">the 11 March Employees </w:t>
      </w:r>
      <w:r w:rsidR="00A45AAF">
        <w:t>attended the NQS</w:t>
      </w:r>
      <w:r w:rsidR="00D84E0E">
        <w:t xml:space="preserve"> site and signed on for work at </w:t>
      </w:r>
      <w:r w:rsidR="00FC6B57">
        <w:t>6 am</w:t>
      </w:r>
      <w:r w:rsidR="00F25D87">
        <w:t xml:space="preserve"> on that day</w:t>
      </w:r>
      <w:r w:rsidR="00D84E0E">
        <w:t xml:space="preserve">.  They </w:t>
      </w:r>
      <w:r w:rsidR="00F25D87">
        <w:t xml:space="preserve">worked </w:t>
      </w:r>
      <w:r w:rsidR="00D84E0E">
        <w:t xml:space="preserve">until </w:t>
      </w:r>
      <w:r w:rsidR="00086252">
        <w:t>10.30</w:t>
      </w:r>
      <w:r w:rsidR="00B83327">
        <w:t> am</w:t>
      </w:r>
      <w:r w:rsidR="00D84E0E">
        <w:t xml:space="preserve">.  From </w:t>
      </w:r>
      <w:r w:rsidR="00B83327">
        <w:t>11 am</w:t>
      </w:r>
      <w:r w:rsidR="00D84E0E">
        <w:t xml:space="preserve"> they refused to work, remaining in the lunchroom until </w:t>
      </w:r>
      <w:r w:rsidR="00B83327">
        <w:t>2 pm</w:t>
      </w:r>
      <w:r w:rsidR="00D84E0E">
        <w:t>, when they signed out.</w:t>
      </w:r>
    </w:p>
    <w:p w:rsidR="00F25D87" w:rsidRDefault="00914C4B" w:rsidP="001007C6">
      <w:pPr>
        <w:pStyle w:val="ParaNumbering"/>
      </w:pPr>
      <w:r>
        <w:t xml:space="preserve">The </w:t>
      </w:r>
      <w:r w:rsidR="00086252">
        <w:t>Commissioner</w:t>
      </w:r>
      <w:r w:rsidR="005A1780">
        <w:t xml:space="preserve"> use</w:t>
      </w:r>
      <w:r>
        <w:t>s</w:t>
      </w:r>
      <w:r w:rsidR="005A1780">
        <w:t xml:space="preserve"> the</w:t>
      </w:r>
      <w:r w:rsidR="00627000">
        <w:t xml:space="preserve"> word </w:t>
      </w:r>
      <w:r w:rsidR="00770C00">
        <w:t>“</w:t>
      </w:r>
      <w:r w:rsidR="00627000">
        <w:t>rostered</w:t>
      </w:r>
      <w:r w:rsidR="00770C00">
        <w:t>”</w:t>
      </w:r>
      <w:r w:rsidR="00627000">
        <w:t xml:space="preserve"> to refer to</w:t>
      </w:r>
      <w:r w:rsidR="0082743B">
        <w:t xml:space="preserve"> the allocation of </w:t>
      </w:r>
      <w:r w:rsidR="00086252">
        <w:t>hours (</w:t>
      </w:r>
      <w:r w:rsidR="001007C6">
        <w:t>or shifts</w:t>
      </w:r>
      <w:r w:rsidR="00086252">
        <w:t>)</w:t>
      </w:r>
      <w:r w:rsidR="005A1780">
        <w:t xml:space="preserve"> of work to employee</w:t>
      </w:r>
      <w:r w:rsidR="0082743B">
        <w:t>s</w:t>
      </w:r>
      <w:r w:rsidR="00B7579B">
        <w:t>, whereas t</w:t>
      </w:r>
      <w:r w:rsidR="009F441D">
        <w:t>he respondents use that</w:t>
      </w:r>
      <w:r w:rsidR="00086252">
        <w:t xml:space="preserve"> word to refer to the offer of hours of work</w:t>
      </w:r>
      <w:r w:rsidR="00627000">
        <w:t xml:space="preserve">. </w:t>
      </w:r>
      <w:r>
        <w:t xml:space="preserve"> </w:t>
      </w:r>
      <w:r w:rsidR="00EB63A9">
        <w:t xml:space="preserve">The difference stems from the parties’ opposing submissions as to whether the Employees were obliged to perform work. </w:t>
      </w:r>
      <w:r w:rsidR="00B7579B">
        <w:t>I will use the word to denote offers of hours of work.</w:t>
      </w:r>
    </w:p>
    <w:p w:rsidR="00914C4B" w:rsidRDefault="00914C4B" w:rsidP="001007C6">
      <w:pPr>
        <w:pStyle w:val="ParaNumbering"/>
      </w:pPr>
      <w:r>
        <w:t xml:space="preserve">The respondents submit that the evidence is inadequate to demonstrate that the 11 March Employees were rostered to work from 6 am to 2 pm.  </w:t>
      </w:r>
    </w:p>
    <w:p w:rsidR="006940F7" w:rsidRDefault="006D02B0" w:rsidP="007E7220">
      <w:pPr>
        <w:pStyle w:val="ParaNumbering"/>
      </w:pPr>
      <w:r>
        <w:t xml:space="preserve">PJ </w:t>
      </w:r>
      <w:r w:rsidR="00F25D87">
        <w:t>Walsh Constructions</w:t>
      </w:r>
      <w:r w:rsidR="000744B8">
        <w:t>’</w:t>
      </w:r>
      <w:r w:rsidR="00972153">
        <w:t xml:space="preserve"> pr</w:t>
      </w:r>
      <w:r w:rsidR="009F441D">
        <w:t>a</w:t>
      </w:r>
      <w:r w:rsidR="004E3080">
        <w:t>ct</w:t>
      </w:r>
      <w:r w:rsidR="00972153">
        <w:t xml:space="preserve">ice was to </w:t>
      </w:r>
      <w:r w:rsidR="00F25D87">
        <w:t>us</w:t>
      </w:r>
      <w:r w:rsidR="00AB702E">
        <w:t xml:space="preserve">e the </w:t>
      </w:r>
      <w:proofErr w:type="spellStart"/>
      <w:r w:rsidR="00AB702E">
        <w:t>Zen</w:t>
      </w:r>
      <w:r w:rsidR="00F25D87">
        <w:t>Shifts</w:t>
      </w:r>
      <w:proofErr w:type="spellEnd"/>
      <w:r w:rsidR="00F25D87">
        <w:t xml:space="preserve"> program to </w:t>
      </w:r>
      <w:r w:rsidR="00EB63A9">
        <w:t xml:space="preserve">send </w:t>
      </w:r>
      <w:r w:rsidR="00130B84">
        <w:t>SMS</w:t>
      </w:r>
      <w:r w:rsidR="00EB63A9">
        <w:t xml:space="preserve"> messages to </w:t>
      </w:r>
      <w:r w:rsidR="00627000">
        <w:t>employees</w:t>
      </w:r>
      <w:r w:rsidR="00EB63A9">
        <w:t xml:space="preserve"> showing their</w:t>
      </w:r>
      <w:r w:rsidR="00D84E0E">
        <w:t xml:space="preserve"> rostere</w:t>
      </w:r>
      <w:r w:rsidR="00F25D87">
        <w:t>d shifts. However,</w:t>
      </w:r>
      <w:r w:rsidR="00972153">
        <w:t xml:space="preserve"> the</w:t>
      </w:r>
      <w:r w:rsidR="00D84E0E">
        <w:t xml:space="preserve"> </w:t>
      </w:r>
      <w:r w:rsidR="00130B84">
        <w:t>SMS</w:t>
      </w:r>
      <w:r w:rsidR="00D84E0E">
        <w:t xml:space="preserve"> messages have not been put into evidence.  </w:t>
      </w:r>
      <w:r w:rsidR="007E7220">
        <w:t>The do</w:t>
      </w:r>
      <w:r w:rsidR="00AB702E">
        <w:t xml:space="preserve">cument purporting to be the </w:t>
      </w:r>
      <w:proofErr w:type="spellStart"/>
      <w:r w:rsidR="00AB702E">
        <w:t>Zen</w:t>
      </w:r>
      <w:r w:rsidR="007E7220">
        <w:t>Sh</w:t>
      </w:r>
      <w:r w:rsidR="00025080">
        <w:t>ift</w:t>
      </w:r>
      <w:r w:rsidR="00341F4D">
        <w:t>s</w:t>
      </w:r>
      <w:proofErr w:type="spellEnd"/>
      <w:r w:rsidR="00025080">
        <w:t xml:space="preserve"> roster </w:t>
      </w:r>
      <w:r w:rsidR="00EB63A9">
        <w:t xml:space="preserve">is in evidence, but is of little use </w:t>
      </w:r>
      <w:r w:rsidR="00025080">
        <w:t>since it</w:t>
      </w:r>
      <w:r w:rsidR="009F441D">
        <w:t xml:space="preserve"> does not show any</w:t>
      </w:r>
      <w:r w:rsidR="00EB63A9">
        <w:t xml:space="preserve"> hours the E</w:t>
      </w:r>
      <w:r w:rsidR="00627000">
        <w:t xml:space="preserve">mployees were rostered for, but </w:t>
      </w:r>
      <w:r w:rsidR="00025080">
        <w:t xml:space="preserve">only </w:t>
      </w:r>
      <w:r w:rsidR="00627000">
        <w:t xml:space="preserve">their hours of </w:t>
      </w:r>
      <w:r w:rsidR="009F441D">
        <w:t>a</w:t>
      </w:r>
      <w:r w:rsidR="004E3080">
        <w:t>ct</w:t>
      </w:r>
      <w:r w:rsidR="00627000">
        <w:t>ual work</w:t>
      </w:r>
      <w:r w:rsidR="007E7220">
        <w:t xml:space="preserve">. I accept that </w:t>
      </w:r>
      <w:r w:rsidR="009F441D">
        <w:t>the</w:t>
      </w:r>
      <w:r w:rsidR="00025080">
        <w:t xml:space="preserve"> </w:t>
      </w:r>
      <w:r w:rsidR="00627000">
        <w:t xml:space="preserve">evidence </w:t>
      </w:r>
      <w:r w:rsidR="009F441D">
        <w:t>do</w:t>
      </w:r>
      <w:r w:rsidR="000744B8">
        <w:t>e</w:t>
      </w:r>
      <w:r w:rsidR="009F441D">
        <w:t xml:space="preserve">s not </w:t>
      </w:r>
      <w:r w:rsidR="000744B8">
        <w:t xml:space="preserve">directly </w:t>
      </w:r>
      <w:r w:rsidR="009F441D">
        <w:t xml:space="preserve">demonstrate any </w:t>
      </w:r>
      <w:r w:rsidR="00EB63A9">
        <w:t xml:space="preserve">hours or </w:t>
      </w:r>
      <w:r w:rsidR="009F441D">
        <w:t xml:space="preserve">shifts </w:t>
      </w:r>
      <w:r w:rsidR="00627000">
        <w:t>for which the Employees</w:t>
      </w:r>
      <w:r w:rsidR="005A1780">
        <w:t xml:space="preserve"> </w:t>
      </w:r>
      <w:r w:rsidR="00972153">
        <w:t>were rostered to work</w:t>
      </w:r>
      <w:r w:rsidR="006940F7">
        <w:t>.</w:t>
      </w:r>
    </w:p>
    <w:p w:rsidR="008D075D" w:rsidRDefault="006940F7" w:rsidP="008D075D">
      <w:pPr>
        <w:pStyle w:val="ParaNumbering"/>
      </w:pPr>
      <w:r>
        <w:lastRenderedPageBreak/>
        <w:t xml:space="preserve">However, the </w:t>
      </w:r>
      <w:r w:rsidR="007E7220">
        <w:t>evidence</w:t>
      </w:r>
      <w:r w:rsidR="00D84E0E">
        <w:t xml:space="preserve"> allow</w:t>
      </w:r>
      <w:r w:rsidR="007E7220">
        <w:t>s</w:t>
      </w:r>
      <w:r w:rsidR="00D84E0E">
        <w:t xml:space="preserve"> an inference to be drawn </w:t>
      </w:r>
      <w:r w:rsidR="00025080">
        <w:t xml:space="preserve">that the 11 March Employees were offered work </w:t>
      </w:r>
      <w:r w:rsidR="009F441D">
        <w:t>from 6</w:t>
      </w:r>
      <w:r w:rsidR="000744B8">
        <w:t> </w:t>
      </w:r>
      <w:r w:rsidR="009F441D">
        <w:t>am to 2</w:t>
      </w:r>
      <w:r w:rsidR="000744B8">
        <w:t> </w:t>
      </w:r>
      <w:r w:rsidR="009F441D">
        <w:t>pm</w:t>
      </w:r>
      <w:r w:rsidR="000744B8">
        <w:t xml:space="preserve"> on that date</w:t>
      </w:r>
      <w:r w:rsidR="00025080">
        <w:t xml:space="preserve">. </w:t>
      </w:r>
      <w:r w:rsidR="007E7220">
        <w:t xml:space="preserve"> </w:t>
      </w:r>
      <w:r w:rsidR="00972153">
        <w:t xml:space="preserve">Mr Walsh deposes </w:t>
      </w:r>
      <w:r w:rsidR="00086252">
        <w:t>that the ordinary</w:t>
      </w:r>
      <w:r w:rsidR="001007C6">
        <w:t xml:space="preserve"> hours of work</w:t>
      </w:r>
      <w:r w:rsidR="006D02B0">
        <w:t xml:space="preserve"> for PJ Walsh Constructions’ employees </w:t>
      </w:r>
      <w:r w:rsidR="00086252">
        <w:t xml:space="preserve">at the NQS site, which I </w:t>
      </w:r>
      <w:r w:rsidR="00473C61">
        <w:t xml:space="preserve">understand </w:t>
      </w:r>
      <w:r w:rsidR="00086252">
        <w:t>to refer to the</w:t>
      </w:r>
      <w:r w:rsidR="001007C6">
        <w:t xml:space="preserve"> </w:t>
      </w:r>
      <w:r w:rsidR="00086252">
        <w:t xml:space="preserve">hours during which </w:t>
      </w:r>
      <w:r w:rsidR="006D02B0">
        <w:t xml:space="preserve">they </w:t>
      </w:r>
      <w:r w:rsidR="00086252">
        <w:t>ordinarily carried out</w:t>
      </w:r>
      <w:r w:rsidR="006D02B0">
        <w:t xml:space="preserve"> work</w:t>
      </w:r>
      <w:r w:rsidR="00086252">
        <w:t xml:space="preserve">, </w:t>
      </w:r>
      <w:r w:rsidR="001007C6">
        <w:t>were</w:t>
      </w:r>
      <w:r>
        <w:t xml:space="preserve"> from 6 am to 2</w:t>
      </w:r>
      <w:r w:rsidR="006D02B0">
        <w:t>.30 </w:t>
      </w:r>
      <w:r>
        <w:t>pm</w:t>
      </w:r>
      <w:r w:rsidR="00086252" w:rsidRPr="00086252">
        <w:t xml:space="preserve"> </w:t>
      </w:r>
      <w:r w:rsidR="00086252">
        <w:t>on weekdays</w:t>
      </w:r>
      <w:r>
        <w:t>. The 11 March Employees</w:t>
      </w:r>
      <w:r w:rsidR="007E7220">
        <w:t xml:space="preserve"> signed </w:t>
      </w:r>
      <w:r w:rsidR="00473C61">
        <w:t xml:space="preserve">in for work in </w:t>
      </w:r>
      <w:r w:rsidR="007E7220">
        <w:t>the</w:t>
      </w:r>
      <w:r w:rsidR="007E7220" w:rsidRPr="007E7220">
        <w:t xml:space="preserve"> Foreman</w:t>
      </w:r>
      <w:r w:rsidR="00ED139E">
        <w:t>’</w:t>
      </w:r>
      <w:r w:rsidR="007E7220" w:rsidRPr="007E7220">
        <w:t>s Weekly Report</w:t>
      </w:r>
      <w:r w:rsidR="00B83327">
        <w:t xml:space="preserve"> at </w:t>
      </w:r>
      <w:r w:rsidR="00FC6B57">
        <w:t>6 am</w:t>
      </w:r>
      <w:r w:rsidR="00972153">
        <w:t xml:space="preserve">.  </w:t>
      </w:r>
      <w:r w:rsidR="00025080">
        <w:t xml:space="preserve">I infer that they </w:t>
      </w:r>
      <w:r w:rsidR="00EB63A9">
        <w:t>had been</w:t>
      </w:r>
      <w:r w:rsidR="000744B8">
        <w:t xml:space="preserve"> </w:t>
      </w:r>
      <w:r w:rsidR="00EA6FB0">
        <w:t>offered</w:t>
      </w:r>
      <w:r w:rsidR="00AF4CFD">
        <w:t xml:space="preserve"> work by </w:t>
      </w:r>
      <w:r w:rsidR="00F60C08">
        <w:t>SMS</w:t>
      </w:r>
      <w:r w:rsidR="00AF4CFD">
        <w:t xml:space="preserve"> message</w:t>
      </w:r>
      <w:r w:rsidR="00EA6FB0">
        <w:t xml:space="preserve"> in accordance with the usual pr</w:t>
      </w:r>
      <w:r w:rsidR="00473C61">
        <w:t>a</w:t>
      </w:r>
      <w:r w:rsidR="004E3080">
        <w:t>ct</w:t>
      </w:r>
      <w:r w:rsidR="00EA6FB0">
        <w:t>ice</w:t>
      </w:r>
      <w:r w:rsidR="00EB63A9">
        <w:t xml:space="preserve"> </w:t>
      </w:r>
      <w:r w:rsidR="00BD7ACD">
        <w:t>—</w:t>
      </w:r>
      <w:r w:rsidR="00EB63A9">
        <w:t xml:space="preserve"> </w:t>
      </w:r>
      <w:r w:rsidR="006D02B0">
        <w:t>otherwise they would not have attended the site and signed in</w:t>
      </w:r>
      <w:r w:rsidR="00AF4CFD">
        <w:t xml:space="preserve">. </w:t>
      </w:r>
      <w:r w:rsidR="00972153">
        <w:t>T</w:t>
      </w:r>
      <w:r w:rsidR="007E7220">
        <w:t xml:space="preserve">hey </w:t>
      </w:r>
      <w:r w:rsidR="00D84E0E">
        <w:t xml:space="preserve">signed off at </w:t>
      </w:r>
      <w:r w:rsidR="00B83327">
        <w:t>2 pm</w:t>
      </w:r>
      <w:r w:rsidR="00D84E0E">
        <w:t xml:space="preserve">.  If they were not rostered until </w:t>
      </w:r>
      <w:r w:rsidR="00B83327">
        <w:t>2 pm</w:t>
      </w:r>
      <w:r w:rsidR="00D84E0E">
        <w:t xml:space="preserve">, it is </w:t>
      </w:r>
      <w:r w:rsidR="007E7220">
        <w:t xml:space="preserve">improbable </w:t>
      </w:r>
      <w:r w:rsidR="00D84E0E">
        <w:t xml:space="preserve">that they would have remained at the site until that time.  I infer that </w:t>
      </w:r>
      <w:r w:rsidR="005A1780">
        <w:t xml:space="preserve">the 11 March Employees </w:t>
      </w:r>
      <w:r w:rsidR="00EB63A9">
        <w:t>had been offered</w:t>
      </w:r>
      <w:r w:rsidR="001007C6">
        <w:t xml:space="preserve"> work </w:t>
      </w:r>
      <w:r w:rsidR="007E7220">
        <w:t>from</w:t>
      </w:r>
      <w:r w:rsidR="00D84E0E">
        <w:t xml:space="preserve"> </w:t>
      </w:r>
      <w:r w:rsidR="001007C6">
        <w:t xml:space="preserve">6 </w:t>
      </w:r>
      <w:r w:rsidR="00B83327">
        <w:t>am</w:t>
      </w:r>
      <w:r w:rsidR="00D84E0E">
        <w:t xml:space="preserve"> </w:t>
      </w:r>
      <w:r w:rsidR="00B91BA7">
        <w:t xml:space="preserve">to </w:t>
      </w:r>
      <w:r w:rsidR="00B83327">
        <w:t>2 pm</w:t>
      </w:r>
      <w:r w:rsidR="005A1780">
        <w:t xml:space="preserve"> that day</w:t>
      </w:r>
      <w:r w:rsidR="008D075D">
        <w:t xml:space="preserve">.  </w:t>
      </w:r>
      <w:r w:rsidR="00EA6FB0">
        <w:t>I fi</w:t>
      </w:r>
      <w:r w:rsidR="00EB63A9">
        <w:t xml:space="preserve">nd that they refused to </w:t>
      </w:r>
      <w:r w:rsidR="00EA6FB0">
        <w:t>work from 11</w:t>
      </w:r>
      <w:r w:rsidR="004E6028">
        <w:t> </w:t>
      </w:r>
      <w:r w:rsidR="00EA6FB0">
        <w:t>am to 2</w:t>
      </w:r>
      <w:r w:rsidR="004E6028">
        <w:t xml:space="preserve"> </w:t>
      </w:r>
      <w:r w:rsidR="00EA6FB0">
        <w:t>pm.</w:t>
      </w:r>
    </w:p>
    <w:p w:rsidR="00D84E0E" w:rsidRDefault="00972153" w:rsidP="008D075D">
      <w:pPr>
        <w:pStyle w:val="ParaNumbering"/>
      </w:pPr>
      <w:r>
        <w:t xml:space="preserve">The 12 March Employees </w:t>
      </w:r>
      <w:r w:rsidR="00D84E0E">
        <w:t xml:space="preserve">attended the </w:t>
      </w:r>
      <w:r w:rsidR="00475EE7">
        <w:t>NQS p</w:t>
      </w:r>
      <w:r w:rsidR="00FC6B57">
        <w:t>roject</w:t>
      </w:r>
      <w:r w:rsidR="00D84E0E">
        <w:t xml:space="preserve"> </w:t>
      </w:r>
      <w:r w:rsidR="00FC6B57">
        <w:t xml:space="preserve">site </w:t>
      </w:r>
      <w:r w:rsidR="00025080">
        <w:t>and signed i</w:t>
      </w:r>
      <w:r w:rsidR="00D84E0E">
        <w:t xml:space="preserve">n at </w:t>
      </w:r>
      <w:r w:rsidR="00FC6B57">
        <w:t>6 am</w:t>
      </w:r>
      <w:r w:rsidR="005A1780">
        <w:t xml:space="preserve">.  </w:t>
      </w:r>
      <w:r w:rsidR="002A4D41">
        <w:t>I infer tha</w:t>
      </w:r>
      <w:r w:rsidR="00086252">
        <w:t xml:space="preserve">t they did so because they had been </w:t>
      </w:r>
      <w:r w:rsidR="002A4D41">
        <w:t xml:space="preserve">offered work </w:t>
      </w:r>
      <w:r w:rsidR="009F1780">
        <w:t>for that day</w:t>
      </w:r>
      <w:r w:rsidR="002A4D41">
        <w:t xml:space="preserve">. </w:t>
      </w:r>
      <w:r w:rsidR="005A1780">
        <w:t>They</w:t>
      </w:r>
      <w:r w:rsidR="00D84E0E">
        <w:t xml:space="preserve"> d</w:t>
      </w:r>
      <w:r w:rsidR="002A4D41">
        <w:t>id not perform any work</w:t>
      </w:r>
      <w:r w:rsidR="00D84E0E">
        <w:t>, but remained in the lunch</w:t>
      </w:r>
      <w:r w:rsidR="00025080">
        <w:t xml:space="preserve"> </w:t>
      </w:r>
      <w:r w:rsidR="00D84E0E">
        <w:t xml:space="preserve">room until </w:t>
      </w:r>
      <w:r w:rsidR="00B83327">
        <w:t>2 pm</w:t>
      </w:r>
      <w:r w:rsidR="00D84E0E">
        <w:t xml:space="preserve">. </w:t>
      </w:r>
      <w:r w:rsidR="001007C6">
        <w:t>Messrs Bryant,</w:t>
      </w:r>
      <w:r w:rsidR="00D84E0E">
        <w:t xml:space="preserve"> </w:t>
      </w:r>
      <w:proofErr w:type="spellStart"/>
      <w:r w:rsidR="00D84E0E">
        <w:t>Cran</w:t>
      </w:r>
      <w:r w:rsidR="005D634D">
        <w:t>na</w:t>
      </w:r>
      <w:r w:rsidR="00D84E0E">
        <w:t>ford</w:t>
      </w:r>
      <w:proofErr w:type="spellEnd"/>
      <w:r w:rsidR="005D634D">
        <w:t>,</w:t>
      </w:r>
      <w:r w:rsidR="001007C6">
        <w:t xml:space="preserve"> </w:t>
      </w:r>
      <w:r w:rsidR="005D634D">
        <w:t>Duck</w:t>
      </w:r>
      <w:r w:rsidR="001007C6">
        <w:t>, Re</w:t>
      </w:r>
      <w:r w:rsidR="002A4D41">
        <w:t>nwick and Roach signed in at 6</w:t>
      </w:r>
      <w:r w:rsidR="000F5801">
        <w:t xml:space="preserve"> </w:t>
      </w:r>
      <w:r w:rsidR="002A4D41">
        <w:t>am</w:t>
      </w:r>
      <w:r w:rsidR="001007C6">
        <w:t>, but</w:t>
      </w:r>
      <w:r w:rsidR="00D84E0E">
        <w:t xml:space="preserve"> did not sign</w:t>
      </w:r>
      <w:r w:rsidR="001007C6">
        <w:t xml:space="preserve"> out. </w:t>
      </w:r>
      <w:r w:rsidR="007E7220">
        <w:t xml:space="preserve">I infer, having regard to </w:t>
      </w:r>
      <w:r w:rsidR="00B91BA7">
        <w:t xml:space="preserve">cl 6.2.3 </w:t>
      </w:r>
      <w:r w:rsidR="007E7220">
        <w:t>of the Enterp</w:t>
      </w:r>
      <w:r w:rsidR="002A4D41">
        <w:t>rise Agreement, that they had been</w:t>
      </w:r>
      <w:r w:rsidR="007E7220">
        <w:t xml:space="preserve"> </w:t>
      </w:r>
      <w:r w:rsidR="002A4D41">
        <w:t xml:space="preserve">offered </w:t>
      </w:r>
      <w:r w:rsidR="007E7220">
        <w:t>at least four hours</w:t>
      </w:r>
      <w:r w:rsidR="00ED139E">
        <w:t>’</w:t>
      </w:r>
      <w:r w:rsidR="002A4D41">
        <w:t xml:space="preserve"> work</w:t>
      </w:r>
      <w:r w:rsidR="007E7220">
        <w:t xml:space="preserve"> from 6</w:t>
      </w:r>
      <w:r w:rsidR="00B91BA7">
        <w:t> </w:t>
      </w:r>
      <w:r w:rsidR="007E7220">
        <w:t xml:space="preserve">am. </w:t>
      </w:r>
      <w:r w:rsidR="001007C6">
        <w:t xml:space="preserve">The remainder </w:t>
      </w:r>
      <w:r w:rsidR="00473C61">
        <w:t xml:space="preserve">of the 12 March Employees </w:t>
      </w:r>
      <w:r w:rsidR="001007C6">
        <w:t>signed in at 6</w:t>
      </w:r>
      <w:r w:rsidR="00B91BA7">
        <w:t> </w:t>
      </w:r>
      <w:r w:rsidR="001007C6">
        <w:t xml:space="preserve">am and signed out at 1.30 pm. </w:t>
      </w:r>
      <w:r w:rsidR="008F6DE5">
        <w:t>I infer that the</w:t>
      </w:r>
      <w:r w:rsidR="007E7220">
        <w:t xml:space="preserve">y </w:t>
      </w:r>
      <w:r w:rsidR="00B7579B">
        <w:t>had been</w:t>
      </w:r>
      <w:r w:rsidR="00D84E0E">
        <w:t xml:space="preserve"> </w:t>
      </w:r>
      <w:r w:rsidR="002A4D41">
        <w:t xml:space="preserve">offered </w:t>
      </w:r>
      <w:r w:rsidR="00D84E0E">
        <w:t xml:space="preserve">work from </w:t>
      </w:r>
      <w:r w:rsidR="00FC6B57">
        <w:t>6 am</w:t>
      </w:r>
      <w:r w:rsidR="00B83327">
        <w:t xml:space="preserve"> </w:t>
      </w:r>
      <w:r w:rsidR="00D84E0E">
        <w:t xml:space="preserve">to </w:t>
      </w:r>
      <w:r w:rsidR="00FC6B57">
        <w:t>1.30 pm</w:t>
      </w:r>
      <w:r w:rsidR="00EA6FB0">
        <w:t xml:space="preserve">. I find that </w:t>
      </w:r>
      <w:r w:rsidR="008D075D">
        <w:t>they refused to perform that work.</w:t>
      </w:r>
    </w:p>
    <w:p w:rsidR="00D84E0E" w:rsidRDefault="008F6DE5" w:rsidP="008F6DE5">
      <w:pPr>
        <w:pStyle w:val="ParaNumbering"/>
      </w:pPr>
      <w:r>
        <w:t>The</w:t>
      </w:r>
      <w:r w:rsidR="00D84E0E">
        <w:t xml:space="preserve"> 13 March </w:t>
      </w:r>
      <w:r>
        <w:t>E</w:t>
      </w:r>
      <w:r w:rsidR="00D84E0E">
        <w:t xml:space="preserve">mployees </w:t>
      </w:r>
      <w:r w:rsidR="000F5801">
        <w:t xml:space="preserve">were sent an SMS </w:t>
      </w:r>
      <w:r w:rsidR="00473C61">
        <w:t xml:space="preserve">message </w:t>
      </w:r>
      <w:r w:rsidR="00265C78">
        <w:t xml:space="preserve">on 12 March 2019, </w:t>
      </w:r>
      <w:r w:rsidR="00473C61">
        <w:t xml:space="preserve">directing them to attend a meeting at the </w:t>
      </w:r>
      <w:r w:rsidR="00AC135F">
        <w:t>PJ Walsh Constructions</w:t>
      </w:r>
      <w:r w:rsidR="00B7579B">
        <w:t>’</w:t>
      </w:r>
      <w:r w:rsidR="00473C61">
        <w:t xml:space="preserve"> yard at 6.30 am the following day, prior to commencing work at the NQS project</w:t>
      </w:r>
      <w:r w:rsidR="00D84E0E">
        <w:t xml:space="preserve">.  </w:t>
      </w:r>
      <w:r w:rsidR="00B91BA7">
        <w:t xml:space="preserve">The </w:t>
      </w:r>
      <w:r w:rsidR="00B7579B">
        <w:t xml:space="preserve">13 March Employees </w:t>
      </w:r>
      <w:r w:rsidR="00473C61">
        <w:t xml:space="preserve">went straight to </w:t>
      </w:r>
      <w:r w:rsidR="00D84E0E">
        <w:t xml:space="preserve">the </w:t>
      </w:r>
      <w:r>
        <w:t>NQS </w:t>
      </w:r>
      <w:r w:rsidR="00D84E0E">
        <w:t>site</w:t>
      </w:r>
      <w:r w:rsidR="00B7579B">
        <w:t>, arriving</w:t>
      </w:r>
      <w:r w:rsidR="00D84E0E">
        <w:t xml:space="preserve"> at </w:t>
      </w:r>
      <w:r w:rsidR="001650CA">
        <w:t>6.30 am</w:t>
      </w:r>
      <w:r w:rsidR="00D84E0E">
        <w:t xml:space="preserve">. They remained in the lunchroom at the NQS site until </w:t>
      </w:r>
      <w:r w:rsidR="00B7579B">
        <w:t xml:space="preserve">9.30 or </w:t>
      </w:r>
      <w:r w:rsidR="001650CA">
        <w:t>10 am</w:t>
      </w:r>
      <w:r w:rsidR="00B7579B">
        <w:t xml:space="preserve"> before leaving</w:t>
      </w:r>
      <w:r w:rsidR="00D84E0E">
        <w:t xml:space="preserve"> </w:t>
      </w:r>
      <w:r>
        <w:t xml:space="preserve">for </w:t>
      </w:r>
      <w:r w:rsidR="00D84E0E">
        <w:t xml:space="preserve">the </w:t>
      </w:r>
      <w:r>
        <w:t>Union</w:t>
      </w:r>
      <w:r w:rsidR="00B7579B">
        <w:t>’s</w:t>
      </w:r>
      <w:r w:rsidR="001650CA">
        <w:t xml:space="preserve"> </w:t>
      </w:r>
      <w:r w:rsidR="00D84E0E">
        <w:t xml:space="preserve">office. As the </w:t>
      </w:r>
      <w:r w:rsidR="000D128C">
        <w:t>13 March E</w:t>
      </w:r>
      <w:r w:rsidR="00D84E0E">
        <w:t>mployees did not sign in or sign out</w:t>
      </w:r>
      <w:r>
        <w:t>,</w:t>
      </w:r>
      <w:r w:rsidR="00D84E0E">
        <w:t xml:space="preserve"> and as they were directed to attend </w:t>
      </w:r>
      <w:r w:rsidR="00086252">
        <w:t xml:space="preserve">the </w:t>
      </w:r>
      <w:r w:rsidR="00AC135F">
        <w:t>PJ Walsh Constructions</w:t>
      </w:r>
      <w:r w:rsidR="00ED139E">
        <w:t>’</w:t>
      </w:r>
      <w:r w:rsidR="00086252">
        <w:t xml:space="preserve"> yard </w:t>
      </w:r>
      <w:r w:rsidR="00D84E0E">
        <w:t xml:space="preserve">at </w:t>
      </w:r>
      <w:r w:rsidR="001650CA">
        <w:t>6.30 am</w:t>
      </w:r>
      <w:r w:rsidR="00D84E0E">
        <w:t>, I</w:t>
      </w:r>
      <w:r w:rsidR="005F698B">
        <w:t xml:space="preserve"> a</w:t>
      </w:r>
      <w:r w:rsidR="00B7579B">
        <w:t>m unable to determine precisely what hours they were rostered for</w:t>
      </w:r>
      <w:r>
        <w:t xml:space="preserve">.  However, </w:t>
      </w:r>
      <w:r w:rsidR="000D128C">
        <w:t xml:space="preserve">the respondents admit </w:t>
      </w:r>
      <w:r w:rsidR="00473C61">
        <w:t xml:space="preserve">on the pleadings </w:t>
      </w:r>
      <w:r w:rsidR="000D128C">
        <w:t xml:space="preserve">that </w:t>
      </w:r>
      <w:r w:rsidR="007876B2">
        <w:t xml:space="preserve">an SMS </w:t>
      </w:r>
      <w:r w:rsidR="006C4CF1">
        <w:t>mess</w:t>
      </w:r>
      <w:r w:rsidR="00B7579B">
        <w:t xml:space="preserve">age was sent directing </w:t>
      </w:r>
      <w:r w:rsidR="006C4CF1">
        <w:t xml:space="preserve">the 13 March Employees </w:t>
      </w:r>
      <w:r w:rsidR="008E641E">
        <w:t xml:space="preserve">to </w:t>
      </w:r>
      <w:r w:rsidR="00D84E0E">
        <w:t xml:space="preserve">attend </w:t>
      </w:r>
      <w:r w:rsidR="00473C61">
        <w:t xml:space="preserve">at the </w:t>
      </w:r>
      <w:r w:rsidR="00AC135F">
        <w:t>PJ Walsh Constructions</w:t>
      </w:r>
      <w:r w:rsidR="007876B2">
        <w:t>’</w:t>
      </w:r>
      <w:r w:rsidR="00473C61">
        <w:t xml:space="preserve"> yard </w:t>
      </w:r>
      <w:r w:rsidR="006C4CF1">
        <w:t>“</w:t>
      </w:r>
      <w:r w:rsidR="00473C61">
        <w:t xml:space="preserve">prior to commencing work at the NQS </w:t>
      </w:r>
      <w:r w:rsidR="006C4CF1">
        <w:t>Project”</w:t>
      </w:r>
      <w:r>
        <w:t xml:space="preserve">, </w:t>
      </w:r>
      <w:r w:rsidR="000D128C">
        <w:t xml:space="preserve">so </w:t>
      </w:r>
      <w:r>
        <w:t>it is appar</w:t>
      </w:r>
      <w:r w:rsidR="00B7579B">
        <w:t>ent that they must have been</w:t>
      </w:r>
      <w:r w:rsidR="00086252">
        <w:t xml:space="preserve"> offered </w:t>
      </w:r>
      <w:r w:rsidR="00B7579B">
        <w:t xml:space="preserve">at least four hours’ </w:t>
      </w:r>
      <w:r w:rsidR="00086252">
        <w:t>work at the NQS project that day</w:t>
      </w:r>
      <w:r w:rsidR="00D84E0E">
        <w:t>.</w:t>
      </w:r>
      <w:r w:rsidR="008D075D">
        <w:t xml:space="preserve"> </w:t>
      </w:r>
      <w:r w:rsidR="000D128C">
        <w:t>The 13 March Employ</w:t>
      </w:r>
      <w:r w:rsidR="00B7579B">
        <w:t xml:space="preserve">ees did not perform any work </w:t>
      </w:r>
      <w:r w:rsidR="000D128C">
        <w:t xml:space="preserve">that day, and I find that they refused to work. </w:t>
      </w:r>
    </w:p>
    <w:p w:rsidR="008F6DE5" w:rsidRDefault="008F6DE5" w:rsidP="00D84E0E">
      <w:pPr>
        <w:pStyle w:val="ParaNumbering"/>
      </w:pPr>
      <w:r>
        <w:t xml:space="preserve">The 14 March </w:t>
      </w:r>
      <w:r w:rsidR="006B5AC6">
        <w:t xml:space="preserve">Employees </w:t>
      </w:r>
      <w:r w:rsidR="00D84E0E">
        <w:t xml:space="preserve">did not attend </w:t>
      </w:r>
      <w:r w:rsidR="00B91BA7">
        <w:t xml:space="preserve">the </w:t>
      </w:r>
      <w:r w:rsidR="006C4CF1">
        <w:t>NQS</w:t>
      </w:r>
      <w:r>
        <w:t xml:space="preserve"> site at all and </w:t>
      </w:r>
      <w:r w:rsidR="00A96E68">
        <w:t>did</w:t>
      </w:r>
      <w:r w:rsidR="00D84E0E">
        <w:t xml:space="preserve"> not perform any work that day.  </w:t>
      </w:r>
      <w:r w:rsidR="00B91BA7">
        <w:t xml:space="preserve">The </w:t>
      </w:r>
      <w:proofErr w:type="spellStart"/>
      <w:r w:rsidR="00B91BA7">
        <w:t>Zen</w:t>
      </w:r>
      <w:r w:rsidR="000D128C">
        <w:t>Shift</w:t>
      </w:r>
      <w:r w:rsidR="00F77329">
        <w:t>s</w:t>
      </w:r>
      <w:proofErr w:type="spellEnd"/>
      <w:r w:rsidR="000D128C">
        <w:t xml:space="preserve"> roster</w:t>
      </w:r>
      <w:r w:rsidR="00B7579B">
        <w:t xml:space="preserve"> in evidence does not </w:t>
      </w:r>
      <w:r w:rsidR="000D128C">
        <w:t xml:space="preserve">establish </w:t>
      </w:r>
      <w:r w:rsidR="00D84E0E">
        <w:t>that the employees were offered work</w:t>
      </w:r>
      <w:r w:rsidR="000D128C">
        <w:t xml:space="preserve">. However, </w:t>
      </w:r>
      <w:r w:rsidR="00D84E0E">
        <w:t xml:space="preserve">Mr Walsh </w:t>
      </w:r>
      <w:r w:rsidR="00B7579B">
        <w:t xml:space="preserve">directly </w:t>
      </w:r>
      <w:r w:rsidR="008E641E">
        <w:t xml:space="preserve">deposes </w:t>
      </w:r>
      <w:r w:rsidR="000D128C">
        <w:t>th</w:t>
      </w:r>
      <w:r w:rsidR="00B7579B">
        <w:t>at they were rostered to work</w:t>
      </w:r>
      <w:r w:rsidR="003F73D5">
        <w:t xml:space="preserve"> on</w:t>
      </w:r>
      <w:r w:rsidR="000D128C">
        <w:t xml:space="preserve"> that day.</w:t>
      </w:r>
      <w:r w:rsidR="000D128C" w:rsidRPr="000D128C">
        <w:t xml:space="preserve"> </w:t>
      </w:r>
      <w:r w:rsidR="000D128C">
        <w:t xml:space="preserve">I accept that </w:t>
      </w:r>
      <w:r w:rsidR="000D128C">
        <w:lastRenderedPageBreak/>
        <w:t xml:space="preserve">the </w:t>
      </w:r>
      <w:r w:rsidR="00B91BA7">
        <w:t xml:space="preserve">14 March </w:t>
      </w:r>
      <w:r w:rsidR="0018121A">
        <w:t xml:space="preserve">Employees </w:t>
      </w:r>
      <w:r w:rsidR="000D128C">
        <w:t>we</w:t>
      </w:r>
      <w:r w:rsidR="008E641E">
        <w:t xml:space="preserve">re offered work for </w:t>
      </w:r>
      <w:r w:rsidR="000D128C">
        <w:t>at least four hours</w:t>
      </w:r>
      <w:r w:rsidR="00B91BA7">
        <w:t>’ work</w:t>
      </w:r>
      <w:r w:rsidR="000D128C">
        <w:t xml:space="preserve"> that day. I find that they refused to work.</w:t>
      </w:r>
    </w:p>
    <w:p w:rsidR="000E7420" w:rsidRDefault="000E7420" w:rsidP="00D84E0E">
      <w:pPr>
        <w:pStyle w:val="ParaNumbering"/>
      </w:pPr>
      <w:r>
        <w:t>I reject the respondents</w:t>
      </w:r>
      <w:r w:rsidR="00ED139E">
        <w:t>’</w:t>
      </w:r>
      <w:r>
        <w:t xml:space="preserve"> submission that the </w:t>
      </w:r>
      <w:r w:rsidR="003F73D5">
        <w:t>evidence fails to demonstrate that the Employees were offered work from 11 to</w:t>
      </w:r>
      <w:r>
        <w:t xml:space="preserve"> 14 March 2019.</w:t>
      </w:r>
    </w:p>
    <w:p w:rsidR="008D075D" w:rsidRPr="006B5AC6" w:rsidRDefault="008D075D" w:rsidP="006B5AC6">
      <w:pPr>
        <w:pStyle w:val="Heading3"/>
      </w:pPr>
      <w:r w:rsidRPr="006B5AC6">
        <w:t>Whether, under the terms of the Enterp</w:t>
      </w:r>
      <w:r w:rsidR="000E7420">
        <w:t>rise Agreement, the</w:t>
      </w:r>
      <w:r w:rsidR="00541522" w:rsidRPr="006B5AC6">
        <w:t xml:space="preserve"> em</w:t>
      </w:r>
      <w:r w:rsidRPr="006B5AC6">
        <w:t xml:space="preserve">ployees were not obliged to accept </w:t>
      </w:r>
      <w:r w:rsidR="003F73D5">
        <w:t xml:space="preserve">offers of </w:t>
      </w:r>
      <w:r w:rsidRPr="006B5AC6">
        <w:t xml:space="preserve">work </w:t>
      </w:r>
    </w:p>
    <w:p w:rsidR="000F4ED5" w:rsidRDefault="0051486B" w:rsidP="000E7420">
      <w:pPr>
        <w:pStyle w:val="ParaNumbering"/>
      </w:pPr>
      <w:r>
        <w:t>The respondents submit that</w:t>
      </w:r>
      <w:r w:rsidR="000F4ED5">
        <w:t>, upon the proper construction o</w:t>
      </w:r>
      <w:r w:rsidR="00524E89">
        <w:t>f</w:t>
      </w:r>
      <w:r w:rsidR="000E7420">
        <w:t xml:space="preserve"> the Enterprise Agreement, the </w:t>
      </w:r>
      <w:r w:rsidR="00524E89">
        <w:t xml:space="preserve">Employees </w:t>
      </w:r>
      <w:r w:rsidR="000F4ED5">
        <w:t xml:space="preserve">were not obliged to accept any </w:t>
      </w:r>
      <w:r w:rsidR="003F73D5">
        <w:t xml:space="preserve">offers of </w:t>
      </w:r>
      <w:r w:rsidR="000F4ED5">
        <w:t xml:space="preserve">work. </w:t>
      </w:r>
      <w:r w:rsidR="00524E89">
        <w:t>They also submit they were only engaged for one hour at a time and were not obliged to accept any offer of further work after</w:t>
      </w:r>
      <w:r w:rsidR="000E7420">
        <w:t xml:space="preserve"> the conclusion of each hour.  That leads to a submission </w:t>
      </w:r>
      <w:r w:rsidR="008E641E">
        <w:t>that</w:t>
      </w:r>
      <w:r w:rsidR="000F4ED5">
        <w:t xml:space="preserve"> </w:t>
      </w:r>
      <w:r w:rsidR="00F64E30">
        <w:t xml:space="preserve">a failure or </w:t>
      </w:r>
      <w:r w:rsidR="000F4ED5">
        <w:t xml:space="preserve">refusal to perform work they were not obliged to accept was incapable of being </w:t>
      </w:r>
      <w:r w:rsidR="00770C00">
        <w:t>“</w:t>
      </w:r>
      <w:r w:rsidR="000F4ED5">
        <w:t xml:space="preserve">industrial </w:t>
      </w:r>
      <w:r w:rsidR="008E641E">
        <w:t>a</w:t>
      </w:r>
      <w:r w:rsidR="004E3080">
        <w:t>ction</w:t>
      </w:r>
      <w:r w:rsidR="00770C00">
        <w:t>”</w:t>
      </w:r>
      <w:r w:rsidR="008E641E">
        <w:t xml:space="preserve"> within the meaning of s 7(1) of the </w:t>
      </w:r>
      <w:r w:rsidR="00BC2E3D">
        <w:t>BCI Act</w:t>
      </w:r>
      <w:r w:rsidR="000F4ED5">
        <w:t xml:space="preserve">. </w:t>
      </w:r>
    </w:p>
    <w:p w:rsidR="00182416" w:rsidRDefault="00182416" w:rsidP="00182416">
      <w:pPr>
        <w:pStyle w:val="ParaNumbering"/>
      </w:pPr>
      <w:r>
        <w:t>Before considering these submissions, it is necessary to say</w:t>
      </w:r>
      <w:r w:rsidR="008E641E">
        <w:t xml:space="preserve"> something about the nature of enterprise a</w:t>
      </w:r>
      <w:r>
        <w:t>greements and their construction.</w:t>
      </w:r>
    </w:p>
    <w:p w:rsidR="000F4ED5" w:rsidRDefault="008E641E" w:rsidP="00182416">
      <w:pPr>
        <w:pStyle w:val="ParaNumbering"/>
      </w:pPr>
      <w:r>
        <w:t xml:space="preserve">Section 172(1) of the </w:t>
      </w:r>
      <w:r w:rsidR="00B91BA7">
        <w:rPr>
          <w:i/>
        </w:rPr>
        <w:t xml:space="preserve">Fair Work Act 2009 </w:t>
      </w:r>
      <w:r w:rsidR="00B91BA7">
        <w:t>(</w:t>
      </w:r>
      <w:proofErr w:type="spellStart"/>
      <w:r w:rsidR="00B91BA7">
        <w:t>Cth</w:t>
      </w:r>
      <w:proofErr w:type="spellEnd"/>
      <w:r w:rsidR="00B91BA7">
        <w:t>) (</w:t>
      </w:r>
      <w:r w:rsidR="00DD3754">
        <w:t xml:space="preserve">the </w:t>
      </w:r>
      <w:r w:rsidR="00997F6D" w:rsidRPr="00606C0B">
        <w:rPr>
          <w:b/>
        </w:rPr>
        <w:t>FW</w:t>
      </w:r>
      <w:r w:rsidRPr="00606C0B">
        <w:rPr>
          <w:b/>
        </w:rPr>
        <w:t xml:space="preserve"> </w:t>
      </w:r>
      <w:r w:rsidR="004E3080" w:rsidRPr="00606C0B">
        <w:rPr>
          <w:b/>
        </w:rPr>
        <w:t>Act</w:t>
      </w:r>
      <w:r w:rsidR="00B91BA7">
        <w:t>)</w:t>
      </w:r>
      <w:r>
        <w:t xml:space="preserve"> provides that an enterprise a</w:t>
      </w:r>
      <w:r w:rsidR="00182416">
        <w:t>greement may be made about matters pertaining to the relationship between an employer and that employer</w:t>
      </w:r>
      <w:r w:rsidR="00ED139E">
        <w:t>’</w:t>
      </w:r>
      <w:r w:rsidR="00182416">
        <w:t>s employees who will be covered by the agreement.  Section 50 provides that a person mu</w:t>
      </w:r>
      <w:r>
        <w:t>st not contravene a term of an e</w:t>
      </w:r>
      <w:r w:rsidR="00182416">
        <w:t>nte</w:t>
      </w:r>
      <w:r>
        <w:t>rprise a</w:t>
      </w:r>
      <w:r w:rsidR="00182416">
        <w:t xml:space="preserve">greement. </w:t>
      </w:r>
    </w:p>
    <w:p w:rsidR="001869DF" w:rsidRDefault="003F0223" w:rsidP="003F0223">
      <w:pPr>
        <w:pStyle w:val="ParaNumbering"/>
      </w:pPr>
      <w:r w:rsidRPr="003F0223">
        <w:t>There is a distinction between a cont</w:t>
      </w:r>
      <w:r w:rsidR="005B2C35">
        <w:t>r</w:t>
      </w:r>
      <w:r w:rsidRPr="003F0223">
        <w:t xml:space="preserve">act of employment, on one hand, and a workplace instrument such as an award or enterprise agreement, on the other. The provisions of the latter will rarely constitute implied terms of the former: see </w:t>
      </w:r>
      <w:r w:rsidRPr="003F0223">
        <w:rPr>
          <w:i/>
        </w:rPr>
        <w:t>Byrne v Australian Airlines Ltd</w:t>
      </w:r>
      <w:r w:rsidRPr="003F0223">
        <w:t xml:space="preserve"> (1995) 185 CLR 410 at 42</w:t>
      </w:r>
      <w:r w:rsidR="0081143B">
        <w:t>1–422 and</w:t>
      </w:r>
      <w:r w:rsidRPr="003F0223">
        <w:t xml:space="preserve"> 452–453. However, they exist in a symbiotic relationship: </w:t>
      </w:r>
      <w:proofErr w:type="spellStart"/>
      <w:r w:rsidRPr="003F0223">
        <w:t>cf</w:t>
      </w:r>
      <w:proofErr w:type="spellEnd"/>
      <w:r w:rsidRPr="003F0223">
        <w:t xml:space="preserve"> </w:t>
      </w:r>
      <w:r w:rsidRPr="003F0223">
        <w:rPr>
          <w:i/>
        </w:rPr>
        <w:t>Brodie v Singleton Shire Council</w:t>
      </w:r>
      <w:r w:rsidRPr="003F0223">
        <w:t xml:space="preserve"> (2001) 206 CLR 512 at [31] (per Gleeson CJ). The</w:t>
      </w:r>
      <w:r w:rsidR="003F73D5">
        <w:t xml:space="preserve"> parties’ </w:t>
      </w:r>
      <w:r w:rsidRPr="003F0223">
        <w:t xml:space="preserve">arguments as to whether the Employees were obliged to accept work </w:t>
      </w:r>
      <w:r w:rsidR="003F73D5">
        <w:t xml:space="preserve">have been advanced </w:t>
      </w:r>
      <w:r w:rsidRPr="003F0223">
        <w:t xml:space="preserve">by reference to </w:t>
      </w:r>
      <w:r w:rsidR="003F73D5">
        <w:t>analysis of the Enterprise Agreement</w:t>
      </w:r>
      <w:r w:rsidR="00DD3754">
        <w:t>,</w:t>
      </w:r>
      <w:r w:rsidR="003F73D5">
        <w:t xml:space="preserve"> rather than </w:t>
      </w:r>
      <w:r w:rsidRPr="003F0223">
        <w:t xml:space="preserve">the contracts of employment. Further, there is little evidence that would shed light on the contractual terms </w:t>
      </w:r>
      <w:r>
        <w:t>—</w:t>
      </w:r>
      <w:r w:rsidRPr="003F0223">
        <w:t xml:space="preserve"> there is no evidence, for example, about any patterns of work </w:t>
      </w:r>
      <w:r w:rsidR="00A907E6">
        <w:t>act</w:t>
      </w:r>
      <w:r w:rsidR="00A907E6" w:rsidRPr="003F0223">
        <w:t xml:space="preserve">ually </w:t>
      </w:r>
      <w:r w:rsidRPr="003F0223">
        <w:t xml:space="preserve">performed.  </w:t>
      </w:r>
    </w:p>
    <w:p w:rsidR="00182416" w:rsidRDefault="00182416" w:rsidP="001869DF">
      <w:pPr>
        <w:pStyle w:val="ParaNumbering"/>
      </w:pPr>
      <w:r>
        <w:t xml:space="preserve">In </w:t>
      </w:r>
      <w:proofErr w:type="spellStart"/>
      <w:r w:rsidRPr="001869DF">
        <w:rPr>
          <w:i/>
        </w:rPr>
        <w:t>WorkPac</w:t>
      </w:r>
      <w:proofErr w:type="spellEnd"/>
      <w:r w:rsidRPr="001869DF">
        <w:rPr>
          <w:i/>
        </w:rPr>
        <w:t xml:space="preserve"> Pty Ltd v Skene </w:t>
      </w:r>
      <w:r>
        <w:t>(2018) 264 FCR 536</w:t>
      </w:r>
      <w:r w:rsidRPr="00182416">
        <w:t xml:space="preserve"> </w:t>
      </w:r>
      <w:r>
        <w:t xml:space="preserve">at [197], the Full Court considered the principles </w:t>
      </w:r>
      <w:r w:rsidR="008E641E">
        <w:t>relevant to</w:t>
      </w:r>
      <w:r w:rsidR="00660950">
        <w:t xml:space="preserve"> the interpretation of an enterprise a</w:t>
      </w:r>
      <w:r>
        <w:t xml:space="preserve">greement: </w:t>
      </w:r>
    </w:p>
    <w:p w:rsidR="00182416" w:rsidRDefault="00182416" w:rsidP="00182416">
      <w:pPr>
        <w:pStyle w:val="Quote1"/>
      </w:pPr>
      <w:r>
        <w:t xml:space="preserve">The starting point for interpretation of an enterprise agreement is the ordinary meaning of the words, read as a whole and in context. The interpretation </w:t>
      </w:r>
      <w:r w:rsidR="00770C00">
        <w:t>“</w:t>
      </w:r>
      <w:r>
        <w:t xml:space="preserve">turns on the language </w:t>
      </w:r>
      <w:r>
        <w:lastRenderedPageBreak/>
        <w:t>of the particular agreement, understood in the light of its i</w:t>
      </w:r>
      <w:r w:rsidR="00660950">
        <w:t>ndustrial context and purpose</w:t>
      </w:r>
      <w:r w:rsidR="00770C00">
        <w:t>”</w:t>
      </w:r>
      <w:r w:rsidR="00660950">
        <w:t xml:space="preserve">. </w:t>
      </w:r>
      <w:r>
        <w:t>The words are not to be interpreted in a vacuum divo</w:t>
      </w:r>
      <w:r w:rsidR="00694453">
        <w:t>rced from industrial realities</w:t>
      </w:r>
      <w:r>
        <w:t xml:space="preserve">; rather, industrial agreements are made for various industries in the light of the customs and working conditions of each, and they are frequently couched in terms intelligible to the parties but without the careful attention to form and </w:t>
      </w:r>
      <w:proofErr w:type="spellStart"/>
      <w:r>
        <w:t>draftsmanship</w:t>
      </w:r>
      <w:proofErr w:type="spellEnd"/>
      <w:r>
        <w:t xml:space="preserve"> that one expects t</w:t>
      </w:r>
      <w:r w:rsidR="00660950">
        <w:t xml:space="preserve">o find in an </w:t>
      </w:r>
      <w:r w:rsidR="00BC2E3D">
        <w:t>Act</w:t>
      </w:r>
      <w:r w:rsidR="00660950">
        <w:t xml:space="preserve"> of Parliament. </w:t>
      </w:r>
      <w:r>
        <w:t xml:space="preserve">To similar effect, it has been said that the framers of such documents were likely of a </w:t>
      </w:r>
      <w:r w:rsidR="00770C00">
        <w:t>“</w:t>
      </w:r>
      <w:r>
        <w:t>pr</w:t>
      </w:r>
      <w:r w:rsidR="008E641E">
        <w:t>actical</w:t>
      </w:r>
      <w:r>
        <w:t xml:space="preserve"> bent of mind</w:t>
      </w:r>
      <w:r w:rsidR="00770C00">
        <w:t>”</w:t>
      </w:r>
      <w:r>
        <w:t xml:space="preserve"> and may well have been more concerned with expressing an intention in a way </w:t>
      </w:r>
      <w:r w:rsidR="000E7420">
        <w:t xml:space="preserve">likely to be understood in the </w:t>
      </w:r>
      <w:r w:rsidR="00ED3E4D">
        <w:t xml:space="preserve">relevant </w:t>
      </w:r>
      <w:r>
        <w:t xml:space="preserve">industry rather than with legal niceties and jargon, so that a purposive approach to interpretation is appropriate and a narrow or </w:t>
      </w:r>
      <w:r w:rsidR="00660950">
        <w:t>pedantic approach is misplaced.</w:t>
      </w:r>
    </w:p>
    <w:p w:rsidR="0051486B" w:rsidRDefault="00660950" w:rsidP="00182416">
      <w:pPr>
        <w:pStyle w:val="Quote1"/>
      </w:pPr>
      <w:r>
        <w:t>(Citations omitted</w:t>
      </w:r>
      <w:r w:rsidR="00182416">
        <w:t>.)</w:t>
      </w:r>
    </w:p>
    <w:p w:rsidR="000E7420" w:rsidRDefault="000E7420" w:rsidP="0051486B">
      <w:pPr>
        <w:pStyle w:val="ParaNumbering"/>
      </w:pPr>
      <w:r>
        <w:t xml:space="preserve">The Enterprise Agreement covers employees of </w:t>
      </w:r>
      <w:r w:rsidR="00AC135F">
        <w:t>PJ Walsh Constructions</w:t>
      </w:r>
      <w:r>
        <w:t xml:space="preserve"> undertaking on-site construction work in Townsville and surrounding areas. Its cover</w:t>
      </w:r>
      <w:r w:rsidR="008E641E">
        <w:t xml:space="preserve">age </w:t>
      </w:r>
      <w:r w:rsidR="00DD3754">
        <w:t xml:space="preserve">encompasses </w:t>
      </w:r>
      <w:r>
        <w:t>the Employees at the NQS site.</w:t>
      </w:r>
    </w:p>
    <w:p w:rsidR="0051486B" w:rsidRDefault="000E7420" w:rsidP="00830DCC">
      <w:pPr>
        <w:pStyle w:val="ParaNumbering"/>
        <w:keepNext/>
        <w:keepLines/>
      </w:pPr>
      <w:r>
        <w:t>In support of their submission that the Employees were not obliged to accept any work, t</w:t>
      </w:r>
      <w:r w:rsidR="0051486B">
        <w:t>he respondents rely upon cl 6 of the Enterprise Agreement</w:t>
      </w:r>
      <w:r w:rsidR="008E641E">
        <w:t>.  That clause provides</w:t>
      </w:r>
      <w:r w:rsidR="0051486B">
        <w:t>:</w:t>
      </w:r>
    </w:p>
    <w:p w:rsidR="0051486B" w:rsidRPr="00CE5E83" w:rsidRDefault="0051486B" w:rsidP="00830DCC">
      <w:pPr>
        <w:pStyle w:val="Quote1"/>
        <w:keepNext/>
        <w:keepLines/>
        <w:rPr>
          <w:b/>
        </w:rPr>
      </w:pPr>
      <w:r w:rsidRPr="00CE5E83">
        <w:rPr>
          <w:b/>
        </w:rPr>
        <w:t>6.1</w:t>
      </w:r>
      <w:r>
        <w:rPr>
          <w:b/>
        </w:rPr>
        <w:tab/>
      </w:r>
      <w:r w:rsidRPr="00CE5E83">
        <w:rPr>
          <w:b/>
        </w:rPr>
        <w:t>Engag</w:t>
      </w:r>
      <w:r>
        <w:rPr>
          <w:b/>
        </w:rPr>
        <w:t>ement of Employee</w:t>
      </w:r>
      <w:r w:rsidR="00ED3E4D">
        <w:rPr>
          <w:b/>
        </w:rPr>
        <w:t>s</w:t>
      </w:r>
    </w:p>
    <w:p w:rsidR="0051486B" w:rsidRDefault="0051486B" w:rsidP="00830DCC">
      <w:pPr>
        <w:pStyle w:val="Quote1"/>
        <w:keepNext/>
        <w:keepLines/>
        <w:ind w:left="1440" w:hanging="703"/>
      </w:pPr>
      <w:r>
        <w:t>6.1.1</w:t>
      </w:r>
      <w:r>
        <w:tab/>
        <w:t>At the commencement of employment, all employees will be employed as a casual employee. An employee absent without con</w:t>
      </w:r>
      <w:r w:rsidR="00542E4B">
        <w:t>t</w:t>
      </w:r>
      <w:r w:rsidR="008E641E">
        <w:t>a</w:t>
      </w:r>
      <w:r w:rsidR="004E3080">
        <w:t>ct</w:t>
      </w:r>
      <w:r w:rsidR="00542E4B">
        <w:t xml:space="preserve">ing the company office for 3 </w:t>
      </w:r>
      <w:r>
        <w:t>successive working days is deemed to have abandoned their employment.</w:t>
      </w:r>
    </w:p>
    <w:p w:rsidR="0051486B" w:rsidRPr="00814C1E" w:rsidRDefault="0051486B" w:rsidP="0051486B">
      <w:pPr>
        <w:pStyle w:val="Quote1"/>
        <w:rPr>
          <w:b/>
        </w:rPr>
      </w:pPr>
      <w:r w:rsidRPr="00814C1E">
        <w:rPr>
          <w:b/>
        </w:rPr>
        <w:t>6.2</w:t>
      </w:r>
      <w:r w:rsidRPr="00814C1E">
        <w:rPr>
          <w:b/>
        </w:rPr>
        <w:tab/>
        <w:t>Casual Employment</w:t>
      </w:r>
    </w:p>
    <w:p w:rsidR="0051486B" w:rsidRDefault="0051486B" w:rsidP="0051486B">
      <w:pPr>
        <w:pStyle w:val="Quote1"/>
        <w:ind w:left="1440" w:hanging="703"/>
      </w:pPr>
      <w:r>
        <w:t xml:space="preserve">6.2.1 </w:t>
      </w:r>
      <w:r>
        <w:tab/>
        <w:t>Casual employment shall mean an employee engaged by the hour and who may terminate employment or be discharged with one hour notice. A casual employee may be engaged indefinitely.</w:t>
      </w:r>
    </w:p>
    <w:p w:rsidR="0051486B" w:rsidRDefault="0051486B" w:rsidP="0051486B">
      <w:pPr>
        <w:pStyle w:val="Quote1"/>
        <w:ind w:left="1440" w:hanging="703"/>
      </w:pPr>
      <w:r>
        <w:t>6.2.2</w:t>
      </w:r>
      <w:r>
        <w:tab/>
        <w:t>Casual employees shall be paid an hourly rate no less than that listed in Appendix A to compensate for daily fares and travel allowances in clause 10.1.1, tool allowances, work related allowances, disability allowances, annual leave, paid sick leave, paid personal leave, RDOs, paid public holidays, redundancy, inclement weather, meal &amp; crib allowances, and all other penalties or premiums except as provided by this agreement. The hourly rate includes a loading for hours worked outside of the stated normal working hours including any penalty rates that would normally apply and a casual loading.</w:t>
      </w:r>
    </w:p>
    <w:p w:rsidR="0051486B" w:rsidRDefault="0051486B" w:rsidP="0051486B">
      <w:pPr>
        <w:pStyle w:val="Quote1"/>
        <w:ind w:left="1440" w:hanging="703"/>
      </w:pPr>
      <w:r>
        <w:t>6.2.3</w:t>
      </w:r>
      <w:r>
        <w:tab/>
        <w:t>A casual employee shall be provided with a minimum of 4 hours</w:t>
      </w:r>
      <w:r w:rsidR="00ED139E">
        <w:t>’</w:t>
      </w:r>
      <w:r>
        <w:t xml:space="preserve"> work or pay per engagement Sunday to Friday and a minimum of 3 hours on a Saturday. An employee may choose not to remain at work for the minimum engagement period by signing off early and will only be paid for the time worked.</w:t>
      </w:r>
    </w:p>
    <w:p w:rsidR="00B10792" w:rsidRDefault="00E52D81" w:rsidP="00B10792">
      <w:pPr>
        <w:pStyle w:val="ParaNumbering"/>
      </w:pPr>
      <w:r>
        <w:t xml:space="preserve">The starting point is </w:t>
      </w:r>
      <w:r w:rsidR="00660950">
        <w:t xml:space="preserve">the stipulation in cl 6.1.1 </w:t>
      </w:r>
      <w:r>
        <w:t>that</w:t>
      </w:r>
      <w:r w:rsidR="00694453">
        <w:t>,</w:t>
      </w:r>
      <w:r>
        <w:t xml:space="preserve"> </w:t>
      </w:r>
      <w:r w:rsidR="00770C00">
        <w:t>“</w:t>
      </w:r>
      <w:r w:rsidR="00694453">
        <w:t xml:space="preserve">all employees </w:t>
      </w:r>
      <w:r>
        <w:t>will be em</w:t>
      </w:r>
      <w:r w:rsidR="00660950">
        <w:t>ployed as a casual employee</w:t>
      </w:r>
      <w:r w:rsidR="00770C00">
        <w:t>”</w:t>
      </w:r>
      <w:r w:rsidR="00660950">
        <w:t xml:space="preserve">.  </w:t>
      </w:r>
      <w:r w:rsidR="00A907E6">
        <w:t>There i</w:t>
      </w:r>
      <w:r w:rsidR="008E641E">
        <w:t>s</w:t>
      </w:r>
      <w:r w:rsidR="00694453">
        <w:t xml:space="preserve"> no definition of</w:t>
      </w:r>
      <w:r>
        <w:t xml:space="preserve"> </w:t>
      </w:r>
      <w:r w:rsidR="00770C00">
        <w:t>“</w:t>
      </w:r>
      <w:r>
        <w:t>casual employee</w:t>
      </w:r>
      <w:r w:rsidR="00770C00">
        <w:t>”</w:t>
      </w:r>
      <w:r>
        <w:t xml:space="preserve"> </w:t>
      </w:r>
      <w:r w:rsidR="00490FB0">
        <w:t>in the Enterprise Agreement</w:t>
      </w:r>
      <w:r w:rsidR="00A907E6">
        <w:t>.</w:t>
      </w:r>
      <w:r>
        <w:t xml:space="preserve"> </w:t>
      </w:r>
      <w:r w:rsidR="00A907E6">
        <w:t xml:space="preserve"> </w:t>
      </w:r>
      <w:r>
        <w:t xml:space="preserve">In </w:t>
      </w:r>
      <w:r w:rsidRPr="00B10792">
        <w:rPr>
          <w:i/>
        </w:rPr>
        <w:t>Skene</w:t>
      </w:r>
      <w:r>
        <w:t xml:space="preserve">, the Full Court observed </w:t>
      </w:r>
      <w:r w:rsidR="00490FB0">
        <w:t>at [159]</w:t>
      </w:r>
      <w:r>
        <w:t xml:space="preserve"> </w:t>
      </w:r>
      <w:r w:rsidR="00AB67B6">
        <w:t xml:space="preserve">that </w:t>
      </w:r>
      <w:r w:rsidR="00830DCC">
        <w:t xml:space="preserve">although </w:t>
      </w:r>
      <w:r w:rsidR="00AB67B6">
        <w:t xml:space="preserve">the term </w:t>
      </w:r>
      <w:r w:rsidR="00770C00">
        <w:t>“</w:t>
      </w:r>
      <w:r w:rsidR="00AB67B6">
        <w:t>casual employee</w:t>
      </w:r>
      <w:r w:rsidR="00770C00">
        <w:t>”</w:t>
      </w:r>
      <w:r w:rsidR="00AB67B6">
        <w:t xml:space="preserve"> </w:t>
      </w:r>
      <w:r w:rsidR="00830DCC">
        <w:t xml:space="preserve">has a legal meaning, it </w:t>
      </w:r>
      <w:r w:rsidR="00AB67B6">
        <w:t>has no precise meaning</w:t>
      </w:r>
      <w:r w:rsidR="00085DEF">
        <w:t xml:space="preserve">: see also </w:t>
      </w:r>
      <w:r w:rsidR="00085DEF" w:rsidRPr="00B10792">
        <w:rPr>
          <w:i/>
        </w:rPr>
        <w:t xml:space="preserve">Doyle v Sydney Steel Co Ltd </w:t>
      </w:r>
      <w:r w:rsidR="00085DEF">
        <w:t>(1936) 56 CLR 545 at 551, 555 and 565</w:t>
      </w:r>
      <w:r w:rsidR="00830DCC">
        <w:t>.</w:t>
      </w:r>
      <w:r w:rsidR="00AB67B6">
        <w:t xml:space="preserve"> </w:t>
      </w:r>
      <w:r w:rsidR="00830DCC">
        <w:t xml:space="preserve"> </w:t>
      </w:r>
      <w:r w:rsidR="00B10792">
        <w:t xml:space="preserve">The Full Court </w:t>
      </w:r>
      <w:r w:rsidR="00E506A9">
        <w:t xml:space="preserve">held </w:t>
      </w:r>
      <w:r w:rsidR="00B10792">
        <w:t>[159] that w</w:t>
      </w:r>
      <w:r w:rsidR="00830DCC">
        <w:t xml:space="preserve">hether </w:t>
      </w:r>
      <w:r w:rsidR="00490FB0">
        <w:t xml:space="preserve">any particular employee </w:t>
      </w:r>
      <w:r w:rsidR="00AB67B6">
        <w:t>fits within th</w:t>
      </w:r>
      <w:r w:rsidR="00E506A9">
        <w:t>e</w:t>
      </w:r>
      <w:r w:rsidR="00AB67B6">
        <w:t xml:space="preserve"> </w:t>
      </w:r>
      <w:r w:rsidR="00AB67B6">
        <w:lastRenderedPageBreak/>
        <w:t xml:space="preserve">description </w:t>
      </w:r>
      <w:r w:rsidR="00E506A9">
        <w:t xml:space="preserve">of a “casual employee” </w:t>
      </w:r>
      <w:r w:rsidR="00AB67B6">
        <w:t xml:space="preserve">depends upon an objective </w:t>
      </w:r>
      <w:r w:rsidR="008E641E">
        <w:t>chara</w:t>
      </w:r>
      <w:r w:rsidR="004E3080">
        <w:t>ct</w:t>
      </w:r>
      <w:r>
        <w:t>erisation of the nature of the particular employment as a matter of f</w:t>
      </w:r>
      <w:r w:rsidR="008E641E">
        <w:t>a</w:t>
      </w:r>
      <w:r w:rsidR="004E3080">
        <w:t>ct</w:t>
      </w:r>
      <w:r>
        <w:t xml:space="preserve"> and law </w:t>
      </w:r>
      <w:r w:rsidR="000E57B8">
        <w:t xml:space="preserve">and </w:t>
      </w:r>
      <w:r>
        <w:t>having regard t</w:t>
      </w:r>
      <w:r w:rsidR="00AB67B6">
        <w:t>o all the circumstances</w:t>
      </w:r>
      <w:r>
        <w:t xml:space="preserve">.  </w:t>
      </w:r>
    </w:p>
    <w:p w:rsidR="00E52D81" w:rsidRDefault="00B10792" w:rsidP="00B10792">
      <w:pPr>
        <w:pStyle w:val="ParaNumbering"/>
      </w:pPr>
      <w:r>
        <w:t xml:space="preserve">In </w:t>
      </w:r>
      <w:r w:rsidRPr="00B10792">
        <w:rPr>
          <w:i/>
        </w:rPr>
        <w:t>Skene</w:t>
      </w:r>
      <w:r>
        <w:t xml:space="preserve">, </w:t>
      </w:r>
      <w:r w:rsidR="008E641E">
        <w:t>t</w:t>
      </w:r>
      <w:r w:rsidR="00E52D81">
        <w:t xml:space="preserve">he Full Court </w:t>
      </w:r>
      <w:r w:rsidR="00A42A52">
        <w:t>observed</w:t>
      </w:r>
      <w:r>
        <w:t xml:space="preserve"> a</w:t>
      </w:r>
      <w:r w:rsidRPr="00B10792">
        <w:t>t</w:t>
      </w:r>
      <w:r>
        <w:t xml:space="preserve"> [177] that, </w:t>
      </w:r>
      <w:r w:rsidR="00A42A52">
        <w:t xml:space="preserve">in their ordinary conceptions, permanent and casual employment are mutually exclusive categories of employment. At </w:t>
      </w:r>
      <w:r w:rsidR="00E52D81">
        <w:t>[171]–[172]</w:t>
      </w:r>
      <w:r w:rsidR="00A42A52">
        <w:t>, the Full Court</w:t>
      </w:r>
      <w:r w:rsidR="00E52D81">
        <w:t xml:space="preserve"> contrasted </w:t>
      </w:r>
      <w:r w:rsidR="000E57B8">
        <w:t xml:space="preserve">indefinite </w:t>
      </w:r>
      <w:r>
        <w:t>(</w:t>
      </w:r>
      <w:r w:rsidR="000E57B8">
        <w:t xml:space="preserve">or </w:t>
      </w:r>
      <w:r>
        <w:t>“</w:t>
      </w:r>
      <w:r w:rsidR="00E52D81">
        <w:t>permanent</w:t>
      </w:r>
      <w:r>
        <w:t>”)</w:t>
      </w:r>
      <w:r w:rsidR="00E52D81">
        <w:t xml:space="preserve"> employment with casual employment:</w:t>
      </w:r>
    </w:p>
    <w:p w:rsidR="00E52D81" w:rsidRDefault="00E52D81" w:rsidP="00E52D81">
      <w:pPr>
        <w:pStyle w:val="Quote1"/>
        <w:ind w:left="1440" w:hanging="703"/>
      </w:pPr>
      <w:r>
        <w:t>1</w:t>
      </w:r>
      <w:r w:rsidR="00490FB0">
        <w:t>71</w:t>
      </w:r>
      <w:r w:rsidR="00490FB0">
        <w:tab/>
        <w:t>…</w:t>
      </w:r>
      <w:r w:rsidR="00A42A52">
        <w:t>[P</w:t>
      </w:r>
      <w:r w:rsidR="00885D9A">
        <w:t>ermanent employment]</w:t>
      </w:r>
      <w:r>
        <w:t xml:space="preserve"> is char</w:t>
      </w:r>
      <w:r w:rsidR="008E641E">
        <w:t>a</w:t>
      </w:r>
      <w:r w:rsidR="004E3080">
        <w:t>ct</w:t>
      </w:r>
      <w:r>
        <w:t>erised by a commitment by the employer, subject to rights of termination, to provide the employee with continuous and indefinite employment according to an agreed pattern of ordinary time (as distinct from overtime) work. A corresponding commitment to provide se</w:t>
      </w:r>
      <w:r w:rsidR="00490FB0">
        <w:t>rvice is given by the employee…</w:t>
      </w:r>
    </w:p>
    <w:p w:rsidR="00E52D81" w:rsidRDefault="00E52D81" w:rsidP="00E52D81">
      <w:pPr>
        <w:pStyle w:val="Quote1"/>
        <w:ind w:left="1440" w:hanging="703"/>
      </w:pPr>
      <w:r>
        <w:t>172</w:t>
      </w:r>
      <w:r>
        <w:tab/>
        <w:t>In contrast, a casual employee has no firm advance commitment from the employer to continuing and indefinite work according to an agreed pattern of work. Nor does a casual employee provide a reciprocal commitment to the employer. That char</w:t>
      </w:r>
      <w:r w:rsidR="008E641E">
        <w:t>a</w:t>
      </w:r>
      <w:r w:rsidR="004E3080">
        <w:t>ct</w:t>
      </w:r>
      <w:r>
        <w:t xml:space="preserve">eristic, drawn from </w:t>
      </w:r>
      <w:proofErr w:type="spellStart"/>
      <w:r w:rsidRPr="00F224C4">
        <w:rPr>
          <w:i/>
        </w:rPr>
        <w:t>Hamzy</w:t>
      </w:r>
      <w:proofErr w:type="spellEnd"/>
      <w:r>
        <w:t xml:space="preserve">, is what White J referred to in more general terms in </w:t>
      </w:r>
      <w:r w:rsidRPr="00F224C4">
        <w:rPr>
          <w:i/>
        </w:rPr>
        <w:t xml:space="preserve">South </w:t>
      </w:r>
      <w:proofErr w:type="spellStart"/>
      <w:r w:rsidRPr="00F224C4">
        <w:rPr>
          <w:i/>
        </w:rPr>
        <w:t>Jin</w:t>
      </w:r>
      <w:proofErr w:type="spellEnd"/>
      <w:r>
        <w:t xml:space="preserve"> at [71] as </w:t>
      </w:r>
      <w:r w:rsidR="00770C00">
        <w:t>“</w:t>
      </w:r>
      <w:r>
        <w:t>any commitment by the employer or the worker to ongoing employment</w:t>
      </w:r>
      <w:r w:rsidR="00770C00">
        <w:t>”</w:t>
      </w:r>
      <w:r>
        <w:t xml:space="preserve">. In our view, what is referred to in </w:t>
      </w:r>
      <w:proofErr w:type="spellStart"/>
      <w:r w:rsidRPr="00F224C4">
        <w:rPr>
          <w:i/>
        </w:rPr>
        <w:t>Hamzy</w:t>
      </w:r>
      <w:proofErr w:type="spellEnd"/>
      <w:r>
        <w:t xml:space="preserve"> as the </w:t>
      </w:r>
      <w:r w:rsidR="00770C00">
        <w:t>“</w:t>
      </w:r>
      <w:r>
        <w:t>essence of casualness</w:t>
      </w:r>
      <w:r w:rsidR="00770C00">
        <w:t>”</w:t>
      </w:r>
      <w:r>
        <w:t>, captures well what typifies casual employment and distinguishes it from either full-time or part-time employment.</w:t>
      </w:r>
    </w:p>
    <w:p w:rsidR="00E97745" w:rsidRDefault="00E52D81" w:rsidP="00E97745">
      <w:pPr>
        <w:pStyle w:val="Quote1"/>
      </w:pPr>
      <w:r>
        <w:t>(Cit</w:t>
      </w:r>
      <w:r w:rsidR="00490FB0">
        <w:t>ations removed.)</w:t>
      </w:r>
    </w:p>
    <w:p w:rsidR="00E52D81" w:rsidRDefault="00B10792" w:rsidP="00E52D81">
      <w:pPr>
        <w:pStyle w:val="ParaNumbering"/>
      </w:pPr>
      <w:r>
        <w:t>Similarly, i</w:t>
      </w:r>
      <w:r w:rsidR="00E52D81">
        <w:t xml:space="preserve">n </w:t>
      </w:r>
      <w:r w:rsidR="00E52D81" w:rsidRPr="00490FB0">
        <w:rPr>
          <w:i/>
        </w:rPr>
        <w:t>Shop, Distributive &amp; Allied Employees</w:t>
      </w:r>
      <w:r w:rsidR="00ED139E">
        <w:rPr>
          <w:i/>
        </w:rPr>
        <w:t>’</w:t>
      </w:r>
      <w:r w:rsidR="00E52D81" w:rsidRPr="00490FB0">
        <w:rPr>
          <w:i/>
        </w:rPr>
        <w:t xml:space="preserve"> Association v Harris </w:t>
      </w:r>
      <w:proofErr w:type="spellStart"/>
      <w:r w:rsidR="00E52D81" w:rsidRPr="00490FB0">
        <w:rPr>
          <w:i/>
        </w:rPr>
        <w:t>Scarfe</w:t>
      </w:r>
      <w:proofErr w:type="spellEnd"/>
      <w:r w:rsidR="00E52D81" w:rsidRPr="00490FB0">
        <w:rPr>
          <w:i/>
        </w:rPr>
        <w:t xml:space="preserve"> Australia Pty Ltd</w:t>
      </w:r>
      <w:r w:rsidR="00E52D81">
        <w:t xml:space="preserve"> [2014] FCA 283, Buchanan J </w:t>
      </w:r>
      <w:r>
        <w:t xml:space="preserve">observed </w:t>
      </w:r>
      <w:r w:rsidR="00B94104">
        <w:t xml:space="preserve">at </w:t>
      </w:r>
      <w:r w:rsidR="00E52D81">
        <w:t>[26]:</w:t>
      </w:r>
    </w:p>
    <w:p w:rsidR="00E52D81" w:rsidRDefault="00E52D81" w:rsidP="00E52D81">
      <w:pPr>
        <w:pStyle w:val="Quote1"/>
      </w:pPr>
      <w:r w:rsidRPr="00B009B2">
        <w:t xml:space="preserve">There is a significant difference between a roster for full-time or part-time employees, which involves an allocation of work which they have agreed to undertake, and an offer of casual engagements, which a casual employee is usually free to accept or decline. The consequence for a casual employee of declining a </w:t>
      </w:r>
      <w:r w:rsidR="00770C00">
        <w:t>“</w:t>
      </w:r>
      <w:r w:rsidRPr="00B009B2">
        <w:t>rostered</w:t>
      </w:r>
      <w:r w:rsidR="00770C00">
        <w:t>”</w:t>
      </w:r>
      <w:r w:rsidRPr="00B009B2">
        <w:t xml:space="preserve"> shift may be that no more are offered but the consequence for a full-time or part-time employee is that they have refused to work and have breached their contr</w:t>
      </w:r>
      <w:r w:rsidR="008E641E">
        <w:t>a</w:t>
      </w:r>
      <w:r w:rsidR="004E3080">
        <w:t>ct</w:t>
      </w:r>
      <w:r w:rsidRPr="00B009B2">
        <w:t xml:space="preserve"> of employment.</w:t>
      </w:r>
    </w:p>
    <w:p w:rsidR="00E52D81" w:rsidRDefault="00E97745" w:rsidP="00E52D81">
      <w:pPr>
        <w:pStyle w:val="ParaNumbering"/>
      </w:pPr>
      <w:r>
        <w:t>Further, i</w:t>
      </w:r>
      <w:r w:rsidR="00E52D81">
        <w:t xml:space="preserve">n </w:t>
      </w:r>
      <w:r w:rsidR="00E52D81">
        <w:rPr>
          <w:i/>
        </w:rPr>
        <w:t xml:space="preserve">Reed v Blue Line Cruises Limited </w:t>
      </w:r>
      <w:r w:rsidR="00E52D81">
        <w:t>(1996)</w:t>
      </w:r>
      <w:r w:rsidR="00490FB0">
        <w:t xml:space="preserve"> 73 IR 420 at 425, Moore J</w:t>
      </w:r>
      <w:r w:rsidR="00E52D81">
        <w:t xml:space="preserve"> observed:</w:t>
      </w:r>
    </w:p>
    <w:p w:rsidR="00E52D81" w:rsidRDefault="00E52D81" w:rsidP="00E52D81">
      <w:pPr>
        <w:pStyle w:val="Quote1"/>
      </w:pPr>
      <w:r>
        <w:t>A char</w:t>
      </w:r>
      <w:r w:rsidR="008E641E">
        <w:t>a</w:t>
      </w:r>
      <w:r w:rsidR="004E3080">
        <w:t>ct</w:t>
      </w:r>
      <w:r>
        <w:t xml:space="preserve">eristic of engagement on a casual basis is, in my opinion, that the employer can elect to offer employment on a particular day or days and when offered, the employee can elect to work. </w:t>
      </w:r>
    </w:p>
    <w:p w:rsidR="00182416" w:rsidRDefault="00E97745" w:rsidP="00490FB0">
      <w:pPr>
        <w:pStyle w:val="ParaNumbering"/>
      </w:pPr>
      <w:r>
        <w:t xml:space="preserve">Accordingly, </w:t>
      </w:r>
      <w:r w:rsidR="00B10792">
        <w:t xml:space="preserve">indefinite or </w:t>
      </w:r>
      <w:r w:rsidR="00593A30">
        <w:t>permanent</w:t>
      </w:r>
      <w:r>
        <w:t xml:space="preserve"> employment is </w:t>
      </w:r>
      <w:r w:rsidR="00A42A52">
        <w:t xml:space="preserve">ordinarily </w:t>
      </w:r>
      <w:r w:rsidR="00F45470">
        <w:t>char</w:t>
      </w:r>
      <w:r w:rsidR="008E641E">
        <w:t>a</w:t>
      </w:r>
      <w:r w:rsidR="004E3080">
        <w:t>ct</w:t>
      </w:r>
      <w:r w:rsidR="00F45470">
        <w:t xml:space="preserve">erised by </w:t>
      </w:r>
      <w:r w:rsidR="00E52D81">
        <w:t xml:space="preserve">an obligation on an </w:t>
      </w:r>
      <w:r>
        <w:t>employer to offer work and</w:t>
      </w:r>
      <w:r w:rsidR="00593A30">
        <w:t xml:space="preserve"> a corresponding obligation</w:t>
      </w:r>
      <w:r>
        <w:t xml:space="preserve"> on the </w:t>
      </w:r>
      <w:r w:rsidR="00E52D81">
        <w:t>employee to acce</w:t>
      </w:r>
      <w:r>
        <w:t>pt work offered</w:t>
      </w:r>
      <w:r w:rsidR="00593A30">
        <w:t>. In contrast, casual employment</w:t>
      </w:r>
      <w:r w:rsidR="00A42A52">
        <w:t xml:space="preserve"> </w:t>
      </w:r>
      <w:r w:rsidR="00F45470">
        <w:t xml:space="preserve">is </w:t>
      </w:r>
      <w:r w:rsidR="00A42A52">
        <w:t>ordinarily</w:t>
      </w:r>
      <w:r w:rsidR="00F45470">
        <w:t xml:space="preserve"> char</w:t>
      </w:r>
      <w:r w:rsidR="008E641E">
        <w:t>a</w:t>
      </w:r>
      <w:r w:rsidR="004E3080">
        <w:t>ct</w:t>
      </w:r>
      <w:r w:rsidR="00F45470">
        <w:t>erised by</w:t>
      </w:r>
      <w:r w:rsidR="00593A30">
        <w:t xml:space="preserve"> the absence of any obligation </w:t>
      </w:r>
      <w:r w:rsidR="001F1207">
        <w:t xml:space="preserve">by an employer </w:t>
      </w:r>
      <w:r w:rsidR="00593A30">
        <w:t xml:space="preserve">to offer </w:t>
      </w:r>
      <w:r w:rsidR="001F1207">
        <w:t xml:space="preserve">work and any reciprocal obligation by an employee to </w:t>
      </w:r>
      <w:r w:rsidR="00593A30">
        <w:t>accept work</w:t>
      </w:r>
      <w:r w:rsidR="00F45470">
        <w:t>.  Nevertheless</w:t>
      </w:r>
      <w:r>
        <w:t xml:space="preserve">, </w:t>
      </w:r>
      <w:r w:rsidR="00F45470">
        <w:t xml:space="preserve">it seems </w:t>
      </w:r>
      <w:r w:rsidR="00692BFA">
        <w:t>possible that</w:t>
      </w:r>
      <w:r w:rsidR="00593A30">
        <w:t xml:space="preserve"> </w:t>
      </w:r>
      <w:r w:rsidR="001106E8">
        <w:t xml:space="preserve">particular </w:t>
      </w:r>
      <w:r w:rsidR="00F45470">
        <w:t>employment falling outside this ordinary char</w:t>
      </w:r>
      <w:r w:rsidR="008E641E">
        <w:t>a</w:t>
      </w:r>
      <w:r w:rsidR="004E3080">
        <w:t>ct</w:t>
      </w:r>
      <w:r w:rsidR="00F45470">
        <w:t xml:space="preserve">erisation </w:t>
      </w:r>
      <w:r w:rsidR="001106E8">
        <w:t xml:space="preserve">might </w:t>
      </w:r>
      <w:r w:rsidR="001F1207">
        <w:t>be regarded as</w:t>
      </w:r>
      <w:r w:rsidR="00F45470">
        <w:t xml:space="preserve"> </w:t>
      </w:r>
      <w:r w:rsidR="001F1207">
        <w:t>“</w:t>
      </w:r>
      <w:r w:rsidR="00F45470">
        <w:t>casual employment</w:t>
      </w:r>
      <w:r w:rsidR="001F1207">
        <w:t>”</w:t>
      </w:r>
      <w:r w:rsidR="00F45470">
        <w:t xml:space="preserve"> </w:t>
      </w:r>
      <w:r w:rsidR="001F1207">
        <w:t>when consideration is given</w:t>
      </w:r>
      <w:r w:rsidR="00692BFA">
        <w:t xml:space="preserve"> to </w:t>
      </w:r>
      <w:r w:rsidR="002012B9">
        <w:t xml:space="preserve">the </w:t>
      </w:r>
      <w:r w:rsidR="002012B9">
        <w:lastRenderedPageBreak/>
        <w:t xml:space="preserve">whole of </w:t>
      </w:r>
      <w:r w:rsidR="00692BFA">
        <w:t>the circumstances</w:t>
      </w:r>
      <w:r w:rsidR="00E52D81">
        <w:t xml:space="preserve">.  </w:t>
      </w:r>
      <w:r w:rsidR="00F45470">
        <w:t xml:space="preserve">While </w:t>
      </w:r>
      <w:r>
        <w:t xml:space="preserve">the identification of employees as </w:t>
      </w:r>
      <w:r w:rsidR="00770C00">
        <w:t>“</w:t>
      </w:r>
      <w:r w:rsidR="00F45470">
        <w:t>casual</w:t>
      </w:r>
      <w:r w:rsidR="00770C00">
        <w:t>”</w:t>
      </w:r>
      <w:r w:rsidR="00E52D81">
        <w:t xml:space="preserve"> </w:t>
      </w:r>
      <w:r w:rsidR="00490FB0">
        <w:t xml:space="preserve">in cl 6.1.1 </w:t>
      </w:r>
      <w:r>
        <w:t xml:space="preserve">suggests </w:t>
      </w:r>
      <w:r w:rsidR="00E52D81">
        <w:t>that they are not obliged to accept</w:t>
      </w:r>
      <w:r w:rsidR="00F45470">
        <w:t xml:space="preserve"> offers of employment,</w:t>
      </w:r>
      <w:r w:rsidR="00E52D81">
        <w:t xml:space="preserve"> it is necessary to examine th</w:t>
      </w:r>
      <w:r w:rsidR="00490FB0">
        <w:t xml:space="preserve">e Enterprise Agreement </w:t>
      </w:r>
      <w:r w:rsidR="00E52D81">
        <w:t>as a whole to determine</w:t>
      </w:r>
      <w:r w:rsidR="00490FB0">
        <w:t xml:space="preserve"> the issue.</w:t>
      </w:r>
    </w:p>
    <w:p w:rsidR="00F65AB0" w:rsidRDefault="00D00821" w:rsidP="00350669">
      <w:pPr>
        <w:pStyle w:val="ParaNumbering"/>
      </w:pPr>
      <w:r>
        <w:t xml:space="preserve">The respondents rely on </w:t>
      </w:r>
      <w:r w:rsidR="00350669">
        <w:t xml:space="preserve">the first sentence of </w:t>
      </w:r>
      <w:r>
        <w:t xml:space="preserve">cl 6.2.1 which states, </w:t>
      </w:r>
      <w:r w:rsidR="00770C00">
        <w:t>“</w:t>
      </w:r>
      <w:r w:rsidR="00350669" w:rsidRPr="00350669">
        <w:t>Casual employment shall mean an employee engaged by the hour and who may terminate employment or be discharged with one hou</w:t>
      </w:r>
      <w:r w:rsidR="00232311">
        <w:t>r notice</w:t>
      </w:r>
      <w:r w:rsidR="00770C00">
        <w:t>”</w:t>
      </w:r>
      <w:r>
        <w:t xml:space="preserve">. </w:t>
      </w:r>
      <w:r w:rsidR="00F65AB0">
        <w:t>However, the Commissioner submits that if a casual employee is entitled to simply refuse any further work after an hour,</w:t>
      </w:r>
      <w:r w:rsidR="00F65AB0" w:rsidRPr="00A34B90">
        <w:t xml:space="preserve"> </w:t>
      </w:r>
      <w:r w:rsidR="00F65AB0">
        <w:t xml:space="preserve">the </w:t>
      </w:r>
      <w:r w:rsidR="00ED0136">
        <w:t xml:space="preserve">notice </w:t>
      </w:r>
      <w:r w:rsidR="00F65AB0">
        <w:t xml:space="preserve">part of the provision would have no purpose and that, read as a whole, cl 6.2.1 is merely a notice provision. </w:t>
      </w:r>
    </w:p>
    <w:p w:rsidR="001106E8" w:rsidRDefault="00350669" w:rsidP="00350669">
      <w:pPr>
        <w:pStyle w:val="ParaNumbering"/>
      </w:pPr>
      <w:r>
        <w:t>I</w:t>
      </w:r>
      <w:r w:rsidR="007813E5">
        <w:t xml:space="preserve">n </w:t>
      </w:r>
      <w:proofErr w:type="spellStart"/>
      <w:r w:rsidR="007813E5">
        <w:rPr>
          <w:i/>
        </w:rPr>
        <w:t>WorkPac</w:t>
      </w:r>
      <w:proofErr w:type="spellEnd"/>
      <w:r w:rsidR="007813E5">
        <w:rPr>
          <w:i/>
        </w:rPr>
        <w:t xml:space="preserve"> </w:t>
      </w:r>
      <w:r w:rsidR="001A4146">
        <w:rPr>
          <w:i/>
        </w:rPr>
        <w:t xml:space="preserve">Pty Ltd </w:t>
      </w:r>
      <w:r w:rsidR="007813E5">
        <w:rPr>
          <w:i/>
        </w:rPr>
        <w:t xml:space="preserve">v </w:t>
      </w:r>
      <w:proofErr w:type="spellStart"/>
      <w:r w:rsidR="007813E5">
        <w:rPr>
          <w:i/>
        </w:rPr>
        <w:t>Rossato</w:t>
      </w:r>
      <w:proofErr w:type="spellEnd"/>
      <w:r w:rsidR="007813E5">
        <w:rPr>
          <w:i/>
        </w:rPr>
        <w:t xml:space="preserve"> </w:t>
      </w:r>
      <w:r>
        <w:t xml:space="preserve">[2020] FCAFC 84, White J </w:t>
      </w:r>
      <w:r w:rsidR="00F65AB0">
        <w:t>considered the concept of daily or hourly hire</w:t>
      </w:r>
      <w:r w:rsidR="007813E5">
        <w:t>:</w:t>
      </w:r>
    </w:p>
    <w:p w:rsidR="007813E5" w:rsidRDefault="00DD600A" w:rsidP="001D6D92">
      <w:pPr>
        <w:pStyle w:val="Quote1"/>
        <w:ind w:left="1440" w:hanging="703"/>
      </w:pPr>
      <w:r>
        <w:t>[</w:t>
      </w:r>
      <w:r w:rsidR="007813E5">
        <w:t>410</w:t>
      </w:r>
      <w:r>
        <w:t>]</w:t>
      </w:r>
      <w:r w:rsidR="007813E5">
        <w:tab/>
        <w:t xml:space="preserve">In former times, it was thought that, unlike permanent employees, the predecessors of the employees now described as casual entered into a new contract of employment with each new engagement and that the contract concluded on the cessation of the engagement: </w:t>
      </w:r>
      <w:r w:rsidR="007813E5" w:rsidRPr="007813E5">
        <w:rPr>
          <w:i/>
        </w:rPr>
        <w:t>Thompson v Big Bert Pty Ltd t/as Charles Hotel</w:t>
      </w:r>
      <w:r w:rsidR="007813E5">
        <w:t xml:space="preserve"> [2007] FCA 1978; (2007) 168 IR 309 at [58].</w:t>
      </w:r>
    </w:p>
    <w:p w:rsidR="007813E5" w:rsidRDefault="00DD600A" w:rsidP="001D6D92">
      <w:pPr>
        <w:pStyle w:val="Quote1"/>
        <w:ind w:left="1440" w:hanging="703"/>
      </w:pPr>
      <w:r>
        <w:t>[</w:t>
      </w:r>
      <w:r w:rsidR="007813E5">
        <w:t>411</w:t>
      </w:r>
      <w:r>
        <w:t>]</w:t>
      </w:r>
      <w:r w:rsidR="007813E5">
        <w:tab/>
        <w:t xml:space="preserve">Provision was made in industrial awards for work of this kind by the recognition of daily or hourly hire: </w:t>
      </w:r>
      <w:r w:rsidR="007813E5" w:rsidRPr="007813E5">
        <w:rPr>
          <w:i/>
        </w:rPr>
        <w:t>Re Metal</w:t>
      </w:r>
      <w:r w:rsidR="007813E5">
        <w:t xml:space="preserve"> at 253-4. With respect to this type of employment, the Full Bench said:</w:t>
      </w:r>
    </w:p>
    <w:p w:rsidR="007813E5" w:rsidRDefault="007813E5" w:rsidP="007813E5">
      <w:pPr>
        <w:pStyle w:val="Quote2"/>
        <w:ind w:left="2160" w:hanging="720"/>
      </w:pPr>
      <w:r>
        <w:t>[54]</w:t>
      </w:r>
      <w:r>
        <w:tab/>
        <w:t>In relation to “employed by the hour”, it seems generally to have been accepted, although the reasons for doing so may now be obsolete, that the essence of weekly hire, daily hire, and hourly hire engagements was that each be terminable by the corresponding period of notice on either side. In some earlier awards that condition was explicit. In practice, that construction of an hourly hire employment resulted in the employment being considered to expire on the end of a shift unless renewed, or being terminated on either an hour’s notice prior to completion of shift, or effectively by the employer not offering further work at the conclusion of a shift.</w:t>
      </w:r>
    </w:p>
    <w:p w:rsidR="007813E5" w:rsidRDefault="007813E5" w:rsidP="007813E5">
      <w:pPr>
        <w:pStyle w:val="Quote2"/>
      </w:pPr>
      <w:r>
        <w:t>(Citation omitted)</w:t>
      </w:r>
    </w:p>
    <w:p w:rsidR="007813E5" w:rsidRDefault="00DD600A" w:rsidP="001F1207">
      <w:pPr>
        <w:pStyle w:val="Quote1"/>
        <w:ind w:left="1440" w:hanging="703"/>
      </w:pPr>
      <w:r>
        <w:t>[</w:t>
      </w:r>
      <w:r w:rsidR="007813E5">
        <w:t>412</w:t>
      </w:r>
      <w:r>
        <w:t>]</w:t>
      </w:r>
      <w:r w:rsidR="007813E5">
        <w:tab/>
        <w:t xml:space="preserve">Employment of this kind was the predecessor of casual employment. However, it is now recognised that a person may be engaged as a casual employee under a single continuing contract: </w:t>
      </w:r>
      <w:r w:rsidR="007813E5" w:rsidRPr="007813E5">
        <w:rPr>
          <w:i/>
        </w:rPr>
        <w:t>Ryde-Eastwood Leagues Club Limited v Taylor</w:t>
      </w:r>
      <w:r w:rsidR="007813E5">
        <w:t xml:space="preserve"> (1994) 56 IR 385 at 399, </w:t>
      </w:r>
      <w:r w:rsidR="007813E5" w:rsidRPr="007813E5">
        <w:rPr>
          <w:i/>
        </w:rPr>
        <w:t xml:space="preserve">Melrose Farm Pty Ltd t/as </w:t>
      </w:r>
      <w:proofErr w:type="spellStart"/>
      <w:r w:rsidR="007813E5" w:rsidRPr="007813E5">
        <w:rPr>
          <w:i/>
        </w:rPr>
        <w:t>Milesaway</w:t>
      </w:r>
      <w:proofErr w:type="spellEnd"/>
      <w:r w:rsidR="007813E5" w:rsidRPr="007813E5">
        <w:rPr>
          <w:i/>
        </w:rPr>
        <w:t xml:space="preserve"> Tours v </w:t>
      </w:r>
      <w:proofErr w:type="spellStart"/>
      <w:r w:rsidR="007813E5" w:rsidRPr="007813E5">
        <w:rPr>
          <w:i/>
        </w:rPr>
        <w:t>Milward</w:t>
      </w:r>
      <w:proofErr w:type="spellEnd"/>
      <w:r w:rsidR="007813E5">
        <w:t xml:space="preserve"> [2008] WASCA 175; (2008) 175 IR 455 at [110]. The actual performance of work under that contract may be intermittent or irregular</w:t>
      </w:r>
      <w:r w:rsidR="001F1207">
        <w:t>…</w:t>
      </w:r>
    </w:p>
    <w:p w:rsidR="00D00821" w:rsidRDefault="00F65AB0" w:rsidP="00F65AB0">
      <w:pPr>
        <w:pStyle w:val="ParaNumbering"/>
      </w:pPr>
      <w:r>
        <w:t xml:space="preserve">Viewed in this context, the first sentence of </w:t>
      </w:r>
      <w:r w:rsidR="00350669">
        <w:t xml:space="preserve">cl 6.2.1 </w:t>
      </w:r>
      <w:r>
        <w:t>indicates</w:t>
      </w:r>
      <w:r w:rsidR="00D00821">
        <w:t xml:space="preserve"> that </w:t>
      </w:r>
      <w:r w:rsidR="00350669">
        <w:t xml:space="preserve">each engagement is for one hour </w:t>
      </w:r>
      <w:r>
        <w:t xml:space="preserve">at a time, but </w:t>
      </w:r>
      <w:r w:rsidR="00350669">
        <w:t xml:space="preserve">that </w:t>
      </w:r>
      <w:r>
        <w:t xml:space="preserve">the engagement may </w:t>
      </w:r>
      <w:r w:rsidR="00350669">
        <w:t xml:space="preserve">be terminated by </w:t>
      </w:r>
      <w:r>
        <w:t xml:space="preserve">the employer or employee with </w:t>
      </w:r>
      <w:r w:rsidR="00350669">
        <w:t xml:space="preserve">an hour’s notice. </w:t>
      </w:r>
      <w:r w:rsidR="00C14A8A">
        <w:t>The sentence</w:t>
      </w:r>
      <w:r w:rsidR="00D00821">
        <w:t xml:space="preserve"> </w:t>
      </w:r>
      <w:r>
        <w:t xml:space="preserve">operates </w:t>
      </w:r>
      <w:r w:rsidR="00D00821">
        <w:t>such that,</w:t>
      </w:r>
      <w:r w:rsidR="00C14A8A">
        <w:t xml:space="preserve"> for example, if an</w:t>
      </w:r>
      <w:r w:rsidR="00D00821">
        <w:t xml:space="preserve"> employee commences work at 6</w:t>
      </w:r>
      <w:r w:rsidR="00667C37">
        <w:t> am and gives notice at 6.15 </w:t>
      </w:r>
      <w:r w:rsidR="00D00821">
        <w:t>am, the employee is entitled to c</w:t>
      </w:r>
      <w:r w:rsidR="00667C37">
        <w:t>ease work after an hour at 7.15 </w:t>
      </w:r>
      <w:r w:rsidR="00D00821">
        <w:t>am</w:t>
      </w:r>
      <w:r>
        <w:t xml:space="preserve">. </w:t>
      </w:r>
      <w:r w:rsidRPr="00F65AB0">
        <w:t>The</w:t>
      </w:r>
      <w:r>
        <w:t xml:space="preserve"> effect of the sentence is</w:t>
      </w:r>
      <w:r w:rsidR="00C14A8A">
        <w:t xml:space="preserve"> that the employee, having provided </w:t>
      </w:r>
      <w:r w:rsidRPr="00F65AB0">
        <w:t xml:space="preserve">an hour’s notice, </w:t>
      </w:r>
      <w:r w:rsidRPr="00F65AB0">
        <w:lastRenderedPageBreak/>
        <w:t xml:space="preserve">is under no obligation to accept </w:t>
      </w:r>
      <w:r>
        <w:t>any further work</w:t>
      </w:r>
      <w:r w:rsidRPr="00F65AB0">
        <w:t xml:space="preserve">. </w:t>
      </w:r>
      <w:r w:rsidR="00667C37">
        <w:t xml:space="preserve"> </w:t>
      </w:r>
      <w:r w:rsidR="00C14A8A">
        <w:t xml:space="preserve">The absence of any obligation to accept further work suggests the absence of any obligation to have accepted </w:t>
      </w:r>
      <w:r w:rsidR="00ED0136">
        <w:t xml:space="preserve">any </w:t>
      </w:r>
      <w:r w:rsidR="00C14A8A">
        <w:t>work that was offered in the first place.</w:t>
      </w:r>
      <w:r w:rsidR="00D8354D" w:rsidRPr="00D8354D">
        <w:t xml:space="preserve"> </w:t>
      </w:r>
      <w:r w:rsidR="00D8354D">
        <w:t>Th</w:t>
      </w:r>
      <w:r w:rsidR="00ED0136">
        <w:t>at</w:t>
      </w:r>
      <w:r w:rsidR="00D8354D">
        <w:t xml:space="preserve"> is consistent with the description of the employment as “casual employment”.  </w:t>
      </w:r>
    </w:p>
    <w:p w:rsidR="00D8354D" w:rsidRDefault="00D00821" w:rsidP="00D00821">
      <w:pPr>
        <w:pStyle w:val="ParaNumbering"/>
      </w:pPr>
      <w:r>
        <w:t xml:space="preserve">The respondents </w:t>
      </w:r>
      <w:r w:rsidR="00667C37">
        <w:t xml:space="preserve">also </w:t>
      </w:r>
      <w:r>
        <w:t>rely upon</w:t>
      </w:r>
      <w:r w:rsidRPr="00247DCF">
        <w:t xml:space="preserve"> </w:t>
      </w:r>
      <w:r>
        <w:t xml:space="preserve">cl 6.2.3, which provides that, </w:t>
      </w:r>
      <w:r w:rsidR="00770C00">
        <w:t>“</w:t>
      </w:r>
      <w:r>
        <w:t>A casual employee shall be provided with a minimum of 4 hours</w:t>
      </w:r>
      <w:r w:rsidR="00ED139E">
        <w:t>’</w:t>
      </w:r>
      <w:r>
        <w:t xml:space="preserve"> work or pay per engagement</w:t>
      </w:r>
      <w:r w:rsidR="00770C00">
        <w:t>”</w:t>
      </w:r>
      <w:r>
        <w:t xml:space="preserve">, and, </w:t>
      </w:r>
      <w:r w:rsidR="00770C00">
        <w:t>“</w:t>
      </w:r>
      <w:r>
        <w:t>An employee may choose not to remain at work for the minimum engagement period by signing off early and will only be paid for the time worked</w:t>
      </w:r>
      <w:r w:rsidR="00770C00">
        <w:t>”</w:t>
      </w:r>
      <w:r w:rsidR="00C14A8A">
        <w:t xml:space="preserve">. </w:t>
      </w:r>
      <w:r w:rsidR="00ED0136">
        <w:t xml:space="preserve"> However, the </w:t>
      </w:r>
      <w:r w:rsidR="00C14A8A">
        <w:t xml:space="preserve">Commissioner submits that the clause </w:t>
      </w:r>
      <w:r w:rsidR="00232311">
        <w:t>indicates that</w:t>
      </w:r>
      <w:r w:rsidR="00C14A8A">
        <w:t xml:space="preserve"> t</w:t>
      </w:r>
      <w:r w:rsidR="00D8354D">
        <w:t>he employer is obliged to offer</w:t>
      </w:r>
      <w:r w:rsidR="00C14A8A">
        <w:t xml:space="preserve"> work</w:t>
      </w:r>
      <w:r w:rsidR="00D8354D">
        <w:t>, suggesting a corresponding obligation in the employee to accept work.</w:t>
      </w:r>
    </w:p>
    <w:p w:rsidR="00D8354D" w:rsidRDefault="00D00821" w:rsidP="003734F6">
      <w:pPr>
        <w:pStyle w:val="ParaNumbering"/>
      </w:pPr>
      <w:r>
        <w:t>In my opin</w:t>
      </w:r>
      <w:r w:rsidR="00D8354D">
        <w:t>ion, cl 6.2.3</w:t>
      </w:r>
      <w:r>
        <w:t xml:space="preserve"> does not </w:t>
      </w:r>
      <w:r w:rsidR="00D8354D">
        <w:t xml:space="preserve">create any obligation in the </w:t>
      </w:r>
      <w:r>
        <w:t xml:space="preserve">employer to offer work.  </w:t>
      </w:r>
      <w:r w:rsidR="00D8354D">
        <w:t xml:space="preserve">The words “per engagement” confirm that casual employees may be engaged to work from time to time. </w:t>
      </w:r>
      <w:r>
        <w:t xml:space="preserve">The clause means that if and when the employer offers an engagement of work, it must be for a minimum of four hours.  If the employee accepts the offer, he or she is not required to remain at work for the full hours offered and is only paid for the time worked.  If an employee, having accepted an offer of work, is not obliged to remain at work for the full hours offered, it is difficult to see how there could </w:t>
      </w:r>
      <w:r w:rsidR="00D8354D">
        <w:t xml:space="preserve">have been </w:t>
      </w:r>
      <w:r>
        <w:t>any obligation to accept</w:t>
      </w:r>
      <w:r w:rsidRPr="00692BFA">
        <w:t xml:space="preserve"> any</w:t>
      </w:r>
      <w:r>
        <w:t xml:space="preserve"> of the hours offered</w:t>
      </w:r>
      <w:r w:rsidR="004436DD">
        <w:t xml:space="preserve"> in the first place</w:t>
      </w:r>
      <w:r>
        <w:t xml:space="preserve">. </w:t>
      </w:r>
    </w:p>
    <w:p w:rsidR="00D00821" w:rsidRDefault="00D00821" w:rsidP="003734F6">
      <w:pPr>
        <w:pStyle w:val="ParaNumbering"/>
      </w:pPr>
      <w:r>
        <w:t xml:space="preserve">Nothing in </w:t>
      </w:r>
      <w:r w:rsidR="00F8529C">
        <w:t xml:space="preserve">the Enterprise Agreement </w:t>
      </w:r>
      <w:r>
        <w:t xml:space="preserve">obliges </w:t>
      </w:r>
      <w:r w:rsidR="00AC135F">
        <w:t>PJ Walsh Constructions</w:t>
      </w:r>
      <w:r w:rsidR="00D8354D">
        <w:t xml:space="preserve"> to offer its employees work</w:t>
      </w:r>
      <w:r>
        <w:t>.</w:t>
      </w:r>
      <w:r w:rsidR="004436DD">
        <w:t xml:space="preserve"> </w:t>
      </w:r>
      <w:r>
        <w:t xml:space="preserve"> </w:t>
      </w:r>
      <w:r w:rsidR="004436DD">
        <w:t xml:space="preserve">The </w:t>
      </w:r>
      <w:r>
        <w:t xml:space="preserve">absence of any obligation </w:t>
      </w:r>
      <w:r w:rsidR="004436DD">
        <w:t xml:space="preserve">in the employer </w:t>
      </w:r>
      <w:r>
        <w:t xml:space="preserve">to offer work is consistent with the absence of any obligation </w:t>
      </w:r>
      <w:r w:rsidR="004436DD">
        <w:t xml:space="preserve">in employees </w:t>
      </w:r>
      <w:r>
        <w:t xml:space="preserve">to accept work. </w:t>
      </w:r>
    </w:p>
    <w:p w:rsidR="00ED2907" w:rsidRDefault="00D00821" w:rsidP="00D00821">
      <w:pPr>
        <w:pStyle w:val="ParaNumbering"/>
      </w:pPr>
      <w:r>
        <w:t>In addition, under cl 6.2.2, c</w:t>
      </w:r>
      <w:r w:rsidRPr="00ED2907">
        <w:t xml:space="preserve">asual employees </w:t>
      </w:r>
      <w:r>
        <w:t xml:space="preserve">are </w:t>
      </w:r>
      <w:r w:rsidRPr="00ED2907">
        <w:t>paid an hourly rate</w:t>
      </w:r>
      <w:r w:rsidR="00374049">
        <w:t>,</w:t>
      </w:r>
      <w:r w:rsidRPr="00ED2907">
        <w:t xml:space="preserve"> </w:t>
      </w:r>
      <w:r w:rsidR="00770C00">
        <w:t>“</w:t>
      </w:r>
      <w:r>
        <w:t>to compensate for…</w:t>
      </w:r>
      <w:r w:rsidRPr="009D5D70">
        <w:t>annual leave, paid sick le</w:t>
      </w:r>
      <w:r>
        <w:t>ave, paid personal leave…</w:t>
      </w:r>
      <w:r w:rsidRPr="009D5D70">
        <w:t>paid public holidays, redundancy</w:t>
      </w:r>
      <w:r>
        <w:t>…</w:t>
      </w:r>
      <w:r w:rsidR="00770C00">
        <w:t>”</w:t>
      </w:r>
      <w:r>
        <w:t>.</w:t>
      </w:r>
      <w:r w:rsidRPr="009D5D70">
        <w:t xml:space="preserve"> </w:t>
      </w:r>
      <w:r>
        <w:t>The rate compensates for the absence or exclusion of entitlement to such benef</w:t>
      </w:r>
      <w:r w:rsidR="00D8354D">
        <w:t>its. Under the FW Act, full-time and part-time</w:t>
      </w:r>
      <w:r>
        <w:t xml:space="preserve"> employees are entitled to, and casual employees are excluded from, annual leave (s 86), personal/carer</w:t>
      </w:r>
      <w:r w:rsidR="00ED139E">
        <w:t>’</w:t>
      </w:r>
      <w:r>
        <w:t>s leave (s 95) and redundancy pay (s</w:t>
      </w:r>
      <w:r w:rsidR="001A4647">
        <w:t> </w:t>
      </w:r>
      <w:r>
        <w:t xml:space="preserve">123). These entitlements can only be excluded from the Enterprise Agreement </w:t>
      </w:r>
      <w:r w:rsidR="00374049">
        <w:t xml:space="preserve">(see s 61(1)) </w:t>
      </w:r>
      <w:r>
        <w:t xml:space="preserve">if the employees are </w:t>
      </w:r>
      <w:r w:rsidR="00770C00">
        <w:t>“</w:t>
      </w:r>
      <w:r>
        <w:t>casual employees</w:t>
      </w:r>
      <w:r w:rsidR="00770C00">
        <w:t>”</w:t>
      </w:r>
      <w:r>
        <w:t xml:space="preserve">, within the meaning of the FW Act. </w:t>
      </w:r>
      <w:r w:rsidR="00374049">
        <w:t xml:space="preserve"> </w:t>
      </w:r>
      <w:r>
        <w:t>Further, the hourly rate includes</w:t>
      </w:r>
      <w:r w:rsidRPr="00ED2907">
        <w:t xml:space="preserve"> a </w:t>
      </w:r>
      <w:r w:rsidR="00770C00">
        <w:t>“</w:t>
      </w:r>
      <w:r w:rsidRPr="00ED2907">
        <w:t>casual loading</w:t>
      </w:r>
      <w:r w:rsidR="00770C00">
        <w:t>”</w:t>
      </w:r>
      <w:r>
        <w:t xml:space="preserve"> to compensate for the absence of such leave and other entitlements</w:t>
      </w:r>
      <w:r w:rsidR="00F8529C">
        <w:t xml:space="preserve">: </w:t>
      </w:r>
      <w:proofErr w:type="spellStart"/>
      <w:r w:rsidR="00F8529C">
        <w:t>cf</w:t>
      </w:r>
      <w:proofErr w:type="spellEnd"/>
      <w:r w:rsidR="00F8529C">
        <w:t xml:space="preserve"> </w:t>
      </w:r>
      <w:r w:rsidR="00F8529C">
        <w:rPr>
          <w:i/>
        </w:rPr>
        <w:t xml:space="preserve">Skene </w:t>
      </w:r>
      <w:r w:rsidR="00F8529C">
        <w:t>at [</w:t>
      </w:r>
      <w:r w:rsidR="001A4647">
        <w:t>182</w:t>
      </w:r>
      <w:r w:rsidR="00F8529C">
        <w:t>]</w:t>
      </w:r>
      <w:r>
        <w:t>. In these respects, cl 6.2.2 is consis</w:t>
      </w:r>
      <w:r w:rsidR="00D8354D">
        <w:t xml:space="preserve">tent with the employees </w:t>
      </w:r>
      <w:r>
        <w:t>being casual employees</w:t>
      </w:r>
      <w:r w:rsidR="00D8354D">
        <w:t xml:space="preserve"> in the ordinary sense</w:t>
      </w:r>
      <w:r>
        <w:t>; and, as has been discussed, one of the ordinary characteristics of casual employment is the absence of any obligation on employees to accept work.</w:t>
      </w:r>
    </w:p>
    <w:p w:rsidR="00885D9A" w:rsidRDefault="00885D9A" w:rsidP="00AC3298">
      <w:pPr>
        <w:pStyle w:val="ParaNumbering"/>
      </w:pPr>
      <w:r>
        <w:lastRenderedPageBreak/>
        <w:t>However, t</w:t>
      </w:r>
      <w:r w:rsidR="00AC3298">
        <w:t xml:space="preserve">he Commissioner submits that a number of clauses in </w:t>
      </w:r>
      <w:r w:rsidR="001A4647">
        <w:t xml:space="preserve">the </w:t>
      </w:r>
      <w:r w:rsidR="00AC3298">
        <w:t xml:space="preserve">Enterprise Agreement </w:t>
      </w:r>
      <w:r w:rsidR="00524E89">
        <w:t>are inconsistent with</w:t>
      </w:r>
      <w:r w:rsidR="00AC3298">
        <w:t xml:space="preserve"> the proposition</w:t>
      </w:r>
      <w:r w:rsidR="008148E8">
        <w:t>s</w:t>
      </w:r>
      <w:r w:rsidR="00AC3298">
        <w:t xml:space="preserve"> that employees are </w:t>
      </w:r>
      <w:r w:rsidR="008148E8">
        <w:t>not obliged to accept work and</w:t>
      </w:r>
      <w:r w:rsidR="00BD3027">
        <w:t xml:space="preserve"> are </w:t>
      </w:r>
      <w:r w:rsidR="00AC3298">
        <w:t>only engaged fo</w:t>
      </w:r>
      <w:r w:rsidR="00D8354D">
        <w:t>r one hour at a time</w:t>
      </w:r>
      <w:r w:rsidR="00AC3298">
        <w:t xml:space="preserve">.  </w:t>
      </w:r>
    </w:p>
    <w:p w:rsidR="006321CF" w:rsidRDefault="00BD3027" w:rsidP="00A452EC">
      <w:pPr>
        <w:pStyle w:val="ParaNumbering"/>
      </w:pPr>
      <w:r>
        <w:t>The Commissioner relies on</w:t>
      </w:r>
      <w:r w:rsidR="00AC3298">
        <w:t xml:space="preserve"> </w:t>
      </w:r>
      <w:r w:rsidR="00885D9A">
        <w:t xml:space="preserve">the </w:t>
      </w:r>
      <w:r w:rsidR="003D7D96">
        <w:t xml:space="preserve">second </w:t>
      </w:r>
      <w:r w:rsidR="00885D9A">
        <w:t>sentence</w:t>
      </w:r>
      <w:r w:rsidR="00AC3298">
        <w:t xml:space="preserve">, </w:t>
      </w:r>
      <w:r w:rsidR="00770C00">
        <w:t>“</w:t>
      </w:r>
      <w:r w:rsidR="00AC3298">
        <w:t>A casual employee may</w:t>
      </w:r>
      <w:r w:rsidR="00885D9A">
        <w:t xml:space="preserve"> be engaged indefinitely</w:t>
      </w:r>
      <w:r w:rsidR="00770C00">
        <w:t>”</w:t>
      </w:r>
      <w:r w:rsidR="003D7D96">
        <w:t>, of</w:t>
      </w:r>
      <w:r w:rsidR="00524E89">
        <w:t xml:space="preserve"> cl 6.2.1</w:t>
      </w:r>
      <w:r w:rsidR="00885D9A">
        <w:t>.  The Commissioner</w:t>
      </w:r>
      <w:r w:rsidR="00AC3298">
        <w:t xml:space="preserve"> submit</w:t>
      </w:r>
      <w:r w:rsidR="00885D9A">
        <w:t>s</w:t>
      </w:r>
      <w:r w:rsidR="00AC3298">
        <w:t xml:space="preserve"> that this provision envisages the employment relationship as being one of indefinite</w:t>
      </w:r>
      <w:r>
        <w:t xml:space="preserve"> duration, rather than the hour-by-</w:t>
      </w:r>
      <w:r w:rsidR="00AC3298">
        <w:t xml:space="preserve">hour relationship contended for by the respondents.  </w:t>
      </w:r>
      <w:r w:rsidR="00A452EC">
        <w:t xml:space="preserve">However, as White J observed in </w:t>
      </w:r>
      <w:proofErr w:type="spellStart"/>
      <w:r w:rsidR="00A452EC">
        <w:rPr>
          <w:i/>
        </w:rPr>
        <w:t>Rossato</w:t>
      </w:r>
      <w:proofErr w:type="spellEnd"/>
      <w:r w:rsidR="00A452EC">
        <w:t xml:space="preserve"> at [412], a person may be engaged as a casual employee under a single continuing contract where engagements to perform work are intermittent or irregular. Further, t</w:t>
      </w:r>
      <w:r w:rsidR="00EA7BFB">
        <w:t>he Commissioner</w:t>
      </w:r>
      <w:r w:rsidR="00A452EC">
        <w:t>’s</w:t>
      </w:r>
      <w:r w:rsidR="00EA7BFB">
        <w:t xml:space="preserve"> submission proceeds on the basis</w:t>
      </w:r>
      <w:r w:rsidR="00542E4B">
        <w:t xml:space="preserve"> </w:t>
      </w:r>
      <w:r w:rsidR="00AC3298">
        <w:t xml:space="preserve">that cl 6.2.1 </w:t>
      </w:r>
      <w:r w:rsidR="00EA7BFB">
        <w:t>indicates that the e</w:t>
      </w:r>
      <w:r w:rsidR="00AC3298">
        <w:t xml:space="preserve">mployees </w:t>
      </w:r>
      <w:r w:rsidR="00AC3298" w:rsidRPr="00A452EC">
        <w:rPr>
          <w:i/>
        </w:rPr>
        <w:t xml:space="preserve">are </w:t>
      </w:r>
      <w:r w:rsidR="00EA7BFB">
        <w:t xml:space="preserve">engaged indefinitely, </w:t>
      </w:r>
      <w:r w:rsidR="00524E89">
        <w:t>when, in f</w:t>
      </w:r>
      <w:r w:rsidR="001D5EF3">
        <w:t>a</w:t>
      </w:r>
      <w:r w:rsidR="004E3080">
        <w:t>ct</w:t>
      </w:r>
      <w:r w:rsidR="00524E89">
        <w:t xml:space="preserve">, </w:t>
      </w:r>
      <w:r w:rsidR="00EA7BFB">
        <w:t>t</w:t>
      </w:r>
      <w:r w:rsidR="00AC3298">
        <w:t>he words used are</w:t>
      </w:r>
      <w:r w:rsidR="00524E89">
        <w:t>,</w:t>
      </w:r>
      <w:r w:rsidR="00AC3298">
        <w:t xml:space="preserve"> </w:t>
      </w:r>
      <w:r w:rsidR="00770C00">
        <w:t>“</w:t>
      </w:r>
      <w:r w:rsidR="00AC3298" w:rsidRPr="00A452EC">
        <w:rPr>
          <w:i/>
        </w:rPr>
        <w:t>may be</w:t>
      </w:r>
      <w:r w:rsidR="00EA7BFB">
        <w:t xml:space="preserve"> </w:t>
      </w:r>
      <w:r w:rsidR="006321CF">
        <w:t>engaged indefinitely</w:t>
      </w:r>
      <w:r w:rsidR="00770C00">
        <w:t>”</w:t>
      </w:r>
      <w:r w:rsidR="00AC3298">
        <w:t xml:space="preserve">.  </w:t>
      </w:r>
      <w:r w:rsidR="003D7D96">
        <w:t>The clause recognises that the engagements of an employee may continu</w:t>
      </w:r>
      <w:r w:rsidR="00A452EC">
        <w:t xml:space="preserve">e over an indefinite period, but </w:t>
      </w:r>
      <w:r w:rsidR="008F5D92">
        <w:t>indica</w:t>
      </w:r>
      <w:r w:rsidR="008148E8">
        <w:t>te</w:t>
      </w:r>
      <w:r w:rsidR="003D7D96">
        <w:t>s</w:t>
      </w:r>
      <w:r w:rsidR="008148E8">
        <w:t xml:space="preserve"> that </w:t>
      </w:r>
      <w:r w:rsidR="003D7D96">
        <w:t xml:space="preserve">such </w:t>
      </w:r>
      <w:r w:rsidR="008148E8">
        <w:t>an employee is still a casual</w:t>
      </w:r>
      <w:r w:rsidR="006321CF">
        <w:t>.</w:t>
      </w:r>
      <w:r w:rsidR="006321CF" w:rsidRPr="006321CF">
        <w:t xml:space="preserve"> </w:t>
      </w:r>
      <w:r w:rsidR="008148E8">
        <w:t xml:space="preserve">Its purpose </w:t>
      </w:r>
      <w:r w:rsidR="00D8354D">
        <w:t xml:space="preserve">may </w:t>
      </w:r>
      <w:r w:rsidR="008148E8">
        <w:t xml:space="preserve">be to </w:t>
      </w:r>
      <w:r w:rsidR="003D7D96">
        <w:t xml:space="preserve">attempt to </w:t>
      </w:r>
      <w:r w:rsidR="008148E8">
        <w:t xml:space="preserve">avoid </w:t>
      </w:r>
      <w:r w:rsidR="003D7D96">
        <w:t xml:space="preserve">the transformation of </w:t>
      </w:r>
      <w:r w:rsidR="006321CF">
        <w:t>casual</w:t>
      </w:r>
      <w:r w:rsidR="00E80DE9">
        <w:t xml:space="preserve"> employment</w:t>
      </w:r>
      <w:r w:rsidR="0017301D">
        <w:t xml:space="preserve"> into</w:t>
      </w:r>
      <w:r w:rsidR="00E80DE9">
        <w:t xml:space="preserve"> </w:t>
      </w:r>
      <w:r w:rsidR="008F5D92">
        <w:t xml:space="preserve">permanent </w:t>
      </w:r>
      <w:r w:rsidR="00F1708A">
        <w:t>employment</w:t>
      </w:r>
      <w:r w:rsidR="00E80DE9">
        <w:t xml:space="preserve"> </w:t>
      </w:r>
      <w:r w:rsidR="008148E8">
        <w:t xml:space="preserve">when </w:t>
      </w:r>
      <w:r w:rsidR="00A452EC">
        <w:t xml:space="preserve">the employment relationship continues </w:t>
      </w:r>
      <w:r w:rsidR="008148E8">
        <w:t>over a lengthy time</w:t>
      </w:r>
      <w:r w:rsidR="00F1708A">
        <w:t>,</w:t>
      </w:r>
      <w:r w:rsidR="006321CF">
        <w:t xml:space="preserve"> a process described in </w:t>
      </w:r>
      <w:r w:rsidR="006321CF" w:rsidRPr="00A452EC">
        <w:rPr>
          <w:i/>
        </w:rPr>
        <w:t>Skene</w:t>
      </w:r>
      <w:r w:rsidR="006321CF">
        <w:t xml:space="preserve"> at [178] as follows:</w:t>
      </w:r>
    </w:p>
    <w:p w:rsidR="006321CF" w:rsidRDefault="0027646B" w:rsidP="0027646B">
      <w:pPr>
        <w:pStyle w:val="Quote1"/>
      </w:pPr>
      <w:r w:rsidRPr="0027646B">
        <w:t xml:space="preserve">What is agreed to at the commencement of </w:t>
      </w:r>
      <w:r w:rsidR="001A4647">
        <w:t xml:space="preserve">an </w:t>
      </w:r>
      <w:r w:rsidRPr="0027646B">
        <w:t>employment is relevant to the characterisation process, but an employment which commences as casual employment may become full-time or part-time because its characteristics have come to reflect those of an ongoing part-time or full-time employment.</w:t>
      </w:r>
    </w:p>
    <w:p w:rsidR="00AC3298" w:rsidRDefault="003D7D96" w:rsidP="00F1708A">
      <w:pPr>
        <w:pStyle w:val="ParaNumbering"/>
      </w:pPr>
      <w:r>
        <w:t>I do not accept the Commissioner</w:t>
      </w:r>
      <w:r w:rsidR="00ED139E">
        <w:t>’</w:t>
      </w:r>
      <w:r>
        <w:t xml:space="preserve"> submission that</w:t>
      </w:r>
      <w:r w:rsidR="0017301D">
        <w:t xml:space="preserve"> cl</w:t>
      </w:r>
      <w:r w:rsidR="006321CF">
        <w:t xml:space="preserve"> 6.2.1</w:t>
      </w:r>
      <w:r w:rsidR="0017301D">
        <w:t xml:space="preserve"> indicate</w:t>
      </w:r>
      <w:r w:rsidR="00A452EC">
        <w:t>s</w:t>
      </w:r>
      <w:r w:rsidR="0017301D">
        <w:t xml:space="preserve"> that the employment is</w:t>
      </w:r>
      <w:r w:rsidR="00A452EC">
        <w:t xml:space="preserve"> permanent employment </w:t>
      </w:r>
      <w:r w:rsidR="00D83AE3">
        <w:t xml:space="preserve">involving </w:t>
      </w:r>
      <w:r w:rsidR="00A452EC">
        <w:t>corresponding</w:t>
      </w:r>
      <w:r w:rsidR="0017301D">
        <w:t xml:space="preserve"> obligation</w:t>
      </w:r>
      <w:r w:rsidR="00A452EC">
        <w:t>s to provide and</w:t>
      </w:r>
      <w:r w:rsidR="008148E8">
        <w:t xml:space="preserve"> accept work</w:t>
      </w:r>
      <w:r w:rsidR="0017301D">
        <w:t>.</w:t>
      </w:r>
    </w:p>
    <w:p w:rsidR="00542E4B" w:rsidRDefault="00F1708A" w:rsidP="00AC3298">
      <w:pPr>
        <w:pStyle w:val="ParaNumbering"/>
      </w:pPr>
      <w:r>
        <w:t xml:space="preserve">The Commissioner </w:t>
      </w:r>
      <w:r w:rsidR="00AC3298">
        <w:t xml:space="preserve">relies upon </w:t>
      </w:r>
      <w:r w:rsidR="001A4647">
        <w:t xml:space="preserve">the </w:t>
      </w:r>
      <w:r w:rsidR="00AC3298">
        <w:t xml:space="preserve">second sentence of cl 6.1.1 which states that, </w:t>
      </w:r>
      <w:r w:rsidR="00770C00">
        <w:t>“</w:t>
      </w:r>
      <w:r w:rsidR="00AC3298">
        <w:t>An employee absent without cont</w:t>
      </w:r>
      <w:r w:rsidR="001D5EF3">
        <w:t>a</w:t>
      </w:r>
      <w:r w:rsidR="004E3080">
        <w:t>ct</w:t>
      </w:r>
      <w:r w:rsidR="00542E4B">
        <w:t>ing the company office for 3</w:t>
      </w:r>
      <w:r w:rsidR="00AC3298">
        <w:t xml:space="preserve"> successive working days is deemed to have abandoned their employment</w:t>
      </w:r>
      <w:r w:rsidR="00770C00">
        <w:t>”</w:t>
      </w:r>
      <w:r w:rsidR="00AC3298">
        <w:t xml:space="preserve">.  The Commissioner submits that the phrase </w:t>
      </w:r>
      <w:r w:rsidR="00770C00">
        <w:t>“</w:t>
      </w:r>
      <w:r w:rsidR="00AC3298">
        <w:t>working day</w:t>
      </w:r>
      <w:r w:rsidR="00542E4B">
        <w:t>s</w:t>
      </w:r>
      <w:r w:rsidR="00770C00">
        <w:t>”</w:t>
      </w:r>
      <w:r w:rsidR="00AC3298">
        <w:t xml:space="preserve"> is</w:t>
      </w:r>
      <w:r w:rsidR="00542E4B">
        <w:t xml:space="preserve"> inconsistent with the argument</w:t>
      </w:r>
      <w:r w:rsidR="00AC3298">
        <w:t xml:space="preserve"> that employees are only engaged by the hour.  The Commissioner also submits </w:t>
      </w:r>
      <w:r w:rsidR="001A4647">
        <w:t xml:space="preserve">that </w:t>
      </w:r>
      <w:r w:rsidR="00AC3298">
        <w:t>the requirement for employee</w:t>
      </w:r>
      <w:r w:rsidR="00523202">
        <w:t>s</w:t>
      </w:r>
      <w:r w:rsidR="00AC3298">
        <w:t xml:space="preserve"> to </w:t>
      </w:r>
      <w:r w:rsidR="00770C00">
        <w:t>“</w:t>
      </w:r>
      <w:r w:rsidR="00AC3298">
        <w:t>cont</w:t>
      </w:r>
      <w:r w:rsidR="001D5EF3">
        <w:t>a</w:t>
      </w:r>
      <w:r w:rsidR="004E3080">
        <w:t>ct</w:t>
      </w:r>
      <w:r w:rsidR="00AC3298">
        <w:t xml:space="preserve"> the company office</w:t>
      </w:r>
      <w:r w:rsidR="00770C00">
        <w:t>”</w:t>
      </w:r>
      <w:r w:rsidR="00AC3298">
        <w:t xml:space="preserve"> is inconsistent with an argument</w:t>
      </w:r>
      <w:r w:rsidR="00542E4B">
        <w:t xml:space="preserve"> </w:t>
      </w:r>
      <w:r w:rsidR="005F4B1C">
        <w:t xml:space="preserve">attributed to </w:t>
      </w:r>
      <w:r w:rsidR="00542E4B">
        <w:t xml:space="preserve">the respondents </w:t>
      </w:r>
      <w:r w:rsidR="00AC3298">
        <w:t>that</w:t>
      </w:r>
      <w:r w:rsidR="00542E4B">
        <w:t xml:space="preserve"> there is no obligation on e</w:t>
      </w:r>
      <w:r w:rsidR="00AC3298">
        <w:t xml:space="preserve">mployees to notify </w:t>
      </w:r>
      <w:r w:rsidR="00AC135F">
        <w:t>PJ Walsh Constructions</w:t>
      </w:r>
      <w:r w:rsidR="00AC3298">
        <w:t xml:space="preserve"> if they are not going to attend a shift.  </w:t>
      </w:r>
      <w:r w:rsidR="00D00821">
        <w:t>T</w:t>
      </w:r>
      <w:r w:rsidR="005F4B1C">
        <w:t>he Commissioner may also be arguing that the purpose of the clause is to faci</w:t>
      </w:r>
      <w:r w:rsidR="001D5EF3">
        <w:t>litate termination of the contra</w:t>
      </w:r>
      <w:r w:rsidR="004E3080">
        <w:t>ct</w:t>
      </w:r>
      <w:r w:rsidR="00A452EC">
        <w:t xml:space="preserve"> of employment</w:t>
      </w:r>
      <w:r w:rsidR="005F4B1C">
        <w:t>, whereas that would be unnecessary if the employer is entitled to decline to offer work.</w:t>
      </w:r>
    </w:p>
    <w:p w:rsidR="00AC3298" w:rsidRDefault="00A452EC" w:rsidP="00C941B2">
      <w:pPr>
        <w:pStyle w:val="ParaNumbering"/>
      </w:pPr>
      <w:r>
        <w:t>It may be observed that</w:t>
      </w:r>
      <w:r w:rsidR="00542E4B">
        <w:t xml:space="preserve"> </w:t>
      </w:r>
      <w:r w:rsidR="00632A55">
        <w:t xml:space="preserve">the </w:t>
      </w:r>
      <w:r w:rsidR="00542E4B">
        <w:t xml:space="preserve">second </w:t>
      </w:r>
      <w:r w:rsidR="00AC3298">
        <w:t xml:space="preserve">sentence </w:t>
      </w:r>
      <w:r w:rsidR="00542E4B">
        <w:t xml:space="preserve">of cl 6.1.1 </w:t>
      </w:r>
      <w:r w:rsidR="00B2530C">
        <w:t xml:space="preserve">applies </w:t>
      </w:r>
      <w:r>
        <w:t xml:space="preserve">only </w:t>
      </w:r>
      <w:r w:rsidR="00B2530C">
        <w:t xml:space="preserve">where the employee is absent </w:t>
      </w:r>
      <w:r w:rsidR="00B2530C" w:rsidRPr="00A452EC">
        <w:rPr>
          <w:i/>
        </w:rPr>
        <w:t xml:space="preserve">without </w:t>
      </w:r>
      <w:r w:rsidR="00B2530C">
        <w:t>cont</w:t>
      </w:r>
      <w:r w:rsidR="001D5EF3">
        <w:t>a</w:t>
      </w:r>
      <w:r w:rsidR="004E3080">
        <w:t>ct</w:t>
      </w:r>
      <w:r w:rsidR="00B2530C">
        <w:t xml:space="preserve">ing the </w:t>
      </w:r>
      <w:r w:rsidR="00AC135F">
        <w:t>PJ Walsh Constructions</w:t>
      </w:r>
      <w:r w:rsidR="00DB469E">
        <w:t xml:space="preserve"> </w:t>
      </w:r>
      <w:r w:rsidR="00B2530C">
        <w:t xml:space="preserve">office, not where the employee is absent </w:t>
      </w:r>
      <w:r w:rsidR="00B2530C" w:rsidRPr="00A452EC">
        <w:rPr>
          <w:i/>
        </w:rPr>
        <w:lastRenderedPageBreak/>
        <w:t xml:space="preserve">after </w:t>
      </w:r>
      <w:r w:rsidR="00B2530C">
        <w:t>cont</w:t>
      </w:r>
      <w:r w:rsidR="001D5EF3">
        <w:t>a</w:t>
      </w:r>
      <w:r w:rsidR="004E3080">
        <w:t>ct</w:t>
      </w:r>
      <w:r w:rsidR="00B2530C">
        <w:t xml:space="preserve">ing the office. I accept that the clause </w:t>
      </w:r>
      <w:r w:rsidR="00AC3298">
        <w:t>reflect</w:t>
      </w:r>
      <w:r w:rsidR="00542E4B">
        <w:t>s</w:t>
      </w:r>
      <w:r w:rsidR="00AC3298">
        <w:t xml:space="preserve"> an expectation t</w:t>
      </w:r>
      <w:r w:rsidR="005F4B1C">
        <w:t>hat if an employee does not intend</w:t>
      </w:r>
      <w:r w:rsidR="00AC3298">
        <w:t xml:space="preserve"> to take up an offer of employ</w:t>
      </w:r>
      <w:r w:rsidR="00542E4B">
        <w:t>ment for a particular day, the e</w:t>
      </w:r>
      <w:r w:rsidR="00AC3298">
        <w:t xml:space="preserve">mployee </w:t>
      </w:r>
      <w:r w:rsidR="00B2530C">
        <w:t xml:space="preserve">will </w:t>
      </w:r>
      <w:r w:rsidR="00AC3298">
        <w:t>cont</w:t>
      </w:r>
      <w:r w:rsidR="001D5EF3">
        <w:t>a</w:t>
      </w:r>
      <w:r w:rsidR="004E3080">
        <w:t>ct</w:t>
      </w:r>
      <w:r w:rsidR="00AC3298">
        <w:t xml:space="preserve"> </w:t>
      </w:r>
      <w:r w:rsidR="00632A55">
        <w:t xml:space="preserve">the </w:t>
      </w:r>
      <w:r w:rsidR="00542E4B">
        <w:t xml:space="preserve">office </w:t>
      </w:r>
      <w:r w:rsidR="005F4B1C">
        <w:t xml:space="preserve">to let </w:t>
      </w:r>
      <w:r w:rsidR="0027646B">
        <w:t xml:space="preserve">the employer </w:t>
      </w:r>
      <w:r w:rsidR="005F4B1C">
        <w:t>know.  Seen in that light</w:t>
      </w:r>
      <w:r w:rsidR="00542E4B">
        <w:t>,</w:t>
      </w:r>
      <w:r w:rsidR="00AC3298">
        <w:t xml:space="preserve"> </w:t>
      </w:r>
      <w:r w:rsidR="00770C00">
        <w:t>“</w:t>
      </w:r>
      <w:r w:rsidR="00AC3298">
        <w:t>a work</w:t>
      </w:r>
      <w:r w:rsidR="0017301D">
        <w:t>ing day</w:t>
      </w:r>
      <w:r w:rsidR="00770C00">
        <w:t>”</w:t>
      </w:r>
      <w:r w:rsidR="0017301D">
        <w:t xml:space="preserve"> is a simply a day </w:t>
      </w:r>
      <w:r w:rsidR="005F4B1C">
        <w:t xml:space="preserve">for </w:t>
      </w:r>
      <w:r w:rsidR="00542E4B">
        <w:t>which the e</w:t>
      </w:r>
      <w:r w:rsidR="00AC3298">
        <w:t>mployee is offered employment</w:t>
      </w:r>
      <w:r w:rsidR="00542E4B">
        <w:t xml:space="preserve">, rather than </w:t>
      </w:r>
      <w:r w:rsidR="0017301D">
        <w:t xml:space="preserve">providing </w:t>
      </w:r>
      <w:r w:rsidR="00542E4B">
        <w:t>any indication that empl</w:t>
      </w:r>
      <w:r w:rsidR="0017301D">
        <w:t>oyees are engaged by the day</w:t>
      </w:r>
      <w:r w:rsidR="00DB469E">
        <w:t xml:space="preserve">. </w:t>
      </w:r>
      <w:r>
        <w:t xml:space="preserve">The </w:t>
      </w:r>
      <w:r w:rsidR="00AC3298">
        <w:t>Enterpr</w:t>
      </w:r>
      <w:r w:rsidR="005E6256">
        <w:t xml:space="preserve">ise Agreement </w:t>
      </w:r>
      <w:r w:rsidR="00DB469E">
        <w:t xml:space="preserve">contemplates </w:t>
      </w:r>
      <w:r w:rsidR="00B2530C">
        <w:t>a</w:t>
      </w:r>
      <w:r w:rsidR="00DB469E">
        <w:t>n ongoing</w:t>
      </w:r>
      <w:r w:rsidR="00A61EF3">
        <w:t xml:space="preserve"> relationship </w:t>
      </w:r>
      <w:r w:rsidR="00DB469E">
        <w:t xml:space="preserve">between engagements </w:t>
      </w:r>
      <w:r>
        <w:t>involving</w:t>
      </w:r>
      <w:r w:rsidR="00DB469E">
        <w:t xml:space="preserve"> </w:t>
      </w:r>
      <w:r w:rsidR="00C941B2">
        <w:t>some obligations and</w:t>
      </w:r>
      <w:r w:rsidR="005E6256">
        <w:t xml:space="preserve"> </w:t>
      </w:r>
      <w:r w:rsidR="00B2530C">
        <w:t>rights</w:t>
      </w:r>
      <w:r>
        <w:t xml:space="preserve"> between the employe</w:t>
      </w:r>
      <w:r w:rsidR="00632A55">
        <w:t>r</w:t>
      </w:r>
      <w:r>
        <w:t xml:space="preserve"> and employees</w:t>
      </w:r>
      <w:r w:rsidR="00BA79E7">
        <w:t xml:space="preserve">. </w:t>
      </w:r>
      <w:r>
        <w:t xml:space="preserve">That is consistent with </w:t>
      </w:r>
      <w:r w:rsidR="0027646B">
        <w:t xml:space="preserve">the definition of “employee” in </w:t>
      </w:r>
      <w:proofErr w:type="spellStart"/>
      <w:r w:rsidR="0027646B">
        <w:t>ss</w:t>
      </w:r>
      <w:proofErr w:type="spellEnd"/>
      <w:r w:rsidR="0027646B">
        <w:t xml:space="preserve"> 13 and 133 of the FW Act </w:t>
      </w:r>
      <w:r>
        <w:t>as including</w:t>
      </w:r>
      <w:r w:rsidR="0027646B">
        <w:t xml:space="preserve"> employee</w:t>
      </w:r>
      <w:r>
        <w:t>s who are</w:t>
      </w:r>
      <w:r w:rsidR="0027646B">
        <w:t xml:space="preserve"> “usually employed”</w:t>
      </w:r>
      <w:r>
        <w:t>. So</w:t>
      </w:r>
      <w:r w:rsidR="0027646B">
        <w:t xml:space="preserve"> </w:t>
      </w:r>
      <w:r w:rsidR="00DF4E0E">
        <w:t xml:space="preserve">for </w:t>
      </w:r>
      <w:r w:rsidR="00BA79E7">
        <w:t>example, under cl 19</w:t>
      </w:r>
      <w:r w:rsidR="00632A55">
        <w:t xml:space="preserve"> of the Enterprise Agreement</w:t>
      </w:r>
      <w:r w:rsidR="00BA79E7">
        <w:t>, the employer commits to providing</w:t>
      </w:r>
      <w:r w:rsidR="00C941B2">
        <w:t xml:space="preserve"> e</w:t>
      </w:r>
      <w:r w:rsidR="00BA79E7">
        <w:t>mployees with</w:t>
      </w:r>
      <w:r w:rsidR="00DB469E">
        <w:t xml:space="preserve"> structured training and skill development</w:t>
      </w:r>
      <w:r w:rsidR="00D00821">
        <w:t>,</w:t>
      </w:r>
      <w:r w:rsidR="00D00821" w:rsidRPr="00D00821">
        <w:t xml:space="preserve"> </w:t>
      </w:r>
      <w:r w:rsidR="00D00821">
        <w:t>including</w:t>
      </w:r>
      <w:r w:rsidR="00D00821" w:rsidRPr="00B77457">
        <w:t xml:space="preserve"> through appropriate structured training based on nationally accredi</w:t>
      </w:r>
      <w:r w:rsidR="00D00821">
        <w:t>ted competencies and curriculum</w:t>
      </w:r>
      <w:r w:rsidR="00BA79E7">
        <w:t>. When the employee is deemed to abandon his or her employment, t</w:t>
      </w:r>
      <w:r w:rsidR="00BA79E7" w:rsidRPr="00BA79E7">
        <w:t xml:space="preserve">he </w:t>
      </w:r>
      <w:r w:rsidR="005F4B1C">
        <w:t xml:space="preserve">employer is entitled to terminate the </w:t>
      </w:r>
      <w:r w:rsidR="00BA79E7" w:rsidRPr="00BA79E7">
        <w:t>employment relationship</w:t>
      </w:r>
      <w:r w:rsidR="005F4B1C">
        <w:t xml:space="preserve"> </w:t>
      </w:r>
      <w:r w:rsidR="00192527">
        <w:t xml:space="preserve">for renunciation, </w:t>
      </w:r>
      <w:r w:rsidR="005F4B1C">
        <w:t xml:space="preserve">and </w:t>
      </w:r>
      <w:r w:rsidR="00AC0DFC">
        <w:t xml:space="preserve">otherwise ongoing </w:t>
      </w:r>
      <w:r w:rsidR="00C941B2">
        <w:t xml:space="preserve">obligations </w:t>
      </w:r>
      <w:r w:rsidR="00AC0DFC">
        <w:t xml:space="preserve">like </w:t>
      </w:r>
      <w:r w:rsidR="00DB469E">
        <w:t xml:space="preserve">providing </w:t>
      </w:r>
      <w:r w:rsidR="00C941B2">
        <w:t>training course</w:t>
      </w:r>
      <w:r w:rsidR="00DB469E">
        <w:t>s</w:t>
      </w:r>
      <w:r w:rsidR="005F4B1C">
        <w:t xml:space="preserve"> come</w:t>
      </w:r>
      <w:r w:rsidR="00BA79E7" w:rsidRPr="00BA79E7">
        <w:t xml:space="preserve"> to an end. </w:t>
      </w:r>
      <w:r w:rsidR="00E80DE9">
        <w:t>I do not accept that the clause is inconsi</w:t>
      </w:r>
      <w:r w:rsidR="005F4B1C">
        <w:t>stent with the</w:t>
      </w:r>
      <w:r w:rsidR="00E80DE9">
        <w:t xml:space="preserve"> right </w:t>
      </w:r>
      <w:r w:rsidR="005F4B1C">
        <w:t xml:space="preserve">of </w:t>
      </w:r>
      <w:r w:rsidR="00192527">
        <w:t xml:space="preserve">casual </w:t>
      </w:r>
      <w:r w:rsidR="005F4B1C">
        <w:t xml:space="preserve">employees </w:t>
      </w:r>
      <w:r w:rsidR="00E80DE9">
        <w:t>to refuse employment.</w:t>
      </w:r>
    </w:p>
    <w:p w:rsidR="007623AF" w:rsidRDefault="007623AF" w:rsidP="007623AF">
      <w:pPr>
        <w:pStyle w:val="ParaNumbering"/>
      </w:pPr>
      <w:r>
        <w:t>Clause 14 provides:</w:t>
      </w:r>
    </w:p>
    <w:p w:rsidR="007623AF" w:rsidRPr="009F316A" w:rsidRDefault="007623AF" w:rsidP="007623AF">
      <w:pPr>
        <w:pStyle w:val="Quote1"/>
        <w:rPr>
          <w:b/>
        </w:rPr>
      </w:pPr>
      <w:r w:rsidRPr="009F316A">
        <w:rPr>
          <w:b/>
        </w:rPr>
        <w:t>14</w:t>
      </w:r>
      <w:r>
        <w:rPr>
          <w:b/>
        </w:rPr>
        <w:tab/>
      </w:r>
      <w:r w:rsidRPr="009F316A">
        <w:rPr>
          <w:b/>
        </w:rPr>
        <w:t>HOURS OF WORK</w:t>
      </w:r>
    </w:p>
    <w:p w:rsidR="007623AF" w:rsidRDefault="007623AF" w:rsidP="007623AF">
      <w:pPr>
        <w:pStyle w:val="Quote1"/>
      </w:pPr>
      <w:r>
        <w:t>14.1</w:t>
      </w:r>
      <w:r>
        <w:tab/>
        <w:t>Ordinary Hours</w:t>
      </w:r>
    </w:p>
    <w:p w:rsidR="007623AF" w:rsidRDefault="007623AF" w:rsidP="007623AF">
      <w:pPr>
        <w:pStyle w:val="Quote2"/>
      </w:pPr>
      <w:r>
        <w:t>The normal working hours for a casual employee shall be up to 38 hours per week Monday to Saturday.</w:t>
      </w:r>
    </w:p>
    <w:p w:rsidR="007623AF" w:rsidRDefault="007623AF" w:rsidP="007623AF">
      <w:pPr>
        <w:pStyle w:val="Quote1"/>
        <w:ind w:left="1440" w:hanging="703"/>
      </w:pPr>
      <w:r>
        <w:t>14.2</w:t>
      </w:r>
      <w:r>
        <w:tab/>
        <w:t xml:space="preserve">The parties agree, that normal working hours will be 5.30 am to 5.30 pm however, that having </w:t>
      </w:r>
      <w:r w:rsidR="00F24D4D">
        <w:t xml:space="preserve">Regard </w:t>
      </w:r>
      <w:r>
        <w:t>for the nature of construction works, starting and finishing times may be set by the employer on a day to day basi</w:t>
      </w:r>
      <w:r w:rsidR="00535D75">
        <w:t>s</w:t>
      </w:r>
      <w:r w:rsidR="00F24D4D">
        <w:t>.</w:t>
      </w:r>
      <w:r w:rsidR="00535D75">
        <w:t xml:space="preserve"> Early starts are common i</w:t>
      </w:r>
      <w:r>
        <w:t xml:space="preserve">n the Industry and employees may be </w:t>
      </w:r>
      <w:r w:rsidR="00F24D4D">
        <w:t xml:space="preserve">Asked </w:t>
      </w:r>
      <w:r>
        <w:t>to start early due to the particular project requirements and associated travelling time.</w:t>
      </w:r>
    </w:p>
    <w:p w:rsidR="007623AF" w:rsidRDefault="00535D75" w:rsidP="000A2FC7">
      <w:pPr>
        <w:pStyle w:val="Quote1"/>
        <w:keepNext/>
        <w:keepLines/>
        <w:ind w:left="1440" w:hanging="703"/>
      </w:pPr>
      <w:r>
        <w:t>…</w:t>
      </w:r>
    </w:p>
    <w:p w:rsidR="007623AF" w:rsidRPr="007D750F" w:rsidRDefault="000A2FC7" w:rsidP="000A2FC7">
      <w:pPr>
        <w:pStyle w:val="Quote1"/>
        <w:keepNext/>
        <w:keepLines/>
        <w:rPr>
          <w:highlight w:val="yellow"/>
        </w:rPr>
      </w:pPr>
      <w:r w:rsidRPr="000A2FC7">
        <w:t>14.4</w:t>
      </w:r>
      <w:r w:rsidRPr="000A2FC7">
        <w:tab/>
        <w:t>Rostered days offs are not applicable to Casual Employees</w:t>
      </w:r>
      <w:r w:rsidR="00F24D4D">
        <w:t>.</w:t>
      </w:r>
    </w:p>
    <w:p w:rsidR="00AC3298" w:rsidRDefault="00AC3298" w:rsidP="00AC3298">
      <w:pPr>
        <w:pStyle w:val="ParaNumbering"/>
      </w:pPr>
      <w:r>
        <w:t>T</w:t>
      </w:r>
      <w:r w:rsidR="007623AF">
        <w:t>he Commissioner submits that the</w:t>
      </w:r>
      <w:r>
        <w:t xml:space="preserve"> referenc</w:t>
      </w:r>
      <w:r w:rsidR="00F34715">
        <w:t>e in</w:t>
      </w:r>
      <w:r w:rsidR="00F34715" w:rsidRPr="00F34715">
        <w:t xml:space="preserve"> </w:t>
      </w:r>
      <w:r w:rsidR="00F34715">
        <w:t xml:space="preserve">cl 14.1 </w:t>
      </w:r>
      <w:r>
        <w:t>to</w:t>
      </w:r>
      <w:r w:rsidR="007623AF">
        <w:t xml:space="preserve"> </w:t>
      </w:r>
      <w:r w:rsidR="00770C00">
        <w:t>“</w:t>
      </w:r>
      <w:r w:rsidR="007623AF">
        <w:t>normal working hours</w:t>
      </w:r>
      <w:r w:rsidR="00770C00">
        <w:t>”</w:t>
      </w:r>
      <w:r w:rsidR="007623AF">
        <w:t xml:space="preserve"> is to a normal </w:t>
      </w:r>
      <w:r>
        <w:t>pattern of hours</w:t>
      </w:r>
      <w:r w:rsidR="00F34715">
        <w:t>, and that</w:t>
      </w:r>
      <w:r>
        <w:t xml:space="preserve"> is inconsistent with the </w:t>
      </w:r>
      <w:r w:rsidR="005E6256">
        <w:t>concept of casual employment, let alone an hour-by-</w:t>
      </w:r>
      <w:r w:rsidR="007623AF">
        <w:t>hour engagement</w:t>
      </w:r>
      <w:r>
        <w:t xml:space="preserve">. </w:t>
      </w:r>
      <w:r w:rsidR="007623AF">
        <w:t xml:space="preserve">However, the </w:t>
      </w:r>
      <w:r w:rsidR="00E80DE9">
        <w:t>clause states</w:t>
      </w:r>
      <w:r>
        <w:t xml:space="preserve"> only that the</w:t>
      </w:r>
      <w:r w:rsidR="005F4B1C">
        <w:t xml:space="preserve"> normal working hours shall</w:t>
      </w:r>
      <w:r w:rsidR="005E6256">
        <w:t xml:space="preserve"> be</w:t>
      </w:r>
      <w:r w:rsidR="00F34715">
        <w:t>,</w:t>
      </w:r>
      <w:r w:rsidR="005E6256">
        <w:t xml:space="preserve"> </w:t>
      </w:r>
      <w:r w:rsidR="00770C00">
        <w:t>“</w:t>
      </w:r>
      <w:r w:rsidR="005E6256">
        <w:t>u</w:t>
      </w:r>
      <w:r>
        <w:t>p to 38 hours per week</w:t>
      </w:r>
      <w:r w:rsidR="00770C00">
        <w:t>”</w:t>
      </w:r>
      <w:r>
        <w:t xml:space="preserve">.  </w:t>
      </w:r>
      <w:r w:rsidR="007623AF">
        <w:t xml:space="preserve">It indicates that </w:t>
      </w:r>
      <w:r>
        <w:t>normal</w:t>
      </w:r>
      <w:r w:rsidR="007623AF">
        <w:t>ly</w:t>
      </w:r>
      <w:r>
        <w:t xml:space="preserve"> </w:t>
      </w:r>
      <w:r w:rsidR="007623AF">
        <w:t xml:space="preserve">there will be </w:t>
      </w:r>
      <w:r>
        <w:t xml:space="preserve">no more than 38 hours </w:t>
      </w:r>
      <w:r w:rsidR="00F24D4D">
        <w:t xml:space="preserve">of </w:t>
      </w:r>
      <w:r w:rsidR="007623AF">
        <w:t xml:space="preserve">work </w:t>
      </w:r>
      <w:r>
        <w:t>per week. It does not, contrary to the Commissioner</w:t>
      </w:r>
      <w:r w:rsidR="00ED139E">
        <w:t>’</w:t>
      </w:r>
      <w:r>
        <w:t>s submission,</w:t>
      </w:r>
      <w:r w:rsidR="005E6256" w:rsidRPr="005E6256">
        <w:t xml:space="preserve"> </w:t>
      </w:r>
      <w:r w:rsidR="005E6256">
        <w:t xml:space="preserve">indicate that any particular number or pattern of hours </w:t>
      </w:r>
      <w:r w:rsidR="00DD1892">
        <w:t xml:space="preserve">within that maximum number </w:t>
      </w:r>
      <w:r w:rsidR="005E6256">
        <w:t>is normal</w:t>
      </w:r>
      <w:r>
        <w:t>.</w:t>
      </w:r>
      <w:r w:rsidR="007623AF">
        <w:t xml:space="preserve"> It does </w:t>
      </w:r>
      <w:r w:rsidR="007623AF">
        <w:lastRenderedPageBreak/>
        <w:t>not oblige the employer to offer any number of hours, nor oblige employees to work any number of hours.</w:t>
      </w:r>
    </w:p>
    <w:p w:rsidR="00AC3298" w:rsidRDefault="00AC3298" w:rsidP="00AC3298">
      <w:pPr>
        <w:pStyle w:val="ParaNumbering"/>
      </w:pPr>
      <w:r>
        <w:t xml:space="preserve">The Commissioner submits that </w:t>
      </w:r>
      <w:r w:rsidR="00F34715">
        <w:t>cl 14.2</w:t>
      </w:r>
      <w:r>
        <w:t xml:space="preserve"> is consistent with employees being rostered and required </w:t>
      </w:r>
      <w:r w:rsidR="00192527">
        <w:t xml:space="preserve">to </w:t>
      </w:r>
      <w:r>
        <w:t>work</w:t>
      </w:r>
      <w:r w:rsidR="005F4B1C">
        <w:t xml:space="preserve"> for </w:t>
      </w:r>
      <w:r w:rsidR="00192527">
        <w:t xml:space="preserve">the hours for </w:t>
      </w:r>
      <w:r w:rsidR="005F4B1C">
        <w:t>which they are rostered</w:t>
      </w:r>
      <w:r>
        <w:t xml:space="preserve">.  </w:t>
      </w:r>
      <w:r w:rsidR="00535D75">
        <w:t xml:space="preserve">The clause </w:t>
      </w:r>
      <w:r w:rsidR="005F4B1C">
        <w:t xml:space="preserve">is concerned with </w:t>
      </w:r>
      <w:r w:rsidR="00B57E57">
        <w:t>the times of the day within which</w:t>
      </w:r>
      <w:r w:rsidR="005F4B1C">
        <w:t xml:space="preserve"> work is carried out.  It </w:t>
      </w:r>
      <w:r w:rsidR="00535D75">
        <w:t xml:space="preserve">indicates that work </w:t>
      </w:r>
      <w:r>
        <w:t xml:space="preserve">will usually </w:t>
      </w:r>
      <w:r w:rsidR="00535D75">
        <w:t xml:space="preserve">be </w:t>
      </w:r>
      <w:r w:rsidR="00B57E57">
        <w:t xml:space="preserve">carried out </w:t>
      </w:r>
      <w:r>
        <w:t>between 5.30 am and 5.30 pm</w:t>
      </w:r>
      <w:r w:rsidR="00B57E57">
        <w:t xml:space="preserve">, but that </w:t>
      </w:r>
      <w:r w:rsidR="00535D75">
        <w:t>employees may be asked to start early</w:t>
      </w:r>
      <w:r>
        <w:t xml:space="preserve">. </w:t>
      </w:r>
      <w:r w:rsidR="00535D75">
        <w:t>The language</w:t>
      </w:r>
      <w:r>
        <w:t xml:space="preserve"> does </w:t>
      </w:r>
      <w:r w:rsidR="00535D75">
        <w:t xml:space="preserve">not </w:t>
      </w:r>
      <w:r>
        <w:t xml:space="preserve">suggest </w:t>
      </w:r>
      <w:r w:rsidR="00535D75">
        <w:t xml:space="preserve">any obligation on </w:t>
      </w:r>
      <w:r>
        <w:t>the employees</w:t>
      </w:r>
      <w:r w:rsidR="00535D75">
        <w:t xml:space="preserve"> to accept work</w:t>
      </w:r>
      <w:r>
        <w:t>.</w:t>
      </w:r>
    </w:p>
    <w:p w:rsidR="00456DF5" w:rsidRDefault="00456DF5" w:rsidP="00B57E57">
      <w:pPr>
        <w:pStyle w:val="ParaNumbering"/>
      </w:pPr>
      <w:r>
        <w:t>There is greater merit in the Commissioner</w:t>
      </w:r>
      <w:r w:rsidR="00ED139E">
        <w:t>’</w:t>
      </w:r>
      <w:r>
        <w:t xml:space="preserve">s submissions concerning a number of later clauses. </w:t>
      </w:r>
      <w:r w:rsidR="00B57E57">
        <w:t xml:space="preserve">Before considering those clauses, it should be foreshadowed that they fall to </w:t>
      </w:r>
      <w:r>
        <w:t xml:space="preserve">be considered in the context that the Enterprise Agreement </w:t>
      </w:r>
      <w:r w:rsidR="00B57E57">
        <w:t>cove</w:t>
      </w:r>
      <w:r w:rsidR="00E80DE9">
        <w:t>r</w:t>
      </w:r>
      <w:r w:rsidR="00B57E57">
        <w:t>s</w:t>
      </w:r>
      <w:r w:rsidR="00E80DE9">
        <w:t xml:space="preserve"> both casual and </w:t>
      </w:r>
      <w:r w:rsidR="009D5B8A">
        <w:t xml:space="preserve">indefinite or </w:t>
      </w:r>
      <w:r w:rsidR="00E80DE9">
        <w:t xml:space="preserve">permanent employees. </w:t>
      </w:r>
      <w:r w:rsidR="009D5B8A">
        <w:t xml:space="preserve">While the evidence indicates that there was no ongoing employment envisaged for the </w:t>
      </w:r>
      <w:r w:rsidR="00AC135F">
        <w:t>PJ Walsh Constructions</w:t>
      </w:r>
      <w:r w:rsidR="009D5B8A">
        <w:t xml:space="preserve">’ employees working on the NQS project, the Enterprise Agreement also covered PJ Walsh Constructions’ employees at </w:t>
      </w:r>
      <w:r w:rsidR="00E66FCA">
        <w:t xml:space="preserve">other </w:t>
      </w:r>
      <w:r w:rsidR="00B57E57">
        <w:t xml:space="preserve">construction sites in Townsville and surrounding areas. </w:t>
      </w:r>
      <w:r w:rsidR="00DD2422">
        <w:t xml:space="preserve">That </w:t>
      </w:r>
      <w:r w:rsidR="000E347B">
        <w:t xml:space="preserve">leaves </w:t>
      </w:r>
      <w:r w:rsidR="00DD2422">
        <w:t xml:space="preserve">it </w:t>
      </w:r>
      <w:r w:rsidR="000E347B">
        <w:t xml:space="preserve">open </w:t>
      </w:r>
      <w:r w:rsidR="00DD2422">
        <w:t xml:space="preserve">to conclude </w:t>
      </w:r>
      <w:r w:rsidR="000E347B">
        <w:t xml:space="preserve">that </w:t>
      </w:r>
      <w:r w:rsidR="009D5B8A">
        <w:t>the Enterprise Agreement contemplate</w:t>
      </w:r>
      <w:r w:rsidR="00DD2422">
        <w:t>s</w:t>
      </w:r>
      <w:r w:rsidR="009D5B8A">
        <w:t xml:space="preserve"> </w:t>
      </w:r>
      <w:r w:rsidR="000E347B">
        <w:t xml:space="preserve">permanent employment for some </w:t>
      </w:r>
      <w:r w:rsidR="00457434">
        <w:t>employees</w:t>
      </w:r>
      <w:r w:rsidR="000E347B">
        <w:t xml:space="preserve"> of PJ Walsh Constructions.  </w:t>
      </w:r>
      <w:r>
        <w:t xml:space="preserve">Clause 6.1.1 states that, </w:t>
      </w:r>
      <w:r w:rsidR="00770C00">
        <w:t>“</w:t>
      </w:r>
      <w:r>
        <w:t>At the commencement of employment, all employees will be employed as a casual employee</w:t>
      </w:r>
      <w:r w:rsidR="00770C00">
        <w:t>”</w:t>
      </w:r>
      <w:r>
        <w:t>.</w:t>
      </w:r>
      <w:r w:rsidR="00EE655E">
        <w:t xml:space="preserve"> That</w:t>
      </w:r>
      <w:r>
        <w:t xml:space="preserve"> clause contemplates </w:t>
      </w:r>
      <w:r w:rsidR="00F24D4D">
        <w:t xml:space="preserve">that </w:t>
      </w:r>
      <w:r w:rsidR="00CF26E5">
        <w:t>while all employees will be causal employees at the commencemen</w:t>
      </w:r>
      <w:r w:rsidR="00B57E57">
        <w:t>t of their employment, they may</w:t>
      </w:r>
      <w:r w:rsidR="00CF26E5">
        <w:t xml:space="preserve"> </w:t>
      </w:r>
      <w:r w:rsidR="00B57E57">
        <w:t>not</w:t>
      </w:r>
      <w:r w:rsidR="00CF26E5">
        <w:t xml:space="preserve"> </w:t>
      </w:r>
      <w:r w:rsidR="001F038E">
        <w:t>nec</w:t>
      </w:r>
      <w:r w:rsidR="00CF26E5">
        <w:t>essarily remain so</w:t>
      </w:r>
      <w:r w:rsidR="001F038E">
        <w:t xml:space="preserve">. It contemplates </w:t>
      </w:r>
      <w:r>
        <w:t>that</w:t>
      </w:r>
      <w:r w:rsidR="001F038E">
        <w:t xml:space="preserve"> </w:t>
      </w:r>
      <w:r w:rsidR="001F038E" w:rsidRPr="001F038E">
        <w:t xml:space="preserve">casual employment may become </w:t>
      </w:r>
      <w:r w:rsidR="00591CDC">
        <w:t>permanent employment</w:t>
      </w:r>
      <w:r w:rsidR="00B57E57">
        <w:t>, whether</w:t>
      </w:r>
      <w:r w:rsidR="00591CDC">
        <w:t xml:space="preserve"> </w:t>
      </w:r>
      <w:r w:rsidR="001F038E" w:rsidRPr="001F038E">
        <w:t>because</w:t>
      </w:r>
      <w:r w:rsidR="00B57E57">
        <w:t xml:space="preserve"> of a</w:t>
      </w:r>
      <w:r w:rsidR="00CF26E5">
        <w:t xml:space="preserve"> deliberate decision by the employer and </w:t>
      </w:r>
      <w:r w:rsidR="009D5B8A">
        <w:t xml:space="preserve">an </w:t>
      </w:r>
      <w:r w:rsidR="00CF26E5">
        <w:t>employee, or because</w:t>
      </w:r>
      <w:r w:rsidR="00B57E57">
        <w:t xml:space="preserve"> the</w:t>
      </w:r>
      <w:r w:rsidR="001F038E" w:rsidRPr="001F038E">
        <w:t xml:space="preserve"> char</w:t>
      </w:r>
      <w:r w:rsidR="001D5EF3">
        <w:t>a</w:t>
      </w:r>
      <w:r w:rsidR="004E3080">
        <w:t>ct</w:t>
      </w:r>
      <w:r w:rsidR="001F038E" w:rsidRPr="001F038E">
        <w:t>eristics</w:t>
      </w:r>
      <w:r w:rsidR="00B57E57">
        <w:t xml:space="preserve"> of the employment have</w:t>
      </w:r>
      <w:r w:rsidR="00591CDC">
        <w:t xml:space="preserve"> changed</w:t>
      </w:r>
      <w:r w:rsidR="00B57E57">
        <w:t xml:space="preserve"> over time</w:t>
      </w:r>
      <w:r w:rsidR="00591CDC">
        <w:t xml:space="preserve">: </w:t>
      </w:r>
      <w:proofErr w:type="spellStart"/>
      <w:r w:rsidR="00591CDC">
        <w:t>cf</w:t>
      </w:r>
      <w:proofErr w:type="spellEnd"/>
      <w:r w:rsidR="00591CDC">
        <w:t xml:space="preserve"> </w:t>
      </w:r>
      <w:r w:rsidR="00591CDC" w:rsidRPr="00B57E57">
        <w:rPr>
          <w:i/>
        </w:rPr>
        <w:t xml:space="preserve">Skene </w:t>
      </w:r>
      <w:r w:rsidR="00591CDC">
        <w:t>at [</w:t>
      </w:r>
      <w:r w:rsidR="00F24D4D">
        <w:t>178</w:t>
      </w:r>
      <w:r w:rsidR="00591CDC">
        <w:t xml:space="preserve">]. One possible construction of </w:t>
      </w:r>
      <w:r w:rsidR="009D5B8A">
        <w:t xml:space="preserve">several </w:t>
      </w:r>
      <w:r w:rsidR="00EE655E">
        <w:t xml:space="preserve">clauses </w:t>
      </w:r>
      <w:r w:rsidR="00B57E57">
        <w:t xml:space="preserve">to be </w:t>
      </w:r>
      <w:r w:rsidR="00591CDC">
        <w:t xml:space="preserve">discussed is that they </w:t>
      </w:r>
      <w:r w:rsidR="00EE655E">
        <w:t>apply only to permanent employees</w:t>
      </w:r>
      <w:r w:rsidR="009D5B8A">
        <w:t>,</w:t>
      </w:r>
      <w:r w:rsidR="00EE655E">
        <w:t xml:space="preserve"> and not</w:t>
      </w:r>
      <w:r w:rsidR="00591CDC">
        <w:t xml:space="preserve"> to</w:t>
      </w:r>
      <w:r w:rsidR="00EE655E">
        <w:t xml:space="preserve"> casual employees. That said, it must be recognised that the clauses are expressed</w:t>
      </w:r>
      <w:r w:rsidR="00591CDC">
        <w:t xml:space="preserve"> to apply to </w:t>
      </w:r>
      <w:r w:rsidR="00770C00">
        <w:t>“</w:t>
      </w:r>
      <w:r w:rsidR="00591CDC">
        <w:t xml:space="preserve">an </w:t>
      </w:r>
      <w:r w:rsidR="00CF26E5">
        <w:t>employee</w:t>
      </w:r>
      <w:r w:rsidR="00770C00">
        <w:t>”</w:t>
      </w:r>
      <w:r w:rsidR="00CF26E5">
        <w:t>, and are not specifically</w:t>
      </w:r>
      <w:r w:rsidR="00591CDC">
        <w:t xml:space="preserve"> limited </w:t>
      </w:r>
      <w:r w:rsidR="00EE655E">
        <w:t>to permanent employees. I will retu</w:t>
      </w:r>
      <w:r w:rsidR="00591CDC">
        <w:t xml:space="preserve">rn to these issues after discussing </w:t>
      </w:r>
      <w:r w:rsidR="00EE655E">
        <w:t>the</w:t>
      </w:r>
      <w:r w:rsidR="00CF26E5">
        <w:t xml:space="preserve"> remainder of the</w:t>
      </w:r>
      <w:r w:rsidR="00EE655E">
        <w:t xml:space="preserve"> Commissioner</w:t>
      </w:r>
      <w:r w:rsidR="00ED139E">
        <w:t>’</w:t>
      </w:r>
      <w:r w:rsidR="00EE655E">
        <w:t>s submissions.</w:t>
      </w:r>
    </w:p>
    <w:p w:rsidR="00F813CD" w:rsidRDefault="00AC3298" w:rsidP="005E3481">
      <w:pPr>
        <w:pStyle w:val="ParaNumbering"/>
      </w:pPr>
      <w:r>
        <w:t>The C</w:t>
      </w:r>
      <w:r w:rsidR="00535D75">
        <w:t xml:space="preserve">ommissioner relies upon cl 14.4. </w:t>
      </w:r>
      <w:r w:rsidR="00DD2422">
        <w:t>That clause</w:t>
      </w:r>
      <w:r w:rsidR="00535D75">
        <w:t xml:space="preserve"> may suggest that in </w:t>
      </w:r>
      <w:r w:rsidR="00DD2422">
        <w:t xml:space="preserve">its </w:t>
      </w:r>
      <w:r w:rsidR="00535D75">
        <w:t>absence, employees could be entitle</w:t>
      </w:r>
      <w:r w:rsidR="00EE655E">
        <w:t>d to rostered days off</w:t>
      </w:r>
      <w:r w:rsidR="00F4221A">
        <w:t xml:space="preserve"> under the </w:t>
      </w:r>
      <w:r w:rsidR="00F4221A" w:rsidRPr="00F4221A">
        <w:rPr>
          <w:i/>
        </w:rPr>
        <w:t xml:space="preserve">Building </w:t>
      </w:r>
      <w:r w:rsidR="00F24D4D">
        <w:rPr>
          <w:i/>
        </w:rPr>
        <w:t xml:space="preserve">and </w:t>
      </w:r>
      <w:r w:rsidR="00F4221A" w:rsidRPr="00F4221A">
        <w:rPr>
          <w:i/>
        </w:rPr>
        <w:t>Construction General On-Site Award 2010</w:t>
      </w:r>
      <w:r w:rsidR="00F4221A">
        <w:t xml:space="preserve">. </w:t>
      </w:r>
      <w:r w:rsidR="00DD2422">
        <w:t>The inclusion of a</w:t>
      </w:r>
      <w:r w:rsidR="00EE655E">
        <w:t>n</w:t>
      </w:r>
      <w:r w:rsidR="00535D75">
        <w:t xml:space="preserve"> entitlement </w:t>
      </w:r>
      <w:r w:rsidR="00F4221A">
        <w:t xml:space="preserve">to a rostered day off </w:t>
      </w:r>
      <w:r w:rsidR="00DD2422">
        <w:t xml:space="preserve">seems </w:t>
      </w:r>
      <w:r w:rsidR="00EE655E">
        <w:t>in</w:t>
      </w:r>
      <w:r w:rsidR="00535D75">
        <w:t xml:space="preserve">consistent with </w:t>
      </w:r>
      <w:r w:rsidR="00193D55">
        <w:t>the</w:t>
      </w:r>
      <w:r w:rsidR="00482ACB">
        <w:t xml:space="preserve"> existence</w:t>
      </w:r>
      <w:r w:rsidR="00F4221A">
        <w:t xml:space="preserve"> </w:t>
      </w:r>
      <w:r w:rsidR="00482ACB">
        <w:t xml:space="preserve">of a </w:t>
      </w:r>
      <w:r w:rsidR="00F4221A">
        <w:t>general entitlement</w:t>
      </w:r>
      <w:r w:rsidR="00251248">
        <w:t xml:space="preserve"> to refuse to accept work</w:t>
      </w:r>
      <w:r w:rsidR="00DD2422">
        <w:t>, since a rostered day off would be unnecessary</w:t>
      </w:r>
      <w:r w:rsidR="00193D55">
        <w:t>.</w:t>
      </w:r>
      <w:r>
        <w:t xml:space="preserve"> </w:t>
      </w:r>
    </w:p>
    <w:p w:rsidR="00AC3298" w:rsidRDefault="00193D55" w:rsidP="000A2FC7">
      <w:pPr>
        <w:pStyle w:val="ParaNumbering"/>
        <w:keepNext/>
        <w:keepLines/>
      </w:pPr>
      <w:r>
        <w:lastRenderedPageBreak/>
        <w:t>The Commissioner relies upon cl 15, which provides</w:t>
      </w:r>
      <w:r w:rsidR="00AC3298">
        <w:t>:</w:t>
      </w:r>
    </w:p>
    <w:p w:rsidR="000A2FC7" w:rsidRDefault="000A2FC7" w:rsidP="000A2FC7">
      <w:pPr>
        <w:pStyle w:val="Quote1"/>
        <w:ind w:left="1440" w:hanging="703"/>
      </w:pPr>
      <w:r>
        <w:t>15.1</w:t>
      </w:r>
      <w:r>
        <w:tab/>
        <w:t xml:space="preserve">The employer may require an employee…to work in </w:t>
      </w:r>
      <w:r w:rsidR="009E63DD">
        <w:t xml:space="preserve">Excess </w:t>
      </w:r>
      <w:r>
        <w:t xml:space="preserve">of </w:t>
      </w:r>
      <w:r w:rsidR="009E63DD">
        <w:t>8</w:t>
      </w:r>
      <w:r>
        <w:t xml:space="preserve"> hours in any day Monday to Friday paid as per Appendix A.  Provided that no employee will be required to work in excess of 58 hours in any one week except where the </w:t>
      </w:r>
      <w:r w:rsidR="009E63DD">
        <w:t xml:space="preserve">Employer </w:t>
      </w:r>
      <w:r>
        <w:t xml:space="preserve">and employee agree, for example, but not limited to, where employees are living away from home. </w:t>
      </w:r>
    </w:p>
    <w:p w:rsidR="00AC3298" w:rsidRDefault="000A2FC7" w:rsidP="000A2FC7">
      <w:pPr>
        <w:pStyle w:val="Quote1"/>
      </w:pPr>
      <w:r>
        <w:t xml:space="preserve">15.2 </w:t>
      </w:r>
      <w:r>
        <w:tab/>
        <w:t>An employee may refuse to work additional hours if they are unreasonable.</w:t>
      </w:r>
    </w:p>
    <w:p w:rsidR="00193D55" w:rsidRDefault="00193D55" w:rsidP="00193D55">
      <w:pPr>
        <w:pStyle w:val="ParaNumbering"/>
      </w:pPr>
      <w:r>
        <w:t xml:space="preserve">The words </w:t>
      </w:r>
      <w:r w:rsidR="00770C00">
        <w:t>“</w:t>
      </w:r>
      <w:r>
        <w:t>requir</w:t>
      </w:r>
      <w:r w:rsidR="00F813CD">
        <w:t>e</w:t>
      </w:r>
      <w:r w:rsidR="00770C00">
        <w:t>”</w:t>
      </w:r>
      <w:r w:rsidR="00F813CD">
        <w:t xml:space="preserve"> and </w:t>
      </w:r>
      <w:r w:rsidR="00770C00">
        <w:t>“</w:t>
      </w:r>
      <w:r w:rsidR="00F813CD">
        <w:t>required</w:t>
      </w:r>
      <w:r w:rsidR="00770C00">
        <w:t>”</w:t>
      </w:r>
      <w:r w:rsidR="00F813CD">
        <w:t xml:space="preserve"> in cl 15.1 appear</w:t>
      </w:r>
      <w:r>
        <w:t xml:space="preserve"> inconsistent with employees being entitled to refuse to accept work.  Further, cl 15.2 is inconsistent with the ide</w:t>
      </w:r>
      <w:r w:rsidR="009A60E4">
        <w:t>a that employees may generally</w:t>
      </w:r>
      <w:r w:rsidR="00F813CD">
        <w:t xml:space="preserve"> </w:t>
      </w:r>
      <w:r>
        <w:t>refuse any work offered to them.</w:t>
      </w:r>
    </w:p>
    <w:p w:rsidR="00AC3298" w:rsidRDefault="00AC3298" w:rsidP="009E63DD">
      <w:pPr>
        <w:pStyle w:val="ParaNumbering"/>
        <w:keepNext/>
        <w:keepLines/>
      </w:pPr>
      <w:r>
        <w:t xml:space="preserve">Clause 17.1.2 provides that: </w:t>
      </w:r>
    </w:p>
    <w:p w:rsidR="00AC3298" w:rsidRDefault="00AC3298" w:rsidP="009E63DD">
      <w:pPr>
        <w:pStyle w:val="Quote1"/>
        <w:keepNext/>
        <w:keepLines/>
      </w:pPr>
      <w:r>
        <w:t xml:space="preserve">The employee may request unpaid leave with the consideration to the flow of general works.  Approval of the request is at the discretion of the </w:t>
      </w:r>
      <w:r w:rsidR="009E63DD">
        <w:t>Employer</w:t>
      </w:r>
      <w:r>
        <w:t xml:space="preserve">.  </w:t>
      </w:r>
    </w:p>
    <w:p w:rsidR="00AC3298" w:rsidRDefault="00A737F7" w:rsidP="00AC3298">
      <w:pPr>
        <w:pStyle w:val="ParaNumbering"/>
      </w:pPr>
      <w:r>
        <w:t>T</w:t>
      </w:r>
      <w:r w:rsidR="00AC3298">
        <w:t xml:space="preserve">his </w:t>
      </w:r>
      <w:r>
        <w:t xml:space="preserve">clause </w:t>
      </w:r>
      <w:r w:rsidR="00251248">
        <w:t xml:space="preserve">may indicate </w:t>
      </w:r>
      <w:r w:rsidR="00F813CD">
        <w:t xml:space="preserve">that unpaid leave cannot be taken without making a request to the employer and the employer approving such leave. </w:t>
      </w:r>
      <w:r w:rsidR="00251248">
        <w:t>T</w:t>
      </w:r>
      <w:r w:rsidR="00F813CD">
        <w:t xml:space="preserve">he clause appears </w:t>
      </w:r>
      <w:r w:rsidR="00AC3298">
        <w:t>inconsistent with casual employ</w:t>
      </w:r>
      <w:r>
        <w:t>ees being entitled to refuse</w:t>
      </w:r>
      <w:r w:rsidR="00AC3298">
        <w:t xml:space="preserve"> work offered to them. </w:t>
      </w:r>
    </w:p>
    <w:p w:rsidR="00F813CD" w:rsidRDefault="005E3481" w:rsidP="00AC3298">
      <w:pPr>
        <w:pStyle w:val="ParaNumbering"/>
      </w:pPr>
      <w:r>
        <w:t>Clause 17.3</w:t>
      </w:r>
      <w:r w:rsidR="00F813CD">
        <w:t xml:space="preserve"> provides:</w:t>
      </w:r>
    </w:p>
    <w:p w:rsidR="000A2FC7" w:rsidRDefault="000A2FC7" w:rsidP="000A2FC7">
      <w:pPr>
        <w:pStyle w:val="Quote1"/>
      </w:pPr>
      <w:r>
        <w:t>17.3</w:t>
      </w:r>
      <w:r>
        <w:tab/>
        <w:t>Personal/Carers/Sick Leave</w:t>
      </w:r>
    </w:p>
    <w:p w:rsidR="000A2FC7" w:rsidRDefault="000A2FC7" w:rsidP="000A2FC7">
      <w:pPr>
        <w:pStyle w:val="Quote1"/>
      </w:pPr>
      <w:r>
        <w:t>17.3.1</w:t>
      </w:r>
      <w:r>
        <w:tab/>
        <w:t>All leave shall be taken in accordance with the provisions outlined below.</w:t>
      </w:r>
    </w:p>
    <w:p w:rsidR="005E3481" w:rsidRPr="005E3481" w:rsidRDefault="000A2FC7" w:rsidP="000A2FC7">
      <w:pPr>
        <w:pStyle w:val="Quote1"/>
      </w:pPr>
      <w:r>
        <w:t>17.3.2</w:t>
      </w:r>
      <w:r>
        <w:tab/>
        <w:t>the leave will be granted subject to the following:</w:t>
      </w:r>
    </w:p>
    <w:p w:rsidR="000A2FC7" w:rsidRDefault="000A2FC7" w:rsidP="000A2FC7">
      <w:pPr>
        <w:pStyle w:val="Quote2"/>
        <w:ind w:left="2160" w:hanging="720"/>
      </w:pPr>
      <w:r>
        <w:t>(</w:t>
      </w:r>
      <w:proofErr w:type="spellStart"/>
      <w:r>
        <w:t>i</w:t>
      </w:r>
      <w:proofErr w:type="spellEnd"/>
      <w:r>
        <w:t>)</w:t>
      </w:r>
      <w:r>
        <w:tab/>
        <w:t>You must notify the Employer of the reason and likely duration of the absence before 6.00am on the first day of the absence.</w:t>
      </w:r>
    </w:p>
    <w:p w:rsidR="000A2FC7" w:rsidRDefault="000A2FC7" w:rsidP="000A2FC7">
      <w:pPr>
        <w:pStyle w:val="Quote2"/>
        <w:ind w:left="2160" w:hanging="720"/>
      </w:pPr>
      <w:r>
        <w:t>(ii)</w:t>
      </w:r>
      <w:r>
        <w:tab/>
        <w:t>Where circumstances permit, you must endeavour to arrange your leave to minimise the imp</w:t>
      </w:r>
      <w:r w:rsidR="001D5EF3">
        <w:t>a</w:t>
      </w:r>
      <w:r w:rsidR="004E3080">
        <w:t>ct</w:t>
      </w:r>
      <w:r>
        <w:t xml:space="preserve"> on operational needs.</w:t>
      </w:r>
    </w:p>
    <w:p w:rsidR="005E3481" w:rsidRPr="005E3481" w:rsidRDefault="000A2FC7" w:rsidP="000A2FC7">
      <w:pPr>
        <w:pStyle w:val="Quote2"/>
      </w:pPr>
      <w:r>
        <w:t>If the Employer requires, the provision of appropriate documentary evidence must be supplied as follows:</w:t>
      </w:r>
    </w:p>
    <w:p w:rsidR="000A2FC7" w:rsidRDefault="000A2FC7" w:rsidP="000A2FC7">
      <w:pPr>
        <w:pStyle w:val="Quote2Bullet"/>
      </w:pPr>
      <w:r>
        <w:t>For sick leave, a medical certificate or if not reasonably pr</w:t>
      </w:r>
      <w:r w:rsidR="001D5EF3">
        <w:t>a</w:t>
      </w:r>
      <w:r w:rsidR="004E3080">
        <w:t>ct</w:t>
      </w:r>
      <w:r>
        <w:t>icable to provide a medical certificate - a statutory declaration made by the employee is agreed to be reasonable evidence.</w:t>
      </w:r>
    </w:p>
    <w:p w:rsidR="000A2FC7" w:rsidRDefault="000A2FC7" w:rsidP="000A2FC7">
      <w:pPr>
        <w:pStyle w:val="Quote2Bullet"/>
      </w:pPr>
      <w:r>
        <w:t>For carers leave, a medical certificate in respect to the family or household member or a statutory declaration by the employee is agreed to be reasonable evidence. ·</w:t>
      </w:r>
    </w:p>
    <w:p w:rsidR="005E3481" w:rsidRPr="005E3481" w:rsidRDefault="000A2FC7" w:rsidP="000A2FC7">
      <w:pPr>
        <w:pStyle w:val="Quote2Bullet"/>
      </w:pPr>
      <w:r>
        <w:t>For compassionate leave, any evidence that the employer reasonably requires.</w:t>
      </w:r>
    </w:p>
    <w:p w:rsidR="00F813CD" w:rsidRDefault="000A2FC7" w:rsidP="000A2FC7">
      <w:pPr>
        <w:pStyle w:val="Quote1"/>
        <w:keepNext/>
        <w:keepLines/>
        <w:widowControl/>
        <w:ind w:left="1440" w:hanging="703"/>
      </w:pPr>
      <w:r w:rsidRPr="000A2FC7">
        <w:lastRenderedPageBreak/>
        <w:t>17.3.3</w:t>
      </w:r>
      <w:r w:rsidRPr="000A2FC7">
        <w:tab/>
        <w:t>All Casual employees are entitled to a period of up to 2 days unpaid carer</w:t>
      </w:r>
      <w:r w:rsidR="00ED139E">
        <w:t>’</w:t>
      </w:r>
      <w:r w:rsidRPr="000A2FC7">
        <w:t>s leave for each occasion when a member of the employee</w:t>
      </w:r>
      <w:r w:rsidR="00ED139E">
        <w:t>’</w:t>
      </w:r>
      <w:r w:rsidRPr="000A2FC7">
        <w:t>s immediate family or a member of the employee</w:t>
      </w:r>
      <w:r w:rsidR="00ED139E">
        <w:t>’</w:t>
      </w:r>
      <w:r w:rsidRPr="000A2FC7">
        <w:t>s household requires care or support because of illness, injury, or unexpected emergency affecting the member. The leave will be granted subject to the provision of reasonable evidence as illustrated above.</w:t>
      </w:r>
    </w:p>
    <w:p w:rsidR="00EE655E" w:rsidRDefault="00EE655E" w:rsidP="009D35C9">
      <w:pPr>
        <w:pStyle w:val="ParaNumbering"/>
      </w:pPr>
      <w:r>
        <w:t>The Commissioner submits that the provisions for personal/carers</w:t>
      </w:r>
      <w:r w:rsidR="00227A19">
        <w:t>/</w:t>
      </w:r>
      <w:r>
        <w:t>sick leave are inconsistent with the employees</w:t>
      </w:r>
      <w:r w:rsidR="00CF26E5">
        <w:t xml:space="preserve"> in f</w:t>
      </w:r>
      <w:r w:rsidR="001D5EF3">
        <w:t>a</w:t>
      </w:r>
      <w:r w:rsidR="004E3080">
        <w:t>ct</w:t>
      </w:r>
      <w:r w:rsidR="00CF26E5">
        <w:t xml:space="preserve"> being casual employees</w:t>
      </w:r>
      <w:r w:rsidR="009D35C9">
        <w:t xml:space="preserve">. However, </w:t>
      </w:r>
      <w:proofErr w:type="spellStart"/>
      <w:r w:rsidR="009D35C9">
        <w:t>cl</w:t>
      </w:r>
      <w:r w:rsidR="00227A19">
        <w:t>l</w:t>
      </w:r>
      <w:proofErr w:type="spellEnd"/>
      <w:r w:rsidR="00227A19">
        <w:t> </w:t>
      </w:r>
      <w:r w:rsidR="009D35C9">
        <w:t xml:space="preserve">17.3.1 and 17.3.2 are not expressed to apply to casual employees. That </w:t>
      </w:r>
      <w:r w:rsidR="00AA7CA3">
        <w:t>the clause does not apply to casual employees is</w:t>
      </w:r>
      <w:r w:rsidR="009D35C9">
        <w:t xml:space="preserve"> consistent with cl 6.2.2, which states that c</w:t>
      </w:r>
      <w:r w:rsidR="009D35C9" w:rsidRPr="009D35C9">
        <w:t xml:space="preserve">asual employees shall be paid an hourly rate </w:t>
      </w:r>
      <w:r w:rsidR="009D35C9">
        <w:t xml:space="preserve">to compensate for, amongst other things, </w:t>
      </w:r>
      <w:r w:rsidR="009A60E4">
        <w:t xml:space="preserve">the absence of </w:t>
      </w:r>
      <w:r w:rsidR="009D35C9">
        <w:t xml:space="preserve">paid sick </w:t>
      </w:r>
      <w:r w:rsidR="00CF26E5">
        <w:t xml:space="preserve">or personal </w:t>
      </w:r>
      <w:r w:rsidR="00251248">
        <w:t>leave. It appears</w:t>
      </w:r>
      <w:r w:rsidR="009D35C9">
        <w:t xml:space="preserve"> that </w:t>
      </w:r>
      <w:proofErr w:type="spellStart"/>
      <w:r w:rsidR="009D35C9">
        <w:t>cl</w:t>
      </w:r>
      <w:r w:rsidR="00227A19">
        <w:t>l</w:t>
      </w:r>
      <w:proofErr w:type="spellEnd"/>
      <w:r w:rsidR="00227A19">
        <w:t> </w:t>
      </w:r>
      <w:r w:rsidR="009D35C9">
        <w:t xml:space="preserve">17.3.1 and 17.3.2 are intended to apply only to permanent employees. </w:t>
      </w:r>
    </w:p>
    <w:p w:rsidR="009D35C9" w:rsidRDefault="00251248" w:rsidP="00D84E0E">
      <w:pPr>
        <w:pStyle w:val="ParaNumbering"/>
      </w:pPr>
      <w:r>
        <w:t xml:space="preserve">Clause 17.3.3 </w:t>
      </w:r>
      <w:r w:rsidR="009D35C9">
        <w:t xml:space="preserve">applies </w:t>
      </w:r>
      <w:r w:rsidR="0095360B">
        <w:t xml:space="preserve">expressly </w:t>
      </w:r>
      <w:r w:rsidR="009D35C9">
        <w:t>to casual employees</w:t>
      </w:r>
      <w:r w:rsidR="003C3A05">
        <w:t>. Section</w:t>
      </w:r>
      <w:r>
        <w:t xml:space="preserve"> 102 of the </w:t>
      </w:r>
      <w:r w:rsidR="00997F6D">
        <w:t>FW</w:t>
      </w:r>
      <w:r>
        <w:t xml:space="preserve"> </w:t>
      </w:r>
      <w:r w:rsidR="004E3080">
        <w:t>Act</w:t>
      </w:r>
      <w:r w:rsidR="00B04AC6">
        <w:t xml:space="preserve">, which is part of the National Employment Standards, </w:t>
      </w:r>
      <w:r w:rsidR="009A60E4">
        <w:t>allows</w:t>
      </w:r>
      <w:r w:rsidR="00AA7CA3">
        <w:t xml:space="preserve"> </w:t>
      </w:r>
      <w:r>
        <w:t>employees, including casual employees, to take unpaid carer</w:t>
      </w:r>
      <w:r w:rsidR="00ED139E">
        <w:t>’</w:t>
      </w:r>
      <w:r>
        <w:t xml:space="preserve">s leave. The purpose of the </w:t>
      </w:r>
      <w:r w:rsidR="0095360B">
        <w:t xml:space="preserve">cl 17.3.3 </w:t>
      </w:r>
      <w:r>
        <w:t>provision seems to be</w:t>
      </w:r>
      <w:r w:rsidR="003C3A05">
        <w:t xml:space="preserve"> to </w:t>
      </w:r>
      <w:r w:rsidR="0095360B">
        <w:t xml:space="preserve">reflect, reiterate </w:t>
      </w:r>
      <w:r w:rsidR="003C3A05">
        <w:t>or highlight the effect of s 102</w:t>
      </w:r>
      <w:r w:rsidR="00B04AC6">
        <w:t>, consistently with s 55(5) of the FW Act which allows an enterprise agreement to include terms that have substantially the same effect as the National Employment Standards</w:t>
      </w:r>
      <w:r>
        <w:t xml:space="preserve">.  </w:t>
      </w:r>
      <w:r w:rsidR="00AA7CA3">
        <w:t xml:space="preserve">Seen in that context, </w:t>
      </w:r>
      <w:r>
        <w:t>I do not accept that the clause is inconsistent with casual</w:t>
      </w:r>
      <w:r w:rsidR="009D35C9">
        <w:t xml:space="preserve"> employees being entitled to refuse work. </w:t>
      </w:r>
    </w:p>
    <w:p w:rsidR="009D35C9" w:rsidRDefault="007621C1" w:rsidP="00963913">
      <w:pPr>
        <w:pStyle w:val="ParaNumbering"/>
      </w:pPr>
      <w:r>
        <w:t xml:space="preserve">Clause 17.4.2 </w:t>
      </w:r>
      <w:r w:rsidR="00963913">
        <w:t xml:space="preserve">provides, </w:t>
      </w:r>
      <w:r w:rsidR="00770C00">
        <w:t>“</w:t>
      </w:r>
      <w:r w:rsidR="00963913" w:rsidRPr="00963913">
        <w:t>All employees are entitled to a day off on a public holiday</w:t>
      </w:r>
      <w:r w:rsidR="00770C00">
        <w:t>”</w:t>
      </w:r>
      <w:r w:rsidR="00963913" w:rsidRPr="00963913">
        <w:t>.</w:t>
      </w:r>
      <w:r w:rsidR="00963913">
        <w:t xml:space="preserve"> </w:t>
      </w:r>
      <w:r w:rsidR="003C3A05">
        <w:t>T</w:t>
      </w:r>
      <w:r w:rsidR="006758A7">
        <w:t xml:space="preserve">he clause seems to reflect s 114(1) </w:t>
      </w:r>
      <w:r w:rsidR="003C3A05">
        <w:t xml:space="preserve">of the </w:t>
      </w:r>
      <w:r w:rsidR="00997F6D">
        <w:t>FW</w:t>
      </w:r>
      <w:r w:rsidR="008516B1">
        <w:t xml:space="preserve"> </w:t>
      </w:r>
      <w:r w:rsidR="004E3080">
        <w:t>Act</w:t>
      </w:r>
      <w:r w:rsidR="0048377B">
        <w:t xml:space="preserve">, also part of the National Employment </w:t>
      </w:r>
      <w:r w:rsidR="004D38D3">
        <w:t>Standards</w:t>
      </w:r>
      <w:r w:rsidR="0048377B">
        <w:t>,</w:t>
      </w:r>
      <w:r w:rsidR="009A60E4">
        <w:t xml:space="preserve"> which indicates that</w:t>
      </w:r>
      <w:r w:rsidR="00AA7CA3">
        <w:t xml:space="preserve"> </w:t>
      </w:r>
      <w:r w:rsidR="003C3A05">
        <w:t xml:space="preserve">employees, </w:t>
      </w:r>
      <w:r w:rsidR="006758A7">
        <w:t>including casual employ</w:t>
      </w:r>
      <w:r w:rsidR="003C3A05">
        <w:t xml:space="preserve">ees, </w:t>
      </w:r>
      <w:r w:rsidR="006758A7">
        <w:t xml:space="preserve">are entitled to be absent from their employment on public </w:t>
      </w:r>
      <w:r w:rsidR="00F56A11">
        <w:t>holidays.</w:t>
      </w:r>
      <w:r w:rsidR="00963913">
        <w:t xml:space="preserve">  Clause </w:t>
      </w:r>
      <w:r>
        <w:t>17.4.3</w:t>
      </w:r>
      <w:r w:rsidR="00963913">
        <w:t xml:space="preserve"> provides</w:t>
      </w:r>
      <w:r w:rsidR="00605592">
        <w:t>,</w:t>
      </w:r>
      <w:r w:rsidR="00963913">
        <w:t xml:space="preserve"> </w:t>
      </w:r>
      <w:r w:rsidR="00770C00">
        <w:t>“</w:t>
      </w:r>
      <w:r w:rsidR="00963913" w:rsidRPr="00963913">
        <w:t>If the employer requests an employee to work on a public holida</w:t>
      </w:r>
      <w:r w:rsidR="00963913">
        <w:t>y and they choose to do so…</w:t>
      </w:r>
      <w:r w:rsidR="00963913" w:rsidRPr="00963913">
        <w:t>then the agreed fixed rate as per Appendix A applies</w:t>
      </w:r>
      <w:r w:rsidR="00770C00">
        <w:t>”</w:t>
      </w:r>
      <w:r w:rsidR="00963913" w:rsidRPr="00963913">
        <w:t>.</w:t>
      </w:r>
      <w:r w:rsidR="00605592">
        <w:t xml:space="preserve"> </w:t>
      </w:r>
      <w:r w:rsidR="006758A7">
        <w:t xml:space="preserve">This clause </w:t>
      </w:r>
      <w:r w:rsidR="00963913">
        <w:t>indicate</w:t>
      </w:r>
      <w:r w:rsidR="006758A7">
        <w:t xml:space="preserve">s </w:t>
      </w:r>
      <w:r w:rsidR="003C3A05">
        <w:t xml:space="preserve">that if employees </w:t>
      </w:r>
      <w:r w:rsidR="00963913">
        <w:t>choose to work on public holidays, th</w:t>
      </w:r>
      <w:r>
        <w:t xml:space="preserve">ey will be paid their usual fixed </w:t>
      </w:r>
      <w:r w:rsidR="00963913">
        <w:t xml:space="preserve">rate, rather than </w:t>
      </w:r>
      <w:r w:rsidR="006758A7">
        <w:t xml:space="preserve">any </w:t>
      </w:r>
      <w:r w:rsidR="00605592">
        <w:t>penalty rates.</w:t>
      </w:r>
      <w:r w:rsidR="003C3A05" w:rsidRPr="003C3A05">
        <w:t xml:space="preserve"> </w:t>
      </w:r>
      <w:r w:rsidR="003C3A05">
        <w:t xml:space="preserve">I do not accept that these clauses are inconsistent with casual employees </w:t>
      </w:r>
      <w:r w:rsidR="0048377B">
        <w:t xml:space="preserve">having an entitlement </w:t>
      </w:r>
      <w:r w:rsidR="003C3A05">
        <w:t>to refuse work.</w:t>
      </w:r>
    </w:p>
    <w:p w:rsidR="00605592" w:rsidRDefault="00605592" w:rsidP="00605592">
      <w:pPr>
        <w:pStyle w:val="ParaNumbering"/>
      </w:pPr>
      <w:r>
        <w:t>Clause 19 provides:</w:t>
      </w:r>
    </w:p>
    <w:p w:rsidR="00605592" w:rsidRPr="005C3CBE" w:rsidRDefault="00605592" w:rsidP="00605592">
      <w:pPr>
        <w:pStyle w:val="Quote1"/>
        <w:rPr>
          <w:b/>
        </w:rPr>
      </w:pPr>
      <w:r w:rsidRPr="005C3CBE">
        <w:rPr>
          <w:b/>
        </w:rPr>
        <w:t>19</w:t>
      </w:r>
      <w:r w:rsidRPr="005C3CBE">
        <w:rPr>
          <w:b/>
        </w:rPr>
        <w:tab/>
        <w:t>TRAINING AND REL</w:t>
      </w:r>
      <w:r>
        <w:rPr>
          <w:b/>
        </w:rPr>
        <w:t>ATED MATTER</w:t>
      </w:r>
    </w:p>
    <w:p w:rsidR="00605592" w:rsidRDefault="00605592" w:rsidP="00605592">
      <w:pPr>
        <w:pStyle w:val="Quote2"/>
      </w:pPr>
      <w:r>
        <w:t>The parties recognise that in order to increase the efficiency and productivity of the employer a significant commitment to structured training and skill development is required. Accordingly, the employer commits itself to:</w:t>
      </w:r>
    </w:p>
    <w:p w:rsidR="00605592" w:rsidRDefault="00605592" w:rsidP="00605592">
      <w:pPr>
        <w:pStyle w:val="Quote2"/>
      </w:pPr>
      <w:r>
        <w:t>—</w:t>
      </w:r>
      <w:r>
        <w:tab/>
        <w:t>Developing a more highly skilled and flexible workforce; and</w:t>
      </w:r>
    </w:p>
    <w:p w:rsidR="00605592" w:rsidRDefault="00F56A11" w:rsidP="00605592">
      <w:pPr>
        <w:pStyle w:val="Quote2"/>
        <w:ind w:left="2160" w:hanging="720"/>
      </w:pPr>
      <w:r>
        <w:t>—</w:t>
      </w:r>
      <w:r>
        <w:tab/>
        <w:t>Providing</w:t>
      </w:r>
      <w:r w:rsidR="00605592">
        <w:t xml:space="preserve"> employees with career opportunities through appropriate structured training based on nationally accredited competencies and curriculum.</w:t>
      </w:r>
    </w:p>
    <w:p w:rsidR="00605592" w:rsidRDefault="00605592" w:rsidP="0095360B">
      <w:pPr>
        <w:pStyle w:val="ParaNumbering"/>
      </w:pPr>
      <w:r>
        <w:lastRenderedPageBreak/>
        <w:t>The Commissioner submits that the development and training of the workforce is inconsistent with the notion of casual employment and an hour-by-hour engagement.</w:t>
      </w:r>
      <w:r w:rsidR="00F56A11">
        <w:t xml:space="preserve"> However,</w:t>
      </w:r>
      <w:r w:rsidR="00BA79E7">
        <w:t xml:space="preserve"> cl 6</w:t>
      </w:r>
      <w:r>
        <w:t>.2.1 recognises that casual employment may cont</w:t>
      </w:r>
      <w:r w:rsidR="0006378F">
        <w:t>inue indefinitely</w:t>
      </w:r>
      <w:r w:rsidR="0095360B">
        <w:t>.</w:t>
      </w:r>
      <w:r w:rsidR="0006378F">
        <w:t xml:space="preserve"> </w:t>
      </w:r>
      <w:r w:rsidR="0095360B">
        <w:t xml:space="preserve"> It </w:t>
      </w:r>
      <w:r w:rsidR="0006378F">
        <w:t xml:space="preserve">contemplates that some employees may become long-term casuals. </w:t>
      </w:r>
      <w:r>
        <w:t xml:space="preserve"> </w:t>
      </w:r>
      <w:r w:rsidR="0006378F">
        <w:t>In addition</w:t>
      </w:r>
      <w:r w:rsidR="00BA79E7">
        <w:t xml:space="preserve">, the clause </w:t>
      </w:r>
      <w:r w:rsidR="00721AAB">
        <w:t xml:space="preserve">applies to the workforce as a whole and </w:t>
      </w:r>
      <w:r w:rsidR="00BA79E7">
        <w:t>cannot be understood to</w:t>
      </w:r>
      <w:r w:rsidR="00F56A11">
        <w:t xml:space="preserve"> require the employer </w:t>
      </w:r>
      <w:r w:rsidR="00227A19">
        <w:t xml:space="preserve">to </w:t>
      </w:r>
      <w:r w:rsidR="00F56A11">
        <w:t>provide</w:t>
      </w:r>
      <w:r w:rsidR="00BA79E7">
        <w:t xml:space="preserve"> every employee, no matter h</w:t>
      </w:r>
      <w:r w:rsidR="00F56A11">
        <w:t xml:space="preserve">ow itinerant, with </w:t>
      </w:r>
      <w:r w:rsidR="00721AAB">
        <w:t>structured training and skill development</w:t>
      </w:r>
      <w:r w:rsidR="00BA79E7">
        <w:t>. In my view, this clause is not inconsistent with the entitlement of casual employees to</w:t>
      </w:r>
      <w:r w:rsidR="006758A7">
        <w:t xml:space="preserve"> refuse to</w:t>
      </w:r>
      <w:r w:rsidR="00BA79E7">
        <w:t xml:space="preserve"> accept work.</w:t>
      </w:r>
    </w:p>
    <w:p w:rsidR="00605592" w:rsidRDefault="00C941B2" w:rsidP="0095360B">
      <w:pPr>
        <w:pStyle w:val="ParaNumbering"/>
        <w:keepNext/>
        <w:keepLines/>
      </w:pPr>
      <w:r>
        <w:t>Clause 20 provides:</w:t>
      </w:r>
    </w:p>
    <w:p w:rsidR="00C941B2" w:rsidRPr="001556A2" w:rsidRDefault="00C941B2" w:rsidP="0095360B">
      <w:pPr>
        <w:pStyle w:val="Quote1"/>
        <w:keepNext/>
        <w:keepLines/>
        <w:ind w:left="1440" w:hanging="703"/>
        <w:rPr>
          <w:b/>
        </w:rPr>
      </w:pPr>
      <w:r w:rsidRPr="001556A2">
        <w:rPr>
          <w:b/>
        </w:rPr>
        <w:t>20</w:t>
      </w:r>
      <w:r w:rsidRPr="001556A2">
        <w:rPr>
          <w:b/>
        </w:rPr>
        <w:tab/>
        <w:t>QUALIFICATIONS, TICKETS, INDUCTIONS &amp; RESTRAINT GUARANTEE</w:t>
      </w:r>
    </w:p>
    <w:p w:rsidR="00C941B2" w:rsidRDefault="00C941B2" w:rsidP="00C941B2">
      <w:pPr>
        <w:pStyle w:val="Quote2"/>
      </w:pPr>
      <w:r>
        <w:t xml:space="preserve">The parties recognise that the employer invests substantial time and money in training employees.  Employees attend detailed training including but not limited to mine induction courses, site/project specific induction courses and medical reports at high cost to the employer in time, fees and lost opportunity. The parties agree that employees will warrant and guarantee these qualifications, tickets, inductions, results and access authorities for the exclusive benefit of the employer for a period of nine weeks from the date of obtainment. Excluding the General Safety Induction course being the </w:t>
      </w:r>
      <w:r w:rsidR="00ED139E">
        <w:t>‘</w:t>
      </w:r>
      <w:r>
        <w:t>Work Safely in the Construction Industry</w:t>
      </w:r>
      <w:r w:rsidR="00ED139E">
        <w:t>’</w:t>
      </w:r>
      <w:r>
        <w:t xml:space="preserve"> CPCCOHS1001A.</w:t>
      </w:r>
    </w:p>
    <w:p w:rsidR="00C941B2" w:rsidRDefault="00721AAB" w:rsidP="0006378F">
      <w:pPr>
        <w:pStyle w:val="Quote2"/>
      </w:pPr>
      <w:r>
        <w:t>…</w:t>
      </w:r>
    </w:p>
    <w:p w:rsidR="0006378F" w:rsidRDefault="0006378F" w:rsidP="0006378F">
      <w:pPr>
        <w:pStyle w:val="ParaNumbering"/>
      </w:pPr>
      <w:r>
        <w:t xml:space="preserve">The Commissioner submits that the requirement for employees to warrant and guarantee qualifications, </w:t>
      </w:r>
      <w:proofErr w:type="spellStart"/>
      <w:r>
        <w:t>etc</w:t>
      </w:r>
      <w:proofErr w:type="spellEnd"/>
      <w:r>
        <w:t xml:space="preserve">, </w:t>
      </w:r>
      <w:r w:rsidR="00770C00">
        <w:t>“</w:t>
      </w:r>
      <w:r w:rsidRPr="0006378F">
        <w:t>for the exclusive benefit of the employer for a period of nine weeks</w:t>
      </w:r>
      <w:r w:rsidR="00770C00">
        <w:t>”</w:t>
      </w:r>
      <w:r>
        <w:t xml:space="preserve">, is inconsistent with employees being entitled to refuse to accept work. </w:t>
      </w:r>
      <w:r w:rsidR="00721AAB">
        <w:t xml:space="preserve">That may </w:t>
      </w:r>
      <w:r w:rsidR="00227A19">
        <w:t xml:space="preserve">be </w:t>
      </w:r>
      <w:r w:rsidR="00721AAB">
        <w:t xml:space="preserve">inconsistent with the ordinary </w:t>
      </w:r>
      <w:r w:rsidR="00284101">
        <w:t>char</w:t>
      </w:r>
      <w:r w:rsidR="001D5EF3">
        <w:t>a</w:t>
      </w:r>
      <w:r w:rsidR="004E3080">
        <w:t>ct</w:t>
      </w:r>
      <w:r w:rsidR="00284101">
        <w:t xml:space="preserve">eristic of casual employment that an employee is free to accept work with </w:t>
      </w:r>
      <w:r w:rsidR="006758A7">
        <w:t xml:space="preserve">other </w:t>
      </w:r>
      <w:r w:rsidR="00284101">
        <w:t>employer</w:t>
      </w:r>
      <w:r w:rsidR="006758A7">
        <w:t>s</w:t>
      </w:r>
      <w:r w:rsidR="00284101">
        <w:t>, but I cannot see any inconsistency with the notion that the employee</w:t>
      </w:r>
      <w:r w:rsidR="00721AAB">
        <w:t xml:space="preserve"> is free to refuse to accept</w:t>
      </w:r>
      <w:r w:rsidR="00284101">
        <w:t xml:space="preserve"> work</w:t>
      </w:r>
      <w:r w:rsidR="00721AAB">
        <w:t xml:space="preserve"> </w:t>
      </w:r>
      <w:r w:rsidR="00B42357">
        <w:t xml:space="preserve">offered </w:t>
      </w:r>
      <w:r w:rsidR="00721AAB">
        <w:t xml:space="preserve">by </w:t>
      </w:r>
      <w:r w:rsidR="00AC135F">
        <w:t>PJ Walsh Constructions</w:t>
      </w:r>
      <w:r w:rsidR="00284101">
        <w:t>.</w:t>
      </w:r>
    </w:p>
    <w:p w:rsidR="00284101" w:rsidRDefault="00284101" w:rsidP="0006378F">
      <w:pPr>
        <w:pStyle w:val="ParaNumbering"/>
      </w:pPr>
      <w:r>
        <w:t xml:space="preserve">Finally, the Commissioner points out that in Appendix A, every position from </w:t>
      </w:r>
      <w:r w:rsidR="00770C00">
        <w:t>“</w:t>
      </w:r>
      <w:r>
        <w:t>junior admin</w:t>
      </w:r>
      <w:r w:rsidR="00770C00">
        <w:t>”</w:t>
      </w:r>
      <w:r>
        <w:t xml:space="preserve"> to </w:t>
      </w:r>
      <w:r w:rsidR="00770C00">
        <w:t>“</w:t>
      </w:r>
      <w:r>
        <w:t>supervisor</w:t>
      </w:r>
      <w:r w:rsidR="00770C00">
        <w:t>”</w:t>
      </w:r>
      <w:r>
        <w:t xml:space="preserve"> is listed as </w:t>
      </w:r>
      <w:r w:rsidR="00770C00">
        <w:t>“</w:t>
      </w:r>
      <w:r>
        <w:t>casual</w:t>
      </w:r>
      <w:r w:rsidR="00770C00">
        <w:t>”</w:t>
      </w:r>
      <w:r>
        <w:t xml:space="preserve">. The submission </w:t>
      </w:r>
      <w:r w:rsidR="006758A7">
        <w:t xml:space="preserve">seems to be </w:t>
      </w:r>
      <w:r>
        <w:t xml:space="preserve">that </w:t>
      </w:r>
      <w:r w:rsidR="00B42357">
        <w:t>it could not be intended that all such employees could</w:t>
      </w:r>
      <w:r>
        <w:t xml:space="preserve"> be entitled to refuse to accept work. I cannot see why thi</w:t>
      </w:r>
      <w:r w:rsidR="006758A7">
        <w:t>s must be so. The business model used</w:t>
      </w:r>
      <w:r>
        <w:t xml:space="preserve"> by the employer is </w:t>
      </w:r>
      <w:r w:rsidR="006758A7">
        <w:t xml:space="preserve">to engage every </w:t>
      </w:r>
      <w:r w:rsidR="00AF1043">
        <w:t xml:space="preserve">employee </w:t>
      </w:r>
      <w:r w:rsidR="006758A7">
        <w:t xml:space="preserve">as </w:t>
      </w:r>
      <w:r>
        <w:t>a casual at the start of their employment.</w:t>
      </w:r>
      <w:r w:rsidR="006758A7">
        <w:t xml:space="preserve"> </w:t>
      </w:r>
      <w:r w:rsidR="00721AAB">
        <w:t xml:space="preserve">If the employees </w:t>
      </w:r>
      <w:r w:rsidR="0077235C">
        <w:t xml:space="preserve">refuse offers of work, they take the risk that they will not be </w:t>
      </w:r>
      <w:r>
        <w:t xml:space="preserve">offered further work.  </w:t>
      </w:r>
      <w:r w:rsidR="0077235C">
        <w:t xml:space="preserve">That is likely to </w:t>
      </w:r>
      <w:r w:rsidR="00721AAB">
        <w:t xml:space="preserve">result in work generally being accepted. </w:t>
      </w:r>
      <w:r w:rsidR="00AF1043">
        <w:t xml:space="preserve">Further, the Enterprise Agreement does not prevent the employer </w:t>
      </w:r>
      <w:r w:rsidR="008C6271">
        <w:t xml:space="preserve">and employee </w:t>
      </w:r>
      <w:r w:rsidR="00AF1043">
        <w:t>from converting the casual emp</w:t>
      </w:r>
      <w:r w:rsidR="0077235C">
        <w:t>loyment to</w:t>
      </w:r>
      <w:r w:rsidR="00721AAB">
        <w:t xml:space="preserve"> permanent employment (noting</w:t>
      </w:r>
      <w:r w:rsidR="0077235C">
        <w:t xml:space="preserve"> that the inclusive, flat rate could not </w:t>
      </w:r>
      <w:r w:rsidR="00721AAB">
        <w:t xml:space="preserve">overcome any inconsistent </w:t>
      </w:r>
      <w:r w:rsidR="004D3DAA">
        <w:t xml:space="preserve">provisions </w:t>
      </w:r>
      <w:r w:rsidR="0077235C">
        <w:t>of the National Employment Standards).</w:t>
      </w:r>
    </w:p>
    <w:p w:rsidR="00AF1043" w:rsidRDefault="00721AAB" w:rsidP="00D84E0E">
      <w:pPr>
        <w:pStyle w:val="ParaNumbering"/>
      </w:pPr>
      <w:r>
        <w:lastRenderedPageBreak/>
        <w:t>I</w:t>
      </w:r>
      <w:r w:rsidR="00AF1043">
        <w:t xml:space="preserve">f </w:t>
      </w:r>
      <w:proofErr w:type="spellStart"/>
      <w:r w:rsidR="00A737F7">
        <w:t>cll</w:t>
      </w:r>
      <w:proofErr w:type="spellEnd"/>
      <w:r w:rsidR="007D750F">
        <w:t> </w:t>
      </w:r>
      <w:r w:rsidR="00284101">
        <w:t xml:space="preserve">14.4, 15.1, 15.2 and 17.1.2 </w:t>
      </w:r>
      <w:r>
        <w:t>apply to casu</w:t>
      </w:r>
      <w:r w:rsidR="00AF1043">
        <w:t xml:space="preserve">al employees, </w:t>
      </w:r>
      <w:r>
        <w:t xml:space="preserve">I would accept that </w:t>
      </w:r>
      <w:r w:rsidR="00AF1043">
        <w:t xml:space="preserve">they are </w:t>
      </w:r>
      <w:r w:rsidR="00A737F7">
        <w:t xml:space="preserve">consistent with </w:t>
      </w:r>
      <w:r w:rsidR="0077235C">
        <w:t xml:space="preserve">the existence of </w:t>
      </w:r>
      <w:r w:rsidR="00A737F7">
        <w:t xml:space="preserve">an obligation on </w:t>
      </w:r>
      <w:r w:rsidR="00284101">
        <w:t xml:space="preserve">casual </w:t>
      </w:r>
      <w:r w:rsidR="00A737F7">
        <w:t xml:space="preserve">employees to accept </w:t>
      </w:r>
      <w:r>
        <w:t xml:space="preserve">the </w:t>
      </w:r>
      <w:r w:rsidR="00A737F7">
        <w:t xml:space="preserve">work they </w:t>
      </w:r>
      <w:r w:rsidR="00AF1043">
        <w:t xml:space="preserve">are offered. </w:t>
      </w:r>
      <w:r w:rsidR="0077235C">
        <w:t xml:space="preserve">These clauses, on their face, </w:t>
      </w:r>
      <w:r>
        <w:t xml:space="preserve">appear to apply to </w:t>
      </w:r>
      <w:r w:rsidR="00AF1043">
        <w:t>casual</w:t>
      </w:r>
      <w:r>
        <w:t>, as well as</w:t>
      </w:r>
      <w:r w:rsidR="00AF1043">
        <w:t xml:space="preserve"> permanent</w:t>
      </w:r>
      <w:r>
        <w:t>,</w:t>
      </w:r>
      <w:r w:rsidR="00AF1043">
        <w:t xml:space="preserve"> emp</w:t>
      </w:r>
      <w:r w:rsidR="0095360B">
        <w:t>loyees.  However, an alternative, and, in my opinion, preferable</w:t>
      </w:r>
      <w:r w:rsidR="00230DEE">
        <w:t>,</w:t>
      </w:r>
      <w:r w:rsidR="0095360B">
        <w:t xml:space="preserve"> construction </w:t>
      </w:r>
      <w:r w:rsidR="00AF1043">
        <w:t xml:space="preserve">is that they apply only to permanent employees. </w:t>
      </w:r>
      <w:r w:rsidR="00A737F7">
        <w:t xml:space="preserve"> </w:t>
      </w:r>
    </w:p>
    <w:p w:rsidR="0069787C" w:rsidRDefault="00892870" w:rsidP="00D84E0E">
      <w:pPr>
        <w:pStyle w:val="ParaNumbering"/>
      </w:pPr>
      <w:r>
        <w:t xml:space="preserve">There are clear </w:t>
      </w:r>
      <w:r w:rsidR="004A1DB0">
        <w:t xml:space="preserve">and compelling </w:t>
      </w:r>
      <w:r>
        <w:t xml:space="preserve">indications in the Enterprise Agreement that the employees described as </w:t>
      </w:r>
      <w:r w:rsidR="00230DEE">
        <w:t>“</w:t>
      </w:r>
      <w:r>
        <w:t>casual employees</w:t>
      </w:r>
      <w:r w:rsidR="00230DEE">
        <w:t>”</w:t>
      </w:r>
      <w:r>
        <w:t xml:space="preserve"> are casual employees</w:t>
      </w:r>
      <w:r w:rsidR="00FD4228">
        <w:t xml:space="preserve"> in the ordinary sense</w:t>
      </w:r>
      <w:r w:rsidR="00230DEE">
        <w:t>,</w:t>
      </w:r>
      <w:r w:rsidR="008C6271">
        <w:t xml:space="preserve"> </w:t>
      </w:r>
      <w:r w:rsidR="00230DEE">
        <w:t xml:space="preserve">such </w:t>
      </w:r>
      <w:r w:rsidR="008C6271">
        <w:t>that they are entitled to refuse offers of work</w:t>
      </w:r>
      <w:r>
        <w:t xml:space="preserve">. These indications include cl 6.2.1 (which states, </w:t>
      </w:r>
      <w:r w:rsidR="00770C00">
        <w:t>“</w:t>
      </w:r>
      <w:r>
        <w:t>Casual employment shall mean an employee engaged by the hour</w:t>
      </w:r>
      <w:r w:rsidR="00770C00">
        <w:t>”</w:t>
      </w:r>
      <w:r>
        <w:t xml:space="preserve">), cl 6.2.3 (which provides that, </w:t>
      </w:r>
      <w:r w:rsidR="00770C00">
        <w:t>“</w:t>
      </w:r>
      <w:r>
        <w:t>An employee may choose not to remain at work for the minimum engagement period</w:t>
      </w:r>
      <w:r w:rsidR="00227A19">
        <w:t>”</w:t>
      </w:r>
      <w:r>
        <w:t xml:space="preserve">) and a flat rate of pay (which includes a casual loading and compensates for the absence of annual leave, sick leave and redundancy pay).  </w:t>
      </w:r>
      <w:r w:rsidR="00230DEE">
        <w:t>Further</w:t>
      </w:r>
      <w:r w:rsidR="0069787C">
        <w:t xml:space="preserve">, the Enterprise Agreement does not impose any obligation on the employer to provide work, and that is inconsistent with any obligation on </w:t>
      </w:r>
      <w:r w:rsidR="001F6E58">
        <w:t xml:space="preserve">casual </w:t>
      </w:r>
      <w:r w:rsidR="0069787C">
        <w:t xml:space="preserve">employees to accept such work as is offered. The passages from </w:t>
      </w:r>
      <w:r w:rsidR="0069787C" w:rsidRPr="00336E9E">
        <w:rPr>
          <w:i/>
        </w:rPr>
        <w:t>Skene</w:t>
      </w:r>
      <w:r w:rsidR="0069787C">
        <w:t xml:space="preserve"> at [172]</w:t>
      </w:r>
      <w:r w:rsidR="005456CA">
        <w:t>–</w:t>
      </w:r>
      <w:r w:rsidR="0069787C">
        <w:t xml:space="preserve">[173] emphasise that ordinarily there is no obligation on employers to provide work to casual employees, and no </w:t>
      </w:r>
      <w:r w:rsidR="00230DEE">
        <w:t xml:space="preserve">corresponding </w:t>
      </w:r>
      <w:r w:rsidR="0069787C">
        <w:t xml:space="preserve">obligation on casual employees to accept work. </w:t>
      </w:r>
    </w:p>
    <w:p w:rsidR="00A12F4F" w:rsidRDefault="0069787C" w:rsidP="00D84E0E">
      <w:pPr>
        <w:pStyle w:val="ParaNumbering"/>
      </w:pPr>
      <w:r>
        <w:t>Clauses</w:t>
      </w:r>
      <w:r w:rsidR="00316188">
        <w:t xml:space="preserve"> 15</w:t>
      </w:r>
      <w:r w:rsidR="00A737F7">
        <w:t xml:space="preserve">.1 and 15.2 </w:t>
      </w:r>
      <w:r>
        <w:t>are perhaps the high point of the Commissioner</w:t>
      </w:r>
      <w:r w:rsidR="00ED139E">
        <w:t>’</w:t>
      </w:r>
      <w:r>
        <w:t xml:space="preserve">s argument, since they </w:t>
      </w:r>
      <w:r w:rsidR="00230DEE">
        <w:t xml:space="preserve">may </w:t>
      </w:r>
      <w:r>
        <w:t>suggest that the employ</w:t>
      </w:r>
      <w:r w:rsidR="00230DEE">
        <w:t>er can</w:t>
      </w:r>
      <w:r w:rsidR="001F6E58">
        <w:t xml:space="preserve"> </w:t>
      </w:r>
      <w:r w:rsidR="001F6E58" w:rsidRPr="0021677C">
        <w:rPr>
          <w:i/>
        </w:rPr>
        <w:t>require</w:t>
      </w:r>
      <w:r w:rsidR="001F6E58">
        <w:t xml:space="preserve"> casual</w:t>
      </w:r>
      <w:r>
        <w:t xml:space="preserve"> employees to work. If those clauses apply to casual employe</w:t>
      </w:r>
      <w:r w:rsidR="001F6E58">
        <w:t>e</w:t>
      </w:r>
      <w:r>
        <w:t xml:space="preserve">s, </w:t>
      </w:r>
      <w:r w:rsidR="00A737F7">
        <w:t xml:space="preserve">they do so without </w:t>
      </w:r>
      <w:r w:rsidR="001D3426">
        <w:t xml:space="preserve">the Enterprise Agreement </w:t>
      </w:r>
      <w:r w:rsidR="00A737F7">
        <w:t>imposing any corresponding obligation o</w:t>
      </w:r>
      <w:r w:rsidR="00336E9E">
        <w:t>n</w:t>
      </w:r>
      <w:r w:rsidR="00A737F7">
        <w:t xml:space="preserve"> the </w:t>
      </w:r>
      <w:r w:rsidR="00336E9E">
        <w:t>employer</w:t>
      </w:r>
      <w:r w:rsidR="00A737F7">
        <w:t xml:space="preserve"> to offer work. </w:t>
      </w:r>
      <w:r w:rsidR="00FD4228">
        <w:t>Such an</w:t>
      </w:r>
      <w:r w:rsidR="00892870">
        <w:t xml:space="preserve"> </w:t>
      </w:r>
      <w:r w:rsidR="00FD4228">
        <w:t xml:space="preserve">imbalance seems </w:t>
      </w:r>
      <w:r w:rsidR="00336E9E">
        <w:t>unlikely</w:t>
      </w:r>
      <w:r w:rsidR="00721AAB">
        <w:t xml:space="preserve"> to have been intended</w:t>
      </w:r>
      <w:r w:rsidR="001F6E58">
        <w:t>, for reasons including that if such casual employees</w:t>
      </w:r>
      <w:r w:rsidR="00FD4228">
        <w:t xml:space="preserve"> </w:t>
      </w:r>
      <w:r w:rsidR="001F6E58">
        <w:t xml:space="preserve">took </w:t>
      </w:r>
      <w:r w:rsidR="00FD4228">
        <w:t xml:space="preserve">up employment with </w:t>
      </w:r>
      <w:r w:rsidR="001F6E58">
        <w:t xml:space="preserve">another employer and refused a subsequent offer of work from </w:t>
      </w:r>
      <w:r w:rsidR="00AC135F">
        <w:t>PJ Walsh Constructions</w:t>
      </w:r>
      <w:r w:rsidR="00230DEE">
        <w:t xml:space="preserve"> for the same day, they may be in contravention of</w:t>
      </w:r>
      <w:r w:rsidR="001F6E58">
        <w:t xml:space="preserve"> the Enterprise Agreement and s 50 of </w:t>
      </w:r>
      <w:r w:rsidR="00997F6D">
        <w:t>FW</w:t>
      </w:r>
      <w:r w:rsidR="001F6E58">
        <w:t xml:space="preserve"> </w:t>
      </w:r>
      <w:r w:rsidR="00BC2E3D">
        <w:t>Act</w:t>
      </w:r>
      <w:r w:rsidR="001F6E58">
        <w:t>.</w:t>
      </w:r>
    </w:p>
    <w:p w:rsidR="00D13ED3" w:rsidRDefault="00230DEE" w:rsidP="00D13ED3">
      <w:pPr>
        <w:pStyle w:val="ParaNumbering"/>
      </w:pPr>
      <w:r>
        <w:t>The</w:t>
      </w:r>
      <w:r w:rsidR="00FD4228">
        <w:t xml:space="preserve"> Enterprise Agreement </w:t>
      </w:r>
      <w:r w:rsidR="0021677C">
        <w:t xml:space="preserve">may </w:t>
      </w:r>
      <w:r w:rsidR="00FD4228">
        <w:t xml:space="preserve">aptly </w:t>
      </w:r>
      <w:r w:rsidR="0021677C">
        <w:t xml:space="preserve">be </w:t>
      </w:r>
      <w:r w:rsidR="00FD4228">
        <w:t xml:space="preserve">described as, </w:t>
      </w:r>
      <w:r w:rsidR="00770C00">
        <w:t>“</w:t>
      </w:r>
      <w:r w:rsidR="00FD4228">
        <w:t xml:space="preserve">couched in terms intelligible to the parties but without the careful attention to form and </w:t>
      </w:r>
      <w:proofErr w:type="spellStart"/>
      <w:r w:rsidR="00FD4228">
        <w:t>draftsmanship</w:t>
      </w:r>
      <w:proofErr w:type="spellEnd"/>
      <w:r w:rsidR="00FD4228">
        <w:t xml:space="preserve"> that one expects to find in an </w:t>
      </w:r>
      <w:r w:rsidR="00BC2E3D">
        <w:t>Act</w:t>
      </w:r>
      <w:r w:rsidR="00FD4228">
        <w:t xml:space="preserve"> of Parliament</w:t>
      </w:r>
      <w:r w:rsidR="00770C00">
        <w:t>”</w:t>
      </w:r>
      <w:r w:rsidR="00FD4228">
        <w:t xml:space="preserve">: </w:t>
      </w:r>
      <w:r w:rsidR="00FD4228" w:rsidRPr="00D13ED3">
        <w:rPr>
          <w:i/>
        </w:rPr>
        <w:t>Skene</w:t>
      </w:r>
      <w:r w:rsidR="00FD4228">
        <w:t xml:space="preserve"> at [</w:t>
      </w:r>
      <w:r w:rsidR="00316188">
        <w:t>197</w:t>
      </w:r>
      <w:r w:rsidR="00FD4228">
        <w:t xml:space="preserve">].  The apparently conflicting </w:t>
      </w:r>
      <w:r w:rsidR="001D3426" w:rsidRPr="001D3426">
        <w:t>clauses must be reco</w:t>
      </w:r>
      <w:r w:rsidR="001F6E58">
        <w:t>nciled</w:t>
      </w:r>
      <w:r w:rsidR="001D3426" w:rsidRPr="001D3426">
        <w:t xml:space="preserve"> if possible, so </w:t>
      </w:r>
      <w:r w:rsidR="00FD4228">
        <w:t>that the Enterprise Agreement can be understood as a coherent whole</w:t>
      </w:r>
      <w:r w:rsidR="001D3426" w:rsidRPr="001D3426">
        <w:t xml:space="preserve">. </w:t>
      </w:r>
      <w:r w:rsidR="00270B21">
        <w:t xml:space="preserve">That can be done by taking into account that </w:t>
      </w:r>
      <w:r w:rsidR="00316188">
        <w:t xml:space="preserve">the </w:t>
      </w:r>
      <w:r w:rsidR="00FD4228">
        <w:t xml:space="preserve">Enterprise </w:t>
      </w:r>
      <w:r w:rsidR="00270B21">
        <w:t xml:space="preserve">Agreement covers both </w:t>
      </w:r>
      <w:r w:rsidR="00FD4228">
        <w:t>casual and</w:t>
      </w:r>
      <w:r w:rsidR="00270B21">
        <w:t xml:space="preserve"> permanent employees</w:t>
      </w:r>
      <w:r w:rsidR="00FD4228">
        <w:t xml:space="preserve">. </w:t>
      </w:r>
      <w:r w:rsidR="004A1DB0">
        <w:t xml:space="preserve">In my opinion, </w:t>
      </w:r>
      <w:proofErr w:type="spellStart"/>
      <w:r w:rsidR="00FD4228">
        <w:t>cll</w:t>
      </w:r>
      <w:proofErr w:type="spellEnd"/>
      <w:r w:rsidR="00FD4228">
        <w:t xml:space="preserve"> 15.1 and 15.2 should be</w:t>
      </w:r>
      <w:r w:rsidR="00A12F4F">
        <w:t xml:space="preserve"> </w:t>
      </w:r>
      <w:r w:rsidR="00FD4228">
        <w:t xml:space="preserve">construed </w:t>
      </w:r>
      <w:r w:rsidR="00A12F4F">
        <w:t>as applying</w:t>
      </w:r>
      <w:r w:rsidR="00336E9E">
        <w:t xml:space="preserve"> </w:t>
      </w:r>
      <w:r w:rsidR="004A1DB0">
        <w:t xml:space="preserve">only to </w:t>
      </w:r>
      <w:r w:rsidR="00336E9E">
        <w:t xml:space="preserve">permanent employees, </w:t>
      </w:r>
      <w:r w:rsidR="00FD4228">
        <w:t xml:space="preserve">and not </w:t>
      </w:r>
      <w:r w:rsidR="00336E9E">
        <w:t xml:space="preserve">casuals. </w:t>
      </w:r>
      <w:r>
        <w:t xml:space="preserve">While these </w:t>
      </w:r>
      <w:r w:rsidR="00336E9E">
        <w:t xml:space="preserve">clauses are </w:t>
      </w:r>
      <w:r w:rsidR="00D9224C">
        <w:t>not expressed</w:t>
      </w:r>
      <w:r w:rsidR="00336E9E">
        <w:t xml:space="preserve"> to be limi</w:t>
      </w:r>
      <w:r>
        <w:t>ted to permanent employees, that</w:t>
      </w:r>
      <w:r w:rsidR="00336E9E">
        <w:t xml:space="preserve"> construction fits best with</w:t>
      </w:r>
      <w:r w:rsidR="00D9224C">
        <w:t xml:space="preserve"> the overall scheme of the Enterprise Agreement</w:t>
      </w:r>
      <w:r w:rsidR="00336E9E">
        <w:t xml:space="preserve">. </w:t>
      </w:r>
      <w:r w:rsidR="00FD4228">
        <w:t xml:space="preserve">Clauses </w:t>
      </w:r>
      <w:r w:rsidR="00A12F4F">
        <w:t>14.4 and 17.1.2 should be construed in the same way.</w:t>
      </w:r>
      <w:r w:rsidR="00D13ED3" w:rsidRPr="00D13ED3">
        <w:t xml:space="preserve"> </w:t>
      </w:r>
    </w:p>
    <w:p w:rsidR="00270B21" w:rsidRDefault="004A1DB0" w:rsidP="00270B21">
      <w:pPr>
        <w:pStyle w:val="ParaNumbering"/>
      </w:pPr>
      <w:r>
        <w:lastRenderedPageBreak/>
        <w:t xml:space="preserve">In my opinion, under </w:t>
      </w:r>
      <w:r w:rsidR="00D13ED3" w:rsidRPr="001D3426">
        <w:t>the Enterprise Agreement</w:t>
      </w:r>
      <w:r>
        <w:t xml:space="preserve">, </w:t>
      </w:r>
      <w:r w:rsidR="00D13ED3" w:rsidRPr="001D3426">
        <w:t>casual employees are not obliged to accept work offered to them</w:t>
      </w:r>
      <w:r>
        <w:t xml:space="preserve"> by the employer</w:t>
      </w:r>
      <w:r w:rsidR="00D13ED3" w:rsidRPr="001D3426">
        <w:t>.</w:t>
      </w:r>
      <w:r>
        <w:t xml:space="preserve"> Further, even if they accept an offer of emp</w:t>
      </w:r>
      <w:r w:rsidR="00230DEE">
        <w:t>loyment</w:t>
      </w:r>
      <w:r>
        <w:t xml:space="preserve">, they are not obliged to remain </w:t>
      </w:r>
      <w:r w:rsidR="008100C8">
        <w:t xml:space="preserve">at </w:t>
      </w:r>
      <w:r>
        <w:t>work for the minimum four hour</w:t>
      </w:r>
      <w:r w:rsidR="00837823">
        <w:t>s that must be offered</w:t>
      </w:r>
      <w:r>
        <w:t xml:space="preserve">. </w:t>
      </w:r>
    </w:p>
    <w:p w:rsidR="00270B21" w:rsidRPr="00E3196B" w:rsidRDefault="004A1DB0" w:rsidP="00E3196B">
      <w:pPr>
        <w:pStyle w:val="Heading3"/>
      </w:pPr>
      <w:r w:rsidRPr="00E3196B">
        <w:t>Whether the</w:t>
      </w:r>
      <w:r w:rsidR="00CD62D3">
        <w:t xml:space="preserve"> ac</w:t>
      </w:r>
      <w:r w:rsidR="004E3080" w:rsidRPr="00E3196B">
        <w:t>tion</w:t>
      </w:r>
      <w:r w:rsidR="008D075D" w:rsidRPr="00E3196B">
        <w:t xml:space="preserve"> taken does not, upon the proper construction of paras (a), (b)</w:t>
      </w:r>
      <w:r w:rsidR="00A737F7" w:rsidRPr="00E3196B">
        <w:t xml:space="preserve"> and (c) of s 7(1) of the </w:t>
      </w:r>
      <w:r w:rsidR="00BC2E3D">
        <w:t>BCI Act</w:t>
      </w:r>
      <w:r w:rsidR="00A737F7" w:rsidRPr="00E3196B">
        <w:t xml:space="preserve">, </w:t>
      </w:r>
      <w:r w:rsidR="008D075D" w:rsidRPr="00E3196B">
        <w:t xml:space="preserve">fall within the definition of </w:t>
      </w:r>
      <w:r w:rsidR="00770C00">
        <w:t>“</w:t>
      </w:r>
      <w:r w:rsidR="00CD62D3">
        <w:t>industrial a</w:t>
      </w:r>
      <w:r w:rsidR="004E3080" w:rsidRPr="00E3196B">
        <w:t>ction</w:t>
      </w:r>
      <w:r w:rsidR="00770C00">
        <w:t>”</w:t>
      </w:r>
    </w:p>
    <w:p w:rsidR="00D84E0E" w:rsidRDefault="00D84E0E" w:rsidP="00B178F0">
      <w:pPr>
        <w:pStyle w:val="ParaNumbering"/>
        <w:keepNext/>
        <w:keepLines/>
      </w:pPr>
      <w:r>
        <w:t xml:space="preserve">The Commissioner alleges that on 11, </w:t>
      </w:r>
      <w:r w:rsidR="00A06F8F">
        <w:t>12, 13 and 14 March 2019, the</w:t>
      </w:r>
      <w:r w:rsidR="00D347C3">
        <w:t xml:space="preserve"> E</w:t>
      </w:r>
      <w:r>
        <w:t>mployees</w:t>
      </w:r>
      <w:r w:rsidR="004A1DB0">
        <w:t xml:space="preserve"> engaged in</w:t>
      </w:r>
      <w:r w:rsidR="005E1841">
        <w:t xml:space="preserve"> </w:t>
      </w:r>
      <w:r w:rsidR="00770C00">
        <w:t>“</w:t>
      </w:r>
      <w:r w:rsidR="005E1841">
        <w:t xml:space="preserve">industrial </w:t>
      </w:r>
      <w:r w:rsidR="00CD62D3">
        <w:t>a</w:t>
      </w:r>
      <w:r w:rsidR="004E3080">
        <w:t>ction</w:t>
      </w:r>
      <w:r w:rsidR="00770C00">
        <w:t>”</w:t>
      </w:r>
      <w:r w:rsidR="005E1841">
        <w:t xml:space="preserve"> within s 7(1) of the </w:t>
      </w:r>
      <w:r w:rsidR="00BC2E3D">
        <w:t>BCI Act</w:t>
      </w:r>
      <w:r w:rsidR="005E1841">
        <w:t xml:space="preserve"> by</w:t>
      </w:r>
      <w:r>
        <w:t>:</w:t>
      </w:r>
    </w:p>
    <w:p w:rsidR="00D84E0E" w:rsidRDefault="0059213A" w:rsidP="00BB609E">
      <w:pPr>
        <w:pStyle w:val="ListNo1"/>
        <w:numPr>
          <w:ilvl w:val="0"/>
          <w:numId w:val="0"/>
        </w:numPr>
        <w:ind w:left="720" w:hanging="720"/>
      </w:pPr>
      <w:r>
        <w:t>(1</w:t>
      </w:r>
      <w:r w:rsidR="00D347C3">
        <w:t>)</w:t>
      </w:r>
      <w:r w:rsidR="00D347C3">
        <w:tab/>
        <w:t xml:space="preserve">performing building work in a manner </w:t>
      </w:r>
      <w:r w:rsidR="00D84E0E">
        <w:t xml:space="preserve">different from that </w:t>
      </w:r>
      <w:r w:rsidR="00D347C3">
        <w:t xml:space="preserve">in which it </w:t>
      </w:r>
      <w:r w:rsidR="008100C8">
        <w:t xml:space="preserve">is </w:t>
      </w:r>
      <w:r w:rsidR="00D84E0E">
        <w:t>customarily performed</w:t>
      </w:r>
      <w:r w:rsidR="005E1841">
        <w:t>:</w:t>
      </w:r>
      <w:r w:rsidR="00D84E0E">
        <w:t xml:space="preserve"> </w:t>
      </w:r>
      <w:r w:rsidR="0055132E">
        <w:t>s </w:t>
      </w:r>
      <w:r w:rsidR="00D84E0E">
        <w:t>7(</w:t>
      </w:r>
      <w:r w:rsidR="0055132E">
        <w:t>1</w:t>
      </w:r>
      <w:r w:rsidR="005E1841">
        <w:t>)(a)</w:t>
      </w:r>
      <w:r w:rsidR="00D84E0E">
        <w:t>;</w:t>
      </w:r>
    </w:p>
    <w:p w:rsidR="0055132E" w:rsidRDefault="0059213A" w:rsidP="00BB609E">
      <w:pPr>
        <w:pStyle w:val="ListNo1"/>
        <w:numPr>
          <w:ilvl w:val="0"/>
          <w:numId w:val="0"/>
        </w:numPr>
        <w:ind w:left="720" w:hanging="720"/>
      </w:pPr>
      <w:r>
        <w:t>(2</w:t>
      </w:r>
      <w:r w:rsidR="005E1841">
        <w:t>)</w:t>
      </w:r>
      <w:r w:rsidR="005E1841">
        <w:tab/>
        <w:t>placing</w:t>
      </w:r>
      <w:r w:rsidR="00D84E0E">
        <w:t xml:space="preserve"> a ban on </w:t>
      </w:r>
      <w:r w:rsidR="00D347C3">
        <w:t xml:space="preserve">the performance of </w:t>
      </w:r>
      <w:r w:rsidR="00D84E0E">
        <w:t>building work</w:t>
      </w:r>
      <w:r w:rsidR="00D347C3">
        <w:t>,</w:t>
      </w:r>
      <w:r w:rsidR="00D84E0E">
        <w:t xml:space="preserve"> or </w:t>
      </w:r>
      <w:r w:rsidR="00D347C3">
        <w:t>on the acceptance of</w:t>
      </w:r>
      <w:r w:rsidR="00C2763F">
        <w:t>,</w:t>
      </w:r>
      <w:r w:rsidR="00D347C3">
        <w:t xml:space="preserve"> or </w:t>
      </w:r>
      <w:r w:rsidR="00D84E0E">
        <w:t>offering</w:t>
      </w:r>
      <w:r w:rsidR="00D347C3">
        <w:t xml:space="preserve"> for</w:t>
      </w:r>
      <w:r w:rsidR="00500B5F">
        <w:t>,</w:t>
      </w:r>
      <w:r w:rsidR="005E1841">
        <w:t xml:space="preserve"> building work:</w:t>
      </w:r>
      <w:r w:rsidR="00D84E0E">
        <w:t xml:space="preserve"> s</w:t>
      </w:r>
      <w:r w:rsidR="0055132E">
        <w:t> </w:t>
      </w:r>
      <w:r w:rsidR="00D84E0E">
        <w:t>7(</w:t>
      </w:r>
      <w:r w:rsidR="0055132E">
        <w:t>1)</w:t>
      </w:r>
      <w:r w:rsidR="00D84E0E">
        <w:t>(</w:t>
      </w:r>
      <w:r w:rsidR="0055132E">
        <w:t>b</w:t>
      </w:r>
      <w:r w:rsidR="00D84E0E">
        <w:t xml:space="preserve">); </w:t>
      </w:r>
    </w:p>
    <w:p w:rsidR="00D84E0E" w:rsidRDefault="0059213A" w:rsidP="00BB609E">
      <w:pPr>
        <w:pStyle w:val="ListNo1"/>
        <w:numPr>
          <w:ilvl w:val="0"/>
          <w:numId w:val="0"/>
        </w:numPr>
        <w:ind w:left="720" w:hanging="720"/>
      </w:pPr>
      <w:r>
        <w:t>(3</w:t>
      </w:r>
      <w:r w:rsidR="0055132E">
        <w:t>)</w:t>
      </w:r>
      <w:r w:rsidR="0055132E">
        <w:tab/>
      </w:r>
      <w:r w:rsidR="005E1841">
        <w:t xml:space="preserve">failing or refusing </w:t>
      </w:r>
      <w:r w:rsidR="00D84E0E">
        <w:t>to attend work</w:t>
      </w:r>
      <w:r w:rsidR="00D347C3">
        <w:t xml:space="preserve"> </w:t>
      </w:r>
      <w:r w:rsidR="00D84E0E">
        <w:t>or perform any building</w:t>
      </w:r>
      <w:r w:rsidR="005E1841">
        <w:t xml:space="preserve"> work at all:</w:t>
      </w:r>
      <w:r w:rsidR="00D84E0E">
        <w:t xml:space="preserve"> </w:t>
      </w:r>
      <w:r w:rsidR="0055132E">
        <w:t>s </w:t>
      </w:r>
      <w:r w:rsidR="00D84E0E">
        <w:t>7(</w:t>
      </w:r>
      <w:r w:rsidR="0055132E">
        <w:t>1</w:t>
      </w:r>
      <w:r w:rsidR="00D84E0E">
        <w:t>)(</w:t>
      </w:r>
      <w:r w:rsidR="0055132E">
        <w:t>c</w:t>
      </w:r>
      <w:r w:rsidR="00D84E0E">
        <w:t>).</w:t>
      </w:r>
    </w:p>
    <w:p w:rsidR="002478C9" w:rsidRDefault="009801DA" w:rsidP="002478C9">
      <w:pPr>
        <w:pStyle w:val="ParaNumbering"/>
      </w:pPr>
      <w:r>
        <w:t>The respondents submit that, properly construed, none of these provisions apply in the circumstances of the case.</w:t>
      </w:r>
    </w:p>
    <w:p w:rsidR="0059213A" w:rsidRPr="0059213A" w:rsidRDefault="0059213A" w:rsidP="00B178F0">
      <w:pPr>
        <w:pStyle w:val="Heading4"/>
      </w:pPr>
      <w:r>
        <w:t>Section</w:t>
      </w:r>
      <w:r w:rsidRPr="0059213A">
        <w:t xml:space="preserve"> 7(1)(a) of the </w:t>
      </w:r>
      <w:r w:rsidR="00BC2E3D">
        <w:t>BCI Act</w:t>
      </w:r>
    </w:p>
    <w:p w:rsidR="00AD590E" w:rsidRDefault="00D84E0E" w:rsidP="007C5271">
      <w:pPr>
        <w:pStyle w:val="ParaNumbering"/>
      </w:pPr>
      <w:r>
        <w:t xml:space="preserve">The respondents </w:t>
      </w:r>
      <w:r w:rsidR="0055132E">
        <w:t>sub</w:t>
      </w:r>
      <w:r>
        <w:t>mit that s</w:t>
      </w:r>
      <w:r w:rsidR="0055132E">
        <w:t> 7</w:t>
      </w:r>
      <w:r>
        <w:t>(</w:t>
      </w:r>
      <w:r w:rsidR="0055132E">
        <w:t xml:space="preserve">1)(a) </w:t>
      </w:r>
      <w:r w:rsidR="00500B5F">
        <w:t xml:space="preserve">of the BCI Act </w:t>
      </w:r>
      <w:r w:rsidR="0055132E">
        <w:t>ha</w:t>
      </w:r>
      <w:r>
        <w:t>s no operation in circumstances wh</w:t>
      </w:r>
      <w:r w:rsidR="005E1841">
        <w:t>er</w:t>
      </w:r>
      <w:r w:rsidR="00D347C3">
        <w:t>e no work is</w:t>
      </w:r>
      <w:r w:rsidR="005E1841">
        <w:t xml:space="preserve"> performed</w:t>
      </w:r>
      <w:r w:rsidR="00D347C3">
        <w:t xml:space="preserve"> at all</w:t>
      </w:r>
      <w:r>
        <w:t xml:space="preserve">.  I accept that submission.  </w:t>
      </w:r>
      <w:r w:rsidR="00500B5F">
        <w:t>That p</w:t>
      </w:r>
      <w:r>
        <w:t>ara</w:t>
      </w:r>
      <w:r w:rsidR="00270B21">
        <w:t>graph</w:t>
      </w:r>
      <w:r>
        <w:t xml:space="preserve"> </w:t>
      </w:r>
      <w:r w:rsidR="00D347C3">
        <w:t xml:space="preserve">relevantly </w:t>
      </w:r>
      <w:r>
        <w:t>refers to</w:t>
      </w:r>
      <w:r w:rsidR="00D347C3">
        <w:t>,</w:t>
      </w:r>
      <w:r>
        <w:t xml:space="preserve"> </w:t>
      </w:r>
      <w:r w:rsidR="00770C00">
        <w:t>“</w:t>
      </w:r>
      <w:r>
        <w:t>the performance of building work by an employee in a manner different from that in which it is customarily performed</w:t>
      </w:r>
      <w:r w:rsidR="00770C00">
        <w:t>”</w:t>
      </w:r>
      <w:r>
        <w:t xml:space="preserve">.  </w:t>
      </w:r>
      <w:r w:rsidR="00CD62D3">
        <w:t>That phrase applies</w:t>
      </w:r>
      <w:r w:rsidR="00270B21">
        <w:t xml:space="preserve"> to </w:t>
      </w:r>
      <w:r w:rsidR="00D347C3">
        <w:t>a situation such as</w:t>
      </w:r>
      <w:r>
        <w:t xml:space="preserve"> </w:t>
      </w:r>
      <w:r w:rsidR="00770C00">
        <w:t>“</w:t>
      </w:r>
      <w:r>
        <w:t>work to rule</w:t>
      </w:r>
      <w:r w:rsidR="00770C00">
        <w:t>”</w:t>
      </w:r>
      <w:r>
        <w:t xml:space="preserve"> where </w:t>
      </w:r>
      <w:r w:rsidR="00CD62D3">
        <w:t xml:space="preserve">some </w:t>
      </w:r>
      <w:r w:rsidR="007C5271">
        <w:t xml:space="preserve">work is </w:t>
      </w:r>
      <w:r>
        <w:t>performed</w:t>
      </w:r>
      <w:r w:rsidR="007C5271">
        <w:t xml:space="preserve"> but the manner of </w:t>
      </w:r>
      <w:r w:rsidR="00D347C3">
        <w:t xml:space="preserve">performance of the </w:t>
      </w:r>
      <w:r w:rsidR="007C5271">
        <w:t>work is different</w:t>
      </w:r>
      <w:r>
        <w:t>.  In my opinio</w:t>
      </w:r>
      <w:r w:rsidR="00CD62D3">
        <w:t xml:space="preserve">n, that phrase </w:t>
      </w:r>
      <w:r>
        <w:t>do</w:t>
      </w:r>
      <w:r w:rsidR="00AD590E">
        <w:t>es</w:t>
      </w:r>
      <w:r>
        <w:t xml:space="preserve"> not apply to </w:t>
      </w:r>
      <w:r w:rsidR="007C5271">
        <w:t xml:space="preserve">the </w:t>
      </w:r>
      <w:r w:rsidR="00CD62D3">
        <w:t xml:space="preserve">situation where </w:t>
      </w:r>
      <w:r w:rsidR="005E1841">
        <w:t>no work was performed at all between 11 am and 2 pm on 11 March and no work was performed at all on 12</w:t>
      </w:r>
      <w:r w:rsidR="008100C8">
        <w:t>,</w:t>
      </w:r>
      <w:r w:rsidR="005E1841">
        <w:t xml:space="preserve"> 13 </w:t>
      </w:r>
      <w:r w:rsidR="008100C8">
        <w:t xml:space="preserve">and 14 </w:t>
      </w:r>
      <w:r w:rsidR="005E1841">
        <w:t>March 2019.</w:t>
      </w:r>
      <w:r w:rsidR="00500B5F">
        <w:t xml:space="preserve">  </w:t>
      </w:r>
    </w:p>
    <w:p w:rsidR="007C5271" w:rsidRDefault="00AD590E" w:rsidP="007C5271">
      <w:pPr>
        <w:pStyle w:val="ParaNumbering"/>
      </w:pPr>
      <w:r>
        <w:t xml:space="preserve">The position might have been different in respect of 11 March 2019 </w:t>
      </w:r>
      <w:r w:rsidR="00500B5F">
        <w:t>if, for</w:t>
      </w:r>
      <w:r w:rsidR="00230DEE">
        <w:t xml:space="preserve"> example, the evidence demonstrated</w:t>
      </w:r>
      <w:r w:rsidR="00500B5F">
        <w:t xml:space="preserve"> that it was customary for work to be performed between 6 am and 2 pm</w:t>
      </w:r>
      <w:r w:rsidR="00230DEE">
        <w:t>,</w:t>
      </w:r>
      <w:r w:rsidR="00500B5F">
        <w:t xml:space="preserve"> </w:t>
      </w:r>
      <w:r w:rsidR="0002556F">
        <w:t xml:space="preserve">but </w:t>
      </w:r>
      <w:r w:rsidR="00230DEE">
        <w:t>I do not consider that the evidence goes</w:t>
      </w:r>
      <w:r w:rsidR="0002556F">
        <w:t xml:space="preserve"> that far.</w:t>
      </w:r>
    </w:p>
    <w:p w:rsidR="00560732" w:rsidRPr="00A062E3" w:rsidRDefault="00560732" w:rsidP="00A062E3">
      <w:pPr>
        <w:pStyle w:val="Heading4"/>
      </w:pPr>
      <w:r w:rsidRPr="00A062E3">
        <w:t xml:space="preserve">Section 7(1)(b) of the </w:t>
      </w:r>
      <w:r w:rsidR="00BC2E3D">
        <w:t>BCI Act</w:t>
      </w:r>
    </w:p>
    <w:p w:rsidR="00560732" w:rsidRDefault="00560732" w:rsidP="00560732">
      <w:pPr>
        <w:pStyle w:val="ParaNumbering"/>
      </w:pPr>
      <w:r>
        <w:t>The respondents submit that s </w:t>
      </w:r>
      <w:r w:rsidR="00C2763F">
        <w:t>7</w:t>
      </w:r>
      <w:r>
        <w:t xml:space="preserve">(1)(b) of the </w:t>
      </w:r>
      <w:r w:rsidR="008100C8">
        <w:t>FW </w:t>
      </w:r>
      <w:r w:rsidR="00BC2E3D">
        <w:t>Act</w:t>
      </w:r>
      <w:r>
        <w:t xml:space="preserve">, which refers to, </w:t>
      </w:r>
      <w:r w:rsidR="00770C00">
        <w:t>“</w:t>
      </w:r>
      <w:r w:rsidRPr="007C5271">
        <w:t xml:space="preserve">a ban, limitation or restriction on the performance </w:t>
      </w:r>
      <w:r>
        <w:t xml:space="preserve">of building work by an employee </w:t>
      </w:r>
      <w:r w:rsidRPr="007C5271">
        <w:t xml:space="preserve">or on </w:t>
      </w:r>
      <w:r>
        <w:t>the acceptance of or offering fo</w:t>
      </w:r>
      <w:r w:rsidRPr="007C5271">
        <w:t>r</w:t>
      </w:r>
      <w:r>
        <w:t xml:space="preserve"> building work by an employee</w:t>
      </w:r>
      <w:r w:rsidR="00770C00">
        <w:t>”</w:t>
      </w:r>
      <w:r>
        <w:t xml:space="preserve">, does not apply to a failure or refusal to perform any work at all.  The respondents submit that a complete failure or refusal to perform any </w:t>
      </w:r>
      <w:r>
        <w:lastRenderedPageBreak/>
        <w:t>building work at all can only fall wit</w:t>
      </w:r>
      <w:r w:rsidR="00230DEE">
        <w:t xml:space="preserve">hin s 7(1)(c).  They </w:t>
      </w:r>
      <w:r>
        <w:t xml:space="preserve">submit that </w:t>
      </w:r>
      <w:r w:rsidR="0002556F">
        <w:t xml:space="preserve">unless </w:t>
      </w:r>
      <w:r w:rsidR="00C7456B">
        <w:t xml:space="preserve">7(1)(b) </w:t>
      </w:r>
      <w:r w:rsidR="0002556F">
        <w:t xml:space="preserve">is </w:t>
      </w:r>
      <w:r w:rsidR="00C7456B">
        <w:t>read narrowly</w:t>
      </w:r>
      <w:r w:rsidR="0002556F">
        <w:t>,</w:t>
      </w:r>
      <w:r w:rsidR="00C7456B">
        <w:t xml:space="preserve"> </w:t>
      </w:r>
      <w:r>
        <w:t xml:space="preserve">there would be no material difference between a </w:t>
      </w:r>
      <w:r w:rsidR="0002556F">
        <w:t>“</w:t>
      </w:r>
      <w:r>
        <w:t>ban</w:t>
      </w:r>
      <w:r w:rsidR="0002556F">
        <w:t>”</w:t>
      </w:r>
      <w:r>
        <w:t xml:space="preserve"> and </w:t>
      </w:r>
      <w:r w:rsidR="00770C00">
        <w:t>“</w:t>
      </w:r>
      <w:r>
        <w:t xml:space="preserve">a failure or refusal…to perform </w:t>
      </w:r>
      <w:r w:rsidR="002C6D6D">
        <w:t xml:space="preserve">any </w:t>
      </w:r>
      <w:r>
        <w:t>building work at all</w:t>
      </w:r>
      <w:r w:rsidR="00770C00">
        <w:t>”</w:t>
      </w:r>
      <w:r>
        <w:t xml:space="preserve"> within s 7(1)(c), so that the latter would have no work to do. The respondents also submit that s 7(1)(b) should also be construed as only applying in circumstances where the person concerned has a lawful obligation to perform the work or accept an offer of work. They submit that it has no application where a</w:t>
      </w:r>
      <w:r w:rsidR="00230DEE">
        <w:t xml:space="preserve"> person is on an hourly engagement</w:t>
      </w:r>
      <w:r>
        <w:t xml:space="preserve"> and is not obliged to accept further work after completion of an hour</w:t>
      </w:r>
      <w:r w:rsidR="00ED139E">
        <w:t>’</w:t>
      </w:r>
      <w:r>
        <w:t xml:space="preserve">s work. </w:t>
      </w:r>
    </w:p>
    <w:p w:rsidR="00560732" w:rsidRDefault="00560732" w:rsidP="00C7456B">
      <w:pPr>
        <w:pStyle w:val="ParaNumbering"/>
      </w:pPr>
      <w:r>
        <w:t xml:space="preserve">The respondents rely upon the judgment in </w:t>
      </w:r>
      <w:r w:rsidRPr="006B6C7B">
        <w:rPr>
          <w:i/>
        </w:rPr>
        <w:t xml:space="preserve">Construction, Forestry, Mining and Energy </w:t>
      </w:r>
      <w:r>
        <w:rPr>
          <w:i/>
        </w:rPr>
        <w:t>Union</w:t>
      </w:r>
      <w:r w:rsidRPr="006B6C7B">
        <w:rPr>
          <w:i/>
        </w:rPr>
        <w:t xml:space="preserve"> </w:t>
      </w:r>
      <w:r>
        <w:rPr>
          <w:i/>
        </w:rPr>
        <w:t xml:space="preserve">v </w:t>
      </w:r>
      <w:r w:rsidRPr="006B6C7B">
        <w:rPr>
          <w:i/>
        </w:rPr>
        <w:t xml:space="preserve">Australian Industrial Relations Commission </w:t>
      </w:r>
      <w:r w:rsidR="00C7456B">
        <w:t>(</w:t>
      </w:r>
      <w:r w:rsidR="008100C8">
        <w:t>1998</w:t>
      </w:r>
      <w:r w:rsidR="00C7456B">
        <w:t xml:space="preserve">) 89 FCR 200, which considered </w:t>
      </w:r>
      <w:r>
        <w:t xml:space="preserve">the definition of </w:t>
      </w:r>
      <w:r w:rsidR="00770C00">
        <w:t>“</w:t>
      </w:r>
      <w:r>
        <w:t>industrial action</w:t>
      </w:r>
      <w:r w:rsidR="00770C00">
        <w:t>”</w:t>
      </w:r>
      <w:r>
        <w:t xml:space="preserve"> in s 4 of the </w:t>
      </w:r>
      <w:r w:rsidRPr="00C7456B">
        <w:rPr>
          <w:i/>
        </w:rPr>
        <w:t>Workplace Relations Act 1996</w:t>
      </w:r>
      <w:r>
        <w:t xml:space="preserve"> (</w:t>
      </w:r>
      <w:proofErr w:type="spellStart"/>
      <w:r>
        <w:t>Cth</w:t>
      </w:r>
      <w:proofErr w:type="spellEnd"/>
      <w:r>
        <w:t xml:space="preserve">) (the </w:t>
      </w:r>
      <w:r w:rsidRPr="00C7456B">
        <w:rPr>
          <w:b/>
        </w:rPr>
        <w:t>WR Act</w:t>
      </w:r>
      <w:r>
        <w:t>)</w:t>
      </w:r>
      <w:r w:rsidR="00C7456B">
        <w:t xml:space="preserve">, </w:t>
      </w:r>
      <w:r w:rsidR="005E4A85">
        <w:t xml:space="preserve">in </w:t>
      </w:r>
      <w:r w:rsidR="00C7456B">
        <w:t>particular</w:t>
      </w:r>
      <w:r w:rsidR="005035D6">
        <w:t>,</w:t>
      </w:r>
      <w:r w:rsidR="00C7456B">
        <w:t xml:space="preserve"> </w:t>
      </w:r>
      <w:r>
        <w:t xml:space="preserve">para (c) </w:t>
      </w:r>
      <w:r w:rsidR="00C7456B">
        <w:t xml:space="preserve">which </w:t>
      </w:r>
      <w:r>
        <w:t xml:space="preserve">referred to </w:t>
      </w:r>
      <w:r w:rsidR="00770C00">
        <w:t>“</w:t>
      </w:r>
      <w:r>
        <w:t>a ban limitation or restriction on the …acceptance of or offering for work</w:t>
      </w:r>
      <w:r w:rsidR="00770C00">
        <w:t>”</w:t>
      </w:r>
      <w:r>
        <w:t xml:space="preserve">. The question was whether a picket placed a </w:t>
      </w:r>
      <w:r w:rsidR="00770C00">
        <w:t>“</w:t>
      </w:r>
      <w:r>
        <w:t>restriction</w:t>
      </w:r>
      <w:r w:rsidR="00770C00">
        <w:t>”</w:t>
      </w:r>
      <w:r>
        <w:t xml:space="preserve"> on the performance of work.  The Full Court held at 213:</w:t>
      </w:r>
    </w:p>
    <w:p w:rsidR="00560732" w:rsidRDefault="00560732" w:rsidP="00560732">
      <w:pPr>
        <w:pStyle w:val="Quote1"/>
      </w:pPr>
      <w:r>
        <w:t xml:space="preserve">…Having regard to the context in which that expression appears, it is more likely to relate to restrictions imposed by an employee or </w:t>
      </w:r>
      <w:r w:rsidR="008100C8">
        <w:t xml:space="preserve">a </w:t>
      </w:r>
      <w:r>
        <w:t xml:space="preserve">group of employees on the work they do so as to limit the scope of that work or the time or </w:t>
      </w:r>
      <w:r w:rsidR="008100C8">
        <w:t xml:space="preserve">the </w:t>
      </w:r>
      <w:r>
        <w:t xml:space="preserve">circumstances in which it is done. While the expression </w:t>
      </w:r>
      <w:r w:rsidR="00770C00">
        <w:t>“</w:t>
      </w:r>
      <w:r>
        <w:t>a ... restriction ... on acceptance of or offering for work</w:t>
      </w:r>
      <w:r w:rsidR="00770C00">
        <w:t>”</w:t>
      </w:r>
      <w:r>
        <w:t xml:space="preserve"> in par (c) might comprehend picketing of the latter type which prevented employees who were continuing to work from attending the workplace, it is unlikely to have such a wide meaning if the other elements in par (c) relate to circumstances of the type just discussed. It is likely that par (c) in its entirety is directed to the conduct of employees who engage in conduct limiting the work they do or the circumstances in which they offer to do it...</w:t>
      </w:r>
    </w:p>
    <w:p w:rsidR="00560732" w:rsidRDefault="00560732" w:rsidP="005E4A85">
      <w:pPr>
        <w:pStyle w:val="ParaNumbering"/>
      </w:pPr>
      <w:r>
        <w:t xml:space="preserve">The Full Court went on to say that it was unnecessary to express a concluded view about the scope of the definition of industrial action as it might apply to picketing.  The statutory context </w:t>
      </w:r>
      <w:r w:rsidR="00230DEE">
        <w:t xml:space="preserve">there </w:t>
      </w:r>
      <w:r>
        <w:t xml:space="preserve">was </w:t>
      </w:r>
      <w:r w:rsidR="00230DEE">
        <w:t>different, since the definition</w:t>
      </w:r>
      <w:r w:rsidR="006375AF">
        <w:t xml:space="preserve"> </w:t>
      </w:r>
      <w:r>
        <w:t>was more detailed</w:t>
      </w:r>
      <w:r w:rsidR="00230DEE">
        <w:t>, nuanced</w:t>
      </w:r>
      <w:r>
        <w:t xml:space="preserve"> and specific than it is in s 7(1) of the </w:t>
      </w:r>
      <w:r w:rsidR="00BC2E3D">
        <w:t>BCI Act</w:t>
      </w:r>
      <w:r>
        <w:t xml:space="preserve">. The focus of the Full Court was upon the situation where some employees prevent others from doing work and upon the words </w:t>
      </w:r>
      <w:r w:rsidR="00770C00">
        <w:t>“</w:t>
      </w:r>
      <w:r>
        <w:t>restriction</w:t>
      </w:r>
      <w:r w:rsidR="00770C00">
        <w:t>”</w:t>
      </w:r>
      <w:r>
        <w:t>, and perhaps</w:t>
      </w:r>
      <w:r w:rsidRPr="007B14A1">
        <w:t xml:space="preserve"> </w:t>
      </w:r>
      <w:r w:rsidR="00770C00">
        <w:t>“</w:t>
      </w:r>
      <w:r>
        <w:t>limitation</w:t>
      </w:r>
      <w:r w:rsidR="00770C00">
        <w:t>”</w:t>
      </w:r>
      <w:r w:rsidR="00230DEE">
        <w:t>, but not on</w:t>
      </w:r>
      <w:r>
        <w:t xml:space="preserve"> </w:t>
      </w:r>
      <w:r w:rsidR="00770C00">
        <w:t>“</w:t>
      </w:r>
      <w:r>
        <w:t>ban</w:t>
      </w:r>
      <w:r w:rsidR="00770C00">
        <w:t>”</w:t>
      </w:r>
      <w:r>
        <w:t>.  Even so, the Full Court considered that the provision extended to employees engaging in conduct</w:t>
      </w:r>
      <w:r w:rsidR="006375AF">
        <w:t>,</w:t>
      </w:r>
      <w:r>
        <w:t xml:space="preserve"> </w:t>
      </w:r>
      <w:r w:rsidR="00770C00">
        <w:t>“</w:t>
      </w:r>
      <w:r>
        <w:t>limiting…the circumstances in which they offer to do [work]</w:t>
      </w:r>
      <w:r w:rsidR="00770C00">
        <w:t>”</w:t>
      </w:r>
      <w:r>
        <w:t xml:space="preserve">, which </w:t>
      </w:r>
      <w:r w:rsidR="006375AF">
        <w:t xml:space="preserve">would </w:t>
      </w:r>
      <w:r>
        <w:t>presumably include refusing to offer any work unless the employe</w:t>
      </w:r>
      <w:r w:rsidR="005035D6">
        <w:t>r</w:t>
      </w:r>
      <w:r>
        <w:t xml:space="preserve"> complies with particular conditions. I cannot see anything in the judgment of the Full Court that is inconsistent with the word </w:t>
      </w:r>
      <w:r w:rsidR="00770C00">
        <w:t>“</w:t>
      </w:r>
      <w:r>
        <w:t>ban</w:t>
      </w:r>
      <w:r w:rsidR="00770C00">
        <w:t>”</w:t>
      </w:r>
      <w:r>
        <w:t xml:space="preserve"> applying to a refusal by employees to perform any building work at all unless their employer agrees to enter an enterprise agreement with a union.  </w:t>
      </w:r>
    </w:p>
    <w:p w:rsidR="00560732" w:rsidRDefault="00560732" w:rsidP="009A4D1D">
      <w:pPr>
        <w:pStyle w:val="ParaNumbering"/>
        <w:rPr>
          <w:szCs w:val="24"/>
        </w:rPr>
      </w:pPr>
      <w:r>
        <w:t xml:space="preserve">In </w:t>
      </w:r>
      <w:r w:rsidRPr="009A4D1D">
        <w:rPr>
          <w:i/>
        </w:rPr>
        <w:t>Australian Building and Construction Commissioner v Construction, Forestry, Maritime, Mining and Energy Union (The Nine Brisbane Sites Appeal)</w:t>
      </w:r>
      <w:r w:rsidRPr="00CC47F4">
        <w:t xml:space="preserve"> </w:t>
      </w:r>
      <w:r w:rsidR="009A4D1D" w:rsidRPr="009A4D1D">
        <w:t>(2019) 269 FCR 262</w:t>
      </w:r>
      <w:r>
        <w:t xml:space="preserve">, the Full </w:t>
      </w:r>
      <w:r>
        <w:lastRenderedPageBreak/>
        <w:t xml:space="preserve">Court </w:t>
      </w:r>
      <w:r>
        <w:rPr>
          <w:szCs w:val="24"/>
        </w:rPr>
        <w:t xml:space="preserve">held </w:t>
      </w:r>
      <w:r w:rsidR="00EC242D">
        <w:rPr>
          <w:szCs w:val="24"/>
        </w:rPr>
        <w:t xml:space="preserve">at [197] </w:t>
      </w:r>
      <w:r>
        <w:rPr>
          <w:szCs w:val="24"/>
        </w:rPr>
        <w:t xml:space="preserve">that in </w:t>
      </w:r>
      <w:r w:rsidRPr="001D5EF3">
        <w:rPr>
          <w:szCs w:val="24"/>
        </w:rPr>
        <w:t xml:space="preserve">s 19(1) of the </w:t>
      </w:r>
      <w:r>
        <w:rPr>
          <w:szCs w:val="24"/>
        </w:rPr>
        <w:t>FW</w:t>
      </w:r>
      <w:r w:rsidRPr="001D5EF3">
        <w:rPr>
          <w:szCs w:val="24"/>
        </w:rPr>
        <w:t xml:space="preserve"> Act</w:t>
      </w:r>
      <w:r w:rsidR="00EC242D">
        <w:rPr>
          <w:szCs w:val="24"/>
        </w:rPr>
        <w:t>,</w:t>
      </w:r>
      <w:r>
        <w:rPr>
          <w:szCs w:val="24"/>
        </w:rPr>
        <w:t xml:space="preserve"> t</w:t>
      </w:r>
      <w:r w:rsidRPr="001D5EF3">
        <w:rPr>
          <w:szCs w:val="24"/>
        </w:rPr>
        <w:t xml:space="preserve">he definition of </w:t>
      </w:r>
      <w:r w:rsidR="00770C00">
        <w:rPr>
          <w:szCs w:val="24"/>
        </w:rPr>
        <w:t>“</w:t>
      </w:r>
      <w:r w:rsidRPr="001D5EF3">
        <w:rPr>
          <w:szCs w:val="24"/>
        </w:rPr>
        <w:t>industrial action</w:t>
      </w:r>
      <w:r w:rsidR="00770C00">
        <w:rPr>
          <w:szCs w:val="24"/>
        </w:rPr>
        <w:t>”</w:t>
      </w:r>
      <w:r w:rsidRPr="001D5EF3">
        <w:rPr>
          <w:szCs w:val="24"/>
        </w:rPr>
        <w:t xml:space="preserve"> is </w:t>
      </w:r>
      <w:r w:rsidR="00770C00">
        <w:rPr>
          <w:szCs w:val="24"/>
        </w:rPr>
        <w:t>“</w:t>
      </w:r>
      <w:r w:rsidRPr="001D5EF3">
        <w:rPr>
          <w:szCs w:val="24"/>
        </w:rPr>
        <w:t xml:space="preserve">cast </w:t>
      </w:r>
      <w:r>
        <w:rPr>
          <w:szCs w:val="24"/>
        </w:rPr>
        <w:t>in wide terms</w:t>
      </w:r>
      <w:r w:rsidR="00770C00">
        <w:rPr>
          <w:szCs w:val="24"/>
        </w:rPr>
        <w:t>”</w:t>
      </w:r>
      <w:r w:rsidRPr="001D5EF3">
        <w:rPr>
          <w:szCs w:val="24"/>
        </w:rPr>
        <w:t xml:space="preserve">. </w:t>
      </w:r>
      <w:r>
        <w:rPr>
          <w:szCs w:val="24"/>
        </w:rPr>
        <w:t>Similarly, in</w:t>
      </w:r>
      <w:r w:rsidRPr="001D5EF3">
        <w:rPr>
          <w:szCs w:val="24"/>
        </w:rPr>
        <w:t xml:space="preserve"> </w:t>
      </w:r>
      <w:r w:rsidRPr="009A4D1D">
        <w:rPr>
          <w:i/>
          <w:szCs w:val="24"/>
        </w:rPr>
        <w:t>Adams v Director of the Fair Work Building Industry Inspectorate</w:t>
      </w:r>
      <w:r w:rsidRPr="001D5EF3">
        <w:rPr>
          <w:szCs w:val="24"/>
        </w:rPr>
        <w:t xml:space="preserve"> (2017) 258 FC</w:t>
      </w:r>
      <w:r>
        <w:rPr>
          <w:szCs w:val="24"/>
        </w:rPr>
        <w:t>R 257, the Full Court could,</w:t>
      </w:r>
      <w:r w:rsidRPr="001D5EF3">
        <w:rPr>
          <w:szCs w:val="24"/>
        </w:rPr>
        <w:t xml:space="preserve"> </w:t>
      </w:r>
      <w:r w:rsidR="00770C00">
        <w:rPr>
          <w:szCs w:val="24"/>
        </w:rPr>
        <w:t>“</w:t>
      </w:r>
      <w:r w:rsidRPr="001D5EF3">
        <w:rPr>
          <w:szCs w:val="24"/>
        </w:rPr>
        <w:t xml:space="preserve">see no basis in the </w:t>
      </w:r>
      <w:r w:rsidRPr="00EC242D">
        <w:rPr>
          <w:szCs w:val="24"/>
        </w:rPr>
        <w:t xml:space="preserve">Fair Work Act </w:t>
      </w:r>
      <w:r w:rsidRPr="001D5EF3">
        <w:rPr>
          <w:szCs w:val="24"/>
        </w:rPr>
        <w:t>for adopting a narrow approach to s 19 as it applies to s 417</w:t>
      </w:r>
      <w:r w:rsidR="00770C00">
        <w:rPr>
          <w:szCs w:val="24"/>
        </w:rPr>
        <w:t>”</w:t>
      </w:r>
      <w:r w:rsidRPr="001D5EF3">
        <w:rPr>
          <w:szCs w:val="24"/>
        </w:rPr>
        <w:t>. In Adams</w:t>
      </w:r>
      <w:r>
        <w:rPr>
          <w:szCs w:val="24"/>
        </w:rPr>
        <w:t>, the Full Court observed</w:t>
      </w:r>
      <w:r w:rsidRPr="001D5EF3">
        <w:rPr>
          <w:szCs w:val="24"/>
        </w:rPr>
        <w:t xml:space="preserve"> at [55] that it is not appropriate to treat a court</w:t>
      </w:r>
      <w:r w:rsidR="00ED139E">
        <w:rPr>
          <w:szCs w:val="24"/>
        </w:rPr>
        <w:t>’</w:t>
      </w:r>
      <w:r w:rsidRPr="001D5EF3">
        <w:rPr>
          <w:szCs w:val="24"/>
        </w:rPr>
        <w:t>s observations concerning the construction of one statute as necessarily controlling the construction of another</w:t>
      </w:r>
      <w:r w:rsidR="00EC242D">
        <w:rPr>
          <w:szCs w:val="24"/>
        </w:rPr>
        <w:t>,</w:t>
      </w:r>
      <w:r w:rsidRPr="001D5EF3">
        <w:rPr>
          <w:szCs w:val="24"/>
        </w:rPr>
        <w:t xml:space="preserve"> even if the sections are expressed in identical words. However, s 7(1) of the </w:t>
      </w:r>
      <w:r w:rsidR="00BC2E3D">
        <w:rPr>
          <w:szCs w:val="24"/>
        </w:rPr>
        <w:t>BCI Act</w:t>
      </w:r>
      <w:r w:rsidRPr="001D5EF3">
        <w:rPr>
          <w:szCs w:val="24"/>
        </w:rPr>
        <w:t xml:space="preserve"> does not appear </w:t>
      </w:r>
      <w:r>
        <w:rPr>
          <w:szCs w:val="24"/>
        </w:rPr>
        <w:t xml:space="preserve">relevantly </w:t>
      </w:r>
      <w:r w:rsidRPr="001D5EF3">
        <w:rPr>
          <w:szCs w:val="24"/>
        </w:rPr>
        <w:t xml:space="preserve">distinguishable </w:t>
      </w:r>
      <w:r>
        <w:rPr>
          <w:szCs w:val="24"/>
        </w:rPr>
        <w:t xml:space="preserve">in its language or context </w:t>
      </w:r>
      <w:r w:rsidRPr="001D5EF3">
        <w:rPr>
          <w:szCs w:val="24"/>
        </w:rPr>
        <w:t xml:space="preserve">from s 19(1) of the </w:t>
      </w:r>
      <w:r>
        <w:rPr>
          <w:szCs w:val="24"/>
        </w:rPr>
        <w:t>FW</w:t>
      </w:r>
      <w:r w:rsidRPr="001D5EF3">
        <w:rPr>
          <w:szCs w:val="24"/>
        </w:rPr>
        <w:t xml:space="preserve"> Act</w:t>
      </w:r>
      <w:r>
        <w:rPr>
          <w:szCs w:val="24"/>
        </w:rPr>
        <w:t>, and</w:t>
      </w:r>
      <w:r w:rsidRPr="001D5EF3">
        <w:rPr>
          <w:szCs w:val="24"/>
        </w:rPr>
        <w:t xml:space="preserve"> is cast in similarly wide terms. </w:t>
      </w:r>
      <w:r w:rsidR="00C7456B">
        <w:rPr>
          <w:szCs w:val="24"/>
        </w:rPr>
        <w:t xml:space="preserve">These cases are against the </w:t>
      </w:r>
      <w:r w:rsidR="008B1A98">
        <w:rPr>
          <w:szCs w:val="24"/>
        </w:rPr>
        <w:t>pro</w:t>
      </w:r>
      <w:r w:rsidR="005E4A85">
        <w:rPr>
          <w:szCs w:val="24"/>
        </w:rPr>
        <w:t xml:space="preserve">position </w:t>
      </w:r>
      <w:r w:rsidR="00C7456B">
        <w:rPr>
          <w:szCs w:val="24"/>
        </w:rPr>
        <w:t xml:space="preserve">that s 7(1)(b) of the </w:t>
      </w:r>
      <w:r w:rsidR="00BC2E3D">
        <w:rPr>
          <w:szCs w:val="24"/>
        </w:rPr>
        <w:t>BCI Act</w:t>
      </w:r>
      <w:r w:rsidR="00C7456B">
        <w:rPr>
          <w:szCs w:val="24"/>
        </w:rPr>
        <w:t xml:space="preserve"> should be construed narrowly.</w:t>
      </w:r>
    </w:p>
    <w:p w:rsidR="00560732" w:rsidRPr="009C2BDF" w:rsidRDefault="00560732" w:rsidP="00560732">
      <w:pPr>
        <w:pStyle w:val="ParaNumbering"/>
        <w:rPr>
          <w:szCs w:val="24"/>
        </w:rPr>
      </w:pPr>
      <w:r w:rsidRPr="00292F16">
        <w:rPr>
          <w:szCs w:val="24"/>
        </w:rPr>
        <w:t xml:space="preserve">In </w:t>
      </w:r>
      <w:r w:rsidRPr="00292F16">
        <w:rPr>
          <w:i/>
          <w:szCs w:val="24"/>
        </w:rPr>
        <w:t>Communications</w:t>
      </w:r>
      <w:r w:rsidR="00EC242D">
        <w:rPr>
          <w:i/>
          <w:szCs w:val="24"/>
        </w:rPr>
        <w:t>,</w:t>
      </w:r>
      <w:r w:rsidRPr="00292F16">
        <w:rPr>
          <w:i/>
          <w:szCs w:val="24"/>
        </w:rPr>
        <w:t xml:space="preserve"> Electrical</w:t>
      </w:r>
      <w:r w:rsidR="00EC242D">
        <w:rPr>
          <w:i/>
          <w:szCs w:val="24"/>
        </w:rPr>
        <w:t>,</w:t>
      </w:r>
      <w:r w:rsidRPr="00292F16">
        <w:rPr>
          <w:i/>
          <w:szCs w:val="24"/>
        </w:rPr>
        <w:t xml:space="preserve"> Energy</w:t>
      </w:r>
      <w:r w:rsidR="00EC242D">
        <w:rPr>
          <w:i/>
          <w:szCs w:val="24"/>
        </w:rPr>
        <w:t>,</w:t>
      </w:r>
      <w:r w:rsidRPr="00292F16">
        <w:rPr>
          <w:i/>
          <w:szCs w:val="24"/>
        </w:rPr>
        <w:t xml:space="preserve"> Information</w:t>
      </w:r>
      <w:r w:rsidR="00EC242D">
        <w:rPr>
          <w:i/>
          <w:szCs w:val="24"/>
        </w:rPr>
        <w:t>,</w:t>
      </w:r>
      <w:r w:rsidRPr="00292F16">
        <w:rPr>
          <w:i/>
          <w:szCs w:val="24"/>
        </w:rPr>
        <w:t xml:space="preserve"> Postal</w:t>
      </w:r>
      <w:r w:rsidR="00EC242D">
        <w:rPr>
          <w:i/>
          <w:szCs w:val="24"/>
        </w:rPr>
        <w:t>,</w:t>
      </w:r>
      <w:r w:rsidRPr="00292F16">
        <w:rPr>
          <w:i/>
          <w:szCs w:val="24"/>
        </w:rPr>
        <w:t xml:space="preserve"> </w:t>
      </w:r>
      <w:r w:rsidR="00EC242D" w:rsidRPr="00292F16">
        <w:rPr>
          <w:i/>
          <w:szCs w:val="24"/>
        </w:rPr>
        <w:t xml:space="preserve">Plumbing </w:t>
      </w:r>
      <w:r w:rsidRPr="00292F16">
        <w:rPr>
          <w:i/>
          <w:szCs w:val="24"/>
        </w:rPr>
        <w:t xml:space="preserve">and Allied Services Union of Australia v Laing </w:t>
      </w:r>
      <w:r w:rsidRPr="00292F16">
        <w:rPr>
          <w:szCs w:val="24"/>
        </w:rPr>
        <w:t xml:space="preserve">(1998) 89 FCR 17, French J (as </w:t>
      </w:r>
      <w:r w:rsidR="00EC242D">
        <w:rPr>
          <w:szCs w:val="24"/>
        </w:rPr>
        <w:t xml:space="preserve">his Honour </w:t>
      </w:r>
      <w:r w:rsidRPr="00292F16">
        <w:rPr>
          <w:szCs w:val="24"/>
        </w:rPr>
        <w:t>was then) considered s</w:t>
      </w:r>
      <w:r w:rsidR="00EC242D">
        <w:rPr>
          <w:szCs w:val="24"/>
        </w:rPr>
        <w:t> </w:t>
      </w:r>
      <w:r w:rsidRPr="00292F16">
        <w:rPr>
          <w:szCs w:val="24"/>
        </w:rPr>
        <w:t>4</w:t>
      </w:r>
      <w:r>
        <w:rPr>
          <w:szCs w:val="24"/>
        </w:rPr>
        <w:t>(c) of the WR Act</w:t>
      </w:r>
      <w:r w:rsidRPr="00292F16">
        <w:rPr>
          <w:szCs w:val="24"/>
        </w:rPr>
        <w:t>. His Honour held:</w:t>
      </w:r>
    </w:p>
    <w:p w:rsidR="00560732" w:rsidRPr="001D5EF3" w:rsidRDefault="00560732" w:rsidP="00560732">
      <w:pPr>
        <w:pStyle w:val="Quote1"/>
      </w:pPr>
      <w:r w:rsidRPr="00292F16">
        <w:t xml:space="preserve">The central meaning of the term </w:t>
      </w:r>
      <w:r w:rsidR="00770C00">
        <w:t>“</w:t>
      </w:r>
      <w:r w:rsidRPr="00292F16">
        <w:t>ban</w:t>
      </w:r>
      <w:r w:rsidR="00770C00">
        <w:t>”</w:t>
      </w:r>
      <w:r w:rsidRPr="00292F16">
        <w:t xml:space="preserve"> in the industrial, as in its ordinary usage</w:t>
      </w:r>
      <w:r w:rsidR="00EC242D">
        <w:t>,</w:t>
      </w:r>
      <w:r w:rsidRPr="00292F16">
        <w:t xml:space="preserve"> is to </w:t>
      </w:r>
      <w:r w:rsidR="00770C00">
        <w:t>“</w:t>
      </w:r>
      <w:r w:rsidRPr="00292F16">
        <w:t>prohibit or interdict</w:t>
      </w:r>
      <w:r w:rsidR="00770C00">
        <w:t>”</w:t>
      </w:r>
      <w:r w:rsidRPr="00292F16">
        <w:t xml:space="preserve">: </w:t>
      </w:r>
      <w:r w:rsidR="00EC242D">
        <w:t xml:space="preserve">the </w:t>
      </w:r>
      <w:r w:rsidRPr="00353402">
        <w:rPr>
          <w:i/>
        </w:rPr>
        <w:t>Macquarie Dictionary</w:t>
      </w:r>
      <w:r w:rsidRPr="00292F16">
        <w:t xml:space="preserve">. Communication between persons or an organisation and persons is essential to a </w:t>
      </w:r>
      <w:r w:rsidR="00770C00">
        <w:t>“</w:t>
      </w:r>
      <w:r w:rsidRPr="00292F16">
        <w:t>ban</w:t>
      </w:r>
      <w:r w:rsidR="00770C00">
        <w:t>”</w:t>
      </w:r>
      <w:r w:rsidRPr="00292F16">
        <w:t>.</w:t>
      </w:r>
    </w:p>
    <w:p w:rsidR="00560732" w:rsidRDefault="00560732" w:rsidP="00560732">
      <w:pPr>
        <w:pStyle w:val="ParaNumbering"/>
      </w:pPr>
      <w:r>
        <w:t>Unde</w:t>
      </w:r>
      <w:r w:rsidR="00C7456B">
        <w:t xml:space="preserve">r this construction, a </w:t>
      </w:r>
      <w:r w:rsidR="00770C00">
        <w:t>“</w:t>
      </w:r>
      <w:r w:rsidR="00C7456B">
        <w:t>ban</w:t>
      </w:r>
      <w:r w:rsidR="00770C00">
        <w:t>”</w:t>
      </w:r>
      <w:r w:rsidR="00C7456B">
        <w:t xml:space="preserve"> must</w:t>
      </w:r>
      <w:r>
        <w:t xml:space="preserve"> be imposed by more than </w:t>
      </w:r>
      <w:r w:rsidR="00566480">
        <w:t>one person. In contrast to s 4(c</w:t>
      </w:r>
      <w:r>
        <w:t>) of the WR</w:t>
      </w:r>
      <w:r w:rsidR="009A4D1D">
        <w:t xml:space="preserve"> </w:t>
      </w:r>
      <w:r>
        <w:t>A</w:t>
      </w:r>
      <w:r w:rsidR="009A4D1D">
        <w:t>ct</w:t>
      </w:r>
      <w:r>
        <w:t xml:space="preserve">, s 7(1)(b) </w:t>
      </w:r>
      <w:r w:rsidR="008B1A98">
        <w:t xml:space="preserve">specifically </w:t>
      </w:r>
      <w:r>
        <w:t xml:space="preserve">refers to a </w:t>
      </w:r>
      <w:r w:rsidR="00C7456B">
        <w:t xml:space="preserve">ban, limitation or restriction </w:t>
      </w:r>
      <w:r>
        <w:t xml:space="preserve">by </w:t>
      </w:r>
      <w:r w:rsidR="00770C00">
        <w:t>“</w:t>
      </w:r>
      <w:r w:rsidR="00C7456B">
        <w:t>an employee</w:t>
      </w:r>
      <w:r w:rsidR="00770C00">
        <w:t>”</w:t>
      </w:r>
      <w:r w:rsidR="00C7456B">
        <w:t>. The use of the singular</w:t>
      </w:r>
      <w:r>
        <w:t xml:space="preserve"> may suggest that under s 7(1)(b)</w:t>
      </w:r>
      <w:r w:rsidR="00C7456B">
        <w:t>,</w:t>
      </w:r>
      <w:r>
        <w:t xml:space="preserve"> a ban, limitation or restriction can be imposed by</w:t>
      </w:r>
      <w:r w:rsidRPr="008516B1">
        <w:t xml:space="preserve"> </w:t>
      </w:r>
      <w:r>
        <w:t xml:space="preserve">a single employee. The concept of an employee imposing a ban, restriction or limitation on himself or herself </w:t>
      </w:r>
      <w:r w:rsidR="005035D6">
        <w:t xml:space="preserve">performing work </w:t>
      </w:r>
      <w:r>
        <w:t xml:space="preserve">is, at least, awkward. However, that issue can be left aside in the present circumstances where </w:t>
      </w:r>
      <w:r w:rsidR="00C7456B">
        <w:t>it is apparent</w:t>
      </w:r>
      <w:r w:rsidR="005E4A85">
        <w:t>, as will be discussed,</w:t>
      </w:r>
      <w:r w:rsidR="00C7456B">
        <w:t xml:space="preserve"> that </w:t>
      </w:r>
      <w:r>
        <w:t xml:space="preserve">collective action was taken by the Employees. Since s 23(b) of the </w:t>
      </w:r>
      <w:r>
        <w:rPr>
          <w:i/>
        </w:rPr>
        <w:t>Act</w:t>
      </w:r>
      <w:r w:rsidRPr="00181F12">
        <w:rPr>
          <w:i/>
        </w:rPr>
        <w:t xml:space="preserve">s Interpretation </w:t>
      </w:r>
      <w:r>
        <w:rPr>
          <w:i/>
        </w:rPr>
        <w:t>Act</w:t>
      </w:r>
      <w:r>
        <w:t xml:space="preserve"> </w:t>
      </w:r>
      <w:r w:rsidRPr="00A90815">
        <w:rPr>
          <w:i/>
        </w:rPr>
        <w:t>1901</w:t>
      </w:r>
      <w:r w:rsidR="00C7456B">
        <w:t xml:space="preserve"> (</w:t>
      </w:r>
      <w:proofErr w:type="spellStart"/>
      <w:r w:rsidR="00C7456B">
        <w:t>Cth</w:t>
      </w:r>
      <w:proofErr w:type="spellEnd"/>
      <w:r w:rsidR="00C7456B">
        <w:t>) provides that a</w:t>
      </w:r>
      <w:r>
        <w:t xml:space="preserve"> reference to the singular includes a reference to the pl</w:t>
      </w:r>
      <w:r w:rsidR="008B1A98">
        <w:t>ural, s</w:t>
      </w:r>
      <w:r w:rsidR="00EC242D">
        <w:t> </w:t>
      </w:r>
      <w:r w:rsidR="008B1A98">
        <w:t>7(1)(b) must encompass</w:t>
      </w:r>
      <w:r>
        <w:t xml:space="preserve"> a ban imposed by a group of employees on the performance</w:t>
      </w:r>
      <w:r w:rsidRPr="003E3CB3">
        <w:t xml:space="preserve"> </w:t>
      </w:r>
      <w:r>
        <w:t>of any building work, or upon</w:t>
      </w:r>
      <w:r w:rsidRPr="00581ECB">
        <w:t xml:space="preserve"> </w:t>
      </w:r>
      <w:r>
        <w:t>the acceptance of</w:t>
      </w:r>
      <w:r w:rsidR="00DD4227">
        <w:t>,</w:t>
      </w:r>
      <w:r>
        <w:t xml:space="preserve"> or offering for</w:t>
      </w:r>
      <w:r w:rsidR="00DD4227">
        <w:t>,</w:t>
      </w:r>
      <w:r>
        <w:t xml:space="preserve"> any building work. </w:t>
      </w:r>
    </w:p>
    <w:p w:rsidR="00560732" w:rsidRDefault="00E72E7C" w:rsidP="00EB63A9">
      <w:pPr>
        <w:pStyle w:val="ParaNumbering"/>
      </w:pPr>
      <w:r>
        <w:t>I do not accept the respondents’ submission that unless s</w:t>
      </w:r>
      <w:r w:rsidR="008B1A98">
        <w:t> 7(1)(b) is construed narrowly,</w:t>
      </w:r>
      <w:r>
        <w:t xml:space="preserve"> there would be no difference between a “ban” and “a failure or refusal to perform </w:t>
      </w:r>
      <w:r w:rsidR="001B0BAD">
        <w:t xml:space="preserve">any </w:t>
      </w:r>
      <w:r>
        <w:t>building work at all”</w:t>
      </w:r>
      <w:r w:rsidR="008B1A98">
        <w:t xml:space="preserve">, such that s 7(1)(c) </w:t>
      </w:r>
      <w:r w:rsidR="005035D6">
        <w:t xml:space="preserve">would </w:t>
      </w:r>
      <w:r w:rsidR="008B1A98">
        <w:t>be left with no work to do</w:t>
      </w:r>
      <w:r>
        <w:t xml:space="preserve">. </w:t>
      </w:r>
      <w:r w:rsidR="0007083D">
        <w:t xml:space="preserve"> Section</w:t>
      </w:r>
      <w:r w:rsidR="00560732">
        <w:t xml:space="preserve"> 7(1)(b) does not operate where an employee merely fails or refuses to perform or accept or offer</w:t>
      </w:r>
      <w:r w:rsidR="00CC7F5F">
        <w:t xml:space="preserve"> for</w:t>
      </w:r>
      <w:r w:rsidR="00560732">
        <w:t xml:space="preserve"> building work on a particular occasion. Something more is needed. That something is the </w:t>
      </w:r>
      <w:r w:rsidR="001A75A6">
        <w:t xml:space="preserve">imposition or </w:t>
      </w:r>
      <w:r w:rsidR="00560732">
        <w:t xml:space="preserve">placing of a </w:t>
      </w:r>
      <w:r w:rsidR="00770C00">
        <w:t>“</w:t>
      </w:r>
      <w:r w:rsidR="00560732">
        <w:t>ban, limitation or restriction</w:t>
      </w:r>
      <w:r w:rsidR="00770C00">
        <w:t>”</w:t>
      </w:r>
      <w:r w:rsidR="00560732">
        <w:t xml:space="preserve"> on performing, or accepting, or offering building work. The provision contemplates a ban, limitation or restriction w</w:t>
      </w:r>
      <w:r w:rsidR="0007083D">
        <w:t>hich operates with some</w:t>
      </w:r>
      <w:r w:rsidR="00560732">
        <w:t xml:space="preserve"> </w:t>
      </w:r>
      <w:r w:rsidR="005035D6">
        <w:t xml:space="preserve">level of </w:t>
      </w:r>
      <w:r w:rsidR="00560732">
        <w:t xml:space="preserve">generality. For example, it would apply to a blanket ban, or prohibition, by a group of casual </w:t>
      </w:r>
      <w:r w:rsidR="00560732">
        <w:lastRenderedPageBreak/>
        <w:t>employees on any of them accepting any work from a particular employer</w:t>
      </w:r>
      <w:r w:rsidR="00462FCE">
        <w:t xml:space="preserve"> </w:t>
      </w:r>
      <w:r w:rsidR="00560732">
        <w:t xml:space="preserve">until their demands are met. </w:t>
      </w:r>
      <w:r>
        <w:t xml:space="preserve"> </w:t>
      </w:r>
      <w:r w:rsidR="00560732">
        <w:t>I do not accept</w:t>
      </w:r>
      <w:r w:rsidR="0007083D">
        <w:t xml:space="preserve"> the respondents</w:t>
      </w:r>
      <w:r w:rsidR="00ED139E">
        <w:t>’</w:t>
      </w:r>
      <w:r w:rsidR="0007083D">
        <w:t xml:space="preserve"> submission</w:t>
      </w:r>
      <w:r w:rsidR="00560732">
        <w:t xml:space="preserve"> that on this construction, s 7(1)(c) would have no work to do. It </w:t>
      </w:r>
      <w:r w:rsidR="008B1A98">
        <w:t>w</w:t>
      </w:r>
      <w:r w:rsidR="0007083D">
        <w:t>ould apply</w:t>
      </w:r>
      <w:r w:rsidR="00560732">
        <w:t xml:space="preserve"> at least where there is a failure or refusal to attend or perform work </w:t>
      </w:r>
      <w:r w:rsidR="008B1A98">
        <w:t>which falls</w:t>
      </w:r>
      <w:r w:rsidR="00560732">
        <w:t xml:space="preserve"> short of a ban. </w:t>
      </w:r>
    </w:p>
    <w:p w:rsidR="001A75A6" w:rsidRDefault="00F16813" w:rsidP="001A75A6">
      <w:pPr>
        <w:pStyle w:val="ParaNumbering"/>
      </w:pPr>
      <w:r>
        <w:t xml:space="preserve">Further, </w:t>
      </w:r>
      <w:r w:rsidR="00560732">
        <w:t>s</w:t>
      </w:r>
      <w:r>
        <w:t> </w:t>
      </w:r>
      <w:r w:rsidR="00560732">
        <w:t xml:space="preserve">7(1)(b) is capable of applying to a ban, limitation or restriction on the performance, acceptance of, or offering for, building work even where there is no legal obligation on an employee to perform, accept or offer work. </w:t>
      </w:r>
      <w:r>
        <w:t xml:space="preserve"> The words “acceptance of or offering for” clea</w:t>
      </w:r>
      <w:r w:rsidR="008B1A98">
        <w:t xml:space="preserve">rly contemplate </w:t>
      </w:r>
      <w:r w:rsidR="001848C8">
        <w:t xml:space="preserve">the application of the provision to </w:t>
      </w:r>
      <w:r w:rsidR="008B1A98">
        <w:t>casual employees who have no obligation to accept or offer</w:t>
      </w:r>
      <w:r w:rsidR="00A56BC6">
        <w:t xml:space="preserve"> for</w:t>
      </w:r>
      <w:r w:rsidR="008B1A98">
        <w:t xml:space="preserve"> work. </w:t>
      </w:r>
    </w:p>
    <w:p w:rsidR="00AA0290" w:rsidRDefault="00560732" w:rsidP="00E40EA2">
      <w:pPr>
        <w:pStyle w:val="ParaNumbering"/>
      </w:pPr>
      <w:r>
        <w:t>The 11 March Employees were offered work from 11</w:t>
      </w:r>
      <w:r w:rsidR="00DC6027">
        <w:t> </w:t>
      </w:r>
      <w:r>
        <w:t>am on that date</w:t>
      </w:r>
      <w:r w:rsidRPr="00766BDE">
        <w:t xml:space="preserve"> </w:t>
      </w:r>
      <w:r>
        <w:t>but refused to work. The 12 March Employees, the 13 March Employees and the 14 March Employees were offered work on those respective dates</w:t>
      </w:r>
      <w:r w:rsidRPr="00766BDE">
        <w:t xml:space="preserve"> </w:t>
      </w:r>
      <w:r>
        <w:t>but refused to work.  It is apparent that the relevant employees took collective action on each occasion.  They remained together in the lunch room on 11 and 12 March 2019. On 13 March 2019, they remained together in the lunch room and then left for the Union</w:t>
      </w:r>
      <w:r w:rsidR="00ED139E">
        <w:t>’</w:t>
      </w:r>
      <w:r>
        <w:t>s office together. On 14 March 2019, none of them attended the NQS site at all</w:t>
      </w:r>
      <w:r w:rsidR="009F77BE">
        <w:t>, and that non-attendance must be seen in light of the collective action taken on the previous days</w:t>
      </w:r>
      <w:r w:rsidR="001A75A6">
        <w:t xml:space="preserve">. </w:t>
      </w:r>
    </w:p>
    <w:p w:rsidR="001A75A6" w:rsidRDefault="00AA0290" w:rsidP="00E40EA2">
      <w:pPr>
        <w:pStyle w:val="ParaNumbering"/>
      </w:pPr>
      <w:r>
        <w:t>The refusal to work arose against the background that</w:t>
      </w:r>
      <w:r w:rsidR="001848C8">
        <w:t>,</w:t>
      </w:r>
      <w:r>
        <w:t xml:space="preserve"> since November 2018, Union officials had applied pressure upon PJ Walsh Constructions to make an enterprise agreement with the Union. </w:t>
      </w:r>
      <w:r w:rsidR="003863E7">
        <w:t>E</w:t>
      </w:r>
      <w:r w:rsidR="008B1A98">
        <w:t>vidence</w:t>
      </w:r>
      <w:r w:rsidR="003863E7">
        <w:t xml:space="preserve"> was </w:t>
      </w:r>
      <w:r w:rsidR="008B1A98">
        <w:t xml:space="preserve">admitted without objection that on 11 March 2019, PJ Walsh Constructions’ site manager, Mr Smith, was told that the employees were refusing to work unless they were paid the higher rates under the </w:t>
      </w:r>
      <w:r>
        <w:t xml:space="preserve">Union’s </w:t>
      </w:r>
      <w:r w:rsidR="008B1A98">
        <w:t xml:space="preserve">Template Agreement. </w:t>
      </w:r>
      <w:r w:rsidR="001A75A6">
        <w:t>That is c</w:t>
      </w:r>
      <w:r w:rsidR="00E40EA2">
        <w:t xml:space="preserve">onsistent with evidence that </w:t>
      </w:r>
      <w:r w:rsidR="001A75A6">
        <w:t xml:space="preserve">the </w:t>
      </w:r>
      <w:r w:rsidR="00E40EA2">
        <w:t xml:space="preserve">12 March </w:t>
      </w:r>
      <w:r w:rsidR="001A75A6">
        <w:t>Employees were unreceptive to Mr Walsh’s assurances that the higher rates would be paid without the need for a</w:t>
      </w:r>
      <w:r w:rsidR="001848C8">
        <w:t xml:space="preserve"> </w:t>
      </w:r>
      <w:r w:rsidR="001A75A6">
        <w:t>n</w:t>
      </w:r>
      <w:r w:rsidR="001848C8">
        <w:t>ew</w:t>
      </w:r>
      <w:r w:rsidR="001A75A6">
        <w:t xml:space="preserve"> enterprise agreement,</w:t>
      </w:r>
      <w:r w:rsidR="00E40EA2">
        <w:t xml:space="preserve"> and </w:t>
      </w:r>
      <w:r w:rsidR="001A75A6">
        <w:t>Mr Harradine</w:t>
      </w:r>
      <w:r w:rsidR="00184975">
        <w:t>’s</w:t>
      </w:r>
      <w:r w:rsidR="001A75A6">
        <w:t xml:space="preserve"> </w:t>
      </w:r>
      <w:r w:rsidR="00E40EA2">
        <w:t>statement</w:t>
      </w:r>
      <w:r w:rsidR="00E40EA2" w:rsidRPr="00E40EA2">
        <w:t xml:space="preserve"> </w:t>
      </w:r>
      <w:r w:rsidR="00E40EA2">
        <w:t xml:space="preserve">to the effect </w:t>
      </w:r>
      <w:r w:rsidR="001A75A6">
        <w:t>that his information was that the higher rates would not be paid until the Template Agreement was signed.</w:t>
      </w:r>
      <w:r w:rsidR="001A75A6" w:rsidRPr="003863E7">
        <w:t xml:space="preserve"> </w:t>
      </w:r>
      <w:r w:rsidR="00E40EA2">
        <w:t>There was no work performed by any of the Employees</w:t>
      </w:r>
      <w:r w:rsidR="00E40EA2" w:rsidRPr="00E40EA2">
        <w:t xml:space="preserve"> </w:t>
      </w:r>
      <w:r w:rsidR="00E40EA2">
        <w:t>from 11 am on 11 March until they recommenced on 15 March 2019 following the orders of the Fair Work Commission.</w:t>
      </w:r>
    </w:p>
    <w:p w:rsidR="003863E7" w:rsidRDefault="001A75A6" w:rsidP="00560732">
      <w:pPr>
        <w:pStyle w:val="ParaNumbering"/>
      </w:pPr>
      <w:r>
        <w:t>It is apparent</w:t>
      </w:r>
      <w:r w:rsidR="00560732">
        <w:t xml:space="preserve"> from </w:t>
      </w:r>
      <w:r w:rsidR="003D7C0D">
        <w:t>these matters that the Employees</w:t>
      </w:r>
      <w:r w:rsidR="00E40EA2">
        <w:t xml:space="preserve"> refused </w:t>
      </w:r>
      <w:r w:rsidR="00560732">
        <w:t>to work</w:t>
      </w:r>
      <w:r w:rsidR="003863E7">
        <w:t xml:space="preserve"> from 11 am on 11 March 2019</w:t>
      </w:r>
      <w:r w:rsidR="00560732">
        <w:t xml:space="preserve"> because </w:t>
      </w:r>
      <w:r w:rsidR="00AC135F">
        <w:t>PJ Walsh Constructions</w:t>
      </w:r>
      <w:r w:rsidR="00560732">
        <w:t xml:space="preserve"> was refusing to make an enterprise agreeme</w:t>
      </w:r>
      <w:r w:rsidR="003D7C0D">
        <w:t xml:space="preserve">nt with the Union. I infer that </w:t>
      </w:r>
      <w:r w:rsidR="00AA0290">
        <w:t>t</w:t>
      </w:r>
      <w:r w:rsidR="003D7C0D">
        <w:t>he E</w:t>
      </w:r>
      <w:r w:rsidR="0007083D">
        <w:t>mployees</w:t>
      </w:r>
      <w:r w:rsidR="00560732">
        <w:t xml:space="preserve"> </w:t>
      </w:r>
      <w:r w:rsidR="003D7C0D">
        <w:t>made a collective decision</w:t>
      </w:r>
      <w:r w:rsidR="00560732">
        <w:t xml:space="preserve"> that none of the</w:t>
      </w:r>
      <w:r w:rsidR="00AA0290">
        <w:t>m would work for</w:t>
      </w:r>
      <w:r w:rsidR="003D7C0D">
        <w:t xml:space="preserve"> PJ Walsh Constructions </w:t>
      </w:r>
      <w:r w:rsidR="00AA0290">
        <w:t>until it agreed to do so</w:t>
      </w:r>
      <w:r w:rsidR="003D7C0D">
        <w:t xml:space="preserve">. </w:t>
      </w:r>
      <w:r w:rsidR="00E40EA2">
        <w:t>This was a “ban” within s 7(1)(b).</w:t>
      </w:r>
    </w:p>
    <w:p w:rsidR="00084CF4" w:rsidRDefault="00560732" w:rsidP="00560732">
      <w:pPr>
        <w:pStyle w:val="ParaNumbering"/>
      </w:pPr>
      <w:r>
        <w:lastRenderedPageBreak/>
        <w:t xml:space="preserve">I find that </w:t>
      </w:r>
      <w:r w:rsidR="003863E7">
        <w:t xml:space="preserve">the 11 March </w:t>
      </w:r>
      <w:r w:rsidR="005932BA">
        <w:t>E</w:t>
      </w:r>
      <w:r w:rsidR="003863E7">
        <w:t xml:space="preserve">mployees </w:t>
      </w:r>
      <w:r>
        <w:t>placed a collective</w:t>
      </w:r>
      <w:r w:rsidR="009F77BE">
        <w:t>,</w:t>
      </w:r>
      <w:r>
        <w:t xml:space="preserve"> </w:t>
      </w:r>
      <w:r w:rsidR="00770C00">
        <w:t>“</w:t>
      </w:r>
      <w:r>
        <w:t>ban…on the performance of building work by an employee</w:t>
      </w:r>
      <w:r w:rsidR="00770C00">
        <w:t>”</w:t>
      </w:r>
      <w:r>
        <w:t xml:space="preserve"> within s 7(1)(b) of the </w:t>
      </w:r>
      <w:r w:rsidR="00BC2E3D">
        <w:t>BCI Act</w:t>
      </w:r>
      <w:r w:rsidR="00084CF4">
        <w:t xml:space="preserve"> f</w:t>
      </w:r>
      <w:r w:rsidR="0059426D">
        <w:t xml:space="preserve">rom 11 am on that day. </w:t>
      </w:r>
      <w:r w:rsidR="001848C8">
        <w:t xml:space="preserve">At the same time, </w:t>
      </w:r>
      <w:r w:rsidR="00084CF4">
        <w:t xml:space="preserve">they placed a collective, “ban…on the acceptance of …building work”. </w:t>
      </w:r>
    </w:p>
    <w:p w:rsidR="00E40EA2" w:rsidRDefault="00E40EA2" w:rsidP="00E40EA2">
      <w:pPr>
        <w:pStyle w:val="ParaNumbering"/>
      </w:pPr>
      <w:r>
        <w:t>The way the Commissioner has pleaded the case is that ther</w:t>
      </w:r>
      <w:r w:rsidR="00AA0290">
        <w:t xml:space="preserve">e was a </w:t>
      </w:r>
      <w:r>
        <w:t>ban imposed on each of 11, 12, 13 and 14 March 2019. That wou</w:t>
      </w:r>
      <w:r w:rsidR="00AA0290">
        <w:t xml:space="preserve">ld require evidence </w:t>
      </w:r>
      <w:r>
        <w:t xml:space="preserve">that a separate collective decision </w:t>
      </w:r>
      <w:r w:rsidR="00AA0290">
        <w:t xml:space="preserve">to impose a ban </w:t>
      </w:r>
      <w:r>
        <w:t xml:space="preserve">was made each day. </w:t>
      </w:r>
      <w:r w:rsidR="0059426D">
        <w:t>T</w:t>
      </w:r>
      <w:r>
        <w:t xml:space="preserve">he evidence demonstrates </w:t>
      </w:r>
      <w:r w:rsidR="0059426D">
        <w:t xml:space="preserve">that the ban </w:t>
      </w:r>
      <w:r w:rsidR="00D6580A">
        <w:t xml:space="preserve">was </w:t>
      </w:r>
      <w:r w:rsidR="0059426D">
        <w:t>imposed by</w:t>
      </w:r>
      <w:r>
        <w:t xml:space="preserve"> </w:t>
      </w:r>
      <w:r w:rsidR="00D6580A">
        <w:t xml:space="preserve">the </w:t>
      </w:r>
      <w:r>
        <w:t>11</w:t>
      </w:r>
      <w:r w:rsidR="00D6580A">
        <w:t> </w:t>
      </w:r>
      <w:r>
        <w:t>March</w:t>
      </w:r>
      <w:r w:rsidR="0059426D">
        <w:t xml:space="preserve"> Employees, </w:t>
      </w:r>
      <w:r>
        <w:t xml:space="preserve">which </w:t>
      </w:r>
      <w:r w:rsidR="0059426D">
        <w:t xml:space="preserve">was joined in by an additional </w:t>
      </w:r>
      <w:r w:rsidR="00D6580A">
        <w:t xml:space="preserve">five </w:t>
      </w:r>
      <w:r w:rsidR="0059426D">
        <w:t xml:space="preserve">employees (the </w:t>
      </w:r>
      <w:r w:rsidR="00903C50">
        <w:t xml:space="preserve">fifth, seventh, eighth, fifteenth and sixteenth </w:t>
      </w:r>
      <w:r w:rsidR="0059426D">
        <w:t xml:space="preserve">respondents) on 12 March 2019. I infer that those </w:t>
      </w:r>
      <w:r w:rsidR="00903C50">
        <w:t xml:space="preserve">five </w:t>
      </w:r>
      <w:r w:rsidR="0059426D">
        <w:t xml:space="preserve">employees made a collective decision to </w:t>
      </w:r>
      <w:r w:rsidR="003911C3">
        <w:t xml:space="preserve">join in the </w:t>
      </w:r>
      <w:r w:rsidR="00821B56">
        <w:t>ban on the performance or acceptance of work until PJ Walsh Constructions agreed to make a building enterprise agreement with the Union. I do not accept that the evidence establishes that any further decisions to impose a ban were made on 13 or 14 March 2019. Rather, the ban already imposed continued in force.</w:t>
      </w:r>
    </w:p>
    <w:p w:rsidR="00A679D0" w:rsidRDefault="00A679D0" w:rsidP="00AA0290">
      <w:pPr>
        <w:pStyle w:val="ParaNumbering"/>
      </w:pPr>
      <w:r>
        <w:t xml:space="preserve">I find that the relevant employees took </w:t>
      </w:r>
      <w:r w:rsidR="00770C00">
        <w:t>“</w:t>
      </w:r>
      <w:r>
        <w:t>industrial action</w:t>
      </w:r>
      <w:r w:rsidR="00770C00">
        <w:t>”</w:t>
      </w:r>
      <w:r>
        <w:t xml:space="preserve"> within the meaning of s 7(1)(</w:t>
      </w:r>
      <w:r w:rsidR="00AA0290">
        <w:t>b</w:t>
      </w:r>
      <w:r>
        <w:t>)</w:t>
      </w:r>
      <w:r w:rsidRPr="00A679D0">
        <w:t xml:space="preserve"> </w:t>
      </w:r>
      <w:r w:rsidR="0059426D">
        <w:t>on 11</w:t>
      </w:r>
      <w:r w:rsidR="006F2DDA">
        <w:t xml:space="preserve"> </w:t>
      </w:r>
      <w:r w:rsidR="00821B56">
        <w:t xml:space="preserve">and 12 </w:t>
      </w:r>
      <w:r>
        <w:t>March 2019.</w:t>
      </w:r>
    </w:p>
    <w:p w:rsidR="0059213A" w:rsidRPr="0059213A" w:rsidRDefault="0059213A" w:rsidP="00B178F0">
      <w:pPr>
        <w:pStyle w:val="Heading4"/>
      </w:pPr>
      <w:r w:rsidRPr="0059213A">
        <w:t>Section 7(</w:t>
      </w:r>
      <w:r>
        <w:t>1)(c</w:t>
      </w:r>
      <w:r w:rsidRPr="0059213A">
        <w:t xml:space="preserve">) of the </w:t>
      </w:r>
      <w:r w:rsidR="00BC2E3D">
        <w:t>BCI Act</w:t>
      </w:r>
    </w:p>
    <w:p w:rsidR="003D7C0D" w:rsidRDefault="00B122F0" w:rsidP="00CC2AEA">
      <w:pPr>
        <w:pStyle w:val="ParaNumbering"/>
      </w:pPr>
      <w:r>
        <w:t xml:space="preserve">It may be </w:t>
      </w:r>
      <w:r w:rsidR="003D7C0D">
        <w:t xml:space="preserve">strictly unnecessary for me to consider whether the Employees took </w:t>
      </w:r>
      <w:r w:rsidR="00821B56">
        <w:t>“</w:t>
      </w:r>
      <w:r w:rsidR="003D7C0D">
        <w:t>industrial action</w:t>
      </w:r>
      <w:r w:rsidR="00821B56">
        <w:t>”</w:t>
      </w:r>
      <w:r w:rsidR="003D7C0D">
        <w:t xml:space="preserve"> </w:t>
      </w:r>
      <w:r>
        <w:t>within</w:t>
      </w:r>
      <w:r w:rsidR="00D83188">
        <w:t xml:space="preserve"> s 7(1)(c)</w:t>
      </w:r>
      <w:r w:rsidR="003D7C0D">
        <w:t xml:space="preserve"> of the BCI Act, since I have found that their conduct fell within s 7(1)(b). However, I will consider s 7(1)(c) in case </w:t>
      </w:r>
      <w:r>
        <w:t xml:space="preserve">I am wrong in </w:t>
      </w:r>
      <w:r w:rsidR="003D7C0D">
        <w:t>that con</w:t>
      </w:r>
      <w:r>
        <w:t>clusion</w:t>
      </w:r>
      <w:r w:rsidR="003D7C0D">
        <w:t>.</w:t>
      </w:r>
    </w:p>
    <w:p w:rsidR="00CC2AEA" w:rsidRDefault="00526C35" w:rsidP="00CC2AEA">
      <w:pPr>
        <w:pStyle w:val="ParaNumbering"/>
      </w:pPr>
      <w:r>
        <w:t xml:space="preserve">The </w:t>
      </w:r>
      <w:r w:rsidR="00CC2AEA">
        <w:t xml:space="preserve">respondents </w:t>
      </w:r>
      <w:r>
        <w:t xml:space="preserve">submit </w:t>
      </w:r>
      <w:r w:rsidR="00B122F0">
        <w:t xml:space="preserve">that </w:t>
      </w:r>
      <w:r w:rsidR="0007083D">
        <w:t>s 7(1)(c)</w:t>
      </w:r>
      <w:r w:rsidR="00B122F0">
        <w:t xml:space="preserve"> </w:t>
      </w:r>
      <w:r w:rsidR="0059213A">
        <w:t>has no application</w:t>
      </w:r>
      <w:r w:rsidR="00CC2AEA">
        <w:t xml:space="preserve"> where ther</w:t>
      </w:r>
      <w:r w:rsidR="0007083D">
        <w:t xml:space="preserve">e is no obligation </w:t>
      </w:r>
      <w:r w:rsidR="00CC2AEA">
        <w:t xml:space="preserve">to work.  They rely upon </w:t>
      </w:r>
      <w:r w:rsidR="00CC2AEA" w:rsidRPr="00626680">
        <w:rPr>
          <w:i/>
        </w:rPr>
        <w:t xml:space="preserve">Australian Building </w:t>
      </w:r>
      <w:r w:rsidR="00CC2AEA">
        <w:rPr>
          <w:i/>
        </w:rPr>
        <w:t xml:space="preserve">and </w:t>
      </w:r>
      <w:r w:rsidR="00CC2AEA" w:rsidRPr="00626680">
        <w:rPr>
          <w:i/>
        </w:rPr>
        <w:t>Construction Commissioner v Parker</w:t>
      </w:r>
      <w:r w:rsidR="00CC2AEA">
        <w:t xml:space="preserve"> (2017) 266 IR 340 at [376], where Flick J held that </w:t>
      </w:r>
      <w:r w:rsidR="00CD62D3">
        <w:t>employees</w:t>
      </w:r>
      <w:r w:rsidR="00ED139E">
        <w:t>’</w:t>
      </w:r>
      <w:r w:rsidR="00CD62D3">
        <w:t xml:space="preserve"> </w:t>
      </w:r>
      <w:r w:rsidR="00CC2AEA">
        <w:t>attendance at</w:t>
      </w:r>
      <w:r w:rsidR="00CD62D3">
        <w:t xml:space="preserve"> a meeting before they </w:t>
      </w:r>
      <w:r w:rsidR="00CC2AEA">
        <w:t xml:space="preserve">were required to commence work did not fall within s 19(1)(c) of the FW Act. </w:t>
      </w:r>
    </w:p>
    <w:p w:rsidR="00745A19" w:rsidRDefault="00CC2AEA" w:rsidP="00745A19">
      <w:pPr>
        <w:pStyle w:val="ParaNumbering"/>
      </w:pPr>
      <w:r>
        <w:t xml:space="preserve">I accept that there is no </w:t>
      </w:r>
      <w:r w:rsidR="00770C00">
        <w:t>“</w:t>
      </w:r>
      <w:r>
        <w:t>failure or refusal</w:t>
      </w:r>
      <w:r w:rsidR="00770C00">
        <w:t>”</w:t>
      </w:r>
      <w:r>
        <w:t xml:space="preserve"> to </w:t>
      </w:r>
      <w:r w:rsidR="00770C00">
        <w:t>“</w:t>
      </w:r>
      <w:r>
        <w:t>attend work</w:t>
      </w:r>
      <w:r w:rsidR="00770C00">
        <w:t>”</w:t>
      </w:r>
      <w:r>
        <w:t xml:space="preserve"> or </w:t>
      </w:r>
      <w:r w:rsidR="00770C00">
        <w:t>“</w:t>
      </w:r>
      <w:r>
        <w:t>perform any building work at all</w:t>
      </w:r>
      <w:r w:rsidR="00770C00">
        <w:t>”</w:t>
      </w:r>
      <w:r>
        <w:t xml:space="preserve"> within s 7(1)(c)(ii) of the </w:t>
      </w:r>
      <w:r w:rsidR="00BC2E3D">
        <w:t>BCI Act</w:t>
      </w:r>
      <w:r>
        <w:t xml:space="preserve"> where there is no leg</w:t>
      </w:r>
      <w:r w:rsidR="0059213A">
        <w:t>al obligation on emp</w:t>
      </w:r>
      <w:r w:rsidR="00691705">
        <w:t>loyees to attend or perform work</w:t>
      </w:r>
      <w:r>
        <w:t xml:space="preserve">. There are many circumstances in which employees may have </w:t>
      </w:r>
      <w:r w:rsidR="00691705">
        <w:t>no legal obli</w:t>
      </w:r>
      <w:r w:rsidR="00186862">
        <w:t xml:space="preserve">gation </w:t>
      </w:r>
      <w:r w:rsidR="00691705">
        <w:t xml:space="preserve">to </w:t>
      </w:r>
      <w:r>
        <w:t>attend or perform work</w:t>
      </w:r>
      <w:r w:rsidR="00186862">
        <w:t>,</w:t>
      </w:r>
      <w:r w:rsidR="00186862" w:rsidRPr="00186862">
        <w:t xml:space="preserve"> </w:t>
      </w:r>
      <w:r w:rsidR="00186862">
        <w:t>and indeed have legal authorisation to so refuse</w:t>
      </w:r>
      <w:r>
        <w:t>. For example,</w:t>
      </w:r>
      <w:r w:rsidR="00691705">
        <w:t xml:space="preserve"> under the National Employment S</w:t>
      </w:r>
      <w:r>
        <w:t>tandards, employees may be entitled to</w:t>
      </w:r>
      <w:r w:rsidR="00CD62D3">
        <w:t xml:space="preserve"> take</w:t>
      </w:r>
      <w:r>
        <w:t xml:space="preserve"> annual leave, personal/carer</w:t>
      </w:r>
      <w:r w:rsidR="00ED139E">
        <w:t>’</w:t>
      </w:r>
      <w:r>
        <w:t xml:space="preserve">s leave, parental leave, community service leave and long-service leave. Under an award or an enterprise agreement, employees may be entitled to be absent on certain days of the week, or to take </w:t>
      </w:r>
      <w:r w:rsidR="00691705">
        <w:t xml:space="preserve">certain </w:t>
      </w:r>
      <w:r>
        <w:t xml:space="preserve">breaks between, or within, periods of work. They are entitled to refuse to attend work and perform work during such periods.  It may be noted that </w:t>
      </w:r>
      <w:r>
        <w:lastRenderedPageBreak/>
        <w:t xml:space="preserve">in </w:t>
      </w:r>
      <w:r w:rsidRPr="00610665">
        <w:rPr>
          <w:i/>
        </w:rPr>
        <w:t>Adams</w:t>
      </w:r>
      <w:r>
        <w:t xml:space="preserve">, it was held at [91] that s 19(1)(c) of the FW Act </w:t>
      </w:r>
      <w:r w:rsidR="00186862">
        <w:t xml:space="preserve">(the equivalent of s 7(1)(c)) </w:t>
      </w:r>
      <w:r>
        <w:t>applies only to action taken by more than one employee (</w:t>
      </w:r>
      <w:r w:rsidR="004B3FCB">
        <w:t xml:space="preserve">as </w:t>
      </w:r>
      <w:r>
        <w:t xml:space="preserve">it refers to </w:t>
      </w:r>
      <w:r w:rsidR="00770C00">
        <w:t>“</w:t>
      </w:r>
      <w:r>
        <w:t>employees</w:t>
      </w:r>
      <w:r w:rsidR="00770C00">
        <w:t>”</w:t>
      </w:r>
      <w:r>
        <w:t xml:space="preserve">). Section 7(1)(c) cannot be sensibly interpreted such that employees are taken to have engaged in </w:t>
      </w:r>
      <w:r w:rsidR="00770C00">
        <w:t>“</w:t>
      </w:r>
      <w:r>
        <w:t>industrial action</w:t>
      </w:r>
      <w:r w:rsidR="00770C00">
        <w:t>”</w:t>
      </w:r>
      <w:r>
        <w:t xml:space="preserve"> if they refuse to attend work during periods of leave or breaks they are entitled to</w:t>
      </w:r>
      <w:r w:rsidR="0007083D">
        <w:t xml:space="preserve"> take</w:t>
      </w:r>
      <w:r>
        <w:t xml:space="preserve"> under statute, awards or enterprise agreements, even if they engage with each other in so refusing (I leave aside any potential application of paras (a) or (b) of s 7(1))</w:t>
      </w:r>
      <w:r w:rsidR="00030CAF">
        <w:t xml:space="preserve"> in particular circumstances</w:t>
      </w:r>
      <w:r>
        <w:t xml:space="preserve">. </w:t>
      </w:r>
    </w:p>
    <w:p w:rsidR="007126EB" w:rsidRDefault="00CC2AEA" w:rsidP="00EB63A9">
      <w:pPr>
        <w:pStyle w:val="ParaNumbering"/>
      </w:pPr>
      <w:r>
        <w:t xml:space="preserve">That is not to construe </w:t>
      </w:r>
      <w:r w:rsidR="00691705">
        <w:t xml:space="preserve">the provision </w:t>
      </w:r>
      <w:r>
        <w:t>as requiring</w:t>
      </w:r>
      <w:r w:rsidR="00691705">
        <w:t xml:space="preserve"> that the employees</w:t>
      </w:r>
      <w:r w:rsidR="00ED139E">
        <w:t>’</w:t>
      </w:r>
      <w:r w:rsidR="00691705">
        <w:t xml:space="preserve"> </w:t>
      </w:r>
      <w:r>
        <w:t>conduct must occur within the area of di</w:t>
      </w:r>
      <w:r w:rsidR="00691705">
        <w:t>sputation or bargaining</w:t>
      </w:r>
      <w:r w:rsidR="0007083D">
        <w:t>,</w:t>
      </w:r>
      <w:r>
        <w:t xml:space="preserve"> </w:t>
      </w:r>
      <w:r w:rsidR="00186862">
        <w:t>such an</w:t>
      </w:r>
      <w:r w:rsidR="00CD62D3">
        <w:t xml:space="preserve"> </w:t>
      </w:r>
      <w:r>
        <w:t xml:space="preserve">approach having been rejected in </w:t>
      </w:r>
      <w:r w:rsidRPr="00030CAF">
        <w:rPr>
          <w:i/>
        </w:rPr>
        <w:t xml:space="preserve">Adams </w:t>
      </w:r>
      <w:r>
        <w:t>at [59]. It is a matter of construing s 7(1)(c)</w:t>
      </w:r>
      <w:r w:rsidR="0003559E">
        <w:t xml:space="preserve"> of the </w:t>
      </w:r>
      <w:r w:rsidR="00DD755E">
        <w:t>BCI</w:t>
      </w:r>
      <w:r w:rsidR="0003559E">
        <w:t> Act</w:t>
      </w:r>
      <w:r>
        <w:t xml:space="preserve"> in light of </w:t>
      </w:r>
      <w:r w:rsidR="00186862">
        <w:t>the FW Act, particularly s</w:t>
      </w:r>
      <w:r>
        <w:t xml:space="preserve"> 45</w:t>
      </w:r>
      <w:r w:rsidR="00186862">
        <w:t xml:space="preserve"> (a person must not contravene </w:t>
      </w:r>
      <w:r w:rsidR="00903C50">
        <w:t xml:space="preserve">a </w:t>
      </w:r>
      <w:r w:rsidR="00186862">
        <w:t>term of a modern award)</w:t>
      </w:r>
      <w:r>
        <w:t xml:space="preserve">, </w:t>
      </w:r>
      <w:r w:rsidR="00186862">
        <w:t xml:space="preserve">s </w:t>
      </w:r>
      <w:r>
        <w:t xml:space="preserve">50 </w:t>
      </w:r>
      <w:r w:rsidR="00186862">
        <w:t xml:space="preserve">(a person must not contravene a term of an enterprise agreement) </w:t>
      </w:r>
      <w:r>
        <w:t>and</w:t>
      </w:r>
      <w:r w:rsidR="0007083D">
        <w:t xml:space="preserve"> </w:t>
      </w:r>
      <w:r w:rsidR="00186862">
        <w:t xml:space="preserve">s </w:t>
      </w:r>
      <w:r w:rsidR="0007083D">
        <w:t>61</w:t>
      </w:r>
      <w:r w:rsidR="00186862">
        <w:t>(1) (the National Employment Standards cannot be displaced)</w:t>
      </w:r>
      <w:r w:rsidR="0007083D">
        <w:t xml:space="preserve">. </w:t>
      </w:r>
      <w:r w:rsidR="00F1655D">
        <w:t xml:space="preserve">In </w:t>
      </w:r>
      <w:r w:rsidR="00F1655D" w:rsidRPr="00030CAF">
        <w:rPr>
          <w:i/>
        </w:rPr>
        <w:t xml:space="preserve">Commissioner of Stamp Duties v Permanent Trustee Co Ltd </w:t>
      </w:r>
      <w:r w:rsidR="00F1655D">
        <w:t xml:space="preserve">(1987) 9 NSWLR 719, Kirby P (as </w:t>
      </w:r>
      <w:r w:rsidR="00903C50">
        <w:t xml:space="preserve">his Honour </w:t>
      </w:r>
      <w:r w:rsidR="00F1655D">
        <w:t xml:space="preserve">was then) held </w:t>
      </w:r>
      <w:r w:rsidR="00186862">
        <w:t xml:space="preserve">at 722 </w:t>
      </w:r>
      <w:r w:rsidR="00F1655D">
        <w:t xml:space="preserve">that, </w:t>
      </w:r>
      <w:r w:rsidR="00770C00">
        <w:t>“</w:t>
      </w:r>
      <w:r w:rsidR="00F1655D">
        <w:t xml:space="preserve">it is proper for courts to endeavour to so construe inter related statutes as to produce a sensible, efficient and just operation of them in preference to an inefficient, </w:t>
      </w:r>
      <w:r w:rsidR="00606FDB">
        <w:t>conflicting or unjust operation</w:t>
      </w:r>
      <w:r w:rsidR="00770C00">
        <w:t>”</w:t>
      </w:r>
      <w:r w:rsidR="00606FDB">
        <w:t>.</w:t>
      </w:r>
      <w:r w:rsidR="00F1655D">
        <w:t xml:space="preserve"> </w:t>
      </w:r>
      <w:r w:rsidR="00030CAF">
        <w:t xml:space="preserve"> </w:t>
      </w:r>
      <w:r w:rsidR="00F1655D">
        <w:t>I</w:t>
      </w:r>
      <w:r w:rsidR="00821B56">
        <w:t xml:space="preserve">n my opinion, that </w:t>
      </w:r>
      <w:r w:rsidR="00F1655D">
        <w:t>principle appl</w:t>
      </w:r>
      <w:r w:rsidR="00186862">
        <w:t>ies to the statutes under consideration</w:t>
      </w:r>
      <w:r w:rsidR="00F1655D">
        <w:t xml:space="preserve">. </w:t>
      </w:r>
      <w:r w:rsidR="0007083D">
        <w:t>There is</w:t>
      </w:r>
      <w:r w:rsidR="00F1655D">
        <w:t xml:space="preserve"> substantial </w:t>
      </w:r>
      <w:r>
        <w:t xml:space="preserve">interaction </w:t>
      </w:r>
      <w:r w:rsidR="00F1655D">
        <w:t xml:space="preserve">and overlap </w:t>
      </w:r>
      <w:r>
        <w:t xml:space="preserve">between </w:t>
      </w:r>
      <w:r w:rsidR="00606FDB">
        <w:t xml:space="preserve">the </w:t>
      </w:r>
      <w:r>
        <w:t>subject matter</w:t>
      </w:r>
      <w:r w:rsidR="00E85A24">
        <w:t xml:space="preserve"> and drafting of the </w:t>
      </w:r>
      <w:r w:rsidR="00BC2E3D">
        <w:t>BCI Act</w:t>
      </w:r>
      <w:r w:rsidR="00E85A24">
        <w:t xml:space="preserve"> and the FW Act. </w:t>
      </w:r>
      <w:r w:rsidR="00030CAF">
        <w:t>In particular</w:t>
      </w:r>
      <w:r w:rsidR="00E85A24">
        <w:t xml:space="preserve">, in s 8(1) of the </w:t>
      </w:r>
      <w:r w:rsidR="00BC2E3D">
        <w:t>BCI Act</w:t>
      </w:r>
      <w:r w:rsidR="00E85A24">
        <w:t xml:space="preserve">, </w:t>
      </w:r>
      <w:r w:rsidR="00770C00">
        <w:t>“</w:t>
      </w:r>
      <w:r w:rsidR="00E85A24">
        <w:t>protected industrial action</w:t>
      </w:r>
      <w:r w:rsidR="00770C00">
        <w:t>”</w:t>
      </w:r>
      <w:r w:rsidR="00E85A24">
        <w:t xml:space="preserve"> expressly takes its meaning from the FW Act, subject to the modifications described in </w:t>
      </w:r>
      <w:proofErr w:type="spellStart"/>
      <w:r w:rsidR="00E85A24">
        <w:t>s</w:t>
      </w:r>
      <w:r w:rsidR="00606FDB">
        <w:t>s</w:t>
      </w:r>
      <w:proofErr w:type="spellEnd"/>
      <w:r w:rsidR="00606FDB">
        <w:t> </w:t>
      </w:r>
      <w:r w:rsidR="00E85A24">
        <w:t>8(</w:t>
      </w:r>
      <w:r w:rsidR="00821B56">
        <w:t>2) and (3).  The term</w:t>
      </w:r>
      <w:r w:rsidR="00E85A24">
        <w:t xml:space="preserve"> </w:t>
      </w:r>
      <w:r w:rsidR="00821B56">
        <w:t>“protected industrial action” takes its meaning</w:t>
      </w:r>
      <w:r w:rsidR="00E85A24">
        <w:t xml:space="preserve"> in </w:t>
      </w:r>
      <w:proofErr w:type="spellStart"/>
      <w:r w:rsidR="00E85A24">
        <w:t>ss</w:t>
      </w:r>
      <w:proofErr w:type="spellEnd"/>
      <w:r w:rsidR="00E85A24">
        <w:t xml:space="preserve"> 408</w:t>
      </w:r>
      <w:r w:rsidR="00606FDB">
        <w:t xml:space="preserve"> to</w:t>
      </w:r>
      <w:r w:rsidR="00E85A24">
        <w:t xml:space="preserve"> 411 of the FW Act by reference to the definition of </w:t>
      </w:r>
      <w:r w:rsidR="00770C00">
        <w:t>“</w:t>
      </w:r>
      <w:r w:rsidR="00E85A24">
        <w:t>industrial action</w:t>
      </w:r>
      <w:r w:rsidR="00770C00">
        <w:t>”</w:t>
      </w:r>
      <w:r w:rsidR="00E85A24">
        <w:t xml:space="preserve"> in s 19 of the FW Act.</w:t>
      </w:r>
      <w:r w:rsidR="00F23C3D">
        <w:t xml:space="preserve"> Section 19(1) </w:t>
      </w:r>
      <w:r w:rsidR="00CD62D3">
        <w:t xml:space="preserve">of the FW Act </w:t>
      </w:r>
      <w:r w:rsidR="00F23C3D">
        <w:t xml:space="preserve">and s 7(1) of the </w:t>
      </w:r>
      <w:r w:rsidR="00BC2E3D">
        <w:t>BCI Act</w:t>
      </w:r>
      <w:r w:rsidR="00821B56">
        <w:t xml:space="preserve"> should be regarded as</w:t>
      </w:r>
      <w:r w:rsidR="00F23C3D">
        <w:t xml:space="preserve"> </w:t>
      </w:r>
      <w:r w:rsidR="00186862">
        <w:t>cognate provisions</w:t>
      </w:r>
      <w:r w:rsidR="00F23C3D">
        <w:t xml:space="preserve">. </w:t>
      </w:r>
      <w:r w:rsidR="00E85A24">
        <w:t xml:space="preserve"> </w:t>
      </w:r>
      <w:r w:rsidR="00F23C3D">
        <w:t xml:space="preserve">Just as the definition of </w:t>
      </w:r>
      <w:r w:rsidR="00770C00">
        <w:t>“</w:t>
      </w:r>
      <w:r w:rsidR="00F23C3D" w:rsidRPr="00F23C3D">
        <w:t>industrial action</w:t>
      </w:r>
      <w:r w:rsidR="00770C00">
        <w:t>”</w:t>
      </w:r>
      <w:r w:rsidR="00F23C3D" w:rsidRPr="00F23C3D">
        <w:t xml:space="preserve"> in s 19 of the FW Act</w:t>
      </w:r>
      <w:r w:rsidR="00F23C3D">
        <w:t xml:space="preserve"> must be read in light of </w:t>
      </w:r>
      <w:proofErr w:type="spellStart"/>
      <w:r w:rsidR="00F23C3D">
        <w:t>ss</w:t>
      </w:r>
      <w:proofErr w:type="spellEnd"/>
      <w:r w:rsidR="00F23C3D">
        <w:t xml:space="preserve"> 45, 50 and 61</w:t>
      </w:r>
      <w:r w:rsidR="00186862">
        <w:t>(1)</w:t>
      </w:r>
      <w:r w:rsidR="00F23C3D">
        <w:t xml:space="preserve"> of the FW Act, so to</w:t>
      </w:r>
      <w:r w:rsidR="00F1655D">
        <w:t>o</w:t>
      </w:r>
      <w:r w:rsidR="00CD62D3">
        <w:t xml:space="preserve"> must it be intended that </w:t>
      </w:r>
      <w:r>
        <w:t xml:space="preserve">the definition of </w:t>
      </w:r>
      <w:r w:rsidR="00770C00">
        <w:t>“</w:t>
      </w:r>
      <w:r>
        <w:t>industrial action</w:t>
      </w:r>
      <w:r w:rsidR="00770C00">
        <w:t>”</w:t>
      </w:r>
      <w:r>
        <w:t xml:space="preserve"> in the </w:t>
      </w:r>
      <w:r w:rsidR="00BC2E3D">
        <w:t>BCI Act</w:t>
      </w:r>
      <w:r w:rsidR="00F23C3D">
        <w:t xml:space="preserve"> be read in light </w:t>
      </w:r>
      <w:r>
        <w:t xml:space="preserve">of </w:t>
      </w:r>
      <w:r w:rsidR="00FA1A54">
        <w:t>those</w:t>
      </w:r>
      <w:r w:rsidR="00CD62D3">
        <w:t xml:space="preserve"> provisions</w:t>
      </w:r>
      <w:r>
        <w:t>.</w:t>
      </w:r>
    </w:p>
    <w:p w:rsidR="00FA1A54" w:rsidRDefault="007126EB" w:rsidP="00FA1A54">
      <w:pPr>
        <w:pStyle w:val="ParaNumbering"/>
      </w:pPr>
      <w:r>
        <w:t>It may be noted that</w:t>
      </w:r>
      <w:r w:rsidRPr="004E4C58">
        <w:t xml:space="preserve"> </w:t>
      </w:r>
      <w:r>
        <w:t xml:space="preserve">s 7(1)(c)(ii) applies to a failure or refusal </w:t>
      </w:r>
      <w:r w:rsidRPr="00745A19">
        <w:t>to perform any building work at all by employees</w:t>
      </w:r>
      <w:r>
        <w:t xml:space="preserve"> </w:t>
      </w:r>
      <w:r w:rsidRPr="00745A19">
        <w:t xml:space="preserve">who </w:t>
      </w:r>
      <w:r w:rsidR="00770C00">
        <w:t>“</w:t>
      </w:r>
      <w:r w:rsidRPr="00745A19">
        <w:t>attend work</w:t>
      </w:r>
      <w:r w:rsidR="00770C00">
        <w:t>”</w:t>
      </w:r>
      <w:r>
        <w:t xml:space="preserve">. There is an issue raised on the evidence as to whether the </w:t>
      </w:r>
      <w:r w:rsidR="00821B56">
        <w:t xml:space="preserve">amenities area and </w:t>
      </w:r>
      <w:r>
        <w:t xml:space="preserve">lunch room, where the Employees remained when not performing work on 11, 12 and 13 March 2019, was within the </w:t>
      </w:r>
      <w:r w:rsidR="009861BB">
        <w:t xml:space="preserve">part of the NQS site where </w:t>
      </w:r>
      <w:r w:rsidR="00FA1A54">
        <w:t xml:space="preserve">building </w:t>
      </w:r>
      <w:r w:rsidR="009861BB">
        <w:t>work was actually carried out</w:t>
      </w:r>
      <w:r>
        <w:t xml:space="preserve">.  However, the respondents have not </w:t>
      </w:r>
      <w:r w:rsidR="009861BB">
        <w:t xml:space="preserve">pleaded or </w:t>
      </w:r>
      <w:r w:rsidR="00511EF4">
        <w:t xml:space="preserve">argued </w:t>
      </w:r>
      <w:r>
        <w:t xml:space="preserve">that they did not </w:t>
      </w:r>
      <w:r w:rsidR="00770C00">
        <w:t>“</w:t>
      </w:r>
      <w:r>
        <w:t>attend work</w:t>
      </w:r>
      <w:r w:rsidR="00770C00">
        <w:t>”</w:t>
      </w:r>
      <w:r>
        <w:t xml:space="preserve"> when they </w:t>
      </w:r>
      <w:r w:rsidR="009861BB">
        <w:t xml:space="preserve">attended </w:t>
      </w:r>
      <w:r>
        <w:t xml:space="preserve">the </w:t>
      </w:r>
      <w:r w:rsidR="00821B56">
        <w:t xml:space="preserve">amenities area and </w:t>
      </w:r>
      <w:r>
        <w:t>lunch room.</w:t>
      </w:r>
    </w:p>
    <w:p w:rsidR="00FA1A54" w:rsidRDefault="006F13AB" w:rsidP="00FA1A54">
      <w:pPr>
        <w:pStyle w:val="ParaNumbering"/>
      </w:pPr>
      <w:r>
        <w:lastRenderedPageBreak/>
        <w:t>It is convenient to</w:t>
      </w:r>
      <w:r w:rsidR="00F1655D">
        <w:t xml:space="preserve"> start by</w:t>
      </w:r>
      <w:r w:rsidR="009E2552">
        <w:t xml:space="preserve"> consider</w:t>
      </w:r>
      <w:r w:rsidR="00F1655D">
        <w:t>ing</w:t>
      </w:r>
      <w:r w:rsidR="009E2552">
        <w:t xml:space="preserve"> whether t</w:t>
      </w:r>
      <w:r w:rsidR="00775C0B">
        <w:t xml:space="preserve">he Employees </w:t>
      </w:r>
      <w:r w:rsidR="009E2552">
        <w:t xml:space="preserve">took industrial action within s 7(1)(c) of the </w:t>
      </w:r>
      <w:r w:rsidR="00BC2E3D">
        <w:t>BCI Act</w:t>
      </w:r>
      <w:r w:rsidR="009E2552">
        <w:t xml:space="preserve"> on</w:t>
      </w:r>
      <w:r>
        <w:t xml:space="preserve"> </w:t>
      </w:r>
      <w:r w:rsidR="002A5FDF">
        <w:t xml:space="preserve">12, 13 and 14 March 2019. </w:t>
      </w:r>
      <w:r w:rsidR="009E2552">
        <w:t>They were offered work for those days, but</w:t>
      </w:r>
      <w:r w:rsidR="002A5FDF">
        <w:t xml:space="preserve"> were</w:t>
      </w:r>
      <w:r w:rsidR="00775C0B">
        <w:t xml:space="preserve"> under no legal </w:t>
      </w:r>
      <w:r w:rsidR="00CC2AEA">
        <w:t>obligation</w:t>
      </w:r>
      <w:r w:rsidR="0003559E">
        <w:t xml:space="preserve"> </w:t>
      </w:r>
      <w:r w:rsidR="009E2552">
        <w:t>to accept those offers</w:t>
      </w:r>
      <w:r w:rsidR="00CC2AEA">
        <w:t xml:space="preserve">. </w:t>
      </w:r>
      <w:r w:rsidR="008A6A31">
        <w:t xml:space="preserve">However, </w:t>
      </w:r>
      <w:r w:rsidR="009E2552">
        <w:t xml:space="preserve">it must be examined whether they </w:t>
      </w:r>
      <w:r>
        <w:t xml:space="preserve">in fact </w:t>
      </w:r>
      <w:r w:rsidR="009E2552">
        <w:t>accepted the of</w:t>
      </w:r>
      <w:r w:rsidR="00F1655D">
        <w:t>fers of work</w:t>
      </w:r>
      <w:r w:rsidR="0078573D">
        <w:t>,</w:t>
      </w:r>
      <w:r w:rsidR="00F1655D">
        <w:t xml:space="preserve"> but then refused </w:t>
      </w:r>
      <w:r>
        <w:t>to</w:t>
      </w:r>
      <w:r w:rsidR="00FA1A54">
        <w:t xml:space="preserve"> perform the work. </w:t>
      </w:r>
    </w:p>
    <w:p w:rsidR="00FA1A54" w:rsidRDefault="00FA1A54" w:rsidP="00FA1A54">
      <w:pPr>
        <w:pStyle w:val="ParaNumbering"/>
      </w:pPr>
      <w:r>
        <w:t>It should be noted tha</w:t>
      </w:r>
      <w:r w:rsidR="0078573D">
        <w:t>t the following analysis of the</w:t>
      </w:r>
      <w:r>
        <w:t xml:space="preserve"> issue has an artificial basis. If I am correct that the Employees placed a ban on the performance and acceptance of work, then they cannot be considered to have accepted work from 11 to 14 March 2019</w:t>
      </w:r>
      <w:r w:rsidR="0078573D">
        <w:t xml:space="preserve"> which they then refused to perform</w:t>
      </w:r>
      <w:r>
        <w:t xml:space="preserve">. </w:t>
      </w:r>
      <w:r w:rsidR="0003559E">
        <w:t xml:space="preserve"> The </w:t>
      </w:r>
      <w:r>
        <w:t xml:space="preserve">Employees’ conduct </w:t>
      </w:r>
      <w:r w:rsidR="0003559E">
        <w:t xml:space="preserve">can fall </w:t>
      </w:r>
      <w:r>
        <w:t>within either s 7(1)(b) or s 7(1)(c), but not both.</w:t>
      </w:r>
    </w:p>
    <w:p w:rsidR="00730F2B" w:rsidRDefault="007126EB" w:rsidP="007126EB">
      <w:pPr>
        <w:pStyle w:val="ParaNumbering"/>
      </w:pPr>
      <w:r>
        <w:t>There are circumstances where acceptance of an offer can be inferred. Acceptance of an</w:t>
      </w:r>
      <w:r w:rsidR="00730F2B">
        <w:t xml:space="preserve"> offer may be implied based on what the</w:t>
      </w:r>
      <w:r w:rsidR="005C058E">
        <w:t xml:space="preserve"> parties said and did</w:t>
      </w:r>
      <w:r>
        <w:t xml:space="preserve">: </w:t>
      </w:r>
      <w:proofErr w:type="spellStart"/>
      <w:r>
        <w:rPr>
          <w:i/>
        </w:rPr>
        <w:t>Damevski</w:t>
      </w:r>
      <w:proofErr w:type="spellEnd"/>
      <w:r>
        <w:rPr>
          <w:i/>
        </w:rPr>
        <w:t xml:space="preserve"> v </w:t>
      </w:r>
      <w:proofErr w:type="spellStart"/>
      <w:r>
        <w:rPr>
          <w:i/>
        </w:rPr>
        <w:t>Giudice</w:t>
      </w:r>
      <w:proofErr w:type="spellEnd"/>
      <w:r>
        <w:t xml:space="preserve"> (2003) </w:t>
      </w:r>
      <w:r w:rsidR="00DE6860" w:rsidRPr="00DE6860">
        <w:t>133 FCR 438 at [82]</w:t>
      </w:r>
      <w:r w:rsidR="005C058E">
        <w:t>.</w:t>
      </w:r>
      <w:r>
        <w:t xml:space="preserve"> This will be so</w:t>
      </w:r>
      <w:r w:rsidR="00730F2B">
        <w:t xml:space="preserve"> if an objective bystander</w:t>
      </w:r>
      <w:r w:rsidR="005C058E">
        <w:t xml:space="preserve"> </w:t>
      </w:r>
      <w:r w:rsidR="00730F2B">
        <w:t>would conclude from the offeree</w:t>
      </w:r>
      <w:r w:rsidR="00ED139E">
        <w:t>’</w:t>
      </w:r>
      <w:r w:rsidR="00730F2B">
        <w:t>s conduct, including their silence, that the</w:t>
      </w:r>
      <w:r w:rsidR="005C058E">
        <w:t xml:space="preserve"> offeree has accepted the offer</w:t>
      </w:r>
      <w:r>
        <w:t xml:space="preserve">: </w:t>
      </w:r>
      <w:r w:rsidR="000256B3" w:rsidRPr="007126EB">
        <w:rPr>
          <w:i/>
        </w:rPr>
        <w:t xml:space="preserve">Hoh v Ying </w:t>
      </w:r>
      <w:proofErr w:type="spellStart"/>
      <w:r w:rsidR="000256B3" w:rsidRPr="007126EB">
        <w:rPr>
          <w:i/>
        </w:rPr>
        <w:t>Mui</w:t>
      </w:r>
      <w:proofErr w:type="spellEnd"/>
      <w:r w:rsidR="000256B3" w:rsidRPr="007126EB">
        <w:rPr>
          <w:i/>
        </w:rPr>
        <w:t xml:space="preserve"> Pty Ltd</w:t>
      </w:r>
      <w:r w:rsidR="00606FDB">
        <w:t xml:space="preserve"> [2019]</w:t>
      </w:r>
      <w:r w:rsidR="000256B3">
        <w:t xml:space="preserve"> VSCA 203 at [196]</w:t>
      </w:r>
      <w:r>
        <w:t>;</w:t>
      </w:r>
      <w:r w:rsidR="000256B3">
        <w:t xml:space="preserve"> </w:t>
      </w:r>
      <w:proofErr w:type="spellStart"/>
      <w:r w:rsidR="000256B3" w:rsidRPr="007126EB">
        <w:rPr>
          <w:i/>
        </w:rPr>
        <w:t>P</w:t>
      </w:r>
      <w:r w:rsidR="00606FDB">
        <w:rPr>
          <w:i/>
        </w:rPr>
        <w:t>’</w:t>
      </w:r>
      <w:r w:rsidR="000256B3" w:rsidRPr="007126EB">
        <w:rPr>
          <w:i/>
        </w:rPr>
        <w:t>Auer</w:t>
      </w:r>
      <w:proofErr w:type="spellEnd"/>
      <w:r w:rsidR="000256B3" w:rsidRPr="007126EB">
        <w:rPr>
          <w:i/>
        </w:rPr>
        <w:t xml:space="preserve"> AG v </w:t>
      </w:r>
      <w:proofErr w:type="spellStart"/>
      <w:r w:rsidR="000256B3" w:rsidRPr="007126EB">
        <w:rPr>
          <w:i/>
        </w:rPr>
        <w:t>Polybuild</w:t>
      </w:r>
      <w:proofErr w:type="spellEnd"/>
      <w:r w:rsidR="000256B3" w:rsidRPr="007126EB">
        <w:rPr>
          <w:i/>
        </w:rPr>
        <w:t xml:space="preserve"> Technologies International Pty Ltd</w:t>
      </w:r>
      <w:r w:rsidR="000256B3">
        <w:t xml:space="preserve"> [2015] VSCA 42 at [9]</w:t>
      </w:r>
      <w:r w:rsidR="00041316">
        <w:t>–</w:t>
      </w:r>
      <w:r w:rsidR="000256B3">
        <w:t xml:space="preserve">[13]; </w:t>
      </w:r>
      <w:proofErr w:type="spellStart"/>
      <w:r w:rsidR="000256B3" w:rsidRPr="007126EB">
        <w:rPr>
          <w:i/>
        </w:rPr>
        <w:t>Empirnall</w:t>
      </w:r>
      <w:proofErr w:type="spellEnd"/>
      <w:r w:rsidR="000256B3" w:rsidRPr="007126EB">
        <w:rPr>
          <w:i/>
        </w:rPr>
        <w:t xml:space="preserve"> Holdings v </w:t>
      </w:r>
      <w:proofErr w:type="spellStart"/>
      <w:r w:rsidR="000256B3" w:rsidRPr="007126EB">
        <w:rPr>
          <w:i/>
        </w:rPr>
        <w:t>Machon</w:t>
      </w:r>
      <w:proofErr w:type="spellEnd"/>
      <w:r w:rsidR="000256B3" w:rsidRPr="007126EB">
        <w:rPr>
          <w:i/>
        </w:rPr>
        <w:t xml:space="preserve"> Paull</w:t>
      </w:r>
      <w:r w:rsidR="00606FDB">
        <w:rPr>
          <w:i/>
        </w:rPr>
        <w:t xml:space="preserve"> Partners Pty Ltd</w:t>
      </w:r>
      <w:r>
        <w:t xml:space="preserve"> (1988) </w:t>
      </w:r>
      <w:r w:rsidR="00606FDB">
        <w:t xml:space="preserve">14 </w:t>
      </w:r>
      <w:r>
        <w:t>NSWLR 523 at 535</w:t>
      </w:r>
      <w:r w:rsidR="005C058E">
        <w:t>.</w:t>
      </w:r>
    </w:p>
    <w:p w:rsidR="006F13AB" w:rsidRDefault="009E2552" w:rsidP="004E4C58">
      <w:pPr>
        <w:pStyle w:val="ParaNumbering"/>
      </w:pPr>
      <w:r>
        <w:t>The 12 March Employees attended the lunch room on that day and signed in</w:t>
      </w:r>
      <w:r w:rsidR="00674B27">
        <w:t xml:space="preserve"> for work at 6</w:t>
      </w:r>
      <w:r w:rsidR="00606FDB">
        <w:t> </w:t>
      </w:r>
      <w:r w:rsidR="00674B27">
        <w:t>am</w:t>
      </w:r>
      <w:r>
        <w:t xml:space="preserve">. </w:t>
      </w:r>
      <w:r w:rsidR="00674B27">
        <w:t xml:space="preserve">There is no evidence that they, or Mr Harradine, said anything at the time they signed in to indicate that they were not accepting the work </w:t>
      </w:r>
      <w:r w:rsidR="006F13AB">
        <w:t xml:space="preserve">that had been </w:t>
      </w:r>
      <w:r w:rsidR="00674B27">
        <w:t>offered.  A reasonabl</w:t>
      </w:r>
      <w:r w:rsidR="00A679D0">
        <w:t xml:space="preserve">e bystander would conclude that by </w:t>
      </w:r>
      <w:r w:rsidR="00674B27">
        <w:t>sign</w:t>
      </w:r>
      <w:r w:rsidR="00A679D0">
        <w:t>ing in for work</w:t>
      </w:r>
      <w:r w:rsidR="00D40F77">
        <w:t>,</w:t>
      </w:r>
      <w:r w:rsidR="00A679D0">
        <w:t xml:space="preserve"> they were accepting</w:t>
      </w:r>
      <w:r w:rsidR="00674B27">
        <w:t xml:space="preserve"> the offers of work</w:t>
      </w:r>
      <w:r w:rsidR="00DC4A26">
        <w:t xml:space="preserve"> (leaving aside the issue of the ban).</w:t>
      </w:r>
      <w:r w:rsidR="00674B27">
        <w:t xml:space="preserve"> A contract was formed when they signe</w:t>
      </w:r>
      <w:r w:rsidR="006F13AB">
        <w:t>d in, and they were then legally</w:t>
      </w:r>
      <w:r w:rsidR="00674B27">
        <w:t xml:space="preserve"> obligated to perform at least an hours</w:t>
      </w:r>
      <w:r w:rsidR="00ED139E">
        <w:t>’</w:t>
      </w:r>
      <w:r w:rsidR="006F13AB">
        <w:t xml:space="preserve"> work. </w:t>
      </w:r>
      <w:r w:rsidR="00674B27">
        <w:t>Having attended</w:t>
      </w:r>
      <w:r w:rsidR="00A679D0">
        <w:t xml:space="preserve"> work</w:t>
      </w:r>
      <w:r w:rsidR="00AB13C9">
        <w:t xml:space="preserve"> and accepted the offer of work</w:t>
      </w:r>
      <w:r w:rsidR="00674B27">
        <w:t xml:space="preserve">, they failed to perform any work. I </w:t>
      </w:r>
      <w:r w:rsidR="00DC4A26">
        <w:t xml:space="preserve">would </w:t>
      </w:r>
      <w:r w:rsidR="00674B27">
        <w:t xml:space="preserve">find that they took </w:t>
      </w:r>
      <w:r>
        <w:t>industrial action, within the meaning of s 7(1)(c)</w:t>
      </w:r>
      <w:r w:rsidR="00674B27">
        <w:t>,</w:t>
      </w:r>
      <w:r>
        <w:t xml:space="preserve"> by </w:t>
      </w:r>
      <w:r w:rsidR="00674B27">
        <w:t>failing to perform any</w:t>
      </w:r>
      <w:r>
        <w:t xml:space="preserve"> building work </w:t>
      </w:r>
      <w:r w:rsidR="00674B27">
        <w:t xml:space="preserve">at all </w:t>
      </w:r>
      <w:r w:rsidR="00D66B83">
        <w:t>on 12 March 2019</w:t>
      </w:r>
      <w:r w:rsidR="004E4C58">
        <w:t>.</w:t>
      </w:r>
    </w:p>
    <w:p w:rsidR="006F13AB" w:rsidRDefault="006F13AB" w:rsidP="006F13AB">
      <w:pPr>
        <w:pStyle w:val="ParaNumbering"/>
      </w:pPr>
      <w:r>
        <w:t xml:space="preserve">The 13 March Employees attended the lunch room on that day but did not sign in. In my opinion, their mere attendance at the site is insufficient to demonstrate that they accepted the offers of work. </w:t>
      </w:r>
      <w:r w:rsidR="00742BF3">
        <w:t xml:space="preserve"> Some </w:t>
      </w:r>
      <w:r>
        <w:t xml:space="preserve">further act was required to indicate such acceptance. I </w:t>
      </w:r>
      <w:r w:rsidR="00DC4A26">
        <w:t xml:space="preserve">would </w:t>
      </w:r>
      <w:r>
        <w:t>find that they</w:t>
      </w:r>
      <w:r w:rsidR="004E4C58">
        <w:t xml:space="preserve"> did not take industrial action</w:t>
      </w:r>
      <w:r>
        <w:t xml:space="preserve"> within the meaning of s 7(1)(c).</w:t>
      </w:r>
    </w:p>
    <w:p w:rsidR="004E4C58" w:rsidRDefault="004E4C58" w:rsidP="004E4C58">
      <w:pPr>
        <w:pStyle w:val="ParaNumbering"/>
      </w:pPr>
      <w:r w:rsidRPr="006F13AB">
        <w:t>The 14 March Em</w:t>
      </w:r>
      <w:r>
        <w:t xml:space="preserve">ployees did not attend the lunch room or the NQS site at all </w:t>
      </w:r>
      <w:r w:rsidRPr="006F13AB">
        <w:t xml:space="preserve">and did not sign in. </w:t>
      </w:r>
      <w:r>
        <w:t>The evidence does not establish th</w:t>
      </w:r>
      <w:r w:rsidR="006F2DDA">
        <w:t xml:space="preserve">at they accepted the </w:t>
      </w:r>
      <w:r>
        <w:t xml:space="preserve">offers of work. I </w:t>
      </w:r>
      <w:r w:rsidR="00DC4A26">
        <w:t xml:space="preserve">would </w:t>
      </w:r>
      <w:r>
        <w:t>find that they did not take industrial action within the meaning of s 7(1)(c).</w:t>
      </w:r>
    </w:p>
    <w:p w:rsidR="00DC4A26" w:rsidRDefault="00CC2AEA" w:rsidP="00DC4A26">
      <w:pPr>
        <w:pStyle w:val="ParaNumbering"/>
      </w:pPr>
      <w:r>
        <w:lastRenderedPageBreak/>
        <w:t>The position is more complex in respect of 11 March 2019. I have inferred that the 11 March Employees were offered work from 6</w:t>
      </w:r>
      <w:r w:rsidR="00465790">
        <w:t> </w:t>
      </w:r>
      <w:r>
        <w:t>a</w:t>
      </w:r>
      <w:r w:rsidR="0078573D">
        <w:t>m to 2</w:t>
      </w:r>
      <w:r w:rsidR="00465790">
        <w:t> </w:t>
      </w:r>
      <w:r w:rsidR="0078573D">
        <w:t>pm</w:t>
      </w:r>
      <w:r>
        <w:t>. They refused to perform any building work at all from 11</w:t>
      </w:r>
      <w:r w:rsidR="00465790">
        <w:t> </w:t>
      </w:r>
      <w:r>
        <w:t>am to 2</w:t>
      </w:r>
      <w:r w:rsidR="00465790">
        <w:t> </w:t>
      </w:r>
      <w:r>
        <w:t>pm. Clause 6.2.1 of the Enterprise Agreement states that they were</w:t>
      </w:r>
      <w:r w:rsidR="00742BF3">
        <w:t>,</w:t>
      </w:r>
      <w:r w:rsidRPr="00705D69">
        <w:t xml:space="preserve"> </w:t>
      </w:r>
      <w:r w:rsidR="00770C00">
        <w:t>“</w:t>
      </w:r>
      <w:r>
        <w:t>engaged by the hour</w:t>
      </w:r>
      <w:r w:rsidR="00770C00">
        <w:t>”</w:t>
      </w:r>
      <w:r>
        <w:t>.  The effect of the claus</w:t>
      </w:r>
      <w:r w:rsidR="00DC4A26">
        <w:t>e is that there is a separate engagement</w:t>
      </w:r>
      <w:r w:rsidR="004E4C58">
        <w:t xml:space="preserve"> for each hour of work </w:t>
      </w:r>
      <w:r>
        <w:t>the e</w:t>
      </w:r>
      <w:r w:rsidR="00775C0B">
        <w:t>mployee performs.</w:t>
      </w:r>
      <w:r w:rsidR="00DC4A26">
        <w:t xml:space="preserve"> </w:t>
      </w:r>
    </w:p>
    <w:p w:rsidR="00DC4A26" w:rsidRDefault="00CC2AEA" w:rsidP="00DC4A26">
      <w:pPr>
        <w:pStyle w:val="ParaNumbering"/>
      </w:pPr>
      <w:r>
        <w:t>Clause 6.2.3 indicates that employees are provided (</w:t>
      </w:r>
      <w:proofErr w:type="spellStart"/>
      <w:r>
        <w:t>ie</w:t>
      </w:r>
      <w:proofErr w:type="spellEnd"/>
      <w:r>
        <w:t xml:space="preserve"> offered) a minimum of four hours work per engagement. The clause</w:t>
      </w:r>
      <w:r w:rsidRPr="00FB4CC0">
        <w:t xml:space="preserve"> </w:t>
      </w:r>
      <w:r>
        <w:t xml:space="preserve">goes on to provide that employees may, </w:t>
      </w:r>
      <w:r w:rsidR="00770C00">
        <w:t>“</w:t>
      </w:r>
      <w:r>
        <w:t>choose not to remain at work for the minimum engagement period by signing off early</w:t>
      </w:r>
      <w:r w:rsidR="00770C00">
        <w:t>”</w:t>
      </w:r>
      <w:r w:rsidR="00DC4A26">
        <w:t xml:space="preserve">. </w:t>
      </w:r>
      <w:r>
        <w:t xml:space="preserve">The evidence demonstrates that </w:t>
      </w:r>
      <w:r w:rsidR="00AC135F">
        <w:t>PJ Walsh Constructions</w:t>
      </w:r>
      <w:r>
        <w:t xml:space="preserve"> employed a system where employees signed in and signed off work using the </w:t>
      </w:r>
      <w:r w:rsidR="00AB13C9">
        <w:t xml:space="preserve">attendance sheets in </w:t>
      </w:r>
      <w:r w:rsidR="00465790">
        <w:t xml:space="preserve">the </w:t>
      </w:r>
      <w:r>
        <w:t>Foreman</w:t>
      </w:r>
      <w:r w:rsidR="00ED139E">
        <w:t>’</w:t>
      </w:r>
      <w:r>
        <w:t xml:space="preserve">s Weekly Notes. In my opinion, the reference to </w:t>
      </w:r>
      <w:r w:rsidR="00770C00">
        <w:t>“</w:t>
      </w:r>
      <w:r>
        <w:t>signing off</w:t>
      </w:r>
      <w:r w:rsidR="00770C00">
        <w:t>”</w:t>
      </w:r>
      <w:r>
        <w:t xml:space="preserve"> in cl 6.2.3 refers to physically signing the timesheet provided by the employer.</w:t>
      </w:r>
      <w:r w:rsidR="00DC4A26">
        <w:t xml:space="preserve"> Although cl 6.2.3 suggests that employees only need to sign off when they choose not to remain at work for the minimum engagement period of four hours, </w:t>
      </w:r>
      <w:r w:rsidR="00D40F77">
        <w:t xml:space="preserve">that </w:t>
      </w:r>
      <w:r w:rsidR="0078573D">
        <w:t>provide</w:t>
      </w:r>
      <w:r w:rsidR="00D40F77">
        <w:t>s what is likely to be</w:t>
      </w:r>
      <w:r w:rsidR="00DC4A26">
        <w:t xml:space="preserve"> an example of loose drafting. I </w:t>
      </w:r>
      <w:r w:rsidR="0078573D">
        <w:t>consider that cl 6.2.3</w:t>
      </w:r>
      <w:r w:rsidR="001C7FCB">
        <w:t xml:space="preserve"> is intended to mean that an employee who chooses not to remain at work at any time, even after working for four hours, must sign off. The reason for the requirement to sign off is that employees are paid for each hour they work, so it is important for both the employer and employee to have an accurate record of when wor</w:t>
      </w:r>
      <w:r w:rsidR="0078573D">
        <w:t>k is commenced and finished</w:t>
      </w:r>
      <w:r w:rsidR="001C7FCB">
        <w:t>. It is unlikely that the requirement of signing off was intended to apply only where the employee works for less than four hours.</w:t>
      </w:r>
    </w:p>
    <w:p w:rsidR="003863E7" w:rsidRDefault="001C7FCB" w:rsidP="003734F6">
      <w:pPr>
        <w:pStyle w:val="ParaNumbering"/>
      </w:pPr>
      <w:r>
        <w:t>T</w:t>
      </w:r>
      <w:r w:rsidR="00CC2AEA">
        <w:t>he 11 March Employees</w:t>
      </w:r>
      <w:r>
        <w:t xml:space="preserve"> did not give the one hour’s notice required under cl 6.2.1 </w:t>
      </w:r>
      <w:r w:rsidR="0078573D">
        <w:t xml:space="preserve">of the Enterprise Agreement. In addition, an aspect of indicating </w:t>
      </w:r>
      <w:r>
        <w:t xml:space="preserve">their </w:t>
      </w:r>
      <w:r w:rsidR="0078573D">
        <w:t xml:space="preserve">choice not to remain at work was </w:t>
      </w:r>
      <w:r w:rsidR="00CC2AEA">
        <w:t>physically sign</w:t>
      </w:r>
      <w:r>
        <w:t>ing</w:t>
      </w:r>
      <w:r w:rsidR="00CC2AEA">
        <w:t xml:space="preserve"> the Foreman</w:t>
      </w:r>
      <w:r w:rsidR="00ED139E">
        <w:t>’</w:t>
      </w:r>
      <w:r>
        <w:t>s Weekly Notes</w:t>
      </w:r>
      <w:r w:rsidR="0078573D">
        <w:t>, but that was not done</w:t>
      </w:r>
      <w:r>
        <w:t xml:space="preserve">. </w:t>
      </w:r>
      <w:r w:rsidR="00766C40">
        <w:t>They were</w:t>
      </w:r>
      <w:r w:rsidR="0078573D">
        <w:t xml:space="preserve"> required to work for </w:t>
      </w:r>
      <w:r w:rsidR="00766C40">
        <w:t xml:space="preserve">one </w:t>
      </w:r>
      <w:r>
        <w:t xml:space="preserve">further </w:t>
      </w:r>
      <w:r w:rsidR="003863E7">
        <w:t xml:space="preserve">hour, but failed to do so. </w:t>
      </w:r>
    </w:p>
    <w:p w:rsidR="001C7FCB" w:rsidRDefault="001C7FCB" w:rsidP="003863E7">
      <w:pPr>
        <w:pStyle w:val="ParaNumbering"/>
      </w:pPr>
      <w:r>
        <w:t xml:space="preserve">In summary, if I had not found that the </w:t>
      </w:r>
      <w:r w:rsidR="00D40F77">
        <w:t xml:space="preserve">Employees </w:t>
      </w:r>
      <w:r>
        <w:t xml:space="preserve">imposed a ban on the performance and acceptance of building work </w:t>
      </w:r>
      <w:r w:rsidR="003863E7">
        <w:t xml:space="preserve">within </w:t>
      </w:r>
      <w:r>
        <w:t>s</w:t>
      </w:r>
      <w:r w:rsidR="00465790">
        <w:t> </w:t>
      </w:r>
      <w:r>
        <w:t xml:space="preserve">7(1)(b), I would have found that </w:t>
      </w:r>
      <w:r w:rsidR="003863E7">
        <w:t xml:space="preserve">there was a, “refusal…to perform any building work at all by employees who attend work”, on 11 and 12 March 2019 within s 7(1)(c) of the BCI Act. </w:t>
      </w:r>
    </w:p>
    <w:p w:rsidR="000C0EAD" w:rsidRPr="00A679D0" w:rsidRDefault="000C0EAD" w:rsidP="00585423">
      <w:pPr>
        <w:pStyle w:val="Heading3"/>
      </w:pPr>
      <w:r w:rsidRPr="00A679D0">
        <w:t xml:space="preserve">Whether </w:t>
      </w:r>
      <w:r w:rsidR="00AC135F">
        <w:t>PJ Walsh Constructions</w:t>
      </w:r>
      <w:r w:rsidRPr="00A679D0">
        <w:t xml:space="preserve"> authorised or agreed to </w:t>
      </w:r>
      <w:r w:rsidR="00EC5C9F">
        <w:t xml:space="preserve">the </w:t>
      </w:r>
      <w:r w:rsidR="00A768B4" w:rsidRPr="00A679D0">
        <w:t xml:space="preserve">failure or refusal of the Employees to perform work </w:t>
      </w:r>
      <w:r w:rsidRPr="00A679D0">
        <w:t>under the terms of the Enterprise Agreement</w:t>
      </w:r>
    </w:p>
    <w:p w:rsidR="00A768B4" w:rsidRDefault="00A768B4" w:rsidP="00C5629B">
      <w:pPr>
        <w:pStyle w:val="ParaNumbering"/>
      </w:pPr>
      <w:r w:rsidRPr="00C5629B">
        <w:t xml:space="preserve">The respondents submit that even if their refusal to perform work falls within s 7(1) of the </w:t>
      </w:r>
      <w:r w:rsidR="00BC2E3D">
        <w:t>BCI Act</w:t>
      </w:r>
      <w:r w:rsidRPr="00C5629B">
        <w:t xml:space="preserve">, </w:t>
      </w:r>
      <w:r w:rsidR="00AC135F">
        <w:t>PJ Walsh Constructions</w:t>
      </w:r>
      <w:r w:rsidRPr="00C5629B">
        <w:t xml:space="preserve"> authorised or agreed to </w:t>
      </w:r>
      <w:r w:rsidR="00EC5C9F">
        <w:t xml:space="preserve">the </w:t>
      </w:r>
      <w:r w:rsidRPr="00C5629B">
        <w:t xml:space="preserve">failure or refusal of the Employees to perform work under the terms of the Enterprise Agreement. </w:t>
      </w:r>
      <w:r w:rsidR="00100258">
        <w:t xml:space="preserve">Section 7(2) </w:t>
      </w:r>
      <w:r w:rsidR="002A290D">
        <w:t xml:space="preserve">of the BCI Act </w:t>
      </w:r>
      <w:r w:rsidR="00100258">
        <w:lastRenderedPageBreak/>
        <w:t xml:space="preserve">excludes </w:t>
      </w:r>
      <w:r w:rsidR="002A290D">
        <w:t xml:space="preserve">from the definition </w:t>
      </w:r>
      <w:r w:rsidR="0075533C">
        <w:t xml:space="preserve">of “industrial action” </w:t>
      </w:r>
      <w:r w:rsidR="002A290D">
        <w:t xml:space="preserve">any </w:t>
      </w:r>
      <w:r w:rsidR="00100258">
        <w:t xml:space="preserve">conduct which was agreed to in advance and in writing by the employer. </w:t>
      </w:r>
      <w:r w:rsidRPr="00C5629B">
        <w:t>The</w:t>
      </w:r>
      <w:r w:rsidR="00100258">
        <w:t xml:space="preserve"> respondents </w:t>
      </w:r>
      <w:r w:rsidRPr="00C5629B">
        <w:t xml:space="preserve">submit that </w:t>
      </w:r>
      <w:r w:rsidR="00100258">
        <w:t xml:space="preserve">by virtue of </w:t>
      </w:r>
      <w:r w:rsidR="00AC135F">
        <w:t>PJ Walsh Constructions</w:t>
      </w:r>
      <w:r w:rsidR="00100258">
        <w:t xml:space="preserve"> employing the Employees as </w:t>
      </w:r>
      <w:r w:rsidR="00100258" w:rsidRPr="00C5629B">
        <w:t>causal employees</w:t>
      </w:r>
      <w:r w:rsidR="00100258">
        <w:t xml:space="preserve"> under the Enterprise Agreement, they </w:t>
      </w:r>
      <w:r w:rsidR="002A290D">
        <w:t xml:space="preserve">agreed to the Employees </w:t>
      </w:r>
      <w:r w:rsidR="0075533C">
        <w:t>being entitled to refuse</w:t>
      </w:r>
      <w:r w:rsidR="002D523F" w:rsidRPr="00C5629B">
        <w:t xml:space="preserve"> to accept or perform </w:t>
      </w:r>
      <w:r w:rsidR="00100258">
        <w:t xml:space="preserve">any </w:t>
      </w:r>
      <w:r w:rsidR="002D523F" w:rsidRPr="00C5629B">
        <w:t>work.</w:t>
      </w:r>
    </w:p>
    <w:p w:rsidR="00100258" w:rsidRDefault="00100258" w:rsidP="00C5629B">
      <w:pPr>
        <w:pStyle w:val="ParaNumbering"/>
      </w:pPr>
      <w:r>
        <w:t xml:space="preserve">I accept that under the Enterprise Agreement, </w:t>
      </w:r>
      <w:r w:rsidR="00AC135F">
        <w:t>PJ Walsh Constructions</w:t>
      </w:r>
      <w:r>
        <w:t xml:space="preserve"> agreed that its casual employees were not obliged to accept </w:t>
      </w:r>
      <w:r w:rsidR="005B2C35">
        <w:t xml:space="preserve">work that was offered to them. I also accept that </w:t>
      </w:r>
      <w:r w:rsidR="00AC135F">
        <w:t>PJ Walsh Constructions</w:t>
      </w:r>
      <w:r w:rsidR="005B2C35">
        <w:t xml:space="preserve"> agreed that if casual employees accepted offers of work, they were</w:t>
      </w:r>
      <w:r w:rsidR="005B2C35" w:rsidRPr="005B2C35">
        <w:t xml:space="preserve"> </w:t>
      </w:r>
      <w:r w:rsidR="005B2C35">
        <w:t>entitled to choose not to remain at work for the minimum engagement period by signing off early, subject to giving an hour</w:t>
      </w:r>
      <w:r w:rsidR="00ED139E">
        <w:t>’</w:t>
      </w:r>
      <w:r w:rsidR="005B2C35">
        <w:t xml:space="preserve">s notice. </w:t>
      </w:r>
    </w:p>
    <w:p w:rsidR="002B5C23" w:rsidRDefault="002B5C23" w:rsidP="00C5629B">
      <w:pPr>
        <w:pStyle w:val="ParaNumbering"/>
      </w:pPr>
      <w:r>
        <w:t xml:space="preserve">However, </w:t>
      </w:r>
      <w:r w:rsidR="00AC135F">
        <w:t>PJ Walsh Constructions</w:t>
      </w:r>
      <w:r>
        <w:t xml:space="preserve"> did not agree to </w:t>
      </w:r>
      <w:r w:rsidR="00AE3E40">
        <w:t xml:space="preserve">the Employees placing </w:t>
      </w:r>
      <w:r>
        <w:t xml:space="preserve">a </w:t>
      </w:r>
      <w:r w:rsidRPr="002B5C23">
        <w:rPr>
          <w:i/>
        </w:rPr>
        <w:t xml:space="preserve">ban </w:t>
      </w:r>
      <w:r>
        <w:t xml:space="preserve">on the performance of work or on the acceptance of work. </w:t>
      </w:r>
      <w:r w:rsidR="00AE3E40">
        <w:t xml:space="preserve"> A ban has a more general nature than </w:t>
      </w:r>
      <w:r w:rsidR="009C1EA0">
        <w:t xml:space="preserve">a </w:t>
      </w:r>
      <w:r w:rsidR="00AE3E40">
        <w:t>mere refusal of an offer of work on a particular occasion.</w:t>
      </w:r>
    </w:p>
    <w:p w:rsidR="005B2C35" w:rsidRPr="00C5629B" w:rsidRDefault="002B5C23" w:rsidP="00C5629B">
      <w:pPr>
        <w:pStyle w:val="ParaNumbering"/>
      </w:pPr>
      <w:r>
        <w:t xml:space="preserve">Further, </w:t>
      </w:r>
      <w:r w:rsidR="00AC135F">
        <w:t>PJ Walsh Constructions</w:t>
      </w:r>
      <w:r>
        <w:t xml:space="preserve"> did not agree to the </w:t>
      </w:r>
      <w:r w:rsidR="00EC5C9F">
        <w:t xml:space="preserve">Employees </w:t>
      </w:r>
      <w:r>
        <w:t xml:space="preserve">contravening the Enterprise Agreement. </w:t>
      </w:r>
      <w:r w:rsidR="000C0258">
        <w:t>F</w:t>
      </w:r>
      <w:r>
        <w:t xml:space="preserve">or the reasons I </w:t>
      </w:r>
      <w:r w:rsidR="001674E1">
        <w:t xml:space="preserve">have given </w:t>
      </w:r>
      <w:r>
        <w:t xml:space="preserve">in relation to s 7(1)(c), the 11 March </w:t>
      </w:r>
      <w:r w:rsidR="0008126E">
        <w:t xml:space="preserve">Employees </w:t>
      </w:r>
      <w:r w:rsidR="000C0258">
        <w:t>(from 11 am) a</w:t>
      </w:r>
      <w:r>
        <w:t xml:space="preserve">nd </w:t>
      </w:r>
      <w:r w:rsidR="000C0258">
        <w:t xml:space="preserve">the </w:t>
      </w:r>
      <w:r>
        <w:t xml:space="preserve">12 March Employees accepted </w:t>
      </w:r>
      <w:r w:rsidR="000C0258">
        <w:t xml:space="preserve">offers of employment. They were then obliged to perform at least some work, but they refused to perform any work. </w:t>
      </w:r>
      <w:r w:rsidR="00C1448F">
        <w:t>I reject the respondents</w:t>
      </w:r>
      <w:r w:rsidR="00ED139E">
        <w:t>’</w:t>
      </w:r>
      <w:r w:rsidR="00C1448F">
        <w:t xml:space="preserve"> submission that </w:t>
      </w:r>
      <w:r w:rsidR="00AC135F">
        <w:t>PJ Walsh Constructions</w:t>
      </w:r>
      <w:r w:rsidR="000C0258">
        <w:t xml:space="preserve"> agree</w:t>
      </w:r>
      <w:r w:rsidR="00C1448F">
        <w:t xml:space="preserve">d </w:t>
      </w:r>
      <w:r w:rsidR="000C0258">
        <w:t>to the non-performance of work</w:t>
      </w:r>
      <w:r w:rsidR="001674E1">
        <w:t xml:space="preserve"> they were obliged to perform</w:t>
      </w:r>
      <w:r w:rsidR="000C0258">
        <w:t>.</w:t>
      </w:r>
    </w:p>
    <w:p w:rsidR="000C0258" w:rsidRPr="00DD7002" w:rsidRDefault="000C0258" w:rsidP="00DD7002">
      <w:pPr>
        <w:pStyle w:val="Heading3"/>
      </w:pPr>
      <w:r w:rsidRPr="00DD7002">
        <w:t xml:space="preserve">Whether the respondents contravened s 46 of the </w:t>
      </w:r>
      <w:r w:rsidR="00BC2E3D" w:rsidRPr="00DD7002">
        <w:t>BCI Act</w:t>
      </w:r>
    </w:p>
    <w:p w:rsidR="000C0258" w:rsidRDefault="000C0258" w:rsidP="00D84E0E">
      <w:pPr>
        <w:pStyle w:val="ParaNumbering"/>
        <w:rPr>
          <w:szCs w:val="24"/>
        </w:rPr>
      </w:pPr>
      <w:r>
        <w:t xml:space="preserve">Section 46 of the </w:t>
      </w:r>
      <w:r w:rsidR="00BC2E3D">
        <w:t>BCI Act</w:t>
      </w:r>
      <w:r>
        <w:t xml:space="preserve"> provides </w:t>
      </w:r>
      <w:r w:rsidR="004419DD">
        <w:t xml:space="preserve">that, </w:t>
      </w:r>
      <w:r w:rsidR="00770C00">
        <w:rPr>
          <w:szCs w:val="24"/>
        </w:rPr>
        <w:t>“</w:t>
      </w:r>
      <w:r w:rsidR="004419DD" w:rsidRPr="004419DD">
        <w:rPr>
          <w:szCs w:val="24"/>
        </w:rPr>
        <w:t>A person must not organise or engage in unlawful industrial action</w:t>
      </w:r>
      <w:r w:rsidR="00770C00">
        <w:rPr>
          <w:szCs w:val="24"/>
        </w:rPr>
        <w:t>”</w:t>
      </w:r>
      <w:r w:rsidR="004419DD" w:rsidRPr="004419DD">
        <w:rPr>
          <w:szCs w:val="24"/>
        </w:rPr>
        <w:t>.</w:t>
      </w:r>
    </w:p>
    <w:p w:rsidR="004419DD" w:rsidRDefault="004419DD" w:rsidP="004419DD">
      <w:pPr>
        <w:pStyle w:val="ParaNumbering"/>
      </w:pPr>
      <w:r>
        <w:t>For the reasons I have given, the 11 March Employees</w:t>
      </w:r>
      <w:r w:rsidR="0008126E">
        <w:t xml:space="preserve"> and</w:t>
      </w:r>
      <w:r>
        <w:t xml:space="preserve"> the 12 March Employees engaged in </w:t>
      </w:r>
      <w:r w:rsidR="00770C00">
        <w:t>“</w:t>
      </w:r>
      <w:r>
        <w:t>industrial action</w:t>
      </w:r>
      <w:r w:rsidR="00770C00">
        <w:t>”</w:t>
      </w:r>
      <w:r>
        <w:t xml:space="preserve">, within s 7(1)(b) of the </w:t>
      </w:r>
      <w:r w:rsidR="00BC2E3D">
        <w:t>BCI Act</w:t>
      </w:r>
      <w:r>
        <w:t xml:space="preserve">, on those respective dates. </w:t>
      </w:r>
      <w:r w:rsidR="00F36156">
        <w:t xml:space="preserve"> Alternatively, </w:t>
      </w:r>
      <w:r w:rsidR="009C1EA0">
        <w:t>the 11 March Employees (from 11 </w:t>
      </w:r>
      <w:r>
        <w:t xml:space="preserve">am) </w:t>
      </w:r>
      <w:r w:rsidR="0008126E">
        <w:t xml:space="preserve">and the 12 March Employees </w:t>
      </w:r>
      <w:r>
        <w:t xml:space="preserve">engaged in </w:t>
      </w:r>
      <w:r w:rsidR="00770C00">
        <w:t>“</w:t>
      </w:r>
      <w:r>
        <w:t>industrial action</w:t>
      </w:r>
      <w:r w:rsidR="00770C00">
        <w:t>”</w:t>
      </w:r>
      <w:r w:rsidR="0008126E">
        <w:t xml:space="preserve"> </w:t>
      </w:r>
      <w:r>
        <w:t xml:space="preserve">on </w:t>
      </w:r>
      <w:r w:rsidR="0008126E">
        <w:t xml:space="preserve">those </w:t>
      </w:r>
      <w:r>
        <w:t>date</w:t>
      </w:r>
      <w:r w:rsidR="0008126E">
        <w:t>s</w:t>
      </w:r>
      <w:r w:rsidR="00AE3E40">
        <w:t>,</w:t>
      </w:r>
      <w:r w:rsidRPr="000C0258">
        <w:t xml:space="preserve"> </w:t>
      </w:r>
      <w:r w:rsidR="0008126E">
        <w:t>within s </w:t>
      </w:r>
      <w:r>
        <w:t xml:space="preserve">7(1)(c) of the </w:t>
      </w:r>
      <w:r w:rsidR="00BC2E3D">
        <w:t>BCI Act</w:t>
      </w:r>
      <w:r>
        <w:t>.</w:t>
      </w:r>
    </w:p>
    <w:p w:rsidR="004419DD" w:rsidRPr="004419DD" w:rsidRDefault="004419DD" w:rsidP="004419DD">
      <w:pPr>
        <w:pStyle w:val="ParaNumbering"/>
      </w:pPr>
      <w:r>
        <w:t xml:space="preserve">Under s 5 of the </w:t>
      </w:r>
      <w:r w:rsidR="00BC2E3D">
        <w:t>BCI Act</w:t>
      </w:r>
      <w:r>
        <w:t xml:space="preserve">, action is </w:t>
      </w:r>
      <w:r w:rsidR="00770C00">
        <w:t>“</w:t>
      </w:r>
      <w:r>
        <w:t>unlawful industrial action</w:t>
      </w:r>
      <w:r w:rsidR="00770C00">
        <w:t>”</w:t>
      </w:r>
      <w:r>
        <w:t xml:space="preserve"> if the action is </w:t>
      </w:r>
      <w:r w:rsidR="00770C00">
        <w:t>“</w:t>
      </w:r>
      <w:r>
        <w:t>industrial action</w:t>
      </w:r>
      <w:r w:rsidR="00770C00">
        <w:t>”</w:t>
      </w:r>
      <w:r>
        <w:t xml:space="preserve"> and is not </w:t>
      </w:r>
      <w:r w:rsidR="00770C00">
        <w:t>“</w:t>
      </w:r>
      <w:r>
        <w:t>protected industrial action</w:t>
      </w:r>
      <w:r w:rsidR="00770C00">
        <w:t>”</w:t>
      </w:r>
      <w:r>
        <w:t xml:space="preserve">.  There is no suggestion in this case that the action taken was protected industrial action. </w:t>
      </w:r>
      <w:r w:rsidRPr="004419DD">
        <w:rPr>
          <w:szCs w:val="24"/>
        </w:rPr>
        <w:t xml:space="preserve">Therefore </w:t>
      </w:r>
      <w:r>
        <w:rPr>
          <w:szCs w:val="24"/>
        </w:rPr>
        <w:t>the industrial action was unlawful industrial action.</w:t>
      </w:r>
    </w:p>
    <w:p w:rsidR="004419DD" w:rsidRDefault="004419DD" w:rsidP="004419DD">
      <w:pPr>
        <w:pStyle w:val="ParaNumbering"/>
      </w:pPr>
      <w:r>
        <w:lastRenderedPageBreak/>
        <w:t xml:space="preserve">In </w:t>
      </w:r>
      <w:r w:rsidRPr="00C1448F">
        <w:rPr>
          <w:i/>
        </w:rPr>
        <w:t>Adams</w:t>
      </w:r>
      <w:r>
        <w:t xml:space="preserve">, in relation to s 417(1) of the FW Act, </w:t>
      </w:r>
      <w:r w:rsidR="00C1448F">
        <w:t xml:space="preserve">a provision that is not relevantly distinguishable from s 46 of the </w:t>
      </w:r>
      <w:r w:rsidR="00BC2E3D">
        <w:t>BCI Act</w:t>
      </w:r>
      <w:r w:rsidR="00C1448F">
        <w:t xml:space="preserve">, </w:t>
      </w:r>
      <w:r>
        <w:t>the Full Court said at [92]:</w:t>
      </w:r>
    </w:p>
    <w:p w:rsidR="004419DD" w:rsidRPr="00DD7002" w:rsidRDefault="00DD7002" w:rsidP="00DD7002">
      <w:pPr>
        <w:pStyle w:val="Quote1"/>
        <w:rPr>
          <w:highlight w:val="yellow"/>
        </w:rPr>
      </w:pPr>
      <w:r w:rsidRPr="00DD7002">
        <w:t>A relevant appellant would, we think, have to know that another employee was, or employees were engaging in industrial action in order that he might be said to have, himself, engaged in it. If, knowing that another or others would probably be failing or refusing to attend for, or to perform work, a relevant appellant might engage in such industrial action simply by, himself, failing or refusing to attend for, or to perform work. His motive for doing so would be irrelevant, as would be the way in which he spent the time during which he should have been at work. Section 417 strikes at engagement, not motive or purpose…</w:t>
      </w:r>
    </w:p>
    <w:p w:rsidR="00BE3FB8" w:rsidRDefault="00BE3FB8" w:rsidP="00BE3FB8">
      <w:pPr>
        <w:pStyle w:val="ParaNumbering"/>
      </w:pPr>
      <w:r>
        <w:t>I am satisfied that the</w:t>
      </w:r>
      <w:r w:rsidR="004419DD">
        <w:t xml:space="preserve"> 11 March</w:t>
      </w:r>
      <w:r w:rsidR="00921274">
        <w:t xml:space="preserve"> and</w:t>
      </w:r>
      <w:r w:rsidR="004419DD">
        <w:t xml:space="preserve"> 12 March Employees </w:t>
      </w:r>
      <w:r>
        <w:t>collectively imposed a ban on the performance and acceptance of work on those dates</w:t>
      </w:r>
      <w:r w:rsidR="00921274">
        <w:t>, which continued in force until 14 March 2019</w:t>
      </w:r>
      <w:r>
        <w:t>.  I am satisfied that the 11 March Employees collectively refused to perform a</w:t>
      </w:r>
      <w:r w:rsidR="00921274">
        <w:t>ny building work at all from 11 </w:t>
      </w:r>
      <w:r>
        <w:t>am to 2</w:t>
      </w:r>
      <w:r w:rsidR="00921274">
        <w:t> </w:t>
      </w:r>
      <w:r>
        <w:t>pm on that date.</w:t>
      </w:r>
      <w:r w:rsidRPr="00BE3FB8">
        <w:t xml:space="preserve"> </w:t>
      </w:r>
      <w:r>
        <w:t xml:space="preserve">I </w:t>
      </w:r>
      <w:r w:rsidR="00921274">
        <w:t xml:space="preserve">am </w:t>
      </w:r>
      <w:r>
        <w:t>also satisfied that the 12 March Employees collectively refused to perform any building work at all on that date. Accordingly, they each knew that the others were engaging in industrial action</w:t>
      </w:r>
      <w:r w:rsidR="000D35B1">
        <w:t xml:space="preserve"> and </w:t>
      </w:r>
      <w:r w:rsidR="001A163D">
        <w:t xml:space="preserve">they </w:t>
      </w:r>
      <w:r w:rsidR="000D35B1">
        <w:t>themselves engaged in industrial action</w:t>
      </w:r>
      <w:r>
        <w:t>.</w:t>
      </w:r>
    </w:p>
    <w:p w:rsidR="00BE3FB8" w:rsidRDefault="00BE3FB8" w:rsidP="00BE3FB8">
      <w:pPr>
        <w:pStyle w:val="ParaNumbering"/>
      </w:pPr>
      <w:r>
        <w:t xml:space="preserve">Therefore, I am satisfied that each of the Employees engaged in industrial action in contravention of s 46 of the </w:t>
      </w:r>
      <w:r w:rsidR="00BC2E3D">
        <w:t>BCI Act</w:t>
      </w:r>
      <w:r>
        <w:t>.</w:t>
      </w:r>
    </w:p>
    <w:p w:rsidR="004419DD" w:rsidRDefault="00BE3FB8" w:rsidP="00054BFE">
      <w:pPr>
        <w:pStyle w:val="ParaNumbering"/>
      </w:pPr>
      <w:r>
        <w:t xml:space="preserve">Mr Harradine concedes that if </w:t>
      </w:r>
      <w:r w:rsidR="00C1448F">
        <w:t xml:space="preserve">the Employees are found to have taken industrial action, he organised such action. Therefore, I find that Mr Harradine organised industrial action in contravention of s 46 of the </w:t>
      </w:r>
      <w:r w:rsidR="00BC2E3D">
        <w:t>BCI Act</w:t>
      </w:r>
      <w:r w:rsidR="006F2DDA">
        <w:t xml:space="preserve"> on </w:t>
      </w:r>
      <w:r w:rsidR="00921274">
        <w:t xml:space="preserve">11 and 12 </w:t>
      </w:r>
      <w:r w:rsidR="006F2DDA">
        <w:t>March 2019</w:t>
      </w:r>
      <w:r w:rsidR="00C1448F">
        <w:t>.</w:t>
      </w:r>
    </w:p>
    <w:p w:rsidR="00C1448F" w:rsidRDefault="00C1448F" w:rsidP="00C1448F">
      <w:pPr>
        <w:pStyle w:val="ParaNumbering"/>
      </w:pPr>
      <w:r>
        <w:t>The Union concedes that if Mr Harradine i</w:t>
      </w:r>
      <w:r w:rsidR="00921274">
        <w:t>s</w:t>
      </w:r>
      <w:r>
        <w:t xml:space="preserve"> found to have contravened s 46 of the </w:t>
      </w:r>
      <w:r w:rsidR="00BC2E3D">
        <w:t>BCI Act</w:t>
      </w:r>
      <w:r>
        <w:t xml:space="preserve">, the Union will also have contravened that provision.  Therefore, I find that the Union organised industrial action in contravention of s 46 of the </w:t>
      </w:r>
      <w:r w:rsidR="00BC2E3D">
        <w:t>BCI Act</w:t>
      </w:r>
      <w:r w:rsidR="006F2DDA" w:rsidRPr="006F2DDA">
        <w:t xml:space="preserve"> </w:t>
      </w:r>
      <w:r w:rsidR="006F2DDA">
        <w:t xml:space="preserve">on </w:t>
      </w:r>
      <w:r w:rsidR="00921274">
        <w:t>11 and 12 March 2019</w:t>
      </w:r>
      <w:r>
        <w:t>.</w:t>
      </w:r>
    </w:p>
    <w:p w:rsidR="00B12CF6" w:rsidRDefault="009B3B27" w:rsidP="00305A81">
      <w:pPr>
        <w:pStyle w:val="Heading2"/>
      </w:pPr>
      <w:r>
        <w:t>Alleged c</w:t>
      </w:r>
      <w:r w:rsidR="00305A81">
        <w:t xml:space="preserve">ontraventions </w:t>
      </w:r>
      <w:r w:rsidR="00B12CF6">
        <w:t xml:space="preserve">of </w:t>
      </w:r>
      <w:r w:rsidR="00305A81">
        <w:t>s </w:t>
      </w:r>
      <w:r w:rsidR="00B12CF6">
        <w:t xml:space="preserve">54 of the </w:t>
      </w:r>
      <w:bookmarkStart w:id="21" w:name="_GoBack"/>
      <w:bookmarkEnd w:id="21"/>
      <w:r w:rsidR="00BC2E3D">
        <w:t>BCI Act</w:t>
      </w:r>
      <w:r w:rsidR="00305A81">
        <w:t xml:space="preserve"> —</w:t>
      </w:r>
      <w:r w:rsidR="00B12CF6">
        <w:t xml:space="preserve"> </w:t>
      </w:r>
      <w:r>
        <w:t>o</w:t>
      </w:r>
      <w:r w:rsidR="00305A81">
        <w:t xml:space="preserve">rganising </w:t>
      </w:r>
      <w:r w:rsidR="00B12CF6">
        <w:t>action with intent to coerce</w:t>
      </w:r>
    </w:p>
    <w:p w:rsidR="00B12CF6" w:rsidRDefault="00B12CF6" w:rsidP="00B12CF6">
      <w:pPr>
        <w:pStyle w:val="ParaNumbering"/>
      </w:pPr>
      <w:r>
        <w:t>Section 54(</w:t>
      </w:r>
      <w:r w:rsidR="00305A81">
        <w:t>1</w:t>
      </w:r>
      <w:r>
        <w:t xml:space="preserve">) of the </w:t>
      </w:r>
      <w:r w:rsidR="00BC2E3D">
        <w:t>BCI Act</w:t>
      </w:r>
      <w:r w:rsidR="00305A81">
        <w:t xml:space="preserve"> </w:t>
      </w:r>
      <w:r>
        <w:t xml:space="preserve">provides, relevantly, that, </w:t>
      </w:r>
      <w:r w:rsidR="00770C00">
        <w:t>“</w:t>
      </w:r>
      <w:r w:rsidR="00305A81">
        <w:t xml:space="preserve">A person must not…organise…any action…with </w:t>
      </w:r>
      <w:r>
        <w:t>i</w:t>
      </w:r>
      <w:r w:rsidR="00305A81">
        <w:t xml:space="preserve">ntent to coerce another person…to make…a </w:t>
      </w:r>
      <w:r w:rsidR="00CD14EF">
        <w:t>building enterprise agreement</w:t>
      </w:r>
      <w:r w:rsidR="00770C00">
        <w:t>”</w:t>
      </w:r>
      <w:r w:rsidR="00305A81">
        <w:t>.</w:t>
      </w:r>
    </w:p>
    <w:p w:rsidR="00B12CF6" w:rsidRDefault="00B12CF6" w:rsidP="00B12CF6">
      <w:pPr>
        <w:pStyle w:val="ParaNumbering"/>
      </w:pPr>
      <w:r>
        <w:t xml:space="preserve">The </w:t>
      </w:r>
      <w:r w:rsidR="00770C00">
        <w:t>“</w:t>
      </w:r>
      <w:r>
        <w:t>action</w:t>
      </w:r>
      <w:r w:rsidR="00770C00">
        <w:t>”</w:t>
      </w:r>
      <w:r>
        <w:t xml:space="preserve"> relied upon by the Commissioner is the conduct of the </w:t>
      </w:r>
      <w:r w:rsidR="00054BFE">
        <w:t>Employees</w:t>
      </w:r>
      <w:r w:rsidR="00CF4599">
        <w:t xml:space="preserve"> that</w:t>
      </w:r>
      <w:r w:rsidR="00054BFE">
        <w:t xml:space="preserve"> </w:t>
      </w:r>
      <w:r>
        <w:t>constitut</w:t>
      </w:r>
      <w:r w:rsidR="00CF4599">
        <w:t>es</w:t>
      </w:r>
      <w:r>
        <w:t xml:space="preserve"> the</w:t>
      </w:r>
      <w:r w:rsidR="003734F6">
        <w:t>ir</w:t>
      </w:r>
      <w:r>
        <w:t xml:space="preserve"> contravention</w:t>
      </w:r>
      <w:r w:rsidR="003734F6">
        <w:t>s</w:t>
      </w:r>
      <w:r>
        <w:t xml:space="preserve"> of </w:t>
      </w:r>
      <w:r w:rsidR="00054BFE">
        <w:t>s </w:t>
      </w:r>
      <w:r>
        <w:t xml:space="preserve">46 of the </w:t>
      </w:r>
      <w:r w:rsidR="00BC2E3D">
        <w:t>BCI Act</w:t>
      </w:r>
      <w:r>
        <w:t>.  The Commissioner alleges that t</w:t>
      </w:r>
      <w:r w:rsidR="00054BFE">
        <w:t>he action was organised by Mr Harradine</w:t>
      </w:r>
      <w:r>
        <w:t xml:space="preserve">.  The Commissioner alleges that </w:t>
      </w:r>
      <w:r w:rsidR="00ED139E">
        <w:t xml:space="preserve">Mr Harradine took </w:t>
      </w:r>
      <w:r>
        <w:t xml:space="preserve">that action with intent to coerce </w:t>
      </w:r>
      <w:r w:rsidR="00AC135F">
        <w:t>PJ Walsh Constructions</w:t>
      </w:r>
      <w:r w:rsidR="00ED139E">
        <w:t xml:space="preserve"> </w:t>
      </w:r>
      <w:r>
        <w:t xml:space="preserve">to make a building enterprise agreement with the </w:t>
      </w:r>
      <w:r w:rsidR="00ED139E">
        <w:t>Union</w:t>
      </w:r>
      <w:r>
        <w:t>.</w:t>
      </w:r>
    </w:p>
    <w:p w:rsidR="00CF4599" w:rsidRDefault="00ED139E" w:rsidP="00B12CF6">
      <w:pPr>
        <w:pStyle w:val="ParaNumbering"/>
      </w:pPr>
      <w:r>
        <w:lastRenderedPageBreak/>
        <w:t xml:space="preserve">Mr Harradine </w:t>
      </w:r>
      <w:r w:rsidR="00B12CF6">
        <w:t>defen</w:t>
      </w:r>
      <w:r>
        <w:t>ds</w:t>
      </w:r>
      <w:r w:rsidR="003734F6">
        <w:t xml:space="preserve"> the alleged </w:t>
      </w:r>
      <w:r w:rsidR="00B12CF6">
        <w:t xml:space="preserve">contravention of </w:t>
      </w:r>
      <w:r>
        <w:t>s </w:t>
      </w:r>
      <w:r w:rsidR="00B12CF6">
        <w:t xml:space="preserve">54 </w:t>
      </w:r>
      <w:r w:rsidR="00737B65">
        <w:t xml:space="preserve">of </w:t>
      </w:r>
      <w:r w:rsidR="00B12CF6">
        <w:t xml:space="preserve">the </w:t>
      </w:r>
      <w:r w:rsidR="00BC2E3D">
        <w:t>BCI Act</w:t>
      </w:r>
      <w:r>
        <w:t xml:space="preserve"> </w:t>
      </w:r>
      <w:r w:rsidR="00B12CF6">
        <w:t xml:space="preserve">on the basis that the </w:t>
      </w:r>
      <w:r w:rsidR="00CF4599">
        <w:t>Employee</w:t>
      </w:r>
      <w:r>
        <w:t>s</w:t>
      </w:r>
      <w:r w:rsidR="00CF4599">
        <w:t>’</w:t>
      </w:r>
      <w:r>
        <w:t xml:space="preserve"> </w:t>
      </w:r>
      <w:r w:rsidR="00B12CF6">
        <w:t xml:space="preserve">conduct was not </w:t>
      </w:r>
      <w:r>
        <w:t>unlawful</w:t>
      </w:r>
      <w:r w:rsidR="00B12CF6">
        <w:t>, illegitimate, unconscionab</w:t>
      </w:r>
      <w:r w:rsidR="003734F6">
        <w:t>le or otherwise contrary to any</w:t>
      </w:r>
      <w:r w:rsidR="00B12CF6">
        <w:t xml:space="preserve"> legal standard.  </w:t>
      </w:r>
    </w:p>
    <w:p w:rsidR="00B12CF6" w:rsidRDefault="00CF4599" w:rsidP="00B12CF6">
      <w:pPr>
        <w:pStyle w:val="ParaNumbering"/>
      </w:pPr>
      <w:r>
        <w:t xml:space="preserve">The authorities concerning the phrase </w:t>
      </w:r>
      <w:r w:rsidR="00770C00">
        <w:t>“</w:t>
      </w:r>
      <w:r w:rsidR="00B12CF6">
        <w:t>intent to coerce</w:t>
      </w:r>
      <w:r w:rsidR="00770C00">
        <w:t>”</w:t>
      </w:r>
      <w:r w:rsidR="00B12CF6">
        <w:t xml:space="preserve"> under the FW </w:t>
      </w:r>
      <w:r w:rsidR="00ED139E">
        <w:t xml:space="preserve">Act </w:t>
      </w:r>
      <w:r w:rsidR="00B12CF6">
        <w:t>demonstrate that there are two elements:</w:t>
      </w:r>
    </w:p>
    <w:p w:rsidR="00B12CF6" w:rsidRDefault="00CF4599" w:rsidP="00ED139E">
      <w:pPr>
        <w:pStyle w:val="ListNo1"/>
        <w:numPr>
          <w:ilvl w:val="0"/>
          <w:numId w:val="26"/>
        </w:numPr>
      </w:pPr>
      <w:r>
        <w:t xml:space="preserve">The </w:t>
      </w:r>
      <w:r w:rsidR="00B12CF6">
        <w:t>action must</w:t>
      </w:r>
      <w:r w:rsidR="00ED139E">
        <w:t xml:space="preserve"> ha</w:t>
      </w:r>
      <w:r w:rsidR="00B12CF6">
        <w:t>ve be</w:t>
      </w:r>
      <w:r w:rsidR="003734F6">
        <w:t>en taken with intention to over</w:t>
      </w:r>
      <w:r w:rsidR="00B12CF6">
        <w:t>bear the will or negate</w:t>
      </w:r>
      <w:r>
        <w:t xml:space="preserve"> the choice of the other person.</w:t>
      </w:r>
    </w:p>
    <w:p w:rsidR="00CF4599" w:rsidRDefault="00CF4599" w:rsidP="00D65600">
      <w:pPr>
        <w:pStyle w:val="ListNo1"/>
        <w:numPr>
          <w:ilvl w:val="0"/>
          <w:numId w:val="26"/>
        </w:numPr>
      </w:pPr>
      <w:r>
        <w:t xml:space="preserve">The </w:t>
      </w:r>
      <w:r w:rsidR="00B12CF6">
        <w:t xml:space="preserve">action must be otherwise unlawful, illegitimate or unconscionable.  </w:t>
      </w:r>
    </w:p>
    <w:p w:rsidR="00ED5178" w:rsidRDefault="00ED5178" w:rsidP="000B7CE1">
      <w:pPr>
        <w:pStyle w:val="Quote1"/>
        <w:ind w:left="720"/>
      </w:pPr>
      <w:r>
        <w:t xml:space="preserve">(See </w:t>
      </w:r>
      <w:r w:rsidRPr="00ED5178">
        <w:rPr>
          <w:i/>
        </w:rPr>
        <w:t>Finance Sector Union of Australia v Commonwealth Bank of Australia</w:t>
      </w:r>
      <w:r>
        <w:t xml:space="preserve"> (2000) 106 FCR 16 </w:t>
      </w:r>
      <w:r w:rsidRPr="00ED5178">
        <w:t xml:space="preserve">at [20]-[23]; </w:t>
      </w:r>
      <w:r w:rsidRPr="00ED5178">
        <w:rPr>
          <w:i/>
        </w:rPr>
        <w:t>Seven Network (Operations) Ltd v Communications, Electrical, Electronic, Energy, Information, Postal, Plumbing and Allied Services Union of Australia</w:t>
      </w:r>
      <w:r>
        <w:t xml:space="preserve"> (2001) 109 FCR 378 </w:t>
      </w:r>
      <w:r w:rsidRPr="00ED5178">
        <w:t xml:space="preserve">at [38]-[41]; </w:t>
      </w:r>
      <w:r w:rsidRPr="00ED5178">
        <w:rPr>
          <w:i/>
        </w:rPr>
        <w:t>Williams v Construction, Forestry, Mining and Energy Union</w:t>
      </w:r>
      <w:r w:rsidRPr="00ED5178">
        <w:t xml:space="preserve"> (2009) 179 IR 441 at [105]; </w:t>
      </w:r>
      <w:r w:rsidRPr="00ED5178">
        <w:rPr>
          <w:i/>
        </w:rPr>
        <w:t>Fair Work Ombudsman v National Jet Systems Pty Ltd</w:t>
      </w:r>
      <w:r w:rsidRPr="00ED5178">
        <w:t xml:space="preserve"> (2012) 218 IR 436 at [12]-[33]; </w:t>
      </w:r>
      <w:r w:rsidRPr="00ED5178">
        <w:rPr>
          <w:i/>
        </w:rPr>
        <w:t>Victoria v Construction, Forestry, Mining and Energy Union</w:t>
      </w:r>
      <w:r>
        <w:t xml:space="preserve"> (2013) 218 FCR 172 </w:t>
      </w:r>
      <w:r w:rsidRPr="00ED5178">
        <w:t>at [7], [70]-[72].</w:t>
      </w:r>
      <w:r>
        <w:t>)</w:t>
      </w:r>
    </w:p>
    <w:p w:rsidR="00B12CF6" w:rsidRDefault="00B12CF6" w:rsidP="00CF4599">
      <w:pPr>
        <w:pStyle w:val="ParaNumbering"/>
      </w:pPr>
      <w:r>
        <w:t xml:space="preserve">The Commissioner makes the formal submission that neither of these elements is required to be established, but accepts that </w:t>
      </w:r>
      <w:r w:rsidR="00770C00">
        <w:t xml:space="preserve">a </w:t>
      </w:r>
      <w:r>
        <w:t>single judge is bound by the authorities.</w:t>
      </w:r>
    </w:p>
    <w:p w:rsidR="00CF4599" w:rsidRDefault="00CF4599" w:rsidP="00CF4599">
      <w:pPr>
        <w:pStyle w:val="ParaNumbering"/>
      </w:pPr>
      <w:r>
        <w:t xml:space="preserve">Mr Harradine concedes that the intention element is established.  </w:t>
      </w:r>
    </w:p>
    <w:p w:rsidR="00B12CF6" w:rsidRDefault="00770C00" w:rsidP="00B12CF6">
      <w:pPr>
        <w:pStyle w:val="ParaNumbering"/>
      </w:pPr>
      <w:r>
        <w:t xml:space="preserve">Mr Harradine </w:t>
      </w:r>
      <w:r w:rsidR="00B12CF6">
        <w:t xml:space="preserve">submits that the action taken by the </w:t>
      </w:r>
      <w:r>
        <w:t xml:space="preserve">Employees </w:t>
      </w:r>
      <w:r w:rsidR="00B12CF6">
        <w:t>was not u</w:t>
      </w:r>
      <w:r w:rsidR="003734F6">
        <w:t>nlawful because they did not contravene s 46 of the BCI Act</w:t>
      </w:r>
      <w:r w:rsidR="00B12CF6">
        <w:t xml:space="preserve">.  However, I have ruled that the </w:t>
      </w:r>
      <w:r w:rsidR="007128C2">
        <w:t>Emp</w:t>
      </w:r>
      <w:r w:rsidR="008F7C87">
        <w:t>loyee</w:t>
      </w:r>
      <w:r w:rsidR="007128C2">
        <w:t xml:space="preserve">s </w:t>
      </w:r>
      <w:r w:rsidR="00B12CF6">
        <w:t xml:space="preserve">engaged in unlawful industrial action in contravention of </w:t>
      </w:r>
      <w:r w:rsidR="007128C2">
        <w:t>s </w:t>
      </w:r>
      <w:r w:rsidR="003734F6">
        <w:t>46</w:t>
      </w:r>
      <w:r w:rsidR="00B12CF6">
        <w:t>.  The second element is therefore established.</w:t>
      </w:r>
    </w:p>
    <w:p w:rsidR="00B12CF6" w:rsidRDefault="00B12CF6" w:rsidP="00B12CF6">
      <w:pPr>
        <w:pStyle w:val="ParaNumbering"/>
      </w:pPr>
      <w:r>
        <w:t xml:space="preserve">The Commissioner submits that even if the </w:t>
      </w:r>
      <w:r w:rsidR="00BC2E3D">
        <w:t>Employees did</w:t>
      </w:r>
      <w:r>
        <w:t xml:space="preserve"> not contravene </w:t>
      </w:r>
      <w:r w:rsidR="00BC2E3D">
        <w:t>s </w:t>
      </w:r>
      <w:r>
        <w:t xml:space="preserve">46 of the </w:t>
      </w:r>
      <w:r w:rsidR="00BC2E3D">
        <w:t>BCI Act</w:t>
      </w:r>
      <w:r>
        <w:t xml:space="preserve">, the element of illegality is satisfied because </w:t>
      </w:r>
      <w:r w:rsidR="00BC2E3D">
        <w:t xml:space="preserve">Mr Harradine </w:t>
      </w:r>
      <w:r>
        <w:t xml:space="preserve">trespassed on </w:t>
      </w:r>
      <w:r w:rsidR="00BC2E3D">
        <w:t xml:space="preserve">Watpac’s </w:t>
      </w:r>
      <w:r>
        <w:t xml:space="preserve">site.  However, </w:t>
      </w:r>
      <w:r w:rsidR="00CF4599">
        <w:t>it</w:t>
      </w:r>
      <w:r w:rsidR="00717D3E">
        <w:t xml:space="preserve"> is</w:t>
      </w:r>
      <w:r w:rsidR="00CF4599">
        <w:t xml:space="preserve"> </w:t>
      </w:r>
      <w:r>
        <w:t xml:space="preserve">the legality of the actions </w:t>
      </w:r>
      <w:r w:rsidR="00CF4599">
        <w:t xml:space="preserve">of the Employees </w:t>
      </w:r>
      <w:r w:rsidR="001A163D">
        <w:t>and Mr Harradine’s organisation of them that is principally significant</w:t>
      </w:r>
      <w:r>
        <w:t>.  The circ</w:t>
      </w:r>
      <w:r w:rsidR="00BC2E3D">
        <w:t xml:space="preserve">umstances in which Mr Harradine </w:t>
      </w:r>
      <w:r w:rsidR="003734F6">
        <w:t>entered the site w</w:t>
      </w:r>
      <w:r>
        <w:t>o</w:t>
      </w:r>
      <w:r w:rsidR="003734F6">
        <w:t>uld not affect the legality of</w:t>
      </w:r>
      <w:r>
        <w:t xml:space="preserve"> </w:t>
      </w:r>
      <w:r w:rsidR="003734F6">
        <w:t>those actions</w:t>
      </w:r>
      <w:r>
        <w:t xml:space="preserve">. </w:t>
      </w:r>
      <w:r w:rsidR="001A163D">
        <w:t xml:space="preserve">In the circumstances of this case, </w:t>
      </w:r>
      <w:r w:rsidR="003734F6">
        <w:t>i</w:t>
      </w:r>
      <w:r>
        <w:t xml:space="preserve">t would be insufficient to </w:t>
      </w:r>
      <w:r w:rsidR="00E45097">
        <w:t xml:space="preserve">establish </w:t>
      </w:r>
      <w:r>
        <w:t xml:space="preserve">a breach of </w:t>
      </w:r>
      <w:r w:rsidR="00BC2E3D">
        <w:t>s </w:t>
      </w:r>
      <w:r>
        <w:t xml:space="preserve">54 of the </w:t>
      </w:r>
      <w:r w:rsidR="00BC2E3D">
        <w:t xml:space="preserve">BCI Act </w:t>
      </w:r>
      <w:r w:rsidR="00E45097">
        <w:t xml:space="preserve">to demonstrate </w:t>
      </w:r>
      <w:r w:rsidR="00BC2E3D">
        <w:t xml:space="preserve">that Mr Harradine </w:t>
      </w:r>
      <w:r>
        <w:t>trespassed on site.</w:t>
      </w:r>
    </w:p>
    <w:p w:rsidR="00B12CF6" w:rsidRDefault="00B12CF6" w:rsidP="00E52169">
      <w:pPr>
        <w:pStyle w:val="ParaNumbering"/>
        <w:keepNext/>
        <w:keepLines/>
      </w:pPr>
      <w:r>
        <w:lastRenderedPageBreak/>
        <w:t xml:space="preserve">In any event, I do not accept that </w:t>
      </w:r>
      <w:r w:rsidR="00B5407D">
        <w:t xml:space="preserve">Mr Harradine </w:t>
      </w:r>
      <w:r>
        <w:t xml:space="preserve">trespassed.  Generally, in order to maintain an action for trespass to land, the </w:t>
      </w:r>
      <w:r w:rsidR="001A163D">
        <w:t xml:space="preserve">occupier </w:t>
      </w:r>
      <w:r>
        <w:t xml:space="preserve">must be entitled to exclusive possession of the land: </w:t>
      </w:r>
      <w:r w:rsidRPr="00B5407D">
        <w:rPr>
          <w:i/>
        </w:rPr>
        <w:t>John Holland</w:t>
      </w:r>
      <w:r w:rsidR="00B5407D">
        <w:rPr>
          <w:i/>
        </w:rPr>
        <w:t xml:space="preserve"> Pty Ltd v </w:t>
      </w:r>
      <w:r w:rsidR="005767B0">
        <w:rPr>
          <w:i/>
        </w:rPr>
        <w:t>Construction, Forestry, Mining a</w:t>
      </w:r>
      <w:r w:rsidR="00B5407D" w:rsidRPr="00B5407D">
        <w:rPr>
          <w:i/>
        </w:rPr>
        <w:t xml:space="preserve">nd Energy Union </w:t>
      </w:r>
      <w:r w:rsidRPr="00DE39BB">
        <w:rPr>
          <w:i/>
        </w:rPr>
        <w:t>(N</w:t>
      </w:r>
      <w:r w:rsidR="00DE39BB" w:rsidRPr="00DE39BB">
        <w:rPr>
          <w:i/>
        </w:rPr>
        <w:t xml:space="preserve">ew </w:t>
      </w:r>
      <w:r w:rsidRPr="00DE39BB">
        <w:rPr>
          <w:i/>
        </w:rPr>
        <w:t>S</w:t>
      </w:r>
      <w:r w:rsidR="00DE39BB" w:rsidRPr="00DE39BB">
        <w:rPr>
          <w:i/>
        </w:rPr>
        <w:t xml:space="preserve">outh </w:t>
      </w:r>
      <w:r w:rsidRPr="00DE39BB">
        <w:rPr>
          <w:i/>
        </w:rPr>
        <w:t>W</w:t>
      </w:r>
      <w:r w:rsidR="00DE39BB" w:rsidRPr="00DE39BB">
        <w:rPr>
          <w:i/>
        </w:rPr>
        <w:t>ales Branch</w:t>
      </w:r>
      <w:r w:rsidRPr="00DE39BB">
        <w:rPr>
          <w:i/>
        </w:rPr>
        <w:t>)</w:t>
      </w:r>
      <w:r>
        <w:t xml:space="preserve"> </w:t>
      </w:r>
      <w:r w:rsidR="00DE39BB">
        <w:t>(</w:t>
      </w:r>
      <w:r>
        <w:t>2009</w:t>
      </w:r>
      <w:r w:rsidR="00DE39BB">
        <w:t>)</w:t>
      </w:r>
      <w:r>
        <w:t xml:space="preserve"> 178 </w:t>
      </w:r>
      <w:r w:rsidR="00B5407D">
        <w:t>F</w:t>
      </w:r>
      <w:r>
        <w:t xml:space="preserve">CR 461 at </w:t>
      </w:r>
      <w:r w:rsidR="00B5407D">
        <w:t>[</w:t>
      </w:r>
      <w:r>
        <w:t>63</w:t>
      </w:r>
      <w:r w:rsidR="00B5407D">
        <w:t>]</w:t>
      </w:r>
      <w:r>
        <w:t>.  The Commissioner has not prove</w:t>
      </w:r>
      <w:r w:rsidR="00B5407D">
        <w:t>d that Watpac</w:t>
      </w:r>
      <w:r>
        <w:t xml:space="preserve"> </w:t>
      </w:r>
      <w:r w:rsidR="00B5407D">
        <w:t>had</w:t>
      </w:r>
      <w:r>
        <w:t xml:space="preserve"> exclusive possession of the lunchroom and </w:t>
      </w:r>
      <w:r w:rsidR="00B5407D">
        <w:t xml:space="preserve">amenities </w:t>
      </w:r>
      <w:r>
        <w:t xml:space="preserve">area that </w:t>
      </w:r>
      <w:r w:rsidR="00B5407D">
        <w:t xml:space="preserve">Mr Harradine </w:t>
      </w:r>
      <w:r>
        <w:t>entered</w:t>
      </w:r>
      <w:r w:rsidR="00CE242A">
        <w:t xml:space="preserve"> upon</w:t>
      </w:r>
      <w:r>
        <w:t>.</w:t>
      </w:r>
    </w:p>
    <w:p w:rsidR="00B12CF6" w:rsidRDefault="00B12CF6" w:rsidP="00B12CF6">
      <w:pPr>
        <w:pStyle w:val="ParaNumbering"/>
      </w:pPr>
      <w:r>
        <w:t xml:space="preserve">The Commissioner </w:t>
      </w:r>
      <w:r w:rsidR="00F94F84">
        <w:t xml:space="preserve">makes an alternative submission </w:t>
      </w:r>
      <w:r>
        <w:t xml:space="preserve">that, even if the actions of the </w:t>
      </w:r>
      <w:r w:rsidR="000D6A3A">
        <w:t xml:space="preserve">Employees </w:t>
      </w:r>
      <w:r>
        <w:t xml:space="preserve">were not unlawful, their actions were illegitimate or unconscionable or amounted to undue pressure.  </w:t>
      </w:r>
      <w:r w:rsidR="001A163D">
        <w:t xml:space="preserve">The </w:t>
      </w:r>
      <w:r>
        <w:t xml:space="preserve">finding that the </w:t>
      </w:r>
      <w:r w:rsidR="000D6A3A">
        <w:t xml:space="preserve">Employees’ </w:t>
      </w:r>
      <w:r>
        <w:t xml:space="preserve">actions were unlawful pervades the consideration of each of these issues.  Having made </w:t>
      </w:r>
      <w:r w:rsidR="000D6A3A">
        <w:t>the</w:t>
      </w:r>
      <w:r>
        <w:t xml:space="preserve"> finding, I do not think that it can </w:t>
      </w:r>
      <w:r w:rsidR="00F94F84">
        <w:t xml:space="preserve">readily </w:t>
      </w:r>
      <w:r>
        <w:t xml:space="preserve">be divorced </w:t>
      </w:r>
      <w:r w:rsidR="000D6A3A">
        <w:t xml:space="preserve">from </w:t>
      </w:r>
      <w:r>
        <w:t xml:space="preserve">when considering whether their actions were illegitimate, unconscionable or </w:t>
      </w:r>
      <w:r w:rsidR="000D6A3A">
        <w:t xml:space="preserve">amounted </w:t>
      </w:r>
      <w:r>
        <w:t>to undue pressure.</w:t>
      </w:r>
      <w:r w:rsidR="00F94F84">
        <w:t xml:space="preserve">  I do not propose to consider the alternative submission.</w:t>
      </w:r>
    </w:p>
    <w:p w:rsidR="00B12CF6" w:rsidRDefault="00B12CF6" w:rsidP="00B12CF6">
      <w:pPr>
        <w:pStyle w:val="ParaNumbering"/>
      </w:pPr>
      <w:r>
        <w:t xml:space="preserve">It is sufficient to conclude that the </w:t>
      </w:r>
      <w:r w:rsidR="003734F6">
        <w:t xml:space="preserve">organisation of </w:t>
      </w:r>
      <w:r>
        <w:t xml:space="preserve">actions of the </w:t>
      </w:r>
      <w:r w:rsidR="000D6A3A">
        <w:t xml:space="preserve">Employees </w:t>
      </w:r>
      <w:r w:rsidR="003734F6">
        <w:t xml:space="preserve">and the actions themselves </w:t>
      </w:r>
      <w:r w:rsidR="000D6A3A">
        <w:t xml:space="preserve">were </w:t>
      </w:r>
      <w:r>
        <w:t xml:space="preserve">illegal.  I find that </w:t>
      </w:r>
      <w:r w:rsidR="005767B0">
        <w:t xml:space="preserve">on </w:t>
      </w:r>
      <w:r w:rsidR="00C47F46">
        <w:t>11 and 12</w:t>
      </w:r>
      <w:r w:rsidR="005767B0">
        <w:t xml:space="preserve"> March 2019, M</w:t>
      </w:r>
      <w:r w:rsidR="000D6A3A">
        <w:t xml:space="preserve">r Harradine </w:t>
      </w:r>
      <w:r>
        <w:t xml:space="preserve">organised those actions with intent to </w:t>
      </w:r>
      <w:r w:rsidR="000D6A3A">
        <w:t xml:space="preserve">coerce </w:t>
      </w:r>
      <w:r w:rsidR="00AC135F">
        <w:t>PJ Walsh Constructions</w:t>
      </w:r>
      <w:r w:rsidR="000D6A3A">
        <w:t xml:space="preserve"> </w:t>
      </w:r>
      <w:r>
        <w:t>into making a</w:t>
      </w:r>
      <w:r w:rsidR="00F94F84">
        <w:t xml:space="preserve"> building</w:t>
      </w:r>
      <w:r>
        <w:t xml:space="preserve"> enterprise agreement with the </w:t>
      </w:r>
      <w:r w:rsidR="000D6A3A">
        <w:t>Union</w:t>
      </w:r>
      <w:r w:rsidR="005115EB">
        <w:t>.  That</w:t>
      </w:r>
      <w:r>
        <w:t xml:space="preserve"> </w:t>
      </w:r>
      <w:r w:rsidR="000D6A3A">
        <w:t>wa</w:t>
      </w:r>
      <w:r>
        <w:t xml:space="preserve">s a contravention of </w:t>
      </w:r>
      <w:r w:rsidR="000D6A3A">
        <w:t>s </w:t>
      </w:r>
      <w:r>
        <w:t>54</w:t>
      </w:r>
      <w:r w:rsidR="00F94F84">
        <w:t>(1)</w:t>
      </w:r>
      <w:r>
        <w:t xml:space="preserve"> of the BC</w:t>
      </w:r>
      <w:r w:rsidR="00F94F84">
        <w:t>I </w:t>
      </w:r>
      <w:r w:rsidR="000D6A3A">
        <w:t>Act</w:t>
      </w:r>
      <w:r>
        <w:t>.</w:t>
      </w:r>
    </w:p>
    <w:p w:rsidR="00B12CF6" w:rsidRDefault="00B12CF6" w:rsidP="00B12CF6">
      <w:pPr>
        <w:pStyle w:val="ParaNumbering"/>
      </w:pPr>
      <w:r>
        <w:t xml:space="preserve">The </w:t>
      </w:r>
      <w:r w:rsidR="000D6A3A">
        <w:t xml:space="preserve">Union </w:t>
      </w:r>
      <w:r>
        <w:t xml:space="preserve">concedes that if </w:t>
      </w:r>
      <w:r w:rsidR="000D6A3A">
        <w:t xml:space="preserve">Mr Harradine </w:t>
      </w:r>
      <w:r>
        <w:t>contravene</w:t>
      </w:r>
      <w:r w:rsidR="000D6A3A">
        <w:t>d</w:t>
      </w:r>
      <w:r>
        <w:t xml:space="preserve"> </w:t>
      </w:r>
      <w:r w:rsidR="000D6A3A">
        <w:t>s </w:t>
      </w:r>
      <w:r w:rsidR="00F94F84">
        <w:t>54 of the BCI </w:t>
      </w:r>
      <w:r w:rsidR="000D6A3A">
        <w:t>Act</w:t>
      </w:r>
      <w:r>
        <w:t xml:space="preserve">, </w:t>
      </w:r>
      <w:r w:rsidR="000D6A3A">
        <w:t xml:space="preserve">the Union </w:t>
      </w:r>
      <w:r>
        <w:t>is taken to also have contravened that provision</w:t>
      </w:r>
      <w:r w:rsidR="006F2DDA" w:rsidRPr="006F2DDA">
        <w:t xml:space="preserve"> </w:t>
      </w:r>
      <w:r w:rsidR="006F2DDA">
        <w:t xml:space="preserve">on </w:t>
      </w:r>
      <w:r w:rsidR="00C47F46">
        <w:t>11 and 12</w:t>
      </w:r>
      <w:r w:rsidR="006F2DDA">
        <w:t xml:space="preserve"> March 2019</w:t>
      </w:r>
      <w:r>
        <w:t>.</w:t>
      </w:r>
    </w:p>
    <w:p w:rsidR="00B12CF6" w:rsidRDefault="0056783D" w:rsidP="0056783D">
      <w:pPr>
        <w:pStyle w:val="Heading1"/>
      </w:pPr>
      <w:r>
        <w:t>CONCLUSION</w:t>
      </w:r>
    </w:p>
    <w:p w:rsidR="00B12CF6" w:rsidRDefault="00B12CF6" w:rsidP="00A07B1A">
      <w:pPr>
        <w:pStyle w:val="ParaNumbering"/>
      </w:pPr>
      <w:r>
        <w:t>I have found that the 11 March</w:t>
      </w:r>
      <w:r w:rsidR="005115EB">
        <w:t xml:space="preserve"> Employees</w:t>
      </w:r>
      <w:r w:rsidR="00C47F46">
        <w:t xml:space="preserve"> and the</w:t>
      </w:r>
      <w:r w:rsidR="006F2DDA">
        <w:t xml:space="preserve"> </w:t>
      </w:r>
      <w:r w:rsidR="005115EB">
        <w:t xml:space="preserve">12 March </w:t>
      </w:r>
      <w:r w:rsidR="0056783D">
        <w:t>Employees</w:t>
      </w:r>
      <w:r w:rsidR="006F2DDA">
        <w:t xml:space="preserve"> contravened</w:t>
      </w:r>
      <w:r>
        <w:t xml:space="preserve"> </w:t>
      </w:r>
      <w:r w:rsidR="0056783D">
        <w:t>s </w:t>
      </w:r>
      <w:r>
        <w:t xml:space="preserve">46 of the </w:t>
      </w:r>
      <w:r w:rsidR="00BC2E3D">
        <w:t xml:space="preserve">BCI </w:t>
      </w:r>
      <w:r w:rsidR="0056783D">
        <w:t>Act</w:t>
      </w:r>
      <w:r w:rsidR="006F2DDA">
        <w:t xml:space="preserve"> on those respective dates</w:t>
      </w:r>
      <w:r>
        <w:t xml:space="preserve">.  I have also found that </w:t>
      </w:r>
      <w:r w:rsidR="0056783D">
        <w:t xml:space="preserve">Mr Harradine </w:t>
      </w:r>
      <w:r>
        <w:t xml:space="preserve">and the </w:t>
      </w:r>
      <w:r w:rsidR="0056783D">
        <w:t xml:space="preserve">Union </w:t>
      </w:r>
      <w:r>
        <w:t>contravene</w:t>
      </w:r>
      <w:r w:rsidR="0056783D">
        <w:t xml:space="preserve">d that </w:t>
      </w:r>
      <w:r w:rsidR="006F2DDA">
        <w:t>provision on those dates.</w:t>
      </w:r>
    </w:p>
    <w:p w:rsidR="00B12CF6" w:rsidRDefault="00B12CF6" w:rsidP="00B12CF6">
      <w:pPr>
        <w:pStyle w:val="ParaNumbering"/>
      </w:pPr>
      <w:r>
        <w:t xml:space="preserve">Further, </w:t>
      </w:r>
      <w:r w:rsidR="0056783D">
        <w:t xml:space="preserve">I </w:t>
      </w:r>
      <w:r>
        <w:t xml:space="preserve">have found that </w:t>
      </w:r>
      <w:r w:rsidR="0056783D">
        <w:t xml:space="preserve">Mr Harradine and the Union </w:t>
      </w:r>
      <w:r>
        <w:t xml:space="preserve">contravened </w:t>
      </w:r>
      <w:r w:rsidR="0056783D">
        <w:t>s </w:t>
      </w:r>
      <w:r>
        <w:t>54</w:t>
      </w:r>
      <w:r w:rsidR="00F94F84">
        <w:t>(1)</w:t>
      </w:r>
      <w:r>
        <w:t xml:space="preserve"> of the </w:t>
      </w:r>
      <w:r w:rsidR="00BC2E3D">
        <w:t>BCI Act</w:t>
      </w:r>
      <w:r w:rsidR="006F2DDA">
        <w:t xml:space="preserve"> on the same dates</w:t>
      </w:r>
      <w:r>
        <w:t>.</w:t>
      </w:r>
    </w:p>
    <w:p w:rsidR="00600100" w:rsidRDefault="00600100" w:rsidP="00600100">
      <w:pPr>
        <w:pStyle w:val="ParaNumbering"/>
      </w:pPr>
      <w:r w:rsidRPr="00600100">
        <w:t xml:space="preserve">I will make declarations accordingly.  I will hear the parties as to the questions of pecuniary penalties and costs.  </w:t>
      </w:r>
    </w:p>
    <w:tbl>
      <w:tblPr>
        <w:tblW w:w="0" w:type="auto"/>
        <w:tblLook w:val="04A0" w:firstRow="1" w:lastRow="0" w:firstColumn="1" w:lastColumn="0" w:noHBand="0" w:noVBand="1"/>
      </w:tblPr>
      <w:tblGrid>
        <w:gridCol w:w="3794"/>
      </w:tblGrid>
      <w:tr w:rsidR="00600100" w:rsidRPr="004F76E2" w:rsidTr="00F950D7">
        <w:tc>
          <w:tcPr>
            <w:tcW w:w="3794" w:type="dxa"/>
            <w:shd w:val="clear" w:color="auto" w:fill="auto"/>
          </w:tcPr>
          <w:p w:rsidR="00600100" w:rsidRPr="004F76E2" w:rsidRDefault="00600100" w:rsidP="00F950D7">
            <w:pPr>
              <w:pStyle w:val="Normal1linespace"/>
              <w:keepNext/>
              <w:keepLines/>
            </w:pPr>
            <w:r w:rsidRPr="004F76E2">
              <w:t xml:space="preserve">I certify that the preceding </w:t>
            </w:r>
            <w:r>
              <w:t>one hundred and sixty-eight</w:t>
            </w:r>
            <w:r w:rsidRPr="004F76E2">
              <w:t xml:space="preserve"> (</w:t>
            </w:r>
            <w:r>
              <w:t>168</w:t>
            </w:r>
            <w:r w:rsidRPr="004F76E2">
              <w:t xml:space="preserve">) numbered </w:t>
            </w:r>
            <w:r>
              <w:t>paragraphs are</w:t>
            </w:r>
            <w:r w:rsidRPr="004F76E2">
              <w:t xml:space="preserve"> a true copy of the Reasons for Judgment herein of the Honourable </w:t>
            </w:r>
            <w:r>
              <w:t xml:space="preserve">Justice </w:t>
            </w:r>
            <w:proofErr w:type="spellStart"/>
            <w:r>
              <w:t>Rangiah</w:t>
            </w:r>
            <w:proofErr w:type="spellEnd"/>
            <w:r w:rsidRPr="004F76E2">
              <w:t>.</w:t>
            </w:r>
          </w:p>
        </w:tc>
      </w:tr>
    </w:tbl>
    <w:p w:rsidR="00600100" w:rsidRDefault="00600100" w:rsidP="00600100">
      <w:pPr>
        <w:pStyle w:val="BodyText"/>
        <w:keepNext/>
        <w:keepLines/>
      </w:pPr>
      <w:r>
        <w:t>Associate:</w:t>
      </w:r>
      <w:r>
        <w:tab/>
      </w:r>
    </w:p>
    <w:p w:rsidR="004F76E2" w:rsidRDefault="00600100" w:rsidP="00600100">
      <w:pPr>
        <w:pStyle w:val="BodyText"/>
        <w:tabs>
          <w:tab w:val="left" w:pos="1134"/>
        </w:tabs>
      </w:pPr>
      <w:r>
        <w:t>Dated:</w:t>
      </w:r>
      <w:r>
        <w:tab/>
      </w:r>
      <w:bookmarkStart w:id="22" w:name="CertifyDated"/>
      <w:r>
        <w:t>10 July 2020</w:t>
      </w:r>
      <w:bookmarkStart w:id="23" w:name="Certification"/>
      <w:bookmarkEnd w:id="22"/>
    </w:p>
    <w:bookmarkEnd w:id="23"/>
    <w:p w:rsidR="009F243F" w:rsidRDefault="009F243F" w:rsidP="009F243F">
      <w:pPr>
        <w:pStyle w:val="BodyText"/>
        <w:sectPr w:rsidR="009F243F">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pPr>
    </w:p>
    <w:p w:rsidR="009F243F" w:rsidRPr="00CD498A" w:rsidRDefault="009F243F" w:rsidP="00E91A0F">
      <w:pPr>
        <w:pStyle w:val="NormalHeadings"/>
        <w:spacing w:before="180" w:line="480" w:lineRule="auto"/>
        <w:jc w:val="center"/>
        <w:rPr>
          <w:sz w:val="28"/>
          <w:szCs w:val="28"/>
        </w:rPr>
      </w:pPr>
      <w:bookmarkStart w:id="24" w:name="SOP_Section"/>
      <w:r w:rsidRPr="00CD498A">
        <w:rPr>
          <w:sz w:val="28"/>
          <w:szCs w:val="28"/>
        </w:rPr>
        <w:lastRenderedPageBreak/>
        <w:t>SCHEDULE OF PARTIES</w:t>
      </w:r>
    </w:p>
    <w:p w:rsidR="009F243F" w:rsidRPr="00663089" w:rsidRDefault="009F243F" w:rsidP="004C08EB">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9F243F" w:rsidTr="009F243F">
        <w:tc>
          <w:tcPr>
            <w:tcW w:w="3368" w:type="dxa"/>
          </w:tcPr>
          <w:p w:rsidR="009F243F" w:rsidRDefault="009F243F" w:rsidP="004C08EB">
            <w:pPr>
              <w:pStyle w:val="NormalHeadings"/>
              <w:jc w:val="left"/>
              <w:rPr>
                <w:caps/>
                <w:szCs w:val="24"/>
              </w:rPr>
            </w:pPr>
          </w:p>
        </w:tc>
        <w:tc>
          <w:tcPr>
            <w:tcW w:w="5874" w:type="dxa"/>
          </w:tcPr>
          <w:p w:rsidR="009F243F" w:rsidRDefault="00585423" w:rsidP="004C08EB">
            <w:pPr>
              <w:pStyle w:val="NormalHeadings"/>
              <w:jc w:val="right"/>
            </w:pPr>
            <w:r>
              <w:fldChar w:fldCharType="begin" w:fldLock="1"/>
            </w:r>
            <w:r>
              <w:instrText xml:space="preserve"> REF  FileNo </w:instrText>
            </w:r>
            <w:r>
              <w:fldChar w:fldCharType="separate"/>
            </w:r>
            <w:r w:rsidR="009F243F">
              <w:t>QUD 228 of 2019</w:t>
            </w:r>
            <w:r>
              <w:fldChar w:fldCharType="end"/>
            </w:r>
          </w:p>
        </w:tc>
      </w:tr>
      <w:tr w:rsidR="009F243F" w:rsidTr="009F243F">
        <w:trPr>
          <w:trHeight w:val="386"/>
        </w:trPr>
        <w:tc>
          <w:tcPr>
            <w:tcW w:w="3368" w:type="dxa"/>
          </w:tcPr>
          <w:p w:rsidR="009F243F" w:rsidRDefault="009F243F" w:rsidP="004C08EB">
            <w:pPr>
              <w:pStyle w:val="BodyTextBold"/>
              <w:spacing w:before="180"/>
              <w:jc w:val="left"/>
            </w:pPr>
            <w:bookmarkStart w:id="25" w:name="SOP_RespondentsRows" w:colFirst="0" w:colLast="1"/>
            <w:r>
              <w:t>Respondents</w:t>
            </w:r>
          </w:p>
        </w:tc>
        <w:tc>
          <w:tcPr>
            <w:tcW w:w="5874" w:type="dxa"/>
            <w:tcMar>
              <w:left w:w="28" w:type="dxa"/>
            </w:tcMar>
          </w:tcPr>
          <w:p w:rsidR="009F243F" w:rsidRDefault="009F243F" w:rsidP="004C08EB">
            <w:pPr>
              <w:pStyle w:val="BodyText"/>
              <w:jc w:val="left"/>
            </w:pPr>
          </w:p>
        </w:tc>
      </w:tr>
      <w:tr w:rsidR="009F243F" w:rsidTr="009F243F">
        <w:trPr>
          <w:trHeight w:val="386"/>
        </w:trPr>
        <w:tc>
          <w:tcPr>
            <w:tcW w:w="3368" w:type="dxa"/>
          </w:tcPr>
          <w:p w:rsidR="009F243F" w:rsidRDefault="009F243F" w:rsidP="004C08EB">
            <w:pPr>
              <w:pStyle w:val="BodyText"/>
              <w:spacing w:after="240" w:line="240" w:lineRule="auto"/>
              <w:jc w:val="left"/>
            </w:pPr>
            <w:bookmarkStart w:id="26" w:name="SOP_FirstRespondent"/>
            <w:bookmarkEnd w:id="26"/>
            <w:r>
              <w:t>Fourth Respondent:</w:t>
            </w:r>
          </w:p>
        </w:tc>
        <w:tc>
          <w:tcPr>
            <w:tcW w:w="5874" w:type="dxa"/>
            <w:tcMar>
              <w:left w:w="28" w:type="dxa"/>
            </w:tcMar>
          </w:tcPr>
          <w:p w:rsidR="009F243F" w:rsidRDefault="009F243F" w:rsidP="004C08EB">
            <w:pPr>
              <w:pStyle w:val="BodyText"/>
              <w:spacing w:after="240" w:line="240" w:lineRule="auto"/>
              <w:jc w:val="left"/>
            </w:pPr>
            <w:r>
              <w:t>SHANE BYRANT</w:t>
            </w:r>
          </w:p>
        </w:tc>
      </w:tr>
      <w:tr w:rsidR="009F243F" w:rsidTr="009F243F">
        <w:trPr>
          <w:trHeight w:val="386"/>
        </w:trPr>
        <w:tc>
          <w:tcPr>
            <w:tcW w:w="3368" w:type="dxa"/>
          </w:tcPr>
          <w:p w:rsidR="009F243F" w:rsidRDefault="009F243F" w:rsidP="004C08EB">
            <w:pPr>
              <w:pStyle w:val="BodyText"/>
              <w:spacing w:after="240" w:line="240" w:lineRule="auto"/>
              <w:jc w:val="left"/>
            </w:pPr>
            <w:r>
              <w:t>Fifth Respondent:</w:t>
            </w:r>
          </w:p>
        </w:tc>
        <w:tc>
          <w:tcPr>
            <w:tcW w:w="5874" w:type="dxa"/>
            <w:tcMar>
              <w:left w:w="28" w:type="dxa"/>
            </w:tcMar>
          </w:tcPr>
          <w:p w:rsidR="009F243F" w:rsidRDefault="009F243F" w:rsidP="004C08EB">
            <w:pPr>
              <w:pStyle w:val="BodyText"/>
              <w:spacing w:after="240" w:line="240" w:lineRule="auto"/>
              <w:jc w:val="left"/>
            </w:pPr>
            <w:r>
              <w:t>GRANT COOKE</w:t>
            </w:r>
          </w:p>
        </w:tc>
      </w:tr>
      <w:tr w:rsidR="009F243F" w:rsidTr="009F243F">
        <w:trPr>
          <w:trHeight w:val="386"/>
        </w:trPr>
        <w:tc>
          <w:tcPr>
            <w:tcW w:w="3368" w:type="dxa"/>
          </w:tcPr>
          <w:p w:rsidR="009F243F" w:rsidRDefault="009F243F" w:rsidP="004C08EB">
            <w:pPr>
              <w:pStyle w:val="BodyText"/>
              <w:spacing w:after="240" w:line="240" w:lineRule="auto"/>
              <w:jc w:val="left"/>
            </w:pPr>
            <w:r>
              <w:t>Sixth Respondent:</w:t>
            </w:r>
          </w:p>
        </w:tc>
        <w:tc>
          <w:tcPr>
            <w:tcW w:w="5874" w:type="dxa"/>
            <w:tcMar>
              <w:left w:w="28" w:type="dxa"/>
            </w:tcMar>
          </w:tcPr>
          <w:p w:rsidR="009F243F" w:rsidRDefault="009F243F" w:rsidP="004C08EB">
            <w:pPr>
              <w:pStyle w:val="BodyText"/>
              <w:spacing w:after="240" w:line="240" w:lineRule="auto"/>
              <w:jc w:val="left"/>
            </w:pPr>
            <w:r>
              <w:t>CRAIG CRANNAFORD</w:t>
            </w:r>
          </w:p>
        </w:tc>
      </w:tr>
      <w:tr w:rsidR="009F243F" w:rsidTr="009F243F">
        <w:trPr>
          <w:trHeight w:val="386"/>
        </w:trPr>
        <w:tc>
          <w:tcPr>
            <w:tcW w:w="3368" w:type="dxa"/>
          </w:tcPr>
          <w:p w:rsidR="009F243F" w:rsidRDefault="009F243F" w:rsidP="004C08EB">
            <w:pPr>
              <w:pStyle w:val="BodyText"/>
              <w:spacing w:after="240" w:line="240" w:lineRule="auto"/>
              <w:jc w:val="left"/>
            </w:pPr>
            <w:r>
              <w:t>Seventh Respondent:</w:t>
            </w:r>
          </w:p>
        </w:tc>
        <w:tc>
          <w:tcPr>
            <w:tcW w:w="5874" w:type="dxa"/>
            <w:tcMar>
              <w:left w:w="28" w:type="dxa"/>
            </w:tcMar>
          </w:tcPr>
          <w:p w:rsidR="009F243F" w:rsidRDefault="009F243F" w:rsidP="004C08EB">
            <w:pPr>
              <w:pStyle w:val="BodyText"/>
              <w:spacing w:after="240" w:line="240" w:lineRule="auto"/>
              <w:jc w:val="left"/>
            </w:pPr>
            <w:r>
              <w:t>MATT DANIELS</w:t>
            </w:r>
          </w:p>
        </w:tc>
      </w:tr>
      <w:tr w:rsidR="009F243F" w:rsidTr="009F243F">
        <w:trPr>
          <w:trHeight w:val="386"/>
        </w:trPr>
        <w:tc>
          <w:tcPr>
            <w:tcW w:w="3368" w:type="dxa"/>
          </w:tcPr>
          <w:p w:rsidR="009F243F" w:rsidRDefault="009F243F" w:rsidP="004C08EB">
            <w:pPr>
              <w:pStyle w:val="BodyText"/>
              <w:spacing w:after="240" w:line="240" w:lineRule="auto"/>
              <w:jc w:val="left"/>
            </w:pPr>
            <w:r>
              <w:t>Eighth Respondent:</w:t>
            </w:r>
          </w:p>
        </w:tc>
        <w:tc>
          <w:tcPr>
            <w:tcW w:w="5874" w:type="dxa"/>
            <w:tcMar>
              <w:left w:w="28" w:type="dxa"/>
            </w:tcMar>
          </w:tcPr>
          <w:p w:rsidR="009F243F" w:rsidRDefault="009F243F" w:rsidP="004C08EB">
            <w:pPr>
              <w:pStyle w:val="BodyText"/>
              <w:spacing w:after="240" w:line="240" w:lineRule="auto"/>
              <w:jc w:val="left"/>
            </w:pPr>
            <w:r>
              <w:t>DWAYNE DESATGE</w:t>
            </w:r>
          </w:p>
        </w:tc>
      </w:tr>
      <w:tr w:rsidR="009F243F" w:rsidTr="009F243F">
        <w:trPr>
          <w:trHeight w:val="386"/>
        </w:trPr>
        <w:tc>
          <w:tcPr>
            <w:tcW w:w="3368" w:type="dxa"/>
          </w:tcPr>
          <w:p w:rsidR="009F243F" w:rsidRDefault="009F243F" w:rsidP="004C08EB">
            <w:pPr>
              <w:pStyle w:val="BodyText"/>
              <w:spacing w:after="240" w:line="240" w:lineRule="auto"/>
              <w:jc w:val="left"/>
            </w:pPr>
            <w:r>
              <w:t>Ninth Respondent:</w:t>
            </w:r>
          </w:p>
        </w:tc>
        <w:tc>
          <w:tcPr>
            <w:tcW w:w="5874" w:type="dxa"/>
            <w:tcMar>
              <w:left w:w="28" w:type="dxa"/>
            </w:tcMar>
          </w:tcPr>
          <w:p w:rsidR="009F243F" w:rsidRDefault="009F243F" w:rsidP="004C08EB">
            <w:pPr>
              <w:pStyle w:val="BodyText"/>
              <w:spacing w:after="240" w:line="240" w:lineRule="auto"/>
              <w:jc w:val="left"/>
            </w:pPr>
            <w:r>
              <w:t>JOSEPH DUCK</w:t>
            </w:r>
          </w:p>
        </w:tc>
      </w:tr>
      <w:tr w:rsidR="009F243F" w:rsidTr="009F243F">
        <w:trPr>
          <w:trHeight w:val="386"/>
        </w:trPr>
        <w:tc>
          <w:tcPr>
            <w:tcW w:w="3368" w:type="dxa"/>
          </w:tcPr>
          <w:p w:rsidR="009F243F" w:rsidRDefault="009F243F" w:rsidP="004C08EB">
            <w:pPr>
              <w:pStyle w:val="BodyText"/>
              <w:spacing w:after="240" w:line="240" w:lineRule="auto"/>
              <w:jc w:val="left"/>
            </w:pPr>
            <w:r>
              <w:t>Tenth Respondent:</w:t>
            </w:r>
          </w:p>
        </w:tc>
        <w:tc>
          <w:tcPr>
            <w:tcW w:w="5874" w:type="dxa"/>
            <w:tcMar>
              <w:left w:w="28" w:type="dxa"/>
            </w:tcMar>
          </w:tcPr>
          <w:p w:rsidR="009F243F" w:rsidRDefault="009F243F" w:rsidP="004C08EB">
            <w:pPr>
              <w:pStyle w:val="BodyText"/>
              <w:spacing w:after="240" w:line="240" w:lineRule="auto"/>
              <w:jc w:val="left"/>
            </w:pPr>
            <w:r>
              <w:t>JOHN EASTAUGHFFE</w:t>
            </w:r>
          </w:p>
        </w:tc>
      </w:tr>
      <w:tr w:rsidR="009F243F" w:rsidTr="009F243F">
        <w:trPr>
          <w:trHeight w:val="386"/>
        </w:trPr>
        <w:tc>
          <w:tcPr>
            <w:tcW w:w="3368" w:type="dxa"/>
          </w:tcPr>
          <w:p w:rsidR="009F243F" w:rsidRDefault="009F243F" w:rsidP="004C08EB">
            <w:pPr>
              <w:pStyle w:val="BodyText"/>
              <w:spacing w:after="240" w:line="240" w:lineRule="auto"/>
              <w:jc w:val="left"/>
            </w:pPr>
            <w:r>
              <w:t>Eleventh Respondent:</w:t>
            </w:r>
          </w:p>
        </w:tc>
        <w:tc>
          <w:tcPr>
            <w:tcW w:w="5874" w:type="dxa"/>
            <w:tcMar>
              <w:left w:w="28" w:type="dxa"/>
            </w:tcMar>
          </w:tcPr>
          <w:p w:rsidR="009F243F" w:rsidRDefault="009F243F" w:rsidP="004C08EB">
            <w:pPr>
              <w:pStyle w:val="BodyText"/>
              <w:spacing w:after="240" w:line="240" w:lineRule="auto"/>
              <w:jc w:val="left"/>
            </w:pPr>
            <w:r>
              <w:t>DAMIEN HAYDON</w:t>
            </w:r>
          </w:p>
        </w:tc>
      </w:tr>
      <w:tr w:rsidR="009F243F" w:rsidTr="009F243F">
        <w:trPr>
          <w:trHeight w:val="386"/>
        </w:trPr>
        <w:tc>
          <w:tcPr>
            <w:tcW w:w="3368" w:type="dxa"/>
          </w:tcPr>
          <w:p w:rsidR="009F243F" w:rsidRDefault="009F243F" w:rsidP="004C08EB">
            <w:pPr>
              <w:pStyle w:val="BodyText"/>
              <w:spacing w:after="240" w:line="240" w:lineRule="auto"/>
              <w:jc w:val="left"/>
            </w:pPr>
            <w:r>
              <w:t>Twelfth Respondent:</w:t>
            </w:r>
          </w:p>
        </w:tc>
        <w:tc>
          <w:tcPr>
            <w:tcW w:w="5874" w:type="dxa"/>
            <w:tcMar>
              <w:left w:w="28" w:type="dxa"/>
            </w:tcMar>
          </w:tcPr>
          <w:p w:rsidR="009F243F" w:rsidRDefault="009F243F" w:rsidP="004C08EB">
            <w:pPr>
              <w:pStyle w:val="BodyText"/>
              <w:spacing w:after="240" w:line="240" w:lineRule="auto"/>
              <w:jc w:val="left"/>
            </w:pPr>
            <w:r>
              <w:t>LAWRENCE HENAWAY</w:t>
            </w:r>
          </w:p>
        </w:tc>
      </w:tr>
      <w:tr w:rsidR="009F243F" w:rsidTr="009F243F">
        <w:trPr>
          <w:trHeight w:val="386"/>
        </w:trPr>
        <w:tc>
          <w:tcPr>
            <w:tcW w:w="3368" w:type="dxa"/>
          </w:tcPr>
          <w:p w:rsidR="009F243F" w:rsidRDefault="009F243F" w:rsidP="004C08EB">
            <w:pPr>
              <w:pStyle w:val="BodyText"/>
              <w:spacing w:after="240" w:line="240" w:lineRule="auto"/>
              <w:jc w:val="left"/>
            </w:pPr>
            <w:r>
              <w:t>Thirteenth Respondent:</w:t>
            </w:r>
          </w:p>
        </w:tc>
        <w:tc>
          <w:tcPr>
            <w:tcW w:w="5874" w:type="dxa"/>
            <w:tcMar>
              <w:left w:w="28" w:type="dxa"/>
            </w:tcMar>
          </w:tcPr>
          <w:p w:rsidR="009F243F" w:rsidRDefault="009F243F" w:rsidP="004C08EB">
            <w:pPr>
              <w:pStyle w:val="BodyText"/>
              <w:spacing w:after="240" w:line="240" w:lineRule="auto"/>
              <w:jc w:val="left"/>
            </w:pPr>
            <w:r>
              <w:t>PETER LEWIS</w:t>
            </w:r>
          </w:p>
        </w:tc>
      </w:tr>
      <w:tr w:rsidR="009F243F" w:rsidTr="009F243F">
        <w:trPr>
          <w:trHeight w:val="386"/>
        </w:trPr>
        <w:tc>
          <w:tcPr>
            <w:tcW w:w="3368" w:type="dxa"/>
          </w:tcPr>
          <w:p w:rsidR="009F243F" w:rsidRDefault="009F243F" w:rsidP="004C08EB">
            <w:pPr>
              <w:pStyle w:val="BodyText"/>
              <w:spacing w:after="240" w:line="240" w:lineRule="auto"/>
              <w:jc w:val="left"/>
            </w:pPr>
            <w:r>
              <w:t>Fourteenth Respondent:</w:t>
            </w:r>
          </w:p>
        </w:tc>
        <w:tc>
          <w:tcPr>
            <w:tcW w:w="5874" w:type="dxa"/>
            <w:tcMar>
              <w:left w:w="28" w:type="dxa"/>
            </w:tcMar>
          </w:tcPr>
          <w:p w:rsidR="009F243F" w:rsidRDefault="009F243F" w:rsidP="004C08EB">
            <w:pPr>
              <w:pStyle w:val="BodyText"/>
              <w:spacing w:after="240" w:line="240" w:lineRule="auto"/>
              <w:jc w:val="left"/>
            </w:pPr>
            <w:r>
              <w:t>VINCENT MARELLO</w:t>
            </w:r>
          </w:p>
        </w:tc>
      </w:tr>
      <w:tr w:rsidR="009F243F" w:rsidTr="009F243F">
        <w:trPr>
          <w:trHeight w:val="386"/>
        </w:trPr>
        <w:tc>
          <w:tcPr>
            <w:tcW w:w="3368" w:type="dxa"/>
          </w:tcPr>
          <w:p w:rsidR="009F243F" w:rsidRDefault="009F243F" w:rsidP="004C08EB">
            <w:pPr>
              <w:pStyle w:val="BodyText"/>
              <w:spacing w:after="240" w:line="240" w:lineRule="auto"/>
              <w:jc w:val="left"/>
            </w:pPr>
            <w:r>
              <w:t>Fifteenth Respondent:</w:t>
            </w:r>
          </w:p>
        </w:tc>
        <w:tc>
          <w:tcPr>
            <w:tcW w:w="5874" w:type="dxa"/>
            <w:tcMar>
              <w:left w:w="28" w:type="dxa"/>
            </w:tcMar>
          </w:tcPr>
          <w:p w:rsidR="009F243F" w:rsidRDefault="009F243F" w:rsidP="004C08EB">
            <w:pPr>
              <w:pStyle w:val="BodyText"/>
              <w:spacing w:after="240" w:line="240" w:lineRule="auto"/>
              <w:jc w:val="left"/>
            </w:pPr>
            <w:r>
              <w:t>TROY RENWICK</w:t>
            </w:r>
          </w:p>
        </w:tc>
      </w:tr>
      <w:tr w:rsidR="009F243F" w:rsidTr="009F243F">
        <w:trPr>
          <w:trHeight w:val="386"/>
        </w:trPr>
        <w:tc>
          <w:tcPr>
            <w:tcW w:w="3368" w:type="dxa"/>
          </w:tcPr>
          <w:p w:rsidR="009F243F" w:rsidRDefault="009F243F" w:rsidP="004C08EB">
            <w:pPr>
              <w:pStyle w:val="BodyText"/>
              <w:spacing w:after="240" w:line="240" w:lineRule="auto"/>
              <w:jc w:val="left"/>
            </w:pPr>
            <w:r>
              <w:t>Sixteenth Respondent:</w:t>
            </w:r>
          </w:p>
        </w:tc>
        <w:tc>
          <w:tcPr>
            <w:tcW w:w="5874" w:type="dxa"/>
            <w:tcMar>
              <w:left w:w="28" w:type="dxa"/>
            </w:tcMar>
          </w:tcPr>
          <w:p w:rsidR="009F243F" w:rsidRDefault="009F243F" w:rsidP="004C08EB">
            <w:pPr>
              <w:pStyle w:val="BodyText"/>
              <w:spacing w:after="240" w:line="240" w:lineRule="auto"/>
              <w:jc w:val="left"/>
            </w:pPr>
            <w:r>
              <w:t>MICHAEL ROACH</w:t>
            </w:r>
          </w:p>
        </w:tc>
      </w:tr>
      <w:tr w:rsidR="009F243F" w:rsidTr="009F243F">
        <w:trPr>
          <w:trHeight w:val="386"/>
        </w:trPr>
        <w:tc>
          <w:tcPr>
            <w:tcW w:w="3368" w:type="dxa"/>
          </w:tcPr>
          <w:p w:rsidR="009F243F" w:rsidRDefault="009F243F" w:rsidP="004C08EB">
            <w:pPr>
              <w:pStyle w:val="BodyText"/>
              <w:spacing w:after="240" w:line="240" w:lineRule="auto"/>
              <w:jc w:val="left"/>
            </w:pPr>
            <w:r>
              <w:t>Seventeenth Respondent:</w:t>
            </w:r>
          </w:p>
        </w:tc>
        <w:tc>
          <w:tcPr>
            <w:tcW w:w="5874" w:type="dxa"/>
            <w:tcMar>
              <w:left w:w="28" w:type="dxa"/>
            </w:tcMar>
          </w:tcPr>
          <w:p w:rsidR="009F243F" w:rsidRDefault="009F243F" w:rsidP="004C08EB">
            <w:pPr>
              <w:pStyle w:val="BodyText"/>
              <w:spacing w:after="240" w:line="240" w:lineRule="auto"/>
              <w:jc w:val="left"/>
            </w:pPr>
            <w:r>
              <w:t>SHANNON TAMBO</w:t>
            </w:r>
          </w:p>
        </w:tc>
      </w:tr>
      <w:tr w:rsidR="009F243F" w:rsidTr="009F243F">
        <w:trPr>
          <w:trHeight w:val="386"/>
        </w:trPr>
        <w:tc>
          <w:tcPr>
            <w:tcW w:w="3368" w:type="dxa"/>
          </w:tcPr>
          <w:p w:rsidR="009F243F" w:rsidRDefault="009F243F" w:rsidP="004C08EB">
            <w:pPr>
              <w:pStyle w:val="BodyText"/>
              <w:spacing w:after="240" w:line="240" w:lineRule="auto"/>
              <w:jc w:val="left"/>
            </w:pPr>
            <w:r>
              <w:t>Eighteenth Respondent:</w:t>
            </w:r>
          </w:p>
        </w:tc>
        <w:tc>
          <w:tcPr>
            <w:tcW w:w="5874" w:type="dxa"/>
            <w:tcMar>
              <w:left w:w="28" w:type="dxa"/>
            </w:tcMar>
          </w:tcPr>
          <w:p w:rsidR="009F243F" w:rsidRDefault="009F243F" w:rsidP="004C08EB">
            <w:pPr>
              <w:pStyle w:val="BodyText"/>
              <w:spacing w:after="240" w:line="240" w:lineRule="auto"/>
              <w:jc w:val="left"/>
            </w:pPr>
            <w:r>
              <w:t>ALFIO TORNABENE</w:t>
            </w:r>
          </w:p>
        </w:tc>
      </w:tr>
      <w:bookmarkEnd w:id="24"/>
      <w:bookmarkEnd w:id="25"/>
    </w:tbl>
    <w:p w:rsidR="009F243F" w:rsidRDefault="009F243F" w:rsidP="002B0E91">
      <w:pPr>
        <w:pStyle w:val="BodyText"/>
      </w:pPr>
    </w:p>
    <w:sectPr w:rsidR="009F243F" w:rsidSect="009F243F">
      <w:head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69" w:rsidRDefault="00E52169">
      <w:pPr>
        <w:spacing w:line="20" w:lineRule="exact"/>
      </w:pPr>
    </w:p>
    <w:p w:rsidR="00E52169" w:rsidRDefault="00E52169"/>
    <w:p w:rsidR="00E52169" w:rsidRDefault="00E52169"/>
  </w:endnote>
  <w:endnote w:type="continuationSeparator" w:id="0">
    <w:p w:rsidR="00E52169" w:rsidRDefault="00E52169">
      <w:r>
        <w:t xml:space="preserve"> </w:t>
      </w:r>
    </w:p>
    <w:p w:rsidR="00E52169" w:rsidRDefault="00E52169"/>
    <w:p w:rsidR="00E52169" w:rsidRDefault="00E52169"/>
  </w:endnote>
  <w:endnote w:type="continuationNotice" w:id="1">
    <w:p w:rsidR="00E52169" w:rsidRDefault="00E52169">
      <w:r>
        <w:t xml:space="preserve"> </w:t>
      </w:r>
    </w:p>
    <w:p w:rsidR="00E52169" w:rsidRDefault="00E52169"/>
    <w:p w:rsidR="00E52169" w:rsidRDefault="00E52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Pr="0070304A" w:rsidRDefault="00E52169" w:rsidP="00703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Pr="0070304A" w:rsidRDefault="00E52169" w:rsidP="0070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69" w:rsidRDefault="00E52169"/>
    <w:p w:rsidR="00E52169" w:rsidRDefault="00E52169"/>
    <w:p w:rsidR="00E52169" w:rsidRDefault="00E52169"/>
  </w:footnote>
  <w:footnote w:type="continuationSeparator" w:id="0">
    <w:p w:rsidR="00E52169" w:rsidRDefault="00E52169">
      <w:r>
        <w:continuationSeparator/>
      </w:r>
    </w:p>
    <w:p w:rsidR="00E52169" w:rsidRDefault="00E52169"/>
    <w:p w:rsidR="00E52169" w:rsidRDefault="00E52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Default="00E52169">
    <w:pPr>
      <w:tabs>
        <w:tab w:val="center" w:pos="4512"/>
      </w:tabs>
      <w:suppressAutoHyphens/>
    </w:pPr>
    <w:r>
      <w:tab/>
      <w:t xml:space="preserve">- </w:t>
    </w:r>
    <w:r>
      <w:fldChar w:fldCharType="begin"/>
    </w:r>
    <w:r>
      <w:instrText xml:space="preserve"> PAGE   \* MERGEFORMAT </w:instrText>
    </w:r>
    <w:r>
      <w:fldChar w:fldCharType="separate"/>
    </w:r>
    <w:r w:rsidR="00585423">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Default="00E5216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Default="00E5216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Default="00E52169">
    <w:pPr>
      <w:tabs>
        <w:tab w:val="center" w:pos="4512"/>
      </w:tabs>
      <w:suppressAutoHyphens/>
    </w:pPr>
    <w:r>
      <w:tab/>
      <w:t xml:space="preserve">- </w:t>
    </w:r>
    <w:r>
      <w:fldChar w:fldCharType="begin"/>
    </w:r>
    <w:r>
      <w:instrText>page \* arabic</w:instrText>
    </w:r>
    <w:r>
      <w:fldChar w:fldCharType="separate"/>
    </w:r>
    <w:r w:rsidR="00585423">
      <w:rPr>
        <w:noProof/>
      </w:rPr>
      <w:t>34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Default="00E52169">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69" w:rsidRDefault="00E52169" w:rsidP="009F243F">
    <w:pPr>
      <w:pStyle w:val="Header"/>
      <w:tabs>
        <w:tab w:val="clear" w:pos="4320"/>
        <w:tab w:val="clear" w:pos="8640"/>
      </w:tabs>
      <w:jc w:val="center"/>
    </w:pPr>
    <w:r>
      <w:t xml:space="preserve">- </w:t>
    </w:r>
    <w:r>
      <w:fldChar w:fldCharType="begin"/>
    </w:r>
    <w:r>
      <w:instrText>page \* arabic</w:instrText>
    </w:r>
    <w:r>
      <w:fldChar w:fldCharType="separate"/>
    </w:r>
    <w:r w:rsidR="00585423">
      <w:rPr>
        <w:noProof/>
      </w:rPr>
      <w:t>36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num>
  <w:num w:numId="25">
    <w:abstractNumId w:val="16"/>
    <w:lvlOverride w:ilvl="0">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228 of 2019"/>
    <w:docVar w:name="HearingDate" w:val="9–12 March 2020"/>
    <w:docVar w:name="Initiators" w:val="(and another named in the Schedule)"/>
    <w:docVar w:name="Judgdate" w:val="## June 2020"/>
    <w:docVar w:name="Judge" w:val="Rangiah"/>
    <w:docVar w:name="Justices" w:val="Justice"/>
    <w:docVar w:name="lstEntryList" w:val="-1"/>
    <w:docVar w:name="myEntryList" w:val="Counsel for the Applicant=Mr J Bourke QC with Mr A Denton|Solicitor for the Applicant=Norton Rose Fulbright|Counsel for the Respondents=Mr R Kenzie QC with Mr C Massy|Solicitor for the Respondents=Hall Payne Lawyers"/>
    <w:docVar w:name="NSD" w:val="NSD "/>
    <w:docVar w:name="NumApps" w:val="1"/>
    <w:docVar w:name="NumApps_" w:val="18"/>
    <w:docVar w:name="NumCrossResps" w:val="0"/>
    <w:docVar w:name="NumDefs" w:val="18"/>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False"/>
    <w:docVar w:name="RESAndOthers" w:val="True"/>
    <w:docVar w:name="Respondent" w:val="Construction, Forestry, Maritime, Mining and Energy Union|Grant Harradine|Walter Benedito|Shane Byrant|Grant Cooke|Craig Crannaford|Matt Daniels|Dwayne Desatge|Joseph Duck|John Eastaughffe|Damien Haydon|Lawrence Henaway|Peter Lewis|Vincent Marello|Troy Renwick|Michael Roach|Shannon Tambo|Alfio Tornabene"/>
    <w:docVar w:name="ResState" w:val="Queensland"/>
    <w:docVar w:name="SubArea" w:val="[none]"/>
  </w:docVars>
  <w:rsids>
    <w:rsidRoot w:val="00FC3C76"/>
    <w:rsid w:val="00006ED6"/>
    <w:rsid w:val="0001469E"/>
    <w:rsid w:val="00015993"/>
    <w:rsid w:val="00016B76"/>
    <w:rsid w:val="00020D75"/>
    <w:rsid w:val="00022289"/>
    <w:rsid w:val="00025080"/>
    <w:rsid w:val="0002556F"/>
    <w:rsid w:val="000256B3"/>
    <w:rsid w:val="00030CAF"/>
    <w:rsid w:val="00032D1B"/>
    <w:rsid w:val="00032F9F"/>
    <w:rsid w:val="0003559E"/>
    <w:rsid w:val="00041316"/>
    <w:rsid w:val="00041C07"/>
    <w:rsid w:val="00041D19"/>
    <w:rsid w:val="00041E81"/>
    <w:rsid w:val="00045A5F"/>
    <w:rsid w:val="00045BB7"/>
    <w:rsid w:val="00045BD8"/>
    <w:rsid w:val="00052F62"/>
    <w:rsid w:val="00054BFE"/>
    <w:rsid w:val="00055719"/>
    <w:rsid w:val="00055BE9"/>
    <w:rsid w:val="0005641B"/>
    <w:rsid w:val="000626BD"/>
    <w:rsid w:val="0006378F"/>
    <w:rsid w:val="0007083D"/>
    <w:rsid w:val="00071B2C"/>
    <w:rsid w:val="000744B8"/>
    <w:rsid w:val="00076323"/>
    <w:rsid w:val="0008126E"/>
    <w:rsid w:val="00081497"/>
    <w:rsid w:val="00082356"/>
    <w:rsid w:val="00084CF4"/>
    <w:rsid w:val="00085DEF"/>
    <w:rsid w:val="00086252"/>
    <w:rsid w:val="00086562"/>
    <w:rsid w:val="00092971"/>
    <w:rsid w:val="0009316B"/>
    <w:rsid w:val="00096CFD"/>
    <w:rsid w:val="000A2E76"/>
    <w:rsid w:val="000A2FC7"/>
    <w:rsid w:val="000A4807"/>
    <w:rsid w:val="000A4BE4"/>
    <w:rsid w:val="000B3F47"/>
    <w:rsid w:val="000B6DD3"/>
    <w:rsid w:val="000B7CE1"/>
    <w:rsid w:val="000C023E"/>
    <w:rsid w:val="000C0258"/>
    <w:rsid w:val="000C0EAD"/>
    <w:rsid w:val="000C2DAC"/>
    <w:rsid w:val="000C35F5"/>
    <w:rsid w:val="000C5195"/>
    <w:rsid w:val="000C62EF"/>
    <w:rsid w:val="000D128C"/>
    <w:rsid w:val="000D2137"/>
    <w:rsid w:val="000D35B1"/>
    <w:rsid w:val="000D3FD2"/>
    <w:rsid w:val="000D6A3A"/>
    <w:rsid w:val="000D75BF"/>
    <w:rsid w:val="000E176E"/>
    <w:rsid w:val="000E347B"/>
    <w:rsid w:val="000E3FC8"/>
    <w:rsid w:val="000E57B8"/>
    <w:rsid w:val="000E7420"/>
    <w:rsid w:val="000E7BAE"/>
    <w:rsid w:val="000F133D"/>
    <w:rsid w:val="000F4C75"/>
    <w:rsid w:val="000F4ED5"/>
    <w:rsid w:val="000F5801"/>
    <w:rsid w:val="00100258"/>
    <w:rsid w:val="0010056A"/>
    <w:rsid w:val="001007C6"/>
    <w:rsid w:val="00104CE2"/>
    <w:rsid w:val="00104EB8"/>
    <w:rsid w:val="0010536B"/>
    <w:rsid w:val="001059F9"/>
    <w:rsid w:val="001106E8"/>
    <w:rsid w:val="0011145C"/>
    <w:rsid w:val="001128BD"/>
    <w:rsid w:val="0011419D"/>
    <w:rsid w:val="0011424B"/>
    <w:rsid w:val="00115013"/>
    <w:rsid w:val="00130B84"/>
    <w:rsid w:val="00132054"/>
    <w:rsid w:val="0013311C"/>
    <w:rsid w:val="001359F7"/>
    <w:rsid w:val="0014051E"/>
    <w:rsid w:val="0015113E"/>
    <w:rsid w:val="001556A2"/>
    <w:rsid w:val="001650CA"/>
    <w:rsid w:val="001674E1"/>
    <w:rsid w:val="001727A4"/>
    <w:rsid w:val="0017301D"/>
    <w:rsid w:val="0017376C"/>
    <w:rsid w:val="001738AB"/>
    <w:rsid w:val="001765E0"/>
    <w:rsid w:val="00177759"/>
    <w:rsid w:val="0018121A"/>
    <w:rsid w:val="00181F12"/>
    <w:rsid w:val="00182416"/>
    <w:rsid w:val="001848C8"/>
    <w:rsid w:val="00184975"/>
    <w:rsid w:val="00185E6B"/>
    <w:rsid w:val="00186862"/>
    <w:rsid w:val="001869DF"/>
    <w:rsid w:val="00187BBC"/>
    <w:rsid w:val="00191D6A"/>
    <w:rsid w:val="00192527"/>
    <w:rsid w:val="001932F3"/>
    <w:rsid w:val="00193CF7"/>
    <w:rsid w:val="00193D55"/>
    <w:rsid w:val="001A163D"/>
    <w:rsid w:val="001A4146"/>
    <w:rsid w:val="001A4309"/>
    <w:rsid w:val="001A4647"/>
    <w:rsid w:val="001A75A6"/>
    <w:rsid w:val="001B0BAD"/>
    <w:rsid w:val="001B1053"/>
    <w:rsid w:val="001B14AC"/>
    <w:rsid w:val="001B659B"/>
    <w:rsid w:val="001B7940"/>
    <w:rsid w:val="001B7C4C"/>
    <w:rsid w:val="001B7CA8"/>
    <w:rsid w:val="001C37CA"/>
    <w:rsid w:val="001C7EE4"/>
    <w:rsid w:val="001C7FCB"/>
    <w:rsid w:val="001D0D3F"/>
    <w:rsid w:val="001D3426"/>
    <w:rsid w:val="001D3C5E"/>
    <w:rsid w:val="001D4303"/>
    <w:rsid w:val="001D5A75"/>
    <w:rsid w:val="001D5EF3"/>
    <w:rsid w:val="001D6746"/>
    <w:rsid w:val="001D6D92"/>
    <w:rsid w:val="001E3B49"/>
    <w:rsid w:val="001E7388"/>
    <w:rsid w:val="001E77B4"/>
    <w:rsid w:val="001F038E"/>
    <w:rsid w:val="001F1207"/>
    <w:rsid w:val="001F13DD"/>
    <w:rsid w:val="001F2DBC"/>
    <w:rsid w:val="001F6E58"/>
    <w:rsid w:val="001F73E8"/>
    <w:rsid w:val="00201103"/>
    <w:rsid w:val="002012B9"/>
    <w:rsid w:val="0020262C"/>
    <w:rsid w:val="00202AF3"/>
    <w:rsid w:val="0021222C"/>
    <w:rsid w:val="0021677C"/>
    <w:rsid w:val="002240E3"/>
    <w:rsid w:val="00224537"/>
    <w:rsid w:val="002250F0"/>
    <w:rsid w:val="00227A19"/>
    <w:rsid w:val="00230DEE"/>
    <w:rsid w:val="00231AD9"/>
    <w:rsid w:val="00232311"/>
    <w:rsid w:val="00235956"/>
    <w:rsid w:val="00242023"/>
    <w:rsid w:val="002478C9"/>
    <w:rsid w:val="00247C9A"/>
    <w:rsid w:val="0025087F"/>
    <w:rsid w:val="00251248"/>
    <w:rsid w:val="0025160C"/>
    <w:rsid w:val="002535D0"/>
    <w:rsid w:val="002539B3"/>
    <w:rsid w:val="0025413F"/>
    <w:rsid w:val="00257C3E"/>
    <w:rsid w:val="002602C2"/>
    <w:rsid w:val="00260324"/>
    <w:rsid w:val="00261E04"/>
    <w:rsid w:val="0026368C"/>
    <w:rsid w:val="00265C78"/>
    <w:rsid w:val="002666C9"/>
    <w:rsid w:val="00266917"/>
    <w:rsid w:val="00267F47"/>
    <w:rsid w:val="00270136"/>
    <w:rsid w:val="00270B21"/>
    <w:rsid w:val="00274F5B"/>
    <w:rsid w:val="0027646B"/>
    <w:rsid w:val="002769C2"/>
    <w:rsid w:val="00280836"/>
    <w:rsid w:val="002819CE"/>
    <w:rsid w:val="002822E8"/>
    <w:rsid w:val="00282E1A"/>
    <w:rsid w:val="00284101"/>
    <w:rsid w:val="00290EC9"/>
    <w:rsid w:val="0029113B"/>
    <w:rsid w:val="00292F16"/>
    <w:rsid w:val="002934C0"/>
    <w:rsid w:val="002A0450"/>
    <w:rsid w:val="002A1B50"/>
    <w:rsid w:val="002A290D"/>
    <w:rsid w:val="002A4D41"/>
    <w:rsid w:val="002A5FDF"/>
    <w:rsid w:val="002A6223"/>
    <w:rsid w:val="002B0E91"/>
    <w:rsid w:val="002B18A4"/>
    <w:rsid w:val="002B5C23"/>
    <w:rsid w:val="002B6779"/>
    <w:rsid w:val="002B71C0"/>
    <w:rsid w:val="002B7A34"/>
    <w:rsid w:val="002C31AD"/>
    <w:rsid w:val="002C4740"/>
    <w:rsid w:val="002C6D6D"/>
    <w:rsid w:val="002C7385"/>
    <w:rsid w:val="002C7A1D"/>
    <w:rsid w:val="002D2DBB"/>
    <w:rsid w:val="002D523F"/>
    <w:rsid w:val="002D54A6"/>
    <w:rsid w:val="002E2DCD"/>
    <w:rsid w:val="002E4164"/>
    <w:rsid w:val="002E53B3"/>
    <w:rsid w:val="002E58D7"/>
    <w:rsid w:val="002E6A7A"/>
    <w:rsid w:val="002F1E49"/>
    <w:rsid w:val="002F4E9C"/>
    <w:rsid w:val="00301C38"/>
    <w:rsid w:val="00305037"/>
    <w:rsid w:val="00305A81"/>
    <w:rsid w:val="003123B2"/>
    <w:rsid w:val="0031256C"/>
    <w:rsid w:val="00314D6C"/>
    <w:rsid w:val="00315FAF"/>
    <w:rsid w:val="00316188"/>
    <w:rsid w:val="00316D2A"/>
    <w:rsid w:val="003200FF"/>
    <w:rsid w:val="00322A7C"/>
    <w:rsid w:val="00323E04"/>
    <w:rsid w:val="00327B09"/>
    <w:rsid w:val="003304A6"/>
    <w:rsid w:val="00335656"/>
    <w:rsid w:val="00336E9E"/>
    <w:rsid w:val="003402D3"/>
    <w:rsid w:val="00340302"/>
    <w:rsid w:val="00341F4D"/>
    <w:rsid w:val="00342C3D"/>
    <w:rsid w:val="00343ABC"/>
    <w:rsid w:val="003463FE"/>
    <w:rsid w:val="003466AB"/>
    <w:rsid w:val="00350669"/>
    <w:rsid w:val="003525A3"/>
    <w:rsid w:val="00353322"/>
    <w:rsid w:val="00353402"/>
    <w:rsid w:val="003554B3"/>
    <w:rsid w:val="00356632"/>
    <w:rsid w:val="00360867"/>
    <w:rsid w:val="0036269A"/>
    <w:rsid w:val="003734F6"/>
    <w:rsid w:val="00374049"/>
    <w:rsid w:val="00375BC6"/>
    <w:rsid w:val="00375CFD"/>
    <w:rsid w:val="003845A9"/>
    <w:rsid w:val="003863E7"/>
    <w:rsid w:val="00390883"/>
    <w:rsid w:val="003911C3"/>
    <w:rsid w:val="00391340"/>
    <w:rsid w:val="003922F8"/>
    <w:rsid w:val="00393AB9"/>
    <w:rsid w:val="00395B24"/>
    <w:rsid w:val="003A1F7A"/>
    <w:rsid w:val="003A206D"/>
    <w:rsid w:val="003A2D38"/>
    <w:rsid w:val="003A7ECC"/>
    <w:rsid w:val="003B0ECC"/>
    <w:rsid w:val="003B2C72"/>
    <w:rsid w:val="003C1333"/>
    <w:rsid w:val="003C20FF"/>
    <w:rsid w:val="003C3A05"/>
    <w:rsid w:val="003C5534"/>
    <w:rsid w:val="003D2650"/>
    <w:rsid w:val="003D560C"/>
    <w:rsid w:val="003D7C0D"/>
    <w:rsid w:val="003D7D96"/>
    <w:rsid w:val="003E1CAD"/>
    <w:rsid w:val="003E3CB3"/>
    <w:rsid w:val="003E3DAA"/>
    <w:rsid w:val="003E5874"/>
    <w:rsid w:val="003E7EC3"/>
    <w:rsid w:val="003F0223"/>
    <w:rsid w:val="003F193E"/>
    <w:rsid w:val="003F34F1"/>
    <w:rsid w:val="003F73D5"/>
    <w:rsid w:val="00403D15"/>
    <w:rsid w:val="00404411"/>
    <w:rsid w:val="004049FB"/>
    <w:rsid w:val="00406424"/>
    <w:rsid w:val="00407BA2"/>
    <w:rsid w:val="00411AE8"/>
    <w:rsid w:val="004126E1"/>
    <w:rsid w:val="00413B74"/>
    <w:rsid w:val="00416B21"/>
    <w:rsid w:val="004214D2"/>
    <w:rsid w:val="00435C5F"/>
    <w:rsid w:val="004419DD"/>
    <w:rsid w:val="00441E98"/>
    <w:rsid w:val="004436DD"/>
    <w:rsid w:val="00444F7A"/>
    <w:rsid w:val="004532F7"/>
    <w:rsid w:val="00453D2D"/>
    <w:rsid w:val="00456DF5"/>
    <w:rsid w:val="00457434"/>
    <w:rsid w:val="0046063D"/>
    <w:rsid w:val="00461822"/>
    <w:rsid w:val="00462FCE"/>
    <w:rsid w:val="00463F75"/>
    <w:rsid w:val="00465790"/>
    <w:rsid w:val="00467312"/>
    <w:rsid w:val="00470D63"/>
    <w:rsid w:val="0047119F"/>
    <w:rsid w:val="00472027"/>
    <w:rsid w:val="00473C61"/>
    <w:rsid w:val="00475EE7"/>
    <w:rsid w:val="004804CF"/>
    <w:rsid w:val="00482ACB"/>
    <w:rsid w:val="004832E7"/>
    <w:rsid w:val="0048377B"/>
    <w:rsid w:val="00484962"/>
    <w:rsid w:val="00484F6D"/>
    <w:rsid w:val="0048540B"/>
    <w:rsid w:val="00490FB0"/>
    <w:rsid w:val="0049338A"/>
    <w:rsid w:val="00493702"/>
    <w:rsid w:val="00493A00"/>
    <w:rsid w:val="0049417F"/>
    <w:rsid w:val="004A1DB0"/>
    <w:rsid w:val="004A391D"/>
    <w:rsid w:val="004A3CC1"/>
    <w:rsid w:val="004A623E"/>
    <w:rsid w:val="004B3EFA"/>
    <w:rsid w:val="004B3FCB"/>
    <w:rsid w:val="004B6708"/>
    <w:rsid w:val="004C08EB"/>
    <w:rsid w:val="004C2A87"/>
    <w:rsid w:val="004C4D7B"/>
    <w:rsid w:val="004C4ED3"/>
    <w:rsid w:val="004D27D8"/>
    <w:rsid w:val="004D2EA5"/>
    <w:rsid w:val="004D32A6"/>
    <w:rsid w:val="004D38D3"/>
    <w:rsid w:val="004D3DAA"/>
    <w:rsid w:val="004D53E5"/>
    <w:rsid w:val="004E06EF"/>
    <w:rsid w:val="004E3080"/>
    <w:rsid w:val="004E4C58"/>
    <w:rsid w:val="004E6028"/>
    <w:rsid w:val="004E640E"/>
    <w:rsid w:val="004E757B"/>
    <w:rsid w:val="004F5157"/>
    <w:rsid w:val="004F76E2"/>
    <w:rsid w:val="00500B5F"/>
    <w:rsid w:val="00501A12"/>
    <w:rsid w:val="005035D6"/>
    <w:rsid w:val="005111D2"/>
    <w:rsid w:val="005115EB"/>
    <w:rsid w:val="00511EF4"/>
    <w:rsid w:val="0051346D"/>
    <w:rsid w:val="00513EAE"/>
    <w:rsid w:val="0051486B"/>
    <w:rsid w:val="00516806"/>
    <w:rsid w:val="0052057A"/>
    <w:rsid w:val="00522C9B"/>
    <w:rsid w:val="00523202"/>
    <w:rsid w:val="00524E89"/>
    <w:rsid w:val="00525A49"/>
    <w:rsid w:val="00526C35"/>
    <w:rsid w:val="00535613"/>
    <w:rsid w:val="005359EB"/>
    <w:rsid w:val="00535D75"/>
    <w:rsid w:val="0053606F"/>
    <w:rsid w:val="00540EF7"/>
    <w:rsid w:val="005411E6"/>
    <w:rsid w:val="00541522"/>
    <w:rsid w:val="00541B76"/>
    <w:rsid w:val="0054254A"/>
    <w:rsid w:val="00542E4B"/>
    <w:rsid w:val="005456CA"/>
    <w:rsid w:val="005466B5"/>
    <w:rsid w:val="0055132E"/>
    <w:rsid w:val="00554314"/>
    <w:rsid w:val="005556DD"/>
    <w:rsid w:val="00560732"/>
    <w:rsid w:val="005629B3"/>
    <w:rsid w:val="00566480"/>
    <w:rsid w:val="0056783D"/>
    <w:rsid w:val="005703E7"/>
    <w:rsid w:val="00570FBF"/>
    <w:rsid w:val="00573AC4"/>
    <w:rsid w:val="00573FAD"/>
    <w:rsid w:val="0057623C"/>
    <w:rsid w:val="005767B0"/>
    <w:rsid w:val="005801FC"/>
    <w:rsid w:val="00581ECB"/>
    <w:rsid w:val="00584352"/>
    <w:rsid w:val="00585423"/>
    <w:rsid w:val="005856FB"/>
    <w:rsid w:val="00591CDC"/>
    <w:rsid w:val="0059213A"/>
    <w:rsid w:val="00592308"/>
    <w:rsid w:val="005932BA"/>
    <w:rsid w:val="00593A30"/>
    <w:rsid w:val="00593B03"/>
    <w:rsid w:val="0059426D"/>
    <w:rsid w:val="00595016"/>
    <w:rsid w:val="00595F7F"/>
    <w:rsid w:val="00597337"/>
    <w:rsid w:val="00597AAE"/>
    <w:rsid w:val="005A0766"/>
    <w:rsid w:val="005A1780"/>
    <w:rsid w:val="005A222C"/>
    <w:rsid w:val="005A4DF8"/>
    <w:rsid w:val="005B1426"/>
    <w:rsid w:val="005B2C35"/>
    <w:rsid w:val="005B353F"/>
    <w:rsid w:val="005C058E"/>
    <w:rsid w:val="005C0A8E"/>
    <w:rsid w:val="005C1767"/>
    <w:rsid w:val="005C225B"/>
    <w:rsid w:val="005C3CBE"/>
    <w:rsid w:val="005C42EF"/>
    <w:rsid w:val="005D634D"/>
    <w:rsid w:val="005E02F5"/>
    <w:rsid w:val="005E0510"/>
    <w:rsid w:val="005E0D59"/>
    <w:rsid w:val="005E176E"/>
    <w:rsid w:val="005E1841"/>
    <w:rsid w:val="005E218E"/>
    <w:rsid w:val="005E3481"/>
    <w:rsid w:val="005E35A0"/>
    <w:rsid w:val="005E4464"/>
    <w:rsid w:val="005E4A85"/>
    <w:rsid w:val="005E6256"/>
    <w:rsid w:val="005F0D1B"/>
    <w:rsid w:val="005F1865"/>
    <w:rsid w:val="005F4B1C"/>
    <w:rsid w:val="005F698B"/>
    <w:rsid w:val="00600100"/>
    <w:rsid w:val="006007BD"/>
    <w:rsid w:val="006013C8"/>
    <w:rsid w:val="0060270D"/>
    <w:rsid w:val="00602D00"/>
    <w:rsid w:val="00604611"/>
    <w:rsid w:val="00605592"/>
    <w:rsid w:val="00606C0B"/>
    <w:rsid w:val="00606FDB"/>
    <w:rsid w:val="00607B32"/>
    <w:rsid w:val="00610665"/>
    <w:rsid w:val="00611586"/>
    <w:rsid w:val="006133ED"/>
    <w:rsid w:val="00613AAB"/>
    <w:rsid w:val="00615565"/>
    <w:rsid w:val="00621887"/>
    <w:rsid w:val="006234A4"/>
    <w:rsid w:val="00624520"/>
    <w:rsid w:val="006261CC"/>
    <w:rsid w:val="00626680"/>
    <w:rsid w:val="00627000"/>
    <w:rsid w:val="006321CF"/>
    <w:rsid w:val="00632300"/>
    <w:rsid w:val="0063276A"/>
    <w:rsid w:val="00632A55"/>
    <w:rsid w:val="00632BB7"/>
    <w:rsid w:val="006342A1"/>
    <w:rsid w:val="006342E2"/>
    <w:rsid w:val="00635B36"/>
    <w:rsid w:val="00635E59"/>
    <w:rsid w:val="00635F38"/>
    <w:rsid w:val="00636871"/>
    <w:rsid w:val="006375AF"/>
    <w:rsid w:val="00637876"/>
    <w:rsid w:val="006408C5"/>
    <w:rsid w:val="00640F4E"/>
    <w:rsid w:val="00643DE0"/>
    <w:rsid w:val="00644E85"/>
    <w:rsid w:val="006502D7"/>
    <w:rsid w:val="00654FC4"/>
    <w:rsid w:val="0065533C"/>
    <w:rsid w:val="0066063F"/>
    <w:rsid w:val="00660950"/>
    <w:rsid w:val="00660FBF"/>
    <w:rsid w:val="00662BB0"/>
    <w:rsid w:val="00663878"/>
    <w:rsid w:val="0066396F"/>
    <w:rsid w:val="00667773"/>
    <w:rsid w:val="00667C37"/>
    <w:rsid w:val="00670743"/>
    <w:rsid w:val="006708B4"/>
    <w:rsid w:val="00674B27"/>
    <w:rsid w:val="006758A7"/>
    <w:rsid w:val="006859AF"/>
    <w:rsid w:val="00687BC2"/>
    <w:rsid w:val="00690EE2"/>
    <w:rsid w:val="00691705"/>
    <w:rsid w:val="00692242"/>
    <w:rsid w:val="00692BFA"/>
    <w:rsid w:val="006940F7"/>
    <w:rsid w:val="00694453"/>
    <w:rsid w:val="0069787C"/>
    <w:rsid w:val="006A0635"/>
    <w:rsid w:val="006A0D29"/>
    <w:rsid w:val="006A0E20"/>
    <w:rsid w:val="006A5695"/>
    <w:rsid w:val="006A61B9"/>
    <w:rsid w:val="006B1081"/>
    <w:rsid w:val="006B3904"/>
    <w:rsid w:val="006B5AC6"/>
    <w:rsid w:val="006B5B7D"/>
    <w:rsid w:val="006B6C7B"/>
    <w:rsid w:val="006B70C9"/>
    <w:rsid w:val="006C4CF1"/>
    <w:rsid w:val="006C5555"/>
    <w:rsid w:val="006C76A0"/>
    <w:rsid w:val="006D02B0"/>
    <w:rsid w:val="006D0ECF"/>
    <w:rsid w:val="006D17D8"/>
    <w:rsid w:val="006D4800"/>
    <w:rsid w:val="006D4C92"/>
    <w:rsid w:val="006D4EB6"/>
    <w:rsid w:val="006D5887"/>
    <w:rsid w:val="006D6A8E"/>
    <w:rsid w:val="006E35BF"/>
    <w:rsid w:val="006E7850"/>
    <w:rsid w:val="006F13AB"/>
    <w:rsid w:val="006F2DDA"/>
    <w:rsid w:val="006F593E"/>
    <w:rsid w:val="00701808"/>
    <w:rsid w:val="007028D9"/>
    <w:rsid w:val="0070304A"/>
    <w:rsid w:val="00705D69"/>
    <w:rsid w:val="00706AD8"/>
    <w:rsid w:val="00707218"/>
    <w:rsid w:val="007126EB"/>
    <w:rsid w:val="007128C2"/>
    <w:rsid w:val="00712B1D"/>
    <w:rsid w:val="00713876"/>
    <w:rsid w:val="00716AA9"/>
    <w:rsid w:val="00717D3E"/>
    <w:rsid w:val="00721AAB"/>
    <w:rsid w:val="00725240"/>
    <w:rsid w:val="007265D4"/>
    <w:rsid w:val="00730F2B"/>
    <w:rsid w:val="007325D9"/>
    <w:rsid w:val="00735659"/>
    <w:rsid w:val="007360CA"/>
    <w:rsid w:val="007365AE"/>
    <w:rsid w:val="0073727E"/>
    <w:rsid w:val="00737B65"/>
    <w:rsid w:val="0074254A"/>
    <w:rsid w:val="00742BF3"/>
    <w:rsid w:val="00745A19"/>
    <w:rsid w:val="0075533C"/>
    <w:rsid w:val="00755FF7"/>
    <w:rsid w:val="007609DB"/>
    <w:rsid w:val="00760EC0"/>
    <w:rsid w:val="007621C1"/>
    <w:rsid w:val="007623AF"/>
    <w:rsid w:val="0076433B"/>
    <w:rsid w:val="00766BDE"/>
    <w:rsid w:val="00766C40"/>
    <w:rsid w:val="00770C00"/>
    <w:rsid w:val="00770F7F"/>
    <w:rsid w:val="0077235C"/>
    <w:rsid w:val="00775C0B"/>
    <w:rsid w:val="0078003A"/>
    <w:rsid w:val="00780771"/>
    <w:rsid w:val="00780E56"/>
    <w:rsid w:val="007813E5"/>
    <w:rsid w:val="00781E8A"/>
    <w:rsid w:val="0078573D"/>
    <w:rsid w:val="00785C2F"/>
    <w:rsid w:val="007876B2"/>
    <w:rsid w:val="007929CF"/>
    <w:rsid w:val="007945E9"/>
    <w:rsid w:val="007960D2"/>
    <w:rsid w:val="0079732D"/>
    <w:rsid w:val="007A03E5"/>
    <w:rsid w:val="007A116F"/>
    <w:rsid w:val="007A6F28"/>
    <w:rsid w:val="007B03C6"/>
    <w:rsid w:val="007B03FC"/>
    <w:rsid w:val="007B0DB1"/>
    <w:rsid w:val="007B14A1"/>
    <w:rsid w:val="007C3BF6"/>
    <w:rsid w:val="007C3D36"/>
    <w:rsid w:val="007C5271"/>
    <w:rsid w:val="007C655B"/>
    <w:rsid w:val="007D0FD2"/>
    <w:rsid w:val="007D2EF8"/>
    <w:rsid w:val="007D561F"/>
    <w:rsid w:val="007D750F"/>
    <w:rsid w:val="007D7FD2"/>
    <w:rsid w:val="007E13D9"/>
    <w:rsid w:val="007E41BE"/>
    <w:rsid w:val="007E4DB6"/>
    <w:rsid w:val="007E5EFA"/>
    <w:rsid w:val="007E6A93"/>
    <w:rsid w:val="007E6E5D"/>
    <w:rsid w:val="007E7220"/>
    <w:rsid w:val="007E7CD4"/>
    <w:rsid w:val="007F12AC"/>
    <w:rsid w:val="007F510B"/>
    <w:rsid w:val="007F7CBF"/>
    <w:rsid w:val="008008FD"/>
    <w:rsid w:val="00801800"/>
    <w:rsid w:val="00801B5B"/>
    <w:rsid w:val="008100C8"/>
    <w:rsid w:val="0081143B"/>
    <w:rsid w:val="008148E8"/>
    <w:rsid w:val="00814C1E"/>
    <w:rsid w:val="00821B56"/>
    <w:rsid w:val="008233E8"/>
    <w:rsid w:val="0082743B"/>
    <w:rsid w:val="008276B4"/>
    <w:rsid w:val="0083029C"/>
    <w:rsid w:val="00830DCC"/>
    <w:rsid w:val="00831927"/>
    <w:rsid w:val="00837823"/>
    <w:rsid w:val="00837EDE"/>
    <w:rsid w:val="00840E7F"/>
    <w:rsid w:val="00841BD3"/>
    <w:rsid w:val="0084273D"/>
    <w:rsid w:val="00844E3F"/>
    <w:rsid w:val="00845121"/>
    <w:rsid w:val="00845A83"/>
    <w:rsid w:val="00846A4F"/>
    <w:rsid w:val="008516B1"/>
    <w:rsid w:val="0085301B"/>
    <w:rsid w:val="00853E4D"/>
    <w:rsid w:val="00857918"/>
    <w:rsid w:val="008712BB"/>
    <w:rsid w:val="008715DE"/>
    <w:rsid w:val="008724FE"/>
    <w:rsid w:val="008736D1"/>
    <w:rsid w:val="00885D9A"/>
    <w:rsid w:val="00886B37"/>
    <w:rsid w:val="0088755E"/>
    <w:rsid w:val="00892870"/>
    <w:rsid w:val="00896962"/>
    <w:rsid w:val="008A11BB"/>
    <w:rsid w:val="008A2484"/>
    <w:rsid w:val="008A6A31"/>
    <w:rsid w:val="008A7E5B"/>
    <w:rsid w:val="008B1A98"/>
    <w:rsid w:val="008B2138"/>
    <w:rsid w:val="008B4875"/>
    <w:rsid w:val="008C26D9"/>
    <w:rsid w:val="008C3740"/>
    <w:rsid w:val="008C6271"/>
    <w:rsid w:val="008C6D50"/>
    <w:rsid w:val="008C7167"/>
    <w:rsid w:val="008C7503"/>
    <w:rsid w:val="008D075D"/>
    <w:rsid w:val="008D15C4"/>
    <w:rsid w:val="008D1617"/>
    <w:rsid w:val="008D375B"/>
    <w:rsid w:val="008D3F70"/>
    <w:rsid w:val="008E50D6"/>
    <w:rsid w:val="008E6315"/>
    <w:rsid w:val="008E641E"/>
    <w:rsid w:val="008E6D8F"/>
    <w:rsid w:val="008F11E0"/>
    <w:rsid w:val="008F3E33"/>
    <w:rsid w:val="008F5D92"/>
    <w:rsid w:val="008F6DE5"/>
    <w:rsid w:val="008F78BC"/>
    <w:rsid w:val="008F7B63"/>
    <w:rsid w:val="008F7C87"/>
    <w:rsid w:val="008F7D6A"/>
    <w:rsid w:val="00903C50"/>
    <w:rsid w:val="00904786"/>
    <w:rsid w:val="009054CB"/>
    <w:rsid w:val="00906BDC"/>
    <w:rsid w:val="00912F94"/>
    <w:rsid w:val="00914C4B"/>
    <w:rsid w:val="00921274"/>
    <w:rsid w:val="00923ACC"/>
    <w:rsid w:val="00923F95"/>
    <w:rsid w:val="0092590B"/>
    <w:rsid w:val="00925D80"/>
    <w:rsid w:val="00925E60"/>
    <w:rsid w:val="009264B3"/>
    <w:rsid w:val="00927A21"/>
    <w:rsid w:val="00931EBA"/>
    <w:rsid w:val="009365E0"/>
    <w:rsid w:val="00937A87"/>
    <w:rsid w:val="00942BA2"/>
    <w:rsid w:val="009443E7"/>
    <w:rsid w:val="00944C86"/>
    <w:rsid w:val="0094584A"/>
    <w:rsid w:val="00950218"/>
    <w:rsid w:val="00950B48"/>
    <w:rsid w:val="0095237D"/>
    <w:rsid w:val="0095360B"/>
    <w:rsid w:val="00954414"/>
    <w:rsid w:val="00956CE2"/>
    <w:rsid w:val="00957DE8"/>
    <w:rsid w:val="00960ECB"/>
    <w:rsid w:val="009615D6"/>
    <w:rsid w:val="00963913"/>
    <w:rsid w:val="009661F1"/>
    <w:rsid w:val="00967855"/>
    <w:rsid w:val="00972153"/>
    <w:rsid w:val="00972918"/>
    <w:rsid w:val="0097358F"/>
    <w:rsid w:val="00973CF6"/>
    <w:rsid w:val="009801DA"/>
    <w:rsid w:val="00980736"/>
    <w:rsid w:val="00981A39"/>
    <w:rsid w:val="00982D3C"/>
    <w:rsid w:val="009861BB"/>
    <w:rsid w:val="009862A9"/>
    <w:rsid w:val="00987097"/>
    <w:rsid w:val="0099581E"/>
    <w:rsid w:val="00997F6D"/>
    <w:rsid w:val="009A1BF5"/>
    <w:rsid w:val="009A3A9C"/>
    <w:rsid w:val="009A4D1D"/>
    <w:rsid w:val="009A52EC"/>
    <w:rsid w:val="009A60E4"/>
    <w:rsid w:val="009A71CD"/>
    <w:rsid w:val="009B046C"/>
    <w:rsid w:val="009B13FA"/>
    <w:rsid w:val="009B1E2D"/>
    <w:rsid w:val="009B20E4"/>
    <w:rsid w:val="009B2D3C"/>
    <w:rsid w:val="009B3B27"/>
    <w:rsid w:val="009B73E0"/>
    <w:rsid w:val="009C1EA0"/>
    <w:rsid w:val="009C2BDF"/>
    <w:rsid w:val="009C423A"/>
    <w:rsid w:val="009C4D32"/>
    <w:rsid w:val="009C59FB"/>
    <w:rsid w:val="009C6F3B"/>
    <w:rsid w:val="009D1467"/>
    <w:rsid w:val="009D3094"/>
    <w:rsid w:val="009D35C9"/>
    <w:rsid w:val="009D5B8A"/>
    <w:rsid w:val="009D5D70"/>
    <w:rsid w:val="009E0024"/>
    <w:rsid w:val="009E0623"/>
    <w:rsid w:val="009E2552"/>
    <w:rsid w:val="009E4FA6"/>
    <w:rsid w:val="009E63DD"/>
    <w:rsid w:val="009E7D93"/>
    <w:rsid w:val="009F1780"/>
    <w:rsid w:val="009F243F"/>
    <w:rsid w:val="009F316A"/>
    <w:rsid w:val="009F441D"/>
    <w:rsid w:val="009F4763"/>
    <w:rsid w:val="009F5C33"/>
    <w:rsid w:val="009F5C86"/>
    <w:rsid w:val="009F77BE"/>
    <w:rsid w:val="00A01628"/>
    <w:rsid w:val="00A03EAC"/>
    <w:rsid w:val="00A062E3"/>
    <w:rsid w:val="00A06F8F"/>
    <w:rsid w:val="00A07B1A"/>
    <w:rsid w:val="00A11052"/>
    <w:rsid w:val="00A11CA6"/>
    <w:rsid w:val="00A12F4F"/>
    <w:rsid w:val="00A13458"/>
    <w:rsid w:val="00A20C49"/>
    <w:rsid w:val="00A23992"/>
    <w:rsid w:val="00A269CA"/>
    <w:rsid w:val="00A336EE"/>
    <w:rsid w:val="00A359AC"/>
    <w:rsid w:val="00A35DA4"/>
    <w:rsid w:val="00A41413"/>
    <w:rsid w:val="00A42A52"/>
    <w:rsid w:val="00A452EC"/>
    <w:rsid w:val="00A4581B"/>
    <w:rsid w:val="00A45AAF"/>
    <w:rsid w:val="00A45ED8"/>
    <w:rsid w:val="00A45FB1"/>
    <w:rsid w:val="00A46CCC"/>
    <w:rsid w:val="00A51CFE"/>
    <w:rsid w:val="00A55168"/>
    <w:rsid w:val="00A56BC6"/>
    <w:rsid w:val="00A61EF3"/>
    <w:rsid w:val="00A679D0"/>
    <w:rsid w:val="00A7020A"/>
    <w:rsid w:val="00A70DBC"/>
    <w:rsid w:val="00A72F7A"/>
    <w:rsid w:val="00A737F7"/>
    <w:rsid w:val="00A768B4"/>
    <w:rsid w:val="00A76C13"/>
    <w:rsid w:val="00A80C10"/>
    <w:rsid w:val="00A820CB"/>
    <w:rsid w:val="00A8281C"/>
    <w:rsid w:val="00A907E6"/>
    <w:rsid w:val="00A90815"/>
    <w:rsid w:val="00A918CE"/>
    <w:rsid w:val="00A92E79"/>
    <w:rsid w:val="00A93972"/>
    <w:rsid w:val="00A950B6"/>
    <w:rsid w:val="00A95C40"/>
    <w:rsid w:val="00A96E68"/>
    <w:rsid w:val="00AA0290"/>
    <w:rsid w:val="00AA5AC5"/>
    <w:rsid w:val="00AA7CA3"/>
    <w:rsid w:val="00AB13C9"/>
    <w:rsid w:val="00AB1E8F"/>
    <w:rsid w:val="00AB27A9"/>
    <w:rsid w:val="00AB41C1"/>
    <w:rsid w:val="00AB4D8D"/>
    <w:rsid w:val="00AB5634"/>
    <w:rsid w:val="00AB67B6"/>
    <w:rsid w:val="00AB702E"/>
    <w:rsid w:val="00AC0DFC"/>
    <w:rsid w:val="00AC135F"/>
    <w:rsid w:val="00AC3298"/>
    <w:rsid w:val="00AC36C2"/>
    <w:rsid w:val="00AD0792"/>
    <w:rsid w:val="00AD12A8"/>
    <w:rsid w:val="00AD590E"/>
    <w:rsid w:val="00AD6F3E"/>
    <w:rsid w:val="00AE023F"/>
    <w:rsid w:val="00AE0CAA"/>
    <w:rsid w:val="00AE1166"/>
    <w:rsid w:val="00AE3E40"/>
    <w:rsid w:val="00AE5722"/>
    <w:rsid w:val="00AF1043"/>
    <w:rsid w:val="00AF1758"/>
    <w:rsid w:val="00AF1B5E"/>
    <w:rsid w:val="00AF2A14"/>
    <w:rsid w:val="00AF3577"/>
    <w:rsid w:val="00AF35F9"/>
    <w:rsid w:val="00AF4CFD"/>
    <w:rsid w:val="00B009B2"/>
    <w:rsid w:val="00B04AC6"/>
    <w:rsid w:val="00B05C7D"/>
    <w:rsid w:val="00B10792"/>
    <w:rsid w:val="00B122F0"/>
    <w:rsid w:val="00B12CF6"/>
    <w:rsid w:val="00B132E0"/>
    <w:rsid w:val="00B178F0"/>
    <w:rsid w:val="00B20CE4"/>
    <w:rsid w:val="00B24526"/>
    <w:rsid w:val="00B2530C"/>
    <w:rsid w:val="00B338B7"/>
    <w:rsid w:val="00B346C3"/>
    <w:rsid w:val="00B42357"/>
    <w:rsid w:val="00B429F2"/>
    <w:rsid w:val="00B43A74"/>
    <w:rsid w:val="00B4471C"/>
    <w:rsid w:val="00B450DE"/>
    <w:rsid w:val="00B451A6"/>
    <w:rsid w:val="00B46E1B"/>
    <w:rsid w:val="00B501E1"/>
    <w:rsid w:val="00B5365E"/>
    <w:rsid w:val="00B5407D"/>
    <w:rsid w:val="00B54C20"/>
    <w:rsid w:val="00B57E57"/>
    <w:rsid w:val="00B62CA7"/>
    <w:rsid w:val="00B64676"/>
    <w:rsid w:val="00B722DE"/>
    <w:rsid w:val="00B74BEA"/>
    <w:rsid w:val="00B7579B"/>
    <w:rsid w:val="00B7642E"/>
    <w:rsid w:val="00B76C44"/>
    <w:rsid w:val="00B82C00"/>
    <w:rsid w:val="00B83327"/>
    <w:rsid w:val="00B83804"/>
    <w:rsid w:val="00B83F87"/>
    <w:rsid w:val="00B8403E"/>
    <w:rsid w:val="00B90F79"/>
    <w:rsid w:val="00B91BA7"/>
    <w:rsid w:val="00B937C7"/>
    <w:rsid w:val="00B94104"/>
    <w:rsid w:val="00B97B9F"/>
    <w:rsid w:val="00BA2195"/>
    <w:rsid w:val="00BA2EFA"/>
    <w:rsid w:val="00BA3DBC"/>
    <w:rsid w:val="00BA79E7"/>
    <w:rsid w:val="00BB040E"/>
    <w:rsid w:val="00BB1B9B"/>
    <w:rsid w:val="00BB2DA2"/>
    <w:rsid w:val="00BB3B0A"/>
    <w:rsid w:val="00BB56DC"/>
    <w:rsid w:val="00BB609E"/>
    <w:rsid w:val="00BC00CB"/>
    <w:rsid w:val="00BC2428"/>
    <w:rsid w:val="00BC2E3D"/>
    <w:rsid w:val="00BC5DC6"/>
    <w:rsid w:val="00BD3027"/>
    <w:rsid w:val="00BD7ACD"/>
    <w:rsid w:val="00BE183D"/>
    <w:rsid w:val="00BE2A1A"/>
    <w:rsid w:val="00BE3FB8"/>
    <w:rsid w:val="00BF1A72"/>
    <w:rsid w:val="00BF5D7A"/>
    <w:rsid w:val="00C02D33"/>
    <w:rsid w:val="00C1232C"/>
    <w:rsid w:val="00C1448F"/>
    <w:rsid w:val="00C14A8A"/>
    <w:rsid w:val="00C2763F"/>
    <w:rsid w:val="00C35D5A"/>
    <w:rsid w:val="00C36442"/>
    <w:rsid w:val="00C400CE"/>
    <w:rsid w:val="00C410FD"/>
    <w:rsid w:val="00C42BA1"/>
    <w:rsid w:val="00C44FCC"/>
    <w:rsid w:val="00C47F46"/>
    <w:rsid w:val="00C539FB"/>
    <w:rsid w:val="00C5629B"/>
    <w:rsid w:val="00C671A2"/>
    <w:rsid w:val="00C709B0"/>
    <w:rsid w:val="00C7456B"/>
    <w:rsid w:val="00C80B0D"/>
    <w:rsid w:val="00C816D2"/>
    <w:rsid w:val="00C838CC"/>
    <w:rsid w:val="00C860FC"/>
    <w:rsid w:val="00C86ED9"/>
    <w:rsid w:val="00C90DA0"/>
    <w:rsid w:val="00C916F0"/>
    <w:rsid w:val="00C941B2"/>
    <w:rsid w:val="00C95096"/>
    <w:rsid w:val="00CA16EE"/>
    <w:rsid w:val="00CA246D"/>
    <w:rsid w:val="00CA50D9"/>
    <w:rsid w:val="00CA7C35"/>
    <w:rsid w:val="00CB5492"/>
    <w:rsid w:val="00CB5636"/>
    <w:rsid w:val="00CB57E6"/>
    <w:rsid w:val="00CB6167"/>
    <w:rsid w:val="00CC2AEA"/>
    <w:rsid w:val="00CC47F4"/>
    <w:rsid w:val="00CC65C0"/>
    <w:rsid w:val="00CC7321"/>
    <w:rsid w:val="00CC7F5F"/>
    <w:rsid w:val="00CD14EF"/>
    <w:rsid w:val="00CD167E"/>
    <w:rsid w:val="00CD2B6E"/>
    <w:rsid w:val="00CD62D3"/>
    <w:rsid w:val="00CE242A"/>
    <w:rsid w:val="00CE5E83"/>
    <w:rsid w:val="00CF26E5"/>
    <w:rsid w:val="00CF4599"/>
    <w:rsid w:val="00D00821"/>
    <w:rsid w:val="00D10F21"/>
    <w:rsid w:val="00D139DC"/>
    <w:rsid w:val="00D13ED3"/>
    <w:rsid w:val="00D215F7"/>
    <w:rsid w:val="00D24806"/>
    <w:rsid w:val="00D34040"/>
    <w:rsid w:val="00D347C3"/>
    <w:rsid w:val="00D34E69"/>
    <w:rsid w:val="00D35374"/>
    <w:rsid w:val="00D375EE"/>
    <w:rsid w:val="00D37B76"/>
    <w:rsid w:val="00D40F77"/>
    <w:rsid w:val="00D52090"/>
    <w:rsid w:val="00D55184"/>
    <w:rsid w:val="00D55589"/>
    <w:rsid w:val="00D61CFA"/>
    <w:rsid w:val="00D61F31"/>
    <w:rsid w:val="00D62699"/>
    <w:rsid w:val="00D65600"/>
    <w:rsid w:val="00D6580A"/>
    <w:rsid w:val="00D66B83"/>
    <w:rsid w:val="00D66C2D"/>
    <w:rsid w:val="00D671EE"/>
    <w:rsid w:val="00D76FD9"/>
    <w:rsid w:val="00D82620"/>
    <w:rsid w:val="00D83188"/>
    <w:rsid w:val="00D8354D"/>
    <w:rsid w:val="00D83572"/>
    <w:rsid w:val="00D83AE3"/>
    <w:rsid w:val="00D84DA4"/>
    <w:rsid w:val="00D84E0E"/>
    <w:rsid w:val="00D90ABC"/>
    <w:rsid w:val="00D9224C"/>
    <w:rsid w:val="00D96C46"/>
    <w:rsid w:val="00D9725F"/>
    <w:rsid w:val="00D97F9C"/>
    <w:rsid w:val="00DA01B1"/>
    <w:rsid w:val="00DA11A2"/>
    <w:rsid w:val="00DA14ED"/>
    <w:rsid w:val="00DB2EF1"/>
    <w:rsid w:val="00DB34CC"/>
    <w:rsid w:val="00DB3DE1"/>
    <w:rsid w:val="00DB469E"/>
    <w:rsid w:val="00DB5B88"/>
    <w:rsid w:val="00DB5DA0"/>
    <w:rsid w:val="00DB716C"/>
    <w:rsid w:val="00DC3AFF"/>
    <w:rsid w:val="00DC4A26"/>
    <w:rsid w:val="00DC5C85"/>
    <w:rsid w:val="00DC6027"/>
    <w:rsid w:val="00DC642C"/>
    <w:rsid w:val="00DC6793"/>
    <w:rsid w:val="00DD1892"/>
    <w:rsid w:val="00DD2422"/>
    <w:rsid w:val="00DD3754"/>
    <w:rsid w:val="00DD4227"/>
    <w:rsid w:val="00DD4236"/>
    <w:rsid w:val="00DD44F1"/>
    <w:rsid w:val="00DD600A"/>
    <w:rsid w:val="00DD6154"/>
    <w:rsid w:val="00DD7002"/>
    <w:rsid w:val="00DD755E"/>
    <w:rsid w:val="00DE3067"/>
    <w:rsid w:val="00DE39BB"/>
    <w:rsid w:val="00DE6860"/>
    <w:rsid w:val="00DF25E5"/>
    <w:rsid w:val="00DF4E0E"/>
    <w:rsid w:val="00DF761E"/>
    <w:rsid w:val="00E027BC"/>
    <w:rsid w:val="00E14EA5"/>
    <w:rsid w:val="00E21133"/>
    <w:rsid w:val="00E2327E"/>
    <w:rsid w:val="00E266EF"/>
    <w:rsid w:val="00E2756F"/>
    <w:rsid w:val="00E30117"/>
    <w:rsid w:val="00E3196B"/>
    <w:rsid w:val="00E40EA2"/>
    <w:rsid w:val="00E45097"/>
    <w:rsid w:val="00E47428"/>
    <w:rsid w:val="00E506A9"/>
    <w:rsid w:val="00E515A6"/>
    <w:rsid w:val="00E51D49"/>
    <w:rsid w:val="00E52169"/>
    <w:rsid w:val="00E52D81"/>
    <w:rsid w:val="00E52E37"/>
    <w:rsid w:val="00E66B9F"/>
    <w:rsid w:val="00E66FCA"/>
    <w:rsid w:val="00E710D6"/>
    <w:rsid w:val="00E720A4"/>
    <w:rsid w:val="00E72E7C"/>
    <w:rsid w:val="00E73F22"/>
    <w:rsid w:val="00E76E45"/>
    <w:rsid w:val="00E777C9"/>
    <w:rsid w:val="00E80DE9"/>
    <w:rsid w:val="00E81DA6"/>
    <w:rsid w:val="00E83029"/>
    <w:rsid w:val="00E84212"/>
    <w:rsid w:val="00E8541E"/>
    <w:rsid w:val="00E85A24"/>
    <w:rsid w:val="00E9086C"/>
    <w:rsid w:val="00E91551"/>
    <w:rsid w:val="00E91A0F"/>
    <w:rsid w:val="00E94A71"/>
    <w:rsid w:val="00E94E85"/>
    <w:rsid w:val="00E9678F"/>
    <w:rsid w:val="00E973EA"/>
    <w:rsid w:val="00E97745"/>
    <w:rsid w:val="00EA03CE"/>
    <w:rsid w:val="00EA1DAA"/>
    <w:rsid w:val="00EA23E5"/>
    <w:rsid w:val="00EA2CFD"/>
    <w:rsid w:val="00EA4E2E"/>
    <w:rsid w:val="00EA6FB0"/>
    <w:rsid w:val="00EA7BFB"/>
    <w:rsid w:val="00EB0A91"/>
    <w:rsid w:val="00EB2CCB"/>
    <w:rsid w:val="00EB2FA6"/>
    <w:rsid w:val="00EB35DD"/>
    <w:rsid w:val="00EB63A9"/>
    <w:rsid w:val="00EC242D"/>
    <w:rsid w:val="00EC57A7"/>
    <w:rsid w:val="00EC5C9F"/>
    <w:rsid w:val="00EC7F34"/>
    <w:rsid w:val="00ED0136"/>
    <w:rsid w:val="00ED0817"/>
    <w:rsid w:val="00ED139E"/>
    <w:rsid w:val="00ED2907"/>
    <w:rsid w:val="00ED3E4D"/>
    <w:rsid w:val="00ED5178"/>
    <w:rsid w:val="00ED5ECD"/>
    <w:rsid w:val="00ED7DD9"/>
    <w:rsid w:val="00EE43C0"/>
    <w:rsid w:val="00EE655E"/>
    <w:rsid w:val="00EE66EB"/>
    <w:rsid w:val="00EF3113"/>
    <w:rsid w:val="00EF3F84"/>
    <w:rsid w:val="00EF5527"/>
    <w:rsid w:val="00F02B6C"/>
    <w:rsid w:val="00F06CBD"/>
    <w:rsid w:val="00F07698"/>
    <w:rsid w:val="00F07C40"/>
    <w:rsid w:val="00F10E65"/>
    <w:rsid w:val="00F1655D"/>
    <w:rsid w:val="00F16813"/>
    <w:rsid w:val="00F1708A"/>
    <w:rsid w:val="00F176AC"/>
    <w:rsid w:val="00F21142"/>
    <w:rsid w:val="00F224C4"/>
    <w:rsid w:val="00F23C3D"/>
    <w:rsid w:val="00F24D4D"/>
    <w:rsid w:val="00F2589B"/>
    <w:rsid w:val="00F25D87"/>
    <w:rsid w:val="00F27714"/>
    <w:rsid w:val="00F3276E"/>
    <w:rsid w:val="00F33D3C"/>
    <w:rsid w:val="00F34715"/>
    <w:rsid w:val="00F36156"/>
    <w:rsid w:val="00F37A91"/>
    <w:rsid w:val="00F4221A"/>
    <w:rsid w:val="00F43F77"/>
    <w:rsid w:val="00F442C7"/>
    <w:rsid w:val="00F44C00"/>
    <w:rsid w:val="00F45470"/>
    <w:rsid w:val="00F45CF5"/>
    <w:rsid w:val="00F47B21"/>
    <w:rsid w:val="00F47DB0"/>
    <w:rsid w:val="00F50E34"/>
    <w:rsid w:val="00F53EF7"/>
    <w:rsid w:val="00F54BF2"/>
    <w:rsid w:val="00F56A11"/>
    <w:rsid w:val="00F60694"/>
    <w:rsid w:val="00F60C08"/>
    <w:rsid w:val="00F64E30"/>
    <w:rsid w:val="00F65AB0"/>
    <w:rsid w:val="00F71CE3"/>
    <w:rsid w:val="00F75553"/>
    <w:rsid w:val="00F77329"/>
    <w:rsid w:val="00F813CD"/>
    <w:rsid w:val="00F84B68"/>
    <w:rsid w:val="00F8529C"/>
    <w:rsid w:val="00F852C5"/>
    <w:rsid w:val="00F92355"/>
    <w:rsid w:val="00F931C3"/>
    <w:rsid w:val="00F93963"/>
    <w:rsid w:val="00F94291"/>
    <w:rsid w:val="00F94F84"/>
    <w:rsid w:val="00F969F2"/>
    <w:rsid w:val="00FA1A54"/>
    <w:rsid w:val="00FB4CC0"/>
    <w:rsid w:val="00FB7982"/>
    <w:rsid w:val="00FC0734"/>
    <w:rsid w:val="00FC0FC5"/>
    <w:rsid w:val="00FC3C76"/>
    <w:rsid w:val="00FC588F"/>
    <w:rsid w:val="00FC6B57"/>
    <w:rsid w:val="00FD221D"/>
    <w:rsid w:val="00FD4228"/>
    <w:rsid w:val="00FD50C4"/>
    <w:rsid w:val="00FD5724"/>
    <w:rsid w:val="00FD6E82"/>
    <w:rsid w:val="00FE1B30"/>
    <w:rsid w:val="00FE33A7"/>
    <w:rsid w:val="00FE37D2"/>
    <w:rsid w:val="00FE68DA"/>
    <w:rsid w:val="00FE7B44"/>
    <w:rsid w:val="00FF560E"/>
    <w:rsid w:val="00FF7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3A39A44-ABB3-4DC6-A723-AAAFE174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10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FC3C76"/>
    <w:pPr>
      <w:ind w:left="720"/>
      <w:contextualSpacing/>
    </w:pPr>
  </w:style>
  <w:style w:type="paragraph" w:customStyle="1" w:styleId="00bc68b0">
    <w:name w:val="00bc68b0"/>
    <w:basedOn w:val="Normal"/>
    <w:rsid w:val="008A7E5B"/>
    <w:pPr>
      <w:spacing w:before="100" w:beforeAutospacing="1" w:after="100" w:afterAutospacing="1" w:line="240" w:lineRule="auto"/>
      <w:jc w:val="left"/>
    </w:pPr>
    <w:rPr>
      <w:rFonts w:eastAsia="Times New Roman"/>
      <w:szCs w:val="24"/>
      <w:lang w:eastAsia="en-AU"/>
    </w:rPr>
  </w:style>
  <w:style w:type="character" w:customStyle="1" w:styleId="ssit2">
    <w:name w:val="ss_it2"/>
    <w:basedOn w:val="DefaultParagraphFont"/>
    <w:rsid w:val="009C2BDF"/>
    <w:rPr>
      <w:i/>
      <w:iCs/>
    </w:rPr>
  </w:style>
  <w:style w:type="character" w:customStyle="1" w:styleId="ssrolluprptrline">
    <w:name w:val="ss_rolluprptrline"/>
    <w:basedOn w:val="DefaultParagraphFont"/>
    <w:rsid w:val="009C2BDF"/>
  </w:style>
  <w:style w:type="character" w:customStyle="1" w:styleId="sslistitemcontent2">
    <w:name w:val="ss_listitemcontent2"/>
    <w:basedOn w:val="DefaultParagraphFont"/>
    <w:rsid w:val="009C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5528">
      <w:bodyDiv w:val="1"/>
      <w:marLeft w:val="0"/>
      <w:marRight w:val="0"/>
      <w:marTop w:val="0"/>
      <w:marBottom w:val="0"/>
      <w:divBdr>
        <w:top w:val="none" w:sz="0" w:space="0" w:color="auto"/>
        <w:left w:val="none" w:sz="0" w:space="0" w:color="auto"/>
        <w:bottom w:val="none" w:sz="0" w:space="0" w:color="auto"/>
        <w:right w:val="none" w:sz="0" w:space="0" w:color="auto"/>
      </w:divBdr>
      <w:divsChild>
        <w:div w:id="1980529613">
          <w:marLeft w:val="0"/>
          <w:marRight w:val="0"/>
          <w:marTop w:val="0"/>
          <w:marBottom w:val="0"/>
          <w:divBdr>
            <w:top w:val="none" w:sz="0" w:space="0" w:color="auto"/>
            <w:left w:val="none" w:sz="0" w:space="0" w:color="auto"/>
            <w:bottom w:val="none" w:sz="0" w:space="0" w:color="auto"/>
            <w:right w:val="none" w:sz="0" w:space="0" w:color="auto"/>
          </w:divBdr>
          <w:divsChild>
            <w:div w:id="938367529">
              <w:marLeft w:val="0"/>
              <w:marRight w:val="0"/>
              <w:marTop w:val="0"/>
              <w:marBottom w:val="0"/>
              <w:divBdr>
                <w:top w:val="none" w:sz="0" w:space="0" w:color="auto"/>
                <w:left w:val="none" w:sz="0" w:space="0" w:color="auto"/>
                <w:bottom w:val="none" w:sz="0" w:space="0" w:color="auto"/>
                <w:right w:val="none" w:sz="0" w:space="0" w:color="auto"/>
              </w:divBdr>
              <w:divsChild>
                <w:div w:id="1908104106">
                  <w:marLeft w:val="0"/>
                  <w:marRight w:val="0"/>
                  <w:marTop w:val="0"/>
                  <w:marBottom w:val="0"/>
                  <w:divBdr>
                    <w:top w:val="none" w:sz="0" w:space="0" w:color="auto"/>
                    <w:left w:val="none" w:sz="0" w:space="0" w:color="auto"/>
                    <w:bottom w:val="none" w:sz="0" w:space="0" w:color="auto"/>
                    <w:right w:val="none" w:sz="0" w:space="0" w:color="auto"/>
                  </w:divBdr>
                  <w:divsChild>
                    <w:div w:id="781073221">
                      <w:marLeft w:val="0"/>
                      <w:marRight w:val="0"/>
                      <w:marTop w:val="0"/>
                      <w:marBottom w:val="0"/>
                      <w:divBdr>
                        <w:top w:val="none" w:sz="0" w:space="0" w:color="auto"/>
                        <w:left w:val="none" w:sz="0" w:space="0" w:color="auto"/>
                        <w:bottom w:val="none" w:sz="0" w:space="0" w:color="auto"/>
                        <w:right w:val="none" w:sz="0" w:space="0" w:color="auto"/>
                      </w:divBdr>
                      <w:divsChild>
                        <w:div w:id="185561657">
                          <w:marLeft w:val="0"/>
                          <w:marRight w:val="0"/>
                          <w:marTop w:val="0"/>
                          <w:marBottom w:val="0"/>
                          <w:divBdr>
                            <w:top w:val="none" w:sz="0" w:space="0" w:color="auto"/>
                            <w:left w:val="none" w:sz="0" w:space="0" w:color="auto"/>
                            <w:bottom w:val="none" w:sz="0" w:space="0" w:color="auto"/>
                            <w:right w:val="none" w:sz="0" w:space="0" w:color="auto"/>
                          </w:divBdr>
                          <w:divsChild>
                            <w:div w:id="682778841">
                              <w:marLeft w:val="0"/>
                              <w:marRight w:val="0"/>
                              <w:marTop w:val="0"/>
                              <w:marBottom w:val="0"/>
                              <w:divBdr>
                                <w:top w:val="none" w:sz="0" w:space="0" w:color="auto"/>
                                <w:left w:val="none" w:sz="0" w:space="0" w:color="auto"/>
                                <w:bottom w:val="none" w:sz="0" w:space="0" w:color="auto"/>
                                <w:right w:val="none" w:sz="0" w:space="0" w:color="auto"/>
                              </w:divBdr>
                              <w:divsChild>
                                <w:div w:id="788548931">
                                  <w:marLeft w:val="0"/>
                                  <w:marRight w:val="0"/>
                                  <w:marTop w:val="0"/>
                                  <w:marBottom w:val="0"/>
                                  <w:divBdr>
                                    <w:top w:val="none" w:sz="0" w:space="0" w:color="auto"/>
                                    <w:left w:val="none" w:sz="0" w:space="0" w:color="auto"/>
                                    <w:bottom w:val="none" w:sz="0" w:space="0" w:color="auto"/>
                                    <w:right w:val="none" w:sz="0" w:space="0" w:color="auto"/>
                                  </w:divBdr>
                                  <w:divsChild>
                                    <w:div w:id="1073819162">
                                      <w:marLeft w:val="0"/>
                                      <w:marRight w:val="0"/>
                                      <w:marTop w:val="0"/>
                                      <w:marBottom w:val="0"/>
                                      <w:divBdr>
                                        <w:top w:val="none" w:sz="0" w:space="0" w:color="auto"/>
                                        <w:left w:val="none" w:sz="0" w:space="0" w:color="auto"/>
                                        <w:bottom w:val="none" w:sz="0" w:space="0" w:color="auto"/>
                                        <w:right w:val="none" w:sz="0" w:space="0" w:color="auto"/>
                                      </w:divBdr>
                                      <w:divsChild>
                                        <w:div w:id="1051684740">
                                          <w:marLeft w:val="0"/>
                                          <w:marRight w:val="0"/>
                                          <w:marTop w:val="0"/>
                                          <w:marBottom w:val="0"/>
                                          <w:divBdr>
                                            <w:top w:val="none" w:sz="0" w:space="0" w:color="auto"/>
                                            <w:left w:val="none" w:sz="0" w:space="0" w:color="auto"/>
                                            <w:bottom w:val="none" w:sz="0" w:space="0" w:color="auto"/>
                                            <w:right w:val="none" w:sz="0" w:space="0" w:color="auto"/>
                                          </w:divBdr>
                                          <w:divsChild>
                                            <w:div w:id="1156799302">
                                              <w:marLeft w:val="0"/>
                                              <w:marRight w:val="0"/>
                                              <w:marTop w:val="0"/>
                                              <w:marBottom w:val="0"/>
                                              <w:divBdr>
                                                <w:top w:val="none" w:sz="0" w:space="0" w:color="auto"/>
                                                <w:left w:val="none" w:sz="0" w:space="0" w:color="auto"/>
                                                <w:bottom w:val="none" w:sz="0" w:space="0" w:color="auto"/>
                                                <w:right w:val="none" w:sz="0" w:space="0" w:color="auto"/>
                                              </w:divBdr>
                                              <w:divsChild>
                                                <w:div w:id="13416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865845">
      <w:bodyDiv w:val="1"/>
      <w:marLeft w:val="0"/>
      <w:marRight w:val="0"/>
      <w:marTop w:val="0"/>
      <w:marBottom w:val="0"/>
      <w:divBdr>
        <w:top w:val="none" w:sz="0" w:space="0" w:color="auto"/>
        <w:left w:val="none" w:sz="0" w:space="0" w:color="auto"/>
        <w:bottom w:val="none" w:sz="0" w:space="0" w:color="auto"/>
        <w:right w:val="none" w:sz="0" w:space="0" w:color="auto"/>
      </w:divBdr>
      <w:divsChild>
        <w:div w:id="97874271">
          <w:marLeft w:val="0"/>
          <w:marRight w:val="0"/>
          <w:marTop w:val="0"/>
          <w:marBottom w:val="0"/>
          <w:divBdr>
            <w:top w:val="none" w:sz="0" w:space="0" w:color="auto"/>
            <w:left w:val="none" w:sz="0" w:space="0" w:color="auto"/>
            <w:bottom w:val="none" w:sz="0" w:space="0" w:color="auto"/>
            <w:right w:val="none" w:sz="0" w:space="0" w:color="auto"/>
          </w:divBdr>
          <w:divsChild>
            <w:div w:id="1354308670">
              <w:marLeft w:val="0"/>
              <w:marRight w:val="0"/>
              <w:marTop w:val="0"/>
              <w:marBottom w:val="0"/>
              <w:divBdr>
                <w:top w:val="none" w:sz="0" w:space="0" w:color="auto"/>
                <w:left w:val="none" w:sz="0" w:space="0" w:color="auto"/>
                <w:bottom w:val="none" w:sz="0" w:space="0" w:color="auto"/>
                <w:right w:val="none" w:sz="0" w:space="0" w:color="auto"/>
              </w:divBdr>
              <w:divsChild>
                <w:div w:id="282731865">
                  <w:marLeft w:val="0"/>
                  <w:marRight w:val="0"/>
                  <w:marTop w:val="0"/>
                  <w:marBottom w:val="0"/>
                  <w:divBdr>
                    <w:top w:val="none" w:sz="0" w:space="0" w:color="auto"/>
                    <w:left w:val="none" w:sz="0" w:space="0" w:color="auto"/>
                    <w:bottom w:val="none" w:sz="0" w:space="0" w:color="auto"/>
                    <w:right w:val="none" w:sz="0" w:space="0" w:color="auto"/>
                  </w:divBdr>
                  <w:divsChild>
                    <w:div w:id="393240723">
                      <w:marLeft w:val="0"/>
                      <w:marRight w:val="0"/>
                      <w:marTop w:val="0"/>
                      <w:marBottom w:val="0"/>
                      <w:divBdr>
                        <w:top w:val="none" w:sz="0" w:space="0" w:color="auto"/>
                        <w:left w:val="none" w:sz="0" w:space="0" w:color="auto"/>
                        <w:bottom w:val="none" w:sz="0" w:space="0" w:color="auto"/>
                        <w:right w:val="none" w:sz="0" w:space="0" w:color="auto"/>
                      </w:divBdr>
                      <w:divsChild>
                        <w:div w:id="396518751">
                          <w:marLeft w:val="0"/>
                          <w:marRight w:val="0"/>
                          <w:marTop w:val="0"/>
                          <w:marBottom w:val="0"/>
                          <w:divBdr>
                            <w:top w:val="none" w:sz="0" w:space="0" w:color="auto"/>
                            <w:left w:val="none" w:sz="0" w:space="0" w:color="auto"/>
                            <w:bottom w:val="none" w:sz="0" w:space="0" w:color="auto"/>
                            <w:right w:val="none" w:sz="0" w:space="0" w:color="auto"/>
                          </w:divBdr>
                          <w:divsChild>
                            <w:div w:id="60833947">
                              <w:marLeft w:val="0"/>
                              <w:marRight w:val="0"/>
                              <w:marTop w:val="0"/>
                              <w:marBottom w:val="0"/>
                              <w:divBdr>
                                <w:top w:val="none" w:sz="0" w:space="0" w:color="auto"/>
                                <w:left w:val="none" w:sz="0" w:space="0" w:color="auto"/>
                                <w:bottom w:val="none" w:sz="0" w:space="0" w:color="auto"/>
                                <w:right w:val="none" w:sz="0" w:space="0" w:color="auto"/>
                              </w:divBdr>
                              <w:divsChild>
                                <w:div w:id="1743747741">
                                  <w:marLeft w:val="0"/>
                                  <w:marRight w:val="0"/>
                                  <w:marTop w:val="0"/>
                                  <w:marBottom w:val="0"/>
                                  <w:divBdr>
                                    <w:top w:val="none" w:sz="0" w:space="0" w:color="auto"/>
                                    <w:left w:val="none" w:sz="0" w:space="0" w:color="auto"/>
                                    <w:bottom w:val="none" w:sz="0" w:space="0" w:color="auto"/>
                                    <w:right w:val="none" w:sz="0" w:space="0" w:color="auto"/>
                                  </w:divBdr>
                                  <w:divsChild>
                                    <w:div w:id="369495827">
                                      <w:marLeft w:val="0"/>
                                      <w:marRight w:val="0"/>
                                      <w:marTop w:val="0"/>
                                      <w:marBottom w:val="0"/>
                                      <w:divBdr>
                                        <w:top w:val="none" w:sz="0" w:space="0" w:color="auto"/>
                                        <w:left w:val="none" w:sz="0" w:space="0" w:color="auto"/>
                                        <w:bottom w:val="none" w:sz="0" w:space="0" w:color="auto"/>
                                        <w:right w:val="none" w:sz="0" w:space="0" w:color="auto"/>
                                      </w:divBdr>
                                      <w:divsChild>
                                        <w:div w:id="134564413">
                                          <w:marLeft w:val="0"/>
                                          <w:marRight w:val="0"/>
                                          <w:marTop w:val="0"/>
                                          <w:marBottom w:val="0"/>
                                          <w:divBdr>
                                            <w:top w:val="none" w:sz="0" w:space="0" w:color="auto"/>
                                            <w:left w:val="none" w:sz="0" w:space="0" w:color="auto"/>
                                            <w:bottom w:val="none" w:sz="0" w:space="0" w:color="auto"/>
                                            <w:right w:val="none" w:sz="0" w:space="0" w:color="auto"/>
                                          </w:divBdr>
                                          <w:divsChild>
                                            <w:div w:id="1336230863">
                                              <w:marLeft w:val="0"/>
                                              <w:marRight w:val="0"/>
                                              <w:marTop w:val="0"/>
                                              <w:marBottom w:val="0"/>
                                              <w:divBdr>
                                                <w:top w:val="none" w:sz="0" w:space="0" w:color="auto"/>
                                                <w:left w:val="none" w:sz="0" w:space="0" w:color="auto"/>
                                                <w:bottom w:val="none" w:sz="0" w:space="0" w:color="auto"/>
                                                <w:right w:val="none" w:sz="0" w:space="0" w:color="auto"/>
                                              </w:divBdr>
                                              <w:divsChild>
                                                <w:div w:id="723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9604">
      <w:bodyDiv w:val="1"/>
      <w:marLeft w:val="0"/>
      <w:marRight w:val="0"/>
      <w:marTop w:val="0"/>
      <w:marBottom w:val="0"/>
      <w:divBdr>
        <w:top w:val="none" w:sz="0" w:space="0" w:color="auto"/>
        <w:left w:val="none" w:sz="0" w:space="0" w:color="auto"/>
        <w:bottom w:val="none" w:sz="0" w:space="0" w:color="auto"/>
        <w:right w:val="none" w:sz="0" w:space="0" w:color="auto"/>
      </w:divBdr>
      <w:divsChild>
        <w:div w:id="1832022931">
          <w:marLeft w:val="0"/>
          <w:marRight w:val="0"/>
          <w:marTop w:val="0"/>
          <w:marBottom w:val="0"/>
          <w:divBdr>
            <w:top w:val="none" w:sz="0" w:space="0" w:color="auto"/>
            <w:left w:val="none" w:sz="0" w:space="0" w:color="auto"/>
            <w:bottom w:val="none" w:sz="0" w:space="0" w:color="auto"/>
            <w:right w:val="none" w:sz="0" w:space="0" w:color="auto"/>
          </w:divBdr>
          <w:divsChild>
            <w:div w:id="2105299870">
              <w:marLeft w:val="0"/>
              <w:marRight w:val="0"/>
              <w:marTop w:val="0"/>
              <w:marBottom w:val="0"/>
              <w:divBdr>
                <w:top w:val="none" w:sz="0" w:space="0" w:color="auto"/>
                <w:left w:val="none" w:sz="0" w:space="0" w:color="auto"/>
                <w:bottom w:val="none" w:sz="0" w:space="0" w:color="auto"/>
                <w:right w:val="none" w:sz="0" w:space="0" w:color="auto"/>
              </w:divBdr>
              <w:divsChild>
                <w:div w:id="469830800">
                  <w:marLeft w:val="0"/>
                  <w:marRight w:val="0"/>
                  <w:marTop w:val="0"/>
                  <w:marBottom w:val="0"/>
                  <w:divBdr>
                    <w:top w:val="none" w:sz="0" w:space="0" w:color="auto"/>
                    <w:left w:val="none" w:sz="0" w:space="0" w:color="auto"/>
                    <w:bottom w:val="none" w:sz="0" w:space="0" w:color="auto"/>
                    <w:right w:val="none" w:sz="0" w:space="0" w:color="auto"/>
                  </w:divBdr>
                  <w:divsChild>
                    <w:div w:id="433866561">
                      <w:marLeft w:val="0"/>
                      <w:marRight w:val="0"/>
                      <w:marTop w:val="0"/>
                      <w:marBottom w:val="0"/>
                      <w:divBdr>
                        <w:top w:val="none" w:sz="0" w:space="0" w:color="auto"/>
                        <w:left w:val="none" w:sz="0" w:space="0" w:color="auto"/>
                        <w:bottom w:val="none" w:sz="0" w:space="0" w:color="auto"/>
                        <w:right w:val="none" w:sz="0" w:space="0" w:color="auto"/>
                      </w:divBdr>
                      <w:divsChild>
                        <w:div w:id="391775503">
                          <w:marLeft w:val="0"/>
                          <w:marRight w:val="0"/>
                          <w:marTop w:val="0"/>
                          <w:marBottom w:val="0"/>
                          <w:divBdr>
                            <w:top w:val="none" w:sz="0" w:space="0" w:color="auto"/>
                            <w:left w:val="none" w:sz="0" w:space="0" w:color="auto"/>
                            <w:bottom w:val="none" w:sz="0" w:space="0" w:color="auto"/>
                            <w:right w:val="none" w:sz="0" w:space="0" w:color="auto"/>
                          </w:divBdr>
                          <w:divsChild>
                            <w:div w:id="1060129090">
                              <w:marLeft w:val="0"/>
                              <w:marRight w:val="0"/>
                              <w:marTop w:val="0"/>
                              <w:marBottom w:val="0"/>
                              <w:divBdr>
                                <w:top w:val="none" w:sz="0" w:space="0" w:color="auto"/>
                                <w:left w:val="none" w:sz="0" w:space="0" w:color="auto"/>
                                <w:bottom w:val="none" w:sz="0" w:space="0" w:color="auto"/>
                                <w:right w:val="none" w:sz="0" w:space="0" w:color="auto"/>
                              </w:divBdr>
                              <w:divsChild>
                                <w:div w:id="1576353831">
                                  <w:marLeft w:val="0"/>
                                  <w:marRight w:val="0"/>
                                  <w:marTop w:val="0"/>
                                  <w:marBottom w:val="0"/>
                                  <w:divBdr>
                                    <w:top w:val="none" w:sz="0" w:space="0" w:color="auto"/>
                                    <w:left w:val="none" w:sz="0" w:space="0" w:color="auto"/>
                                    <w:bottom w:val="none" w:sz="0" w:space="0" w:color="auto"/>
                                    <w:right w:val="none" w:sz="0" w:space="0" w:color="auto"/>
                                  </w:divBdr>
                                  <w:divsChild>
                                    <w:div w:id="1364745962">
                                      <w:marLeft w:val="0"/>
                                      <w:marRight w:val="0"/>
                                      <w:marTop w:val="0"/>
                                      <w:marBottom w:val="0"/>
                                      <w:divBdr>
                                        <w:top w:val="none" w:sz="0" w:space="0" w:color="auto"/>
                                        <w:left w:val="none" w:sz="0" w:space="0" w:color="auto"/>
                                        <w:bottom w:val="none" w:sz="0" w:space="0" w:color="auto"/>
                                        <w:right w:val="none" w:sz="0" w:space="0" w:color="auto"/>
                                      </w:divBdr>
                                      <w:divsChild>
                                        <w:div w:id="1381587429">
                                          <w:marLeft w:val="0"/>
                                          <w:marRight w:val="0"/>
                                          <w:marTop w:val="0"/>
                                          <w:marBottom w:val="0"/>
                                          <w:divBdr>
                                            <w:top w:val="none" w:sz="0" w:space="0" w:color="auto"/>
                                            <w:left w:val="none" w:sz="0" w:space="0" w:color="auto"/>
                                            <w:bottom w:val="none" w:sz="0" w:space="0" w:color="auto"/>
                                            <w:right w:val="none" w:sz="0" w:space="0" w:color="auto"/>
                                          </w:divBdr>
                                          <w:divsChild>
                                            <w:div w:id="1604918156">
                                              <w:marLeft w:val="0"/>
                                              <w:marRight w:val="0"/>
                                              <w:marTop w:val="0"/>
                                              <w:marBottom w:val="0"/>
                                              <w:divBdr>
                                                <w:top w:val="none" w:sz="0" w:space="0" w:color="auto"/>
                                                <w:left w:val="none" w:sz="0" w:space="0" w:color="auto"/>
                                                <w:bottom w:val="none" w:sz="0" w:space="0" w:color="auto"/>
                                                <w:right w:val="none" w:sz="0" w:space="0" w:color="auto"/>
                                              </w:divBdr>
                                              <w:divsChild>
                                                <w:div w:id="20358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939A677963D45876524FC8ED31CF5" ma:contentTypeVersion="" ma:contentTypeDescription="Create a new document." ma:contentTypeScope="" ma:versionID="846a0448d455e6054a479e3b09e3de3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7960-D3A5-4152-8BA2-9D73CBFC09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8F050B6-5BCB-45EF-B215-2C7E32F8849A}">
  <ds:schemaRefs>
    <ds:schemaRef ds:uri="http://schemas.microsoft.com/sharepoint/v3/contenttype/forms"/>
  </ds:schemaRefs>
</ds:datastoreItem>
</file>

<file path=customXml/itemProps3.xml><?xml version="1.0" encoding="utf-8"?>
<ds:datastoreItem xmlns:ds="http://schemas.openxmlformats.org/officeDocument/2006/customXml" ds:itemID="{3D41C971-1972-4DAD-9F4F-44627EBC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61E40-81EE-40DA-9D1A-41B5B51A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17</TotalTime>
  <Pages>41</Pages>
  <Words>15873</Words>
  <Characters>78134</Characters>
  <Application>Microsoft Office Word</Application>
  <DocSecurity>0</DocSecurity>
  <Lines>1370</Lines>
  <Paragraphs>502</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Maritime, Mining and Energy Union [2020] FCA 947</vt:lpstr>
    </vt:vector>
  </TitlesOfParts>
  <Company>Federal Court of Australia</Company>
  <LinksUpToDate>false</LinksUpToDate>
  <CharactersWithSpaces>93505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Maritime, Mining and Energy Union [2020] FCA 947</dc:title>
  <dc:creator>Leanne Bowles</dc:creator>
  <cp:lastModifiedBy>Federal Court of Australia</cp:lastModifiedBy>
  <cp:revision>10</cp:revision>
  <cp:lastPrinted>2020-07-09T22:48:00Z</cp:lastPrinted>
  <dcterms:created xsi:type="dcterms:W3CDTF">2020-07-10T01:17:00Z</dcterms:created>
  <dcterms:modified xsi:type="dcterms:W3CDTF">2020-07-23T04:48:00Z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10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0x0101003ED939A677963D45876524FC8ED31CF5</vt:lpwstr>
  </property>
</Properties>
</file>