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380E" w14:textId="77777777" w:rsidR="00395B24" w:rsidRDefault="002C7385">
      <w:pPr>
        <w:pStyle w:val="NormalHeadings"/>
        <w:jc w:val="center"/>
        <w:rPr>
          <w:sz w:val="32"/>
        </w:rPr>
      </w:pPr>
      <w:r>
        <w:rPr>
          <w:sz w:val="32"/>
        </w:rPr>
        <w:t>FEDERAL COURT OF AUSTRALIA</w:t>
      </w:r>
    </w:p>
    <w:p w14:paraId="3C1E381E" w14:textId="77777777" w:rsidR="00395B24" w:rsidRDefault="00395B24">
      <w:pPr>
        <w:pStyle w:val="NormalHeadings"/>
        <w:jc w:val="center"/>
        <w:rPr>
          <w:sz w:val="32"/>
        </w:rPr>
      </w:pPr>
    </w:p>
    <w:p w14:paraId="6E5BB83A" w14:textId="77777777" w:rsidR="00395B24" w:rsidRDefault="00292416">
      <w:pPr>
        <w:pStyle w:val="MediaNeutralStyle"/>
      </w:pPr>
      <w:bookmarkStart w:id="0" w:name="MNC"/>
      <w:r>
        <w:t xml:space="preserve">Kitchen v Director of Professional Services Review Under s 83 of the Health Insurance Act 1973 (Cth) [2019] FCA </w:t>
      </w:r>
      <w:r w:rsidR="002575E0">
        <w:t>1978</w:t>
      </w:r>
      <w:r w:rsidR="002C7385">
        <w:t xml:space="preserve"> </w:t>
      </w:r>
      <w:bookmarkEnd w:id="0"/>
    </w:p>
    <w:p w14:paraId="4FB78766"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3ECC98AE" w14:textId="77777777" w:rsidTr="00A014E1">
        <w:tc>
          <w:tcPr>
            <w:tcW w:w="3085" w:type="dxa"/>
            <w:shd w:val="clear" w:color="auto" w:fill="auto"/>
          </w:tcPr>
          <w:p w14:paraId="4ED2377C" w14:textId="77777777" w:rsidR="00395B24" w:rsidRDefault="007E00A3" w:rsidP="00663878">
            <w:pPr>
              <w:pStyle w:val="Normal1linespace"/>
              <w:widowControl w:val="0"/>
              <w:jc w:val="left"/>
            </w:pPr>
            <w:r>
              <w:t>File number</w:t>
            </w:r>
            <w:r w:rsidR="002C7385">
              <w:t>:</w:t>
            </w:r>
          </w:p>
        </w:tc>
        <w:tc>
          <w:tcPr>
            <w:tcW w:w="5989" w:type="dxa"/>
            <w:shd w:val="clear" w:color="auto" w:fill="auto"/>
          </w:tcPr>
          <w:p w14:paraId="71A76B4F" w14:textId="77777777" w:rsidR="00395B24" w:rsidRPr="000E4B2B" w:rsidRDefault="00F01FB0" w:rsidP="000E4B2B">
            <w:pPr>
              <w:pStyle w:val="Normal1linespace"/>
              <w:jc w:val="left"/>
            </w:pPr>
            <w:fldSimple w:instr=" REF  FileNo  \* MERGEFORMAT " w:fldLock="1">
              <w:r w:rsidR="000E4B2B" w:rsidRPr="000E4B2B">
                <w:t>QUD 699 of 2019</w:t>
              </w:r>
            </w:fldSimple>
          </w:p>
        </w:tc>
      </w:tr>
      <w:tr w:rsidR="00395B24" w14:paraId="27B27BED" w14:textId="77777777" w:rsidTr="00A014E1">
        <w:tc>
          <w:tcPr>
            <w:tcW w:w="3085" w:type="dxa"/>
            <w:shd w:val="clear" w:color="auto" w:fill="auto"/>
          </w:tcPr>
          <w:p w14:paraId="4A0A231A" w14:textId="77777777" w:rsidR="00395B24" w:rsidRDefault="00395B24" w:rsidP="00663878">
            <w:pPr>
              <w:pStyle w:val="Normal1linespace"/>
              <w:widowControl w:val="0"/>
              <w:jc w:val="left"/>
            </w:pPr>
          </w:p>
        </w:tc>
        <w:tc>
          <w:tcPr>
            <w:tcW w:w="5989" w:type="dxa"/>
            <w:shd w:val="clear" w:color="auto" w:fill="auto"/>
          </w:tcPr>
          <w:p w14:paraId="01F178C3" w14:textId="77777777" w:rsidR="00395B24" w:rsidRDefault="00395B24" w:rsidP="00663878">
            <w:pPr>
              <w:pStyle w:val="Normal1linespace"/>
              <w:widowControl w:val="0"/>
              <w:jc w:val="left"/>
            </w:pPr>
          </w:p>
        </w:tc>
      </w:tr>
      <w:tr w:rsidR="00395B24" w14:paraId="00DB7AC6" w14:textId="77777777" w:rsidTr="00A014E1">
        <w:tc>
          <w:tcPr>
            <w:tcW w:w="3085" w:type="dxa"/>
            <w:shd w:val="clear" w:color="auto" w:fill="auto"/>
          </w:tcPr>
          <w:p w14:paraId="0548F797" w14:textId="77777777" w:rsidR="00395B24" w:rsidRDefault="007E00A3" w:rsidP="00663878">
            <w:pPr>
              <w:pStyle w:val="Normal1linespace"/>
              <w:widowControl w:val="0"/>
              <w:jc w:val="left"/>
            </w:pPr>
            <w:r>
              <w:t>Judge</w:t>
            </w:r>
            <w:r w:rsidR="002C7385">
              <w:t>:</w:t>
            </w:r>
          </w:p>
        </w:tc>
        <w:tc>
          <w:tcPr>
            <w:tcW w:w="5989" w:type="dxa"/>
            <w:shd w:val="clear" w:color="auto" w:fill="auto"/>
          </w:tcPr>
          <w:p w14:paraId="5B4F00B8" w14:textId="77777777" w:rsidR="00395B24" w:rsidRDefault="002C7385" w:rsidP="00663878">
            <w:pPr>
              <w:pStyle w:val="Normal1linespace"/>
              <w:widowControl w:val="0"/>
              <w:jc w:val="left"/>
              <w:rPr>
                <w:b/>
              </w:rPr>
            </w:pPr>
            <w:r w:rsidRPr="000E4B2B">
              <w:rPr>
                <w:b/>
              </w:rPr>
              <w:fldChar w:fldCharType="begin" w:fldLock="1"/>
            </w:r>
            <w:r w:rsidRPr="000E4B2B">
              <w:rPr>
                <w:b/>
              </w:rPr>
              <w:instrText xml:space="preserve"> REF  Judge  \* MERGEFORMAT </w:instrText>
            </w:r>
            <w:r w:rsidRPr="000E4B2B">
              <w:rPr>
                <w:b/>
              </w:rPr>
              <w:fldChar w:fldCharType="separate"/>
            </w:r>
            <w:r w:rsidR="000E4B2B" w:rsidRPr="000E4B2B">
              <w:rPr>
                <w:b/>
                <w:caps/>
                <w:szCs w:val="24"/>
              </w:rPr>
              <w:t>RANGIAH J</w:t>
            </w:r>
            <w:r w:rsidRPr="000E4B2B">
              <w:rPr>
                <w:b/>
              </w:rPr>
              <w:fldChar w:fldCharType="end"/>
            </w:r>
          </w:p>
        </w:tc>
      </w:tr>
      <w:tr w:rsidR="00395B24" w14:paraId="7BA704C0" w14:textId="77777777" w:rsidTr="00A014E1">
        <w:tc>
          <w:tcPr>
            <w:tcW w:w="3085" w:type="dxa"/>
            <w:shd w:val="clear" w:color="auto" w:fill="auto"/>
          </w:tcPr>
          <w:p w14:paraId="7F01AEEE" w14:textId="77777777" w:rsidR="00395B24" w:rsidRDefault="00395B24" w:rsidP="00663878">
            <w:pPr>
              <w:pStyle w:val="Normal1linespace"/>
              <w:widowControl w:val="0"/>
              <w:jc w:val="left"/>
            </w:pPr>
          </w:p>
        </w:tc>
        <w:tc>
          <w:tcPr>
            <w:tcW w:w="5989" w:type="dxa"/>
            <w:shd w:val="clear" w:color="auto" w:fill="auto"/>
          </w:tcPr>
          <w:p w14:paraId="7EA0D8B8" w14:textId="77777777" w:rsidR="00395B24" w:rsidRDefault="00395B24" w:rsidP="00663878">
            <w:pPr>
              <w:pStyle w:val="Normal1linespace"/>
              <w:widowControl w:val="0"/>
              <w:jc w:val="left"/>
            </w:pPr>
          </w:p>
        </w:tc>
      </w:tr>
      <w:tr w:rsidR="00395B24" w14:paraId="4534CB90" w14:textId="77777777" w:rsidTr="00A014E1">
        <w:tc>
          <w:tcPr>
            <w:tcW w:w="3085" w:type="dxa"/>
            <w:shd w:val="clear" w:color="auto" w:fill="auto"/>
          </w:tcPr>
          <w:p w14:paraId="516E27F8" w14:textId="77777777" w:rsidR="00395B24" w:rsidRDefault="002C7385" w:rsidP="00663878">
            <w:pPr>
              <w:pStyle w:val="Normal1linespace"/>
              <w:widowControl w:val="0"/>
              <w:jc w:val="left"/>
            </w:pPr>
            <w:r>
              <w:t>Date of judgment:</w:t>
            </w:r>
          </w:p>
        </w:tc>
        <w:tc>
          <w:tcPr>
            <w:tcW w:w="5989" w:type="dxa"/>
            <w:shd w:val="clear" w:color="auto" w:fill="auto"/>
          </w:tcPr>
          <w:p w14:paraId="0A00366E" w14:textId="77777777" w:rsidR="00395B24" w:rsidRDefault="000E4B2B" w:rsidP="00663878">
            <w:pPr>
              <w:pStyle w:val="Normal1linespace"/>
              <w:widowControl w:val="0"/>
              <w:jc w:val="left"/>
            </w:pPr>
            <w:bookmarkStart w:id="1" w:name="JudgmentDate"/>
            <w:r>
              <w:t>20 November 2019</w:t>
            </w:r>
            <w:bookmarkEnd w:id="1"/>
          </w:p>
        </w:tc>
      </w:tr>
      <w:tr w:rsidR="00395B24" w14:paraId="3190E9B8" w14:textId="77777777" w:rsidTr="00A014E1">
        <w:tc>
          <w:tcPr>
            <w:tcW w:w="3085" w:type="dxa"/>
            <w:shd w:val="clear" w:color="auto" w:fill="auto"/>
          </w:tcPr>
          <w:p w14:paraId="15723698" w14:textId="77777777" w:rsidR="00395B24" w:rsidRDefault="00395B24" w:rsidP="00663878">
            <w:pPr>
              <w:pStyle w:val="Normal1linespace"/>
              <w:widowControl w:val="0"/>
              <w:jc w:val="left"/>
            </w:pPr>
          </w:p>
        </w:tc>
        <w:tc>
          <w:tcPr>
            <w:tcW w:w="5989" w:type="dxa"/>
            <w:shd w:val="clear" w:color="auto" w:fill="auto"/>
          </w:tcPr>
          <w:p w14:paraId="59A5328B" w14:textId="77777777" w:rsidR="00395B24" w:rsidRDefault="00395B24" w:rsidP="00663878">
            <w:pPr>
              <w:pStyle w:val="Normal1linespace"/>
              <w:widowControl w:val="0"/>
              <w:jc w:val="left"/>
            </w:pPr>
          </w:p>
        </w:tc>
      </w:tr>
      <w:tr w:rsidR="00395B24" w:rsidRPr="000E4B2B" w14:paraId="4B0F5452" w14:textId="77777777" w:rsidTr="00A014E1">
        <w:tc>
          <w:tcPr>
            <w:tcW w:w="3085" w:type="dxa"/>
            <w:shd w:val="clear" w:color="auto" w:fill="auto"/>
          </w:tcPr>
          <w:p w14:paraId="1F630EEA" w14:textId="77777777" w:rsidR="00395B24" w:rsidRPr="00F42830" w:rsidRDefault="002C7385" w:rsidP="00663878">
            <w:pPr>
              <w:pStyle w:val="Normal1linespace"/>
              <w:widowControl w:val="0"/>
              <w:jc w:val="left"/>
            </w:pPr>
            <w:r w:rsidRPr="00F42830">
              <w:t>Catchwords:</w:t>
            </w:r>
          </w:p>
        </w:tc>
        <w:tc>
          <w:tcPr>
            <w:tcW w:w="5989" w:type="dxa"/>
            <w:shd w:val="clear" w:color="auto" w:fill="auto"/>
          </w:tcPr>
          <w:p w14:paraId="363FDD08" w14:textId="77777777" w:rsidR="00395B24" w:rsidRPr="00D51EC6" w:rsidRDefault="00F42830" w:rsidP="00316ED1">
            <w:pPr>
              <w:pStyle w:val="Normal1linespace"/>
              <w:widowControl w:val="0"/>
              <w:jc w:val="left"/>
              <w:rPr>
                <w:highlight w:val="yellow"/>
              </w:rPr>
            </w:pPr>
            <w:bookmarkStart w:id="2" w:name="Catchwords"/>
            <w:r w:rsidRPr="00D51EC6">
              <w:rPr>
                <w:b/>
              </w:rPr>
              <w:t>PRACTICE AND PROCEDURE</w:t>
            </w:r>
            <w:r w:rsidRPr="00D51EC6">
              <w:t xml:space="preserve"> – </w:t>
            </w:r>
            <w:r w:rsidR="00D51EC6" w:rsidRPr="00D51EC6">
              <w:t xml:space="preserve">investigation of </w:t>
            </w:r>
            <w:r w:rsidR="00316ED1" w:rsidRPr="00D51EC6">
              <w:t xml:space="preserve">whether medical practitioner engaged in inappropriate practice </w:t>
            </w:r>
            <w:r w:rsidR="00316ED1">
              <w:t xml:space="preserve">– </w:t>
            </w:r>
            <w:r w:rsidR="00D51EC6" w:rsidRPr="00D51EC6">
              <w:t>urgent application for interim injunction to restrain hearing –</w:t>
            </w:r>
            <w:r w:rsidR="00005E79" w:rsidRPr="00D51EC6">
              <w:t xml:space="preserve"> </w:t>
            </w:r>
            <w:r w:rsidR="00316ED1">
              <w:t xml:space="preserve">allegation that applicant would be denied natural justice – </w:t>
            </w:r>
            <w:r w:rsidR="00005E79" w:rsidRPr="00D51EC6">
              <w:t>application dismissed</w:t>
            </w:r>
            <w:bookmarkEnd w:id="2"/>
          </w:p>
        </w:tc>
      </w:tr>
      <w:tr w:rsidR="00395B24" w14:paraId="2A3A2C7B" w14:textId="77777777" w:rsidTr="00A014E1">
        <w:tc>
          <w:tcPr>
            <w:tcW w:w="3085" w:type="dxa"/>
            <w:shd w:val="clear" w:color="auto" w:fill="auto"/>
          </w:tcPr>
          <w:p w14:paraId="2622B485" w14:textId="77777777" w:rsidR="00395B24" w:rsidRDefault="00395B24" w:rsidP="00663878">
            <w:pPr>
              <w:pStyle w:val="Normal1linespace"/>
              <w:widowControl w:val="0"/>
              <w:jc w:val="left"/>
            </w:pPr>
          </w:p>
        </w:tc>
        <w:tc>
          <w:tcPr>
            <w:tcW w:w="5989" w:type="dxa"/>
            <w:shd w:val="clear" w:color="auto" w:fill="auto"/>
          </w:tcPr>
          <w:p w14:paraId="1C7406EB" w14:textId="77777777" w:rsidR="00395B24" w:rsidRDefault="00395B24" w:rsidP="00663878">
            <w:pPr>
              <w:pStyle w:val="Normal1linespace"/>
              <w:widowControl w:val="0"/>
              <w:jc w:val="left"/>
            </w:pPr>
          </w:p>
        </w:tc>
      </w:tr>
      <w:tr w:rsidR="00395B24" w:rsidRPr="000E4B2B" w14:paraId="13AE54F7" w14:textId="77777777" w:rsidTr="00A014E1">
        <w:tc>
          <w:tcPr>
            <w:tcW w:w="3085" w:type="dxa"/>
            <w:shd w:val="clear" w:color="auto" w:fill="auto"/>
          </w:tcPr>
          <w:p w14:paraId="14C92CA0" w14:textId="77777777" w:rsidR="00395B24" w:rsidRPr="002D752B" w:rsidRDefault="002C7385" w:rsidP="00663878">
            <w:pPr>
              <w:pStyle w:val="Normal1linespace"/>
              <w:widowControl w:val="0"/>
              <w:jc w:val="left"/>
            </w:pPr>
            <w:r w:rsidRPr="002D752B">
              <w:t>Legislation:</w:t>
            </w:r>
          </w:p>
        </w:tc>
        <w:tc>
          <w:tcPr>
            <w:tcW w:w="5989" w:type="dxa"/>
            <w:shd w:val="clear" w:color="auto" w:fill="auto"/>
          </w:tcPr>
          <w:p w14:paraId="04C1A39C" w14:textId="77777777" w:rsidR="00395B24" w:rsidRPr="002D752B" w:rsidRDefault="002D752B" w:rsidP="002D752B">
            <w:pPr>
              <w:pStyle w:val="CasesLegislationAppealFrom"/>
              <w:spacing w:after="60"/>
            </w:pPr>
            <w:bookmarkStart w:id="3" w:name="Legislation"/>
            <w:r w:rsidRPr="002D752B">
              <w:rPr>
                <w:i/>
              </w:rPr>
              <w:t>Health Insurance Act 1973</w:t>
            </w:r>
            <w:r w:rsidRPr="002D752B">
              <w:t xml:space="preserve"> (Cth) ss 93, 101, 106C, 106K and 106KD </w:t>
            </w:r>
            <w:bookmarkEnd w:id="3"/>
          </w:p>
        </w:tc>
      </w:tr>
      <w:tr w:rsidR="00395B24" w14:paraId="4BA96DE8" w14:textId="77777777" w:rsidTr="00A014E1">
        <w:tc>
          <w:tcPr>
            <w:tcW w:w="3085" w:type="dxa"/>
            <w:shd w:val="clear" w:color="auto" w:fill="auto"/>
          </w:tcPr>
          <w:p w14:paraId="21FE5189" w14:textId="77777777" w:rsidR="00395B24" w:rsidRDefault="00395B24" w:rsidP="00663878">
            <w:pPr>
              <w:pStyle w:val="Normal1linespace"/>
              <w:widowControl w:val="0"/>
              <w:jc w:val="left"/>
            </w:pPr>
          </w:p>
        </w:tc>
        <w:tc>
          <w:tcPr>
            <w:tcW w:w="5989" w:type="dxa"/>
            <w:shd w:val="clear" w:color="auto" w:fill="auto"/>
          </w:tcPr>
          <w:p w14:paraId="348ACB63" w14:textId="77777777" w:rsidR="00395B24" w:rsidRDefault="00395B24" w:rsidP="00663878">
            <w:pPr>
              <w:pStyle w:val="Normal1linespace"/>
              <w:widowControl w:val="0"/>
              <w:jc w:val="left"/>
            </w:pPr>
          </w:p>
        </w:tc>
      </w:tr>
      <w:tr w:rsidR="00395B24" w:rsidRPr="000E4B2B" w14:paraId="2D734F84" w14:textId="77777777" w:rsidTr="00A014E1">
        <w:tc>
          <w:tcPr>
            <w:tcW w:w="3085" w:type="dxa"/>
            <w:shd w:val="clear" w:color="auto" w:fill="auto"/>
          </w:tcPr>
          <w:p w14:paraId="3DEA280F" w14:textId="77777777" w:rsidR="00395B24" w:rsidRPr="002D752B" w:rsidRDefault="002C7385" w:rsidP="00663878">
            <w:pPr>
              <w:pStyle w:val="Normal1linespace"/>
              <w:widowControl w:val="0"/>
              <w:jc w:val="left"/>
            </w:pPr>
            <w:r w:rsidRPr="002D752B">
              <w:t>Cases cited:</w:t>
            </w:r>
          </w:p>
        </w:tc>
        <w:tc>
          <w:tcPr>
            <w:tcW w:w="5989" w:type="dxa"/>
            <w:shd w:val="clear" w:color="auto" w:fill="auto"/>
          </w:tcPr>
          <w:p w14:paraId="5B0FABED" w14:textId="77777777" w:rsidR="002D752B" w:rsidRPr="002D752B" w:rsidRDefault="002D752B" w:rsidP="00D82620">
            <w:pPr>
              <w:pStyle w:val="CasesLegislationAppealFrom"/>
              <w:spacing w:after="60"/>
            </w:pPr>
            <w:bookmarkStart w:id="4" w:name="Cases_Cited"/>
            <w:r w:rsidRPr="002D752B">
              <w:rPr>
                <w:i/>
              </w:rPr>
              <w:t>Adams v Yung</w:t>
            </w:r>
            <w:r w:rsidRPr="002D752B">
              <w:t xml:space="preserve"> (1998) 83 FCR 148</w:t>
            </w:r>
          </w:p>
          <w:p w14:paraId="03439332" w14:textId="77777777" w:rsidR="001A4AF5" w:rsidRDefault="001A4AF5" w:rsidP="00D82620">
            <w:pPr>
              <w:pStyle w:val="CasesLegislationAppealFrom"/>
              <w:spacing w:after="60"/>
              <w:rPr>
                <w:i/>
              </w:rPr>
            </w:pPr>
            <w:r w:rsidRPr="00E01AA4">
              <w:rPr>
                <w:i/>
              </w:rPr>
              <w:t>Health Insurance Commission v Grey</w:t>
            </w:r>
            <w:r>
              <w:t xml:space="preserve"> (2002) 120 FCR 470</w:t>
            </w:r>
          </w:p>
          <w:p w14:paraId="52728E73" w14:textId="77777777" w:rsidR="002D752B" w:rsidRPr="002D752B" w:rsidRDefault="002D752B" w:rsidP="00D82620">
            <w:pPr>
              <w:pStyle w:val="CasesLegislationAppealFrom"/>
              <w:spacing w:after="60"/>
            </w:pPr>
            <w:r w:rsidRPr="002D752B">
              <w:rPr>
                <w:i/>
              </w:rPr>
              <w:t xml:space="preserve">Kutlu v Director of Professional Services Review </w:t>
            </w:r>
            <w:r w:rsidRPr="002D752B">
              <w:t>(2011) 197 FCR 177</w:t>
            </w:r>
          </w:p>
          <w:p w14:paraId="0FCFAED8" w14:textId="77777777" w:rsidR="00395B24" w:rsidRPr="002D752B" w:rsidRDefault="002D752B" w:rsidP="002D752B">
            <w:pPr>
              <w:pStyle w:val="CasesLegislationAppealFrom"/>
              <w:spacing w:after="60"/>
            </w:pPr>
            <w:r w:rsidRPr="002D752B">
              <w:rPr>
                <w:i/>
              </w:rPr>
              <w:t xml:space="preserve">Romeo v Asher </w:t>
            </w:r>
            <w:r w:rsidRPr="002D752B">
              <w:t>(1991) 29 FCR 343</w:t>
            </w:r>
            <w:r>
              <w:t xml:space="preserve">  </w:t>
            </w:r>
            <w:bookmarkEnd w:id="4"/>
          </w:p>
        </w:tc>
      </w:tr>
      <w:tr w:rsidR="00A014E1" w:rsidRPr="00A014E1" w14:paraId="3B3457CF" w14:textId="77777777" w:rsidTr="00A014E1">
        <w:tc>
          <w:tcPr>
            <w:tcW w:w="3085" w:type="dxa"/>
            <w:shd w:val="clear" w:color="auto" w:fill="auto"/>
          </w:tcPr>
          <w:p w14:paraId="3BBE3386" w14:textId="77777777" w:rsidR="00A014E1" w:rsidRPr="00A014E1" w:rsidRDefault="00A014E1" w:rsidP="00A014E1">
            <w:pPr>
              <w:pStyle w:val="Normal1linespace"/>
              <w:jc w:val="left"/>
            </w:pPr>
          </w:p>
        </w:tc>
        <w:tc>
          <w:tcPr>
            <w:tcW w:w="5989" w:type="dxa"/>
            <w:shd w:val="clear" w:color="auto" w:fill="auto"/>
          </w:tcPr>
          <w:p w14:paraId="0ACB7AD8" w14:textId="77777777" w:rsidR="00A014E1" w:rsidRPr="00A014E1" w:rsidRDefault="00A014E1" w:rsidP="00A014E1">
            <w:pPr>
              <w:pStyle w:val="Normal1linespace"/>
              <w:jc w:val="left"/>
            </w:pPr>
          </w:p>
        </w:tc>
      </w:tr>
      <w:tr w:rsidR="00A014E1" w:rsidRPr="00A014E1" w14:paraId="0E737E7B" w14:textId="77777777" w:rsidTr="00A014E1">
        <w:tc>
          <w:tcPr>
            <w:tcW w:w="3085" w:type="dxa"/>
            <w:shd w:val="clear" w:color="auto" w:fill="auto"/>
          </w:tcPr>
          <w:p w14:paraId="62196189" w14:textId="77777777" w:rsidR="00A014E1" w:rsidRPr="00A014E1" w:rsidRDefault="00A014E1" w:rsidP="00A014E1">
            <w:pPr>
              <w:pStyle w:val="Normal1linespace"/>
              <w:jc w:val="left"/>
            </w:pPr>
            <w:bookmarkStart w:id="5" w:name="CounselDate" w:colFirst="0" w:colLast="2"/>
            <w:r w:rsidRPr="00A014E1">
              <w:t>Date of hearing:</w:t>
            </w:r>
          </w:p>
        </w:tc>
        <w:tc>
          <w:tcPr>
            <w:tcW w:w="5989" w:type="dxa"/>
            <w:shd w:val="clear" w:color="auto" w:fill="auto"/>
          </w:tcPr>
          <w:p w14:paraId="02BFAD99" w14:textId="77777777" w:rsidR="00A014E1" w:rsidRPr="00A014E1" w:rsidRDefault="00A014E1" w:rsidP="00A014E1">
            <w:pPr>
              <w:pStyle w:val="Normal1linespace"/>
              <w:jc w:val="left"/>
            </w:pPr>
            <w:bookmarkStart w:id="6" w:name="HearingDate"/>
            <w:r>
              <w:t>20 November 2019</w:t>
            </w:r>
            <w:bookmarkEnd w:id="6"/>
          </w:p>
        </w:tc>
      </w:tr>
      <w:tr w:rsidR="00A014E1" w:rsidRPr="00A014E1" w14:paraId="6A304A3A" w14:textId="77777777" w:rsidTr="00A014E1">
        <w:tc>
          <w:tcPr>
            <w:tcW w:w="3085" w:type="dxa"/>
            <w:shd w:val="clear" w:color="auto" w:fill="auto"/>
          </w:tcPr>
          <w:p w14:paraId="7FC7FB7D" w14:textId="77777777" w:rsidR="00A014E1" w:rsidRPr="00A014E1" w:rsidRDefault="00A014E1" w:rsidP="00A014E1">
            <w:pPr>
              <w:pStyle w:val="Normal1linespace"/>
              <w:jc w:val="left"/>
            </w:pPr>
          </w:p>
        </w:tc>
        <w:tc>
          <w:tcPr>
            <w:tcW w:w="5989" w:type="dxa"/>
            <w:shd w:val="clear" w:color="auto" w:fill="auto"/>
          </w:tcPr>
          <w:p w14:paraId="3607F434" w14:textId="77777777" w:rsidR="00A014E1" w:rsidRPr="00A014E1" w:rsidRDefault="00A014E1" w:rsidP="00A014E1">
            <w:pPr>
              <w:pStyle w:val="Normal1linespace"/>
              <w:jc w:val="left"/>
            </w:pPr>
          </w:p>
        </w:tc>
      </w:tr>
      <w:bookmarkEnd w:id="5"/>
      <w:tr w:rsidR="00A014E1" w14:paraId="1A08034F" w14:textId="77777777" w:rsidTr="00A014E1">
        <w:tc>
          <w:tcPr>
            <w:tcW w:w="3085" w:type="dxa"/>
            <w:shd w:val="clear" w:color="auto" w:fill="auto"/>
          </w:tcPr>
          <w:p w14:paraId="599C7D05" w14:textId="77777777" w:rsidR="00A014E1" w:rsidRDefault="00A014E1" w:rsidP="00A014E1">
            <w:pPr>
              <w:pStyle w:val="Normal1linespace"/>
              <w:widowControl w:val="0"/>
              <w:jc w:val="left"/>
            </w:pPr>
            <w:r>
              <w:t>Registry:</w:t>
            </w:r>
          </w:p>
        </w:tc>
        <w:tc>
          <w:tcPr>
            <w:tcW w:w="5989" w:type="dxa"/>
            <w:shd w:val="clear" w:color="auto" w:fill="auto"/>
          </w:tcPr>
          <w:p w14:paraId="6374FC82" w14:textId="77777777" w:rsidR="00A014E1" w:rsidRPr="00F17599" w:rsidRDefault="00F01FB0" w:rsidP="00A014E1">
            <w:pPr>
              <w:pStyle w:val="Normal1linespace"/>
              <w:widowControl w:val="0"/>
              <w:jc w:val="left"/>
            </w:pPr>
            <w:fldSimple w:instr=" DOCPROPERTY  Registry " w:fldLock="1">
              <w:r w:rsidR="000E4B2B">
                <w:t>Queensland</w:t>
              </w:r>
            </w:fldSimple>
          </w:p>
        </w:tc>
      </w:tr>
      <w:tr w:rsidR="00A014E1" w14:paraId="30681599" w14:textId="77777777" w:rsidTr="00A014E1">
        <w:tc>
          <w:tcPr>
            <w:tcW w:w="3085" w:type="dxa"/>
            <w:shd w:val="clear" w:color="auto" w:fill="auto"/>
          </w:tcPr>
          <w:p w14:paraId="4073BFBF" w14:textId="77777777" w:rsidR="00A014E1" w:rsidRDefault="00A014E1" w:rsidP="00A014E1">
            <w:pPr>
              <w:pStyle w:val="Normal1linespace"/>
              <w:widowControl w:val="0"/>
              <w:jc w:val="left"/>
            </w:pPr>
          </w:p>
        </w:tc>
        <w:tc>
          <w:tcPr>
            <w:tcW w:w="5989" w:type="dxa"/>
            <w:shd w:val="clear" w:color="auto" w:fill="auto"/>
          </w:tcPr>
          <w:p w14:paraId="338FD841" w14:textId="77777777" w:rsidR="00A014E1" w:rsidRDefault="00A014E1" w:rsidP="00A014E1">
            <w:pPr>
              <w:pStyle w:val="Normal1linespace"/>
              <w:widowControl w:val="0"/>
              <w:jc w:val="left"/>
            </w:pPr>
          </w:p>
        </w:tc>
      </w:tr>
      <w:tr w:rsidR="00A014E1" w14:paraId="4F55D97E" w14:textId="77777777" w:rsidTr="00A014E1">
        <w:tc>
          <w:tcPr>
            <w:tcW w:w="3085" w:type="dxa"/>
            <w:shd w:val="clear" w:color="auto" w:fill="auto"/>
          </w:tcPr>
          <w:p w14:paraId="24115C36" w14:textId="77777777" w:rsidR="00A014E1" w:rsidRDefault="00A014E1" w:rsidP="00A014E1">
            <w:pPr>
              <w:pStyle w:val="Normal1linespace"/>
              <w:widowControl w:val="0"/>
              <w:jc w:val="left"/>
            </w:pPr>
            <w:r>
              <w:t>Division:</w:t>
            </w:r>
          </w:p>
        </w:tc>
        <w:tc>
          <w:tcPr>
            <w:tcW w:w="5989" w:type="dxa"/>
            <w:shd w:val="clear" w:color="auto" w:fill="auto"/>
          </w:tcPr>
          <w:p w14:paraId="490B3DFC" w14:textId="77777777" w:rsidR="00A014E1" w:rsidRPr="00F17599" w:rsidRDefault="00F01FB0" w:rsidP="00A014E1">
            <w:pPr>
              <w:pStyle w:val="Normal1linespace"/>
              <w:widowControl w:val="0"/>
              <w:jc w:val="left"/>
            </w:pPr>
            <w:fldSimple w:instr=" DOCPROPERTY  Division " w:fldLock="1">
              <w:r w:rsidR="000E4B2B">
                <w:t>General Division</w:t>
              </w:r>
            </w:fldSimple>
          </w:p>
        </w:tc>
      </w:tr>
      <w:tr w:rsidR="00A014E1" w14:paraId="5674573D" w14:textId="77777777" w:rsidTr="00A014E1">
        <w:tc>
          <w:tcPr>
            <w:tcW w:w="3085" w:type="dxa"/>
            <w:shd w:val="clear" w:color="auto" w:fill="auto"/>
          </w:tcPr>
          <w:p w14:paraId="2B8594A9" w14:textId="77777777" w:rsidR="00A014E1" w:rsidRDefault="00A014E1" w:rsidP="00A014E1">
            <w:pPr>
              <w:pStyle w:val="Normal1linespace"/>
              <w:widowControl w:val="0"/>
              <w:jc w:val="left"/>
            </w:pPr>
          </w:p>
        </w:tc>
        <w:tc>
          <w:tcPr>
            <w:tcW w:w="5989" w:type="dxa"/>
            <w:shd w:val="clear" w:color="auto" w:fill="auto"/>
          </w:tcPr>
          <w:p w14:paraId="3EA4E1B9" w14:textId="77777777" w:rsidR="00A014E1" w:rsidRPr="00F17599" w:rsidRDefault="00A014E1" w:rsidP="00A014E1">
            <w:pPr>
              <w:pStyle w:val="Normal1linespace"/>
              <w:widowControl w:val="0"/>
              <w:jc w:val="left"/>
              <w:rPr>
                <w:b/>
              </w:rPr>
            </w:pPr>
          </w:p>
        </w:tc>
      </w:tr>
      <w:tr w:rsidR="00A014E1" w:rsidRPr="00A014E1" w14:paraId="2B7E3F4D" w14:textId="77777777" w:rsidTr="00A014E1">
        <w:tc>
          <w:tcPr>
            <w:tcW w:w="3085" w:type="dxa"/>
            <w:shd w:val="clear" w:color="auto" w:fill="auto"/>
          </w:tcPr>
          <w:p w14:paraId="4843A19E" w14:textId="77777777" w:rsidR="00A014E1" w:rsidRPr="00A014E1" w:rsidRDefault="00A014E1" w:rsidP="00A014E1">
            <w:pPr>
              <w:pStyle w:val="Normal1linespace"/>
              <w:widowControl w:val="0"/>
              <w:jc w:val="left"/>
            </w:pPr>
            <w:r w:rsidRPr="00A014E1">
              <w:t>National Practice Area:</w:t>
            </w:r>
          </w:p>
        </w:tc>
        <w:tc>
          <w:tcPr>
            <w:tcW w:w="5989" w:type="dxa"/>
            <w:shd w:val="clear" w:color="auto" w:fill="auto"/>
          </w:tcPr>
          <w:p w14:paraId="659BF7CC" w14:textId="77777777" w:rsidR="00A014E1" w:rsidRPr="00A014E1" w:rsidRDefault="00A014E1" w:rsidP="00A014E1">
            <w:pPr>
              <w:pStyle w:val="Normal1linespace"/>
              <w:widowControl w:val="0"/>
              <w:jc w:val="left"/>
              <w:rPr>
                <w:b/>
              </w:rPr>
            </w:pPr>
            <w:r w:rsidRPr="00A014E1">
              <w:t>Other Federal Jurisdiction</w:t>
            </w:r>
          </w:p>
        </w:tc>
      </w:tr>
      <w:tr w:rsidR="00A014E1" w14:paraId="6C3CA83E" w14:textId="77777777" w:rsidTr="00A014E1">
        <w:tc>
          <w:tcPr>
            <w:tcW w:w="3085" w:type="dxa"/>
            <w:shd w:val="clear" w:color="auto" w:fill="auto"/>
          </w:tcPr>
          <w:p w14:paraId="254F3FEC" w14:textId="77777777" w:rsidR="00A014E1" w:rsidRDefault="00A014E1" w:rsidP="00A014E1">
            <w:pPr>
              <w:pStyle w:val="Normal1linespace"/>
              <w:widowControl w:val="0"/>
              <w:jc w:val="left"/>
            </w:pPr>
          </w:p>
        </w:tc>
        <w:tc>
          <w:tcPr>
            <w:tcW w:w="5989" w:type="dxa"/>
            <w:shd w:val="clear" w:color="auto" w:fill="auto"/>
          </w:tcPr>
          <w:p w14:paraId="6C53F721" w14:textId="77777777" w:rsidR="00A014E1" w:rsidRDefault="00A014E1" w:rsidP="00A014E1">
            <w:pPr>
              <w:pStyle w:val="Normal1linespace"/>
              <w:widowControl w:val="0"/>
              <w:jc w:val="left"/>
              <w:rPr>
                <w:b/>
              </w:rPr>
            </w:pPr>
          </w:p>
        </w:tc>
      </w:tr>
      <w:tr w:rsidR="00A014E1" w14:paraId="7AAA8202" w14:textId="77777777" w:rsidTr="00A014E1">
        <w:tc>
          <w:tcPr>
            <w:tcW w:w="3085" w:type="dxa"/>
            <w:shd w:val="clear" w:color="auto" w:fill="auto"/>
          </w:tcPr>
          <w:p w14:paraId="6E0F4B15" w14:textId="77777777" w:rsidR="00A014E1" w:rsidRPr="00A014E1" w:rsidRDefault="00A014E1" w:rsidP="00A014E1">
            <w:pPr>
              <w:pStyle w:val="Normal1linespace"/>
              <w:widowControl w:val="0"/>
              <w:jc w:val="left"/>
            </w:pPr>
            <w:r w:rsidRPr="00A014E1">
              <w:t>Category:</w:t>
            </w:r>
          </w:p>
        </w:tc>
        <w:tc>
          <w:tcPr>
            <w:tcW w:w="5989" w:type="dxa"/>
            <w:shd w:val="clear" w:color="auto" w:fill="auto"/>
          </w:tcPr>
          <w:p w14:paraId="5BC04882" w14:textId="77777777" w:rsidR="00A014E1" w:rsidRDefault="00A014E1" w:rsidP="00A014E1">
            <w:pPr>
              <w:pStyle w:val="Normal1linespace"/>
              <w:widowControl w:val="0"/>
              <w:jc w:val="left"/>
            </w:pPr>
            <w:r w:rsidRPr="00A014E1">
              <w:t>Catchwords</w:t>
            </w:r>
          </w:p>
        </w:tc>
      </w:tr>
      <w:tr w:rsidR="00A014E1" w14:paraId="27E6A264" w14:textId="77777777" w:rsidTr="00A014E1">
        <w:tc>
          <w:tcPr>
            <w:tcW w:w="3085" w:type="dxa"/>
            <w:shd w:val="clear" w:color="auto" w:fill="auto"/>
          </w:tcPr>
          <w:p w14:paraId="7A4A7E4F" w14:textId="77777777" w:rsidR="00A014E1" w:rsidRDefault="00A014E1" w:rsidP="00A014E1">
            <w:pPr>
              <w:pStyle w:val="Normal1linespace"/>
              <w:widowControl w:val="0"/>
              <w:jc w:val="left"/>
            </w:pPr>
          </w:p>
        </w:tc>
        <w:tc>
          <w:tcPr>
            <w:tcW w:w="5989" w:type="dxa"/>
            <w:shd w:val="clear" w:color="auto" w:fill="auto"/>
          </w:tcPr>
          <w:p w14:paraId="16DC9902" w14:textId="77777777" w:rsidR="00A014E1" w:rsidRDefault="00A014E1" w:rsidP="00A014E1">
            <w:pPr>
              <w:pStyle w:val="Normal1linespace"/>
              <w:widowControl w:val="0"/>
              <w:jc w:val="left"/>
            </w:pPr>
          </w:p>
        </w:tc>
      </w:tr>
      <w:tr w:rsidR="00A014E1" w14:paraId="7091E94D" w14:textId="77777777" w:rsidTr="00A014E1">
        <w:tc>
          <w:tcPr>
            <w:tcW w:w="3085" w:type="dxa"/>
            <w:shd w:val="clear" w:color="auto" w:fill="auto"/>
          </w:tcPr>
          <w:p w14:paraId="55F0A6CD" w14:textId="77777777" w:rsidR="00A014E1" w:rsidRDefault="00A014E1" w:rsidP="00A014E1">
            <w:pPr>
              <w:pStyle w:val="Normal1linespace"/>
              <w:widowControl w:val="0"/>
              <w:jc w:val="left"/>
            </w:pPr>
            <w:r>
              <w:t>Number of paragraphs:</w:t>
            </w:r>
          </w:p>
        </w:tc>
        <w:tc>
          <w:tcPr>
            <w:tcW w:w="5989" w:type="dxa"/>
            <w:shd w:val="clear" w:color="auto" w:fill="auto"/>
          </w:tcPr>
          <w:p w14:paraId="0C3BE376" w14:textId="77777777" w:rsidR="00A014E1" w:rsidRDefault="00DE0DCB" w:rsidP="00A014E1">
            <w:pPr>
              <w:pStyle w:val="Normal1linespace"/>
              <w:widowControl w:val="0"/>
              <w:jc w:val="left"/>
            </w:pPr>
            <w:bookmarkStart w:id="7" w:name="PlaceCategoryParagraphs"/>
            <w:r>
              <w:t>20</w:t>
            </w:r>
            <w:bookmarkEnd w:id="7"/>
          </w:p>
        </w:tc>
      </w:tr>
      <w:tr w:rsidR="00A014E1" w14:paraId="7CDCD560" w14:textId="77777777" w:rsidTr="00A014E1">
        <w:tc>
          <w:tcPr>
            <w:tcW w:w="3085" w:type="dxa"/>
            <w:shd w:val="clear" w:color="auto" w:fill="auto"/>
          </w:tcPr>
          <w:p w14:paraId="28B01B19" w14:textId="77777777" w:rsidR="00A014E1" w:rsidRDefault="00A014E1" w:rsidP="00A014E1">
            <w:pPr>
              <w:pStyle w:val="Normal1linespace"/>
              <w:widowControl w:val="0"/>
              <w:jc w:val="left"/>
            </w:pPr>
          </w:p>
        </w:tc>
        <w:tc>
          <w:tcPr>
            <w:tcW w:w="5989" w:type="dxa"/>
            <w:shd w:val="clear" w:color="auto" w:fill="auto"/>
          </w:tcPr>
          <w:p w14:paraId="070C45C2" w14:textId="77777777" w:rsidR="00A014E1" w:rsidRDefault="00A014E1" w:rsidP="00A014E1">
            <w:pPr>
              <w:pStyle w:val="Normal1linespace"/>
              <w:widowControl w:val="0"/>
              <w:jc w:val="left"/>
            </w:pPr>
          </w:p>
        </w:tc>
      </w:tr>
      <w:tr w:rsidR="00A014E1" w14:paraId="244859FB" w14:textId="77777777" w:rsidTr="00A014E1">
        <w:tc>
          <w:tcPr>
            <w:tcW w:w="3085" w:type="dxa"/>
            <w:shd w:val="clear" w:color="auto" w:fill="auto"/>
          </w:tcPr>
          <w:p w14:paraId="3EF2C307" w14:textId="77777777" w:rsidR="00A014E1" w:rsidRDefault="00A014E1" w:rsidP="00A014E1">
            <w:pPr>
              <w:pStyle w:val="Normal1linespace"/>
              <w:widowControl w:val="0"/>
              <w:jc w:val="left"/>
            </w:pPr>
            <w:bookmarkStart w:id="8" w:name="Counsel" w:colFirst="0" w:colLast="2"/>
            <w:r>
              <w:t>Counsel for the Applicant:</w:t>
            </w:r>
          </w:p>
        </w:tc>
        <w:tc>
          <w:tcPr>
            <w:tcW w:w="5989" w:type="dxa"/>
            <w:shd w:val="clear" w:color="auto" w:fill="auto"/>
          </w:tcPr>
          <w:p w14:paraId="0230C6D4" w14:textId="77777777" w:rsidR="00A014E1" w:rsidRDefault="00A014E1" w:rsidP="00A014E1">
            <w:pPr>
              <w:pStyle w:val="Normal1linespace"/>
              <w:widowControl w:val="0"/>
              <w:jc w:val="left"/>
            </w:pPr>
            <w:bookmarkStart w:id="9" w:name="AppCounsel"/>
            <w:bookmarkEnd w:id="9"/>
            <w:r>
              <w:t>Mr B O’Donnell QC with Mr A Scott</w:t>
            </w:r>
          </w:p>
        </w:tc>
      </w:tr>
      <w:tr w:rsidR="00A014E1" w14:paraId="5A2DD27F" w14:textId="77777777" w:rsidTr="00A014E1">
        <w:tc>
          <w:tcPr>
            <w:tcW w:w="3085" w:type="dxa"/>
            <w:shd w:val="clear" w:color="auto" w:fill="auto"/>
          </w:tcPr>
          <w:p w14:paraId="06B0B70D" w14:textId="77777777" w:rsidR="00A014E1" w:rsidRDefault="00A014E1" w:rsidP="00A014E1">
            <w:pPr>
              <w:pStyle w:val="Normal1linespace"/>
              <w:widowControl w:val="0"/>
              <w:jc w:val="left"/>
            </w:pPr>
          </w:p>
        </w:tc>
        <w:tc>
          <w:tcPr>
            <w:tcW w:w="5989" w:type="dxa"/>
            <w:shd w:val="clear" w:color="auto" w:fill="auto"/>
          </w:tcPr>
          <w:p w14:paraId="446B0F11" w14:textId="77777777" w:rsidR="00A014E1" w:rsidRDefault="00A014E1" w:rsidP="00A014E1">
            <w:pPr>
              <w:pStyle w:val="Normal1linespace"/>
              <w:widowControl w:val="0"/>
              <w:jc w:val="left"/>
            </w:pPr>
          </w:p>
        </w:tc>
      </w:tr>
      <w:tr w:rsidR="00A014E1" w14:paraId="59FA5709" w14:textId="77777777" w:rsidTr="00A014E1">
        <w:tc>
          <w:tcPr>
            <w:tcW w:w="3085" w:type="dxa"/>
            <w:shd w:val="clear" w:color="auto" w:fill="auto"/>
          </w:tcPr>
          <w:p w14:paraId="2AF12B61" w14:textId="77777777" w:rsidR="00A014E1" w:rsidRDefault="00A014E1" w:rsidP="00A014E1">
            <w:pPr>
              <w:pStyle w:val="Normal1linespace"/>
              <w:widowControl w:val="0"/>
              <w:jc w:val="left"/>
            </w:pPr>
            <w:r>
              <w:t>Solicitor for the Applicant:</w:t>
            </w:r>
          </w:p>
        </w:tc>
        <w:tc>
          <w:tcPr>
            <w:tcW w:w="5989" w:type="dxa"/>
            <w:shd w:val="clear" w:color="auto" w:fill="auto"/>
          </w:tcPr>
          <w:p w14:paraId="0119E888" w14:textId="77777777" w:rsidR="00A014E1" w:rsidRDefault="00A014E1" w:rsidP="00A014E1">
            <w:pPr>
              <w:pStyle w:val="Normal1linespace"/>
              <w:widowControl w:val="0"/>
              <w:jc w:val="left"/>
            </w:pPr>
            <w:r>
              <w:t>Russells Law</w:t>
            </w:r>
          </w:p>
        </w:tc>
      </w:tr>
      <w:tr w:rsidR="00A014E1" w14:paraId="575EF869" w14:textId="77777777" w:rsidTr="00A014E1">
        <w:tc>
          <w:tcPr>
            <w:tcW w:w="3085" w:type="dxa"/>
            <w:shd w:val="clear" w:color="auto" w:fill="auto"/>
          </w:tcPr>
          <w:p w14:paraId="73E9E5DC" w14:textId="77777777" w:rsidR="00A014E1" w:rsidRDefault="00A014E1" w:rsidP="00A014E1">
            <w:pPr>
              <w:pStyle w:val="Normal1linespace"/>
              <w:widowControl w:val="0"/>
              <w:jc w:val="left"/>
            </w:pPr>
          </w:p>
        </w:tc>
        <w:tc>
          <w:tcPr>
            <w:tcW w:w="5989" w:type="dxa"/>
            <w:shd w:val="clear" w:color="auto" w:fill="auto"/>
          </w:tcPr>
          <w:p w14:paraId="6F241C4F" w14:textId="77777777" w:rsidR="00A014E1" w:rsidRDefault="00A014E1" w:rsidP="00A014E1">
            <w:pPr>
              <w:pStyle w:val="Normal1linespace"/>
              <w:widowControl w:val="0"/>
              <w:jc w:val="left"/>
            </w:pPr>
          </w:p>
        </w:tc>
      </w:tr>
      <w:tr w:rsidR="00A014E1" w14:paraId="1E3C4FC4" w14:textId="77777777" w:rsidTr="00A014E1">
        <w:tc>
          <w:tcPr>
            <w:tcW w:w="3085" w:type="dxa"/>
            <w:shd w:val="clear" w:color="auto" w:fill="auto"/>
          </w:tcPr>
          <w:p w14:paraId="716CBBC5" w14:textId="77777777" w:rsidR="00A014E1" w:rsidRDefault="00A014E1" w:rsidP="00A014E1">
            <w:pPr>
              <w:pStyle w:val="Normal1linespace"/>
              <w:widowControl w:val="0"/>
              <w:jc w:val="left"/>
            </w:pPr>
            <w:r>
              <w:t>Counsel for the First Respondent:</w:t>
            </w:r>
          </w:p>
        </w:tc>
        <w:tc>
          <w:tcPr>
            <w:tcW w:w="5989" w:type="dxa"/>
            <w:shd w:val="clear" w:color="auto" w:fill="auto"/>
          </w:tcPr>
          <w:p w14:paraId="736C566C" w14:textId="77777777" w:rsidR="00A014E1" w:rsidRDefault="00A014E1" w:rsidP="00A014E1">
            <w:pPr>
              <w:pStyle w:val="Normal1linespace"/>
              <w:widowControl w:val="0"/>
              <w:jc w:val="left"/>
            </w:pPr>
            <w:r>
              <w:t>Ms KB Slack</w:t>
            </w:r>
          </w:p>
        </w:tc>
      </w:tr>
      <w:tr w:rsidR="00A014E1" w14:paraId="6A653861" w14:textId="77777777" w:rsidTr="00A014E1">
        <w:tc>
          <w:tcPr>
            <w:tcW w:w="3085" w:type="dxa"/>
            <w:shd w:val="clear" w:color="auto" w:fill="auto"/>
          </w:tcPr>
          <w:p w14:paraId="0ACCE6A7" w14:textId="77777777" w:rsidR="00A014E1" w:rsidRDefault="00A014E1" w:rsidP="00A014E1">
            <w:pPr>
              <w:pStyle w:val="Normal1linespace"/>
              <w:widowControl w:val="0"/>
              <w:jc w:val="left"/>
            </w:pPr>
          </w:p>
        </w:tc>
        <w:tc>
          <w:tcPr>
            <w:tcW w:w="5989" w:type="dxa"/>
            <w:shd w:val="clear" w:color="auto" w:fill="auto"/>
          </w:tcPr>
          <w:p w14:paraId="71B93CFA" w14:textId="77777777" w:rsidR="00A014E1" w:rsidRDefault="00A014E1" w:rsidP="00A014E1">
            <w:pPr>
              <w:pStyle w:val="Normal1linespace"/>
              <w:widowControl w:val="0"/>
              <w:jc w:val="left"/>
            </w:pPr>
          </w:p>
        </w:tc>
      </w:tr>
      <w:tr w:rsidR="00A014E1" w14:paraId="266827D1" w14:textId="77777777" w:rsidTr="00A014E1">
        <w:tc>
          <w:tcPr>
            <w:tcW w:w="3085" w:type="dxa"/>
            <w:shd w:val="clear" w:color="auto" w:fill="auto"/>
          </w:tcPr>
          <w:p w14:paraId="4830E14A" w14:textId="77777777" w:rsidR="00A014E1" w:rsidRDefault="00A014E1" w:rsidP="00A014E1">
            <w:pPr>
              <w:pStyle w:val="Normal1linespace"/>
              <w:widowControl w:val="0"/>
              <w:jc w:val="left"/>
            </w:pPr>
            <w:r>
              <w:t>Solicitor for the First Respondent:</w:t>
            </w:r>
          </w:p>
        </w:tc>
        <w:tc>
          <w:tcPr>
            <w:tcW w:w="5989" w:type="dxa"/>
            <w:shd w:val="clear" w:color="auto" w:fill="auto"/>
          </w:tcPr>
          <w:p w14:paraId="163FBDFC" w14:textId="77777777" w:rsidR="00A014E1" w:rsidRDefault="00A014E1" w:rsidP="00A014E1">
            <w:pPr>
              <w:pStyle w:val="Normal1linespace"/>
              <w:widowControl w:val="0"/>
              <w:jc w:val="left"/>
            </w:pPr>
            <w:r>
              <w:t>Sparke Helmore</w:t>
            </w:r>
          </w:p>
        </w:tc>
      </w:tr>
      <w:tr w:rsidR="00A014E1" w14:paraId="732D20CD" w14:textId="77777777" w:rsidTr="00A014E1">
        <w:tc>
          <w:tcPr>
            <w:tcW w:w="3085" w:type="dxa"/>
            <w:shd w:val="clear" w:color="auto" w:fill="auto"/>
          </w:tcPr>
          <w:p w14:paraId="04CC4A68" w14:textId="77777777" w:rsidR="00A014E1" w:rsidRDefault="00A014E1" w:rsidP="00A014E1">
            <w:pPr>
              <w:pStyle w:val="Normal1linespace"/>
              <w:widowControl w:val="0"/>
              <w:jc w:val="left"/>
            </w:pPr>
          </w:p>
        </w:tc>
        <w:tc>
          <w:tcPr>
            <w:tcW w:w="5989" w:type="dxa"/>
            <w:shd w:val="clear" w:color="auto" w:fill="auto"/>
          </w:tcPr>
          <w:p w14:paraId="2C4F2437" w14:textId="77777777" w:rsidR="00A014E1" w:rsidRDefault="00A014E1" w:rsidP="00A014E1">
            <w:pPr>
              <w:pStyle w:val="Normal1linespace"/>
              <w:widowControl w:val="0"/>
              <w:jc w:val="left"/>
            </w:pPr>
          </w:p>
        </w:tc>
      </w:tr>
      <w:tr w:rsidR="00A014E1" w14:paraId="7191F8C3" w14:textId="77777777" w:rsidTr="00A014E1">
        <w:tc>
          <w:tcPr>
            <w:tcW w:w="3085" w:type="dxa"/>
            <w:shd w:val="clear" w:color="auto" w:fill="auto"/>
          </w:tcPr>
          <w:p w14:paraId="25505BF9" w14:textId="77777777" w:rsidR="00A014E1" w:rsidRDefault="00A014E1" w:rsidP="00AC6D5A">
            <w:pPr>
              <w:pStyle w:val="Normal1linespace"/>
              <w:keepNext/>
              <w:keepLines/>
              <w:jc w:val="left"/>
            </w:pPr>
            <w:r>
              <w:t>Counsel for the Second Respondent:</w:t>
            </w:r>
          </w:p>
        </w:tc>
        <w:tc>
          <w:tcPr>
            <w:tcW w:w="5989" w:type="dxa"/>
            <w:shd w:val="clear" w:color="auto" w:fill="auto"/>
          </w:tcPr>
          <w:p w14:paraId="16E530E8" w14:textId="77777777" w:rsidR="00A014E1" w:rsidRDefault="00A014E1" w:rsidP="00AC6D5A">
            <w:pPr>
              <w:pStyle w:val="Normal1linespace"/>
              <w:keepNext/>
              <w:keepLines/>
              <w:jc w:val="left"/>
            </w:pPr>
            <w:r>
              <w:t>Ms A Rae</w:t>
            </w:r>
          </w:p>
        </w:tc>
      </w:tr>
      <w:tr w:rsidR="00A014E1" w14:paraId="14AA504A" w14:textId="77777777" w:rsidTr="00A014E1">
        <w:tc>
          <w:tcPr>
            <w:tcW w:w="3085" w:type="dxa"/>
            <w:shd w:val="clear" w:color="auto" w:fill="auto"/>
          </w:tcPr>
          <w:p w14:paraId="080151CC" w14:textId="77777777" w:rsidR="00A014E1" w:rsidRDefault="00A014E1" w:rsidP="00A014E1">
            <w:pPr>
              <w:pStyle w:val="Normal1linespace"/>
              <w:widowControl w:val="0"/>
              <w:jc w:val="left"/>
            </w:pPr>
          </w:p>
        </w:tc>
        <w:tc>
          <w:tcPr>
            <w:tcW w:w="5989" w:type="dxa"/>
            <w:shd w:val="clear" w:color="auto" w:fill="auto"/>
          </w:tcPr>
          <w:p w14:paraId="35ABA373" w14:textId="77777777" w:rsidR="00A014E1" w:rsidRDefault="00A014E1" w:rsidP="00A014E1">
            <w:pPr>
              <w:pStyle w:val="Normal1linespace"/>
              <w:widowControl w:val="0"/>
              <w:jc w:val="left"/>
            </w:pPr>
          </w:p>
        </w:tc>
      </w:tr>
      <w:tr w:rsidR="00A014E1" w14:paraId="7931849E" w14:textId="77777777" w:rsidTr="00A014E1">
        <w:tc>
          <w:tcPr>
            <w:tcW w:w="3085" w:type="dxa"/>
            <w:shd w:val="clear" w:color="auto" w:fill="auto"/>
          </w:tcPr>
          <w:p w14:paraId="64D6F4BB" w14:textId="77777777" w:rsidR="00A014E1" w:rsidRDefault="00A014E1" w:rsidP="00A014E1">
            <w:pPr>
              <w:pStyle w:val="Normal1linespace"/>
              <w:widowControl w:val="0"/>
              <w:jc w:val="left"/>
            </w:pPr>
            <w:r>
              <w:t>Solicitor for the Second Respondent:</w:t>
            </w:r>
          </w:p>
        </w:tc>
        <w:tc>
          <w:tcPr>
            <w:tcW w:w="5989" w:type="dxa"/>
            <w:shd w:val="clear" w:color="auto" w:fill="auto"/>
          </w:tcPr>
          <w:p w14:paraId="25779F93" w14:textId="77777777" w:rsidR="00A014E1" w:rsidRDefault="00A014E1" w:rsidP="00A014E1">
            <w:pPr>
              <w:pStyle w:val="Normal1linespace"/>
              <w:widowControl w:val="0"/>
              <w:jc w:val="left"/>
            </w:pPr>
            <w:r>
              <w:t>Clayton Utz</w:t>
            </w:r>
          </w:p>
        </w:tc>
      </w:tr>
      <w:bookmarkEnd w:id="8"/>
    </w:tbl>
    <w:p w14:paraId="7BB9A6C4" w14:textId="77777777" w:rsidR="00395B24" w:rsidRDefault="00395B24">
      <w:pPr>
        <w:pStyle w:val="Normal1linespace"/>
      </w:pPr>
    </w:p>
    <w:p w14:paraId="1C3FB9B2" w14:textId="77777777" w:rsidR="0092590B" w:rsidRDefault="0092590B">
      <w:pPr>
        <w:pStyle w:val="Normal1linespace"/>
      </w:pPr>
    </w:p>
    <w:p w14:paraId="53C3AB51"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14903179"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47B924F" w14:textId="77777777" w:rsidTr="00E81DA6">
        <w:tc>
          <w:tcPr>
            <w:tcW w:w="6912" w:type="dxa"/>
            <w:gridSpan w:val="2"/>
          </w:tcPr>
          <w:p w14:paraId="7AC6A9C6" w14:textId="77777777" w:rsidR="00A46CCC" w:rsidRPr="001765E0" w:rsidRDefault="00A46CCC" w:rsidP="00525A49">
            <w:pPr>
              <w:pStyle w:val="NormalHeadings"/>
            </w:pPr>
          </w:p>
        </w:tc>
        <w:tc>
          <w:tcPr>
            <w:tcW w:w="2330" w:type="dxa"/>
          </w:tcPr>
          <w:p w14:paraId="326C0153" w14:textId="77777777" w:rsidR="00A46CCC" w:rsidRDefault="000E4B2B" w:rsidP="00F92355">
            <w:pPr>
              <w:pStyle w:val="NormalHeadings"/>
              <w:jc w:val="right"/>
            </w:pPr>
            <w:bookmarkStart w:id="10" w:name="FileNo"/>
            <w:r>
              <w:t>QUD 699 of 2019</w:t>
            </w:r>
            <w:bookmarkEnd w:id="10"/>
          </w:p>
        </w:tc>
      </w:tr>
      <w:tr w:rsidR="00A76C13" w14:paraId="3ECC06A1" w14:textId="77777777" w:rsidTr="00F461A4">
        <w:tc>
          <w:tcPr>
            <w:tcW w:w="9242" w:type="dxa"/>
            <w:gridSpan w:val="3"/>
          </w:tcPr>
          <w:p w14:paraId="43A8D3A4" w14:textId="77777777" w:rsidR="00A76C13" w:rsidRPr="00A76C13" w:rsidRDefault="000E4B2B" w:rsidP="000E4B2B">
            <w:pPr>
              <w:pStyle w:val="NormalHeadings"/>
              <w:jc w:val="left"/>
            </w:pPr>
            <w:bookmarkStart w:id="11" w:name="InTheMatterOf"/>
            <w:r>
              <w:t xml:space="preserve"> </w:t>
            </w:r>
            <w:bookmarkEnd w:id="11"/>
          </w:p>
        </w:tc>
      </w:tr>
      <w:tr w:rsidR="00A46CCC" w14:paraId="6183595A" w14:textId="77777777" w:rsidTr="005041F0">
        <w:trPr>
          <w:trHeight w:val="386"/>
        </w:trPr>
        <w:tc>
          <w:tcPr>
            <w:tcW w:w="2376" w:type="dxa"/>
          </w:tcPr>
          <w:p w14:paraId="34273657"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5F5C7800" w14:textId="77777777" w:rsidR="000E4B2B" w:rsidRDefault="000E4B2B" w:rsidP="000E4B2B">
            <w:pPr>
              <w:pStyle w:val="NormalHeadings"/>
              <w:jc w:val="left"/>
            </w:pPr>
            <w:bookmarkStart w:id="13" w:name="Applicant"/>
            <w:r>
              <w:t>DAVID NORMAN KITCHEN</w:t>
            </w:r>
          </w:p>
          <w:p w14:paraId="79749461" w14:textId="77777777" w:rsidR="000E4B2B" w:rsidRDefault="000E4B2B" w:rsidP="000E4B2B">
            <w:pPr>
              <w:pStyle w:val="PartyType"/>
            </w:pPr>
            <w:r>
              <w:t>Applicant</w:t>
            </w:r>
          </w:p>
          <w:bookmarkEnd w:id="13"/>
          <w:p w14:paraId="086D3B29" w14:textId="77777777" w:rsidR="00A46CCC" w:rsidRPr="006555B4" w:rsidRDefault="00A46CCC" w:rsidP="00292416">
            <w:pPr>
              <w:pStyle w:val="NormalHeadings"/>
              <w:jc w:val="left"/>
            </w:pPr>
          </w:p>
        </w:tc>
      </w:tr>
      <w:tr w:rsidR="00A46CCC" w14:paraId="2DF13EA7" w14:textId="77777777" w:rsidTr="005041F0">
        <w:trPr>
          <w:trHeight w:val="386"/>
        </w:trPr>
        <w:tc>
          <w:tcPr>
            <w:tcW w:w="2376" w:type="dxa"/>
          </w:tcPr>
          <w:p w14:paraId="0707BA26" w14:textId="77777777" w:rsidR="00A46CCC" w:rsidRDefault="00A46CCC" w:rsidP="005041F0">
            <w:pPr>
              <w:pStyle w:val="NormalHeadings"/>
              <w:jc w:val="left"/>
              <w:rPr>
                <w:caps/>
                <w:szCs w:val="24"/>
              </w:rPr>
            </w:pPr>
            <w:r>
              <w:rPr>
                <w:caps/>
                <w:szCs w:val="24"/>
              </w:rPr>
              <w:t>AND:</w:t>
            </w:r>
          </w:p>
        </w:tc>
        <w:tc>
          <w:tcPr>
            <w:tcW w:w="6866" w:type="dxa"/>
            <w:gridSpan w:val="2"/>
          </w:tcPr>
          <w:p w14:paraId="4E7CFF39" w14:textId="77777777" w:rsidR="000E4B2B" w:rsidRDefault="000E4B2B" w:rsidP="000E4B2B">
            <w:pPr>
              <w:pStyle w:val="NormalHeadings"/>
              <w:jc w:val="left"/>
            </w:pPr>
            <w:bookmarkStart w:id="14" w:name="Respondent"/>
            <w:r>
              <w:t>DIRECTOR OF PROFESSIONAL SERVICES REVIEW UNDER S 83 OF THE HEALTH INSURANCE ACT 1973 (CTH)</w:t>
            </w:r>
          </w:p>
          <w:p w14:paraId="2C58091F" w14:textId="77777777" w:rsidR="000E4B2B" w:rsidRDefault="000E4B2B" w:rsidP="000E4B2B">
            <w:pPr>
              <w:pStyle w:val="PartyType"/>
            </w:pPr>
            <w:r>
              <w:t>First Respondent</w:t>
            </w:r>
          </w:p>
          <w:p w14:paraId="4862B4D1" w14:textId="77777777" w:rsidR="000E4B2B" w:rsidRDefault="000E4B2B" w:rsidP="00292416">
            <w:pPr>
              <w:pStyle w:val="NormalHeadings"/>
              <w:jc w:val="left"/>
            </w:pPr>
          </w:p>
          <w:p w14:paraId="0DBF8581" w14:textId="77777777" w:rsidR="000E4B2B" w:rsidRDefault="000E4B2B" w:rsidP="000E4B2B">
            <w:pPr>
              <w:pStyle w:val="NormalHeadings"/>
              <w:jc w:val="left"/>
            </w:pPr>
            <w:r>
              <w:t>THE MEMBERS OF PROFESSIONAL SERVICES REVIEW COMMITTEE NO. 1157</w:t>
            </w:r>
          </w:p>
          <w:p w14:paraId="07715599" w14:textId="77777777" w:rsidR="000E4B2B" w:rsidRDefault="000E4B2B" w:rsidP="000E4B2B">
            <w:pPr>
              <w:pStyle w:val="PartyType"/>
            </w:pPr>
            <w:r>
              <w:t>Second Respondent</w:t>
            </w:r>
          </w:p>
          <w:bookmarkEnd w:id="14"/>
          <w:p w14:paraId="21ED76BF" w14:textId="77777777" w:rsidR="00A46CCC" w:rsidRPr="006555B4" w:rsidRDefault="00A46CCC" w:rsidP="00292416">
            <w:pPr>
              <w:pStyle w:val="NormalHeadings"/>
              <w:jc w:val="left"/>
            </w:pPr>
          </w:p>
        </w:tc>
      </w:tr>
    </w:tbl>
    <w:p w14:paraId="1AFD482A"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32A0EA06" w14:textId="77777777">
        <w:tc>
          <w:tcPr>
            <w:tcW w:w="2376" w:type="dxa"/>
          </w:tcPr>
          <w:p w14:paraId="01C62F48" w14:textId="77777777" w:rsidR="00395B24" w:rsidRDefault="000E4B2B">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2B107D3A" w14:textId="77777777" w:rsidR="00395B24" w:rsidRDefault="000E4B2B">
            <w:pPr>
              <w:pStyle w:val="NormalHeadings"/>
              <w:jc w:val="left"/>
              <w:rPr>
                <w:caps/>
                <w:szCs w:val="24"/>
              </w:rPr>
            </w:pPr>
            <w:bookmarkStart w:id="17" w:name="Judge"/>
            <w:r>
              <w:rPr>
                <w:caps/>
                <w:szCs w:val="24"/>
              </w:rPr>
              <w:t>RANGIAH J</w:t>
            </w:r>
            <w:bookmarkEnd w:id="17"/>
          </w:p>
        </w:tc>
      </w:tr>
      <w:tr w:rsidR="00395B24" w14:paraId="1202A8D3" w14:textId="77777777">
        <w:tc>
          <w:tcPr>
            <w:tcW w:w="2376" w:type="dxa"/>
          </w:tcPr>
          <w:p w14:paraId="623EAB63" w14:textId="77777777" w:rsidR="00395B24" w:rsidRDefault="002C7385">
            <w:pPr>
              <w:pStyle w:val="NormalHeadings"/>
              <w:spacing w:after="120"/>
              <w:jc w:val="left"/>
              <w:rPr>
                <w:caps/>
                <w:szCs w:val="24"/>
              </w:rPr>
            </w:pPr>
            <w:r>
              <w:rPr>
                <w:caps/>
                <w:szCs w:val="24"/>
              </w:rPr>
              <w:t>DATE OF ORDER:</w:t>
            </w:r>
          </w:p>
        </w:tc>
        <w:tc>
          <w:tcPr>
            <w:tcW w:w="6866" w:type="dxa"/>
          </w:tcPr>
          <w:p w14:paraId="1941F28C" w14:textId="77777777" w:rsidR="00395B24" w:rsidRDefault="000E4B2B">
            <w:pPr>
              <w:pStyle w:val="NormalHeadings"/>
              <w:jc w:val="left"/>
              <w:rPr>
                <w:caps/>
                <w:szCs w:val="24"/>
              </w:rPr>
            </w:pPr>
            <w:bookmarkStart w:id="18" w:name="Judgment_Dated"/>
            <w:r>
              <w:rPr>
                <w:caps/>
                <w:szCs w:val="24"/>
              </w:rPr>
              <w:t>20 NOVEMBER 2019</w:t>
            </w:r>
            <w:bookmarkEnd w:id="18"/>
          </w:p>
        </w:tc>
      </w:tr>
    </w:tbl>
    <w:p w14:paraId="0B135077" w14:textId="77777777" w:rsidR="00395B24" w:rsidRDefault="00395B24">
      <w:pPr>
        <w:pStyle w:val="NormalHeadings"/>
        <w:rPr>
          <w:b w:val="0"/>
        </w:rPr>
      </w:pPr>
    </w:p>
    <w:p w14:paraId="7F02A657" w14:textId="77777777" w:rsidR="008D1617" w:rsidRDefault="008D1617">
      <w:pPr>
        <w:pStyle w:val="NormalHeadings"/>
        <w:rPr>
          <w:b w:val="0"/>
        </w:rPr>
      </w:pPr>
    </w:p>
    <w:p w14:paraId="23B451E4" w14:textId="77777777" w:rsidR="00395B24" w:rsidRDefault="002C7385">
      <w:pPr>
        <w:pStyle w:val="NormalHeadings"/>
      </w:pPr>
      <w:r>
        <w:t>THE COURT ORDERS THAT:</w:t>
      </w:r>
    </w:p>
    <w:p w14:paraId="57B65C16" w14:textId="77777777" w:rsidR="00395B24" w:rsidRDefault="00395B24">
      <w:pPr>
        <w:pStyle w:val="NormalHeadings"/>
      </w:pPr>
    </w:p>
    <w:p w14:paraId="09F7A40B" w14:textId="77777777" w:rsidR="003C0E13" w:rsidRDefault="003C0E13" w:rsidP="00E32415">
      <w:pPr>
        <w:pStyle w:val="Order1"/>
      </w:pPr>
      <w:bookmarkStart w:id="19" w:name="Order_Start_Text"/>
      <w:bookmarkEnd w:id="19"/>
      <w:r>
        <w:t xml:space="preserve">The application for an interim injunction </w:t>
      </w:r>
      <w:r w:rsidR="00E32415">
        <w:t xml:space="preserve">is </w:t>
      </w:r>
      <w:r>
        <w:t>dismissed.</w:t>
      </w:r>
    </w:p>
    <w:p w14:paraId="7C5CEA9F" w14:textId="77777777" w:rsidR="00E32415" w:rsidRDefault="00E32415" w:rsidP="00E32415">
      <w:pPr>
        <w:pStyle w:val="Order1"/>
      </w:pPr>
      <w:r>
        <w:t>Costs are reserved.</w:t>
      </w:r>
    </w:p>
    <w:p w14:paraId="13A1D18C" w14:textId="77777777" w:rsidR="00395B24" w:rsidRDefault="00395B24" w:rsidP="00E32415">
      <w:pPr>
        <w:pStyle w:val="BodyText"/>
      </w:pPr>
    </w:p>
    <w:p w14:paraId="41F09E08" w14:textId="77777777" w:rsidR="00395B24" w:rsidRDefault="002C7385" w:rsidP="00E32415">
      <w:pPr>
        <w:pStyle w:val="SingleSpace"/>
      </w:pPr>
      <w:r>
        <w:t>Note:</w:t>
      </w:r>
      <w:r>
        <w:tab/>
        <w:t xml:space="preserve">Entry of orders is dealt with in Rule 39.32 of the </w:t>
      </w:r>
      <w:r>
        <w:rPr>
          <w:i/>
        </w:rPr>
        <w:t>Federal Court Rules 2011</w:t>
      </w:r>
      <w:r>
        <w:t>.</w:t>
      </w:r>
    </w:p>
    <w:p w14:paraId="46EB7F42" w14:textId="77777777" w:rsidR="00395B24" w:rsidRDefault="00395B24" w:rsidP="002B0E91">
      <w:pPr>
        <w:pStyle w:val="BodyText"/>
      </w:pPr>
    </w:p>
    <w:p w14:paraId="537DE576" w14:textId="77777777" w:rsidR="00395B24" w:rsidRDefault="00395B24" w:rsidP="001F2DBC">
      <w:pPr>
        <w:pStyle w:val="BodyText"/>
      </w:pPr>
    </w:p>
    <w:p w14:paraId="1FD8BB95" w14:textId="77777777" w:rsidR="0092590B" w:rsidRDefault="0092590B" w:rsidP="002B0E91">
      <w:pPr>
        <w:pStyle w:val="BodyText"/>
      </w:pPr>
    </w:p>
    <w:p w14:paraId="4163563B"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1AEFFECA" w14:textId="77777777"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040E3E57" w14:textId="77777777" w:rsidR="007E00A3" w:rsidRPr="00F01FB0" w:rsidRDefault="007E00A3" w:rsidP="00045BB7">
      <w:pPr>
        <w:pStyle w:val="NormalHeadings"/>
        <w:spacing w:line="480" w:lineRule="auto"/>
        <w:jc w:val="center"/>
        <w:rPr>
          <w:sz w:val="26"/>
          <w:szCs w:val="26"/>
        </w:rPr>
      </w:pPr>
      <w:r w:rsidRPr="00F01FB0">
        <w:rPr>
          <w:sz w:val="26"/>
          <w:szCs w:val="26"/>
        </w:rPr>
        <w:t>(DELIVERED EX TEMPORE AND REVISED)</w:t>
      </w:r>
    </w:p>
    <w:p w14:paraId="317A3080" w14:textId="77777777" w:rsidR="00395B24" w:rsidRPr="00EA03CE" w:rsidRDefault="00292416" w:rsidP="002050FB">
      <w:pPr>
        <w:pStyle w:val="NormalHeadings"/>
      </w:pPr>
      <w:r>
        <w:t>RANGIAH J</w:t>
      </w:r>
      <w:r w:rsidR="00484F6D" w:rsidRPr="00EA03CE">
        <w:t>:</w:t>
      </w:r>
    </w:p>
    <w:p w14:paraId="37A36E60" w14:textId="77777777" w:rsidR="00A36C80" w:rsidRDefault="00292416" w:rsidP="007E00A3">
      <w:pPr>
        <w:pStyle w:val="ParaNumbering"/>
      </w:pPr>
      <w:r>
        <w:t>The applicant has applied for an urgent interim injunction to restrain the second respondent</w:t>
      </w:r>
      <w:r w:rsidR="00E32415">
        <w:t>s, the Members of the Professional Services Review Committee No. 1157</w:t>
      </w:r>
      <w:r>
        <w:t xml:space="preserve"> (</w:t>
      </w:r>
      <w:r w:rsidR="007E00A3" w:rsidRPr="007E00A3">
        <w:rPr>
          <w:b/>
        </w:rPr>
        <w:t>the Committee</w:t>
      </w:r>
      <w:r>
        <w:t>)</w:t>
      </w:r>
      <w:r w:rsidR="00E32415">
        <w:t>,</w:t>
      </w:r>
      <w:r>
        <w:t xml:space="preserve"> from conducting a hearing on 20 and 21 November 2019.  </w:t>
      </w:r>
    </w:p>
    <w:p w14:paraId="13CE247B" w14:textId="77777777" w:rsidR="00292416" w:rsidRDefault="00292416" w:rsidP="007E00A3">
      <w:pPr>
        <w:pStyle w:val="ParaNumbering"/>
      </w:pPr>
      <w:r>
        <w:t xml:space="preserve">The principal basis for the application is the applicant’s assertion that he will be denied procedural fairness or natural justice.  He alleges that the Committee has provided him with insufficient notice of the proposed hearing and an inadequate opportunity to prepare for it.  </w:t>
      </w:r>
    </w:p>
    <w:p w14:paraId="665A40B9" w14:textId="77777777" w:rsidR="00A36C80" w:rsidRDefault="00292416" w:rsidP="00292416">
      <w:pPr>
        <w:pStyle w:val="ParaNumbering"/>
      </w:pPr>
      <w:r>
        <w:t>On 14 Nove</w:t>
      </w:r>
      <w:r w:rsidR="007E00A3">
        <w:t>mber 2018, the first respondent</w:t>
      </w:r>
      <w:r w:rsidR="00E32415">
        <w:t>, the Director of Professional Services Review</w:t>
      </w:r>
      <w:r>
        <w:t xml:space="preserve"> </w:t>
      </w:r>
      <w:r w:rsidR="007E00A3">
        <w:t>(</w:t>
      </w:r>
      <w:r w:rsidRPr="007E00A3">
        <w:rPr>
          <w:b/>
        </w:rPr>
        <w:t xml:space="preserve">the </w:t>
      </w:r>
      <w:r w:rsidR="007E00A3" w:rsidRPr="007E00A3">
        <w:rPr>
          <w:b/>
        </w:rPr>
        <w:t>Director</w:t>
      </w:r>
      <w:r w:rsidR="007E00A3">
        <w:t>)</w:t>
      </w:r>
      <w:r>
        <w:t xml:space="preserve"> made a referral to the </w:t>
      </w:r>
      <w:r w:rsidR="007E00A3">
        <w:t>Committee</w:t>
      </w:r>
      <w:r>
        <w:t xml:space="preserve"> under s 93 of the </w:t>
      </w:r>
      <w:r w:rsidRPr="007E00A3">
        <w:rPr>
          <w:i/>
        </w:rPr>
        <w:t>Health Insurance Act 1973</w:t>
      </w:r>
      <w:r>
        <w:t xml:space="preserve"> </w:t>
      </w:r>
      <w:r w:rsidR="007E00A3">
        <w:t xml:space="preserve">(Cth) </w:t>
      </w:r>
      <w:r>
        <w:t xml:space="preserve">to investigate whether the applicant engaged in inappropriate </w:t>
      </w:r>
      <w:r w:rsidR="00C24474">
        <w:t>practice</w:t>
      </w:r>
      <w:r>
        <w:t xml:space="preserve"> in providing specified services.  </w:t>
      </w:r>
    </w:p>
    <w:p w14:paraId="2F71E255" w14:textId="77777777" w:rsidR="00292416" w:rsidRDefault="00292416" w:rsidP="00292416">
      <w:pPr>
        <w:pStyle w:val="ParaNumbering"/>
      </w:pPr>
      <w:r>
        <w:t xml:space="preserve">The </w:t>
      </w:r>
      <w:r w:rsidR="00EA06F6">
        <w:t>Committee</w:t>
      </w:r>
      <w:r>
        <w:t xml:space="preserve"> has already conducted a number of hearings.  In respect of those hearings, the applicant complained of the absence of particulars of the concerns held by the </w:t>
      </w:r>
      <w:r w:rsidR="00EA06F6">
        <w:t>Committee</w:t>
      </w:r>
      <w:r>
        <w:t xml:space="preserve">.  </w:t>
      </w:r>
    </w:p>
    <w:p w14:paraId="3F04AAA6" w14:textId="77777777" w:rsidR="00E32415" w:rsidRDefault="00292416" w:rsidP="00292416">
      <w:pPr>
        <w:pStyle w:val="ParaNumbering"/>
      </w:pPr>
      <w:r>
        <w:t xml:space="preserve">On 5 November 2019, the </w:t>
      </w:r>
      <w:r w:rsidR="00EA06F6">
        <w:t>Committee</w:t>
      </w:r>
      <w:r>
        <w:t xml:space="preserve"> notified the applicant that it intended to conduct </w:t>
      </w:r>
      <w:r w:rsidR="00E32415">
        <w:t xml:space="preserve">a </w:t>
      </w:r>
      <w:r>
        <w:t>further hearing on 20 and 21 November 2019</w:t>
      </w:r>
      <w:r w:rsidR="00E32415">
        <w:t xml:space="preserve"> (</w:t>
      </w:r>
      <w:r w:rsidR="00E32415">
        <w:rPr>
          <w:b/>
        </w:rPr>
        <w:t>the proposed hearing</w:t>
      </w:r>
      <w:r w:rsidR="00E32415">
        <w:t>)</w:t>
      </w:r>
      <w:r>
        <w:t xml:space="preserve">.  The </w:t>
      </w:r>
      <w:r w:rsidR="00EA06F6">
        <w:t>Committee</w:t>
      </w:r>
      <w:r>
        <w:t xml:space="preserve"> provided particulars of its concerns.  The applicant does not complain </w:t>
      </w:r>
      <w:r w:rsidR="00797DA7">
        <w:t>about</w:t>
      </w:r>
      <w:r>
        <w:t xml:space="preserve"> the adequacy of the particulars.  He maintains, however, that the time allowed to him to prepare for the hearing is inadequate.  </w:t>
      </w:r>
    </w:p>
    <w:p w14:paraId="31137EFE" w14:textId="77777777" w:rsidR="00292416" w:rsidRDefault="00292416" w:rsidP="00292416">
      <w:pPr>
        <w:pStyle w:val="ParaNumbering"/>
      </w:pPr>
      <w:r>
        <w:t xml:space="preserve">The issues in the application are whether the applicant has demonstrated a prima facie case that he will be denied procedural fairness by the conduct of the proposed hearing and whether the balance of convenience favours the grant of an injunction restraining the </w:t>
      </w:r>
      <w:r w:rsidR="00EA06F6">
        <w:t>Committee</w:t>
      </w:r>
      <w:r>
        <w:t xml:space="preserve"> from conducting the proposed hearing.</w:t>
      </w:r>
    </w:p>
    <w:p w14:paraId="53FBA433" w14:textId="77777777" w:rsidR="005A68F3" w:rsidRDefault="00292416" w:rsidP="00292416">
      <w:pPr>
        <w:pStyle w:val="ParaNumbering"/>
      </w:pPr>
      <w:r>
        <w:t xml:space="preserve">In </w:t>
      </w:r>
      <w:r w:rsidRPr="00EA06F6">
        <w:rPr>
          <w:i/>
        </w:rPr>
        <w:t>Y</w:t>
      </w:r>
      <w:r w:rsidR="00C24474">
        <w:rPr>
          <w:i/>
        </w:rPr>
        <w:t>u</w:t>
      </w:r>
      <w:r w:rsidRPr="00EA06F6">
        <w:rPr>
          <w:i/>
        </w:rPr>
        <w:t>ng v Adams</w:t>
      </w:r>
      <w:r w:rsidR="00C24474">
        <w:t xml:space="preserve"> (1997) 80 FCR 453</w:t>
      </w:r>
      <w:r>
        <w:t>, Davies J said, at 458</w:t>
      </w:r>
      <w:r w:rsidR="005A68F3">
        <w:t>:</w:t>
      </w:r>
    </w:p>
    <w:p w14:paraId="77D70EC4" w14:textId="77777777" w:rsidR="00C24474" w:rsidRDefault="00C24474" w:rsidP="00C24474">
      <w:pPr>
        <w:pStyle w:val="Quote1"/>
      </w:pPr>
      <w:r>
        <w:t xml:space="preserve">As can be seen therefore, although the process undertaken by a Professional Services Review Committee is essentially investigative and the Committee does not in itself make an order of a disciplinary nature, the principles of natural justice apply so that, except in a simple case where the ambit of the investigation and the subject matter of possible findings are defined by the reference which has initiated the inquiry, the Committee should at some stage make it clear to the medical practitioner whose affairs are under investigation what are the possible findings which are the subject of the </w:t>
      </w:r>
      <w:r>
        <w:lastRenderedPageBreak/>
        <w:t>investigation and what are the grounds on which those findings might be made. The medical practitioner should be given a fair opportunity to explain why those findings should not be made.</w:t>
      </w:r>
    </w:p>
    <w:p w14:paraId="105E7808" w14:textId="77777777" w:rsidR="00C24474" w:rsidRDefault="00C24474" w:rsidP="00C24474">
      <w:pPr>
        <w:pStyle w:val="Quote1"/>
      </w:pPr>
      <w:r>
        <w:t>…</w:t>
      </w:r>
    </w:p>
    <w:p w14:paraId="132F8414" w14:textId="77777777" w:rsidR="00C24474" w:rsidRDefault="00C24474" w:rsidP="00C24474">
      <w:pPr>
        <w:pStyle w:val="Quote1"/>
      </w:pPr>
      <w:r>
        <w:t>Section 102 of the Act provides that the notice of hearing "must give particulars of the matter to which the hearing relates". However, compliance with that requirement does not end the responsibility of the Committee to provide information in the nature of particulars. At the beginning of the inquiry, the Committee may well not have formulated likely or possible findings or the grounds upon which they might be made. As the inquiry proceeds, the Committee should give such further particulars or information of a like nature as is necessary to make it clear to the medical practitioner what are the matters to which he or she should respond.</w:t>
      </w:r>
    </w:p>
    <w:p w14:paraId="20EABD72" w14:textId="77777777" w:rsidR="00292416" w:rsidRPr="00577647" w:rsidRDefault="00797DA7" w:rsidP="00577647">
      <w:pPr>
        <w:pStyle w:val="NoNum"/>
      </w:pPr>
      <w:r w:rsidRPr="00797DA7">
        <w:t xml:space="preserve">The judgment of Davies J was approved on appeal and in subsequent cases:  see </w:t>
      </w:r>
      <w:r w:rsidRPr="00797DA7">
        <w:rPr>
          <w:i/>
        </w:rPr>
        <w:t>Adams v Yung</w:t>
      </w:r>
      <w:r w:rsidRPr="00797DA7">
        <w:t xml:space="preserve"> (1998) 83 FCR 148; </w:t>
      </w:r>
      <w:r w:rsidRPr="00797DA7">
        <w:rPr>
          <w:i/>
        </w:rPr>
        <w:t>Kutlu v Director of Professional Services Review</w:t>
      </w:r>
      <w:r w:rsidRPr="00797DA7">
        <w:t xml:space="preserve"> (2011) 197 FCR 177 at [86]; </w:t>
      </w:r>
      <w:r w:rsidRPr="00797DA7">
        <w:rPr>
          <w:i/>
        </w:rPr>
        <w:t>Health Insurance Commission v Grey</w:t>
      </w:r>
      <w:r w:rsidRPr="00797DA7">
        <w:t xml:space="preserve"> (2002) 120 FCR 470 at [97]–[120].</w:t>
      </w:r>
    </w:p>
    <w:p w14:paraId="68729182" w14:textId="77777777" w:rsidR="00C24474" w:rsidRDefault="00292416" w:rsidP="00292416">
      <w:pPr>
        <w:pStyle w:val="ParaNumbering"/>
      </w:pPr>
      <w:r>
        <w:t xml:space="preserve">I accept that the </w:t>
      </w:r>
      <w:r w:rsidR="00EA06F6">
        <w:t>Committee</w:t>
      </w:r>
      <w:r>
        <w:t xml:space="preserve"> owes an obligation of procedural fairness to the applicant in the conduct of the investigation.  However, it must be examined whether the applicant has demonstrated a prima facie case that he will be denied procedural fairness by reason of the conduct of the proposed hearing.  </w:t>
      </w:r>
    </w:p>
    <w:p w14:paraId="0E4512EE" w14:textId="77777777" w:rsidR="00292416" w:rsidRDefault="00292416" w:rsidP="00292416">
      <w:pPr>
        <w:pStyle w:val="ParaNumbering"/>
      </w:pPr>
      <w:r>
        <w:t>It is relevant that on 8 November 2019</w:t>
      </w:r>
      <w:r w:rsidR="00175D95">
        <w:t>,</w:t>
      </w:r>
      <w:r>
        <w:t xml:space="preserve"> the </w:t>
      </w:r>
      <w:r w:rsidR="00EA06F6">
        <w:t>Committee</w:t>
      </w:r>
      <w:r>
        <w:t xml:space="preserve"> wrote to the applicant indicating that it was open to the applicant </w:t>
      </w:r>
      <w:r w:rsidR="00E32415">
        <w:t>providing</w:t>
      </w:r>
      <w:r>
        <w:t xml:space="preserve"> affidavit evidence about the concerns raised in its letter of 5 November 2011, with questioning about the contents of the affidavit to follow at a later time.  Implicitly, the </w:t>
      </w:r>
      <w:r w:rsidR="00EA06F6">
        <w:t>Committee</w:t>
      </w:r>
      <w:r>
        <w:t xml:space="preserve"> accepted that the proposed hearing would not proceed in respect of those concerns</w:t>
      </w:r>
      <w:r w:rsidR="00CA78AF">
        <w:t xml:space="preserve"> on the scheduled dates</w:t>
      </w:r>
      <w:r>
        <w:t xml:space="preserve">. </w:t>
      </w:r>
    </w:p>
    <w:p w14:paraId="0AF3DAC1" w14:textId="77777777" w:rsidR="00175D95" w:rsidRDefault="00292416" w:rsidP="00292416">
      <w:pPr>
        <w:pStyle w:val="ParaNumbering"/>
      </w:pPr>
      <w:r>
        <w:t xml:space="preserve">The </w:t>
      </w:r>
      <w:r w:rsidR="00EA06F6">
        <w:t>Committee</w:t>
      </w:r>
      <w:r>
        <w:t xml:space="preserve">’s letter of 8 November indicated that the proposed hearing would </w:t>
      </w:r>
      <w:r w:rsidR="00CA78AF">
        <w:t xml:space="preserve">instead </w:t>
      </w:r>
      <w:r>
        <w:t xml:space="preserve">proceed upon three matters.  The </w:t>
      </w:r>
      <w:r w:rsidR="00EA06F6">
        <w:t>Committee</w:t>
      </w:r>
      <w:r>
        <w:t xml:space="preserve">’s counsel has clarified that those matters are:  </w:t>
      </w:r>
    </w:p>
    <w:p w14:paraId="481BCA9F" w14:textId="77777777" w:rsidR="00175D95" w:rsidRDefault="00292416" w:rsidP="00175D95">
      <w:pPr>
        <w:pStyle w:val="ListNo1"/>
      </w:pPr>
      <w:r>
        <w:t>general questions about how records are kept and stored</w:t>
      </w:r>
      <w:r w:rsidR="00CA78AF">
        <w:t>,</w:t>
      </w:r>
      <w:r>
        <w:t xml:space="preserve"> and when records are created</w:t>
      </w:r>
      <w:r w:rsidR="00CA78AF">
        <w:t>,</w:t>
      </w:r>
      <w:r>
        <w:t xml:space="preserve"> in the applicant’s </w:t>
      </w:r>
      <w:r w:rsidR="00C24474">
        <w:t>practice</w:t>
      </w:r>
      <w:r w:rsidR="00175D95">
        <w:t>;</w:t>
      </w:r>
    </w:p>
    <w:p w14:paraId="6D390B8D" w14:textId="77777777" w:rsidR="00175D95" w:rsidRDefault="00292416" w:rsidP="00175D95">
      <w:pPr>
        <w:pStyle w:val="ListNo1"/>
      </w:pPr>
      <w:r>
        <w:t>general questions about how the applicant provides procedures for the types of ser</w:t>
      </w:r>
      <w:r w:rsidR="00175D95">
        <w:t>vices the subject of the review;</w:t>
      </w:r>
      <w:r w:rsidR="00C24474">
        <w:t xml:space="preserve"> and</w:t>
      </w:r>
    </w:p>
    <w:p w14:paraId="407D1F9A" w14:textId="77777777" w:rsidR="00292416" w:rsidRDefault="00292416" w:rsidP="00175D95">
      <w:pPr>
        <w:pStyle w:val="ListNo1"/>
      </w:pPr>
      <w:r>
        <w:t xml:space="preserve">questions concerning the qualifications of </w:t>
      </w:r>
      <w:r w:rsidR="00794981">
        <w:t xml:space="preserve">assistants, </w:t>
      </w:r>
      <w:r>
        <w:t xml:space="preserve">which will involve clarification of material already provided by the applicant.  </w:t>
      </w:r>
    </w:p>
    <w:p w14:paraId="1B3228B2" w14:textId="77777777" w:rsidR="00CA78AF" w:rsidRDefault="00292416" w:rsidP="00577647">
      <w:pPr>
        <w:pStyle w:val="ParaNumbering"/>
        <w:keepNext/>
        <w:keepLines/>
      </w:pPr>
      <w:r>
        <w:lastRenderedPageBreak/>
        <w:t xml:space="preserve">The applicant has not responded to the </w:t>
      </w:r>
      <w:r w:rsidR="00EA06F6">
        <w:t>Committee</w:t>
      </w:r>
      <w:r>
        <w:t xml:space="preserve">’s offer to address its concerns by way of affidavit.  The applicant has complained that he has not been given enough time to address those matters.  However, when given </w:t>
      </w:r>
      <w:r w:rsidR="00794981">
        <w:t xml:space="preserve">the </w:t>
      </w:r>
      <w:r>
        <w:t>opportunity</w:t>
      </w:r>
      <w:r w:rsidR="00794981">
        <w:t xml:space="preserve"> for more time</w:t>
      </w:r>
      <w:r>
        <w:t xml:space="preserve">, he has not taken it up.  It remains open to him to agree to present his evidence upon those matters by affidavit or, alternatively, to seek to provide oral evidence about those matters at a later stage.  </w:t>
      </w:r>
    </w:p>
    <w:p w14:paraId="6E4FEEA8" w14:textId="77777777" w:rsidR="00292416" w:rsidRDefault="00292416" w:rsidP="0019224D">
      <w:pPr>
        <w:pStyle w:val="ParaNumbering"/>
      </w:pPr>
      <w:r>
        <w:t xml:space="preserve">The </w:t>
      </w:r>
      <w:r w:rsidR="00EA06F6">
        <w:t>Committee</w:t>
      </w:r>
      <w:r>
        <w:t xml:space="preserve">’s counsel has made it clear that the </w:t>
      </w:r>
      <w:r w:rsidR="00EA06F6">
        <w:t>Committee</w:t>
      </w:r>
      <w:r>
        <w:t xml:space="preserve"> is open to the provision of </w:t>
      </w:r>
      <w:r w:rsidR="00CA78AF">
        <w:t xml:space="preserve">any </w:t>
      </w:r>
      <w:r>
        <w:t>further information and evidence by the applicant at a later stage.</w:t>
      </w:r>
      <w:r w:rsidR="00CA78AF">
        <w:t xml:space="preserve">  </w:t>
      </w:r>
      <w:r>
        <w:t xml:space="preserve">The applicant asserts, nevertheless, </w:t>
      </w:r>
      <w:r w:rsidR="00CA78AF">
        <w:t xml:space="preserve">that he </w:t>
      </w:r>
      <w:r>
        <w:t xml:space="preserve">requires more time to prepare to answer the </w:t>
      </w:r>
      <w:r w:rsidR="00EA06F6">
        <w:t>Committee</w:t>
      </w:r>
      <w:r>
        <w:t>’s questions concerning the matters that it has indicated it intends to proceed upon in the proposed hearing.  I do not accept that claim.  The subjects of the proposed questioning are matters of</w:t>
      </w:r>
      <w:r w:rsidR="00CA78AF">
        <w:t xml:space="preserve"> general practice and clarification of</w:t>
      </w:r>
      <w:r>
        <w:t xml:space="preserve"> information that the applicant has already provided.  I consider that the applicant has had adequate time to prepare to answer questions upon these matters.</w:t>
      </w:r>
    </w:p>
    <w:p w14:paraId="0B839381" w14:textId="77777777" w:rsidR="00292416" w:rsidRPr="00547011" w:rsidRDefault="00292416" w:rsidP="00292416">
      <w:pPr>
        <w:pStyle w:val="ParaNumbering"/>
      </w:pPr>
      <w:r w:rsidRPr="00547011">
        <w:t xml:space="preserve">In considering whether there is a prima facie case of denial of procedural fairness, it is relevant that a substantial part of the </w:t>
      </w:r>
      <w:r w:rsidR="00EA06F6" w:rsidRPr="00547011">
        <w:t>Committee</w:t>
      </w:r>
      <w:r w:rsidRPr="00547011">
        <w:t>’s</w:t>
      </w:r>
      <w:r w:rsidR="007C0C85" w:rsidRPr="00547011">
        <w:t xml:space="preserve"> role</w:t>
      </w:r>
      <w:r w:rsidRPr="00547011">
        <w:t xml:space="preserve"> is to investigate whether the person under review has engaged in inappropriate </w:t>
      </w:r>
      <w:r w:rsidR="00577647">
        <w:t xml:space="preserve">practice </w:t>
      </w:r>
      <w:r w:rsidRPr="00547011">
        <w:t xml:space="preserve">and </w:t>
      </w:r>
      <w:r w:rsidR="0053036C">
        <w:t xml:space="preserve">that </w:t>
      </w:r>
      <w:r w:rsidRPr="00547011">
        <w:t>such an investigation is likely to proceed in stages.  As Davies J observed in</w:t>
      </w:r>
      <w:r w:rsidR="007C0C85" w:rsidRPr="00547011">
        <w:t xml:space="preserve"> </w:t>
      </w:r>
      <w:r w:rsidR="007C0C85" w:rsidRPr="00547011">
        <w:rPr>
          <w:i/>
        </w:rPr>
        <w:t>Yung</w:t>
      </w:r>
      <w:r w:rsidR="00794981">
        <w:t xml:space="preserve"> at 458</w:t>
      </w:r>
      <w:r w:rsidRPr="00547011">
        <w:t xml:space="preserve">, particulars do have to be provided </w:t>
      </w:r>
      <w:r w:rsidR="00794981">
        <w:t>“</w:t>
      </w:r>
      <w:r w:rsidRPr="00547011">
        <w:t>at some stage</w:t>
      </w:r>
      <w:r w:rsidR="00794981">
        <w:t>”</w:t>
      </w:r>
      <w:r w:rsidRPr="00547011">
        <w:t xml:space="preserve"> before the preliminary report is provided.  However, it is far from clear that that stage has been reached.  The investigation is ongoing.  </w:t>
      </w:r>
    </w:p>
    <w:p w14:paraId="51BE61B4" w14:textId="77777777" w:rsidR="0005722B" w:rsidRDefault="0005722B" w:rsidP="0005722B">
      <w:pPr>
        <w:pStyle w:val="ParaNumbering"/>
      </w:pPr>
      <w:r>
        <w:t>The statutory scheme provides for the Committee to investigate whether the person under review engaged in inappropriate practice in relation to specified service:  s 93(1).  Where it appears to the Committee that the person under review may have engaged in inappropriate practice, it must hold a hearing: s 101(2).  The Committee must prepare a draft report of preliminary findings, setting out, inter alia, its reasons for the preliminary findings: s 106KD(1).  The Committee must give the person under investigation the preliminary findings and invite the person to provide, within one month, written submissions suggesting changes to the draft report:  s 106KD(2).  The Committee then prepares a final report: s 106C(1).  If a finding of inappropriate practice is made, the matter then proceeds before the Determining Authority.</w:t>
      </w:r>
    </w:p>
    <w:p w14:paraId="0FB705D1" w14:textId="77777777" w:rsidR="00175D95" w:rsidRDefault="00292416" w:rsidP="0005722B">
      <w:pPr>
        <w:pStyle w:val="ParaNumbering"/>
        <w:keepNext/>
        <w:keepLines/>
      </w:pPr>
      <w:r>
        <w:lastRenderedPageBreak/>
        <w:t xml:space="preserve">In </w:t>
      </w:r>
      <w:r w:rsidRPr="00175D95">
        <w:rPr>
          <w:i/>
        </w:rPr>
        <w:t>Romeo v Asher</w:t>
      </w:r>
      <w:r w:rsidR="00577647">
        <w:rPr>
          <w:i/>
        </w:rPr>
        <w:t xml:space="preserve"> </w:t>
      </w:r>
      <w:r w:rsidR="00577647" w:rsidRPr="00577647">
        <w:t>(1991) 29 FCR 343</w:t>
      </w:r>
      <w:r>
        <w:t>, Morl</w:t>
      </w:r>
      <w:r w:rsidR="00C721EE">
        <w:t>ing and Neaves JJ stated at 349–</w:t>
      </w:r>
      <w:r w:rsidR="007C0C85">
        <w:t>350</w:t>
      </w:r>
      <w:r w:rsidR="00175D95">
        <w:t>:</w:t>
      </w:r>
    </w:p>
    <w:p w14:paraId="7B66EB14" w14:textId="77777777" w:rsidR="007C0C85" w:rsidRDefault="007C0C85" w:rsidP="0005722B">
      <w:pPr>
        <w:pStyle w:val="Quote1"/>
        <w:keepNext/>
        <w:keepLines/>
      </w:pPr>
      <w:r>
        <w:t xml:space="preserve">It is, however, quite a different question whether the court should interfere in the conduct of a hearing in the manner suggested by the appellants. While this Court has a general supervisory role under the </w:t>
      </w:r>
      <w:r w:rsidRPr="007C0C85">
        <w:rPr>
          <w:i/>
        </w:rPr>
        <w:t>Administrative Decisions (Judicial Review) Act</w:t>
      </w:r>
      <w:r>
        <w:t xml:space="preserve"> in relation to the conduct of inquiries for which the </w:t>
      </w:r>
      <w:r w:rsidRPr="007C0C85">
        <w:rPr>
          <w:i/>
        </w:rPr>
        <w:t>Health Insurance Act</w:t>
      </w:r>
      <w:r>
        <w:t xml:space="preserve"> provides, the court will not, unless compelling circumstances are shown, examine the material before a Committee at any particular stage of a hearing which it is conducting in order to determine, in the abstract, whether, if a particular finding is made, the making of that finding may vitiate the Committee's report because of an absence of procedural fairness. It is only after the findings of the Committee are known that such an inquir</w:t>
      </w:r>
      <w:r w:rsidR="004410F3">
        <w:t>y can profitably be undertaken...</w:t>
      </w:r>
      <w:r>
        <w:t>In the circumstances of the present case, the court would not, we think, be justified in assuming that the Committee will proceed to make findings upon any matter of which the appellants have not had adequate notice. That is to say we do not think the conclusion can yet be reached that the Committee has denied the appellants their undoubted right to natural justice.</w:t>
      </w:r>
    </w:p>
    <w:p w14:paraId="36555B66" w14:textId="77777777" w:rsidR="00292416" w:rsidRDefault="00292416" w:rsidP="00175D95">
      <w:pPr>
        <w:pStyle w:val="ParaNumbering"/>
      </w:pPr>
      <w:r>
        <w:t xml:space="preserve">That passage has application in the present case.  I do not think that a conclusion can yet be reached that </w:t>
      </w:r>
      <w:r w:rsidR="0053036C">
        <w:t xml:space="preserve">by proceeding with the proposed hearing </w:t>
      </w:r>
      <w:r>
        <w:t xml:space="preserve">the </w:t>
      </w:r>
      <w:r w:rsidR="00EA06F6">
        <w:t>Committee</w:t>
      </w:r>
      <w:r>
        <w:t xml:space="preserve"> will</w:t>
      </w:r>
      <w:r w:rsidR="00BF4335">
        <w:t>, or is likely to,</w:t>
      </w:r>
      <w:r>
        <w:t xml:space="preserve"> deny the applicant his right to natural justice</w:t>
      </w:r>
      <w:r w:rsidR="00175D95">
        <w:t>.</w:t>
      </w:r>
    </w:p>
    <w:p w14:paraId="03A018B9" w14:textId="77777777" w:rsidR="00292416" w:rsidRDefault="00292416" w:rsidP="00292416">
      <w:pPr>
        <w:pStyle w:val="ParaNumbering"/>
      </w:pPr>
      <w:r>
        <w:t xml:space="preserve">The </w:t>
      </w:r>
      <w:r w:rsidR="00EA06F6">
        <w:t>Committee</w:t>
      </w:r>
      <w:r>
        <w:t xml:space="preserve"> has made it clear that the proposed hearing will not be the final hearing held.  The </w:t>
      </w:r>
      <w:r w:rsidR="00EA06F6">
        <w:t>Committee</w:t>
      </w:r>
      <w:r>
        <w:t xml:space="preserve"> has also indicated that it will provide the applicant with further opportunities to call evidence and to make submissions.  </w:t>
      </w:r>
      <w:r w:rsidR="00BF4335">
        <w:t xml:space="preserve">The proposed hearing must be considered as part of the whole of the investigation.  </w:t>
      </w:r>
      <w:r>
        <w:t xml:space="preserve">In my opinion, it has not been demonstrated, on a prima facie basis, that if the hearing proceeds on the limited basis now proposed, the applicant will </w:t>
      </w:r>
      <w:r w:rsidR="00BF4335">
        <w:t xml:space="preserve">or may </w:t>
      </w:r>
      <w:r>
        <w:t xml:space="preserve">be denied procedural fairness.  </w:t>
      </w:r>
    </w:p>
    <w:p w14:paraId="2FE11B51" w14:textId="77777777" w:rsidR="00BF4335" w:rsidRDefault="00292416" w:rsidP="00292416">
      <w:pPr>
        <w:pStyle w:val="ParaNumbering"/>
      </w:pPr>
      <w:r>
        <w:t xml:space="preserve">In these circumstances, I am not satisfied that the applicant has demonstrated a prima facie case of denial of procedural fairness by reason of inadequate notice of the hearing.  </w:t>
      </w:r>
    </w:p>
    <w:p w14:paraId="69E1CF69" w14:textId="77777777" w:rsidR="00095A11" w:rsidRDefault="00292416" w:rsidP="00292416">
      <w:pPr>
        <w:pStyle w:val="ParaNumbering"/>
      </w:pPr>
      <w:r>
        <w:t xml:space="preserve">The applicant has also submitted that the </w:t>
      </w:r>
      <w:r w:rsidR="00EA06F6">
        <w:t>Committee</w:t>
      </w:r>
      <w:r>
        <w:t xml:space="preserve"> has no jurisdiction because the methodology </w:t>
      </w:r>
      <w:r w:rsidR="00BF4335">
        <w:t xml:space="preserve">required </w:t>
      </w:r>
      <w:r>
        <w:t>for the use of samples under s 106K of the Act has not been used.  Even assuming a prima facie case in that regard, the applicant has not adequately explained his delay in commencing the present proceedings and seeking an injunction on that basis.  I consider that</w:t>
      </w:r>
      <w:r w:rsidR="00BF4335">
        <w:t>, in the circumstances,</w:t>
      </w:r>
      <w:r>
        <w:t xml:space="preserve"> an urgent interim injunction should not be granted on that basis.  </w:t>
      </w:r>
    </w:p>
    <w:p w14:paraId="16DED8F2" w14:textId="77777777" w:rsidR="00484F6D" w:rsidRDefault="00292416" w:rsidP="00014428">
      <w:pPr>
        <w:pStyle w:val="ParaNumbering"/>
        <w:keepNext/>
        <w:keepLines/>
      </w:pPr>
      <w:r>
        <w:lastRenderedPageBreak/>
        <w:t>The application for an interim injunction will be dismissed.</w:t>
      </w:r>
    </w:p>
    <w:p w14:paraId="7E3581AB" w14:textId="77777777" w:rsidR="00292416" w:rsidRDefault="00292416" w:rsidP="00014428">
      <w:pPr>
        <w:pStyle w:val="BodyText"/>
        <w:keepNext/>
        <w:keepLines/>
      </w:pPr>
    </w:p>
    <w:tbl>
      <w:tblPr>
        <w:tblW w:w="0" w:type="auto"/>
        <w:tblLook w:val="04A0" w:firstRow="1" w:lastRow="0" w:firstColumn="1" w:lastColumn="0" w:noHBand="0" w:noVBand="1"/>
      </w:tblPr>
      <w:tblGrid>
        <w:gridCol w:w="3794"/>
      </w:tblGrid>
      <w:tr w:rsidR="00A014E1" w:rsidRPr="00A014E1" w14:paraId="0BBEC3DD" w14:textId="77777777">
        <w:tc>
          <w:tcPr>
            <w:tcW w:w="3794" w:type="dxa"/>
            <w:shd w:val="clear" w:color="auto" w:fill="auto"/>
          </w:tcPr>
          <w:p w14:paraId="65BC8171" w14:textId="77777777" w:rsidR="00A014E1" w:rsidRPr="00A014E1" w:rsidRDefault="00A014E1" w:rsidP="00014428">
            <w:pPr>
              <w:pStyle w:val="Normal1linespace"/>
              <w:keepNext/>
              <w:keepLines/>
            </w:pPr>
            <w:bookmarkStart w:id="21" w:name="Certification"/>
            <w:r w:rsidRPr="00A014E1">
              <w:t xml:space="preserve">I certify that the preceding </w:t>
            </w:r>
            <w:bookmarkStart w:id="22" w:name="NumberWord"/>
            <w:r w:rsidR="00DE0DCB">
              <w:t>twenty</w:t>
            </w:r>
            <w:bookmarkEnd w:id="22"/>
            <w:r w:rsidRPr="00A014E1">
              <w:t xml:space="preserve"> (</w:t>
            </w:r>
            <w:bookmarkStart w:id="23" w:name="NumberNumeral"/>
            <w:r w:rsidR="00DE0DCB">
              <w:t>20</w:t>
            </w:r>
            <w:bookmarkEnd w:id="23"/>
            <w:r w:rsidRPr="00A014E1">
              <w:t xml:space="preserve">) numbered </w:t>
            </w:r>
            <w:bookmarkStart w:id="24" w:name="CertPara"/>
            <w:r w:rsidR="00DE0DCB">
              <w:t>paragraphs are</w:t>
            </w:r>
            <w:bookmarkEnd w:id="24"/>
            <w:r w:rsidRPr="00A014E1">
              <w:t xml:space="preserve"> a true copy of the Reasons for Judgment herein of the Honourable </w:t>
            </w:r>
            <w:bookmarkStart w:id="25" w:name="Justice"/>
            <w:r>
              <w:t>Justice Rangiah</w:t>
            </w:r>
            <w:bookmarkEnd w:id="25"/>
            <w:r w:rsidRPr="00A014E1">
              <w:t>.</w:t>
            </w:r>
          </w:p>
        </w:tc>
      </w:tr>
    </w:tbl>
    <w:p w14:paraId="306CB9C5" w14:textId="77777777" w:rsidR="00A014E1" w:rsidRDefault="00A014E1" w:rsidP="00014428">
      <w:pPr>
        <w:pStyle w:val="BodyText"/>
        <w:keepNext/>
        <w:keepLines/>
      </w:pPr>
    </w:p>
    <w:p w14:paraId="561F9527" w14:textId="099B99E2" w:rsidR="00A014E1" w:rsidRDefault="00A014E1" w:rsidP="00014428">
      <w:pPr>
        <w:pStyle w:val="BodyText"/>
        <w:keepNext/>
        <w:keepLines/>
      </w:pPr>
      <w:r>
        <w:t>Associate:</w:t>
      </w:r>
      <w:r>
        <w:tab/>
      </w:r>
      <w:bookmarkStart w:id="26" w:name="_GoBack"/>
      <w:bookmarkEnd w:id="26"/>
    </w:p>
    <w:p w14:paraId="14A9EA2A" w14:textId="77777777" w:rsidR="00A014E1" w:rsidRDefault="00A014E1" w:rsidP="00014428">
      <w:pPr>
        <w:pStyle w:val="BodyText"/>
        <w:keepNext/>
        <w:keepLines/>
      </w:pPr>
    </w:p>
    <w:p w14:paraId="5588FD70" w14:textId="77777777" w:rsidR="00A014E1" w:rsidRDefault="00A014E1" w:rsidP="00014428">
      <w:pPr>
        <w:pStyle w:val="BodyText"/>
        <w:keepNext/>
        <w:keepLines/>
        <w:tabs>
          <w:tab w:val="left" w:pos="1134"/>
        </w:tabs>
      </w:pPr>
      <w:r>
        <w:t>Dated:</w:t>
      </w:r>
      <w:r>
        <w:tab/>
      </w:r>
      <w:bookmarkStart w:id="27" w:name="CertifyDated"/>
      <w:r w:rsidR="00BA5052">
        <w:t>2</w:t>
      </w:r>
      <w:r w:rsidR="00F87F3B">
        <w:t>6</w:t>
      </w:r>
      <w:r>
        <w:t xml:space="preserve"> November 2019</w:t>
      </w:r>
      <w:bookmarkEnd w:id="27"/>
    </w:p>
    <w:bookmarkEnd w:id="21"/>
    <w:sectPr w:rsidR="00A014E1">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FD438" w14:textId="77777777" w:rsidR="00292416" w:rsidRDefault="00292416">
      <w:pPr>
        <w:spacing w:line="20" w:lineRule="exact"/>
      </w:pPr>
    </w:p>
    <w:p w14:paraId="674D4088" w14:textId="77777777" w:rsidR="00292416" w:rsidRDefault="00292416"/>
    <w:p w14:paraId="19B19998" w14:textId="77777777" w:rsidR="00292416" w:rsidRDefault="00292416"/>
  </w:endnote>
  <w:endnote w:type="continuationSeparator" w:id="0">
    <w:p w14:paraId="4D5E1D2E" w14:textId="77777777" w:rsidR="00292416" w:rsidRDefault="00292416">
      <w:r>
        <w:t xml:space="preserve"> </w:t>
      </w:r>
    </w:p>
    <w:p w14:paraId="2E925A0F" w14:textId="77777777" w:rsidR="00292416" w:rsidRDefault="00292416"/>
    <w:p w14:paraId="3F95BDF4" w14:textId="77777777" w:rsidR="00292416" w:rsidRDefault="00292416"/>
  </w:endnote>
  <w:endnote w:type="continuationNotice" w:id="1">
    <w:p w14:paraId="55DA4007" w14:textId="77777777" w:rsidR="00292416" w:rsidRDefault="00292416">
      <w:r>
        <w:t xml:space="preserve"> </w:t>
      </w:r>
    </w:p>
    <w:p w14:paraId="30D72C4D" w14:textId="77777777" w:rsidR="00292416" w:rsidRDefault="00292416"/>
    <w:p w14:paraId="49CB650E" w14:textId="77777777" w:rsidR="00292416" w:rsidRDefault="0029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D3CF" w14:textId="77777777" w:rsidR="00395B24" w:rsidRPr="00397D2D" w:rsidRDefault="00395B24" w:rsidP="00397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0FE2" w14:textId="77777777" w:rsidR="002F1E49" w:rsidRPr="00397D2D" w:rsidRDefault="002F1E49" w:rsidP="0039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FFEE" w14:textId="77777777" w:rsidR="00292416" w:rsidRDefault="00292416"/>
    <w:p w14:paraId="4CA0491C" w14:textId="77777777" w:rsidR="00292416" w:rsidRDefault="00292416"/>
    <w:p w14:paraId="3C21A458" w14:textId="77777777" w:rsidR="00292416" w:rsidRDefault="00292416"/>
  </w:footnote>
  <w:footnote w:type="continuationSeparator" w:id="0">
    <w:p w14:paraId="71AA9065" w14:textId="77777777" w:rsidR="00292416" w:rsidRDefault="00292416">
      <w:r>
        <w:continuationSeparator/>
      </w:r>
    </w:p>
    <w:p w14:paraId="37725705" w14:textId="77777777" w:rsidR="00292416" w:rsidRDefault="00292416"/>
    <w:p w14:paraId="38813D0C" w14:textId="77777777" w:rsidR="00292416" w:rsidRDefault="002924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5441"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C24474">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C6B2"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B94B"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87F3" w14:textId="1A951316" w:rsidR="00395B24" w:rsidRDefault="002C7385">
    <w:pPr>
      <w:tabs>
        <w:tab w:val="center" w:pos="4512"/>
      </w:tabs>
      <w:suppressAutoHyphens/>
    </w:pPr>
    <w:r>
      <w:tab/>
      <w:t xml:space="preserve">- </w:t>
    </w:r>
    <w:r>
      <w:fldChar w:fldCharType="begin"/>
    </w:r>
    <w:r>
      <w:instrText>page \* arabic</w:instrText>
    </w:r>
    <w:r>
      <w:fldChar w:fldCharType="separate"/>
    </w:r>
    <w:r w:rsidR="00650830">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3B6D"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avid Norman Kitche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699 of 2019"/>
    <w:docVar w:name="HearingDate" w:val="20 November 2019"/>
    <w:docVar w:name="Initiators" w:val="(and another named in the Schedule)"/>
    <w:docVar w:name="Judgdate" w:val="20 November 2019"/>
    <w:docVar w:name="Judge" w:val="Rangiah"/>
    <w:docVar w:name="Justices" w:val="Justice"/>
    <w:docVar w:name="lstEntryList" w:val="-1"/>
    <w:docVar w:name="myEntryList" w:val="Counsel for the Applicant=Mr B O'Donnell QC with Mr A Scott|Solicitor for the Applicant=Russells Law|Counsel for the First Respondent=Ms KB Slack|Solicitor for the First Respondent=Sparke Helmore|Counsel for the Second Respondent=Ms A Rae|Solicitor for the Second Respondent=Clayton Utz"/>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Director of Professional Services Review Under s 83 of the Health Insurance Act 1973 (Cth)|The Members of Professional Services Review Committee No. 1157"/>
    <w:docVar w:name="ResState" w:val="Queensland"/>
    <w:docVar w:name="SubArea" w:val="[none]"/>
  </w:docVars>
  <w:rsids>
    <w:rsidRoot w:val="00292416"/>
    <w:rsid w:val="00005E79"/>
    <w:rsid w:val="00014428"/>
    <w:rsid w:val="0001469E"/>
    <w:rsid w:val="00015993"/>
    <w:rsid w:val="00022289"/>
    <w:rsid w:val="00032F9F"/>
    <w:rsid w:val="00041C07"/>
    <w:rsid w:val="00045BB7"/>
    <w:rsid w:val="00055719"/>
    <w:rsid w:val="0005641B"/>
    <w:rsid w:val="0005722B"/>
    <w:rsid w:val="00081497"/>
    <w:rsid w:val="00093164"/>
    <w:rsid w:val="00095A11"/>
    <w:rsid w:val="000A2E76"/>
    <w:rsid w:val="000A4807"/>
    <w:rsid w:val="000A4BE4"/>
    <w:rsid w:val="000C023E"/>
    <w:rsid w:val="000C5195"/>
    <w:rsid w:val="000C62EF"/>
    <w:rsid w:val="000D2137"/>
    <w:rsid w:val="000D3FD2"/>
    <w:rsid w:val="000E3FC8"/>
    <w:rsid w:val="000E4B2B"/>
    <w:rsid w:val="000E7BAE"/>
    <w:rsid w:val="000F133D"/>
    <w:rsid w:val="0010536B"/>
    <w:rsid w:val="0011145C"/>
    <w:rsid w:val="001128BD"/>
    <w:rsid w:val="0011419D"/>
    <w:rsid w:val="00132054"/>
    <w:rsid w:val="001727A4"/>
    <w:rsid w:val="0017376C"/>
    <w:rsid w:val="001738AB"/>
    <w:rsid w:val="00175D95"/>
    <w:rsid w:val="001765E0"/>
    <w:rsid w:val="00177759"/>
    <w:rsid w:val="00185E6B"/>
    <w:rsid w:val="00187BBC"/>
    <w:rsid w:val="001932F3"/>
    <w:rsid w:val="00194070"/>
    <w:rsid w:val="001A4309"/>
    <w:rsid w:val="001A4AF5"/>
    <w:rsid w:val="001B1053"/>
    <w:rsid w:val="001B14AC"/>
    <w:rsid w:val="001B7940"/>
    <w:rsid w:val="001C37CA"/>
    <w:rsid w:val="001D4303"/>
    <w:rsid w:val="001D6746"/>
    <w:rsid w:val="001E3B49"/>
    <w:rsid w:val="001E7388"/>
    <w:rsid w:val="001F13DD"/>
    <w:rsid w:val="001F2DBC"/>
    <w:rsid w:val="001F73E8"/>
    <w:rsid w:val="0020262C"/>
    <w:rsid w:val="002050FB"/>
    <w:rsid w:val="00224091"/>
    <w:rsid w:val="00224537"/>
    <w:rsid w:val="00235956"/>
    <w:rsid w:val="00247C9A"/>
    <w:rsid w:val="0025160C"/>
    <w:rsid w:val="002535D0"/>
    <w:rsid w:val="002539B3"/>
    <w:rsid w:val="002575E0"/>
    <w:rsid w:val="00257C3E"/>
    <w:rsid w:val="002602C2"/>
    <w:rsid w:val="002666C9"/>
    <w:rsid w:val="00270136"/>
    <w:rsid w:val="00274F5B"/>
    <w:rsid w:val="00280836"/>
    <w:rsid w:val="00282E1A"/>
    <w:rsid w:val="0029113B"/>
    <w:rsid w:val="00292416"/>
    <w:rsid w:val="002934C0"/>
    <w:rsid w:val="002A1B50"/>
    <w:rsid w:val="002B0E91"/>
    <w:rsid w:val="002B6779"/>
    <w:rsid w:val="002B71C0"/>
    <w:rsid w:val="002B7A34"/>
    <w:rsid w:val="002C31AD"/>
    <w:rsid w:val="002C7385"/>
    <w:rsid w:val="002D2DBB"/>
    <w:rsid w:val="002D54A6"/>
    <w:rsid w:val="002D752B"/>
    <w:rsid w:val="002E6A7A"/>
    <w:rsid w:val="002F1E49"/>
    <w:rsid w:val="002F4E9C"/>
    <w:rsid w:val="0031256C"/>
    <w:rsid w:val="00314D6C"/>
    <w:rsid w:val="00316D2A"/>
    <w:rsid w:val="00316ED1"/>
    <w:rsid w:val="00322A7C"/>
    <w:rsid w:val="003402D3"/>
    <w:rsid w:val="00343ABC"/>
    <w:rsid w:val="003463FE"/>
    <w:rsid w:val="003554B3"/>
    <w:rsid w:val="00356632"/>
    <w:rsid w:val="003845A9"/>
    <w:rsid w:val="00390883"/>
    <w:rsid w:val="003922F8"/>
    <w:rsid w:val="00395B24"/>
    <w:rsid w:val="00397D2D"/>
    <w:rsid w:val="003A2D38"/>
    <w:rsid w:val="003A7ECC"/>
    <w:rsid w:val="003B2C72"/>
    <w:rsid w:val="003C0E13"/>
    <w:rsid w:val="003C1333"/>
    <w:rsid w:val="003C20FF"/>
    <w:rsid w:val="003D2650"/>
    <w:rsid w:val="003D560C"/>
    <w:rsid w:val="003E5874"/>
    <w:rsid w:val="003F193E"/>
    <w:rsid w:val="003F34F1"/>
    <w:rsid w:val="00411AE8"/>
    <w:rsid w:val="00413B74"/>
    <w:rsid w:val="00435C5F"/>
    <w:rsid w:val="004410F3"/>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4E20D5"/>
    <w:rsid w:val="00501A12"/>
    <w:rsid w:val="0051346D"/>
    <w:rsid w:val="00513EAE"/>
    <w:rsid w:val="00516806"/>
    <w:rsid w:val="00522533"/>
    <w:rsid w:val="00525A49"/>
    <w:rsid w:val="0053036C"/>
    <w:rsid w:val="00535613"/>
    <w:rsid w:val="005359EB"/>
    <w:rsid w:val="0054254A"/>
    <w:rsid w:val="005466B5"/>
    <w:rsid w:val="00547011"/>
    <w:rsid w:val="00554314"/>
    <w:rsid w:val="005629B3"/>
    <w:rsid w:val="00573AC4"/>
    <w:rsid w:val="00577647"/>
    <w:rsid w:val="005801FC"/>
    <w:rsid w:val="00595016"/>
    <w:rsid w:val="00597AAE"/>
    <w:rsid w:val="005A222C"/>
    <w:rsid w:val="005A4DF8"/>
    <w:rsid w:val="005A68F3"/>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0830"/>
    <w:rsid w:val="0066063F"/>
    <w:rsid w:val="00662BB0"/>
    <w:rsid w:val="0066368B"/>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24906"/>
    <w:rsid w:val="007325D9"/>
    <w:rsid w:val="007360CA"/>
    <w:rsid w:val="00760EC0"/>
    <w:rsid w:val="0078003A"/>
    <w:rsid w:val="00780771"/>
    <w:rsid w:val="007929CF"/>
    <w:rsid w:val="00794981"/>
    <w:rsid w:val="00797DA7"/>
    <w:rsid w:val="007A6F28"/>
    <w:rsid w:val="007B03C6"/>
    <w:rsid w:val="007B0DB1"/>
    <w:rsid w:val="007C0C85"/>
    <w:rsid w:val="007C3BF6"/>
    <w:rsid w:val="007C5551"/>
    <w:rsid w:val="007D0FD2"/>
    <w:rsid w:val="007D2EF8"/>
    <w:rsid w:val="007D561F"/>
    <w:rsid w:val="007D7FD2"/>
    <w:rsid w:val="007E00A3"/>
    <w:rsid w:val="007E13D9"/>
    <w:rsid w:val="007E224F"/>
    <w:rsid w:val="007E41BE"/>
    <w:rsid w:val="007E4DB6"/>
    <w:rsid w:val="007E7CD4"/>
    <w:rsid w:val="007F12AC"/>
    <w:rsid w:val="007F770E"/>
    <w:rsid w:val="00801800"/>
    <w:rsid w:val="00801B5B"/>
    <w:rsid w:val="008276B4"/>
    <w:rsid w:val="00830C0E"/>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9209C"/>
    <w:rsid w:val="009A3A9C"/>
    <w:rsid w:val="009A5E35"/>
    <w:rsid w:val="009B046C"/>
    <w:rsid w:val="009B13FA"/>
    <w:rsid w:val="009B1E2D"/>
    <w:rsid w:val="009B2F8D"/>
    <w:rsid w:val="009C59FB"/>
    <w:rsid w:val="009C6F3B"/>
    <w:rsid w:val="009D1467"/>
    <w:rsid w:val="009E4FA6"/>
    <w:rsid w:val="009E7D93"/>
    <w:rsid w:val="009F5C33"/>
    <w:rsid w:val="00A014E1"/>
    <w:rsid w:val="00A03EAC"/>
    <w:rsid w:val="00A11CA6"/>
    <w:rsid w:val="00A20C49"/>
    <w:rsid w:val="00A269CA"/>
    <w:rsid w:val="00A336EE"/>
    <w:rsid w:val="00A359AC"/>
    <w:rsid w:val="00A36C80"/>
    <w:rsid w:val="00A41413"/>
    <w:rsid w:val="00A45FB1"/>
    <w:rsid w:val="00A46CCC"/>
    <w:rsid w:val="00A51CFE"/>
    <w:rsid w:val="00A76C13"/>
    <w:rsid w:val="00A92E79"/>
    <w:rsid w:val="00A950B6"/>
    <w:rsid w:val="00AB41C1"/>
    <w:rsid w:val="00AC6D5A"/>
    <w:rsid w:val="00AD12A8"/>
    <w:rsid w:val="00AE023F"/>
    <w:rsid w:val="00AF3577"/>
    <w:rsid w:val="00AF35F9"/>
    <w:rsid w:val="00B05C7D"/>
    <w:rsid w:val="00B346C3"/>
    <w:rsid w:val="00B4471C"/>
    <w:rsid w:val="00B451A6"/>
    <w:rsid w:val="00B722DE"/>
    <w:rsid w:val="00B76C44"/>
    <w:rsid w:val="00B83F87"/>
    <w:rsid w:val="00BA2EFA"/>
    <w:rsid w:val="00BA3DBC"/>
    <w:rsid w:val="00BA5052"/>
    <w:rsid w:val="00BB2DA2"/>
    <w:rsid w:val="00BB56DC"/>
    <w:rsid w:val="00BE183D"/>
    <w:rsid w:val="00BF4335"/>
    <w:rsid w:val="00BF5D7A"/>
    <w:rsid w:val="00C02D33"/>
    <w:rsid w:val="00C1232C"/>
    <w:rsid w:val="00C24474"/>
    <w:rsid w:val="00C36442"/>
    <w:rsid w:val="00C400CE"/>
    <w:rsid w:val="00C410FD"/>
    <w:rsid w:val="00C539FB"/>
    <w:rsid w:val="00C721EE"/>
    <w:rsid w:val="00CA246D"/>
    <w:rsid w:val="00CA50D9"/>
    <w:rsid w:val="00CA78AF"/>
    <w:rsid w:val="00CB5636"/>
    <w:rsid w:val="00CC7AF4"/>
    <w:rsid w:val="00D10F21"/>
    <w:rsid w:val="00D24806"/>
    <w:rsid w:val="00D34040"/>
    <w:rsid w:val="00D34E69"/>
    <w:rsid w:val="00D375EE"/>
    <w:rsid w:val="00D51EC6"/>
    <w:rsid w:val="00D62699"/>
    <w:rsid w:val="00D82620"/>
    <w:rsid w:val="00D9725F"/>
    <w:rsid w:val="00DA01B1"/>
    <w:rsid w:val="00DA11A2"/>
    <w:rsid w:val="00DA14ED"/>
    <w:rsid w:val="00DA34C7"/>
    <w:rsid w:val="00DB2EF1"/>
    <w:rsid w:val="00DB3DE1"/>
    <w:rsid w:val="00DB5DA0"/>
    <w:rsid w:val="00DB716C"/>
    <w:rsid w:val="00DC5C85"/>
    <w:rsid w:val="00DD4236"/>
    <w:rsid w:val="00DD44F1"/>
    <w:rsid w:val="00DE0DCB"/>
    <w:rsid w:val="00DE3067"/>
    <w:rsid w:val="00E027BC"/>
    <w:rsid w:val="00E14EA5"/>
    <w:rsid w:val="00E21133"/>
    <w:rsid w:val="00E2327E"/>
    <w:rsid w:val="00E266EF"/>
    <w:rsid w:val="00E32415"/>
    <w:rsid w:val="00E47428"/>
    <w:rsid w:val="00E52956"/>
    <w:rsid w:val="00E66B9F"/>
    <w:rsid w:val="00E710D6"/>
    <w:rsid w:val="00E76E45"/>
    <w:rsid w:val="00E777C9"/>
    <w:rsid w:val="00E81DA6"/>
    <w:rsid w:val="00E84212"/>
    <w:rsid w:val="00E9086C"/>
    <w:rsid w:val="00E91A0F"/>
    <w:rsid w:val="00E94A71"/>
    <w:rsid w:val="00EA03CE"/>
    <w:rsid w:val="00EA06F6"/>
    <w:rsid w:val="00EA23E5"/>
    <w:rsid w:val="00EA4E2E"/>
    <w:rsid w:val="00EB2CCB"/>
    <w:rsid w:val="00EC1EDA"/>
    <w:rsid w:val="00EC57A7"/>
    <w:rsid w:val="00ED0817"/>
    <w:rsid w:val="00ED56DD"/>
    <w:rsid w:val="00ED7DD9"/>
    <w:rsid w:val="00EF3113"/>
    <w:rsid w:val="00EF3F84"/>
    <w:rsid w:val="00F01FB0"/>
    <w:rsid w:val="00F176AC"/>
    <w:rsid w:val="00F27714"/>
    <w:rsid w:val="00F3276E"/>
    <w:rsid w:val="00F33D3C"/>
    <w:rsid w:val="00F37A91"/>
    <w:rsid w:val="00F42830"/>
    <w:rsid w:val="00F45CF5"/>
    <w:rsid w:val="00F47DB0"/>
    <w:rsid w:val="00F50E34"/>
    <w:rsid w:val="00F53EF7"/>
    <w:rsid w:val="00F54BF2"/>
    <w:rsid w:val="00F87F3B"/>
    <w:rsid w:val="00F92355"/>
    <w:rsid w:val="00F93963"/>
    <w:rsid w:val="00F94291"/>
    <w:rsid w:val="00FB7982"/>
    <w:rsid w:val="00FC0734"/>
    <w:rsid w:val="00FC0FC5"/>
    <w:rsid w:val="00FC588F"/>
    <w:rsid w:val="00FE1B30"/>
    <w:rsid w:val="00FE526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BF56A2"/>
  <w15:docId w15:val="{36E7726F-8AC1-418A-B1A3-6BD6252B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C9181F2E63B458D3409469967A1C0" ma:contentTypeVersion="" ma:contentTypeDescription="Create a new document." ma:contentTypeScope="" ma:versionID="c5ec6ddc78f5010d89b102dae32d4c50">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Interim</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Props1.xml><?xml version="1.0" encoding="utf-8"?>
<ds:datastoreItem xmlns:ds="http://schemas.openxmlformats.org/officeDocument/2006/customXml" ds:itemID="{E72A3B30-1A1F-4194-A900-F77553002A20}">
  <ds:schemaRefs>
    <ds:schemaRef ds:uri="http://schemas.microsoft.com/sharepoint/v3/contenttype/forms"/>
  </ds:schemaRefs>
</ds:datastoreItem>
</file>

<file path=customXml/itemProps2.xml><?xml version="1.0" encoding="utf-8"?>
<ds:datastoreItem xmlns:ds="http://schemas.openxmlformats.org/officeDocument/2006/customXml" ds:itemID="{571E6CA3-71BC-49D9-8E0A-46C9C68F8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51DA4-9CE7-407C-86E0-15303BC91326}">
  <ds:schemaRefs>
    <ds:schemaRef ds:uri="http://schemas.microsoft.com/office/2006/documentManagement/types"/>
    <ds:schemaRef ds:uri="http://purl.org/dc/elements/1.1/"/>
    <ds:schemaRef ds:uri="http://schemas.microsoft.com/sharepoint/v3/fields"/>
    <ds:schemaRef ds:uri="http://schemas.openxmlformats.org/package/2006/metadata/core-properties"/>
    <ds:schemaRef ds:uri="http://purl.org/dc/dcmitype/"/>
    <ds:schemaRef ds:uri="85512599-8531-48e1-9b90-9215d01f2c32"/>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8</Pages>
  <Words>1935</Words>
  <Characters>10130</Characters>
  <Application>Microsoft Office Word</Application>
  <DocSecurity>0</DocSecurity>
  <Lines>266</Lines>
  <Paragraphs>112</Paragraphs>
  <ScaleCrop>false</ScaleCrop>
  <HeadingPairs>
    <vt:vector size="2" baseType="variant">
      <vt:variant>
        <vt:lpstr>Title</vt:lpstr>
      </vt:variant>
      <vt:variant>
        <vt:i4>1</vt:i4>
      </vt:variant>
    </vt:vector>
  </HeadingPairs>
  <TitlesOfParts>
    <vt:vector size="1" baseType="lpstr">
      <vt:lpstr>Kitchen v Director of Professional Services Review Under s 83 of the Health Insurance Act 1973 (Cth) [2019] FCA 1978 </vt:lpstr>
    </vt:vector>
  </TitlesOfParts>
  <Company>Federal Court of Australia</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v Director of Professional Services Review Under s 83 of the Health Insurance Act 1973 (Cth) [2019] FCA 1978</dc:title>
  <dc:creator>Leanne Bowles</dc:creator>
  <cp:lastModifiedBy>Sona Muradyan</cp:lastModifiedBy>
  <cp:revision>4</cp:revision>
  <cp:lastPrinted>2019-11-25T06:02:00Z</cp:lastPrinted>
  <dcterms:created xsi:type="dcterms:W3CDTF">2019-11-25T23:42:00Z</dcterms:created>
  <dcterms:modified xsi:type="dcterms:W3CDTF">2019-11-25T23:45:00Z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20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0x010100B6CC9181F2E63B458D3409469967A1C0</vt:lpwstr>
  </property>
</Properties>
</file>