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692E" w14:textId="77777777" w:rsidR="00395B24" w:rsidRDefault="002C7385">
      <w:pPr>
        <w:pStyle w:val="NormalHeadings"/>
        <w:jc w:val="center"/>
        <w:rPr>
          <w:sz w:val="32"/>
        </w:rPr>
      </w:pPr>
      <w:r>
        <w:rPr>
          <w:sz w:val="32"/>
        </w:rPr>
        <w:t>FEDERAL COURT OF AUSTRALIA</w:t>
      </w:r>
    </w:p>
    <w:p w14:paraId="222A0771" w14:textId="77777777" w:rsidR="00395B24" w:rsidRDefault="00395B24">
      <w:pPr>
        <w:pStyle w:val="NormalHeadings"/>
        <w:jc w:val="center"/>
        <w:rPr>
          <w:sz w:val="32"/>
        </w:rPr>
      </w:pPr>
    </w:p>
    <w:p w14:paraId="416C4C19" w14:textId="77777777" w:rsidR="00395B24" w:rsidRDefault="00910DBD">
      <w:pPr>
        <w:pStyle w:val="MediaNeutralStyle"/>
      </w:pPr>
      <w:bookmarkStart w:id="0" w:name="MNC"/>
      <w:proofErr w:type="spellStart"/>
      <w:r>
        <w:t>Bradgate</w:t>
      </w:r>
      <w:proofErr w:type="spellEnd"/>
      <w:r>
        <w:t xml:space="preserve"> (Trustee) v Ashley Services Group Limited (No 2) [2019] FCA </w:t>
      </w:r>
      <w:r w:rsidR="004A3366">
        <w:t>1210</w:t>
      </w:r>
      <w:r w:rsidR="002C7385">
        <w:t xml:space="preserve"> </w:t>
      </w:r>
      <w:bookmarkEnd w:id="0"/>
    </w:p>
    <w:p w14:paraId="72B030F2"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3CB0E969" w14:textId="77777777" w:rsidTr="008A7019">
        <w:tc>
          <w:tcPr>
            <w:tcW w:w="3085" w:type="dxa"/>
            <w:shd w:val="clear" w:color="auto" w:fill="auto"/>
          </w:tcPr>
          <w:p w14:paraId="6C52BA42" w14:textId="77777777" w:rsidR="00395B24" w:rsidRDefault="002C7385" w:rsidP="00910DBD">
            <w:pPr>
              <w:pStyle w:val="Normal1linespace"/>
              <w:widowControl w:val="0"/>
              <w:jc w:val="left"/>
            </w:pPr>
            <w:r>
              <w:t>File number:</w:t>
            </w:r>
          </w:p>
        </w:tc>
        <w:tc>
          <w:tcPr>
            <w:tcW w:w="5989" w:type="dxa"/>
            <w:shd w:val="clear" w:color="auto" w:fill="auto"/>
          </w:tcPr>
          <w:p w14:paraId="3CC06A0A" w14:textId="77777777" w:rsidR="00395B24" w:rsidRPr="00FC5DA0" w:rsidRDefault="00BD4440" w:rsidP="00FC5DA0">
            <w:pPr>
              <w:pStyle w:val="Normal1linespace"/>
              <w:jc w:val="left"/>
            </w:pPr>
            <w:r>
              <w:fldChar w:fldCharType="begin" w:fldLock="1"/>
            </w:r>
            <w:r>
              <w:instrText xml:space="preserve"> REF  FileNo  \* MERGEFORMAT </w:instrText>
            </w:r>
            <w:r>
              <w:fldChar w:fldCharType="separate"/>
            </w:r>
            <w:r w:rsidR="00FC5DA0" w:rsidRPr="00FC5DA0">
              <w:t>NSD 2074 of 2016</w:t>
            </w:r>
            <w:r>
              <w:fldChar w:fldCharType="end"/>
            </w:r>
          </w:p>
        </w:tc>
      </w:tr>
      <w:tr w:rsidR="00395B24" w14:paraId="274552AE" w14:textId="77777777" w:rsidTr="008A7019">
        <w:tc>
          <w:tcPr>
            <w:tcW w:w="3085" w:type="dxa"/>
            <w:shd w:val="clear" w:color="auto" w:fill="auto"/>
          </w:tcPr>
          <w:p w14:paraId="69F72A92" w14:textId="77777777" w:rsidR="00395B24" w:rsidRDefault="00395B24" w:rsidP="00663878">
            <w:pPr>
              <w:pStyle w:val="Normal1linespace"/>
              <w:widowControl w:val="0"/>
              <w:jc w:val="left"/>
            </w:pPr>
          </w:p>
        </w:tc>
        <w:tc>
          <w:tcPr>
            <w:tcW w:w="5989" w:type="dxa"/>
            <w:shd w:val="clear" w:color="auto" w:fill="auto"/>
          </w:tcPr>
          <w:p w14:paraId="4A29238A" w14:textId="77777777" w:rsidR="00395B24" w:rsidRDefault="00395B24" w:rsidP="00663878">
            <w:pPr>
              <w:pStyle w:val="Normal1linespace"/>
              <w:widowControl w:val="0"/>
              <w:jc w:val="left"/>
            </w:pPr>
          </w:p>
        </w:tc>
      </w:tr>
      <w:tr w:rsidR="00395B24" w14:paraId="2A5B63CB" w14:textId="77777777" w:rsidTr="008A7019">
        <w:tc>
          <w:tcPr>
            <w:tcW w:w="3085" w:type="dxa"/>
            <w:shd w:val="clear" w:color="auto" w:fill="auto"/>
          </w:tcPr>
          <w:p w14:paraId="2981A61E" w14:textId="77777777" w:rsidR="00395B24" w:rsidRDefault="00910DBD" w:rsidP="00663878">
            <w:pPr>
              <w:pStyle w:val="Normal1linespace"/>
              <w:widowControl w:val="0"/>
              <w:jc w:val="left"/>
            </w:pPr>
            <w:r>
              <w:t>Judge</w:t>
            </w:r>
            <w:r w:rsidR="002C7385">
              <w:t>:</w:t>
            </w:r>
          </w:p>
        </w:tc>
        <w:tc>
          <w:tcPr>
            <w:tcW w:w="5989" w:type="dxa"/>
            <w:shd w:val="clear" w:color="auto" w:fill="auto"/>
          </w:tcPr>
          <w:p w14:paraId="6DCE9C9F" w14:textId="77777777" w:rsidR="00395B24" w:rsidRDefault="002C7385" w:rsidP="00663878">
            <w:pPr>
              <w:pStyle w:val="Normal1linespace"/>
              <w:widowControl w:val="0"/>
              <w:jc w:val="left"/>
              <w:rPr>
                <w:b/>
              </w:rPr>
            </w:pPr>
            <w:r w:rsidRPr="00FC5DA0">
              <w:rPr>
                <w:b/>
              </w:rPr>
              <w:fldChar w:fldCharType="begin" w:fldLock="1"/>
            </w:r>
            <w:r w:rsidRPr="00FC5DA0">
              <w:rPr>
                <w:b/>
              </w:rPr>
              <w:instrText xml:space="preserve"> REF  Judge  \* MERGEFORMAT </w:instrText>
            </w:r>
            <w:r w:rsidRPr="00FC5DA0">
              <w:rPr>
                <w:b/>
              </w:rPr>
              <w:fldChar w:fldCharType="separate"/>
            </w:r>
            <w:r w:rsidR="00FC5DA0" w:rsidRPr="00FC5DA0">
              <w:rPr>
                <w:b/>
                <w:caps/>
                <w:szCs w:val="24"/>
              </w:rPr>
              <w:t>MIDDLETON J</w:t>
            </w:r>
            <w:r w:rsidRPr="00FC5DA0">
              <w:rPr>
                <w:b/>
              </w:rPr>
              <w:fldChar w:fldCharType="end"/>
            </w:r>
          </w:p>
        </w:tc>
      </w:tr>
      <w:tr w:rsidR="00395B24" w14:paraId="48B55113" w14:textId="77777777" w:rsidTr="008A7019">
        <w:tc>
          <w:tcPr>
            <w:tcW w:w="3085" w:type="dxa"/>
            <w:shd w:val="clear" w:color="auto" w:fill="auto"/>
          </w:tcPr>
          <w:p w14:paraId="0F10291B" w14:textId="77777777" w:rsidR="00395B24" w:rsidRDefault="00395B24" w:rsidP="00663878">
            <w:pPr>
              <w:pStyle w:val="Normal1linespace"/>
              <w:widowControl w:val="0"/>
              <w:jc w:val="left"/>
            </w:pPr>
          </w:p>
        </w:tc>
        <w:tc>
          <w:tcPr>
            <w:tcW w:w="5989" w:type="dxa"/>
            <w:shd w:val="clear" w:color="auto" w:fill="auto"/>
          </w:tcPr>
          <w:p w14:paraId="7A05B9C9" w14:textId="77777777" w:rsidR="00395B24" w:rsidRDefault="00395B24" w:rsidP="00663878">
            <w:pPr>
              <w:pStyle w:val="Normal1linespace"/>
              <w:widowControl w:val="0"/>
              <w:jc w:val="left"/>
            </w:pPr>
          </w:p>
        </w:tc>
      </w:tr>
      <w:tr w:rsidR="00395B24" w14:paraId="6640AA16" w14:textId="77777777" w:rsidTr="008A7019">
        <w:tc>
          <w:tcPr>
            <w:tcW w:w="3085" w:type="dxa"/>
            <w:shd w:val="clear" w:color="auto" w:fill="auto"/>
          </w:tcPr>
          <w:p w14:paraId="6EF425E2" w14:textId="77777777" w:rsidR="00395B24" w:rsidRDefault="002C7385" w:rsidP="00663878">
            <w:pPr>
              <w:pStyle w:val="Normal1linespace"/>
              <w:widowControl w:val="0"/>
              <w:jc w:val="left"/>
            </w:pPr>
            <w:r>
              <w:t>Date of judgment:</w:t>
            </w:r>
          </w:p>
        </w:tc>
        <w:tc>
          <w:tcPr>
            <w:tcW w:w="5989" w:type="dxa"/>
            <w:shd w:val="clear" w:color="auto" w:fill="auto"/>
          </w:tcPr>
          <w:p w14:paraId="275E4318" w14:textId="77777777" w:rsidR="00395B24" w:rsidRDefault="004A3366" w:rsidP="00CC253E">
            <w:pPr>
              <w:pStyle w:val="Normal1linespace"/>
              <w:widowControl w:val="0"/>
              <w:jc w:val="left"/>
            </w:pPr>
            <w:bookmarkStart w:id="1" w:name="JudgmentDate"/>
            <w:r>
              <w:t>13 June</w:t>
            </w:r>
            <w:r w:rsidR="00FC5DA0">
              <w:t xml:space="preserve"> 2019</w:t>
            </w:r>
            <w:bookmarkEnd w:id="1"/>
          </w:p>
        </w:tc>
      </w:tr>
      <w:tr w:rsidR="004A3366" w14:paraId="5E924E3B" w14:textId="77777777" w:rsidTr="008A7019">
        <w:tc>
          <w:tcPr>
            <w:tcW w:w="3085" w:type="dxa"/>
            <w:shd w:val="clear" w:color="auto" w:fill="auto"/>
          </w:tcPr>
          <w:p w14:paraId="59C9FAF0" w14:textId="77777777" w:rsidR="004A3366" w:rsidRDefault="004A3366" w:rsidP="00663878">
            <w:pPr>
              <w:pStyle w:val="Normal1linespace"/>
              <w:widowControl w:val="0"/>
              <w:jc w:val="left"/>
            </w:pPr>
          </w:p>
        </w:tc>
        <w:tc>
          <w:tcPr>
            <w:tcW w:w="5989" w:type="dxa"/>
            <w:shd w:val="clear" w:color="auto" w:fill="auto"/>
          </w:tcPr>
          <w:p w14:paraId="34ACA713" w14:textId="77777777" w:rsidR="004A3366" w:rsidRDefault="004A3366" w:rsidP="00CC253E">
            <w:pPr>
              <w:pStyle w:val="Normal1linespace"/>
              <w:widowControl w:val="0"/>
              <w:jc w:val="left"/>
            </w:pPr>
          </w:p>
        </w:tc>
      </w:tr>
      <w:tr w:rsidR="004A3366" w14:paraId="092AA658" w14:textId="77777777" w:rsidTr="008A7019">
        <w:tc>
          <w:tcPr>
            <w:tcW w:w="3085" w:type="dxa"/>
            <w:shd w:val="clear" w:color="auto" w:fill="auto"/>
          </w:tcPr>
          <w:p w14:paraId="2DD00E78" w14:textId="77777777" w:rsidR="004A3366" w:rsidRDefault="004A3366" w:rsidP="00663878">
            <w:pPr>
              <w:pStyle w:val="Normal1linespace"/>
              <w:widowControl w:val="0"/>
              <w:jc w:val="left"/>
            </w:pPr>
            <w:r>
              <w:t>Date of publication of reasons:</w:t>
            </w:r>
          </w:p>
        </w:tc>
        <w:tc>
          <w:tcPr>
            <w:tcW w:w="5989" w:type="dxa"/>
            <w:shd w:val="clear" w:color="auto" w:fill="auto"/>
          </w:tcPr>
          <w:p w14:paraId="21C7CDB0" w14:textId="77777777" w:rsidR="004A3366" w:rsidRDefault="004A3366" w:rsidP="00CC253E">
            <w:pPr>
              <w:pStyle w:val="Normal1linespace"/>
              <w:widowControl w:val="0"/>
              <w:jc w:val="left"/>
            </w:pPr>
            <w:r>
              <w:t>5 August 2019</w:t>
            </w:r>
          </w:p>
        </w:tc>
      </w:tr>
      <w:tr w:rsidR="00395B24" w14:paraId="6A372FD3" w14:textId="77777777" w:rsidTr="008A7019">
        <w:tc>
          <w:tcPr>
            <w:tcW w:w="3085" w:type="dxa"/>
            <w:shd w:val="clear" w:color="auto" w:fill="auto"/>
          </w:tcPr>
          <w:p w14:paraId="443C236F" w14:textId="77777777" w:rsidR="00395B24" w:rsidRDefault="00395B24" w:rsidP="00663878">
            <w:pPr>
              <w:pStyle w:val="Normal1linespace"/>
              <w:widowControl w:val="0"/>
              <w:jc w:val="left"/>
            </w:pPr>
          </w:p>
        </w:tc>
        <w:tc>
          <w:tcPr>
            <w:tcW w:w="5989" w:type="dxa"/>
            <w:shd w:val="clear" w:color="auto" w:fill="auto"/>
          </w:tcPr>
          <w:p w14:paraId="52282C45" w14:textId="77777777" w:rsidR="00395B24" w:rsidRDefault="00395B24" w:rsidP="00663878">
            <w:pPr>
              <w:pStyle w:val="Normal1linespace"/>
              <w:widowControl w:val="0"/>
              <w:jc w:val="left"/>
            </w:pPr>
          </w:p>
        </w:tc>
      </w:tr>
      <w:tr w:rsidR="00395B24" w14:paraId="682E940A" w14:textId="77777777" w:rsidTr="008A7019">
        <w:tc>
          <w:tcPr>
            <w:tcW w:w="3085" w:type="dxa"/>
            <w:shd w:val="clear" w:color="auto" w:fill="auto"/>
          </w:tcPr>
          <w:p w14:paraId="6232ACE8" w14:textId="77777777" w:rsidR="00395B24" w:rsidRDefault="002C7385" w:rsidP="00663878">
            <w:pPr>
              <w:pStyle w:val="Normal1linespace"/>
              <w:widowControl w:val="0"/>
              <w:jc w:val="left"/>
            </w:pPr>
            <w:r>
              <w:t>Catchwords:</w:t>
            </w:r>
          </w:p>
        </w:tc>
        <w:tc>
          <w:tcPr>
            <w:tcW w:w="5989" w:type="dxa"/>
            <w:shd w:val="clear" w:color="auto" w:fill="auto"/>
          </w:tcPr>
          <w:p w14:paraId="4D2038C4" w14:textId="77777777" w:rsidR="00395B24" w:rsidRDefault="002031CA" w:rsidP="00CC253E">
            <w:pPr>
              <w:pStyle w:val="Normal1linespace"/>
              <w:widowControl w:val="0"/>
              <w:jc w:val="left"/>
            </w:pPr>
            <w:bookmarkStart w:id="2" w:name="Catchwords"/>
            <w:r w:rsidRPr="002031CA">
              <w:rPr>
                <w:b/>
              </w:rPr>
              <w:t>PRACTICE AND PROCEDURE</w:t>
            </w:r>
            <w:r w:rsidRPr="002031CA">
              <w:t xml:space="preserve"> – representative proceeding – application for settlement under s 33V of </w:t>
            </w:r>
            <w:r w:rsidRPr="002031CA">
              <w:rPr>
                <w:i/>
              </w:rPr>
              <w:t>Federal Court of Australia Act 1976</w:t>
            </w:r>
            <w:r w:rsidRPr="002031CA">
              <w:t xml:space="preserve"> (</w:t>
            </w:r>
            <w:proofErr w:type="spellStart"/>
            <w:r w:rsidRPr="002031CA">
              <w:t>Cth</w:t>
            </w:r>
            <w:proofErr w:type="spellEnd"/>
            <w:r w:rsidRPr="002031CA">
              <w:t xml:space="preserve">) – </w:t>
            </w:r>
            <w:r>
              <w:t>settlement approved</w:t>
            </w:r>
            <w:r w:rsidR="002C7385">
              <w:t xml:space="preserve"> </w:t>
            </w:r>
            <w:bookmarkEnd w:id="2"/>
          </w:p>
        </w:tc>
      </w:tr>
      <w:tr w:rsidR="00395B24" w14:paraId="546430ED" w14:textId="77777777" w:rsidTr="008A7019">
        <w:tc>
          <w:tcPr>
            <w:tcW w:w="3085" w:type="dxa"/>
            <w:shd w:val="clear" w:color="auto" w:fill="auto"/>
          </w:tcPr>
          <w:p w14:paraId="5DF21F7E" w14:textId="77777777" w:rsidR="00395B24" w:rsidRDefault="00395B24" w:rsidP="00663878">
            <w:pPr>
              <w:pStyle w:val="Normal1linespace"/>
              <w:widowControl w:val="0"/>
              <w:jc w:val="left"/>
            </w:pPr>
          </w:p>
        </w:tc>
        <w:tc>
          <w:tcPr>
            <w:tcW w:w="5989" w:type="dxa"/>
            <w:shd w:val="clear" w:color="auto" w:fill="auto"/>
          </w:tcPr>
          <w:p w14:paraId="2CAF1923" w14:textId="77777777" w:rsidR="00395B24" w:rsidRDefault="00395B24" w:rsidP="00663878">
            <w:pPr>
              <w:pStyle w:val="Normal1linespace"/>
              <w:widowControl w:val="0"/>
              <w:jc w:val="left"/>
            </w:pPr>
          </w:p>
        </w:tc>
      </w:tr>
      <w:tr w:rsidR="00395B24" w14:paraId="082D2880" w14:textId="77777777" w:rsidTr="008A7019">
        <w:tc>
          <w:tcPr>
            <w:tcW w:w="3085" w:type="dxa"/>
            <w:shd w:val="clear" w:color="auto" w:fill="auto"/>
          </w:tcPr>
          <w:p w14:paraId="22B5CC71" w14:textId="77777777" w:rsidR="00395B24" w:rsidRDefault="002C7385" w:rsidP="00663878">
            <w:pPr>
              <w:pStyle w:val="Normal1linespace"/>
              <w:widowControl w:val="0"/>
              <w:jc w:val="left"/>
            </w:pPr>
            <w:r>
              <w:t>Legislation:</w:t>
            </w:r>
          </w:p>
        </w:tc>
        <w:tc>
          <w:tcPr>
            <w:tcW w:w="5989" w:type="dxa"/>
            <w:shd w:val="clear" w:color="auto" w:fill="auto"/>
          </w:tcPr>
          <w:p w14:paraId="3370C472" w14:textId="77777777" w:rsidR="00395B24" w:rsidRDefault="00B83FD3" w:rsidP="00CC253E">
            <w:pPr>
              <w:pStyle w:val="CasesLegislationAppealFrom"/>
              <w:spacing w:after="60"/>
            </w:pPr>
            <w:bookmarkStart w:id="3" w:name="Legislation"/>
            <w:r w:rsidRPr="002031CA">
              <w:rPr>
                <w:i/>
              </w:rPr>
              <w:t>Federal Court of Australia Act 1976</w:t>
            </w:r>
            <w:r w:rsidRPr="002031CA">
              <w:t xml:space="preserve"> (</w:t>
            </w:r>
            <w:proofErr w:type="spellStart"/>
            <w:r w:rsidRPr="002031CA">
              <w:t>Cth</w:t>
            </w:r>
            <w:proofErr w:type="spellEnd"/>
            <w:r w:rsidRPr="002031CA">
              <w:t xml:space="preserve">) </w:t>
            </w:r>
            <w:r>
              <w:t>s 33V</w:t>
            </w:r>
            <w:bookmarkEnd w:id="3"/>
          </w:p>
        </w:tc>
      </w:tr>
      <w:tr w:rsidR="00395B24" w14:paraId="440AA210" w14:textId="77777777" w:rsidTr="008A7019">
        <w:tc>
          <w:tcPr>
            <w:tcW w:w="3085" w:type="dxa"/>
            <w:shd w:val="clear" w:color="auto" w:fill="auto"/>
          </w:tcPr>
          <w:p w14:paraId="47777D3B" w14:textId="77777777" w:rsidR="00395B24" w:rsidRDefault="00395B24" w:rsidP="00663878">
            <w:pPr>
              <w:pStyle w:val="Normal1linespace"/>
              <w:widowControl w:val="0"/>
              <w:jc w:val="left"/>
            </w:pPr>
          </w:p>
        </w:tc>
        <w:tc>
          <w:tcPr>
            <w:tcW w:w="5989" w:type="dxa"/>
            <w:shd w:val="clear" w:color="auto" w:fill="auto"/>
          </w:tcPr>
          <w:p w14:paraId="4E0C2C41" w14:textId="77777777" w:rsidR="00395B24" w:rsidRDefault="00395B24" w:rsidP="00663878">
            <w:pPr>
              <w:pStyle w:val="Normal1linespace"/>
              <w:widowControl w:val="0"/>
              <w:jc w:val="left"/>
            </w:pPr>
          </w:p>
        </w:tc>
      </w:tr>
      <w:tr w:rsidR="00395B24" w14:paraId="3CEB8C28" w14:textId="77777777" w:rsidTr="008A7019">
        <w:tc>
          <w:tcPr>
            <w:tcW w:w="3085" w:type="dxa"/>
            <w:shd w:val="clear" w:color="auto" w:fill="auto"/>
          </w:tcPr>
          <w:p w14:paraId="66F82198" w14:textId="77777777" w:rsidR="00395B24" w:rsidRDefault="002C7385" w:rsidP="00663878">
            <w:pPr>
              <w:pStyle w:val="Normal1linespace"/>
              <w:widowControl w:val="0"/>
              <w:jc w:val="left"/>
            </w:pPr>
            <w:r>
              <w:t>Cases cited:</w:t>
            </w:r>
          </w:p>
        </w:tc>
        <w:tc>
          <w:tcPr>
            <w:tcW w:w="5989" w:type="dxa"/>
            <w:shd w:val="clear" w:color="auto" w:fill="auto"/>
          </w:tcPr>
          <w:p w14:paraId="582D9FA1" w14:textId="77777777" w:rsidR="00B83FD3" w:rsidRDefault="00B83FD3" w:rsidP="00D82620">
            <w:pPr>
              <w:pStyle w:val="CasesLegislationAppealFrom"/>
              <w:spacing w:after="60"/>
              <w:rPr>
                <w:lang w:eastAsia="en-AU"/>
              </w:rPr>
            </w:pPr>
            <w:bookmarkStart w:id="4" w:name="Cases_Cited"/>
            <w:r w:rsidRPr="0031273E">
              <w:rPr>
                <w:i/>
                <w:lang w:eastAsia="en-AU"/>
              </w:rPr>
              <w:t xml:space="preserve">Blairgowrie Trading Ltd v </w:t>
            </w:r>
            <w:proofErr w:type="spellStart"/>
            <w:r w:rsidRPr="0031273E">
              <w:rPr>
                <w:i/>
                <w:lang w:eastAsia="en-AU"/>
              </w:rPr>
              <w:t>A</w:t>
            </w:r>
            <w:r w:rsidR="00382DDF">
              <w:rPr>
                <w:i/>
                <w:lang w:eastAsia="en-AU"/>
              </w:rPr>
              <w:t>llco</w:t>
            </w:r>
            <w:proofErr w:type="spellEnd"/>
            <w:r w:rsidR="00382DDF">
              <w:rPr>
                <w:i/>
                <w:lang w:eastAsia="en-AU"/>
              </w:rPr>
              <w:t xml:space="preserve"> Finance Group Ltd (i</w:t>
            </w:r>
            <w:r>
              <w:rPr>
                <w:i/>
                <w:lang w:eastAsia="en-AU"/>
              </w:rPr>
              <w:t xml:space="preserve">n </w:t>
            </w:r>
            <w:proofErr w:type="spellStart"/>
            <w:r>
              <w:rPr>
                <w:i/>
                <w:lang w:eastAsia="en-AU"/>
              </w:rPr>
              <w:t>l</w:t>
            </w:r>
            <w:r w:rsidRPr="0031273E">
              <w:rPr>
                <w:i/>
                <w:lang w:eastAsia="en-AU"/>
              </w:rPr>
              <w:t>iq</w:t>
            </w:r>
            <w:proofErr w:type="spellEnd"/>
            <w:r w:rsidRPr="0031273E">
              <w:rPr>
                <w:i/>
                <w:lang w:eastAsia="en-AU"/>
              </w:rPr>
              <w:t>) (No 3)</w:t>
            </w:r>
            <w:r w:rsidRPr="0031273E">
              <w:rPr>
                <w:lang w:eastAsia="en-AU"/>
              </w:rPr>
              <w:t xml:space="preserve"> [2017] FCA 330</w:t>
            </w:r>
            <w:r>
              <w:rPr>
                <w:lang w:eastAsia="en-AU"/>
              </w:rPr>
              <w:t>; (2017) 343 ALR 476</w:t>
            </w:r>
          </w:p>
          <w:p w14:paraId="6951D467" w14:textId="77777777" w:rsidR="00B83FD3" w:rsidRDefault="00B83FD3" w:rsidP="00B83FD3">
            <w:pPr>
              <w:pStyle w:val="CasesLegislationAppealFrom"/>
              <w:spacing w:after="60"/>
            </w:pPr>
            <w:proofErr w:type="spellStart"/>
            <w:r w:rsidRPr="00FD1EBD">
              <w:rPr>
                <w:i/>
                <w:lang w:eastAsia="en-AU"/>
              </w:rPr>
              <w:t>Caason</w:t>
            </w:r>
            <w:proofErr w:type="spellEnd"/>
            <w:r w:rsidRPr="00FD1EBD">
              <w:rPr>
                <w:i/>
                <w:lang w:eastAsia="en-AU"/>
              </w:rPr>
              <w:t xml:space="preserve"> Investments v Cao (No 2)</w:t>
            </w:r>
            <w:r w:rsidRPr="00FD1EBD">
              <w:rPr>
                <w:lang w:eastAsia="en-AU"/>
              </w:rPr>
              <w:t xml:space="preserve"> [2018] FCA 527</w:t>
            </w:r>
            <w:r>
              <w:t xml:space="preserve"> </w:t>
            </w:r>
          </w:p>
          <w:p w14:paraId="034E695C" w14:textId="77777777" w:rsidR="00B83FD3" w:rsidRDefault="00B83FD3" w:rsidP="00D82620">
            <w:pPr>
              <w:pStyle w:val="CasesLegislationAppealFrom"/>
              <w:spacing w:after="60"/>
              <w:rPr>
                <w:lang w:eastAsia="en-AU"/>
              </w:rPr>
            </w:pPr>
            <w:r>
              <w:rPr>
                <w:i/>
                <w:lang w:eastAsia="en-AU"/>
              </w:rPr>
              <w:t xml:space="preserve">Dillon v </w:t>
            </w:r>
            <w:r w:rsidRPr="00FD1EBD">
              <w:rPr>
                <w:i/>
                <w:lang w:eastAsia="en-AU"/>
              </w:rPr>
              <w:t xml:space="preserve">RBS Group (Australia) Pty Limited (No 2) </w:t>
            </w:r>
            <w:r w:rsidRPr="00FD1EBD">
              <w:rPr>
                <w:lang w:eastAsia="en-AU"/>
              </w:rPr>
              <w:t>[2018] FCA 395</w:t>
            </w:r>
          </w:p>
          <w:p w14:paraId="722C9E26" w14:textId="77777777" w:rsidR="00B83FD3" w:rsidRDefault="00B83FD3" w:rsidP="00D82620">
            <w:pPr>
              <w:pStyle w:val="CasesLegislationAppealFrom"/>
              <w:spacing w:after="60"/>
              <w:rPr>
                <w:lang w:eastAsia="en-AU"/>
              </w:rPr>
            </w:pPr>
            <w:proofErr w:type="spellStart"/>
            <w:r w:rsidRPr="006F7BBF">
              <w:rPr>
                <w:i/>
                <w:lang w:eastAsia="en-AU"/>
              </w:rPr>
              <w:t>Dorajay</w:t>
            </w:r>
            <w:proofErr w:type="spellEnd"/>
            <w:r w:rsidRPr="006F7BBF">
              <w:rPr>
                <w:i/>
                <w:lang w:eastAsia="en-AU"/>
              </w:rPr>
              <w:t xml:space="preserve"> Pty Ltd v Aristocrat Leisure Limited</w:t>
            </w:r>
            <w:r w:rsidRPr="006F7BBF">
              <w:rPr>
                <w:lang w:eastAsia="en-AU"/>
              </w:rPr>
              <w:t xml:space="preserve"> [2009] FCA 19</w:t>
            </w:r>
          </w:p>
          <w:p w14:paraId="34BC0CB2" w14:textId="77777777" w:rsidR="00B83FD3" w:rsidRDefault="00B83FD3" w:rsidP="00D82620">
            <w:pPr>
              <w:pStyle w:val="CasesLegislationAppealFrom"/>
              <w:spacing w:after="60"/>
              <w:rPr>
                <w:lang w:eastAsia="en-AU"/>
              </w:rPr>
            </w:pPr>
            <w:proofErr w:type="spellStart"/>
            <w:r w:rsidRPr="006F7BBF">
              <w:rPr>
                <w:i/>
                <w:lang w:eastAsia="en-AU"/>
              </w:rPr>
              <w:t>Earglow</w:t>
            </w:r>
            <w:proofErr w:type="spellEnd"/>
            <w:r w:rsidRPr="006F7BBF">
              <w:rPr>
                <w:i/>
                <w:lang w:eastAsia="en-AU"/>
              </w:rPr>
              <w:t xml:space="preserve"> Pty Ltd v Newcrest Mining Limited</w:t>
            </w:r>
            <w:r w:rsidRPr="006F7BBF">
              <w:rPr>
                <w:lang w:eastAsia="en-AU"/>
              </w:rPr>
              <w:t xml:space="preserve"> [2016] FCA 1433</w:t>
            </w:r>
          </w:p>
          <w:p w14:paraId="2D3FE102" w14:textId="77777777" w:rsidR="00B83FD3" w:rsidRDefault="00B83FD3" w:rsidP="00D82620">
            <w:pPr>
              <w:pStyle w:val="CasesLegislationAppealFrom"/>
              <w:spacing w:after="60"/>
              <w:rPr>
                <w:lang w:eastAsia="en-AU"/>
              </w:rPr>
            </w:pPr>
            <w:r w:rsidRPr="006F7BBF">
              <w:rPr>
                <w:i/>
                <w:lang w:eastAsia="en-AU"/>
              </w:rPr>
              <w:t xml:space="preserve">HFPS Pty Limited (Trustee) </w:t>
            </w:r>
            <w:r w:rsidR="00285447">
              <w:rPr>
                <w:i/>
                <w:lang w:eastAsia="en-AU"/>
              </w:rPr>
              <w:t xml:space="preserve">v </w:t>
            </w:r>
            <w:proofErr w:type="spellStart"/>
            <w:r w:rsidR="00285447">
              <w:rPr>
                <w:i/>
                <w:lang w:eastAsia="en-AU"/>
              </w:rPr>
              <w:t>Tamaya</w:t>
            </w:r>
            <w:proofErr w:type="spellEnd"/>
            <w:r w:rsidR="00285447">
              <w:rPr>
                <w:i/>
                <w:lang w:eastAsia="en-AU"/>
              </w:rPr>
              <w:t xml:space="preserve"> Resources Limited (in </w:t>
            </w:r>
            <w:proofErr w:type="spellStart"/>
            <w:r w:rsidR="00285447">
              <w:rPr>
                <w:i/>
                <w:lang w:eastAsia="en-AU"/>
              </w:rPr>
              <w:t>l</w:t>
            </w:r>
            <w:r w:rsidRPr="006F7BBF">
              <w:rPr>
                <w:i/>
                <w:lang w:eastAsia="en-AU"/>
              </w:rPr>
              <w:t>iq</w:t>
            </w:r>
            <w:proofErr w:type="spellEnd"/>
            <w:r w:rsidRPr="006F7BBF">
              <w:rPr>
                <w:i/>
                <w:lang w:eastAsia="en-AU"/>
              </w:rPr>
              <w:t>) (No 3)</w:t>
            </w:r>
            <w:r w:rsidRPr="006F7BBF">
              <w:rPr>
                <w:lang w:eastAsia="en-AU"/>
              </w:rPr>
              <w:t xml:space="preserve"> [2017] FCA 650</w:t>
            </w:r>
          </w:p>
          <w:p w14:paraId="06A7C320" w14:textId="77777777" w:rsidR="00B83FD3" w:rsidRDefault="00B83FD3" w:rsidP="00D82620">
            <w:pPr>
              <w:pStyle w:val="CasesLegislationAppealFrom"/>
              <w:spacing w:after="60"/>
              <w:rPr>
                <w:lang w:eastAsia="en-AU"/>
              </w:rPr>
            </w:pPr>
            <w:r w:rsidRPr="00A6065A">
              <w:rPr>
                <w:i/>
                <w:lang w:eastAsia="en-AU"/>
              </w:rPr>
              <w:t>King v AG Australia Holdings Ltd</w:t>
            </w:r>
            <w:r w:rsidRPr="00A6065A">
              <w:rPr>
                <w:lang w:eastAsia="en-AU"/>
              </w:rPr>
              <w:t xml:space="preserve"> </w:t>
            </w:r>
            <w:r w:rsidRPr="0031273E">
              <w:rPr>
                <w:i/>
                <w:lang w:eastAsia="en-AU"/>
              </w:rPr>
              <w:t>(formerly GIO Australia Holdings Ltd)</w:t>
            </w:r>
            <w:r w:rsidRPr="0031273E">
              <w:rPr>
                <w:lang w:eastAsia="en-AU"/>
              </w:rPr>
              <w:t xml:space="preserve"> </w:t>
            </w:r>
            <w:r w:rsidRPr="00A6065A">
              <w:rPr>
                <w:lang w:eastAsia="en-AU"/>
              </w:rPr>
              <w:t>[2003] FCA 980</w:t>
            </w:r>
          </w:p>
          <w:p w14:paraId="6CF55B58" w14:textId="77777777" w:rsidR="00B83FD3" w:rsidRDefault="00B83FD3" w:rsidP="00D82620">
            <w:pPr>
              <w:pStyle w:val="CasesLegislationAppealFrom"/>
              <w:spacing w:after="60"/>
              <w:rPr>
                <w:lang w:eastAsia="en-AU"/>
              </w:rPr>
            </w:pPr>
            <w:r w:rsidRPr="006F7BBF">
              <w:rPr>
                <w:i/>
                <w:lang w:eastAsia="en-AU"/>
              </w:rPr>
              <w:t xml:space="preserve">Liverpool City Council v McGraw-Hill Financial, </w:t>
            </w:r>
            <w:proofErr w:type="spellStart"/>
            <w:r w:rsidRPr="006F7BBF">
              <w:rPr>
                <w:i/>
                <w:lang w:eastAsia="en-AU"/>
              </w:rPr>
              <w:t>Inc</w:t>
            </w:r>
            <w:proofErr w:type="spellEnd"/>
            <w:r w:rsidRPr="006F7BBF">
              <w:rPr>
                <w:i/>
                <w:lang w:eastAsia="en-AU"/>
              </w:rPr>
              <w:t xml:space="preserve"> (now known as S&amp;P Global </w:t>
            </w:r>
            <w:proofErr w:type="spellStart"/>
            <w:r w:rsidRPr="006F7BBF">
              <w:rPr>
                <w:i/>
                <w:lang w:eastAsia="en-AU"/>
              </w:rPr>
              <w:t>Inc</w:t>
            </w:r>
            <w:proofErr w:type="spellEnd"/>
            <w:r w:rsidRPr="006F7BBF">
              <w:rPr>
                <w:i/>
                <w:lang w:eastAsia="en-AU"/>
              </w:rPr>
              <w:t>)</w:t>
            </w:r>
            <w:r w:rsidRPr="006F7BBF">
              <w:rPr>
                <w:lang w:eastAsia="en-AU"/>
              </w:rPr>
              <w:t xml:space="preserve"> [2018] FCA 1289</w:t>
            </w:r>
          </w:p>
          <w:p w14:paraId="1BBE2C11" w14:textId="77777777" w:rsidR="00B83FD3" w:rsidRDefault="00B83FD3" w:rsidP="00D82620">
            <w:pPr>
              <w:pStyle w:val="CasesLegislationAppealFrom"/>
              <w:spacing w:after="60"/>
              <w:rPr>
                <w:lang w:eastAsia="en-AU"/>
              </w:rPr>
            </w:pPr>
            <w:r w:rsidRPr="00A6065A">
              <w:rPr>
                <w:i/>
                <w:lang w:eastAsia="en-AU"/>
              </w:rPr>
              <w:t xml:space="preserve">Matthews v </w:t>
            </w:r>
            <w:proofErr w:type="spellStart"/>
            <w:r w:rsidRPr="00A6065A">
              <w:rPr>
                <w:i/>
                <w:lang w:eastAsia="en-AU"/>
              </w:rPr>
              <w:t>AusNet</w:t>
            </w:r>
            <w:proofErr w:type="spellEnd"/>
            <w:r w:rsidRPr="00A6065A">
              <w:rPr>
                <w:i/>
                <w:lang w:eastAsia="en-AU"/>
              </w:rPr>
              <w:t xml:space="preserve"> Electricity Services Pty Ltd </w:t>
            </w:r>
            <w:r w:rsidRPr="00A6065A">
              <w:rPr>
                <w:lang w:eastAsia="en-AU"/>
              </w:rPr>
              <w:t>[2014] VSC 663</w:t>
            </w:r>
          </w:p>
          <w:p w14:paraId="69AD4DA2" w14:textId="77777777" w:rsidR="00B83FD3" w:rsidRDefault="00B83FD3" w:rsidP="00D82620">
            <w:pPr>
              <w:pStyle w:val="CasesLegislationAppealFrom"/>
              <w:spacing w:after="60"/>
              <w:rPr>
                <w:lang w:eastAsia="en-AU"/>
              </w:rPr>
            </w:pPr>
            <w:r w:rsidRPr="00017E64">
              <w:rPr>
                <w:i/>
                <w:lang w:eastAsia="en-AU"/>
              </w:rPr>
              <w:t>McKenzie v Cash Converters International Ltd (No 3)</w:t>
            </w:r>
            <w:r>
              <w:rPr>
                <w:lang w:eastAsia="en-AU"/>
              </w:rPr>
              <w:t xml:space="preserve"> [2019] FCA 10</w:t>
            </w:r>
          </w:p>
          <w:p w14:paraId="3888284D" w14:textId="77777777" w:rsidR="00B83FD3" w:rsidRDefault="00B83FD3" w:rsidP="00D82620">
            <w:pPr>
              <w:pStyle w:val="CasesLegislationAppealFrom"/>
              <w:spacing w:after="60"/>
              <w:rPr>
                <w:lang w:eastAsia="en-AU"/>
              </w:rPr>
            </w:pPr>
            <w:proofErr w:type="spellStart"/>
            <w:r w:rsidRPr="006F7BBF">
              <w:rPr>
                <w:i/>
                <w:lang w:eastAsia="en-AU"/>
              </w:rPr>
              <w:t>Modtech</w:t>
            </w:r>
            <w:proofErr w:type="spellEnd"/>
            <w:r w:rsidRPr="006F7BBF">
              <w:rPr>
                <w:i/>
                <w:lang w:eastAsia="en-AU"/>
              </w:rPr>
              <w:t xml:space="preserve"> Engineering Pty Limited v GPT Management Holdings Limited</w:t>
            </w:r>
            <w:r>
              <w:rPr>
                <w:lang w:eastAsia="en-AU"/>
              </w:rPr>
              <w:t xml:space="preserve"> [2013] FCA 626</w:t>
            </w:r>
          </w:p>
          <w:p w14:paraId="5A7EF3C1" w14:textId="77777777" w:rsidR="00B83FD3" w:rsidRDefault="00B83FD3" w:rsidP="00D82620">
            <w:pPr>
              <w:pStyle w:val="CasesLegislationAppealFrom"/>
              <w:spacing w:after="60"/>
              <w:rPr>
                <w:lang w:eastAsia="en-AU"/>
              </w:rPr>
            </w:pPr>
            <w:r>
              <w:rPr>
                <w:i/>
                <w:lang w:eastAsia="en-AU"/>
              </w:rPr>
              <w:t xml:space="preserve">Money Max </w:t>
            </w:r>
            <w:proofErr w:type="spellStart"/>
            <w:r>
              <w:rPr>
                <w:i/>
                <w:lang w:eastAsia="en-AU"/>
              </w:rPr>
              <w:t>Int</w:t>
            </w:r>
            <w:proofErr w:type="spellEnd"/>
            <w:r>
              <w:rPr>
                <w:i/>
                <w:lang w:eastAsia="en-AU"/>
              </w:rPr>
              <w:t xml:space="preserve"> Pty Ltd (Trustee) v QBE Insurance Group Ltd </w:t>
            </w:r>
            <w:r>
              <w:rPr>
                <w:lang w:eastAsia="en-AU"/>
              </w:rPr>
              <w:t xml:space="preserve">[2016] FCAFC 148; </w:t>
            </w:r>
            <w:r w:rsidRPr="0031273E">
              <w:rPr>
                <w:lang w:eastAsia="en-AU"/>
              </w:rPr>
              <w:t>(2016) 245 FCR 191</w:t>
            </w:r>
          </w:p>
          <w:bookmarkEnd w:id="4"/>
          <w:p w14:paraId="535A0E86" w14:textId="77777777" w:rsidR="00395B24" w:rsidRDefault="00B83FD3" w:rsidP="00B83FD3">
            <w:pPr>
              <w:pStyle w:val="CasesLegislationAppealFrom"/>
              <w:spacing w:after="60"/>
              <w:rPr>
                <w:lang w:eastAsia="en-AU"/>
              </w:rPr>
            </w:pPr>
            <w:r w:rsidRPr="006F7BBF">
              <w:rPr>
                <w:i/>
                <w:lang w:eastAsia="en-AU"/>
              </w:rPr>
              <w:t>P Dawson Nominees Pty Ltd v Brookfield Multiplex Limited (No 4)</w:t>
            </w:r>
            <w:r w:rsidRPr="006F7BBF">
              <w:rPr>
                <w:lang w:eastAsia="en-AU"/>
              </w:rPr>
              <w:t xml:space="preserve"> [2010] FCA 1029</w:t>
            </w:r>
          </w:p>
          <w:p w14:paraId="40EC1B99" w14:textId="77777777" w:rsidR="00CC253E" w:rsidRDefault="00382DDF" w:rsidP="00B83FD3">
            <w:pPr>
              <w:pStyle w:val="CasesLegislationAppealFrom"/>
              <w:spacing w:after="60"/>
            </w:pPr>
            <w:r>
              <w:rPr>
                <w:i/>
                <w:lang w:eastAsia="en-AU"/>
              </w:rPr>
              <w:t>Peterse</w:t>
            </w:r>
            <w:r w:rsidR="00CC253E">
              <w:rPr>
                <w:i/>
                <w:lang w:eastAsia="en-AU"/>
              </w:rPr>
              <w:t xml:space="preserve">n Superannuation Fund Pty Ltd v Bank of </w:t>
            </w:r>
            <w:r w:rsidR="00CC253E">
              <w:rPr>
                <w:i/>
                <w:lang w:eastAsia="en-AU"/>
              </w:rPr>
              <w:lastRenderedPageBreak/>
              <w:t xml:space="preserve">Queensland Ltd (No 3) </w:t>
            </w:r>
            <w:r w:rsidR="00CC253E">
              <w:rPr>
                <w:lang w:eastAsia="en-AU"/>
              </w:rPr>
              <w:t>[2018] FCA 1842</w:t>
            </w:r>
          </w:p>
        </w:tc>
      </w:tr>
      <w:tr w:rsidR="008A7019" w:rsidRPr="008A7019" w14:paraId="5B789FEE" w14:textId="77777777" w:rsidTr="008A7019">
        <w:tc>
          <w:tcPr>
            <w:tcW w:w="3085" w:type="dxa"/>
            <w:shd w:val="clear" w:color="auto" w:fill="auto"/>
          </w:tcPr>
          <w:p w14:paraId="336CB0A0" w14:textId="77777777" w:rsidR="008A7019" w:rsidRPr="008A7019" w:rsidRDefault="008A7019" w:rsidP="008A7019">
            <w:pPr>
              <w:pStyle w:val="Normal1linespace"/>
              <w:jc w:val="left"/>
            </w:pPr>
          </w:p>
        </w:tc>
        <w:tc>
          <w:tcPr>
            <w:tcW w:w="5989" w:type="dxa"/>
            <w:shd w:val="clear" w:color="auto" w:fill="auto"/>
          </w:tcPr>
          <w:p w14:paraId="6BC0B8A6" w14:textId="77777777" w:rsidR="008A7019" w:rsidRPr="008A7019" w:rsidRDefault="008A7019" w:rsidP="008A7019">
            <w:pPr>
              <w:pStyle w:val="Normal1linespace"/>
              <w:jc w:val="left"/>
            </w:pPr>
          </w:p>
        </w:tc>
      </w:tr>
      <w:tr w:rsidR="008A7019" w:rsidRPr="008A7019" w14:paraId="4F540D86" w14:textId="77777777" w:rsidTr="008A7019">
        <w:tc>
          <w:tcPr>
            <w:tcW w:w="3085" w:type="dxa"/>
            <w:shd w:val="clear" w:color="auto" w:fill="auto"/>
          </w:tcPr>
          <w:p w14:paraId="3D9C4F65" w14:textId="77777777" w:rsidR="008A7019" w:rsidRPr="008A7019" w:rsidRDefault="008A7019" w:rsidP="008A7019">
            <w:pPr>
              <w:pStyle w:val="Normal1linespace"/>
              <w:jc w:val="left"/>
            </w:pPr>
            <w:bookmarkStart w:id="5" w:name="CounselDate" w:colFirst="0" w:colLast="2"/>
            <w:r w:rsidRPr="008A7019">
              <w:t>Date of hearing:</w:t>
            </w:r>
          </w:p>
        </w:tc>
        <w:tc>
          <w:tcPr>
            <w:tcW w:w="5989" w:type="dxa"/>
            <w:shd w:val="clear" w:color="auto" w:fill="auto"/>
          </w:tcPr>
          <w:p w14:paraId="309E98AE" w14:textId="77777777" w:rsidR="008A7019" w:rsidRPr="008A7019" w:rsidRDefault="004A3366" w:rsidP="008A7019">
            <w:pPr>
              <w:pStyle w:val="Normal1linespace"/>
              <w:jc w:val="left"/>
            </w:pPr>
            <w:r>
              <w:t>13 June 2019</w:t>
            </w:r>
          </w:p>
        </w:tc>
      </w:tr>
      <w:tr w:rsidR="008A7019" w:rsidRPr="008A7019" w14:paraId="39E0BD30" w14:textId="77777777" w:rsidTr="008A7019">
        <w:tc>
          <w:tcPr>
            <w:tcW w:w="3085" w:type="dxa"/>
            <w:shd w:val="clear" w:color="auto" w:fill="auto"/>
          </w:tcPr>
          <w:p w14:paraId="66979E00" w14:textId="77777777" w:rsidR="008A7019" w:rsidRPr="008A7019" w:rsidRDefault="008A7019" w:rsidP="008A7019">
            <w:pPr>
              <w:pStyle w:val="Normal1linespace"/>
              <w:jc w:val="left"/>
            </w:pPr>
          </w:p>
        </w:tc>
        <w:tc>
          <w:tcPr>
            <w:tcW w:w="5989" w:type="dxa"/>
            <w:shd w:val="clear" w:color="auto" w:fill="auto"/>
          </w:tcPr>
          <w:p w14:paraId="61955B69" w14:textId="77777777" w:rsidR="008A7019" w:rsidRPr="008A7019" w:rsidRDefault="008A7019" w:rsidP="008A7019">
            <w:pPr>
              <w:pStyle w:val="Normal1linespace"/>
              <w:jc w:val="left"/>
            </w:pPr>
          </w:p>
        </w:tc>
      </w:tr>
      <w:bookmarkEnd w:id="5"/>
      <w:tr w:rsidR="008A7019" w14:paraId="6D728603" w14:textId="77777777" w:rsidTr="008A7019">
        <w:tc>
          <w:tcPr>
            <w:tcW w:w="3085" w:type="dxa"/>
            <w:shd w:val="clear" w:color="auto" w:fill="auto"/>
          </w:tcPr>
          <w:p w14:paraId="7DC69F71" w14:textId="77777777" w:rsidR="008A7019" w:rsidRDefault="008A7019" w:rsidP="008A7019">
            <w:pPr>
              <w:pStyle w:val="Normal1linespace"/>
              <w:widowControl w:val="0"/>
              <w:jc w:val="left"/>
            </w:pPr>
            <w:r>
              <w:t>Registry:</w:t>
            </w:r>
          </w:p>
        </w:tc>
        <w:tc>
          <w:tcPr>
            <w:tcW w:w="5989" w:type="dxa"/>
            <w:shd w:val="clear" w:color="auto" w:fill="auto"/>
          </w:tcPr>
          <w:p w14:paraId="47DFBD6B" w14:textId="77777777" w:rsidR="008A7019" w:rsidRPr="00F17599" w:rsidRDefault="00BD4440" w:rsidP="008A7019">
            <w:pPr>
              <w:pStyle w:val="Normal1linespace"/>
              <w:widowControl w:val="0"/>
              <w:jc w:val="left"/>
            </w:pPr>
            <w:r>
              <w:fldChar w:fldCharType="begin" w:fldLock="1"/>
            </w:r>
            <w:r>
              <w:instrText xml:space="preserve"> DOCPROPERTY  Registry </w:instrText>
            </w:r>
            <w:r>
              <w:fldChar w:fldCharType="separate"/>
            </w:r>
            <w:r w:rsidR="00FC5DA0">
              <w:t>New South Wales</w:t>
            </w:r>
            <w:r>
              <w:fldChar w:fldCharType="end"/>
            </w:r>
          </w:p>
        </w:tc>
      </w:tr>
      <w:tr w:rsidR="008A7019" w14:paraId="2AF0167D" w14:textId="77777777" w:rsidTr="008A7019">
        <w:tc>
          <w:tcPr>
            <w:tcW w:w="3085" w:type="dxa"/>
            <w:shd w:val="clear" w:color="auto" w:fill="auto"/>
          </w:tcPr>
          <w:p w14:paraId="5D8C209E" w14:textId="77777777" w:rsidR="008A7019" w:rsidRDefault="008A7019" w:rsidP="008A7019">
            <w:pPr>
              <w:pStyle w:val="Normal1linespace"/>
              <w:widowControl w:val="0"/>
              <w:jc w:val="left"/>
            </w:pPr>
          </w:p>
        </w:tc>
        <w:tc>
          <w:tcPr>
            <w:tcW w:w="5989" w:type="dxa"/>
            <w:shd w:val="clear" w:color="auto" w:fill="auto"/>
          </w:tcPr>
          <w:p w14:paraId="63CC2D3B" w14:textId="77777777" w:rsidR="008A7019" w:rsidRDefault="008A7019" w:rsidP="008A7019">
            <w:pPr>
              <w:pStyle w:val="Normal1linespace"/>
              <w:widowControl w:val="0"/>
              <w:jc w:val="left"/>
            </w:pPr>
          </w:p>
        </w:tc>
      </w:tr>
      <w:tr w:rsidR="008A7019" w14:paraId="0E2D3006" w14:textId="77777777" w:rsidTr="008A7019">
        <w:tc>
          <w:tcPr>
            <w:tcW w:w="3085" w:type="dxa"/>
            <w:shd w:val="clear" w:color="auto" w:fill="auto"/>
          </w:tcPr>
          <w:p w14:paraId="579B7C05" w14:textId="77777777" w:rsidR="008A7019" w:rsidRDefault="008A7019" w:rsidP="008A7019">
            <w:pPr>
              <w:pStyle w:val="Normal1linespace"/>
              <w:widowControl w:val="0"/>
              <w:jc w:val="left"/>
            </w:pPr>
            <w:r>
              <w:t>Division:</w:t>
            </w:r>
          </w:p>
        </w:tc>
        <w:tc>
          <w:tcPr>
            <w:tcW w:w="5989" w:type="dxa"/>
            <w:shd w:val="clear" w:color="auto" w:fill="auto"/>
          </w:tcPr>
          <w:p w14:paraId="02F1B804" w14:textId="77777777" w:rsidR="008A7019" w:rsidRPr="00F17599" w:rsidRDefault="00BD4440" w:rsidP="008A7019">
            <w:pPr>
              <w:pStyle w:val="Normal1linespace"/>
              <w:widowControl w:val="0"/>
              <w:jc w:val="left"/>
            </w:pPr>
            <w:r>
              <w:fldChar w:fldCharType="begin" w:fldLock="1"/>
            </w:r>
            <w:r>
              <w:instrText xml:space="preserve"> DOCPROPERTY  Division </w:instrText>
            </w:r>
            <w:r>
              <w:fldChar w:fldCharType="separate"/>
            </w:r>
            <w:r w:rsidR="00FC5DA0">
              <w:t>General Division</w:t>
            </w:r>
            <w:r>
              <w:fldChar w:fldCharType="end"/>
            </w:r>
          </w:p>
        </w:tc>
      </w:tr>
      <w:tr w:rsidR="008A7019" w14:paraId="65A3BA8E" w14:textId="77777777" w:rsidTr="008A7019">
        <w:tc>
          <w:tcPr>
            <w:tcW w:w="3085" w:type="dxa"/>
            <w:shd w:val="clear" w:color="auto" w:fill="auto"/>
          </w:tcPr>
          <w:p w14:paraId="7697FCFE" w14:textId="77777777" w:rsidR="008A7019" w:rsidRDefault="008A7019" w:rsidP="008A7019">
            <w:pPr>
              <w:pStyle w:val="Normal1linespace"/>
              <w:widowControl w:val="0"/>
              <w:jc w:val="left"/>
            </w:pPr>
          </w:p>
        </w:tc>
        <w:tc>
          <w:tcPr>
            <w:tcW w:w="5989" w:type="dxa"/>
            <w:shd w:val="clear" w:color="auto" w:fill="auto"/>
          </w:tcPr>
          <w:p w14:paraId="3FD19090" w14:textId="77777777" w:rsidR="008A7019" w:rsidRPr="00F17599" w:rsidRDefault="008A7019" w:rsidP="008A7019">
            <w:pPr>
              <w:pStyle w:val="Normal1linespace"/>
              <w:widowControl w:val="0"/>
              <w:jc w:val="left"/>
              <w:rPr>
                <w:b/>
              </w:rPr>
            </w:pPr>
          </w:p>
        </w:tc>
      </w:tr>
      <w:tr w:rsidR="008A7019" w14:paraId="2EC460A1" w14:textId="77777777" w:rsidTr="008A7019">
        <w:tc>
          <w:tcPr>
            <w:tcW w:w="3085" w:type="dxa"/>
            <w:shd w:val="clear" w:color="auto" w:fill="auto"/>
          </w:tcPr>
          <w:p w14:paraId="5538B60C" w14:textId="77777777" w:rsidR="008A7019" w:rsidRDefault="008A7019" w:rsidP="008A7019">
            <w:pPr>
              <w:pStyle w:val="Normal1linespace"/>
              <w:widowControl w:val="0"/>
              <w:jc w:val="left"/>
            </w:pPr>
            <w:r>
              <w:t>National Practice Area:</w:t>
            </w:r>
          </w:p>
        </w:tc>
        <w:tc>
          <w:tcPr>
            <w:tcW w:w="5989" w:type="dxa"/>
            <w:shd w:val="clear" w:color="auto" w:fill="auto"/>
          </w:tcPr>
          <w:p w14:paraId="7BACC9BD" w14:textId="77777777" w:rsidR="008A7019" w:rsidRPr="00F17599" w:rsidRDefault="00BD4440" w:rsidP="008A7019">
            <w:pPr>
              <w:pStyle w:val="Normal1linespace"/>
              <w:widowControl w:val="0"/>
              <w:jc w:val="left"/>
              <w:rPr>
                <w:b/>
              </w:rPr>
            </w:pPr>
            <w:r>
              <w:fldChar w:fldCharType="begin" w:fldLock="1"/>
            </w:r>
            <w:r>
              <w:instrText xml:space="preserve"> DOCPROPERTY  "Practice Area"  \* MERGEFORMAT </w:instrText>
            </w:r>
            <w:r>
              <w:fldChar w:fldCharType="separate"/>
            </w:r>
            <w:r w:rsidR="00FC5DA0">
              <w:t>Commercial and Corporations</w:t>
            </w:r>
            <w:r>
              <w:fldChar w:fldCharType="end"/>
            </w:r>
          </w:p>
        </w:tc>
      </w:tr>
      <w:tr w:rsidR="008A7019" w14:paraId="6DAF42A3" w14:textId="77777777" w:rsidTr="008A7019">
        <w:tc>
          <w:tcPr>
            <w:tcW w:w="3085" w:type="dxa"/>
            <w:shd w:val="clear" w:color="auto" w:fill="auto"/>
          </w:tcPr>
          <w:p w14:paraId="3EBBDBD4" w14:textId="77777777" w:rsidR="008A7019" w:rsidRDefault="008A7019" w:rsidP="008A7019">
            <w:pPr>
              <w:pStyle w:val="Normal1linespace"/>
              <w:widowControl w:val="0"/>
              <w:jc w:val="left"/>
            </w:pPr>
          </w:p>
        </w:tc>
        <w:tc>
          <w:tcPr>
            <w:tcW w:w="5989" w:type="dxa"/>
            <w:shd w:val="clear" w:color="auto" w:fill="auto"/>
          </w:tcPr>
          <w:p w14:paraId="47ED179A" w14:textId="77777777" w:rsidR="008A7019" w:rsidRDefault="008A7019" w:rsidP="008A7019">
            <w:pPr>
              <w:pStyle w:val="Normal1linespace"/>
              <w:widowControl w:val="0"/>
              <w:jc w:val="left"/>
            </w:pPr>
          </w:p>
        </w:tc>
      </w:tr>
      <w:tr w:rsidR="008A7019" w14:paraId="46AFFEF9" w14:textId="77777777" w:rsidTr="008A7019">
        <w:tc>
          <w:tcPr>
            <w:tcW w:w="3085" w:type="dxa"/>
            <w:shd w:val="clear" w:color="auto" w:fill="auto"/>
          </w:tcPr>
          <w:p w14:paraId="779C634B" w14:textId="77777777" w:rsidR="008A7019" w:rsidRDefault="008A7019" w:rsidP="008A7019">
            <w:pPr>
              <w:pStyle w:val="Normal1linespace"/>
              <w:widowControl w:val="0"/>
              <w:jc w:val="left"/>
            </w:pPr>
            <w:r>
              <w:t>Sub-area:</w:t>
            </w:r>
          </w:p>
        </w:tc>
        <w:tc>
          <w:tcPr>
            <w:tcW w:w="5989" w:type="dxa"/>
            <w:shd w:val="clear" w:color="auto" w:fill="auto"/>
          </w:tcPr>
          <w:p w14:paraId="459A2CA8" w14:textId="77777777" w:rsidR="008A7019" w:rsidRPr="00435936" w:rsidRDefault="00BD4440" w:rsidP="008A7019">
            <w:pPr>
              <w:pStyle w:val="Normal1linespace"/>
              <w:widowControl w:val="0"/>
              <w:jc w:val="left"/>
            </w:pPr>
            <w:r>
              <w:fldChar w:fldCharType="begin" w:fldLock="1"/>
            </w:r>
            <w:r>
              <w:instrText xml:space="preserve"> DOCPROPERTY  "Sub Area"  \* MERGEFORMAT </w:instrText>
            </w:r>
            <w:r>
              <w:fldChar w:fldCharType="separate"/>
            </w:r>
            <w:r w:rsidR="00FC5DA0" w:rsidRPr="00FC5DA0">
              <w:rPr>
                <w:bCs/>
                <w:lang w:val="en-US"/>
              </w:rPr>
              <w:t>Regulator and Consumer</w:t>
            </w:r>
            <w:r w:rsidR="00FC5DA0">
              <w:t xml:space="preserve"> Protection</w:t>
            </w:r>
            <w:r>
              <w:fldChar w:fldCharType="end"/>
            </w:r>
          </w:p>
        </w:tc>
      </w:tr>
      <w:tr w:rsidR="008A7019" w14:paraId="60283769" w14:textId="77777777" w:rsidTr="008A7019">
        <w:tc>
          <w:tcPr>
            <w:tcW w:w="3085" w:type="dxa"/>
            <w:shd w:val="clear" w:color="auto" w:fill="auto"/>
          </w:tcPr>
          <w:p w14:paraId="68D57D68" w14:textId="77777777" w:rsidR="008A7019" w:rsidRDefault="008A7019" w:rsidP="008A7019">
            <w:pPr>
              <w:pStyle w:val="Normal1linespace"/>
              <w:widowControl w:val="0"/>
              <w:jc w:val="left"/>
            </w:pPr>
          </w:p>
        </w:tc>
        <w:tc>
          <w:tcPr>
            <w:tcW w:w="5989" w:type="dxa"/>
            <w:shd w:val="clear" w:color="auto" w:fill="auto"/>
          </w:tcPr>
          <w:p w14:paraId="6138EEA6" w14:textId="77777777" w:rsidR="008A7019" w:rsidRDefault="008A7019" w:rsidP="008A7019">
            <w:pPr>
              <w:pStyle w:val="Normal1linespace"/>
              <w:widowControl w:val="0"/>
              <w:jc w:val="left"/>
              <w:rPr>
                <w:b/>
              </w:rPr>
            </w:pPr>
          </w:p>
        </w:tc>
      </w:tr>
      <w:tr w:rsidR="008A7019" w14:paraId="46FC77FE" w14:textId="77777777" w:rsidTr="008A7019">
        <w:tc>
          <w:tcPr>
            <w:tcW w:w="3085" w:type="dxa"/>
            <w:shd w:val="clear" w:color="auto" w:fill="auto"/>
          </w:tcPr>
          <w:p w14:paraId="01E2A093" w14:textId="77777777" w:rsidR="008A7019" w:rsidRDefault="008A7019" w:rsidP="008A7019">
            <w:pPr>
              <w:pStyle w:val="Normal1linespace"/>
              <w:widowControl w:val="0"/>
              <w:jc w:val="left"/>
            </w:pPr>
            <w:r>
              <w:t>Category:</w:t>
            </w:r>
          </w:p>
        </w:tc>
        <w:tc>
          <w:tcPr>
            <w:tcW w:w="5989" w:type="dxa"/>
            <w:shd w:val="clear" w:color="auto" w:fill="auto"/>
          </w:tcPr>
          <w:p w14:paraId="6E36CA51" w14:textId="77777777" w:rsidR="008A7019" w:rsidRDefault="008A7019" w:rsidP="008A7019">
            <w:pPr>
              <w:pStyle w:val="Normal1linespace"/>
              <w:widowControl w:val="0"/>
              <w:jc w:val="left"/>
            </w:pPr>
            <w:r w:rsidRPr="00FC5DA0">
              <w:t>Catchwords</w:t>
            </w:r>
          </w:p>
        </w:tc>
      </w:tr>
      <w:tr w:rsidR="008A7019" w14:paraId="17649747" w14:textId="77777777" w:rsidTr="008A7019">
        <w:tc>
          <w:tcPr>
            <w:tcW w:w="3085" w:type="dxa"/>
            <w:shd w:val="clear" w:color="auto" w:fill="auto"/>
          </w:tcPr>
          <w:p w14:paraId="5E9431B3" w14:textId="77777777" w:rsidR="008A7019" w:rsidRDefault="008A7019" w:rsidP="008A7019">
            <w:pPr>
              <w:pStyle w:val="Normal1linespace"/>
              <w:widowControl w:val="0"/>
              <w:jc w:val="left"/>
            </w:pPr>
          </w:p>
        </w:tc>
        <w:tc>
          <w:tcPr>
            <w:tcW w:w="5989" w:type="dxa"/>
            <w:shd w:val="clear" w:color="auto" w:fill="auto"/>
          </w:tcPr>
          <w:p w14:paraId="7643857A" w14:textId="77777777" w:rsidR="008A7019" w:rsidRDefault="008A7019" w:rsidP="008A7019">
            <w:pPr>
              <w:pStyle w:val="Normal1linespace"/>
              <w:widowControl w:val="0"/>
              <w:jc w:val="left"/>
            </w:pPr>
          </w:p>
        </w:tc>
      </w:tr>
      <w:tr w:rsidR="008A7019" w14:paraId="3FDBEF06" w14:textId="77777777" w:rsidTr="008A7019">
        <w:tc>
          <w:tcPr>
            <w:tcW w:w="3085" w:type="dxa"/>
            <w:shd w:val="clear" w:color="auto" w:fill="auto"/>
          </w:tcPr>
          <w:p w14:paraId="090C3F4F" w14:textId="77777777" w:rsidR="008A7019" w:rsidRDefault="008A7019" w:rsidP="008A7019">
            <w:pPr>
              <w:pStyle w:val="Normal1linespace"/>
              <w:widowControl w:val="0"/>
              <w:jc w:val="left"/>
            </w:pPr>
            <w:r>
              <w:t>Number of paragraphs:</w:t>
            </w:r>
          </w:p>
        </w:tc>
        <w:tc>
          <w:tcPr>
            <w:tcW w:w="5989" w:type="dxa"/>
            <w:shd w:val="clear" w:color="auto" w:fill="auto"/>
          </w:tcPr>
          <w:p w14:paraId="35E57C3D" w14:textId="26187293" w:rsidR="008A7019" w:rsidRDefault="00FC5DA0" w:rsidP="00EF49E7">
            <w:pPr>
              <w:pStyle w:val="Normal1linespace"/>
              <w:widowControl w:val="0"/>
              <w:jc w:val="left"/>
            </w:pPr>
            <w:bookmarkStart w:id="6" w:name="PlaceCategoryParagraphs"/>
            <w:r>
              <w:t>2</w:t>
            </w:r>
            <w:r w:rsidR="00EF49E7">
              <w:t>8</w:t>
            </w:r>
            <w:bookmarkEnd w:id="6"/>
          </w:p>
        </w:tc>
      </w:tr>
      <w:tr w:rsidR="008A7019" w14:paraId="17F8A4AF" w14:textId="77777777" w:rsidTr="008A7019">
        <w:tc>
          <w:tcPr>
            <w:tcW w:w="3085" w:type="dxa"/>
            <w:shd w:val="clear" w:color="auto" w:fill="auto"/>
          </w:tcPr>
          <w:p w14:paraId="736DA23A" w14:textId="77777777" w:rsidR="008A7019" w:rsidRDefault="008A7019" w:rsidP="008A7019">
            <w:pPr>
              <w:pStyle w:val="Normal1linespace"/>
              <w:widowControl w:val="0"/>
              <w:jc w:val="left"/>
            </w:pPr>
          </w:p>
        </w:tc>
        <w:tc>
          <w:tcPr>
            <w:tcW w:w="5989" w:type="dxa"/>
            <w:shd w:val="clear" w:color="auto" w:fill="auto"/>
          </w:tcPr>
          <w:p w14:paraId="4FF57E3C" w14:textId="77777777" w:rsidR="008A7019" w:rsidRDefault="008A7019" w:rsidP="008A7019">
            <w:pPr>
              <w:pStyle w:val="Normal1linespace"/>
              <w:widowControl w:val="0"/>
              <w:jc w:val="left"/>
            </w:pPr>
          </w:p>
        </w:tc>
      </w:tr>
      <w:tr w:rsidR="008A7019" w14:paraId="508E1AD8" w14:textId="77777777" w:rsidTr="008A7019">
        <w:tc>
          <w:tcPr>
            <w:tcW w:w="3085" w:type="dxa"/>
            <w:shd w:val="clear" w:color="auto" w:fill="auto"/>
          </w:tcPr>
          <w:p w14:paraId="38D27BBB" w14:textId="77777777" w:rsidR="008A7019" w:rsidRDefault="008A7019" w:rsidP="004A3366">
            <w:pPr>
              <w:pStyle w:val="Normal1linespace"/>
              <w:widowControl w:val="0"/>
              <w:jc w:val="left"/>
            </w:pPr>
            <w:bookmarkStart w:id="7" w:name="Counsel" w:colFirst="0" w:colLast="2"/>
            <w:r>
              <w:t>Counsel for the Plaintiff:</w:t>
            </w:r>
          </w:p>
        </w:tc>
        <w:tc>
          <w:tcPr>
            <w:tcW w:w="5989" w:type="dxa"/>
            <w:shd w:val="clear" w:color="auto" w:fill="auto"/>
          </w:tcPr>
          <w:p w14:paraId="7DE18A93" w14:textId="77777777" w:rsidR="008A7019" w:rsidRDefault="008A7019" w:rsidP="008A7019">
            <w:pPr>
              <w:pStyle w:val="Normal1linespace"/>
              <w:widowControl w:val="0"/>
              <w:jc w:val="left"/>
            </w:pPr>
            <w:bookmarkStart w:id="8" w:name="AppCounsel"/>
            <w:bookmarkEnd w:id="8"/>
            <w:r>
              <w:t>Mr S G Habib SC and Mr T Bagley</w:t>
            </w:r>
          </w:p>
        </w:tc>
      </w:tr>
      <w:tr w:rsidR="008A7019" w14:paraId="5B093F9D" w14:textId="77777777" w:rsidTr="008A7019">
        <w:tc>
          <w:tcPr>
            <w:tcW w:w="3085" w:type="dxa"/>
            <w:shd w:val="clear" w:color="auto" w:fill="auto"/>
          </w:tcPr>
          <w:p w14:paraId="76A8AA9B" w14:textId="77777777" w:rsidR="008A7019" w:rsidRDefault="008A7019" w:rsidP="008A7019">
            <w:pPr>
              <w:pStyle w:val="Normal1linespace"/>
              <w:widowControl w:val="0"/>
              <w:jc w:val="left"/>
            </w:pPr>
          </w:p>
        </w:tc>
        <w:tc>
          <w:tcPr>
            <w:tcW w:w="5989" w:type="dxa"/>
            <w:shd w:val="clear" w:color="auto" w:fill="auto"/>
          </w:tcPr>
          <w:p w14:paraId="3FA5E9DB" w14:textId="77777777" w:rsidR="008A7019" w:rsidRDefault="008A7019" w:rsidP="008A7019">
            <w:pPr>
              <w:pStyle w:val="Normal1linespace"/>
              <w:widowControl w:val="0"/>
              <w:jc w:val="left"/>
            </w:pPr>
          </w:p>
        </w:tc>
      </w:tr>
      <w:tr w:rsidR="008A7019" w14:paraId="0D77502D" w14:textId="77777777" w:rsidTr="008A7019">
        <w:tc>
          <w:tcPr>
            <w:tcW w:w="3085" w:type="dxa"/>
            <w:shd w:val="clear" w:color="auto" w:fill="auto"/>
          </w:tcPr>
          <w:p w14:paraId="0CDA47B3" w14:textId="77777777" w:rsidR="008A7019" w:rsidRDefault="008A7019" w:rsidP="004A3366">
            <w:pPr>
              <w:pStyle w:val="Normal1linespace"/>
              <w:widowControl w:val="0"/>
              <w:jc w:val="left"/>
            </w:pPr>
            <w:r>
              <w:t xml:space="preserve">Solicitor </w:t>
            </w:r>
            <w:r w:rsidR="004A3366">
              <w:t>for the Plaintiff</w:t>
            </w:r>
            <w:r>
              <w:t>:</w:t>
            </w:r>
          </w:p>
        </w:tc>
        <w:tc>
          <w:tcPr>
            <w:tcW w:w="5989" w:type="dxa"/>
            <w:shd w:val="clear" w:color="auto" w:fill="auto"/>
          </w:tcPr>
          <w:p w14:paraId="2CFD5374" w14:textId="77777777" w:rsidR="008A7019" w:rsidRDefault="008A7019" w:rsidP="008A7019">
            <w:pPr>
              <w:pStyle w:val="Normal1linespace"/>
              <w:widowControl w:val="0"/>
              <w:jc w:val="left"/>
            </w:pPr>
            <w:r>
              <w:t>William Roberts Lawyers</w:t>
            </w:r>
          </w:p>
        </w:tc>
      </w:tr>
      <w:tr w:rsidR="008A7019" w14:paraId="7BE49F9B" w14:textId="77777777" w:rsidTr="008A7019">
        <w:tc>
          <w:tcPr>
            <w:tcW w:w="3085" w:type="dxa"/>
            <w:shd w:val="clear" w:color="auto" w:fill="auto"/>
          </w:tcPr>
          <w:p w14:paraId="354B8951" w14:textId="77777777" w:rsidR="008A7019" w:rsidRDefault="008A7019" w:rsidP="008A7019">
            <w:pPr>
              <w:pStyle w:val="Normal1linespace"/>
              <w:widowControl w:val="0"/>
              <w:jc w:val="left"/>
            </w:pPr>
          </w:p>
        </w:tc>
        <w:tc>
          <w:tcPr>
            <w:tcW w:w="5989" w:type="dxa"/>
            <w:shd w:val="clear" w:color="auto" w:fill="auto"/>
          </w:tcPr>
          <w:p w14:paraId="2DDFC065" w14:textId="77777777" w:rsidR="008A7019" w:rsidRDefault="008A7019" w:rsidP="008A7019">
            <w:pPr>
              <w:pStyle w:val="Normal1linespace"/>
              <w:widowControl w:val="0"/>
              <w:jc w:val="left"/>
            </w:pPr>
          </w:p>
        </w:tc>
      </w:tr>
      <w:tr w:rsidR="008A7019" w14:paraId="3FF63BFD" w14:textId="77777777" w:rsidTr="008A7019">
        <w:tc>
          <w:tcPr>
            <w:tcW w:w="3085" w:type="dxa"/>
            <w:shd w:val="clear" w:color="auto" w:fill="auto"/>
          </w:tcPr>
          <w:p w14:paraId="0CCBF100" w14:textId="77777777" w:rsidR="008A7019" w:rsidRDefault="008A7019" w:rsidP="008A7019">
            <w:pPr>
              <w:pStyle w:val="Normal1linespace"/>
              <w:widowControl w:val="0"/>
              <w:jc w:val="left"/>
            </w:pPr>
            <w:r>
              <w:t>Counsel for the Defendant</w:t>
            </w:r>
            <w:r w:rsidR="004A3366">
              <w:t>/Cross-Claimant in the First, Second and Third Cross-Claims/Cross-Respondent in the Fourth Cross-Claim</w:t>
            </w:r>
            <w:r>
              <w:t>:</w:t>
            </w:r>
          </w:p>
        </w:tc>
        <w:tc>
          <w:tcPr>
            <w:tcW w:w="5989" w:type="dxa"/>
            <w:shd w:val="clear" w:color="auto" w:fill="auto"/>
          </w:tcPr>
          <w:p w14:paraId="06E951DD" w14:textId="77777777" w:rsidR="008A7019" w:rsidRDefault="008A7019" w:rsidP="008A7019">
            <w:pPr>
              <w:pStyle w:val="Normal1linespace"/>
              <w:widowControl w:val="0"/>
              <w:jc w:val="left"/>
            </w:pPr>
            <w:r>
              <w:t>Mr I Ahmed</w:t>
            </w:r>
          </w:p>
        </w:tc>
      </w:tr>
      <w:tr w:rsidR="008A7019" w14:paraId="5BB635E8" w14:textId="77777777" w:rsidTr="008A7019">
        <w:tc>
          <w:tcPr>
            <w:tcW w:w="3085" w:type="dxa"/>
            <w:shd w:val="clear" w:color="auto" w:fill="auto"/>
          </w:tcPr>
          <w:p w14:paraId="6468354B" w14:textId="77777777" w:rsidR="008A7019" w:rsidRDefault="008A7019" w:rsidP="008A7019">
            <w:pPr>
              <w:pStyle w:val="Normal1linespace"/>
              <w:widowControl w:val="0"/>
              <w:jc w:val="left"/>
            </w:pPr>
          </w:p>
        </w:tc>
        <w:tc>
          <w:tcPr>
            <w:tcW w:w="5989" w:type="dxa"/>
            <w:shd w:val="clear" w:color="auto" w:fill="auto"/>
          </w:tcPr>
          <w:p w14:paraId="0CD17D07" w14:textId="77777777" w:rsidR="008A7019" w:rsidRDefault="008A7019" w:rsidP="008A7019">
            <w:pPr>
              <w:pStyle w:val="Normal1linespace"/>
              <w:widowControl w:val="0"/>
              <w:jc w:val="left"/>
            </w:pPr>
          </w:p>
        </w:tc>
      </w:tr>
      <w:tr w:rsidR="008A7019" w14:paraId="332CD3A6" w14:textId="77777777" w:rsidTr="008A7019">
        <w:tc>
          <w:tcPr>
            <w:tcW w:w="3085" w:type="dxa"/>
            <w:shd w:val="clear" w:color="auto" w:fill="auto"/>
          </w:tcPr>
          <w:p w14:paraId="783EE03E" w14:textId="77777777" w:rsidR="008A7019" w:rsidRDefault="008A7019" w:rsidP="008A7019">
            <w:pPr>
              <w:pStyle w:val="Normal1linespace"/>
              <w:widowControl w:val="0"/>
              <w:jc w:val="left"/>
            </w:pPr>
            <w:r>
              <w:t>Solicitor for the Defendant</w:t>
            </w:r>
            <w:r w:rsidR="004A3366">
              <w:t>/Cross-Claimant in the First, Second and Third Cross-Claims/Cross-Respondent in the Fourth Cross-Claim</w:t>
            </w:r>
            <w:r>
              <w:t>:</w:t>
            </w:r>
          </w:p>
        </w:tc>
        <w:tc>
          <w:tcPr>
            <w:tcW w:w="5989" w:type="dxa"/>
            <w:shd w:val="clear" w:color="auto" w:fill="auto"/>
          </w:tcPr>
          <w:p w14:paraId="1F2D97FF" w14:textId="77777777" w:rsidR="008A7019" w:rsidRDefault="008A7019" w:rsidP="008A7019">
            <w:pPr>
              <w:pStyle w:val="Normal1linespace"/>
              <w:widowControl w:val="0"/>
              <w:jc w:val="left"/>
            </w:pPr>
            <w:r>
              <w:t>Herbert Smith Freehills</w:t>
            </w:r>
          </w:p>
        </w:tc>
      </w:tr>
      <w:tr w:rsidR="008A7019" w14:paraId="22C78481" w14:textId="77777777" w:rsidTr="008A7019">
        <w:tc>
          <w:tcPr>
            <w:tcW w:w="3085" w:type="dxa"/>
            <w:shd w:val="clear" w:color="auto" w:fill="auto"/>
          </w:tcPr>
          <w:p w14:paraId="59C0621E" w14:textId="77777777" w:rsidR="008A7019" w:rsidRDefault="008A7019" w:rsidP="008A7019">
            <w:pPr>
              <w:pStyle w:val="Normal1linespace"/>
              <w:widowControl w:val="0"/>
              <w:jc w:val="left"/>
            </w:pPr>
          </w:p>
        </w:tc>
        <w:tc>
          <w:tcPr>
            <w:tcW w:w="5989" w:type="dxa"/>
            <w:shd w:val="clear" w:color="auto" w:fill="auto"/>
          </w:tcPr>
          <w:p w14:paraId="4480F86F" w14:textId="77777777" w:rsidR="008A7019" w:rsidRDefault="008A7019" w:rsidP="008A7019">
            <w:pPr>
              <w:pStyle w:val="Normal1linespace"/>
              <w:widowControl w:val="0"/>
              <w:jc w:val="left"/>
            </w:pPr>
          </w:p>
        </w:tc>
      </w:tr>
      <w:tr w:rsidR="008A7019" w14:paraId="5524760B" w14:textId="77777777" w:rsidTr="008A7019">
        <w:tc>
          <w:tcPr>
            <w:tcW w:w="3085" w:type="dxa"/>
            <w:shd w:val="clear" w:color="auto" w:fill="auto"/>
          </w:tcPr>
          <w:p w14:paraId="5B331BF5" w14:textId="77777777" w:rsidR="008A7019" w:rsidRDefault="008A7019" w:rsidP="004A3366">
            <w:pPr>
              <w:pStyle w:val="Normal1linespace"/>
              <w:widowControl w:val="0"/>
              <w:jc w:val="left"/>
            </w:pPr>
            <w:r>
              <w:t xml:space="preserve">Counsel for the </w:t>
            </w:r>
            <w:r w:rsidR="00FC5DA0">
              <w:t>Cross-Respondents to the First Cross-Claim</w:t>
            </w:r>
            <w:r>
              <w:t>:</w:t>
            </w:r>
          </w:p>
        </w:tc>
        <w:tc>
          <w:tcPr>
            <w:tcW w:w="5989" w:type="dxa"/>
            <w:shd w:val="clear" w:color="auto" w:fill="auto"/>
          </w:tcPr>
          <w:p w14:paraId="52C470B3" w14:textId="77777777" w:rsidR="008A7019" w:rsidRDefault="00FC5DA0" w:rsidP="008A7019">
            <w:pPr>
              <w:pStyle w:val="Normal1linespace"/>
              <w:widowControl w:val="0"/>
              <w:jc w:val="left"/>
            </w:pPr>
            <w:r>
              <w:t>Ms L Rich</w:t>
            </w:r>
          </w:p>
        </w:tc>
      </w:tr>
      <w:tr w:rsidR="004A3366" w14:paraId="2F93C024" w14:textId="77777777" w:rsidTr="008A7019">
        <w:tc>
          <w:tcPr>
            <w:tcW w:w="3085" w:type="dxa"/>
            <w:shd w:val="clear" w:color="auto" w:fill="auto"/>
          </w:tcPr>
          <w:p w14:paraId="72D156DD" w14:textId="77777777" w:rsidR="004A3366" w:rsidRDefault="004A3366" w:rsidP="004A3366">
            <w:pPr>
              <w:pStyle w:val="Normal1linespace"/>
              <w:widowControl w:val="0"/>
              <w:jc w:val="left"/>
            </w:pPr>
          </w:p>
        </w:tc>
        <w:tc>
          <w:tcPr>
            <w:tcW w:w="5989" w:type="dxa"/>
            <w:shd w:val="clear" w:color="auto" w:fill="auto"/>
          </w:tcPr>
          <w:p w14:paraId="63FE5871" w14:textId="77777777" w:rsidR="004A3366" w:rsidRDefault="004A3366" w:rsidP="008A7019">
            <w:pPr>
              <w:pStyle w:val="Normal1linespace"/>
              <w:widowControl w:val="0"/>
              <w:jc w:val="left"/>
            </w:pPr>
          </w:p>
        </w:tc>
      </w:tr>
      <w:tr w:rsidR="004A3366" w14:paraId="3DB2FE07" w14:textId="77777777" w:rsidTr="008A7019">
        <w:tc>
          <w:tcPr>
            <w:tcW w:w="3085" w:type="dxa"/>
            <w:shd w:val="clear" w:color="auto" w:fill="auto"/>
          </w:tcPr>
          <w:p w14:paraId="523EFDCB" w14:textId="77777777" w:rsidR="004A3366" w:rsidRPr="00117C6E" w:rsidRDefault="004A3366" w:rsidP="004A3366">
            <w:pPr>
              <w:pStyle w:val="Normal1linespace"/>
              <w:widowControl w:val="0"/>
              <w:jc w:val="left"/>
            </w:pPr>
            <w:r w:rsidRPr="00117C6E">
              <w:t>Solicitor for the Cross-Respondents to the First Cross-Claim:</w:t>
            </w:r>
          </w:p>
        </w:tc>
        <w:tc>
          <w:tcPr>
            <w:tcW w:w="5989" w:type="dxa"/>
            <w:shd w:val="clear" w:color="auto" w:fill="auto"/>
          </w:tcPr>
          <w:p w14:paraId="559B30FB" w14:textId="77777777" w:rsidR="004A3366" w:rsidRPr="00117C6E" w:rsidRDefault="004A3366" w:rsidP="008A7019">
            <w:pPr>
              <w:pStyle w:val="Normal1linespace"/>
              <w:widowControl w:val="0"/>
              <w:jc w:val="left"/>
            </w:pPr>
            <w:r w:rsidRPr="00117C6E">
              <w:t xml:space="preserve">Price </w:t>
            </w:r>
            <w:proofErr w:type="spellStart"/>
            <w:r w:rsidRPr="00117C6E">
              <w:t>Sierakowski</w:t>
            </w:r>
            <w:proofErr w:type="spellEnd"/>
            <w:r w:rsidR="00117C6E" w:rsidRPr="00117C6E">
              <w:t xml:space="preserve"> Corporate</w:t>
            </w:r>
          </w:p>
        </w:tc>
      </w:tr>
      <w:tr w:rsidR="008A7019" w14:paraId="759E9CF7" w14:textId="77777777" w:rsidTr="008A7019">
        <w:tc>
          <w:tcPr>
            <w:tcW w:w="3085" w:type="dxa"/>
            <w:shd w:val="clear" w:color="auto" w:fill="auto"/>
          </w:tcPr>
          <w:p w14:paraId="16C81B27" w14:textId="77777777" w:rsidR="008A7019" w:rsidRDefault="008A7019" w:rsidP="008A7019">
            <w:pPr>
              <w:pStyle w:val="Normal1linespace"/>
              <w:widowControl w:val="0"/>
              <w:jc w:val="left"/>
            </w:pPr>
          </w:p>
        </w:tc>
        <w:tc>
          <w:tcPr>
            <w:tcW w:w="5989" w:type="dxa"/>
            <w:shd w:val="clear" w:color="auto" w:fill="auto"/>
          </w:tcPr>
          <w:p w14:paraId="15C65B05" w14:textId="77777777" w:rsidR="008A7019" w:rsidRDefault="008A7019" w:rsidP="008A7019">
            <w:pPr>
              <w:pStyle w:val="Normal1linespace"/>
              <w:widowControl w:val="0"/>
              <w:jc w:val="left"/>
            </w:pPr>
          </w:p>
        </w:tc>
      </w:tr>
      <w:tr w:rsidR="004A3366" w14:paraId="2A54BFDA" w14:textId="77777777" w:rsidTr="00506D2F">
        <w:tc>
          <w:tcPr>
            <w:tcW w:w="3085" w:type="dxa"/>
            <w:shd w:val="clear" w:color="auto" w:fill="auto"/>
          </w:tcPr>
          <w:p w14:paraId="73884AD4" w14:textId="77777777" w:rsidR="004A3366" w:rsidRPr="00117C6E" w:rsidRDefault="004A3366" w:rsidP="00506D2F">
            <w:pPr>
              <w:pStyle w:val="Normal1linespace"/>
              <w:widowControl w:val="0"/>
              <w:jc w:val="left"/>
            </w:pPr>
            <w:r w:rsidRPr="00117C6E">
              <w:t>Solicitor for the Cross-Respondents to the Second Cross-Claim:</w:t>
            </w:r>
          </w:p>
        </w:tc>
        <w:tc>
          <w:tcPr>
            <w:tcW w:w="5989" w:type="dxa"/>
            <w:shd w:val="clear" w:color="auto" w:fill="auto"/>
          </w:tcPr>
          <w:p w14:paraId="4EABA7E4" w14:textId="3E54A015" w:rsidR="004A3366" w:rsidRPr="00117C6E" w:rsidRDefault="006A406F" w:rsidP="00506D2F">
            <w:pPr>
              <w:pStyle w:val="Normal1linespace"/>
              <w:widowControl w:val="0"/>
              <w:jc w:val="left"/>
            </w:pPr>
            <w:r>
              <w:t xml:space="preserve">Ms V </w:t>
            </w:r>
            <w:proofErr w:type="spellStart"/>
            <w:r>
              <w:t>McGlynn</w:t>
            </w:r>
            <w:proofErr w:type="spellEnd"/>
            <w:r w:rsidRPr="00117C6E">
              <w:t xml:space="preserve"> </w:t>
            </w:r>
            <w:r>
              <w:t xml:space="preserve">of </w:t>
            </w:r>
            <w:r w:rsidR="004A3366" w:rsidRPr="00117C6E">
              <w:t>Corrs Chambers Westgarth</w:t>
            </w:r>
          </w:p>
        </w:tc>
      </w:tr>
      <w:tr w:rsidR="004A3366" w14:paraId="6966EDBC" w14:textId="77777777" w:rsidTr="008A7019">
        <w:tc>
          <w:tcPr>
            <w:tcW w:w="3085" w:type="dxa"/>
            <w:shd w:val="clear" w:color="auto" w:fill="auto"/>
          </w:tcPr>
          <w:p w14:paraId="1050E8DD" w14:textId="77777777" w:rsidR="004A3366" w:rsidRDefault="004A3366" w:rsidP="008A7019">
            <w:pPr>
              <w:pStyle w:val="Normal1linespace"/>
              <w:widowControl w:val="0"/>
              <w:jc w:val="left"/>
            </w:pPr>
          </w:p>
        </w:tc>
        <w:tc>
          <w:tcPr>
            <w:tcW w:w="5989" w:type="dxa"/>
            <w:shd w:val="clear" w:color="auto" w:fill="auto"/>
          </w:tcPr>
          <w:p w14:paraId="0B021186" w14:textId="77777777" w:rsidR="004A3366" w:rsidRDefault="004A3366" w:rsidP="008A7019">
            <w:pPr>
              <w:pStyle w:val="Normal1linespace"/>
              <w:widowControl w:val="0"/>
              <w:jc w:val="left"/>
            </w:pPr>
          </w:p>
        </w:tc>
      </w:tr>
      <w:tr w:rsidR="008A7019" w14:paraId="7E2C414E" w14:textId="77777777" w:rsidTr="008A7019">
        <w:tc>
          <w:tcPr>
            <w:tcW w:w="3085" w:type="dxa"/>
            <w:shd w:val="clear" w:color="auto" w:fill="auto"/>
          </w:tcPr>
          <w:p w14:paraId="2CBB3E02" w14:textId="77777777" w:rsidR="008A7019" w:rsidRDefault="008A7019" w:rsidP="004A3366">
            <w:pPr>
              <w:pStyle w:val="Normal1linespace"/>
              <w:widowControl w:val="0"/>
              <w:jc w:val="left"/>
            </w:pPr>
            <w:r>
              <w:t xml:space="preserve">Counsel for the </w:t>
            </w:r>
            <w:r w:rsidR="00FC5DA0">
              <w:t>Cross-Respondent to the Third Cross-Claim/Fourth Cross-Claimant</w:t>
            </w:r>
            <w:r w:rsidR="004A3366">
              <w:t xml:space="preserve"> to the Fourth Cross-</w:t>
            </w:r>
            <w:r w:rsidR="004A3366">
              <w:lastRenderedPageBreak/>
              <w:t>Claim</w:t>
            </w:r>
            <w:r>
              <w:t>:</w:t>
            </w:r>
          </w:p>
        </w:tc>
        <w:tc>
          <w:tcPr>
            <w:tcW w:w="5989" w:type="dxa"/>
            <w:shd w:val="clear" w:color="auto" w:fill="auto"/>
          </w:tcPr>
          <w:p w14:paraId="26469E1B" w14:textId="77777777" w:rsidR="008A7019" w:rsidRDefault="00FC5DA0" w:rsidP="008A7019">
            <w:pPr>
              <w:pStyle w:val="Normal1linespace"/>
              <w:widowControl w:val="0"/>
              <w:jc w:val="left"/>
            </w:pPr>
            <w:r>
              <w:lastRenderedPageBreak/>
              <w:t>Ms A Horvath</w:t>
            </w:r>
          </w:p>
        </w:tc>
      </w:tr>
      <w:tr w:rsidR="004A3366" w14:paraId="42D329DD" w14:textId="77777777" w:rsidTr="008A7019">
        <w:tc>
          <w:tcPr>
            <w:tcW w:w="3085" w:type="dxa"/>
            <w:shd w:val="clear" w:color="auto" w:fill="auto"/>
          </w:tcPr>
          <w:p w14:paraId="02D242D4" w14:textId="77777777" w:rsidR="004A3366" w:rsidRDefault="004A3366" w:rsidP="004A3366">
            <w:pPr>
              <w:pStyle w:val="Normal1linespace"/>
              <w:widowControl w:val="0"/>
              <w:jc w:val="left"/>
            </w:pPr>
          </w:p>
        </w:tc>
        <w:tc>
          <w:tcPr>
            <w:tcW w:w="5989" w:type="dxa"/>
            <w:shd w:val="clear" w:color="auto" w:fill="auto"/>
          </w:tcPr>
          <w:p w14:paraId="575A6B4C" w14:textId="77777777" w:rsidR="004A3366" w:rsidRDefault="004A3366" w:rsidP="008A7019">
            <w:pPr>
              <w:pStyle w:val="Normal1linespace"/>
              <w:widowControl w:val="0"/>
              <w:jc w:val="left"/>
            </w:pPr>
          </w:p>
        </w:tc>
      </w:tr>
      <w:tr w:rsidR="004A3366" w14:paraId="761CB292" w14:textId="77777777" w:rsidTr="008A7019">
        <w:tc>
          <w:tcPr>
            <w:tcW w:w="3085" w:type="dxa"/>
            <w:shd w:val="clear" w:color="auto" w:fill="auto"/>
          </w:tcPr>
          <w:p w14:paraId="39F9D94E" w14:textId="77777777" w:rsidR="004A3366" w:rsidRDefault="004A3366" w:rsidP="004A3366">
            <w:pPr>
              <w:pStyle w:val="Normal1linespace"/>
              <w:widowControl w:val="0"/>
              <w:jc w:val="left"/>
            </w:pPr>
            <w:r>
              <w:t>Solicitor for the Cross-Respondent to the Third Cross-Claim/Fourth Cross-Claimant to the Fourth Cross-Claim:</w:t>
            </w:r>
          </w:p>
        </w:tc>
        <w:tc>
          <w:tcPr>
            <w:tcW w:w="5989" w:type="dxa"/>
            <w:shd w:val="clear" w:color="auto" w:fill="auto"/>
          </w:tcPr>
          <w:p w14:paraId="41124CE5" w14:textId="77777777" w:rsidR="004A3366" w:rsidRDefault="004A3366" w:rsidP="008A7019">
            <w:pPr>
              <w:pStyle w:val="Normal1linespace"/>
              <w:widowControl w:val="0"/>
              <w:jc w:val="left"/>
            </w:pPr>
            <w:r>
              <w:t>Moray &amp; Agnew</w:t>
            </w:r>
          </w:p>
        </w:tc>
      </w:tr>
      <w:bookmarkEnd w:id="7"/>
    </w:tbl>
    <w:p w14:paraId="45FB92E2" w14:textId="77777777" w:rsidR="00395B24" w:rsidRDefault="00395B24">
      <w:pPr>
        <w:pStyle w:val="Normal1linespace"/>
      </w:pPr>
    </w:p>
    <w:p w14:paraId="5F3ECE14" w14:textId="77777777" w:rsidR="0092590B" w:rsidRDefault="0092590B">
      <w:pPr>
        <w:pStyle w:val="Normal1linespace"/>
      </w:pPr>
    </w:p>
    <w:p w14:paraId="0774B747" w14:textId="77777777"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23A7C26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7466D409" w14:textId="77777777" w:rsidTr="00517779">
        <w:tc>
          <w:tcPr>
            <w:tcW w:w="6912" w:type="dxa"/>
            <w:gridSpan w:val="2"/>
          </w:tcPr>
          <w:p w14:paraId="75D90E27" w14:textId="77777777" w:rsidR="00A46CCC" w:rsidRPr="001765E0" w:rsidRDefault="00A46CCC" w:rsidP="00525A49">
            <w:pPr>
              <w:pStyle w:val="NormalHeadings"/>
            </w:pPr>
          </w:p>
        </w:tc>
        <w:tc>
          <w:tcPr>
            <w:tcW w:w="2330" w:type="dxa"/>
          </w:tcPr>
          <w:p w14:paraId="2300E53B" w14:textId="77777777" w:rsidR="00A46CCC" w:rsidRDefault="00FC5DA0" w:rsidP="00F92355">
            <w:pPr>
              <w:pStyle w:val="NormalHeadings"/>
              <w:jc w:val="right"/>
            </w:pPr>
            <w:bookmarkStart w:id="9" w:name="FileNo"/>
            <w:r>
              <w:t>NSD 2074 of 2016</w:t>
            </w:r>
            <w:bookmarkEnd w:id="9"/>
          </w:p>
        </w:tc>
      </w:tr>
      <w:tr w:rsidR="00A76C13" w14:paraId="07A14C9D" w14:textId="77777777" w:rsidTr="00517779">
        <w:tc>
          <w:tcPr>
            <w:tcW w:w="9242" w:type="dxa"/>
            <w:gridSpan w:val="3"/>
          </w:tcPr>
          <w:p w14:paraId="27E141AD" w14:textId="77777777" w:rsidR="00A76C13" w:rsidRPr="00A76C13" w:rsidRDefault="00FC5DA0" w:rsidP="00FC5DA0">
            <w:pPr>
              <w:pStyle w:val="NormalHeadings"/>
              <w:jc w:val="left"/>
            </w:pPr>
            <w:bookmarkStart w:id="10" w:name="InTheMatterOf"/>
            <w:r>
              <w:t xml:space="preserve"> </w:t>
            </w:r>
            <w:bookmarkEnd w:id="10"/>
          </w:p>
        </w:tc>
      </w:tr>
      <w:tr w:rsidR="00A46CCC" w14:paraId="4991FFC2" w14:textId="77777777" w:rsidTr="00517779">
        <w:trPr>
          <w:trHeight w:val="386"/>
        </w:trPr>
        <w:tc>
          <w:tcPr>
            <w:tcW w:w="2376" w:type="dxa"/>
          </w:tcPr>
          <w:p w14:paraId="5204D071" w14:textId="77777777" w:rsidR="00A46CCC" w:rsidRDefault="00A46CCC" w:rsidP="005041F0">
            <w:pPr>
              <w:pStyle w:val="NormalHeadings"/>
              <w:jc w:val="left"/>
              <w:rPr>
                <w:caps/>
                <w:szCs w:val="24"/>
              </w:rPr>
            </w:pPr>
            <w:bookmarkStart w:id="11" w:name="Parties"/>
            <w:r>
              <w:rPr>
                <w:caps/>
                <w:szCs w:val="24"/>
              </w:rPr>
              <w:t>BETWEEN:</w:t>
            </w:r>
          </w:p>
        </w:tc>
        <w:tc>
          <w:tcPr>
            <w:tcW w:w="6866" w:type="dxa"/>
            <w:gridSpan w:val="2"/>
          </w:tcPr>
          <w:p w14:paraId="1DBD5BBD" w14:textId="77777777" w:rsidR="00FC5DA0" w:rsidRDefault="00FC5DA0" w:rsidP="00FC5DA0">
            <w:pPr>
              <w:pStyle w:val="NormalHeadings"/>
              <w:jc w:val="left"/>
            </w:pPr>
            <w:bookmarkStart w:id="12" w:name="Applicant"/>
            <w:r>
              <w:t>RICHARD JOHN FINDLAY BRADGATE AS TRUSTEE OF THE BRADGATE SUPERANNUATION FUND</w:t>
            </w:r>
          </w:p>
          <w:p w14:paraId="04752F97" w14:textId="77777777" w:rsidR="00FC5DA0" w:rsidRDefault="00FC5DA0" w:rsidP="00FC5DA0">
            <w:pPr>
              <w:pStyle w:val="PartyType"/>
            </w:pPr>
            <w:r>
              <w:t>Plaintiff</w:t>
            </w:r>
          </w:p>
          <w:bookmarkEnd w:id="12"/>
          <w:p w14:paraId="1EAF63BD" w14:textId="77777777" w:rsidR="00A46CCC" w:rsidRPr="006555B4" w:rsidRDefault="00A46CCC" w:rsidP="005041F0">
            <w:pPr>
              <w:pStyle w:val="NormalHeadings"/>
              <w:jc w:val="left"/>
            </w:pPr>
          </w:p>
        </w:tc>
      </w:tr>
      <w:tr w:rsidR="00A46CCC" w14:paraId="07E74D48" w14:textId="77777777" w:rsidTr="00517779">
        <w:trPr>
          <w:trHeight w:val="386"/>
        </w:trPr>
        <w:tc>
          <w:tcPr>
            <w:tcW w:w="2376" w:type="dxa"/>
          </w:tcPr>
          <w:p w14:paraId="010D94DD" w14:textId="77777777" w:rsidR="00A46CCC" w:rsidRDefault="00A46CCC" w:rsidP="005041F0">
            <w:pPr>
              <w:pStyle w:val="NormalHeadings"/>
              <w:jc w:val="left"/>
              <w:rPr>
                <w:caps/>
                <w:szCs w:val="24"/>
              </w:rPr>
            </w:pPr>
            <w:r>
              <w:rPr>
                <w:caps/>
                <w:szCs w:val="24"/>
              </w:rPr>
              <w:t>AND:</w:t>
            </w:r>
          </w:p>
        </w:tc>
        <w:tc>
          <w:tcPr>
            <w:tcW w:w="6866" w:type="dxa"/>
            <w:gridSpan w:val="2"/>
          </w:tcPr>
          <w:p w14:paraId="01149E88" w14:textId="77777777" w:rsidR="00FC5DA0" w:rsidRDefault="00FC5DA0" w:rsidP="00FC5DA0">
            <w:pPr>
              <w:pStyle w:val="NormalHeadings"/>
              <w:jc w:val="left"/>
            </w:pPr>
            <w:bookmarkStart w:id="13" w:name="Respondent"/>
            <w:r>
              <w:t>ASHLEY SERVICES GROUP LIMITED ACN 094 747 510</w:t>
            </w:r>
          </w:p>
          <w:p w14:paraId="0F127C63" w14:textId="77777777" w:rsidR="00FC5DA0" w:rsidRDefault="00FC5DA0" w:rsidP="00FC5DA0">
            <w:pPr>
              <w:pStyle w:val="PartyType"/>
            </w:pPr>
            <w:r>
              <w:t>Defendant</w:t>
            </w:r>
          </w:p>
          <w:bookmarkEnd w:id="13"/>
          <w:p w14:paraId="533A8AAF" w14:textId="77777777" w:rsidR="00A46CCC" w:rsidRPr="004A3366" w:rsidRDefault="00A46CCC" w:rsidP="005041F0">
            <w:pPr>
              <w:pStyle w:val="NormalHeadings"/>
              <w:jc w:val="left"/>
              <w:rPr>
                <w:b w:val="0"/>
              </w:rPr>
            </w:pPr>
          </w:p>
        </w:tc>
      </w:tr>
    </w:tbl>
    <w:p w14:paraId="4F8C7BF4"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6A4A5B29" w14:textId="77777777">
        <w:tc>
          <w:tcPr>
            <w:tcW w:w="2376" w:type="dxa"/>
          </w:tcPr>
          <w:p w14:paraId="5B7C0D57" w14:textId="77777777" w:rsidR="00395B24" w:rsidRDefault="00FC5DA0">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14:paraId="4118AA4E" w14:textId="77777777" w:rsidR="00395B24" w:rsidRDefault="00FC5DA0">
            <w:pPr>
              <w:pStyle w:val="NormalHeadings"/>
              <w:jc w:val="left"/>
              <w:rPr>
                <w:caps/>
                <w:szCs w:val="24"/>
              </w:rPr>
            </w:pPr>
            <w:bookmarkStart w:id="16" w:name="Judge"/>
            <w:r>
              <w:rPr>
                <w:caps/>
                <w:szCs w:val="24"/>
              </w:rPr>
              <w:t>MIDDLETON J</w:t>
            </w:r>
            <w:bookmarkEnd w:id="16"/>
          </w:p>
        </w:tc>
      </w:tr>
      <w:tr w:rsidR="00395B24" w14:paraId="6DD98908" w14:textId="77777777">
        <w:tc>
          <w:tcPr>
            <w:tcW w:w="2376" w:type="dxa"/>
          </w:tcPr>
          <w:p w14:paraId="41981228" w14:textId="77777777" w:rsidR="00395B24" w:rsidRDefault="002C7385">
            <w:pPr>
              <w:pStyle w:val="NormalHeadings"/>
              <w:spacing w:after="120"/>
              <w:jc w:val="left"/>
              <w:rPr>
                <w:caps/>
                <w:szCs w:val="24"/>
              </w:rPr>
            </w:pPr>
            <w:r>
              <w:rPr>
                <w:caps/>
                <w:szCs w:val="24"/>
              </w:rPr>
              <w:t>DATE OF ORDER:</w:t>
            </w:r>
          </w:p>
        </w:tc>
        <w:tc>
          <w:tcPr>
            <w:tcW w:w="6866" w:type="dxa"/>
          </w:tcPr>
          <w:p w14:paraId="01FD4F58" w14:textId="77777777" w:rsidR="00395B24" w:rsidRDefault="004A3366" w:rsidP="00CC253E">
            <w:pPr>
              <w:pStyle w:val="NormalHeadings"/>
              <w:jc w:val="left"/>
              <w:rPr>
                <w:caps/>
                <w:szCs w:val="24"/>
              </w:rPr>
            </w:pPr>
            <w:bookmarkStart w:id="17" w:name="Judgment_Dated"/>
            <w:r>
              <w:rPr>
                <w:caps/>
                <w:szCs w:val="24"/>
              </w:rPr>
              <w:t>13 June</w:t>
            </w:r>
            <w:r w:rsidR="00FC5DA0">
              <w:rPr>
                <w:caps/>
                <w:szCs w:val="24"/>
              </w:rPr>
              <w:t xml:space="preserve"> 2019</w:t>
            </w:r>
            <w:bookmarkEnd w:id="17"/>
          </w:p>
        </w:tc>
      </w:tr>
    </w:tbl>
    <w:p w14:paraId="4D6ADC3D" w14:textId="77777777" w:rsidR="00395B24" w:rsidRDefault="00395B24">
      <w:pPr>
        <w:pStyle w:val="NormalHeadings"/>
        <w:rPr>
          <w:b w:val="0"/>
        </w:rPr>
      </w:pPr>
    </w:p>
    <w:p w14:paraId="178FE2F5" w14:textId="77777777" w:rsidR="008D1617" w:rsidRDefault="008D1617">
      <w:pPr>
        <w:pStyle w:val="NormalHeadings"/>
        <w:rPr>
          <w:b w:val="0"/>
        </w:rPr>
      </w:pPr>
    </w:p>
    <w:p w14:paraId="06029FD5" w14:textId="77777777" w:rsidR="00395B24" w:rsidRDefault="002C7385">
      <w:pPr>
        <w:pStyle w:val="NormalHeadings"/>
      </w:pPr>
      <w:r>
        <w:t>THE COURT ORDERS THAT:</w:t>
      </w:r>
    </w:p>
    <w:p w14:paraId="2DBA6527" w14:textId="77777777" w:rsidR="002031CA" w:rsidRDefault="002031CA" w:rsidP="002031CA">
      <w:pPr>
        <w:pStyle w:val="NormalHeadings"/>
        <w:keepNext/>
        <w:spacing w:before="240" w:after="240"/>
      </w:pPr>
      <w:r>
        <w:t>Approval of settlement</w:t>
      </w:r>
    </w:p>
    <w:p w14:paraId="62C75A8A" w14:textId="77777777" w:rsidR="002031CA" w:rsidRDefault="002031CA" w:rsidP="002031CA">
      <w:pPr>
        <w:pStyle w:val="Order1"/>
      </w:pPr>
      <w:bookmarkStart w:id="18" w:name="Order_Start_Text"/>
      <w:bookmarkEnd w:id="18"/>
      <w:r>
        <w:t>Pursuant to sections 33V and 33ZF of the Act, settlement of the proceeding on the terms set out in the Deed of Settlement dated 24 April 2019 (</w:t>
      </w:r>
      <w:r w:rsidRPr="002031CA">
        <w:rPr>
          <w:b/>
        </w:rPr>
        <w:t>Settlement Deed</w:t>
      </w:r>
      <w:r>
        <w:t xml:space="preserve">) and the Settlement Distribution Scheme (and any annexures therein) exhibited to the confidential affidavit of </w:t>
      </w:r>
      <w:proofErr w:type="spellStart"/>
      <w:r>
        <w:t>Blagoj</w:t>
      </w:r>
      <w:proofErr w:type="spellEnd"/>
      <w:r>
        <w:t xml:space="preserve"> </w:t>
      </w:r>
      <w:proofErr w:type="spellStart"/>
      <w:r>
        <w:t>Petrovski</w:t>
      </w:r>
      <w:proofErr w:type="spellEnd"/>
      <w:r>
        <w:t xml:space="preserve"> sworn 7 June 2019 (together, </w:t>
      </w:r>
      <w:r w:rsidRPr="002031CA">
        <w:rPr>
          <w:b/>
        </w:rPr>
        <w:t>Settlement Documents</w:t>
      </w:r>
      <w:r>
        <w:t>) be approved.</w:t>
      </w:r>
    </w:p>
    <w:p w14:paraId="14E94404" w14:textId="77777777" w:rsidR="002031CA" w:rsidRDefault="002031CA" w:rsidP="002031CA">
      <w:pPr>
        <w:pStyle w:val="Order1"/>
      </w:pPr>
      <w:r>
        <w:t xml:space="preserve">Pursuant to section 33ZF of the Act, the Court authorises the Applicant </w:t>
      </w:r>
      <w:proofErr w:type="spellStart"/>
      <w:r w:rsidRPr="002031CA">
        <w:rPr>
          <w:i/>
        </w:rPr>
        <w:t>nunc</w:t>
      </w:r>
      <w:proofErr w:type="spellEnd"/>
      <w:r w:rsidRPr="002031CA">
        <w:rPr>
          <w:i/>
        </w:rPr>
        <w:t xml:space="preserve"> pro </w:t>
      </w:r>
      <w:proofErr w:type="spellStart"/>
      <w:r w:rsidRPr="002031CA">
        <w:rPr>
          <w:i/>
        </w:rPr>
        <w:t>tunc</w:t>
      </w:r>
      <w:proofErr w:type="spellEnd"/>
      <w:r>
        <w:t xml:space="preserve"> for and on behalf of the Group Members (being those persons who meet the definition of “Group Member” in the Further Amended Statement of Claim and who did not file an opt out notice) to enter into and give effect to the Settlement Documents and the transactions contemplated for and on behalf of Group Members.</w:t>
      </w:r>
    </w:p>
    <w:p w14:paraId="53E305CC" w14:textId="77777777" w:rsidR="00395B24" w:rsidRDefault="002031CA" w:rsidP="002031CA">
      <w:pPr>
        <w:pStyle w:val="Order1"/>
      </w:pPr>
      <w:r>
        <w:t>Pursuant to section 33ZB and section 33ZF of the Act, the persons affected and bound by the settlement of the proceedings and these orders (other than order 8 which applies generally to all persons) be the Applicant, the Respondent, the Cross Respondents and Group Members as defined in order 2 above.</w:t>
      </w:r>
    </w:p>
    <w:p w14:paraId="476253BA" w14:textId="77777777" w:rsidR="002031CA" w:rsidRDefault="002031CA" w:rsidP="00BB1602">
      <w:pPr>
        <w:pStyle w:val="Order1"/>
      </w:pPr>
      <w:r>
        <w:t>Pursuant to section 33ZF of the Act, William Roberts Pty Ltd t/as William Roberts Lawyers be appointed Administrator of the Settlement Distribution Scheme and is to act in accordance with the rules of the Settlement Distribution Scheme.</w:t>
      </w:r>
    </w:p>
    <w:p w14:paraId="2232E0A3" w14:textId="77777777" w:rsidR="002031CA" w:rsidRDefault="002031CA" w:rsidP="002031CA">
      <w:pPr>
        <w:pStyle w:val="NormalHeadings"/>
        <w:keepNext/>
        <w:spacing w:before="240" w:after="240"/>
      </w:pPr>
      <w:r>
        <w:lastRenderedPageBreak/>
        <w:t>Costs in the proceeding</w:t>
      </w:r>
    </w:p>
    <w:p w14:paraId="14E08D6E" w14:textId="77777777" w:rsidR="002031CA" w:rsidRDefault="002031CA" w:rsidP="002031CA">
      <w:pPr>
        <w:pStyle w:val="Order1"/>
      </w:pPr>
      <w:r>
        <w:t>All costs orders made to date in the proceeding be vacated.</w:t>
      </w:r>
    </w:p>
    <w:p w14:paraId="059E81FE" w14:textId="77777777" w:rsidR="002031CA" w:rsidRDefault="002031CA" w:rsidP="002031CA">
      <w:pPr>
        <w:pStyle w:val="Order1"/>
      </w:pPr>
      <w:r>
        <w:t>There be no order as to costs of the proceeding as between:</w:t>
      </w:r>
    </w:p>
    <w:p w14:paraId="2CED9643" w14:textId="77777777" w:rsidR="002031CA" w:rsidRDefault="002031CA" w:rsidP="002031CA">
      <w:pPr>
        <w:pStyle w:val="Order2"/>
      </w:pPr>
      <w:r>
        <w:t>the Applicant and the Respondent;</w:t>
      </w:r>
    </w:p>
    <w:p w14:paraId="31AA4987" w14:textId="77777777" w:rsidR="002031CA" w:rsidRDefault="002031CA" w:rsidP="002031CA">
      <w:pPr>
        <w:pStyle w:val="Order2"/>
      </w:pPr>
      <w:r>
        <w:t>the Applicant and the Cross Respondents; or</w:t>
      </w:r>
    </w:p>
    <w:p w14:paraId="6CD39AEE" w14:textId="77777777" w:rsidR="002031CA" w:rsidRDefault="002031CA" w:rsidP="002031CA">
      <w:pPr>
        <w:pStyle w:val="Order2"/>
      </w:pPr>
      <w:r>
        <w:t>the Respondent and the Cross Respondents.</w:t>
      </w:r>
    </w:p>
    <w:p w14:paraId="0CEB82F7" w14:textId="77777777" w:rsidR="002031CA" w:rsidRDefault="002031CA" w:rsidP="002031CA">
      <w:pPr>
        <w:pStyle w:val="Order1"/>
      </w:pPr>
      <w:r>
        <w:t>Pursuant to section 33ZF of the Act:</w:t>
      </w:r>
    </w:p>
    <w:p w14:paraId="420C03CA" w14:textId="77777777" w:rsidR="002031CA" w:rsidRDefault="002031CA" w:rsidP="002031CA">
      <w:pPr>
        <w:pStyle w:val="Order2"/>
      </w:pPr>
      <w:r>
        <w:t>the costs and disbursements incurred by the Applicant, in connection with the administration of the Settlement Distribution Scheme from the date of the approval of the Settlement Documents to the date of completion of distribution of the Settlement Sum, be approved up to the amount of $151,250;</w:t>
      </w:r>
    </w:p>
    <w:p w14:paraId="61FA2FDA" w14:textId="77777777" w:rsidR="002031CA" w:rsidRDefault="002031CA" w:rsidP="002031CA">
      <w:pPr>
        <w:pStyle w:val="Order2"/>
      </w:pPr>
      <w:r>
        <w:t>the Applicant’s legal costs and disbursements on a solicitor and own client basis, incurred in connection with the proceeding on its own behalf and on behalf of all Group Members in the proceeding, including the costs of this application, be approved up to the amount of $3,569,755;</w:t>
      </w:r>
    </w:p>
    <w:p w14:paraId="560AA55F" w14:textId="77777777" w:rsidR="002031CA" w:rsidRDefault="002031CA" w:rsidP="002031CA">
      <w:pPr>
        <w:pStyle w:val="Order2"/>
      </w:pPr>
      <w:r>
        <w:t>IMF Bentham Limited’s claim for its project costs be approved in the amount of $5,949.51;</w:t>
      </w:r>
    </w:p>
    <w:p w14:paraId="71770BEB" w14:textId="77777777" w:rsidR="002031CA" w:rsidRDefault="002031CA" w:rsidP="002031CA">
      <w:pPr>
        <w:pStyle w:val="Order2"/>
      </w:pPr>
      <w:r>
        <w:t>the Applicant’s reasonable claim for compensation for the time and/or expenses incurred in the interests of prosecuting the proceeding on behalf of Group Members as a whole, be approved in the amount of $21,900.</w:t>
      </w:r>
    </w:p>
    <w:p w14:paraId="7F11317A" w14:textId="77777777" w:rsidR="002031CA" w:rsidRDefault="002031CA" w:rsidP="002031CA">
      <w:pPr>
        <w:pStyle w:val="NormalHeadings"/>
        <w:keepNext/>
        <w:spacing w:before="240" w:after="240"/>
      </w:pPr>
      <w:r>
        <w:t>Other Matters</w:t>
      </w:r>
    </w:p>
    <w:p w14:paraId="51A3FFF1" w14:textId="77777777" w:rsidR="002031CA" w:rsidRDefault="002031CA" w:rsidP="007D5EBE">
      <w:pPr>
        <w:pStyle w:val="Order1"/>
      </w:pPr>
      <w:r>
        <w:t>Pursuant to s 37AF(1)(b) and s 37AG(1)(a), on the ground that the order is necessary to prevent prejudice to the proper administration of justice and until further order:</w:t>
      </w:r>
    </w:p>
    <w:p w14:paraId="1B9EACAD" w14:textId="77777777" w:rsidR="002031CA" w:rsidRDefault="002031CA" w:rsidP="002031CA">
      <w:pPr>
        <w:pStyle w:val="Order2"/>
      </w:pPr>
      <w:r>
        <w:t>the affidavit of Ding Pan affirmed on 29 April 2019 including annexures;</w:t>
      </w:r>
    </w:p>
    <w:p w14:paraId="31532072" w14:textId="77777777" w:rsidR="002031CA" w:rsidRDefault="002031CA" w:rsidP="002031CA">
      <w:pPr>
        <w:pStyle w:val="Order2"/>
      </w:pPr>
      <w:r>
        <w:t xml:space="preserve">the affidavit of </w:t>
      </w:r>
      <w:proofErr w:type="spellStart"/>
      <w:r>
        <w:t>Blagoj</w:t>
      </w:r>
      <w:proofErr w:type="spellEnd"/>
      <w:r>
        <w:t xml:space="preserve"> (Bill) </w:t>
      </w:r>
      <w:proofErr w:type="spellStart"/>
      <w:r>
        <w:t>Petrovski</w:t>
      </w:r>
      <w:proofErr w:type="spellEnd"/>
      <w:r>
        <w:t xml:space="preserve"> sworn on 7 June 2019;</w:t>
      </w:r>
    </w:p>
    <w:p w14:paraId="5D1086B6" w14:textId="77777777" w:rsidR="002031CA" w:rsidRDefault="002031CA" w:rsidP="002031CA">
      <w:pPr>
        <w:pStyle w:val="Order2"/>
      </w:pPr>
      <w:r>
        <w:t xml:space="preserve">Exhibit BP8 to the affidavit of Mr </w:t>
      </w:r>
      <w:proofErr w:type="spellStart"/>
      <w:r>
        <w:t>Petrovski</w:t>
      </w:r>
      <w:proofErr w:type="spellEnd"/>
      <w:r>
        <w:t xml:space="preserve"> sworn on 7 June 2019;</w:t>
      </w:r>
    </w:p>
    <w:p w14:paraId="5E0CD107" w14:textId="77777777" w:rsidR="002031CA" w:rsidRDefault="002031CA" w:rsidP="002031CA">
      <w:pPr>
        <w:pStyle w:val="Order2"/>
      </w:pPr>
      <w:r>
        <w:t xml:space="preserve">paragraphs 8 and 9 of the affidavit of </w:t>
      </w:r>
      <w:proofErr w:type="spellStart"/>
      <w:r>
        <w:t>Blagoj</w:t>
      </w:r>
      <w:proofErr w:type="spellEnd"/>
      <w:r>
        <w:t xml:space="preserve"> (Bill) </w:t>
      </w:r>
      <w:proofErr w:type="spellStart"/>
      <w:r>
        <w:t>Petrovski</w:t>
      </w:r>
      <w:proofErr w:type="spellEnd"/>
      <w:r>
        <w:t xml:space="preserve"> sworn on 12 June 2019; and</w:t>
      </w:r>
    </w:p>
    <w:p w14:paraId="2CBBDC60" w14:textId="77777777" w:rsidR="002031CA" w:rsidRDefault="002031CA" w:rsidP="006C7845">
      <w:pPr>
        <w:pStyle w:val="Order2"/>
      </w:pPr>
      <w:r>
        <w:lastRenderedPageBreak/>
        <w:t xml:space="preserve">the affidavit of Joseph Anthony </w:t>
      </w:r>
      <w:proofErr w:type="spellStart"/>
      <w:r>
        <w:t>Mazzeo</w:t>
      </w:r>
      <w:proofErr w:type="spellEnd"/>
      <w:r>
        <w:t xml:space="preserve"> sworn on 6 June 2019 including annexures not be published or disclosed without prior leave of the Court to any person or entity other than the Court, the Applicant, IMF and their legal advisors</w:t>
      </w:r>
    </w:p>
    <w:p w14:paraId="3E0218C1" w14:textId="77777777" w:rsidR="002031CA" w:rsidRDefault="002031CA" w:rsidP="000A3349">
      <w:pPr>
        <w:pStyle w:val="Order1"/>
      </w:pPr>
      <w:r>
        <w:t>William Roberts have liberty to apply to the Court, including for directions, in relation to any matter referred to in cl10.1 of the Settlement Distribution Scheme. Without limitation, William Roberts may so apply in the manner set out in cl10.3 of the Scheme.</w:t>
      </w:r>
    </w:p>
    <w:p w14:paraId="717C81B2" w14:textId="77777777" w:rsidR="002031CA" w:rsidRDefault="002031CA" w:rsidP="002306F3">
      <w:pPr>
        <w:pStyle w:val="Order1"/>
      </w:pPr>
      <w:r>
        <w:t>The proceeding be dismissed, 7 days after the Administrator of the Settlement Distribution Scheme notifies the Court and the parties in writing that the distribution under the Settlement Distribution Scheme is complete.</w:t>
      </w:r>
    </w:p>
    <w:p w14:paraId="508884D8" w14:textId="77777777" w:rsidR="00636871" w:rsidRDefault="00636871" w:rsidP="002B0E91">
      <w:pPr>
        <w:pStyle w:val="BodyText"/>
      </w:pPr>
    </w:p>
    <w:p w14:paraId="205D43FD" w14:textId="77777777" w:rsidR="00395B24" w:rsidRDefault="00395B24" w:rsidP="002B0E91">
      <w:pPr>
        <w:pStyle w:val="BodyText"/>
      </w:pPr>
    </w:p>
    <w:p w14:paraId="3505FB81" w14:textId="77777777" w:rsidR="00395B24" w:rsidRDefault="002C7385" w:rsidP="004D53E5">
      <w:pPr>
        <w:pStyle w:val="SingleSpace"/>
      </w:pPr>
      <w:r>
        <w:t>Note:</w:t>
      </w:r>
      <w:r>
        <w:tab/>
        <w:t xml:space="preserve">Entry of orders is dealt with in Rule 39.32 of the </w:t>
      </w:r>
      <w:r>
        <w:rPr>
          <w:i/>
        </w:rPr>
        <w:t>Federal Court Rules 2011</w:t>
      </w:r>
      <w:r>
        <w:t>.</w:t>
      </w:r>
    </w:p>
    <w:p w14:paraId="418E5F5A" w14:textId="77777777" w:rsidR="00395B24" w:rsidRDefault="00395B24" w:rsidP="002B0E91">
      <w:pPr>
        <w:pStyle w:val="BodyText"/>
      </w:pPr>
    </w:p>
    <w:p w14:paraId="0DECD138" w14:textId="77777777" w:rsidR="00395B24" w:rsidRDefault="00395B24" w:rsidP="001F2DBC">
      <w:pPr>
        <w:pStyle w:val="BodyText"/>
      </w:pPr>
    </w:p>
    <w:p w14:paraId="51231CCC" w14:textId="77777777" w:rsidR="0092590B" w:rsidRDefault="0092590B" w:rsidP="002B0E91">
      <w:pPr>
        <w:pStyle w:val="BodyText"/>
      </w:pPr>
    </w:p>
    <w:p w14:paraId="4B149494"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6F94BCC4"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381AA496" w14:textId="77777777" w:rsidR="00395B24" w:rsidRPr="00EA03CE" w:rsidRDefault="00910DBD" w:rsidP="005E0510">
      <w:pPr>
        <w:pStyle w:val="NormalHeadings"/>
        <w:spacing w:line="360" w:lineRule="auto"/>
        <w:jc w:val="left"/>
        <w:rPr>
          <w:sz w:val="26"/>
          <w:szCs w:val="26"/>
        </w:rPr>
      </w:pPr>
      <w:r>
        <w:rPr>
          <w:sz w:val="26"/>
          <w:szCs w:val="26"/>
        </w:rPr>
        <w:t>MIDDLETON J</w:t>
      </w:r>
      <w:r w:rsidR="00484F6D" w:rsidRPr="00EA03CE">
        <w:rPr>
          <w:sz w:val="26"/>
          <w:szCs w:val="26"/>
        </w:rPr>
        <w:t>:</w:t>
      </w:r>
    </w:p>
    <w:p w14:paraId="7128F238" w14:textId="77777777" w:rsidR="002031CA" w:rsidRDefault="002031CA" w:rsidP="00FC5DA0">
      <w:pPr>
        <w:pStyle w:val="ParaNumbering"/>
        <w:rPr>
          <w:lang w:eastAsia="en-AU"/>
        </w:rPr>
      </w:pPr>
      <w:r>
        <w:t>On 13 June 2019, I made orders approving the settlement of this proceeding.  These are the reasons for those orders.</w:t>
      </w:r>
    </w:p>
    <w:p w14:paraId="4AE1457B" w14:textId="77777777" w:rsidR="002031CA" w:rsidRDefault="002031CA" w:rsidP="002031CA">
      <w:pPr>
        <w:pStyle w:val="ParaNumbering"/>
      </w:pPr>
      <w:r>
        <w:rPr>
          <w:lang w:eastAsia="en-AU"/>
        </w:rPr>
        <w:t xml:space="preserve">The application before me calls on the Court to approve the proposed settlement of this representative proceeding </w:t>
      </w:r>
      <w:r>
        <w:t xml:space="preserve">pursuant to s 33V of the </w:t>
      </w:r>
      <w:r>
        <w:rPr>
          <w:i/>
        </w:rPr>
        <w:t xml:space="preserve">Federal Court of Australia Act 1976 </w:t>
      </w:r>
      <w:r>
        <w:t>(</w:t>
      </w:r>
      <w:proofErr w:type="spellStart"/>
      <w:r>
        <w:t>Cth</w:t>
      </w:r>
      <w:proofErr w:type="spellEnd"/>
      <w:r>
        <w:t>) (the ‘</w:t>
      </w:r>
      <w:r w:rsidRPr="00A823E9">
        <w:rPr>
          <w:b/>
        </w:rPr>
        <w:t>FCA</w:t>
      </w:r>
      <w:r>
        <w:t xml:space="preserve"> </w:t>
      </w:r>
      <w:r w:rsidRPr="00392F0F">
        <w:rPr>
          <w:b/>
        </w:rPr>
        <w:t>Act</w:t>
      </w:r>
      <w:r>
        <w:t xml:space="preserve">’).  </w:t>
      </w:r>
      <w:r w:rsidR="006B35E8">
        <w:t>T</w:t>
      </w:r>
      <w:r>
        <w:t xml:space="preserve">he application is </w:t>
      </w:r>
      <w:r w:rsidR="00CC253E">
        <w:t xml:space="preserve">relevantly </w:t>
      </w:r>
      <w:r>
        <w:t>supported by the following documents:</w:t>
      </w:r>
    </w:p>
    <w:p w14:paraId="3F335254" w14:textId="77777777" w:rsidR="002031CA" w:rsidRDefault="002031CA" w:rsidP="007C1E8F">
      <w:pPr>
        <w:pStyle w:val="ListNo1"/>
        <w:numPr>
          <w:ilvl w:val="0"/>
          <w:numId w:val="21"/>
        </w:numPr>
      </w:pPr>
      <w:r>
        <w:t xml:space="preserve">an affidavit of Mr Joseph </w:t>
      </w:r>
      <w:proofErr w:type="spellStart"/>
      <w:r>
        <w:t>Mazzeo</w:t>
      </w:r>
      <w:proofErr w:type="spellEnd"/>
      <w:r>
        <w:t>, a costs consultant eng</w:t>
      </w:r>
      <w:r w:rsidR="006B35E8">
        <w:t>aged on behalf of the applicant</w:t>
      </w:r>
      <w:r>
        <w:t xml:space="preserve"> in this proceeding, sworn 6 June 2019;</w:t>
      </w:r>
    </w:p>
    <w:p w14:paraId="2EEA47C5" w14:textId="77777777" w:rsidR="002031CA" w:rsidRDefault="002031CA" w:rsidP="007C1E8F">
      <w:pPr>
        <w:pStyle w:val="ListNo1"/>
        <w:numPr>
          <w:ilvl w:val="0"/>
          <w:numId w:val="21"/>
        </w:numPr>
      </w:pPr>
      <w:r>
        <w:t xml:space="preserve">a confidential affidavit of Mr </w:t>
      </w:r>
      <w:proofErr w:type="spellStart"/>
      <w:r>
        <w:t>Blagoj</w:t>
      </w:r>
      <w:proofErr w:type="spellEnd"/>
      <w:r>
        <w:t xml:space="preserve"> </w:t>
      </w:r>
      <w:proofErr w:type="spellStart"/>
      <w:r>
        <w:t>Petrovski</w:t>
      </w:r>
      <w:proofErr w:type="spellEnd"/>
      <w:r>
        <w:t>, the solicitor on record for the applic</w:t>
      </w:r>
      <w:r w:rsidR="006B35E8">
        <w:t>ant</w:t>
      </w:r>
      <w:r>
        <w:t xml:space="preserve"> in this proceeding, sworn 7 June 2019;</w:t>
      </w:r>
    </w:p>
    <w:p w14:paraId="6CD00F94" w14:textId="77777777" w:rsidR="002031CA" w:rsidRDefault="002031CA" w:rsidP="007C1E8F">
      <w:pPr>
        <w:pStyle w:val="ListNo1"/>
        <w:numPr>
          <w:ilvl w:val="0"/>
          <w:numId w:val="21"/>
        </w:numPr>
      </w:pPr>
      <w:r>
        <w:t xml:space="preserve">an ‘open’ affidavit of Mr </w:t>
      </w:r>
      <w:proofErr w:type="spellStart"/>
      <w:r>
        <w:t>Petrovski</w:t>
      </w:r>
      <w:proofErr w:type="spellEnd"/>
      <w:r>
        <w:t xml:space="preserve"> sworn 6 June 2019;</w:t>
      </w:r>
    </w:p>
    <w:p w14:paraId="04F297C1" w14:textId="77777777" w:rsidR="002031CA" w:rsidRDefault="002031CA" w:rsidP="007C1E8F">
      <w:pPr>
        <w:pStyle w:val="ListNo1"/>
        <w:numPr>
          <w:ilvl w:val="0"/>
          <w:numId w:val="21"/>
        </w:numPr>
      </w:pPr>
      <w:r>
        <w:t xml:space="preserve">the Deed of Settlement between the parties dated 24 April 2019 (being an annexure to Mr </w:t>
      </w:r>
      <w:proofErr w:type="spellStart"/>
      <w:r>
        <w:t>Petrovski’s</w:t>
      </w:r>
      <w:proofErr w:type="spellEnd"/>
      <w:r>
        <w:t xml:space="preserve"> confidential affidavit); and</w:t>
      </w:r>
    </w:p>
    <w:p w14:paraId="69B48BAC" w14:textId="77777777" w:rsidR="002031CA" w:rsidRDefault="002031CA" w:rsidP="007C1E8F">
      <w:pPr>
        <w:pStyle w:val="ListNo1"/>
        <w:numPr>
          <w:ilvl w:val="0"/>
          <w:numId w:val="21"/>
        </w:numPr>
      </w:pPr>
      <w:r>
        <w:t xml:space="preserve">a joint opinion prepared by Mr </w:t>
      </w:r>
      <w:proofErr w:type="spellStart"/>
      <w:r>
        <w:t>Shereef</w:t>
      </w:r>
      <w:proofErr w:type="spellEnd"/>
      <w:r>
        <w:t xml:space="preserve"> Habib SC and Mr Thomas Bagley of Counsel dated 6 June 2019 (also annexed to Mr </w:t>
      </w:r>
      <w:proofErr w:type="spellStart"/>
      <w:r>
        <w:t>Petrovski’s</w:t>
      </w:r>
      <w:proofErr w:type="spellEnd"/>
      <w:r>
        <w:t xml:space="preserve"> confidential affidavit) (the ‘</w:t>
      </w:r>
      <w:r w:rsidRPr="00A823E9">
        <w:rPr>
          <w:b/>
        </w:rPr>
        <w:t>joint opinion</w:t>
      </w:r>
      <w:r>
        <w:t>’).</w:t>
      </w:r>
    </w:p>
    <w:p w14:paraId="4E5F270A" w14:textId="77777777" w:rsidR="002031CA" w:rsidRDefault="002031CA" w:rsidP="002031CA">
      <w:pPr>
        <w:pStyle w:val="Heading1"/>
        <w:rPr>
          <w:lang w:eastAsia="en-AU"/>
        </w:rPr>
      </w:pPr>
      <w:r>
        <w:rPr>
          <w:lang w:eastAsia="en-AU"/>
        </w:rPr>
        <w:t>BACKGROUND</w:t>
      </w:r>
    </w:p>
    <w:p w14:paraId="33699781" w14:textId="77777777" w:rsidR="002031CA" w:rsidRDefault="002031CA" w:rsidP="002031CA">
      <w:pPr>
        <w:pStyle w:val="ParaNumbering"/>
        <w:rPr>
          <w:lang w:eastAsia="en-AU"/>
        </w:rPr>
      </w:pPr>
      <w:r>
        <w:rPr>
          <w:lang w:eastAsia="en-AU"/>
        </w:rPr>
        <w:t xml:space="preserve">This proceeding concerned the respondent’s alleged breaches of certain provisions relating to prospectuses, continuous disclosure and misleading or deceptive conduct contained within the </w:t>
      </w:r>
      <w:r>
        <w:rPr>
          <w:i/>
          <w:lang w:eastAsia="en-AU"/>
        </w:rPr>
        <w:t xml:space="preserve">Corporations Act 2001 </w:t>
      </w:r>
      <w:r>
        <w:rPr>
          <w:lang w:eastAsia="en-AU"/>
        </w:rPr>
        <w:t>(</w:t>
      </w:r>
      <w:proofErr w:type="spellStart"/>
      <w:r>
        <w:rPr>
          <w:lang w:eastAsia="en-AU"/>
        </w:rPr>
        <w:t>Cth</w:t>
      </w:r>
      <w:proofErr w:type="spellEnd"/>
      <w:r>
        <w:rPr>
          <w:lang w:eastAsia="en-AU"/>
        </w:rPr>
        <w:t>) (the ‘</w:t>
      </w:r>
      <w:r w:rsidRPr="00A823E9">
        <w:rPr>
          <w:b/>
          <w:lang w:eastAsia="en-AU"/>
        </w:rPr>
        <w:t>Cor</w:t>
      </w:r>
      <w:r>
        <w:rPr>
          <w:b/>
          <w:lang w:eastAsia="en-AU"/>
        </w:rPr>
        <w:t>p</w:t>
      </w:r>
      <w:r w:rsidRPr="00A823E9">
        <w:rPr>
          <w:b/>
          <w:lang w:eastAsia="en-AU"/>
        </w:rPr>
        <w:t>orat</w:t>
      </w:r>
      <w:r>
        <w:rPr>
          <w:b/>
          <w:lang w:eastAsia="en-AU"/>
        </w:rPr>
        <w:t>i</w:t>
      </w:r>
      <w:r w:rsidRPr="00A823E9">
        <w:rPr>
          <w:b/>
          <w:lang w:eastAsia="en-AU"/>
        </w:rPr>
        <w:t>ons Act</w:t>
      </w:r>
      <w:r>
        <w:rPr>
          <w:lang w:eastAsia="en-AU"/>
        </w:rPr>
        <w:t>’).  The applicant commenced the proceeding as a representative proceeding under Part IVA of the FCA Act on behalf of itself and its fellow group members, being persons who or which acquired shares in the respondent based on a prospectus for an initial public offering.</w:t>
      </w:r>
    </w:p>
    <w:p w14:paraId="74E606C7" w14:textId="382EA3E2" w:rsidR="002031CA" w:rsidRDefault="002031CA" w:rsidP="002031CA">
      <w:pPr>
        <w:pStyle w:val="ParaNumbering"/>
        <w:rPr>
          <w:lang w:eastAsia="en-AU"/>
        </w:rPr>
      </w:pPr>
      <w:r>
        <w:rPr>
          <w:lang w:eastAsia="en-AU"/>
        </w:rPr>
        <w:t xml:space="preserve">By way of background, the respondent issued the prospectus as part of the initial public offering to raise funds to acquire </w:t>
      </w:r>
      <w:proofErr w:type="spellStart"/>
      <w:r>
        <w:rPr>
          <w:lang w:eastAsia="en-AU"/>
        </w:rPr>
        <w:t>Integracom</w:t>
      </w:r>
      <w:proofErr w:type="spellEnd"/>
      <w:r>
        <w:rPr>
          <w:lang w:eastAsia="en-AU"/>
        </w:rPr>
        <w:t xml:space="preserve">, a private education provider specialising in the delivery of telecommunications and electronic security training.  </w:t>
      </w:r>
      <w:proofErr w:type="spellStart"/>
      <w:r>
        <w:rPr>
          <w:lang w:eastAsia="en-AU"/>
        </w:rPr>
        <w:t>Integracom’s</w:t>
      </w:r>
      <w:proofErr w:type="spellEnd"/>
      <w:r>
        <w:rPr>
          <w:lang w:eastAsia="en-AU"/>
        </w:rPr>
        <w:t xml:space="preserve"> primary source of revenue was Commonwealth and State Government Funding Schemes.  Under one of these schemes</w:t>
      </w:r>
      <w:r w:rsidR="0060397C">
        <w:rPr>
          <w:lang w:eastAsia="en-AU"/>
        </w:rPr>
        <w:t>,</w:t>
      </w:r>
      <w:r>
        <w:rPr>
          <w:lang w:eastAsia="en-AU"/>
        </w:rPr>
        <w:t xml:space="preserve"> before it was replaced on 1 July 2014, new apprentices received what were called ‘Tools for Your Trade’ payments: tax-free payments to ease their financial burden (and </w:t>
      </w:r>
      <w:r>
        <w:rPr>
          <w:lang w:eastAsia="en-AU"/>
        </w:rPr>
        <w:lastRenderedPageBreak/>
        <w:t xml:space="preserve">therefore lower the barriers to entry </w:t>
      </w:r>
      <w:r w:rsidR="00EF49E7">
        <w:rPr>
          <w:lang w:eastAsia="en-AU"/>
        </w:rPr>
        <w:t xml:space="preserve">faced </w:t>
      </w:r>
      <w:r w:rsidR="0060397C">
        <w:rPr>
          <w:lang w:eastAsia="en-AU"/>
        </w:rPr>
        <w:t xml:space="preserve">when </w:t>
      </w:r>
      <w:r>
        <w:rPr>
          <w:lang w:eastAsia="en-AU"/>
        </w:rPr>
        <w:t xml:space="preserve">enrolling in courses of the kind offered by </w:t>
      </w:r>
      <w:proofErr w:type="spellStart"/>
      <w:r>
        <w:rPr>
          <w:lang w:eastAsia="en-AU"/>
        </w:rPr>
        <w:t>Integracom</w:t>
      </w:r>
      <w:proofErr w:type="spellEnd"/>
      <w:r>
        <w:rPr>
          <w:lang w:eastAsia="en-AU"/>
        </w:rPr>
        <w:t xml:space="preserve">).  At a high level, the applicant and group members’ claim against the respondent was that </w:t>
      </w:r>
      <w:proofErr w:type="spellStart"/>
      <w:r>
        <w:rPr>
          <w:lang w:eastAsia="en-AU"/>
        </w:rPr>
        <w:t>Integracom’s</w:t>
      </w:r>
      <w:proofErr w:type="spellEnd"/>
      <w:r>
        <w:rPr>
          <w:lang w:eastAsia="en-AU"/>
        </w:rPr>
        <w:t xml:space="preserve"> consolidated revenue, enrolment and EBITDA forecasts, which were contained in the respondent’s prospectus, were misleading because:</w:t>
      </w:r>
    </w:p>
    <w:p w14:paraId="379EF51B" w14:textId="77777777" w:rsidR="002031CA" w:rsidRDefault="002031CA" w:rsidP="007C1E8F">
      <w:pPr>
        <w:pStyle w:val="ListNo1"/>
        <w:numPr>
          <w:ilvl w:val="0"/>
          <w:numId w:val="29"/>
        </w:numPr>
        <w:rPr>
          <w:lang w:eastAsia="en-AU"/>
        </w:rPr>
      </w:pPr>
      <w:r>
        <w:rPr>
          <w:lang w:eastAsia="en-AU"/>
        </w:rPr>
        <w:t xml:space="preserve">the respondent could not be satisfied that the reporting systems within </w:t>
      </w:r>
      <w:proofErr w:type="spellStart"/>
      <w:r>
        <w:rPr>
          <w:lang w:eastAsia="en-AU"/>
        </w:rPr>
        <w:t>Integracom</w:t>
      </w:r>
      <w:proofErr w:type="spellEnd"/>
      <w:r>
        <w:rPr>
          <w:lang w:eastAsia="en-AU"/>
        </w:rPr>
        <w:t xml:space="preserve"> enabled reasonable or reliable forecasts to be prepared;</w:t>
      </w:r>
    </w:p>
    <w:p w14:paraId="682DED8A" w14:textId="77777777" w:rsidR="002031CA" w:rsidRDefault="002031CA" w:rsidP="00AB460A">
      <w:pPr>
        <w:pStyle w:val="ListNo1"/>
        <w:numPr>
          <w:ilvl w:val="0"/>
          <w:numId w:val="29"/>
        </w:numPr>
        <w:rPr>
          <w:lang w:eastAsia="en-AU"/>
        </w:rPr>
      </w:pPr>
      <w:r>
        <w:rPr>
          <w:lang w:eastAsia="en-AU"/>
        </w:rPr>
        <w:t xml:space="preserve">the </w:t>
      </w:r>
      <w:proofErr w:type="spellStart"/>
      <w:r>
        <w:rPr>
          <w:lang w:eastAsia="en-AU"/>
        </w:rPr>
        <w:t>Integracom</w:t>
      </w:r>
      <w:proofErr w:type="spellEnd"/>
      <w:r>
        <w:rPr>
          <w:lang w:eastAsia="en-AU"/>
        </w:rPr>
        <w:t xml:space="preserve"> enrolment figures were unreliable and inappropriate; and</w:t>
      </w:r>
    </w:p>
    <w:p w14:paraId="44FEB414" w14:textId="77777777" w:rsidR="002031CA" w:rsidRDefault="002031CA" w:rsidP="00AB460A">
      <w:pPr>
        <w:pStyle w:val="ListNo1"/>
        <w:numPr>
          <w:ilvl w:val="0"/>
          <w:numId w:val="29"/>
        </w:numPr>
        <w:rPr>
          <w:lang w:eastAsia="en-AU"/>
        </w:rPr>
      </w:pPr>
      <w:r>
        <w:rPr>
          <w:lang w:eastAsia="en-AU"/>
        </w:rPr>
        <w:t xml:space="preserve">the respondent could have, and should have, checked the </w:t>
      </w:r>
      <w:proofErr w:type="spellStart"/>
      <w:r>
        <w:rPr>
          <w:lang w:eastAsia="en-AU"/>
        </w:rPr>
        <w:t>Integracom</w:t>
      </w:r>
      <w:proofErr w:type="spellEnd"/>
      <w:r>
        <w:rPr>
          <w:lang w:eastAsia="en-AU"/>
        </w:rPr>
        <w:t xml:space="preserve"> forecasts against actual figures but chose not to.</w:t>
      </w:r>
    </w:p>
    <w:p w14:paraId="2B7CBDDF" w14:textId="360D8745" w:rsidR="00EF49E7" w:rsidRDefault="002031CA" w:rsidP="002031CA">
      <w:pPr>
        <w:pStyle w:val="ParaNumbering"/>
        <w:rPr>
          <w:lang w:eastAsia="en-AU"/>
        </w:rPr>
      </w:pPr>
      <w:r>
        <w:rPr>
          <w:lang w:eastAsia="en-AU"/>
        </w:rPr>
        <w:t>By making allegedly misleading statements in the financial statements and forecasts contained withi</w:t>
      </w:r>
      <w:r w:rsidR="006B35E8">
        <w:rPr>
          <w:lang w:eastAsia="en-AU"/>
        </w:rPr>
        <w:t>n the prospectus, the applicant</w:t>
      </w:r>
      <w:r>
        <w:rPr>
          <w:lang w:eastAsia="en-AU"/>
        </w:rPr>
        <w:t xml:space="preserve"> claimed that the respondent contravened s 728 of the C</w:t>
      </w:r>
      <w:r w:rsidR="006B35E8">
        <w:rPr>
          <w:lang w:eastAsia="en-AU"/>
        </w:rPr>
        <w:t>orporations Act.  The applicant</w:t>
      </w:r>
      <w:r>
        <w:rPr>
          <w:lang w:eastAsia="en-AU"/>
        </w:rPr>
        <w:t xml:space="preserve"> also alleged that the respondent had engaged in misleading or deceptive conduct in issuing the prospectus, contravening s 1041H of the Corporations Act, s 18 of the Australian Consumer Law (being </w:t>
      </w:r>
      <w:proofErr w:type="spellStart"/>
      <w:r>
        <w:rPr>
          <w:lang w:eastAsia="en-AU"/>
        </w:rPr>
        <w:t>Sch</w:t>
      </w:r>
      <w:proofErr w:type="spellEnd"/>
      <w:r>
        <w:rPr>
          <w:lang w:eastAsia="en-AU"/>
        </w:rPr>
        <w:t xml:space="preserve"> 2 to the </w:t>
      </w:r>
      <w:r>
        <w:rPr>
          <w:i/>
          <w:lang w:eastAsia="en-AU"/>
        </w:rPr>
        <w:t xml:space="preserve">Competition and Consumer Act 2010 </w:t>
      </w:r>
      <w:r>
        <w:rPr>
          <w:lang w:eastAsia="en-AU"/>
        </w:rPr>
        <w:t>(</w:t>
      </w:r>
      <w:proofErr w:type="spellStart"/>
      <w:r>
        <w:rPr>
          <w:lang w:eastAsia="en-AU"/>
        </w:rPr>
        <w:t>Cth</w:t>
      </w:r>
      <w:proofErr w:type="spellEnd"/>
      <w:r>
        <w:rPr>
          <w:lang w:eastAsia="en-AU"/>
        </w:rPr>
        <w:t xml:space="preserve">)), and s 12DA of the </w:t>
      </w:r>
      <w:r w:rsidRPr="00353E53">
        <w:rPr>
          <w:i/>
          <w:lang w:eastAsia="en-AU"/>
        </w:rPr>
        <w:t>Australian Securities and Investments Commission Act 2001</w:t>
      </w:r>
      <w:r>
        <w:rPr>
          <w:lang w:eastAsia="en-AU"/>
        </w:rPr>
        <w:t xml:space="preserve"> (</w:t>
      </w:r>
      <w:proofErr w:type="spellStart"/>
      <w:r>
        <w:rPr>
          <w:lang w:eastAsia="en-AU"/>
        </w:rPr>
        <w:t>Cth</w:t>
      </w:r>
      <w:proofErr w:type="spellEnd"/>
      <w:r>
        <w:rPr>
          <w:lang w:eastAsia="en-AU"/>
        </w:rPr>
        <w:t>).</w:t>
      </w:r>
    </w:p>
    <w:p w14:paraId="7A4F4126" w14:textId="5EBD9EAA" w:rsidR="002031CA" w:rsidRDefault="002031CA" w:rsidP="002031CA">
      <w:pPr>
        <w:pStyle w:val="ParaNumbering"/>
        <w:rPr>
          <w:lang w:eastAsia="en-AU"/>
        </w:rPr>
      </w:pPr>
      <w:r>
        <w:rPr>
          <w:lang w:eastAsia="en-AU"/>
        </w:rPr>
        <w:t xml:space="preserve">It was also alleged that the respondent breached ASX Listing Rule 3.1 and s 674 of the Corporations Act by failing to disclose the EBITDA figures and the effect of the replacement of the ‘Tools for Your Trade’ payment scheme on </w:t>
      </w:r>
      <w:proofErr w:type="spellStart"/>
      <w:r>
        <w:rPr>
          <w:lang w:eastAsia="en-AU"/>
        </w:rPr>
        <w:t>Integracom’s</w:t>
      </w:r>
      <w:proofErr w:type="spellEnd"/>
      <w:r>
        <w:rPr>
          <w:lang w:eastAsia="en-AU"/>
        </w:rPr>
        <w:t xml:space="preserve"> revenue, which was (on t</w:t>
      </w:r>
      <w:r w:rsidR="006B35E8">
        <w:rPr>
          <w:lang w:eastAsia="en-AU"/>
        </w:rPr>
        <w:t>he applicant’s submission</w:t>
      </w:r>
      <w:r>
        <w:rPr>
          <w:lang w:eastAsia="en-AU"/>
        </w:rPr>
        <w:t>) information that a reasonable person would expect to have a material effect on the price or value of its securities, and which should have been communicated to the Australian Stock Exchange.</w:t>
      </w:r>
    </w:p>
    <w:p w14:paraId="4D833F7F" w14:textId="77777777" w:rsidR="002031CA" w:rsidRDefault="002031CA" w:rsidP="002031CA">
      <w:pPr>
        <w:pStyle w:val="ParaNumbering"/>
        <w:rPr>
          <w:lang w:eastAsia="en-AU"/>
        </w:rPr>
      </w:pPr>
      <w:r>
        <w:rPr>
          <w:lang w:eastAsia="en-AU"/>
        </w:rPr>
        <w:t>After prolonged settlement negotiations between the parties’ legal representatives, including four days of private mediation, an ‘in principle’ settlement agreement was struck on 13 December 2018.  By 24 April 2019, a formal Deed of Settlement had been signed by each of the parties.  A Settlement Distribution Scheme was also prepared as part of the proposed settlement.</w:t>
      </w:r>
    </w:p>
    <w:p w14:paraId="3F27CC2B" w14:textId="5DC75CE8" w:rsidR="002031CA" w:rsidRDefault="002031CA" w:rsidP="002031CA">
      <w:pPr>
        <w:pStyle w:val="ParaNumbering"/>
        <w:rPr>
          <w:lang w:eastAsia="en-AU"/>
        </w:rPr>
      </w:pPr>
      <w:r>
        <w:rPr>
          <w:lang w:eastAsia="en-AU"/>
        </w:rPr>
        <w:t>If approved, the settlement will see the respondent (and various c</w:t>
      </w:r>
      <w:r w:rsidR="00CC253E">
        <w:rPr>
          <w:lang w:eastAsia="en-AU"/>
        </w:rPr>
        <w:t xml:space="preserve">ross-respondents) pay a sum of </w:t>
      </w:r>
      <w:r w:rsidRPr="00CC253E">
        <w:rPr>
          <w:lang w:eastAsia="en-AU"/>
        </w:rPr>
        <w:t>$14.6 million</w:t>
      </w:r>
      <w:r>
        <w:rPr>
          <w:lang w:eastAsia="en-AU"/>
        </w:rPr>
        <w:t xml:space="preserve"> (in specified contributions between them)</w:t>
      </w:r>
      <w:r w:rsidR="006B35E8">
        <w:rPr>
          <w:lang w:eastAsia="en-AU"/>
        </w:rPr>
        <w:t xml:space="preserve"> in exchange for the applicant and group members</w:t>
      </w:r>
      <w:r>
        <w:rPr>
          <w:lang w:eastAsia="en-AU"/>
        </w:rPr>
        <w:t xml:space="preserve"> providing releases and covenants not to sue in respect of claims against the respondent and cross-respondents.  After the deduction of the funder’s commission and legal </w:t>
      </w:r>
      <w:r>
        <w:rPr>
          <w:lang w:eastAsia="en-AU"/>
        </w:rPr>
        <w:lastRenderedPageBreak/>
        <w:t>costs and disbursements, the settlement sum will be distributed amongst the applicant and its fellow group members in accordance with the terms of Settlement Distribution Scheme.</w:t>
      </w:r>
    </w:p>
    <w:p w14:paraId="74D07013" w14:textId="77777777" w:rsidR="002031CA" w:rsidRDefault="002031CA" w:rsidP="002031CA">
      <w:pPr>
        <w:pStyle w:val="Heading1"/>
        <w:rPr>
          <w:lang w:eastAsia="en-AU"/>
        </w:rPr>
      </w:pPr>
      <w:r>
        <w:rPr>
          <w:lang w:eastAsia="en-AU"/>
        </w:rPr>
        <w:t>APPLICABLE PRINCIPLES</w:t>
      </w:r>
    </w:p>
    <w:p w14:paraId="7B687CAA" w14:textId="77777777" w:rsidR="002031CA" w:rsidRDefault="002031CA" w:rsidP="002031CA">
      <w:pPr>
        <w:pStyle w:val="ParaNumbering"/>
        <w:rPr>
          <w:lang w:eastAsia="en-AU"/>
        </w:rPr>
      </w:pPr>
      <w:r>
        <w:rPr>
          <w:lang w:eastAsia="en-AU"/>
        </w:rPr>
        <w:t xml:space="preserve">The principles applicable to court approval of settlements of representative proceedings are well-established.  The fundamental task of the Court is to determine whether the settlement is fair and reasonable having regard to the interests of the group members who will be bound by it.  Justice Lee recently summarised the applicable principles in </w:t>
      </w:r>
      <w:r w:rsidRPr="00017E64">
        <w:rPr>
          <w:i/>
          <w:lang w:eastAsia="en-AU"/>
        </w:rPr>
        <w:t>McKenzie v Cash Converters International Ltd (No 3)</w:t>
      </w:r>
      <w:r>
        <w:rPr>
          <w:lang w:eastAsia="en-AU"/>
        </w:rPr>
        <w:t xml:space="preserve"> [2019] FCA 10 at [24] as follows:</w:t>
      </w:r>
    </w:p>
    <w:p w14:paraId="72837805" w14:textId="77777777" w:rsidR="002031CA" w:rsidRPr="00017E64" w:rsidRDefault="002031CA" w:rsidP="002031CA">
      <w:pPr>
        <w:pStyle w:val="Quote1"/>
        <w:rPr>
          <w:i/>
          <w:lang w:eastAsia="en-AU"/>
        </w:rPr>
      </w:pPr>
      <w:r w:rsidRPr="00017E64">
        <w:rPr>
          <w:i/>
          <w:lang w:eastAsia="en-AU"/>
        </w:rPr>
        <w:t>First, the Court assumes an onerous and protective role in relation to group members’ interests, in some ways similar to Court approval of settlements on behalf of persons with a legal disability; secondly, the Court must be astute to recognise that the interests of the parties before it and those of the group as a whole (or as between some members of the group and other members) may not wholly coincide; thirdly, and connected to the second point, the Court should be alive to the possibility that a settlement may reflect conflicts of interest or conflicts of duty and interest between participants in the common enterprise which has conducted the representative proceeding; fourthly, the Court should understand that at that point of settlement approval, the interests of the parties have merged in the settlement and both sides may not critique the settlement from the perspectives of the group members who may suffer a detriment or obtain lesser benefits through the settlement; fifthly, the Court must decide whether the proposed settlement is within the range of reasonable outcomes, not whether it is the best outcome which might have been won by better bargaining (in this way, the Court’s task is not to second-guess the applicant’s lawyers, and it should recognise that different applicants and different lawyers will have different appetites for risk).</w:t>
      </w:r>
    </w:p>
    <w:p w14:paraId="38A0582B" w14:textId="77777777" w:rsidR="002031CA" w:rsidRDefault="002031CA" w:rsidP="00517779">
      <w:pPr>
        <w:pStyle w:val="Quote1"/>
        <w:spacing w:after="240"/>
        <w:rPr>
          <w:lang w:eastAsia="en-AU"/>
        </w:rPr>
      </w:pPr>
      <w:r>
        <w:rPr>
          <w:lang w:eastAsia="en-AU"/>
        </w:rPr>
        <w:t>(Citations omitted)</w:t>
      </w:r>
    </w:p>
    <w:p w14:paraId="7A63494D" w14:textId="77777777" w:rsidR="002031CA" w:rsidRDefault="002031CA" w:rsidP="002031CA">
      <w:pPr>
        <w:pStyle w:val="ParaNumbering"/>
        <w:rPr>
          <w:lang w:eastAsia="en-AU"/>
        </w:rPr>
      </w:pPr>
      <w:r>
        <w:rPr>
          <w:lang w:eastAsia="en-AU"/>
        </w:rPr>
        <w:t xml:space="preserve">Further, when the Court performs its supervisory and protective role, and </w:t>
      </w:r>
      <w:r w:rsidRPr="00E80131">
        <w:rPr>
          <w:lang w:eastAsia="en-AU"/>
        </w:rPr>
        <w:t xml:space="preserve">in particular </w:t>
      </w:r>
      <w:r>
        <w:rPr>
          <w:lang w:eastAsia="en-AU"/>
        </w:rPr>
        <w:t xml:space="preserve">when </w:t>
      </w:r>
      <w:r w:rsidRPr="00E80131">
        <w:rPr>
          <w:lang w:eastAsia="en-AU"/>
        </w:rPr>
        <w:t>assessing whether the proposed settlement falls within the range of reasonable outcomes, the Court relies heavily on the applicant’s counsel</w:t>
      </w:r>
      <w:r>
        <w:rPr>
          <w:lang w:eastAsia="en-AU"/>
        </w:rPr>
        <w:t xml:space="preserve"> who, as guided by</w:t>
      </w:r>
      <w:r w:rsidRPr="00E80131">
        <w:rPr>
          <w:lang w:eastAsia="en-AU"/>
        </w:rPr>
        <w:t xml:space="preserve"> [14.4] of the </w:t>
      </w:r>
      <w:r w:rsidRPr="00E80131">
        <w:rPr>
          <w:i/>
          <w:lang w:eastAsia="en-AU"/>
        </w:rPr>
        <w:t>Class Actions Practice Note</w:t>
      </w:r>
      <w:r w:rsidRPr="00E80131">
        <w:rPr>
          <w:lang w:eastAsia="en-AU"/>
        </w:rPr>
        <w:t xml:space="preserve"> (GPN-CA</w:t>
      </w:r>
      <w:r>
        <w:rPr>
          <w:lang w:eastAsia="en-AU"/>
        </w:rPr>
        <w:t>), should address the following factors</w:t>
      </w:r>
      <w:r w:rsidRPr="00E80131">
        <w:rPr>
          <w:lang w:eastAsia="en-AU"/>
        </w:rPr>
        <w:t>:</w:t>
      </w:r>
    </w:p>
    <w:p w14:paraId="4E000D73" w14:textId="77777777" w:rsidR="002031CA" w:rsidRDefault="002031CA" w:rsidP="007C1E8F">
      <w:pPr>
        <w:pStyle w:val="ListNo1"/>
        <w:numPr>
          <w:ilvl w:val="0"/>
          <w:numId w:val="25"/>
        </w:numPr>
        <w:rPr>
          <w:lang w:eastAsia="en-AU"/>
        </w:rPr>
      </w:pPr>
      <w:r>
        <w:rPr>
          <w:lang w:eastAsia="en-AU"/>
        </w:rPr>
        <w:t>the complexity and likely duration of the litigation;</w:t>
      </w:r>
    </w:p>
    <w:p w14:paraId="7310E5FE" w14:textId="77777777" w:rsidR="002031CA" w:rsidRDefault="002031CA" w:rsidP="007C1E8F">
      <w:pPr>
        <w:pStyle w:val="ListNo1"/>
        <w:numPr>
          <w:ilvl w:val="0"/>
          <w:numId w:val="25"/>
        </w:numPr>
        <w:rPr>
          <w:lang w:eastAsia="en-AU"/>
        </w:rPr>
      </w:pPr>
      <w:r>
        <w:rPr>
          <w:lang w:eastAsia="en-AU"/>
        </w:rPr>
        <w:t>the reaction of the class to the settlement;</w:t>
      </w:r>
    </w:p>
    <w:p w14:paraId="6A542CB8" w14:textId="77777777" w:rsidR="002031CA" w:rsidRDefault="002031CA" w:rsidP="007C1E8F">
      <w:pPr>
        <w:pStyle w:val="ListNo1"/>
        <w:numPr>
          <w:ilvl w:val="0"/>
          <w:numId w:val="25"/>
        </w:numPr>
        <w:rPr>
          <w:lang w:eastAsia="en-AU"/>
        </w:rPr>
      </w:pPr>
      <w:r>
        <w:rPr>
          <w:lang w:eastAsia="en-AU"/>
        </w:rPr>
        <w:t>the stage of the proceedings;</w:t>
      </w:r>
    </w:p>
    <w:p w14:paraId="3A447AF7" w14:textId="77777777" w:rsidR="002031CA" w:rsidRDefault="002031CA" w:rsidP="007C1E8F">
      <w:pPr>
        <w:pStyle w:val="ListNo1"/>
        <w:numPr>
          <w:ilvl w:val="0"/>
          <w:numId w:val="25"/>
        </w:numPr>
        <w:rPr>
          <w:lang w:eastAsia="en-AU"/>
        </w:rPr>
      </w:pPr>
      <w:r>
        <w:rPr>
          <w:lang w:eastAsia="en-AU"/>
        </w:rPr>
        <w:t>the risks of establishing liability;</w:t>
      </w:r>
    </w:p>
    <w:p w14:paraId="702E33B0" w14:textId="77777777" w:rsidR="002031CA" w:rsidRDefault="002031CA" w:rsidP="007C1E8F">
      <w:pPr>
        <w:pStyle w:val="ListNo1"/>
        <w:numPr>
          <w:ilvl w:val="0"/>
          <w:numId w:val="25"/>
        </w:numPr>
        <w:rPr>
          <w:lang w:eastAsia="en-AU"/>
        </w:rPr>
      </w:pPr>
      <w:r>
        <w:rPr>
          <w:lang w:eastAsia="en-AU"/>
        </w:rPr>
        <w:t>the risks of establishing loss or damage;</w:t>
      </w:r>
    </w:p>
    <w:p w14:paraId="3781DE99" w14:textId="77777777" w:rsidR="002031CA" w:rsidRDefault="002031CA" w:rsidP="007C1E8F">
      <w:pPr>
        <w:pStyle w:val="ListNo1"/>
        <w:numPr>
          <w:ilvl w:val="0"/>
          <w:numId w:val="25"/>
        </w:numPr>
        <w:rPr>
          <w:lang w:eastAsia="en-AU"/>
        </w:rPr>
      </w:pPr>
      <w:r>
        <w:rPr>
          <w:lang w:eastAsia="en-AU"/>
        </w:rPr>
        <w:t>the risks of maintaining a class action;</w:t>
      </w:r>
    </w:p>
    <w:p w14:paraId="0C457092" w14:textId="77777777" w:rsidR="002031CA" w:rsidRDefault="002031CA" w:rsidP="007C1E8F">
      <w:pPr>
        <w:pStyle w:val="ListNo1"/>
        <w:numPr>
          <w:ilvl w:val="0"/>
          <w:numId w:val="25"/>
        </w:numPr>
        <w:rPr>
          <w:lang w:eastAsia="en-AU"/>
        </w:rPr>
      </w:pPr>
      <w:r>
        <w:rPr>
          <w:lang w:eastAsia="en-AU"/>
        </w:rPr>
        <w:t>the ability of the respondent to withstand a greater judgment;</w:t>
      </w:r>
    </w:p>
    <w:p w14:paraId="5EFC5479" w14:textId="77777777" w:rsidR="002031CA" w:rsidRDefault="002031CA" w:rsidP="007C1E8F">
      <w:pPr>
        <w:pStyle w:val="ListNo1"/>
        <w:numPr>
          <w:ilvl w:val="0"/>
          <w:numId w:val="25"/>
        </w:numPr>
        <w:rPr>
          <w:lang w:eastAsia="en-AU"/>
        </w:rPr>
      </w:pPr>
      <w:r>
        <w:rPr>
          <w:lang w:eastAsia="en-AU"/>
        </w:rPr>
        <w:t>the range of reasonableness of the settlement in light of the best recovery;</w:t>
      </w:r>
    </w:p>
    <w:p w14:paraId="11419215" w14:textId="77777777" w:rsidR="002031CA" w:rsidRDefault="002031CA" w:rsidP="007C1E8F">
      <w:pPr>
        <w:pStyle w:val="ListNo1"/>
        <w:numPr>
          <w:ilvl w:val="0"/>
          <w:numId w:val="25"/>
        </w:numPr>
        <w:rPr>
          <w:lang w:eastAsia="en-AU"/>
        </w:rPr>
      </w:pPr>
      <w:r>
        <w:rPr>
          <w:lang w:eastAsia="en-AU"/>
        </w:rPr>
        <w:lastRenderedPageBreak/>
        <w:t>the range of reasonableness of the settlement in light of all the attendant risks of litigation; and</w:t>
      </w:r>
    </w:p>
    <w:p w14:paraId="1B8DE73A" w14:textId="77777777" w:rsidR="002031CA" w:rsidRDefault="002031CA" w:rsidP="007C1E8F">
      <w:pPr>
        <w:pStyle w:val="ListNo1"/>
        <w:numPr>
          <w:ilvl w:val="0"/>
          <w:numId w:val="25"/>
        </w:numPr>
        <w:rPr>
          <w:lang w:eastAsia="en-AU"/>
        </w:rPr>
      </w:pPr>
      <w:r>
        <w:rPr>
          <w:lang w:eastAsia="en-AU"/>
        </w:rPr>
        <w:t>the terms of any advice received from counsel and/or from any independent expert in relation to the issues which arise in the proceeding.</w:t>
      </w:r>
    </w:p>
    <w:p w14:paraId="2DEC6D5E" w14:textId="77777777" w:rsidR="002031CA" w:rsidRDefault="002031CA" w:rsidP="002031CA">
      <w:pPr>
        <w:pStyle w:val="Heading1"/>
        <w:rPr>
          <w:lang w:eastAsia="en-AU"/>
        </w:rPr>
      </w:pPr>
      <w:r>
        <w:rPr>
          <w:lang w:eastAsia="en-AU"/>
        </w:rPr>
        <w:t>CONSIDERATION</w:t>
      </w:r>
    </w:p>
    <w:p w14:paraId="622C8C0F" w14:textId="77777777" w:rsidR="002031CA" w:rsidRDefault="002031CA" w:rsidP="002031CA">
      <w:pPr>
        <w:pStyle w:val="ParaNumbering"/>
        <w:rPr>
          <w:lang w:eastAsia="en-AU"/>
        </w:rPr>
      </w:pPr>
      <w:r>
        <w:rPr>
          <w:lang w:eastAsia="en-AU"/>
        </w:rPr>
        <w:t>In light of the applicable principles referred to above, I am satisfied that the proposed settlement in this proceeding is fair and reasonable having regard to the interests of group members.  In short summary:</w:t>
      </w:r>
    </w:p>
    <w:p w14:paraId="6205FE47" w14:textId="77777777" w:rsidR="002031CA" w:rsidRDefault="002031CA" w:rsidP="007C1E8F">
      <w:pPr>
        <w:pStyle w:val="ListNo1"/>
        <w:numPr>
          <w:ilvl w:val="0"/>
          <w:numId w:val="26"/>
        </w:numPr>
        <w:rPr>
          <w:lang w:eastAsia="en-AU"/>
        </w:rPr>
      </w:pPr>
      <w:r>
        <w:rPr>
          <w:lang w:eastAsia="en-AU"/>
        </w:rPr>
        <w:t>the settlement sum falls within the range of fair and reasonable outcomes, particularly having regard to the litigation risks identified in the joint opinion;</w:t>
      </w:r>
    </w:p>
    <w:p w14:paraId="1AF8DA0A" w14:textId="77777777" w:rsidR="002031CA" w:rsidRDefault="002031CA" w:rsidP="007C1E8F">
      <w:pPr>
        <w:pStyle w:val="ListNo1"/>
        <w:numPr>
          <w:ilvl w:val="0"/>
          <w:numId w:val="26"/>
        </w:numPr>
        <w:rPr>
          <w:lang w:eastAsia="en-AU"/>
        </w:rPr>
      </w:pPr>
      <w:r>
        <w:rPr>
          <w:lang w:eastAsia="en-AU"/>
        </w:rPr>
        <w:t>the method by which the amounts payable to group members are to be calculated and assessed under the Settlement Distribution Scheme is fair and reasonable; and</w:t>
      </w:r>
    </w:p>
    <w:p w14:paraId="57D168DB" w14:textId="77777777" w:rsidR="002031CA" w:rsidRDefault="002031CA" w:rsidP="007C1E8F">
      <w:pPr>
        <w:pStyle w:val="ListNo1"/>
        <w:numPr>
          <w:ilvl w:val="0"/>
          <w:numId w:val="26"/>
        </w:numPr>
        <w:rPr>
          <w:lang w:eastAsia="en-AU"/>
        </w:rPr>
      </w:pPr>
      <w:r>
        <w:rPr>
          <w:lang w:eastAsia="en-AU"/>
        </w:rPr>
        <w:t>the funder fee, legal costs and disbursements are each reasonable, both in the context of the settlement sum and objectively (again having regard to the nature of the litigation as a whole as expressed in the joint opinion).</w:t>
      </w:r>
    </w:p>
    <w:p w14:paraId="17B06E61" w14:textId="77777777" w:rsidR="002031CA" w:rsidRDefault="002031CA" w:rsidP="002031CA">
      <w:pPr>
        <w:pStyle w:val="ParaNumbering"/>
        <w:rPr>
          <w:lang w:eastAsia="en-AU"/>
        </w:rPr>
      </w:pPr>
      <w:r>
        <w:rPr>
          <w:lang w:eastAsia="en-AU"/>
        </w:rPr>
        <w:t>I will briefly address each of these points.</w:t>
      </w:r>
    </w:p>
    <w:p w14:paraId="66874A64" w14:textId="77777777" w:rsidR="002031CA" w:rsidRDefault="002031CA" w:rsidP="002031CA">
      <w:pPr>
        <w:pStyle w:val="Heading2"/>
        <w:rPr>
          <w:lang w:eastAsia="en-AU"/>
        </w:rPr>
      </w:pPr>
      <w:r>
        <w:rPr>
          <w:lang w:eastAsia="en-AU"/>
        </w:rPr>
        <w:t>Settlement sum</w:t>
      </w:r>
    </w:p>
    <w:p w14:paraId="6F3DBF48" w14:textId="2E288CBF" w:rsidR="002031CA" w:rsidRDefault="002031CA" w:rsidP="002031CA">
      <w:pPr>
        <w:pStyle w:val="ParaNumbering"/>
        <w:rPr>
          <w:lang w:eastAsia="en-AU"/>
        </w:rPr>
      </w:pPr>
      <w:r>
        <w:rPr>
          <w:lang w:eastAsia="en-AU"/>
        </w:rPr>
        <w:t xml:space="preserve">The settlement sum of $14.6 million is not insubstantial in the context of the claims brought on behalf of the applicant and group members.  On the one hand, each of the prospectus claim, the misleading or deceptive claims, and the continuous disclosure contraventions were all arguable.  On the other hand, there were </w:t>
      </w:r>
      <w:r w:rsidR="00CC253E">
        <w:rPr>
          <w:lang w:eastAsia="en-AU"/>
        </w:rPr>
        <w:t>substantial</w:t>
      </w:r>
      <w:r>
        <w:rPr>
          <w:lang w:eastAsia="en-AU"/>
        </w:rPr>
        <w:t xml:space="preserve"> risks inherent in the case </w:t>
      </w:r>
      <w:r w:rsidR="00CC253E">
        <w:rPr>
          <w:lang w:eastAsia="en-AU"/>
        </w:rPr>
        <w:t xml:space="preserve">pleaded </w:t>
      </w:r>
      <w:r>
        <w:rPr>
          <w:lang w:eastAsia="en-AU"/>
        </w:rPr>
        <w:t>which, as discussed in the confid</w:t>
      </w:r>
      <w:r w:rsidR="006B35E8">
        <w:rPr>
          <w:lang w:eastAsia="en-AU"/>
        </w:rPr>
        <w:t>ential opinion of the applicant</w:t>
      </w:r>
      <w:r>
        <w:rPr>
          <w:lang w:eastAsia="en-AU"/>
        </w:rPr>
        <w:t>’</w:t>
      </w:r>
      <w:r w:rsidR="006B35E8">
        <w:rPr>
          <w:lang w:eastAsia="en-AU"/>
        </w:rPr>
        <w:t>s</w:t>
      </w:r>
      <w:r>
        <w:rPr>
          <w:lang w:eastAsia="en-AU"/>
        </w:rPr>
        <w:t xml:space="preserve"> counsel, justified the settlement sum.</w:t>
      </w:r>
    </w:p>
    <w:p w14:paraId="2EE02F02" w14:textId="77777777" w:rsidR="002031CA" w:rsidRDefault="002031CA" w:rsidP="002031CA">
      <w:pPr>
        <w:pStyle w:val="Heading2"/>
        <w:rPr>
          <w:lang w:eastAsia="en-AU"/>
        </w:rPr>
      </w:pPr>
      <w:r>
        <w:rPr>
          <w:lang w:eastAsia="en-AU"/>
        </w:rPr>
        <w:t>Funding equalisation mechanism</w:t>
      </w:r>
    </w:p>
    <w:p w14:paraId="69783152" w14:textId="77777777" w:rsidR="002031CA" w:rsidRDefault="002031CA" w:rsidP="002031CA">
      <w:pPr>
        <w:pStyle w:val="ParaNumbering"/>
        <w:rPr>
          <w:lang w:eastAsia="en-AU"/>
        </w:rPr>
      </w:pPr>
      <w:r>
        <w:rPr>
          <w:lang w:eastAsia="en-AU"/>
        </w:rPr>
        <w:t>Turning to the method by which amounts payable to group members are to be calculated and assessed, the Settlement Distribution Scheme</w:t>
      </w:r>
      <w:r w:rsidR="0060397C">
        <w:rPr>
          <w:lang w:eastAsia="en-AU"/>
        </w:rPr>
        <w:t>,</w:t>
      </w:r>
      <w:r>
        <w:rPr>
          <w:lang w:eastAsia="en-AU"/>
        </w:rPr>
        <w:t xml:space="preserve"> which governs this process</w:t>
      </w:r>
      <w:r w:rsidR="0060397C">
        <w:rPr>
          <w:lang w:eastAsia="en-AU"/>
        </w:rPr>
        <w:t>,</w:t>
      </w:r>
      <w:r>
        <w:rPr>
          <w:lang w:eastAsia="en-AU"/>
        </w:rPr>
        <w:t xml:space="preserve"> proposes to use a funding equalisation mechanism to ensure that an amount equivalent to the funding commission (discussed further below) is distributed on a </w:t>
      </w:r>
      <w:r>
        <w:rPr>
          <w:i/>
          <w:lang w:eastAsia="en-AU"/>
        </w:rPr>
        <w:t xml:space="preserve">pro rata </w:t>
      </w:r>
      <w:r>
        <w:rPr>
          <w:lang w:eastAsia="en-AU"/>
        </w:rPr>
        <w:t>basis to all registered group members.</w:t>
      </w:r>
    </w:p>
    <w:p w14:paraId="43090F93" w14:textId="77777777" w:rsidR="002031CA" w:rsidRDefault="002031CA" w:rsidP="002031CA">
      <w:pPr>
        <w:pStyle w:val="ParaNumbering"/>
        <w:rPr>
          <w:lang w:eastAsia="en-AU"/>
        </w:rPr>
      </w:pPr>
      <w:r>
        <w:rPr>
          <w:lang w:eastAsia="en-AU"/>
        </w:rPr>
        <w:t xml:space="preserve">Funding equalisation mechanisms are regularly approved by courts: see, </w:t>
      </w:r>
      <w:proofErr w:type="spellStart"/>
      <w:r>
        <w:rPr>
          <w:lang w:eastAsia="en-AU"/>
        </w:rPr>
        <w:t>eg</w:t>
      </w:r>
      <w:proofErr w:type="spellEnd"/>
      <w:r>
        <w:rPr>
          <w:lang w:eastAsia="en-AU"/>
        </w:rPr>
        <w:t xml:space="preserve">, </w:t>
      </w:r>
      <w:proofErr w:type="spellStart"/>
      <w:r w:rsidRPr="006F7BBF">
        <w:rPr>
          <w:i/>
          <w:lang w:eastAsia="en-AU"/>
        </w:rPr>
        <w:t>Dorajay</w:t>
      </w:r>
      <w:proofErr w:type="spellEnd"/>
      <w:r w:rsidRPr="006F7BBF">
        <w:rPr>
          <w:i/>
          <w:lang w:eastAsia="en-AU"/>
        </w:rPr>
        <w:t xml:space="preserve"> Pty Ltd v Aristocrat Leisure Limited</w:t>
      </w:r>
      <w:r w:rsidRPr="006F7BBF">
        <w:rPr>
          <w:lang w:eastAsia="en-AU"/>
        </w:rPr>
        <w:t xml:space="preserve"> [2009] FCA 19</w:t>
      </w:r>
      <w:r>
        <w:rPr>
          <w:lang w:eastAsia="en-AU"/>
        </w:rPr>
        <w:t xml:space="preserve"> at [14] and [17]; </w:t>
      </w:r>
      <w:r w:rsidRPr="006F7BBF">
        <w:rPr>
          <w:i/>
          <w:lang w:eastAsia="en-AU"/>
        </w:rPr>
        <w:t xml:space="preserve">P Dawson Nominees Pty Ltd v </w:t>
      </w:r>
      <w:r w:rsidRPr="006F7BBF">
        <w:rPr>
          <w:i/>
          <w:lang w:eastAsia="en-AU"/>
        </w:rPr>
        <w:lastRenderedPageBreak/>
        <w:t>Brookfield Multiplex Limited (No 4)</w:t>
      </w:r>
      <w:r w:rsidRPr="006F7BBF">
        <w:rPr>
          <w:lang w:eastAsia="en-AU"/>
        </w:rPr>
        <w:t xml:space="preserve"> [2010] FCA 1029</w:t>
      </w:r>
      <w:r>
        <w:rPr>
          <w:lang w:eastAsia="en-AU"/>
        </w:rPr>
        <w:t xml:space="preserve"> (‘</w:t>
      </w:r>
      <w:r w:rsidRPr="006F7BBF">
        <w:rPr>
          <w:b/>
          <w:i/>
          <w:lang w:eastAsia="en-AU"/>
        </w:rPr>
        <w:t>Dawson Nominees</w:t>
      </w:r>
      <w:r>
        <w:rPr>
          <w:lang w:eastAsia="en-AU"/>
        </w:rPr>
        <w:t xml:space="preserve">’) at [28]; </w:t>
      </w:r>
      <w:proofErr w:type="spellStart"/>
      <w:r w:rsidRPr="006F7BBF">
        <w:rPr>
          <w:i/>
          <w:lang w:eastAsia="en-AU"/>
        </w:rPr>
        <w:t>Modtech</w:t>
      </w:r>
      <w:proofErr w:type="spellEnd"/>
      <w:r w:rsidRPr="006F7BBF">
        <w:rPr>
          <w:i/>
          <w:lang w:eastAsia="en-AU"/>
        </w:rPr>
        <w:t xml:space="preserve"> Engineering Pty Limited v GPT Management Holdings Limited</w:t>
      </w:r>
      <w:r>
        <w:rPr>
          <w:lang w:eastAsia="en-AU"/>
        </w:rPr>
        <w:t xml:space="preserve"> [2013] FCA 626 (‘</w:t>
      </w:r>
      <w:proofErr w:type="spellStart"/>
      <w:r w:rsidRPr="006F7BBF">
        <w:rPr>
          <w:b/>
          <w:i/>
          <w:lang w:eastAsia="en-AU"/>
        </w:rPr>
        <w:t>Modtech</w:t>
      </w:r>
      <w:proofErr w:type="spellEnd"/>
      <w:r>
        <w:rPr>
          <w:lang w:eastAsia="en-AU"/>
        </w:rPr>
        <w:t xml:space="preserve">’) at [58]; </w:t>
      </w:r>
      <w:proofErr w:type="spellStart"/>
      <w:r w:rsidRPr="006F7BBF">
        <w:rPr>
          <w:i/>
          <w:lang w:eastAsia="en-AU"/>
        </w:rPr>
        <w:t>Earglow</w:t>
      </w:r>
      <w:proofErr w:type="spellEnd"/>
      <w:r w:rsidRPr="006F7BBF">
        <w:rPr>
          <w:i/>
          <w:lang w:eastAsia="en-AU"/>
        </w:rPr>
        <w:t xml:space="preserve"> Pty Ltd v Newcrest Mining Limited</w:t>
      </w:r>
      <w:r w:rsidRPr="006F7BBF">
        <w:rPr>
          <w:lang w:eastAsia="en-AU"/>
        </w:rPr>
        <w:t xml:space="preserve"> [2016] FCA 1433</w:t>
      </w:r>
      <w:r>
        <w:rPr>
          <w:lang w:eastAsia="en-AU"/>
        </w:rPr>
        <w:t xml:space="preserve"> (‘</w:t>
      </w:r>
      <w:proofErr w:type="spellStart"/>
      <w:r w:rsidRPr="006F7BBF">
        <w:rPr>
          <w:b/>
          <w:i/>
          <w:lang w:eastAsia="en-AU"/>
        </w:rPr>
        <w:t>Earglow</w:t>
      </w:r>
      <w:proofErr w:type="spellEnd"/>
      <w:r>
        <w:rPr>
          <w:lang w:eastAsia="en-AU"/>
        </w:rPr>
        <w:t xml:space="preserve">’) at [83]; </w:t>
      </w:r>
      <w:r w:rsidRPr="006F7BBF">
        <w:rPr>
          <w:i/>
          <w:lang w:eastAsia="en-AU"/>
        </w:rPr>
        <w:t xml:space="preserve">HFPS Pty Limited (Trustee) </w:t>
      </w:r>
      <w:r w:rsidR="00285447">
        <w:rPr>
          <w:i/>
          <w:lang w:eastAsia="en-AU"/>
        </w:rPr>
        <w:t xml:space="preserve">v </w:t>
      </w:r>
      <w:proofErr w:type="spellStart"/>
      <w:r w:rsidR="00285447">
        <w:rPr>
          <w:i/>
          <w:lang w:eastAsia="en-AU"/>
        </w:rPr>
        <w:t>Tamaya</w:t>
      </w:r>
      <w:proofErr w:type="spellEnd"/>
      <w:r w:rsidR="00285447">
        <w:rPr>
          <w:i/>
          <w:lang w:eastAsia="en-AU"/>
        </w:rPr>
        <w:t xml:space="preserve"> Resources Limited (in </w:t>
      </w:r>
      <w:proofErr w:type="spellStart"/>
      <w:r w:rsidR="00285447">
        <w:rPr>
          <w:i/>
          <w:lang w:eastAsia="en-AU"/>
        </w:rPr>
        <w:t>l</w:t>
      </w:r>
      <w:r w:rsidRPr="006F7BBF">
        <w:rPr>
          <w:i/>
          <w:lang w:eastAsia="en-AU"/>
        </w:rPr>
        <w:t>iq</w:t>
      </w:r>
      <w:proofErr w:type="spellEnd"/>
      <w:r w:rsidRPr="006F7BBF">
        <w:rPr>
          <w:i/>
          <w:lang w:eastAsia="en-AU"/>
        </w:rPr>
        <w:t>) (No 3)</w:t>
      </w:r>
      <w:r w:rsidRPr="006F7BBF">
        <w:rPr>
          <w:lang w:eastAsia="en-AU"/>
        </w:rPr>
        <w:t xml:space="preserve"> [2017] FCA 650</w:t>
      </w:r>
      <w:r>
        <w:rPr>
          <w:lang w:eastAsia="en-AU"/>
        </w:rPr>
        <w:t xml:space="preserve">; </w:t>
      </w:r>
      <w:r w:rsidRPr="006F7BBF">
        <w:rPr>
          <w:i/>
          <w:lang w:eastAsia="en-AU"/>
        </w:rPr>
        <w:t xml:space="preserve">Liverpool City Council v McGraw-Hill Financial, </w:t>
      </w:r>
      <w:proofErr w:type="spellStart"/>
      <w:r w:rsidRPr="006F7BBF">
        <w:rPr>
          <w:i/>
          <w:lang w:eastAsia="en-AU"/>
        </w:rPr>
        <w:t>Inc</w:t>
      </w:r>
      <w:proofErr w:type="spellEnd"/>
      <w:r w:rsidRPr="006F7BBF">
        <w:rPr>
          <w:i/>
          <w:lang w:eastAsia="en-AU"/>
        </w:rPr>
        <w:t xml:space="preserve"> (now known as S&amp;P Global </w:t>
      </w:r>
      <w:proofErr w:type="spellStart"/>
      <w:r w:rsidRPr="006F7BBF">
        <w:rPr>
          <w:i/>
          <w:lang w:eastAsia="en-AU"/>
        </w:rPr>
        <w:t>Inc</w:t>
      </w:r>
      <w:proofErr w:type="spellEnd"/>
      <w:r w:rsidRPr="006F7BBF">
        <w:rPr>
          <w:i/>
          <w:lang w:eastAsia="en-AU"/>
        </w:rPr>
        <w:t>)</w:t>
      </w:r>
      <w:r w:rsidRPr="006F7BBF">
        <w:rPr>
          <w:lang w:eastAsia="en-AU"/>
        </w:rPr>
        <w:t xml:space="preserve"> [2018] FCA 1289</w:t>
      </w:r>
      <w:r>
        <w:rPr>
          <w:lang w:eastAsia="en-AU"/>
        </w:rPr>
        <w:t xml:space="preserve">.  They achieve equality of treatment between group members because unfunded group members (that is, group members who have not entered into a funding agreement with a litigation funder) would not receive any more ‘in hand’ than funded group members: </w:t>
      </w:r>
      <w:r w:rsidRPr="006F7BBF">
        <w:rPr>
          <w:i/>
          <w:lang w:eastAsia="en-AU"/>
        </w:rPr>
        <w:t>Dawson Nominees</w:t>
      </w:r>
      <w:r>
        <w:rPr>
          <w:i/>
          <w:lang w:eastAsia="en-AU"/>
        </w:rPr>
        <w:t xml:space="preserve"> </w:t>
      </w:r>
      <w:r>
        <w:rPr>
          <w:lang w:eastAsia="en-AU"/>
        </w:rPr>
        <w:t xml:space="preserve">at [28].  As has been espoused by the courts, there is no good reason why unfunded group members should be permitted to take the benefit of the proposed settlement without paying a proportionate share of the funding costs: </w:t>
      </w:r>
      <w:proofErr w:type="spellStart"/>
      <w:r w:rsidRPr="006F7BBF">
        <w:rPr>
          <w:i/>
          <w:lang w:eastAsia="en-AU"/>
        </w:rPr>
        <w:t>Earglow</w:t>
      </w:r>
      <w:proofErr w:type="spellEnd"/>
      <w:r w:rsidRPr="006F7BBF">
        <w:rPr>
          <w:i/>
          <w:lang w:eastAsia="en-AU"/>
        </w:rPr>
        <w:t xml:space="preserve"> </w:t>
      </w:r>
      <w:r>
        <w:rPr>
          <w:lang w:eastAsia="en-AU"/>
        </w:rPr>
        <w:t>at [83].</w:t>
      </w:r>
    </w:p>
    <w:p w14:paraId="4DA74CBF" w14:textId="77777777" w:rsidR="002031CA" w:rsidRDefault="002031CA" w:rsidP="002031CA">
      <w:pPr>
        <w:pStyle w:val="Heading2"/>
        <w:rPr>
          <w:lang w:eastAsia="en-AU"/>
        </w:rPr>
      </w:pPr>
      <w:r>
        <w:rPr>
          <w:lang w:eastAsia="en-AU"/>
        </w:rPr>
        <w:t>Funder’s fee, and legal costs and disbursements</w:t>
      </w:r>
    </w:p>
    <w:p w14:paraId="26382D21" w14:textId="77777777" w:rsidR="002031CA" w:rsidRDefault="002031CA" w:rsidP="002031CA">
      <w:pPr>
        <w:pStyle w:val="ParaNumbering"/>
        <w:rPr>
          <w:lang w:eastAsia="en-AU"/>
        </w:rPr>
      </w:pPr>
      <w:r>
        <w:rPr>
          <w:lang w:eastAsia="en-AU"/>
        </w:rPr>
        <w:t>I turn now to the reasonableness of the various costs to be borne by the applicant and the group members.</w:t>
      </w:r>
      <w:r w:rsidR="00CC253E">
        <w:rPr>
          <w:lang w:eastAsia="en-AU"/>
        </w:rPr>
        <w:t xml:space="preserve">  In considering reasonableness, I also take into account whether the various costs are proportionate to the </w:t>
      </w:r>
      <w:r w:rsidR="00CC253E" w:rsidRPr="00382DDF">
        <w:rPr>
          <w:lang w:eastAsia="en-AU"/>
        </w:rPr>
        <w:t>recoveries of</w:t>
      </w:r>
      <w:r w:rsidR="00CC253E">
        <w:rPr>
          <w:lang w:eastAsia="en-AU"/>
        </w:rPr>
        <w:t xml:space="preserve"> th</w:t>
      </w:r>
      <w:r w:rsidR="00382DDF">
        <w:rPr>
          <w:lang w:eastAsia="en-AU"/>
        </w:rPr>
        <w:t>e class members: see</w:t>
      </w:r>
      <w:r w:rsidR="00CC253E">
        <w:rPr>
          <w:lang w:eastAsia="en-AU"/>
        </w:rPr>
        <w:t xml:space="preserve"> </w:t>
      </w:r>
      <w:r w:rsidR="00382DDF">
        <w:rPr>
          <w:i/>
          <w:lang w:eastAsia="en-AU"/>
        </w:rPr>
        <w:t>Peterse</w:t>
      </w:r>
      <w:r w:rsidR="00CC253E">
        <w:rPr>
          <w:i/>
          <w:lang w:eastAsia="en-AU"/>
        </w:rPr>
        <w:t xml:space="preserve">n Superannuation Fund Pty Ltd v Bank of Queensland Ltd (No 3) </w:t>
      </w:r>
      <w:r w:rsidR="00CC253E">
        <w:rPr>
          <w:lang w:eastAsia="en-AU"/>
        </w:rPr>
        <w:t>[2018] FCA 1842</w:t>
      </w:r>
      <w:r w:rsidR="00382DDF">
        <w:rPr>
          <w:lang w:eastAsia="en-AU"/>
        </w:rPr>
        <w:t xml:space="preserve"> (‘</w:t>
      </w:r>
      <w:r w:rsidR="00382DDF">
        <w:rPr>
          <w:b/>
          <w:i/>
          <w:lang w:eastAsia="en-AU"/>
        </w:rPr>
        <w:t>Peterse</w:t>
      </w:r>
      <w:r w:rsidR="00382DDF" w:rsidRPr="00382DDF">
        <w:rPr>
          <w:b/>
          <w:i/>
          <w:lang w:eastAsia="en-AU"/>
        </w:rPr>
        <w:t>n</w:t>
      </w:r>
      <w:r w:rsidR="00382DDF">
        <w:rPr>
          <w:lang w:eastAsia="en-AU"/>
        </w:rPr>
        <w:t>’)</w:t>
      </w:r>
      <w:r w:rsidR="00CC253E">
        <w:rPr>
          <w:lang w:eastAsia="en-AU"/>
        </w:rPr>
        <w:t>.</w:t>
      </w:r>
    </w:p>
    <w:p w14:paraId="54281A7C" w14:textId="77777777" w:rsidR="00962B1E" w:rsidRDefault="002031CA" w:rsidP="002031CA">
      <w:pPr>
        <w:pStyle w:val="ParaNumbering"/>
        <w:rPr>
          <w:lang w:eastAsia="en-AU"/>
        </w:rPr>
      </w:pPr>
      <w:r>
        <w:rPr>
          <w:lang w:eastAsia="en-AU"/>
        </w:rPr>
        <w:t>Regarding the funder’s fee (or funding commission), I am satisfied that in the context of s 33V settlement approval applications, the fee to be paid to the litigation funder in this proc</w:t>
      </w:r>
      <w:r w:rsidR="00962B1E">
        <w:rPr>
          <w:lang w:eastAsia="en-AU"/>
        </w:rPr>
        <w:t>eeding is fair and reasonable.</w:t>
      </w:r>
    </w:p>
    <w:p w14:paraId="218CFC89" w14:textId="77777777" w:rsidR="00962B1E" w:rsidRDefault="002031CA" w:rsidP="002031CA">
      <w:pPr>
        <w:pStyle w:val="ParaNumbering"/>
        <w:rPr>
          <w:lang w:eastAsia="en-AU"/>
        </w:rPr>
      </w:pPr>
      <w:r>
        <w:rPr>
          <w:lang w:eastAsia="en-AU"/>
        </w:rPr>
        <w:t xml:space="preserve">The factors that a court may take into account when assessing the reasonableness of the fee to be paid to a litigation funder are well-settled and do not need to be repeated here.  In the present circumstances, it suffices to refer to the Full Court’s comments in </w:t>
      </w:r>
      <w:r>
        <w:rPr>
          <w:i/>
          <w:lang w:eastAsia="en-AU"/>
        </w:rPr>
        <w:t xml:space="preserve">Money Max </w:t>
      </w:r>
      <w:proofErr w:type="spellStart"/>
      <w:r>
        <w:rPr>
          <w:i/>
          <w:lang w:eastAsia="en-AU"/>
        </w:rPr>
        <w:t>Int</w:t>
      </w:r>
      <w:proofErr w:type="spellEnd"/>
      <w:r>
        <w:rPr>
          <w:i/>
          <w:lang w:eastAsia="en-AU"/>
        </w:rPr>
        <w:t xml:space="preserve"> Pty Ltd (Trustee) v QBE Insurance Group Ltd </w:t>
      </w:r>
      <w:r>
        <w:rPr>
          <w:lang w:eastAsia="en-AU"/>
        </w:rPr>
        <w:t xml:space="preserve">[2016] FCAFC 148; </w:t>
      </w:r>
      <w:r w:rsidRPr="0031273E">
        <w:rPr>
          <w:lang w:eastAsia="en-AU"/>
        </w:rPr>
        <w:t>(2016) 245 FCR 191</w:t>
      </w:r>
      <w:r>
        <w:rPr>
          <w:lang w:eastAsia="en-AU"/>
        </w:rPr>
        <w:t xml:space="preserve"> at 209 [80].  </w:t>
      </w:r>
    </w:p>
    <w:p w14:paraId="38C0E66B" w14:textId="77777777" w:rsidR="002031CA" w:rsidRDefault="002031CA" w:rsidP="002031CA">
      <w:pPr>
        <w:pStyle w:val="ParaNumbering"/>
        <w:rPr>
          <w:lang w:eastAsia="en-AU"/>
        </w:rPr>
      </w:pPr>
      <w:r>
        <w:rPr>
          <w:lang w:eastAsia="en-AU"/>
        </w:rPr>
        <w:t>With those w</w:t>
      </w:r>
      <w:r w:rsidR="00962B1E">
        <w:rPr>
          <w:lang w:eastAsia="en-AU"/>
        </w:rPr>
        <w:t xml:space="preserve">ell-established factors in mind, and having regard to the spreadsheet </w:t>
      </w:r>
      <w:r w:rsidR="00EE6388">
        <w:rPr>
          <w:lang w:eastAsia="en-AU"/>
        </w:rPr>
        <w:t>attached as Annexure A</w:t>
      </w:r>
      <w:r w:rsidR="00962B1E">
        <w:rPr>
          <w:lang w:eastAsia="en-AU"/>
        </w:rPr>
        <w:t xml:space="preserve"> to these reasons (which was included in an exhibit to Mr </w:t>
      </w:r>
      <w:proofErr w:type="spellStart"/>
      <w:r w:rsidR="00962B1E">
        <w:rPr>
          <w:lang w:eastAsia="en-AU"/>
        </w:rPr>
        <w:t>Petrovski’s</w:t>
      </w:r>
      <w:proofErr w:type="spellEnd"/>
      <w:r w:rsidR="00962B1E">
        <w:rPr>
          <w:lang w:eastAsia="en-AU"/>
        </w:rPr>
        <w:t xml:space="preserve"> confidential affidavit but which was agreed could be referred to in my reasons),</w:t>
      </w:r>
      <w:r>
        <w:rPr>
          <w:lang w:eastAsia="en-AU"/>
        </w:rPr>
        <w:t xml:space="preserve"> I note the following:</w:t>
      </w:r>
    </w:p>
    <w:p w14:paraId="5B5457C2" w14:textId="77777777" w:rsidR="002031CA" w:rsidRDefault="002031CA" w:rsidP="007C1E8F">
      <w:pPr>
        <w:pStyle w:val="ListNo1"/>
        <w:numPr>
          <w:ilvl w:val="0"/>
          <w:numId w:val="27"/>
        </w:numPr>
        <w:rPr>
          <w:lang w:eastAsia="en-AU"/>
        </w:rPr>
      </w:pPr>
      <w:r>
        <w:rPr>
          <w:lang w:eastAsia="en-AU"/>
        </w:rPr>
        <w:t>The average funding rate between funded gr</w:t>
      </w:r>
      <w:r w:rsidR="00CC253E">
        <w:rPr>
          <w:lang w:eastAsia="en-AU"/>
        </w:rPr>
        <w:t xml:space="preserve">oup members and the funder was </w:t>
      </w:r>
      <w:r w:rsidRPr="00CC253E">
        <w:rPr>
          <w:lang w:eastAsia="en-AU"/>
        </w:rPr>
        <w:t>40.77%</w:t>
      </w:r>
      <w:r>
        <w:rPr>
          <w:lang w:eastAsia="en-AU"/>
        </w:rPr>
        <w:t xml:space="preserve">.  Relevantly, the funded group members include sophisticated institutional investors which, according to the confidential evidence of Mr </w:t>
      </w:r>
      <w:proofErr w:type="spellStart"/>
      <w:r>
        <w:rPr>
          <w:lang w:eastAsia="en-AU"/>
        </w:rPr>
        <w:t>Petrovski</w:t>
      </w:r>
      <w:proofErr w:type="spellEnd"/>
      <w:r>
        <w:rPr>
          <w:lang w:eastAsia="en-AU"/>
        </w:rPr>
        <w:t xml:space="preserve">, represented the majority of the claim by value, and there is no reason to doubt that the rate agreed between the </w:t>
      </w:r>
      <w:r>
        <w:rPr>
          <w:lang w:eastAsia="en-AU"/>
        </w:rPr>
        <w:lastRenderedPageBreak/>
        <w:t>parties was the product of negotiation between well represented parties in equal bargaining positions.</w:t>
      </w:r>
    </w:p>
    <w:p w14:paraId="4DB792DB" w14:textId="777705B4" w:rsidR="002031CA" w:rsidRDefault="00CC253E" w:rsidP="007C1E8F">
      <w:pPr>
        <w:pStyle w:val="ListNo1"/>
        <w:numPr>
          <w:ilvl w:val="0"/>
          <w:numId w:val="27"/>
        </w:numPr>
        <w:rPr>
          <w:lang w:eastAsia="en-AU"/>
        </w:rPr>
      </w:pPr>
      <w:r>
        <w:rPr>
          <w:lang w:eastAsia="en-AU"/>
        </w:rPr>
        <w:t xml:space="preserve">The funding fee rate of </w:t>
      </w:r>
      <w:r w:rsidRPr="00CC253E">
        <w:rPr>
          <w:lang w:eastAsia="en-AU"/>
        </w:rPr>
        <w:t>33.18%</w:t>
      </w:r>
      <w:r w:rsidR="002031CA">
        <w:rPr>
          <w:lang w:eastAsia="en-AU"/>
        </w:rPr>
        <w:t xml:space="preserve"> (</w:t>
      </w:r>
      <w:r w:rsidR="00962B1E">
        <w:rPr>
          <w:lang w:eastAsia="en-AU"/>
        </w:rPr>
        <w:t xml:space="preserve">which </w:t>
      </w:r>
      <w:r w:rsidR="00382DDF">
        <w:rPr>
          <w:lang w:eastAsia="en-AU"/>
        </w:rPr>
        <w:t xml:space="preserve">is </w:t>
      </w:r>
      <w:r w:rsidR="00285447">
        <w:rPr>
          <w:lang w:eastAsia="en-AU"/>
        </w:rPr>
        <w:t>the average funding rate referred to at (1) above with the funding equalisation mechanism also referred to above, applied</w:t>
      </w:r>
      <w:r w:rsidR="00962B1E">
        <w:rPr>
          <w:lang w:eastAsia="en-AU"/>
        </w:rPr>
        <w:t>)</w:t>
      </w:r>
      <w:r w:rsidR="002031CA">
        <w:rPr>
          <w:lang w:eastAsia="en-AU"/>
        </w:rPr>
        <w:t xml:space="preserve"> is within the range of the usual funding fee rates that were available at the relevant time in the Australian market: see </w:t>
      </w:r>
      <w:proofErr w:type="spellStart"/>
      <w:r w:rsidR="002031CA" w:rsidRPr="0031273E">
        <w:rPr>
          <w:i/>
          <w:lang w:eastAsia="en-AU"/>
        </w:rPr>
        <w:t>Earglow</w:t>
      </w:r>
      <w:proofErr w:type="spellEnd"/>
      <w:r w:rsidR="002031CA">
        <w:rPr>
          <w:lang w:eastAsia="en-AU"/>
        </w:rPr>
        <w:t xml:space="preserve"> at [166]-[177] and </w:t>
      </w:r>
      <w:r w:rsidR="002031CA" w:rsidRPr="0031273E">
        <w:rPr>
          <w:i/>
          <w:lang w:eastAsia="en-AU"/>
        </w:rPr>
        <w:t xml:space="preserve">Blairgowrie Trading Ltd v </w:t>
      </w:r>
      <w:proofErr w:type="spellStart"/>
      <w:r w:rsidR="002031CA" w:rsidRPr="0031273E">
        <w:rPr>
          <w:i/>
          <w:lang w:eastAsia="en-AU"/>
        </w:rPr>
        <w:t>A</w:t>
      </w:r>
      <w:r w:rsidR="00962B1E">
        <w:rPr>
          <w:i/>
          <w:lang w:eastAsia="en-AU"/>
        </w:rPr>
        <w:t>llco</w:t>
      </w:r>
      <w:proofErr w:type="spellEnd"/>
      <w:r w:rsidR="00962B1E">
        <w:rPr>
          <w:i/>
          <w:lang w:eastAsia="en-AU"/>
        </w:rPr>
        <w:t xml:space="preserve"> Finance Group Ltd (i</w:t>
      </w:r>
      <w:r w:rsidR="002031CA">
        <w:rPr>
          <w:i/>
          <w:lang w:eastAsia="en-AU"/>
        </w:rPr>
        <w:t xml:space="preserve">n </w:t>
      </w:r>
      <w:proofErr w:type="spellStart"/>
      <w:r w:rsidR="002031CA">
        <w:rPr>
          <w:i/>
          <w:lang w:eastAsia="en-AU"/>
        </w:rPr>
        <w:t>l</w:t>
      </w:r>
      <w:r w:rsidR="002031CA" w:rsidRPr="0031273E">
        <w:rPr>
          <w:i/>
          <w:lang w:eastAsia="en-AU"/>
        </w:rPr>
        <w:t>iq</w:t>
      </w:r>
      <w:proofErr w:type="spellEnd"/>
      <w:r w:rsidR="002031CA" w:rsidRPr="0031273E">
        <w:rPr>
          <w:i/>
          <w:lang w:eastAsia="en-AU"/>
        </w:rPr>
        <w:t>) (No 3)</w:t>
      </w:r>
      <w:r w:rsidR="002031CA" w:rsidRPr="0031273E">
        <w:rPr>
          <w:lang w:eastAsia="en-AU"/>
        </w:rPr>
        <w:t xml:space="preserve"> [2017] FCA 330</w:t>
      </w:r>
      <w:r w:rsidR="002031CA">
        <w:rPr>
          <w:lang w:eastAsia="en-AU"/>
        </w:rPr>
        <w:t>; (2017) 343 ALR 476 at 509-514 [124]-[142].  Further, as stated by the Australian Law Reform Commission in its 28 May 2018 discussion paper entitled “</w:t>
      </w:r>
      <w:r w:rsidR="002031CA" w:rsidRPr="0031273E">
        <w:rPr>
          <w:i/>
          <w:lang w:eastAsia="en-AU"/>
        </w:rPr>
        <w:t>Inquiry into Class Action Proceedings an Third Party Litigation Funders</w:t>
      </w:r>
      <w:r w:rsidR="002031CA">
        <w:rPr>
          <w:lang w:eastAsia="en-AU"/>
        </w:rPr>
        <w:t>” at [5.34] when referring to fee rates charged by litigation funders operating in Australia, “commission rat</w:t>
      </w:r>
      <w:r w:rsidR="0060397C">
        <w:rPr>
          <w:lang w:eastAsia="en-AU"/>
        </w:rPr>
        <w:t>e</w:t>
      </w:r>
      <w:r w:rsidR="002031CA">
        <w:rPr>
          <w:lang w:eastAsia="en-AU"/>
        </w:rPr>
        <w:t>s are usually charged at about 30% of the settlement sum”.  Collectively, these authoritie</w:t>
      </w:r>
      <w:r w:rsidR="00962B1E">
        <w:rPr>
          <w:lang w:eastAsia="en-AU"/>
        </w:rPr>
        <w:t xml:space="preserve">s demonstrate that the rate </w:t>
      </w:r>
      <w:r w:rsidR="00962B1E" w:rsidRPr="00962B1E">
        <w:rPr>
          <w:lang w:eastAsia="en-AU"/>
        </w:rPr>
        <w:t xml:space="preserve">of </w:t>
      </w:r>
      <w:r w:rsidR="002031CA" w:rsidRPr="00962B1E">
        <w:rPr>
          <w:lang w:eastAsia="en-AU"/>
        </w:rPr>
        <w:t>33.18% is</w:t>
      </w:r>
      <w:r w:rsidR="002031CA">
        <w:rPr>
          <w:lang w:eastAsia="en-AU"/>
        </w:rPr>
        <w:t xml:space="preserve"> </w:t>
      </w:r>
      <w:r w:rsidR="006B35E8">
        <w:rPr>
          <w:lang w:eastAsia="en-AU"/>
        </w:rPr>
        <w:t xml:space="preserve">broadly </w:t>
      </w:r>
      <w:r w:rsidR="002031CA">
        <w:rPr>
          <w:lang w:eastAsia="en-AU"/>
        </w:rPr>
        <w:t xml:space="preserve">within the range of funding fee rates </w:t>
      </w:r>
      <w:r w:rsidR="006B35E8">
        <w:rPr>
          <w:lang w:eastAsia="en-AU"/>
        </w:rPr>
        <w:t xml:space="preserve">(although admittedly </w:t>
      </w:r>
      <w:r w:rsidR="0060397C">
        <w:rPr>
          <w:lang w:eastAsia="en-AU"/>
        </w:rPr>
        <w:t>marginally</w:t>
      </w:r>
      <w:r w:rsidR="006B35E8">
        <w:rPr>
          <w:lang w:eastAsia="en-AU"/>
        </w:rPr>
        <w:t xml:space="preserve"> higher) </w:t>
      </w:r>
      <w:r w:rsidR="002031CA">
        <w:rPr>
          <w:lang w:eastAsia="en-AU"/>
        </w:rPr>
        <w:t>which have been held to be reasonable.</w:t>
      </w:r>
    </w:p>
    <w:p w14:paraId="1689AC2F" w14:textId="77777777" w:rsidR="002031CA" w:rsidRDefault="002031CA" w:rsidP="007C1E8F">
      <w:pPr>
        <w:pStyle w:val="ListNo1"/>
        <w:numPr>
          <w:ilvl w:val="0"/>
          <w:numId w:val="27"/>
        </w:numPr>
        <w:rPr>
          <w:lang w:eastAsia="en-AU"/>
        </w:rPr>
      </w:pPr>
      <w:r>
        <w:rPr>
          <w:lang w:eastAsia="en-AU"/>
        </w:rPr>
        <w:t>The availability of funding (on the terms of the relevant funding agreement between the funder and funded group members) was, practically speaking, a precondition to the group members receiving any benefit under the proposed settlement.  The evidence suggests that the applicant would not have brought the proceeding in the absence of litigation funding.</w:t>
      </w:r>
    </w:p>
    <w:p w14:paraId="3A9F4BA2" w14:textId="77777777" w:rsidR="002031CA" w:rsidRDefault="002031CA" w:rsidP="007C1E8F">
      <w:pPr>
        <w:pStyle w:val="ListNo1"/>
        <w:numPr>
          <w:ilvl w:val="0"/>
          <w:numId w:val="27"/>
        </w:numPr>
        <w:rPr>
          <w:lang w:eastAsia="en-AU"/>
        </w:rPr>
      </w:pPr>
      <w:r>
        <w:rPr>
          <w:lang w:eastAsia="en-AU"/>
        </w:rPr>
        <w:t xml:space="preserve">The case was complex and at the time of its commencement the applicant faced the </w:t>
      </w:r>
      <w:r w:rsidR="006B35E8">
        <w:rPr>
          <w:lang w:eastAsia="en-AU"/>
        </w:rPr>
        <w:t xml:space="preserve">significant </w:t>
      </w:r>
      <w:r>
        <w:rPr>
          <w:lang w:eastAsia="en-AU"/>
        </w:rPr>
        <w:t xml:space="preserve">risks identified in the confidential opinion of its counsel.  The </w:t>
      </w:r>
      <w:r w:rsidR="00962B1E">
        <w:rPr>
          <w:lang w:eastAsia="en-AU"/>
        </w:rPr>
        <w:t>significan</w:t>
      </w:r>
      <w:r w:rsidR="00382DDF">
        <w:rPr>
          <w:lang w:eastAsia="en-AU"/>
        </w:rPr>
        <w:t>t</w:t>
      </w:r>
      <w:r w:rsidR="00962B1E">
        <w:rPr>
          <w:lang w:eastAsia="en-AU"/>
        </w:rPr>
        <w:t xml:space="preserve"> </w:t>
      </w:r>
      <w:r>
        <w:rPr>
          <w:lang w:eastAsia="en-AU"/>
        </w:rPr>
        <w:t>risks in the present case, which I will not repeat here, are important factors in rendering the funder fee reasonable.</w:t>
      </w:r>
    </w:p>
    <w:p w14:paraId="0C256769" w14:textId="77777777" w:rsidR="002031CA" w:rsidRDefault="00962B1E" w:rsidP="007C1E8F">
      <w:pPr>
        <w:pStyle w:val="ListNo1"/>
        <w:numPr>
          <w:ilvl w:val="0"/>
          <w:numId w:val="27"/>
        </w:numPr>
        <w:rPr>
          <w:lang w:eastAsia="en-AU"/>
        </w:rPr>
      </w:pPr>
      <w:r>
        <w:rPr>
          <w:lang w:eastAsia="en-AU"/>
        </w:rPr>
        <w:t>T</w:t>
      </w:r>
      <w:r w:rsidR="002031CA">
        <w:rPr>
          <w:lang w:eastAsia="en-AU"/>
        </w:rPr>
        <w:t>he funder assumed at the commencement of the proceeding the risks of significant adverse costs orders and of providing security for the applicant</w:t>
      </w:r>
      <w:r w:rsidR="006B35E8">
        <w:rPr>
          <w:lang w:eastAsia="en-AU"/>
        </w:rPr>
        <w:t>’s</w:t>
      </w:r>
      <w:r w:rsidR="002031CA">
        <w:rPr>
          <w:lang w:eastAsia="en-AU"/>
        </w:rPr>
        <w:t xml:space="preserve"> costs.</w:t>
      </w:r>
    </w:p>
    <w:p w14:paraId="11FCEDA8" w14:textId="77777777" w:rsidR="002031CA" w:rsidRDefault="002031CA" w:rsidP="007C1E8F">
      <w:pPr>
        <w:pStyle w:val="ListNo1"/>
        <w:numPr>
          <w:ilvl w:val="0"/>
          <w:numId w:val="27"/>
        </w:numPr>
        <w:rPr>
          <w:lang w:eastAsia="en-AU"/>
        </w:rPr>
      </w:pPr>
      <w:r>
        <w:rPr>
          <w:lang w:eastAsia="en-AU"/>
        </w:rPr>
        <w:t>The funder fee to be received by the funder is proportionate to the amount sought and recovered in the proceeding and the settlement, and the costs and risks assumed by it.</w:t>
      </w:r>
    </w:p>
    <w:p w14:paraId="2F35F696" w14:textId="77777777" w:rsidR="002031CA" w:rsidRDefault="002031CA" w:rsidP="002031CA">
      <w:pPr>
        <w:pStyle w:val="ParaNumbering"/>
        <w:rPr>
          <w:lang w:eastAsia="en-AU"/>
        </w:rPr>
      </w:pPr>
      <w:r>
        <w:rPr>
          <w:lang w:eastAsia="en-AU"/>
        </w:rPr>
        <w:t>Regarding the le</w:t>
      </w:r>
      <w:r w:rsidR="00962B1E">
        <w:rPr>
          <w:lang w:eastAsia="en-AU"/>
        </w:rPr>
        <w:t xml:space="preserve">gal costs and disbursements of </w:t>
      </w:r>
      <w:r w:rsidRPr="00962B1E">
        <w:rPr>
          <w:lang w:eastAsia="en-AU"/>
        </w:rPr>
        <w:t>$3,569,755</w:t>
      </w:r>
      <w:r>
        <w:rPr>
          <w:lang w:eastAsia="en-AU"/>
        </w:rPr>
        <w:t xml:space="preserve"> that are sought to be approved, I am satisfied that these are reasonable</w:t>
      </w:r>
      <w:r w:rsidR="00962B1E">
        <w:rPr>
          <w:lang w:eastAsia="en-AU"/>
        </w:rPr>
        <w:t xml:space="preserve"> and proportionate</w:t>
      </w:r>
      <w:r>
        <w:rPr>
          <w:lang w:eastAsia="en-AU"/>
        </w:rPr>
        <w:t xml:space="preserve">. </w:t>
      </w:r>
    </w:p>
    <w:p w14:paraId="4441A6F1" w14:textId="77777777" w:rsidR="002031CA" w:rsidRDefault="002031CA" w:rsidP="002031CA">
      <w:pPr>
        <w:pStyle w:val="ParaNumbering"/>
        <w:rPr>
          <w:lang w:eastAsia="en-AU"/>
        </w:rPr>
      </w:pPr>
      <w:r>
        <w:rPr>
          <w:lang w:eastAsia="en-AU"/>
        </w:rPr>
        <w:t xml:space="preserve">Again, the principles governing the Court’s determination of whether to approve the deduction of legal costs and disbursements from the settlement sum are well understood.  At a high level, the Court must be satisfied that the costs and disbursements claimed are “reasonable in the </w:t>
      </w:r>
      <w:r>
        <w:rPr>
          <w:lang w:eastAsia="en-AU"/>
        </w:rPr>
        <w:lastRenderedPageBreak/>
        <w:t xml:space="preserve">circumstances”: see </w:t>
      </w:r>
      <w:proofErr w:type="spellStart"/>
      <w:r w:rsidRPr="00A6065A">
        <w:rPr>
          <w:i/>
          <w:lang w:eastAsia="en-AU"/>
        </w:rPr>
        <w:t>Modtech</w:t>
      </w:r>
      <w:proofErr w:type="spellEnd"/>
      <w:r w:rsidRPr="00A6065A">
        <w:rPr>
          <w:i/>
          <w:lang w:eastAsia="en-AU"/>
        </w:rPr>
        <w:t xml:space="preserve"> </w:t>
      </w:r>
      <w:r w:rsidRPr="00FD1EBD">
        <w:rPr>
          <w:lang w:eastAsia="en-AU"/>
        </w:rPr>
        <w:t>at [32]</w:t>
      </w:r>
      <w:r>
        <w:rPr>
          <w:i/>
          <w:lang w:eastAsia="en-AU"/>
        </w:rPr>
        <w:t xml:space="preserve"> </w:t>
      </w:r>
      <w:r>
        <w:rPr>
          <w:lang w:eastAsia="en-AU"/>
        </w:rPr>
        <w:t>and [37] in which Gordon J set out a non-exhaustive list of factors to be considered.</w:t>
      </w:r>
    </w:p>
    <w:p w14:paraId="25AE4C36" w14:textId="77777777" w:rsidR="002031CA" w:rsidRDefault="002031CA" w:rsidP="002031CA">
      <w:pPr>
        <w:pStyle w:val="ParaNumbering"/>
        <w:rPr>
          <w:lang w:eastAsia="en-AU"/>
        </w:rPr>
      </w:pPr>
      <w:r>
        <w:rPr>
          <w:lang w:eastAsia="en-AU"/>
        </w:rPr>
        <w:t>Courts will, from time to time, rely</w:t>
      </w:r>
      <w:r w:rsidRPr="00A6065A">
        <w:rPr>
          <w:lang w:eastAsia="en-AU"/>
        </w:rPr>
        <w:t xml:space="preserve"> on expert evidence from an independent costs consultant engaged by </w:t>
      </w:r>
      <w:r>
        <w:rPr>
          <w:lang w:eastAsia="en-AU"/>
        </w:rPr>
        <w:t xml:space="preserve">the applicant’s solicitors: see, </w:t>
      </w:r>
      <w:proofErr w:type="spellStart"/>
      <w:r>
        <w:rPr>
          <w:lang w:eastAsia="en-AU"/>
        </w:rPr>
        <w:t>eg</w:t>
      </w:r>
      <w:proofErr w:type="spellEnd"/>
      <w:r>
        <w:rPr>
          <w:lang w:eastAsia="en-AU"/>
        </w:rPr>
        <w:t xml:space="preserve">, </w:t>
      </w:r>
      <w:r w:rsidRPr="00A6065A">
        <w:rPr>
          <w:i/>
          <w:lang w:eastAsia="en-AU"/>
        </w:rPr>
        <w:t>King v AG Australia Holdings Ltd</w:t>
      </w:r>
      <w:r w:rsidRPr="00A6065A">
        <w:rPr>
          <w:lang w:eastAsia="en-AU"/>
        </w:rPr>
        <w:t xml:space="preserve"> </w:t>
      </w:r>
      <w:r w:rsidRPr="0031273E">
        <w:rPr>
          <w:i/>
          <w:lang w:eastAsia="en-AU"/>
        </w:rPr>
        <w:t>(formerly GIO Australia Holdings Ltd)</w:t>
      </w:r>
      <w:r w:rsidRPr="0031273E">
        <w:rPr>
          <w:lang w:eastAsia="en-AU"/>
        </w:rPr>
        <w:t xml:space="preserve"> </w:t>
      </w:r>
      <w:r w:rsidRPr="00A6065A">
        <w:rPr>
          <w:lang w:eastAsia="en-AU"/>
        </w:rPr>
        <w:t>[2003] FCA 980 at [15]</w:t>
      </w:r>
      <w:r>
        <w:rPr>
          <w:lang w:eastAsia="en-AU"/>
        </w:rPr>
        <w:t xml:space="preserve">; </w:t>
      </w:r>
      <w:r w:rsidRPr="00A6065A">
        <w:rPr>
          <w:i/>
          <w:lang w:eastAsia="en-AU"/>
        </w:rPr>
        <w:t xml:space="preserve">Matthews v </w:t>
      </w:r>
      <w:proofErr w:type="spellStart"/>
      <w:r w:rsidRPr="00A6065A">
        <w:rPr>
          <w:i/>
          <w:lang w:eastAsia="en-AU"/>
        </w:rPr>
        <w:t>AusNet</w:t>
      </w:r>
      <w:proofErr w:type="spellEnd"/>
      <w:r w:rsidRPr="00A6065A">
        <w:rPr>
          <w:i/>
          <w:lang w:eastAsia="en-AU"/>
        </w:rPr>
        <w:t xml:space="preserve"> Electricity Services Pty Ltd </w:t>
      </w:r>
      <w:r w:rsidRPr="00A6065A">
        <w:rPr>
          <w:lang w:eastAsia="en-AU"/>
        </w:rPr>
        <w:t>[2014] VSC 663 at [356]-[386]</w:t>
      </w:r>
      <w:r>
        <w:rPr>
          <w:lang w:eastAsia="en-AU"/>
        </w:rPr>
        <w:t xml:space="preserve">.  In this case, Mr Joseph </w:t>
      </w:r>
      <w:proofErr w:type="spellStart"/>
      <w:r>
        <w:rPr>
          <w:lang w:eastAsia="en-AU"/>
        </w:rPr>
        <w:t>Mazzeo</w:t>
      </w:r>
      <w:proofErr w:type="spellEnd"/>
      <w:r>
        <w:rPr>
          <w:lang w:eastAsia="en-AU"/>
        </w:rPr>
        <w:t xml:space="preserve">, a </w:t>
      </w:r>
      <w:r w:rsidRPr="00A6065A">
        <w:rPr>
          <w:lang w:eastAsia="en-AU"/>
        </w:rPr>
        <w:t>co</w:t>
      </w:r>
      <w:r>
        <w:rPr>
          <w:lang w:eastAsia="en-AU"/>
        </w:rPr>
        <w:t xml:space="preserve">sts consultant who </w:t>
      </w:r>
      <w:r w:rsidRPr="00A6065A">
        <w:rPr>
          <w:lang w:eastAsia="en-AU"/>
        </w:rPr>
        <w:t xml:space="preserve">has provided expert costs opinions in over </w:t>
      </w:r>
      <w:r>
        <w:rPr>
          <w:lang w:eastAsia="en-AU"/>
        </w:rPr>
        <w:t>thirty</w:t>
      </w:r>
      <w:r w:rsidRPr="00A6065A">
        <w:rPr>
          <w:lang w:eastAsia="en-AU"/>
        </w:rPr>
        <w:t xml:space="preserve"> class actions</w:t>
      </w:r>
      <w:r>
        <w:rPr>
          <w:lang w:eastAsia="en-AU"/>
        </w:rPr>
        <w:t>, was engaged by the applicant to provide such expert evidence.  He concluded that:</w:t>
      </w:r>
    </w:p>
    <w:p w14:paraId="2AAE733C" w14:textId="77777777" w:rsidR="002031CA" w:rsidRDefault="002031CA" w:rsidP="007C1E8F">
      <w:pPr>
        <w:pStyle w:val="ListNo1"/>
        <w:numPr>
          <w:ilvl w:val="0"/>
          <w:numId w:val="28"/>
        </w:numPr>
        <w:rPr>
          <w:lang w:eastAsia="en-AU"/>
        </w:rPr>
      </w:pPr>
      <w:r w:rsidRPr="00A6065A">
        <w:rPr>
          <w:lang w:eastAsia="en-AU"/>
        </w:rPr>
        <w:t>the rates charged by William Roberts are ‘at the lower end of the range’ for compara</w:t>
      </w:r>
      <w:r>
        <w:rPr>
          <w:lang w:eastAsia="en-AU"/>
        </w:rPr>
        <w:t>ble work by similar firms;</w:t>
      </w:r>
    </w:p>
    <w:p w14:paraId="01878072" w14:textId="77777777" w:rsidR="002031CA" w:rsidRDefault="002031CA" w:rsidP="007C1E8F">
      <w:pPr>
        <w:pStyle w:val="ListNo1"/>
        <w:numPr>
          <w:ilvl w:val="0"/>
          <w:numId w:val="28"/>
        </w:numPr>
        <w:rPr>
          <w:lang w:eastAsia="en-AU"/>
        </w:rPr>
      </w:pPr>
      <w:r w:rsidRPr="00A6065A">
        <w:rPr>
          <w:lang w:eastAsia="en-AU"/>
        </w:rPr>
        <w:t>all fees an</w:t>
      </w:r>
      <w:r>
        <w:rPr>
          <w:lang w:eastAsia="en-AU"/>
        </w:rPr>
        <w:t>d disbursements were reasonable;</w:t>
      </w:r>
      <w:r w:rsidRPr="00A6065A">
        <w:rPr>
          <w:lang w:eastAsia="en-AU"/>
        </w:rPr>
        <w:t xml:space="preserve"> and </w:t>
      </w:r>
    </w:p>
    <w:p w14:paraId="46573901" w14:textId="77777777" w:rsidR="002031CA" w:rsidRDefault="002031CA" w:rsidP="007C1E8F">
      <w:pPr>
        <w:pStyle w:val="ListNo1"/>
        <w:numPr>
          <w:ilvl w:val="0"/>
          <w:numId w:val="28"/>
        </w:numPr>
        <w:rPr>
          <w:lang w:eastAsia="en-AU"/>
        </w:rPr>
      </w:pPr>
      <w:r w:rsidRPr="00A6065A">
        <w:rPr>
          <w:lang w:eastAsia="en-AU"/>
        </w:rPr>
        <w:t xml:space="preserve">the </w:t>
      </w:r>
      <w:r>
        <w:rPr>
          <w:lang w:eastAsia="en-AU"/>
        </w:rPr>
        <w:t xml:space="preserve">(estimated) </w:t>
      </w:r>
      <w:r w:rsidRPr="00A6065A">
        <w:rPr>
          <w:lang w:eastAsia="en-AU"/>
        </w:rPr>
        <w:t>approval and administration costs are reasonable:</w:t>
      </w:r>
    </w:p>
    <w:p w14:paraId="1B32BFEC" w14:textId="77777777" w:rsidR="002031CA" w:rsidRDefault="002031CA" w:rsidP="002031CA">
      <w:pPr>
        <w:pStyle w:val="ParaNumbering"/>
        <w:rPr>
          <w:lang w:eastAsia="en-AU"/>
        </w:rPr>
      </w:pPr>
      <w:r>
        <w:rPr>
          <w:lang w:eastAsia="en-AU"/>
        </w:rPr>
        <w:t>I accept this opinion and find the legal costs and disbursements claimed to be reasonable.</w:t>
      </w:r>
      <w:r w:rsidR="00962B1E">
        <w:rPr>
          <w:lang w:eastAsia="en-AU"/>
        </w:rPr>
        <w:t xml:space="preserve">  In this case, the Court is able to reach</w:t>
      </w:r>
      <w:r w:rsidR="0060397C">
        <w:rPr>
          <w:lang w:eastAsia="en-AU"/>
        </w:rPr>
        <w:t xml:space="preserve"> this</w:t>
      </w:r>
      <w:r w:rsidR="00962B1E">
        <w:rPr>
          <w:lang w:eastAsia="en-AU"/>
        </w:rPr>
        <w:t xml:space="preserve"> view without further assistance: see, </w:t>
      </w:r>
      <w:proofErr w:type="spellStart"/>
      <w:r w:rsidR="00962B1E">
        <w:rPr>
          <w:lang w:eastAsia="en-AU"/>
        </w:rPr>
        <w:t>eg</w:t>
      </w:r>
      <w:proofErr w:type="spellEnd"/>
      <w:r w:rsidR="00962B1E">
        <w:rPr>
          <w:lang w:eastAsia="en-AU"/>
        </w:rPr>
        <w:t xml:space="preserve">, </w:t>
      </w:r>
      <w:r w:rsidR="00382DDF">
        <w:rPr>
          <w:i/>
          <w:lang w:eastAsia="en-AU"/>
        </w:rPr>
        <w:t>Peterse</w:t>
      </w:r>
      <w:r w:rsidR="00962B1E">
        <w:rPr>
          <w:i/>
          <w:lang w:eastAsia="en-AU"/>
        </w:rPr>
        <w:t xml:space="preserve">n </w:t>
      </w:r>
      <w:r w:rsidR="00382DDF">
        <w:rPr>
          <w:lang w:eastAsia="en-AU"/>
        </w:rPr>
        <w:t>at [124]-[125].</w:t>
      </w:r>
    </w:p>
    <w:p w14:paraId="04F97689" w14:textId="77777777" w:rsidR="002031CA" w:rsidRDefault="002031CA" w:rsidP="002031CA">
      <w:pPr>
        <w:pStyle w:val="Heading2"/>
        <w:rPr>
          <w:lang w:eastAsia="en-AU"/>
        </w:rPr>
      </w:pPr>
      <w:r>
        <w:rPr>
          <w:lang w:eastAsia="en-AU"/>
        </w:rPr>
        <w:t>Other considerations</w:t>
      </w:r>
    </w:p>
    <w:p w14:paraId="71452947" w14:textId="77777777" w:rsidR="002031CA" w:rsidRDefault="002031CA" w:rsidP="002031CA">
      <w:pPr>
        <w:pStyle w:val="ParaNumbering"/>
        <w:rPr>
          <w:lang w:eastAsia="en-AU"/>
        </w:rPr>
      </w:pPr>
      <w:r>
        <w:rPr>
          <w:lang w:eastAsia="en-AU"/>
        </w:rPr>
        <w:t>Finally, I briefly mention two further points.</w:t>
      </w:r>
    </w:p>
    <w:p w14:paraId="054D7BE3" w14:textId="77777777" w:rsidR="002031CA" w:rsidRDefault="002031CA" w:rsidP="002031CA">
      <w:pPr>
        <w:pStyle w:val="ParaNumbering"/>
        <w:rPr>
          <w:lang w:eastAsia="en-AU"/>
        </w:rPr>
      </w:pPr>
      <w:r>
        <w:rPr>
          <w:lang w:eastAsia="en-AU"/>
        </w:rPr>
        <w:t xml:space="preserve">First, the additional compensation to be paid to the applicant for the time spent representing the interests of group members.  As Lee J stated in </w:t>
      </w:r>
      <w:r>
        <w:rPr>
          <w:i/>
          <w:lang w:eastAsia="en-AU"/>
        </w:rPr>
        <w:t xml:space="preserve">Dillon v </w:t>
      </w:r>
      <w:r w:rsidRPr="00FD1EBD">
        <w:rPr>
          <w:i/>
          <w:lang w:eastAsia="en-AU"/>
        </w:rPr>
        <w:t xml:space="preserve">RBS Group (Australia) Pty Limited (No 2) </w:t>
      </w:r>
      <w:r w:rsidRPr="00FD1EBD">
        <w:rPr>
          <w:lang w:eastAsia="en-AU"/>
        </w:rPr>
        <w:t>[2018] FCA 395</w:t>
      </w:r>
      <w:r>
        <w:rPr>
          <w:lang w:eastAsia="en-AU"/>
        </w:rPr>
        <w:t xml:space="preserve"> at [72], this is a:</w:t>
      </w:r>
    </w:p>
    <w:p w14:paraId="089666F2" w14:textId="77777777" w:rsidR="002031CA" w:rsidRPr="005E0F90" w:rsidRDefault="002031CA" w:rsidP="002031CA">
      <w:pPr>
        <w:pStyle w:val="Quote1"/>
        <w:rPr>
          <w:i/>
          <w:lang w:eastAsia="en-AU"/>
        </w:rPr>
      </w:pPr>
      <w:r w:rsidRPr="005E0F90">
        <w:rPr>
          <w:i/>
          <w:lang w:eastAsia="en-AU"/>
        </w:rPr>
        <w:t xml:space="preserve">standard payment that has been made in a very large number of cases, to compensate an applicant for the time the applicant has spent representing interests other than his or her own. </w:t>
      </w:r>
    </w:p>
    <w:p w14:paraId="0CF7FD3A" w14:textId="77777777" w:rsidR="002031CA" w:rsidRDefault="002031CA" w:rsidP="002031CA">
      <w:pPr>
        <w:pStyle w:val="NoNum"/>
        <w:rPr>
          <w:lang w:eastAsia="en-AU"/>
        </w:rPr>
      </w:pPr>
      <w:r>
        <w:rPr>
          <w:lang w:eastAsia="en-AU"/>
        </w:rPr>
        <w:t xml:space="preserve">It is appropriate for such an additional payment to the made to the named applicant, and the amount (and basis for the calculation) contained in Mr </w:t>
      </w:r>
      <w:proofErr w:type="spellStart"/>
      <w:r>
        <w:rPr>
          <w:lang w:eastAsia="en-AU"/>
        </w:rPr>
        <w:t>Petrovski’s</w:t>
      </w:r>
      <w:proofErr w:type="spellEnd"/>
      <w:r>
        <w:rPr>
          <w:lang w:eastAsia="en-AU"/>
        </w:rPr>
        <w:t xml:space="preserve"> confidential affidavit is reasonable.</w:t>
      </w:r>
    </w:p>
    <w:p w14:paraId="20BA4D19" w14:textId="77777777" w:rsidR="002031CA" w:rsidRDefault="002031CA" w:rsidP="002031CA">
      <w:pPr>
        <w:pStyle w:val="ParaNumbering"/>
        <w:rPr>
          <w:lang w:eastAsia="en-AU"/>
        </w:rPr>
      </w:pPr>
      <w:r>
        <w:rPr>
          <w:lang w:eastAsia="en-AU"/>
        </w:rPr>
        <w:t xml:space="preserve">Second, the </w:t>
      </w:r>
      <w:r w:rsidRPr="00FD1EBD">
        <w:rPr>
          <w:lang w:eastAsia="en-AU"/>
        </w:rPr>
        <w:t xml:space="preserve">amount of the administration costs of </w:t>
      </w:r>
      <w:r w:rsidRPr="00382DDF">
        <w:rPr>
          <w:lang w:eastAsia="en-AU"/>
        </w:rPr>
        <w:t>$151,250</w:t>
      </w:r>
      <w:r w:rsidRPr="00FD1EBD">
        <w:rPr>
          <w:lang w:eastAsia="en-AU"/>
        </w:rPr>
        <w:t xml:space="preserve"> is reasonable and is significantly lower than the administration costs approved in analogous applications by th</w:t>
      </w:r>
      <w:r>
        <w:rPr>
          <w:lang w:eastAsia="en-AU"/>
        </w:rPr>
        <w:t>is Court</w:t>
      </w:r>
      <w:r w:rsidRPr="00FD1EBD">
        <w:rPr>
          <w:lang w:eastAsia="en-AU"/>
        </w:rPr>
        <w:t xml:space="preserve">: </w:t>
      </w:r>
      <w:r w:rsidR="00382DDF">
        <w:rPr>
          <w:lang w:eastAsia="en-AU"/>
        </w:rPr>
        <w:t xml:space="preserve">see </w:t>
      </w:r>
      <w:proofErr w:type="spellStart"/>
      <w:r w:rsidRPr="00FD1EBD">
        <w:rPr>
          <w:i/>
          <w:lang w:eastAsia="en-AU"/>
        </w:rPr>
        <w:t>Caason</w:t>
      </w:r>
      <w:proofErr w:type="spellEnd"/>
      <w:r w:rsidRPr="00FD1EBD">
        <w:rPr>
          <w:i/>
          <w:lang w:eastAsia="en-AU"/>
        </w:rPr>
        <w:t xml:space="preserve"> Investments v Cao (No 2)</w:t>
      </w:r>
      <w:r w:rsidR="00382DDF">
        <w:rPr>
          <w:lang w:eastAsia="en-AU"/>
        </w:rPr>
        <w:t xml:space="preserve"> [2018] FCA 527</w:t>
      </w:r>
      <w:r w:rsidRPr="00FD1EBD">
        <w:rPr>
          <w:lang w:eastAsia="en-AU"/>
        </w:rPr>
        <w:t xml:space="preserve"> at [154].</w:t>
      </w:r>
    </w:p>
    <w:p w14:paraId="262C864F" w14:textId="77777777" w:rsidR="002031CA" w:rsidRDefault="002031CA" w:rsidP="002031CA">
      <w:pPr>
        <w:pStyle w:val="Heading1"/>
        <w:rPr>
          <w:lang w:eastAsia="en-AU"/>
        </w:rPr>
      </w:pPr>
      <w:r>
        <w:rPr>
          <w:lang w:eastAsia="en-AU"/>
        </w:rPr>
        <w:lastRenderedPageBreak/>
        <w:t>CONCLUSION</w:t>
      </w:r>
    </w:p>
    <w:p w14:paraId="15295074" w14:textId="77777777" w:rsidR="002031CA" w:rsidRDefault="002031CA" w:rsidP="002031CA">
      <w:pPr>
        <w:pStyle w:val="ParaNumbering"/>
        <w:rPr>
          <w:lang w:eastAsia="en-AU"/>
        </w:rPr>
      </w:pPr>
      <w:r>
        <w:rPr>
          <w:lang w:eastAsia="en-AU"/>
        </w:rPr>
        <w:t xml:space="preserve">For the reasons set out above, I am satisfied that the Court ought to </w:t>
      </w:r>
      <w:r w:rsidRPr="00FD1EBD">
        <w:rPr>
          <w:lang w:eastAsia="en-AU"/>
        </w:rPr>
        <w:t>order</w:t>
      </w:r>
      <w:r>
        <w:rPr>
          <w:lang w:eastAsia="en-AU"/>
        </w:rPr>
        <w:t>,</w:t>
      </w:r>
      <w:r w:rsidRPr="00FD1EBD">
        <w:rPr>
          <w:lang w:eastAsia="en-AU"/>
        </w:rPr>
        <w:t xml:space="preserve"> pursuant to s</w:t>
      </w:r>
      <w:r>
        <w:rPr>
          <w:lang w:eastAsia="en-AU"/>
        </w:rPr>
        <w:t xml:space="preserve"> </w:t>
      </w:r>
      <w:r w:rsidRPr="00FD1EBD">
        <w:rPr>
          <w:lang w:eastAsia="en-AU"/>
        </w:rPr>
        <w:t xml:space="preserve">33V of the </w:t>
      </w:r>
      <w:r>
        <w:rPr>
          <w:lang w:eastAsia="en-AU"/>
        </w:rPr>
        <w:t xml:space="preserve">FCA </w:t>
      </w:r>
      <w:r w:rsidRPr="00FD1EBD">
        <w:rPr>
          <w:lang w:eastAsia="en-AU"/>
        </w:rPr>
        <w:t>Act</w:t>
      </w:r>
      <w:r>
        <w:rPr>
          <w:lang w:eastAsia="en-AU"/>
        </w:rPr>
        <w:t>,</w:t>
      </w:r>
      <w:r w:rsidRPr="00FD1EBD">
        <w:rPr>
          <w:lang w:eastAsia="en-AU"/>
        </w:rPr>
        <w:t xml:space="preserve"> that the proposed settlement be approved on the terms set out in the Settlement Deed and the Settlement Distribution Scheme</w:t>
      </w:r>
      <w:r>
        <w:rPr>
          <w:lang w:eastAsia="en-AU"/>
        </w:rPr>
        <w:t>, and I will so order.</w:t>
      </w:r>
    </w:p>
    <w:p w14:paraId="6D003E1E" w14:textId="77777777" w:rsidR="00484F6D" w:rsidRDefault="002031CA" w:rsidP="002031CA">
      <w:pPr>
        <w:pStyle w:val="ParaNumbering"/>
        <w:rPr>
          <w:lang w:eastAsia="en-AU"/>
        </w:rPr>
      </w:pPr>
      <w:r>
        <w:rPr>
          <w:lang w:eastAsia="en-AU"/>
        </w:rPr>
        <w:t>I will also make the other orders sought in the interlocutory application for the settlement approval.</w:t>
      </w:r>
    </w:p>
    <w:tbl>
      <w:tblPr>
        <w:tblW w:w="0" w:type="auto"/>
        <w:tblLook w:val="04A0" w:firstRow="1" w:lastRow="0" w:firstColumn="1" w:lastColumn="0" w:noHBand="0" w:noVBand="1"/>
      </w:tblPr>
      <w:tblGrid>
        <w:gridCol w:w="3794"/>
      </w:tblGrid>
      <w:tr w:rsidR="008A7019" w:rsidRPr="008A7019" w14:paraId="098AFE41" w14:textId="77777777">
        <w:tc>
          <w:tcPr>
            <w:tcW w:w="3794" w:type="dxa"/>
            <w:shd w:val="clear" w:color="auto" w:fill="auto"/>
          </w:tcPr>
          <w:p w14:paraId="3D5BE5C8" w14:textId="43E2794E" w:rsidR="008A7019" w:rsidRPr="008A7019" w:rsidRDefault="008A7019" w:rsidP="00EF49E7">
            <w:pPr>
              <w:pStyle w:val="Normal1linespace"/>
            </w:pPr>
            <w:bookmarkStart w:id="20" w:name="Certification"/>
            <w:r w:rsidRPr="008A7019">
              <w:t xml:space="preserve">I certify that the preceding </w:t>
            </w:r>
            <w:bookmarkStart w:id="21" w:name="NumberWord"/>
            <w:r w:rsidR="00FC5DA0">
              <w:t>twenty-</w:t>
            </w:r>
            <w:r w:rsidR="00EF49E7">
              <w:t>eight</w:t>
            </w:r>
            <w:bookmarkEnd w:id="21"/>
            <w:r w:rsidRPr="008A7019">
              <w:t xml:space="preserve"> (</w:t>
            </w:r>
            <w:bookmarkStart w:id="22" w:name="NumberNumeral"/>
            <w:r w:rsidR="00FC5DA0">
              <w:t>2</w:t>
            </w:r>
            <w:r w:rsidR="00EF49E7">
              <w:t>8</w:t>
            </w:r>
            <w:bookmarkEnd w:id="22"/>
            <w:r w:rsidRPr="008A7019">
              <w:t xml:space="preserve">) numbered </w:t>
            </w:r>
            <w:bookmarkStart w:id="23" w:name="CertPara"/>
            <w:r>
              <w:t>paragraph</w:t>
            </w:r>
            <w:r w:rsidR="00FC5DA0">
              <w:t>s</w:t>
            </w:r>
            <w:r>
              <w:t xml:space="preserve"> </w:t>
            </w:r>
            <w:r w:rsidR="00FC5DA0">
              <w:t>are</w:t>
            </w:r>
            <w:bookmarkEnd w:id="23"/>
            <w:r w:rsidRPr="008A7019">
              <w:t xml:space="preserve"> a true copy of the Reasons for Judgment herein of the Honourable </w:t>
            </w:r>
            <w:bookmarkStart w:id="24" w:name="Justice"/>
            <w:r>
              <w:t>Justice Middleton</w:t>
            </w:r>
            <w:bookmarkEnd w:id="24"/>
            <w:r w:rsidRPr="008A7019">
              <w:t>.</w:t>
            </w:r>
          </w:p>
        </w:tc>
      </w:tr>
    </w:tbl>
    <w:p w14:paraId="45D6BC31" w14:textId="77777777" w:rsidR="00EF49E7" w:rsidRDefault="00EF49E7" w:rsidP="00815065">
      <w:pPr>
        <w:pStyle w:val="BodyText"/>
      </w:pPr>
    </w:p>
    <w:p w14:paraId="0F6E96E4" w14:textId="7D978717" w:rsidR="008A7019" w:rsidRDefault="008A7019" w:rsidP="00815065">
      <w:pPr>
        <w:pStyle w:val="BodyText"/>
      </w:pPr>
      <w:r>
        <w:t>Associate:</w:t>
      </w:r>
      <w:r w:rsidR="00FC5DA0">
        <w:t xml:space="preserve">  </w:t>
      </w:r>
      <w:bookmarkStart w:id="25" w:name="_GoBack"/>
      <w:bookmarkEnd w:id="25"/>
    </w:p>
    <w:p w14:paraId="209F5E8E" w14:textId="77777777" w:rsidR="008A7019" w:rsidRDefault="008A7019" w:rsidP="00815065">
      <w:pPr>
        <w:pStyle w:val="BodyText"/>
        <w:tabs>
          <w:tab w:val="left" w:pos="1134"/>
        </w:tabs>
      </w:pPr>
      <w:r>
        <w:t>Dated:</w:t>
      </w:r>
      <w:r>
        <w:tab/>
      </w:r>
      <w:bookmarkStart w:id="26" w:name="CertifyDated"/>
      <w:r w:rsidR="00117C6E">
        <w:t>5</w:t>
      </w:r>
      <w:r>
        <w:t xml:space="preserve"> August 2019</w:t>
      </w:r>
      <w:bookmarkEnd w:id="26"/>
    </w:p>
    <w:p w14:paraId="1CFB2A21" w14:textId="77777777" w:rsidR="008A7019" w:rsidRDefault="008A7019" w:rsidP="00815065">
      <w:pPr>
        <w:pStyle w:val="BodyText"/>
      </w:pPr>
    </w:p>
    <w:bookmarkEnd w:id="20"/>
    <w:p w14:paraId="6A8C04D5" w14:textId="77777777" w:rsidR="00382DDF" w:rsidRDefault="00382DDF">
      <w:pPr>
        <w:spacing w:line="240" w:lineRule="auto"/>
        <w:jc w:val="left"/>
        <w:rPr>
          <w:lang w:eastAsia="en-AU"/>
        </w:rPr>
      </w:pPr>
    </w:p>
    <w:p w14:paraId="18A25F36" w14:textId="77777777" w:rsidR="00382DDF" w:rsidRDefault="00382DDF" w:rsidP="002031CA">
      <w:pPr>
        <w:pStyle w:val="ParaNumbering"/>
        <w:numPr>
          <w:ilvl w:val="0"/>
          <w:numId w:val="0"/>
        </w:numPr>
        <w:rPr>
          <w:lang w:eastAsia="en-AU"/>
        </w:rPr>
        <w:sectPr w:rsidR="00382DDF">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14:paraId="282B4973" w14:textId="77777777" w:rsidR="00382DDF" w:rsidRPr="00517779" w:rsidRDefault="00EE6388" w:rsidP="00517779">
      <w:pPr>
        <w:pStyle w:val="NoNum"/>
        <w:jc w:val="center"/>
        <w:rPr>
          <w:b/>
          <w:lang w:eastAsia="en-AU"/>
        </w:rPr>
      </w:pPr>
      <w:r w:rsidRPr="00517779">
        <w:rPr>
          <w:b/>
          <w:lang w:eastAsia="en-AU"/>
        </w:rPr>
        <w:lastRenderedPageBreak/>
        <w:t>Annexure A</w:t>
      </w:r>
    </w:p>
    <w:p w14:paraId="1FAD8869" w14:textId="77777777" w:rsidR="00FC5DA0" w:rsidRPr="00517779" w:rsidRDefault="009175C9" w:rsidP="00517779">
      <w:pPr>
        <w:pStyle w:val="ParaNumbering"/>
        <w:numPr>
          <w:ilvl w:val="0"/>
          <w:numId w:val="0"/>
        </w:numPr>
        <w:jc w:val="center"/>
        <w:rPr>
          <w:b/>
          <w:highlight w:val="yellow"/>
          <w:lang w:eastAsia="en-AU"/>
        </w:rPr>
      </w:pPr>
      <w:r>
        <w:rPr>
          <w:b/>
          <w:lang w:eastAsia="en-AU"/>
        </w:rPr>
        <w:pict w14:anchorId="27EE2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417pt">
            <v:imagedata r:id="rId15" o:title="Capture"/>
          </v:shape>
        </w:pict>
      </w:r>
    </w:p>
    <w:p w14:paraId="5F56F07F" w14:textId="77777777" w:rsidR="00FC5DA0" w:rsidRDefault="00FC5DA0" w:rsidP="00FC5DA0">
      <w:pPr>
        <w:pStyle w:val="BodyText"/>
        <w:rPr>
          <w:highlight w:val="yellow"/>
          <w:lang w:eastAsia="en-AU"/>
        </w:rPr>
        <w:sectPr w:rsidR="00FC5DA0" w:rsidSect="00382DDF">
          <w:endnotePr>
            <w:numFmt w:val="decimal"/>
          </w:endnotePr>
          <w:pgSz w:w="16840" w:h="11907" w:orient="landscape" w:code="9"/>
          <w:pgMar w:top="1440" w:right="1440" w:bottom="1440" w:left="1440" w:header="851" w:footer="851" w:gutter="0"/>
          <w:pgNumType w:start="1"/>
          <w:cols w:space="720"/>
          <w:noEndnote/>
          <w:titlePg/>
          <w:docGrid w:linePitch="326"/>
        </w:sectPr>
      </w:pPr>
    </w:p>
    <w:p w14:paraId="25551580" w14:textId="77777777" w:rsidR="00FC5DA0" w:rsidRPr="00CD498A" w:rsidRDefault="00FC5DA0" w:rsidP="00E91A0F">
      <w:pPr>
        <w:pStyle w:val="NormalHeadings"/>
        <w:spacing w:before="180" w:line="480" w:lineRule="auto"/>
        <w:jc w:val="center"/>
        <w:rPr>
          <w:sz w:val="28"/>
          <w:szCs w:val="28"/>
        </w:rPr>
      </w:pPr>
      <w:bookmarkStart w:id="27" w:name="SOP_Section"/>
      <w:r w:rsidRPr="00CD498A">
        <w:rPr>
          <w:sz w:val="28"/>
          <w:szCs w:val="28"/>
        </w:rPr>
        <w:lastRenderedPageBreak/>
        <w:t>SCHEDULE OF PARTIES</w:t>
      </w:r>
    </w:p>
    <w:p w14:paraId="4C268F6A" w14:textId="77777777" w:rsidR="00FC5DA0" w:rsidRPr="00663089" w:rsidRDefault="00FC5DA0"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FC5DA0" w14:paraId="38CB1C38" w14:textId="77777777" w:rsidTr="00517779">
        <w:tc>
          <w:tcPr>
            <w:tcW w:w="3368" w:type="dxa"/>
          </w:tcPr>
          <w:p w14:paraId="7E58AD05" w14:textId="77777777" w:rsidR="00FC5DA0" w:rsidRDefault="00FC5DA0" w:rsidP="004F5197">
            <w:pPr>
              <w:pStyle w:val="NormalHeadings"/>
              <w:jc w:val="left"/>
              <w:rPr>
                <w:caps/>
                <w:szCs w:val="24"/>
              </w:rPr>
            </w:pPr>
          </w:p>
        </w:tc>
        <w:tc>
          <w:tcPr>
            <w:tcW w:w="5874" w:type="dxa"/>
          </w:tcPr>
          <w:p w14:paraId="2AF29F04" w14:textId="77777777" w:rsidR="00FC5DA0" w:rsidRDefault="00BD4440" w:rsidP="004F5197">
            <w:pPr>
              <w:pStyle w:val="NormalHeadings"/>
              <w:jc w:val="right"/>
            </w:pPr>
            <w:r>
              <w:fldChar w:fldCharType="begin" w:fldLock="1"/>
            </w:r>
            <w:r>
              <w:instrText xml:space="preserve"> REF  FileNo </w:instrText>
            </w:r>
            <w:r>
              <w:fldChar w:fldCharType="separate"/>
            </w:r>
            <w:r w:rsidR="00FC5DA0">
              <w:t>NSD 2074 of 2016</w:t>
            </w:r>
            <w:r>
              <w:fldChar w:fldCharType="end"/>
            </w:r>
          </w:p>
        </w:tc>
      </w:tr>
      <w:tr w:rsidR="00517779" w14:paraId="7CA3DC80" w14:textId="77777777" w:rsidTr="00517779">
        <w:trPr>
          <w:trHeight w:val="386"/>
        </w:trPr>
        <w:tc>
          <w:tcPr>
            <w:tcW w:w="3368" w:type="dxa"/>
          </w:tcPr>
          <w:p w14:paraId="630659EC" w14:textId="77777777" w:rsidR="00517779" w:rsidRPr="00117C6E" w:rsidRDefault="00517779" w:rsidP="0087788E">
            <w:pPr>
              <w:pStyle w:val="BodyTextBold"/>
              <w:spacing w:before="180"/>
              <w:jc w:val="left"/>
            </w:pPr>
            <w:r w:rsidRPr="00117C6E">
              <w:t>First Cross-Claim</w:t>
            </w:r>
          </w:p>
        </w:tc>
        <w:tc>
          <w:tcPr>
            <w:tcW w:w="5874" w:type="dxa"/>
            <w:tcMar>
              <w:left w:w="28" w:type="dxa"/>
            </w:tcMar>
          </w:tcPr>
          <w:p w14:paraId="05B49AD0" w14:textId="77777777" w:rsidR="00517779" w:rsidRDefault="00517779" w:rsidP="0087788E">
            <w:pPr>
              <w:pStyle w:val="BodyText"/>
              <w:jc w:val="left"/>
            </w:pPr>
          </w:p>
        </w:tc>
      </w:tr>
      <w:tr w:rsidR="00517779" w14:paraId="7C8CEFB0" w14:textId="77777777" w:rsidTr="00517779">
        <w:trPr>
          <w:trHeight w:val="386"/>
        </w:trPr>
        <w:tc>
          <w:tcPr>
            <w:tcW w:w="3368" w:type="dxa"/>
          </w:tcPr>
          <w:p w14:paraId="354F0A85" w14:textId="77777777" w:rsidR="00517779" w:rsidRDefault="00517779" w:rsidP="00F2363B">
            <w:pPr>
              <w:pStyle w:val="BodyText"/>
              <w:spacing w:after="240" w:line="240" w:lineRule="auto"/>
              <w:jc w:val="left"/>
            </w:pPr>
            <w:bookmarkStart w:id="28" w:name="SOP_CrossApplicantsRows" w:colFirst="0" w:colLast="1"/>
            <w:r>
              <w:t>Cross-Claimant:</w:t>
            </w:r>
          </w:p>
        </w:tc>
        <w:tc>
          <w:tcPr>
            <w:tcW w:w="5874" w:type="dxa"/>
            <w:tcMar>
              <w:left w:w="28" w:type="dxa"/>
            </w:tcMar>
          </w:tcPr>
          <w:p w14:paraId="34535913" w14:textId="77777777" w:rsidR="00517779" w:rsidRDefault="00117C6E" w:rsidP="00117C6E">
            <w:pPr>
              <w:pStyle w:val="BodyText"/>
              <w:spacing w:after="240" w:line="240" w:lineRule="auto"/>
              <w:jc w:val="left"/>
            </w:pPr>
            <w:r>
              <w:t>Ashley Services Group Limited (ACN 094 747 510)</w:t>
            </w:r>
          </w:p>
        </w:tc>
      </w:tr>
      <w:tr w:rsidR="00517779" w14:paraId="19E72119" w14:textId="77777777" w:rsidTr="00517779">
        <w:trPr>
          <w:trHeight w:val="386"/>
        </w:trPr>
        <w:tc>
          <w:tcPr>
            <w:tcW w:w="3368" w:type="dxa"/>
          </w:tcPr>
          <w:p w14:paraId="45D41F35" w14:textId="77777777" w:rsidR="00517779" w:rsidRDefault="00117C6E" w:rsidP="00F2363B">
            <w:pPr>
              <w:pStyle w:val="BodyText"/>
              <w:spacing w:after="240" w:line="240" w:lineRule="auto"/>
              <w:jc w:val="left"/>
            </w:pPr>
            <w:r>
              <w:t xml:space="preserve">First </w:t>
            </w:r>
            <w:r w:rsidR="00517779">
              <w:t>Cross-Respondent:</w:t>
            </w:r>
          </w:p>
        </w:tc>
        <w:tc>
          <w:tcPr>
            <w:tcW w:w="5874" w:type="dxa"/>
            <w:tcMar>
              <w:left w:w="28" w:type="dxa"/>
            </w:tcMar>
          </w:tcPr>
          <w:p w14:paraId="75BE2039" w14:textId="77777777" w:rsidR="00517779" w:rsidRDefault="00117C6E" w:rsidP="00F2363B">
            <w:pPr>
              <w:pStyle w:val="BodyText"/>
              <w:spacing w:after="240" w:line="240" w:lineRule="auto"/>
              <w:jc w:val="left"/>
            </w:pPr>
            <w:r>
              <w:t xml:space="preserve">Holmes Management Group Pty Ltd (ACN </w:t>
            </w:r>
            <w:r w:rsidRPr="00117C6E">
              <w:t>164 551 526</w:t>
            </w:r>
            <w:r>
              <w:t>)</w:t>
            </w:r>
          </w:p>
        </w:tc>
      </w:tr>
      <w:tr w:rsidR="00117C6E" w14:paraId="0B350F98" w14:textId="77777777" w:rsidTr="00517779">
        <w:trPr>
          <w:trHeight w:val="386"/>
        </w:trPr>
        <w:tc>
          <w:tcPr>
            <w:tcW w:w="3368" w:type="dxa"/>
          </w:tcPr>
          <w:p w14:paraId="52ED6F42" w14:textId="77777777" w:rsidR="00117C6E" w:rsidRDefault="00117C6E" w:rsidP="00F2363B">
            <w:pPr>
              <w:pStyle w:val="BodyText"/>
              <w:spacing w:after="240" w:line="240" w:lineRule="auto"/>
              <w:jc w:val="left"/>
            </w:pPr>
            <w:r>
              <w:t>Second Cross-Respondent:</w:t>
            </w:r>
          </w:p>
        </w:tc>
        <w:tc>
          <w:tcPr>
            <w:tcW w:w="5874" w:type="dxa"/>
            <w:tcMar>
              <w:left w:w="28" w:type="dxa"/>
            </w:tcMar>
          </w:tcPr>
          <w:p w14:paraId="79D21323" w14:textId="77777777" w:rsidR="00117C6E" w:rsidRDefault="00117C6E" w:rsidP="00F2363B">
            <w:pPr>
              <w:pStyle w:val="BodyText"/>
              <w:spacing w:after="240" w:line="240" w:lineRule="auto"/>
              <w:jc w:val="left"/>
            </w:pPr>
            <w:r>
              <w:t>Carl Holmes</w:t>
            </w:r>
          </w:p>
        </w:tc>
      </w:tr>
      <w:tr w:rsidR="00117C6E" w14:paraId="6FF89EA7" w14:textId="77777777" w:rsidTr="00517779">
        <w:trPr>
          <w:trHeight w:val="386"/>
        </w:trPr>
        <w:tc>
          <w:tcPr>
            <w:tcW w:w="3368" w:type="dxa"/>
          </w:tcPr>
          <w:p w14:paraId="0DA3E0A9" w14:textId="77777777" w:rsidR="00117C6E" w:rsidRDefault="00117C6E" w:rsidP="00F2363B">
            <w:pPr>
              <w:pStyle w:val="BodyText"/>
              <w:spacing w:after="240" w:line="240" w:lineRule="auto"/>
              <w:jc w:val="left"/>
            </w:pPr>
            <w:r>
              <w:t>Third Cross-Respondent:</w:t>
            </w:r>
          </w:p>
        </w:tc>
        <w:tc>
          <w:tcPr>
            <w:tcW w:w="5874" w:type="dxa"/>
            <w:tcMar>
              <w:left w:w="28" w:type="dxa"/>
            </w:tcMar>
          </w:tcPr>
          <w:p w14:paraId="62EE6DD6" w14:textId="77777777" w:rsidR="00117C6E" w:rsidRDefault="00117C6E" w:rsidP="00F2363B">
            <w:pPr>
              <w:pStyle w:val="BodyText"/>
              <w:spacing w:after="240" w:line="240" w:lineRule="auto"/>
              <w:jc w:val="left"/>
            </w:pPr>
            <w:r>
              <w:t>Marie Holmes</w:t>
            </w:r>
          </w:p>
        </w:tc>
      </w:tr>
      <w:tr w:rsidR="00517779" w14:paraId="6C2E00D0" w14:textId="77777777" w:rsidTr="00517779">
        <w:trPr>
          <w:trHeight w:val="386"/>
        </w:trPr>
        <w:tc>
          <w:tcPr>
            <w:tcW w:w="3368" w:type="dxa"/>
          </w:tcPr>
          <w:p w14:paraId="2FEB6CCC" w14:textId="77777777" w:rsidR="00517779" w:rsidRDefault="00517779" w:rsidP="00F2363B">
            <w:pPr>
              <w:pStyle w:val="BodyText"/>
              <w:spacing w:after="240" w:line="240" w:lineRule="auto"/>
              <w:jc w:val="left"/>
            </w:pPr>
          </w:p>
        </w:tc>
        <w:tc>
          <w:tcPr>
            <w:tcW w:w="5874" w:type="dxa"/>
            <w:tcMar>
              <w:left w:w="28" w:type="dxa"/>
            </w:tcMar>
          </w:tcPr>
          <w:p w14:paraId="75B998F6" w14:textId="77777777" w:rsidR="00517779" w:rsidRDefault="00517779" w:rsidP="00F2363B">
            <w:pPr>
              <w:pStyle w:val="BodyText"/>
              <w:spacing w:after="240" w:line="240" w:lineRule="auto"/>
              <w:jc w:val="left"/>
            </w:pPr>
          </w:p>
        </w:tc>
      </w:tr>
      <w:tr w:rsidR="00517779" w14:paraId="5E40A2F0" w14:textId="77777777" w:rsidTr="00517779">
        <w:trPr>
          <w:trHeight w:val="386"/>
        </w:trPr>
        <w:tc>
          <w:tcPr>
            <w:tcW w:w="3368" w:type="dxa"/>
          </w:tcPr>
          <w:p w14:paraId="3BE217AF" w14:textId="77777777" w:rsidR="00517779" w:rsidRPr="00117C6E" w:rsidRDefault="00517779" w:rsidP="00506D2F">
            <w:pPr>
              <w:pStyle w:val="BodyTextBold"/>
              <w:spacing w:before="180"/>
              <w:jc w:val="left"/>
            </w:pPr>
            <w:r w:rsidRPr="00117C6E">
              <w:t>Second Cross-Claim</w:t>
            </w:r>
          </w:p>
        </w:tc>
        <w:tc>
          <w:tcPr>
            <w:tcW w:w="5874" w:type="dxa"/>
            <w:tcMar>
              <w:left w:w="28" w:type="dxa"/>
            </w:tcMar>
          </w:tcPr>
          <w:p w14:paraId="6BB3729B" w14:textId="77777777" w:rsidR="00517779" w:rsidRDefault="00517779" w:rsidP="00506D2F">
            <w:pPr>
              <w:pStyle w:val="BodyText"/>
              <w:jc w:val="left"/>
            </w:pPr>
          </w:p>
        </w:tc>
      </w:tr>
      <w:tr w:rsidR="00517779" w14:paraId="013A09D6" w14:textId="77777777" w:rsidTr="00517779">
        <w:trPr>
          <w:trHeight w:val="386"/>
        </w:trPr>
        <w:tc>
          <w:tcPr>
            <w:tcW w:w="3368" w:type="dxa"/>
          </w:tcPr>
          <w:p w14:paraId="70B7AA20" w14:textId="77777777" w:rsidR="00517779" w:rsidRDefault="00517779" w:rsidP="00506D2F">
            <w:pPr>
              <w:pStyle w:val="BodyText"/>
              <w:spacing w:after="240" w:line="240" w:lineRule="auto"/>
              <w:jc w:val="left"/>
            </w:pPr>
            <w:r>
              <w:t>Cross-Claimant:</w:t>
            </w:r>
          </w:p>
        </w:tc>
        <w:tc>
          <w:tcPr>
            <w:tcW w:w="5874" w:type="dxa"/>
            <w:tcMar>
              <w:left w:w="28" w:type="dxa"/>
            </w:tcMar>
          </w:tcPr>
          <w:p w14:paraId="51067EC4" w14:textId="77777777" w:rsidR="00517779" w:rsidRDefault="00117C6E" w:rsidP="00506D2F">
            <w:pPr>
              <w:pStyle w:val="BodyText"/>
              <w:spacing w:after="240" w:line="240" w:lineRule="auto"/>
              <w:jc w:val="left"/>
            </w:pPr>
            <w:r>
              <w:t>Ashley Services Group Limited (ACN 094 747 510)</w:t>
            </w:r>
          </w:p>
        </w:tc>
      </w:tr>
      <w:tr w:rsidR="00517779" w14:paraId="408DF784" w14:textId="77777777" w:rsidTr="00517779">
        <w:trPr>
          <w:trHeight w:val="386"/>
        </w:trPr>
        <w:tc>
          <w:tcPr>
            <w:tcW w:w="3368" w:type="dxa"/>
          </w:tcPr>
          <w:p w14:paraId="2A98080C" w14:textId="77777777" w:rsidR="00517779" w:rsidRDefault="00117C6E" w:rsidP="00506D2F">
            <w:pPr>
              <w:pStyle w:val="BodyText"/>
              <w:spacing w:after="240" w:line="240" w:lineRule="auto"/>
              <w:jc w:val="left"/>
            </w:pPr>
            <w:r>
              <w:t xml:space="preserve">First </w:t>
            </w:r>
            <w:r w:rsidR="00517779">
              <w:t>Cross-Respondent:</w:t>
            </w:r>
          </w:p>
        </w:tc>
        <w:tc>
          <w:tcPr>
            <w:tcW w:w="5874" w:type="dxa"/>
            <w:tcMar>
              <w:left w:w="28" w:type="dxa"/>
            </w:tcMar>
          </w:tcPr>
          <w:p w14:paraId="25797BC5" w14:textId="77777777" w:rsidR="00517779" w:rsidRDefault="00117C6E" w:rsidP="00506D2F">
            <w:pPr>
              <w:pStyle w:val="BodyText"/>
              <w:spacing w:after="240" w:line="240" w:lineRule="auto"/>
              <w:jc w:val="left"/>
            </w:pPr>
            <w:r>
              <w:t>Deloitte Touche Tohmatsu</w:t>
            </w:r>
          </w:p>
        </w:tc>
      </w:tr>
      <w:tr w:rsidR="00117C6E" w14:paraId="245C7DA0" w14:textId="77777777" w:rsidTr="00517779">
        <w:trPr>
          <w:trHeight w:val="386"/>
        </w:trPr>
        <w:tc>
          <w:tcPr>
            <w:tcW w:w="3368" w:type="dxa"/>
          </w:tcPr>
          <w:p w14:paraId="215D54F7" w14:textId="77777777" w:rsidR="00117C6E" w:rsidRDefault="00117C6E" w:rsidP="00117C6E">
            <w:pPr>
              <w:pStyle w:val="BodyText"/>
              <w:spacing w:after="240" w:line="240" w:lineRule="auto"/>
              <w:jc w:val="left"/>
            </w:pPr>
            <w:r>
              <w:t>Second Cross-Respondent:</w:t>
            </w:r>
          </w:p>
        </w:tc>
        <w:tc>
          <w:tcPr>
            <w:tcW w:w="5874" w:type="dxa"/>
            <w:tcMar>
              <w:left w:w="28" w:type="dxa"/>
            </w:tcMar>
          </w:tcPr>
          <w:p w14:paraId="149146F9" w14:textId="77777777" w:rsidR="00117C6E" w:rsidRDefault="00117C6E" w:rsidP="00117C6E">
            <w:pPr>
              <w:pStyle w:val="BodyText"/>
              <w:spacing w:after="240" w:line="240" w:lineRule="auto"/>
              <w:jc w:val="left"/>
            </w:pPr>
            <w:r>
              <w:t>Deloitte Corporate Finance Pty Ltd (ACN 003 833 127)</w:t>
            </w:r>
          </w:p>
        </w:tc>
      </w:tr>
      <w:tr w:rsidR="00117C6E" w14:paraId="637C0CE6" w14:textId="77777777" w:rsidTr="00517779">
        <w:trPr>
          <w:trHeight w:val="386"/>
        </w:trPr>
        <w:tc>
          <w:tcPr>
            <w:tcW w:w="3368" w:type="dxa"/>
          </w:tcPr>
          <w:p w14:paraId="0B4C1B53" w14:textId="77777777" w:rsidR="00117C6E" w:rsidRDefault="00117C6E" w:rsidP="00117C6E">
            <w:pPr>
              <w:pStyle w:val="BodyText"/>
              <w:spacing w:after="240" w:line="240" w:lineRule="auto"/>
              <w:jc w:val="left"/>
            </w:pPr>
          </w:p>
        </w:tc>
        <w:tc>
          <w:tcPr>
            <w:tcW w:w="5874" w:type="dxa"/>
            <w:tcMar>
              <w:left w:w="28" w:type="dxa"/>
            </w:tcMar>
          </w:tcPr>
          <w:p w14:paraId="01C0FB79" w14:textId="77777777" w:rsidR="00117C6E" w:rsidRDefault="00117C6E" w:rsidP="00117C6E">
            <w:pPr>
              <w:pStyle w:val="BodyText"/>
              <w:spacing w:after="240" w:line="240" w:lineRule="auto"/>
              <w:jc w:val="left"/>
            </w:pPr>
          </w:p>
        </w:tc>
      </w:tr>
      <w:tr w:rsidR="00117C6E" w14:paraId="7EAEE8F9" w14:textId="77777777" w:rsidTr="00517779">
        <w:trPr>
          <w:trHeight w:val="386"/>
        </w:trPr>
        <w:tc>
          <w:tcPr>
            <w:tcW w:w="3368" w:type="dxa"/>
          </w:tcPr>
          <w:p w14:paraId="2907B963" w14:textId="77777777" w:rsidR="00117C6E" w:rsidRPr="00117C6E" w:rsidRDefault="00117C6E" w:rsidP="00117C6E">
            <w:pPr>
              <w:pStyle w:val="BodyTextBold"/>
              <w:spacing w:before="180"/>
              <w:jc w:val="left"/>
            </w:pPr>
            <w:r w:rsidRPr="00117C6E">
              <w:t>Third Cross-Claim</w:t>
            </w:r>
          </w:p>
        </w:tc>
        <w:tc>
          <w:tcPr>
            <w:tcW w:w="5874" w:type="dxa"/>
            <w:tcMar>
              <w:left w:w="28" w:type="dxa"/>
            </w:tcMar>
          </w:tcPr>
          <w:p w14:paraId="285FCFAD" w14:textId="77777777" w:rsidR="00117C6E" w:rsidRDefault="00117C6E" w:rsidP="00117C6E">
            <w:pPr>
              <w:pStyle w:val="BodyText"/>
              <w:jc w:val="left"/>
            </w:pPr>
          </w:p>
        </w:tc>
      </w:tr>
      <w:tr w:rsidR="00117C6E" w14:paraId="2F429EB1" w14:textId="77777777" w:rsidTr="00517779">
        <w:trPr>
          <w:trHeight w:val="386"/>
        </w:trPr>
        <w:tc>
          <w:tcPr>
            <w:tcW w:w="3368" w:type="dxa"/>
          </w:tcPr>
          <w:p w14:paraId="172CA374" w14:textId="77777777" w:rsidR="00117C6E" w:rsidRDefault="00117C6E" w:rsidP="00117C6E">
            <w:pPr>
              <w:pStyle w:val="BodyText"/>
              <w:spacing w:after="240" w:line="240" w:lineRule="auto"/>
              <w:jc w:val="left"/>
            </w:pPr>
            <w:r>
              <w:t>Cross-Claimant:</w:t>
            </w:r>
          </w:p>
        </w:tc>
        <w:tc>
          <w:tcPr>
            <w:tcW w:w="5874" w:type="dxa"/>
            <w:tcMar>
              <w:left w:w="28" w:type="dxa"/>
            </w:tcMar>
          </w:tcPr>
          <w:p w14:paraId="26874A85" w14:textId="77777777" w:rsidR="00117C6E" w:rsidRDefault="00117C6E" w:rsidP="00117C6E">
            <w:pPr>
              <w:pStyle w:val="BodyText"/>
              <w:spacing w:after="240" w:line="240" w:lineRule="auto"/>
              <w:jc w:val="left"/>
            </w:pPr>
            <w:r>
              <w:t>Ashley Services Group Limited (ACN 094 747 510)</w:t>
            </w:r>
          </w:p>
        </w:tc>
      </w:tr>
      <w:tr w:rsidR="00117C6E" w14:paraId="7DC5DF5B" w14:textId="77777777" w:rsidTr="00517779">
        <w:trPr>
          <w:trHeight w:val="386"/>
        </w:trPr>
        <w:tc>
          <w:tcPr>
            <w:tcW w:w="3368" w:type="dxa"/>
          </w:tcPr>
          <w:p w14:paraId="29CEC5FE" w14:textId="77777777" w:rsidR="00117C6E" w:rsidRDefault="00117C6E" w:rsidP="00117C6E">
            <w:pPr>
              <w:pStyle w:val="BodyText"/>
              <w:spacing w:after="240" w:line="240" w:lineRule="auto"/>
              <w:jc w:val="left"/>
            </w:pPr>
            <w:r>
              <w:t>Cross-Respondent:</w:t>
            </w:r>
          </w:p>
        </w:tc>
        <w:tc>
          <w:tcPr>
            <w:tcW w:w="5874" w:type="dxa"/>
            <w:tcMar>
              <w:left w:w="28" w:type="dxa"/>
            </w:tcMar>
          </w:tcPr>
          <w:p w14:paraId="7C8E6501" w14:textId="77777777" w:rsidR="00117C6E" w:rsidRDefault="00117C6E" w:rsidP="00117C6E">
            <w:pPr>
              <w:pStyle w:val="BodyText"/>
              <w:spacing w:after="240" w:line="240" w:lineRule="auto"/>
              <w:jc w:val="left"/>
            </w:pPr>
            <w:r>
              <w:t>Grant Thornton Corporate Finance Pty Ltd (ACN 003 265 987)</w:t>
            </w:r>
          </w:p>
        </w:tc>
      </w:tr>
      <w:tr w:rsidR="00117C6E" w14:paraId="19409849" w14:textId="77777777" w:rsidTr="00517779">
        <w:trPr>
          <w:trHeight w:val="386"/>
        </w:trPr>
        <w:tc>
          <w:tcPr>
            <w:tcW w:w="3368" w:type="dxa"/>
          </w:tcPr>
          <w:p w14:paraId="2B1699F9" w14:textId="77777777" w:rsidR="00117C6E" w:rsidRDefault="00117C6E" w:rsidP="00117C6E">
            <w:pPr>
              <w:pStyle w:val="BodyText"/>
              <w:spacing w:after="240" w:line="240" w:lineRule="auto"/>
              <w:jc w:val="left"/>
            </w:pPr>
          </w:p>
        </w:tc>
        <w:tc>
          <w:tcPr>
            <w:tcW w:w="5874" w:type="dxa"/>
            <w:tcMar>
              <w:left w:w="28" w:type="dxa"/>
            </w:tcMar>
          </w:tcPr>
          <w:p w14:paraId="1D1DBF4C" w14:textId="77777777" w:rsidR="00117C6E" w:rsidRDefault="00117C6E" w:rsidP="00117C6E">
            <w:pPr>
              <w:pStyle w:val="BodyText"/>
              <w:spacing w:after="240" w:line="240" w:lineRule="auto"/>
              <w:jc w:val="left"/>
            </w:pPr>
          </w:p>
        </w:tc>
      </w:tr>
      <w:tr w:rsidR="00117C6E" w14:paraId="0D150FC0" w14:textId="77777777" w:rsidTr="00517779">
        <w:trPr>
          <w:trHeight w:val="386"/>
        </w:trPr>
        <w:tc>
          <w:tcPr>
            <w:tcW w:w="3368" w:type="dxa"/>
          </w:tcPr>
          <w:p w14:paraId="5E1EDB8B" w14:textId="77777777" w:rsidR="00117C6E" w:rsidRPr="00117C6E" w:rsidRDefault="00117C6E" w:rsidP="00117C6E">
            <w:pPr>
              <w:pStyle w:val="BodyTextBold"/>
              <w:spacing w:before="180"/>
              <w:jc w:val="left"/>
            </w:pPr>
            <w:r w:rsidRPr="00117C6E">
              <w:t>Fourth Cross-Claim</w:t>
            </w:r>
          </w:p>
        </w:tc>
        <w:tc>
          <w:tcPr>
            <w:tcW w:w="5874" w:type="dxa"/>
            <w:tcMar>
              <w:left w:w="28" w:type="dxa"/>
            </w:tcMar>
          </w:tcPr>
          <w:p w14:paraId="60D95815" w14:textId="77777777" w:rsidR="00117C6E" w:rsidRDefault="00117C6E" w:rsidP="00117C6E">
            <w:pPr>
              <w:pStyle w:val="BodyText"/>
              <w:jc w:val="left"/>
            </w:pPr>
          </w:p>
        </w:tc>
      </w:tr>
      <w:tr w:rsidR="00117C6E" w14:paraId="3D6952B7" w14:textId="77777777" w:rsidTr="00517779">
        <w:trPr>
          <w:trHeight w:val="386"/>
        </w:trPr>
        <w:tc>
          <w:tcPr>
            <w:tcW w:w="3368" w:type="dxa"/>
          </w:tcPr>
          <w:p w14:paraId="7C09DE5C" w14:textId="77777777" w:rsidR="00117C6E" w:rsidRDefault="00117C6E" w:rsidP="00117C6E">
            <w:pPr>
              <w:pStyle w:val="BodyText"/>
              <w:spacing w:after="240" w:line="240" w:lineRule="auto"/>
              <w:jc w:val="left"/>
            </w:pPr>
            <w:r>
              <w:t>Cross-Claimant:</w:t>
            </w:r>
          </w:p>
        </w:tc>
        <w:tc>
          <w:tcPr>
            <w:tcW w:w="5874" w:type="dxa"/>
            <w:tcMar>
              <w:left w:w="28" w:type="dxa"/>
            </w:tcMar>
          </w:tcPr>
          <w:p w14:paraId="21A476AB" w14:textId="77777777" w:rsidR="00117C6E" w:rsidRDefault="00117C6E" w:rsidP="00117C6E">
            <w:pPr>
              <w:pStyle w:val="BodyText"/>
              <w:spacing w:after="240" w:line="240" w:lineRule="auto"/>
              <w:jc w:val="left"/>
            </w:pPr>
            <w:r>
              <w:t>Grant Thornton Corporate Finance Pty Ltd (ACN 003 265 987)</w:t>
            </w:r>
          </w:p>
        </w:tc>
      </w:tr>
      <w:tr w:rsidR="00117C6E" w14:paraId="76D83535" w14:textId="77777777" w:rsidTr="00517779">
        <w:trPr>
          <w:trHeight w:val="386"/>
        </w:trPr>
        <w:tc>
          <w:tcPr>
            <w:tcW w:w="3368" w:type="dxa"/>
          </w:tcPr>
          <w:p w14:paraId="0C971318" w14:textId="77777777" w:rsidR="00117C6E" w:rsidRDefault="00117C6E" w:rsidP="00117C6E">
            <w:pPr>
              <w:pStyle w:val="BodyText"/>
              <w:spacing w:after="240" w:line="240" w:lineRule="auto"/>
              <w:jc w:val="left"/>
            </w:pPr>
            <w:r>
              <w:t>Cross-Respondent:</w:t>
            </w:r>
          </w:p>
        </w:tc>
        <w:tc>
          <w:tcPr>
            <w:tcW w:w="5874" w:type="dxa"/>
            <w:tcMar>
              <w:left w:w="28" w:type="dxa"/>
            </w:tcMar>
          </w:tcPr>
          <w:p w14:paraId="1AC446AE" w14:textId="77777777" w:rsidR="00117C6E" w:rsidRDefault="00117C6E" w:rsidP="00117C6E">
            <w:pPr>
              <w:pStyle w:val="BodyText"/>
              <w:spacing w:after="240" w:line="240" w:lineRule="auto"/>
              <w:jc w:val="left"/>
            </w:pPr>
            <w:r>
              <w:t>Ashley Services Group Limited (ACN 094 747 510)</w:t>
            </w:r>
          </w:p>
        </w:tc>
      </w:tr>
    </w:tbl>
    <w:p w14:paraId="5F7E34B4" w14:textId="77777777" w:rsidR="00FC5DA0" w:rsidRDefault="00FC5DA0" w:rsidP="002B0E91">
      <w:pPr>
        <w:pStyle w:val="BodyText"/>
      </w:pPr>
      <w:bookmarkStart w:id="29" w:name="SOP_FirstCrossApplicant"/>
      <w:bookmarkEnd w:id="28"/>
      <w:bookmarkEnd w:id="29"/>
    </w:p>
    <w:bookmarkEnd w:id="27"/>
    <w:p w14:paraId="07B8C060" w14:textId="77777777" w:rsidR="00FC5DA0" w:rsidRPr="008A7019" w:rsidRDefault="00FC5DA0" w:rsidP="00FC5DA0">
      <w:pPr>
        <w:pStyle w:val="BodyText"/>
        <w:rPr>
          <w:highlight w:val="yellow"/>
          <w:lang w:eastAsia="en-AU"/>
        </w:rPr>
      </w:pPr>
    </w:p>
    <w:sectPr w:rsidR="00FC5DA0" w:rsidRPr="008A7019" w:rsidSect="00517779">
      <w:headerReference w:type="first" r:id="rId16"/>
      <w:endnotePr>
        <w:numFmt w:val="decimal"/>
      </w:endnotePr>
      <w:pgSz w:w="11907" w:h="16840" w:code="9"/>
      <w:pgMar w:top="1440" w:right="1440" w:bottom="1440" w:left="1440"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E04E" w14:textId="77777777" w:rsidR="00B20A75" w:rsidRDefault="00B20A75">
      <w:pPr>
        <w:spacing w:line="20" w:lineRule="exact"/>
      </w:pPr>
    </w:p>
    <w:p w14:paraId="521103E0" w14:textId="77777777" w:rsidR="00B20A75" w:rsidRDefault="00B20A75"/>
    <w:p w14:paraId="71CE85A8" w14:textId="77777777" w:rsidR="00B20A75" w:rsidRDefault="00B20A75"/>
  </w:endnote>
  <w:endnote w:type="continuationSeparator" w:id="0">
    <w:p w14:paraId="31CB6C07" w14:textId="77777777" w:rsidR="00B20A75" w:rsidRDefault="00B20A75">
      <w:r>
        <w:t xml:space="preserve"> </w:t>
      </w:r>
    </w:p>
    <w:p w14:paraId="63FC2800" w14:textId="77777777" w:rsidR="00B20A75" w:rsidRDefault="00B20A75"/>
    <w:p w14:paraId="5B977193" w14:textId="77777777" w:rsidR="00B20A75" w:rsidRDefault="00B20A75"/>
  </w:endnote>
  <w:endnote w:type="continuationNotice" w:id="1">
    <w:p w14:paraId="2B17F6B9" w14:textId="77777777" w:rsidR="00B20A75" w:rsidRDefault="00B20A75">
      <w:r>
        <w:t xml:space="preserve"> </w:t>
      </w:r>
    </w:p>
    <w:p w14:paraId="5160E761" w14:textId="77777777" w:rsidR="00B20A75" w:rsidRDefault="00B20A75"/>
    <w:p w14:paraId="0D995BB8" w14:textId="77777777" w:rsidR="00B20A75" w:rsidRDefault="00B20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B041" w14:textId="77777777"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A98C" w14:textId="77777777"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BD9F" w14:textId="77777777"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798B8" w14:textId="77777777" w:rsidR="00B20A75" w:rsidRDefault="00B20A75"/>
    <w:p w14:paraId="63FAC56D" w14:textId="77777777" w:rsidR="00B20A75" w:rsidRDefault="00B20A75"/>
    <w:p w14:paraId="2674C6BC" w14:textId="77777777" w:rsidR="00B20A75" w:rsidRDefault="00B20A75"/>
  </w:footnote>
  <w:footnote w:type="continuationSeparator" w:id="0">
    <w:p w14:paraId="2C3D13A1" w14:textId="77777777" w:rsidR="00B20A75" w:rsidRDefault="00B20A75">
      <w:r>
        <w:continuationSeparator/>
      </w:r>
    </w:p>
    <w:p w14:paraId="3E26CED2" w14:textId="77777777" w:rsidR="00B20A75" w:rsidRDefault="00B20A75"/>
    <w:p w14:paraId="71D92521" w14:textId="77777777" w:rsidR="00B20A75" w:rsidRDefault="00B20A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6314" w14:textId="126CC43F"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175C9">
      <w:rPr>
        <w:noProof/>
      </w:rPr>
      <w:t>iii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0A0B"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3BB0"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0E5D" w14:textId="09454D61" w:rsidR="00395B24" w:rsidRDefault="002C7385">
    <w:pPr>
      <w:tabs>
        <w:tab w:val="center" w:pos="4512"/>
      </w:tabs>
      <w:suppressAutoHyphens/>
    </w:pPr>
    <w:r>
      <w:tab/>
      <w:t xml:space="preserve">- </w:t>
    </w:r>
    <w:r>
      <w:fldChar w:fldCharType="begin"/>
    </w:r>
    <w:r>
      <w:instrText>page \* arabic</w:instrText>
    </w:r>
    <w:r>
      <w:fldChar w:fldCharType="separate"/>
    </w:r>
    <w:r w:rsidR="00BD4440">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EB20"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B5AB" w14:textId="4878B58C" w:rsidR="00FC5DA0" w:rsidRDefault="00FC5DA0" w:rsidP="00FC5DA0">
    <w:pPr>
      <w:pStyle w:val="Header"/>
      <w:tabs>
        <w:tab w:val="clear" w:pos="4320"/>
        <w:tab w:val="clear" w:pos="8640"/>
      </w:tabs>
      <w:jc w:val="center"/>
    </w:pPr>
    <w:r>
      <w:t xml:space="preserve">- </w:t>
    </w:r>
    <w:r>
      <w:fldChar w:fldCharType="begin"/>
    </w:r>
    <w:r>
      <w:instrText>page \* arabic</w:instrText>
    </w:r>
    <w:r>
      <w:fldChar w:fldCharType="separate"/>
    </w:r>
    <w:r w:rsidR="009175C9">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6"/>
  </w:num>
  <w:num w:numId="23">
    <w:abstractNumId w:val="14"/>
  </w:num>
  <w:num w:numId="24">
    <w:abstractNumId w:val="14"/>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Plaintiff"/>
    <w:docVar w:name="CounselType" w:val="Counsel for the "/>
    <w:docVar w:name="Cross1AndAnother" w:val="True"/>
    <w:docVar w:name="Cross1AndOthers" w:val="False"/>
    <w:docVar w:name="Cross2AndAnother" w:val="False"/>
    <w:docVar w:name="Cross2AndOthers" w:val="True"/>
    <w:docVar w:name="Cross-Claimant" w:val="Ashley Services Group Limited (ACN 094 747 510)|**|**|**"/>
    <w:docVar w:name="Cross-Respondent" w:val="Holmes Management Group Pty Ltd|Carl Holmes|Marie Holmes|**|**|**"/>
    <w:docVar w:name="Defendant" w:val="ASHLEY SERVICES GROUP LIMITED ACN 094 747 510"/>
    <w:docVar w:name="Defenders" w:val="(and others named in the Schedule)"/>
    <w:docVar w:name="Division" w:val="General Division"/>
    <w:docVar w:name="DocCreated" w:val="True"/>
    <w:docVar w:name="FileNumbers" w:val="NSD 2074 of 2016"/>
    <w:docVar w:name="HearingDate" w:val="**"/>
    <w:docVar w:name="Initiators" w:val="(and another named in the Schedule)"/>
    <w:docVar w:name="Judgdate" w:val="** August 2019"/>
    <w:docVar w:name="Judge" w:val="MIDDLETON"/>
    <w:docVar w:name="Justices" w:val="Justice"/>
    <w:docVar w:name="lstEntryList" w:val="-1"/>
    <w:docVar w:name="myEntryList" w:val="Counsel for the Plaintiff=Mr S G Habib SC and Mr T Bagley|Solicitor for the Plaintiff=William Roberts Lawyers|Counsel for the Defendant=Mr I Ahmed|Solicitor for the Defendant=Herbert Smith Freehills|Counsel for the Plaintiff=**|Counsel for the Plaintiff=|Counsel for the Plaintiff=**"/>
    <w:docVar w:name="NSD" w:val="NSD "/>
    <w:docVar w:name="NumApps" w:val="1"/>
    <w:docVar w:name="NumApps_" w:val="1"/>
    <w:docVar w:name="NumCrossResps" w:val="6"/>
    <w:docVar w:name="NumDefs" w:val="1"/>
    <w:docVar w:name="NumOthers" w:val="4"/>
    <w:docVar w:name="OtherNum" w:val="0"/>
    <w:docVar w:name="Parties1" w:val="Plaintiff"/>
    <w:docVar w:name="Parties2" w:val="Defendant"/>
    <w:docVar w:name="Parties3" w:val="Cross-Claimant"/>
    <w:docVar w:name="Parties4" w:val="Cross-Respondent"/>
    <w:docVar w:name="Parties5" w:val="Intervener"/>
    <w:docVar w:name="Plaintiff" w:val="RICHARD JOHN FINDLAY BRADGATE AS TRUSTEE OF THE BRADGATE SUPERANNUATION FUND"/>
    <w:docVar w:name="PracticeArea" w:val="Commercial and Corporations"/>
    <w:docVar w:name="RESAndAnother" w:val="True"/>
    <w:docVar w:name="RESAndOthers" w:val="False"/>
    <w:docVar w:name="ResState" w:val="New South Wales"/>
    <w:docVar w:name="SubArea" w:val="Regulator and Consumer Protection (C &amp; C)"/>
  </w:docVars>
  <w:rsids>
    <w:rsidRoot w:val="00910DBD"/>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17C6E"/>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031CA"/>
    <w:rsid w:val="00224537"/>
    <w:rsid w:val="00235956"/>
    <w:rsid w:val="00247C9A"/>
    <w:rsid w:val="0025160C"/>
    <w:rsid w:val="002535D0"/>
    <w:rsid w:val="002539B3"/>
    <w:rsid w:val="00257C3E"/>
    <w:rsid w:val="002602C2"/>
    <w:rsid w:val="002666C9"/>
    <w:rsid w:val="00270136"/>
    <w:rsid w:val="00274F5B"/>
    <w:rsid w:val="00280836"/>
    <w:rsid w:val="00282E1A"/>
    <w:rsid w:val="00285447"/>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2DDF"/>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A3366"/>
    <w:rsid w:val="004B3EFA"/>
    <w:rsid w:val="004C2A87"/>
    <w:rsid w:val="004C4D7B"/>
    <w:rsid w:val="004C4ED3"/>
    <w:rsid w:val="004D2EA5"/>
    <w:rsid w:val="004D32A6"/>
    <w:rsid w:val="004D53E5"/>
    <w:rsid w:val="00501A12"/>
    <w:rsid w:val="0051346D"/>
    <w:rsid w:val="00513EAE"/>
    <w:rsid w:val="00516806"/>
    <w:rsid w:val="00517779"/>
    <w:rsid w:val="00517DFB"/>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397C"/>
    <w:rsid w:val="00604611"/>
    <w:rsid w:val="00611586"/>
    <w:rsid w:val="00621887"/>
    <w:rsid w:val="00624520"/>
    <w:rsid w:val="00630CA9"/>
    <w:rsid w:val="00632300"/>
    <w:rsid w:val="00632BB7"/>
    <w:rsid w:val="00635B36"/>
    <w:rsid w:val="00636871"/>
    <w:rsid w:val="00640F4E"/>
    <w:rsid w:val="00643DE0"/>
    <w:rsid w:val="00644AD6"/>
    <w:rsid w:val="00644E85"/>
    <w:rsid w:val="0066063F"/>
    <w:rsid w:val="00662BB0"/>
    <w:rsid w:val="00663878"/>
    <w:rsid w:val="00667773"/>
    <w:rsid w:val="00670743"/>
    <w:rsid w:val="00690EE2"/>
    <w:rsid w:val="006A0E20"/>
    <w:rsid w:val="006A406F"/>
    <w:rsid w:val="006A5695"/>
    <w:rsid w:val="006B35E8"/>
    <w:rsid w:val="006B3904"/>
    <w:rsid w:val="006B5B7D"/>
    <w:rsid w:val="006D0ECF"/>
    <w:rsid w:val="006D4C92"/>
    <w:rsid w:val="006D4EB6"/>
    <w:rsid w:val="006E35BF"/>
    <w:rsid w:val="006E7850"/>
    <w:rsid w:val="007028D9"/>
    <w:rsid w:val="00707218"/>
    <w:rsid w:val="00712B1D"/>
    <w:rsid w:val="007325D9"/>
    <w:rsid w:val="007360CA"/>
    <w:rsid w:val="00760EC0"/>
    <w:rsid w:val="0078003A"/>
    <w:rsid w:val="00780771"/>
    <w:rsid w:val="007929CF"/>
    <w:rsid w:val="007A6F28"/>
    <w:rsid w:val="007B03C6"/>
    <w:rsid w:val="007B0DB1"/>
    <w:rsid w:val="007C1E8F"/>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A2484"/>
    <w:rsid w:val="008A7019"/>
    <w:rsid w:val="008C26D9"/>
    <w:rsid w:val="008C6D50"/>
    <w:rsid w:val="008C7167"/>
    <w:rsid w:val="008C7503"/>
    <w:rsid w:val="008D1617"/>
    <w:rsid w:val="008E6315"/>
    <w:rsid w:val="008F11E0"/>
    <w:rsid w:val="008F78BC"/>
    <w:rsid w:val="008F7B63"/>
    <w:rsid w:val="008F7D6A"/>
    <w:rsid w:val="009054CB"/>
    <w:rsid w:val="00910DBD"/>
    <w:rsid w:val="00912F94"/>
    <w:rsid w:val="009175C9"/>
    <w:rsid w:val="0092590B"/>
    <w:rsid w:val="00925E60"/>
    <w:rsid w:val="009264B3"/>
    <w:rsid w:val="009365E0"/>
    <w:rsid w:val="00942BA2"/>
    <w:rsid w:val="00944C86"/>
    <w:rsid w:val="00957DE8"/>
    <w:rsid w:val="00960ECB"/>
    <w:rsid w:val="009615D6"/>
    <w:rsid w:val="00962B1E"/>
    <w:rsid w:val="00967855"/>
    <w:rsid w:val="00980736"/>
    <w:rsid w:val="00981A39"/>
    <w:rsid w:val="00987097"/>
    <w:rsid w:val="009A3A9C"/>
    <w:rsid w:val="009B046C"/>
    <w:rsid w:val="009B13FA"/>
    <w:rsid w:val="009B1E2D"/>
    <w:rsid w:val="009B617A"/>
    <w:rsid w:val="009C59FB"/>
    <w:rsid w:val="009C6F3B"/>
    <w:rsid w:val="009D1467"/>
    <w:rsid w:val="009E4FA6"/>
    <w:rsid w:val="009E7D93"/>
    <w:rsid w:val="009F5C33"/>
    <w:rsid w:val="00A03EAC"/>
    <w:rsid w:val="00A11CA6"/>
    <w:rsid w:val="00A20C49"/>
    <w:rsid w:val="00A26577"/>
    <w:rsid w:val="00A269CA"/>
    <w:rsid w:val="00A336EE"/>
    <w:rsid w:val="00A359AC"/>
    <w:rsid w:val="00A41413"/>
    <w:rsid w:val="00A45FB1"/>
    <w:rsid w:val="00A46CCC"/>
    <w:rsid w:val="00A51CFE"/>
    <w:rsid w:val="00A76C13"/>
    <w:rsid w:val="00A92E79"/>
    <w:rsid w:val="00A950B6"/>
    <w:rsid w:val="00AB41C1"/>
    <w:rsid w:val="00AB460A"/>
    <w:rsid w:val="00AD12A8"/>
    <w:rsid w:val="00AE023F"/>
    <w:rsid w:val="00AF3577"/>
    <w:rsid w:val="00AF35F9"/>
    <w:rsid w:val="00B05C7D"/>
    <w:rsid w:val="00B20A75"/>
    <w:rsid w:val="00B346C3"/>
    <w:rsid w:val="00B4471C"/>
    <w:rsid w:val="00B451A6"/>
    <w:rsid w:val="00B722DE"/>
    <w:rsid w:val="00B76C44"/>
    <w:rsid w:val="00B83F87"/>
    <w:rsid w:val="00B83FD3"/>
    <w:rsid w:val="00BA2EFA"/>
    <w:rsid w:val="00BA3DBC"/>
    <w:rsid w:val="00BB2DA2"/>
    <w:rsid w:val="00BB56DC"/>
    <w:rsid w:val="00BD4440"/>
    <w:rsid w:val="00BE183D"/>
    <w:rsid w:val="00BF5D7A"/>
    <w:rsid w:val="00C02D33"/>
    <w:rsid w:val="00C1232C"/>
    <w:rsid w:val="00C32EAB"/>
    <w:rsid w:val="00C36442"/>
    <w:rsid w:val="00C400CE"/>
    <w:rsid w:val="00C410FD"/>
    <w:rsid w:val="00C539FB"/>
    <w:rsid w:val="00CA246D"/>
    <w:rsid w:val="00CA50D9"/>
    <w:rsid w:val="00CB5636"/>
    <w:rsid w:val="00CC253E"/>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1718"/>
    <w:rsid w:val="00EA23E5"/>
    <w:rsid w:val="00EA4E2E"/>
    <w:rsid w:val="00EB2CCB"/>
    <w:rsid w:val="00EC57A7"/>
    <w:rsid w:val="00ED0817"/>
    <w:rsid w:val="00ED7DD9"/>
    <w:rsid w:val="00EE6388"/>
    <w:rsid w:val="00EF3113"/>
    <w:rsid w:val="00EF3F84"/>
    <w:rsid w:val="00EF49E7"/>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C5DA0"/>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5F14C8"/>
  <w15:docId w15:val="{709C72DD-F466-4F96-B6A6-8AD28718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16</Pages>
  <Words>3964</Words>
  <Characters>20940</Characters>
  <Application>Microsoft Office Word</Application>
  <DocSecurity>0</DocSecurity>
  <Lines>523</Lines>
  <Paragraphs>244</Paragraphs>
  <ScaleCrop>false</ScaleCrop>
  <HeadingPairs>
    <vt:vector size="2" baseType="variant">
      <vt:variant>
        <vt:lpstr>Title</vt:lpstr>
      </vt:variant>
      <vt:variant>
        <vt:i4>1</vt:i4>
      </vt:variant>
    </vt:vector>
  </HeadingPairs>
  <TitlesOfParts>
    <vt:vector size="1" baseType="lpstr">
      <vt:lpstr>Bradgate (Trustee) v Ashley Services Group Limited (No 2) [2019] FCA 1210 </vt:lpstr>
    </vt:vector>
  </TitlesOfParts>
  <Company>Federal Court of Australia</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Bradgate (Trustee) v Ashley Services Group Limited (No 2) [2019] FCA 1210</dc:title>
  <dc:creator>Sarah Young</dc:creator>
  <cp:lastModifiedBy>Sona Muradyan</cp:lastModifiedBy>
  <cp:revision>4</cp:revision>
  <cp:lastPrinted>2019-08-05T02:16:00Z</cp:lastPrinted>
  <dcterms:created xsi:type="dcterms:W3CDTF">2019-08-05T04:51:00Z</dcterms:created>
  <dcterms:modified xsi:type="dcterms:W3CDTF">2019-08-05T04:54:00Z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MIDDLETON J</vt:lpwstr>
  </property>
  <property fmtid="{D5CDD505-2E9C-101B-9397-08002B2CF9AE}" pid="4" name="Judgment_dated" linkTarget="Judgment_dated">
    <vt:lpwstr>13 June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