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20" w:rsidRDefault="00587320" w:rsidP="00587320">
      <w:pPr>
        <w:pStyle w:val="NormalHeadings"/>
        <w:jc w:val="center"/>
        <w:rPr>
          <w:sz w:val="32"/>
        </w:rPr>
      </w:pPr>
      <w:r>
        <w:rPr>
          <w:sz w:val="32"/>
        </w:rPr>
        <w:t>FEDERAL COURT OF AUSTRALIA</w:t>
      </w:r>
    </w:p>
    <w:p w:rsidR="00587320" w:rsidRDefault="00587320" w:rsidP="00587320">
      <w:pPr>
        <w:pStyle w:val="NormalHeadings"/>
        <w:jc w:val="center"/>
        <w:rPr>
          <w:sz w:val="32"/>
        </w:rPr>
      </w:pPr>
    </w:p>
    <w:p w:rsidR="00587320" w:rsidRDefault="00587320" w:rsidP="00587320">
      <w:pPr>
        <w:pStyle w:val="MediaNeutralStyle"/>
      </w:pPr>
      <w:bookmarkStart w:id="0" w:name="MNC"/>
      <w:r>
        <w:t xml:space="preserve">Oliver Hume South East Queensland Pty Ltd v Investa Residential Group Pty Ltd </w:t>
      </w:r>
      <w:r w:rsidR="002434F7">
        <w:t xml:space="preserve">(No 2) </w:t>
      </w:r>
      <w:r>
        <w:t xml:space="preserve">[2017] FCAFC </w:t>
      </w:r>
      <w:r w:rsidR="002434F7">
        <w:t>175</w:t>
      </w:r>
      <w:r>
        <w:t xml:space="preserve"> </w:t>
      </w:r>
      <w:bookmarkEnd w:id="0"/>
    </w:p>
    <w:p w:rsidR="00587320" w:rsidRDefault="00587320" w:rsidP="00587320">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587320" w:rsidTr="00A47320">
        <w:tc>
          <w:tcPr>
            <w:tcW w:w="3085" w:type="dxa"/>
            <w:shd w:val="clear" w:color="auto" w:fill="auto"/>
          </w:tcPr>
          <w:p w:rsidR="00587320" w:rsidRDefault="00587320" w:rsidP="00A47320">
            <w:pPr>
              <w:pStyle w:val="Normal1linespace"/>
              <w:widowControl w:val="0"/>
              <w:spacing w:after="60"/>
              <w:jc w:val="left"/>
            </w:pPr>
            <w:r>
              <w:t>Appeal from:</w:t>
            </w:r>
          </w:p>
        </w:tc>
        <w:tc>
          <w:tcPr>
            <w:tcW w:w="5989" w:type="dxa"/>
            <w:shd w:val="clear" w:color="auto" w:fill="auto"/>
          </w:tcPr>
          <w:p w:rsidR="00587320" w:rsidRDefault="00587320" w:rsidP="00A47320">
            <w:pPr>
              <w:pStyle w:val="CasesLegislationAppealFrom"/>
              <w:spacing w:after="60"/>
            </w:pPr>
            <w:bookmarkStart w:id="1" w:name="AppealFrom"/>
            <w:r>
              <w:rPr>
                <w:i/>
              </w:rPr>
              <w:t xml:space="preserve">Investa Properties Pty Ltd v Nankervis (No 7) </w:t>
            </w:r>
            <w:r w:rsidRPr="00EE0DFC">
              <w:t>[2015]</w:t>
            </w:r>
            <w:r>
              <w:t xml:space="preserve"> FCA 1004; (2015) 333 ALR 193 </w:t>
            </w:r>
            <w:bookmarkEnd w:id="1"/>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File numbers:</w:t>
            </w:r>
          </w:p>
        </w:tc>
        <w:tc>
          <w:tcPr>
            <w:tcW w:w="5989" w:type="dxa"/>
            <w:shd w:val="clear" w:color="auto" w:fill="auto"/>
          </w:tcPr>
          <w:p w:rsidR="00587320" w:rsidRPr="00EC64A7" w:rsidRDefault="00587320" w:rsidP="00A47320">
            <w:pPr>
              <w:pStyle w:val="Normal1linespace"/>
              <w:jc w:val="left"/>
            </w:pPr>
            <w:r w:rsidRPr="00EC64A7">
              <w:fldChar w:fldCharType="begin" w:fldLock="1"/>
            </w:r>
            <w:r w:rsidRPr="00EC64A7">
              <w:instrText xml:space="preserve"> REF  FileNo  \* MERGEFORMAT </w:instrText>
            </w:r>
            <w:r w:rsidRPr="00EC64A7">
              <w:fldChar w:fldCharType="separate"/>
            </w:r>
            <w:proofErr w:type="spellStart"/>
            <w:r w:rsidRPr="00EC64A7">
              <w:t>QUD</w:t>
            </w:r>
            <w:proofErr w:type="spellEnd"/>
            <w:r w:rsidRPr="00EC64A7">
              <w:t xml:space="preserve"> 923 of 2015</w:t>
            </w:r>
          </w:p>
          <w:p w:rsidR="00587320" w:rsidRPr="00EC64A7" w:rsidRDefault="00587320" w:rsidP="00A47320">
            <w:pPr>
              <w:pStyle w:val="Normal1linespace"/>
              <w:jc w:val="left"/>
            </w:pPr>
            <w:proofErr w:type="spellStart"/>
            <w:r w:rsidRPr="00EC64A7">
              <w:t>QUD</w:t>
            </w:r>
            <w:proofErr w:type="spellEnd"/>
            <w:r w:rsidRPr="00EC64A7">
              <w:t xml:space="preserve"> 924 of 2015</w:t>
            </w:r>
          </w:p>
          <w:p w:rsidR="00587320" w:rsidRPr="00EC64A7" w:rsidRDefault="00587320" w:rsidP="00A47320">
            <w:pPr>
              <w:pStyle w:val="Normal1linespace"/>
              <w:jc w:val="left"/>
            </w:pPr>
            <w:proofErr w:type="spellStart"/>
            <w:r w:rsidRPr="00EC64A7">
              <w:t>QUD</w:t>
            </w:r>
            <w:proofErr w:type="spellEnd"/>
            <w:r w:rsidRPr="00EC64A7">
              <w:t xml:space="preserve"> 925 of 2015</w:t>
            </w:r>
          </w:p>
          <w:p w:rsidR="00587320" w:rsidRPr="001B1053" w:rsidRDefault="00587320" w:rsidP="00A47320">
            <w:pPr>
              <w:pStyle w:val="Normal1linespace"/>
              <w:jc w:val="left"/>
            </w:pPr>
            <w:proofErr w:type="spellStart"/>
            <w:r w:rsidRPr="00EC64A7">
              <w:t>QUD</w:t>
            </w:r>
            <w:proofErr w:type="spellEnd"/>
            <w:r w:rsidRPr="00EC64A7">
              <w:t xml:space="preserve"> 1002 of 2015</w:t>
            </w:r>
            <w:r w:rsidRPr="00EC64A7">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Judges:</w:t>
            </w:r>
          </w:p>
        </w:tc>
        <w:tc>
          <w:tcPr>
            <w:tcW w:w="5989" w:type="dxa"/>
            <w:shd w:val="clear" w:color="auto" w:fill="auto"/>
          </w:tcPr>
          <w:p w:rsidR="00587320" w:rsidRDefault="00587320" w:rsidP="00A47320">
            <w:pPr>
              <w:pStyle w:val="Normal1linespace"/>
              <w:widowControl w:val="0"/>
              <w:jc w:val="left"/>
              <w:rPr>
                <w:b/>
              </w:rPr>
            </w:pPr>
            <w:r w:rsidRPr="00EC64A7">
              <w:rPr>
                <w:b/>
              </w:rPr>
              <w:fldChar w:fldCharType="begin" w:fldLock="1"/>
            </w:r>
            <w:r w:rsidRPr="00EC64A7">
              <w:rPr>
                <w:b/>
              </w:rPr>
              <w:instrText xml:space="preserve"> REF  Judge  \* MERGEFORMAT </w:instrText>
            </w:r>
            <w:r w:rsidRPr="00EC64A7">
              <w:rPr>
                <w:b/>
              </w:rPr>
              <w:fldChar w:fldCharType="separate"/>
            </w:r>
            <w:proofErr w:type="spellStart"/>
            <w:r w:rsidRPr="00EC64A7">
              <w:rPr>
                <w:b/>
                <w:caps/>
                <w:szCs w:val="24"/>
              </w:rPr>
              <w:t>DOWSETT</w:t>
            </w:r>
            <w:proofErr w:type="spellEnd"/>
            <w:r w:rsidRPr="00EC64A7">
              <w:rPr>
                <w:b/>
                <w:caps/>
                <w:szCs w:val="24"/>
              </w:rPr>
              <w:t xml:space="preserve">, GREENWOOD AND WHITE </w:t>
            </w:r>
            <w:proofErr w:type="spellStart"/>
            <w:r w:rsidRPr="00EC64A7">
              <w:rPr>
                <w:b/>
                <w:caps/>
                <w:szCs w:val="24"/>
              </w:rPr>
              <w:t>JJ</w:t>
            </w:r>
            <w:proofErr w:type="spellEnd"/>
            <w:r w:rsidRPr="00EC64A7">
              <w:rPr>
                <w:b/>
              </w:rPr>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Date of judgment:</w:t>
            </w:r>
          </w:p>
        </w:tc>
        <w:tc>
          <w:tcPr>
            <w:tcW w:w="5989" w:type="dxa"/>
            <w:shd w:val="clear" w:color="auto" w:fill="auto"/>
          </w:tcPr>
          <w:p w:rsidR="00587320" w:rsidRPr="00AF0B74" w:rsidRDefault="007D4C79" w:rsidP="00A47320">
            <w:pPr>
              <w:pStyle w:val="Normal1linespace"/>
              <w:widowControl w:val="0"/>
              <w:jc w:val="left"/>
            </w:pPr>
            <w:bookmarkStart w:id="2" w:name="JudgmentDate"/>
            <w:bookmarkEnd w:id="2"/>
            <w:r>
              <w:t>10</w:t>
            </w:r>
            <w:r w:rsidR="0077200B">
              <w:t xml:space="preserve"> November 2017</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Catchwords:</w:t>
            </w:r>
          </w:p>
        </w:tc>
        <w:tc>
          <w:tcPr>
            <w:tcW w:w="5989" w:type="dxa"/>
            <w:shd w:val="clear" w:color="auto" w:fill="auto"/>
          </w:tcPr>
          <w:p w:rsidR="00587320" w:rsidRPr="007D49A8" w:rsidRDefault="007D4C79" w:rsidP="00A47320">
            <w:pPr>
              <w:pStyle w:val="Normal1linespace"/>
              <w:widowControl w:val="0"/>
              <w:jc w:val="left"/>
              <w:rPr>
                <w:b/>
              </w:rPr>
            </w:pPr>
            <w:bookmarkStart w:id="3" w:name="Catchwords"/>
            <w:r w:rsidRPr="007D4C79">
              <w:rPr>
                <w:b/>
              </w:rPr>
              <w:t>PRACTICE AND PROCEDURE</w:t>
            </w:r>
            <w:r>
              <w:t xml:space="preserve"> – consideration of the final orders to be made in disposition of each appeal having regard to the reasons for judgment in relation to each appeal published on 1 September 2017 in </w:t>
            </w:r>
            <w:r>
              <w:rPr>
                <w:i/>
              </w:rPr>
              <w:t xml:space="preserve">Oliver Hume South East Queensland Pty Ltd v Investa Residential Group Pty Ltd </w:t>
            </w:r>
            <w:r>
              <w:t>[2017] FCAFC 141 – consideration of the orders to be made in relation to costs</w:t>
            </w:r>
            <w:r w:rsidR="00587320" w:rsidRPr="007D49A8">
              <w:rPr>
                <w:b/>
              </w:rPr>
              <w:t xml:space="preserve"> </w:t>
            </w:r>
            <w:bookmarkEnd w:id="3"/>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722B63" w:rsidTr="00A47320">
        <w:tc>
          <w:tcPr>
            <w:tcW w:w="3085" w:type="dxa"/>
            <w:shd w:val="clear" w:color="auto" w:fill="auto"/>
          </w:tcPr>
          <w:p w:rsidR="00722B63" w:rsidRDefault="00722B63" w:rsidP="00A47320">
            <w:pPr>
              <w:pStyle w:val="Normal1linespace"/>
              <w:widowControl w:val="0"/>
              <w:jc w:val="left"/>
            </w:pPr>
            <w:r>
              <w:t>Legislation:</w:t>
            </w:r>
          </w:p>
        </w:tc>
        <w:tc>
          <w:tcPr>
            <w:tcW w:w="5989" w:type="dxa"/>
            <w:shd w:val="clear" w:color="auto" w:fill="auto"/>
          </w:tcPr>
          <w:p w:rsidR="00722B63" w:rsidRPr="00722B63" w:rsidRDefault="00722B63" w:rsidP="00A47320">
            <w:pPr>
              <w:pStyle w:val="CasesLegislationAppealFrom"/>
              <w:spacing w:after="60"/>
              <w:rPr>
                <w:i/>
              </w:rPr>
            </w:pPr>
            <w:r w:rsidRPr="00722B63">
              <w:rPr>
                <w:i/>
              </w:rPr>
              <w:t xml:space="preserve">Federal Court of Australia Act 1976 </w:t>
            </w:r>
            <w:r w:rsidRPr="00722B63">
              <w:t>(Cth)</w:t>
            </w:r>
          </w:p>
        </w:tc>
      </w:tr>
      <w:tr w:rsidR="00722B63" w:rsidTr="00A47320">
        <w:tc>
          <w:tcPr>
            <w:tcW w:w="3085" w:type="dxa"/>
            <w:shd w:val="clear" w:color="auto" w:fill="auto"/>
          </w:tcPr>
          <w:p w:rsidR="00722B63" w:rsidRDefault="00722B63" w:rsidP="00A47320">
            <w:pPr>
              <w:pStyle w:val="Normal1linespace"/>
              <w:widowControl w:val="0"/>
              <w:jc w:val="left"/>
            </w:pPr>
          </w:p>
        </w:tc>
        <w:tc>
          <w:tcPr>
            <w:tcW w:w="5989" w:type="dxa"/>
            <w:shd w:val="clear" w:color="auto" w:fill="auto"/>
          </w:tcPr>
          <w:p w:rsidR="00722B63" w:rsidRPr="0099039B" w:rsidRDefault="00722B63" w:rsidP="00A47320">
            <w:pPr>
              <w:pStyle w:val="CasesLegislationAppealFrom"/>
              <w:spacing w:after="60"/>
              <w:rPr>
                <w:i/>
              </w:rPr>
            </w:pPr>
          </w:p>
        </w:tc>
      </w:tr>
      <w:tr w:rsidR="00587320" w:rsidTr="00A47320">
        <w:tc>
          <w:tcPr>
            <w:tcW w:w="3085" w:type="dxa"/>
            <w:shd w:val="clear" w:color="auto" w:fill="auto"/>
          </w:tcPr>
          <w:p w:rsidR="00587320" w:rsidRDefault="00587320" w:rsidP="00A47320">
            <w:pPr>
              <w:pStyle w:val="Normal1linespace"/>
              <w:widowControl w:val="0"/>
              <w:jc w:val="left"/>
            </w:pPr>
            <w:r>
              <w:t>Cases cited:</w:t>
            </w:r>
          </w:p>
        </w:tc>
        <w:tc>
          <w:tcPr>
            <w:tcW w:w="5989" w:type="dxa"/>
            <w:shd w:val="clear" w:color="auto" w:fill="auto"/>
          </w:tcPr>
          <w:p w:rsidR="00587320" w:rsidRDefault="007D4C79" w:rsidP="002A35A6">
            <w:pPr>
              <w:pStyle w:val="CasesLegislationAppealFrom"/>
              <w:spacing w:after="60"/>
            </w:pPr>
            <w:bookmarkStart w:id="4" w:name="Cases_Cited"/>
            <w:r w:rsidRPr="0099039B">
              <w:rPr>
                <w:i/>
              </w:rPr>
              <w:t>Foots</w:t>
            </w:r>
            <w:r>
              <w:rPr>
                <w:i/>
              </w:rPr>
              <w:t xml:space="preserve"> v Southern Cross Mine Management Pty Ltd </w:t>
            </w:r>
            <w:r>
              <w:t xml:space="preserve">(2007) 234 </w:t>
            </w:r>
            <w:proofErr w:type="spellStart"/>
            <w:r>
              <w:t>CLR</w:t>
            </w:r>
            <w:proofErr w:type="spellEnd"/>
            <w:r>
              <w:t> 52</w:t>
            </w:r>
            <w:bookmarkEnd w:id="4"/>
          </w:p>
        </w:tc>
      </w:tr>
      <w:tr w:rsidR="002A35A6" w:rsidTr="00A47320">
        <w:tc>
          <w:tcPr>
            <w:tcW w:w="3085" w:type="dxa"/>
            <w:shd w:val="clear" w:color="auto" w:fill="auto"/>
          </w:tcPr>
          <w:p w:rsidR="002A35A6" w:rsidRDefault="002A35A6" w:rsidP="002A35A6">
            <w:pPr>
              <w:pStyle w:val="Normal1linespace"/>
              <w:widowControl w:val="0"/>
              <w:jc w:val="left"/>
            </w:pPr>
          </w:p>
        </w:tc>
        <w:tc>
          <w:tcPr>
            <w:tcW w:w="5989" w:type="dxa"/>
            <w:shd w:val="clear" w:color="auto" w:fill="auto"/>
          </w:tcPr>
          <w:p w:rsidR="002A35A6" w:rsidRPr="0099039B" w:rsidRDefault="002A35A6" w:rsidP="002A35A6">
            <w:pPr>
              <w:pStyle w:val="CasesLegislationAppealFrom"/>
              <w:spacing w:after="0"/>
              <w:rPr>
                <w:i/>
              </w:rPr>
            </w:pPr>
          </w:p>
        </w:tc>
      </w:tr>
      <w:tr w:rsidR="00587320" w:rsidRPr="007A0813" w:rsidTr="00A47320">
        <w:tc>
          <w:tcPr>
            <w:tcW w:w="3085" w:type="dxa"/>
            <w:shd w:val="clear" w:color="auto" w:fill="auto"/>
          </w:tcPr>
          <w:p w:rsidR="00587320" w:rsidRPr="007A0813" w:rsidRDefault="00587320" w:rsidP="00A47320">
            <w:pPr>
              <w:pStyle w:val="Normal1linespace"/>
              <w:jc w:val="left"/>
            </w:pPr>
            <w:bookmarkStart w:id="5" w:name="CounselDate" w:colFirst="0" w:colLast="2"/>
            <w:r w:rsidRPr="007A0813">
              <w:t>Date of hearing:</w:t>
            </w:r>
          </w:p>
        </w:tc>
        <w:tc>
          <w:tcPr>
            <w:tcW w:w="5989" w:type="dxa"/>
            <w:shd w:val="clear" w:color="auto" w:fill="auto"/>
          </w:tcPr>
          <w:p w:rsidR="00587320" w:rsidRPr="007A0813" w:rsidRDefault="00587320" w:rsidP="00A47320">
            <w:pPr>
              <w:pStyle w:val="Normal1linespace"/>
              <w:jc w:val="left"/>
            </w:pPr>
            <w:bookmarkStart w:id="6" w:name="HearingDate"/>
            <w:r>
              <w:t>1, 2 and 3 March 2016</w:t>
            </w:r>
            <w:bookmarkEnd w:id="6"/>
          </w:p>
        </w:tc>
      </w:tr>
      <w:bookmarkEnd w:id="5"/>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722B63" w:rsidTr="00A47320">
        <w:tc>
          <w:tcPr>
            <w:tcW w:w="3085" w:type="dxa"/>
            <w:shd w:val="clear" w:color="auto" w:fill="auto"/>
          </w:tcPr>
          <w:p w:rsidR="00722B63" w:rsidRDefault="00722B63" w:rsidP="00A47320">
            <w:pPr>
              <w:pStyle w:val="Normal1linespace"/>
              <w:widowControl w:val="0"/>
              <w:jc w:val="left"/>
            </w:pPr>
            <w:r>
              <w:t>Date of last submissions:</w:t>
            </w:r>
          </w:p>
        </w:tc>
        <w:tc>
          <w:tcPr>
            <w:tcW w:w="5989" w:type="dxa"/>
            <w:shd w:val="clear" w:color="auto" w:fill="auto"/>
          </w:tcPr>
          <w:p w:rsidR="00722B63" w:rsidRDefault="00722B63" w:rsidP="00A47320">
            <w:pPr>
              <w:pStyle w:val="Normal1linespace"/>
              <w:widowControl w:val="0"/>
              <w:jc w:val="left"/>
            </w:pPr>
            <w:r>
              <w:t>3 October 2017</w:t>
            </w:r>
          </w:p>
        </w:tc>
      </w:tr>
      <w:tr w:rsidR="00722B63" w:rsidTr="00A47320">
        <w:tc>
          <w:tcPr>
            <w:tcW w:w="3085" w:type="dxa"/>
            <w:shd w:val="clear" w:color="auto" w:fill="auto"/>
          </w:tcPr>
          <w:p w:rsidR="00722B63" w:rsidRDefault="00722B63" w:rsidP="00A47320">
            <w:pPr>
              <w:pStyle w:val="Normal1linespace"/>
              <w:widowControl w:val="0"/>
              <w:jc w:val="left"/>
            </w:pPr>
          </w:p>
        </w:tc>
        <w:tc>
          <w:tcPr>
            <w:tcW w:w="5989" w:type="dxa"/>
            <w:shd w:val="clear" w:color="auto" w:fill="auto"/>
          </w:tcPr>
          <w:p w:rsidR="00722B63" w:rsidRDefault="00722B63"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Registry:</w:t>
            </w:r>
          </w:p>
        </w:tc>
        <w:tc>
          <w:tcPr>
            <w:tcW w:w="5989" w:type="dxa"/>
            <w:shd w:val="clear" w:color="auto" w:fill="auto"/>
          </w:tcPr>
          <w:p w:rsidR="00587320" w:rsidRPr="00F17599" w:rsidRDefault="00725922" w:rsidP="00A47320">
            <w:pPr>
              <w:pStyle w:val="Normal1linespace"/>
              <w:widowControl w:val="0"/>
              <w:jc w:val="left"/>
            </w:pPr>
            <w:r>
              <w:fldChar w:fldCharType="begin"/>
            </w:r>
            <w:r>
              <w:instrText xml:space="preserve"> DOCPROPERTY  Registry </w:instrText>
            </w:r>
            <w:r>
              <w:fldChar w:fldCharType="separate"/>
            </w:r>
            <w:r w:rsidR="00587320">
              <w:t>Queensland</w:t>
            </w:r>
            <w:r>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Division:</w:t>
            </w:r>
          </w:p>
        </w:tc>
        <w:tc>
          <w:tcPr>
            <w:tcW w:w="5989" w:type="dxa"/>
            <w:shd w:val="clear" w:color="auto" w:fill="auto"/>
          </w:tcPr>
          <w:p w:rsidR="00587320" w:rsidRPr="00F17599" w:rsidRDefault="00725922" w:rsidP="00A47320">
            <w:pPr>
              <w:pStyle w:val="Normal1linespace"/>
              <w:widowControl w:val="0"/>
              <w:jc w:val="left"/>
            </w:pPr>
            <w:r>
              <w:fldChar w:fldCharType="begin"/>
            </w:r>
            <w:r>
              <w:instrText xml:space="preserve"> DOCPROPERTY  Division </w:instrText>
            </w:r>
            <w:r>
              <w:fldChar w:fldCharType="separate"/>
            </w:r>
            <w:r w:rsidR="00587320">
              <w:t>General Division</w:t>
            </w:r>
            <w:r>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Pr="00F17599" w:rsidRDefault="00587320" w:rsidP="00A47320">
            <w:pPr>
              <w:pStyle w:val="Normal1linespace"/>
              <w:widowControl w:val="0"/>
              <w:jc w:val="left"/>
              <w:rPr>
                <w:b/>
              </w:rPr>
            </w:pPr>
          </w:p>
        </w:tc>
      </w:tr>
      <w:tr w:rsidR="00587320" w:rsidTr="00A47320">
        <w:tc>
          <w:tcPr>
            <w:tcW w:w="3085" w:type="dxa"/>
            <w:shd w:val="clear" w:color="auto" w:fill="auto"/>
          </w:tcPr>
          <w:p w:rsidR="00587320" w:rsidRDefault="00587320" w:rsidP="00A47320">
            <w:pPr>
              <w:pStyle w:val="Normal1linespace"/>
              <w:widowControl w:val="0"/>
              <w:jc w:val="left"/>
            </w:pPr>
            <w:r>
              <w:t>National Practice Area:</w:t>
            </w:r>
          </w:p>
        </w:tc>
        <w:tc>
          <w:tcPr>
            <w:tcW w:w="5989" w:type="dxa"/>
            <w:shd w:val="clear" w:color="auto" w:fill="auto"/>
          </w:tcPr>
          <w:p w:rsidR="00587320" w:rsidRPr="00F17599" w:rsidRDefault="00725922" w:rsidP="00A47320">
            <w:pPr>
              <w:pStyle w:val="Normal1linespace"/>
              <w:widowControl w:val="0"/>
              <w:jc w:val="left"/>
              <w:rPr>
                <w:b/>
              </w:rPr>
            </w:pPr>
            <w:r>
              <w:fldChar w:fldCharType="begin"/>
            </w:r>
            <w:r>
              <w:instrText xml:space="preserve"> DOCPROPERTY  "Practice Area"  \* MERGEFORMAT </w:instrText>
            </w:r>
            <w:r>
              <w:fldChar w:fldCharType="separate"/>
            </w:r>
            <w:r w:rsidR="00587320">
              <w:t>Commercial and Corporations</w:t>
            </w:r>
            <w:r>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6314FC" w:rsidRDefault="00587320" w:rsidP="00A47320">
            <w:pPr>
              <w:pStyle w:val="Normal1linespace"/>
              <w:widowControl w:val="0"/>
              <w:jc w:val="left"/>
              <w:rPr>
                <w:highlight w:val="yellow"/>
              </w:rPr>
            </w:pPr>
            <w:r w:rsidRPr="00A64830">
              <w:t>Sub-area:</w:t>
            </w:r>
          </w:p>
        </w:tc>
        <w:tc>
          <w:tcPr>
            <w:tcW w:w="5989" w:type="dxa"/>
            <w:shd w:val="clear" w:color="auto" w:fill="auto"/>
          </w:tcPr>
          <w:p w:rsidR="00587320" w:rsidRPr="00435936" w:rsidRDefault="00587320" w:rsidP="00A47320">
            <w:pPr>
              <w:pStyle w:val="Normal1linespace"/>
              <w:widowControl w:val="0"/>
              <w:jc w:val="left"/>
            </w:pPr>
            <w:r>
              <w:t>Commercial Contracts, Banking, Finance and Insurance</w:t>
            </w:r>
          </w:p>
        </w:tc>
      </w:tr>
      <w:tr w:rsidR="00587320" w:rsidTr="00A47320">
        <w:tc>
          <w:tcPr>
            <w:tcW w:w="3085" w:type="dxa"/>
            <w:shd w:val="clear" w:color="auto" w:fill="auto"/>
          </w:tcPr>
          <w:p w:rsidR="00587320" w:rsidRPr="006314FC" w:rsidRDefault="00587320" w:rsidP="00A47320">
            <w:pPr>
              <w:pStyle w:val="Normal1linespace"/>
              <w:widowControl w:val="0"/>
              <w:jc w:val="left"/>
              <w:rPr>
                <w:highlight w:val="yellow"/>
              </w:rPr>
            </w:pPr>
          </w:p>
        </w:tc>
        <w:tc>
          <w:tcPr>
            <w:tcW w:w="5989" w:type="dxa"/>
            <w:shd w:val="clear" w:color="auto" w:fill="auto"/>
          </w:tcPr>
          <w:p w:rsidR="00587320" w:rsidRDefault="00587320" w:rsidP="00A47320">
            <w:pPr>
              <w:pStyle w:val="Normal1linespace"/>
              <w:widowControl w:val="0"/>
              <w:jc w:val="left"/>
              <w:rPr>
                <w:b/>
              </w:rPr>
            </w:pPr>
          </w:p>
        </w:tc>
      </w:tr>
      <w:tr w:rsidR="00587320" w:rsidTr="00A47320">
        <w:tc>
          <w:tcPr>
            <w:tcW w:w="3085" w:type="dxa"/>
            <w:shd w:val="clear" w:color="auto" w:fill="auto"/>
          </w:tcPr>
          <w:p w:rsidR="00587320" w:rsidRDefault="00587320" w:rsidP="00A47320">
            <w:pPr>
              <w:pStyle w:val="Normal1linespace"/>
              <w:widowControl w:val="0"/>
              <w:jc w:val="left"/>
            </w:pPr>
            <w:r>
              <w:t>Category:</w:t>
            </w:r>
          </w:p>
        </w:tc>
        <w:tc>
          <w:tcPr>
            <w:tcW w:w="5989" w:type="dxa"/>
            <w:shd w:val="clear" w:color="auto" w:fill="auto"/>
          </w:tcPr>
          <w:p w:rsidR="00587320" w:rsidRDefault="00587320" w:rsidP="00A47320">
            <w:pPr>
              <w:pStyle w:val="Normal1linespace"/>
              <w:widowControl w:val="0"/>
              <w:jc w:val="left"/>
            </w:pPr>
            <w:r>
              <w:t>Catchwords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Number of paragraphs:</w:t>
            </w:r>
          </w:p>
        </w:tc>
        <w:tc>
          <w:tcPr>
            <w:tcW w:w="5989" w:type="dxa"/>
            <w:shd w:val="clear" w:color="auto" w:fill="auto"/>
          </w:tcPr>
          <w:p w:rsidR="00587320" w:rsidRDefault="00722B63" w:rsidP="00A47320">
            <w:pPr>
              <w:pStyle w:val="Normal1linespace"/>
              <w:widowControl w:val="0"/>
              <w:jc w:val="left"/>
            </w:pPr>
            <w:r>
              <w:t>12</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7A0813" w:rsidRDefault="00587320" w:rsidP="00A47320">
            <w:pPr>
              <w:pStyle w:val="Normal1linespace"/>
              <w:widowControl w:val="0"/>
              <w:jc w:val="left"/>
              <w:rPr>
                <w:b/>
              </w:rPr>
            </w:pPr>
            <w:bookmarkStart w:id="7" w:name="Counsel" w:colFirst="0" w:colLast="2"/>
            <w:r>
              <w:rPr>
                <w:b/>
              </w:rPr>
              <w:lastRenderedPageBreak/>
              <w:t>In QUD 923 of 2015:</w:t>
            </w:r>
          </w:p>
        </w:tc>
        <w:tc>
          <w:tcPr>
            <w:tcW w:w="5989" w:type="dxa"/>
            <w:shd w:val="clear" w:color="auto" w:fill="auto"/>
          </w:tcPr>
          <w:p w:rsidR="00587320" w:rsidRDefault="00587320" w:rsidP="00A47320">
            <w:pPr>
              <w:pStyle w:val="Normal1linespace"/>
              <w:widowControl w:val="0"/>
              <w:jc w:val="left"/>
            </w:pPr>
            <w:bookmarkStart w:id="8" w:name="AppCounsel"/>
            <w:bookmarkEnd w:id="8"/>
          </w:p>
        </w:tc>
      </w:tr>
      <w:tr w:rsidR="00587320" w:rsidTr="00A47320">
        <w:tc>
          <w:tcPr>
            <w:tcW w:w="3085" w:type="dxa"/>
            <w:shd w:val="clear" w:color="auto" w:fill="auto"/>
          </w:tcPr>
          <w:p w:rsidR="00587320" w:rsidRDefault="00587320" w:rsidP="00A47320">
            <w:pPr>
              <w:pStyle w:val="Normal1linespace"/>
              <w:widowControl w:val="0"/>
              <w:jc w:val="left"/>
              <w:rPr>
                <w:b/>
              </w:rPr>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01523E" w:rsidRDefault="00587320" w:rsidP="00A47320">
            <w:pPr>
              <w:pStyle w:val="Normal1linespace"/>
              <w:widowControl w:val="0"/>
              <w:jc w:val="left"/>
            </w:pPr>
            <w:r>
              <w:t>Counsel for the Appellant:</w:t>
            </w:r>
          </w:p>
        </w:tc>
        <w:tc>
          <w:tcPr>
            <w:tcW w:w="5989" w:type="dxa"/>
            <w:shd w:val="clear" w:color="auto" w:fill="auto"/>
          </w:tcPr>
          <w:p w:rsidR="00587320" w:rsidRDefault="00587320" w:rsidP="00A47320">
            <w:pPr>
              <w:pStyle w:val="Normal1linespace"/>
              <w:widowControl w:val="0"/>
              <w:jc w:val="left"/>
            </w:pPr>
            <w:r>
              <w:t>Mr A Collins and Mr J Trost</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Appellant:</w:t>
            </w:r>
          </w:p>
        </w:tc>
        <w:tc>
          <w:tcPr>
            <w:tcW w:w="5989" w:type="dxa"/>
            <w:shd w:val="clear" w:color="auto" w:fill="auto"/>
          </w:tcPr>
          <w:p w:rsidR="00587320" w:rsidRDefault="00587320" w:rsidP="00A47320">
            <w:pPr>
              <w:pStyle w:val="Normal1linespace"/>
              <w:widowControl w:val="0"/>
              <w:jc w:val="left"/>
            </w:pPr>
            <w:r>
              <w:t>Carter Newell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Respondent:</w:t>
            </w:r>
          </w:p>
        </w:tc>
        <w:tc>
          <w:tcPr>
            <w:tcW w:w="5989" w:type="dxa"/>
            <w:shd w:val="clear" w:color="auto" w:fill="auto"/>
          </w:tcPr>
          <w:p w:rsidR="00587320" w:rsidRDefault="00587320" w:rsidP="00A47320">
            <w:pPr>
              <w:pStyle w:val="Normal1linespace"/>
              <w:widowControl w:val="0"/>
              <w:jc w:val="left"/>
            </w:pPr>
            <w:r>
              <w:t>Mr D Murr SC and Ms M Painter QC</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First Respondent:</w:t>
            </w:r>
          </w:p>
        </w:tc>
        <w:tc>
          <w:tcPr>
            <w:tcW w:w="5989" w:type="dxa"/>
            <w:shd w:val="clear" w:color="auto" w:fill="auto"/>
          </w:tcPr>
          <w:p w:rsidR="00587320" w:rsidRDefault="00587320" w:rsidP="00A47320">
            <w:pPr>
              <w:pStyle w:val="Normal1linespace"/>
              <w:widowControl w:val="0"/>
              <w:jc w:val="left"/>
            </w:pPr>
            <w:r>
              <w:t>Lander &amp; Rogers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Second Respondent:</w:t>
            </w:r>
          </w:p>
        </w:tc>
        <w:tc>
          <w:tcPr>
            <w:tcW w:w="5989" w:type="dxa"/>
            <w:shd w:val="clear" w:color="auto" w:fill="auto"/>
          </w:tcPr>
          <w:p w:rsidR="00587320" w:rsidRDefault="00587320" w:rsidP="00A47320">
            <w:pPr>
              <w:pStyle w:val="Normal1linespace"/>
              <w:widowControl w:val="0"/>
              <w:jc w:val="left"/>
            </w:pPr>
            <w:r>
              <w:t>Mr K Barlow QC with Ms B O’Brien</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Second Respondent:</w:t>
            </w:r>
          </w:p>
        </w:tc>
        <w:tc>
          <w:tcPr>
            <w:tcW w:w="5989" w:type="dxa"/>
            <w:shd w:val="clear" w:color="auto" w:fill="auto"/>
          </w:tcPr>
          <w:p w:rsidR="00587320" w:rsidRDefault="00587320" w:rsidP="00A47320">
            <w:pPr>
              <w:pStyle w:val="Normal1linespace"/>
              <w:widowControl w:val="0"/>
              <w:jc w:val="left"/>
            </w:pPr>
            <w:r>
              <w:t>Warlow Scott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01523E" w:rsidRDefault="00587320" w:rsidP="00A47320">
            <w:pPr>
              <w:pStyle w:val="Normal1linespace"/>
              <w:widowControl w:val="0"/>
              <w:jc w:val="left"/>
              <w:rPr>
                <w:b/>
              </w:rPr>
            </w:pPr>
            <w:r>
              <w:rPr>
                <w:b/>
              </w:rPr>
              <w:t>In QUD 924 of 2015:</w:t>
            </w: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and Second Appellants and First Cross</w:t>
            </w:r>
            <w:r>
              <w:noBreakHyphen/>
              <w:t>Respondent:</w:t>
            </w:r>
          </w:p>
        </w:tc>
        <w:tc>
          <w:tcPr>
            <w:tcW w:w="5989" w:type="dxa"/>
            <w:shd w:val="clear" w:color="auto" w:fill="auto"/>
          </w:tcPr>
          <w:p w:rsidR="00587320" w:rsidRDefault="00587320" w:rsidP="00A47320">
            <w:pPr>
              <w:pStyle w:val="Normal1linespace"/>
              <w:widowControl w:val="0"/>
              <w:jc w:val="left"/>
            </w:pPr>
            <w:r>
              <w:t>Mr D Murr SC and Ms M Painter QC</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First and Second Appellants and First Cross</w:t>
            </w:r>
            <w:r>
              <w:noBreakHyphen/>
              <w:t>Respondent:</w:t>
            </w:r>
          </w:p>
        </w:tc>
        <w:tc>
          <w:tcPr>
            <w:tcW w:w="5989" w:type="dxa"/>
            <w:shd w:val="clear" w:color="auto" w:fill="auto"/>
          </w:tcPr>
          <w:p w:rsidR="00587320" w:rsidRDefault="00587320" w:rsidP="00A47320">
            <w:pPr>
              <w:pStyle w:val="Normal1linespace"/>
              <w:widowControl w:val="0"/>
              <w:jc w:val="left"/>
            </w:pPr>
            <w:r>
              <w:t>Lander &amp; Rogers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Respondent:</w:t>
            </w:r>
          </w:p>
        </w:tc>
        <w:tc>
          <w:tcPr>
            <w:tcW w:w="5989" w:type="dxa"/>
            <w:shd w:val="clear" w:color="auto" w:fill="auto"/>
          </w:tcPr>
          <w:p w:rsidR="00587320" w:rsidRDefault="00587320" w:rsidP="00A47320">
            <w:pPr>
              <w:pStyle w:val="Normal1linespace"/>
              <w:widowControl w:val="0"/>
              <w:jc w:val="left"/>
            </w:pPr>
            <w:r>
              <w:t>The First Respondent appeared in person</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Second Respondent and Cross</w:t>
            </w:r>
            <w:r>
              <w:noBreakHyphen/>
              <w:t>Appellant:</w:t>
            </w:r>
          </w:p>
        </w:tc>
        <w:tc>
          <w:tcPr>
            <w:tcW w:w="5989" w:type="dxa"/>
            <w:shd w:val="clear" w:color="auto" w:fill="auto"/>
          </w:tcPr>
          <w:p w:rsidR="00587320" w:rsidRDefault="00587320" w:rsidP="00A47320">
            <w:pPr>
              <w:pStyle w:val="Normal1linespace"/>
              <w:widowControl w:val="0"/>
              <w:jc w:val="left"/>
            </w:pPr>
            <w:r>
              <w:t>Mr K Barlow QC with Ms B O’Brien</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Second Respondent and Cross</w:t>
            </w:r>
            <w:r>
              <w:noBreakHyphen/>
              <w:t>Appellant:</w:t>
            </w:r>
          </w:p>
        </w:tc>
        <w:tc>
          <w:tcPr>
            <w:tcW w:w="5989" w:type="dxa"/>
            <w:shd w:val="clear" w:color="auto" w:fill="auto"/>
          </w:tcPr>
          <w:p w:rsidR="00587320" w:rsidRDefault="00587320" w:rsidP="00A47320">
            <w:pPr>
              <w:pStyle w:val="Normal1linespace"/>
              <w:widowControl w:val="0"/>
              <w:jc w:val="left"/>
            </w:pPr>
            <w:r>
              <w:t>Warlow Scott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Third Respondent and Second Cross</w:t>
            </w:r>
            <w:r>
              <w:noBreakHyphen/>
              <w:t>Respondent:</w:t>
            </w:r>
          </w:p>
        </w:tc>
        <w:tc>
          <w:tcPr>
            <w:tcW w:w="5989" w:type="dxa"/>
            <w:shd w:val="clear" w:color="auto" w:fill="auto"/>
          </w:tcPr>
          <w:p w:rsidR="00587320" w:rsidRDefault="00587320" w:rsidP="00A47320">
            <w:pPr>
              <w:pStyle w:val="Normal1linespace"/>
              <w:widowControl w:val="0"/>
              <w:jc w:val="left"/>
            </w:pPr>
            <w:r>
              <w:t>Mr A Collins and Mr J Trost</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Third Respondent and Second Cross</w:t>
            </w:r>
            <w:r>
              <w:noBreakHyphen/>
              <w:t>Respondent:</w:t>
            </w:r>
          </w:p>
        </w:tc>
        <w:tc>
          <w:tcPr>
            <w:tcW w:w="5989" w:type="dxa"/>
            <w:shd w:val="clear" w:color="auto" w:fill="auto"/>
          </w:tcPr>
          <w:p w:rsidR="00587320" w:rsidRDefault="00587320" w:rsidP="00A47320">
            <w:pPr>
              <w:pStyle w:val="Normal1linespace"/>
              <w:widowControl w:val="0"/>
              <w:jc w:val="left"/>
            </w:pPr>
            <w:r>
              <w:t>Carter Newell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8D1391" w:rsidRDefault="00587320" w:rsidP="0098445C">
            <w:pPr>
              <w:pStyle w:val="Normal1linespace"/>
              <w:keepNext/>
              <w:keepLines/>
              <w:widowControl w:val="0"/>
              <w:jc w:val="left"/>
              <w:rPr>
                <w:b/>
              </w:rPr>
            </w:pPr>
            <w:r>
              <w:rPr>
                <w:b/>
              </w:rPr>
              <w:lastRenderedPageBreak/>
              <w:t>In QUD 925 of 2015</w:t>
            </w:r>
          </w:p>
        </w:tc>
        <w:tc>
          <w:tcPr>
            <w:tcW w:w="5989" w:type="dxa"/>
            <w:shd w:val="clear" w:color="auto" w:fill="auto"/>
          </w:tcPr>
          <w:p w:rsidR="00587320" w:rsidRDefault="00587320" w:rsidP="0098445C">
            <w:pPr>
              <w:pStyle w:val="Normal1linespace"/>
              <w:keepNext/>
              <w:keepLines/>
              <w:widowControl w:val="0"/>
              <w:jc w:val="left"/>
            </w:pPr>
          </w:p>
        </w:tc>
      </w:tr>
      <w:tr w:rsidR="00587320" w:rsidTr="00A47320">
        <w:tc>
          <w:tcPr>
            <w:tcW w:w="3085" w:type="dxa"/>
            <w:shd w:val="clear" w:color="auto" w:fill="auto"/>
          </w:tcPr>
          <w:p w:rsidR="00587320" w:rsidRDefault="00587320" w:rsidP="0098445C">
            <w:pPr>
              <w:pStyle w:val="Normal1linespace"/>
              <w:keepNext/>
              <w:keepLines/>
              <w:widowControl w:val="0"/>
              <w:jc w:val="left"/>
            </w:pPr>
          </w:p>
        </w:tc>
        <w:tc>
          <w:tcPr>
            <w:tcW w:w="5989" w:type="dxa"/>
            <w:shd w:val="clear" w:color="auto" w:fill="auto"/>
          </w:tcPr>
          <w:p w:rsidR="00587320" w:rsidRDefault="00587320" w:rsidP="0098445C">
            <w:pPr>
              <w:pStyle w:val="Normal1linespace"/>
              <w:keepNext/>
              <w:keepLines/>
              <w:widowControl w:val="0"/>
              <w:jc w:val="left"/>
            </w:pPr>
          </w:p>
        </w:tc>
      </w:tr>
      <w:tr w:rsidR="00587320" w:rsidTr="00A47320">
        <w:tc>
          <w:tcPr>
            <w:tcW w:w="3085" w:type="dxa"/>
            <w:shd w:val="clear" w:color="auto" w:fill="auto"/>
          </w:tcPr>
          <w:p w:rsidR="00587320" w:rsidRDefault="00587320" w:rsidP="0098445C">
            <w:pPr>
              <w:pStyle w:val="Normal1linespace"/>
              <w:keepNext/>
              <w:keepLines/>
              <w:widowControl w:val="0"/>
              <w:jc w:val="left"/>
            </w:pPr>
            <w:r>
              <w:t>Counsel for the First and Second Appellants:</w:t>
            </w:r>
          </w:p>
        </w:tc>
        <w:tc>
          <w:tcPr>
            <w:tcW w:w="5989" w:type="dxa"/>
            <w:shd w:val="clear" w:color="auto" w:fill="auto"/>
          </w:tcPr>
          <w:p w:rsidR="00587320" w:rsidRDefault="00587320" w:rsidP="0098445C">
            <w:pPr>
              <w:pStyle w:val="Normal1linespace"/>
              <w:keepNext/>
              <w:keepLines/>
              <w:widowControl w:val="0"/>
              <w:jc w:val="left"/>
            </w:pPr>
            <w:r>
              <w:t>Mr D Murr SC and Ms M Painter QC</w:t>
            </w:r>
          </w:p>
        </w:tc>
      </w:tr>
      <w:tr w:rsidR="00587320" w:rsidTr="00A47320">
        <w:tc>
          <w:tcPr>
            <w:tcW w:w="3085" w:type="dxa"/>
            <w:shd w:val="clear" w:color="auto" w:fill="auto"/>
          </w:tcPr>
          <w:p w:rsidR="00587320" w:rsidRDefault="00587320" w:rsidP="0098445C">
            <w:pPr>
              <w:pStyle w:val="Normal1linespace"/>
              <w:keepNext/>
              <w:keepLines/>
              <w:widowControl w:val="0"/>
              <w:jc w:val="left"/>
            </w:pPr>
          </w:p>
        </w:tc>
        <w:tc>
          <w:tcPr>
            <w:tcW w:w="5989" w:type="dxa"/>
            <w:shd w:val="clear" w:color="auto" w:fill="auto"/>
          </w:tcPr>
          <w:p w:rsidR="00587320" w:rsidRDefault="00587320" w:rsidP="0098445C">
            <w:pPr>
              <w:pStyle w:val="Normal1linespace"/>
              <w:keepNext/>
              <w:keepLines/>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First and Second Appellants:</w:t>
            </w:r>
          </w:p>
        </w:tc>
        <w:tc>
          <w:tcPr>
            <w:tcW w:w="5989" w:type="dxa"/>
            <w:shd w:val="clear" w:color="auto" w:fill="auto"/>
          </w:tcPr>
          <w:p w:rsidR="00587320" w:rsidRDefault="00587320" w:rsidP="00A47320">
            <w:pPr>
              <w:pStyle w:val="Normal1linespace"/>
              <w:widowControl w:val="0"/>
              <w:jc w:val="left"/>
            </w:pPr>
            <w:r>
              <w:t>Lander &amp; Rogers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Respondent:</w:t>
            </w:r>
          </w:p>
        </w:tc>
        <w:tc>
          <w:tcPr>
            <w:tcW w:w="5989" w:type="dxa"/>
            <w:shd w:val="clear" w:color="auto" w:fill="auto"/>
          </w:tcPr>
          <w:p w:rsidR="00587320" w:rsidRDefault="00587320" w:rsidP="00A47320">
            <w:pPr>
              <w:pStyle w:val="Normal1linespace"/>
              <w:widowControl w:val="0"/>
              <w:jc w:val="left"/>
            </w:pPr>
            <w:r>
              <w:t>The First Respondent appeared in person</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Counsel for the Second Respondent:</w:t>
            </w:r>
          </w:p>
        </w:tc>
        <w:tc>
          <w:tcPr>
            <w:tcW w:w="5989" w:type="dxa"/>
            <w:shd w:val="clear" w:color="auto" w:fill="auto"/>
          </w:tcPr>
          <w:p w:rsidR="00587320" w:rsidRDefault="00587320" w:rsidP="00A47320">
            <w:pPr>
              <w:pStyle w:val="Normal1linespace"/>
              <w:widowControl w:val="0"/>
              <w:jc w:val="left"/>
            </w:pPr>
            <w:r>
              <w:t>Mr K Barlow QC with Ms B O’Brien</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Solicitor for the Second Respondent:</w:t>
            </w:r>
          </w:p>
        </w:tc>
        <w:tc>
          <w:tcPr>
            <w:tcW w:w="5989" w:type="dxa"/>
            <w:shd w:val="clear" w:color="auto" w:fill="auto"/>
          </w:tcPr>
          <w:p w:rsidR="00587320" w:rsidRDefault="00587320" w:rsidP="00A47320">
            <w:pPr>
              <w:pStyle w:val="Normal1linespace"/>
              <w:widowControl w:val="0"/>
              <w:jc w:val="left"/>
            </w:pPr>
            <w:r>
              <w:t>Warlow Scott Lawyers</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Counsel for the Third Respondent:</w:t>
            </w:r>
          </w:p>
        </w:tc>
        <w:tc>
          <w:tcPr>
            <w:tcW w:w="5989" w:type="dxa"/>
            <w:shd w:val="clear" w:color="auto" w:fill="auto"/>
          </w:tcPr>
          <w:p w:rsidR="00587320" w:rsidRDefault="00587320" w:rsidP="00A47320">
            <w:pPr>
              <w:pStyle w:val="Normal1linespace"/>
              <w:widowControl w:val="0"/>
              <w:jc w:val="left"/>
            </w:pPr>
            <w:r>
              <w:t>Mr A Collins and Mr J Trost</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Solicitor for the Third Respondent:</w:t>
            </w:r>
          </w:p>
        </w:tc>
        <w:tc>
          <w:tcPr>
            <w:tcW w:w="5989" w:type="dxa"/>
            <w:shd w:val="clear" w:color="auto" w:fill="auto"/>
          </w:tcPr>
          <w:p w:rsidR="00587320" w:rsidRDefault="00587320" w:rsidP="00A47320">
            <w:pPr>
              <w:pStyle w:val="Normal1linespace"/>
              <w:widowControl w:val="0"/>
              <w:jc w:val="left"/>
            </w:pPr>
            <w:r>
              <w:t>Carter Newell Lawyers</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C9285E" w:rsidRDefault="00587320" w:rsidP="00A47320">
            <w:pPr>
              <w:pStyle w:val="Normal1linespace"/>
              <w:widowControl w:val="0"/>
              <w:tabs>
                <w:tab w:val="left" w:pos="1935"/>
              </w:tabs>
              <w:jc w:val="left"/>
              <w:rPr>
                <w:b/>
              </w:rPr>
            </w:pPr>
            <w:r>
              <w:rPr>
                <w:b/>
              </w:rPr>
              <w:t>In QUD 1002 of 2015:</w:t>
            </w: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Counsel for the Appellant:</w:t>
            </w:r>
          </w:p>
        </w:tc>
        <w:tc>
          <w:tcPr>
            <w:tcW w:w="5989" w:type="dxa"/>
            <w:shd w:val="clear" w:color="auto" w:fill="auto"/>
          </w:tcPr>
          <w:p w:rsidR="00587320" w:rsidRDefault="00587320" w:rsidP="00A47320">
            <w:pPr>
              <w:pStyle w:val="Normal1linespace"/>
              <w:widowControl w:val="0"/>
              <w:jc w:val="left"/>
            </w:pPr>
            <w:r>
              <w:t>Mr K Barlow QC with Ms B O’Brien</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Solicitor for the Appellant:</w:t>
            </w:r>
          </w:p>
        </w:tc>
        <w:tc>
          <w:tcPr>
            <w:tcW w:w="5989" w:type="dxa"/>
            <w:shd w:val="clear" w:color="auto" w:fill="auto"/>
          </w:tcPr>
          <w:p w:rsidR="00587320" w:rsidRDefault="00587320" w:rsidP="00A47320">
            <w:pPr>
              <w:pStyle w:val="Normal1linespace"/>
              <w:widowControl w:val="0"/>
              <w:jc w:val="left"/>
            </w:pPr>
            <w:r>
              <w:t>Warlow Scott Lawyers</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Counsel for the First and Second Respondents:</w:t>
            </w:r>
          </w:p>
        </w:tc>
        <w:tc>
          <w:tcPr>
            <w:tcW w:w="5989" w:type="dxa"/>
            <w:shd w:val="clear" w:color="auto" w:fill="auto"/>
          </w:tcPr>
          <w:p w:rsidR="00587320" w:rsidRDefault="00587320" w:rsidP="00A47320">
            <w:pPr>
              <w:pStyle w:val="Normal1linespace"/>
              <w:widowControl w:val="0"/>
              <w:jc w:val="left"/>
            </w:pPr>
            <w:r>
              <w:t>Mr A Collins and Mr J Trost</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Solicitor for the First and Second Respondents:</w:t>
            </w:r>
          </w:p>
        </w:tc>
        <w:tc>
          <w:tcPr>
            <w:tcW w:w="5989" w:type="dxa"/>
            <w:shd w:val="clear" w:color="auto" w:fill="auto"/>
          </w:tcPr>
          <w:p w:rsidR="00587320" w:rsidRDefault="00587320" w:rsidP="00A47320">
            <w:pPr>
              <w:pStyle w:val="Normal1linespace"/>
              <w:widowControl w:val="0"/>
              <w:jc w:val="left"/>
            </w:pPr>
            <w:r>
              <w:t>Carter Newell Lawyers</w:t>
            </w:r>
          </w:p>
        </w:tc>
      </w:tr>
      <w:bookmarkEnd w:id="7"/>
    </w:tbl>
    <w:p w:rsidR="00587320" w:rsidRDefault="00587320" w:rsidP="00587320">
      <w:pPr>
        <w:pStyle w:val="Normal1linespace"/>
      </w:pPr>
    </w:p>
    <w:p w:rsidR="00587320" w:rsidRDefault="00587320" w:rsidP="00587320">
      <w:pPr>
        <w:pStyle w:val="Normal1linespace"/>
        <w:sectPr w:rsidR="00587320" w:rsidSect="001E7364">
          <w:footerReference w:type="first" r:id="rId8"/>
          <w:endnotePr>
            <w:numFmt w:val="decimal"/>
          </w:endnotePr>
          <w:pgSz w:w="11907" w:h="16840" w:code="9"/>
          <w:pgMar w:top="1701" w:right="1440" w:bottom="1440" w:left="1440" w:header="851" w:footer="851" w:gutter="0"/>
          <w:pgNumType w:start="1"/>
          <w:cols w:space="720"/>
          <w:noEndnote/>
          <w:titlePg/>
        </w:sectPr>
      </w:pPr>
    </w:p>
    <w:p w:rsidR="00587320" w:rsidRPr="00045BB7" w:rsidRDefault="00587320" w:rsidP="00587320">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87320" w:rsidTr="00A47320">
        <w:tc>
          <w:tcPr>
            <w:tcW w:w="6912" w:type="dxa"/>
            <w:gridSpan w:val="2"/>
          </w:tcPr>
          <w:p w:rsidR="00587320" w:rsidRPr="001765E0" w:rsidRDefault="00587320" w:rsidP="00A47320">
            <w:pPr>
              <w:pStyle w:val="NormalHeadings"/>
            </w:pPr>
          </w:p>
        </w:tc>
        <w:tc>
          <w:tcPr>
            <w:tcW w:w="2330" w:type="dxa"/>
          </w:tcPr>
          <w:p w:rsidR="00587320" w:rsidRDefault="00587320" w:rsidP="00A47320">
            <w:pPr>
              <w:pStyle w:val="NormalHeadings"/>
              <w:jc w:val="right"/>
            </w:pPr>
            <w:bookmarkStart w:id="9" w:name="FileNo"/>
            <w:r>
              <w:t>QUD 923 of 2015</w:t>
            </w:r>
            <w:bookmarkEnd w:id="9"/>
          </w:p>
        </w:tc>
      </w:tr>
      <w:tr w:rsidR="00587320" w:rsidTr="00A47320">
        <w:tc>
          <w:tcPr>
            <w:tcW w:w="9242" w:type="dxa"/>
            <w:gridSpan w:val="3"/>
          </w:tcPr>
          <w:p w:rsidR="00587320" w:rsidRPr="00A76C13" w:rsidRDefault="00587320" w:rsidP="00A47320">
            <w:pPr>
              <w:pStyle w:val="NormalHeadings"/>
              <w:jc w:val="left"/>
            </w:pPr>
            <w:bookmarkStart w:id="10" w:name="InTheMatterOf"/>
            <w:r>
              <w:t xml:space="preserve"> </w:t>
            </w:r>
            <w:bookmarkEnd w:id="10"/>
          </w:p>
        </w:tc>
      </w:tr>
      <w:tr w:rsidR="00587320" w:rsidTr="00A47320">
        <w:trPr>
          <w:trHeight w:val="386"/>
        </w:trPr>
        <w:tc>
          <w:tcPr>
            <w:tcW w:w="2376" w:type="dxa"/>
          </w:tcPr>
          <w:p w:rsidR="00587320" w:rsidRDefault="00587320" w:rsidP="00A47320">
            <w:pPr>
              <w:pStyle w:val="NormalHeadings"/>
              <w:jc w:val="left"/>
              <w:rPr>
                <w:caps/>
                <w:szCs w:val="24"/>
              </w:rPr>
            </w:pPr>
            <w:bookmarkStart w:id="11" w:name="Parties"/>
            <w:r>
              <w:rPr>
                <w:caps/>
                <w:szCs w:val="24"/>
              </w:rPr>
              <w:t>BETWEEN:</w:t>
            </w:r>
          </w:p>
        </w:tc>
        <w:tc>
          <w:tcPr>
            <w:tcW w:w="6866" w:type="dxa"/>
            <w:gridSpan w:val="2"/>
          </w:tcPr>
          <w:p w:rsidR="00587320" w:rsidRDefault="00587320" w:rsidP="00587320">
            <w:pPr>
              <w:pStyle w:val="NormalHeadings"/>
              <w:jc w:val="left"/>
            </w:pPr>
            <w:bookmarkStart w:id="12" w:name="Applicant"/>
            <w:r>
              <w:t>OLIVER HUME SOUTH EAST QUEENSLAND PTY LTD ACN 128 863 230</w:t>
            </w:r>
          </w:p>
          <w:p w:rsidR="00587320" w:rsidRDefault="00587320" w:rsidP="00587320">
            <w:pPr>
              <w:pStyle w:val="PartyType"/>
            </w:pPr>
            <w:r>
              <w:t>Appellant</w:t>
            </w:r>
          </w:p>
          <w:bookmarkEnd w:id="12"/>
          <w:p w:rsidR="00587320" w:rsidRPr="006555B4" w:rsidRDefault="00587320" w:rsidP="00A47320">
            <w:pPr>
              <w:pStyle w:val="NormalHeadings"/>
              <w:jc w:val="left"/>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Default="00587320" w:rsidP="00587320">
            <w:pPr>
              <w:pStyle w:val="NormalHeadings"/>
              <w:jc w:val="left"/>
            </w:pPr>
            <w:bookmarkStart w:id="13" w:name="Respondent"/>
            <w:r>
              <w:t>INVESTA RESIDENTIAL GROUP PTY LTD ACN 098 527 390</w:t>
            </w:r>
          </w:p>
          <w:p w:rsidR="00587320" w:rsidRDefault="00587320" w:rsidP="00587320">
            <w:pPr>
              <w:pStyle w:val="PartyType"/>
            </w:pPr>
            <w:r>
              <w:t>First Respondent</w:t>
            </w:r>
          </w:p>
          <w:p w:rsidR="00587320" w:rsidRDefault="00587320" w:rsidP="00A47320">
            <w:pPr>
              <w:pStyle w:val="NormalHeadings"/>
              <w:jc w:val="left"/>
            </w:pPr>
          </w:p>
          <w:p w:rsidR="00587320" w:rsidRDefault="00587320" w:rsidP="00587320">
            <w:pPr>
              <w:pStyle w:val="NormalHeadings"/>
              <w:jc w:val="left"/>
            </w:pPr>
            <w:r>
              <w:t>ADAM KIMBERLY BARCLAY</w:t>
            </w:r>
          </w:p>
          <w:p w:rsidR="00587320" w:rsidRPr="006555B4" w:rsidRDefault="00587320" w:rsidP="00B80015">
            <w:pPr>
              <w:pStyle w:val="PartyType"/>
            </w:pPr>
            <w:r>
              <w:t>Second Respondent</w:t>
            </w:r>
            <w:bookmarkEnd w:id="13"/>
          </w:p>
        </w:tc>
      </w:tr>
      <w:tr w:rsidR="00676F61" w:rsidTr="00A47320">
        <w:trPr>
          <w:trHeight w:val="386"/>
        </w:trPr>
        <w:tc>
          <w:tcPr>
            <w:tcW w:w="2376" w:type="dxa"/>
          </w:tcPr>
          <w:p w:rsidR="00676F61" w:rsidRDefault="00676F61" w:rsidP="00A47320">
            <w:pPr>
              <w:pStyle w:val="NormalHeadings"/>
              <w:jc w:val="left"/>
              <w:rPr>
                <w:caps/>
                <w:szCs w:val="24"/>
              </w:rPr>
            </w:pPr>
          </w:p>
        </w:tc>
        <w:tc>
          <w:tcPr>
            <w:tcW w:w="6866" w:type="dxa"/>
            <w:gridSpan w:val="2"/>
          </w:tcPr>
          <w:p w:rsidR="00676F61" w:rsidRDefault="00676F61" w:rsidP="00587320">
            <w:pPr>
              <w:pStyle w:val="NormalHeadings"/>
              <w:jc w:val="left"/>
            </w:pPr>
          </w:p>
        </w:tc>
      </w:tr>
      <w:tr w:rsidR="00676F61" w:rsidTr="00417D1C">
        <w:tc>
          <w:tcPr>
            <w:tcW w:w="2376" w:type="dxa"/>
          </w:tcPr>
          <w:p w:rsidR="00676F61" w:rsidRDefault="00676F61" w:rsidP="00417D1C">
            <w:pPr>
              <w:pStyle w:val="NormalHeadings"/>
              <w:spacing w:after="120"/>
              <w:jc w:val="left"/>
              <w:rPr>
                <w:caps/>
                <w:szCs w:val="24"/>
              </w:rPr>
            </w:pPr>
            <w:bookmarkStart w:id="14" w:name="CrossClaimPosition"/>
            <w:bookmarkEnd w:id="11"/>
            <w:bookmarkEnd w:id="14"/>
            <w:r>
              <w:rPr>
                <w:caps/>
                <w:szCs w:val="24"/>
              </w:rPr>
              <w:t>JUDGES:</w:t>
            </w:r>
          </w:p>
        </w:tc>
        <w:tc>
          <w:tcPr>
            <w:tcW w:w="6866" w:type="dxa"/>
            <w:gridSpan w:val="2"/>
          </w:tcPr>
          <w:p w:rsidR="00676F61" w:rsidRDefault="00676F61" w:rsidP="00417D1C">
            <w:pPr>
              <w:pStyle w:val="NormalHeadings"/>
              <w:jc w:val="left"/>
              <w:rPr>
                <w:caps/>
                <w:szCs w:val="24"/>
              </w:rPr>
            </w:pPr>
            <w:r>
              <w:rPr>
                <w:caps/>
                <w:szCs w:val="24"/>
              </w:rPr>
              <w:t>DOWSETT, GREENWOOD AND WHITE JJ</w:t>
            </w:r>
          </w:p>
        </w:tc>
      </w:tr>
      <w:tr w:rsidR="00676F61" w:rsidTr="00417D1C">
        <w:tc>
          <w:tcPr>
            <w:tcW w:w="2376" w:type="dxa"/>
          </w:tcPr>
          <w:p w:rsidR="00676F61" w:rsidRDefault="00676F61" w:rsidP="00417D1C">
            <w:pPr>
              <w:pStyle w:val="NormalHeadings"/>
              <w:spacing w:after="120"/>
              <w:jc w:val="left"/>
              <w:rPr>
                <w:caps/>
                <w:szCs w:val="24"/>
              </w:rPr>
            </w:pPr>
            <w:r>
              <w:rPr>
                <w:caps/>
                <w:szCs w:val="24"/>
              </w:rPr>
              <w:t>DATE OF ORDER:</w:t>
            </w:r>
          </w:p>
        </w:tc>
        <w:tc>
          <w:tcPr>
            <w:tcW w:w="6866" w:type="dxa"/>
            <w:gridSpan w:val="2"/>
          </w:tcPr>
          <w:p w:rsidR="00676F61" w:rsidRDefault="007D4C79" w:rsidP="00417D1C">
            <w:pPr>
              <w:pStyle w:val="NormalHeadings"/>
              <w:jc w:val="left"/>
              <w:rPr>
                <w:caps/>
                <w:szCs w:val="24"/>
              </w:rPr>
            </w:pPr>
            <w:r>
              <w:rPr>
                <w:caps/>
                <w:szCs w:val="24"/>
              </w:rPr>
              <w:t>10</w:t>
            </w:r>
            <w:r w:rsidR="00676F61">
              <w:rPr>
                <w:caps/>
                <w:szCs w:val="24"/>
              </w:rPr>
              <w:t xml:space="preserve"> NOVEMBER 2017</w:t>
            </w:r>
          </w:p>
        </w:tc>
      </w:tr>
    </w:tbl>
    <w:p w:rsidR="00676F61" w:rsidRDefault="00676F61" w:rsidP="00676F61">
      <w:pPr>
        <w:pStyle w:val="NormalHeadings"/>
        <w:rPr>
          <w:b w:val="0"/>
        </w:rPr>
      </w:pPr>
    </w:p>
    <w:p w:rsidR="00676F61" w:rsidRPr="005759C1" w:rsidRDefault="00676F61" w:rsidP="00676F61">
      <w:pPr>
        <w:pStyle w:val="NoNum"/>
        <w:rPr>
          <w:b/>
        </w:rPr>
      </w:pPr>
      <w:r>
        <w:rPr>
          <w:b/>
        </w:rPr>
        <w:t>T</w:t>
      </w:r>
      <w:r w:rsidRPr="005759C1">
        <w:rPr>
          <w:b/>
        </w:rPr>
        <w:t>HE COURT ORDERS THAT:</w:t>
      </w:r>
    </w:p>
    <w:p w:rsidR="00676F61" w:rsidRDefault="00676F61" w:rsidP="00676F61">
      <w:pPr>
        <w:pStyle w:val="Order1"/>
        <w:numPr>
          <w:ilvl w:val="0"/>
          <w:numId w:val="27"/>
        </w:numPr>
      </w:pPr>
      <w:r>
        <w:t xml:space="preserve">The appeal is dismissed and the Court notes that the subject matter which gave rise to Grounds 10 and 11 of the Notice of Appeal concerning the value of, and loss, if any, arising from the sale of Lot 191 may be considered by the primary Judge in respect of the separate issue of remedy.  </w:t>
      </w:r>
    </w:p>
    <w:p w:rsidR="00676F61" w:rsidRDefault="00676F61" w:rsidP="00676F61">
      <w:pPr>
        <w:pStyle w:val="Order1"/>
        <w:numPr>
          <w:ilvl w:val="0"/>
          <w:numId w:val="27"/>
        </w:numPr>
      </w:pPr>
      <w:r>
        <w:t xml:space="preserve">The appellant pay the respondents’ costs of the appeal.  </w:t>
      </w:r>
    </w:p>
    <w:p w:rsidR="00AA1389" w:rsidRPr="00AA1389" w:rsidRDefault="00AA1389" w:rsidP="00AA1389">
      <w:pPr>
        <w:pStyle w:val="Order1"/>
        <w:numPr>
          <w:ilvl w:val="0"/>
          <w:numId w:val="27"/>
        </w:numPr>
        <w:spacing w:before="0" w:after="0"/>
        <w:rPr>
          <w:szCs w:val="24"/>
        </w:rPr>
      </w:pPr>
      <w:r w:rsidRPr="00AA1389">
        <w:rPr>
          <w:szCs w:val="24"/>
        </w:rPr>
        <w:t xml:space="preserve">Pursuant to s 23 and s 37P of the </w:t>
      </w:r>
      <w:r w:rsidRPr="00AA1389">
        <w:rPr>
          <w:i/>
          <w:iCs/>
          <w:szCs w:val="24"/>
        </w:rPr>
        <w:t>Federal Court of Australia Act 1976</w:t>
      </w:r>
      <w:r w:rsidRPr="00AA1389">
        <w:rPr>
          <w:szCs w:val="24"/>
        </w:rPr>
        <w:t xml:space="preserve"> (Cth), rule 1.32 and rule 1.36 of the </w:t>
      </w:r>
      <w:r w:rsidRPr="00AA1389">
        <w:rPr>
          <w:i/>
          <w:iCs/>
          <w:szCs w:val="24"/>
        </w:rPr>
        <w:t>Federal Court Rules 2011</w:t>
      </w:r>
      <w:r w:rsidRPr="00AA1389">
        <w:rPr>
          <w:szCs w:val="24"/>
        </w:rPr>
        <w:t xml:space="preserve">, these orders and the reasons for judgment in support of these orders are made and published </w:t>
      </w:r>
      <w:r>
        <w:rPr>
          <w:szCs w:val="24"/>
        </w:rPr>
        <w:t xml:space="preserve">by the Full Court </w:t>
      </w:r>
      <w:r w:rsidRPr="00AA1389">
        <w:rPr>
          <w:szCs w:val="24"/>
        </w:rPr>
        <w:t>from the Chambers of</w:t>
      </w:r>
      <w:r>
        <w:rPr>
          <w:szCs w:val="24"/>
        </w:rPr>
        <w:t xml:space="preserve"> </w:t>
      </w:r>
      <w:r w:rsidRPr="00AA1389">
        <w:rPr>
          <w:szCs w:val="24"/>
        </w:rPr>
        <w:t>the Hon Justice</w:t>
      </w:r>
      <w:r>
        <w:rPr>
          <w:szCs w:val="24"/>
        </w:rPr>
        <w:t xml:space="preserve"> Greenwood</w:t>
      </w:r>
      <w:r w:rsidRPr="00AA1389">
        <w:rPr>
          <w:szCs w:val="24"/>
        </w:rPr>
        <w:t>.</w:t>
      </w:r>
      <w:r>
        <w:rPr>
          <w:szCs w:val="24"/>
        </w:rPr>
        <w:t xml:space="preserve">  </w:t>
      </w: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SingleSpace"/>
        <w:rPr>
          <w:b/>
        </w:rPr>
      </w:pPr>
      <w:r>
        <w:t>Note:</w:t>
      </w:r>
      <w:r>
        <w:tab/>
        <w:t xml:space="preserve">Entry of orders is dealt with in Rule 39.32 of the </w:t>
      </w:r>
      <w:r>
        <w:rPr>
          <w:i/>
        </w:rPr>
        <w:t>Federal Court Rules 2011</w:t>
      </w:r>
      <w:r>
        <w:t>.</w:t>
      </w:r>
    </w:p>
    <w:p w:rsidR="00676F61" w:rsidRDefault="00676F61" w:rsidP="00587320">
      <w:pPr>
        <w:pStyle w:val="NormalHeadings"/>
        <w:rPr>
          <w:b w:val="0"/>
        </w:rPr>
      </w:pPr>
    </w:p>
    <w:p w:rsidR="00676F61" w:rsidRPr="00676F61" w:rsidRDefault="00676F61" w:rsidP="00587320">
      <w:pPr>
        <w:pStyle w:val="NormalHeadings"/>
        <w:rPr>
          <w:b w:val="0"/>
        </w:rPr>
      </w:pPr>
    </w:p>
    <w:p w:rsidR="00676F61" w:rsidRDefault="00676F61" w:rsidP="00587320">
      <w:pPr>
        <w:pStyle w:val="NormalHeadings"/>
        <w:sectPr w:rsidR="00676F61" w:rsidSect="00C92A8F">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7D4C79" w:rsidRPr="00045BB7" w:rsidRDefault="007D4C79" w:rsidP="007D4C79">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87320" w:rsidTr="00A47320">
        <w:tc>
          <w:tcPr>
            <w:tcW w:w="6912" w:type="dxa"/>
            <w:gridSpan w:val="2"/>
          </w:tcPr>
          <w:p w:rsidR="00587320" w:rsidRPr="001765E0" w:rsidRDefault="00587320" w:rsidP="00A47320">
            <w:pPr>
              <w:pStyle w:val="NormalHeadings"/>
            </w:pPr>
          </w:p>
        </w:tc>
        <w:tc>
          <w:tcPr>
            <w:tcW w:w="2330" w:type="dxa"/>
          </w:tcPr>
          <w:p w:rsidR="00587320" w:rsidRDefault="00587320" w:rsidP="00A47320">
            <w:pPr>
              <w:pStyle w:val="NormalHeadings"/>
              <w:jc w:val="right"/>
            </w:pPr>
            <w:r>
              <w:t>QUD 924 of 2015</w:t>
            </w:r>
          </w:p>
        </w:tc>
      </w:tr>
      <w:tr w:rsidR="00587320" w:rsidTr="00A47320">
        <w:tc>
          <w:tcPr>
            <w:tcW w:w="9242" w:type="dxa"/>
            <w:gridSpan w:val="3"/>
          </w:tcPr>
          <w:p w:rsidR="00587320" w:rsidRPr="00A76C13" w:rsidRDefault="00587320" w:rsidP="00A47320">
            <w:pPr>
              <w:pStyle w:val="NormalHeadings"/>
              <w:jc w:val="left"/>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BETWEEN:</w:t>
            </w:r>
          </w:p>
        </w:tc>
        <w:tc>
          <w:tcPr>
            <w:tcW w:w="6866" w:type="dxa"/>
            <w:gridSpan w:val="2"/>
          </w:tcPr>
          <w:p w:rsidR="00587320" w:rsidRPr="008D226B" w:rsidRDefault="00587320" w:rsidP="00A47320">
            <w:pPr>
              <w:pStyle w:val="NormalHeadings"/>
            </w:pPr>
            <w:r>
              <w:t>INVESTA PROPERTIES PTY LTD ACN 084 407 241</w:t>
            </w:r>
          </w:p>
          <w:p w:rsidR="00587320" w:rsidRDefault="00587320" w:rsidP="00A47320">
            <w:pPr>
              <w:pStyle w:val="PartyType"/>
            </w:pPr>
            <w:r>
              <w:t>First Appellant</w:t>
            </w:r>
          </w:p>
          <w:p w:rsidR="002A35A6" w:rsidRDefault="002A35A6" w:rsidP="00A47320">
            <w:pPr>
              <w:pStyle w:val="PartyType"/>
            </w:pPr>
          </w:p>
          <w:p w:rsidR="002A35A6" w:rsidRDefault="002A35A6" w:rsidP="002A35A6">
            <w:pPr>
              <w:pStyle w:val="NormalHeadings"/>
            </w:pPr>
            <w:proofErr w:type="spellStart"/>
            <w:r>
              <w:t>INVESTA</w:t>
            </w:r>
            <w:proofErr w:type="spellEnd"/>
            <w:r>
              <w:t xml:space="preserve"> RESIDENTIAL GROUP PTY LTD ACN 098 527 390</w:t>
            </w:r>
          </w:p>
          <w:p w:rsidR="00587320" w:rsidRPr="006555B4" w:rsidRDefault="002A35A6" w:rsidP="002A35A6">
            <w:pPr>
              <w:pStyle w:val="PartyType"/>
            </w:pPr>
            <w:r>
              <w:t>Second Appellant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Pr="008D226B" w:rsidRDefault="00587320" w:rsidP="00A47320">
            <w:pPr>
              <w:pStyle w:val="NormalHeadings"/>
            </w:pPr>
            <w:r>
              <w:t>ASHLEY COLIN NANKERVIS</w:t>
            </w:r>
          </w:p>
          <w:p w:rsidR="00587320" w:rsidRDefault="00587320" w:rsidP="00A47320">
            <w:pPr>
              <w:pStyle w:val="PartyType"/>
            </w:pPr>
            <w:r>
              <w:t>First Respondent</w:t>
            </w:r>
          </w:p>
          <w:p w:rsidR="002A35A6" w:rsidRDefault="002A35A6" w:rsidP="00A47320">
            <w:pPr>
              <w:pStyle w:val="PartyType"/>
            </w:pPr>
          </w:p>
          <w:p w:rsidR="002A35A6" w:rsidRDefault="002A35A6" w:rsidP="002A35A6">
            <w:pPr>
              <w:pStyle w:val="NormalHeadings"/>
            </w:pPr>
            <w:r>
              <w:t>ADAM KIMBERLY BARCLAY</w:t>
            </w:r>
          </w:p>
          <w:p w:rsidR="002A35A6" w:rsidRDefault="002A35A6" w:rsidP="002A35A6">
            <w:pPr>
              <w:pStyle w:val="PartyType"/>
            </w:pPr>
            <w:r>
              <w:t>Second Respondent</w:t>
            </w:r>
          </w:p>
          <w:p w:rsidR="002A35A6" w:rsidRDefault="002A35A6" w:rsidP="002A35A6">
            <w:pPr>
              <w:pStyle w:val="PartyType"/>
            </w:pPr>
          </w:p>
          <w:p w:rsidR="002A35A6" w:rsidRDefault="002A35A6" w:rsidP="002A35A6">
            <w:pPr>
              <w:pStyle w:val="NormalHeadings"/>
            </w:pPr>
            <w:r>
              <w:t>OLIVER HUME SOUTH EAST QUEENSLAND PTY LTD ACN 128 863 230</w:t>
            </w:r>
          </w:p>
          <w:p w:rsidR="00587320" w:rsidRPr="006555B4" w:rsidRDefault="002A35A6" w:rsidP="002A35A6">
            <w:pPr>
              <w:pStyle w:val="PartyType"/>
            </w:pPr>
            <w:r>
              <w:t>Third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 BETWEEN:</w:t>
            </w:r>
          </w:p>
        </w:tc>
        <w:tc>
          <w:tcPr>
            <w:tcW w:w="6866" w:type="dxa"/>
            <w:gridSpan w:val="2"/>
          </w:tcPr>
          <w:p w:rsidR="00587320" w:rsidRDefault="00587320" w:rsidP="00A47320">
            <w:pPr>
              <w:pStyle w:val="NormalHeadings"/>
            </w:pPr>
            <w:r>
              <w:t>ADAM KIMBERLY BARCLAY</w:t>
            </w:r>
          </w:p>
          <w:p w:rsidR="00587320" w:rsidRPr="000873CF" w:rsidRDefault="00587320" w:rsidP="00CE2FB6">
            <w:pPr>
              <w:pStyle w:val="PartyType"/>
              <w:rPr>
                <w:b/>
              </w:rPr>
            </w:pPr>
            <w:r>
              <w:t>Cross-Appellant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Default="00587320" w:rsidP="00A47320">
            <w:pPr>
              <w:pStyle w:val="NormalHeadings"/>
            </w:pPr>
            <w:r>
              <w:t>INVESTA RESIDENTIAL GROUP PTY LTD ACN 098 527 390</w:t>
            </w:r>
          </w:p>
          <w:p w:rsidR="00587320" w:rsidRPr="00CE2FB6" w:rsidRDefault="00587320" w:rsidP="00CE2FB6">
            <w:pPr>
              <w:pStyle w:val="PartyType"/>
            </w:pPr>
            <w:r>
              <w:t>First Cross</w:t>
            </w:r>
            <w:r>
              <w:noBreakHyphen/>
              <w:t>Respondent</w:t>
            </w:r>
          </w:p>
          <w:p w:rsidR="002A35A6" w:rsidRDefault="002A35A6" w:rsidP="002A35A6">
            <w:pPr>
              <w:pStyle w:val="NormalHeadings"/>
            </w:pPr>
          </w:p>
          <w:p w:rsidR="002A35A6" w:rsidRDefault="002A35A6" w:rsidP="002A35A6">
            <w:pPr>
              <w:pStyle w:val="NormalHeadings"/>
            </w:pPr>
            <w:r>
              <w:t>OLIVER HUME SOUTH EAST QUEENSLAND PTY LTD ACN 128 863 230</w:t>
            </w:r>
          </w:p>
          <w:p w:rsidR="002A35A6" w:rsidRDefault="002A35A6" w:rsidP="00CE2FB6">
            <w:pPr>
              <w:pStyle w:val="PartyType"/>
            </w:pPr>
            <w:r>
              <w:t>Second Cross</w:t>
            </w:r>
            <w:r>
              <w:noBreakHyphen/>
              <w:t>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676F61" w:rsidTr="00417D1C">
        <w:tc>
          <w:tcPr>
            <w:tcW w:w="2376" w:type="dxa"/>
          </w:tcPr>
          <w:p w:rsidR="00676F61" w:rsidRDefault="00676F61" w:rsidP="00417D1C">
            <w:pPr>
              <w:pStyle w:val="NormalHeadings"/>
              <w:spacing w:after="120"/>
              <w:jc w:val="left"/>
              <w:rPr>
                <w:caps/>
                <w:szCs w:val="24"/>
              </w:rPr>
            </w:pPr>
            <w:r>
              <w:rPr>
                <w:caps/>
                <w:szCs w:val="24"/>
              </w:rPr>
              <w:t>JUDGES:</w:t>
            </w:r>
          </w:p>
        </w:tc>
        <w:tc>
          <w:tcPr>
            <w:tcW w:w="6866" w:type="dxa"/>
            <w:gridSpan w:val="2"/>
          </w:tcPr>
          <w:p w:rsidR="00676F61" w:rsidRDefault="00676F61" w:rsidP="00417D1C">
            <w:pPr>
              <w:pStyle w:val="NormalHeadings"/>
              <w:jc w:val="left"/>
              <w:rPr>
                <w:caps/>
                <w:szCs w:val="24"/>
              </w:rPr>
            </w:pPr>
            <w:r>
              <w:rPr>
                <w:caps/>
                <w:szCs w:val="24"/>
              </w:rPr>
              <w:t>DOWSETT, GREENWOOD AND WHITE JJ</w:t>
            </w:r>
          </w:p>
        </w:tc>
      </w:tr>
      <w:tr w:rsidR="00676F61" w:rsidTr="00417D1C">
        <w:tc>
          <w:tcPr>
            <w:tcW w:w="2376" w:type="dxa"/>
          </w:tcPr>
          <w:p w:rsidR="00676F61" w:rsidRDefault="00676F61" w:rsidP="00417D1C">
            <w:pPr>
              <w:pStyle w:val="NormalHeadings"/>
              <w:spacing w:after="120"/>
              <w:jc w:val="left"/>
              <w:rPr>
                <w:caps/>
                <w:szCs w:val="24"/>
              </w:rPr>
            </w:pPr>
            <w:r>
              <w:rPr>
                <w:caps/>
                <w:szCs w:val="24"/>
              </w:rPr>
              <w:t>DATE OF ORDER:</w:t>
            </w:r>
          </w:p>
        </w:tc>
        <w:tc>
          <w:tcPr>
            <w:tcW w:w="6866" w:type="dxa"/>
            <w:gridSpan w:val="2"/>
          </w:tcPr>
          <w:p w:rsidR="00676F61" w:rsidRDefault="007D4C79" w:rsidP="00417D1C">
            <w:pPr>
              <w:pStyle w:val="NormalHeadings"/>
              <w:jc w:val="left"/>
              <w:rPr>
                <w:caps/>
                <w:szCs w:val="24"/>
              </w:rPr>
            </w:pPr>
            <w:r>
              <w:rPr>
                <w:caps/>
                <w:szCs w:val="24"/>
              </w:rPr>
              <w:t>10</w:t>
            </w:r>
            <w:r w:rsidR="00676F61">
              <w:rPr>
                <w:caps/>
                <w:szCs w:val="24"/>
              </w:rPr>
              <w:t xml:space="preserve"> NOVEMBER 2017</w:t>
            </w:r>
          </w:p>
        </w:tc>
      </w:tr>
    </w:tbl>
    <w:p w:rsidR="00676F61" w:rsidRPr="00676F61" w:rsidRDefault="00676F61" w:rsidP="00676F61">
      <w:pPr>
        <w:pStyle w:val="NormalHeadings"/>
        <w:rPr>
          <w:b w:val="0"/>
        </w:rPr>
      </w:pPr>
    </w:p>
    <w:p w:rsidR="00676F61" w:rsidRDefault="00676F61" w:rsidP="00676F61">
      <w:pPr>
        <w:pStyle w:val="NormalHeadings"/>
      </w:pPr>
      <w:r>
        <w:t>THE COURT DECLARES THAT:</w:t>
      </w:r>
    </w:p>
    <w:p w:rsidR="00676F61" w:rsidRPr="00676F61" w:rsidRDefault="00676F61" w:rsidP="00676F61">
      <w:pPr>
        <w:pStyle w:val="NormalHeadings"/>
        <w:rPr>
          <w:b w:val="0"/>
        </w:rPr>
      </w:pPr>
    </w:p>
    <w:p w:rsidR="00676F61" w:rsidRDefault="00676F61" w:rsidP="00676F61">
      <w:pPr>
        <w:pStyle w:val="Order1"/>
        <w:numPr>
          <w:ilvl w:val="0"/>
          <w:numId w:val="42"/>
        </w:numPr>
      </w:pPr>
      <w:bookmarkStart w:id="15" w:name="Order_Start_Text"/>
      <w:bookmarkEnd w:id="15"/>
      <w:r>
        <w:t>Having regard to:</w:t>
      </w:r>
    </w:p>
    <w:p w:rsidR="00676F61" w:rsidRDefault="00676F61" w:rsidP="00676F61">
      <w:pPr>
        <w:pStyle w:val="Order2"/>
        <w:numPr>
          <w:ilvl w:val="1"/>
          <w:numId w:val="23"/>
        </w:numPr>
      </w:pPr>
      <w:r>
        <w:t xml:space="preserve">the functions and responsibilities of Mr Ashley Colin Nankervis (“Mr Nankervis”) described at [285] to [291], [348] and [349] of the reasons of the Full Court published on 1 September 2017 in </w:t>
      </w:r>
      <w:r>
        <w:rPr>
          <w:i/>
        </w:rPr>
        <w:t xml:space="preserve">Oliver Hume South East Queensland Pty Ltd v Investa Residential Group Pty Ltd </w:t>
      </w:r>
      <w:r>
        <w:t xml:space="preserve">[2017] FCAFC 141 (the “Full Court’s reasons”); </w:t>
      </w:r>
    </w:p>
    <w:p w:rsidR="00676F61" w:rsidRDefault="00676F61" w:rsidP="00676F61">
      <w:pPr>
        <w:pStyle w:val="Order2"/>
        <w:numPr>
          <w:ilvl w:val="1"/>
          <w:numId w:val="23"/>
        </w:numPr>
      </w:pPr>
      <w:r>
        <w:t>the capacity Mr Nankervis enjoyed to shape and influence decision</w:t>
      </w:r>
      <w:r>
        <w:noBreakHyphen/>
        <w:t xml:space="preserve">making by Investa Properties Pty Ltd (“Investa Properties”) concerning the sale of </w:t>
      </w:r>
      <w:r>
        <w:lastRenderedPageBreak/>
        <w:t xml:space="preserve">Lots 170 and 191 by Investa Residential Group Pty Ltd (“Investa Residential”); </w:t>
      </w:r>
    </w:p>
    <w:p w:rsidR="00676F61" w:rsidRDefault="00676F61" w:rsidP="00676F61">
      <w:pPr>
        <w:pStyle w:val="Order2"/>
        <w:numPr>
          <w:ilvl w:val="1"/>
          <w:numId w:val="23"/>
        </w:numPr>
      </w:pPr>
      <w:r>
        <w:t xml:space="preserve">the vulnerability of Investa Residential to action taken by Mr Nankervis in the sale and disposal of its land assets; </w:t>
      </w:r>
    </w:p>
    <w:p w:rsidR="00676F61" w:rsidRDefault="00676F61" w:rsidP="00676F61">
      <w:pPr>
        <w:pStyle w:val="Order2"/>
        <w:numPr>
          <w:ilvl w:val="1"/>
          <w:numId w:val="23"/>
        </w:numPr>
      </w:pPr>
      <w:r>
        <w:t xml:space="preserve">the awareness Mr Nankervis must reasonably be taken to have had that his functions and responsibilities were to be performed for the benefit of Investa Residential as well as Investa Properties; </w:t>
      </w:r>
    </w:p>
    <w:p w:rsidR="00676F61" w:rsidRDefault="00676F61" w:rsidP="00676F61">
      <w:pPr>
        <w:pStyle w:val="NoNum"/>
        <w:ind w:left="720"/>
      </w:pPr>
      <w:r>
        <w:t xml:space="preserve">Mr Nankervis came under or assumed a duty not to put himself in a position of conflict between his duty to act in good faith in the best interests of Investa Properties and Investa Residential on the one hand and his own personal interests on the other hand, without the informed consent of Investa Properties and through Investa Properties, Investa Residential; and a duty to disclose to Investa Properties and through Investa Properties, a duty to disclose to Investa Residential, all matters material to the sale by Investa Residential of Lots 170 and 191 (the “Declaration 1 fiduciary duties”).  </w:t>
      </w:r>
    </w:p>
    <w:p w:rsidR="00676F61" w:rsidRDefault="00464DAF" w:rsidP="00464DAF">
      <w:pPr>
        <w:pStyle w:val="Order1"/>
        <w:numPr>
          <w:ilvl w:val="0"/>
          <w:numId w:val="0"/>
        </w:numPr>
        <w:ind w:left="720" w:hanging="720"/>
      </w:pPr>
      <w:r>
        <w:t>2.</w:t>
      </w:r>
      <w:r>
        <w:tab/>
      </w:r>
      <w:r w:rsidR="00676F61">
        <w:t xml:space="preserve">Mr Nankervis breached the Declaration 1 fiduciary duties owed to Investa Residential having regard to, so far as Lot 170 is concerned, the matters described at [302] to [331], [339] to [347] and [380] to [382] of the Full Court’s reasons and, so far as Lot 191 is concerned, the matters described at [354] to [366] and [385] to [395] of the Full Court’s reasons.  </w:t>
      </w:r>
    </w:p>
    <w:p w:rsidR="00676F61" w:rsidRDefault="00464DAF" w:rsidP="00464DAF">
      <w:pPr>
        <w:pStyle w:val="Order1"/>
        <w:numPr>
          <w:ilvl w:val="0"/>
          <w:numId w:val="0"/>
        </w:numPr>
        <w:ind w:left="720" w:hanging="720"/>
      </w:pPr>
      <w:r>
        <w:t>3.</w:t>
      </w:r>
      <w:r>
        <w:tab/>
      </w:r>
      <w:r w:rsidR="00676F61">
        <w:t xml:space="preserve">Having regard to the matters described at [302] to [352] and [379] to [382] of the Full Court’s reasons, Adam Kimberly Barclay (“Mr Barclay”) and Oliver Hume South East Queensland Pty Ltd </w:t>
      </w:r>
      <w:r w:rsidR="00525482">
        <w:t xml:space="preserve">(“OHSEQ”) </w:t>
      </w:r>
      <w:r w:rsidR="00676F61">
        <w:t>owed fiduciary duties to Investa Residential in respect of the sale and disposition of Lot 170 by that company which duties were these (the “Declaration 3 fiduciary duties”):</w:t>
      </w:r>
    </w:p>
    <w:p w:rsidR="00676F61" w:rsidRDefault="00464DAF" w:rsidP="00464DAF">
      <w:pPr>
        <w:pStyle w:val="Order2"/>
        <w:numPr>
          <w:ilvl w:val="0"/>
          <w:numId w:val="0"/>
        </w:numPr>
        <w:ind w:left="1440" w:hanging="720"/>
      </w:pPr>
      <w:r>
        <w:t>(a)</w:t>
      </w:r>
      <w:r>
        <w:tab/>
      </w:r>
      <w:r w:rsidR="00676F61">
        <w:t>an obligation to act in good faith in the best interests of Investa Residential;</w:t>
      </w:r>
    </w:p>
    <w:p w:rsidR="00676F61" w:rsidRDefault="00464DAF" w:rsidP="00464DAF">
      <w:pPr>
        <w:pStyle w:val="Order2"/>
        <w:numPr>
          <w:ilvl w:val="0"/>
          <w:numId w:val="0"/>
        </w:numPr>
        <w:ind w:left="1440" w:hanging="720"/>
      </w:pPr>
      <w:r>
        <w:t>(b)</w:t>
      </w:r>
      <w:r>
        <w:tab/>
      </w:r>
      <w:r w:rsidR="00676F61">
        <w:t>an obligation to convey to Investa Residential any offers in relation to Lot 170 which fell within the terms of the emails and related communications exchanged between Mr Nankervis and Mr Barclay (whether directly or as participants to emails to or from others) as described in the Full Court’s reasons at [302] to [350];</w:t>
      </w:r>
    </w:p>
    <w:p w:rsidR="00676F61" w:rsidRDefault="00464DAF" w:rsidP="00464DAF">
      <w:pPr>
        <w:pStyle w:val="Order2"/>
        <w:numPr>
          <w:ilvl w:val="0"/>
          <w:numId w:val="0"/>
        </w:numPr>
        <w:ind w:left="1440" w:hanging="720"/>
      </w:pPr>
      <w:r>
        <w:lastRenderedPageBreak/>
        <w:t>(c)</w:t>
      </w:r>
      <w:r>
        <w:tab/>
      </w:r>
      <w:r w:rsidR="00676F61">
        <w:t>an obligation to disclose to Investa Residential (by disclosing the relevant matters to officers of Investa Properties) any matters material to the sale of Lot 170;</w:t>
      </w:r>
    </w:p>
    <w:p w:rsidR="00676F61" w:rsidRDefault="00464DAF" w:rsidP="00464DAF">
      <w:pPr>
        <w:pStyle w:val="Order2"/>
        <w:numPr>
          <w:ilvl w:val="0"/>
          <w:numId w:val="0"/>
        </w:numPr>
        <w:ind w:left="1440" w:hanging="720"/>
      </w:pPr>
      <w:r>
        <w:t>(d)</w:t>
      </w:r>
      <w:r>
        <w:tab/>
      </w:r>
      <w:r w:rsidR="00676F61">
        <w:t>an obligation not to put themselves in a position of conflict between their duties to act in good faith in the best interests of Investa Residential on the one hand and their own personal interests on the other hand, without the informed consent of Investa Residential;</w:t>
      </w:r>
    </w:p>
    <w:p w:rsidR="00676F61" w:rsidRDefault="00464DAF" w:rsidP="00464DAF">
      <w:pPr>
        <w:pStyle w:val="Order2"/>
        <w:numPr>
          <w:ilvl w:val="0"/>
          <w:numId w:val="0"/>
        </w:numPr>
        <w:ind w:left="1440" w:hanging="720"/>
      </w:pPr>
      <w:r>
        <w:t>(e)</w:t>
      </w:r>
      <w:r>
        <w:tab/>
      </w:r>
      <w:r w:rsidR="00676F61">
        <w:t xml:space="preserve">an obligation to disclose to Investa Residential (by disclosing the relevant matters to officers of Investa Properties) the arrangements struck between Mr Nankervis, Mr Barclay and Mr David Tonuri </w:t>
      </w:r>
      <w:r w:rsidR="00525482">
        <w:t xml:space="preserve">(“Mr Tonuri”) </w:t>
      </w:r>
      <w:r w:rsidR="00676F61">
        <w:t>in relation to Lot 170, having regard to the matters described at [302] to [316] and [338] to [352] of the Full Court’s reasons.</w:t>
      </w:r>
    </w:p>
    <w:p w:rsidR="00676F61" w:rsidRDefault="00464DAF" w:rsidP="00464DAF">
      <w:pPr>
        <w:pStyle w:val="Order1"/>
        <w:numPr>
          <w:ilvl w:val="0"/>
          <w:numId w:val="0"/>
        </w:numPr>
        <w:ind w:left="720" w:hanging="720"/>
      </w:pPr>
      <w:r>
        <w:t>4.</w:t>
      </w:r>
      <w:r>
        <w:tab/>
      </w:r>
      <w:r w:rsidR="00676F61">
        <w:t>Mr Barclay breached the Declaration 3 fiduciary duties by:</w:t>
      </w:r>
    </w:p>
    <w:p w:rsidR="00676F61" w:rsidRDefault="00464DAF" w:rsidP="00464DAF">
      <w:pPr>
        <w:pStyle w:val="Order2"/>
        <w:numPr>
          <w:ilvl w:val="0"/>
          <w:numId w:val="0"/>
        </w:numPr>
        <w:ind w:left="1440" w:hanging="720"/>
      </w:pPr>
      <w:r>
        <w:t>(a)</w:t>
      </w:r>
      <w:r>
        <w:tab/>
      </w:r>
      <w:r w:rsidR="00676F61">
        <w:t>entering into the arrangement, agreement or understanding with Mr Nankervis and Mr Tonuri as examined in the Full Court’s reasons at [338] to [348] pursuant to which Mr Barclay would derive profit or other benefits (along with Mr Nankervis and/or Mr Tonuri or otherwise) from the sale by Investa Residential of Lot 170 to Mr Tonuri or his nominee entity;</w:t>
      </w:r>
    </w:p>
    <w:p w:rsidR="00676F61" w:rsidRDefault="00464DAF" w:rsidP="00464DAF">
      <w:pPr>
        <w:pStyle w:val="Order2"/>
        <w:numPr>
          <w:ilvl w:val="0"/>
          <w:numId w:val="0"/>
        </w:numPr>
        <w:ind w:left="1440" w:hanging="720"/>
      </w:pPr>
      <w:r>
        <w:t>(b)</w:t>
      </w:r>
      <w:r>
        <w:tab/>
      </w:r>
      <w:r w:rsidR="00676F61">
        <w:t>failing to disclose to Investa Residential (by disclosing the relevant matters to officers of Investa Properties) the content of the arrangement, agreement or understanding Mr Barclay had reached with Mr Nankervis and Mr Tonuri for the sale of Lot 170 by Investa Residential to Mr Tonuri or his nominee entity;</w:t>
      </w:r>
    </w:p>
    <w:p w:rsidR="00676F61" w:rsidRDefault="00464DAF" w:rsidP="00464DAF">
      <w:pPr>
        <w:pStyle w:val="Order2"/>
        <w:numPr>
          <w:ilvl w:val="0"/>
          <w:numId w:val="0"/>
        </w:numPr>
        <w:ind w:left="1440" w:hanging="720"/>
      </w:pPr>
      <w:r>
        <w:t>(c)</w:t>
      </w:r>
      <w:r>
        <w:tab/>
      </w:r>
      <w:r w:rsidR="00676F61">
        <w:t>failing to disclose to Investa Residential (by disclosing the relevant matters to officers of Investa Properties) any and all matters material to the sale of Lot 170 by Investa Residential including any matters falling within Declaration 3(b).</w:t>
      </w:r>
    </w:p>
    <w:p w:rsidR="00676F61" w:rsidRDefault="00464DAF" w:rsidP="00464DAF">
      <w:pPr>
        <w:pStyle w:val="Order1"/>
        <w:numPr>
          <w:ilvl w:val="0"/>
          <w:numId w:val="0"/>
        </w:numPr>
        <w:ind w:left="720" w:hanging="720"/>
      </w:pPr>
      <w:r>
        <w:t>5.</w:t>
      </w:r>
      <w:r>
        <w:tab/>
      </w:r>
      <w:r w:rsidR="00676F61">
        <w:t xml:space="preserve">Having regard to Mr Barclay’s position, role and responsibilities within OHSEQ, the knowledge of Mr Barclay concerning all matters material to the sale of Lot 170 by OHSEQ as agent for Investa Residential is knowledge of, and imputed to, OHSEQ.  </w:t>
      </w:r>
    </w:p>
    <w:p w:rsidR="00676F61" w:rsidRDefault="00464DAF" w:rsidP="00464DAF">
      <w:pPr>
        <w:pStyle w:val="Order1"/>
        <w:numPr>
          <w:ilvl w:val="0"/>
          <w:numId w:val="0"/>
        </w:numPr>
        <w:ind w:left="720" w:hanging="720"/>
      </w:pPr>
      <w:r>
        <w:t>6.</w:t>
      </w:r>
      <w:r>
        <w:tab/>
      </w:r>
      <w:r w:rsidR="00676F61">
        <w:t>Oliver Hume South East Queensland Pty Ltd breached the Declaration 3 fiduciary duties by:</w:t>
      </w:r>
    </w:p>
    <w:p w:rsidR="00676F61" w:rsidRDefault="00464DAF" w:rsidP="00464DAF">
      <w:pPr>
        <w:pStyle w:val="Order2"/>
        <w:numPr>
          <w:ilvl w:val="0"/>
          <w:numId w:val="0"/>
        </w:numPr>
        <w:ind w:left="1440" w:hanging="720"/>
      </w:pPr>
      <w:r>
        <w:lastRenderedPageBreak/>
        <w:t>(a)</w:t>
      </w:r>
      <w:r>
        <w:tab/>
      </w:r>
      <w:r w:rsidR="00676F61">
        <w:t>failing to disclose to Investa Residential (by disclosing the relevant matters to officers of Investa Properties) the content of the arrangement, agreement or understanding Mr Barclay had reached with Mr Nankervis and Mr Tonuri for the sale of Lot 170 by Investa Residential to Mr Tonuri or his nominee entity;</w:t>
      </w:r>
    </w:p>
    <w:p w:rsidR="00676F61" w:rsidRDefault="00464DAF" w:rsidP="00464DAF">
      <w:pPr>
        <w:pStyle w:val="Order2"/>
        <w:numPr>
          <w:ilvl w:val="0"/>
          <w:numId w:val="0"/>
        </w:numPr>
        <w:ind w:left="1440" w:hanging="720"/>
      </w:pPr>
      <w:r>
        <w:t>(b)</w:t>
      </w:r>
      <w:r>
        <w:tab/>
      </w:r>
      <w:r w:rsidR="00676F61">
        <w:t>failing to disclose to Investa Residential (by disclosing the relevant matters to officers of Investa Properties) any and all matters material to the sale of Lot 170 by Investa Residential including any matters falling within Declaration 3(b).</w:t>
      </w:r>
    </w:p>
    <w:p w:rsidR="00676F61" w:rsidRPr="005759C1" w:rsidRDefault="00676F61" w:rsidP="00676F61">
      <w:pPr>
        <w:pStyle w:val="NoNum"/>
        <w:rPr>
          <w:b/>
        </w:rPr>
      </w:pPr>
      <w:r w:rsidRPr="005759C1">
        <w:rPr>
          <w:b/>
        </w:rPr>
        <w:t>THE COURT ORDERS THAT:</w:t>
      </w:r>
    </w:p>
    <w:p w:rsidR="00464DAF" w:rsidRDefault="00676F61" w:rsidP="00464DAF">
      <w:pPr>
        <w:pStyle w:val="Order1"/>
        <w:numPr>
          <w:ilvl w:val="0"/>
          <w:numId w:val="43"/>
        </w:numPr>
      </w:pPr>
      <w:r>
        <w:t>The appeal is allowed.</w:t>
      </w:r>
    </w:p>
    <w:p w:rsidR="00464DAF" w:rsidRDefault="00676F61" w:rsidP="00464DAF">
      <w:pPr>
        <w:pStyle w:val="Order1"/>
        <w:numPr>
          <w:ilvl w:val="0"/>
          <w:numId w:val="43"/>
        </w:numPr>
      </w:pPr>
      <w:r>
        <w:t xml:space="preserve">Declarations 5(c), 5(d), 5(e), 5(f) and 5(g) of the Declarations made by her Honour Justice Collier on 10 September 2015 be set aside.  </w:t>
      </w:r>
    </w:p>
    <w:p w:rsidR="00464DAF" w:rsidRDefault="00676F61" w:rsidP="00464DAF">
      <w:pPr>
        <w:pStyle w:val="Order1"/>
        <w:numPr>
          <w:ilvl w:val="0"/>
          <w:numId w:val="43"/>
        </w:numPr>
      </w:pPr>
      <w:r>
        <w:t>The cross</w:t>
      </w:r>
      <w:r>
        <w:noBreakHyphen/>
        <w:t>appeal is dismissed and the Court notes that the subject matter of Grounds 6 and 7 of the cross</w:t>
      </w:r>
      <w:r>
        <w:noBreakHyphen/>
        <w:t xml:space="preserve">appeal by Mr Barclay filed on 23 October 2015 concerning the value of, and loss, if any, arising from the sale of Lot 191 may be considered by the primary Judge in determining questions of remedy.  </w:t>
      </w:r>
    </w:p>
    <w:p w:rsidR="00464DAF" w:rsidRDefault="00676F61" w:rsidP="00464DAF">
      <w:pPr>
        <w:pStyle w:val="Order1"/>
        <w:numPr>
          <w:ilvl w:val="0"/>
          <w:numId w:val="43"/>
        </w:numPr>
      </w:pPr>
      <w:r>
        <w:t xml:space="preserve">The respondents pay the costs of the appellants of the appeal.  </w:t>
      </w:r>
    </w:p>
    <w:p w:rsidR="00464DAF" w:rsidRDefault="00676F61" w:rsidP="00464DAF">
      <w:pPr>
        <w:pStyle w:val="Order1"/>
        <w:numPr>
          <w:ilvl w:val="0"/>
          <w:numId w:val="43"/>
        </w:numPr>
      </w:pPr>
      <w:r>
        <w:t>The cross</w:t>
      </w:r>
      <w:r>
        <w:noBreakHyphen/>
        <w:t xml:space="preserve">appellant, </w:t>
      </w:r>
      <w:r w:rsidR="00525482">
        <w:t>Mr </w:t>
      </w:r>
      <w:r>
        <w:t>Barclay, pay the cross</w:t>
      </w:r>
      <w:r>
        <w:noBreakHyphen/>
        <w:t>respondents’ costs of the cross</w:t>
      </w:r>
      <w:r>
        <w:noBreakHyphen/>
        <w:t xml:space="preserve">appeal.  </w:t>
      </w:r>
    </w:p>
    <w:p w:rsidR="00AA1389" w:rsidRPr="00464DAF" w:rsidRDefault="00AA1389" w:rsidP="00464DAF">
      <w:pPr>
        <w:pStyle w:val="Order1"/>
        <w:numPr>
          <w:ilvl w:val="0"/>
          <w:numId w:val="43"/>
        </w:numPr>
      </w:pPr>
      <w:r w:rsidRPr="00464DAF">
        <w:rPr>
          <w:szCs w:val="24"/>
        </w:rPr>
        <w:t xml:space="preserve">Pursuant to s 23 and s 37P of the </w:t>
      </w:r>
      <w:r w:rsidRPr="00464DAF">
        <w:rPr>
          <w:i/>
          <w:iCs/>
          <w:szCs w:val="24"/>
        </w:rPr>
        <w:t>Federal Court of Australia Act 1976</w:t>
      </w:r>
      <w:r w:rsidRPr="00464DAF">
        <w:rPr>
          <w:szCs w:val="24"/>
        </w:rPr>
        <w:t xml:space="preserve"> (Cth), rule 1.32 and rule 1.36 of the </w:t>
      </w:r>
      <w:r w:rsidRPr="00464DAF">
        <w:rPr>
          <w:i/>
          <w:iCs/>
          <w:szCs w:val="24"/>
        </w:rPr>
        <w:t>Federal Court Rules 2011</w:t>
      </w:r>
      <w:r w:rsidRPr="00464DAF">
        <w:rPr>
          <w:szCs w:val="24"/>
        </w:rPr>
        <w:t xml:space="preserve">, these orders and the reasons for judgment in support of these orders are made and published by the Full Court from the Chambers of the Hon Justice Greenwood.  </w:t>
      </w: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r>
        <w:t>Note:</w:t>
      </w:r>
      <w:r>
        <w:tab/>
        <w:t xml:space="preserve">Entry of orders is dealt with in Rule 39.32 of the </w:t>
      </w:r>
      <w:r>
        <w:rPr>
          <w:i/>
        </w:rPr>
        <w:t>Federal Court Rules 2011</w:t>
      </w:r>
      <w:r>
        <w:t>.</w:t>
      </w:r>
    </w:p>
    <w:p w:rsidR="00587320" w:rsidRDefault="00587320" w:rsidP="00587320">
      <w:pPr>
        <w:pStyle w:val="BodyText"/>
      </w:pPr>
    </w:p>
    <w:p w:rsidR="00587320" w:rsidRDefault="00587320" w:rsidP="00587320">
      <w:pPr>
        <w:pStyle w:val="NormalHeadings"/>
        <w:spacing w:before="240" w:after="120"/>
        <w:rPr>
          <w:b w:val="0"/>
        </w:rPr>
        <w:sectPr w:rsidR="00587320" w:rsidSect="00B80015">
          <w:endnotePr>
            <w:numFmt w:val="decimal"/>
          </w:endnotePr>
          <w:pgSz w:w="11907" w:h="16840" w:code="9"/>
          <w:pgMar w:top="1440" w:right="1440" w:bottom="1440" w:left="1440" w:header="851" w:footer="851" w:gutter="0"/>
          <w:pgNumType w:fmt="lowerRoman"/>
          <w:cols w:space="720"/>
          <w:noEndnote/>
          <w:docGrid w:linePitch="326"/>
        </w:sectPr>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7D4C79" w:rsidTr="00F85CAF">
        <w:tc>
          <w:tcPr>
            <w:tcW w:w="9242" w:type="dxa"/>
            <w:gridSpan w:val="3"/>
          </w:tcPr>
          <w:p w:rsidR="007D4C79" w:rsidRPr="007D4C79" w:rsidRDefault="007D4C79" w:rsidP="007D4C79">
            <w:pPr>
              <w:pStyle w:val="NormalHeadings"/>
              <w:jc w:val="center"/>
              <w:rPr>
                <w:sz w:val="28"/>
                <w:szCs w:val="28"/>
              </w:rPr>
            </w:pPr>
            <w:r w:rsidRPr="007D4C79">
              <w:rPr>
                <w:sz w:val="28"/>
                <w:szCs w:val="28"/>
              </w:rPr>
              <w:lastRenderedPageBreak/>
              <w:t>ORDERS</w:t>
            </w:r>
          </w:p>
          <w:p w:rsidR="007D4C79" w:rsidRDefault="007D4C79" w:rsidP="00A47320">
            <w:pPr>
              <w:pStyle w:val="NormalHeadings"/>
              <w:jc w:val="right"/>
            </w:pPr>
          </w:p>
        </w:tc>
      </w:tr>
      <w:tr w:rsidR="007D4C79" w:rsidTr="00B57180">
        <w:tc>
          <w:tcPr>
            <w:tcW w:w="6912" w:type="dxa"/>
            <w:gridSpan w:val="2"/>
          </w:tcPr>
          <w:p w:rsidR="007D4C79" w:rsidRPr="001765E0" w:rsidRDefault="007D4C79" w:rsidP="00B57180">
            <w:pPr>
              <w:pStyle w:val="NormalHeadings"/>
            </w:pPr>
          </w:p>
        </w:tc>
        <w:tc>
          <w:tcPr>
            <w:tcW w:w="2330" w:type="dxa"/>
          </w:tcPr>
          <w:p w:rsidR="007D4C79" w:rsidRDefault="007D4C79" w:rsidP="00B57180">
            <w:pPr>
              <w:pStyle w:val="NormalHeadings"/>
              <w:jc w:val="right"/>
            </w:pPr>
            <w:r>
              <w:t>QUD 925 of 2015</w:t>
            </w:r>
          </w:p>
        </w:tc>
      </w:tr>
      <w:tr w:rsidR="00587320" w:rsidTr="00A47320">
        <w:tc>
          <w:tcPr>
            <w:tcW w:w="9242" w:type="dxa"/>
            <w:gridSpan w:val="3"/>
          </w:tcPr>
          <w:p w:rsidR="00587320" w:rsidRPr="00A76C13" w:rsidRDefault="00587320" w:rsidP="00A47320">
            <w:pPr>
              <w:pStyle w:val="NormalHeadings"/>
              <w:jc w:val="left"/>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BETWEEN:</w:t>
            </w:r>
          </w:p>
        </w:tc>
        <w:tc>
          <w:tcPr>
            <w:tcW w:w="6866" w:type="dxa"/>
            <w:gridSpan w:val="2"/>
          </w:tcPr>
          <w:p w:rsidR="00587320" w:rsidRPr="008D226B" w:rsidRDefault="00587320" w:rsidP="00A47320">
            <w:pPr>
              <w:pStyle w:val="NormalHeadings"/>
            </w:pPr>
            <w:r>
              <w:t>INVESTA PROPERTIES PTY LTD ACN 084 407 241</w:t>
            </w:r>
          </w:p>
          <w:p w:rsidR="00587320" w:rsidRDefault="00587320" w:rsidP="00A47320">
            <w:pPr>
              <w:pStyle w:val="PartyType"/>
            </w:pPr>
            <w:r>
              <w:t>First Appellant</w:t>
            </w:r>
          </w:p>
          <w:p w:rsidR="002A35A6" w:rsidRDefault="002A35A6" w:rsidP="00A47320">
            <w:pPr>
              <w:pStyle w:val="PartyType"/>
            </w:pPr>
          </w:p>
          <w:p w:rsidR="002A35A6" w:rsidRDefault="002A35A6" w:rsidP="002A35A6">
            <w:pPr>
              <w:pStyle w:val="NormalHeadings"/>
            </w:pPr>
            <w:proofErr w:type="spellStart"/>
            <w:r>
              <w:t>INVESTA</w:t>
            </w:r>
            <w:proofErr w:type="spellEnd"/>
            <w:r>
              <w:t xml:space="preserve"> RESIDENTIAL GROUP PTY LTD ACN 098 527 390</w:t>
            </w:r>
          </w:p>
          <w:p w:rsidR="00587320" w:rsidRPr="006555B4" w:rsidRDefault="002A35A6" w:rsidP="002A35A6">
            <w:pPr>
              <w:pStyle w:val="PartyType"/>
            </w:pPr>
            <w:r>
              <w:t>Second Appellant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Pr="008D226B" w:rsidRDefault="00587320" w:rsidP="00A47320">
            <w:pPr>
              <w:pStyle w:val="NormalHeadings"/>
            </w:pPr>
            <w:r>
              <w:t>ASHLEY COLIN NANKERVIS</w:t>
            </w:r>
          </w:p>
          <w:p w:rsidR="00587320" w:rsidRDefault="00587320" w:rsidP="00A47320">
            <w:pPr>
              <w:pStyle w:val="PartyType"/>
            </w:pPr>
            <w:r>
              <w:t>First Respondent</w:t>
            </w:r>
          </w:p>
          <w:p w:rsidR="002A35A6" w:rsidRDefault="002A35A6" w:rsidP="00A47320">
            <w:pPr>
              <w:pStyle w:val="PartyType"/>
            </w:pPr>
          </w:p>
          <w:p w:rsidR="002A35A6" w:rsidRPr="008D226B" w:rsidRDefault="002A35A6" w:rsidP="002A35A6">
            <w:pPr>
              <w:pStyle w:val="NormalHeadings"/>
            </w:pPr>
            <w:r>
              <w:t>ADAM KIMBERLY BARCLAY</w:t>
            </w:r>
          </w:p>
          <w:p w:rsidR="002A35A6" w:rsidRDefault="002A35A6" w:rsidP="002A35A6">
            <w:pPr>
              <w:pStyle w:val="PartyType"/>
            </w:pPr>
            <w:r>
              <w:t>Second Respondent</w:t>
            </w:r>
          </w:p>
          <w:p w:rsidR="002A35A6" w:rsidRDefault="002A35A6" w:rsidP="00A47320">
            <w:pPr>
              <w:pStyle w:val="PartyType"/>
            </w:pPr>
          </w:p>
          <w:p w:rsidR="002A35A6" w:rsidRDefault="002A35A6" w:rsidP="002A35A6">
            <w:pPr>
              <w:pStyle w:val="NormalHeadings"/>
            </w:pPr>
            <w:r>
              <w:t>OLIVER HUME SOUTH EAST QUEENSLAND PTY LTD ACN 128 863 230</w:t>
            </w:r>
          </w:p>
          <w:p w:rsidR="002A35A6" w:rsidRPr="006555B4" w:rsidRDefault="002A35A6" w:rsidP="002A35A6">
            <w:pPr>
              <w:pStyle w:val="PartyType"/>
            </w:pPr>
            <w:r>
              <w:t>Third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676F61" w:rsidTr="00417D1C">
        <w:tc>
          <w:tcPr>
            <w:tcW w:w="2376" w:type="dxa"/>
          </w:tcPr>
          <w:p w:rsidR="00676F61" w:rsidRDefault="00676F61" w:rsidP="00417D1C">
            <w:pPr>
              <w:pStyle w:val="NormalHeadings"/>
              <w:spacing w:after="120"/>
              <w:jc w:val="left"/>
              <w:rPr>
                <w:caps/>
                <w:szCs w:val="24"/>
              </w:rPr>
            </w:pPr>
            <w:r>
              <w:rPr>
                <w:caps/>
                <w:szCs w:val="24"/>
              </w:rPr>
              <w:t>JUDGES:</w:t>
            </w:r>
          </w:p>
        </w:tc>
        <w:tc>
          <w:tcPr>
            <w:tcW w:w="6866" w:type="dxa"/>
            <w:gridSpan w:val="2"/>
          </w:tcPr>
          <w:p w:rsidR="00676F61" w:rsidRDefault="00676F61" w:rsidP="00417D1C">
            <w:pPr>
              <w:pStyle w:val="NormalHeadings"/>
              <w:jc w:val="left"/>
              <w:rPr>
                <w:caps/>
                <w:szCs w:val="24"/>
              </w:rPr>
            </w:pPr>
            <w:r>
              <w:rPr>
                <w:caps/>
                <w:szCs w:val="24"/>
              </w:rPr>
              <w:t>DOWSETT, GREENWOOD AND WHITE JJ</w:t>
            </w:r>
          </w:p>
        </w:tc>
      </w:tr>
      <w:tr w:rsidR="00676F61" w:rsidTr="00417D1C">
        <w:tc>
          <w:tcPr>
            <w:tcW w:w="2376" w:type="dxa"/>
          </w:tcPr>
          <w:p w:rsidR="00676F61" w:rsidRDefault="00676F61" w:rsidP="00417D1C">
            <w:pPr>
              <w:pStyle w:val="NormalHeadings"/>
              <w:spacing w:after="120"/>
              <w:jc w:val="left"/>
              <w:rPr>
                <w:caps/>
                <w:szCs w:val="24"/>
              </w:rPr>
            </w:pPr>
            <w:r>
              <w:rPr>
                <w:caps/>
                <w:szCs w:val="24"/>
              </w:rPr>
              <w:t>DATE OF ORDER:</w:t>
            </w:r>
          </w:p>
        </w:tc>
        <w:tc>
          <w:tcPr>
            <w:tcW w:w="6866" w:type="dxa"/>
            <w:gridSpan w:val="2"/>
          </w:tcPr>
          <w:p w:rsidR="00676F61" w:rsidRDefault="007D4C79" w:rsidP="00417D1C">
            <w:pPr>
              <w:pStyle w:val="NormalHeadings"/>
              <w:jc w:val="left"/>
              <w:rPr>
                <w:caps/>
                <w:szCs w:val="24"/>
              </w:rPr>
            </w:pPr>
            <w:r>
              <w:rPr>
                <w:caps/>
                <w:szCs w:val="24"/>
              </w:rPr>
              <w:t>10</w:t>
            </w:r>
            <w:r w:rsidR="009D3611">
              <w:rPr>
                <w:caps/>
                <w:szCs w:val="24"/>
              </w:rPr>
              <w:t xml:space="preserve"> NOVEMBER 2017</w:t>
            </w:r>
          </w:p>
        </w:tc>
      </w:tr>
    </w:tbl>
    <w:p w:rsidR="00587320" w:rsidRPr="00676F61" w:rsidRDefault="00587320" w:rsidP="00587320">
      <w:pPr>
        <w:pStyle w:val="NormalHeadings"/>
        <w:rPr>
          <w:b w:val="0"/>
        </w:rPr>
      </w:pPr>
    </w:p>
    <w:p w:rsidR="00676F61" w:rsidRPr="005759C1" w:rsidRDefault="00676F61" w:rsidP="00676F61">
      <w:pPr>
        <w:pStyle w:val="NoNum"/>
        <w:rPr>
          <w:b/>
        </w:rPr>
      </w:pPr>
      <w:r>
        <w:rPr>
          <w:b/>
        </w:rPr>
        <w:t>T</w:t>
      </w:r>
      <w:r w:rsidRPr="005759C1">
        <w:rPr>
          <w:b/>
        </w:rPr>
        <w:t>HE COURT ORDERS THAT:</w:t>
      </w:r>
    </w:p>
    <w:p w:rsidR="002A35A6" w:rsidRDefault="00676F61" w:rsidP="002A35A6">
      <w:pPr>
        <w:pStyle w:val="Order1"/>
        <w:numPr>
          <w:ilvl w:val="0"/>
          <w:numId w:val="44"/>
        </w:numPr>
      </w:pPr>
      <w:r>
        <w:t xml:space="preserve">The appeal is dismissed and the Court notes that matters concerning the value of Lot 170 and loss, if any, arising from the sale of Lot 170 are matters that may be considered by the primary Judge in determining questions of remedy.  </w:t>
      </w:r>
    </w:p>
    <w:p w:rsidR="002A35A6" w:rsidRDefault="00676F61" w:rsidP="002A35A6">
      <w:pPr>
        <w:pStyle w:val="Order1"/>
        <w:numPr>
          <w:ilvl w:val="0"/>
          <w:numId w:val="44"/>
        </w:numPr>
      </w:pPr>
      <w:r>
        <w:t xml:space="preserve">The appellants pay the costs of the respondents of and incidental to the appeal.  </w:t>
      </w:r>
    </w:p>
    <w:p w:rsidR="00AA1389" w:rsidRPr="002A35A6" w:rsidRDefault="00AA1389" w:rsidP="002A35A6">
      <w:pPr>
        <w:pStyle w:val="Order1"/>
        <w:numPr>
          <w:ilvl w:val="0"/>
          <w:numId w:val="44"/>
        </w:numPr>
      </w:pPr>
      <w:r w:rsidRPr="002A35A6">
        <w:rPr>
          <w:szCs w:val="24"/>
        </w:rPr>
        <w:t xml:space="preserve">Pursuant to s 23 and s 37P of the </w:t>
      </w:r>
      <w:r w:rsidRPr="002A35A6">
        <w:rPr>
          <w:i/>
          <w:iCs/>
          <w:szCs w:val="24"/>
        </w:rPr>
        <w:t>Federal Court of Australia Act 1976</w:t>
      </w:r>
      <w:r w:rsidRPr="002A35A6">
        <w:rPr>
          <w:szCs w:val="24"/>
        </w:rPr>
        <w:t xml:space="preserve"> (Cth), rule 1.32 and rule 1.36 of the </w:t>
      </w:r>
      <w:r w:rsidRPr="002A35A6">
        <w:rPr>
          <w:i/>
          <w:iCs/>
          <w:szCs w:val="24"/>
        </w:rPr>
        <w:t>Federal Court Rules 2011</w:t>
      </w:r>
      <w:r w:rsidRPr="002A35A6">
        <w:rPr>
          <w:szCs w:val="24"/>
        </w:rPr>
        <w:t xml:space="preserve">, these orders and the reasons for judgment in support of these orders are made and published by the Full Court from the Chambers of the Hon Justice Greenwood.  </w:t>
      </w:r>
    </w:p>
    <w:p w:rsidR="00676F61" w:rsidRDefault="00676F61" w:rsidP="00676F61">
      <w:pPr>
        <w:pStyle w:val="BodyText"/>
      </w:pPr>
    </w:p>
    <w:p w:rsidR="00676F61" w:rsidRDefault="00676F61" w:rsidP="00676F61">
      <w:pPr>
        <w:pStyle w:val="BodyText"/>
      </w:pPr>
    </w:p>
    <w:p w:rsidR="00676F61" w:rsidRDefault="00676F61" w:rsidP="00676F61">
      <w:pPr>
        <w:pStyle w:val="SingleSpace"/>
      </w:pPr>
      <w:r>
        <w:t>Note:</w:t>
      </w:r>
      <w:r>
        <w:tab/>
        <w:t xml:space="preserve">Entry of orders is dealt with in Rule 39.32 of the </w:t>
      </w:r>
      <w:r>
        <w:rPr>
          <w:i/>
        </w:rPr>
        <w:t>Federal Court Rules 2011</w:t>
      </w:r>
      <w:r>
        <w:t>.</w:t>
      </w:r>
    </w:p>
    <w:p w:rsidR="00676F61" w:rsidRDefault="00676F61" w:rsidP="00587320">
      <w:pPr>
        <w:pStyle w:val="SingleSpace"/>
      </w:pPr>
    </w:p>
    <w:p w:rsidR="00676F61" w:rsidRDefault="00676F61" w:rsidP="00587320">
      <w:pPr>
        <w:pStyle w:val="SingleSpace"/>
      </w:pPr>
    </w:p>
    <w:p w:rsidR="00676F61" w:rsidRDefault="00676F61" w:rsidP="00587320">
      <w:pPr>
        <w:pStyle w:val="SingleSpace"/>
        <w:sectPr w:rsidR="00676F61" w:rsidSect="00FB2F3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fmt="lowerRoman"/>
          <w:cols w:space="720"/>
          <w:noEndnote/>
          <w:titlePg/>
        </w:sectPr>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7D4C79" w:rsidTr="00B57180">
        <w:tc>
          <w:tcPr>
            <w:tcW w:w="9242" w:type="dxa"/>
            <w:gridSpan w:val="3"/>
          </w:tcPr>
          <w:p w:rsidR="007D4C79" w:rsidRPr="007D4C79" w:rsidRDefault="007D4C79" w:rsidP="00B57180">
            <w:pPr>
              <w:pStyle w:val="NormalHeadings"/>
              <w:jc w:val="center"/>
              <w:rPr>
                <w:sz w:val="28"/>
                <w:szCs w:val="28"/>
              </w:rPr>
            </w:pPr>
            <w:r w:rsidRPr="007D4C79">
              <w:rPr>
                <w:sz w:val="28"/>
                <w:szCs w:val="28"/>
              </w:rPr>
              <w:lastRenderedPageBreak/>
              <w:t>ORDERS</w:t>
            </w:r>
          </w:p>
          <w:p w:rsidR="007D4C79" w:rsidRDefault="007D4C79" w:rsidP="00B57180">
            <w:pPr>
              <w:pStyle w:val="NormalHeadings"/>
              <w:jc w:val="right"/>
            </w:pPr>
          </w:p>
        </w:tc>
      </w:tr>
      <w:tr w:rsidR="00587320" w:rsidTr="00A47320">
        <w:tc>
          <w:tcPr>
            <w:tcW w:w="6912" w:type="dxa"/>
            <w:gridSpan w:val="2"/>
          </w:tcPr>
          <w:p w:rsidR="00587320" w:rsidRPr="001765E0" w:rsidRDefault="00587320" w:rsidP="00A47320">
            <w:pPr>
              <w:pStyle w:val="NormalHeadings"/>
            </w:pPr>
          </w:p>
        </w:tc>
        <w:tc>
          <w:tcPr>
            <w:tcW w:w="2330" w:type="dxa"/>
          </w:tcPr>
          <w:p w:rsidR="00587320" w:rsidRDefault="00587320" w:rsidP="00A47320">
            <w:pPr>
              <w:pStyle w:val="NormalHeadings"/>
              <w:jc w:val="right"/>
            </w:pPr>
            <w:r>
              <w:t>QUD 1002 of 2015</w:t>
            </w:r>
          </w:p>
        </w:tc>
      </w:tr>
      <w:tr w:rsidR="00587320" w:rsidTr="00A47320">
        <w:tc>
          <w:tcPr>
            <w:tcW w:w="9242" w:type="dxa"/>
            <w:gridSpan w:val="3"/>
          </w:tcPr>
          <w:p w:rsidR="00587320" w:rsidRPr="00A76C13" w:rsidRDefault="00587320" w:rsidP="00A47320">
            <w:pPr>
              <w:pStyle w:val="NormalHeadings"/>
              <w:jc w:val="left"/>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BETWEEN:</w:t>
            </w:r>
          </w:p>
        </w:tc>
        <w:tc>
          <w:tcPr>
            <w:tcW w:w="6866" w:type="dxa"/>
            <w:gridSpan w:val="2"/>
          </w:tcPr>
          <w:p w:rsidR="00587320" w:rsidRPr="008D226B" w:rsidRDefault="00587320" w:rsidP="00A47320">
            <w:pPr>
              <w:pStyle w:val="NormalHeadings"/>
            </w:pPr>
            <w:r>
              <w:t>ADAM KIMBERLY BARCLAY</w:t>
            </w:r>
          </w:p>
          <w:p w:rsidR="00587320" w:rsidRDefault="00587320" w:rsidP="00A47320">
            <w:pPr>
              <w:pStyle w:val="PartyType"/>
            </w:pPr>
            <w:r>
              <w:t>Appellant</w:t>
            </w:r>
          </w:p>
          <w:p w:rsidR="00587320" w:rsidRPr="006555B4"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Default="00587320" w:rsidP="00A47320">
            <w:pPr>
              <w:pStyle w:val="NormalHeadings"/>
            </w:pPr>
            <w:r>
              <w:t>OLIVER HUME SOUTH EAST QUEENSLAND PTY LTD ACN 128 863 230</w:t>
            </w:r>
          </w:p>
          <w:p w:rsidR="00587320" w:rsidRPr="00CE2FB6" w:rsidRDefault="00587320" w:rsidP="00CE2FB6">
            <w:pPr>
              <w:pStyle w:val="PartyType"/>
            </w:pPr>
            <w:r>
              <w:t>First Respondent</w:t>
            </w:r>
          </w:p>
          <w:p w:rsidR="002A35A6" w:rsidRDefault="002A35A6" w:rsidP="00A47320">
            <w:pPr>
              <w:pStyle w:val="NormalHeadings"/>
              <w:rPr>
                <w:b w:val="0"/>
              </w:rPr>
            </w:pPr>
          </w:p>
          <w:p w:rsidR="002A35A6" w:rsidRDefault="002A35A6" w:rsidP="002A35A6">
            <w:pPr>
              <w:pStyle w:val="NormalHeadings"/>
            </w:pPr>
            <w:r>
              <w:t>VERO INSURANCE LIMITED ABN 48 005 297 807</w:t>
            </w:r>
          </w:p>
          <w:p w:rsidR="002A35A6" w:rsidRPr="006555B4" w:rsidRDefault="002A35A6" w:rsidP="00CE2FB6">
            <w:pPr>
              <w:pStyle w:val="PartyType"/>
            </w:pPr>
            <w:r>
              <w:t>Second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c>
          <w:tcPr>
            <w:tcW w:w="2376" w:type="dxa"/>
          </w:tcPr>
          <w:p w:rsidR="00587320" w:rsidRDefault="00587320" w:rsidP="00A47320">
            <w:pPr>
              <w:pStyle w:val="NormalHeadings"/>
              <w:spacing w:after="120"/>
              <w:jc w:val="left"/>
              <w:rPr>
                <w:caps/>
                <w:szCs w:val="24"/>
              </w:rPr>
            </w:pPr>
            <w:r>
              <w:rPr>
                <w:caps/>
                <w:szCs w:val="24"/>
              </w:rPr>
              <w:t>JUDGES:</w:t>
            </w:r>
          </w:p>
        </w:tc>
        <w:tc>
          <w:tcPr>
            <w:tcW w:w="6866" w:type="dxa"/>
            <w:gridSpan w:val="2"/>
          </w:tcPr>
          <w:p w:rsidR="00587320" w:rsidRDefault="00587320" w:rsidP="00A47320">
            <w:pPr>
              <w:pStyle w:val="NormalHeadings"/>
              <w:jc w:val="left"/>
              <w:rPr>
                <w:caps/>
                <w:szCs w:val="24"/>
              </w:rPr>
            </w:pPr>
            <w:r>
              <w:rPr>
                <w:caps/>
                <w:szCs w:val="24"/>
              </w:rPr>
              <w:t>DOWSETT, GREENWOOD AND WHITE JJ</w:t>
            </w:r>
          </w:p>
        </w:tc>
      </w:tr>
      <w:tr w:rsidR="00587320" w:rsidTr="00A47320">
        <w:tc>
          <w:tcPr>
            <w:tcW w:w="2376" w:type="dxa"/>
          </w:tcPr>
          <w:p w:rsidR="00587320" w:rsidRDefault="00587320" w:rsidP="00A47320">
            <w:pPr>
              <w:pStyle w:val="NormalHeadings"/>
              <w:spacing w:after="120"/>
              <w:jc w:val="left"/>
              <w:rPr>
                <w:caps/>
                <w:szCs w:val="24"/>
              </w:rPr>
            </w:pPr>
            <w:r>
              <w:rPr>
                <w:caps/>
                <w:szCs w:val="24"/>
              </w:rPr>
              <w:t>DATE OF ORDER:</w:t>
            </w:r>
          </w:p>
        </w:tc>
        <w:tc>
          <w:tcPr>
            <w:tcW w:w="6866" w:type="dxa"/>
            <w:gridSpan w:val="2"/>
          </w:tcPr>
          <w:p w:rsidR="00587320" w:rsidRDefault="007D4C79" w:rsidP="00A47320">
            <w:pPr>
              <w:pStyle w:val="NormalHeadings"/>
              <w:jc w:val="left"/>
              <w:rPr>
                <w:caps/>
                <w:szCs w:val="24"/>
              </w:rPr>
            </w:pPr>
            <w:r>
              <w:rPr>
                <w:caps/>
                <w:szCs w:val="24"/>
              </w:rPr>
              <w:t>10</w:t>
            </w:r>
            <w:r w:rsidR="009D3611">
              <w:rPr>
                <w:caps/>
                <w:szCs w:val="24"/>
              </w:rPr>
              <w:t xml:space="preserve"> NOVEMBER 2017</w:t>
            </w:r>
          </w:p>
        </w:tc>
      </w:tr>
    </w:tbl>
    <w:p w:rsidR="00587320" w:rsidRDefault="00587320" w:rsidP="00676F61">
      <w:pPr>
        <w:pStyle w:val="NormalHeadings"/>
        <w:spacing w:before="240" w:after="120" w:line="360" w:lineRule="auto"/>
      </w:pPr>
      <w:r>
        <w:t>THE COURT ORDERS THAT:</w:t>
      </w:r>
    </w:p>
    <w:p w:rsidR="002A35A6" w:rsidRDefault="00676F61" w:rsidP="002A35A6">
      <w:pPr>
        <w:pStyle w:val="Order1"/>
        <w:numPr>
          <w:ilvl w:val="0"/>
          <w:numId w:val="45"/>
        </w:numPr>
      </w:pPr>
      <w:r>
        <w:t>The appeal so far as it relates to Order 4 of the orders of her Honour Justice Collier made on 10 September 2015 be allowed.</w:t>
      </w:r>
    </w:p>
    <w:p w:rsidR="002A35A6" w:rsidRDefault="00676F61" w:rsidP="002A35A6">
      <w:pPr>
        <w:pStyle w:val="Order1"/>
        <w:numPr>
          <w:ilvl w:val="0"/>
          <w:numId w:val="45"/>
        </w:numPr>
      </w:pPr>
      <w:r>
        <w:t>The appeal so far as it relates to Order 5 of the orders of her Honour Justice Collier made on 10 September 2015 be allowed.</w:t>
      </w:r>
    </w:p>
    <w:p w:rsidR="002A35A6" w:rsidRDefault="00676F61" w:rsidP="002A35A6">
      <w:pPr>
        <w:pStyle w:val="Order1"/>
        <w:numPr>
          <w:ilvl w:val="0"/>
          <w:numId w:val="45"/>
        </w:numPr>
      </w:pPr>
      <w:r>
        <w:t xml:space="preserve">Orders 4 and 5 of the orders made by her Honour Justice Collier on 10 September 2015 be set aside.  </w:t>
      </w:r>
    </w:p>
    <w:p w:rsidR="002A35A6" w:rsidRDefault="00676F61" w:rsidP="002A35A6">
      <w:pPr>
        <w:pStyle w:val="Order1"/>
        <w:numPr>
          <w:ilvl w:val="0"/>
          <w:numId w:val="45"/>
        </w:numPr>
      </w:pPr>
      <w:r>
        <w:t>The cross</w:t>
      </w:r>
      <w:r>
        <w:noBreakHyphen/>
        <w:t xml:space="preserve">claim of the first respondent against the appellant filed on 10 December 2012 (the subject of Order 5 of 10 September 2015) be remitted to her Honour Justice Collier for determination according to law and in accordance with the reasons of the Full Court published on 1 September 2017.  </w:t>
      </w:r>
    </w:p>
    <w:p w:rsidR="002A35A6" w:rsidRDefault="00676F61" w:rsidP="002A35A6">
      <w:pPr>
        <w:pStyle w:val="Order1"/>
        <w:numPr>
          <w:ilvl w:val="0"/>
          <w:numId w:val="45"/>
        </w:numPr>
      </w:pPr>
      <w:r>
        <w:t>The cross</w:t>
      </w:r>
      <w:r>
        <w:noBreakHyphen/>
        <w:t xml:space="preserve">claim of the appellant against the second respondent filed on 15 December 2012 (the subject of Order 4 of 10 September 2015) be remitted to her Honour Justice Collier for determination according to law and in accordance with the reasons of the Full Court published on 1 September 2017.  </w:t>
      </w:r>
    </w:p>
    <w:p w:rsidR="002A35A6" w:rsidRDefault="00676F61" w:rsidP="002A35A6">
      <w:pPr>
        <w:pStyle w:val="Order1"/>
        <w:numPr>
          <w:ilvl w:val="0"/>
          <w:numId w:val="45"/>
        </w:numPr>
      </w:pPr>
      <w:r>
        <w:t>The appeal from Order 3 of the orders of her Honour Justice Collier made on 10 September 2015 dismissing the appellant’s cross</w:t>
      </w:r>
      <w:r>
        <w:noBreakHyphen/>
        <w:t xml:space="preserve">claim against the first respondent filed on 15 December 2012, is dismissed.  </w:t>
      </w:r>
    </w:p>
    <w:p w:rsidR="002A35A6" w:rsidRDefault="00676F61" w:rsidP="002A35A6">
      <w:pPr>
        <w:pStyle w:val="Order1"/>
        <w:numPr>
          <w:ilvl w:val="0"/>
          <w:numId w:val="45"/>
        </w:numPr>
      </w:pPr>
      <w:r>
        <w:t xml:space="preserve">As to the appellant’s appeal from Orders 3 and 5 of the orders made on 10 September 2015, there be no order as to costs.  </w:t>
      </w:r>
    </w:p>
    <w:p w:rsidR="002A35A6" w:rsidRDefault="00676F61" w:rsidP="002A35A6">
      <w:pPr>
        <w:pStyle w:val="Order1"/>
        <w:numPr>
          <w:ilvl w:val="0"/>
          <w:numId w:val="45"/>
        </w:numPr>
      </w:pPr>
      <w:r>
        <w:lastRenderedPageBreak/>
        <w:t xml:space="preserve">As to the appellant’s appeal from Order 4 of the orders made on 10 September 2015, the second respondent pay the appellant’s costs of the appeal.  </w:t>
      </w:r>
    </w:p>
    <w:p w:rsidR="00AA1389" w:rsidRPr="002A35A6" w:rsidRDefault="00AA1389" w:rsidP="002A35A6">
      <w:pPr>
        <w:pStyle w:val="Order1"/>
        <w:numPr>
          <w:ilvl w:val="0"/>
          <w:numId w:val="45"/>
        </w:numPr>
      </w:pPr>
      <w:r w:rsidRPr="002A35A6">
        <w:rPr>
          <w:szCs w:val="24"/>
        </w:rPr>
        <w:t xml:space="preserve">Pursuant to s 23 and s 37P of the </w:t>
      </w:r>
      <w:r w:rsidRPr="002A35A6">
        <w:rPr>
          <w:i/>
          <w:iCs/>
          <w:szCs w:val="24"/>
        </w:rPr>
        <w:t>Federal Court of Australia Act 1976</w:t>
      </w:r>
      <w:r w:rsidRPr="002A35A6">
        <w:rPr>
          <w:szCs w:val="24"/>
        </w:rPr>
        <w:t xml:space="preserve"> (Cth), rule 1.32 and rule 1.36 of the </w:t>
      </w:r>
      <w:r w:rsidRPr="002A35A6">
        <w:rPr>
          <w:i/>
          <w:iCs/>
          <w:szCs w:val="24"/>
        </w:rPr>
        <w:t>Federal Court Rules 2011</w:t>
      </w:r>
      <w:r w:rsidRPr="002A35A6">
        <w:rPr>
          <w:szCs w:val="24"/>
        </w:rPr>
        <w:t xml:space="preserve">, these orders and the reasons for judgment in support of these orders are made and published by the Full Court from the Chambers of the Hon Justice Greenwood.  </w:t>
      </w: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676F61" w:rsidRDefault="00676F61" w:rsidP="00676F61">
      <w:pPr>
        <w:pStyle w:val="BodyText"/>
      </w:pPr>
    </w:p>
    <w:p w:rsidR="00587320" w:rsidRDefault="00587320" w:rsidP="00587320">
      <w:pPr>
        <w:pStyle w:val="BodyText"/>
      </w:pPr>
    </w:p>
    <w:p w:rsidR="00587320" w:rsidRDefault="00587320" w:rsidP="00587320">
      <w:pPr>
        <w:pStyle w:val="SingleSpace"/>
      </w:pPr>
      <w:r>
        <w:t>Note:</w:t>
      </w:r>
      <w:r>
        <w:tab/>
        <w:t xml:space="preserve">Entry of orders is dealt with in Rule 39.32 of the </w:t>
      </w:r>
      <w:r>
        <w:rPr>
          <w:i/>
        </w:rPr>
        <w:t>Federal Court Rules 2011</w:t>
      </w:r>
      <w:r>
        <w:t>.</w:t>
      </w:r>
    </w:p>
    <w:p w:rsidR="00587320" w:rsidRDefault="00587320" w:rsidP="00587320">
      <w:pPr>
        <w:pStyle w:val="BodyText"/>
      </w:pPr>
    </w:p>
    <w:p w:rsidR="00722B63" w:rsidRDefault="00722B63" w:rsidP="00587320">
      <w:pPr>
        <w:pStyle w:val="BodyText"/>
        <w:sectPr w:rsidR="00722B63" w:rsidSect="00B80015">
          <w:endnotePr>
            <w:numFmt w:val="decimal"/>
          </w:endnotePr>
          <w:pgSz w:w="11907" w:h="16840" w:code="9"/>
          <w:pgMar w:top="1440" w:right="1440" w:bottom="1440" w:left="1440" w:header="851" w:footer="851" w:gutter="0"/>
          <w:pgNumType w:fmt="lowerRoman"/>
          <w:cols w:space="720"/>
          <w:noEndnote/>
          <w:titlePg/>
        </w:sectPr>
      </w:pPr>
    </w:p>
    <w:p w:rsidR="00722B63" w:rsidRPr="00045BB7" w:rsidRDefault="00722B63" w:rsidP="00722B63">
      <w:pPr>
        <w:pStyle w:val="NormalHeadings"/>
        <w:spacing w:line="480" w:lineRule="auto"/>
        <w:jc w:val="center"/>
        <w:rPr>
          <w:sz w:val="28"/>
          <w:szCs w:val="28"/>
        </w:rPr>
      </w:pPr>
      <w:r w:rsidRPr="00045BB7">
        <w:rPr>
          <w:sz w:val="28"/>
          <w:szCs w:val="28"/>
        </w:rPr>
        <w:lastRenderedPageBreak/>
        <w:t>REASONS FOR JUDGMENT</w:t>
      </w:r>
    </w:p>
    <w:p w:rsidR="00722B63" w:rsidRPr="00EA03CE" w:rsidRDefault="00722B63" w:rsidP="00722B63">
      <w:pPr>
        <w:pStyle w:val="NormalHeadings"/>
        <w:spacing w:line="360" w:lineRule="auto"/>
        <w:jc w:val="left"/>
        <w:rPr>
          <w:sz w:val="26"/>
          <w:szCs w:val="26"/>
        </w:rPr>
      </w:pPr>
      <w:r>
        <w:rPr>
          <w:sz w:val="26"/>
          <w:szCs w:val="26"/>
        </w:rPr>
        <w:t>DOWSETT J</w:t>
      </w:r>
      <w:r w:rsidRPr="00EA03CE">
        <w:rPr>
          <w:sz w:val="26"/>
          <w:szCs w:val="26"/>
        </w:rPr>
        <w:t>:</w:t>
      </w:r>
    </w:p>
    <w:p w:rsidR="00722B63" w:rsidRDefault="0098445C" w:rsidP="00722B63">
      <w:pPr>
        <w:pStyle w:val="ParaNumbering"/>
        <w:tabs>
          <w:tab w:val="num" w:pos="720"/>
        </w:tabs>
      </w:pPr>
      <w:r>
        <w:t>The orders proposed by Greenwood and White JJ reflect their Honours’ reasons, published on 1 September 2017</w:t>
      </w:r>
      <w:r w:rsidR="00722B63">
        <w:t xml:space="preserve">.  On that basis I </w:t>
      </w:r>
      <w:r>
        <w:t>concur in the proposed orders</w:t>
      </w:r>
      <w:r w:rsidR="00722B63">
        <w:t>.</w:t>
      </w:r>
    </w:p>
    <w:tbl>
      <w:tblPr>
        <w:tblW w:w="0" w:type="auto"/>
        <w:tblLook w:val="04A0" w:firstRow="1" w:lastRow="0" w:firstColumn="1" w:lastColumn="0" w:noHBand="0" w:noVBand="1"/>
      </w:tblPr>
      <w:tblGrid>
        <w:gridCol w:w="3794"/>
      </w:tblGrid>
      <w:tr w:rsidR="00722B63" w:rsidRPr="009033C5" w:rsidTr="00A37636">
        <w:tc>
          <w:tcPr>
            <w:tcW w:w="3794" w:type="dxa"/>
            <w:shd w:val="clear" w:color="auto" w:fill="auto"/>
          </w:tcPr>
          <w:p w:rsidR="00722B63" w:rsidRPr="009033C5" w:rsidRDefault="00722B63" w:rsidP="00A37636">
            <w:pPr>
              <w:pStyle w:val="Normal1linespace"/>
            </w:pPr>
            <w:r w:rsidRPr="009033C5">
              <w:t xml:space="preserve">I certify that the preceding </w:t>
            </w:r>
            <w:r>
              <w:t xml:space="preserve">one </w:t>
            </w:r>
            <w:r w:rsidRPr="009033C5">
              <w:t>(</w:t>
            </w:r>
            <w:r>
              <w:t>1</w:t>
            </w:r>
            <w:r w:rsidRPr="009033C5">
              <w:t xml:space="preserve">) numbered </w:t>
            </w:r>
            <w:r>
              <w:t>paragraph is</w:t>
            </w:r>
            <w:r w:rsidRPr="009033C5">
              <w:t xml:space="preserve"> a true copy of the Reasons for Judgment herein of the Honourable </w:t>
            </w:r>
            <w:r>
              <w:t>Justice Dowsett</w:t>
            </w:r>
            <w:r w:rsidRPr="009033C5">
              <w:t>.</w:t>
            </w:r>
          </w:p>
        </w:tc>
      </w:tr>
    </w:tbl>
    <w:p w:rsidR="00722B63" w:rsidRDefault="00722B63" w:rsidP="00722B63">
      <w:pPr>
        <w:pStyle w:val="BodyText"/>
      </w:pPr>
    </w:p>
    <w:p w:rsidR="00722B63" w:rsidRDefault="00722B63" w:rsidP="00722B63">
      <w:pPr>
        <w:pStyle w:val="BodyText"/>
      </w:pPr>
      <w:r>
        <w:t>Associate:</w:t>
      </w:r>
      <w:r w:rsidR="00A56448">
        <w:t xml:space="preserve">  </w:t>
      </w:r>
    </w:p>
    <w:p w:rsidR="00722B63" w:rsidRDefault="00722B63" w:rsidP="00722B63">
      <w:pPr>
        <w:pStyle w:val="BodyText"/>
      </w:pPr>
    </w:p>
    <w:p w:rsidR="00722B63" w:rsidRPr="00587320" w:rsidRDefault="00722B63" w:rsidP="00722B63">
      <w:pPr>
        <w:pStyle w:val="BodyText"/>
        <w:tabs>
          <w:tab w:val="left" w:pos="1134"/>
        </w:tabs>
      </w:pPr>
      <w:r>
        <w:t>Dated:</w:t>
      </w:r>
      <w:r>
        <w:tab/>
        <w:t>10 November 2017</w:t>
      </w:r>
    </w:p>
    <w:p w:rsidR="00587320" w:rsidRDefault="00587320" w:rsidP="00587320">
      <w:pPr>
        <w:pStyle w:val="BodyText"/>
        <w:sectPr w:rsidR="00587320" w:rsidSect="003B0C89">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587320" w:rsidRPr="00045BB7" w:rsidRDefault="00587320" w:rsidP="00587320">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rsidR="00587320" w:rsidRPr="00EA03CE" w:rsidRDefault="00722B63" w:rsidP="00587320">
      <w:pPr>
        <w:pStyle w:val="NormalHeadings"/>
        <w:spacing w:line="360" w:lineRule="auto"/>
        <w:jc w:val="left"/>
        <w:rPr>
          <w:sz w:val="26"/>
          <w:szCs w:val="26"/>
        </w:rPr>
      </w:pPr>
      <w:r>
        <w:rPr>
          <w:sz w:val="26"/>
          <w:szCs w:val="26"/>
        </w:rPr>
        <w:t>GREENWOOD AND WHITE JJ</w:t>
      </w:r>
      <w:r w:rsidR="00587320" w:rsidRPr="00EA03CE">
        <w:rPr>
          <w:sz w:val="26"/>
          <w:szCs w:val="26"/>
        </w:rPr>
        <w:t>:</w:t>
      </w:r>
    </w:p>
    <w:p w:rsidR="00DA1C2E" w:rsidRDefault="00472C10" w:rsidP="00587320">
      <w:pPr>
        <w:pStyle w:val="ParaNumbering"/>
        <w:tabs>
          <w:tab w:val="num" w:pos="720"/>
        </w:tabs>
      </w:pPr>
      <w:r>
        <w:t xml:space="preserve">On 1 September 2017, the Court published orders and reasons for judgment in support of those orders in four appellate proceedings heard together </w:t>
      </w:r>
      <w:r w:rsidR="00474AE4">
        <w:t>(</w:t>
      </w:r>
      <w:r>
        <w:t>QUD 923 of 2015, QUD 924 of 2015, QUD 925 of 2015 and QUD 1002 of 2015</w:t>
      </w:r>
      <w:r w:rsidR="00474AE4">
        <w:t xml:space="preserve">):  </w:t>
      </w:r>
      <w:r w:rsidR="00474AE4">
        <w:rPr>
          <w:i/>
        </w:rPr>
        <w:t xml:space="preserve">Oliver Hume South East Queensland Pty Ltd v Investa Residential Group Pty Ltd </w:t>
      </w:r>
      <w:r w:rsidR="00474AE4">
        <w:t>[2017] FCAFC 141</w:t>
      </w:r>
      <w:r>
        <w:t xml:space="preserve">.  </w:t>
      </w:r>
    </w:p>
    <w:p w:rsidR="00587320" w:rsidRDefault="00472C10" w:rsidP="00587320">
      <w:pPr>
        <w:pStyle w:val="ParaNumbering"/>
        <w:tabs>
          <w:tab w:val="num" w:pos="720"/>
        </w:tabs>
      </w:pPr>
      <w:r>
        <w:t xml:space="preserve">The orders provided for a timetable for the submission by the parties of proposed final orders giving effect to the reasons for judgment in support of each appeal and the filing and serving of written submissions in relation to the costs of and incidental to each appeal and any proposed orders in relation to costs of the primary proceeding.  </w:t>
      </w:r>
    </w:p>
    <w:p w:rsidR="00472C10" w:rsidRDefault="00472C10" w:rsidP="00587320">
      <w:pPr>
        <w:pStyle w:val="ParaNumbering"/>
        <w:tabs>
          <w:tab w:val="num" w:pos="720"/>
        </w:tabs>
      </w:pPr>
      <w:r>
        <w:t xml:space="preserve">It should be noted that in appeal QUD 923 of 2015, the appellant, Oliver Hume South East Queensland Pty Ltd (“OHSEQ”), sought an order that the first respondent Investa Residential Group Pty Ltd (“Investa Residential”) pay </w:t>
      </w:r>
      <w:r w:rsidR="00525482">
        <w:t xml:space="preserve">OHSEQ’s </w:t>
      </w:r>
      <w:r>
        <w:t xml:space="preserve">costs of and incidental to the principal proceeding (QUD 231 of 2011) including any reserved costs.  This was the only appeal in which any order was sought, from the Full Court, concerning the costs in relation to the principal proceeding.  It should also be noted that the primary Judge made orders for the determination of questions concerning </w:t>
      </w:r>
      <w:r w:rsidR="00474AE4">
        <w:t>duties owed (by whom and to whom) separately from the question of the remedies to be granted or awarded in respect of any proven breach.  Thus, critical elements of the causes of action are yet to be determined by the primary Judge.  As to the other three appeal proceedings and the cross</w:t>
      </w:r>
      <w:r w:rsidR="00474AE4">
        <w:noBreakHyphen/>
        <w:t xml:space="preserve">appeal by Mr Adam </w:t>
      </w:r>
      <w:r w:rsidR="00525482">
        <w:t xml:space="preserve">Kimberly </w:t>
      </w:r>
      <w:r w:rsidR="00474AE4">
        <w:t>Barclay in QUD 924 of 2015, the appellant or appellants (and in the case of the cross</w:t>
      </w:r>
      <w:r w:rsidR="00474AE4">
        <w:noBreakHyphen/>
        <w:t>appeal, the cross</w:t>
      </w:r>
      <w:r w:rsidR="00474AE4">
        <w:noBreakHyphen/>
        <w:t>appellant), sought an order in their favour for the costs of and incidental to the appeal</w:t>
      </w:r>
      <w:r w:rsidR="00DA1C2E">
        <w:t xml:space="preserve"> (and cross</w:t>
      </w:r>
      <w:r w:rsidR="00DA1C2E">
        <w:noBreakHyphen/>
        <w:t>appeal)</w:t>
      </w:r>
      <w:r w:rsidR="00474AE4">
        <w:t xml:space="preserve">.  </w:t>
      </w:r>
    </w:p>
    <w:p w:rsidR="00472C10" w:rsidRDefault="00474AE4" w:rsidP="00587320">
      <w:pPr>
        <w:pStyle w:val="ParaNumbering"/>
        <w:tabs>
          <w:tab w:val="num" w:pos="720"/>
        </w:tabs>
      </w:pPr>
      <w:r>
        <w:t xml:space="preserve">These proceedings are concerned with the determination of the final orders to be made in each appeal and the disposition of the costs.  </w:t>
      </w:r>
    </w:p>
    <w:p w:rsidR="00474AE4" w:rsidRDefault="00474AE4" w:rsidP="00587320">
      <w:pPr>
        <w:pStyle w:val="ParaNumbering"/>
        <w:tabs>
          <w:tab w:val="num" w:pos="720"/>
        </w:tabs>
      </w:pPr>
      <w:r>
        <w:t xml:space="preserve">We have had regard to the reasons for judgment, the written submissions </w:t>
      </w:r>
      <w:r w:rsidR="00F54D20">
        <w:t xml:space="preserve">of the parties </w:t>
      </w:r>
      <w:r>
        <w:t>and each of the notices of appeal and in the case of QUD 924 of 2015 the cross</w:t>
      </w:r>
      <w:r>
        <w:noBreakHyphen/>
        <w:t xml:space="preserve">appeal and related material.  </w:t>
      </w:r>
    </w:p>
    <w:p w:rsidR="00F54D20" w:rsidRDefault="00F54D20" w:rsidP="00587320">
      <w:pPr>
        <w:pStyle w:val="ParaNumbering"/>
        <w:tabs>
          <w:tab w:val="num" w:pos="720"/>
        </w:tabs>
      </w:pPr>
      <w:r>
        <w:t xml:space="preserve">There is no utility in reciting in these reasons the text of each of the orders made today.  It is sufficient to identify the following matters.  </w:t>
      </w:r>
    </w:p>
    <w:p w:rsidR="00F54D20" w:rsidRDefault="00F54D20" w:rsidP="00587320">
      <w:pPr>
        <w:pStyle w:val="ParaNumbering"/>
        <w:tabs>
          <w:tab w:val="num" w:pos="720"/>
        </w:tabs>
      </w:pPr>
      <w:r>
        <w:lastRenderedPageBreak/>
        <w:t>First, the appeals are concerned with grounds relied upon and contentions made concerning the question of whether the primary Judge erred in making, on 10 September 2015, any of Declarations 1 to 5 and any of Orders 1 to 7.  As we said in the reasons for judgment, the question of remedy is yet to be determined by the primary Judge.  One of the matters agitated before the Full Court was a question of whether the p</w:t>
      </w:r>
      <w:r w:rsidR="006514ED">
        <w:t xml:space="preserve">rimary Judge erred in making a finding that the market value of Lot 191 at 25 June 2010 was $290,000.  Another matter agitated before the Full Court was whether the primary Judge erred in finding that there was no evidence, or no sufficient evidence, to support a finding that Lot 170 had a greater value than the price paid by Two Eight Two Nine Pty Ltd of $1,454,545 exclusive of GST.  </w:t>
      </w:r>
    </w:p>
    <w:p w:rsidR="006514ED" w:rsidRDefault="006514ED" w:rsidP="00587320">
      <w:pPr>
        <w:pStyle w:val="ParaNumbering"/>
        <w:tabs>
          <w:tab w:val="num" w:pos="720"/>
        </w:tabs>
      </w:pPr>
      <w:r>
        <w:t xml:space="preserve">In the reasons for judgment, we observed that questions of value and valuation only go to the quantification of the claim and that it would be premature for the Full Court to express a view on those findings and those issues more generally:  [25], [26], [383], [384], [417].  As we said in the reasons for judgment, no party contended that the Court could presently determine, in the appeal proceedings, questions of valuation.  That position no doubt arose because, first, there was no “order” appealed from to which the assessments of value related and, second, questions of relief were separated out by the primary Judge for later determination.  </w:t>
      </w:r>
    </w:p>
    <w:p w:rsidR="006514ED" w:rsidRDefault="006514ED" w:rsidP="00587320">
      <w:pPr>
        <w:pStyle w:val="ParaNumbering"/>
        <w:tabs>
          <w:tab w:val="num" w:pos="720"/>
        </w:tabs>
      </w:pPr>
      <w:r>
        <w:t>The primary Judge will in due course determine questions of remedy</w:t>
      </w:r>
      <w:r w:rsidR="0099039B">
        <w:t xml:space="preserve"> and it may be that </w:t>
      </w:r>
      <w:r w:rsidR="00DA1C2E">
        <w:t xml:space="preserve">the </w:t>
      </w:r>
      <w:r w:rsidR="0099039B">
        <w:t xml:space="preserve">findings of the primary Judge in relation to value concerning each Lot will be challenged if and when a challenge is made to a dispositive order or a declaration concerning a remedy which engages the factual question of valuation.  </w:t>
      </w:r>
    </w:p>
    <w:p w:rsidR="0099039B" w:rsidRDefault="0099039B" w:rsidP="00587320">
      <w:pPr>
        <w:pStyle w:val="ParaNumbering"/>
        <w:tabs>
          <w:tab w:val="num" w:pos="720"/>
        </w:tabs>
      </w:pPr>
      <w:r>
        <w:t xml:space="preserve">That is why Order 1 in QUD 923 of 2015; Order 3 in QUD 924 of 2015; and Order 1 in QUD 925 of 2015 recite that the matters the subject of the relevant grounds as recited in those orders concerning the value of, and loss, if any, arising from the sale of Lots 170 and 191 are matters the primary Judge may consider in determining the separate issue of remedy.  </w:t>
      </w:r>
    </w:p>
    <w:p w:rsidR="0099039B" w:rsidRDefault="0099039B" w:rsidP="00587320">
      <w:pPr>
        <w:pStyle w:val="ParaNumbering"/>
        <w:tabs>
          <w:tab w:val="num" w:pos="720"/>
        </w:tabs>
      </w:pPr>
      <w:r>
        <w:t xml:space="preserve">The second matter of principle concerns the exercise of the discretion as to costs.  The fundamental principle guiding the exercise of the discretion under s 43 of the </w:t>
      </w:r>
      <w:r>
        <w:rPr>
          <w:i/>
        </w:rPr>
        <w:t>Federal Court of Australia Act 1976</w:t>
      </w:r>
      <w:r>
        <w:t xml:space="preserve"> (Cth) is that “the award is discretionary but generally that discretion is exercised in favour of the successful party”:  </w:t>
      </w:r>
      <w:r w:rsidRPr="0099039B">
        <w:rPr>
          <w:i/>
        </w:rPr>
        <w:t>Foots</w:t>
      </w:r>
      <w:r>
        <w:rPr>
          <w:i/>
        </w:rPr>
        <w:t xml:space="preserve"> v Southern Cross Mine Management Pty Ltd </w:t>
      </w:r>
      <w:r>
        <w:t>(2007) 234 CLR 52, Gleeson CJ, Gummow, Hayne and Crennan JJ</w:t>
      </w:r>
      <w:r w:rsidR="00525482">
        <w:t xml:space="preserve"> at [25]</w:t>
      </w:r>
      <w:r>
        <w:t xml:space="preserve">.  Of course, all of the relevant circumstances need to be weighed in the exercise of the discretion and we have taken into account the features of each appeal and the resolution of each appeal according to the reasons for judgment.  The orders as to </w:t>
      </w:r>
      <w:r w:rsidR="007577DB">
        <w:t xml:space="preserve">the </w:t>
      </w:r>
      <w:r>
        <w:t xml:space="preserve">costs of and incidental to </w:t>
      </w:r>
      <w:r w:rsidR="007577DB">
        <w:t xml:space="preserve">each </w:t>
      </w:r>
      <w:r>
        <w:lastRenderedPageBreak/>
        <w:t>appeal (and the cross</w:t>
      </w:r>
      <w:r>
        <w:noBreakHyphen/>
        <w:t xml:space="preserve">appeal) </w:t>
      </w:r>
      <w:r w:rsidR="007577DB">
        <w:t>are the expression of that weighing</w:t>
      </w:r>
      <w:r w:rsidR="00DA1C2E">
        <w:t xml:space="preserve">.  </w:t>
      </w:r>
      <w:r w:rsidR="007577DB">
        <w:t xml:space="preserve">As to the </w:t>
      </w:r>
      <w:r w:rsidR="00DA1C2E">
        <w:t xml:space="preserve">determination of the </w:t>
      </w:r>
      <w:r w:rsidR="007577DB">
        <w:t>costs of and incidental to the separate questions before the primary Judge</w:t>
      </w:r>
      <w:r w:rsidR="00DA1C2E">
        <w:t xml:space="preserve"> having regard to the final orders made on the substantive grounds of appeal (and cross</w:t>
      </w:r>
      <w:r w:rsidR="00DA1C2E">
        <w:noBreakHyphen/>
        <w:t>appeal)</w:t>
      </w:r>
      <w:r w:rsidR="007577DB">
        <w:t xml:space="preserve">, we make no order as to those costs because the primary Judge is yet to determine finally the </w:t>
      </w:r>
      <w:r w:rsidR="00DA1C2E">
        <w:t xml:space="preserve">ultimate </w:t>
      </w:r>
      <w:r w:rsidR="007577DB">
        <w:t>merits or otherwise of the competing claims</w:t>
      </w:r>
      <w:r w:rsidR="00DA1C2E">
        <w:t xml:space="preserve"> and cross</w:t>
      </w:r>
      <w:r w:rsidR="00DA1C2E">
        <w:noBreakHyphen/>
        <w:t>claims</w:t>
      </w:r>
      <w:r w:rsidR="007577DB">
        <w:t xml:space="preserve">.  The costs of the principal proceeding ought to be determined by the primary Judge having regard to the final orders made in </w:t>
      </w:r>
      <w:r w:rsidR="00DA1C2E">
        <w:t xml:space="preserve">disposition of </w:t>
      </w:r>
      <w:r w:rsidR="007577DB">
        <w:t xml:space="preserve">the principal proceeding.  </w:t>
      </w:r>
    </w:p>
    <w:tbl>
      <w:tblPr>
        <w:tblW w:w="0" w:type="auto"/>
        <w:tblLook w:val="04A0" w:firstRow="1" w:lastRow="0" w:firstColumn="1" w:lastColumn="0" w:noHBand="0" w:noVBand="1"/>
      </w:tblPr>
      <w:tblGrid>
        <w:gridCol w:w="3794"/>
      </w:tblGrid>
      <w:tr w:rsidR="00587320" w:rsidRPr="009033C5" w:rsidTr="00A47320">
        <w:tc>
          <w:tcPr>
            <w:tcW w:w="3794" w:type="dxa"/>
            <w:shd w:val="clear" w:color="auto" w:fill="auto"/>
          </w:tcPr>
          <w:p w:rsidR="00587320" w:rsidRPr="009033C5" w:rsidRDefault="00587320" w:rsidP="00722B63">
            <w:pPr>
              <w:pStyle w:val="Normal1linespace"/>
            </w:pPr>
            <w:r w:rsidRPr="009033C5">
              <w:t xml:space="preserve">I certify that the preceding </w:t>
            </w:r>
            <w:r w:rsidR="00722B63">
              <w:t xml:space="preserve">eleven </w:t>
            </w:r>
            <w:r w:rsidRPr="009033C5">
              <w:t>(</w:t>
            </w:r>
            <w:r w:rsidR="002C08AA">
              <w:t>1</w:t>
            </w:r>
            <w:r w:rsidR="00722B63">
              <w:t>1</w:t>
            </w:r>
            <w:r w:rsidRPr="009033C5">
              <w:t xml:space="preserve">) numbered </w:t>
            </w:r>
            <w:r>
              <w:t>paragraphs are</w:t>
            </w:r>
            <w:r w:rsidRPr="009033C5">
              <w:t xml:space="preserve"> a true copy of the Reasons for Judgment herein of the Honourable </w:t>
            </w:r>
            <w:r>
              <w:t>Justice</w:t>
            </w:r>
            <w:r w:rsidR="0077200B">
              <w:t>s Greenwood</w:t>
            </w:r>
            <w:r>
              <w:t xml:space="preserve"> </w:t>
            </w:r>
            <w:r w:rsidR="009D3611">
              <w:t xml:space="preserve">and </w:t>
            </w:r>
            <w:r>
              <w:t>White</w:t>
            </w:r>
            <w:r w:rsidRPr="009033C5">
              <w:t>.</w:t>
            </w:r>
          </w:p>
        </w:tc>
      </w:tr>
    </w:tbl>
    <w:p w:rsidR="00533558" w:rsidRDefault="00533558" w:rsidP="00587320">
      <w:pPr>
        <w:pStyle w:val="BodyText"/>
      </w:pPr>
    </w:p>
    <w:p w:rsidR="00587320" w:rsidRDefault="00587320" w:rsidP="00587320">
      <w:pPr>
        <w:pStyle w:val="BodyText"/>
      </w:pPr>
      <w:r>
        <w:t>Associate:</w:t>
      </w:r>
    </w:p>
    <w:p w:rsidR="00587320" w:rsidRDefault="00587320" w:rsidP="00587320">
      <w:pPr>
        <w:pStyle w:val="BodyText"/>
      </w:pPr>
    </w:p>
    <w:p w:rsidR="003B0C89" w:rsidRPr="00587320" w:rsidRDefault="00587320" w:rsidP="00FB2F38">
      <w:pPr>
        <w:pStyle w:val="BodyText"/>
        <w:tabs>
          <w:tab w:val="left" w:pos="1134"/>
        </w:tabs>
      </w:pPr>
      <w:bookmarkStart w:id="17" w:name="_GoBack"/>
      <w:bookmarkEnd w:id="17"/>
      <w:r>
        <w:t>Dated:</w:t>
      </w:r>
      <w:r>
        <w:tab/>
      </w:r>
      <w:r w:rsidR="007D4C79">
        <w:t>10</w:t>
      </w:r>
      <w:r w:rsidR="0077200B">
        <w:t xml:space="preserve"> November </w:t>
      </w:r>
      <w:r>
        <w:t>2017</w:t>
      </w:r>
    </w:p>
    <w:sectPr w:rsidR="003B0C89" w:rsidRPr="00587320" w:rsidSect="00B80015">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74" w:rsidRDefault="00AF0B74">
      <w:pPr>
        <w:spacing w:line="20" w:lineRule="exact"/>
      </w:pPr>
    </w:p>
    <w:p w:rsidR="00AF0B74" w:rsidRDefault="00AF0B74"/>
    <w:p w:rsidR="00AF0B74" w:rsidRDefault="00AF0B74"/>
  </w:endnote>
  <w:endnote w:type="continuationSeparator" w:id="0">
    <w:p w:rsidR="00AF0B74" w:rsidRDefault="00AF0B74">
      <w:r>
        <w:t xml:space="preserve"> </w:t>
      </w:r>
    </w:p>
    <w:p w:rsidR="00AF0B74" w:rsidRDefault="00AF0B74"/>
    <w:p w:rsidR="00AF0B74" w:rsidRDefault="00AF0B74"/>
  </w:endnote>
  <w:endnote w:type="continuationNotice" w:id="1">
    <w:p w:rsidR="00AF0B74" w:rsidRDefault="00AF0B74">
      <w:r>
        <w:t xml:space="preserve"> </w:t>
      </w:r>
    </w:p>
    <w:p w:rsidR="00AF0B74" w:rsidRDefault="00AF0B74"/>
    <w:p w:rsidR="00AF0B74" w:rsidRDefault="00AF0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Pr="009D3611" w:rsidRDefault="00AF0B74" w:rsidP="009D3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rsidP="002F1E49">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Pr="00624520" w:rsidRDefault="00AF0B74"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74" w:rsidRDefault="00AF0B74"/>
    <w:p w:rsidR="00AF0B74" w:rsidRDefault="00AF0B74"/>
    <w:p w:rsidR="00AF0B74" w:rsidRDefault="00AF0B74"/>
  </w:footnote>
  <w:footnote w:type="continuationSeparator" w:id="0">
    <w:p w:rsidR="00AF0B74" w:rsidRDefault="00AF0B74">
      <w:r>
        <w:continuationSeparator/>
      </w:r>
    </w:p>
    <w:p w:rsidR="00AF0B74" w:rsidRDefault="00AF0B74"/>
    <w:p w:rsidR="00AF0B74" w:rsidRDefault="00AF0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pPr>
      <w:tabs>
        <w:tab w:val="center" w:pos="4512"/>
      </w:tabs>
      <w:suppressAutoHyphens/>
    </w:pPr>
    <w:r>
      <w:tab/>
      <w:t xml:space="preserve">- </w:t>
    </w:r>
    <w:r>
      <w:fldChar w:fldCharType="begin"/>
    </w:r>
    <w:r>
      <w:instrText xml:space="preserve"> PAGE   \* MERGEFORMAT </w:instrText>
    </w:r>
    <w:r>
      <w:fldChar w:fldCharType="separate"/>
    </w:r>
    <w:r w:rsidR="00725922">
      <w:rPr>
        <w:noProof/>
      </w:rPr>
      <w:t>v</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rsidP="00A47320">
    <w:pPr>
      <w:tabs>
        <w:tab w:val="center" w:pos="4512"/>
      </w:tabs>
      <w:suppressAutoHyphen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721696"/>
      <w:docPartObj>
        <w:docPartGallery w:val="Page Numbers (Top of Page)"/>
        <w:docPartUnique/>
      </w:docPartObj>
    </w:sdtPr>
    <w:sdtEndPr>
      <w:rPr>
        <w:noProof/>
      </w:rPr>
    </w:sdtEndPr>
    <w:sdtContent>
      <w:p w:rsidR="003B0C89" w:rsidRDefault="00B80015">
        <w:pPr>
          <w:pStyle w:val="Header"/>
          <w:jc w:val="center"/>
        </w:pPr>
        <w:r>
          <w:t xml:space="preserve"> - </w:t>
        </w:r>
        <w:r w:rsidR="003B0C89">
          <w:fldChar w:fldCharType="begin"/>
        </w:r>
        <w:r w:rsidR="003B0C89">
          <w:instrText xml:space="preserve"> PAGE   \* MERGEFORMAT </w:instrText>
        </w:r>
        <w:r w:rsidR="003B0C89">
          <w:fldChar w:fldCharType="separate"/>
        </w:r>
        <w:r w:rsidR="00725922">
          <w:rPr>
            <w:noProof/>
          </w:rPr>
          <w:t>viii</w:t>
        </w:r>
        <w:r w:rsidR="003B0C89">
          <w:rPr>
            <w:noProof/>
          </w:rPr>
          <w:fldChar w:fldCharType="end"/>
        </w:r>
        <w:r>
          <w:rPr>
            <w:noProof/>
          </w:rPr>
          <w:t xml:space="preserve"> - </w:t>
        </w:r>
      </w:p>
    </w:sdtContent>
  </w:sdt>
  <w:p w:rsidR="00AF0B74" w:rsidRDefault="00AF0B74">
    <w:pPr>
      <w:tabs>
        <w:tab w:val="center" w:pos="4512"/>
      </w:tabs>
      <w:suppressAutoHyphen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15" w:rsidRDefault="00B80015">
    <w:pPr>
      <w:pStyle w:val="Header"/>
      <w:jc w:val="center"/>
    </w:pPr>
    <w:r>
      <w:t xml:space="preserve"> - </w:t>
    </w:r>
    <w:sdt>
      <w:sdtPr>
        <w:id w:val="-17188190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25922">
          <w:rPr>
            <w:noProof/>
          </w:rPr>
          <w:t>vii</w:t>
        </w:r>
        <w:r>
          <w:rPr>
            <w:noProof/>
          </w:rPr>
          <w:fldChar w:fldCharType="end"/>
        </w:r>
        <w:r>
          <w:rPr>
            <w:noProof/>
          </w:rPr>
          <w:t xml:space="preserve"> - </w:t>
        </w:r>
      </w:sdtContent>
    </w:sdt>
  </w:p>
  <w:p w:rsidR="003B0C89" w:rsidRDefault="003B0C89">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15" w:rsidRDefault="00B80015">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pPr>
      <w:tabs>
        <w:tab w:val="center" w:pos="4512"/>
      </w:tabs>
      <w:suppressAutoHyphens/>
    </w:pPr>
    <w:r>
      <w:tab/>
      <w:t xml:space="preserve">- </w:t>
    </w:r>
    <w:r>
      <w:fldChar w:fldCharType="begin"/>
    </w:r>
    <w:r>
      <w:instrText>page \* arabic</w:instrText>
    </w:r>
    <w:r>
      <w:fldChar w:fldCharType="separate"/>
    </w:r>
    <w:r w:rsidR="00725922">
      <w:rPr>
        <w:noProof/>
      </w:rPr>
      <w:t>4</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13"/>
      <w:docPartObj>
        <w:docPartGallery w:val="Page Numbers (Top of Page)"/>
        <w:docPartUnique/>
      </w:docPartObj>
    </w:sdtPr>
    <w:sdtEndPr>
      <w:rPr>
        <w:noProof/>
      </w:rPr>
    </w:sdtEndPr>
    <w:sdtContent>
      <w:p w:rsidR="00B80015" w:rsidRDefault="00B80015">
        <w:pPr>
          <w:pStyle w:val="Header"/>
          <w:jc w:val="center"/>
        </w:pPr>
        <w:r>
          <w:t xml:space="preserve"> - </w:t>
        </w:r>
        <w:r>
          <w:fldChar w:fldCharType="begin"/>
        </w:r>
        <w:r>
          <w:instrText xml:space="preserve"> PAGE   \* MERGEFORMAT </w:instrText>
        </w:r>
        <w:r>
          <w:fldChar w:fldCharType="separate"/>
        </w:r>
        <w:r w:rsidR="00725922">
          <w:rPr>
            <w:noProof/>
          </w:rPr>
          <w:t>2</w:t>
        </w:r>
        <w:r>
          <w:rPr>
            <w:noProof/>
          </w:rPr>
          <w:fldChar w:fldCharType="end"/>
        </w:r>
        <w:r>
          <w:rPr>
            <w:noProof/>
          </w:rPr>
          <w:t xml:space="preserve">- </w:t>
        </w:r>
      </w:p>
    </w:sdtContent>
  </w:sdt>
  <w:p w:rsidR="00AF0B74" w:rsidRDefault="00AF0B7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5B27437"/>
    <w:multiLevelType w:val="hybridMultilevel"/>
    <w:tmpl w:val="CD082908"/>
    <w:lvl w:ilvl="0" w:tplc="4692CBB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570906"/>
    <w:multiLevelType w:val="hybridMultilevel"/>
    <w:tmpl w:val="34D05F52"/>
    <w:lvl w:ilvl="0" w:tplc="CA98D29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5BF10815"/>
    <w:multiLevelType w:val="hybridMultilevel"/>
    <w:tmpl w:val="55CE4A16"/>
    <w:lvl w:ilvl="0" w:tplc="EE1E8E5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65857D6C"/>
    <w:multiLevelType w:val="hybridMultilevel"/>
    <w:tmpl w:val="B4A23F16"/>
    <w:lvl w:ilvl="0" w:tplc="6868F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BAC0712"/>
    <w:multiLevelType w:val="hybridMultilevel"/>
    <w:tmpl w:val="A16C2A90"/>
    <w:lvl w:ilvl="0" w:tplc="94E2066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6F5C6479"/>
    <w:multiLevelType w:val="hybridMultilevel"/>
    <w:tmpl w:val="62B66BB4"/>
    <w:lvl w:ilvl="0" w:tplc="7240A4D0">
      <w:start w:val="7"/>
      <w:numFmt w:val="bullet"/>
      <w:lvlText w:val="-"/>
      <w:lvlJc w:val="left"/>
      <w:pPr>
        <w:ind w:left="1080" w:hanging="360"/>
      </w:pPr>
      <w:rPr>
        <w:rFonts w:ascii="Times New Roman" w:eastAsia="Batang"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nsid w:val="76416464"/>
    <w:multiLevelType w:val="hybridMultilevel"/>
    <w:tmpl w:val="97D2FF64"/>
    <w:lvl w:ilvl="0" w:tplc="4B7C59E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nsid w:val="77D328FB"/>
    <w:multiLevelType w:val="hybridMultilevel"/>
    <w:tmpl w:val="E1063A84"/>
    <w:lvl w:ilvl="0" w:tplc="5956C86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8"/>
  </w:num>
  <w:num w:numId="15">
    <w:abstractNumId w:val="19"/>
  </w:num>
  <w:num w:numId="16">
    <w:abstractNumId w:val="29"/>
  </w:num>
  <w:num w:numId="17">
    <w:abstractNumId w:val="12"/>
  </w:num>
  <w:num w:numId="18">
    <w:abstractNumId w:val="26"/>
  </w:num>
  <w:num w:numId="19">
    <w:abstractNumId w:val="10"/>
  </w:num>
  <w:num w:numId="20">
    <w:abstractNumId w:val="15"/>
  </w:num>
  <w:num w:numId="21">
    <w:abstractNumId w:val="17"/>
  </w:num>
  <w:num w:numId="22">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3">
    <w:abstractNumId w:val="14"/>
  </w:num>
  <w:num w:numId="24">
    <w:abstractNumId w:val="14"/>
  </w:num>
  <w:num w:numId="25">
    <w:abstractNumId w:val="22"/>
  </w:num>
  <w:num w:numId="26">
    <w:abstractNumId w:val="28"/>
  </w:num>
  <w:num w:numId="27">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2"/>
    </w:lvlOverride>
  </w:num>
  <w:num w:numId="32">
    <w:abstractNumId w:val="14"/>
    <w:lvlOverride w:ilvl="0">
      <w:startOverride w:val="1"/>
    </w:lvlOverride>
    <w:lvlOverride w:ilvl="1">
      <w:startOverride w:val="1"/>
    </w:lvlOverride>
    <w:lvlOverride w:ilvl="2">
      <w:startOverride w:val="2"/>
    </w:lvlOverride>
  </w:num>
  <w:num w:numId="33">
    <w:abstractNumId w:val="14"/>
    <w:lvlOverride w:ilvl="0">
      <w:startOverride w:val="1"/>
    </w:lvlOverride>
    <w:lvlOverride w:ilvl="1">
      <w:startOverride w:val="1"/>
    </w:lvlOverride>
    <w:lvlOverride w:ilvl="2">
      <w:startOverride w:val="2"/>
    </w:lvlOverride>
  </w:num>
  <w:num w:numId="34">
    <w:abstractNumId w:val="24"/>
  </w:num>
  <w:num w:numId="35">
    <w:abstractNumId w:val="20"/>
  </w:num>
  <w:num w:numId="36">
    <w:abstractNumId w:val="27"/>
  </w:num>
  <w:num w:numId="37">
    <w:abstractNumId w:val="21"/>
  </w:num>
  <w:num w:numId="38">
    <w:abstractNumId w:val="25"/>
  </w:num>
  <w:num w:numId="39">
    <w:abstractNumId w:val="16"/>
  </w:num>
  <w:num w:numId="4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20"/>
    <w:rsid w:val="0001469E"/>
    <w:rsid w:val="00015993"/>
    <w:rsid w:val="00022289"/>
    <w:rsid w:val="00032F9F"/>
    <w:rsid w:val="00041C07"/>
    <w:rsid w:val="000456DD"/>
    <w:rsid w:val="00045BB7"/>
    <w:rsid w:val="00055719"/>
    <w:rsid w:val="00081497"/>
    <w:rsid w:val="000A2E76"/>
    <w:rsid w:val="000A4807"/>
    <w:rsid w:val="000A4BE4"/>
    <w:rsid w:val="000B5A32"/>
    <w:rsid w:val="000C023E"/>
    <w:rsid w:val="000C5195"/>
    <w:rsid w:val="000C62EF"/>
    <w:rsid w:val="000D2137"/>
    <w:rsid w:val="000D3FD2"/>
    <w:rsid w:val="000D51C0"/>
    <w:rsid w:val="000E7BAE"/>
    <w:rsid w:val="000F133D"/>
    <w:rsid w:val="0010536B"/>
    <w:rsid w:val="0011145C"/>
    <w:rsid w:val="001128BD"/>
    <w:rsid w:val="0011419D"/>
    <w:rsid w:val="00132054"/>
    <w:rsid w:val="001423FC"/>
    <w:rsid w:val="00143F96"/>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64"/>
    <w:rsid w:val="001E7388"/>
    <w:rsid w:val="001F13DD"/>
    <w:rsid w:val="001F2DBC"/>
    <w:rsid w:val="0020262C"/>
    <w:rsid w:val="00224537"/>
    <w:rsid w:val="002339EB"/>
    <w:rsid w:val="00235956"/>
    <w:rsid w:val="0023609D"/>
    <w:rsid w:val="002434F7"/>
    <w:rsid w:val="00247C9A"/>
    <w:rsid w:val="0025160C"/>
    <w:rsid w:val="002535D0"/>
    <w:rsid w:val="002539B3"/>
    <w:rsid w:val="00257C3E"/>
    <w:rsid w:val="002602C2"/>
    <w:rsid w:val="00270136"/>
    <w:rsid w:val="00274F5B"/>
    <w:rsid w:val="00280836"/>
    <w:rsid w:val="00282E1A"/>
    <w:rsid w:val="0029113B"/>
    <w:rsid w:val="002934C0"/>
    <w:rsid w:val="002A1B50"/>
    <w:rsid w:val="002A35A6"/>
    <w:rsid w:val="002B0E91"/>
    <w:rsid w:val="002B6779"/>
    <w:rsid w:val="002B71C0"/>
    <w:rsid w:val="002B7A34"/>
    <w:rsid w:val="002C08AA"/>
    <w:rsid w:val="002C31AD"/>
    <w:rsid w:val="002C7385"/>
    <w:rsid w:val="002D54A6"/>
    <w:rsid w:val="002F1E49"/>
    <w:rsid w:val="002F4E9C"/>
    <w:rsid w:val="00314D6C"/>
    <w:rsid w:val="00316D2A"/>
    <w:rsid w:val="00322A7C"/>
    <w:rsid w:val="003402D3"/>
    <w:rsid w:val="00343ABC"/>
    <w:rsid w:val="003463FE"/>
    <w:rsid w:val="003554B3"/>
    <w:rsid w:val="00356632"/>
    <w:rsid w:val="003845A9"/>
    <w:rsid w:val="00390883"/>
    <w:rsid w:val="003922F8"/>
    <w:rsid w:val="00395B24"/>
    <w:rsid w:val="003A2D38"/>
    <w:rsid w:val="003B0C89"/>
    <w:rsid w:val="003B2C72"/>
    <w:rsid w:val="003C1333"/>
    <w:rsid w:val="003C20FF"/>
    <w:rsid w:val="003C500F"/>
    <w:rsid w:val="003D2650"/>
    <w:rsid w:val="003D560C"/>
    <w:rsid w:val="003E5874"/>
    <w:rsid w:val="003F193E"/>
    <w:rsid w:val="003F34F1"/>
    <w:rsid w:val="003F6F08"/>
    <w:rsid w:val="00411AE8"/>
    <w:rsid w:val="00413B74"/>
    <w:rsid w:val="00427B85"/>
    <w:rsid w:val="00435C5F"/>
    <w:rsid w:val="00441E98"/>
    <w:rsid w:val="004443BC"/>
    <w:rsid w:val="004626A1"/>
    <w:rsid w:val="00464DAF"/>
    <w:rsid w:val="00472027"/>
    <w:rsid w:val="00472C10"/>
    <w:rsid w:val="00474AE4"/>
    <w:rsid w:val="004804CF"/>
    <w:rsid w:val="00484962"/>
    <w:rsid w:val="00484F6D"/>
    <w:rsid w:val="0048566D"/>
    <w:rsid w:val="0049338A"/>
    <w:rsid w:val="0049417F"/>
    <w:rsid w:val="004A4ACB"/>
    <w:rsid w:val="004B3EFA"/>
    <w:rsid w:val="004C2599"/>
    <w:rsid w:val="004C2A87"/>
    <w:rsid w:val="004C2AF7"/>
    <w:rsid w:val="004C4ED3"/>
    <w:rsid w:val="004C4F34"/>
    <w:rsid w:val="004D2EA5"/>
    <w:rsid w:val="004D32A6"/>
    <w:rsid w:val="004D53E5"/>
    <w:rsid w:val="004E098C"/>
    <w:rsid w:val="00501A12"/>
    <w:rsid w:val="00504186"/>
    <w:rsid w:val="00506DDB"/>
    <w:rsid w:val="0051346D"/>
    <w:rsid w:val="00513EAE"/>
    <w:rsid w:val="00516806"/>
    <w:rsid w:val="00525482"/>
    <w:rsid w:val="00525FC7"/>
    <w:rsid w:val="00533558"/>
    <w:rsid w:val="00535613"/>
    <w:rsid w:val="005359EB"/>
    <w:rsid w:val="0054254A"/>
    <w:rsid w:val="00545590"/>
    <w:rsid w:val="005466B5"/>
    <w:rsid w:val="005629B3"/>
    <w:rsid w:val="005801FC"/>
    <w:rsid w:val="00587320"/>
    <w:rsid w:val="00595016"/>
    <w:rsid w:val="00597AAE"/>
    <w:rsid w:val="005A222C"/>
    <w:rsid w:val="005A4DF8"/>
    <w:rsid w:val="005B0F0F"/>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514ED"/>
    <w:rsid w:val="00662BB0"/>
    <w:rsid w:val="00663878"/>
    <w:rsid w:val="006644E0"/>
    <w:rsid w:val="00664FBA"/>
    <w:rsid w:val="00667773"/>
    <w:rsid w:val="00670743"/>
    <w:rsid w:val="00676F61"/>
    <w:rsid w:val="00690EE2"/>
    <w:rsid w:val="006A0E20"/>
    <w:rsid w:val="006A5695"/>
    <w:rsid w:val="006B3904"/>
    <w:rsid w:val="006B5B7D"/>
    <w:rsid w:val="006D0ECF"/>
    <w:rsid w:val="006D4C92"/>
    <w:rsid w:val="006D4EB6"/>
    <w:rsid w:val="006E35BF"/>
    <w:rsid w:val="006E7850"/>
    <w:rsid w:val="006F29DB"/>
    <w:rsid w:val="007028D9"/>
    <w:rsid w:val="00707218"/>
    <w:rsid w:val="00712B1D"/>
    <w:rsid w:val="00722B63"/>
    <w:rsid w:val="00725922"/>
    <w:rsid w:val="007325D9"/>
    <w:rsid w:val="007360CA"/>
    <w:rsid w:val="007577DB"/>
    <w:rsid w:val="0077200B"/>
    <w:rsid w:val="0078003A"/>
    <w:rsid w:val="00780771"/>
    <w:rsid w:val="00787CAA"/>
    <w:rsid w:val="007929CF"/>
    <w:rsid w:val="007A6F28"/>
    <w:rsid w:val="007B03C6"/>
    <w:rsid w:val="007B0DB1"/>
    <w:rsid w:val="007D2EF8"/>
    <w:rsid w:val="007D4C79"/>
    <w:rsid w:val="007D561F"/>
    <w:rsid w:val="007D7FD2"/>
    <w:rsid w:val="007E13D9"/>
    <w:rsid w:val="007E4DB6"/>
    <w:rsid w:val="007E7CD4"/>
    <w:rsid w:val="00801800"/>
    <w:rsid w:val="00801B5B"/>
    <w:rsid w:val="00802B42"/>
    <w:rsid w:val="008276B4"/>
    <w:rsid w:val="00831927"/>
    <w:rsid w:val="00841BD3"/>
    <w:rsid w:val="0084273D"/>
    <w:rsid w:val="00844E3F"/>
    <w:rsid w:val="00845A83"/>
    <w:rsid w:val="008712BB"/>
    <w:rsid w:val="008A0930"/>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C5"/>
    <w:rsid w:val="009615D6"/>
    <w:rsid w:val="00967855"/>
    <w:rsid w:val="009773F2"/>
    <w:rsid w:val="00980736"/>
    <w:rsid w:val="00981A39"/>
    <w:rsid w:val="0098445C"/>
    <w:rsid w:val="00987097"/>
    <w:rsid w:val="00990022"/>
    <w:rsid w:val="0099039B"/>
    <w:rsid w:val="009B046C"/>
    <w:rsid w:val="009B13FA"/>
    <w:rsid w:val="009B1E2D"/>
    <w:rsid w:val="009C59FB"/>
    <w:rsid w:val="009C6F3B"/>
    <w:rsid w:val="009D3611"/>
    <w:rsid w:val="009E4FA6"/>
    <w:rsid w:val="009E7D93"/>
    <w:rsid w:val="009F18F5"/>
    <w:rsid w:val="009F5C33"/>
    <w:rsid w:val="009F6E2A"/>
    <w:rsid w:val="009F7155"/>
    <w:rsid w:val="00A03EAC"/>
    <w:rsid w:val="00A11CA6"/>
    <w:rsid w:val="00A20C49"/>
    <w:rsid w:val="00A269CA"/>
    <w:rsid w:val="00A359AC"/>
    <w:rsid w:val="00A41413"/>
    <w:rsid w:val="00A458E7"/>
    <w:rsid w:val="00A45FB1"/>
    <w:rsid w:val="00A46CCC"/>
    <w:rsid w:val="00A47320"/>
    <w:rsid w:val="00A51CFE"/>
    <w:rsid w:val="00A56448"/>
    <w:rsid w:val="00A61819"/>
    <w:rsid w:val="00A76C13"/>
    <w:rsid w:val="00A83649"/>
    <w:rsid w:val="00A92E79"/>
    <w:rsid w:val="00A950B6"/>
    <w:rsid w:val="00AA1389"/>
    <w:rsid w:val="00AB41C1"/>
    <w:rsid w:val="00AD12A8"/>
    <w:rsid w:val="00AF0B74"/>
    <w:rsid w:val="00AF3577"/>
    <w:rsid w:val="00AF35F9"/>
    <w:rsid w:val="00B05C7D"/>
    <w:rsid w:val="00B346C3"/>
    <w:rsid w:val="00B4471C"/>
    <w:rsid w:val="00B451A6"/>
    <w:rsid w:val="00B722DE"/>
    <w:rsid w:val="00B76C44"/>
    <w:rsid w:val="00B80015"/>
    <w:rsid w:val="00B83F87"/>
    <w:rsid w:val="00BA2EFA"/>
    <w:rsid w:val="00BA3DBC"/>
    <w:rsid w:val="00BB2DA2"/>
    <w:rsid w:val="00BB56DC"/>
    <w:rsid w:val="00BE183D"/>
    <w:rsid w:val="00BF5D7A"/>
    <w:rsid w:val="00BF7223"/>
    <w:rsid w:val="00C36442"/>
    <w:rsid w:val="00C400CE"/>
    <w:rsid w:val="00C410FD"/>
    <w:rsid w:val="00C539FB"/>
    <w:rsid w:val="00C92A8F"/>
    <w:rsid w:val="00CA246D"/>
    <w:rsid w:val="00CB5636"/>
    <w:rsid w:val="00CE2FB6"/>
    <w:rsid w:val="00D10F21"/>
    <w:rsid w:val="00D375EE"/>
    <w:rsid w:val="00D62699"/>
    <w:rsid w:val="00D82620"/>
    <w:rsid w:val="00D9725F"/>
    <w:rsid w:val="00DA01B1"/>
    <w:rsid w:val="00DA11A2"/>
    <w:rsid w:val="00DA14ED"/>
    <w:rsid w:val="00DA1C2E"/>
    <w:rsid w:val="00DA1F94"/>
    <w:rsid w:val="00DB3DE1"/>
    <w:rsid w:val="00DB4C63"/>
    <w:rsid w:val="00DB5DA0"/>
    <w:rsid w:val="00DB716C"/>
    <w:rsid w:val="00DD2B8D"/>
    <w:rsid w:val="00DD4236"/>
    <w:rsid w:val="00DD44F1"/>
    <w:rsid w:val="00DE3067"/>
    <w:rsid w:val="00E027BC"/>
    <w:rsid w:val="00E14EA5"/>
    <w:rsid w:val="00E21133"/>
    <w:rsid w:val="00E2327E"/>
    <w:rsid w:val="00E266EF"/>
    <w:rsid w:val="00E47428"/>
    <w:rsid w:val="00E65618"/>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EF7855"/>
    <w:rsid w:val="00F176AC"/>
    <w:rsid w:val="00F27714"/>
    <w:rsid w:val="00F33D3C"/>
    <w:rsid w:val="00F37A91"/>
    <w:rsid w:val="00F45CF5"/>
    <w:rsid w:val="00F47DB0"/>
    <w:rsid w:val="00F50E34"/>
    <w:rsid w:val="00F54BF2"/>
    <w:rsid w:val="00F54D20"/>
    <w:rsid w:val="00F92355"/>
    <w:rsid w:val="00F93963"/>
    <w:rsid w:val="00F94291"/>
    <w:rsid w:val="00FB2F38"/>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ind w:left="0" w:firstLine="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587320"/>
    <w:rPr>
      <w:b/>
      <w:caps/>
      <w:kern w:val="28"/>
      <w:sz w:val="24"/>
      <w:lang w:eastAsia="en-US"/>
    </w:rPr>
  </w:style>
  <w:style w:type="character" w:customStyle="1" w:styleId="Heading2Char">
    <w:name w:val="Heading 2 Char"/>
    <w:basedOn w:val="DefaultParagraphFont"/>
    <w:link w:val="Heading2"/>
    <w:rsid w:val="00587320"/>
    <w:rPr>
      <w:b/>
      <w:sz w:val="24"/>
      <w:szCs w:val="24"/>
      <w:lang w:eastAsia="en-US"/>
    </w:rPr>
  </w:style>
  <w:style w:type="character" w:customStyle="1" w:styleId="Heading3Char">
    <w:name w:val="Heading 3 Char"/>
    <w:basedOn w:val="DefaultParagraphFont"/>
    <w:link w:val="Heading3"/>
    <w:rsid w:val="00587320"/>
    <w:rPr>
      <w:b/>
      <w:i/>
      <w:sz w:val="24"/>
      <w:lang w:eastAsia="en-US"/>
    </w:rPr>
  </w:style>
  <w:style w:type="character" w:customStyle="1" w:styleId="Heading4Char">
    <w:name w:val="Heading 4 Char"/>
    <w:basedOn w:val="DefaultParagraphFont"/>
    <w:link w:val="Heading4"/>
    <w:rsid w:val="00587320"/>
    <w:rPr>
      <w:i/>
      <w:sz w:val="24"/>
      <w:szCs w:val="24"/>
      <w:lang w:eastAsia="en-US"/>
    </w:rPr>
  </w:style>
  <w:style w:type="character" w:customStyle="1" w:styleId="Heading5Char">
    <w:name w:val="Heading 5 Char"/>
    <w:basedOn w:val="DefaultParagraphFont"/>
    <w:link w:val="Heading5"/>
    <w:rsid w:val="00587320"/>
    <w:rPr>
      <w:b/>
      <w:kern w:val="28"/>
      <w:sz w:val="24"/>
      <w:lang w:eastAsia="en-US"/>
    </w:rPr>
  </w:style>
  <w:style w:type="character" w:customStyle="1" w:styleId="Heading6Char">
    <w:name w:val="Heading 6 Char"/>
    <w:basedOn w:val="DefaultParagraphFont"/>
    <w:link w:val="Heading6"/>
    <w:rsid w:val="00587320"/>
    <w:rPr>
      <w:b/>
      <w:sz w:val="24"/>
      <w:lang w:eastAsia="en-US"/>
    </w:rPr>
  </w:style>
  <w:style w:type="character" w:customStyle="1" w:styleId="Heading7Char">
    <w:name w:val="Heading 7 Char"/>
    <w:basedOn w:val="DefaultParagraphFont"/>
    <w:link w:val="Heading7"/>
    <w:rsid w:val="00587320"/>
    <w:rPr>
      <w:b/>
      <w:sz w:val="24"/>
      <w:lang w:eastAsia="en-US"/>
    </w:rPr>
  </w:style>
  <w:style w:type="character" w:customStyle="1" w:styleId="Heading8Char">
    <w:name w:val="Heading 8 Char"/>
    <w:basedOn w:val="DefaultParagraphFont"/>
    <w:link w:val="Heading8"/>
    <w:rsid w:val="00587320"/>
    <w:rPr>
      <w:b/>
      <w:sz w:val="24"/>
      <w:lang w:eastAsia="en-US"/>
    </w:rPr>
  </w:style>
  <w:style w:type="character" w:customStyle="1" w:styleId="Heading9Char">
    <w:name w:val="Heading 9 Char"/>
    <w:basedOn w:val="DefaultParagraphFont"/>
    <w:link w:val="Heading9"/>
    <w:rsid w:val="00587320"/>
    <w:rPr>
      <w:b/>
      <w:sz w:val="24"/>
      <w:lang w:eastAsia="en-US"/>
    </w:rPr>
  </w:style>
  <w:style w:type="character" w:customStyle="1" w:styleId="HeaderChar">
    <w:name w:val="Header Char"/>
    <w:basedOn w:val="DefaultParagraphFont"/>
    <w:link w:val="Header"/>
    <w:uiPriority w:val="99"/>
    <w:rsid w:val="00587320"/>
    <w:rPr>
      <w:sz w:val="24"/>
      <w:lang w:eastAsia="en-US"/>
    </w:rPr>
  </w:style>
  <w:style w:type="character" w:customStyle="1" w:styleId="FooterChar">
    <w:name w:val="Footer Char"/>
    <w:basedOn w:val="DefaultParagraphFont"/>
    <w:link w:val="Footer"/>
    <w:semiHidden/>
    <w:rsid w:val="00587320"/>
    <w:rPr>
      <w:sz w:val="24"/>
      <w:lang w:eastAsia="en-US"/>
    </w:rPr>
  </w:style>
  <w:style w:type="character" w:customStyle="1" w:styleId="BalloonTextChar">
    <w:name w:val="Balloon Text Char"/>
    <w:basedOn w:val="DefaultParagraphFont"/>
    <w:link w:val="BalloonText"/>
    <w:semiHidden/>
    <w:rsid w:val="00587320"/>
    <w:rPr>
      <w:rFonts w:ascii="Tahoma" w:hAnsi="Tahoma" w:cs="Tahoma"/>
      <w:sz w:val="16"/>
      <w:szCs w:val="16"/>
      <w:lang w:eastAsia="en-US"/>
    </w:rPr>
  </w:style>
  <w:style w:type="character" w:customStyle="1" w:styleId="CommentTextChar">
    <w:name w:val="Comment Text Char"/>
    <w:basedOn w:val="DefaultParagraphFont"/>
    <w:link w:val="CommentText"/>
    <w:semiHidden/>
    <w:rsid w:val="00587320"/>
    <w:rPr>
      <w:lang w:eastAsia="en-US"/>
    </w:rPr>
  </w:style>
  <w:style w:type="character" w:customStyle="1" w:styleId="CommentSubjectChar">
    <w:name w:val="Comment Subject Char"/>
    <w:basedOn w:val="CommentTextChar"/>
    <w:link w:val="CommentSubject"/>
    <w:semiHidden/>
    <w:rsid w:val="00587320"/>
    <w:rPr>
      <w:b/>
      <w:bCs/>
      <w:lang w:eastAsia="en-US"/>
    </w:rPr>
  </w:style>
  <w:style w:type="character" w:customStyle="1" w:styleId="BodyText2Char">
    <w:name w:val="Body Text 2 Char"/>
    <w:basedOn w:val="DefaultParagraphFont"/>
    <w:link w:val="BodyText2"/>
    <w:semiHidden/>
    <w:rsid w:val="00587320"/>
    <w:rPr>
      <w:sz w:val="24"/>
      <w:lang w:eastAsia="en-US"/>
    </w:rPr>
  </w:style>
  <w:style w:type="character" w:customStyle="1" w:styleId="BodyText3Char">
    <w:name w:val="Body Text 3 Char"/>
    <w:basedOn w:val="DefaultParagraphFont"/>
    <w:link w:val="BodyText3"/>
    <w:semiHidden/>
    <w:rsid w:val="00587320"/>
    <w:rPr>
      <w:sz w:val="16"/>
      <w:szCs w:val="16"/>
      <w:lang w:eastAsia="en-US"/>
    </w:rPr>
  </w:style>
  <w:style w:type="character" w:customStyle="1" w:styleId="BodyTextFirstIndentChar">
    <w:name w:val="Body Text First Indent Char"/>
    <w:basedOn w:val="BodyTextChar"/>
    <w:link w:val="BodyTextFirstIndent"/>
    <w:semiHidden/>
    <w:rsid w:val="00587320"/>
    <w:rPr>
      <w:sz w:val="24"/>
      <w:lang w:eastAsia="en-US"/>
    </w:rPr>
  </w:style>
  <w:style w:type="character" w:customStyle="1" w:styleId="BodyTextIndentChar">
    <w:name w:val="Body Text Indent Char"/>
    <w:basedOn w:val="DefaultParagraphFont"/>
    <w:link w:val="BodyTextIndent"/>
    <w:semiHidden/>
    <w:rsid w:val="00587320"/>
    <w:rPr>
      <w:sz w:val="24"/>
      <w:lang w:eastAsia="en-US"/>
    </w:rPr>
  </w:style>
  <w:style w:type="character" w:customStyle="1" w:styleId="BodyTextFirstIndent2Char">
    <w:name w:val="Body Text First Indent 2 Char"/>
    <w:basedOn w:val="BodyTextIndentChar"/>
    <w:link w:val="BodyTextFirstIndent2"/>
    <w:semiHidden/>
    <w:rsid w:val="00587320"/>
    <w:rPr>
      <w:sz w:val="24"/>
      <w:lang w:eastAsia="en-US"/>
    </w:rPr>
  </w:style>
  <w:style w:type="character" w:customStyle="1" w:styleId="BodyTextIndent2Char">
    <w:name w:val="Body Text Indent 2 Char"/>
    <w:basedOn w:val="DefaultParagraphFont"/>
    <w:link w:val="BodyTextIndent2"/>
    <w:semiHidden/>
    <w:rsid w:val="00587320"/>
    <w:rPr>
      <w:sz w:val="24"/>
      <w:lang w:eastAsia="en-US"/>
    </w:rPr>
  </w:style>
  <w:style w:type="character" w:customStyle="1" w:styleId="BodyTextIndent3Char">
    <w:name w:val="Body Text Indent 3 Char"/>
    <w:basedOn w:val="DefaultParagraphFont"/>
    <w:link w:val="BodyTextIndent3"/>
    <w:semiHidden/>
    <w:rsid w:val="00587320"/>
    <w:rPr>
      <w:sz w:val="16"/>
      <w:szCs w:val="16"/>
      <w:lang w:eastAsia="en-US"/>
    </w:rPr>
  </w:style>
  <w:style w:type="character" w:customStyle="1" w:styleId="ClosingChar">
    <w:name w:val="Closing Char"/>
    <w:basedOn w:val="DefaultParagraphFont"/>
    <w:link w:val="Closing"/>
    <w:semiHidden/>
    <w:rsid w:val="00587320"/>
    <w:rPr>
      <w:sz w:val="24"/>
      <w:lang w:eastAsia="en-US"/>
    </w:rPr>
  </w:style>
  <w:style w:type="character" w:customStyle="1" w:styleId="DateChar">
    <w:name w:val="Date Char"/>
    <w:basedOn w:val="DefaultParagraphFont"/>
    <w:link w:val="Date"/>
    <w:semiHidden/>
    <w:rsid w:val="00587320"/>
    <w:rPr>
      <w:sz w:val="24"/>
      <w:lang w:eastAsia="en-US"/>
    </w:rPr>
  </w:style>
  <w:style w:type="character" w:customStyle="1" w:styleId="E-mailSignatureChar">
    <w:name w:val="E-mail Signature Char"/>
    <w:basedOn w:val="DefaultParagraphFont"/>
    <w:link w:val="E-mailSignature"/>
    <w:semiHidden/>
    <w:rsid w:val="00587320"/>
    <w:rPr>
      <w:sz w:val="24"/>
      <w:lang w:eastAsia="en-US"/>
    </w:rPr>
  </w:style>
  <w:style w:type="character" w:customStyle="1" w:styleId="HTMLAddressChar">
    <w:name w:val="HTML Address Char"/>
    <w:basedOn w:val="DefaultParagraphFont"/>
    <w:link w:val="HTMLAddress"/>
    <w:semiHidden/>
    <w:rsid w:val="00587320"/>
    <w:rPr>
      <w:i/>
      <w:iCs/>
      <w:sz w:val="24"/>
      <w:lang w:eastAsia="en-US"/>
    </w:rPr>
  </w:style>
  <w:style w:type="character" w:customStyle="1" w:styleId="HTMLPreformattedChar">
    <w:name w:val="HTML Preformatted Char"/>
    <w:basedOn w:val="DefaultParagraphFont"/>
    <w:link w:val="HTMLPreformatted"/>
    <w:semiHidden/>
    <w:rsid w:val="00587320"/>
    <w:rPr>
      <w:rFonts w:ascii="Courier New" w:hAnsi="Courier New" w:cs="Courier New"/>
      <w:lang w:eastAsia="en-US"/>
    </w:rPr>
  </w:style>
  <w:style w:type="character" w:customStyle="1" w:styleId="MessageHeaderChar">
    <w:name w:val="Message Header Char"/>
    <w:basedOn w:val="DefaultParagraphFont"/>
    <w:link w:val="MessageHeader"/>
    <w:semiHidden/>
    <w:rsid w:val="0058732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87320"/>
    <w:rPr>
      <w:sz w:val="24"/>
      <w:lang w:eastAsia="en-US"/>
    </w:rPr>
  </w:style>
  <w:style w:type="character" w:customStyle="1" w:styleId="PlainTextChar">
    <w:name w:val="Plain Text Char"/>
    <w:basedOn w:val="DefaultParagraphFont"/>
    <w:link w:val="PlainText"/>
    <w:semiHidden/>
    <w:rsid w:val="00587320"/>
    <w:rPr>
      <w:rFonts w:ascii="Courier New" w:hAnsi="Courier New" w:cs="Courier New"/>
      <w:lang w:eastAsia="en-US"/>
    </w:rPr>
  </w:style>
  <w:style w:type="character" w:customStyle="1" w:styleId="SalutationChar">
    <w:name w:val="Salutation Char"/>
    <w:basedOn w:val="DefaultParagraphFont"/>
    <w:link w:val="Salutation"/>
    <w:semiHidden/>
    <w:rsid w:val="00587320"/>
    <w:rPr>
      <w:sz w:val="24"/>
      <w:lang w:eastAsia="en-US"/>
    </w:rPr>
  </w:style>
  <w:style w:type="character" w:customStyle="1" w:styleId="SignatureChar">
    <w:name w:val="Signature Char"/>
    <w:basedOn w:val="DefaultParagraphFont"/>
    <w:link w:val="Signature"/>
    <w:semiHidden/>
    <w:rsid w:val="00587320"/>
    <w:rPr>
      <w:sz w:val="24"/>
      <w:lang w:eastAsia="en-US"/>
    </w:rPr>
  </w:style>
  <w:style w:type="character" w:customStyle="1" w:styleId="SubtitleChar">
    <w:name w:val="Subtitle Char"/>
    <w:basedOn w:val="DefaultParagraphFont"/>
    <w:link w:val="Subtitle"/>
    <w:rsid w:val="00587320"/>
    <w:rPr>
      <w:rFonts w:ascii="Arial" w:hAnsi="Arial" w:cs="Arial"/>
      <w:sz w:val="24"/>
      <w:szCs w:val="24"/>
      <w:lang w:eastAsia="en-US"/>
    </w:rPr>
  </w:style>
  <w:style w:type="paragraph" w:styleId="ListParagraph">
    <w:name w:val="List Paragraph"/>
    <w:basedOn w:val="Normal"/>
    <w:uiPriority w:val="34"/>
    <w:rsid w:val="00587320"/>
    <w:pPr>
      <w:ind w:left="720"/>
      <w:contextualSpacing/>
    </w:pPr>
  </w:style>
  <w:style w:type="paragraph" w:styleId="Revision">
    <w:name w:val="Revision"/>
    <w:hidden/>
    <w:uiPriority w:val="99"/>
    <w:semiHidden/>
    <w:rsid w:val="0058732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ind w:left="0" w:firstLine="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587320"/>
    <w:rPr>
      <w:b/>
      <w:caps/>
      <w:kern w:val="28"/>
      <w:sz w:val="24"/>
      <w:lang w:eastAsia="en-US"/>
    </w:rPr>
  </w:style>
  <w:style w:type="character" w:customStyle="1" w:styleId="Heading2Char">
    <w:name w:val="Heading 2 Char"/>
    <w:basedOn w:val="DefaultParagraphFont"/>
    <w:link w:val="Heading2"/>
    <w:rsid w:val="00587320"/>
    <w:rPr>
      <w:b/>
      <w:sz w:val="24"/>
      <w:szCs w:val="24"/>
      <w:lang w:eastAsia="en-US"/>
    </w:rPr>
  </w:style>
  <w:style w:type="character" w:customStyle="1" w:styleId="Heading3Char">
    <w:name w:val="Heading 3 Char"/>
    <w:basedOn w:val="DefaultParagraphFont"/>
    <w:link w:val="Heading3"/>
    <w:rsid w:val="00587320"/>
    <w:rPr>
      <w:b/>
      <w:i/>
      <w:sz w:val="24"/>
      <w:lang w:eastAsia="en-US"/>
    </w:rPr>
  </w:style>
  <w:style w:type="character" w:customStyle="1" w:styleId="Heading4Char">
    <w:name w:val="Heading 4 Char"/>
    <w:basedOn w:val="DefaultParagraphFont"/>
    <w:link w:val="Heading4"/>
    <w:rsid w:val="00587320"/>
    <w:rPr>
      <w:i/>
      <w:sz w:val="24"/>
      <w:szCs w:val="24"/>
      <w:lang w:eastAsia="en-US"/>
    </w:rPr>
  </w:style>
  <w:style w:type="character" w:customStyle="1" w:styleId="Heading5Char">
    <w:name w:val="Heading 5 Char"/>
    <w:basedOn w:val="DefaultParagraphFont"/>
    <w:link w:val="Heading5"/>
    <w:rsid w:val="00587320"/>
    <w:rPr>
      <w:b/>
      <w:kern w:val="28"/>
      <w:sz w:val="24"/>
      <w:lang w:eastAsia="en-US"/>
    </w:rPr>
  </w:style>
  <w:style w:type="character" w:customStyle="1" w:styleId="Heading6Char">
    <w:name w:val="Heading 6 Char"/>
    <w:basedOn w:val="DefaultParagraphFont"/>
    <w:link w:val="Heading6"/>
    <w:rsid w:val="00587320"/>
    <w:rPr>
      <w:b/>
      <w:sz w:val="24"/>
      <w:lang w:eastAsia="en-US"/>
    </w:rPr>
  </w:style>
  <w:style w:type="character" w:customStyle="1" w:styleId="Heading7Char">
    <w:name w:val="Heading 7 Char"/>
    <w:basedOn w:val="DefaultParagraphFont"/>
    <w:link w:val="Heading7"/>
    <w:rsid w:val="00587320"/>
    <w:rPr>
      <w:b/>
      <w:sz w:val="24"/>
      <w:lang w:eastAsia="en-US"/>
    </w:rPr>
  </w:style>
  <w:style w:type="character" w:customStyle="1" w:styleId="Heading8Char">
    <w:name w:val="Heading 8 Char"/>
    <w:basedOn w:val="DefaultParagraphFont"/>
    <w:link w:val="Heading8"/>
    <w:rsid w:val="00587320"/>
    <w:rPr>
      <w:b/>
      <w:sz w:val="24"/>
      <w:lang w:eastAsia="en-US"/>
    </w:rPr>
  </w:style>
  <w:style w:type="character" w:customStyle="1" w:styleId="Heading9Char">
    <w:name w:val="Heading 9 Char"/>
    <w:basedOn w:val="DefaultParagraphFont"/>
    <w:link w:val="Heading9"/>
    <w:rsid w:val="00587320"/>
    <w:rPr>
      <w:b/>
      <w:sz w:val="24"/>
      <w:lang w:eastAsia="en-US"/>
    </w:rPr>
  </w:style>
  <w:style w:type="character" w:customStyle="1" w:styleId="HeaderChar">
    <w:name w:val="Header Char"/>
    <w:basedOn w:val="DefaultParagraphFont"/>
    <w:link w:val="Header"/>
    <w:uiPriority w:val="99"/>
    <w:rsid w:val="00587320"/>
    <w:rPr>
      <w:sz w:val="24"/>
      <w:lang w:eastAsia="en-US"/>
    </w:rPr>
  </w:style>
  <w:style w:type="character" w:customStyle="1" w:styleId="FooterChar">
    <w:name w:val="Footer Char"/>
    <w:basedOn w:val="DefaultParagraphFont"/>
    <w:link w:val="Footer"/>
    <w:semiHidden/>
    <w:rsid w:val="00587320"/>
    <w:rPr>
      <w:sz w:val="24"/>
      <w:lang w:eastAsia="en-US"/>
    </w:rPr>
  </w:style>
  <w:style w:type="character" w:customStyle="1" w:styleId="BalloonTextChar">
    <w:name w:val="Balloon Text Char"/>
    <w:basedOn w:val="DefaultParagraphFont"/>
    <w:link w:val="BalloonText"/>
    <w:semiHidden/>
    <w:rsid w:val="00587320"/>
    <w:rPr>
      <w:rFonts w:ascii="Tahoma" w:hAnsi="Tahoma" w:cs="Tahoma"/>
      <w:sz w:val="16"/>
      <w:szCs w:val="16"/>
      <w:lang w:eastAsia="en-US"/>
    </w:rPr>
  </w:style>
  <w:style w:type="character" w:customStyle="1" w:styleId="CommentTextChar">
    <w:name w:val="Comment Text Char"/>
    <w:basedOn w:val="DefaultParagraphFont"/>
    <w:link w:val="CommentText"/>
    <w:semiHidden/>
    <w:rsid w:val="00587320"/>
    <w:rPr>
      <w:lang w:eastAsia="en-US"/>
    </w:rPr>
  </w:style>
  <w:style w:type="character" w:customStyle="1" w:styleId="CommentSubjectChar">
    <w:name w:val="Comment Subject Char"/>
    <w:basedOn w:val="CommentTextChar"/>
    <w:link w:val="CommentSubject"/>
    <w:semiHidden/>
    <w:rsid w:val="00587320"/>
    <w:rPr>
      <w:b/>
      <w:bCs/>
      <w:lang w:eastAsia="en-US"/>
    </w:rPr>
  </w:style>
  <w:style w:type="character" w:customStyle="1" w:styleId="BodyText2Char">
    <w:name w:val="Body Text 2 Char"/>
    <w:basedOn w:val="DefaultParagraphFont"/>
    <w:link w:val="BodyText2"/>
    <w:semiHidden/>
    <w:rsid w:val="00587320"/>
    <w:rPr>
      <w:sz w:val="24"/>
      <w:lang w:eastAsia="en-US"/>
    </w:rPr>
  </w:style>
  <w:style w:type="character" w:customStyle="1" w:styleId="BodyText3Char">
    <w:name w:val="Body Text 3 Char"/>
    <w:basedOn w:val="DefaultParagraphFont"/>
    <w:link w:val="BodyText3"/>
    <w:semiHidden/>
    <w:rsid w:val="00587320"/>
    <w:rPr>
      <w:sz w:val="16"/>
      <w:szCs w:val="16"/>
      <w:lang w:eastAsia="en-US"/>
    </w:rPr>
  </w:style>
  <w:style w:type="character" w:customStyle="1" w:styleId="BodyTextFirstIndentChar">
    <w:name w:val="Body Text First Indent Char"/>
    <w:basedOn w:val="BodyTextChar"/>
    <w:link w:val="BodyTextFirstIndent"/>
    <w:semiHidden/>
    <w:rsid w:val="00587320"/>
    <w:rPr>
      <w:sz w:val="24"/>
      <w:lang w:eastAsia="en-US"/>
    </w:rPr>
  </w:style>
  <w:style w:type="character" w:customStyle="1" w:styleId="BodyTextIndentChar">
    <w:name w:val="Body Text Indent Char"/>
    <w:basedOn w:val="DefaultParagraphFont"/>
    <w:link w:val="BodyTextIndent"/>
    <w:semiHidden/>
    <w:rsid w:val="00587320"/>
    <w:rPr>
      <w:sz w:val="24"/>
      <w:lang w:eastAsia="en-US"/>
    </w:rPr>
  </w:style>
  <w:style w:type="character" w:customStyle="1" w:styleId="BodyTextFirstIndent2Char">
    <w:name w:val="Body Text First Indent 2 Char"/>
    <w:basedOn w:val="BodyTextIndentChar"/>
    <w:link w:val="BodyTextFirstIndent2"/>
    <w:semiHidden/>
    <w:rsid w:val="00587320"/>
    <w:rPr>
      <w:sz w:val="24"/>
      <w:lang w:eastAsia="en-US"/>
    </w:rPr>
  </w:style>
  <w:style w:type="character" w:customStyle="1" w:styleId="BodyTextIndent2Char">
    <w:name w:val="Body Text Indent 2 Char"/>
    <w:basedOn w:val="DefaultParagraphFont"/>
    <w:link w:val="BodyTextIndent2"/>
    <w:semiHidden/>
    <w:rsid w:val="00587320"/>
    <w:rPr>
      <w:sz w:val="24"/>
      <w:lang w:eastAsia="en-US"/>
    </w:rPr>
  </w:style>
  <w:style w:type="character" w:customStyle="1" w:styleId="BodyTextIndent3Char">
    <w:name w:val="Body Text Indent 3 Char"/>
    <w:basedOn w:val="DefaultParagraphFont"/>
    <w:link w:val="BodyTextIndent3"/>
    <w:semiHidden/>
    <w:rsid w:val="00587320"/>
    <w:rPr>
      <w:sz w:val="16"/>
      <w:szCs w:val="16"/>
      <w:lang w:eastAsia="en-US"/>
    </w:rPr>
  </w:style>
  <w:style w:type="character" w:customStyle="1" w:styleId="ClosingChar">
    <w:name w:val="Closing Char"/>
    <w:basedOn w:val="DefaultParagraphFont"/>
    <w:link w:val="Closing"/>
    <w:semiHidden/>
    <w:rsid w:val="00587320"/>
    <w:rPr>
      <w:sz w:val="24"/>
      <w:lang w:eastAsia="en-US"/>
    </w:rPr>
  </w:style>
  <w:style w:type="character" w:customStyle="1" w:styleId="DateChar">
    <w:name w:val="Date Char"/>
    <w:basedOn w:val="DefaultParagraphFont"/>
    <w:link w:val="Date"/>
    <w:semiHidden/>
    <w:rsid w:val="00587320"/>
    <w:rPr>
      <w:sz w:val="24"/>
      <w:lang w:eastAsia="en-US"/>
    </w:rPr>
  </w:style>
  <w:style w:type="character" w:customStyle="1" w:styleId="E-mailSignatureChar">
    <w:name w:val="E-mail Signature Char"/>
    <w:basedOn w:val="DefaultParagraphFont"/>
    <w:link w:val="E-mailSignature"/>
    <w:semiHidden/>
    <w:rsid w:val="00587320"/>
    <w:rPr>
      <w:sz w:val="24"/>
      <w:lang w:eastAsia="en-US"/>
    </w:rPr>
  </w:style>
  <w:style w:type="character" w:customStyle="1" w:styleId="HTMLAddressChar">
    <w:name w:val="HTML Address Char"/>
    <w:basedOn w:val="DefaultParagraphFont"/>
    <w:link w:val="HTMLAddress"/>
    <w:semiHidden/>
    <w:rsid w:val="00587320"/>
    <w:rPr>
      <w:i/>
      <w:iCs/>
      <w:sz w:val="24"/>
      <w:lang w:eastAsia="en-US"/>
    </w:rPr>
  </w:style>
  <w:style w:type="character" w:customStyle="1" w:styleId="HTMLPreformattedChar">
    <w:name w:val="HTML Preformatted Char"/>
    <w:basedOn w:val="DefaultParagraphFont"/>
    <w:link w:val="HTMLPreformatted"/>
    <w:semiHidden/>
    <w:rsid w:val="00587320"/>
    <w:rPr>
      <w:rFonts w:ascii="Courier New" w:hAnsi="Courier New" w:cs="Courier New"/>
      <w:lang w:eastAsia="en-US"/>
    </w:rPr>
  </w:style>
  <w:style w:type="character" w:customStyle="1" w:styleId="MessageHeaderChar">
    <w:name w:val="Message Header Char"/>
    <w:basedOn w:val="DefaultParagraphFont"/>
    <w:link w:val="MessageHeader"/>
    <w:semiHidden/>
    <w:rsid w:val="0058732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87320"/>
    <w:rPr>
      <w:sz w:val="24"/>
      <w:lang w:eastAsia="en-US"/>
    </w:rPr>
  </w:style>
  <w:style w:type="character" w:customStyle="1" w:styleId="PlainTextChar">
    <w:name w:val="Plain Text Char"/>
    <w:basedOn w:val="DefaultParagraphFont"/>
    <w:link w:val="PlainText"/>
    <w:semiHidden/>
    <w:rsid w:val="00587320"/>
    <w:rPr>
      <w:rFonts w:ascii="Courier New" w:hAnsi="Courier New" w:cs="Courier New"/>
      <w:lang w:eastAsia="en-US"/>
    </w:rPr>
  </w:style>
  <w:style w:type="character" w:customStyle="1" w:styleId="SalutationChar">
    <w:name w:val="Salutation Char"/>
    <w:basedOn w:val="DefaultParagraphFont"/>
    <w:link w:val="Salutation"/>
    <w:semiHidden/>
    <w:rsid w:val="00587320"/>
    <w:rPr>
      <w:sz w:val="24"/>
      <w:lang w:eastAsia="en-US"/>
    </w:rPr>
  </w:style>
  <w:style w:type="character" w:customStyle="1" w:styleId="SignatureChar">
    <w:name w:val="Signature Char"/>
    <w:basedOn w:val="DefaultParagraphFont"/>
    <w:link w:val="Signature"/>
    <w:semiHidden/>
    <w:rsid w:val="00587320"/>
    <w:rPr>
      <w:sz w:val="24"/>
      <w:lang w:eastAsia="en-US"/>
    </w:rPr>
  </w:style>
  <w:style w:type="character" w:customStyle="1" w:styleId="SubtitleChar">
    <w:name w:val="Subtitle Char"/>
    <w:basedOn w:val="DefaultParagraphFont"/>
    <w:link w:val="Subtitle"/>
    <w:rsid w:val="00587320"/>
    <w:rPr>
      <w:rFonts w:ascii="Arial" w:hAnsi="Arial" w:cs="Arial"/>
      <w:sz w:val="24"/>
      <w:szCs w:val="24"/>
      <w:lang w:eastAsia="en-US"/>
    </w:rPr>
  </w:style>
  <w:style w:type="paragraph" w:styleId="ListParagraph">
    <w:name w:val="List Paragraph"/>
    <w:basedOn w:val="Normal"/>
    <w:uiPriority w:val="34"/>
    <w:rsid w:val="00587320"/>
    <w:pPr>
      <w:ind w:left="720"/>
      <w:contextualSpacing/>
    </w:pPr>
  </w:style>
  <w:style w:type="paragraph" w:styleId="Revision">
    <w:name w:val="Revision"/>
    <w:hidden/>
    <w:uiPriority w:val="99"/>
    <w:semiHidden/>
    <w:rsid w:val="0058732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9</TotalTime>
  <Pages>15</Pages>
  <Words>3521</Words>
  <Characters>17421</Characters>
  <Application>Microsoft Office Word</Application>
  <DocSecurity>0</DocSecurity>
  <Lines>622</Lines>
  <Paragraphs>282</Paragraphs>
  <ScaleCrop>false</ScaleCrop>
  <HeadingPairs>
    <vt:vector size="2" baseType="variant">
      <vt:variant>
        <vt:lpstr>Title</vt:lpstr>
      </vt:variant>
      <vt:variant>
        <vt:i4>1</vt:i4>
      </vt:variant>
    </vt:vector>
  </HeadingPairs>
  <TitlesOfParts>
    <vt:vector size="1" baseType="lpstr">
      <vt:lpstr>Oliver Hume South East Queensland Pty Ltd v Investa Residential Group Pty Ltd (No 2) [2017] FCAFC 175</vt:lpstr>
    </vt:vector>
  </TitlesOfParts>
  <Company>Federal Court of Australia</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Hume South East Queensland Pty Ltd v Investa Residential Group Pty Ltd (No 2) [2017] FCAFC 175</dc:title>
  <dc:creator>Anna Masters</dc:creator>
  <cp:lastModifiedBy>Anna Masters</cp:lastModifiedBy>
  <cp:revision>7</cp:revision>
  <cp:lastPrinted>2017-11-03T06:36:00Z</cp:lastPrinted>
  <dcterms:created xsi:type="dcterms:W3CDTF">2017-11-13T22:26:00Z</dcterms:created>
  <dcterms:modified xsi:type="dcterms:W3CDTF">2017-11-13T22:36:00Z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DOWSETT, GREENWOOD AND WHITE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